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D32" w:rsidRPr="00CE5D54" w:rsidRDefault="007E0D4E" w:rsidP="007E0D4E"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alt="F606DC7F-76CF-4594-B71D-0B32794B4511" style="width:455.25pt;height:383.25pt">
            <v:imagedata r:id="rId7" o:title=""/>
          </v:shape>
        </w:pict>
      </w:r>
    </w:p>
    <w:p w:rsidR="00CD3D32" w:rsidRPr="00CE5D54" w:rsidRDefault="00CD3D32" w:rsidP="00CD3D32">
      <w:pPr>
        <w:rPr>
          <w:noProof/>
        </w:rPr>
        <w:sectPr w:rsidR="00CD3D32" w:rsidRPr="00CE5D54" w:rsidSect="007E0D4E">
          <w:footerReference w:type="default" r:id="rId8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:rsidR="00CD3D32" w:rsidRPr="00CE5D54" w:rsidRDefault="00CD3D32" w:rsidP="00BB6B30">
      <w:pPr>
        <w:pStyle w:val="Exposdesmotifstitre"/>
        <w:rPr>
          <w:noProof/>
        </w:rPr>
      </w:pPr>
      <w:bookmarkStart w:id="0" w:name="_GoBack"/>
      <w:bookmarkEnd w:id="0"/>
      <w:r w:rsidRPr="00CE5D54">
        <w:rPr>
          <w:noProof/>
        </w:rPr>
        <w:lastRenderedPageBreak/>
        <w:t>DŮVODOVÁ ZPRÁVA</w:t>
      </w:r>
    </w:p>
    <w:p w:rsidR="00CD3D32" w:rsidRPr="00CE5D54" w:rsidRDefault="00CD3D32" w:rsidP="00BB6B30">
      <w:pPr>
        <w:pStyle w:val="ManualHeading1"/>
        <w:rPr>
          <w:noProof/>
        </w:rPr>
      </w:pPr>
      <w:r w:rsidRPr="00CE5D54">
        <w:rPr>
          <w:noProof/>
        </w:rPr>
        <w:t>1.</w:t>
      </w:r>
      <w:r w:rsidRPr="00CE5D54">
        <w:rPr>
          <w:noProof/>
        </w:rPr>
        <w:tab/>
        <w:t>SOUVISLOSTI NÁVRHU</w:t>
      </w:r>
    </w:p>
    <w:p w:rsidR="00CD3D32" w:rsidRPr="00CE5D54" w:rsidRDefault="00CD3D32" w:rsidP="00044058">
      <w:pPr>
        <w:pStyle w:val="ManualHeading2"/>
        <w:rPr>
          <w:rFonts w:eastAsia="Arial Unicode MS"/>
          <w:noProof/>
        </w:rPr>
      </w:pPr>
      <w:r w:rsidRPr="00CE5D54">
        <w:rPr>
          <w:noProof/>
          <w:color w:val="000000"/>
          <w:u w:color="000000"/>
          <w:bdr w:val="nil"/>
        </w:rPr>
        <w:t>•</w:t>
      </w:r>
      <w:r w:rsidRPr="00CE5D54">
        <w:rPr>
          <w:noProof/>
        </w:rPr>
        <w:tab/>
        <w:t>Odůvodnění a cíle návrhu</w:t>
      </w:r>
    </w:p>
    <w:p w:rsidR="00825D43" w:rsidRPr="00CE5D54" w:rsidRDefault="00825D43" w:rsidP="00825D43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/>
        <w:rPr>
          <w:noProof/>
        </w:rPr>
      </w:pPr>
      <w:r w:rsidRPr="00CE5D54">
        <w:rPr>
          <w:noProof/>
        </w:rPr>
        <w:t>Po zhoršení situace v Burundi před parlamentními a prezidentskými volbami v červnu a červenci 2015 dospěla Evropská unie k závěru, že Republika Burundi nedodržela podstatné prvky stanovené v článku 9 dohody o partnerství AKT–EU</w:t>
      </w:r>
      <w:r w:rsidRPr="00CE5D54">
        <w:rPr>
          <w:rStyle w:val="FootnoteReference"/>
          <w:rFonts w:eastAsia="Arial Unicode MS"/>
          <w:noProof/>
          <w:szCs w:val="24"/>
        </w:rPr>
        <w:footnoteReference w:id="1"/>
      </w:r>
      <w:r w:rsidRPr="00CE5D54">
        <w:rPr>
          <w:noProof/>
        </w:rPr>
        <w:t xml:space="preserve"> týkající se lidských práv, demokracie a právního státu. </w:t>
      </w:r>
    </w:p>
    <w:p w:rsidR="00825D43" w:rsidRPr="00CE5D54" w:rsidRDefault="00825D43" w:rsidP="00825D43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/>
        <w:rPr>
          <w:noProof/>
        </w:rPr>
      </w:pPr>
      <w:r w:rsidRPr="00CE5D54">
        <w:rPr>
          <w:noProof/>
        </w:rPr>
        <w:t xml:space="preserve">V návaznosti na konzultace, které se konaly v Bruselu dne 8. prosince 2015 podle článku 96 </w:t>
      </w:r>
      <w:r w:rsidRPr="00CE5D54">
        <w:rPr>
          <w:noProof/>
          <w:color w:val="000000" w:themeColor="text1"/>
          <w:szCs w:val="24"/>
        </w:rPr>
        <w:t>dohody o partnerství AKT–EU</w:t>
      </w:r>
      <w:r w:rsidRPr="00CE5D54">
        <w:rPr>
          <w:noProof/>
        </w:rPr>
        <w:t>, vzala Evropská unie na vědomí odpovědi vlády Burundi a její závazek poskytnout vysvětlení ohledně vznesených otázek a urychlit některá soudní řízení. Evropská unie měla nicméně za to, že vyjádřené postoje komplexně neřeší otázku nedodržení podstatných prvků jejího partnerství s Republikou Burundi. Tyto postoje rovněž nepředstavovaly uspokojivou reakci na rozhodnutí Rady Africké unie pro mír a bezpečnost ze dne 17. října a 13. listopadu 2015, zejména na potřebu urychleného zahájení skutečného a inkluzivního dialogu, na základě dodržování Arušské dohody.</w:t>
      </w:r>
    </w:p>
    <w:p w:rsidR="00825D43" w:rsidRPr="00CE5D54" w:rsidRDefault="00825D43" w:rsidP="00825D43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/>
        <w:rPr>
          <w:noProof/>
        </w:rPr>
      </w:pPr>
      <w:r w:rsidRPr="00CE5D54">
        <w:rPr>
          <w:noProof/>
        </w:rPr>
        <w:t>Rozhodnutím Rady 2016/394 byly konzultace dne 13. listopadu 2015 uzavřeny a byla přijata vhodná opatření uvedená v příloze zmíněného rozhodnutí</w:t>
      </w:r>
      <w:r w:rsidRPr="00CE5D54">
        <w:rPr>
          <w:rStyle w:val="FootnoteReference"/>
          <w:rFonts w:eastAsia="Arial Unicode MS"/>
          <w:noProof/>
          <w:szCs w:val="24"/>
        </w:rPr>
        <w:footnoteReference w:id="2"/>
      </w:r>
      <w:r w:rsidRPr="00CE5D54">
        <w:rPr>
          <w:noProof/>
        </w:rPr>
        <w:t xml:space="preserve">. Tato opatření zahrnovala pozastavení finanční podpory či vyplácení finančních prostředků (včetně rozpočtové podpory), z nichž mají přímý prospěch burundské orgány státní správy nebo instituce. </w:t>
      </w:r>
    </w:p>
    <w:p w:rsidR="00825D43" w:rsidRPr="00CE5D54" w:rsidRDefault="00825D43" w:rsidP="00825D43">
      <w:pPr>
        <w:pStyle w:val="ManualHeading2"/>
        <w:tabs>
          <w:tab w:val="clear" w:pos="850"/>
          <w:tab w:val="left" w:pos="0"/>
        </w:tabs>
        <w:ind w:left="0" w:firstLine="0"/>
        <w:rPr>
          <w:noProof/>
        </w:rPr>
      </w:pPr>
      <w:r w:rsidRPr="00CE5D54">
        <w:rPr>
          <w:noProof/>
        </w:rPr>
        <w:t>Od pokojné politické transformace v roce 2020, která vedla ke zvolení prezidenta Ndayishimiyeho a jmenování nové vlády, zaznamenala EU pozitivní dynamiku, o níž svědčí:</w:t>
      </w:r>
    </w:p>
    <w:p w:rsidR="00825D43" w:rsidRPr="00CE5D54" w:rsidRDefault="00825D43" w:rsidP="00C56E1E">
      <w:pPr>
        <w:pStyle w:val="Bullet1"/>
        <w:numPr>
          <w:ilvl w:val="0"/>
          <w:numId w:val="1"/>
        </w:numPr>
        <w:rPr>
          <w:noProof/>
        </w:rPr>
      </w:pPr>
      <w:r w:rsidRPr="00CE5D54">
        <w:rPr>
          <w:noProof/>
        </w:rPr>
        <w:t xml:space="preserve">konstruktivní zapojení Burundi do politického dialogu podle článku 8 dohody o partnerství AKT–EU, </w:t>
      </w:r>
    </w:p>
    <w:p w:rsidR="00825D43" w:rsidRPr="00CE5D54" w:rsidRDefault="00825D43" w:rsidP="00825D43">
      <w:pPr>
        <w:pStyle w:val="Bullet1"/>
        <w:rPr>
          <w:noProof/>
        </w:rPr>
      </w:pPr>
      <w:r w:rsidRPr="00CE5D54">
        <w:rPr>
          <w:noProof/>
        </w:rPr>
        <w:t xml:space="preserve">úsilí vlády o podporu míru a stability, opatření ke zlepšení řádné správy věcí veřejných, svobody sdělovacích prostředků; prohlášení o lidských právech, právním státu a boji proti beztrestnosti, </w:t>
      </w:r>
    </w:p>
    <w:p w:rsidR="00825D43" w:rsidRPr="00CE5D54" w:rsidRDefault="00825D43" w:rsidP="00825D43">
      <w:pPr>
        <w:pStyle w:val="Bullet1"/>
        <w:rPr>
          <w:noProof/>
        </w:rPr>
      </w:pPr>
      <w:r w:rsidRPr="00CE5D54">
        <w:rPr>
          <w:noProof/>
        </w:rPr>
        <w:t>dohoda o cestovní mapě („</w:t>
      </w:r>
      <w:r w:rsidRPr="00CE5D54">
        <w:rPr>
          <w:i/>
          <w:noProof/>
        </w:rPr>
        <w:t>Feuille de route</w:t>
      </w:r>
      <w:r w:rsidRPr="00CE5D54">
        <w:rPr>
          <w:noProof/>
        </w:rPr>
        <w:t>“), která obsahuje závazky ze strany burundské vlády v reakci na rozhodnutí Rady 2016/394 v oblasti lidských práv; spravedlnosti a právního státu; svobody přesvědčení a tisku; řádné správy věcí veřejných; míru, bezpečnosti a demokracie; podnikatelského prostředí; životního prostředí a biologické rozmanitosti,</w:t>
      </w:r>
    </w:p>
    <w:p w:rsidR="00825D43" w:rsidRPr="00CE5D54" w:rsidRDefault="00825D43" w:rsidP="00825D43">
      <w:pPr>
        <w:pStyle w:val="Bullet1"/>
        <w:rPr>
          <w:noProof/>
        </w:rPr>
      </w:pPr>
      <w:r w:rsidRPr="00CE5D54">
        <w:rPr>
          <w:noProof/>
        </w:rPr>
        <w:t>velké počty uprchlíků, kteří se dobrovolně vracejí do Burundi,</w:t>
      </w:r>
    </w:p>
    <w:p w:rsidR="00825D43" w:rsidRPr="00CE5D54" w:rsidRDefault="00825D43" w:rsidP="00825D43">
      <w:pPr>
        <w:pStyle w:val="Bullet1"/>
        <w:rPr>
          <w:noProof/>
        </w:rPr>
      </w:pPr>
      <w:r w:rsidRPr="00CE5D54">
        <w:rPr>
          <w:noProof/>
        </w:rPr>
        <w:t xml:space="preserve">obnovení spolupráce s mezinárodním společenstvím a se sousedními zeměmi. </w:t>
      </w:r>
    </w:p>
    <w:p w:rsidR="00825D43" w:rsidRPr="00CE5D54" w:rsidRDefault="00825D43" w:rsidP="00825D43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/>
        <w:rPr>
          <w:noProof/>
        </w:rPr>
      </w:pPr>
      <w:r w:rsidRPr="00CE5D54">
        <w:rPr>
          <w:noProof/>
        </w:rPr>
        <w:t xml:space="preserve">S ohledem na tento pokrok a závazky vyjádřili vedoucí mise ve své zprávě ze dne 19. května 2021 názor, že vhodná opatření stanovená v příloze rozhodnutí Rady 2016/394 již nejsou relevantní, a proto doporučili, aby byla zrušena. </w:t>
      </w:r>
    </w:p>
    <w:p w:rsidR="00825D43" w:rsidRPr="00CE5D54" w:rsidRDefault="00825D43" w:rsidP="00825D43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/>
        <w:rPr>
          <w:noProof/>
        </w:rPr>
      </w:pPr>
      <w:r w:rsidRPr="00CE5D54">
        <w:rPr>
          <w:noProof/>
        </w:rPr>
        <w:t xml:space="preserve">V rámci politického dialogu s Burundi podle článku 8 dohody </w:t>
      </w:r>
      <w:r w:rsidRPr="00CE5D54">
        <w:rPr>
          <w:noProof/>
          <w:color w:val="000000" w:themeColor="text1"/>
          <w:szCs w:val="24"/>
        </w:rPr>
        <w:t>o partnerství AKT–EU</w:t>
      </w:r>
      <w:r w:rsidRPr="00CE5D54">
        <w:rPr>
          <w:noProof/>
        </w:rPr>
        <w:t xml:space="preserve"> by však měly být i nadále projednávány tyto otázky:</w:t>
      </w:r>
    </w:p>
    <w:p w:rsidR="00825D43" w:rsidRPr="00CE5D54" w:rsidRDefault="00825D43" w:rsidP="00825D43">
      <w:pPr>
        <w:pStyle w:val="Bullet1"/>
        <w:rPr>
          <w:noProof/>
        </w:rPr>
      </w:pPr>
      <w:r w:rsidRPr="00CE5D54">
        <w:rPr>
          <w:noProof/>
        </w:rPr>
        <w:t xml:space="preserve">zlepšení řádné správy věcí veřejných, právního státu, lidských práv a podnikatelského prostředí jakožto nezbytný základ pro udržitelný rozvoj, </w:t>
      </w:r>
    </w:p>
    <w:p w:rsidR="00825D43" w:rsidRPr="00CE5D54" w:rsidRDefault="00825D43" w:rsidP="00825D43">
      <w:pPr>
        <w:pStyle w:val="Bullet1"/>
        <w:rPr>
          <w:noProof/>
        </w:rPr>
      </w:pPr>
      <w:r w:rsidRPr="00CE5D54">
        <w:rPr>
          <w:noProof/>
        </w:rPr>
        <w:t xml:space="preserve">osvobození politických vězňů, návrat členů opozice a občanské společnosti; je třeba otevřít a uklidnit politický prostor s cílem dosáhnout usmíření, </w:t>
      </w:r>
    </w:p>
    <w:p w:rsidR="00825D43" w:rsidRPr="00CE5D54" w:rsidRDefault="00825D43" w:rsidP="00825D43">
      <w:pPr>
        <w:pStyle w:val="Bullet1"/>
        <w:rPr>
          <w:noProof/>
        </w:rPr>
      </w:pPr>
      <w:r w:rsidRPr="00CE5D54">
        <w:rPr>
          <w:noProof/>
        </w:rPr>
        <w:t>pokračující úsilí o posílení svobody sdělovacích prostředků,</w:t>
      </w:r>
    </w:p>
    <w:p w:rsidR="00825D43" w:rsidRPr="00CE5D54" w:rsidRDefault="00825D43" w:rsidP="00825D43">
      <w:pPr>
        <w:pStyle w:val="Bullet1"/>
        <w:rPr>
          <w:noProof/>
        </w:rPr>
      </w:pPr>
      <w:r w:rsidRPr="00CE5D54">
        <w:rPr>
          <w:noProof/>
        </w:rPr>
        <w:t>omezení svévolného zatýkání; lepší kontrola politicky spojených násilných skupin („Imbonerakure“) prováděná příslušnými orgány a zlepšení odpovědnosti a transparentnosti některých činností Národní zpravodajské služby (SNR); reforma soudnictví, oddělení státu a strany,</w:t>
      </w:r>
    </w:p>
    <w:p w:rsidR="00825D43" w:rsidRPr="00CE5D54" w:rsidRDefault="00825D43" w:rsidP="00825D43">
      <w:pPr>
        <w:pStyle w:val="Bullet1"/>
        <w:rPr>
          <w:noProof/>
        </w:rPr>
      </w:pPr>
      <w:r w:rsidRPr="00CE5D54">
        <w:rPr>
          <w:noProof/>
        </w:rPr>
        <w:t>respektování nezávislosti občanské společnosti / nevládních organizací.</w:t>
      </w:r>
    </w:p>
    <w:p w:rsidR="00825D43" w:rsidRPr="00CE5D54" w:rsidRDefault="00825D43" w:rsidP="00825D43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/>
        <w:rPr>
          <w:noProof/>
        </w:rPr>
      </w:pPr>
      <w:r w:rsidRPr="00CE5D54">
        <w:rPr>
          <w:noProof/>
        </w:rPr>
        <w:t xml:space="preserve">Cílem tohoto návrhu je proto zrušit rozhodnutí Rady 2016/394, což povede ke zrušení vhodných opatření vymezených v závěrech konzultací podle článku 96 </w:t>
      </w:r>
      <w:r w:rsidRPr="00CE5D54">
        <w:rPr>
          <w:noProof/>
          <w:color w:val="000000" w:themeColor="text1"/>
          <w:szCs w:val="24"/>
        </w:rPr>
        <w:t>dohody o partnerství AKT–EU</w:t>
      </w:r>
      <w:r w:rsidRPr="00CE5D54">
        <w:rPr>
          <w:noProof/>
        </w:rPr>
        <w:t xml:space="preserve">. </w:t>
      </w:r>
    </w:p>
    <w:p w:rsidR="00825D43" w:rsidRPr="00CE5D54" w:rsidRDefault="00825D43" w:rsidP="00825D43">
      <w:pPr>
        <w:pStyle w:val="ManualHeading2"/>
        <w:rPr>
          <w:rFonts w:eastAsia="Arial Unicode MS"/>
          <w:noProof/>
          <w:color w:val="000000" w:themeColor="text1"/>
          <w:szCs w:val="24"/>
          <w:u w:color="000000"/>
          <w:bdr w:val="nil"/>
        </w:rPr>
      </w:pPr>
      <w:r w:rsidRPr="00CE5D54">
        <w:rPr>
          <w:noProof/>
          <w:color w:val="000000" w:themeColor="text1"/>
          <w:szCs w:val="24"/>
          <w:u w:color="000000"/>
          <w:bdr w:val="nil"/>
        </w:rPr>
        <w:t>•</w:t>
      </w:r>
      <w:r w:rsidRPr="00CE5D54">
        <w:rPr>
          <w:noProof/>
        </w:rPr>
        <w:tab/>
      </w:r>
      <w:r w:rsidRPr="00CE5D54">
        <w:rPr>
          <w:noProof/>
          <w:color w:val="000000" w:themeColor="text1"/>
          <w:szCs w:val="24"/>
        </w:rPr>
        <w:t>Soulad s platnými předpisy v této oblasti politiky</w:t>
      </w:r>
    </w:p>
    <w:p w:rsidR="00825D43" w:rsidRPr="00CE5D54" w:rsidRDefault="00825D43" w:rsidP="00825D43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/>
        <w:rPr>
          <w:noProof/>
        </w:rPr>
      </w:pPr>
      <w:r w:rsidRPr="00CE5D54">
        <w:rPr>
          <w:noProof/>
        </w:rPr>
        <w:t>Tento návrh je v souladu s platnými předpisy v této oblasti politiky, konkrétně s:</w:t>
      </w:r>
    </w:p>
    <w:p w:rsidR="00825D43" w:rsidRPr="00CE5D54" w:rsidRDefault="00825D43" w:rsidP="00825D43">
      <w:pPr>
        <w:pStyle w:val="Bullet1"/>
        <w:rPr>
          <w:noProof/>
        </w:rPr>
      </w:pPr>
      <w:r w:rsidRPr="00CE5D54">
        <w:rPr>
          <w:noProof/>
        </w:rPr>
        <w:t>novým Evropským konsensem o rozvoji „Náš svět, naše důstojnost, naše budoucnost“ ze dne 8. června 2017</w:t>
      </w:r>
      <w:r w:rsidRPr="00CE5D54">
        <w:rPr>
          <w:rStyle w:val="FootnoteReference"/>
          <w:rFonts w:eastAsia="Arial Unicode MS"/>
          <w:noProof/>
          <w:szCs w:val="24"/>
        </w:rPr>
        <w:footnoteReference w:id="3"/>
      </w:r>
      <w:r w:rsidRPr="00CE5D54">
        <w:rPr>
          <w:noProof/>
        </w:rPr>
        <w:t>,</w:t>
      </w:r>
    </w:p>
    <w:p w:rsidR="00825D43" w:rsidRPr="00CE5D54" w:rsidRDefault="00825D43" w:rsidP="00825D43">
      <w:pPr>
        <w:pStyle w:val="Bullet1"/>
        <w:rPr>
          <w:noProof/>
        </w:rPr>
      </w:pPr>
      <w:r w:rsidRPr="00CE5D54">
        <w:rPr>
          <w:noProof/>
        </w:rPr>
        <w:t>globální strategií zahraniční a bezpečnostní politiky Evropské unie,</w:t>
      </w:r>
    </w:p>
    <w:p w:rsidR="00825D43" w:rsidRPr="00CE5D54" w:rsidRDefault="00825D43" w:rsidP="00825D43">
      <w:pPr>
        <w:pStyle w:val="Bullet1"/>
        <w:rPr>
          <w:noProof/>
        </w:rPr>
      </w:pPr>
      <w:r w:rsidRPr="00CE5D54">
        <w:rPr>
          <w:noProof/>
        </w:rPr>
        <w:t>společným sdělením Evropskému parlamentu a Radě: Na cestě ke komplexní strategii pro Afriku, 9. března 2020</w:t>
      </w:r>
      <w:r w:rsidRPr="00CE5D54">
        <w:rPr>
          <w:rStyle w:val="FootnoteReference"/>
          <w:rFonts w:eastAsia="Arial Unicode MS"/>
          <w:noProof/>
          <w:szCs w:val="24"/>
        </w:rPr>
        <w:footnoteReference w:id="4"/>
      </w:r>
      <w:r w:rsidRPr="00CE5D54">
        <w:rPr>
          <w:noProof/>
        </w:rPr>
        <w:t>,</w:t>
      </w:r>
    </w:p>
    <w:p w:rsidR="00825D43" w:rsidRPr="00CE5D54" w:rsidRDefault="00825D43" w:rsidP="00825D43">
      <w:pPr>
        <w:pStyle w:val="Bullet1"/>
        <w:rPr>
          <w:noProof/>
        </w:rPr>
      </w:pPr>
      <w:r w:rsidRPr="00CE5D54">
        <w:rPr>
          <w:noProof/>
        </w:rPr>
        <w:t>akčním plánem EU pro lidská práva a demokracii na období 2020–2024</w:t>
      </w:r>
      <w:r w:rsidRPr="00CE5D54">
        <w:rPr>
          <w:rStyle w:val="FootnoteReference"/>
          <w:rFonts w:eastAsia="Arial Unicode MS"/>
          <w:noProof/>
          <w:szCs w:val="24"/>
        </w:rPr>
        <w:footnoteReference w:id="5"/>
      </w:r>
      <w:r w:rsidRPr="00CE5D54">
        <w:rPr>
          <w:noProof/>
        </w:rPr>
        <w:t>,</w:t>
      </w:r>
    </w:p>
    <w:p w:rsidR="00825D43" w:rsidRPr="00CE5D54" w:rsidRDefault="00825D43" w:rsidP="00825D43">
      <w:pPr>
        <w:pStyle w:val="Bullet1"/>
        <w:rPr>
          <w:noProof/>
        </w:rPr>
      </w:pPr>
      <w:r w:rsidRPr="00CE5D54">
        <w:rPr>
          <w:noProof/>
        </w:rPr>
        <w:t>strategickým rámcem EU pro lidská práva a demokracii, 2012</w:t>
      </w:r>
      <w:r w:rsidRPr="00CE5D54">
        <w:rPr>
          <w:rStyle w:val="FootnoteReference"/>
          <w:rFonts w:eastAsia="Arial Unicode MS"/>
          <w:noProof/>
          <w:szCs w:val="24"/>
        </w:rPr>
        <w:footnoteReference w:id="6"/>
      </w:r>
      <w:r w:rsidRPr="00CE5D54">
        <w:rPr>
          <w:noProof/>
        </w:rPr>
        <w:t>,</w:t>
      </w:r>
    </w:p>
    <w:p w:rsidR="00825D43" w:rsidRPr="00CE5D54" w:rsidRDefault="00825D43" w:rsidP="00825D43">
      <w:pPr>
        <w:pStyle w:val="Bullet1"/>
        <w:rPr>
          <w:noProof/>
        </w:rPr>
      </w:pPr>
      <w:r w:rsidRPr="00CE5D54">
        <w:rPr>
          <w:noProof/>
        </w:rPr>
        <w:t>Akčním plánem EU pro rovnost žen a mužů III ze dne 25. listopadu 2020</w:t>
      </w:r>
      <w:r w:rsidRPr="00CE5D54">
        <w:rPr>
          <w:rStyle w:val="FootnoteReference"/>
          <w:rFonts w:eastAsia="Arial Unicode MS"/>
          <w:noProof/>
          <w:szCs w:val="24"/>
        </w:rPr>
        <w:footnoteReference w:id="7"/>
      </w:r>
      <w:r w:rsidRPr="00CE5D54">
        <w:rPr>
          <w:noProof/>
        </w:rPr>
        <w:t>.</w:t>
      </w:r>
    </w:p>
    <w:p w:rsidR="00825D43" w:rsidRPr="00CE5D54" w:rsidRDefault="00825D43" w:rsidP="00825D43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/>
        <w:rPr>
          <w:noProof/>
        </w:rPr>
      </w:pPr>
      <w:r w:rsidRPr="00CE5D54">
        <w:rPr>
          <w:noProof/>
        </w:rPr>
        <w:t>Spolupráce EU se řídí Agendou 2030 a cíli udržitelného rozvoje, Pařížskou dohodou a akčním programem z Addis Abeby.</w:t>
      </w:r>
    </w:p>
    <w:p w:rsidR="00825D43" w:rsidRPr="00CE5D54" w:rsidRDefault="00825D43" w:rsidP="00825D43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/>
        <w:rPr>
          <w:noProof/>
          <w:color w:val="000000" w:themeColor="text1"/>
        </w:rPr>
      </w:pPr>
      <w:r w:rsidRPr="00CE5D54">
        <w:rPr>
          <w:noProof/>
        </w:rPr>
        <w:t>Návrh umožní plné provedení jejich ustanovení, neboť umožní spolupráci s vládou Burundi a zároveň budou prostřednictvím obnoveného stálého politického dialogu i nadále monitorovány obavy.</w:t>
      </w:r>
      <w:r w:rsidR="00CE5D54">
        <w:rPr>
          <w:noProof/>
        </w:rPr>
        <w:t xml:space="preserve"> </w:t>
      </w:r>
    </w:p>
    <w:p w:rsidR="00825D43" w:rsidRPr="00CE5D54" w:rsidRDefault="00825D43" w:rsidP="00825D43">
      <w:pPr>
        <w:pStyle w:val="ManualHeading2"/>
        <w:rPr>
          <w:rFonts w:eastAsia="Arial Unicode MS"/>
          <w:noProof/>
          <w:color w:val="000000" w:themeColor="text1"/>
          <w:szCs w:val="24"/>
        </w:rPr>
      </w:pPr>
      <w:r w:rsidRPr="00CE5D54">
        <w:rPr>
          <w:noProof/>
        </w:rPr>
        <w:t xml:space="preserve"> </w:t>
      </w:r>
      <w:r w:rsidRPr="00CE5D54">
        <w:rPr>
          <w:noProof/>
          <w:color w:val="000000" w:themeColor="text1"/>
          <w:szCs w:val="24"/>
          <w:u w:color="000000"/>
          <w:bdr w:val="nil"/>
        </w:rPr>
        <w:t>•</w:t>
      </w:r>
      <w:r w:rsidRPr="00CE5D54">
        <w:rPr>
          <w:noProof/>
        </w:rPr>
        <w:tab/>
      </w:r>
      <w:r w:rsidRPr="00CE5D54">
        <w:rPr>
          <w:noProof/>
          <w:color w:val="000000" w:themeColor="text1"/>
          <w:szCs w:val="24"/>
        </w:rPr>
        <w:t>Soulad s ostatními politikami Unie</w:t>
      </w:r>
    </w:p>
    <w:p w:rsidR="00825D43" w:rsidRPr="00CE5D54" w:rsidRDefault="00825D43" w:rsidP="00825D43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/>
        <w:rPr>
          <w:rFonts w:eastAsia="Arial Unicode MS"/>
          <w:noProof/>
          <w:color w:val="000000" w:themeColor="text1"/>
          <w:szCs w:val="24"/>
        </w:rPr>
      </w:pPr>
      <w:r w:rsidRPr="00CE5D54">
        <w:rPr>
          <w:noProof/>
        </w:rPr>
        <w:t>Návrh je v souladu s prioritami Komise na období 2019–2024, které se vztahují na vnější činnost: Zelená dohoda, digitální transformace a datové technologie, aliance pro udržitelný růst a důstojná pracovní místa, lepší řízení a správa migrace, migrační partnerství a správa věcí veřejných, mír a bezpečnost. Rovněž je v souladu s globální strategií zahraniční a bezpečnostní politiky Evropské unie z roku 2016.</w:t>
      </w:r>
    </w:p>
    <w:p w:rsidR="00825D43" w:rsidRPr="00CE5D54" w:rsidRDefault="00825D43" w:rsidP="00825D43">
      <w:pPr>
        <w:pStyle w:val="ManualHeading1"/>
        <w:rPr>
          <w:noProof/>
          <w:color w:val="000000" w:themeColor="text1"/>
          <w:szCs w:val="24"/>
        </w:rPr>
      </w:pPr>
      <w:r w:rsidRPr="00CE5D54">
        <w:rPr>
          <w:noProof/>
          <w:color w:val="000000" w:themeColor="text1"/>
          <w:szCs w:val="24"/>
        </w:rPr>
        <w:t>2.</w:t>
      </w:r>
      <w:r w:rsidRPr="00CE5D54">
        <w:rPr>
          <w:noProof/>
        </w:rPr>
        <w:tab/>
      </w:r>
      <w:r w:rsidRPr="00CE5D54">
        <w:rPr>
          <w:noProof/>
          <w:color w:val="000000" w:themeColor="text1"/>
          <w:szCs w:val="24"/>
        </w:rPr>
        <w:t>PRÁVNÍ ZÁKLAD, SUBSIDIARITA A PROPORCIONALITA</w:t>
      </w:r>
    </w:p>
    <w:p w:rsidR="00825D43" w:rsidRPr="00CE5D54" w:rsidRDefault="00825D43" w:rsidP="00825D43">
      <w:pPr>
        <w:pStyle w:val="ManualHeading2"/>
        <w:rPr>
          <w:rFonts w:eastAsia="Arial Unicode MS"/>
          <w:noProof/>
          <w:color w:val="000000" w:themeColor="text1"/>
          <w:szCs w:val="24"/>
          <w:u w:color="000000"/>
          <w:bdr w:val="nil"/>
        </w:rPr>
      </w:pPr>
      <w:r w:rsidRPr="00CE5D54">
        <w:rPr>
          <w:noProof/>
          <w:color w:val="000000" w:themeColor="text1"/>
          <w:szCs w:val="24"/>
          <w:u w:color="000000"/>
          <w:bdr w:val="nil"/>
        </w:rPr>
        <w:t>•</w:t>
      </w:r>
      <w:r w:rsidRPr="00CE5D54">
        <w:rPr>
          <w:noProof/>
        </w:rPr>
        <w:tab/>
      </w:r>
      <w:r w:rsidRPr="00CE5D54">
        <w:rPr>
          <w:noProof/>
          <w:color w:val="000000" w:themeColor="text1"/>
          <w:szCs w:val="24"/>
          <w:u w:color="000000"/>
          <w:bdr w:val="nil"/>
        </w:rPr>
        <w:t>Právní základ</w:t>
      </w:r>
    </w:p>
    <w:p w:rsidR="00825D43" w:rsidRPr="00CE5D54" w:rsidRDefault="00825D43" w:rsidP="00825D43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/>
        <w:rPr>
          <w:noProof/>
        </w:rPr>
      </w:pPr>
      <w:r w:rsidRPr="00CE5D54">
        <w:rPr>
          <w:noProof/>
        </w:rPr>
        <w:t>Článek 3 přílohy vnitřní dohody mezi zástupci vlád členských států, zasedajícími v Radě, o opatřeních, která mají být přijata, a o postupech, které mají být dodrženy při provádění dohody o partnerství AKT–ES</w:t>
      </w:r>
      <w:r w:rsidRPr="00CE5D54">
        <w:rPr>
          <w:rStyle w:val="FootnoteReference"/>
          <w:rFonts w:eastAsia="Arial Unicode MS"/>
          <w:noProof/>
          <w:szCs w:val="24"/>
        </w:rPr>
        <w:footnoteReference w:id="8"/>
      </w:r>
      <w:r w:rsidRPr="00CE5D54">
        <w:rPr>
          <w:noProof/>
        </w:rPr>
        <w:t>, a článek 96 revidované dohody z Cotonou</w:t>
      </w:r>
      <w:r w:rsidRPr="00CE5D54">
        <w:rPr>
          <w:rStyle w:val="FootnoteReference"/>
          <w:rFonts w:eastAsia="Arial Unicode MS"/>
          <w:noProof/>
          <w:szCs w:val="24"/>
        </w:rPr>
        <w:footnoteReference w:id="9"/>
      </w:r>
      <w:r w:rsidRPr="00CE5D54">
        <w:rPr>
          <w:noProof/>
        </w:rPr>
        <w:t>.</w:t>
      </w:r>
    </w:p>
    <w:p w:rsidR="00825D43" w:rsidRPr="00CE5D54" w:rsidRDefault="00825D43" w:rsidP="00825D43">
      <w:pPr>
        <w:pStyle w:val="ManualHeading2"/>
        <w:rPr>
          <w:rFonts w:eastAsia="Arial Unicode MS"/>
          <w:noProof/>
          <w:color w:val="000000" w:themeColor="text1"/>
          <w:szCs w:val="24"/>
          <w:u w:color="000000"/>
          <w:bdr w:val="nil"/>
        </w:rPr>
      </w:pPr>
      <w:r w:rsidRPr="00CE5D54">
        <w:rPr>
          <w:noProof/>
          <w:color w:val="000000" w:themeColor="text1"/>
          <w:szCs w:val="24"/>
          <w:u w:color="000000"/>
          <w:bdr w:val="nil"/>
        </w:rPr>
        <w:t>•</w:t>
      </w:r>
      <w:r w:rsidRPr="00CE5D54">
        <w:rPr>
          <w:noProof/>
        </w:rPr>
        <w:tab/>
      </w:r>
      <w:r w:rsidRPr="00CE5D54">
        <w:rPr>
          <w:noProof/>
          <w:color w:val="000000" w:themeColor="text1"/>
          <w:szCs w:val="24"/>
          <w:u w:color="000000"/>
          <w:bdr w:val="nil"/>
        </w:rPr>
        <w:t>Subsidiarita</w:t>
      </w:r>
    </w:p>
    <w:p w:rsidR="00825D43" w:rsidRPr="00CE5D54" w:rsidRDefault="00825D43" w:rsidP="00825D43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/>
        <w:rPr>
          <w:rFonts w:eastAsia="Arial Unicode MS"/>
          <w:noProof/>
          <w:color w:val="000000" w:themeColor="text1"/>
          <w:szCs w:val="24"/>
        </w:rPr>
      </w:pPr>
      <w:r w:rsidRPr="00CE5D54">
        <w:rPr>
          <w:noProof/>
          <w:color w:val="000000" w:themeColor="text1"/>
          <w:szCs w:val="24"/>
        </w:rPr>
        <w:t>Cílů tohoto návrhu nemůže být dosaženo uspokojivě členskými státy, ale spíše jich z důvodu jejich rozsahu a účinků může být lépe dosaženo na úrovni Unie</w:t>
      </w:r>
      <w:r w:rsidRPr="00CE5D54">
        <w:rPr>
          <w:noProof/>
        </w:rPr>
        <w:t>.</w:t>
      </w:r>
    </w:p>
    <w:p w:rsidR="00825D43" w:rsidRPr="00CE5D54" w:rsidRDefault="00825D43" w:rsidP="00825D43">
      <w:pPr>
        <w:pStyle w:val="ManualHeading2"/>
        <w:rPr>
          <w:rFonts w:eastAsia="Arial Unicode MS"/>
          <w:noProof/>
          <w:color w:val="000000" w:themeColor="text1"/>
          <w:szCs w:val="24"/>
          <w:u w:color="000000"/>
          <w:bdr w:val="nil"/>
        </w:rPr>
      </w:pPr>
      <w:r w:rsidRPr="00CE5D54">
        <w:rPr>
          <w:noProof/>
          <w:color w:val="000000" w:themeColor="text1"/>
          <w:szCs w:val="24"/>
          <w:u w:color="000000"/>
          <w:bdr w:val="nil"/>
        </w:rPr>
        <w:t>•</w:t>
      </w:r>
      <w:r w:rsidRPr="00CE5D54">
        <w:rPr>
          <w:noProof/>
        </w:rPr>
        <w:tab/>
      </w:r>
      <w:r w:rsidRPr="00CE5D54">
        <w:rPr>
          <w:noProof/>
          <w:color w:val="000000" w:themeColor="text1"/>
          <w:szCs w:val="24"/>
          <w:u w:color="000000"/>
          <w:bdr w:val="nil"/>
        </w:rPr>
        <w:t>Proporcionalita</w:t>
      </w:r>
    </w:p>
    <w:p w:rsidR="00825D43" w:rsidRPr="00CE5D54" w:rsidRDefault="00825D43" w:rsidP="00825D43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/>
        <w:rPr>
          <w:rFonts w:eastAsia="Arial Unicode MS"/>
          <w:noProof/>
          <w:color w:val="000000" w:themeColor="text1"/>
          <w:szCs w:val="24"/>
        </w:rPr>
      </w:pPr>
      <w:r w:rsidRPr="00CE5D54">
        <w:rPr>
          <w:noProof/>
          <w:color w:val="000000" w:themeColor="text1"/>
          <w:szCs w:val="24"/>
        </w:rPr>
        <w:t>Tato iniciativa sleduje cíl Unie ve vnější činnosti a přispívá k politické prioritě týkající se „silnější pozice EU na mezinárodní scéně“. Je v souladu s ustanoveními politiky EU v této oblasti politiky, jakož i s dalšími příslušnými politikami Unie. Zrušením tohoto rozhodnutí bude možné obnovit běžné vztahy mezi EU a Burundi a s využitím celé škály nástrojů partnerství, které má k dispozici, bude EU společně s dalšími mezinárodními partnery podporovat pokračující úsilí burundské vlády o stabilizaci a konsolidaci demokratických institucí, prosazování lidských práv, řádné správy věcí veřejných a právního státu a plnění závazků přijatých v rámci cestovní mapy („</w:t>
      </w:r>
      <w:r w:rsidRPr="00CE5D54">
        <w:rPr>
          <w:i/>
          <w:iCs/>
          <w:noProof/>
          <w:color w:val="000000" w:themeColor="text1"/>
          <w:szCs w:val="24"/>
        </w:rPr>
        <w:t>Feuille de route</w:t>
      </w:r>
      <w:r w:rsidRPr="00CE5D54">
        <w:rPr>
          <w:noProof/>
          <w:color w:val="000000" w:themeColor="text1"/>
          <w:szCs w:val="24"/>
        </w:rPr>
        <w:t>“) za účelem dalších zlepšení v těchto oblastech, a to při zapojení do politického dialogu, který podpoří vzájemnou odpovědnost.</w:t>
      </w:r>
    </w:p>
    <w:p w:rsidR="00825D43" w:rsidRPr="00CE5D54" w:rsidRDefault="00825D43" w:rsidP="00825D43">
      <w:pPr>
        <w:pStyle w:val="ManualHeading2"/>
        <w:rPr>
          <w:rFonts w:eastAsia="Arial Unicode MS"/>
          <w:noProof/>
          <w:color w:val="000000" w:themeColor="text1"/>
          <w:szCs w:val="24"/>
          <w:u w:color="000000"/>
          <w:bdr w:val="nil"/>
        </w:rPr>
      </w:pPr>
      <w:r w:rsidRPr="00CE5D54">
        <w:rPr>
          <w:noProof/>
          <w:color w:val="000000" w:themeColor="text1"/>
          <w:szCs w:val="24"/>
          <w:u w:color="000000"/>
          <w:bdr w:val="nil"/>
        </w:rPr>
        <w:t>•</w:t>
      </w:r>
      <w:r w:rsidRPr="00CE5D54">
        <w:rPr>
          <w:noProof/>
        </w:rPr>
        <w:tab/>
      </w:r>
      <w:r w:rsidRPr="00CE5D54">
        <w:rPr>
          <w:noProof/>
          <w:color w:val="000000" w:themeColor="text1"/>
          <w:szCs w:val="24"/>
          <w:u w:color="000000"/>
          <w:bdr w:val="nil"/>
        </w:rPr>
        <w:t>Volba nástroje</w:t>
      </w:r>
    </w:p>
    <w:p w:rsidR="00825D43" w:rsidRPr="00CE5D54" w:rsidRDefault="00825D43" w:rsidP="00825D43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/>
        <w:rPr>
          <w:rFonts w:eastAsia="Arial Unicode MS"/>
          <w:noProof/>
          <w:color w:val="000000" w:themeColor="text1"/>
          <w:szCs w:val="24"/>
        </w:rPr>
      </w:pPr>
      <w:r w:rsidRPr="00CE5D54">
        <w:rPr>
          <w:noProof/>
          <w:color w:val="000000" w:themeColor="text1"/>
          <w:szCs w:val="24"/>
        </w:rPr>
        <w:t>Návrh předkládá Komise, po dohodě s vysokým představitelem Unie pro zahraniční věci a bezpečnostní politiku, v návaznosti na postup zvolený pro přijetí vhodných opatření uvedených v příloze rozhodnutí Rady 2016/394. Neexistuje žádný jiný právní nástroj, který by mohl být použit za účelem dosažení cíle vyjádřeného v tomto návrhu.</w:t>
      </w:r>
    </w:p>
    <w:p w:rsidR="00825D43" w:rsidRPr="00CE5D54" w:rsidRDefault="00825D43" w:rsidP="00825D43">
      <w:pPr>
        <w:pStyle w:val="ManualHeading1"/>
        <w:rPr>
          <w:noProof/>
          <w:color w:val="000000" w:themeColor="text1"/>
          <w:szCs w:val="24"/>
        </w:rPr>
      </w:pPr>
      <w:r w:rsidRPr="00CE5D54">
        <w:rPr>
          <w:noProof/>
          <w:color w:val="000000" w:themeColor="text1"/>
          <w:szCs w:val="24"/>
        </w:rPr>
        <w:t>3.</w:t>
      </w:r>
      <w:r w:rsidRPr="00CE5D54">
        <w:rPr>
          <w:noProof/>
        </w:rPr>
        <w:tab/>
      </w:r>
      <w:r w:rsidRPr="00CE5D54">
        <w:rPr>
          <w:noProof/>
          <w:color w:val="000000" w:themeColor="text1"/>
          <w:szCs w:val="24"/>
        </w:rPr>
        <w:t xml:space="preserve">VÝSLEDKY HODNOCENÍ </w:t>
      </w:r>
      <w:r w:rsidRPr="00CE5D54">
        <w:rPr>
          <w:i/>
          <w:noProof/>
          <w:color w:val="000000" w:themeColor="text1"/>
          <w:szCs w:val="24"/>
        </w:rPr>
        <w:t>EX POST</w:t>
      </w:r>
      <w:r w:rsidRPr="00CE5D54">
        <w:rPr>
          <w:noProof/>
          <w:color w:val="000000" w:themeColor="text1"/>
          <w:szCs w:val="24"/>
        </w:rPr>
        <w:t>, KONZULTACÍ SE ZÚČASTNĚNÝMI STRANAMI A POSOUZENÍ DOPADŮ</w:t>
      </w:r>
    </w:p>
    <w:p w:rsidR="00825D43" w:rsidRPr="00CE5D54" w:rsidRDefault="00825D43" w:rsidP="00825D43">
      <w:pPr>
        <w:pStyle w:val="ManualHeading2"/>
        <w:rPr>
          <w:rFonts w:eastAsia="Arial Unicode MS"/>
          <w:noProof/>
          <w:color w:val="000000" w:themeColor="text1"/>
          <w:szCs w:val="24"/>
          <w:u w:color="000000"/>
          <w:bdr w:val="nil"/>
        </w:rPr>
      </w:pPr>
      <w:r w:rsidRPr="00CE5D54">
        <w:rPr>
          <w:noProof/>
          <w:color w:val="000000" w:themeColor="text1"/>
          <w:szCs w:val="24"/>
          <w:u w:color="000000"/>
          <w:bdr w:val="nil"/>
        </w:rPr>
        <w:t>•</w:t>
      </w:r>
      <w:r w:rsidRPr="00CE5D54">
        <w:rPr>
          <w:noProof/>
        </w:rPr>
        <w:tab/>
      </w:r>
      <w:r w:rsidRPr="00CE5D54">
        <w:rPr>
          <w:noProof/>
          <w:color w:val="000000" w:themeColor="text1"/>
          <w:szCs w:val="24"/>
          <w:u w:color="000000"/>
          <w:bdr w:val="nil"/>
        </w:rPr>
        <w:t xml:space="preserve">Hodnocení </w:t>
      </w:r>
      <w:r w:rsidRPr="00CE5D54">
        <w:rPr>
          <w:i/>
          <w:noProof/>
          <w:color w:val="000000" w:themeColor="text1"/>
          <w:szCs w:val="24"/>
          <w:u w:color="000000"/>
          <w:bdr w:val="nil"/>
        </w:rPr>
        <w:t>ex post</w:t>
      </w:r>
      <w:r w:rsidRPr="00CE5D54">
        <w:rPr>
          <w:noProof/>
          <w:color w:val="000000" w:themeColor="text1"/>
          <w:szCs w:val="24"/>
          <w:u w:color="000000"/>
          <w:bdr w:val="nil"/>
        </w:rPr>
        <w:t xml:space="preserve"> / kontroly účelnosti platných právních předpisů</w:t>
      </w:r>
    </w:p>
    <w:p w:rsidR="00825D43" w:rsidRPr="00CE5D54" w:rsidRDefault="00825D43" w:rsidP="00825D43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/>
        <w:rPr>
          <w:rFonts w:eastAsia="Arial Unicode MS"/>
          <w:noProof/>
          <w:color w:val="000000" w:themeColor="text1"/>
          <w:szCs w:val="24"/>
        </w:rPr>
      </w:pPr>
      <w:r w:rsidRPr="00CE5D54">
        <w:rPr>
          <w:noProof/>
        </w:rPr>
        <w:t>Nevztahuje se na tento návrh.</w:t>
      </w:r>
    </w:p>
    <w:p w:rsidR="00825D43" w:rsidRPr="00CE5D54" w:rsidRDefault="00825D43" w:rsidP="00825D43">
      <w:pPr>
        <w:pStyle w:val="ManualHeading2"/>
        <w:rPr>
          <w:noProof/>
        </w:rPr>
      </w:pPr>
      <w:r w:rsidRPr="00CE5D54">
        <w:rPr>
          <w:noProof/>
          <w:color w:val="000000" w:themeColor="text1"/>
          <w:szCs w:val="24"/>
          <w:u w:color="000000"/>
          <w:bdr w:val="nil"/>
        </w:rPr>
        <w:t>•</w:t>
      </w:r>
      <w:r w:rsidRPr="00CE5D54">
        <w:rPr>
          <w:noProof/>
        </w:rPr>
        <w:tab/>
      </w:r>
      <w:r w:rsidRPr="00CE5D54">
        <w:rPr>
          <w:noProof/>
          <w:color w:val="000000" w:themeColor="text1"/>
          <w:szCs w:val="24"/>
          <w:u w:color="000000"/>
          <w:bdr w:val="nil"/>
        </w:rPr>
        <w:t>Konzultace se zúčastněnými stranami</w:t>
      </w:r>
    </w:p>
    <w:p w:rsidR="00825D43" w:rsidRPr="00CE5D54" w:rsidRDefault="00825D43" w:rsidP="00825D43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/>
        <w:rPr>
          <w:noProof/>
        </w:rPr>
      </w:pPr>
      <w:r w:rsidRPr="00CE5D54">
        <w:rPr>
          <w:noProof/>
        </w:rPr>
        <w:t>Tento návrh byl iniciován s ohledem na výše uvedenou zprávu vedoucích mise EU v Burundi, která byla dne 25. května 2021 projednána v Pracovní skupině pro Afriku (COAFR) a dne 28. května 2021 v Pracovní skupině pro africké, karibské a tichomořské státy (Pracovní skupina pro AKT). Delegáti Pracovní skupiny pro Afriku uznali pozitivní vývoj a vyjádřili se pro zrušení vhodných opatření, přičemž zdůraznili, že je důležité i nadále povzbuzovat burundskou vládu k dalšímu pokroku v oblasti lidských práv, právního státu a správy věcí veřejných. Delegáti Pracovní skupiny pro AKT vyjádřili podporu výsledku jednání Pracovní skupiny pro Afriku a vyzvedli důležitost zachování omezujících opatření</w:t>
      </w:r>
      <w:r w:rsidRPr="00CE5D54">
        <w:rPr>
          <w:rStyle w:val="FootnoteReference"/>
          <w:rFonts w:eastAsia="Arial Unicode MS"/>
          <w:noProof/>
          <w:szCs w:val="24"/>
        </w:rPr>
        <w:footnoteReference w:id="10"/>
      </w:r>
      <w:r w:rsidRPr="00CE5D54">
        <w:rPr>
          <w:noProof/>
        </w:rPr>
        <w:t xml:space="preserve"> týkajících se relevantních jednotlivců za účelem usnadnění dalšího pokroku.</w:t>
      </w:r>
    </w:p>
    <w:p w:rsidR="00825D43" w:rsidRPr="00CE5D54" w:rsidRDefault="00825D43" w:rsidP="00825D43">
      <w:pPr>
        <w:pStyle w:val="ManualHeading2"/>
        <w:rPr>
          <w:rFonts w:eastAsia="Arial Unicode MS"/>
          <w:noProof/>
          <w:color w:val="000000" w:themeColor="text1"/>
          <w:szCs w:val="24"/>
          <w:u w:color="000000"/>
          <w:bdr w:val="nil"/>
        </w:rPr>
      </w:pPr>
      <w:r w:rsidRPr="00CE5D54">
        <w:rPr>
          <w:noProof/>
          <w:color w:val="000000" w:themeColor="text1"/>
          <w:szCs w:val="24"/>
          <w:u w:color="000000"/>
          <w:bdr w:val="nil"/>
        </w:rPr>
        <w:t>•</w:t>
      </w:r>
      <w:r w:rsidRPr="00CE5D54">
        <w:rPr>
          <w:noProof/>
        </w:rPr>
        <w:tab/>
      </w:r>
      <w:r w:rsidRPr="00CE5D54">
        <w:rPr>
          <w:noProof/>
          <w:color w:val="000000" w:themeColor="text1"/>
          <w:szCs w:val="24"/>
          <w:u w:color="000000"/>
          <w:bdr w:val="nil"/>
        </w:rPr>
        <w:t>Posouzení dopadů</w:t>
      </w:r>
    </w:p>
    <w:p w:rsidR="00825D43" w:rsidRPr="00CE5D54" w:rsidRDefault="00825D43" w:rsidP="00825D43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/>
        <w:rPr>
          <w:noProof/>
          <w:color w:val="000000" w:themeColor="text1"/>
        </w:rPr>
      </w:pPr>
      <w:r w:rsidRPr="00CE5D54">
        <w:rPr>
          <w:noProof/>
        </w:rPr>
        <w:t xml:space="preserve">Očekává se, že zrušení vhodných opatření povede k budování důvěry mezi EU a Burundi a k normalizaci vztahů; mohlo by přispět k posílení pozitivních sil v rámci burundských mocenských struktur; umožnit politický dialog o citlivých tématech, zvýšit vliv EU a posílit postavení EU v Burundi ve vztahu k dalším globálním aktérům. </w:t>
      </w:r>
    </w:p>
    <w:p w:rsidR="00825D43" w:rsidRPr="00CE5D54" w:rsidRDefault="00825D43" w:rsidP="00825D43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/>
        <w:rPr>
          <w:noProof/>
        </w:rPr>
      </w:pPr>
      <w:r w:rsidRPr="00CE5D54">
        <w:rPr>
          <w:noProof/>
        </w:rPr>
        <w:t>Zrušení vhodných opatření umožní využít pákový efekt, který nabízí víceleté orientační plánování na období 2021–2027, jako pobídku k dalším zlepšením v oblasti lidských práv, právního státu a správy věcí veřejných.</w:t>
      </w:r>
      <w:r w:rsidR="00CE5D54">
        <w:rPr>
          <w:noProof/>
        </w:rPr>
        <w:t xml:space="preserve"> </w:t>
      </w:r>
    </w:p>
    <w:p w:rsidR="00825D43" w:rsidRPr="00CE5D54" w:rsidRDefault="00825D43" w:rsidP="00825D43">
      <w:pPr>
        <w:pStyle w:val="ManualHeading2"/>
        <w:rPr>
          <w:rFonts w:eastAsia="Arial Unicode MS"/>
          <w:noProof/>
          <w:color w:val="000000" w:themeColor="text1"/>
          <w:szCs w:val="24"/>
          <w:u w:color="000000"/>
          <w:bdr w:val="nil"/>
        </w:rPr>
      </w:pPr>
      <w:r w:rsidRPr="00CE5D54">
        <w:rPr>
          <w:noProof/>
          <w:color w:val="000000" w:themeColor="text1"/>
          <w:szCs w:val="24"/>
          <w:u w:color="000000"/>
          <w:bdr w:val="nil"/>
        </w:rPr>
        <w:t>•</w:t>
      </w:r>
      <w:r w:rsidRPr="00CE5D54">
        <w:rPr>
          <w:noProof/>
        </w:rPr>
        <w:tab/>
      </w:r>
      <w:r w:rsidRPr="00CE5D54">
        <w:rPr>
          <w:noProof/>
          <w:color w:val="000000" w:themeColor="text1"/>
          <w:szCs w:val="24"/>
          <w:u w:color="000000"/>
          <w:bdr w:val="nil"/>
        </w:rPr>
        <w:t>Základní práva</w:t>
      </w:r>
    </w:p>
    <w:p w:rsidR="00825D43" w:rsidRPr="00CE5D54" w:rsidRDefault="00825D43" w:rsidP="00825D43">
      <w:pPr>
        <w:autoSpaceDE w:val="0"/>
        <w:autoSpaceDN w:val="0"/>
        <w:adjustRightInd w:val="0"/>
        <w:spacing w:after="14"/>
        <w:rPr>
          <w:noProof/>
        </w:rPr>
      </w:pPr>
      <w:r w:rsidRPr="00CE5D54">
        <w:rPr>
          <w:noProof/>
        </w:rPr>
        <w:t>Kromě toho budou podle rozhodnutí Rady 2015/1763</w:t>
      </w:r>
      <w:r w:rsidRPr="00CE5D54">
        <w:rPr>
          <w:rStyle w:val="FootnoteReference"/>
          <w:rFonts w:eastAsia="Arial Unicode MS"/>
          <w:noProof/>
          <w:szCs w:val="24"/>
        </w:rPr>
        <w:footnoteReference w:id="11"/>
      </w:r>
      <w:r w:rsidRPr="00CE5D54">
        <w:rPr>
          <w:noProof/>
        </w:rPr>
        <w:t xml:space="preserve"> pokračovat omezující opatření vůči osobám, subjektům či orgánům, které narušují demokracii nebo brání snahám o hledání politického řešení v Burundi. </w:t>
      </w:r>
    </w:p>
    <w:p w:rsidR="00825D43" w:rsidRPr="00CE5D54" w:rsidRDefault="00825D43" w:rsidP="00825D43">
      <w:pPr>
        <w:pStyle w:val="ManualHeading1"/>
        <w:rPr>
          <w:noProof/>
          <w:color w:val="000000" w:themeColor="text1"/>
          <w:szCs w:val="24"/>
        </w:rPr>
      </w:pPr>
      <w:r w:rsidRPr="00CE5D54">
        <w:rPr>
          <w:noProof/>
          <w:color w:val="000000" w:themeColor="text1"/>
          <w:szCs w:val="24"/>
        </w:rPr>
        <w:t>4.</w:t>
      </w:r>
      <w:r w:rsidRPr="00CE5D54">
        <w:rPr>
          <w:noProof/>
        </w:rPr>
        <w:tab/>
      </w:r>
      <w:r w:rsidRPr="00CE5D54">
        <w:rPr>
          <w:noProof/>
          <w:color w:val="000000" w:themeColor="text1"/>
          <w:szCs w:val="24"/>
        </w:rPr>
        <w:t>ROZPOČTOVÉ DŮSLEDKY</w:t>
      </w:r>
    </w:p>
    <w:p w:rsidR="00825D43" w:rsidRPr="00CE5D54" w:rsidRDefault="00825D43" w:rsidP="00825D43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/>
        <w:rPr>
          <w:noProof/>
        </w:rPr>
      </w:pPr>
      <w:r w:rsidRPr="00CE5D54">
        <w:rPr>
          <w:noProof/>
        </w:rPr>
        <w:t>Návrh nemá žádné rozpočtové důsledky.</w:t>
      </w:r>
    </w:p>
    <w:p w:rsidR="00825D43" w:rsidRPr="00CE5D54" w:rsidRDefault="00825D43" w:rsidP="00825D43">
      <w:pPr>
        <w:pStyle w:val="ManualHeading1"/>
        <w:rPr>
          <w:noProof/>
          <w:color w:val="000000" w:themeColor="text1"/>
          <w:szCs w:val="24"/>
        </w:rPr>
      </w:pPr>
      <w:r w:rsidRPr="00CE5D54">
        <w:rPr>
          <w:noProof/>
          <w:color w:val="000000" w:themeColor="text1"/>
          <w:szCs w:val="24"/>
        </w:rPr>
        <w:t>5.</w:t>
      </w:r>
      <w:r w:rsidRPr="00CE5D54">
        <w:rPr>
          <w:noProof/>
        </w:rPr>
        <w:tab/>
      </w:r>
      <w:r w:rsidRPr="00CE5D54">
        <w:rPr>
          <w:noProof/>
          <w:color w:val="000000" w:themeColor="text1"/>
          <w:szCs w:val="24"/>
        </w:rPr>
        <w:t>OSTATNÍ PRVKY</w:t>
      </w:r>
    </w:p>
    <w:p w:rsidR="00825D43" w:rsidRPr="00CE5D54" w:rsidRDefault="00825D43" w:rsidP="00825D43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/>
        <w:rPr>
          <w:noProof/>
        </w:rPr>
      </w:pPr>
      <w:r w:rsidRPr="00CE5D54">
        <w:rPr>
          <w:noProof/>
        </w:rPr>
        <w:t xml:space="preserve">Ačkoli tento návrh předpokládá zrušení vhodných opatření uvedených v příloze rozhodnutí Rady 2016/394, omezující opatření podle rozhodnutí Rady 2015/1763 zůstávají v platnosti a v příslušném případě budou v souladu se zmíněným rozhodnutím přezkoumána. </w:t>
      </w:r>
    </w:p>
    <w:p w:rsidR="00825D43" w:rsidRPr="00CE5D54" w:rsidRDefault="00825D43" w:rsidP="00825D43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/>
        <w:rPr>
          <w:noProof/>
        </w:rPr>
      </w:pPr>
      <w:r w:rsidRPr="00CE5D54">
        <w:rPr>
          <w:noProof/>
        </w:rPr>
        <w:t>Delegáti Pracovní skupiny pro Afriku vyzvali k diskusi o budoucnosti vyšetřovací komise OSN pro Burundi. Po této diskusi se Rada OSN pro lidská práva na základě rezoluce prosazované EU</w:t>
      </w:r>
      <w:r w:rsidRPr="00CE5D54">
        <w:rPr>
          <w:rStyle w:val="FootnoteReference"/>
          <w:rFonts w:eastAsia="Arial Unicode MS"/>
          <w:noProof/>
          <w:szCs w:val="24"/>
        </w:rPr>
        <w:footnoteReference w:id="12"/>
      </w:r>
      <w:r w:rsidRPr="00CE5D54">
        <w:rPr>
          <w:noProof/>
        </w:rPr>
        <w:t xml:space="preserve"> rozhodla zřídit monitorovací mandát pro danou zemi v podobě zvláštního zpravodaje pro situaci v oblasti lidských práv v Burundi, navazující na práci odvedenou vyšetřovací komisí.</w:t>
      </w:r>
    </w:p>
    <w:p w:rsidR="00CD3D32" w:rsidRPr="00CE5D54" w:rsidRDefault="00CD3D32" w:rsidP="00FD40BA">
      <w:pPr>
        <w:rPr>
          <w:noProof/>
        </w:rPr>
        <w:sectPr w:rsidR="00CD3D32" w:rsidRPr="00CE5D54" w:rsidSect="007E0D4E">
          <w:footerReference w:type="default" r:id="rId9"/>
          <w:footerReference w:type="first" r:id="rId10"/>
          <w:pgSz w:w="11907" w:h="16839"/>
          <w:pgMar w:top="1134" w:right="1417" w:bottom="1134" w:left="1417" w:header="709" w:footer="709" w:gutter="0"/>
          <w:cols w:space="708"/>
          <w:docGrid w:linePitch="360"/>
        </w:sectPr>
      </w:pPr>
    </w:p>
    <w:p w:rsidR="00E52500" w:rsidRDefault="00E52500" w:rsidP="00E52500">
      <w:pPr>
        <w:pStyle w:val="Rfrenceinterinstitutionnelle"/>
        <w:rPr>
          <w:noProof/>
        </w:rPr>
      </w:pPr>
      <w:r w:rsidRPr="00E52500">
        <w:t>2021/0439 (NLE)</w:t>
      </w:r>
    </w:p>
    <w:p w:rsidR="00CD3D32" w:rsidRPr="00CE5D54" w:rsidRDefault="00D262A5" w:rsidP="00D262A5">
      <w:pPr>
        <w:pStyle w:val="Statut"/>
        <w:rPr>
          <w:noProof/>
        </w:rPr>
      </w:pPr>
      <w:r w:rsidRPr="00D262A5">
        <w:rPr>
          <w:noProof/>
        </w:rPr>
        <w:t>Návrh</w:t>
      </w:r>
    </w:p>
    <w:p w:rsidR="00CD3D32" w:rsidRPr="00CE5D54" w:rsidRDefault="00D262A5" w:rsidP="00D262A5">
      <w:pPr>
        <w:pStyle w:val="Typedudocument"/>
        <w:rPr>
          <w:noProof/>
        </w:rPr>
      </w:pPr>
      <w:r w:rsidRPr="00D262A5">
        <w:rPr>
          <w:noProof/>
        </w:rPr>
        <w:t>ROZHODNUTÍ RADY,</w:t>
      </w:r>
    </w:p>
    <w:p w:rsidR="00CD3D32" w:rsidRPr="00CE5D54" w:rsidRDefault="00D262A5" w:rsidP="00D262A5">
      <w:pPr>
        <w:pStyle w:val="Titreobjet"/>
        <w:rPr>
          <w:noProof/>
        </w:rPr>
      </w:pPr>
      <w:r w:rsidRPr="00D262A5">
        <w:rPr>
          <w:noProof/>
        </w:rPr>
        <w:t>kterým se jménem Unie zrušuje rozhodnutí Rady (EU) 2016/394 o uzavření konzultací s Republikou Burundi podle článku 96 Dohody o partnerství mezi členy skupiny afrických, karibských a tichomořských států na jedné straně a Evropským společenstvím a jeho členskými státy na straně druhé</w:t>
      </w:r>
    </w:p>
    <w:p w:rsidR="00CD3D32" w:rsidRPr="00CE5D54" w:rsidRDefault="00CD3D32" w:rsidP="00197315">
      <w:pPr>
        <w:pStyle w:val="Institutionquiagit"/>
        <w:rPr>
          <w:noProof/>
        </w:rPr>
      </w:pPr>
      <w:r w:rsidRPr="00CE5D54">
        <w:rPr>
          <w:noProof/>
        </w:rPr>
        <w:t>RADA EVROPSKÉ UNIE,</w:t>
      </w:r>
    </w:p>
    <w:p w:rsidR="00825D43" w:rsidRPr="00CE5D54" w:rsidRDefault="00825D43" w:rsidP="00825D43">
      <w:pPr>
        <w:rPr>
          <w:noProof/>
        </w:rPr>
      </w:pPr>
      <w:r w:rsidRPr="00CE5D54">
        <w:rPr>
          <w:noProof/>
        </w:rPr>
        <w:t>s ohledem na Smlouvu o Evropské unii,</w:t>
      </w:r>
    </w:p>
    <w:p w:rsidR="00825D43" w:rsidRPr="00CE5D54" w:rsidRDefault="00825D43" w:rsidP="00825D43">
      <w:pPr>
        <w:rPr>
          <w:noProof/>
        </w:rPr>
      </w:pPr>
      <w:r w:rsidRPr="00CE5D54">
        <w:rPr>
          <w:noProof/>
        </w:rPr>
        <w:t xml:space="preserve">s ohledem na Smlouvu o fungování Evropské unie, </w:t>
      </w:r>
    </w:p>
    <w:p w:rsidR="00825D43" w:rsidRPr="00CE5D54" w:rsidRDefault="00825D43" w:rsidP="00825D43">
      <w:pPr>
        <w:rPr>
          <w:noProof/>
        </w:rPr>
      </w:pPr>
      <w:r w:rsidRPr="00CE5D54">
        <w:rPr>
          <w:noProof/>
        </w:rPr>
        <w:t>s ohledem na Dohodu o partnerství mezi členy skupiny afrických, karibských a tichomořských států na jedné straně a Evropským společenstvím a jeho členskými státy na straně druhé, podepsanou v Cotonou dne 23. června 2000 (dále jen „dohoda z Cotonou“), a zejména na čl. 96 odst. 2 písm. a) čtvrtý pododstavec uvedené dohody</w:t>
      </w:r>
      <w:r w:rsidRPr="00CE5D54">
        <w:rPr>
          <w:rStyle w:val="FootnoteReference"/>
          <w:noProof/>
        </w:rPr>
        <w:footnoteReference w:id="13"/>
      </w:r>
      <w:r w:rsidRPr="00CE5D54">
        <w:rPr>
          <w:noProof/>
        </w:rPr>
        <w:t>,</w:t>
      </w:r>
    </w:p>
    <w:p w:rsidR="00825D43" w:rsidRPr="00CE5D54" w:rsidRDefault="00825D43" w:rsidP="00825D43">
      <w:pPr>
        <w:rPr>
          <w:noProof/>
        </w:rPr>
      </w:pPr>
      <w:r w:rsidRPr="00CE5D54">
        <w:rPr>
          <w:noProof/>
        </w:rPr>
        <w:t>s ohledem na vnitřní dohodu mezi zástupci vlád členských států, zasedajícími v Radě, o opatřeních, která mají být přijata, a o postupech, které mají být dodrženy při provádění dohody z Cotonou, a zejména na článek 3 uvedené dohody</w:t>
      </w:r>
      <w:r w:rsidRPr="00CE5D54">
        <w:rPr>
          <w:rStyle w:val="FootnoteReference"/>
          <w:noProof/>
        </w:rPr>
        <w:footnoteReference w:id="14"/>
      </w:r>
      <w:r w:rsidRPr="00CE5D54">
        <w:rPr>
          <w:noProof/>
        </w:rPr>
        <w:t>,</w:t>
      </w:r>
    </w:p>
    <w:p w:rsidR="00825D43" w:rsidRPr="00CE5D54" w:rsidRDefault="00825D43" w:rsidP="00825D43">
      <w:pPr>
        <w:rPr>
          <w:noProof/>
        </w:rPr>
      </w:pPr>
      <w:r w:rsidRPr="00CE5D54">
        <w:rPr>
          <w:noProof/>
        </w:rPr>
        <w:t xml:space="preserve">s ohledem na návrh </w:t>
      </w:r>
      <w:r w:rsidRPr="00CE5D54">
        <w:rPr>
          <w:noProof/>
          <w:color w:val="000000"/>
          <w:sz w:val="23"/>
          <w:szCs w:val="23"/>
        </w:rPr>
        <w:t>Komise</w:t>
      </w:r>
      <w:r w:rsidRPr="00CE5D54">
        <w:rPr>
          <w:noProof/>
        </w:rPr>
        <w:t>,</w:t>
      </w:r>
      <w:r w:rsidRPr="00CE5D54">
        <w:rPr>
          <w:noProof/>
          <w:color w:val="000000"/>
          <w:sz w:val="23"/>
          <w:szCs w:val="23"/>
        </w:rPr>
        <w:t xml:space="preserve"> </w:t>
      </w:r>
    </w:p>
    <w:p w:rsidR="00825D43" w:rsidRPr="00CE5D54" w:rsidRDefault="00825D43" w:rsidP="00825D43">
      <w:pPr>
        <w:rPr>
          <w:noProof/>
        </w:rPr>
      </w:pPr>
      <w:r w:rsidRPr="00CE5D54">
        <w:rPr>
          <w:noProof/>
        </w:rPr>
        <w:t>vzhledem k těmto důvodům:</w:t>
      </w:r>
    </w:p>
    <w:p w:rsidR="00825D43" w:rsidRPr="00CE5D54" w:rsidRDefault="002F7C41" w:rsidP="002F7C41">
      <w:pPr>
        <w:pStyle w:val="ManualConsidrant"/>
        <w:rPr>
          <w:noProof/>
        </w:rPr>
      </w:pPr>
      <w:r w:rsidRPr="002F7C41">
        <w:t>(1)</w:t>
      </w:r>
      <w:r w:rsidRPr="002F7C41">
        <w:tab/>
      </w:r>
      <w:r w:rsidR="00825D43" w:rsidRPr="00CE5D54">
        <w:rPr>
          <w:noProof/>
        </w:rPr>
        <w:t>Konzultace s Republikou Burundi podle článku 96 Dohody o partnerství mezi členy skupiny afrických, karibských a tichomořských států na jedné straně a Evropským společenstvím a jeho členskými státy na straně druhé, podepsané v Cotonou dne 23. června 2000, pozměněné</w:t>
      </w:r>
      <w:r w:rsidR="00825D43" w:rsidRPr="00CE5D54">
        <w:rPr>
          <w:rStyle w:val="FootnoteReference"/>
          <w:noProof/>
        </w:rPr>
        <w:footnoteReference w:id="15"/>
      </w:r>
      <w:r w:rsidR="00825D43" w:rsidRPr="00CE5D54">
        <w:rPr>
          <w:noProof/>
        </w:rPr>
        <w:t xml:space="preserve"> a prodloužené</w:t>
      </w:r>
      <w:r w:rsidR="00825D43" w:rsidRPr="00CE5D54">
        <w:rPr>
          <w:rStyle w:val="FootnoteReference"/>
          <w:noProof/>
        </w:rPr>
        <w:footnoteReference w:id="16"/>
      </w:r>
      <w:r w:rsidR="00825D43" w:rsidRPr="00CE5D54">
        <w:rPr>
          <w:noProof/>
        </w:rPr>
        <w:t>, byly uzavřeny rozhodnutím Rady (EU) 2016/394</w:t>
      </w:r>
      <w:r w:rsidR="00825D43" w:rsidRPr="00CE5D54">
        <w:rPr>
          <w:rStyle w:val="FootnoteReference"/>
          <w:noProof/>
        </w:rPr>
        <w:footnoteReference w:id="17"/>
      </w:r>
      <w:r w:rsidR="00825D43" w:rsidRPr="00CE5D54">
        <w:rPr>
          <w:noProof/>
        </w:rPr>
        <w:t xml:space="preserve"> a byla přijata vhodná opatření, uvedená v příloze zmíněného rozhodnutí, v návaznosti na návrh Komise po dohodě s vysokým představitelem Unie pro zahraniční věci a bezpečnostní politiku.</w:t>
      </w:r>
    </w:p>
    <w:p w:rsidR="00825D43" w:rsidRPr="00CE5D54" w:rsidRDefault="002F7C41" w:rsidP="002F7C41">
      <w:pPr>
        <w:pStyle w:val="ManualConsidrant"/>
        <w:rPr>
          <w:noProof/>
        </w:rPr>
      </w:pPr>
      <w:r w:rsidRPr="002F7C41">
        <w:t>(2)</w:t>
      </w:r>
      <w:r w:rsidRPr="002F7C41">
        <w:tab/>
      </w:r>
      <w:r w:rsidR="00825D43" w:rsidRPr="00CE5D54">
        <w:rPr>
          <w:noProof/>
        </w:rPr>
        <w:t xml:space="preserve">Pokojná politická transformace, kterou umožnily všeobecné volby z května 2020, obecně přinesla novou naději pro obyvatelstvo a nové příležitosti pro Burundi i pro jeho vztahy s partnery. </w:t>
      </w:r>
    </w:p>
    <w:p w:rsidR="00825D43" w:rsidRPr="00CE5D54" w:rsidRDefault="002F7C41" w:rsidP="002F7C41">
      <w:pPr>
        <w:pStyle w:val="ManualConsidrant"/>
        <w:rPr>
          <w:noProof/>
        </w:rPr>
      </w:pPr>
      <w:r w:rsidRPr="002F7C41">
        <w:t>(3)</w:t>
      </w:r>
      <w:r w:rsidRPr="002F7C41">
        <w:tab/>
      </w:r>
      <w:r w:rsidR="00825D43" w:rsidRPr="00CE5D54">
        <w:rPr>
          <w:noProof/>
        </w:rPr>
        <w:t>Od té doby Unie uznala pozitivní vývoj, jehož dosáhla burundská vláda, pokud jde o lidská práva, řádnou správu věcí veřejných a právní stát, a závazky přijaté v rámci cestovní mapy („</w:t>
      </w:r>
      <w:r w:rsidR="00825D43" w:rsidRPr="00CE5D54">
        <w:rPr>
          <w:i/>
          <w:noProof/>
        </w:rPr>
        <w:t>Feuille de route</w:t>
      </w:r>
      <w:r w:rsidR="00825D43" w:rsidRPr="00CE5D54">
        <w:rPr>
          <w:noProof/>
        </w:rPr>
        <w:t>“) za účelem dalších zlepšení v těchto oblastech.</w:t>
      </w:r>
    </w:p>
    <w:p w:rsidR="00825D43" w:rsidRPr="00CE5D54" w:rsidRDefault="002F7C41" w:rsidP="002F7C41">
      <w:pPr>
        <w:pStyle w:val="ManualConsidrant"/>
        <w:rPr>
          <w:noProof/>
        </w:rPr>
      </w:pPr>
      <w:r w:rsidRPr="002F7C41">
        <w:t>(4)</w:t>
      </w:r>
      <w:r w:rsidRPr="002F7C41">
        <w:tab/>
      </w:r>
      <w:r w:rsidR="00825D43" w:rsidRPr="00CE5D54">
        <w:rPr>
          <w:noProof/>
        </w:rPr>
        <w:t>Vznikla vláda odhodlaná provádět reformy nezbytné pro rozvoj a stabilitu země a došlo k povzbudivému pokroku při provádění závazků stanovených v rozhodnutí (EU) 2016/394.</w:t>
      </w:r>
    </w:p>
    <w:p w:rsidR="00825D43" w:rsidRPr="00CE5D54" w:rsidRDefault="002F7C41" w:rsidP="002F7C41">
      <w:pPr>
        <w:pStyle w:val="ManualConsidrant"/>
        <w:rPr>
          <w:noProof/>
        </w:rPr>
      </w:pPr>
      <w:r w:rsidRPr="002F7C41">
        <w:t>(5)</w:t>
      </w:r>
      <w:r w:rsidRPr="002F7C41">
        <w:tab/>
      </w:r>
      <w:r w:rsidR="00825D43" w:rsidRPr="00CE5D54">
        <w:rPr>
          <w:noProof/>
        </w:rPr>
        <w:t>V souladu s posouzením Komise, po dohodě s vysokým představitelem Unie pro zahraniční věci a bezpečnostní politiku, důvody pro přijetí rozhodnutí (EU) 2016/394 uvedené ve zmíněném rozhodnutí již pominuly. Uvedené rozhodnutí by proto mělo být jménem Unie zrušeno.</w:t>
      </w:r>
    </w:p>
    <w:p w:rsidR="00825D43" w:rsidRPr="00CE5D54" w:rsidRDefault="002F7C41" w:rsidP="002F7C41">
      <w:pPr>
        <w:pStyle w:val="ManualConsidrant"/>
        <w:rPr>
          <w:noProof/>
        </w:rPr>
      </w:pPr>
      <w:r w:rsidRPr="002F7C41">
        <w:t>(6)</w:t>
      </w:r>
      <w:r w:rsidRPr="002F7C41">
        <w:tab/>
      </w:r>
      <w:r w:rsidR="00825D43" w:rsidRPr="00CE5D54">
        <w:rPr>
          <w:noProof/>
        </w:rPr>
        <w:t>I nadále přetrvávají výzvy v oblasti lidských práv, řádné správy věcí veřejných a právního státu a je zapotřebí, aby burundské orgány dosáhly dalšího pokroku, a to i prostřednictvím provádění cestovní mapy a v rámci probíhajícího politického dialogu mezi EU a Burundi.</w:t>
      </w:r>
    </w:p>
    <w:p w:rsidR="00825D43" w:rsidRPr="00CE5D54" w:rsidRDefault="002F7C41" w:rsidP="002F7C41">
      <w:pPr>
        <w:pStyle w:val="ManualConsidrant"/>
        <w:rPr>
          <w:noProof/>
        </w:rPr>
      </w:pPr>
      <w:r w:rsidRPr="002F7C41">
        <w:t>(7)</w:t>
      </w:r>
      <w:r w:rsidRPr="002F7C41">
        <w:tab/>
      </w:r>
      <w:r w:rsidR="00825D43" w:rsidRPr="00CE5D54">
        <w:rPr>
          <w:noProof/>
        </w:rPr>
        <w:t>Burundi zůstává nestabilní a zvolené orgány potřebují při provádění programu reforem a rozvojové agendy země podporu mezinárodních partnerů.</w:t>
      </w:r>
    </w:p>
    <w:p w:rsidR="00825D43" w:rsidRPr="00CE5D54" w:rsidRDefault="002F7C41" w:rsidP="002F7C41">
      <w:pPr>
        <w:pStyle w:val="ManualConsidrant"/>
        <w:rPr>
          <w:noProof/>
        </w:rPr>
      </w:pPr>
      <w:r w:rsidRPr="002F7C41">
        <w:t>(8)</w:t>
      </w:r>
      <w:r w:rsidRPr="002F7C41">
        <w:tab/>
      </w:r>
      <w:r w:rsidR="00825D43" w:rsidRPr="00CE5D54">
        <w:rPr>
          <w:noProof/>
        </w:rPr>
        <w:t>Evropská unie by měla společně s dalšími mezinárodními partnery podporovat pokračující úsilí vnitrostátních orgánů o stabilizaci a konsolidaci demokratických institucí, prosazování lidských práv, řádné správy věcí veřejných a právního státu a plnění závazků přijatých v rámci cestovní mapy za účelem dalších zlepšení v těchto oblastech,</w:t>
      </w:r>
      <w:r w:rsidR="00825D43" w:rsidRPr="00CE5D54">
        <w:rPr>
          <w:noProof/>
          <w:color w:val="E36C0A" w:themeColor="accent6" w:themeShade="BF"/>
        </w:rPr>
        <w:t xml:space="preserve"> </w:t>
      </w:r>
    </w:p>
    <w:p w:rsidR="00825D43" w:rsidRPr="00CE5D54" w:rsidRDefault="00825D43" w:rsidP="00825D43">
      <w:pPr>
        <w:pStyle w:val="Formuledadoption"/>
        <w:rPr>
          <w:noProof/>
        </w:rPr>
      </w:pPr>
      <w:r w:rsidRPr="00CE5D54">
        <w:rPr>
          <w:noProof/>
        </w:rPr>
        <w:t xml:space="preserve">PŘIJALA TOTO ROZHODNUTÍ: </w:t>
      </w:r>
    </w:p>
    <w:p w:rsidR="00825D43" w:rsidRPr="00CE5D54" w:rsidRDefault="00825D43" w:rsidP="00825D43">
      <w:pPr>
        <w:pStyle w:val="Titrearticle"/>
        <w:rPr>
          <w:noProof/>
        </w:rPr>
      </w:pPr>
      <w:r w:rsidRPr="00CE5D54">
        <w:rPr>
          <w:noProof/>
        </w:rPr>
        <w:t>Článek 1</w:t>
      </w:r>
    </w:p>
    <w:p w:rsidR="00825D43" w:rsidRPr="00CE5D54" w:rsidRDefault="00825D43" w:rsidP="00825D43">
      <w:pPr>
        <w:rPr>
          <w:noProof/>
        </w:rPr>
      </w:pPr>
      <w:r w:rsidRPr="00CE5D54">
        <w:rPr>
          <w:noProof/>
        </w:rPr>
        <w:t>Rozhodnutí (EU) 2016/394 se zrušuje jménem Unie.</w:t>
      </w:r>
    </w:p>
    <w:p w:rsidR="00825D43" w:rsidRPr="00CE5D54" w:rsidRDefault="00825D43" w:rsidP="00407A78">
      <w:pPr>
        <w:pStyle w:val="Titrearticle"/>
        <w:rPr>
          <w:noProof/>
        </w:rPr>
      </w:pPr>
      <w:r w:rsidRPr="00CE5D54">
        <w:rPr>
          <w:noProof/>
        </w:rPr>
        <w:t>Článek 2</w:t>
      </w:r>
    </w:p>
    <w:p w:rsidR="00825D43" w:rsidRPr="00CE5D54" w:rsidRDefault="00825D43" w:rsidP="00407A78">
      <w:pPr>
        <w:keepNext/>
        <w:keepLines/>
        <w:rPr>
          <w:noProof/>
          <w:color w:val="008000"/>
        </w:rPr>
      </w:pPr>
      <w:r w:rsidRPr="00CE5D54">
        <w:rPr>
          <w:noProof/>
        </w:rPr>
        <w:t>Toto rozhodnutí vstupuje v platnost dnem přijetí</w:t>
      </w:r>
    </w:p>
    <w:p w:rsidR="00CD3D32" w:rsidRPr="00CE5D54" w:rsidRDefault="000D1A8C" w:rsidP="00407A78">
      <w:pPr>
        <w:pStyle w:val="Fait"/>
        <w:rPr>
          <w:noProof/>
        </w:rPr>
      </w:pPr>
      <w:r w:rsidRPr="000D1A8C">
        <w:t>V Bruselu dne</w:t>
      </w:r>
    </w:p>
    <w:p w:rsidR="00CD3D32" w:rsidRPr="00CE5D54" w:rsidRDefault="00CD3D32" w:rsidP="00407A78">
      <w:pPr>
        <w:pStyle w:val="Institutionquisigne"/>
        <w:rPr>
          <w:noProof/>
        </w:rPr>
      </w:pPr>
      <w:r w:rsidRPr="00CE5D54">
        <w:rPr>
          <w:noProof/>
        </w:rPr>
        <w:tab/>
        <w:t>Za Radu</w:t>
      </w:r>
    </w:p>
    <w:p w:rsidR="00CD3D32" w:rsidRPr="00CE5D54" w:rsidRDefault="00CD3D32" w:rsidP="00CD3D32">
      <w:pPr>
        <w:pStyle w:val="Personnequisigne"/>
        <w:rPr>
          <w:noProof/>
        </w:rPr>
      </w:pPr>
      <w:r w:rsidRPr="00CE5D54">
        <w:rPr>
          <w:noProof/>
        </w:rPr>
        <w:tab/>
        <w:t>předseda/předsedkyně</w:t>
      </w:r>
    </w:p>
    <w:sectPr w:rsidR="00CD3D32" w:rsidRPr="00CE5D54" w:rsidSect="007E0D4E">
      <w:pgSz w:w="11907" w:h="1683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ED9" w:rsidRDefault="009D1ED9" w:rsidP="00CD3D32">
      <w:pPr>
        <w:spacing w:before="0" w:after="0"/>
      </w:pPr>
      <w:r>
        <w:separator/>
      </w:r>
    </w:p>
  </w:endnote>
  <w:endnote w:type="continuationSeparator" w:id="0">
    <w:p w:rsidR="009D1ED9" w:rsidRDefault="009D1ED9" w:rsidP="00CD3D3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2A5" w:rsidRPr="007E0D4E" w:rsidRDefault="007E0D4E" w:rsidP="007E0D4E">
    <w:pPr>
      <w:pStyle w:val="Footer"/>
      <w:rPr>
        <w:rFonts w:ascii="Arial" w:hAnsi="Arial" w:cs="Arial"/>
        <w:b/>
        <w:sz w:val="48"/>
      </w:rPr>
    </w:pPr>
    <w:r w:rsidRPr="007E0D4E">
      <w:rPr>
        <w:rFonts w:ascii="Arial" w:hAnsi="Arial" w:cs="Arial"/>
        <w:b/>
        <w:sz w:val="48"/>
      </w:rPr>
      <w:t>CS</w:t>
    </w:r>
    <w:r w:rsidRPr="007E0D4E">
      <w:rPr>
        <w:rFonts w:ascii="Arial" w:hAnsi="Arial" w:cs="Arial"/>
        <w:b/>
        <w:sz w:val="48"/>
      </w:rPr>
      <w:tab/>
    </w:r>
    <w:r w:rsidRPr="007E0D4E">
      <w:rPr>
        <w:rFonts w:ascii="Arial" w:hAnsi="Arial" w:cs="Arial"/>
        <w:b/>
        <w:sz w:val="48"/>
      </w:rPr>
      <w:tab/>
    </w:r>
    <w:r w:rsidRPr="007E0D4E">
      <w:tab/>
    </w:r>
    <w:r w:rsidRPr="007E0D4E">
      <w:rPr>
        <w:rFonts w:ascii="Arial" w:hAnsi="Arial" w:cs="Arial"/>
        <w:b/>
        <w:sz w:val="48"/>
      </w:rPr>
      <w:t>CS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D4E" w:rsidRPr="007E0D4E" w:rsidRDefault="007E0D4E" w:rsidP="007E0D4E">
    <w:pPr>
      <w:pStyle w:val="Footer"/>
      <w:rPr>
        <w:rFonts w:ascii="Arial" w:hAnsi="Arial" w:cs="Arial"/>
        <w:b/>
        <w:sz w:val="48"/>
      </w:rPr>
    </w:pPr>
    <w:r w:rsidRPr="007E0D4E">
      <w:rPr>
        <w:rFonts w:ascii="Arial" w:hAnsi="Arial" w:cs="Arial"/>
        <w:b/>
        <w:sz w:val="48"/>
      </w:rPr>
      <w:t>CS</w:t>
    </w:r>
    <w:r w:rsidRPr="007E0D4E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407A78">
      <w:rPr>
        <w:noProof/>
      </w:rPr>
      <w:t>8</w:t>
    </w:r>
    <w:r>
      <w:fldChar w:fldCharType="end"/>
    </w:r>
    <w:r>
      <w:tab/>
    </w:r>
    <w:r w:rsidRPr="007E0D4E">
      <w:tab/>
    </w:r>
    <w:r w:rsidRPr="007E0D4E">
      <w:rPr>
        <w:rFonts w:ascii="Arial" w:hAnsi="Arial" w:cs="Arial"/>
        <w:b/>
        <w:sz w:val="48"/>
      </w:rPr>
      <w:t>CS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D4E" w:rsidRPr="007E0D4E" w:rsidRDefault="007E0D4E" w:rsidP="007E0D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ED9" w:rsidRDefault="009D1ED9" w:rsidP="00CD3D32">
      <w:pPr>
        <w:spacing w:before="0" w:after="0"/>
      </w:pPr>
      <w:r>
        <w:separator/>
      </w:r>
    </w:p>
  </w:footnote>
  <w:footnote w:type="continuationSeparator" w:id="0">
    <w:p w:rsidR="009D1ED9" w:rsidRDefault="009D1ED9" w:rsidP="00CD3D32">
      <w:pPr>
        <w:spacing w:before="0" w:after="0"/>
      </w:pPr>
      <w:r>
        <w:continuationSeparator/>
      </w:r>
    </w:p>
  </w:footnote>
  <w:footnote w:id="1">
    <w:p w:rsidR="00825D43" w:rsidRDefault="00825D43" w:rsidP="00825D43">
      <w:pPr>
        <w:pStyle w:val="FootnoteText"/>
        <w:ind w:left="142" w:hanging="153"/>
      </w:pPr>
      <w:r>
        <w:rPr>
          <w:rStyle w:val="FootnoteReference"/>
        </w:rPr>
        <w:footnoteRef/>
      </w:r>
      <w:r>
        <w:tab/>
        <w:t>Dohoda o partnerství mezi členy skupiny afrických, karibských a tichomořských států na jedné straně a Evropským společenstvím a jeho členskými státy na straně druhé, podepsaná v Cotonou dne 23. června 2000 (Úř. věst. L 317, 15.12.2000, s. 3). Dohoda o partnerství AKT–EU byla pozměněna dohodou podepsanou v Lucemburku dne 25. června 2005 (</w:t>
      </w:r>
      <w:hyperlink r:id="rId1" w:history="1">
        <w:r>
          <w:rPr>
            <w:rStyle w:val="Hyperlink"/>
          </w:rPr>
          <w:t>Úř. věst. L 209, 11.8.2005, s. 27</w:t>
        </w:r>
      </w:hyperlink>
      <w:r>
        <w:t>) a dohodou podepsanou v Ouagadougou dne 22. června 2010 (Úř. věst. L 287, 4.11.2010, s. 3). Použitelnost dohody o partnerství AKT–EU byla prodloužena rozhodnutím Výboru velvyslanců AKT–EU č. 3/2019 ze dne 17. prosince 2019 o přijetí přechodných opatření podle čl. 95 odst. 4 dohody o partnerství AKT–EU (Úř. věst. L 1, 3.1.2020, s. 3) ve znění rozhodnutí Výboru velvyslanců AKT–EU č. 2/2020 ze dne 4. prosince 2020 (Úř. věst. L 420, 14.12.2020, s. 32) a rozhodnutí Výboru velvyslanců AKT–EU č. 3/2021 ze dne 26. listopadu 2021 (Úř. věst. L 441, 9.12.2021, s. 3) do 30. června 2022 nebo do vstupu v platnost či do zahájení prozatímního provádění nové dohody o partnerství AKT–EU, podle toho, co nastane dříve.</w:t>
      </w:r>
    </w:p>
  </w:footnote>
  <w:footnote w:id="2">
    <w:p w:rsidR="00825D43" w:rsidRPr="00B276F0" w:rsidRDefault="00825D43" w:rsidP="00825D43">
      <w:pPr>
        <w:pStyle w:val="FootnoteText"/>
        <w:ind w:left="142" w:hanging="153"/>
      </w:pPr>
      <w:r>
        <w:rPr>
          <w:rStyle w:val="FootnoteReference"/>
        </w:rPr>
        <w:footnoteRef/>
      </w:r>
      <w:r>
        <w:tab/>
        <w:t>Rozhodnutí Rady (EU) 2016/394 ze dne 14. března 2016 o uzavření konzultací s Republikou Burundi podle článku 96 Dohody o partnerství mezi členy skupiny afrických, karibských a tichomořských států na jedné straně a Evropským společenstvím a jeho členskými státy na straně druhé (Úř. věst. L 73, 18.3.2016, s. 90).</w:t>
      </w:r>
    </w:p>
  </w:footnote>
  <w:footnote w:id="3">
    <w:p w:rsidR="00825D43" w:rsidRDefault="00825D43" w:rsidP="00825D43">
      <w:pPr>
        <w:pStyle w:val="FootnoteText"/>
        <w:ind w:left="142" w:hanging="153"/>
      </w:pPr>
      <w:r>
        <w:rPr>
          <w:rStyle w:val="FootnoteReference"/>
        </w:rPr>
        <w:footnoteRef/>
      </w:r>
      <w:r>
        <w:tab/>
        <w:t>Společné prohlášení Rady a zástupců vlád členských států zasedajících v Radě, Evropského parlamentu a Komise, Nový Evropský konsensus o rozvoji: Náš svět, naše důstojnost, naše budoucnost (Úř. věst. C 210, 30.6.2017, s. 1).</w:t>
      </w:r>
    </w:p>
  </w:footnote>
  <w:footnote w:id="4">
    <w:p w:rsidR="00825D43" w:rsidRDefault="00825D43" w:rsidP="00825D43">
      <w:pPr>
        <w:pStyle w:val="FootnoteText"/>
        <w:ind w:left="142" w:hanging="153"/>
      </w:pPr>
      <w:r>
        <w:rPr>
          <w:rStyle w:val="FootnoteReference"/>
        </w:rPr>
        <w:footnoteRef/>
      </w:r>
      <w:r>
        <w:tab/>
        <w:t>Společné sdělení Evropskému parlamentu a Radě, Na cestě ke komplexní strategii pro Afriku (JOIN(2020) 4 final).</w:t>
      </w:r>
    </w:p>
  </w:footnote>
  <w:footnote w:id="5">
    <w:p w:rsidR="00825D43" w:rsidRPr="00E8799D" w:rsidRDefault="00825D43" w:rsidP="00825D43">
      <w:pPr>
        <w:pStyle w:val="FootnoteText"/>
      </w:pPr>
      <w:r>
        <w:rPr>
          <w:rStyle w:val="FootnoteReference"/>
        </w:rPr>
        <w:footnoteRef/>
      </w:r>
      <w:r>
        <w:tab/>
        <w:t>Společné sdělení Evropskému parlamentu a Radě, Akční plán EU pro lidská práva a demokracii (JOIN(2020) 5 final).</w:t>
      </w:r>
    </w:p>
  </w:footnote>
  <w:footnote w:id="6">
    <w:p w:rsidR="00825D43" w:rsidRPr="00E8799D" w:rsidRDefault="00825D43" w:rsidP="00825D43">
      <w:pPr>
        <w:pStyle w:val="FootnoteText"/>
      </w:pPr>
      <w:r>
        <w:rPr>
          <w:rStyle w:val="FootnoteReference"/>
        </w:rPr>
        <w:footnoteRef/>
      </w:r>
      <w:r>
        <w:tab/>
        <w:t>Strategický rámec EU a akční plán EU (RADA 11855/12).</w:t>
      </w:r>
    </w:p>
  </w:footnote>
  <w:footnote w:id="7">
    <w:p w:rsidR="00825D43" w:rsidRPr="00F4382B" w:rsidRDefault="00825D43" w:rsidP="00825D43">
      <w:pPr>
        <w:pStyle w:val="FootnoteText"/>
      </w:pPr>
      <w:r>
        <w:rPr>
          <w:rStyle w:val="FootnoteReference"/>
        </w:rPr>
        <w:footnoteRef/>
      </w:r>
      <w:r>
        <w:tab/>
        <w:t>Společné sdělení Evropskému parlamentu a Radě, Akční plán EU pro rovnost žen a mužů III: ambiciózní agenda pro genderovou rovnost a posílení postavení žen v rámci vnější činnosti EU (JOIN(2020) 17 final).</w:t>
      </w:r>
    </w:p>
  </w:footnote>
  <w:footnote w:id="8">
    <w:p w:rsidR="00825D43" w:rsidRDefault="00825D43" w:rsidP="00825D43">
      <w:pPr>
        <w:pStyle w:val="FootnoteText"/>
      </w:pPr>
      <w:r>
        <w:rPr>
          <w:rStyle w:val="FootnoteReference"/>
        </w:rPr>
        <w:footnoteRef/>
      </w:r>
      <w:r>
        <w:tab/>
        <w:t>Vnitřní dohoda mezi zástupci vlád členských států, zasedajícími v Radě, o opatřeních, která mají být přijata, a o postupech, které mají být dodrženy při provádění dohody o partnerství AKT–ES (Úř. věst. L 317, 15.12.2000, s. 376).</w:t>
      </w:r>
    </w:p>
  </w:footnote>
  <w:footnote w:id="9">
    <w:p w:rsidR="00825D43" w:rsidRPr="008F265C" w:rsidRDefault="00825D43" w:rsidP="00825D43">
      <w:pPr>
        <w:pStyle w:val="FootnoteText"/>
      </w:pPr>
      <w:r>
        <w:rPr>
          <w:rStyle w:val="FootnoteReference"/>
        </w:rPr>
        <w:footnoteRef/>
      </w:r>
      <w:r>
        <w:tab/>
        <w:t>Dohoda o partnerství mezi členy skupiny afrických, karibských a tichomořských států na jedné straně a Evropským společenstvím a jeho členskými státy na straně druhé, podepsaná v Cotonou dne 23. června 2000 (Úř. věst. L 317, 15.12.2000, s. 3). Dohoda o partnerství AKT–EU byla pozměněna dohodou podepsanou v Lucemburku dne 25. června 2005 (Úř. věst. L 209, 11.8.2005, s. 27) a dohodou podepsanou v Ouagadougou dne 22. června 2010 (Úř. věst. L 287, 4.11.2010, s. 3). Použitelnost dohody o partnerství AKT–EU byla prodloužena rozhodnutím Výboru velvyslanců AKT–EU č. 3/2019 ze dne 17. prosince 2019 o přijetí přechodných opatření podle čl. 95 odst. 4 dohody o partnerství AKT–EU (Úř. věst. L 1, 3.1.2020, s. 3) ve znění rozhodnutí Výboru velvyslanců AKT–EU č. 2/2020 ze dne 4. prosince 2020 (Úř. věst. L 420, 14.12.2020, s. 32) a rozhodnutí Výboru velvyslanců AKT–EU č. 3/2021</w:t>
      </w:r>
      <w:r>
        <w:rPr>
          <w:iCs/>
          <w:sz w:val="24"/>
          <w:szCs w:val="22"/>
        </w:rPr>
        <w:t xml:space="preserve"> </w:t>
      </w:r>
      <w:r>
        <w:t>ze dne 26. listopadu 2021 (Úř. věst. L 441, 9.12.2021, s. 3) do 30. června 2022 nebo do vstupu v platnost či do zahájení prozatímního provádění nové dohody o partnerství AKT–EU, podle toho, co nastane dříve.</w:t>
      </w:r>
    </w:p>
  </w:footnote>
  <w:footnote w:id="10">
    <w:p w:rsidR="00825D43" w:rsidRDefault="00825D43" w:rsidP="00825D43">
      <w:pPr>
        <w:pStyle w:val="FootnoteText"/>
        <w:ind w:left="142" w:hanging="153"/>
      </w:pPr>
      <w:r>
        <w:rPr>
          <w:rStyle w:val="FootnoteReference"/>
        </w:rPr>
        <w:footnoteRef/>
      </w:r>
      <w:r>
        <w:tab/>
        <w:t>Rozhodnutí Rady (SZBP) 2015/1763 ze dne 1. října 2015 o omezujících opatřeních vzhledem k situaci v Burundi (Úř. věst. L 257, 2.10.2015, s. 37).</w:t>
      </w:r>
    </w:p>
  </w:footnote>
  <w:footnote w:id="11">
    <w:p w:rsidR="00825D43" w:rsidRDefault="00825D43" w:rsidP="00825D43">
      <w:pPr>
        <w:pStyle w:val="FootnoteText"/>
        <w:ind w:left="142" w:hanging="153"/>
      </w:pPr>
      <w:r>
        <w:rPr>
          <w:rStyle w:val="FootnoteReference"/>
        </w:rPr>
        <w:footnoteRef/>
      </w:r>
      <w:r>
        <w:tab/>
        <w:t>Rozhodnutí Rady (SZBP) 2015/1763 ze dne 1. října 2015 o omezujících opatřeních vzhledem k situaci v Burundi (Úř. věst. L 257, 2.10.2015, s. 37).</w:t>
      </w:r>
    </w:p>
  </w:footnote>
  <w:footnote w:id="12">
    <w:p w:rsidR="00825D43" w:rsidRPr="00E8799D" w:rsidRDefault="00825D43" w:rsidP="00825D43">
      <w:pPr>
        <w:pStyle w:val="FootnoteText"/>
      </w:pPr>
      <w:r>
        <w:rPr>
          <w:rStyle w:val="FootnoteReference"/>
        </w:rPr>
        <w:footnoteRef/>
      </w:r>
      <w:r>
        <w:tab/>
        <w:t>Rada pro lidská práva, Situace v oblasti lidských práv v Burundi, A/HRC/48/16.</w:t>
      </w:r>
    </w:p>
  </w:footnote>
  <w:footnote w:id="13">
    <w:p w:rsidR="00825D43" w:rsidRDefault="00825D43" w:rsidP="00825D43">
      <w:pPr>
        <w:pStyle w:val="FootnoteText"/>
      </w:pPr>
      <w:r>
        <w:rPr>
          <w:rStyle w:val="FootnoteReference"/>
        </w:rPr>
        <w:footnoteRef/>
      </w:r>
      <w:r>
        <w:tab/>
        <w:t>Dohoda o partnerství mezi členy skupiny afrických, karibských a tichomořských států na jedné straně a Evropským společenstvím a jeho členskými státy na straně druhé, podepsaná v Cotonou dne 23. června 2000 (Úř. věst. L 317, 15.12.2000, s. 3). Dohoda o partnerství AKT–EU byla pozměněna dohodou podepsanou v Lucemburku dne 25. června 2005 (</w:t>
      </w:r>
      <w:hyperlink r:id="rId2" w:history="1">
        <w:r>
          <w:rPr>
            <w:rStyle w:val="Hyperlink"/>
          </w:rPr>
          <w:t>Úř. věst. L 209, 11.8.2005, s. 27</w:t>
        </w:r>
      </w:hyperlink>
      <w:r>
        <w:t>) a dohodou podepsanou v Ouagadougou dne 22. června 2010 (Úř. věst. L 287, 4.11.2010, s. 3). Použitelnost dohody o partnerství AKT–EU byla prodloužena rozhodnutím Výboru velvyslanců AKT–EU č. 3/2019 ze dne 17. prosince 2019 o přijetí přechodných opatření podle čl. 95 odst. 4 dohody o partnerství AKT–EU (Úř. věst. L 1, 3.1.2020, s. 3) ve znění rozhodnutí Výboru velvyslanců AKT–EU č. 2/2020 ze dne 4. prosince 2020 (Úř. věst. L 420, 14.12.2020, s. 32)</w:t>
      </w:r>
      <w:r>
        <w:rPr>
          <w:iCs/>
          <w:sz w:val="24"/>
          <w:szCs w:val="22"/>
        </w:rPr>
        <w:t xml:space="preserve"> </w:t>
      </w:r>
      <w:r>
        <w:t>a rozhodnutí Výboru velvyslanců AKT–EU č. 3/2021 ze dne 26. listopadu 2021</w:t>
      </w:r>
      <w:r>
        <w:rPr>
          <w:b/>
          <w:bCs/>
          <w:iCs/>
        </w:rPr>
        <w:t xml:space="preserve"> </w:t>
      </w:r>
      <w:r>
        <w:t>(Úř. věst. L 441, 9.12.2021, s. 3).</w:t>
      </w:r>
    </w:p>
  </w:footnote>
  <w:footnote w:id="14">
    <w:p w:rsidR="00825D43" w:rsidRDefault="00825D43" w:rsidP="00825D43">
      <w:pPr>
        <w:pStyle w:val="FootnoteText"/>
      </w:pPr>
      <w:r>
        <w:rPr>
          <w:rStyle w:val="FootnoteReference"/>
        </w:rPr>
        <w:footnoteRef/>
      </w:r>
      <w:r>
        <w:tab/>
        <w:t>Vnitřní dohoda mezi zástupci vlád členských států, zasedajícími v Radě, o opatřeních, která mají být přijata, a o postupech, které mají být dodrženy při provádění dohody o partnerství AKT–ES (Úř. věst. L 317, 15.12.2000, s. 376).</w:t>
      </w:r>
    </w:p>
  </w:footnote>
  <w:footnote w:id="15">
    <w:p w:rsidR="00825D43" w:rsidRDefault="00825D43" w:rsidP="00825D43">
      <w:pPr>
        <w:pStyle w:val="FootnoteText"/>
        <w:ind w:left="142" w:hanging="142"/>
      </w:pPr>
      <w:r>
        <w:rPr>
          <w:rStyle w:val="FootnoteReference"/>
        </w:rPr>
        <w:footnoteRef/>
      </w:r>
      <w:r>
        <w:tab/>
        <w:t>Dohoda, kterou se podruhé mění Dohoda o partnerství mezi členy skupiny afrických, karibských a tichomořských států na jedné straně a Evropským společenstvím a jeho členskými státy na straně druhé, podepsaná v Cotonou dne 23. června 2000 a poprvé pozměněná v Lucemburku dne 25. června 2005 (Úř. věst. L 287, 4.11.2010, s. 3).</w:t>
      </w:r>
    </w:p>
  </w:footnote>
  <w:footnote w:id="16">
    <w:p w:rsidR="00825D43" w:rsidRDefault="00825D43" w:rsidP="00825D43">
      <w:pPr>
        <w:pStyle w:val="FootnoteText"/>
        <w:ind w:left="142" w:hanging="142"/>
      </w:pPr>
      <w:r>
        <w:rPr>
          <w:rStyle w:val="FootnoteReference"/>
        </w:rPr>
        <w:footnoteRef/>
      </w:r>
      <w:r>
        <w:tab/>
        <w:t>Rozhodnutí Výboru velvyslanců AKT–EU č. 3/2019 ze dne 17. prosince 2019 o přijetí přechodných opatření podle čl. 95 odst. 4 dohody o partnerství AKT–EU [2020/2] (Úř. věst. L 1, 3.1.2020, s. 3), ve znění rozhodnutí Výboru velvyslanců AKT–EU č. 2/2020 ze dne 4. prosince 2020, kterým se mění rozhodnutí Výboru velvyslanců AKT–EU č. 3/2019 o přijetí přechodných opatření podle čl. 95 odst. 4 dohody o partnerství AKT–EU [2020/2052] (Úř. věst. L 420, 14.12.2020, s. 32), a rozhodnutí Výboru velvyslanců AKT–EU č. 3/2021 ze dne 26. listopadu 2021,</w:t>
      </w:r>
      <w:r>
        <w:rPr>
          <w:sz w:val="24"/>
          <w:szCs w:val="22"/>
        </w:rPr>
        <w:t xml:space="preserve"> </w:t>
      </w:r>
      <w:r>
        <w:t>kterým se mění rozhodnutí Výboru velvyslanců AKT–EU č. 3/2019 o přijetí přechodných opatření podle čl. 95 odst. 4 dohody o partnerství AKT–EU [2021/2175]</w:t>
      </w:r>
      <w:r>
        <w:rPr>
          <w:b/>
          <w:bCs/>
          <w:iCs/>
        </w:rPr>
        <w:t xml:space="preserve"> </w:t>
      </w:r>
      <w:r>
        <w:t>(Úř. věst. L 441, 9.12.2021, s. 3).</w:t>
      </w:r>
    </w:p>
  </w:footnote>
  <w:footnote w:id="17">
    <w:p w:rsidR="00825D43" w:rsidRDefault="00825D43" w:rsidP="00825D43">
      <w:pPr>
        <w:pStyle w:val="FootnoteText"/>
        <w:ind w:left="142" w:hanging="142"/>
      </w:pPr>
      <w:r>
        <w:rPr>
          <w:rStyle w:val="FootnoteReference"/>
        </w:rPr>
        <w:footnoteRef/>
      </w:r>
      <w:r>
        <w:tab/>
        <w:t>Rozhodnutí Rady (EU) 2016/394 ze dne 14. března 2016 o uzavření konzultací s Republikou Burundi podle článku 96 Dohody o partnerství mezi členy skupiny afrických, karibských a tichomořských států na jedné straně a Evropským společenstvím a jeho členskými státy na straně druhé (Úř. věst. L 73, 18.3.2016, s. 90).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8A64C97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364680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F50A290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0E1A559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FDF2B17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BB2E602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A29CCF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88E3E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5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6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7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8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0" w15:restartNumberingAfterBreak="0">
    <w:nsid w:val="64A12FA4"/>
    <w:multiLevelType w:val="multilevel"/>
    <w:tmpl w:val="428ECF3E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2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17"/>
    <w:lvlOverride w:ilvl="0">
      <w:startOverride w:val="1"/>
    </w:lvlOverride>
  </w:num>
  <w:num w:numId="2">
    <w:abstractNumId w:val="22"/>
    <w:lvlOverride w:ilvl="0">
      <w:startOverride w:val="1"/>
    </w:lvlOverride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2"/>
  </w:num>
  <w:num w:numId="13">
    <w:abstractNumId w:val="21"/>
  </w:num>
  <w:num w:numId="14">
    <w:abstractNumId w:val="11"/>
  </w:num>
  <w:num w:numId="15">
    <w:abstractNumId w:val="13"/>
  </w:num>
  <w:num w:numId="16">
    <w:abstractNumId w:val="9"/>
  </w:num>
  <w:num w:numId="17">
    <w:abstractNumId w:val="20"/>
  </w:num>
  <w:num w:numId="18">
    <w:abstractNumId w:val="8"/>
  </w:num>
  <w:num w:numId="19">
    <w:abstractNumId w:val="15"/>
  </w:num>
  <w:num w:numId="20">
    <w:abstractNumId w:val="17"/>
  </w:num>
  <w:num w:numId="21">
    <w:abstractNumId w:val="18"/>
  </w:num>
  <w:num w:numId="22">
    <w:abstractNumId w:val="10"/>
  </w:num>
  <w:num w:numId="23">
    <w:abstractNumId w:val="16"/>
  </w:num>
  <w:num w:numId="24">
    <w:abstractNumId w:val="22"/>
  </w:num>
  <w:num w:numId="25">
    <w:abstractNumId w:val="19"/>
  </w:num>
  <w:num w:numId="26">
    <w:abstractNumId w:val="12"/>
  </w:num>
  <w:num w:numId="27">
    <w:abstractNumId w:val="21"/>
  </w:num>
  <w:num w:numId="28">
    <w:abstractNumId w:val="11"/>
  </w:num>
  <w:num w:numId="29">
    <w:abstractNumId w:val="13"/>
  </w:num>
  <w:num w:numId="30">
    <w:abstractNumId w:val="9"/>
  </w:num>
  <w:num w:numId="31">
    <w:abstractNumId w:val="20"/>
  </w:num>
  <w:num w:numId="32">
    <w:abstractNumId w:val="8"/>
  </w:num>
  <w:num w:numId="33">
    <w:abstractNumId w:val="15"/>
  </w:num>
  <w:num w:numId="34">
    <w:abstractNumId w:val="17"/>
  </w:num>
  <w:num w:numId="35">
    <w:abstractNumId w:val="18"/>
  </w:num>
  <w:num w:numId="36">
    <w:abstractNumId w:val="10"/>
  </w:num>
  <w:num w:numId="37">
    <w:abstractNumId w:val="16"/>
  </w:num>
  <w:num w:numId="38">
    <w:abstractNumId w:val="22"/>
  </w:num>
  <w:num w:numId="39">
    <w:abstractNumId w:val="20"/>
  </w:num>
  <w:num w:numId="40">
    <w:abstractNumId w:val="20"/>
  </w:num>
  <w:num w:numId="41">
    <w:abstractNumId w:val="20"/>
  </w:num>
  <w:num w:numId="42">
    <w:abstractNumId w:val="14"/>
  </w:num>
  <w:num w:numId="43">
    <w:abstractNumId w:val="9"/>
  </w:num>
  <w:num w:numId="44">
    <w:abstractNumId w:val="9"/>
  </w:num>
  <w:num w:numId="45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attachedTemplate r:id="rId1"/>
  <w:revisionView w:markup="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R_RefLast" w:val="0"/>
    <w:docVar w:name="DQCDateTime" w:val="2022-01-17 09:03:01"/>
    <w:docVar w:name="DQCResult_Distribution" w:val="0;1"/>
    <w:docVar w:name="DQCResult_DocumentContent" w:val="0;0"/>
    <w:docVar w:name="DQCResult_DocumentSize" w:val="0;0"/>
    <w:docVar w:name="DQCResult_DocumentVersions" w:val="0;0"/>
    <w:docVar w:name="DQCResult_InvalidFootnotes" w:val="0;0"/>
    <w:docVar w:name="DQCResult_LinkedStyles" w:val="0;0"/>
    <w:docVar w:name="DQCResult_ModifiedMargins" w:val="0;1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1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CORRIGENDUM" w:val="&lt;UNUSED&gt;"/>
    <w:docVar w:name="LW_COVERPAGE_EXISTS" w:val="True"/>
    <w:docVar w:name="LW_COVERPAGE_GUID" w:val="F606DC7F-76CF-4594-B71D-0B32794B4511"/>
    <w:docVar w:name="LW_COVERPAGE_TYPE" w:val="1"/>
    <w:docVar w:name="LW_CROSSREFERENCE" w:val="&lt;UNUSED&gt;"/>
    <w:docVar w:name="LW_DocType" w:val="COM"/>
    <w:docVar w:name="LW_EMISSION" w:val="22.12.2021"/>
    <w:docVar w:name="LW_EMISSION_ISODATE" w:val="2021-12-22"/>
    <w:docVar w:name="LW_EMISSION_LOCATION" w:val="BRX"/>
    <w:docVar w:name="LW_EMISSION_PREFIX" w:val="V Bruselu dne "/>
    <w:docVar w:name="LW_EMISSION_SUFFIX" w:val=" "/>
    <w:docVar w:name="LW_ID_DOCMODEL" w:val="SJ-019"/>
    <w:docVar w:name="LW_ID_DOCSIGNATURE" w:val="SJ-019"/>
    <w:docVar w:name="LW_ID_DOCSTRUCTURE" w:val="COM/PL/ORG"/>
    <w:docVar w:name="LW_ID_DOCTYPE" w:val="SJ-019"/>
    <w:docVar w:name="LW_ID_EXP.MOTIFS.NEW" w:val="EM_PL_"/>
    <w:docVar w:name="LW_ID_STATUT" w:val="SJ-019"/>
    <w:docVar w:name="LW_INTERETEEE.CP" w:val="&lt;UNUSED&gt;"/>
    <w:docVar w:name="LW_LANGUE" w:val="CS"/>
    <w:docVar w:name="LW_LEVEL_OF_SENSITIVITY" w:val="Standard treatment"/>
    <w:docVar w:name="LW_NOM.INST" w:val="EVROPSKÁ KOMISE"/>
    <w:docVar w:name="LW_NOM.INST_JOINTDOC" w:val="&lt;EMPTY&gt;"/>
    <w:docVar w:name="LW_PART_NBR" w:val="1"/>
    <w:docVar w:name="LW_PART_NBR_TOTAL" w:val="1"/>
    <w:docVar w:name="LW_REF.II.NEW.CP" w:val="NLE"/>
    <w:docVar w:name="LW_REF.II.NEW.CP_NUMBER" w:val="0439"/>
    <w:docVar w:name="LW_REF.II.NEW.CP_YEAR" w:val="2021"/>
    <w:docVar w:name="LW_REF.INST.NEW" w:val="COM"/>
    <w:docVar w:name="LW_REF.INST.NEW_ADOPTED" w:val="final"/>
    <w:docVar w:name="LW_REF.INST.NEW_TEXT" w:val="(2021) 833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TATUT.CP" w:val="Návrh"/>
    <w:docVar w:name="LW_SUPERTITRE" w:val="&lt;UNUSED&gt;"/>
    <w:docVar w:name="LW_TITRE.OBJ.CP" w:val="kterým se jménem Unie zrušuje rozhodnutí Rady (EU) 2016/394 o uzavření konzultací s Republikou Burundi podle článku 96 Dohody o partnerství mezi členy skupiny afrických, karibských a tichomořských států na jedné straně a Evropským společenstvím a jeho členskými státy na straně druhé"/>
    <w:docVar w:name="LW_TYPE.DOC.CP" w:val="ROZHODNUTÍ RADY,"/>
    <w:docVar w:name="LwApiVersions" w:val="LW4CoDe 1.23.2.0; LW 8.0, Build 20211117"/>
  </w:docVars>
  <w:rsids>
    <w:rsidRoot w:val="00CD3D32"/>
    <w:rsid w:val="00051841"/>
    <w:rsid w:val="00060546"/>
    <w:rsid w:val="000A7517"/>
    <w:rsid w:val="000D1A8C"/>
    <w:rsid w:val="000E198E"/>
    <w:rsid w:val="000E7FD8"/>
    <w:rsid w:val="001C0310"/>
    <w:rsid w:val="001C2816"/>
    <w:rsid w:val="001E559D"/>
    <w:rsid w:val="0021523B"/>
    <w:rsid w:val="00232E98"/>
    <w:rsid w:val="002E07BA"/>
    <w:rsid w:val="002F7C41"/>
    <w:rsid w:val="003010BF"/>
    <w:rsid w:val="003626B1"/>
    <w:rsid w:val="00407A78"/>
    <w:rsid w:val="004168A9"/>
    <w:rsid w:val="004D75D2"/>
    <w:rsid w:val="004F7C6F"/>
    <w:rsid w:val="005601C1"/>
    <w:rsid w:val="00570912"/>
    <w:rsid w:val="005A49C7"/>
    <w:rsid w:val="00637894"/>
    <w:rsid w:val="006503C6"/>
    <w:rsid w:val="00651DB6"/>
    <w:rsid w:val="0070128F"/>
    <w:rsid w:val="0072180B"/>
    <w:rsid w:val="00722A0C"/>
    <w:rsid w:val="00745146"/>
    <w:rsid w:val="007700A4"/>
    <w:rsid w:val="007813A3"/>
    <w:rsid w:val="007A71D2"/>
    <w:rsid w:val="007C06F6"/>
    <w:rsid w:val="007E0D4E"/>
    <w:rsid w:val="00825D43"/>
    <w:rsid w:val="00874F1F"/>
    <w:rsid w:val="00885793"/>
    <w:rsid w:val="008B42C7"/>
    <w:rsid w:val="008F5B8B"/>
    <w:rsid w:val="0092273F"/>
    <w:rsid w:val="00955D7C"/>
    <w:rsid w:val="00983A80"/>
    <w:rsid w:val="00986B33"/>
    <w:rsid w:val="00987AD5"/>
    <w:rsid w:val="009B7138"/>
    <w:rsid w:val="009D1ED9"/>
    <w:rsid w:val="009F0CD1"/>
    <w:rsid w:val="00A617B5"/>
    <w:rsid w:val="00A7600E"/>
    <w:rsid w:val="00AC00DA"/>
    <w:rsid w:val="00B532A1"/>
    <w:rsid w:val="00BE246D"/>
    <w:rsid w:val="00BF17AA"/>
    <w:rsid w:val="00C24556"/>
    <w:rsid w:val="00C2507D"/>
    <w:rsid w:val="00C56E1E"/>
    <w:rsid w:val="00CD3D32"/>
    <w:rsid w:val="00CE1A4D"/>
    <w:rsid w:val="00CE5D54"/>
    <w:rsid w:val="00CF46FC"/>
    <w:rsid w:val="00D262A5"/>
    <w:rsid w:val="00D33F72"/>
    <w:rsid w:val="00D40F23"/>
    <w:rsid w:val="00D429A1"/>
    <w:rsid w:val="00DB5D74"/>
    <w:rsid w:val="00DD08BC"/>
    <w:rsid w:val="00DF6CEC"/>
    <w:rsid w:val="00E205F9"/>
    <w:rsid w:val="00E32D7C"/>
    <w:rsid w:val="00E52500"/>
    <w:rsid w:val="00E52F6E"/>
    <w:rsid w:val="00E55201"/>
    <w:rsid w:val="00E5565B"/>
    <w:rsid w:val="00F20062"/>
    <w:rsid w:val="00F4429D"/>
    <w:rsid w:val="00F50C2D"/>
    <w:rsid w:val="00F85146"/>
    <w:rsid w:val="00FD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4E710C7C-F45E-4F35-9DED-9DBE23EF2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cs-CZ"/>
    </w:rPr>
  </w:style>
  <w:style w:type="paragraph" w:styleId="Heading1">
    <w:name w:val="heading 1"/>
    <w:basedOn w:val="Normal"/>
    <w:next w:val="Text1"/>
    <w:link w:val="Heading1Char"/>
    <w:uiPriority w:val="9"/>
    <w:qFormat/>
    <w:rsid w:val="009B7138"/>
    <w:pPr>
      <w:keepNext/>
      <w:numPr>
        <w:numId w:val="41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rsid w:val="009B7138"/>
    <w:pPr>
      <w:keepNext/>
      <w:numPr>
        <w:ilvl w:val="1"/>
        <w:numId w:val="41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rsid w:val="009B7138"/>
    <w:pPr>
      <w:keepNext/>
      <w:numPr>
        <w:ilvl w:val="2"/>
        <w:numId w:val="41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9B7138"/>
    <w:pPr>
      <w:keepNext/>
      <w:numPr>
        <w:ilvl w:val="3"/>
        <w:numId w:val="41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Text2"/>
    <w:link w:val="Heading5Char"/>
    <w:uiPriority w:val="9"/>
    <w:semiHidden/>
    <w:unhideWhenUsed/>
    <w:qFormat/>
    <w:rsid w:val="00DD08BC"/>
    <w:pPr>
      <w:keepNext/>
      <w:numPr>
        <w:ilvl w:val="4"/>
        <w:numId w:val="41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Text2"/>
    <w:link w:val="Heading6Char"/>
    <w:uiPriority w:val="9"/>
    <w:semiHidden/>
    <w:unhideWhenUsed/>
    <w:qFormat/>
    <w:rsid w:val="00DD08BC"/>
    <w:pPr>
      <w:keepNext/>
      <w:numPr>
        <w:ilvl w:val="5"/>
        <w:numId w:val="41"/>
      </w:numPr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Text2"/>
    <w:link w:val="Heading7Char"/>
    <w:uiPriority w:val="9"/>
    <w:semiHidden/>
    <w:unhideWhenUsed/>
    <w:qFormat/>
    <w:rsid w:val="00DD08BC"/>
    <w:pPr>
      <w:keepNext/>
      <w:numPr>
        <w:ilvl w:val="6"/>
        <w:numId w:val="41"/>
      </w:numPr>
      <w:outlineLvl w:val="6"/>
    </w:pPr>
    <w:rPr>
      <w:rFonts w:eastAsiaTheme="majorEastAsia"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3D3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D32"/>
    <w:rPr>
      <w:rFonts w:ascii="Segoe UI" w:hAnsi="Segoe UI" w:cs="Segoe UI"/>
      <w:sz w:val="18"/>
      <w:szCs w:val="18"/>
      <w:lang w:val="cs-CZ"/>
    </w:rPr>
  </w:style>
  <w:style w:type="character" w:styleId="Hyperlink">
    <w:name w:val="Hyperlink"/>
    <w:basedOn w:val="DefaultParagraphFont"/>
    <w:uiPriority w:val="99"/>
    <w:unhideWhenUsed/>
    <w:rsid w:val="00825D43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E07BA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2E07BA"/>
    <w:pPr>
      <w:spacing w:after="0"/>
    </w:pPr>
  </w:style>
  <w:style w:type="paragraph" w:styleId="ListBullet">
    <w:name w:val="List Bullet"/>
    <w:basedOn w:val="Normal"/>
    <w:uiPriority w:val="99"/>
    <w:semiHidden/>
    <w:unhideWhenUsed/>
    <w:rsid w:val="002E07BA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E07BA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E07BA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E07BA"/>
    <w:pPr>
      <w:numPr>
        <w:numId w:val="6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2E07BA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E07BA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E07BA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E07BA"/>
    <w:pPr>
      <w:numPr>
        <w:numId w:val="10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532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2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2A1"/>
    <w:rPr>
      <w:rFonts w:ascii="Times New Roman" w:hAnsi="Times New Roman" w:cs="Times New Roman"/>
      <w:sz w:val="20"/>
      <w:szCs w:val="20"/>
      <w:lang w:val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2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2A1"/>
    <w:rPr>
      <w:rFonts w:ascii="Times New Roman" w:hAnsi="Times New Roman" w:cs="Times New Roman"/>
      <w:b/>
      <w:bCs/>
      <w:sz w:val="20"/>
      <w:szCs w:val="20"/>
      <w:lang w:val="cs-CZ"/>
    </w:rPr>
  </w:style>
  <w:style w:type="paragraph" w:styleId="Header">
    <w:name w:val="header"/>
    <w:basedOn w:val="Normal"/>
    <w:link w:val="HeaderChar"/>
    <w:uiPriority w:val="99"/>
    <w:unhideWhenUsed/>
    <w:rsid w:val="007E0D4E"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7E0D4E"/>
    <w:rPr>
      <w:rFonts w:ascii="Times New Roman" w:hAnsi="Times New Roman" w:cs="Times New Roman"/>
      <w:sz w:val="24"/>
      <w:lang w:val="cs-CZ"/>
    </w:rPr>
  </w:style>
  <w:style w:type="paragraph" w:styleId="Footer">
    <w:name w:val="footer"/>
    <w:basedOn w:val="Normal"/>
    <w:link w:val="FooterChar"/>
    <w:uiPriority w:val="99"/>
    <w:unhideWhenUsed/>
    <w:rsid w:val="007E0D4E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7E0D4E"/>
    <w:rPr>
      <w:rFonts w:ascii="Times New Roman" w:hAnsi="Times New Roman" w:cs="Times New Roman"/>
      <w:sz w:val="24"/>
      <w:lang w:val="cs-CZ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7138"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7138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B7138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7138"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7138"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7138"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9B7138"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9B7138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7E0D4E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7E0D4E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sid w:val="009B7138"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7E0D4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rsid w:val="007E0D4E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rsid w:val="007E0D4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rsid w:val="009B7138"/>
    <w:pPr>
      <w:ind w:left="850"/>
    </w:pPr>
  </w:style>
  <w:style w:type="paragraph" w:customStyle="1" w:styleId="Text2">
    <w:name w:val="Text 2"/>
    <w:basedOn w:val="Normal"/>
    <w:rsid w:val="009B7138"/>
    <w:pPr>
      <w:ind w:left="1417"/>
    </w:pPr>
  </w:style>
  <w:style w:type="paragraph" w:customStyle="1" w:styleId="Text3">
    <w:name w:val="Text 3"/>
    <w:basedOn w:val="Normal"/>
    <w:rsid w:val="009B7138"/>
    <w:pPr>
      <w:ind w:left="1984"/>
    </w:pPr>
  </w:style>
  <w:style w:type="paragraph" w:customStyle="1" w:styleId="Text4">
    <w:name w:val="Text 4"/>
    <w:basedOn w:val="Normal"/>
    <w:rsid w:val="009B7138"/>
    <w:pPr>
      <w:ind w:left="2551"/>
    </w:pPr>
  </w:style>
  <w:style w:type="paragraph" w:customStyle="1" w:styleId="NormalCentered">
    <w:name w:val="Normal Centered"/>
    <w:basedOn w:val="Normal"/>
    <w:rsid w:val="009B7138"/>
    <w:pPr>
      <w:jc w:val="center"/>
    </w:pPr>
  </w:style>
  <w:style w:type="paragraph" w:customStyle="1" w:styleId="NormalLeft">
    <w:name w:val="Normal Left"/>
    <w:basedOn w:val="Normal"/>
    <w:rsid w:val="009B7138"/>
    <w:pPr>
      <w:jc w:val="left"/>
    </w:pPr>
  </w:style>
  <w:style w:type="paragraph" w:customStyle="1" w:styleId="NormalRight">
    <w:name w:val="Normal Right"/>
    <w:basedOn w:val="Normal"/>
    <w:rsid w:val="009B7138"/>
    <w:pPr>
      <w:jc w:val="right"/>
    </w:pPr>
  </w:style>
  <w:style w:type="paragraph" w:customStyle="1" w:styleId="QuotedText">
    <w:name w:val="Quoted Text"/>
    <w:basedOn w:val="Normal"/>
    <w:rsid w:val="009B7138"/>
    <w:pPr>
      <w:ind w:left="1417"/>
    </w:pPr>
  </w:style>
  <w:style w:type="paragraph" w:customStyle="1" w:styleId="Point0">
    <w:name w:val="Point 0"/>
    <w:basedOn w:val="Normal"/>
    <w:rsid w:val="009B7138"/>
    <w:pPr>
      <w:ind w:left="850" w:hanging="850"/>
    </w:pPr>
  </w:style>
  <w:style w:type="paragraph" w:customStyle="1" w:styleId="Point1">
    <w:name w:val="Point 1"/>
    <w:basedOn w:val="Normal"/>
    <w:rsid w:val="009B7138"/>
    <w:pPr>
      <w:ind w:left="1417" w:hanging="567"/>
    </w:pPr>
  </w:style>
  <w:style w:type="paragraph" w:customStyle="1" w:styleId="Point2">
    <w:name w:val="Point 2"/>
    <w:basedOn w:val="Normal"/>
    <w:rsid w:val="009B7138"/>
    <w:pPr>
      <w:ind w:left="1984" w:hanging="567"/>
    </w:pPr>
  </w:style>
  <w:style w:type="paragraph" w:customStyle="1" w:styleId="Point3">
    <w:name w:val="Point 3"/>
    <w:basedOn w:val="Normal"/>
    <w:rsid w:val="009B7138"/>
    <w:pPr>
      <w:ind w:left="2551" w:hanging="567"/>
    </w:pPr>
  </w:style>
  <w:style w:type="paragraph" w:customStyle="1" w:styleId="Point4">
    <w:name w:val="Point 4"/>
    <w:basedOn w:val="Normal"/>
    <w:rsid w:val="009B7138"/>
    <w:pPr>
      <w:ind w:left="3118" w:hanging="567"/>
    </w:pPr>
  </w:style>
  <w:style w:type="paragraph" w:customStyle="1" w:styleId="Tiret0">
    <w:name w:val="Tiret 0"/>
    <w:basedOn w:val="Point0"/>
    <w:rsid w:val="009B7138"/>
    <w:pPr>
      <w:numPr>
        <w:numId w:val="25"/>
      </w:numPr>
    </w:pPr>
  </w:style>
  <w:style w:type="paragraph" w:customStyle="1" w:styleId="Tiret1">
    <w:name w:val="Tiret 1"/>
    <w:basedOn w:val="Point1"/>
    <w:rsid w:val="009B7138"/>
    <w:pPr>
      <w:numPr>
        <w:numId w:val="26"/>
      </w:numPr>
    </w:pPr>
  </w:style>
  <w:style w:type="paragraph" w:customStyle="1" w:styleId="Tiret2">
    <w:name w:val="Tiret 2"/>
    <w:basedOn w:val="Point2"/>
    <w:rsid w:val="009B7138"/>
    <w:pPr>
      <w:numPr>
        <w:numId w:val="27"/>
      </w:numPr>
    </w:pPr>
  </w:style>
  <w:style w:type="paragraph" w:customStyle="1" w:styleId="Tiret3">
    <w:name w:val="Tiret 3"/>
    <w:basedOn w:val="Point3"/>
    <w:rsid w:val="009B7138"/>
    <w:pPr>
      <w:numPr>
        <w:numId w:val="28"/>
      </w:numPr>
    </w:pPr>
  </w:style>
  <w:style w:type="paragraph" w:customStyle="1" w:styleId="Tiret4">
    <w:name w:val="Tiret 4"/>
    <w:basedOn w:val="Point4"/>
    <w:rsid w:val="009B7138"/>
    <w:pPr>
      <w:numPr>
        <w:numId w:val="29"/>
      </w:numPr>
    </w:pPr>
  </w:style>
  <w:style w:type="paragraph" w:customStyle="1" w:styleId="PointDouble0">
    <w:name w:val="PointDouble 0"/>
    <w:basedOn w:val="Normal"/>
    <w:rsid w:val="009B7138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9B7138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9B7138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9B7138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9B7138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9B7138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9B7138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9B7138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9B7138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9B7138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9B7138"/>
    <w:pPr>
      <w:numPr>
        <w:numId w:val="45"/>
      </w:numPr>
    </w:pPr>
  </w:style>
  <w:style w:type="paragraph" w:customStyle="1" w:styleId="NumPar2">
    <w:name w:val="NumPar 2"/>
    <w:basedOn w:val="Normal"/>
    <w:next w:val="Text1"/>
    <w:rsid w:val="009B7138"/>
    <w:pPr>
      <w:numPr>
        <w:ilvl w:val="1"/>
        <w:numId w:val="45"/>
      </w:numPr>
    </w:pPr>
  </w:style>
  <w:style w:type="paragraph" w:customStyle="1" w:styleId="NumPar3">
    <w:name w:val="NumPar 3"/>
    <w:basedOn w:val="Normal"/>
    <w:next w:val="Text1"/>
    <w:rsid w:val="009B7138"/>
    <w:pPr>
      <w:numPr>
        <w:ilvl w:val="2"/>
        <w:numId w:val="45"/>
      </w:numPr>
    </w:pPr>
  </w:style>
  <w:style w:type="paragraph" w:customStyle="1" w:styleId="NumPar4">
    <w:name w:val="NumPar 4"/>
    <w:basedOn w:val="Normal"/>
    <w:next w:val="Text1"/>
    <w:rsid w:val="009B7138"/>
    <w:pPr>
      <w:numPr>
        <w:ilvl w:val="3"/>
        <w:numId w:val="45"/>
      </w:numPr>
    </w:pPr>
  </w:style>
  <w:style w:type="paragraph" w:customStyle="1" w:styleId="ManualNumPar1">
    <w:name w:val="Manual NumPar 1"/>
    <w:basedOn w:val="Normal"/>
    <w:next w:val="Text1"/>
    <w:rsid w:val="009B7138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9B7138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9B7138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9B7138"/>
    <w:pPr>
      <w:ind w:left="850" w:hanging="850"/>
    </w:pPr>
  </w:style>
  <w:style w:type="paragraph" w:customStyle="1" w:styleId="QuotedNumPar">
    <w:name w:val="Quoted NumPar"/>
    <w:basedOn w:val="Normal"/>
    <w:rsid w:val="009B7138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9B7138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9B7138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9B7138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9B7138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9B7138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9B7138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rsid w:val="009B7138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9B7138"/>
    <w:pPr>
      <w:jc w:val="center"/>
    </w:pPr>
    <w:rPr>
      <w:b/>
    </w:rPr>
  </w:style>
  <w:style w:type="character" w:customStyle="1" w:styleId="Marker">
    <w:name w:val="Marker"/>
    <w:basedOn w:val="DefaultParagraphFont"/>
    <w:rsid w:val="00885793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sid w:val="009B7138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sid w:val="009B7138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9B7138"/>
    <w:pPr>
      <w:numPr>
        <w:numId w:val="32"/>
      </w:numPr>
    </w:pPr>
  </w:style>
  <w:style w:type="paragraph" w:customStyle="1" w:styleId="Point1number">
    <w:name w:val="Point 1 (number)"/>
    <w:basedOn w:val="Normal"/>
    <w:rsid w:val="009B7138"/>
    <w:pPr>
      <w:numPr>
        <w:ilvl w:val="2"/>
        <w:numId w:val="32"/>
      </w:numPr>
    </w:pPr>
  </w:style>
  <w:style w:type="paragraph" w:customStyle="1" w:styleId="Point2number">
    <w:name w:val="Point 2 (number)"/>
    <w:basedOn w:val="Normal"/>
    <w:rsid w:val="009B7138"/>
    <w:pPr>
      <w:numPr>
        <w:ilvl w:val="4"/>
        <w:numId w:val="32"/>
      </w:numPr>
    </w:pPr>
  </w:style>
  <w:style w:type="paragraph" w:customStyle="1" w:styleId="Point3number">
    <w:name w:val="Point 3 (number)"/>
    <w:basedOn w:val="Normal"/>
    <w:rsid w:val="009B7138"/>
    <w:pPr>
      <w:numPr>
        <w:ilvl w:val="6"/>
        <w:numId w:val="32"/>
      </w:numPr>
    </w:pPr>
  </w:style>
  <w:style w:type="paragraph" w:customStyle="1" w:styleId="Point0letter">
    <w:name w:val="Point 0 (letter)"/>
    <w:basedOn w:val="Normal"/>
    <w:rsid w:val="009B7138"/>
    <w:pPr>
      <w:numPr>
        <w:ilvl w:val="1"/>
        <w:numId w:val="32"/>
      </w:numPr>
    </w:pPr>
  </w:style>
  <w:style w:type="paragraph" w:customStyle="1" w:styleId="Point1letter">
    <w:name w:val="Point 1 (letter)"/>
    <w:basedOn w:val="Normal"/>
    <w:rsid w:val="009B7138"/>
    <w:pPr>
      <w:numPr>
        <w:ilvl w:val="3"/>
        <w:numId w:val="32"/>
      </w:numPr>
    </w:pPr>
  </w:style>
  <w:style w:type="paragraph" w:customStyle="1" w:styleId="Point2letter">
    <w:name w:val="Point 2 (letter)"/>
    <w:basedOn w:val="Normal"/>
    <w:rsid w:val="009B7138"/>
    <w:pPr>
      <w:numPr>
        <w:ilvl w:val="5"/>
        <w:numId w:val="32"/>
      </w:numPr>
    </w:pPr>
  </w:style>
  <w:style w:type="paragraph" w:customStyle="1" w:styleId="Point3letter">
    <w:name w:val="Point 3 (letter)"/>
    <w:basedOn w:val="Normal"/>
    <w:rsid w:val="009B7138"/>
    <w:pPr>
      <w:numPr>
        <w:ilvl w:val="7"/>
        <w:numId w:val="32"/>
      </w:numPr>
    </w:pPr>
  </w:style>
  <w:style w:type="paragraph" w:customStyle="1" w:styleId="Point4letter">
    <w:name w:val="Point 4 (letter)"/>
    <w:basedOn w:val="Normal"/>
    <w:rsid w:val="009B7138"/>
    <w:pPr>
      <w:numPr>
        <w:ilvl w:val="8"/>
        <w:numId w:val="32"/>
      </w:numPr>
    </w:pPr>
  </w:style>
  <w:style w:type="paragraph" w:customStyle="1" w:styleId="Bullet0">
    <w:name w:val="Bullet 0"/>
    <w:basedOn w:val="Normal"/>
    <w:rsid w:val="009B7138"/>
    <w:pPr>
      <w:numPr>
        <w:numId w:val="33"/>
      </w:numPr>
    </w:pPr>
  </w:style>
  <w:style w:type="paragraph" w:customStyle="1" w:styleId="Bullet1">
    <w:name w:val="Bullet 1"/>
    <w:basedOn w:val="Normal"/>
    <w:rsid w:val="009B7138"/>
    <w:pPr>
      <w:numPr>
        <w:numId w:val="34"/>
      </w:numPr>
    </w:pPr>
  </w:style>
  <w:style w:type="paragraph" w:customStyle="1" w:styleId="Bullet2">
    <w:name w:val="Bullet 2"/>
    <w:basedOn w:val="Normal"/>
    <w:rsid w:val="009B7138"/>
    <w:pPr>
      <w:numPr>
        <w:numId w:val="35"/>
      </w:numPr>
    </w:pPr>
  </w:style>
  <w:style w:type="paragraph" w:customStyle="1" w:styleId="Bullet3">
    <w:name w:val="Bullet 3"/>
    <w:basedOn w:val="Normal"/>
    <w:rsid w:val="009B7138"/>
    <w:pPr>
      <w:numPr>
        <w:numId w:val="36"/>
      </w:numPr>
    </w:pPr>
  </w:style>
  <w:style w:type="paragraph" w:customStyle="1" w:styleId="Bullet4">
    <w:name w:val="Bullet 4"/>
    <w:basedOn w:val="Normal"/>
    <w:rsid w:val="009B7138"/>
    <w:pPr>
      <w:numPr>
        <w:numId w:val="37"/>
      </w:numPr>
    </w:pPr>
  </w:style>
  <w:style w:type="paragraph" w:customStyle="1" w:styleId="Langue">
    <w:name w:val="Langue"/>
    <w:basedOn w:val="Normal"/>
    <w:next w:val="Rfrenceinterne"/>
    <w:rsid w:val="009B7138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rsid w:val="009B7138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rsid w:val="009B7138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rsid w:val="009B7138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rsid w:val="009B7138"/>
    <w:pPr>
      <w:spacing w:before="0" w:after="0"/>
    </w:pPr>
  </w:style>
  <w:style w:type="paragraph" w:customStyle="1" w:styleId="Declassification">
    <w:name w:val="Declassification"/>
    <w:basedOn w:val="Normal"/>
    <w:next w:val="Normal"/>
    <w:rsid w:val="009B7138"/>
    <w:pPr>
      <w:spacing w:before="0" w:after="0"/>
    </w:pPr>
  </w:style>
  <w:style w:type="paragraph" w:customStyle="1" w:styleId="Disclaimer">
    <w:name w:val="Disclaimer"/>
    <w:basedOn w:val="Normal"/>
    <w:rsid w:val="009B7138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rsid w:val="009B7138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rsid w:val="009B7138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rsid w:val="009B7138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rsid w:val="009B7138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9B7138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9B7138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9B7138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9B7138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9B7138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9B7138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9B7138"/>
    <w:pPr>
      <w:numPr>
        <w:numId w:val="38"/>
      </w:numPr>
    </w:pPr>
  </w:style>
  <w:style w:type="paragraph" w:customStyle="1" w:styleId="Corrigendum">
    <w:name w:val="Corrigendum"/>
    <w:basedOn w:val="Normal"/>
    <w:next w:val="Normal"/>
    <w:rsid w:val="009B7138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9B7138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rsid w:val="009B7138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9B7138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9B7138"/>
    <w:pPr>
      <w:keepNext/>
    </w:pPr>
  </w:style>
  <w:style w:type="paragraph" w:customStyle="1" w:styleId="Institutionquiagit">
    <w:name w:val="Institution qui agit"/>
    <w:basedOn w:val="Normal"/>
    <w:next w:val="Normal"/>
    <w:rsid w:val="009B7138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9B7138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rsid w:val="009B7138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rsid w:val="009B7138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rsid w:val="009B7138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9B7138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rsid w:val="009B7138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9B7138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rsid w:val="009B7138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9B7138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sid w:val="009B7138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sid w:val="009B7138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9B7138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9B7138"/>
    <w:rPr>
      <w:i/>
      <w:caps/>
    </w:rPr>
  </w:style>
  <w:style w:type="paragraph" w:customStyle="1" w:styleId="Supertitre">
    <w:name w:val="Supertitre"/>
    <w:basedOn w:val="Normal"/>
    <w:next w:val="Normal"/>
    <w:rsid w:val="009B7138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9B7138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9B7138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9B7138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9B7138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9B7138"/>
  </w:style>
  <w:style w:type="paragraph" w:customStyle="1" w:styleId="StatutPagedecouverture">
    <w:name w:val="Statut (Page de couverture)"/>
    <w:basedOn w:val="Statut"/>
    <w:next w:val="TypedudocumentPagedecouverture"/>
    <w:rsid w:val="009B7138"/>
  </w:style>
  <w:style w:type="paragraph" w:customStyle="1" w:styleId="TitreobjetPagedecouverture">
    <w:name w:val="Titre objet (Page de couverture)"/>
    <w:basedOn w:val="Titreobjet"/>
    <w:next w:val="IntrtEEEPagedecouverture"/>
    <w:rsid w:val="009B7138"/>
  </w:style>
  <w:style w:type="paragraph" w:customStyle="1" w:styleId="TypedudocumentPagedecouverture">
    <w:name w:val="Type du document (Page de couverture)"/>
    <w:basedOn w:val="Typedudocument"/>
    <w:next w:val="TitreobjetPagedecouverture"/>
    <w:rsid w:val="009B7138"/>
  </w:style>
  <w:style w:type="paragraph" w:customStyle="1" w:styleId="Volume">
    <w:name w:val="Volume"/>
    <w:basedOn w:val="Normal"/>
    <w:next w:val="Confidentialit"/>
    <w:rsid w:val="009B7138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9B7138"/>
    <w:pPr>
      <w:spacing w:after="240"/>
    </w:pPr>
  </w:style>
  <w:style w:type="paragraph" w:customStyle="1" w:styleId="Accompagnant">
    <w:name w:val="Accompagnant"/>
    <w:basedOn w:val="Normal"/>
    <w:next w:val="Typeacteprincipal"/>
    <w:rsid w:val="009B7138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rsid w:val="009B7138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9B7138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9B7138"/>
  </w:style>
  <w:style w:type="paragraph" w:customStyle="1" w:styleId="AccompagnantPagedecouverture">
    <w:name w:val="Accompagnant (Page de couverture)"/>
    <w:basedOn w:val="Accompagnant"/>
    <w:next w:val="TypeacteprincipalPagedecouverture"/>
    <w:rsid w:val="009B7138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9B7138"/>
  </w:style>
  <w:style w:type="paragraph" w:customStyle="1" w:styleId="ObjetacteprincipalPagedecouverture">
    <w:name w:val="Objet acte principal (Page de couverture)"/>
    <w:basedOn w:val="Objetacteprincipal"/>
    <w:next w:val="Rfrencecroise"/>
    <w:rsid w:val="009B7138"/>
  </w:style>
  <w:style w:type="paragraph" w:customStyle="1" w:styleId="LanguesfaisantfoiPagedecouverture">
    <w:name w:val="Langues faisant foi (Page de couverture)"/>
    <w:basedOn w:val="Normal"/>
    <w:next w:val="Normal"/>
    <w:rsid w:val="009B7138"/>
    <w:pPr>
      <w:spacing w:before="360" w:after="0"/>
      <w:jc w:val="center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DD08BC"/>
    <w:rPr>
      <w:rFonts w:ascii="Times New Roman" w:eastAsiaTheme="majorEastAsia" w:hAnsi="Times New Roman" w:cs="Times New Roman"/>
      <w:sz w:val="24"/>
      <w:lang w:val="cs-CZ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8BC"/>
    <w:rPr>
      <w:rFonts w:ascii="Times New Roman" w:eastAsiaTheme="majorEastAsia" w:hAnsi="Times New Roman" w:cs="Times New Roman"/>
      <w:iCs/>
      <w:sz w:val="24"/>
      <w:lang w:val="cs-CZ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8BC"/>
    <w:rPr>
      <w:rFonts w:ascii="Times New Roman" w:eastAsiaTheme="majorEastAsia" w:hAnsi="Times New Roman" w:cs="Times New Roman"/>
      <w:iCs/>
      <w:sz w:val="24"/>
      <w:lang w:val="cs-CZ"/>
    </w:rPr>
  </w:style>
  <w:style w:type="paragraph" w:customStyle="1" w:styleId="ManualHeading5">
    <w:name w:val="Manual Heading 5"/>
    <w:basedOn w:val="Normal"/>
    <w:next w:val="Text2"/>
    <w:rsid w:val="00DD08BC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"/>
    <w:next w:val="Text2"/>
    <w:rsid w:val="00DD08BC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"/>
    <w:next w:val="Text2"/>
    <w:rsid w:val="00DD08BC"/>
    <w:pPr>
      <w:keepNext/>
      <w:tabs>
        <w:tab w:val="left" w:pos="1417"/>
      </w:tabs>
      <w:ind w:left="1417" w:hanging="1417"/>
      <w:outlineLvl w:val="6"/>
    </w:pPr>
  </w:style>
  <w:style w:type="paragraph" w:customStyle="1" w:styleId="Text5">
    <w:name w:val="Text 5"/>
    <w:basedOn w:val="Normal"/>
    <w:rsid w:val="00DD08BC"/>
    <w:pPr>
      <w:ind w:left="3118"/>
    </w:pPr>
  </w:style>
  <w:style w:type="paragraph" w:customStyle="1" w:styleId="Text6">
    <w:name w:val="Text 6"/>
    <w:basedOn w:val="Normal"/>
    <w:rsid w:val="00DD08BC"/>
    <w:pPr>
      <w:ind w:left="3685"/>
    </w:pPr>
  </w:style>
  <w:style w:type="paragraph" w:customStyle="1" w:styleId="Point5">
    <w:name w:val="Point 5"/>
    <w:basedOn w:val="Normal"/>
    <w:rsid w:val="00DD08BC"/>
    <w:pPr>
      <w:ind w:left="3685" w:hanging="567"/>
    </w:pPr>
  </w:style>
  <w:style w:type="paragraph" w:customStyle="1" w:styleId="Tiret5">
    <w:name w:val="Tiret 5"/>
    <w:basedOn w:val="Point5"/>
    <w:rsid w:val="00DD08BC"/>
    <w:pPr>
      <w:numPr>
        <w:numId w:val="42"/>
      </w:numPr>
    </w:pPr>
  </w:style>
  <w:style w:type="paragraph" w:customStyle="1" w:styleId="NumPar5">
    <w:name w:val="NumPar 5"/>
    <w:basedOn w:val="Normal"/>
    <w:next w:val="Text2"/>
    <w:rsid w:val="00DD08BC"/>
    <w:pPr>
      <w:numPr>
        <w:ilvl w:val="4"/>
        <w:numId w:val="45"/>
      </w:numPr>
    </w:pPr>
  </w:style>
  <w:style w:type="paragraph" w:customStyle="1" w:styleId="NumPar6">
    <w:name w:val="NumPar 6"/>
    <w:basedOn w:val="Normal"/>
    <w:next w:val="Text2"/>
    <w:rsid w:val="00DD08BC"/>
    <w:pPr>
      <w:numPr>
        <w:ilvl w:val="5"/>
        <w:numId w:val="45"/>
      </w:numPr>
    </w:pPr>
  </w:style>
  <w:style w:type="paragraph" w:customStyle="1" w:styleId="NumPar7">
    <w:name w:val="NumPar 7"/>
    <w:basedOn w:val="Normal"/>
    <w:next w:val="Text2"/>
    <w:rsid w:val="00DD08BC"/>
    <w:pPr>
      <w:numPr>
        <w:ilvl w:val="6"/>
        <w:numId w:val="45"/>
      </w:numPr>
    </w:pPr>
  </w:style>
  <w:style w:type="paragraph" w:customStyle="1" w:styleId="ManualNumPar5">
    <w:name w:val="Manual NumPar 5"/>
    <w:basedOn w:val="Normal"/>
    <w:next w:val="Text2"/>
    <w:rsid w:val="00DD08BC"/>
    <w:pPr>
      <w:ind w:left="1417" w:hanging="1417"/>
    </w:pPr>
  </w:style>
  <w:style w:type="paragraph" w:customStyle="1" w:styleId="ManualNumPar6">
    <w:name w:val="Manual NumPar 6"/>
    <w:basedOn w:val="Normal"/>
    <w:next w:val="Text2"/>
    <w:rsid w:val="00DD08BC"/>
    <w:pPr>
      <w:ind w:left="1417" w:hanging="1417"/>
    </w:pPr>
  </w:style>
  <w:style w:type="paragraph" w:customStyle="1" w:styleId="ManualNumPar7">
    <w:name w:val="Manual NumPar 7"/>
    <w:basedOn w:val="Normal"/>
    <w:next w:val="Text2"/>
    <w:rsid w:val="00DD08BC"/>
    <w:pPr>
      <w:ind w:left="1417" w:hanging="14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'1.0' encoding='UTF-8' standalone='yes'?>
<Relationships xmlns="http://schemas.openxmlformats.org/package/2006/relationships"><Relationship Id="rId2" Type="http://schemas.openxmlformats.org/officeDocument/2006/relationships/hyperlink" Target="https://eur-lex.europa.eu/legal-content/CS/AUTO/?uri=OJ:L:2005:209:TOC" TargetMode="External"/><Relationship Id="rId1" Type="http://schemas.openxmlformats.org/officeDocument/2006/relationships/hyperlink" Target="https://eur-lex.europa.eu/legal-content/CS/AUTO/?uri=OJ:L:2005:209:TOC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2</TotalTime>
  <Pages>9</Pages>
  <Words>1814</Words>
  <Characters>10651</Characters>
  <Application>Microsoft Office Word</Application>
  <DocSecurity>0</DocSecurity>
  <Lines>197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35</cp:revision>
  <dcterms:created xsi:type="dcterms:W3CDTF">2022-01-11T07:11:00Z</dcterms:created>
  <dcterms:modified xsi:type="dcterms:W3CDTF">2022-01-17T08:03:00Z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COM/PL/ORG</vt:lpwstr>
  </property>
  <property fmtid="{D5CDD505-2E9C-101B-9397-08002B2CF9AE}" pid="3" name="Version">
    <vt:lpwstr>7.0.9.0</vt:lpwstr>
  </property>
  <property fmtid="{D5CDD505-2E9C-101B-9397-08002B2CF9AE}" pid="4" name="Last edited using">
    <vt:lpwstr>LW 7.0.1, Build 20200226</vt:lpwstr>
  </property>
  <property fmtid="{D5CDD505-2E9C-101B-9397-08002B2CF9AE}" pid="5" name="Created using">
    <vt:lpwstr>LW 7.0.1, Build 20200226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Level of sensitivity">
    <vt:lpwstr>Standard treatment</vt:lpwstr>
  </property>
  <property fmtid="{D5CDD505-2E9C-101B-9397-08002B2CF9AE}" pid="9" name="LWTemplateID">
    <vt:lpwstr>SJ-019</vt:lpwstr>
  </property>
  <property fmtid="{D5CDD505-2E9C-101B-9397-08002B2CF9AE}" pid="10" name="DQCStatus">
    <vt:lpwstr>Green (DQC version 03)</vt:lpwstr>
  </property>
  <property name="OP_sanitized" fmtid="{D5CDD505-2E9C-101B-9397-08002B2CF9AE}" pid="11">
    <vt:lpwstr>True</vt:lpwstr>
  </property>
</Properties>
</file>