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rStyle w:val="CommentReference"/>
          <w:noProof/>
        </w:rPr>
      </w:pPr>
      <w:r>
        <w:rPr>
          <w:rStyle w:val="CommentReferenc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C250909C-368E-4CFC-BF2C-6829D696DF84" style="width:450.75pt;height:366pt">
            <v:imagedata r:id="rId13" o:title=""/>
          </v:shape>
        </w:pict>
      </w:r>
    </w:p>
    <w:p>
      <w:pPr>
        <w:rPr>
          <w:noProof/>
        </w:rPr>
        <w:sectPr>
          <w:footerReference w:type="defaul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DŮVODOVÁ ZPRÁVA</w:t>
      </w:r>
    </w:p>
    <w:p>
      <w:pPr>
        <w:pStyle w:val="ManualHeading1"/>
        <w:rPr>
          <w:noProof/>
        </w:rPr>
      </w:pPr>
      <w:r>
        <w:rPr>
          <w:noProof/>
        </w:rPr>
        <w:t>1.</w:t>
      </w:r>
      <w:r>
        <w:rPr>
          <w:noProof/>
        </w:rPr>
        <w:tab/>
        <w:t>SOUVISLOSTI NÁVRHU</w:t>
      </w:r>
    </w:p>
    <w:p>
      <w:pPr>
        <w:pStyle w:val="ManualHeading2"/>
        <w:rPr>
          <w:rFonts w:eastAsia="Arial Unicode MS"/>
          <w:noProof/>
        </w:rPr>
      </w:pPr>
      <w:r>
        <w:rPr>
          <w:noProof/>
        </w:rPr>
        <w:t>Odůvodnění a cíle návrhu</w:t>
      </w:r>
    </w:p>
    <w:p>
      <w:pPr>
        <w:rPr>
          <w:noProof/>
        </w:rPr>
      </w:pPr>
      <w:r>
        <w:rPr>
          <w:noProof/>
        </w:rPr>
        <w:t>Cílem nového rámcového programu pro výzkum a inovace Horizont Evropa (2021–2027) je dosáhnout většího dopadu na výzkum a inovace, a to mobilizací dalších soukromých a veřejných prostředků skrze společné investice prostřednictvím evropských partnerství. Tato partnerství se plánují v oblastech, kde jsou rozsah a míra zdrojů v oblasti výzkumu a inovací odůvodněné v zájmu dosažení priorit Unie, na něž program Horizont Evropa cílí, a to zejména jeho druhý pilíř – Globální výzvy a konkurenceschopnost průmyslu.</w:t>
      </w:r>
    </w:p>
    <w:p>
      <w:pPr>
        <w:rPr>
          <w:noProof/>
        </w:rPr>
      </w:pPr>
      <w:r>
        <w:rPr>
          <w:noProof/>
        </w:rPr>
        <w:t>Článek 8 nařízení Evropského parlamentu a Rady (EU) [XXX]</w:t>
      </w:r>
      <w:r>
        <w:rPr>
          <w:rStyle w:val="FootnoteReference"/>
          <w:noProof/>
        </w:rPr>
        <w:footnoteReference w:id="2"/>
      </w:r>
      <w:r>
        <w:rPr>
          <w:noProof/>
        </w:rPr>
        <w:t xml:space="preserve"> (dále jen „nařízení o programu Horizont Evropa“) stanoví, že se institucionalizovaná evropská partnerství založená na článcích 185 a 187 Smlouvy o fungování Evropské unie (dále jen „SFEU“) „provádějí pouze v případě, že by jiné části programu Horizont Evropa, včetně jiných forem evropských partnerství, nedosáhly cílů nebo by nevytvořily potřebné očekávané dopady, a je-li to odůvodněno dlouhodobou perspektivou a vysokým stupněm integrace“. </w:t>
      </w:r>
    </w:p>
    <w:p>
      <w:pPr>
        <w:rPr>
          <w:noProof/>
        </w:rPr>
      </w:pPr>
      <w:r>
        <w:rPr>
          <w:noProof/>
        </w:rPr>
        <w:t>V nařízení o programu Horizont Evropa dále spolunormotvůrci vymezili osm prioritních oblastí pro možná institucionalizovaná evropská partnerství založená na článku 185 nebo článku 187 SFEU. Následně bylo určeno 12 kandidátských iniciativ, jež byly předmětem koordinovaného posouzení dopadů</w:t>
      </w:r>
      <w:r>
        <w:rPr>
          <w:rStyle w:val="FootnoteReference"/>
          <w:noProof/>
        </w:rPr>
        <w:footnoteReference w:id="3"/>
      </w:r>
      <w:r>
        <w:rPr>
          <w:noProof/>
        </w:rPr>
        <w:t>.</w:t>
      </w:r>
    </w:p>
    <w:p>
      <w:pPr>
        <w:spacing w:before="0" w:after="240"/>
        <w:rPr>
          <w:noProof/>
        </w:rPr>
      </w:pPr>
      <w:r>
        <w:rPr>
          <w:noProof/>
        </w:rPr>
        <w:t>Spolunormotvůrci uznali metrologii jako jednu z těchto prioritních oblastí spadajících do působnosti nařízení o programu Horizont Evropa, a proto je předkládán tento návrh na Evropské partnerství v oblasti metrologie. Návrh vychází z poznatků získaných z evropského metrologického výzkumného programu (European Metrology Research Programme, dále jen „EMRP“) a evropského metrologického programu pro inovace a výzkum (European Metrology Programme for Innovation and Research, dále jen „EMPIR“). Tato iniciativa však představuje nové partnerství k řešení nových problémů. Není zamýšlena jako pouhé pokračování předchozích programů.</w:t>
      </w:r>
    </w:p>
    <w:p>
      <w:pPr>
        <w:spacing w:before="0" w:after="240"/>
        <w:rPr>
          <w:rFonts w:eastAsia="Arial Unicode MS"/>
          <w:noProof/>
        </w:rPr>
      </w:pPr>
      <w:r>
        <w:rPr>
          <w:noProof/>
        </w:rPr>
        <w:t xml:space="preserve">Návrh souvisí s účastí Evropské unie na evropském metrologickém programu prováděném několika členskými státy. Metrologie je věda zabývající se měřením. Jedná se o klíčový předpoklad hospodářské a sociální činnosti, a tudíž je veřejným statkem. Metrologické výzkumné programy na úrovni EU v současné době nemají dostatečný vliv v důsledku roztříštěnosti činností a překrývání úsilí vynakládaného jednotlivými členskými státy. </w:t>
      </w:r>
    </w:p>
    <w:p>
      <w:pPr>
        <w:spacing w:before="0" w:after="240"/>
        <w:rPr>
          <w:rFonts w:eastAsia="Arial Unicode MS"/>
          <w:noProof/>
          <w:szCs w:val="24"/>
        </w:rPr>
      </w:pPr>
      <w:r>
        <w:rPr>
          <w:noProof/>
        </w:rPr>
        <w:t xml:space="preserve">Je tomu tak v době, kdy Evropa čelí zvýšené celosvětové konkurenci v oblasti metrologie, pokud jde o rozsah a zaměření investic a dlouhodobý finanční závazek k plnění cílů v oblasti metrologie. V posledním desetiletí zvýšily Spojené státy své investice do metrologie o 60 %, Čína o 50 % a Indie o 52 %. Během téhož období zůstaly investice do evropských institutů poměrně neměnné a nereagovaly na nové oblasti výzkumu, které neustále nabývají na </w:t>
      </w:r>
      <w:r>
        <w:rPr>
          <w:noProof/>
        </w:rPr>
        <w:lastRenderedPageBreak/>
        <w:t>významu. Nedostatečná úroveň investic v Evropě spolu s roztříštěností kapacit pro metrologii vedly k přílišnému rozptýlení úsilí bez strategického zaměření. Předchozí programy EMRP a EMPIR financované na úrovni EU prokázaly, že lze tuto roztříštěnost omezit a také spolufinancovat činnosti v oblasti budování kapacit pro metrologii a společných priorit.</w:t>
      </w:r>
    </w:p>
    <w:p>
      <w:pPr>
        <w:spacing w:before="0" w:after="240"/>
        <w:rPr>
          <w:rStyle w:val="Hyperlink"/>
          <w:rFonts w:eastAsia="Arial Unicode MS"/>
          <w:noProof/>
          <w:color w:val="auto"/>
          <w:sz w:val="18"/>
          <w:szCs w:val="18"/>
          <w:vertAlign w:val="superscript"/>
        </w:rPr>
      </w:pPr>
      <w:r>
        <w:rPr>
          <w:noProof/>
        </w:rPr>
        <w:t>V uplynulých letech investice mimo EU pokračovaly. Ve Spojených státech činila v letech 2018 a 2019 výše celkového ročního rozpočtu Národního ústavu pro normalizaci a technologie, tedy národního metrologického institutu, 724,5 milionu USD. Pozoruhodná opatření zahrnují zvláštní program pro vědy o předběžném měření („laboratorní program“), jehož roční rozpočet přesahuje 60 milionů USD, a výzkumný program týkající se základního měření, včetně kvantové vědy, jehož roční rozpočet přesahuje 160 milionů USD. Podle nejnovějších dostupných informací měl národní metrologický institut v Číně v roce 2018 provozní rozpočet ve výši 180 milionů EUR. Kromě toho prováděla Čína v letech 2016–2019 výzkumný program zaměřený na metrologii s rozpočtem přibližně 65 milionů EUR a financovala 160 výzkumných projektů založených na spolupráci po celé zemi. Výše celkového ročního provozního rozpočtu PTB, což je německý národní metrologický institut a největší institut svého druhu v Evropě, činí oproti tomu 200 milionů EUR, z čehož většina necílí na výzkum, ale na metrologické služby pro průmysl a společnost.</w:t>
      </w:r>
    </w:p>
    <w:p>
      <w:pPr>
        <w:spacing w:before="0" w:after="240"/>
        <w:rPr>
          <w:rFonts w:eastAsia="Arial Unicode MS"/>
          <w:noProof/>
        </w:rPr>
      </w:pPr>
      <w:r>
        <w:rPr>
          <w:noProof/>
        </w:rPr>
        <w:t>Naši světoví konkurenti uskutečňují tyto strategické investice z důvodu rostoucí potřeby metrologických řešení zaměřených na vznikající technologie a vývoj nových produktů. Kromě toho je kvůli narůstajícím společenským výzvám, které vyžadují důvěryhodné normy a předpisy, nezbytně nutné řešit nedostatečné začlenění metrologie do inovačního systému na evropské úrovni.</w:t>
      </w:r>
    </w:p>
    <w:p>
      <w:pPr>
        <w:spacing w:before="0" w:after="240"/>
        <w:rPr>
          <w:rFonts w:eastAsia="Arial Unicode MS"/>
          <w:noProof/>
        </w:rPr>
      </w:pPr>
      <w:r>
        <w:rPr>
          <w:noProof/>
        </w:rPr>
        <w:t>Má-li být zachováno vedoucí postavení Evropy v hospodářské soutěži v oblasti vznikajících technologií a vývoje nových produktů a při zajišťování perspektivního přístupu k důvěryhodným normám a předpisům, které předjímají společenské výzvy</w:t>
      </w:r>
      <w:r>
        <w:rPr>
          <w:rStyle w:val="FootnoteReference"/>
          <w:rFonts w:eastAsia="Arial Unicode MS"/>
          <w:noProof/>
        </w:rPr>
        <w:footnoteReference w:id="4"/>
      </w:r>
      <w:r>
        <w:rPr>
          <w:noProof/>
        </w:rPr>
        <w:t>, je nezbytné, aby evropská iniciativa pro metrologii zajistila, že do roku 2030 budou metrologická řešení v Evropě alespoň srovnatelná s nejlepšími výsledky na celosvětové úrovni v tom ohledu, že zajistí poskytování metrologických služeb světové úrovně v souvislosti se stávajícími složitými výzvami v oblasti měření a s novými technologiemi. Toho by mělo být dosaženo prostřednictvím specializovaných celoevropských sítí, které sdružují zdroje, aby bylo zajištěno kritické množství kapacit. Tato metrologická řešení by měla podporovat prodej nových, inovativních produktů a služeb, a to zaváděním a využíváním klíčových vznikajících technologií. Řešení by rovněž měla přispět k účinnému navrhování a provádění zvláštních norem a předpisů, které podpoří veřejné politiky zaměřené na řešení společenských výzev.</w:t>
      </w:r>
    </w:p>
    <w:p>
      <w:pPr>
        <w:pStyle w:val="ManualHeading2"/>
        <w:rPr>
          <w:rFonts w:eastAsia="Arial Unicode MS"/>
          <w:noProof/>
          <w:bdr w:val="nil"/>
        </w:rPr>
      </w:pPr>
      <w:r>
        <w:rPr>
          <w:noProof/>
        </w:rPr>
        <w:t>Soulad s platnými předpisy v této oblasti politiky</w:t>
      </w:r>
    </w:p>
    <w:p>
      <w:pPr>
        <w:rPr>
          <w:rFonts w:eastAsia="Arial Unicode MS"/>
          <w:noProof/>
        </w:rPr>
      </w:pPr>
      <w:r>
        <w:rPr>
          <w:noProof/>
        </w:rPr>
        <w:t xml:space="preserve">Vzhledem k tomu, že z metrologie vycházejí všechny vědecké a technologické obory, může zlepšení kapacit pro metrologii urychlit vědecký pokrok a průmyslový vývoj, čímž přispěje k řešení problémů například v oblasti zdraví, životního prostředí, změny klimatu, sociální </w:t>
      </w:r>
      <w:r>
        <w:rPr>
          <w:noProof/>
        </w:rPr>
        <w:lastRenderedPageBreak/>
        <w:t>ochrany a kulturního dědictví. Jakákoli evropská iniciativa pro metrologii na podporu výzkumu a inovací v budoucnu by tudíž musela vytvářet a využívat vazby s několika dalšími iniciativami v rámci programu Horizont Evropa i mimo něj.</w:t>
      </w:r>
    </w:p>
    <w:p>
      <w:pPr>
        <w:rPr>
          <w:rFonts w:eastAsia="Arial Unicode MS"/>
          <w:noProof/>
        </w:rPr>
      </w:pPr>
      <w:r>
        <w:rPr>
          <w:noProof/>
        </w:rPr>
        <w:t xml:space="preserve">V programu Horizont Evropa je metrologie relevantní pro činnosti v oblasti výzkumu a inovací financované v rámci klastru „Digitální oblast, průmysl a vesmír“, jelikož spolehlivá a přesná měření, která metrologie umožňuje, hrají významnou roli v nejrůznějších výrobních odvětvích, zejména ve vysoce přesné výrobě výrobků s vysokou přidanou hodnotou v oblastech leteckého průmyslu, vysoce výkonné informační a komunikační technologie a vesmírného vybavení a léčiv. </w:t>
      </w:r>
    </w:p>
    <w:p>
      <w:pPr>
        <w:rPr>
          <w:rFonts w:eastAsia="Arial Unicode MS"/>
          <w:noProof/>
        </w:rPr>
      </w:pPr>
      <w:r>
        <w:rPr>
          <w:noProof/>
        </w:rPr>
        <w:t xml:space="preserve">Využití spolehlivých a přesných měření je však mnohem rozsáhlejší, a proto má Evropské partnerství v oblasti metrologie význam pro celou řadu dalších evropských politik a iniciativ v oblasti výzkumu a inovací, včetně partnerství veřejného a soukromého sektoru. Je například relevantní pro provoz inteligentních elektrických sítí. Metrologie má dále význam pro zajištění přesného měření při zdravotní diagnostice a poskytování zdravotní péče. </w:t>
      </w:r>
    </w:p>
    <w:p>
      <w:pPr>
        <w:rPr>
          <w:rFonts w:eastAsia="Arial Unicode MS"/>
          <w:noProof/>
        </w:rPr>
      </w:pPr>
      <w:r>
        <w:rPr>
          <w:noProof/>
        </w:rPr>
        <w:t>Obecněji se v rámci programu Horizont Evropa předpokládá doplňkovost s evropskými partnerstvími v následujících oblastech:</w:t>
      </w:r>
    </w:p>
    <w:p>
      <w:pPr>
        <w:pStyle w:val="Bullet0"/>
        <w:numPr>
          <w:ilvl w:val="0"/>
          <w:numId w:val="27"/>
        </w:numPr>
        <w:rPr>
          <w:noProof/>
        </w:rPr>
      </w:pPr>
      <w:r>
        <w:rPr>
          <w:noProof/>
        </w:rPr>
        <w:t>odvětví s významnou úlohou digitálních technologií, např. „Made in Europe“ ve vztahu k diskrétní výrobě,</w:t>
      </w:r>
    </w:p>
    <w:p>
      <w:pPr>
        <w:pStyle w:val="Bullet0"/>
        <w:rPr>
          <w:noProof/>
        </w:rPr>
      </w:pPr>
      <w:r>
        <w:rPr>
          <w:noProof/>
        </w:rPr>
        <w:t>monitorování emisí CO</w:t>
      </w:r>
      <w:r>
        <w:rPr>
          <w:noProof/>
          <w:vertAlign w:val="subscript"/>
        </w:rPr>
        <w:t>2</w:t>
      </w:r>
      <w:r>
        <w:rPr>
          <w:noProof/>
        </w:rPr>
        <w:t xml:space="preserve"> a znečištění ovzduší obecně v rámci partnerství pro přechod na čistou energii a „Processes4Planet“ (Procesy pro planetu), </w:t>
      </w:r>
    </w:p>
    <w:p>
      <w:pPr>
        <w:pStyle w:val="Bullet0"/>
        <w:numPr>
          <w:ilvl w:val="0"/>
          <w:numId w:val="26"/>
        </w:numPr>
        <w:rPr>
          <w:noProof/>
        </w:rPr>
      </w:pPr>
      <w:r>
        <w:rPr>
          <w:noProof/>
        </w:rPr>
        <w:t xml:space="preserve">klíčové digitální technologie, inteligentní sítě a služby, umělá inteligence, data a robotika, </w:t>
      </w:r>
    </w:p>
    <w:p>
      <w:pPr>
        <w:pStyle w:val="Bullet0"/>
        <w:rPr>
          <w:noProof/>
        </w:rPr>
      </w:pPr>
      <w:r>
        <w:rPr>
          <w:noProof/>
        </w:rPr>
        <w:t>dosažení silniční dopravy s nulovými emisemi („2Zero“), bezpečná a automatizovaná silniční doprava díky propojenému řízení a partnerství v oblasti čisté letecké dopravy,</w:t>
      </w:r>
    </w:p>
    <w:p>
      <w:pPr>
        <w:pStyle w:val="Bullet0"/>
        <w:rPr>
          <w:noProof/>
        </w:rPr>
      </w:pPr>
      <w:r>
        <w:rPr>
          <w:noProof/>
        </w:rPr>
        <w:t xml:space="preserve">synergie by také měly být vytvořeny s iniciativou pro inovativní zdravotnictví a s partnerstvím pro rozsáhlé inovace a transformaci systémů zdravotní péče v digitální a stárnoucí společnosti. Vzhledem ke svému průřezovému charakteru by budoucí Evropské partnerství v oblasti metrologie dále mělo přispět k provádění budoucích misí v rámci programu Horizont Evropa. Měly by také být vytvořeny vazby s budoucím partnerstvím týkajícím se evropského cloudu pro otevřenou vědu.   </w:t>
      </w:r>
    </w:p>
    <w:p>
      <w:pPr>
        <w:rPr>
          <w:rFonts w:eastAsia="Arial Unicode MS"/>
          <w:noProof/>
        </w:rPr>
      </w:pPr>
      <w:r>
        <w:rPr>
          <w:noProof/>
        </w:rPr>
        <w:t>Mimo program Horizont Evropa bude zajištěna doplňkovost s dalšími evropskými programy s cílem podpořit využívání metrologických řešení, a to např. s Nástrojem pro propojení Evropy, programem Digitální Evropa a programem LIFE pro životní prostředí. Na vazby a účinnou komunikaci mezi partnerstvím v oblasti metrologie a ostatními relevantními programy bude dohlížet nová řídicí skupina.</w:t>
      </w:r>
    </w:p>
    <w:p>
      <w:pPr>
        <w:pStyle w:val="ManualHeading2"/>
        <w:rPr>
          <w:rFonts w:eastAsia="Arial Unicode MS"/>
          <w:noProof/>
        </w:rPr>
      </w:pPr>
      <w:r>
        <w:rPr>
          <w:noProof/>
        </w:rPr>
        <w:t>Soulad s ostatními politikami Unie</w:t>
      </w:r>
    </w:p>
    <w:p>
      <w:pPr>
        <w:rPr>
          <w:rFonts w:eastAsia="Arial Unicode MS"/>
          <w:noProof/>
        </w:rPr>
      </w:pPr>
      <w:r>
        <w:rPr>
          <w:noProof/>
        </w:rPr>
        <w:t xml:space="preserve">Evropská iniciativa pro metrologii výrazně přispěje i k dalším politikám Unie nad rámec výzkumu a inovací. Jakožto základ nejrůznějších odvětví a oborů se metrologická řešení týkají všech šesti priorit Komise, jak je znázorněno v tabulce níže.  </w:t>
      </w:r>
    </w:p>
    <w:p>
      <w:pPr>
        <w:rPr>
          <w:rFonts w:eastAsia="Arial Unicode MS"/>
          <w:i/>
          <w:iCs/>
          <w:noProof/>
          <w:sz w:val="22"/>
        </w:rPr>
      </w:pPr>
      <w:r>
        <w:rPr>
          <w:i/>
          <w:iCs/>
          <w:noProof/>
          <w:sz w:val="22"/>
        </w:rPr>
        <w:t>Tabulka: Úloha metrologie v souvislosti s prioritami Komise</w:t>
      </w:r>
    </w:p>
    <w:tbl>
      <w:tblPr>
        <w:tblStyle w:val="GridTable6Colorful"/>
        <w:tblW w:w="8642" w:type="dxa"/>
        <w:jc w:val="center"/>
        <w:tblLook w:val="04A0" w:firstRow="1" w:lastRow="0" w:firstColumn="1" w:lastColumn="0" w:noHBand="0" w:noVBand="1"/>
      </w:tblPr>
      <w:tblGrid>
        <w:gridCol w:w="3114"/>
        <w:gridCol w:w="5528"/>
      </w:tblGrid>
      <w:tr>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rPr>
                <w:rFonts w:eastAsia="Arial Unicode MS"/>
                <w:b w:val="0"/>
                <w:bCs w:val="0"/>
                <w:noProof/>
                <w:color w:val="auto"/>
                <w:szCs w:val="24"/>
              </w:rPr>
            </w:pPr>
            <w:r>
              <w:rPr>
                <w:noProof/>
                <w:color w:val="auto"/>
                <w:szCs w:val="24"/>
              </w:rPr>
              <w:t>Priorita</w:t>
            </w:r>
          </w:p>
        </w:tc>
        <w:tc>
          <w:tcPr>
            <w:tcW w:w="5528" w:type="dxa"/>
          </w:tcPr>
          <w:p>
            <w:pPr>
              <w:cnfStyle w:val="100000000000" w:firstRow="1" w:lastRow="0" w:firstColumn="0" w:lastColumn="0" w:oddVBand="0" w:evenVBand="0" w:oddHBand="0" w:evenHBand="0" w:firstRowFirstColumn="0" w:firstRowLastColumn="0" w:lastRowFirstColumn="0" w:lastRowLastColumn="0"/>
              <w:rPr>
                <w:rFonts w:eastAsia="Arial Unicode MS"/>
                <w:b w:val="0"/>
                <w:bCs w:val="0"/>
                <w:noProof/>
                <w:color w:val="auto"/>
                <w:szCs w:val="24"/>
              </w:rPr>
            </w:pPr>
            <w:r>
              <w:rPr>
                <w:noProof/>
                <w:color w:val="auto"/>
                <w:szCs w:val="24"/>
              </w:rPr>
              <w:t>Příklad úlohy metrologie</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Zelená dohoda pro Evropu</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Poskytuje metriky pro dosažení klimatické neutrality</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lastRenderedPageBreak/>
              <w:t>Hospodářství ve prospěch lidí</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Inovativní a přesnější měřicí přístroje jsou nedílnou součástí úspěšného plánu boje proti rakovině</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Evropa připravená na digitální věk</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Ústřední úloha při stanovování norem pro sítě 5G a digitální služby</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Ochrana evropského způsobu života</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rPr>
            </w:pPr>
            <w:r>
              <w:rPr>
                <w:noProof/>
                <w:color w:val="auto"/>
              </w:rPr>
              <w:t>Zásadní úloha při zajišťování důvěry v plně fungující schengenský prostor s cílem posílit evropský přístup k řízení rizik v oblasti cel</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Silnější Evropa ve světě</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rPr>
            </w:pPr>
            <w:r>
              <w:rPr>
                <w:noProof/>
                <w:color w:val="auto"/>
              </w:rPr>
              <w:t>Podporuje úlohu Evropy coby tvůrce standardů, který uplatňuje účinnou politiku otevřeného a spravedlivého obchodu a fungující systém obchodování s emisemi</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Nový impuls pro evropskou demokracii</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Zajištění norem na ochranu Evropy před skrytými vnějšími zásahy</w:t>
            </w:r>
          </w:p>
        </w:tc>
      </w:tr>
    </w:tbl>
    <w:p>
      <w:pPr>
        <w:spacing w:before="240"/>
        <w:rPr>
          <w:rFonts w:eastAsia="Arial Unicode MS"/>
          <w:noProof/>
        </w:rPr>
      </w:pPr>
      <w:r>
        <w:rPr>
          <w:noProof/>
        </w:rPr>
        <w:t>Díky metrologii lze provedená měření ověřit podle mezinárodně schválených definic a standardů. To tvoří základ národních a mezinárodních metrologických systémů, které umožňují přesná, spolehlivá a důvěryhodná měření, o něž se opírá celá řada hospodářských činností a veřejných služeb a která pokrývají celý vnitřní trh v hospodářství ve prospěch lidí. To se týká bezpečnosti spotřebního zboží i finančních služeb, kde metrologie umožňuje záznam přesného času provedení každé finanční transakce, aby byl zajištěn dohledatelný důkaz o této transakci a soulad s evropskými finančními předpisy.</w:t>
      </w:r>
    </w:p>
    <w:p>
      <w:pPr>
        <w:spacing w:before="240"/>
        <w:rPr>
          <w:rFonts w:eastAsia="Arial Unicode MS"/>
          <w:noProof/>
        </w:rPr>
      </w:pPr>
      <w:r>
        <w:rPr>
          <w:noProof/>
        </w:rPr>
        <w:t>V zájmu podpory Evropy připravené na digitální věk umožní schopnost národních metrologických institutů a specializovaných ústavů provádět přesná měření pomocí nejmodernějších metod využívání moderních digitálních služeb, ale také veškerých vznikajících digitálních technologií, jako jsou kvantové technologie či umělá inteligence.</w:t>
      </w:r>
    </w:p>
    <w:p>
      <w:pPr>
        <w:rPr>
          <w:rFonts w:eastAsia="Arial Unicode MS"/>
          <w:noProof/>
        </w:rPr>
      </w:pPr>
      <w:r>
        <w:rPr>
          <w:noProof/>
        </w:rPr>
        <w:t xml:space="preserve">Dosažení klimatické neutrality do roku 2050 bude vyžadovat schopnost provádět jednoznačná měření v oblastech dálkového průzkumu (například při pozorování Země), životního prostředí a energetiky. Konkrétně s výzvami v oblasti metrologie přímo souvisejí politické oblasti spadající pod Zelenou dohodu pro Evropu. Schopnost provádět přesné a ověřitelné měření umožňuje důsledné environmentální monitorování stavu klimatu. Kromě toho podporuje účinné navrhování a prosazování předpisů na ochranu životního prostředí tím, že poskytuje důvěryhodné údaje o klimatických proměnných, které podporují Pařížskou dohodu o změně klimatu, a o parametrech životního prostředí, jako je kvalita ovzduší a vody. </w:t>
      </w:r>
    </w:p>
    <w:p>
      <w:pPr>
        <w:rPr>
          <w:rFonts w:eastAsia="Arial Unicode MS"/>
          <w:noProof/>
        </w:rPr>
      </w:pPr>
      <w:r>
        <w:rPr>
          <w:noProof/>
        </w:rPr>
        <w:t>V souvislosti s energetikou bude zásadní úloha vědy o měření spočívat například v tom, že přispěje k přechodu k energii z obnovitelných zdrojů. V budoucnosti s nízkými emisemi uhlíku bude klíčové rozumět rozsahu, časovému rámci a dopadu změny klimatu. To vyžaduje přesné a spolehlivé monitorování všech klimatických proměnných v dlouhém časovém rámci, aby mohly být odhaleny a pochopeny tendence vývoje klimatu.</w:t>
      </w:r>
    </w:p>
    <w:p>
      <w:pPr>
        <w:rPr>
          <w:rFonts w:eastAsia="Arial Unicode MS"/>
          <w:noProof/>
        </w:rPr>
      </w:pPr>
      <w:r>
        <w:rPr>
          <w:noProof/>
        </w:rPr>
        <w:t xml:space="preserve">Kromě toho by metrologie měla podpořit účelné předpisy na ochranu životního prostředí týkající se například znečištění vody nebo ovzduší, včetně monitorování a prosazování. Kromě energetiky a životního prostředí budou moderní a funkční metrologický systém vyžadovat také jiné politické oblasti spadající pod Zelenou dohodu, jako např. </w:t>
      </w:r>
      <w:r>
        <w:rPr>
          <w:b/>
          <w:bCs/>
          <w:noProof/>
        </w:rPr>
        <w:t>udržitelný průmysl, udržitelná mobilita a biologická rozmanitost</w:t>
      </w:r>
      <w:r>
        <w:rPr>
          <w:noProof/>
        </w:rPr>
        <w:t>.</w:t>
      </w:r>
    </w:p>
    <w:p>
      <w:pPr>
        <w:pStyle w:val="ManualHeading1"/>
        <w:rPr>
          <w:noProof/>
        </w:rPr>
      </w:pPr>
      <w:r>
        <w:rPr>
          <w:noProof/>
        </w:rPr>
        <w:lastRenderedPageBreak/>
        <w:t>2.</w:t>
      </w:r>
      <w:r>
        <w:rPr>
          <w:noProof/>
        </w:rPr>
        <w:tab/>
        <w:t>PRÁVNÍ ZÁKLAD, SUBSIDIARITA A PROPORCIONALITA</w:t>
      </w:r>
    </w:p>
    <w:p>
      <w:pPr>
        <w:pStyle w:val="ManualHeading2"/>
        <w:rPr>
          <w:rFonts w:eastAsia="Arial Unicode MS"/>
          <w:noProof/>
          <w:bdr w:val="nil"/>
        </w:rPr>
      </w:pPr>
      <w:r>
        <w:rPr>
          <w:noProof/>
          <w:bdr w:val="nil"/>
        </w:rPr>
        <w:t>Právní základ</w:t>
      </w:r>
    </w:p>
    <w:p>
      <w:pPr>
        <w:spacing w:before="0" w:after="240"/>
        <w:rPr>
          <w:rFonts w:eastAsia="Arial Unicode MS"/>
          <w:noProof/>
        </w:rPr>
      </w:pPr>
      <w:r>
        <w:rPr>
          <w:noProof/>
        </w:rPr>
        <w:t>Návrh týkající se evropské iniciativy pro metrologii vychází z článku 185 SFEU, který se týká účasti Evropské unie na výzkumných a rozvojových programech prováděných několika členskými státy, včetně účasti ve strukturách vytvořených k uskutečnění těchto programů.</w:t>
      </w:r>
    </w:p>
    <w:p>
      <w:pPr>
        <w:pStyle w:val="ManualHeading2"/>
        <w:rPr>
          <w:rFonts w:eastAsia="Arial Unicode MS"/>
          <w:noProof/>
          <w:bdr w:val="nil"/>
        </w:rPr>
      </w:pPr>
      <w:r>
        <w:rPr>
          <w:noProof/>
          <w:bdr w:val="nil"/>
        </w:rPr>
        <w:t xml:space="preserve">Subsidiarita (v případě nevýlučné pravomoci) </w:t>
      </w:r>
    </w:p>
    <w:p>
      <w:pPr>
        <w:rPr>
          <w:rFonts w:eastAsia="Arial Unicode MS"/>
          <w:noProof/>
        </w:rPr>
      </w:pPr>
      <w:r>
        <w:rPr>
          <w:noProof/>
        </w:rPr>
        <w:t>Uplatní se zásada subsidiarity, jelikož návrh nespadá do výlučné pravomoci Unie. Subsidiarita je zajištěna tím, že návrh je založen na článku 185 SFEU, který výslovně umožňuje účast Unie na výzkumných programech prováděných několika členskými státy.</w:t>
      </w:r>
    </w:p>
    <w:p>
      <w:pPr>
        <w:rPr>
          <w:rFonts w:eastAsia="Arial Unicode MS"/>
          <w:noProof/>
        </w:rPr>
      </w:pPr>
      <w:r>
        <w:rPr>
          <w:noProof/>
        </w:rPr>
        <w:t>Cílů návrhu nemůže být uspokojivě dosaženo na úrovni členských států, jelikož rozsah a složitost metrologie vyžadují investice, které přesahují rámec základních rozpočtů národních metrologických institutů určených na výzkum. Excelence, která je nezbytná pro výzkum a vývoj špičkových metrologických řešení, je rozptýlena přes hranice jednotlivých států, a nelze jí proto dosáhnout pouze na vnitrostátní úrovni. Bez jednotného přístupu na evropské úrovni s kritickým množstvím existuje nebezpečí vynakládání dvojího úsilí, což má za následek vyšší náklady a menší dopad.</w:t>
      </w:r>
    </w:p>
    <w:p>
      <w:pPr>
        <w:pBdr>
          <w:top w:val="nil"/>
          <w:left w:val="nil"/>
          <w:bottom w:val="nil"/>
          <w:right w:val="nil"/>
          <w:between w:val="nil"/>
          <w:bar w:val="nil"/>
        </w:pBdr>
        <w:spacing w:before="0" w:after="240"/>
        <w:rPr>
          <w:rFonts w:eastAsia="Arial Unicode MS"/>
          <w:noProof/>
        </w:rPr>
      </w:pPr>
      <w:r>
        <w:rPr>
          <w:noProof/>
        </w:rPr>
        <w:t>Dosavadní podpora na úrovni EU ukázala prostor pro podporu vysoké úrovně integrace výzkumného úsilí v oblasti metrologie v celé Evropě. Podpora integrace dosud vycházela zdola, tj. ze spolupráce na úrovni projektů. Má-li být posíleno směřování výzkumu, je nezbytný strategičtější přístup k integraci úsilí v oblasti metrologie vzhledem k jejímu rostoucímu významu při podpoře vznikajících technologií a v reakci na společenské výzvy. Přidaná hodnota opatření na úrovni EU ve formě evropské iniciativy pro metrologii bude proto pocházet z vypracování a zavedení programového přístupu, který bude zacílen na metrologický výzkum v oblastech s rostoucím technologickým a společenským významem.</w:t>
      </w:r>
    </w:p>
    <w:p>
      <w:pPr>
        <w:pStyle w:val="ManualHeading2"/>
        <w:rPr>
          <w:rFonts w:eastAsia="Arial Unicode MS"/>
          <w:noProof/>
          <w:bdr w:val="nil"/>
        </w:rPr>
      </w:pPr>
      <w:r>
        <w:rPr>
          <w:noProof/>
          <w:bdr w:val="nil"/>
        </w:rPr>
        <w:t>Proporcionalita</w:t>
      </w:r>
    </w:p>
    <w:p>
      <w:pPr>
        <w:rPr>
          <w:rFonts w:eastAsia="Arial Unicode MS"/>
          <w:noProof/>
        </w:rPr>
      </w:pPr>
      <w:r>
        <w:rPr>
          <w:noProof/>
        </w:rPr>
        <w:t xml:space="preserve">Článek 185 SFEU vyzývá Unii, aby „se souhlasem dotyčných členských států stanovila pravidla pro účast na výzkumných a rozvojových programech prováděných několika členskými státy, včetně účasti ve strukturách vytvořených k uskutečnění těchto programů“. </w:t>
      </w:r>
    </w:p>
    <w:p>
      <w:pPr>
        <w:rPr>
          <w:rFonts w:eastAsia="Arial Unicode MS"/>
          <w:noProof/>
        </w:rPr>
      </w:pPr>
      <w:r>
        <w:rPr>
          <w:noProof/>
        </w:rPr>
        <w:t>Návrh je v souladu se zásadou proporcionality, jelikož za vypracování společného programu a všechny provozní aspekty budou odpovídat členské státy. Specializovaná prováděcí struktura – Evropská asociace národních metrologických institutů (dále jen „EURAMET“) – již v předchozích iniciativách pro metrologii na evropské úrovni (programy EMRP a EMPIR) prokázala, že je schopna program provádět účinně a efektivně. Unie poskytne pobídky k lepší koordinaci, zajistí synergie s politikami EU a prioritami programu Horizont 2020 a přispěje k nim, bude sledovat provádění programu a zajistí ochranu finančních zájmů EU.</w:t>
      </w:r>
    </w:p>
    <w:p>
      <w:pPr>
        <w:rPr>
          <w:rFonts w:eastAsia="Arial Unicode MS"/>
          <w:noProof/>
        </w:rPr>
      </w:pPr>
      <w:r>
        <w:rPr>
          <w:noProof/>
        </w:rPr>
        <w:t xml:space="preserve">Z posouzení dopadů evropské iniciativy pro metrologii </w:t>
      </w:r>
      <w:r>
        <w:rPr>
          <w:i/>
          <w:iCs/>
          <w:noProof/>
        </w:rPr>
        <w:t>ex ante</w:t>
      </w:r>
      <w:r>
        <w:rPr>
          <w:noProof/>
        </w:rPr>
        <w:t xml:space="preserve"> vyplývá, že článek 185 SFEU je nejvhodnějším základem pro dosažení daného cíle. Toto je podrobněji popsáno v oddílu 6 posouzení dopadů</w:t>
      </w:r>
      <w:r>
        <w:rPr>
          <w:rStyle w:val="FootnoteReference"/>
          <w:rFonts w:eastAsia="Arial Unicode MS"/>
          <w:noProof/>
        </w:rPr>
        <w:footnoteReference w:id="5"/>
      </w:r>
      <w:r>
        <w:rPr>
          <w:noProof/>
        </w:rPr>
        <w:t xml:space="preserve">, podle nějž získala iniciativa podle článku 185 SFEU nejlepší hodnocení </w:t>
      </w:r>
      <w:r>
        <w:rPr>
          <w:noProof/>
        </w:rPr>
        <w:lastRenderedPageBreak/>
        <w:t>z hlediska účinnosti a soudržnosti a je stejně nákladově efektivní jako základní scénář výzev k podávání návrhů v rámci programu Horizont Evropa.</w:t>
      </w:r>
    </w:p>
    <w:p>
      <w:pPr>
        <w:rPr>
          <w:rFonts w:eastAsia="Arial Unicode MS"/>
          <w:noProof/>
        </w:rPr>
      </w:pPr>
      <w:r>
        <w:rPr>
          <w:noProof/>
        </w:rPr>
        <w:t xml:space="preserve">V pododdíle 6.4 posouzení dopadů je tedy potvrzeno, že tato forma partnerství by poskytla stabilní rámec a zajistila závazek partnerských zemí k dosažení dlouhodobých cílů. Posloužila by také jako základ strategického přístupu k budoucímu vývoji metrologie v Evropě a v této souvislosti by byla dostatečně flexibilní, aby umožnila vedení „shora dolů“ prostřednictvím řídicí skupiny a cílené provádění iniciativy prostřednictvím specializovaných sítí. </w:t>
      </w:r>
    </w:p>
    <w:p>
      <w:pPr>
        <w:rPr>
          <w:rFonts w:eastAsia="Arial Unicode MS"/>
          <w:noProof/>
        </w:rPr>
      </w:pPr>
      <w:r>
        <w:rPr>
          <w:noProof/>
        </w:rPr>
        <w:t xml:space="preserve">Kromě toho bylo při posuzování dopadů zjištěno, že usnadněním dlouhodobého strategického přístupu a cíleného provádění by tato forma partnerství vedla k posílení závazků a účasti průmyslu a jiných koncových uživatelů, což by vedlo k zavádění metrologických řešení. Tento strategický přístup a cílené provádění spolu s posílenou účastí průmyslu a jiných koncových uživatelů by vedly k metrologickému systému s mnohem většími kapacitami a nejlepšími výsledky na celosvětové úrovni. </w:t>
      </w:r>
    </w:p>
    <w:p>
      <w:pPr>
        <w:pStyle w:val="ManualHeading2"/>
        <w:rPr>
          <w:rFonts w:eastAsia="Arial Unicode MS"/>
          <w:noProof/>
          <w:bdr w:val="nil"/>
        </w:rPr>
      </w:pPr>
      <w:r>
        <w:rPr>
          <w:noProof/>
          <w:bdr w:val="nil"/>
        </w:rPr>
        <w:t>Volba nástroje</w:t>
      </w:r>
    </w:p>
    <w:p>
      <w:pPr>
        <w:rPr>
          <w:rFonts w:eastAsia="Arial Unicode MS"/>
          <w:noProof/>
        </w:rPr>
      </w:pPr>
      <w:r>
        <w:rPr>
          <w:noProof/>
        </w:rPr>
        <w:t>Navrhovaná evropská iniciativa pro metrologii bude založena na článku 185 SFEU. Závěry průběžného hodnocení a analýza jednotlivých možností v posouzení dopadů prokázaly, že článek 185 je nejvhodnějším prostředkem k dosažení cílů evropské iniciativy pro metrologii. Tento závěr je v souladu se závěry vyvozenými z předchozích programů (EMRP a EMPIR). Tento druh nástroje podle článku 185 SFEU a čl. 188 odst. 2 SFEU vyžaduje, aby Evropský parlament a Rada přijaly rozhodnutí.</w:t>
      </w:r>
    </w:p>
    <w:p>
      <w:pPr>
        <w:pStyle w:val="ManualHeading1"/>
        <w:rPr>
          <w:noProof/>
        </w:rPr>
      </w:pPr>
      <w:r>
        <w:rPr>
          <w:noProof/>
        </w:rPr>
        <w:t>3.</w:t>
      </w:r>
      <w:r>
        <w:rPr>
          <w:noProof/>
        </w:rPr>
        <w:tab/>
        <w:t xml:space="preserve">VÝSLEDKY HODNOCENÍ </w:t>
      </w:r>
      <w:r>
        <w:rPr>
          <w:i/>
          <w:iCs/>
          <w:noProof/>
        </w:rPr>
        <w:t>EX POST</w:t>
      </w:r>
      <w:r>
        <w:rPr>
          <w:noProof/>
        </w:rPr>
        <w:t>, KONZULTACÍ SE ZÚČASTNĚNÝMI STRANAMI A POSOUZENÍ DOPADŮ</w:t>
      </w:r>
    </w:p>
    <w:p>
      <w:pPr>
        <w:pStyle w:val="ManualHeading2"/>
        <w:rPr>
          <w:rFonts w:eastAsia="Arial Unicode MS"/>
          <w:noProof/>
          <w:bdr w:val="nil"/>
        </w:rPr>
      </w:pPr>
      <w:r>
        <w:rPr>
          <w:noProof/>
          <w:bdr w:val="nil"/>
        </w:rPr>
        <w:t xml:space="preserve">Hodnocení </w:t>
      </w:r>
      <w:r>
        <w:rPr>
          <w:i/>
          <w:iCs/>
          <w:noProof/>
          <w:bdr w:val="nil"/>
        </w:rPr>
        <w:t>ex post</w:t>
      </w:r>
    </w:p>
    <w:p>
      <w:pPr>
        <w:spacing w:before="0" w:after="240"/>
        <w:rPr>
          <w:rFonts w:eastAsia="Arial Unicode MS"/>
          <w:noProof/>
        </w:rPr>
      </w:pPr>
      <w:r>
        <w:rPr>
          <w:noProof/>
        </w:rPr>
        <w:t>V roce 2017 provedla nezávislá externí skupina odborníků průběžné hodnocení programu EMPIR, iniciativy pro metrologii podle článku 185 SFEU.</w:t>
      </w:r>
    </w:p>
    <w:p>
      <w:pPr>
        <w:pBdr>
          <w:top w:val="nil"/>
          <w:left w:val="nil"/>
          <w:bottom w:val="nil"/>
          <w:right w:val="nil"/>
          <w:between w:val="nil"/>
          <w:bar w:val="nil"/>
        </w:pBdr>
        <w:spacing w:before="0" w:after="240"/>
        <w:rPr>
          <w:rFonts w:eastAsia="Arial Unicode MS"/>
          <w:noProof/>
        </w:rPr>
      </w:pPr>
      <w:r>
        <w:rPr>
          <w:noProof/>
        </w:rPr>
        <w:t>Hodnocení potvrdilo, že program EMPIR dosáhl dobrého pokroku při plnění většiny cílů programu, a předpokládalo se, že v Evropě zvýší obrat díky využívání vyvinutých technologií.</w:t>
      </w:r>
    </w:p>
    <w:p>
      <w:pPr>
        <w:pBdr>
          <w:top w:val="nil"/>
          <w:left w:val="nil"/>
          <w:bottom w:val="nil"/>
          <w:right w:val="nil"/>
          <w:between w:val="nil"/>
          <w:bar w:val="nil"/>
        </w:pBdr>
        <w:spacing w:before="0" w:after="240"/>
        <w:rPr>
          <w:rFonts w:eastAsia="Arial Unicode MS"/>
          <w:noProof/>
        </w:rPr>
      </w:pPr>
      <w:r>
        <w:rPr>
          <w:noProof/>
        </w:rPr>
        <w:t>V hodnocení bylo doporučeno vytvoření nového partnerství na evropské úrovni na základě tří doporučení. Zaprvé by měla být posílena strategická složka. Národní metrologické instituty by měly spolupracovat s komunitami dalších zúčastněných subjektů na vývoji „hodnotových řetězců metrologie“, které by mohly podpořit jednotný trh. V rámci hodnocení nebylo prosazováno vytvoření centralizované evropské struktury k provedení doporučení. K činnostem v oblasti metrologie vycházejících z cílů stanovených na evropské úrovni byl upřednostněn přístup „zdola nahoru“. Z uvedených důvodů bylo v hodnocení doporučeno, aby případné navazující partnerství zahrnovalo celoevropská „centra excelence“ ve formě sítí („evropských metrologických sítí“), aby byla prohloubena schopnost metrologie reagovat na významné společenské výzvy.</w:t>
      </w:r>
    </w:p>
    <w:p>
      <w:pPr>
        <w:pBdr>
          <w:top w:val="nil"/>
          <w:left w:val="nil"/>
          <w:bottom w:val="nil"/>
          <w:right w:val="nil"/>
          <w:between w:val="nil"/>
          <w:bar w:val="nil"/>
        </w:pBdr>
        <w:spacing w:before="0" w:after="240"/>
        <w:rPr>
          <w:rFonts w:eastAsia="Arial Unicode MS"/>
          <w:noProof/>
        </w:rPr>
      </w:pPr>
      <w:r>
        <w:rPr>
          <w:noProof/>
        </w:rPr>
        <w:t>Zadruhé by úloha vnějších zúčastněných subjektů, jako jsou univerzity a průmysl, již neměla být omezena na účast na projektech vybraných po výzvě k podávání návrhů. Namísto toho by se v budoucnu měly více zapojovat do vývoje programů a měly by mít více příležitostí účastnit se projektů.</w:t>
      </w:r>
    </w:p>
    <w:p>
      <w:pPr>
        <w:pBdr>
          <w:top w:val="nil"/>
          <w:left w:val="nil"/>
          <w:bottom w:val="nil"/>
          <w:right w:val="nil"/>
          <w:between w:val="nil"/>
          <w:bar w:val="nil"/>
        </w:pBdr>
        <w:spacing w:before="0" w:after="240"/>
        <w:rPr>
          <w:rFonts w:eastAsia="Arial Unicode MS"/>
          <w:noProof/>
        </w:rPr>
      </w:pPr>
      <w:r>
        <w:rPr>
          <w:noProof/>
        </w:rPr>
        <w:lastRenderedPageBreak/>
        <w:t xml:space="preserve">Třetí doporučení se týkalo provádění programu, při kterém by mělo být proaktivně řešeno uplatňování metrologie ve vznikajících vědeckých oblastech a které by mělo být více zaměřeno na řešení společenských výzev. </w:t>
      </w:r>
    </w:p>
    <w:p>
      <w:pPr>
        <w:pStyle w:val="ManualHeading2"/>
        <w:rPr>
          <w:rFonts w:eastAsia="Arial Unicode MS"/>
          <w:noProof/>
          <w:bdr w:val="nil"/>
        </w:rPr>
      </w:pPr>
      <w:r>
        <w:rPr>
          <w:noProof/>
          <w:bdr w:val="nil"/>
        </w:rPr>
        <w:t>Konzultace se zúčastněnými stranami</w:t>
      </w:r>
    </w:p>
    <w:p>
      <w:pPr>
        <w:spacing w:before="0" w:after="240"/>
        <w:rPr>
          <w:noProof/>
        </w:rPr>
      </w:pPr>
      <w:r>
        <w:rPr>
          <w:noProof/>
        </w:rPr>
        <w:t>Komise provedla otevřenou veřejnou konzultaci se zúčastněnými stranami na téma budoucí evropské iniciativy pro metrologii</w:t>
      </w:r>
      <w:r>
        <w:rPr>
          <w:rStyle w:val="FootnoteReference"/>
          <w:rFonts w:eastAsia="Arial Unicode MS"/>
          <w:noProof/>
        </w:rPr>
        <w:footnoteReference w:id="6"/>
      </w:r>
      <w:r>
        <w:rPr>
          <w:noProof/>
        </w:rPr>
        <w:t xml:space="preserve">. Na veřejnou internetovou konzultaci zareagovalo 225 respondentů. Z nich se 50 % uvedlo jako akademický/výzkumný pracovník, 16 % jako občan EU, 14 % jako podnik / obchodní organizace a 12 % jako orgán veřejné moci. Zbývajících 8 % zahrnovalo sdružení podnikatelů, nevládní organizace a občany zemí mimo EU. </w:t>
      </w:r>
    </w:p>
    <w:p>
      <w:pPr>
        <w:spacing w:before="0" w:after="240"/>
        <w:rPr>
          <w:noProof/>
        </w:rPr>
      </w:pPr>
      <w:r>
        <w:rPr>
          <w:noProof/>
        </w:rPr>
        <w:t>Respondenti se vyjádřili k významu metrologického výzkumu, popsali problémy, s nimiž se evropský systém metrologického výzkumu potýká, a posoudili řadu možných politických řešení. Konzultace vyzdvihla řadu problémů, včetně nedostatečného průmyslového využití, nedostatečné spolupráce národních metrologických institutů s širší vědeckou základnou, rozdílů v kapacitě jednotlivých členských států EU, nedostatečné mobility výzkumných pracovníků v rámci národních metrologických institutů a nedostatečného zapojení evropských normalizačních organizací.</w:t>
      </w:r>
    </w:p>
    <w:p>
      <w:pPr>
        <w:pStyle w:val="ManualHeading2"/>
        <w:rPr>
          <w:rFonts w:eastAsia="Arial Unicode MS"/>
          <w:noProof/>
          <w:bdr w:val="nil"/>
        </w:rPr>
      </w:pPr>
      <w:r>
        <w:rPr>
          <w:noProof/>
          <w:bdr w:val="nil"/>
        </w:rPr>
        <w:t>Sběr a využití výsledků odborných konzultací</w:t>
      </w:r>
    </w:p>
    <w:p>
      <w:pPr>
        <w:pBdr>
          <w:top w:val="nil"/>
          <w:left w:val="nil"/>
          <w:bottom w:val="nil"/>
          <w:right w:val="nil"/>
          <w:between w:val="nil"/>
          <w:bar w:val="nil"/>
        </w:pBdr>
        <w:spacing w:before="0" w:after="240"/>
        <w:rPr>
          <w:noProof/>
        </w:rPr>
      </w:pPr>
      <w:r>
        <w:rPr>
          <w:noProof/>
        </w:rPr>
        <w:t xml:space="preserve">V rámci přípravy návrhu evropské iniciativy pro metrologii byla Komise v kontaktu s celou řadou externích odborníků. Přístup Komise byl založen na využití analýzy nezávislé externí studie, která byla doplněna schůzemi a rozhovory s klíčovými zúčastněnými subjekty a písemnou zpětnou vazbou. </w:t>
      </w:r>
    </w:p>
    <w:p>
      <w:pPr>
        <w:pBdr>
          <w:top w:val="nil"/>
          <w:left w:val="nil"/>
          <w:bottom w:val="nil"/>
          <w:right w:val="nil"/>
          <w:between w:val="nil"/>
          <w:bar w:val="nil"/>
        </w:pBdr>
        <w:spacing w:before="0" w:after="240"/>
        <w:rPr>
          <w:noProof/>
        </w:rPr>
      </w:pPr>
      <w:r>
        <w:rPr>
          <w:noProof/>
        </w:rPr>
        <w:t>V této souvislosti Komise zadala externí studii zabývající se všemi kandidátskými institucionalizovanými partnerstvími včetně partnerství v oblasti metrologie</w:t>
      </w:r>
      <w:r>
        <w:rPr>
          <w:rStyle w:val="FootnoteReference"/>
          <w:noProof/>
        </w:rPr>
        <w:footnoteReference w:id="7"/>
      </w:r>
      <w:r>
        <w:rPr>
          <w:noProof/>
        </w:rPr>
        <w:t xml:space="preserve"> a z analýzy a zjištění této studie do značné míry čerpala při přípravě návrhu týkajícího se metrologie.</w:t>
      </w:r>
    </w:p>
    <w:p>
      <w:pPr>
        <w:pBdr>
          <w:top w:val="nil"/>
          <w:left w:val="nil"/>
          <w:bottom w:val="nil"/>
          <w:right w:val="nil"/>
          <w:between w:val="nil"/>
          <w:bar w:val="nil"/>
        </w:pBdr>
        <w:spacing w:before="0" w:after="240"/>
        <w:rPr>
          <w:noProof/>
        </w:rPr>
      </w:pPr>
      <w:r>
        <w:rPr>
          <w:noProof/>
        </w:rPr>
        <w:t>Komise současně v průběhu roku 2019 pořádala schůze a prováděla rozhovory s organizací EURAMET e.V. a jinými odborníky na metrologii.</w:t>
      </w:r>
    </w:p>
    <w:p>
      <w:pPr>
        <w:pBdr>
          <w:top w:val="nil"/>
          <w:left w:val="nil"/>
          <w:bottom w:val="nil"/>
          <w:right w:val="nil"/>
          <w:between w:val="nil"/>
          <w:bar w:val="nil"/>
        </w:pBdr>
        <w:spacing w:before="0" w:after="240"/>
        <w:rPr>
          <w:noProof/>
        </w:rPr>
      </w:pPr>
      <w:r>
        <w:rPr>
          <w:noProof/>
        </w:rPr>
        <w:t>V listopadu 2019 Komise rovněž provedla konzultační seminář s odborníky z členských států. Následně v březnu 2020 proběhla písemná konzultace s vnitrostátními ministerstvy příslušnými pro oblast metrologie</w:t>
      </w:r>
      <w:r>
        <w:rPr>
          <w:rStyle w:val="FootnoteReference"/>
          <w:noProof/>
        </w:rPr>
        <w:footnoteReference w:id="8"/>
      </w:r>
      <w:r>
        <w:rPr>
          <w:noProof/>
        </w:rPr>
        <w:t>.</w:t>
      </w:r>
    </w:p>
    <w:p>
      <w:pPr>
        <w:pStyle w:val="ManualHeading2"/>
        <w:rPr>
          <w:rFonts w:eastAsia="Arial Unicode MS"/>
          <w:noProof/>
          <w:bdr w:val="nil"/>
        </w:rPr>
      </w:pPr>
      <w:r>
        <w:rPr>
          <w:noProof/>
          <w:bdr w:val="nil"/>
        </w:rPr>
        <w:lastRenderedPageBreak/>
        <w:t>Posouzení dopadů</w:t>
      </w:r>
    </w:p>
    <w:p>
      <w:pPr>
        <w:pBdr>
          <w:top w:val="nil"/>
          <w:left w:val="nil"/>
          <w:bottom w:val="nil"/>
          <w:right w:val="nil"/>
          <w:between w:val="nil"/>
          <w:bar w:val="nil"/>
        </w:pBdr>
        <w:spacing w:before="0" w:after="240"/>
        <w:rPr>
          <w:noProof/>
        </w:rPr>
      </w:pPr>
      <w:r>
        <w:rPr>
          <w:noProof/>
        </w:rPr>
        <w:t xml:space="preserve">Zpráva o posouzení dopadů navrhované iniciativy pro metrologii byla dokončena v červnu 2020 (SWD(2021) 36). </w:t>
      </w:r>
    </w:p>
    <w:p>
      <w:pPr>
        <w:pBdr>
          <w:top w:val="nil"/>
          <w:left w:val="nil"/>
          <w:bottom w:val="nil"/>
          <w:right w:val="nil"/>
          <w:between w:val="nil"/>
          <w:bar w:val="nil"/>
        </w:pBdr>
        <w:spacing w:before="0" w:after="240"/>
        <w:rPr>
          <w:rFonts w:eastAsia="Arial Unicode MS"/>
          <w:noProof/>
        </w:rPr>
      </w:pPr>
      <w:r>
        <w:rPr>
          <w:noProof/>
        </w:rPr>
        <w:t>Dne 15. července 2020 vydal Výbor pro kontrolu regulace ke zprávě o posouzení dopadů kladné stanovisko (SEC(2021) 91). Ve svém stanovisku požadoval výbor následující:</w:t>
      </w:r>
    </w:p>
    <w:p>
      <w:pPr>
        <w:spacing w:before="0" w:after="240"/>
        <w:rPr>
          <w:rFonts w:eastAsia="Arial Unicode MS"/>
          <w:noProof/>
        </w:rPr>
      </w:pPr>
      <w:r>
        <w:rPr>
          <w:noProof/>
        </w:rPr>
        <w:t xml:space="preserve">1) V souvislosti s cílem rozvíjet nadnárodní metrologické sítě je ve zprávě vysvětleno, že v určitou chvíli (do roku 2030) by již partnerství nebylo nezbytné. Ve zprávě by mělo být objasněno, proč bylo toto tvrzení do zprávy o posouzení dopadů zahrnuto a jak souvisí se stávající iniciativou, která pokrývá období financování až do roku 2027. Pokud se potvrdí, že již partnerství nebude nezbytné, měla by zpráva jasněji popsat, jak aktuálně navrhované partnerství pomůže zajistit nezbytné podmínky pro své ukončení v budoucnu.  </w:t>
      </w:r>
    </w:p>
    <w:p>
      <w:pPr>
        <w:spacing w:before="0" w:after="240"/>
        <w:rPr>
          <w:rFonts w:eastAsia="Arial Unicode MS"/>
          <w:noProof/>
        </w:rPr>
      </w:pPr>
      <w:r>
        <w:rPr>
          <w:noProof/>
        </w:rPr>
        <w:t xml:space="preserve">2) Zpráva by měla lépe vysvětlit, jak by do upřednostněné formy partnerství v rámci veřejného sektoru byly zapojeny subjekty soukromého sektoru. Je třeba objasnit pobídky k jejich zapojení.  </w:t>
      </w:r>
    </w:p>
    <w:p>
      <w:pPr>
        <w:spacing w:before="0" w:after="240"/>
        <w:rPr>
          <w:rFonts w:eastAsia="Arial Unicode MS"/>
          <w:noProof/>
        </w:rPr>
      </w:pPr>
      <w:r>
        <w:rPr>
          <w:noProof/>
        </w:rPr>
        <w:t>3) Zpráva by mohla poskytnout užitečné podrobnější vysvětlení souvislostí týkajících se národních institucí provádějících metrologický výzkum a jejich fungování.</w:t>
      </w:r>
    </w:p>
    <w:p>
      <w:pPr>
        <w:pBdr>
          <w:top w:val="nil"/>
          <w:left w:val="nil"/>
          <w:bottom w:val="nil"/>
          <w:right w:val="nil"/>
          <w:between w:val="nil"/>
          <w:bar w:val="nil"/>
        </w:pBdr>
        <w:spacing w:before="0" w:after="240"/>
        <w:rPr>
          <w:rFonts w:eastAsia="Arial Unicode MS"/>
          <w:noProof/>
        </w:rPr>
      </w:pPr>
      <w:r>
        <w:rPr>
          <w:noProof/>
        </w:rPr>
        <w:t>Posouzení dopadů obsahuje následující možnosti:</w:t>
      </w:r>
    </w:p>
    <w:p>
      <w:pPr>
        <w:pBdr>
          <w:top w:val="nil"/>
          <w:left w:val="nil"/>
          <w:bottom w:val="nil"/>
          <w:right w:val="nil"/>
          <w:between w:val="nil"/>
          <w:bar w:val="nil"/>
        </w:pBdr>
        <w:spacing w:before="0" w:after="240"/>
        <w:rPr>
          <w:rFonts w:eastAsia="Arial Unicode MS"/>
          <w:noProof/>
        </w:rPr>
      </w:pPr>
      <w:r>
        <w:rPr>
          <w:noProof/>
        </w:rPr>
        <w:t>Základním scénářem byla situace bez partnerství jen s tradičními výzvami k podávání návrhů v rámci programu Horizont Evropa. To by vedlo ke zrušení stávající prováděcí struktury podle článku 185 a probíhající projekty v rámci programu EMPIR by skončily v roce 2023, což by s sebou neslo náklady na ukončení a sociální náklady spojené s ukončením.</w:t>
      </w:r>
    </w:p>
    <w:p>
      <w:pPr>
        <w:pBdr>
          <w:top w:val="nil"/>
          <w:left w:val="nil"/>
          <w:bottom w:val="nil"/>
          <w:right w:val="nil"/>
          <w:between w:val="nil"/>
          <w:bar w:val="nil"/>
        </w:pBdr>
        <w:spacing w:before="0" w:after="240"/>
        <w:rPr>
          <w:rFonts w:eastAsia="Arial Unicode MS"/>
          <w:noProof/>
        </w:rPr>
      </w:pPr>
      <w:r>
        <w:rPr>
          <w:noProof/>
        </w:rPr>
        <w:t>Podle možnosti 1 by bylo vytvořeno spolufinancované evropské partnerství. Takové partnerství by národním metrologickým institutům usnadnilo sdružování zdrojů, ale hrozilo by značné riziko, že se přemění na „uzavřený klub“ a odradí akademickou obec od toho, aby se zapojila.</w:t>
      </w:r>
    </w:p>
    <w:p>
      <w:pPr>
        <w:pBdr>
          <w:top w:val="nil"/>
          <w:left w:val="nil"/>
          <w:bottom w:val="nil"/>
          <w:right w:val="nil"/>
          <w:between w:val="nil"/>
          <w:bar w:val="nil"/>
        </w:pBdr>
        <w:spacing w:before="0" w:after="240"/>
        <w:rPr>
          <w:rFonts w:eastAsia="Arial Unicode MS"/>
          <w:noProof/>
        </w:rPr>
      </w:pPr>
      <w:r>
        <w:rPr>
          <w:noProof/>
        </w:rPr>
        <w:t>Podle možnosti 2 by bylo vytvořeno institucionalizované evropské partnerství (článek 185 SFEU). Taková iniciativa by navázala na pokrok dosažený v rámci programu EMPIR, stávajícího institucionalizovaného evropského partnerství, a rozšířila by seznam evropských metrologických sítí o další sítě s novými oblastmi zájmu. Zahrnovala by subjekty z celého širšího hodnotového řetězce metrologie, včetně vnitrostátních ministerstev, orgánů pro normalizaci, regulačních orgánů, průmyslu, koncových uživatelů a spotřebitelů. Míra financování na úrovni EU v rámci programu Horizont Evropa by se ve srovnání s programem Horizont 2020 zvýšila, jelikož by byly zapotřebí dodatečné zdroje ke kompenzaci většího rozsahu programu.</w:t>
      </w:r>
    </w:p>
    <w:p>
      <w:pPr>
        <w:pBdr>
          <w:top w:val="nil"/>
          <w:left w:val="nil"/>
          <w:bottom w:val="nil"/>
          <w:right w:val="nil"/>
          <w:between w:val="nil"/>
          <w:bar w:val="nil"/>
        </w:pBdr>
        <w:spacing w:before="0" w:after="240"/>
        <w:rPr>
          <w:rFonts w:eastAsia="Arial Unicode MS"/>
          <w:noProof/>
        </w:rPr>
      </w:pPr>
      <w:r>
        <w:rPr>
          <w:noProof/>
        </w:rPr>
        <w:t xml:space="preserve">Zpráva o posouzení dopadů dospěla k závěru, že upřednostňovanou variantou je možnost 2. Odpovídá to výsledkům veřejné konzultace, v rámci níž 62 % respondentů uvedlo institucionalizované partnerství jako upřednostňovanou variantu nové iniciativy pro metrologii. Všechny čtyři významné dílčí skupiny respondentů (akademická obec, podniky/společnosti, občané EU a zástupci orgánů veřejné moci) se shodly a nevyskytla se žádná menšina, která by upřednostňovala jinou možnost. </w:t>
      </w:r>
    </w:p>
    <w:p>
      <w:pPr>
        <w:pBdr>
          <w:top w:val="nil"/>
          <w:left w:val="nil"/>
          <w:bottom w:val="nil"/>
          <w:right w:val="nil"/>
          <w:between w:val="nil"/>
          <w:bar w:val="nil"/>
        </w:pBdr>
        <w:spacing w:before="0" w:after="240"/>
        <w:rPr>
          <w:rFonts w:eastAsia="Arial Unicode MS"/>
          <w:noProof/>
        </w:rPr>
      </w:pPr>
      <w:r>
        <w:rPr>
          <w:noProof/>
        </w:rPr>
        <w:lastRenderedPageBreak/>
        <w:t>Hospodářské přínosy navrhované iniciativy mají přímou a nepřímou složku. Přímou složkou je nárůst prodeje přístrojů a souvisejících služeb v průmyslu. Jeho odhadovaná výše činí 50 milionů EUR ročně. Kromě toho má cíl spočívající v podpoře inovací ve strategických oblastech uplatňování dodatečný nepřímý dlouhodobý pákový efekt na prodej. Se specializovanými metrologickými sítěmi jsou přímo spojeny sociální přínosy a přínosy pro životní prostředí. Sítě poskytují konkrétní metrologická řešení pro všechny zúčastněné subjekty z celého hodnotového řetězce metrologie, včetně průmyslu, koncových uživatelů a občanů.</w:t>
      </w:r>
    </w:p>
    <w:p>
      <w:pPr>
        <w:pStyle w:val="ManualHeading2"/>
        <w:rPr>
          <w:rFonts w:eastAsia="Arial Unicode MS"/>
          <w:noProof/>
          <w:bdr w:val="nil"/>
        </w:rPr>
      </w:pPr>
      <w:r>
        <w:rPr>
          <w:noProof/>
          <w:bdr w:val="nil"/>
        </w:rPr>
        <w:t>Zjednodušení</w:t>
      </w:r>
    </w:p>
    <w:p>
      <w:pPr>
        <w:rPr>
          <w:rFonts w:eastAsia="Arial Unicode MS"/>
          <w:noProof/>
        </w:rPr>
      </w:pPr>
      <w:r>
        <w:rPr>
          <w:noProof/>
        </w:rPr>
        <w:t>Návrh zjednoduší správní postupy pro orgány veřejné moci a veřejné subjekty (EU nebo vnitrostátní) a pro soukromé strany.</w:t>
      </w:r>
    </w:p>
    <w:p>
      <w:pPr>
        <w:rPr>
          <w:rFonts w:eastAsia="Arial Unicode MS"/>
          <w:noProof/>
        </w:rPr>
      </w:pPr>
      <w:r>
        <w:rPr>
          <w:noProof/>
        </w:rPr>
        <w:t>EU bude jednat přímo se specializovanou prováděcí strukturou evropské iniciativy pro metrologii, která bude pověřena rozdělováním finančního příspěvku EU, sledováním jeho využití a podáváním příslušných zpráv.</w:t>
      </w:r>
    </w:p>
    <w:p>
      <w:pPr>
        <w:pStyle w:val="ManualHeading2"/>
        <w:rPr>
          <w:rFonts w:eastAsia="Arial Unicode MS"/>
          <w:noProof/>
          <w:bdr w:val="nil"/>
        </w:rPr>
      </w:pPr>
      <w:r>
        <w:rPr>
          <w:noProof/>
          <w:bdr w:val="nil"/>
        </w:rPr>
        <w:t>Základní práva</w:t>
      </w:r>
    </w:p>
    <w:p>
      <w:pPr>
        <w:pBdr>
          <w:top w:val="nil"/>
          <w:left w:val="nil"/>
          <w:bottom w:val="nil"/>
          <w:right w:val="nil"/>
          <w:between w:val="nil"/>
          <w:bar w:val="nil"/>
        </w:pBdr>
        <w:spacing w:before="0" w:after="240"/>
        <w:rPr>
          <w:rFonts w:eastAsia="Arial Unicode MS"/>
          <w:noProof/>
        </w:rPr>
      </w:pPr>
      <w:r>
        <w:rPr>
          <w:noProof/>
        </w:rPr>
        <w:t>Návrh rozhodnutí nemá žádné důsledky z hlediska ochrany základních práv.</w:t>
      </w:r>
    </w:p>
    <w:p>
      <w:pPr>
        <w:pStyle w:val="ManualHeading1"/>
        <w:rPr>
          <w:noProof/>
        </w:rPr>
      </w:pPr>
      <w:r>
        <w:rPr>
          <w:noProof/>
        </w:rPr>
        <w:t>4.</w:t>
      </w:r>
      <w:r>
        <w:rPr>
          <w:noProof/>
        </w:rPr>
        <w:tab/>
        <w:t>ROZPOČTOVÉ DŮSLEDKY</w:t>
      </w:r>
    </w:p>
    <w:p>
      <w:pPr>
        <w:rPr>
          <w:noProof/>
        </w:rPr>
      </w:pPr>
      <w:r>
        <w:rPr>
          <w:noProof/>
        </w:rPr>
        <w:t xml:space="preserve">Orientační rozpočtové důsledky jsou uvedeny v legislativním finančním výkazu, který je předložen společně s tímto rozhodnutím. Maximální finanční příspěvek Unie na partnerství v oblasti metrologie, včetně prostředků ESVO, bude 300 milionů EUR v současných cenách po dobu trvání rámcového programu Horizont Evropa. </w:t>
      </w:r>
    </w:p>
    <w:p>
      <w:pPr>
        <w:rPr>
          <w:rFonts w:eastAsia="Arial Unicode MS"/>
          <w:noProof/>
        </w:rPr>
      </w:pPr>
      <w:r>
        <w:rPr>
          <w:noProof/>
        </w:rPr>
        <w:t>Ustanovení tohoto rozhodnutí a dohody o přiznání příspěvku, která bude uzavřena mezi Komisí a specializovanou prováděcí strukturou (Euramet e.V.), musí zajistit ochranu finančních zájmů EU.</w:t>
      </w:r>
    </w:p>
    <w:p>
      <w:pPr>
        <w:pStyle w:val="ManualHeading1"/>
        <w:rPr>
          <w:noProof/>
        </w:rPr>
      </w:pPr>
      <w:r>
        <w:rPr>
          <w:noProof/>
        </w:rPr>
        <w:t>5.</w:t>
      </w:r>
      <w:r>
        <w:rPr>
          <w:noProof/>
        </w:rPr>
        <w:tab/>
        <w:t>OSTATNÍ PRVKY</w:t>
      </w:r>
    </w:p>
    <w:p>
      <w:pPr>
        <w:pStyle w:val="ManualHeading2"/>
        <w:rPr>
          <w:rFonts w:eastAsia="Arial Unicode MS"/>
          <w:noProof/>
          <w:bdr w:val="nil"/>
        </w:rPr>
      </w:pPr>
      <w:r>
        <w:rPr>
          <w:noProof/>
          <w:bdr w:val="nil"/>
        </w:rPr>
        <w:t>Prováděcí plány a způsoby monitorování, hodnocení a podávání zpráv</w:t>
      </w:r>
    </w:p>
    <w:p>
      <w:pPr>
        <w:spacing w:before="0" w:after="240"/>
        <w:rPr>
          <w:noProof/>
        </w:rPr>
      </w:pPr>
      <w:r>
        <w:rPr>
          <w:noProof/>
        </w:rPr>
        <w:t>Provádění iniciativy bude založeno na strategickém programu výzkumu a inovací schváleném národními partnery, kteří se iniciativy účastní.</w:t>
      </w:r>
    </w:p>
    <w:p>
      <w:pPr>
        <w:spacing w:before="0" w:after="240"/>
        <w:rPr>
          <w:noProof/>
        </w:rPr>
      </w:pPr>
      <w:r>
        <w:rPr>
          <w:noProof/>
        </w:rPr>
        <w:t>Výsledky iniciativy budou monitorovány prostřednictvím výročních zpráv schvalovaných Evropskou komisí. Ty budou zahrnovat vykazování pokroku pomocí klíčových ukazatelů výkonnosti a dalších měřítek stanovených ve strategickém programu výzkumu a inovací.</w:t>
      </w:r>
    </w:p>
    <w:p>
      <w:pPr>
        <w:pBdr>
          <w:top w:val="nil"/>
          <w:left w:val="nil"/>
          <w:bottom w:val="nil"/>
          <w:right w:val="nil"/>
          <w:between w:val="nil"/>
          <w:bar w:val="nil"/>
        </w:pBdr>
        <w:spacing w:before="0" w:after="240"/>
        <w:rPr>
          <w:noProof/>
        </w:rPr>
      </w:pPr>
      <w:r>
        <w:rPr>
          <w:noProof/>
        </w:rPr>
        <w:t>Návrh obsahuje ustanovení o průběžném hodnocení, jež má být provedeno do roku 2025, a o závěrečném hodnocení, jež má být provedeno do roku 2030.</w:t>
      </w:r>
    </w:p>
    <w:p>
      <w:pPr>
        <w:pStyle w:val="ManualHeading2"/>
        <w:rPr>
          <w:rFonts w:eastAsiaTheme="minorEastAsia"/>
          <w:bCs/>
          <w:noProof/>
          <w:szCs w:val="24"/>
          <w:bdr w:val="nil"/>
        </w:rPr>
      </w:pPr>
      <w:r>
        <w:rPr>
          <w:noProof/>
          <w:bdr w:val="nil"/>
        </w:rPr>
        <w:t>Evropský hospodářský prostor</w:t>
      </w:r>
    </w:p>
    <w:p>
      <w:pPr>
        <w:rPr>
          <w:noProof/>
        </w:rPr>
      </w:pPr>
      <w:r>
        <w:rPr>
          <w:noProof/>
          <w:bdr w:val="none" w:sz="0" w:space="0" w:color="auto" w:frame="1"/>
        </w:rPr>
        <w:t>Navrhované rozhodnutí se týká EHP, a proto by mělo být rozšířeno na Evropský hospodářský prostor. V zájmu zajištění doplňkovosti se třetími zeměmi se v příslušném ustanovení nicméně předpokládá jejich účast.</w:t>
      </w:r>
    </w:p>
    <w:p>
      <w:pPr>
        <w:pStyle w:val="ManualHeading2"/>
        <w:rPr>
          <w:rFonts w:eastAsia="Arial Unicode MS"/>
          <w:noProof/>
          <w:bdr w:val="nil"/>
        </w:rPr>
      </w:pPr>
      <w:r>
        <w:rPr>
          <w:noProof/>
          <w:bdr w:val="nil"/>
        </w:rPr>
        <w:t>Podrobné vysvětlení konkrétních ustanovení návrhu</w:t>
      </w:r>
    </w:p>
    <w:p>
      <w:pPr>
        <w:pBdr>
          <w:top w:val="nil"/>
          <w:left w:val="nil"/>
          <w:bottom w:val="nil"/>
          <w:right w:val="nil"/>
          <w:between w:val="nil"/>
          <w:bar w:val="nil"/>
        </w:pBdr>
        <w:spacing w:before="0" w:after="240"/>
        <w:rPr>
          <w:noProof/>
        </w:rPr>
      </w:pPr>
      <w:r>
        <w:rPr>
          <w:noProof/>
        </w:rPr>
        <w:t>Článek 1 navrhovaného rozhodnutí stanoví stávající a možný budoucí zeměpisný rozsah Evropského partnerství v oblasti metrologie.</w:t>
      </w:r>
    </w:p>
    <w:p>
      <w:pPr>
        <w:pBdr>
          <w:top w:val="nil"/>
          <w:left w:val="nil"/>
          <w:bottom w:val="nil"/>
          <w:right w:val="nil"/>
          <w:between w:val="nil"/>
          <w:bar w:val="nil"/>
        </w:pBdr>
        <w:spacing w:before="0" w:after="240"/>
        <w:rPr>
          <w:noProof/>
        </w:rPr>
      </w:pPr>
      <w:r>
        <w:rPr>
          <w:noProof/>
        </w:rPr>
        <w:lastRenderedPageBreak/>
        <w:t xml:space="preserve">Článek 2 zdůrazňuje vazbu na nařízení o programu Horizont Evropa a s ohledem na ni stanoví cíl takového partnerství. Dále stanoví obecné a konkrétní cíle, jimiž by se budoucí partnerství mělo řídit a které by mělo splnit. </w:t>
      </w:r>
    </w:p>
    <w:p>
      <w:pPr>
        <w:pBdr>
          <w:top w:val="nil"/>
          <w:left w:val="nil"/>
          <w:bottom w:val="nil"/>
          <w:right w:val="nil"/>
          <w:between w:val="nil"/>
          <w:bar w:val="nil"/>
        </w:pBdr>
        <w:spacing w:before="0" w:after="240"/>
        <w:rPr>
          <w:noProof/>
        </w:rPr>
      </w:pPr>
      <w:r>
        <w:rPr>
          <w:noProof/>
        </w:rPr>
        <w:t xml:space="preserve">Články 3 a 4 stanoví finanční příspěvek, který Evropská unie poskytne organizaci EURAMET z rozpočtu EU.   </w:t>
      </w:r>
    </w:p>
    <w:p>
      <w:pPr>
        <w:pBdr>
          <w:top w:val="nil"/>
          <w:left w:val="nil"/>
          <w:bottom w:val="nil"/>
          <w:right w:val="nil"/>
          <w:between w:val="nil"/>
          <w:bar w:val="nil"/>
        </w:pBdr>
        <w:spacing w:before="0" w:after="240"/>
        <w:rPr>
          <w:noProof/>
        </w:rPr>
      </w:pPr>
      <w:r>
        <w:rPr>
          <w:noProof/>
        </w:rPr>
        <w:t xml:space="preserve">Články 5, 6 a 7 stanoví, za jakých podmínek mohou členské státy a jiné zúčastněné země k budoucímu partnerství přispět. Vysvětlují, že by zúčastněné země měly nejen přispět stejnou měrou jako EU, ale také by měly financovat další relevantní činnosti, jako např. budoucí evropské metrologické sítě. </w:t>
      </w:r>
    </w:p>
    <w:p>
      <w:pPr>
        <w:pBdr>
          <w:top w:val="nil"/>
          <w:left w:val="nil"/>
          <w:bottom w:val="nil"/>
          <w:right w:val="nil"/>
          <w:between w:val="nil"/>
          <w:bar w:val="nil"/>
        </w:pBdr>
        <w:spacing w:before="0" w:after="240"/>
        <w:rPr>
          <w:noProof/>
        </w:rPr>
      </w:pPr>
      <w:r>
        <w:rPr>
          <w:noProof/>
        </w:rPr>
        <w:t xml:space="preserve">Článek 8 objasňuje pravidla účasti, která se v řádně odůvodněných případech mohou odchylovat od pravidel programu Horizont Evropa; dále stanoví minimální záruky pro zajištění větší otevřenosti výzev v budoucnu, aby budoucí projekty v rámci tohoto partnerství byly oprávněny koordinovat například nejen národní metrologické instituty, ale i jiné zúčastněné subjekty.  </w:t>
      </w:r>
    </w:p>
    <w:p>
      <w:pPr>
        <w:pBdr>
          <w:top w:val="nil"/>
          <w:left w:val="nil"/>
          <w:bottom w:val="nil"/>
          <w:right w:val="nil"/>
          <w:between w:val="nil"/>
          <w:bar w:val="nil"/>
        </w:pBdr>
        <w:spacing w:before="0" w:after="240"/>
        <w:rPr>
          <w:noProof/>
        </w:rPr>
      </w:pPr>
      <w:r>
        <w:rPr>
          <w:noProof/>
        </w:rPr>
        <w:t xml:space="preserve">Článek 9 stanoví rámec pro prováděcí dohody mezi Evropskou komisí a organizací EURAMET. Článek 10 umožňuje Evropské komisi jednat, pokud zúčastněné země nedodrží své závazky vyplývající z tohoto rozhodnutí. Články 11 a 12 stanoví opatření na ochranu finančních zájmů Evropské unie. </w:t>
      </w:r>
    </w:p>
    <w:p>
      <w:pPr>
        <w:pBdr>
          <w:top w:val="nil"/>
          <w:left w:val="nil"/>
          <w:bottom w:val="nil"/>
          <w:right w:val="nil"/>
          <w:between w:val="nil"/>
          <w:bar w:val="nil"/>
        </w:pBdr>
        <w:spacing w:before="0" w:after="240"/>
        <w:rPr>
          <w:noProof/>
        </w:rPr>
      </w:pPr>
      <w:r>
        <w:rPr>
          <w:noProof/>
        </w:rPr>
        <w:t xml:space="preserve">Články 13 až 17 stanoví nový rámec pro správu a řízení partnerství v budoucnu. Vytvoření tohoto partnerství je sice především úkolem organizace EURAMET, ale Komise navrhuje zřízení externí řídicí skupiny, které by společně předsedala Komise a zástupci členských států; tato skupina by poskytla podnět k tomu, aby nové partnerství lépe uspokojovalo potřeby uživatelů, a posílila jeho dopad na průmysl, regulaci a stanovování norem. Skupina by také měla zahrnovat zástupce z jiných evropských partnerství s partnery ze soukromého sektoru. </w:t>
      </w:r>
    </w:p>
    <w:p>
      <w:pPr>
        <w:pBdr>
          <w:top w:val="nil"/>
          <w:left w:val="nil"/>
          <w:bottom w:val="nil"/>
          <w:right w:val="nil"/>
          <w:between w:val="nil"/>
          <w:bar w:val="nil"/>
        </w:pBdr>
        <w:spacing w:before="0" w:after="240"/>
        <w:rPr>
          <w:noProof/>
        </w:rPr>
      </w:pPr>
      <w:r>
        <w:rPr>
          <w:noProof/>
        </w:rPr>
        <w:t xml:space="preserve">Stejně jako v případě jiných institucionálních partnerství je v článku 18 navrženo průběžné a závěrečné hodnocení v souladu se zásadami zlepšování právní úpravy. Smyslem článků 19 až 21 je zajistit hladké fungování budoucího evropského partnerství.     </w:t>
      </w:r>
    </w:p>
    <w:p>
      <w:pPr>
        <w:rPr>
          <w:noProof/>
        </w:rPr>
        <w:sectPr>
          <w:footerReference w:type="default" r:id="rId15"/>
          <w:footerReference w:type="first" r:id="rId16"/>
          <w:pgSz w:w="11907" w:h="16839"/>
          <w:pgMar w:top="1134" w:right="1417" w:bottom="1134" w:left="1417" w:header="709" w:footer="709" w:gutter="0"/>
          <w:cols w:space="720"/>
          <w:docGrid w:linePitch="360"/>
        </w:sectPr>
      </w:pPr>
    </w:p>
    <w:p>
      <w:pPr>
        <w:pStyle w:val="Rfrenceinterinstitutionnelle"/>
        <w:rPr>
          <w:noProof/>
        </w:rPr>
      </w:pPr>
      <w:r>
        <w:rPr>
          <w:noProof/>
        </w:rPr>
        <w:lastRenderedPageBreak/>
        <w:t>2021/0049 (COD)</w:t>
      </w:r>
    </w:p>
    <w:p>
      <w:pPr>
        <w:pStyle w:val="Statut"/>
        <w:rPr>
          <w:noProof/>
        </w:rPr>
      </w:pPr>
      <w:r>
        <w:rPr>
          <w:noProof/>
        </w:rPr>
        <w:t>Návrh</w:t>
      </w:r>
    </w:p>
    <w:p>
      <w:pPr>
        <w:pStyle w:val="Typedudocument"/>
        <w:rPr>
          <w:noProof/>
        </w:rPr>
      </w:pPr>
      <w:r>
        <w:rPr>
          <w:noProof/>
        </w:rPr>
        <w:t>ROZHODNUTÍ EVROPSKÉHO PARLAMENTU A RADY</w:t>
      </w:r>
    </w:p>
    <w:p>
      <w:pPr>
        <w:pStyle w:val="Titreobjet"/>
        <w:rPr>
          <w:noProof/>
        </w:rPr>
      </w:pPr>
      <w:r>
        <w:rPr>
          <w:noProof/>
        </w:rPr>
        <w:t>o účasti Unie na Evropském partnerství v oblasti metrologie, realizovaném společně několika členskými státy</w:t>
      </w:r>
    </w:p>
    <w:p>
      <w:pPr>
        <w:pStyle w:val="Institutionquiagit"/>
        <w:rPr>
          <w:noProof/>
        </w:rPr>
      </w:pPr>
      <w:r>
        <w:rPr>
          <w:noProof/>
        </w:rPr>
        <w:t>EVROPSKÝ PARLAMENT A RADA EVROPSKÉ UNIE,</w:t>
      </w:r>
    </w:p>
    <w:p>
      <w:pPr>
        <w:rPr>
          <w:noProof/>
        </w:rPr>
      </w:pPr>
      <w:r>
        <w:rPr>
          <w:noProof/>
        </w:rPr>
        <w:t>s ohledem na Smlouvu o fungování Evropské unie, a zejména na článek 185 a čl. 188 druhý pododstavec této smlouvy,</w:t>
      </w:r>
    </w:p>
    <w:p>
      <w:pPr>
        <w:rPr>
          <w:noProof/>
        </w:rPr>
      </w:pPr>
      <w:r>
        <w:rPr>
          <w:noProof/>
        </w:rPr>
        <w:t>s ohledem na návrh Evropské komise,</w:t>
      </w:r>
    </w:p>
    <w:p>
      <w:pPr>
        <w:rPr>
          <w:noProof/>
        </w:rPr>
      </w:pPr>
      <w:r>
        <w:rPr>
          <w:noProof/>
        </w:rPr>
        <w:t>po postoupení návrhu legislativního aktu vnitrostátním parlamentům,</w:t>
      </w:r>
    </w:p>
    <w:p>
      <w:pPr>
        <w:rPr>
          <w:noProof/>
        </w:rPr>
      </w:pPr>
      <w:r>
        <w:rPr>
          <w:noProof/>
        </w:rPr>
        <w:t>s ohledem na stanovisko Evropského hospodářského a sociálního výboru</w:t>
      </w:r>
      <w:r>
        <w:rPr>
          <w:rStyle w:val="FootnoteReference"/>
          <w:noProof/>
        </w:rPr>
        <w:footnoteReference w:id="9"/>
      </w:r>
      <w:r>
        <w:rPr>
          <w:noProof/>
        </w:rPr>
        <w:t xml:space="preserve">, </w:t>
      </w:r>
    </w:p>
    <w:p>
      <w:pPr>
        <w:rPr>
          <w:noProof/>
        </w:rPr>
      </w:pPr>
      <w:r>
        <w:rPr>
          <w:noProof/>
        </w:rPr>
        <w:t>v souladu s řádným legislativním postupem,</w:t>
      </w:r>
    </w:p>
    <w:p>
      <w:pPr>
        <w:rPr>
          <w:noProof/>
        </w:rPr>
      </w:pPr>
      <w:r>
        <w:rPr>
          <w:noProof/>
        </w:rPr>
        <w:t>vzhledem k těmto důvodům:</w:t>
      </w:r>
    </w:p>
    <w:p>
      <w:pPr>
        <w:pStyle w:val="ManualConsidrant"/>
        <w:rPr>
          <w:noProof/>
        </w:rPr>
      </w:pPr>
      <w:r>
        <w:t>(1)</w:t>
      </w:r>
      <w:r>
        <w:tab/>
      </w:r>
      <w:r>
        <w:rPr>
          <w:noProof/>
        </w:rPr>
        <w:t>S cílem zajistit maximální možný dopad financování Unie a co nejúčinnější příspěvek k dosažení politických cílů Unie zavedlo nařízení Evropského parlamentu a Rady (EU) [XXX]</w:t>
      </w:r>
      <w:r>
        <w:rPr>
          <w:rStyle w:val="FootnoteReference"/>
          <w:noProof/>
        </w:rPr>
        <w:footnoteReference w:id="10"/>
      </w:r>
      <w:r>
        <w:rPr>
          <w:noProof/>
        </w:rPr>
        <w:t xml:space="preserve"> rámcový program pro výzkum a inovace Horizont Evropa, tedy politický a právní rámec pro evropská partnerství s partnery ze soukromého a/nebo veřejného sektoru. Evropská partnerství jsou klíčovým prvkem politického přístupu programu Horizont Evropa. Partnerství se vytvářejí za účelem plnění priorit Unie, na něž je program Horizont Evropa zaměřen, a zajišťují jednoznačný dopad na Unii a její obyvatelstvo, jehož účinněji dosáhne partnerství se strategickou vizí, kterou partneři sdílejí a k níž se zavážou, spíše než Unie sama.</w:t>
      </w:r>
    </w:p>
    <w:p>
      <w:pPr>
        <w:pStyle w:val="ManualConsidrant"/>
        <w:rPr>
          <w:noProof/>
        </w:rPr>
      </w:pPr>
      <w:r>
        <w:t>(2)</w:t>
      </w:r>
      <w:r>
        <w:tab/>
      </w:r>
      <w:r>
        <w:rPr>
          <w:noProof/>
        </w:rPr>
        <w:t>Zejména se předpokládá, že evropská partnerství v rámci pilíře programu Horizont Evropa „Globální výzvy a konkurenceschopnost průmyslu“ sehrají důležitou úlohu při dosahování strategických cílů urychlení přechodu k cílům udržitelného rozvoje a k ekologické a digitální Evropě a v podpoře oživení</w:t>
      </w:r>
      <w:r>
        <w:rPr>
          <w:rStyle w:val="FootnoteReference"/>
          <w:noProof/>
        </w:rPr>
        <w:footnoteReference w:id="11"/>
      </w:r>
      <w:r>
        <w:rPr>
          <w:noProof/>
        </w:rPr>
        <w:t>. Evropská partnerství jsou klíčová pro řešení složitých přeshraničních výzev, které vyžadují integrovaný přístup. Umožňují řešení transformačních, systematických a tržních selhání tím, že sdružují mnoho různých aktérů napříč hodnotovými řetězci a průmyslovými ekosystémy, kteří spolupracují na dosažení společné vize a převádějí ji do konkrétních plánů a koordinovaného provádění činností. Dále v souvislosti se společnými prioritami umožňují soustředění úsilí a zdrojů s cílem řešit složité budoucí výzvy.</w:t>
      </w:r>
    </w:p>
    <w:p>
      <w:pPr>
        <w:pStyle w:val="ManualConsidrant"/>
        <w:rPr>
          <w:noProof/>
        </w:rPr>
      </w:pPr>
      <w:r>
        <w:lastRenderedPageBreak/>
        <w:t>(3)</w:t>
      </w:r>
      <w:r>
        <w:tab/>
      </w:r>
      <w:r>
        <w:rPr>
          <w:noProof/>
        </w:rPr>
        <w:t>Aby byly priority a dopady naplněny, měla by se evropská partnerství rozvíjet prostřednictvím širokého zapojení relevantních zúčastněných subjektů z celé Evropy, včetně průmyslu, výzkumných organizací, subjektů pověřených výkonem veřejné služby na místní, regionální, celostátní nebo mezinárodní úrovni a organizací občanské společnosti, jako jsou nadace, jež podporují a/nebo provádějí výzkum a inovace. Tato evropská partnerství by rovněž měla být jedním z opatření zaměřených na posílení spolupráce mezi partnery ze soukromého a/nebo veřejného sektoru na mezinárodní úrovni, mimo jiné prostřednictvím spojování programů výzkumu a inovací a přeshraničních investic do výzkumu a inovací, což by bylo přínosem pro občany i podniky.</w:t>
      </w:r>
    </w:p>
    <w:p>
      <w:pPr>
        <w:pStyle w:val="ManualConsidrant"/>
        <w:rPr>
          <w:noProof/>
        </w:rPr>
      </w:pPr>
      <w:r>
        <w:t>(4)</w:t>
      </w:r>
      <w:r>
        <w:tab/>
      </w:r>
      <w:r>
        <w:rPr>
          <w:noProof/>
        </w:rPr>
        <w:t>V souladu s cíli nařízení (EU) XXX by měly mít právo zúčastnit se Evropského partnerství v oblasti metrologie (dále jen „partnerství v oblasti metrologie“) všechny členské státy a země přidružené k programu Horizont Evropa. Aby byla zajištěna doplňkovost v rámci Evropského hospodářského prostoru a s ostatními sousedními zeměmi, měly by mít možnost se partnerství v oblasti metrologie účastnit i třetí země, a to na základě uzavření příslušné mezinárodní dohody o vědecké a technologické spolupráci s Unií a souhlasu zúčastněných států.</w:t>
      </w:r>
    </w:p>
    <w:p>
      <w:pPr>
        <w:pStyle w:val="ManualConsidrant"/>
        <w:rPr>
          <w:noProof/>
        </w:rPr>
      </w:pPr>
      <w:r>
        <w:t>(5)</w:t>
      </w:r>
      <w:r>
        <w:tab/>
      </w:r>
      <w:r>
        <w:rPr>
          <w:noProof/>
        </w:rPr>
        <w:t>Program Horizont Evropa zavádí strategičtější a soudržnější přístup k evropským partnerstvím zaměřený na dopady, přičemž vychází z ponaučení získaných z průběžného hodnocení programu Horizont 2020. Cílem nařízení o programu Horizont Evropa je účinnější využívání institucionalizovaných evropských partnerství, a to zejména důrazem na jasné cíle, výstupy a dopad, jichž lze dosáhnout do roku 2030, a zajištěním jasného příspěvku k souvisejícím politickým prioritám a politikám Unie. Úzká spolupráce a synergie s dalšími relevantními iniciativami na unijní, národní a regionální úrovni, a zvláště s jinými evropskými partnerstvími, budou mít zásadní význam pro dosažení většího dopadu a zajištění využívání výsledků.</w:t>
      </w:r>
    </w:p>
    <w:p>
      <w:pPr>
        <w:pStyle w:val="ManualConsidrant"/>
        <w:rPr>
          <w:noProof/>
        </w:rPr>
      </w:pPr>
      <w:r>
        <w:t>(6)</w:t>
      </w:r>
      <w:r>
        <w:tab/>
      </w:r>
      <w:r>
        <w:rPr>
          <w:noProof/>
        </w:rPr>
        <w:t>Rozhodnutím Evropského parlamentu a Rady č. 555/2014/EU</w:t>
      </w:r>
      <w:r>
        <w:rPr>
          <w:rStyle w:val="FootnoteReference"/>
          <w:noProof/>
        </w:rPr>
        <w:footnoteReference w:id="12"/>
      </w:r>
      <w:r>
        <w:rPr>
          <w:noProof/>
        </w:rPr>
        <w:t xml:space="preserve"> Unie rozhodla poskytnout evropskému metrologickému programu pro inovace a výzkum (European Metrology Programme for Innovation and Research, dále jen „EMPIR“) finanční příspěvek, který odpovídá příspěvku zúčastněných států, nejvýše však 300 000 000 EUR, po dobu trvání rámcového programu pro výzkum a inovace na období 2014–2020 (dále jen „Horizont 2020“), který byl zřízen nařízením Evropského parlamentu a Rady (EU) č. 1291/2013</w:t>
      </w:r>
      <w:r>
        <w:rPr>
          <w:rStyle w:val="FootnoteReference"/>
          <w:noProof/>
        </w:rPr>
        <w:footnoteReference w:id="13"/>
      </w:r>
      <w:r>
        <w:rPr>
          <w:noProof/>
        </w:rPr>
        <w:t xml:space="preserve">. V hodnocení programu EMPIR v polovině období provedeném v červenci 2017 byla navržena nová iniciativa. </w:t>
      </w:r>
    </w:p>
    <w:p>
      <w:pPr>
        <w:pStyle w:val="ManualConsidrant"/>
        <w:rPr>
          <w:noProof/>
        </w:rPr>
      </w:pPr>
      <w:r>
        <w:t>(7)</w:t>
      </w:r>
      <w:r>
        <w:tab/>
      </w:r>
      <w:r>
        <w:rPr>
          <w:noProof/>
        </w:rPr>
        <w:t xml:space="preserve">Finanční příspěvek Unie by měl být podmíněn formálními závazky zúčastněných států finančně přispět k provádění partnerství v oblasti metrologie a splnění těchto závazků. Příspěvky zúčastněných států by měly zahrnovat příspěvek na správní náklady v maximální výši 5 % rozpočtu partnerství v oblasti metrologie. Zúčastněné státy by se </w:t>
      </w:r>
      <w:r>
        <w:rPr>
          <w:noProof/>
        </w:rPr>
        <w:lastRenderedPageBreak/>
        <w:t>měly zavázat, že svůj příspěvek na partnerství v oblasti metrologie v případě potřeby navýší vytvořením rezervních finančních prostředků, aby bylo zajištěno, že budou schopny financovat své vnitrostátní subjekty, národní metrologické instituty a specializované ústavy, které se účastní činností partnerství v oblasti metrologie. Společné provádění partnerství v oblasti metrologie vyžaduje určitou prováděcí strukturu. Finanční příspěvek Unie by měl být spravován v souladu se zásadou řádného finančního řízení a s příslušnými pravidly nepřímého řízení stanovenými v nařízení Evropského parlamentu a Rady (EU, Euratom) 2018/1046</w:t>
      </w:r>
      <w:r>
        <w:rPr>
          <w:rStyle w:val="FootnoteReference"/>
          <w:noProof/>
        </w:rPr>
        <w:footnoteReference w:id="14"/>
      </w:r>
      <w:r>
        <w:rPr>
          <w:noProof/>
        </w:rPr>
        <w:t>.</w:t>
      </w:r>
    </w:p>
    <w:p>
      <w:pPr>
        <w:pStyle w:val="ManualConsidrant"/>
        <w:rPr>
          <w:noProof/>
        </w:rPr>
      </w:pPr>
      <w:r>
        <w:t>(8)</w:t>
      </w:r>
      <w:r>
        <w:tab/>
      </w:r>
      <w:r>
        <w:rPr>
          <w:noProof/>
        </w:rPr>
        <w:t xml:space="preserve">Mělo by být vytvořeno partnerství v oblasti metrologie. Toto partnerství by bylo účinnější než tradiční výzvy nebo spolufinancované partnerství v rámci pracovních programů vytvořených pro všechny související klastry druhého pilíře programu Horizont Evropa. </w:t>
      </w:r>
    </w:p>
    <w:p>
      <w:pPr>
        <w:pStyle w:val="ManualConsidrant"/>
        <w:rPr>
          <w:rFonts w:eastAsiaTheme="minorEastAsia"/>
          <w:noProof/>
        </w:rPr>
      </w:pPr>
      <w:r>
        <w:t>(9)</w:t>
      </w:r>
      <w:r>
        <w:tab/>
      </w:r>
      <w:r>
        <w:rPr>
          <w:noProof/>
        </w:rPr>
        <w:t>Cílem tohoto rozhodnutí je zajistit účast Unie na partnerství v oblasti metrologie v zájmu podpory jeho obecných cílů. Rozsah a složitost metrologických požadavků vyžadují investice, které přesahují rámec základních rozpočtů národních metrologických institutů a specializovaných ústavů. Excelence, která je nezbytná pro výzkum a vývoj špičkových metrologických řešení, je rozptýlena přes hranice jednotlivých států, a nelze jí proto dosáhnout pouze na vnitrostátní úrovni. Jelikož cílů tohoto rozhodnutí nemůže být dosaženo uspokojivě členskými státy, ale může jich být lépe dosaženo na úrovni Unie prostřednictvím začlenění vnitrostátního úsilí do jednotného evropského přístupu, spojení roztříštěných vnitrostátních výzkumných programů, poskytnutí pomoci při koncipování společných strategií v oblasti výzkumu a financování, které přesahují hranice států, a dosažení potřebného kritického počtu účastníků a objemu investic, může Unie přijmout opatření v souladu se zásadou subsidiarity stanovenou v článku 5 Smlouvy o Evropské unii. V souladu se zásadou proporcionality stanovenou v uvedeném článku nepřekračuje toto rozhodnutí rámec toho, co je nezbytné pro dosažení těchto cílů.</w:t>
      </w:r>
    </w:p>
    <w:p>
      <w:pPr>
        <w:pStyle w:val="ManualConsidrant"/>
        <w:rPr>
          <w:noProof/>
        </w:rPr>
      </w:pPr>
      <w:r>
        <w:t>(10)</w:t>
      </w:r>
      <w:r>
        <w:tab/>
      </w:r>
      <w:r>
        <w:rPr>
          <w:noProof/>
        </w:rPr>
        <w:t>Doba trvání partnerství v oblasti metrologie, sladěného s politickými prioritami Komise (včetně Zelené dohody pro Evropu, hospodářství ve prospěch lidí a Evropy připravené na digitální věk), by měla činit deset let (od roku 2021 do roku 2031). Ve srovnání s iniciativou EMPIR v rámci programu Horizont 2020 by program měl zahrnovat nové činnosti, a zejména rozvoj evropských metrologických sítí, jež budou reagovat na naléhavé společenské výzvy a potřeby vznikajících technologií v oblasti metrologie. Metrologické kapacity zajištěné prostřednictvím těchto sítí by měly být rovnocenné a srovnatelné s jinými předními světovými metrologickými systémy, a prokázat tak světovou úroveň excelence. Výzvy k podávání návrhů v rámci partnerství v oblasti metrologie by měly být zahájeny během provádění programu Horizont Evropa.</w:t>
      </w:r>
    </w:p>
    <w:p>
      <w:pPr>
        <w:pStyle w:val="ManualConsidrant"/>
        <w:rPr>
          <w:noProof/>
        </w:rPr>
      </w:pPr>
      <w:r>
        <w:lastRenderedPageBreak/>
        <w:t>(11)</w:t>
      </w:r>
      <w:r>
        <w:tab/>
      </w:r>
      <w:r>
        <w:rPr>
          <w:noProof/>
        </w:rPr>
        <w:t>Činnosti partnerství v oblasti metrologie by měly být v souladu s cíli a výzkumnými a inovačními prioritami stanovenými v programu Horizont Evropa, jakož i s obecnými zásadami a podmínkami, jež jsou vymezeny v článku XXX nařízení (EU) [nařízení o programu Horizont Evropa].</w:t>
      </w:r>
    </w:p>
    <w:p>
      <w:pPr>
        <w:pStyle w:val="ManualConsidrant"/>
        <w:rPr>
          <w:noProof/>
        </w:rPr>
      </w:pPr>
      <w:r>
        <w:t>(12)</w:t>
      </w:r>
      <w:r>
        <w:tab/>
      </w:r>
      <w:r>
        <w:rPr>
          <w:noProof/>
        </w:rPr>
        <w:t>Pro finanční účast Unie na partnerství v oblasti metrologie během doby trvání programu Horizont Evropa by měl být stanoven strop. V rámci tohoto stropu by měl příspěvek Unie nanejvýš odpovídat příspěvku států účastnících se partnerství v oblasti metrologie, aby bylo dosaženo vysokého pákového efektu a aby byla zajištěna větší integrace programů zúčastněných států.</w:t>
      </w:r>
    </w:p>
    <w:p>
      <w:pPr>
        <w:pStyle w:val="ManualConsidrant"/>
        <w:rPr>
          <w:noProof/>
        </w:rPr>
      </w:pPr>
      <w:r>
        <w:t>(13)</w:t>
      </w:r>
      <w:r>
        <w:tab/>
      </w:r>
      <w:r>
        <w:rPr>
          <w:noProof/>
        </w:rPr>
        <w:t>V souladu s článkem XX nařízení (EU) [XXX] [nařízení o programu Horizont Evropa] je obecným cílem programu Horizont Evropa přinášet vědecký, ekonomický a společenský dopad investic Unie v oblasti výzkumu a inovací s cílem posílit vědecké a technologické základny Unie a podpořit její konkurenceschopnost, a to i v oblasti průmyslu, plnit strategické priority Unie a přispět k řešení globálních výzev, včetně cílů udržitelného rozvoje, a to dodržováním zásad Agendy pro udržitelný rozvoj 2030 a Pařížské dohody v rámci Rámcové úmluvy Organizace spojených národů o změně klimatu.</w:t>
      </w:r>
    </w:p>
    <w:p>
      <w:pPr>
        <w:pStyle w:val="ManualConsidrant"/>
        <w:rPr>
          <w:noProof/>
        </w:rPr>
      </w:pPr>
      <w:r>
        <w:t>(14)</w:t>
      </w:r>
      <w:r>
        <w:tab/>
      </w:r>
      <w:r>
        <w:rPr>
          <w:noProof/>
        </w:rPr>
        <w:t>Zúčastněné státy se dohodly na prováděcí struktuře pro předcházející iniciativy, tedy evropský metrologický výzkumný program (European Metrology Research Programme, dále jen „EMRP“) a program EMPIR. V roce 2007 byla jako tato struktura zřízena evropská regionální metrologická organizace a neziskové sdružení podle německého práva EURAMET e.V. (dále jen „EURAMET“). EURAMET plní rovněž úkoly a povinnosti související s širší evropskou a globální harmonizací metrologie. Členství v EURAMET je otevřené všem evropským národním metrologickým institutům jakožto členům a specializovaným ústavům jakožto partnerům. Členství v EURAMET není podmíněno existencí vnitrostátních metrologických výzkumných programů. Vzhledem ke skutečnosti, že podle zprávy o hodnocení programu EMPIR v polovině období se správní struktura organizace EURAMET ukázala jako účinná a vysoce kvalitní pro provádění programů EMRP a EMPIR, měla by se organizace EURAMET využívat rovněž při provádění partnerství v oblasti metrologie. Organizace EURAMET by tudíž měla spravovat finanční příspěvek Unie.</w:t>
      </w:r>
    </w:p>
    <w:p>
      <w:pPr>
        <w:pStyle w:val="ManualConsidrant"/>
        <w:rPr>
          <w:noProof/>
        </w:rPr>
      </w:pPr>
      <w:r>
        <w:t>(15)</w:t>
      </w:r>
      <w:r>
        <w:tab/>
      </w:r>
      <w:r>
        <w:rPr>
          <w:noProof/>
        </w:rPr>
        <w:t>K dosažení cílů programu partnerství v oblasti metrologie by organizace EURAMET měla finanční podporu poskytovat především v podobě grantů pro účastníky akcí vybraných na úrovni organizace EURAMET. Tyto akce by měly být vybrány na základě výzev k podávání návrhů v rámci odpovědnosti organizace EURAMET. Pořadník by měl být závazný, pokud jde o výběr návrhů a finanční prostředky přidělené na výzkumné projekty a související činnosti z finančního příspěvku Unie a z příspěvků zúčastněných států. Za činnosti financované z příspěvků zúčastněných států na evropské metrologické sítě by rovněž měla odpovídat organizace EURAMET.</w:t>
      </w:r>
    </w:p>
    <w:p>
      <w:pPr>
        <w:pStyle w:val="ManualConsidrant"/>
        <w:rPr>
          <w:noProof/>
        </w:rPr>
      </w:pPr>
      <w:r>
        <w:t>(16)</w:t>
      </w:r>
      <w:r>
        <w:tab/>
      </w:r>
      <w:r>
        <w:rPr>
          <w:noProof/>
        </w:rPr>
        <w:t>Účast na nepřímých akcích financovaných v rámci partnerství v oblasti metrologie upravuje nařízení Rady (EU) č. XXX</w:t>
      </w:r>
      <w:r>
        <w:rPr>
          <w:rStyle w:val="FootnoteReference"/>
          <w:noProof/>
        </w:rPr>
        <w:footnoteReference w:id="15"/>
      </w:r>
      <w:r>
        <w:rPr>
          <w:noProof/>
        </w:rPr>
        <w:t xml:space="preserve"> [pravidla pro účast v programu Horizont </w:t>
      </w:r>
      <w:r>
        <w:rPr>
          <w:noProof/>
        </w:rPr>
        <w:lastRenderedPageBreak/>
        <w:t>Evropa]. Avšak vzhledem ke zvláštním provozním potřebám partnerství v oblasti metrologie, zejména k potřebě vybudovat a spravovat budoucí evropské metrologické sítě a umožnit odpovídající finanční účast zúčastněných států, by případně mělo být možné koordinační úlohu v návrhu předloženém národním metrologickým institutům a specializovaným ústavům zúčastněných států omezit.</w:t>
      </w:r>
    </w:p>
    <w:p>
      <w:pPr>
        <w:pStyle w:val="ManualConsidrant"/>
        <w:rPr>
          <w:noProof/>
        </w:rPr>
      </w:pPr>
      <w:r>
        <w:t>(17)</w:t>
      </w:r>
      <w:r>
        <w:tab/>
      </w:r>
      <w:r>
        <w:rPr>
          <w:noProof/>
        </w:rPr>
        <w:t xml:space="preserve">Příspěvky zúčastněných států by měly být zajištěny prostřednictvím institucionálního financování národních metrologických institutů a specializovaných ústavů. Široká škála příslušných činností by měla přispět k plnění cílů partnerství v oblasti metrologie a být stanovena v ročních pracovních plánech spolu se souvisejícími provozními náklady a výdaji. Mimo jiné by příspěvky měly pokrýt náklady na služby, které přímo zajišťují kalibraci, a jiné služby navázané na mezinárodní soustavu jednotek. Příspěvky od zúčastněných států by rovněž měly zahrnovat finanční příspěvek na správní náklady partnerství v oblasti metrologie. </w:t>
      </w:r>
    </w:p>
    <w:p>
      <w:pPr>
        <w:pStyle w:val="ManualConsidrant"/>
        <w:rPr>
          <w:noProof/>
        </w:rPr>
      </w:pPr>
      <w:r>
        <w:t>(18)</w:t>
      </w:r>
      <w:r>
        <w:tab/>
      </w:r>
      <w:r>
        <w:rPr>
          <w:noProof/>
        </w:rPr>
        <w:t>V zájmu zajištění transparentnosti a přístupnosti programu by výzvy k podávání návrhů v rámci partnerství v oblasti metrologie měly být zveřejněny rovněž na jednotném portálu pro účastníky a dále i prostřednictvím jiných elektronických prostředků programu Horizont Evropa pro šíření informací spravovaných Komisí.</w:t>
      </w:r>
    </w:p>
    <w:p>
      <w:pPr>
        <w:pStyle w:val="ManualConsidrant"/>
        <w:rPr>
          <w:noProof/>
        </w:rPr>
      </w:pPr>
      <w:r>
        <w:t>(19)</w:t>
      </w:r>
      <w:r>
        <w:tab/>
      </w:r>
      <w:r>
        <w:rPr>
          <w:noProof/>
        </w:rPr>
        <w:t xml:space="preserve">Fungování modelu financování, co se týká zásady stejné výše finančních prostředků Unie a ostatních finančních prostředků, by mělo být znovu posouzeno v době průběžného hodnocení partnerství v oblasti metrologie, aby bylo zajištěno dodržování zásady stejné výše finančních příspěvků od zúčastněných států. </w:t>
      </w:r>
    </w:p>
    <w:p>
      <w:pPr>
        <w:pStyle w:val="ManualConsidrant"/>
        <w:rPr>
          <w:rFonts w:eastAsiaTheme="minorEastAsia"/>
          <w:noProof/>
        </w:rPr>
      </w:pPr>
      <w:r>
        <w:t>(20)</w:t>
      </w:r>
      <w:r>
        <w:tab/>
      </w:r>
      <w:r>
        <w:rPr>
          <w:noProof/>
        </w:rPr>
        <w:t xml:space="preserve">Finanční zájmy Unie by měly být chráněny přiměřenými opatřeními v celém výdajovém cyklu, včetně opatření pro prevenci, odhalování a vyšetřování nesrovnalostí, zpětného získávání ztracených, neoprávněně vyplacených nebo nesprávně použitých finančních prostředků a případných správních a finančních sankcí. </w:t>
      </w:r>
    </w:p>
    <w:p>
      <w:pPr>
        <w:pStyle w:val="ManualConsidrant"/>
        <w:rPr>
          <w:noProof/>
        </w:rPr>
      </w:pPr>
      <w:r>
        <w:t>(21)</w:t>
      </w:r>
      <w:r>
        <w:tab/>
      </w:r>
      <w:r>
        <w:rPr>
          <w:noProof/>
        </w:rPr>
        <w:t>V zájmu ochrany finančních zájmů Unie by měla mít Komise v případě nepřiměřeného, částečného nebo opožděného provádění partnerství v oblasti metrologie nebo v případě, že zúčastněné strany své příspěvky na financování partnerství v oblasti metrologie neposkytnou nebo je poskytnou částečně či opožděně, právo finanční příspěvek Unie snížit nebo pozastavit či ukončit jeho poskytování. Toto právo by mělo být stanoveno v dohodě o přiznání příspěvku, která bude uzavřena mezi Unií a organizací EURAMET.</w:t>
      </w:r>
    </w:p>
    <w:p>
      <w:pPr>
        <w:pStyle w:val="ManualConsidrant"/>
        <w:rPr>
          <w:rFonts w:eastAsiaTheme="minorEastAsia"/>
          <w:noProof/>
        </w:rPr>
      </w:pPr>
      <w:r>
        <w:t>(22)</w:t>
      </w:r>
      <w:r>
        <w:tab/>
      </w:r>
      <w:r>
        <w:rPr>
          <w:noProof/>
        </w:rPr>
        <w:t>V zájmu zjednodušení by měla být pro všechny strany snížena administrativní zátěž. Mělo by se předcházet zdvojeným auditům a tvorbě dokumentace a předkládání zpráv v nepřiměřeném rozsahu. Při provádění auditů by měly být vhodným způsobem zohledňovány specifické aspekty národních programů. Audity u příjemců finančních prostředků Unie poskytnutých podle tohoto rozhodnutí by měly zajistit snížení administrativní zátěže v souladu s nařízením (EU, Euratom) 2018/1046.</w:t>
      </w:r>
    </w:p>
    <w:p>
      <w:pPr>
        <w:pStyle w:val="ManualConsidrant"/>
        <w:rPr>
          <w:noProof/>
        </w:rPr>
      </w:pPr>
      <w:r>
        <w:t>(23)</w:t>
      </w:r>
      <w:r>
        <w:tab/>
      </w:r>
      <w:r>
        <w:rPr>
          <w:noProof/>
        </w:rPr>
        <w:t>Na žádost Komise by Evropský parlament, Rada nebo Účetní dvůr, EURAMET a zúčastněné státy měly Komisi poskytnout informace, které potřebuje zahrnout do zpráv o hodnocení partnerství v oblasti metrologie.</w:t>
      </w:r>
    </w:p>
    <w:p>
      <w:pPr>
        <w:pStyle w:val="ManualConsidrant"/>
        <w:rPr>
          <w:noProof/>
        </w:rPr>
      </w:pPr>
      <w:r>
        <w:t>(24)</w:t>
      </w:r>
      <w:r>
        <w:tab/>
      </w:r>
      <w:r>
        <w:rPr>
          <w:noProof/>
        </w:rPr>
        <w:t>Komise by do roku 2025 měla provést průběžné hodnocení, zejména za účelem posouzení kvality a účinnosti partnerství v oblasti metrologie a pokroku při plnění stanovených cílů, a do roku 2030 závěrečné hodnocení a o těchto hodnoceních by měla vypracovat zprávy,</w:t>
      </w:r>
    </w:p>
    <w:p>
      <w:pPr>
        <w:pStyle w:val="Formuledadoption"/>
        <w:rPr>
          <w:noProof/>
        </w:rPr>
      </w:pPr>
      <w:r>
        <w:rPr>
          <w:noProof/>
        </w:rPr>
        <w:lastRenderedPageBreak/>
        <w:t xml:space="preserve">PŘIJALY TOTO ROZHODNUTÍ: </w:t>
      </w:r>
    </w:p>
    <w:p>
      <w:pPr>
        <w:pStyle w:val="Titrearticle"/>
        <w:rPr>
          <w:noProof/>
        </w:rPr>
      </w:pPr>
      <w:r>
        <w:rPr>
          <w:noProof/>
        </w:rPr>
        <w:t>Článek 1</w:t>
      </w:r>
    </w:p>
    <w:p>
      <w:pPr>
        <w:pStyle w:val="Titrearticle"/>
        <w:rPr>
          <w:noProof/>
        </w:rPr>
      </w:pPr>
      <w:r>
        <w:rPr>
          <w:noProof/>
        </w:rPr>
        <w:t>Účast na Evropském partnerství v oblasti metrologie</w:t>
      </w:r>
    </w:p>
    <w:p>
      <w:pPr>
        <w:pStyle w:val="ManualNumPar1"/>
        <w:rPr>
          <w:noProof/>
        </w:rPr>
      </w:pPr>
      <w:r>
        <w:t>1.</w:t>
      </w:r>
      <w:r>
        <w:tab/>
      </w:r>
      <w:r>
        <w:rPr>
          <w:noProof/>
        </w:rPr>
        <w:t xml:space="preserve">Unie se účastní Evropského partnerství v oblasti metrologie (dále jen „partnerství v oblasti metrologie“), institucionalizovaného partnerství uvedeného v čl. 8 odst. 1 písm. c) nařízení (EU) […] [Horizont Evropa], prováděného společně Belgií, [Bosnou a Hercegovinou], Bulharskem, Českem, Dánskem, Estonskem, Finskem, Francií, Chorvatskem, Irskem, Itálií, Litvou, Maďarskem, Německem, Nizozemskem, [Norskem], Polskem, Portugalskem, Rakouskem, Rumunskem, Řeckem, Slovenskem, Slovinskem, [Srbskem], Španělskem, Švédskem, [Švýcarskem a Tureckem] (dále jen „zúčastněné státy“) v souladu s podmínkami stanovenými v tomto rozhodnutí. </w:t>
      </w:r>
    </w:p>
    <w:p>
      <w:pPr>
        <w:pStyle w:val="ManualNumPar1"/>
        <w:rPr>
          <w:noProof/>
        </w:rPr>
      </w:pPr>
      <w:r>
        <w:t>2.</w:t>
      </w:r>
      <w:r>
        <w:tab/>
      </w:r>
      <w:r>
        <w:rPr>
          <w:noProof/>
        </w:rPr>
        <w:t xml:space="preserve">Každý jiný členský stát, který není uveden v odstavci 1, nebo každá jiná země přidružená k programu Horizont Evropa se může partnerství v oblasti metrologie účastnit, splní-li podmínku stanovenou v čl. 4 odst. 1 písm. c). Pro účely tohoto rozhodnutí se považuje za zúčastněný stát. </w:t>
      </w:r>
    </w:p>
    <w:p>
      <w:pPr>
        <w:pStyle w:val="ManualNumPar1"/>
        <w:rPr>
          <w:noProof/>
        </w:rPr>
      </w:pPr>
      <w:r>
        <w:t>3.</w:t>
      </w:r>
      <w:r>
        <w:tab/>
      </w:r>
      <w:r>
        <w:rPr>
          <w:noProof/>
        </w:rPr>
        <w:t>Partnerství v oblasti metrologie se může účastnit kterákoli třetí země, jež není přidružena k programu Horizont Evropa, za předpokladu, že s Unií uzavře mezinárodní dohodu o vědecké a technologické spolupráci, která stanoví podmínky účasti dané země v partnerství v oblasti metrologie, a že získá souhlas Výboru pro partnerství v oblasti metrologie uvedeného v čl. 13 odst. 3 písm. f). Pokud jsou tyto podmínky splněny, pouvažuje se pro účely tohoto rozhodnutí za zúčastněný stát.</w:t>
      </w:r>
    </w:p>
    <w:p>
      <w:pPr>
        <w:pStyle w:val="Titrearticle"/>
        <w:rPr>
          <w:noProof/>
        </w:rPr>
      </w:pPr>
      <w:r>
        <w:rPr>
          <w:noProof/>
        </w:rPr>
        <w:t>Článek 2</w:t>
      </w:r>
    </w:p>
    <w:p>
      <w:pPr>
        <w:pStyle w:val="Titrearticle"/>
        <w:rPr>
          <w:noProof/>
        </w:rPr>
      </w:pPr>
      <w:r>
        <w:rPr>
          <w:noProof/>
        </w:rPr>
        <w:t>Cíle partnerství v oblasti metrologie</w:t>
      </w:r>
    </w:p>
    <w:p>
      <w:pPr>
        <w:pStyle w:val="ManualNumPar1"/>
        <w:rPr>
          <w:rFonts w:eastAsiaTheme="minorEastAsia"/>
          <w:noProof/>
          <w:szCs w:val="24"/>
        </w:rPr>
      </w:pPr>
      <w:r>
        <w:t>1.</w:t>
      </w:r>
      <w:r>
        <w:tab/>
      </w:r>
      <w:r>
        <w:rPr>
          <w:noProof/>
        </w:rPr>
        <w:t xml:space="preserve">Partnerství v oblasti metrologie přispěje k provádění nařízení (EU) … [XXX][Horizont Evropa], a zejména článku 3 tohoto nařízení. </w:t>
      </w:r>
    </w:p>
    <w:p>
      <w:pPr>
        <w:pStyle w:val="ManualNumPar1"/>
        <w:rPr>
          <w:rFonts w:eastAsiaTheme="minorEastAsia"/>
          <w:noProof/>
          <w:szCs w:val="24"/>
        </w:rPr>
      </w:pPr>
      <w:r>
        <w:t>2.</w:t>
      </w:r>
      <w:r>
        <w:tab/>
      </w:r>
      <w:r>
        <w:rPr>
          <w:noProof/>
        </w:rPr>
        <w:t>Aniž je dotčen odstavec 1, partnerství v oblasti metrologie sleduje prostřednictvím zapojení a závazků partnerů do navrhování a provádění programu výzkumných a inovačních činností tyto obecné cíle:</w:t>
      </w:r>
    </w:p>
    <w:p>
      <w:pPr>
        <w:pStyle w:val="Point1"/>
        <w:rPr>
          <w:noProof/>
        </w:rPr>
      </w:pPr>
      <w:r>
        <w:rPr>
          <w:noProof/>
        </w:rPr>
        <w:t>a)</w:t>
      </w:r>
      <w:r>
        <w:rPr>
          <w:noProof/>
        </w:rPr>
        <w:tab/>
        <w:t>vytvořit udržitelný koordinovaný metrologický systém na evropské úrovni;</w:t>
      </w:r>
    </w:p>
    <w:p>
      <w:pPr>
        <w:pStyle w:val="Point1"/>
        <w:rPr>
          <w:noProof/>
        </w:rPr>
      </w:pPr>
      <w:r>
        <w:rPr>
          <w:noProof/>
        </w:rPr>
        <w:t>b)</w:t>
      </w:r>
      <w:r>
        <w:rPr>
          <w:noProof/>
        </w:rPr>
        <w:tab/>
        <w:t>zajistit, aby inovátoři zaváděli nejmodernější metrologické kapacity přímo ve svých ekosystémech;</w:t>
      </w:r>
    </w:p>
    <w:p>
      <w:pPr>
        <w:pStyle w:val="Point1"/>
        <w:rPr>
          <w:noProof/>
        </w:rPr>
      </w:pPr>
      <w:r>
        <w:rPr>
          <w:noProof/>
        </w:rPr>
        <w:t>c)</w:t>
      </w:r>
      <w:r>
        <w:rPr>
          <w:noProof/>
        </w:rPr>
        <w:tab/>
        <w:t>zvýšit dopad metrologie na společenské výzvy ve vztahu k provádění politik, norem a předpisů, aby plnily svůj účel.</w:t>
      </w:r>
    </w:p>
    <w:p>
      <w:pPr>
        <w:pStyle w:val="ManualNumPar1"/>
        <w:rPr>
          <w:noProof/>
        </w:rPr>
      </w:pPr>
      <w:r>
        <w:t>3.</w:t>
      </w:r>
      <w:r>
        <w:tab/>
      </w:r>
      <w:r>
        <w:rPr>
          <w:noProof/>
        </w:rPr>
        <w:t>Při plnění obecných cílů stanovených v odstavci 2 sleduje partnerství v oblasti metrologie tyto konkrétní cíle:</w:t>
      </w:r>
    </w:p>
    <w:p>
      <w:pPr>
        <w:pStyle w:val="Point1"/>
        <w:rPr>
          <w:noProof/>
        </w:rPr>
      </w:pPr>
      <w:r>
        <w:rPr>
          <w:noProof/>
        </w:rPr>
        <w:t>a)</w:t>
      </w:r>
      <w:r>
        <w:rPr>
          <w:noProof/>
        </w:rPr>
        <w:tab/>
        <w:t>vytvořit do roku 2030 nové výzkumné kapacity v rámci nových evropských metrologických sítí, jejichž výsledky, pokud jde o schopnost provádět kalibrace a měření, jsou alespoň srovnatelné s výsledky předních metrologických institutů mimo zúčastněné státy;</w:t>
      </w:r>
    </w:p>
    <w:p>
      <w:pPr>
        <w:pStyle w:val="Point1"/>
        <w:rPr>
          <w:noProof/>
        </w:rPr>
      </w:pPr>
      <w:r>
        <w:rPr>
          <w:noProof/>
        </w:rPr>
        <w:lastRenderedPageBreak/>
        <w:t>b)</w:t>
      </w:r>
      <w:r>
        <w:rPr>
          <w:noProof/>
        </w:rPr>
        <w:tab/>
        <w:t>podpořit do roku 2030 prodej nových inovativních produktů a služeb využíváním a přijímáním nových kapacit pro metrologii v oblasti klíčových vznikajících technologií;</w:t>
      </w:r>
    </w:p>
    <w:p>
      <w:pPr>
        <w:pStyle w:val="Point1"/>
        <w:rPr>
          <w:noProof/>
        </w:rPr>
      </w:pPr>
      <w:r>
        <w:rPr>
          <w:noProof/>
        </w:rPr>
        <w:t>c)</w:t>
      </w:r>
      <w:r>
        <w:rPr>
          <w:noProof/>
        </w:rPr>
        <w:tab/>
        <w:t>přispět do roku 2030 plně a účinně k navrhování a provádění zvláštních norem a předpisů, které podpoří veřejné politiky zaměřené na řešení společenských výzev.</w:t>
      </w:r>
    </w:p>
    <w:p>
      <w:pPr>
        <w:pStyle w:val="Titrearticle"/>
        <w:rPr>
          <w:noProof/>
        </w:rPr>
      </w:pPr>
      <w:r>
        <w:rPr>
          <w:noProof/>
        </w:rPr>
        <w:t>Článek 3</w:t>
      </w:r>
    </w:p>
    <w:p>
      <w:pPr>
        <w:pStyle w:val="Titrearticle"/>
        <w:rPr>
          <w:noProof/>
        </w:rPr>
      </w:pPr>
      <w:r>
        <w:rPr>
          <w:noProof/>
        </w:rPr>
        <w:t>Finanční příspěvek Unie k partnerství v oblasti metrologie</w:t>
      </w:r>
    </w:p>
    <w:p>
      <w:pPr>
        <w:pStyle w:val="ManualNumPar1"/>
        <w:rPr>
          <w:noProof/>
        </w:rPr>
      </w:pPr>
      <w:r>
        <w:t>1.</w:t>
      </w:r>
      <w:r>
        <w:tab/>
      </w:r>
      <w:r>
        <w:rPr>
          <w:noProof/>
        </w:rPr>
        <w:t>Finanční příspěvek Unie k partnerství v oblasti metrologie, včetně příspěvků zemí Evropského sdružení volného obchodu a třetích zemí, nepřekročí příspěvky zúčastněných států k partnerství v oblasti metrologie. Výše finančního příspěvku Unie činí nejvýše 300 milionů EUR, aby odpovídal příspěvkům zúčastněných států uvedených v čl. 1 odst. 1.</w:t>
      </w:r>
    </w:p>
    <w:p>
      <w:pPr>
        <w:pStyle w:val="ManualNumPar1"/>
        <w:rPr>
          <w:noProof/>
        </w:rPr>
      </w:pPr>
      <w:r>
        <w:t>2.</w:t>
      </w:r>
      <w:r>
        <w:tab/>
      </w:r>
      <w:r>
        <w:rPr>
          <w:noProof/>
        </w:rPr>
        <w:t>Při výpočtu finančního příspěvku Unie nejsou zohledněny případné příspěvky zúčastněných států na správní náklady přesahující 5 % celkové výše společných příspěvků k partnerství v oblasti metrologie.</w:t>
      </w:r>
    </w:p>
    <w:p>
      <w:pPr>
        <w:pStyle w:val="ManualNumPar1"/>
        <w:rPr>
          <w:noProof/>
        </w:rPr>
      </w:pPr>
      <w:r>
        <w:t>3.</w:t>
      </w:r>
      <w:r>
        <w:tab/>
      </w:r>
      <w:r>
        <w:rPr>
          <w:noProof/>
        </w:rPr>
        <w:t>Finanční příspěvek Unie je hrazen z prostředků souhrnného rozpočtu Unie přidělených na příslušné části zvláštního programu, kterým se provádí program Horizont Evropa, zavedeného rozhodnutím Evropského parlamentu a Rady [XXX]</w:t>
      </w:r>
      <w:r>
        <w:rPr>
          <w:rStyle w:val="FootnoteReference"/>
          <w:noProof/>
        </w:rPr>
        <w:footnoteReference w:id="16"/>
      </w:r>
      <w:r>
        <w:rPr>
          <w:noProof/>
        </w:rPr>
        <w:t xml:space="preserve"> o zavedení zvláštního programu, kterým se provádí rámcový program pro výzkum a inovace Horizont Evropa. </w:t>
      </w:r>
    </w:p>
    <w:p>
      <w:pPr>
        <w:pStyle w:val="ManualNumPar1"/>
        <w:rPr>
          <w:noProof/>
        </w:rPr>
      </w:pPr>
      <w:r>
        <w:t>4.</w:t>
      </w:r>
      <w:r>
        <w:tab/>
      </w:r>
      <w:r>
        <w:rPr>
          <w:noProof/>
        </w:rPr>
        <w:t>Organizace EURAMET e.V. (dále jen „EURAMET“) použije finanční příspěvek Unie  k financování činností uvedených v čl. 6 odst. 1 písm. a).</w:t>
      </w:r>
    </w:p>
    <w:p>
      <w:pPr>
        <w:pStyle w:val="ManualNumPar1"/>
        <w:rPr>
          <w:noProof/>
        </w:rPr>
      </w:pPr>
      <w:r>
        <w:t>5.</w:t>
      </w:r>
      <w:r>
        <w:tab/>
      </w:r>
      <w:r>
        <w:rPr>
          <w:noProof/>
        </w:rPr>
        <w:t>Finanční příspěvek Unie se nesmí použít k uhrazení správních nákladů partnerství v oblasti metrologie.</w:t>
      </w:r>
    </w:p>
    <w:p>
      <w:pPr>
        <w:pStyle w:val="Titrearticle"/>
        <w:rPr>
          <w:noProof/>
        </w:rPr>
      </w:pPr>
      <w:r>
        <w:rPr>
          <w:noProof/>
        </w:rPr>
        <w:t>Článek 4</w:t>
      </w:r>
    </w:p>
    <w:p>
      <w:pPr>
        <w:pStyle w:val="Titrearticle"/>
        <w:rPr>
          <w:noProof/>
        </w:rPr>
      </w:pPr>
      <w:r>
        <w:rPr>
          <w:noProof/>
        </w:rPr>
        <w:t>Podmínky pro poskytnutí finančního příspěvku Unie</w:t>
      </w:r>
    </w:p>
    <w:p>
      <w:pPr>
        <w:pStyle w:val="ManualNumPar1"/>
        <w:rPr>
          <w:noProof/>
        </w:rPr>
      </w:pPr>
      <w:r>
        <w:t>1.</w:t>
      </w:r>
      <w:r>
        <w:tab/>
      </w:r>
      <w:r>
        <w:rPr>
          <w:noProof/>
        </w:rPr>
        <w:t>Finanční příspěvek Unie je podmíněn tím, že:</w:t>
      </w:r>
    </w:p>
    <w:p>
      <w:pPr>
        <w:pStyle w:val="Point1"/>
        <w:rPr>
          <w:noProof/>
        </w:rPr>
      </w:pPr>
      <w:r>
        <w:rPr>
          <w:noProof/>
        </w:rPr>
        <w:t>a)</w:t>
      </w:r>
      <w:r>
        <w:rPr>
          <w:noProof/>
        </w:rPr>
        <w:tab/>
        <w:t>zúčastněné státy prokážou, že je partnerství v oblasti metrologie ustanoveno v souladu s tímto rozhodnutím;</w:t>
      </w:r>
    </w:p>
    <w:p>
      <w:pPr>
        <w:pStyle w:val="Point1"/>
        <w:rPr>
          <w:noProof/>
        </w:rPr>
      </w:pPr>
      <w:r>
        <w:rPr>
          <w:noProof/>
        </w:rPr>
        <w:t>b)</w:t>
      </w:r>
      <w:r>
        <w:rPr>
          <w:noProof/>
        </w:rPr>
        <w:tab/>
        <w:t>zúčastněné státy nebo národní metrologické instituty jimi pověřené určí EURAMET jako strukturu odpovědnou za provádění partnerství v oblasti metrologie a přijímání, rozdělování a monitorování finančního příspěvku Unie;</w:t>
      </w:r>
    </w:p>
    <w:p>
      <w:pPr>
        <w:pStyle w:val="Point1"/>
        <w:rPr>
          <w:noProof/>
        </w:rPr>
      </w:pPr>
      <w:r>
        <w:rPr>
          <w:noProof/>
        </w:rPr>
        <w:lastRenderedPageBreak/>
        <w:t>c)</w:t>
      </w:r>
      <w:r>
        <w:rPr>
          <w:noProof/>
        </w:rPr>
        <w:tab/>
        <w:t>každý zúčastněný stát se zaváže přispět na financování partnerství v oblasti metrologie a vytvořit rezervní finanční prostředky ve výši 50 % objemu závazku;</w:t>
      </w:r>
    </w:p>
    <w:p>
      <w:pPr>
        <w:pStyle w:val="Point1"/>
        <w:rPr>
          <w:noProof/>
        </w:rPr>
      </w:pPr>
      <w:r>
        <w:rPr>
          <w:noProof/>
        </w:rPr>
        <w:t>d)</w:t>
      </w:r>
      <w:r>
        <w:rPr>
          <w:noProof/>
        </w:rPr>
        <w:tab/>
        <w:t xml:space="preserve">EURAMET prokáže svou schopnost provádět partnerství v oblasti metrologie, včetně přijímání, rozdělování a monitorování finančního příspěvku Unie v rámci nepřímého řízení rozpočtu Unie v souladu s články 62 a 154 nařízení (EU, Euratom) 2018/1046; </w:t>
      </w:r>
    </w:p>
    <w:p>
      <w:pPr>
        <w:pStyle w:val="Point1"/>
        <w:rPr>
          <w:noProof/>
        </w:rPr>
      </w:pPr>
      <w:r>
        <w:rPr>
          <w:noProof/>
        </w:rPr>
        <w:t>e)</w:t>
      </w:r>
      <w:r>
        <w:rPr>
          <w:noProof/>
        </w:rPr>
        <w:tab/>
        <w:t>je vytvořen model řízení partnerství v oblasti metrologie v souladu s články 13 až 16 tohoto rozhodnutí.</w:t>
      </w:r>
    </w:p>
    <w:p>
      <w:pPr>
        <w:pStyle w:val="ManualNumPar1"/>
        <w:rPr>
          <w:rFonts w:eastAsiaTheme="minorEastAsia"/>
          <w:noProof/>
          <w:szCs w:val="24"/>
        </w:rPr>
      </w:pPr>
      <w:r>
        <w:t>2.</w:t>
      </w:r>
      <w:r>
        <w:tab/>
      </w:r>
      <w:r>
        <w:rPr>
          <w:noProof/>
        </w:rPr>
        <w:t xml:space="preserve">Během provádění partnerství v oblasti metrologie je finanční příspěvek Unie rovněž podmíněn tím, že: </w:t>
      </w:r>
    </w:p>
    <w:p>
      <w:pPr>
        <w:pStyle w:val="Point1"/>
        <w:rPr>
          <w:noProof/>
        </w:rPr>
      </w:pPr>
      <w:r>
        <w:rPr>
          <w:noProof/>
        </w:rPr>
        <w:t>a)</w:t>
      </w:r>
      <w:r>
        <w:rPr>
          <w:noProof/>
        </w:rPr>
        <w:tab/>
        <w:t>EURAMET provádí činnosti v rámci partnerství v oblasti metrologie stanovené v článku 6 v souladu s cíli stanovenými v článku 2;</w:t>
      </w:r>
    </w:p>
    <w:p>
      <w:pPr>
        <w:pStyle w:val="Point1"/>
        <w:rPr>
          <w:noProof/>
        </w:rPr>
      </w:pPr>
      <w:r>
        <w:rPr>
          <w:noProof/>
        </w:rPr>
        <w:t>b)</w:t>
      </w:r>
      <w:r>
        <w:rPr>
          <w:noProof/>
        </w:rPr>
        <w:tab/>
        <w:t>je zachováván vhodný a účinný model řízení v souladu s články 13 až 16;</w:t>
      </w:r>
    </w:p>
    <w:p>
      <w:pPr>
        <w:pStyle w:val="Point1"/>
        <w:rPr>
          <w:noProof/>
        </w:rPr>
      </w:pPr>
      <w:r>
        <w:rPr>
          <w:noProof/>
        </w:rPr>
        <w:t>c)</w:t>
      </w:r>
      <w:r>
        <w:rPr>
          <w:noProof/>
        </w:rPr>
        <w:tab/>
        <w:t xml:space="preserve">EURAMET dodržuje požadavky na podávání zpráv stanovené v článku 155 nařízení (EU, Euratom) 2018/1046; </w:t>
      </w:r>
    </w:p>
    <w:p>
      <w:pPr>
        <w:pStyle w:val="Point1"/>
        <w:rPr>
          <w:noProof/>
        </w:rPr>
      </w:pPr>
      <w:r>
        <w:rPr>
          <w:noProof/>
        </w:rPr>
        <w:t>d)</w:t>
      </w:r>
      <w:r>
        <w:rPr>
          <w:noProof/>
        </w:rPr>
        <w:tab/>
        <w:t>jsou plněny závazky uvedené v odst. 1 písm. c) tohoto článku.</w:t>
      </w:r>
    </w:p>
    <w:p>
      <w:pPr>
        <w:pStyle w:val="Titrearticle"/>
        <w:rPr>
          <w:noProof/>
        </w:rPr>
      </w:pPr>
      <w:r>
        <w:rPr>
          <w:noProof/>
        </w:rPr>
        <w:t>Článek 5</w:t>
      </w:r>
    </w:p>
    <w:p>
      <w:pPr>
        <w:pStyle w:val="Titrearticle"/>
        <w:rPr>
          <w:noProof/>
        </w:rPr>
      </w:pPr>
      <w:r>
        <w:rPr>
          <w:noProof/>
        </w:rPr>
        <w:t>Příspěvky zúčastněných států k partnerství v oblasti metrologie</w:t>
      </w:r>
    </w:p>
    <w:p>
      <w:pPr>
        <w:pStyle w:val="ManualNumPar1"/>
        <w:rPr>
          <w:noProof/>
        </w:rPr>
      </w:pPr>
      <w:r>
        <w:t>1.</w:t>
      </w:r>
      <w:r>
        <w:tab/>
      </w:r>
      <w:r>
        <w:rPr>
          <w:noProof/>
        </w:rPr>
        <w:t>V období od 1. ledna 2021 do 31. prosince 2031 poskytnou zúčastněné státy uvedené v čl. 1 odst. 1 finanční nebo věcné příspěvky ve výši alespoň 363 milionů EUR nebo zajistí, aby tyto příspěvky poskytly jejich vnitrostátní financující subjekty. Část příspěvků zúčastněných států má podobu finančních příspěvků.</w:t>
      </w:r>
    </w:p>
    <w:p>
      <w:pPr>
        <w:pStyle w:val="ManualNumPar1"/>
        <w:rPr>
          <w:rFonts w:eastAsiaTheme="minorEastAsia"/>
          <w:noProof/>
          <w:szCs w:val="24"/>
        </w:rPr>
      </w:pPr>
      <w:r>
        <w:t>2.</w:t>
      </w:r>
      <w:r>
        <w:tab/>
      </w:r>
      <w:r>
        <w:rPr>
          <w:noProof/>
        </w:rPr>
        <w:t>Příspěvky zúčastněných států sestávají z:</w:t>
      </w:r>
    </w:p>
    <w:p>
      <w:pPr>
        <w:pStyle w:val="Point1"/>
        <w:rPr>
          <w:noProof/>
        </w:rPr>
      </w:pPr>
      <w:r>
        <w:rPr>
          <w:noProof/>
        </w:rPr>
        <w:t>a)</w:t>
      </w:r>
      <w:r>
        <w:rPr>
          <w:noProof/>
        </w:rPr>
        <w:tab/>
        <w:t>finančních nebo věcných příspěvků na prováděcí činnosti uvedené v čl. 6 odst. 1 a</w:t>
      </w:r>
    </w:p>
    <w:p>
      <w:pPr>
        <w:pStyle w:val="Point1"/>
        <w:rPr>
          <w:noProof/>
        </w:rPr>
      </w:pPr>
      <w:r>
        <w:rPr>
          <w:noProof/>
        </w:rPr>
        <w:t>b)</w:t>
      </w:r>
      <w:r>
        <w:rPr>
          <w:noProof/>
        </w:rPr>
        <w:tab/>
        <w:t>finančních nebo věcných příspěvků na pokrytí veškerých správních nákladů organizace EURAMET.</w:t>
      </w:r>
    </w:p>
    <w:p>
      <w:pPr>
        <w:pStyle w:val="ManualNumPar1"/>
        <w:rPr>
          <w:noProof/>
        </w:rPr>
      </w:pPr>
      <w:r>
        <w:t>3.</w:t>
      </w:r>
      <w:r>
        <w:tab/>
      </w:r>
      <w:r>
        <w:rPr>
          <w:noProof/>
        </w:rPr>
        <w:t>Finanční nebo věcné příspěvky uvedené v odst. 2 písm. a) pokrývají náklady vynaložené zúčastněnými státy při provádění činností uvedených v čl. 6 odst. 1 písm. b) po odečtení případného přímého nebo nepřímého finančního příspěvku Unie na tyto náklady.</w:t>
      </w:r>
    </w:p>
    <w:p>
      <w:pPr>
        <w:pStyle w:val="ManualNumPar1"/>
        <w:rPr>
          <w:noProof/>
        </w:rPr>
      </w:pPr>
      <w:r>
        <w:t>4.</w:t>
      </w:r>
      <w:r>
        <w:tab/>
      </w:r>
      <w:r>
        <w:rPr>
          <w:noProof/>
        </w:rPr>
        <w:t>Finanční nebo věcné příspěvky uvedené v odst. 2 písm. b) pokrývají náklady vynaložené zúčastněnými státy v souvislosti se správními náklady organizace EURAMET na provádění partnerství.</w:t>
      </w:r>
    </w:p>
    <w:p>
      <w:pPr>
        <w:pStyle w:val="ManualNumPar1"/>
        <w:rPr>
          <w:noProof/>
        </w:rPr>
      </w:pPr>
      <w:r>
        <w:t>5.</w:t>
      </w:r>
      <w:r>
        <w:tab/>
      </w:r>
      <w:r>
        <w:rPr>
          <w:noProof/>
        </w:rPr>
        <w:t xml:space="preserve">Pro účely ocenění věcných příspěvků uvedených v odst. 2 písm. a) a b) se náklady stanovují v souladu s běžnými účetními postupy zúčastněných států nebo dotčených vnitrostátních financujících subjektů, platnými účetními standardy zúčastněného státu, v němž jsou dotčené vnitrostátní financující subjekty usazeny, a platnými mezinárodními účetními standardy a mezinárodními standardy účetního výkaznictví. Náklady ověřuje nezávislý auditor jmenovaný zúčastněnými státy nebo dotčenými vnitrostátními financujícími subjekty. V případě jakékoli nejasnosti vyplývající </w:t>
      </w:r>
      <w:r>
        <w:rPr>
          <w:noProof/>
        </w:rPr>
        <w:lastRenderedPageBreak/>
        <w:t>z ověřování může EURAMET metodu ocenění ověřit. Jestliže nejasnosti přetrvávají, může EURAMET provést audit metody ocenění.</w:t>
      </w:r>
    </w:p>
    <w:p>
      <w:pPr>
        <w:pStyle w:val="ManualNumPar1"/>
        <w:rPr>
          <w:noProof/>
        </w:rPr>
      </w:pPr>
      <w:r>
        <w:t>6.</w:t>
      </w:r>
      <w:r>
        <w:tab/>
      </w:r>
      <w:r>
        <w:rPr>
          <w:noProof/>
        </w:rPr>
        <w:t>Příspěvky uvedené v odstavci 2 považované za příspěvky od zúčastněných států se poskytnou po přijetí ročního pracovního programu.  Pokud je roční pracovní program přijat v referenčním roce uvedeném v čl. 6 odst. 3, mohou příspěvky uvedené v odst. 2 písm. b) považované za příspěvky od zúčastněných států a obsažené v ročním pracovním programu zahrnovat příspěvky poskytnuté od 1. ledna daného roku. Příspěvky uvedené v odst. 2 písm. b) poskytnuté po vstupu rozhodnutí o partnerství v oblasti metrologie v platnost lze výjimečně považovat za příspěvky od zúčastněných států za předpokladu, že jsou zahrnuty v prvním ročním pracovním programu partnerství v oblasti metrologie.</w:t>
      </w:r>
    </w:p>
    <w:p>
      <w:pPr>
        <w:pStyle w:val="Titrearticle"/>
        <w:rPr>
          <w:noProof/>
        </w:rPr>
      </w:pPr>
      <w:r>
        <w:rPr>
          <w:noProof/>
        </w:rPr>
        <w:t>Článek 6</w:t>
      </w:r>
    </w:p>
    <w:p>
      <w:pPr>
        <w:pStyle w:val="Titrearticle"/>
        <w:rPr>
          <w:noProof/>
        </w:rPr>
      </w:pPr>
      <w:r>
        <w:rPr>
          <w:noProof/>
        </w:rPr>
        <w:t>Činnosti organizace EURAMET</w:t>
      </w:r>
    </w:p>
    <w:p>
      <w:pPr>
        <w:pStyle w:val="ManualNumPar1"/>
        <w:rPr>
          <w:noProof/>
        </w:rPr>
      </w:pPr>
      <w:r>
        <w:t>1.</w:t>
      </w:r>
      <w:r>
        <w:tab/>
      </w:r>
      <w:r>
        <w:rPr>
          <w:noProof/>
        </w:rPr>
        <w:t>Partnerství v oblasti metrologie podporuje širokou škálu výzkumných a inovačních činností prostřednictvím těchto akcí:</w:t>
      </w:r>
    </w:p>
    <w:p>
      <w:pPr>
        <w:pStyle w:val="Point1"/>
        <w:rPr>
          <w:noProof/>
        </w:rPr>
      </w:pPr>
      <w:r>
        <w:rPr>
          <w:noProof/>
        </w:rPr>
        <w:t>a)</w:t>
      </w:r>
      <w:r>
        <w:rPr>
          <w:noProof/>
        </w:rPr>
        <w:tab/>
        <w:t>nepřímé akce ve smyslu čl. 2 bod 25 nařízení (EU) [XXX] [nařízení o programu Horizont Evropa] a v souladu s článkem 7 tohoto rozhodnutí jsou financovány organizací EURAMET zejména formou grantů na základě nadnárodních otevřených a konkurenčních výzev organizace EURAMET k podávání návrhů a zahrnují:</w:t>
      </w:r>
    </w:p>
    <w:p>
      <w:pPr>
        <w:pStyle w:val="Tiret2"/>
        <w:numPr>
          <w:ilvl w:val="0"/>
          <w:numId w:val="21"/>
        </w:numPr>
        <w:rPr>
          <w:noProof/>
        </w:rPr>
      </w:pPr>
      <w:r>
        <w:rPr>
          <w:noProof/>
        </w:rPr>
        <w:t>i) vědecko-technické akce podporující základní vědeckou metrologii, jež stanoví základ pro veškeré další kroky, včetně aplikovaného metrologického výzkumu a vývoje a služeb souvisejících s metrologií;</w:t>
      </w:r>
    </w:p>
    <w:p>
      <w:pPr>
        <w:pStyle w:val="Tiret2"/>
        <w:rPr>
          <w:noProof/>
        </w:rPr>
      </w:pPr>
      <w:r>
        <w:rPr>
          <w:noProof/>
        </w:rPr>
        <w:t>ii) metrologický výzkum, jehož cílem je poskytovat řešení pro společenské výzvy se zaměřením na přispění k energetice, zdraví a životnímu prostředí a podporovat projekty zvláštních evropských metrologických sítí, které tyto výzvy řeší;</w:t>
      </w:r>
    </w:p>
    <w:p>
      <w:pPr>
        <w:pStyle w:val="Tiret2"/>
        <w:rPr>
          <w:noProof/>
        </w:rPr>
      </w:pPr>
      <w:r>
        <w:rPr>
          <w:noProof/>
        </w:rPr>
        <w:t>iii) výzkum za účelem vývoje nových měřicích přístrojů, jehož cílem je průmyslové využití metrologických technologií k podněcování inovací v průmyslu;</w:t>
      </w:r>
    </w:p>
    <w:p>
      <w:pPr>
        <w:pStyle w:val="Tiret2"/>
        <w:rPr>
          <w:noProof/>
        </w:rPr>
      </w:pPr>
      <w:r>
        <w:rPr>
          <w:noProof/>
        </w:rPr>
        <w:t>iv) přípravný a doprovodný metrologický výzkum a vývoj na podporu provádění politiky, předpisů a urychlení zavádění inovativních produktů a služeb na trh;</w:t>
      </w:r>
    </w:p>
    <w:p>
      <w:pPr>
        <w:pStyle w:val="Point1"/>
        <w:rPr>
          <w:noProof/>
        </w:rPr>
      </w:pPr>
      <w:r>
        <w:rPr>
          <w:noProof/>
        </w:rPr>
        <w:t>b)</w:t>
      </w:r>
      <w:r>
        <w:rPr>
          <w:noProof/>
        </w:rPr>
        <w:tab/>
        <w:t>činnosti financované zúčastněnými státy bez finančního příspěvku Unie uvedeného v článku 3, jež sestávají z činností v oblasti budování kapacit pro metrologii na různých technologických úrovních zaměřené na dosažení vyváženého a integrovaného metrologického systému v zúčastněných státech a umožňující těmto státům rozvíjet vlastní vědecké a technické kapacity v metrologii a které zahrnují činnosti nevybrané na základě výzev k podávání návrhů popsaných v písmenu a) a uvedené v ročních pracovních programech, včetně kterékoli z těchto činností:</w:t>
      </w:r>
    </w:p>
    <w:p>
      <w:pPr>
        <w:pStyle w:val="Tiret2"/>
        <w:numPr>
          <w:ilvl w:val="0"/>
          <w:numId w:val="21"/>
        </w:numPr>
        <w:rPr>
          <w:noProof/>
        </w:rPr>
      </w:pPr>
      <w:r>
        <w:rPr>
          <w:noProof/>
        </w:rPr>
        <w:t xml:space="preserve">i) činnosti v rámci národních programů zúčastněných států, jako např. nadnárodní projekty přispívající k prioritám stanoveným v rámci </w:t>
      </w:r>
      <w:r>
        <w:rPr>
          <w:noProof/>
        </w:rPr>
        <w:lastRenderedPageBreak/>
        <w:t>evropské metrologické sítě a technických výborů organizace EURAMET;</w:t>
      </w:r>
    </w:p>
    <w:p>
      <w:pPr>
        <w:pStyle w:val="Tiret2"/>
        <w:rPr>
          <w:noProof/>
        </w:rPr>
      </w:pPr>
      <w:r>
        <w:rPr>
          <w:noProof/>
        </w:rPr>
        <w:t>ii) akce k šíření a využití výsledků metrologického výzkumu;</w:t>
      </w:r>
    </w:p>
    <w:p>
      <w:pPr>
        <w:pStyle w:val="Tiret2"/>
        <w:rPr>
          <w:noProof/>
        </w:rPr>
      </w:pPr>
      <w:r>
        <w:rPr>
          <w:noProof/>
        </w:rPr>
        <w:t>iii) akce zaměřené konkrétně na metrologické instituty, které nemají žádné vědecké kapacity nebo které mají jen omezené vědecké kapacity, a to jejich podporou při využívání ostatních programů Unie nebo celostátních či regionálních programů pro vzdělávání a mobilitu, přeshraniční spolupráci nebo investování do metrologické infrastruktury;</w:t>
      </w:r>
    </w:p>
    <w:p>
      <w:pPr>
        <w:pStyle w:val="Tiret2"/>
        <w:rPr>
          <w:noProof/>
        </w:rPr>
      </w:pPr>
      <w:r>
        <w:rPr>
          <w:noProof/>
        </w:rPr>
        <w:t>iv) organizace činností zaměřených na externí šíření a přenos znalostí za účelem podpory partnerství v oblasti metrologie a maximalizace jeho dopadu.</w:t>
      </w:r>
    </w:p>
    <w:p>
      <w:pPr>
        <w:pStyle w:val="ManualNumPar1"/>
        <w:rPr>
          <w:noProof/>
        </w:rPr>
      </w:pPr>
      <w:r>
        <w:t>2.</w:t>
      </w:r>
      <w:r>
        <w:tab/>
      </w:r>
      <w:r>
        <w:rPr>
          <w:noProof/>
        </w:rPr>
        <w:t>Před určením témat jednotlivých výzev k podávání návrhů uvedených v odst. 1 písm. a) vyzve EURAMET jednotlivce nebo organizace z metrologické výzkumné obce a širšího hodnotového řetězce metrologie, aby navrhli témata možného výzkumu.</w:t>
      </w:r>
    </w:p>
    <w:p>
      <w:pPr>
        <w:pStyle w:val="Titrearticle"/>
        <w:rPr>
          <w:noProof/>
        </w:rPr>
      </w:pPr>
      <w:r>
        <w:rPr>
          <w:noProof/>
        </w:rPr>
        <w:t>Článek 7</w:t>
      </w:r>
    </w:p>
    <w:p>
      <w:pPr>
        <w:pStyle w:val="Titrearticle"/>
        <w:rPr>
          <w:noProof/>
        </w:rPr>
      </w:pPr>
      <w:r>
        <w:rPr>
          <w:noProof/>
        </w:rPr>
        <w:t xml:space="preserve">Roční pracovní program </w:t>
      </w:r>
    </w:p>
    <w:p>
      <w:pPr>
        <w:pStyle w:val="ManualNumPar1"/>
        <w:rPr>
          <w:rFonts w:eastAsiaTheme="minorEastAsia"/>
          <w:noProof/>
          <w:szCs w:val="24"/>
        </w:rPr>
      </w:pPr>
      <w:r>
        <w:t>1.</w:t>
      </w:r>
      <w:r>
        <w:tab/>
      </w:r>
      <w:r>
        <w:rPr>
          <w:noProof/>
        </w:rPr>
        <w:t xml:space="preserve">Partnerství v oblasti metrologie je prováděno na základě ročních pracovních programů, které zahrnují činnosti, jež mají být provedeny v období od 1. ledna do 31. prosince daného roku („referenční rok“). </w:t>
      </w:r>
    </w:p>
    <w:p>
      <w:pPr>
        <w:pStyle w:val="ManualNumPar1"/>
        <w:rPr>
          <w:noProof/>
        </w:rPr>
      </w:pPr>
      <w:r>
        <w:t>2.</w:t>
      </w:r>
      <w:r>
        <w:tab/>
      </w:r>
      <w:r>
        <w:rPr>
          <w:noProof/>
        </w:rPr>
        <w:t>EURAMET přijme roční pracovní programy do 31. března referenčního roku poté, co je schválí Komise. Při přijímání ročních pracovních programů postupují EURAMET a Komise bez zbytečného prodlení. EURAMET roční pracovní program zveřejní.</w:t>
      </w:r>
    </w:p>
    <w:p>
      <w:pPr>
        <w:pStyle w:val="ManualNumPar1"/>
        <w:rPr>
          <w:noProof/>
        </w:rPr>
      </w:pPr>
      <w:r>
        <w:t>3.</w:t>
      </w:r>
      <w:r>
        <w:tab/>
      </w:r>
      <w:r>
        <w:rPr>
          <w:noProof/>
        </w:rPr>
        <w:t>Činnosti uvedené v čl. 6 odst. 1 písm. a) a b) mohou být zahájeny pouze v daném referenčním roce a pouze po přijetí ročního pracovního programu pro daný rok.</w:t>
      </w:r>
    </w:p>
    <w:p>
      <w:pPr>
        <w:pStyle w:val="ManualNumPar1"/>
        <w:rPr>
          <w:noProof/>
        </w:rPr>
      </w:pPr>
      <w:r>
        <w:t>4.</w:t>
      </w:r>
      <w:r>
        <w:tab/>
      </w:r>
      <w:r>
        <w:rPr>
          <w:noProof/>
        </w:rPr>
        <w:t>Organizace EURAMET může činnosti financovat pouze v případě, že jsou stanoveny v jejím ročním pracovním programu. Roční pracovní program rozlišuje mezi činnostmi uvedenými v čl. 6 odst. 1 písm. a), činnostmi uvedenými v čl. 6 odst. 1 písm. b) a správními náklady organizace EURAMET. Roční pracovní program zahrnuje odhady příslušných výdajů a rozpočet přidělený na činnosti financované z finančního příspěvku Unie, jak je uvedeno v článku 3, a na činnosti financované zúčastněnými státy bez tohoto finančního příspěvku Unie. Roční pracovní program obsahuje také odhadovanou hodnotu věcných příspěvků zúčastněných států uvedených v čl. 5 odst. 2 písm. b).</w:t>
      </w:r>
    </w:p>
    <w:p>
      <w:pPr>
        <w:pStyle w:val="ManualNumPar1"/>
        <w:rPr>
          <w:noProof/>
        </w:rPr>
      </w:pPr>
      <w:r>
        <w:t>5.</w:t>
      </w:r>
      <w:r>
        <w:tab/>
      </w:r>
      <w:r>
        <w:rPr>
          <w:noProof/>
        </w:rPr>
        <w:t>Pozměněné roční pracovní programy pro referenční rok a roční pracovní programy pro následující referenční roky zohlední výsledky předchozích výzev k podávání návrhů. Usilují o řešení nedostatečného pokrytí vědeckých témat, zejména těch, jimiž se původně zabývaly činnosti podle čl. 6 odst. 1 písm. b), které nemohly být odpovídajícím způsobem financovány.</w:t>
      </w:r>
    </w:p>
    <w:p>
      <w:pPr>
        <w:pStyle w:val="ManualNumPar1"/>
        <w:rPr>
          <w:noProof/>
        </w:rPr>
      </w:pPr>
      <w:r>
        <w:t>6.</w:t>
      </w:r>
      <w:r>
        <w:tab/>
      </w:r>
      <w:r>
        <w:rPr>
          <w:noProof/>
        </w:rPr>
        <w:t>Výzvy k podávání návrhů podle příslušných ročních pracovních programů se zveřejní nejpozději 31. prosince 2027. V řádně odůvodněných případech mohou být zahájeny do 31. prosince 2028.</w:t>
      </w:r>
    </w:p>
    <w:p>
      <w:pPr>
        <w:pStyle w:val="ManualNumPar1"/>
        <w:rPr>
          <w:noProof/>
        </w:rPr>
      </w:pPr>
      <w:r>
        <w:lastRenderedPageBreak/>
        <w:t>7.</w:t>
      </w:r>
      <w:r>
        <w:tab/>
      </w:r>
      <w:r>
        <w:rPr>
          <w:noProof/>
        </w:rPr>
        <w:t>EURAMET monitoruje provádění všech činností zahrnutých do ročního pracovního programu a podává o nich zprávy Komisi.</w:t>
      </w:r>
    </w:p>
    <w:p>
      <w:pPr>
        <w:pStyle w:val="ManualNumPar1"/>
        <w:rPr>
          <w:noProof/>
        </w:rPr>
      </w:pPr>
      <w:r>
        <w:t>8.</w:t>
      </w:r>
      <w:r>
        <w:tab/>
      </w:r>
      <w:r>
        <w:rPr>
          <w:noProof/>
        </w:rPr>
        <w:t>Veškerá sdělení nebo publikace týkající se činností v rámci partnerství v oblasti metrologie a prováděné ve spolupráci s tímto partnerstvím, bez ohledu na to, zda jsou vykonávány organizací EURAMET, zúčastněným státem, vnitrostátními financujícími subjekty, nebo účastníky činnosti, jsou označeny nebo označeny současně jako spolufinancované prostřednictvím partnerství v oblasti metrologie v rámci programu Horizont Evropa.</w:t>
      </w:r>
    </w:p>
    <w:p>
      <w:pPr>
        <w:pStyle w:val="Titrearticle"/>
        <w:rPr>
          <w:noProof/>
        </w:rPr>
      </w:pPr>
      <w:r>
        <w:rPr>
          <w:noProof/>
        </w:rPr>
        <w:t>Článek 8</w:t>
      </w:r>
    </w:p>
    <w:p>
      <w:pPr>
        <w:pStyle w:val="Titrearticle"/>
        <w:rPr>
          <w:noProof/>
        </w:rPr>
      </w:pPr>
      <w:r>
        <w:rPr>
          <w:noProof/>
        </w:rPr>
        <w:t>Pravidla pro účast a šíření výsledků</w:t>
      </w:r>
    </w:p>
    <w:p>
      <w:pPr>
        <w:pStyle w:val="ManualNumPar1"/>
        <w:rPr>
          <w:noProof/>
        </w:rPr>
      </w:pPr>
      <w:r>
        <w:t>1.</w:t>
      </w:r>
      <w:r>
        <w:tab/>
      </w:r>
      <w:r>
        <w:rPr>
          <w:noProof/>
        </w:rPr>
        <w:t>EURAMET se považuje za financující orgán ve smyslu čl. 2 odst. 13 nařízení (EU) [XXX] [nařízení o programu Horizont Evropa] a poskytuje finanční podporu nepřímým akcím uvedeným v čl. 6 odst. 1 písm. a) tohoto rozhodnutí, a to v souladu s čl. 6 odst. 2 nařízení (EU) [XXX].</w:t>
      </w:r>
    </w:p>
    <w:p>
      <w:pPr>
        <w:pStyle w:val="ManualNumPar1"/>
        <w:rPr>
          <w:noProof/>
        </w:rPr>
      </w:pPr>
      <w:r>
        <w:t>2.</w:t>
      </w:r>
      <w:r>
        <w:tab/>
      </w:r>
      <w:r>
        <w:rPr>
          <w:noProof/>
        </w:rPr>
        <w:t>V souladu s čl. 13 odst. 1 nařízení o programu Horizont Evropa může roční pracovní program v řádně odůvodněných případech omezit koordinační úlohu v nepřímých akcích národních metrologických institutů a specializovaných ústavů zúčastněných států, aby bylo zajištěno splnění cílů a cílů zúčastněných států týkajících se příspěvků.</w:t>
      </w:r>
    </w:p>
    <w:p>
      <w:pPr>
        <w:pStyle w:val="ManualNumPar1"/>
        <w:rPr>
          <w:rFonts w:eastAsiaTheme="minorEastAsia"/>
          <w:noProof/>
        </w:rPr>
      </w:pPr>
      <w:r>
        <w:t>3.</w:t>
      </w:r>
      <w:r>
        <w:tab/>
      </w:r>
      <w:r>
        <w:rPr>
          <w:noProof/>
        </w:rPr>
        <w:t xml:space="preserve">EURAMET zajistí náležitou součinnost s národními metrologickými instituty a specializovanými ústavy při nepřímých akcích uvedených v čl. 6 odst. 1 písm. a) v závislosti na určení příslušným vnitrostátním orgánem. EURAMET podněcuje a podporuje i účast dalších subjektů na všech výzvách. </w:t>
      </w:r>
    </w:p>
    <w:p>
      <w:pPr>
        <w:pStyle w:val="Titrearticle"/>
        <w:rPr>
          <w:noProof/>
        </w:rPr>
      </w:pPr>
      <w:r>
        <w:rPr>
          <w:noProof/>
        </w:rPr>
        <w:t>Článek 9</w:t>
      </w:r>
    </w:p>
    <w:p>
      <w:pPr>
        <w:pStyle w:val="Titrearticle"/>
        <w:rPr>
          <w:noProof/>
        </w:rPr>
      </w:pPr>
      <w:r>
        <w:rPr>
          <w:noProof/>
        </w:rPr>
        <w:t>Dohody mezi Unií a organizací EURAMET</w:t>
      </w:r>
    </w:p>
    <w:p>
      <w:pPr>
        <w:rPr>
          <w:noProof/>
        </w:rPr>
      </w:pPr>
      <w:r>
        <w:rPr>
          <w:noProof/>
        </w:rPr>
        <w:t>Je-li zajištěna odpovídající úroveň ochrany finančních zájmů Unie, organizace EURAMET je pověřena prováděním příspěvku Unie v souladu s čl. 62 odst. 3 a s článkem 154 nařízení (EU, Euratom) 2018/1046.</w:t>
      </w:r>
    </w:p>
    <w:p>
      <w:pPr>
        <w:pStyle w:val="Titrearticle"/>
        <w:rPr>
          <w:noProof/>
        </w:rPr>
      </w:pPr>
      <w:r>
        <w:rPr>
          <w:noProof/>
        </w:rPr>
        <w:t>Článek 10</w:t>
      </w:r>
    </w:p>
    <w:p>
      <w:pPr>
        <w:pStyle w:val="Titrearticle"/>
        <w:rPr>
          <w:noProof/>
        </w:rPr>
      </w:pPr>
      <w:r>
        <w:rPr>
          <w:noProof/>
        </w:rPr>
        <w:t>Ukončení, snížení či pozastavení poskytování finančního příspěvku Unie</w:t>
      </w:r>
    </w:p>
    <w:p>
      <w:pPr>
        <w:pStyle w:val="ManualNumPar1"/>
        <w:rPr>
          <w:noProof/>
        </w:rPr>
      </w:pPr>
      <w:r>
        <w:t>1.</w:t>
      </w:r>
      <w:r>
        <w:tab/>
      </w:r>
      <w:r>
        <w:rPr>
          <w:noProof/>
        </w:rPr>
        <w:t>Pokud partnerství v oblasti metrologie nesplní podmínky pro poskytnutí finančního příspěvku Unie, Komise může poskytování tohoto příspěvku uvedeného v článku 3 ukončit, poměrně snížit nebo pozastavit.</w:t>
      </w:r>
    </w:p>
    <w:p>
      <w:pPr>
        <w:pStyle w:val="ManualNumPar1"/>
        <w:rPr>
          <w:noProof/>
        </w:rPr>
      </w:pPr>
      <w:r>
        <w:t>2.</w:t>
      </w:r>
      <w:r>
        <w:tab/>
      </w:r>
      <w:r>
        <w:rPr>
          <w:noProof/>
        </w:rPr>
        <w:t xml:space="preserve">V případě, že zúčastněné státy na financování partnerství v oblasti metrologie nepřispívají, přispívají jen částečně nebo nedodržují časové rámce pro příspěvky uvedené v článku 5, může Komise ukončit, poměrně snížit nebo pozastavit poskytování finančního příspěvku Unie uvedeného v článku 3. Rozhodnutí Komise nenaruší proplácení způsobilých nákladů, které zúčastněným státům vznikly již před oznámením rozhodnutí o ukončení, poměrném snížení či pozastavení poskytování finančního příspěvku Unie partnerství v oblasti metrologie. </w:t>
      </w:r>
    </w:p>
    <w:p>
      <w:pPr>
        <w:pStyle w:val="Titrearticle"/>
        <w:rPr>
          <w:noProof/>
        </w:rPr>
      </w:pPr>
      <w:r>
        <w:rPr>
          <w:noProof/>
        </w:rPr>
        <w:lastRenderedPageBreak/>
        <w:t>Článek 11</w:t>
      </w:r>
    </w:p>
    <w:p>
      <w:pPr>
        <w:pStyle w:val="Titrearticle"/>
        <w:rPr>
          <w:noProof/>
        </w:rPr>
      </w:pPr>
      <w:r>
        <w:rPr>
          <w:noProof/>
        </w:rPr>
        <w:t>Následné audity</w:t>
      </w:r>
    </w:p>
    <w:p>
      <w:pPr>
        <w:pStyle w:val="ManualNumPar1"/>
        <w:rPr>
          <w:rFonts w:eastAsiaTheme="minorEastAsia"/>
          <w:noProof/>
          <w:szCs w:val="24"/>
        </w:rPr>
      </w:pPr>
      <w:r>
        <w:t>1.</w:t>
      </w:r>
      <w:r>
        <w:tab/>
      </w:r>
      <w:r>
        <w:rPr>
          <w:noProof/>
        </w:rPr>
        <w:t>Následné audity výdajů na nepřímé akce uvedené v čl. 6 odst. 1 písm. a) provádí EURAMET v souladu s článkem 48 nařízení …[Horizont Evropa] (EU) [XXX] [].</w:t>
      </w:r>
    </w:p>
    <w:p>
      <w:pPr>
        <w:pStyle w:val="ManualNumPar1"/>
        <w:rPr>
          <w:rFonts w:eastAsiaTheme="minorEastAsia"/>
          <w:noProof/>
        </w:rPr>
      </w:pPr>
      <w:r>
        <w:t>2.</w:t>
      </w:r>
      <w:r>
        <w:tab/>
      </w:r>
      <w:r>
        <w:rPr>
          <w:noProof/>
        </w:rPr>
        <w:t>Komise se může rozhodnout, že audity uvedené v odstavci 1 provede sama. Postupuje při tom v souladu s platnými pravidly, zejména s čl. 48 odst. 3 nařízení (EU) [XXX] [Horizont Evropa] a s článkem 127 nařízení (EU, Euratom) 2018/1046.</w:t>
      </w:r>
    </w:p>
    <w:p>
      <w:pPr>
        <w:pStyle w:val="Titrearticle"/>
        <w:rPr>
          <w:noProof/>
        </w:rPr>
      </w:pPr>
      <w:r>
        <w:rPr>
          <w:noProof/>
        </w:rPr>
        <w:t>Článek 12</w:t>
      </w:r>
    </w:p>
    <w:p>
      <w:pPr>
        <w:pStyle w:val="Titrearticle"/>
        <w:rPr>
          <w:noProof/>
        </w:rPr>
      </w:pPr>
      <w:r>
        <w:rPr>
          <w:noProof/>
        </w:rPr>
        <w:t>Ochrana finančních zájmů Unie</w:t>
      </w:r>
    </w:p>
    <w:p>
      <w:pPr>
        <w:pStyle w:val="ManualNumPar1"/>
        <w:rPr>
          <w:noProof/>
        </w:rPr>
      </w:pPr>
      <w:r>
        <w:t>1.</w:t>
      </w:r>
      <w:r>
        <w:tab/>
      </w:r>
      <w:r>
        <w:rPr>
          <w:noProof/>
        </w:rPr>
        <w:t>Komise přijme vhodná opatření k zajištění toho, aby byly při provádění akcí financovaných podle tohoto rozhodnutí finanční zájmy Unie chráněny prevencí podvodů, korupce a jiného protiprávního jednání, účinnými kontrolami, a jsou-li zjištěny nesrovnalosti, zpětným získáním neoprávněně vyplacených částek a případně účinnými, přiměřenými a odrazujícími sankcemi.</w:t>
      </w:r>
    </w:p>
    <w:p>
      <w:pPr>
        <w:pStyle w:val="ManualNumPar1"/>
        <w:rPr>
          <w:rFonts w:eastAsiaTheme="minorEastAsia"/>
          <w:noProof/>
          <w:szCs w:val="24"/>
        </w:rPr>
      </w:pPr>
      <w:r>
        <w:t>2.</w:t>
      </w:r>
      <w:r>
        <w:tab/>
      </w:r>
      <w:r>
        <w:rPr>
          <w:noProof/>
        </w:rPr>
        <w:t>Při provádění partnerství v oblasti metrologie přijmou zúčastněné státy legislativní, regulační, správní nebo jiná opatření nezbytná pro ochranu finančních zájmů Unie, zejména s cílem zajistit úplné zpětné získání veškerých částek splatných Unii v souladu s nařízením (EU, Euratom) 2018/1046.</w:t>
      </w:r>
    </w:p>
    <w:p>
      <w:pPr>
        <w:pStyle w:val="ManualNumPar1"/>
        <w:rPr>
          <w:noProof/>
        </w:rPr>
      </w:pPr>
      <w:r>
        <w:t>3.</w:t>
      </w:r>
      <w:r>
        <w:tab/>
      </w:r>
      <w:r>
        <w:rPr>
          <w:noProof/>
        </w:rPr>
        <w:t xml:space="preserve">EURAMET umožní zaměstnancům Komise a ostatním osobám pověřeným Komisí, jakož i Účetnímu dvoru přístup na svá místa a do svých prostor a ke všem informacím, včetně informací v elektronické podobě, které jsou zapotřebí k provedení jejich auditů. </w:t>
      </w:r>
    </w:p>
    <w:p>
      <w:pPr>
        <w:pStyle w:val="ManualNumPar1"/>
        <w:rPr>
          <w:noProof/>
        </w:rPr>
      </w:pPr>
      <w:r>
        <w:t>4.</w:t>
      </w:r>
      <w:r>
        <w:tab/>
      </w:r>
      <w:r>
        <w:rPr>
          <w:noProof/>
        </w:rPr>
        <w:t>Evropský úřad pro boj proti podvodům (dále jen „OLAF“) může provádět vyšetřování, včetně kontrol a inspekcí na místě, v souladu s ustanoveními a postupy stanovenými v nařízení Evropského parlamentu a Rady (EU, Euratom) č. 883/2013</w:t>
      </w:r>
      <w:r>
        <w:rPr>
          <w:rStyle w:val="FootnoteReference"/>
          <w:noProof/>
          <w:lang w:eastAsia="en-GB"/>
        </w:rPr>
        <w:footnoteReference w:id="17"/>
      </w:r>
      <w:r>
        <w:rPr>
          <w:noProof/>
        </w:rPr>
        <w:t xml:space="preserve"> a v nařízení Rady (Euratom, ES) č. 2185/96</w:t>
      </w:r>
      <w:r>
        <w:rPr>
          <w:rStyle w:val="FootnoteReference"/>
          <w:noProof/>
          <w:lang w:eastAsia="en-GB"/>
        </w:rPr>
        <w:footnoteReference w:id="18"/>
      </w:r>
      <w:r>
        <w:rPr>
          <w:noProof/>
        </w:rPr>
        <w:t xml:space="preserve"> s cílem zjistit, zda v souvislosti s dohodou, rozhodnutím nebo smlouvou financovanou v rámci tohoto rozhodnutí nedošlo k podvodu, korupci nebo jinému protiprávnímu jednání ohrožujícímu finanční zájmy Unie. </w:t>
      </w:r>
    </w:p>
    <w:p>
      <w:pPr>
        <w:pStyle w:val="ManualNumPar1"/>
        <w:rPr>
          <w:noProof/>
        </w:rPr>
      </w:pPr>
      <w:r>
        <w:lastRenderedPageBreak/>
        <w:t>5.</w:t>
      </w:r>
      <w:r>
        <w:tab/>
      </w:r>
      <w:r>
        <w:rPr>
          <w:noProof/>
        </w:rPr>
        <w:t>Úřad evropského veřejného žalobce může provádět šetření v souladu s ustanoveními a postupy uvedenými v nařízení Rady (EU) 2017/1939</w:t>
      </w:r>
      <w:r>
        <w:rPr>
          <w:rStyle w:val="FootnoteReference"/>
          <w:noProof/>
        </w:rPr>
        <w:footnoteReference w:id="19"/>
      </w:r>
      <w:r>
        <w:rPr>
          <w:noProof/>
        </w:rPr>
        <w:t xml:space="preserve"> s cílem vyšetřit trestné činy poškozující nebo ohrožující finanční zájmy Unie, jak je uvedeno v článku 4 uvedeného nařízení. </w:t>
      </w:r>
    </w:p>
    <w:p>
      <w:pPr>
        <w:pStyle w:val="ManualNumPar1"/>
        <w:rPr>
          <w:noProof/>
        </w:rPr>
      </w:pPr>
      <w:r>
        <w:t>6.</w:t>
      </w:r>
      <w:r>
        <w:tab/>
      </w:r>
      <w:r>
        <w:rPr>
          <w:noProof/>
        </w:rPr>
        <w:t xml:space="preserve">Aniž jsou dotčeny odstavce 3, 4 a 5, musí dohody, rozhodnutí a smlouvy vyplývající z provádění tohoto rozhodnutí obsahovat ustanovení, která Komisi, organizaci EURAMET, Účetní dvůr, Úřad evropského veřejného žalobce a úřad OLAF výslovně zmocňují k provádění těchto auditů, kontrol na místě a vyšetřování v souladu s jejich příslušnými pravomocemi. </w:t>
      </w:r>
    </w:p>
    <w:p>
      <w:pPr>
        <w:pStyle w:val="Titrearticle"/>
        <w:rPr>
          <w:noProof/>
        </w:rPr>
      </w:pPr>
      <w:r>
        <w:rPr>
          <w:noProof/>
        </w:rPr>
        <w:t>Článek 13</w:t>
      </w:r>
    </w:p>
    <w:p>
      <w:pPr>
        <w:jc w:val="center"/>
        <w:rPr>
          <w:noProof/>
        </w:rPr>
      </w:pPr>
      <w:r>
        <w:rPr>
          <w:i/>
          <w:iCs/>
          <w:noProof/>
        </w:rPr>
        <w:t>Správa a řízení partnerství v oblasti metrologie</w:t>
      </w:r>
    </w:p>
    <w:p>
      <w:pPr>
        <w:pStyle w:val="ManualNumPar1"/>
        <w:rPr>
          <w:noProof/>
        </w:rPr>
      </w:pPr>
      <w:r>
        <w:t>1.</w:t>
      </w:r>
      <w:r>
        <w:tab/>
      </w:r>
      <w:r>
        <w:rPr>
          <w:noProof/>
        </w:rPr>
        <w:t>Subjekty řídící partnerství v oblasti metrologie zahrnují alespoň:</w:t>
      </w:r>
    </w:p>
    <w:p>
      <w:pPr>
        <w:pStyle w:val="Point1"/>
        <w:rPr>
          <w:noProof/>
        </w:rPr>
      </w:pPr>
      <w:r>
        <w:rPr>
          <w:noProof/>
        </w:rPr>
        <w:t>a)</w:t>
      </w:r>
      <w:r>
        <w:rPr>
          <w:noProof/>
        </w:rPr>
        <w:tab/>
        <w:t>Výbor pro partnerství v oblasti metrologie;</w:t>
      </w:r>
    </w:p>
    <w:p>
      <w:pPr>
        <w:pStyle w:val="Point1"/>
        <w:rPr>
          <w:noProof/>
        </w:rPr>
      </w:pPr>
      <w:r>
        <w:rPr>
          <w:noProof/>
        </w:rPr>
        <w:t>b)</w:t>
      </w:r>
      <w:r>
        <w:rPr>
          <w:noProof/>
        </w:rPr>
        <w:tab/>
        <w:t>řídicí skupinu;</w:t>
      </w:r>
    </w:p>
    <w:p>
      <w:pPr>
        <w:pStyle w:val="Point1"/>
        <w:rPr>
          <w:noProof/>
        </w:rPr>
      </w:pPr>
      <w:r>
        <w:rPr>
          <w:noProof/>
        </w:rPr>
        <w:t>c)</w:t>
      </w:r>
      <w:r>
        <w:rPr>
          <w:noProof/>
        </w:rPr>
        <w:tab/>
        <w:t>sekretariát EURAMET.</w:t>
      </w:r>
    </w:p>
    <w:p>
      <w:pPr>
        <w:pStyle w:val="Titrearticle"/>
        <w:rPr>
          <w:noProof/>
        </w:rPr>
      </w:pPr>
      <w:r>
        <w:rPr>
          <w:noProof/>
        </w:rPr>
        <w:t>Článek 14</w:t>
      </w:r>
    </w:p>
    <w:p>
      <w:pPr>
        <w:pStyle w:val="Titrearticle"/>
        <w:rPr>
          <w:noProof/>
        </w:rPr>
      </w:pPr>
      <w:r>
        <w:rPr>
          <w:noProof/>
        </w:rPr>
        <w:t>Výbor pro partnerství v oblasti metrologie</w:t>
      </w:r>
    </w:p>
    <w:p>
      <w:pPr>
        <w:pStyle w:val="ManualNumPar1"/>
        <w:rPr>
          <w:noProof/>
        </w:rPr>
      </w:pPr>
      <w:r>
        <w:t>1.</w:t>
      </w:r>
      <w:r>
        <w:tab/>
      </w:r>
      <w:r>
        <w:rPr>
          <w:noProof/>
        </w:rPr>
        <w:t>Výbor pro partnerství v oblasti metrologie toto partnerství řídí, aby zajistil, že způsob jeho realizace je v souladu s jeho cíli.</w:t>
      </w:r>
    </w:p>
    <w:p>
      <w:pPr>
        <w:pStyle w:val="ManualNumPar1"/>
        <w:rPr>
          <w:rFonts w:eastAsiaTheme="minorEastAsia"/>
          <w:noProof/>
          <w:szCs w:val="24"/>
        </w:rPr>
      </w:pPr>
      <w:r>
        <w:t>2.</w:t>
      </w:r>
      <w:r>
        <w:tab/>
      </w:r>
      <w:r>
        <w:rPr>
          <w:noProof/>
        </w:rPr>
        <w:t>Výbor pro partnerství v oblasti metrologie je složen ze zástupců členů organizace EURAMET ze všech zúčastněných států. Váha hlasů se vypočítává z vnitrostátních závazků podle druhé odmocniny závazku.</w:t>
      </w:r>
    </w:p>
    <w:p>
      <w:pPr>
        <w:pStyle w:val="ManualNumPar1"/>
        <w:rPr>
          <w:noProof/>
        </w:rPr>
      </w:pPr>
      <w:r>
        <w:t>3.</w:t>
      </w:r>
      <w:r>
        <w:tab/>
      </w:r>
      <w:r>
        <w:rPr>
          <w:noProof/>
        </w:rPr>
        <w:t>Výbor pro partnerství v oblasti metrologie zejména:</w:t>
      </w:r>
    </w:p>
    <w:p>
      <w:pPr>
        <w:pStyle w:val="Point1"/>
        <w:rPr>
          <w:noProof/>
        </w:rPr>
      </w:pPr>
      <w:r>
        <w:rPr>
          <w:noProof/>
        </w:rPr>
        <w:t>a)</w:t>
      </w:r>
      <w:r>
        <w:rPr>
          <w:noProof/>
        </w:rPr>
        <w:tab/>
        <w:t>přijímá rozhodnutí o strategickém programu výzkumu a inovací;</w:t>
      </w:r>
    </w:p>
    <w:p>
      <w:pPr>
        <w:pStyle w:val="Point1"/>
        <w:rPr>
          <w:noProof/>
        </w:rPr>
      </w:pPr>
      <w:r>
        <w:rPr>
          <w:noProof/>
        </w:rPr>
        <w:t>b)</w:t>
      </w:r>
      <w:r>
        <w:rPr>
          <w:noProof/>
        </w:rPr>
        <w:tab/>
        <w:t xml:space="preserve">přijímá rozhodnutí o plánovaných výzvách k podávání návrhů a postupu pro přezkum hodnocení; </w:t>
      </w:r>
    </w:p>
    <w:p>
      <w:pPr>
        <w:pStyle w:val="Point1"/>
        <w:rPr>
          <w:noProof/>
        </w:rPr>
      </w:pPr>
      <w:r>
        <w:rPr>
          <w:noProof/>
        </w:rPr>
        <w:t>c)</w:t>
      </w:r>
      <w:r>
        <w:rPr>
          <w:noProof/>
        </w:rPr>
        <w:tab/>
        <w:t xml:space="preserve">přijímá roční pracovní program poté, co jej schválí Komise a proběhne konzultace s řídicí skupinou uvedenou v článku 15; </w:t>
      </w:r>
    </w:p>
    <w:p>
      <w:pPr>
        <w:pStyle w:val="Point1"/>
        <w:rPr>
          <w:noProof/>
        </w:rPr>
      </w:pPr>
      <w:r>
        <w:rPr>
          <w:noProof/>
        </w:rPr>
        <w:t>d)</w:t>
      </w:r>
      <w:r>
        <w:rPr>
          <w:noProof/>
        </w:rPr>
        <w:tab/>
        <w:t>přijímá rozhodnutí o výběru projektů, které mají být financovány, podle pořadníků na základě hodnocení výzev k podání návrhů, jak je uvedeno v čl. 6 odst. 1 písm. a);</w:t>
      </w:r>
    </w:p>
    <w:p>
      <w:pPr>
        <w:pStyle w:val="Point1"/>
        <w:rPr>
          <w:noProof/>
        </w:rPr>
      </w:pPr>
      <w:r>
        <w:rPr>
          <w:noProof/>
        </w:rPr>
        <w:t>e)</w:t>
      </w:r>
      <w:r>
        <w:rPr>
          <w:noProof/>
        </w:rPr>
        <w:tab/>
        <w:t>sleduje pokrok financovaných projektů;</w:t>
      </w:r>
    </w:p>
    <w:p>
      <w:pPr>
        <w:pStyle w:val="Point1"/>
        <w:rPr>
          <w:noProof/>
        </w:rPr>
      </w:pPr>
      <w:r>
        <w:rPr>
          <w:noProof/>
        </w:rPr>
        <w:lastRenderedPageBreak/>
        <w:t>f)</w:t>
      </w:r>
      <w:r>
        <w:rPr>
          <w:noProof/>
        </w:rPr>
        <w:tab/>
        <w:t>schvaluje účast kterékoli třetí země na partnerství v oblasti metrologie, která není přidružena k programu Horizont Evropa, pokud tato třetí země s Unií uzavřela mezinárodní dohodu, jak je uvedeno v čl. 1 odst. 3.</w:t>
      </w:r>
    </w:p>
    <w:p>
      <w:pPr>
        <w:pStyle w:val="ManualNumPar1"/>
        <w:rPr>
          <w:noProof/>
        </w:rPr>
      </w:pPr>
      <w:r>
        <w:t>4.</w:t>
      </w:r>
      <w:r>
        <w:tab/>
      </w:r>
      <w:r>
        <w:rPr>
          <w:noProof/>
        </w:rPr>
        <w:t>Komise má na zasedáních Výboru pro partnerství v oblasti metrologie status pozorovatele. Přijetí ročního pracovního plánu Výborem pro partnerství v oblasti metrologie však vyžaduje předchozí souhlas Komise. Výbor pro partnerství v oblasti metrologie zve Komisi na svá zasedání a zasílá jí všechny příslušné dokumenty. Komise se může účastnit diskusí ve Výboru pro partnerství v oblasti metrologie.</w:t>
      </w:r>
    </w:p>
    <w:p>
      <w:pPr>
        <w:pStyle w:val="ManualNumPar1"/>
        <w:rPr>
          <w:noProof/>
        </w:rPr>
      </w:pPr>
      <w:r>
        <w:t>5.</w:t>
      </w:r>
      <w:r>
        <w:tab/>
      </w:r>
      <w:r>
        <w:rPr>
          <w:noProof/>
        </w:rPr>
        <w:t>Předseda Výboru pro partnerství v oblasti metrologie a jeho zástupce jsou voleni Výborem pro partnerství v oblasti metrologie v souladu s váhou hlasů vysvětlenou v odstavci 2. Předseda Výboru pro partnerství v oblasti metrologie zastupuje organizaci EURAMET v záležitostech týkajících se partnerství v oblasti metrologie.</w:t>
      </w:r>
    </w:p>
    <w:p>
      <w:pPr>
        <w:pStyle w:val="Titrearticle"/>
        <w:rPr>
          <w:noProof/>
        </w:rPr>
      </w:pPr>
      <w:r>
        <w:rPr>
          <w:noProof/>
        </w:rPr>
        <w:t>Článek 15</w:t>
      </w:r>
    </w:p>
    <w:p>
      <w:pPr>
        <w:pStyle w:val="Titrearticle"/>
        <w:rPr>
          <w:noProof/>
        </w:rPr>
      </w:pPr>
      <w:r>
        <w:rPr>
          <w:noProof/>
        </w:rPr>
        <w:t>Řídicí skupina</w:t>
      </w:r>
    </w:p>
    <w:p>
      <w:pPr>
        <w:pStyle w:val="ManualNumPar1"/>
        <w:rPr>
          <w:noProof/>
        </w:rPr>
      </w:pPr>
      <w:r>
        <w:t>1.</w:t>
      </w:r>
      <w:r>
        <w:tab/>
      </w:r>
      <w:r>
        <w:rPr>
          <w:noProof/>
        </w:rPr>
        <w:t>Komise vytvoří řídicí skupinu. Řídicí skupina je poradním orgánem pro partnerství v oblasti metrologie a poskytuje mu poradenství ohledně nových priorit metrologického výzkumu na evropské úrovni. Řídicí skupina zejména:</w:t>
      </w:r>
    </w:p>
    <w:p>
      <w:pPr>
        <w:pStyle w:val="Point1"/>
        <w:rPr>
          <w:noProof/>
        </w:rPr>
      </w:pPr>
      <w:r>
        <w:rPr>
          <w:noProof/>
        </w:rPr>
        <w:t>a)</w:t>
      </w:r>
      <w:r>
        <w:rPr>
          <w:noProof/>
        </w:rPr>
        <w:tab/>
        <w:t>určuje vznikající technologie a nové trhy, pro něž by metrologický výzkum v budoucnu mohl mít význam;</w:t>
      </w:r>
    </w:p>
    <w:p>
      <w:pPr>
        <w:pStyle w:val="Point1"/>
        <w:rPr>
          <w:noProof/>
        </w:rPr>
      </w:pPr>
      <w:r>
        <w:rPr>
          <w:noProof/>
        </w:rPr>
        <w:t>b)</w:t>
      </w:r>
      <w:r>
        <w:rPr>
          <w:noProof/>
        </w:rPr>
        <w:tab/>
        <w:t>určuje oblasti výzkumu, které přispívají k hladkému fungování jednotného trhu, včetně příslušných předpisů a norem;</w:t>
      </w:r>
    </w:p>
    <w:p>
      <w:pPr>
        <w:pStyle w:val="Point1"/>
        <w:rPr>
          <w:noProof/>
        </w:rPr>
      </w:pPr>
      <w:r>
        <w:rPr>
          <w:noProof/>
        </w:rPr>
        <w:t>c)</w:t>
      </w:r>
      <w:r>
        <w:rPr>
          <w:noProof/>
        </w:rPr>
        <w:tab/>
        <w:t xml:space="preserve">poskytuje partnerství v oblasti metrologie poradenství ohledně priorit pro jeho budoucí pracovní programy.  </w:t>
      </w:r>
    </w:p>
    <w:p>
      <w:pPr>
        <w:pStyle w:val="ManualNumPar1"/>
        <w:rPr>
          <w:rFonts w:eastAsiaTheme="minorEastAsia"/>
          <w:noProof/>
          <w:szCs w:val="24"/>
        </w:rPr>
      </w:pPr>
      <w:r>
        <w:t>2.</w:t>
      </w:r>
      <w:r>
        <w:tab/>
      </w:r>
      <w:r>
        <w:rPr>
          <w:noProof/>
        </w:rPr>
        <w:t xml:space="preserve">Řídicí skupina je složena z 12 členů: </w:t>
      </w:r>
    </w:p>
    <w:p>
      <w:pPr>
        <w:pStyle w:val="Point1"/>
        <w:rPr>
          <w:noProof/>
        </w:rPr>
      </w:pPr>
      <w:r>
        <w:rPr>
          <w:noProof/>
        </w:rPr>
        <w:t>a)</w:t>
      </w:r>
      <w:r>
        <w:rPr>
          <w:noProof/>
        </w:rPr>
        <w:tab/>
        <w:t>4 zástupců tvůrců evropských standardů a regulačních orgánů určení organizací EURAMET;</w:t>
      </w:r>
    </w:p>
    <w:p>
      <w:pPr>
        <w:pStyle w:val="Point1"/>
        <w:rPr>
          <w:noProof/>
        </w:rPr>
      </w:pPr>
      <w:r>
        <w:rPr>
          <w:noProof/>
        </w:rPr>
        <w:t>b)</w:t>
      </w:r>
      <w:r>
        <w:rPr>
          <w:noProof/>
        </w:rPr>
        <w:tab/>
        <w:t>5 zástupců z různých evropských partnerství vytvořených v souladu s nařízením [(EU) [XXX] [Horizont Evropa] s partnery ze soukromého sektoru zastupujícími průmysl. Komise určí zástupce otevřeným a transparentním způsobem;</w:t>
      </w:r>
    </w:p>
    <w:p>
      <w:pPr>
        <w:pStyle w:val="Point1"/>
        <w:rPr>
          <w:noProof/>
        </w:rPr>
      </w:pPr>
      <w:r>
        <w:rPr>
          <w:noProof/>
        </w:rPr>
        <w:t>c)</w:t>
      </w:r>
      <w:r>
        <w:rPr>
          <w:noProof/>
        </w:rPr>
        <w:tab/>
        <w:t>předsedy organizace EURAMET;</w:t>
      </w:r>
    </w:p>
    <w:p>
      <w:pPr>
        <w:pStyle w:val="Point1"/>
        <w:rPr>
          <w:noProof/>
        </w:rPr>
      </w:pPr>
      <w:r>
        <w:rPr>
          <w:noProof/>
        </w:rPr>
        <w:t>d)</w:t>
      </w:r>
      <w:r>
        <w:rPr>
          <w:noProof/>
        </w:rPr>
        <w:tab/>
        <w:t>1 zástupce určeného Komisí a 1 zástupce vnitrostátního ministerstva, který není zaměstnancem národního metrologického institutu zastoupeného v organizaci EURAMET. Zástupce ministerstva je jmenován Výborem pro partnerství v oblasti metrologie.</w:t>
      </w:r>
    </w:p>
    <w:p>
      <w:pPr>
        <w:pStyle w:val="ManualNumPar1"/>
        <w:rPr>
          <w:noProof/>
        </w:rPr>
      </w:pPr>
      <w:r>
        <w:t>3.</w:t>
      </w:r>
      <w:r>
        <w:tab/>
      </w:r>
      <w:r>
        <w:rPr>
          <w:noProof/>
        </w:rPr>
        <w:t xml:space="preserve">Alespoň 50 % členů uvedených v odst. 2 písm. a) a b) se střídá nejpozději po průběžném hodnocení uvedeném v čl. 18 odst. 1. </w:t>
      </w:r>
    </w:p>
    <w:p>
      <w:pPr>
        <w:pStyle w:val="ManualNumPar1"/>
        <w:rPr>
          <w:noProof/>
        </w:rPr>
      </w:pPr>
      <w:r>
        <w:t>4.</w:t>
      </w:r>
      <w:r>
        <w:tab/>
      </w:r>
      <w:r>
        <w:rPr>
          <w:noProof/>
        </w:rPr>
        <w:t xml:space="preserve">Řídicí skupině společně předsedají zástupci uvedení v odst. 2 písm. d).   </w:t>
      </w:r>
    </w:p>
    <w:p>
      <w:pPr>
        <w:pStyle w:val="Titrearticle"/>
        <w:rPr>
          <w:noProof/>
        </w:rPr>
      </w:pPr>
      <w:r>
        <w:rPr>
          <w:noProof/>
        </w:rPr>
        <w:lastRenderedPageBreak/>
        <w:t>Článek 16</w:t>
      </w:r>
    </w:p>
    <w:p>
      <w:pPr>
        <w:pStyle w:val="Titrearticle"/>
        <w:rPr>
          <w:noProof/>
        </w:rPr>
      </w:pPr>
      <w:r>
        <w:rPr>
          <w:noProof/>
        </w:rPr>
        <w:t>Sekretariát EURAMET</w:t>
      </w:r>
    </w:p>
    <w:p>
      <w:pPr>
        <w:pStyle w:val="ManualNumPar1"/>
        <w:rPr>
          <w:noProof/>
        </w:rPr>
      </w:pPr>
      <w:r>
        <w:t>1.</w:t>
      </w:r>
      <w:r>
        <w:tab/>
      </w:r>
      <w:r>
        <w:rPr>
          <w:noProof/>
        </w:rPr>
        <w:t>Bankovní účty pro partnerství v oblasti metrologie spravuje sekretariát EURAMET poskytující organizaci EURAMET celkovou administrativní podporu.</w:t>
      </w:r>
    </w:p>
    <w:p>
      <w:pPr>
        <w:pStyle w:val="ManualNumPar1"/>
        <w:rPr>
          <w:noProof/>
        </w:rPr>
      </w:pPr>
      <w:r>
        <w:t>2.</w:t>
      </w:r>
      <w:r>
        <w:tab/>
      </w:r>
      <w:r>
        <w:rPr>
          <w:noProof/>
        </w:rPr>
        <w:t>V rámci sekretariátu EURAMET je zřízeno oddělení podpory řízení, které odpovídá za provádění partnerství v oblasti metrologie a jeho každodenní řízení.</w:t>
      </w:r>
    </w:p>
    <w:p>
      <w:pPr>
        <w:pStyle w:val="Titrearticle"/>
        <w:rPr>
          <w:noProof/>
        </w:rPr>
      </w:pPr>
      <w:r>
        <w:rPr>
          <w:noProof/>
        </w:rPr>
        <w:t xml:space="preserve"> Článek 17</w:t>
      </w:r>
    </w:p>
    <w:p>
      <w:pPr>
        <w:pStyle w:val="Titrearticle"/>
        <w:rPr>
          <w:noProof/>
        </w:rPr>
      </w:pPr>
      <w:r>
        <w:rPr>
          <w:noProof/>
        </w:rPr>
        <w:t>Sdělování informací</w:t>
      </w:r>
    </w:p>
    <w:p>
      <w:pPr>
        <w:pStyle w:val="ManualNumPar1"/>
        <w:rPr>
          <w:noProof/>
        </w:rPr>
      </w:pPr>
      <w:r>
        <w:t>1.</w:t>
      </w:r>
      <w:r>
        <w:tab/>
      </w:r>
      <w:r>
        <w:rPr>
          <w:noProof/>
        </w:rPr>
        <w:t xml:space="preserve">Na žádost Komise poskytne EURAMET Komisi veškeré informace nezbytné k vypracování hodnoticích zpráv uvedených v článku 18. </w:t>
      </w:r>
    </w:p>
    <w:p>
      <w:pPr>
        <w:pStyle w:val="ManualNumPar1"/>
        <w:rPr>
          <w:noProof/>
        </w:rPr>
      </w:pPr>
      <w:r>
        <w:t>2.</w:t>
      </w:r>
      <w:r>
        <w:tab/>
      </w:r>
      <w:r>
        <w:rPr>
          <w:noProof/>
        </w:rPr>
        <w:t>Prostřednictvím organizace EURAMET předloží zúčastněné státy Komisi veškeré informace týkající se finančního řízení partnerství v oblasti metrologie, které si vyžádá Evropský parlament, Rada nebo Účetní dvůr.</w:t>
      </w:r>
    </w:p>
    <w:p>
      <w:pPr>
        <w:pStyle w:val="ManualNumPar1"/>
        <w:rPr>
          <w:noProof/>
        </w:rPr>
      </w:pPr>
      <w:r>
        <w:t>3.</w:t>
      </w:r>
      <w:r>
        <w:tab/>
      </w:r>
      <w:r>
        <w:rPr>
          <w:noProof/>
        </w:rPr>
        <w:t>Komise zahrne informace uvedené v odstavci 2 do hodnocení podle článku 18.</w:t>
      </w:r>
    </w:p>
    <w:p>
      <w:pPr>
        <w:pStyle w:val="Titrearticle"/>
        <w:rPr>
          <w:noProof/>
        </w:rPr>
      </w:pPr>
      <w:r>
        <w:rPr>
          <w:noProof/>
        </w:rPr>
        <w:t>Článek 18</w:t>
      </w:r>
    </w:p>
    <w:p>
      <w:pPr>
        <w:pStyle w:val="Titrearticle"/>
        <w:rPr>
          <w:noProof/>
        </w:rPr>
      </w:pPr>
      <w:r>
        <w:rPr>
          <w:noProof/>
        </w:rPr>
        <w:t xml:space="preserve">Hodnocení </w:t>
      </w:r>
    </w:p>
    <w:p>
      <w:pPr>
        <w:pStyle w:val="ManualNumPar1"/>
        <w:rPr>
          <w:rFonts w:eastAsiaTheme="minorEastAsia"/>
          <w:noProof/>
          <w:szCs w:val="24"/>
        </w:rPr>
      </w:pPr>
      <w:r>
        <w:t>1.</w:t>
      </w:r>
      <w:r>
        <w:tab/>
      </w:r>
      <w:r>
        <w:rPr>
          <w:noProof/>
        </w:rPr>
        <w:t xml:space="preserve">Komise provede průběžné a závěrečné hodnocení partnerství v oblasti metrologie v rámci hodnocení programu Horizont Evropa podle článku 47 nařízení (EU) …. [Horizont Evropa]. </w:t>
      </w:r>
    </w:p>
    <w:p>
      <w:pPr>
        <w:pStyle w:val="ManualNumPar1"/>
        <w:rPr>
          <w:rFonts w:eastAsiaTheme="minorEastAsia"/>
          <w:noProof/>
          <w:szCs w:val="24"/>
        </w:rPr>
      </w:pPr>
      <w:r>
        <w:t>2.</w:t>
      </w:r>
      <w:r>
        <w:tab/>
      </w:r>
      <w:r>
        <w:rPr>
          <w:noProof/>
        </w:rPr>
        <w:t xml:space="preserve">Hodnocení posoudí, jak partnerství v oblasti metrologie naplňuje své poslání a cíle, zahrnou všechny jeho činnosti a zhodnotí jeho evropskou přidanou hodnotu, účinnost, efektivitu, včetně otevřenosti a transparentnosti, vhodnost prováděných činností a jejich soudržnost a/nebo doplňkovost s příslušnými regionálními, celostátními a unijními politikami, včetně jiných částí programu Horizont Evropa (jako jsou mise, klastry nebo tematické/zvláštní programy). Hodnocení zohlední názory zúčastněných subjektů na evropské i vnitrostátní úrovni a případně budou zahrnovat i posouzení dlouhodobých vědeckých, společenských, ekonomických a technologických dopadů předchozích iniciativ. V případě potřeby zahrnou také posouzení nejúčinnějšího způsobu politické intervence pro jakoukoli budoucí akci, jakož i posouzení vhodnosti a soudržnosti možného obnovení partnerství v oblasti metrologie, a to s ohledem na celkové politické priority a podpůrné prostředí pro výzkum a inovace, včetně postavení vůči dalším iniciativám podporovaným prostřednictvím rámcového programu Horizont Evropa. </w:t>
      </w:r>
    </w:p>
    <w:p>
      <w:pPr>
        <w:pStyle w:val="Titrearticle"/>
        <w:rPr>
          <w:noProof/>
        </w:rPr>
      </w:pPr>
      <w:r>
        <w:rPr>
          <w:noProof/>
        </w:rPr>
        <w:t>Článek 19</w:t>
      </w:r>
    </w:p>
    <w:p>
      <w:pPr>
        <w:pStyle w:val="Titrearticle"/>
        <w:rPr>
          <w:noProof/>
        </w:rPr>
      </w:pPr>
      <w:r>
        <w:rPr>
          <w:noProof/>
        </w:rPr>
        <w:t>Přístup k výsledkům a informacím o návrzích </w:t>
      </w:r>
    </w:p>
    <w:p>
      <w:pPr>
        <w:pStyle w:val="ManualNumPar1"/>
        <w:rPr>
          <w:rFonts w:eastAsiaTheme="minorEastAsia"/>
          <w:noProof/>
        </w:rPr>
      </w:pPr>
      <w:r>
        <w:t>1.</w:t>
      </w:r>
      <w:r>
        <w:tab/>
      </w:r>
      <w:r>
        <w:rPr>
          <w:noProof/>
        </w:rPr>
        <w:t xml:space="preserve">EURAMET poskytne Komisi přístup k veškerým informacím týkajícím se nepřímých akcí, jež financuje. Tyto informace obsahují výsledky příjemců zapojených do nepřímých akcí v rámci partnerství v oblasti metrologie nebo jakékoli </w:t>
      </w:r>
      <w:r>
        <w:rPr>
          <w:noProof/>
        </w:rPr>
        <w:lastRenderedPageBreak/>
        <w:t>jiné informace považované za nezbytné pro rozvoj, provádění, sledování a hodnocení politik a programů Unie. Tato přístupová práva jsou omezena na nekomerční využití a využití mimo hospodářskou soutěž a musí odpovídat platným předpisům o zachování důvěrnosti.</w:t>
      </w:r>
    </w:p>
    <w:p>
      <w:pPr>
        <w:pStyle w:val="ManualNumPar1"/>
        <w:rPr>
          <w:rFonts w:eastAsiaTheme="minorEastAsia"/>
          <w:noProof/>
        </w:rPr>
      </w:pPr>
      <w:r>
        <w:t>2.</w:t>
      </w:r>
      <w:r>
        <w:tab/>
      </w:r>
      <w:r>
        <w:rPr>
          <w:noProof/>
        </w:rPr>
        <w:t xml:space="preserve">EURAMET poskytne Komisi pro účely vývoje, provádění, sledování a hodnocení politik nebo programů Unie informace z předložených návrhů. </w:t>
      </w:r>
    </w:p>
    <w:p>
      <w:pPr>
        <w:pStyle w:val="Titrearticle"/>
        <w:rPr>
          <w:noProof/>
        </w:rPr>
      </w:pPr>
      <w:r>
        <w:rPr>
          <w:noProof/>
        </w:rPr>
        <w:t>Článek 20</w:t>
      </w:r>
    </w:p>
    <w:p>
      <w:pPr>
        <w:pStyle w:val="Titrearticle"/>
        <w:rPr>
          <w:noProof/>
        </w:rPr>
      </w:pPr>
      <w:r>
        <w:rPr>
          <w:noProof/>
        </w:rPr>
        <w:t>Důvěrnost</w:t>
      </w:r>
    </w:p>
    <w:p>
      <w:pPr>
        <w:rPr>
          <w:noProof/>
        </w:rPr>
      </w:pPr>
      <w:r>
        <w:rPr>
          <w:noProof/>
        </w:rPr>
        <w:t>Aniž je dotčen článek 17, EURAMET zajistí ochranu důvěrných informací, jejichž zveřejnění mimo orgány a jiné subjekty, úřady nebo agentury Unie by mohlo poškodit zájmy jejích členů nebo účastníků činností partnerství v oblasti metrologie. Tyto důvěrné informace zahrnují mimo jiné osobní, obchodní, citlivé neutajované a utajované informace.</w:t>
      </w:r>
    </w:p>
    <w:p>
      <w:pPr>
        <w:pStyle w:val="Titrearticle"/>
        <w:rPr>
          <w:noProof/>
        </w:rPr>
      </w:pPr>
      <w:r>
        <w:rPr>
          <w:noProof/>
        </w:rPr>
        <w:t>Článek 21</w:t>
      </w:r>
    </w:p>
    <w:p>
      <w:pPr>
        <w:pStyle w:val="Titrearticle"/>
        <w:rPr>
          <w:noProof/>
        </w:rPr>
      </w:pPr>
      <w:r>
        <w:rPr>
          <w:noProof/>
        </w:rPr>
        <w:t>Střet zájmů</w:t>
      </w:r>
    </w:p>
    <w:p>
      <w:pPr>
        <w:pStyle w:val="ManualNumPar1"/>
        <w:rPr>
          <w:noProof/>
        </w:rPr>
      </w:pPr>
      <w:r>
        <w:t>1.</w:t>
      </w:r>
      <w:r>
        <w:tab/>
      </w:r>
      <w:r>
        <w:rPr>
          <w:noProof/>
        </w:rPr>
        <w:t>Organizace EURAMET, její orgány a zaměstnanci, stejně jako orgány partnerství v oblasti metrologie se při provádění svých činností vyhýbají jakémukoli střetu zájmů.</w:t>
      </w:r>
    </w:p>
    <w:p>
      <w:pPr>
        <w:pStyle w:val="ManualNumPar1"/>
        <w:rPr>
          <w:noProof/>
        </w:rPr>
      </w:pPr>
      <w:r>
        <w:t>2.</w:t>
      </w:r>
      <w:r>
        <w:tab/>
      </w:r>
      <w:r>
        <w:rPr>
          <w:noProof/>
        </w:rPr>
        <w:t>EURAMET přijme pravidla pro prevenci, zamezení a řešení střetů zájmů u zaměstnanců organizace EURAMET, členů a jiných osob vykonávajících funkce ve Výboru pro partnerství v oblasti metrologie nebo jiných orgánech či skupinách organizace EURAMET nebo partnerství v oblasti metrologie, a to v souladu s čl. 154 odst. 4 písm. d) nařízení (EU, Euratom) 2018/1046.</w:t>
      </w:r>
    </w:p>
    <w:p>
      <w:pPr>
        <w:pStyle w:val="Titrearticle"/>
        <w:rPr>
          <w:noProof/>
        </w:rPr>
      </w:pPr>
      <w:r>
        <w:rPr>
          <w:noProof/>
        </w:rPr>
        <w:t>Článek 22</w:t>
      </w:r>
    </w:p>
    <w:p>
      <w:pPr>
        <w:pStyle w:val="Titrearticle"/>
        <w:rPr>
          <w:noProof/>
        </w:rPr>
      </w:pPr>
      <w:r>
        <w:rPr>
          <w:noProof/>
        </w:rPr>
        <w:t>Vstup v platnost</w:t>
      </w:r>
    </w:p>
    <w:p>
      <w:pPr>
        <w:rPr>
          <w:noProof/>
        </w:rPr>
      </w:pPr>
      <w:r>
        <w:rPr>
          <w:noProof/>
        </w:rPr>
        <w:t>Toto rozhodnutí vstupuje v platnost dvacátým dnem po vyhlášení v </w:t>
      </w:r>
      <w:r>
        <w:rPr>
          <w:i/>
          <w:noProof/>
        </w:rPr>
        <w:t>Úředním věstníku Evropské unie</w:t>
      </w:r>
      <w:r>
        <w:rPr>
          <w:noProof/>
        </w:rPr>
        <w:t>.</w:t>
      </w:r>
    </w:p>
    <w:p>
      <w:pPr>
        <w:pStyle w:val="Titrearticle"/>
        <w:rPr>
          <w:noProof/>
        </w:rPr>
      </w:pPr>
      <w:r>
        <w:rPr>
          <w:noProof/>
        </w:rPr>
        <w:t>Článek 23</w:t>
      </w:r>
    </w:p>
    <w:p>
      <w:pPr>
        <w:pStyle w:val="Titrearticle"/>
        <w:rPr>
          <w:noProof/>
        </w:rPr>
      </w:pPr>
      <w:r>
        <w:rPr>
          <w:noProof/>
        </w:rPr>
        <w:t>Určení</w:t>
      </w:r>
    </w:p>
    <w:p>
      <w:pPr>
        <w:rPr>
          <w:noProof/>
        </w:rPr>
      </w:pPr>
      <w:r>
        <w:rPr>
          <w:noProof/>
        </w:rPr>
        <w:t>Toto rozhodnutí je určeno členským státům.</w:t>
      </w:r>
    </w:p>
    <w:p>
      <w:pPr>
        <w:pStyle w:val="Fait"/>
        <w:rPr>
          <w:noProof/>
        </w:rPr>
      </w:pPr>
      <w:r>
        <w:t>V Bruselu dne</w:t>
      </w:r>
    </w:p>
    <w:p>
      <w:pPr>
        <w:pStyle w:val="Institutionquisigne"/>
        <w:rPr>
          <w:noProof/>
        </w:rPr>
      </w:pPr>
      <w:r>
        <w:rPr>
          <w:noProof/>
        </w:rPr>
        <w:t>Za Evropský parlament</w:t>
      </w:r>
      <w:r>
        <w:rPr>
          <w:noProof/>
        </w:rPr>
        <w:tab/>
      </w:r>
      <w:r>
        <w:rPr>
          <w:noProof/>
        </w:rPr>
        <w:tab/>
      </w:r>
      <w:r>
        <w:rPr>
          <w:noProof/>
        </w:rPr>
        <w:tab/>
        <w:t xml:space="preserve">Za Radu  </w:t>
      </w:r>
    </w:p>
    <w:p>
      <w:pPr>
        <w:pStyle w:val="Personnequisigne"/>
        <w:rPr>
          <w:noProof/>
        </w:rPr>
      </w:pPr>
      <w:r>
        <w:rPr>
          <w:noProof/>
        </w:rPr>
        <w:t>předseda</w:t>
      </w:r>
      <w:r>
        <w:rPr>
          <w:noProof/>
        </w:rPr>
        <w:tab/>
      </w:r>
      <w:r>
        <w:rPr>
          <w:noProof/>
        </w:rPr>
        <w:tab/>
      </w:r>
      <w:r>
        <w:rPr>
          <w:noProof/>
        </w:rPr>
        <w:tab/>
        <w:t xml:space="preserve">předseda/předsedkyně </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lastRenderedPageBreak/>
        <w:t>LEGISLATIVNÍ FINANČNÍ VÝKAZ</w:t>
      </w:r>
    </w:p>
    <w:p>
      <w:pPr>
        <w:pStyle w:val="ManualHeading1"/>
        <w:rPr>
          <w:noProof/>
        </w:rPr>
      </w:pPr>
      <w:r>
        <w:rPr>
          <w:noProof/>
        </w:rPr>
        <w:t>1.</w:t>
      </w:r>
      <w:r>
        <w:rPr>
          <w:noProof/>
        </w:rPr>
        <w:tab/>
        <w:t xml:space="preserve">RÁMEC NÁVRHU/PODNĚTU </w:t>
      </w:r>
    </w:p>
    <w:p>
      <w:pPr>
        <w:pStyle w:val="ManualHeading2"/>
        <w:rPr>
          <w:b w:val="0"/>
          <w:noProof/>
        </w:rPr>
      </w:pPr>
      <w:r>
        <w:rPr>
          <w:noProof/>
        </w:rPr>
        <w:tab/>
      </w:r>
      <w:r>
        <w:rPr>
          <w:b w:val="0"/>
          <w:noProof/>
        </w:rPr>
        <w:t>1.1.</w:t>
      </w:r>
      <w:r>
        <w:rPr>
          <w:b w:val="0"/>
          <w:noProof/>
        </w:rPr>
        <w:tab/>
        <w:t xml:space="preserve">Název návrhu/podnětu </w:t>
      </w:r>
    </w:p>
    <w:p>
      <w:pPr>
        <w:pStyle w:val="ManualHeading2"/>
        <w:rPr>
          <w:b w:val="0"/>
          <w:noProof/>
        </w:rPr>
      </w:pPr>
      <w:r>
        <w:rPr>
          <w:b w:val="0"/>
          <w:noProof/>
        </w:rPr>
        <w:tab/>
        <w:t>1.2.</w:t>
      </w:r>
      <w:r>
        <w:rPr>
          <w:b w:val="0"/>
          <w:noProof/>
        </w:rPr>
        <w:tab/>
        <w:t>Příslušné oblasti politik podle členění ABM/ABB</w:t>
      </w:r>
    </w:p>
    <w:p>
      <w:pPr>
        <w:pStyle w:val="ManualHeading2"/>
        <w:rPr>
          <w:b w:val="0"/>
          <w:noProof/>
        </w:rPr>
      </w:pPr>
      <w:r>
        <w:rPr>
          <w:b w:val="0"/>
          <w:noProof/>
        </w:rPr>
        <w:tab/>
        <w:t>1.3.</w:t>
      </w:r>
      <w:r>
        <w:rPr>
          <w:b w:val="0"/>
          <w:noProof/>
        </w:rPr>
        <w:tab/>
        <w:t xml:space="preserve">Povaha návrhu/podnětu </w:t>
      </w:r>
    </w:p>
    <w:p>
      <w:pPr>
        <w:pStyle w:val="ManualHeading2"/>
        <w:rPr>
          <w:b w:val="0"/>
          <w:noProof/>
        </w:rPr>
      </w:pPr>
      <w:r>
        <w:rPr>
          <w:b w:val="0"/>
          <w:noProof/>
        </w:rPr>
        <w:tab/>
        <w:t>1.4.</w:t>
      </w:r>
      <w:r>
        <w:rPr>
          <w:b w:val="0"/>
          <w:noProof/>
        </w:rPr>
        <w:tab/>
        <w:t xml:space="preserve">Cíle </w:t>
      </w:r>
    </w:p>
    <w:p>
      <w:pPr>
        <w:pStyle w:val="ManualHeading2"/>
        <w:rPr>
          <w:b w:val="0"/>
          <w:noProof/>
        </w:rPr>
      </w:pPr>
      <w:r>
        <w:rPr>
          <w:b w:val="0"/>
          <w:noProof/>
        </w:rPr>
        <w:tab/>
        <w:t>1.5.</w:t>
      </w:r>
      <w:r>
        <w:rPr>
          <w:b w:val="0"/>
          <w:noProof/>
        </w:rPr>
        <w:tab/>
        <w:t xml:space="preserve">Odůvodnění návrhu/podnětu </w:t>
      </w:r>
    </w:p>
    <w:p>
      <w:pPr>
        <w:pStyle w:val="ManualHeading2"/>
        <w:rPr>
          <w:b w:val="0"/>
          <w:noProof/>
        </w:rPr>
      </w:pPr>
      <w:r>
        <w:rPr>
          <w:b w:val="0"/>
          <w:noProof/>
        </w:rPr>
        <w:tab/>
        <w:t>1.6.</w:t>
      </w:r>
      <w:r>
        <w:rPr>
          <w:b w:val="0"/>
          <w:noProof/>
        </w:rPr>
        <w:tab/>
        <w:t xml:space="preserve">Doba trvání a finanční dopad </w:t>
      </w:r>
    </w:p>
    <w:p>
      <w:pPr>
        <w:pStyle w:val="ManualHeading2"/>
        <w:rPr>
          <w:b w:val="0"/>
          <w:noProof/>
        </w:rPr>
      </w:pPr>
      <w:r>
        <w:rPr>
          <w:b w:val="0"/>
          <w:noProof/>
        </w:rPr>
        <w:tab/>
        <w:t>1.7.</w:t>
      </w:r>
      <w:r>
        <w:rPr>
          <w:b w:val="0"/>
          <w:noProof/>
        </w:rPr>
        <w:tab/>
        <w:t xml:space="preserve">Předpokládaný způsob řízení </w:t>
      </w:r>
    </w:p>
    <w:p>
      <w:pPr>
        <w:pStyle w:val="ManualHeading1"/>
        <w:rPr>
          <w:noProof/>
        </w:rPr>
      </w:pPr>
      <w:r>
        <w:rPr>
          <w:noProof/>
        </w:rPr>
        <w:t>2.</w:t>
      </w:r>
      <w:r>
        <w:rPr>
          <w:noProof/>
        </w:rPr>
        <w:tab/>
        <w:t xml:space="preserve">SPRÁVNÍ OPATŘENÍ </w:t>
      </w:r>
    </w:p>
    <w:p>
      <w:pPr>
        <w:pStyle w:val="ManualHeading2"/>
        <w:rPr>
          <w:b w:val="0"/>
          <w:noProof/>
        </w:rPr>
      </w:pPr>
      <w:r>
        <w:rPr>
          <w:b w:val="0"/>
          <w:noProof/>
        </w:rPr>
        <w:tab/>
        <w:t>2.1.</w:t>
      </w:r>
      <w:r>
        <w:rPr>
          <w:b w:val="0"/>
          <w:noProof/>
        </w:rPr>
        <w:tab/>
        <w:t xml:space="preserve">Pravidla pro sledování a podávání zpráv </w:t>
      </w:r>
    </w:p>
    <w:p>
      <w:pPr>
        <w:pStyle w:val="ManualHeading2"/>
        <w:rPr>
          <w:b w:val="0"/>
          <w:noProof/>
        </w:rPr>
      </w:pPr>
      <w:r>
        <w:rPr>
          <w:b w:val="0"/>
          <w:noProof/>
        </w:rPr>
        <w:tab/>
        <w:t>2.2.</w:t>
      </w:r>
      <w:r>
        <w:rPr>
          <w:b w:val="0"/>
          <w:noProof/>
        </w:rPr>
        <w:tab/>
        <w:t xml:space="preserve">Systém řízení a kontroly </w:t>
      </w:r>
    </w:p>
    <w:p>
      <w:pPr>
        <w:pStyle w:val="ManualHeading2"/>
        <w:rPr>
          <w:b w:val="0"/>
          <w:noProof/>
        </w:rPr>
      </w:pPr>
      <w:r>
        <w:rPr>
          <w:b w:val="0"/>
          <w:noProof/>
        </w:rPr>
        <w:tab/>
        <w:t>2.3.</w:t>
      </w:r>
      <w:r>
        <w:rPr>
          <w:b w:val="0"/>
          <w:noProof/>
        </w:rPr>
        <w:tab/>
        <w:t xml:space="preserve">Opatření k zamezení podvodů a nesrovnalostí </w:t>
      </w:r>
    </w:p>
    <w:p>
      <w:pPr>
        <w:pStyle w:val="ManualHeading1"/>
        <w:rPr>
          <w:noProof/>
        </w:rPr>
      </w:pPr>
      <w:r>
        <w:rPr>
          <w:noProof/>
        </w:rPr>
        <w:t>3.</w:t>
      </w:r>
      <w:r>
        <w:rPr>
          <w:noProof/>
        </w:rPr>
        <w:tab/>
        <w:t xml:space="preserve">ODHADOVANÝ FINANČNÍ DOPAD NÁVRHU/PODNĚTU </w:t>
      </w:r>
    </w:p>
    <w:p>
      <w:pPr>
        <w:pStyle w:val="ManualHeading2"/>
        <w:rPr>
          <w:b w:val="0"/>
          <w:noProof/>
        </w:rPr>
      </w:pPr>
      <w:r>
        <w:rPr>
          <w:b w:val="0"/>
          <w:noProof/>
        </w:rPr>
        <w:tab/>
        <w:t>3.1.</w:t>
      </w:r>
      <w:r>
        <w:rPr>
          <w:b w:val="0"/>
          <w:noProof/>
        </w:rPr>
        <w:tab/>
        <w:t xml:space="preserve">Okruhy víceletého finančního rámce a dotčené výdajové rozpočtové položky </w:t>
      </w:r>
    </w:p>
    <w:p>
      <w:pPr>
        <w:pStyle w:val="ManualHeading2"/>
        <w:rPr>
          <w:noProof/>
        </w:rPr>
      </w:pPr>
      <w:r>
        <w:rPr>
          <w:b w:val="0"/>
          <w:noProof/>
        </w:rPr>
        <w:tab/>
        <w:t>3.2.</w:t>
      </w:r>
      <w:r>
        <w:rPr>
          <w:b w:val="0"/>
          <w:noProof/>
        </w:rPr>
        <w:tab/>
        <w:t>Odhadovaný dopad na výdaje</w:t>
      </w:r>
      <w:r>
        <w:rPr>
          <w:noProof/>
        </w:rPr>
        <w:t xml:space="preserve"> </w:t>
      </w:r>
    </w:p>
    <w:p>
      <w:pPr>
        <w:pStyle w:val="ManualHeading3"/>
        <w:rPr>
          <w:noProof/>
        </w:rPr>
      </w:pPr>
      <w:r>
        <w:rPr>
          <w:noProof/>
        </w:rPr>
        <w:tab/>
        <w:t>3.2.1.</w:t>
      </w:r>
      <w:r>
        <w:rPr>
          <w:noProof/>
        </w:rPr>
        <w:tab/>
        <w:t xml:space="preserve">Odhadovaný souhrnný dopad na výdaje </w:t>
      </w:r>
    </w:p>
    <w:p>
      <w:pPr>
        <w:pStyle w:val="ManualHeading3"/>
        <w:rPr>
          <w:noProof/>
        </w:rPr>
      </w:pPr>
      <w:r>
        <w:rPr>
          <w:noProof/>
        </w:rPr>
        <w:tab/>
        <w:t>3.2.2.</w:t>
      </w:r>
      <w:r>
        <w:rPr>
          <w:noProof/>
        </w:rPr>
        <w:tab/>
        <w:t xml:space="preserve">Odhadovaný dopad na operační prostředky </w:t>
      </w:r>
    </w:p>
    <w:p>
      <w:pPr>
        <w:pStyle w:val="ManualHeading3"/>
        <w:rPr>
          <w:noProof/>
        </w:rPr>
      </w:pPr>
      <w:r>
        <w:rPr>
          <w:noProof/>
        </w:rPr>
        <w:tab/>
        <w:t>3.2.3.</w:t>
      </w:r>
      <w:r>
        <w:rPr>
          <w:noProof/>
        </w:rPr>
        <w:tab/>
        <w:t>Odhadovaný dopad na prostředky správní povahy</w:t>
      </w:r>
    </w:p>
    <w:p>
      <w:pPr>
        <w:pStyle w:val="ManualHeading3"/>
        <w:rPr>
          <w:noProof/>
        </w:rPr>
      </w:pPr>
      <w:r>
        <w:rPr>
          <w:noProof/>
        </w:rPr>
        <w:tab/>
        <w:t>3.2.4.</w:t>
      </w:r>
      <w:r>
        <w:rPr>
          <w:noProof/>
        </w:rPr>
        <w:tab/>
        <w:t>Slučitelnost se stávajícím víceletým finančním rámcem</w:t>
      </w:r>
    </w:p>
    <w:p>
      <w:pPr>
        <w:pStyle w:val="ManualHeading3"/>
        <w:rPr>
          <w:noProof/>
        </w:rPr>
      </w:pPr>
      <w:r>
        <w:rPr>
          <w:noProof/>
        </w:rPr>
        <w:tab/>
        <w:t>3.2.5.</w:t>
      </w:r>
      <w:r>
        <w:rPr>
          <w:noProof/>
        </w:rPr>
        <w:tab/>
        <w:t xml:space="preserve">Příspěvky třetích stran </w:t>
      </w:r>
    </w:p>
    <w:p>
      <w:pPr>
        <w:pStyle w:val="ManualHeading2"/>
        <w:jc w:val="left"/>
        <w:rPr>
          <w:b w:val="0"/>
          <w:noProof/>
        </w:rPr>
        <w:sectPr>
          <w:pgSz w:w="11907" w:h="16840" w:code="9"/>
          <w:pgMar w:top="1134" w:right="1418" w:bottom="1134" w:left="1418" w:header="709" w:footer="709" w:gutter="0"/>
          <w:cols w:space="708"/>
          <w:docGrid w:linePitch="360"/>
        </w:sectPr>
      </w:pPr>
      <w:r>
        <w:rPr>
          <w:b w:val="0"/>
          <w:noProof/>
        </w:rPr>
        <w:tab/>
        <w:t>3.3.</w:t>
      </w:r>
      <w:r>
        <w:rPr>
          <w:b w:val="0"/>
          <w:noProof/>
        </w:rPr>
        <w:tab/>
        <w:t>Odhadovaný dopad na příjmy</w:t>
      </w:r>
    </w:p>
    <w:p>
      <w:pPr>
        <w:jc w:val="center"/>
        <w:rPr>
          <w:b/>
          <w:noProof/>
          <w:u w:val="single"/>
        </w:rPr>
      </w:pPr>
      <w:bookmarkStart w:id="1" w:name="_Toc514941970"/>
      <w:r>
        <w:rPr>
          <w:b/>
          <w:noProof/>
          <w:u w:val="single"/>
        </w:rPr>
        <w:t>LEGISLATIVNÍ FINANČNÍ VÝKAZ</w:t>
      </w:r>
      <w:bookmarkEnd w:id="1"/>
    </w:p>
    <w:p>
      <w:pPr>
        <w:pStyle w:val="ManualHeading1"/>
        <w:rPr>
          <w:noProof/>
        </w:rPr>
      </w:pPr>
      <w:bookmarkStart w:id="2" w:name="_Toc514941971"/>
      <w:bookmarkStart w:id="3" w:name="_Toc520485198"/>
      <w:r>
        <w:t>1.</w:t>
      </w:r>
      <w:r>
        <w:tab/>
      </w:r>
      <w:r>
        <w:rPr>
          <w:noProof/>
        </w:rPr>
        <w:t>RÁMEC NÁVRHU/PODNĚTU</w:t>
      </w:r>
      <w:bookmarkEnd w:id="2"/>
      <w:bookmarkEnd w:id="3"/>
      <w:r>
        <w:rPr>
          <w:noProof/>
        </w:rPr>
        <w:t xml:space="preserve"> </w:t>
      </w:r>
    </w:p>
    <w:p>
      <w:pPr>
        <w:pStyle w:val="ManualHeading2"/>
        <w:rPr>
          <w:noProof/>
        </w:rPr>
      </w:pPr>
      <w:bookmarkStart w:id="4" w:name="_Toc514941972"/>
      <w:bookmarkStart w:id="5" w:name="_Toc520485199"/>
      <w:r>
        <w:t>1.1.</w:t>
      </w:r>
      <w:r>
        <w:tab/>
      </w:r>
      <w:r>
        <w:rPr>
          <w:noProof/>
        </w:rPr>
        <w:t>Název návrhu/podnětu</w:t>
      </w:r>
      <w:bookmarkEnd w:id="4"/>
      <w:bookmarkEnd w:id="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bookmarkStart w:id="6" w:name="_Toc514941973"/>
      <w:r>
        <w:rPr>
          <w:noProof/>
        </w:rPr>
        <w:t>Návrh rozhodnutí Evropského parlamentu a Rady o účasti Unie na Evropském partnerství v oblasti metrologie, realizovaném společně několika členskými státy</w:t>
      </w:r>
    </w:p>
    <w:p>
      <w:pPr>
        <w:pStyle w:val="ManualHeading2"/>
        <w:rPr>
          <w:i/>
          <w:noProof/>
        </w:rPr>
      </w:pPr>
      <w:bookmarkStart w:id="7" w:name="_Toc520485200"/>
      <w:r>
        <w:t>1.2.</w:t>
      </w:r>
      <w:r>
        <w:tab/>
      </w:r>
      <w:r>
        <w:rPr>
          <w:noProof/>
        </w:rPr>
        <w:t>Příslušné oblasti politik</w:t>
      </w:r>
      <w:r>
        <w:rPr>
          <w:i/>
          <w:noProof/>
        </w:rPr>
        <w:t xml:space="preserve"> (skupina programů)</w:t>
      </w:r>
      <w:bookmarkEnd w:id="6"/>
      <w:bookmarkEnd w:id="7"/>
    </w:p>
    <w:p>
      <w:pPr>
        <w:pStyle w:val="Text1"/>
        <w:pBdr>
          <w:top w:val="single" w:sz="4" w:space="1" w:color="auto"/>
          <w:left w:val="single" w:sz="4" w:space="4" w:color="auto"/>
          <w:bottom w:val="single" w:sz="4" w:space="1" w:color="auto"/>
          <w:right w:val="single" w:sz="4" w:space="4" w:color="auto"/>
        </w:pBdr>
        <w:rPr>
          <w:noProof/>
        </w:rPr>
      </w:pPr>
      <w:bookmarkStart w:id="8" w:name="_Toc514941974"/>
      <w:r>
        <w:rPr>
          <w:noProof/>
        </w:rPr>
        <w:t>Činnost: Horizont Evropa</w:t>
      </w:r>
    </w:p>
    <w:p>
      <w:pPr>
        <w:pStyle w:val="Text1"/>
        <w:pBdr>
          <w:top w:val="single" w:sz="4" w:space="1" w:color="auto"/>
          <w:left w:val="single" w:sz="4" w:space="4" w:color="auto"/>
          <w:bottom w:val="single" w:sz="4" w:space="1" w:color="auto"/>
          <w:right w:val="single" w:sz="4" w:space="4" w:color="auto"/>
        </w:pBdr>
        <w:rPr>
          <w:noProof/>
        </w:rPr>
      </w:pPr>
      <w:r>
        <w:rPr>
          <w:noProof/>
        </w:rPr>
        <w:t>Klastr 4: Digitální oblast, průmysl a vesmír</w:t>
      </w:r>
    </w:p>
    <w:p>
      <w:pPr>
        <w:pStyle w:val="ManualHeading2"/>
        <w:rPr>
          <w:bCs/>
          <w:noProof/>
          <w:szCs w:val="24"/>
        </w:rPr>
      </w:pPr>
      <w:bookmarkStart w:id="9" w:name="_Toc520485201"/>
      <w:r>
        <w:t>1.3.</w:t>
      </w:r>
      <w:r>
        <w:tab/>
      </w:r>
      <w:r>
        <w:rPr>
          <w:noProof/>
        </w:rPr>
        <w:t>Návrh/podnět se týká:</w:t>
      </w:r>
      <w:bookmarkEnd w:id="8"/>
      <w:bookmarkEnd w:id="9"/>
      <w:r>
        <w:rPr>
          <w:noProof/>
        </w:rPr>
        <w:t xml:space="preserve"> </w:t>
      </w:r>
    </w:p>
    <w:p>
      <w:pPr>
        <w:pStyle w:val="Text1"/>
        <w:rPr>
          <w:b/>
          <w:noProof/>
          <w:sz w:val="22"/>
        </w:rPr>
      </w:pPr>
      <w:r>
        <w:rPr>
          <w:noProof/>
          <w:sz w:val="22"/>
        </w:rPr>
        <w:sym w:font="Wingdings" w:char="F0FE"/>
      </w:r>
      <w:r>
        <w:rPr>
          <w:b/>
          <w:i/>
          <w:noProof/>
          <w:sz w:val="22"/>
        </w:rPr>
        <w:t xml:space="preserve"> </w:t>
      </w:r>
      <w:r>
        <w:rPr>
          <w:b/>
          <w:noProof/>
        </w:rPr>
        <w:t>nové akce</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nové akce následující po pilotním projektu / přípravné akci</w:t>
      </w:r>
      <w:r>
        <w:rPr>
          <w:rStyle w:val="FootnoteReference"/>
          <w:b/>
          <w:noProof/>
        </w:rPr>
        <w:footnoteReference w:id="20"/>
      </w:r>
      <w:r>
        <w:rPr>
          <w:noProof/>
          <w:sz w:val="22"/>
        </w:rPr>
        <w:t xml:space="preserve"> </w:t>
      </w:r>
    </w:p>
    <w:p>
      <w:pPr>
        <w:pStyle w:val="Text1"/>
        <w:rPr>
          <w:noProof/>
          <w:sz w:val="22"/>
        </w:rPr>
      </w:pPr>
      <w:r>
        <w:rPr>
          <w:noProof/>
          <w:sz w:val="22"/>
        </w:rPr>
        <w:sym w:font="Wingdings" w:char="F0A8"/>
      </w:r>
      <w:r>
        <w:rPr>
          <w:i/>
          <w:noProof/>
          <w:sz w:val="22"/>
        </w:rPr>
        <w:t xml:space="preserve"> </w:t>
      </w:r>
      <w:r>
        <w:rPr>
          <w:b/>
          <w:noProof/>
        </w:rPr>
        <w:t>prodloužení stávající akce</w:t>
      </w:r>
      <w:r>
        <w:rPr>
          <w:noProof/>
          <w:sz w:val="22"/>
        </w:rPr>
        <w:t xml:space="preserve"> </w:t>
      </w:r>
    </w:p>
    <w:p>
      <w:pPr>
        <w:pStyle w:val="Text1"/>
        <w:rPr>
          <w:noProof/>
        </w:rPr>
      </w:pPr>
      <w:r>
        <w:rPr>
          <w:noProof/>
          <w:sz w:val="22"/>
        </w:rPr>
        <w:sym w:font="Wingdings" w:char="F0A8"/>
      </w:r>
      <w:r>
        <w:rPr>
          <w:i/>
          <w:noProof/>
          <w:sz w:val="22"/>
        </w:rPr>
        <w:t xml:space="preserve"> </w:t>
      </w:r>
      <w:r>
        <w:rPr>
          <w:b/>
          <w:noProof/>
        </w:rPr>
        <w:t>sloučení jedné či více akcí v jinou/novou akci nebo přesměrování jedné či více akcí na jinou/novou akci</w:t>
      </w:r>
      <w:r>
        <w:rPr>
          <w:noProof/>
        </w:rPr>
        <w:t xml:space="preserve"> </w:t>
      </w:r>
    </w:p>
    <w:p>
      <w:pPr>
        <w:pStyle w:val="ManualHeading2"/>
        <w:rPr>
          <w:bCs/>
          <w:noProof/>
          <w:szCs w:val="24"/>
        </w:rPr>
      </w:pPr>
      <w:bookmarkStart w:id="10" w:name="_Toc514941975"/>
      <w:bookmarkStart w:id="11" w:name="_Toc520485202"/>
      <w:r>
        <w:t>1.4.</w:t>
      </w:r>
      <w:r>
        <w:tab/>
      </w:r>
      <w:r>
        <w:rPr>
          <w:noProof/>
        </w:rPr>
        <w:t>Odůvodnění návrhu/podnětu</w:t>
      </w:r>
      <w:bookmarkEnd w:id="10"/>
      <w:bookmarkEnd w:id="11"/>
      <w:r>
        <w:rPr>
          <w:noProof/>
        </w:rPr>
        <w:t xml:space="preserve"> </w:t>
      </w:r>
    </w:p>
    <w:p>
      <w:pPr>
        <w:pStyle w:val="ManualHeading3"/>
        <w:rPr>
          <w:noProof/>
        </w:rPr>
      </w:pPr>
      <w:bookmarkStart w:id="12" w:name="_Toc514941976"/>
      <w:bookmarkStart w:id="13" w:name="_Toc520485203"/>
      <w:r>
        <w:t>1.4.1.</w:t>
      </w:r>
      <w:r>
        <w:tab/>
      </w:r>
      <w:r>
        <w:rPr>
          <w:noProof/>
        </w:rPr>
        <w:t>Potřeby, které mají být uspokojeny v krátkodobém nebo dlouhodobém horizontu, včetně podrobného harmonogramu pro zahajovací fázi provádění podnětu</w:t>
      </w:r>
      <w:bookmarkEnd w:id="12"/>
      <w:bookmarkEnd w:id="13"/>
    </w:p>
    <w:p>
      <w:pPr>
        <w:pStyle w:val="Text1"/>
        <w:pBdr>
          <w:top w:val="single" w:sz="4" w:space="1" w:color="auto"/>
          <w:left w:val="single" w:sz="4" w:space="4" w:color="auto"/>
          <w:bottom w:val="single" w:sz="4" w:space="1" w:color="auto"/>
          <w:right w:val="single" w:sz="4" w:space="4" w:color="auto"/>
        </w:pBdr>
        <w:rPr>
          <w:noProof/>
        </w:rPr>
      </w:pPr>
      <w:r>
        <w:rPr>
          <w:noProof/>
        </w:rPr>
        <w:t>Hlavní cíle podnětu lze rozdělit na vědecké, ekonomické a společenské. Vědeckým cílem je vytvořit v Evropě udržitelný koordinovaný metrologický systém na světové úrovni. Ekonomickým cílem je zajistit, aby inovátoři zaváděli nejmodernější metrologické kapacity přímo ve svých ekosystémech. Společenským cílem je zvýšit dopad metrologie na společenské výzvy ve vztahu k provádění politik, norem a předpisů, aby plnily svůj účel.</w:t>
      </w:r>
    </w:p>
    <w:p>
      <w:pPr>
        <w:pStyle w:val="Text1"/>
        <w:pBdr>
          <w:top w:val="single" w:sz="4" w:space="1" w:color="auto"/>
          <w:left w:val="single" w:sz="4" w:space="4" w:color="auto"/>
          <w:bottom w:val="single" w:sz="4" w:space="1" w:color="auto"/>
          <w:right w:val="single" w:sz="4" w:space="4" w:color="auto"/>
        </w:pBdr>
        <w:rPr>
          <w:noProof/>
        </w:rPr>
      </w:pPr>
      <w:r>
        <w:rPr>
          <w:noProof/>
        </w:rPr>
        <w:t xml:space="preserve">Očekává se, že iniciativa zahájí svou činnost ve druhém nebo třetím čtvrtletí roku 2021 (v závislosti na datu přijetí základního aktu Radou a Evropským parlamentem). </w:t>
      </w:r>
    </w:p>
    <w:p>
      <w:pPr>
        <w:pStyle w:val="Text1"/>
        <w:pBdr>
          <w:top w:val="single" w:sz="4" w:space="1" w:color="auto"/>
          <w:left w:val="single" w:sz="4" w:space="4" w:color="auto"/>
          <w:bottom w:val="single" w:sz="4" w:space="1" w:color="auto"/>
          <w:right w:val="single" w:sz="4" w:space="4" w:color="auto"/>
        </w:pBdr>
        <w:rPr>
          <w:noProof/>
        </w:rPr>
      </w:pPr>
      <w:r>
        <w:rPr>
          <w:noProof/>
        </w:rPr>
        <w:t xml:space="preserve">Hlavní činností v rámci iniciativy je podpora spolupráce metrologických institutů a vnějších zúčastněných subjektů v oblasti metrologie na výzkumných akcích. Počáteční zahajovací fáze zveřejňování výzev pro podávání návrhů v letech 2021 a 2022 zajistí, aby byl dosažen stabilní rozpočet pro výzvy v období 2023–2026. Odhaduje se, že v posledním roce výzev 2027 bude rozpočet pro výzvy snížen, aby bylo možné činnost postupně ukončit. Zúčastněné státy zároveň poskytují prostředky na vytvoření evropských metrologických sítí ve strategických technologických a společenských oblastech. První sítě jsou vytvářeny od zahájení iniciativy a nové sítě následně mohou být zaváděny každý rok jejího provádění. </w:t>
      </w:r>
    </w:p>
    <w:p>
      <w:pPr>
        <w:pStyle w:val="Text1"/>
        <w:pBdr>
          <w:top w:val="single" w:sz="4" w:space="1" w:color="auto"/>
          <w:left w:val="single" w:sz="4" w:space="4" w:color="auto"/>
          <w:bottom w:val="single" w:sz="4" w:space="1" w:color="auto"/>
          <w:right w:val="single" w:sz="4" w:space="4" w:color="auto"/>
        </w:pBdr>
        <w:rPr>
          <w:noProof/>
        </w:rPr>
      </w:pPr>
      <w:r>
        <w:rPr>
          <w:noProof/>
        </w:rPr>
        <w:t xml:space="preserve">Do roku 2030 budou dosaženy všechny obecné a konkrétní cíle a budou podrobeny hodnocení </w:t>
      </w:r>
      <w:r>
        <w:rPr>
          <w:i/>
          <w:iCs/>
          <w:noProof/>
        </w:rPr>
        <w:t>ex post</w:t>
      </w:r>
      <w:r>
        <w:rPr>
          <w:noProof/>
        </w:rPr>
        <w:t>.</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noProof/>
        </w:rPr>
      </w:pPr>
      <w:bookmarkStart w:id="14" w:name="_Toc514941977"/>
      <w:bookmarkStart w:id="15" w:name="_Toc520485204"/>
      <w:r>
        <w:t>1.4.2.</w:t>
      </w:r>
      <w:r>
        <w:tab/>
      </w:r>
      <w:r>
        <w:rPr>
          <w:noProof/>
        </w:rPr>
        <w:t>Přidaná hodnota ze zapojení Unie (může být důsledkem různých faktorů, např. přínosů z koordinace, právní jistoty, vyšší účinnosti nebo doplňkovosti). Pro účely tohoto bodu se „přidanou hodnotou ze zapojení Unie“ rozumí hodnota plynoucí ze zásahu Unie, jež doplňuje hodnotu, která by jinak vznikla činností samotných členských států.</w:t>
      </w:r>
      <w:bookmarkEnd w:id="14"/>
      <w:bookmarkEnd w:id="15"/>
    </w:p>
    <w:p>
      <w:pPr>
        <w:pStyle w:val="Text1"/>
        <w:pBdr>
          <w:top w:val="single" w:sz="4" w:space="1" w:color="auto"/>
          <w:left w:val="single" w:sz="4" w:space="4" w:color="auto"/>
          <w:bottom w:val="single" w:sz="4" w:space="1" w:color="auto"/>
          <w:right w:val="single" w:sz="4" w:space="4" w:color="auto"/>
        </w:pBdr>
        <w:rPr>
          <w:noProof/>
        </w:rPr>
      </w:pPr>
      <w:r>
        <w:rPr>
          <w:noProof/>
        </w:rPr>
        <w:t>Důvody pro akci na evropské úrovni (</w:t>
      </w:r>
      <w:r>
        <w:rPr>
          <w:i/>
          <w:iCs/>
          <w:noProof/>
        </w:rPr>
        <w:t>ex ante</w:t>
      </w:r>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Vzhledem k povaze a rozsahu problémů, které iniciativa řeší, je společná iniciativa na úrovni EU vhodnější než samostatné iniciativy vypracované jednotlivými členskými státy. Díky tomu bude vynaložené úsilí soudržnější a koordinovanější a zabrání se tak jeho zdvojování.</w:t>
      </w:r>
    </w:p>
    <w:p>
      <w:pPr>
        <w:pStyle w:val="Text1"/>
        <w:pBdr>
          <w:top w:val="single" w:sz="4" w:space="1" w:color="auto"/>
          <w:left w:val="single" w:sz="4" w:space="4" w:color="auto"/>
          <w:bottom w:val="single" w:sz="4" w:space="1" w:color="auto"/>
          <w:right w:val="single" w:sz="4" w:space="4" w:color="auto"/>
        </w:pBdr>
        <w:rPr>
          <w:noProof/>
        </w:rPr>
      </w:pPr>
      <w:r>
        <w:rPr>
          <w:noProof/>
        </w:rPr>
        <w:t>Hlavním důvodem finančního příspěvku Unie k iniciativě je příležitost financovat nadnárodní výzkumné akce přímo zaměřené na společné strategické priority v oblasti metrologie. Iniciativa podle článku 185 rovněž poskytuje dlouhodobou právní jistotu institucionálního financování se závazky jak ze strany Unie, tak z institucionálního financování dostupného na vnitrostátní úrovni.</w:t>
      </w:r>
    </w:p>
    <w:p>
      <w:pPr>
        <w:pStyle w:val="Text1"/>
        <w:pBdr>
          <w:top w:val="single" w:sz="4" w:space="1" w:color="auto"/>
          <w:left w:val="single" w:sz="4" w:space="4" w:color="auto"/>
          <w:bottom w:val="single" w:sz="4" w:space="1" w:color="auto"/>
          <w:right w:val="single" w:sz="4" w:space="4" w:color="auto"/>
        </w:pBdr>
        <w:rPr>
          <w:noProof/>
        </w:rPr>
      </w:pPr>
      <w:r>
        <w:rPr>
          <w:noProof/>
        </w:rPr>
        <w:t>Očekávaná vytvořená přidaná hodnota na úrovni Unie (</w:t>
      </w:r>
      <w:r>
        <w:rPr>
          <w:i/>
          <w:iCs/>
          <w:noProof/>
        </w:rPr>
        <w:t>ex post</w:t>
      </w:r>
      <w:r>
        <w:rPr>
          <w:noProof/>
        </w:rPr>
        <w:t>):</w:t>
      </w:r>
    </w:p>
    <w:p>
      <w:pPr>
        <w:pStyle w:val="Text1"/>
        <w:pBdr>
          <w:top w:val="single" w:sz="4" w:space="1" w:color="auto"/>
          <w:left w:val="single" w:sz="4" w:space="4" w:color="auto"/>
          <w:bottom w:val="single" w:sz="4" w:space="1" w:color="auto"/>
          <w:right w:val="single" w:sz="4" w:space="4" w:color="auto"/>
        </w:pBdr>
        <w:rPr>
          <w:noProof/>
        </w:rPr>
      </w:pPr>
      <w:r>
        <w:rPr>
          <w:noProof/>
        </w:rPr>
        <w:t>Zapojení EU přinese úspory z rozsahu a posílí kapacitu metrologického výzkumu. Zapojení EU dále zajistí pákový efekt na vnitrostátní zdroje za účelem vytvoření evropské metrologické kapacity vhodné k řešení společných společenských výzev a technologických přechodů podle potřeb jednotného trhu.</w:t>
      </w:r>
    </w:p>
    <w:p>
      <w:pPr>
        <w:pStyle w:val="Text1"/>
        <w:pBdr>
          <w:top w:val="single" w:sz="4" w:space="1" w:color="auto"/>
          <w:left w:val="single" w:sz="4" w:space="4" w:color="auto"/>
          <w:bottom w:val="single" w:sz="4" w:space="1" w:color="auto"/>
          <w:right w:val="single" w:sz="4" w:space="4" w:color="auto"/>
        </w:pBdr>
        <w:rPr>
          <w:noProof/>
        </w:rPr>
      </w:pPr>
      <w:r>
        <w:rPr>
          <w:noProof/>
        </w:rPr>
        <w:t>Tyto otázky podrobněji řeší dokument posouzení dopadů připojený k tomuto návrhu.</w:t>
      </w:r>
    </w:p>
    <w:p>
      <w:pPr>
        <w:pStyle w:val="ManualHeading3"/>
        <w:rPr>
          <w:noProof/>
        </w:rPr>
      </w:pPr>
      <w:bookmarkStart w:id="16" w:name="_Toc514941978"/>
      <w:bookmarkStart w:id="17" w:name="_Toc520485205"/>
      <w:r>
        <w:t>1.4.3.</w:t>
      </w:r>
      <w:r>
        <w:tab/>
      </w:r>
      <w:r>
        <w:rPr>
          <w:noProof/>
        </w:rPr>
        <w:t>Závěry vyvozené z podobných zkušeností v minulosti</w:t>
      </w:r>
      <w:bookmarkEnd w:id="16"/>
      <w:bookmarkEnd w:id="17"/>
    </w:p>
    <w:p>
      <w:pPr>
        <w:pStyle w:val="Text1"/>
        <w:pBdr>
          <w:top w:val="single" w:sz="4" w:space="1" w:color="auto"/>
          <w:left w:val="single" w:sz="4" w:space="4" w:color="auto"/>
          <w:bottom w:val="single" w:sz="4" w:space="1" w:color="auto"/>
          <w:right w:val="single" w:sz="4" w:space="4" w:color="auto"/>
        </w:pBdr>
        <w:rPr>
          <w:noProof/>
        </w:rPr>
      </w:pPr>
      <w:r>
        <w:rPr>
          <w:noProof/>
        </w:rPr>
        <w:t>Díky dosažení značné úrovně integrace úsilí v oblasti metrologie umožnila opatření EU v rámci sedmého rámcového programu a programu Horizont 2020 Evropě dosáhnout ve světě v mnoha oblastech metrologie vedoucího postavení. V situaci, kdy narůstá význam metrologického výzkumu coby činitele umožňujícího rozvoj vznikajících technologií, ostatní světové regiony značně navyšují své investice do metrologie a strategicky je zaměřují. V této fázi je tedy nezbytné přijetí opatření na úrovni EU, aby bylo zachováno tempo integrace, která bude zakotvena v celém hodnotovém řetězci metrologie, čímž se zvýší zapojení zúčastněných subjektů v oblasti metrologie včetně regulačních orgánů a tvůrců standardů, koncových uživatelů z průmyslu a společnosti, jakož i občanů. To je klíčem k dosažení dlouhodobé udržitelnosti integrovaného metrologického výzkumu v Evropě.</w:t>
      </w:r>
    </w:p>
    <w:p>
      <w:pPr>
        <w:pStyle w:val="Text1"/>
        <w:pBdr>
          <w:top w:val="single" w:sz="4" w:space="1" w:color="auto"/>
          <w:left w:val="single" w:sz="4" w:space="4" w:color="auto"/>
          <w:bottom w:val="single" w:sz="4" w:space="1" w:color="auto"/>
          <w:right w:val="single" w:sz="4" w:space="4" w:color="auto"/>
        </w:pBdr>
        <w:rPr>
          <w:noProof/>
        </w:rPr>
      </w:pPr>
      <w:r>
        <w:rPr>
          <w:noProof/>
        </w:rPr>
        <w:t>Má-li být dosažena udržitelnost, je nezbytně nutné, aby bylo toto opatření na úrovni EU zachováno. V opačném případě, jak upozorňuje hodnocení v polovině období z roku 2017, hrozí v oblasti metrologie v Evropě opětovné roztříštění úsilí, přičemž by se budování kapacit v menších národních metrologických institutech zpomalilo, zatímco větší národní metrologické instituty by uzavíraly dvoustranné dohody se svými protějšky z jiných regionů světa, čímž by narušily technologickou nezávislost Evropy.</w:t>
      </w:r>
    </w:p>
    <w:p>
      <w:pPr>
        <w:pStyle w:val="ManualHeading3"/>
        <w:rPr>
          <w:noProof/>
        </w:rPr>
      </w:pPr>
      <w:bookmarkStart w:id="18" w:name="_Toc514941979"/>
      <w:bookmarkStart w:id="19" w:name="_Toc520485206"/>
      <w:r>
        <w:t>1.4.4.</w:t>
      </w:r>
      <w:r>
        <w:tab/>
      </w:r>
      <w:r>
        <w:rPr>
          <w:noProof/>
        </w:rPr>
        <w:t>Soulad a možná synergie s dalšími vhodnými nástroji</w:t>
      </w:r>
      <w:bookmarkEnd w:id="18"/>
      <w:bookmarkEnd w:id="19"/>
    </w:p>
    <w:p>
      <w:pPr>
        <w:pStyle w:val="Text1"/>
        <w:pBdr>
          <w:top w:val="single" w:sz="4" w:space="1" w:color="auto"/>
          <w:left w:val="single" w:sz="4" w:space="4" w:color="auto"/>
          <w:bottom w:val="single" w:sz="4" w:space="1" w:color="auto"/>
          <w:right w:val="single" w:sz="4" w:space="4" w:color="auto"/>
        </w:pBdr>
        <w:rPr>
          <w:noProof/>
        </w:rPr>
      </w:pPr>
      <w:r>
        <w:rPr>
          <w:noProof/>
        </w:rPr>
        <w:t xml:space="preserve">Podle nařízení o programu Horizont Evropa musí všechna evropská partnerství zajistit koordinaci a/nebo společné činnosti s jinými relevantními iniciativami v oblasti výzkumu a inovací, aby byla zajištěna optimální úroveň propojenosti a účinné synergie. </w:t>
      </w:r>
    </w:p>
    <w:p>
      <w:pPr>
        <w:pStyle w:val="Text1"/>
        <w:pBdr>
          <w:top w:val="single" w:sz="4" w:space="1" w:color="auto"/>
          <w:left w:val="single" w:sz="4" w:space="4" w:color="auto"/>
          <w:bottom w:val="single" w:sz="4" w:space="1" w:color="auto"/>
          <w:right w:val="single" w:sz="4" w:space="4" w:color="auto"/>
        </w:pBdr>
        <w:rPr>
          <w:noProof/>
        </w:rPr>
      </w:pPr>
      <w:r>
        <w:rPr>
          <w:noProof/>
        </w:rPr>
        <w:t>Je třeba vytvořit výrazné synergie s ostatními evropskými partnerstvími, která úzce souvisí s aplikacemi náročnými na měření. Kromě toho umožňuje nástroj podle článku 185 bezproblémovou integraci národních programů financování, které jsou sladěny s národními prioritami v oblasti metrologie.</w:t>
      </w:r>
    </w:p>
    <w:p>
      <w:pPr>
        <w:pStyle w:val="Text1"/>
        <w:pBdr>
          <w:top w:val="single" w:sz="4" w:space="1" w:color="auto"/>
          <w:left w:val="single" w:sz="4" w:space="4" w:color="auto"/>
          <w:bottom w:val="single" w:sz="4" w:space="1" w:color="auto"/>
          <w:right w:val="single" w:sz="4" w:space="4" w:color="auto"/>
        </w:pBdr>
        <w:rPr>
          <w:noProof/>
        </w:rPr>
      </w:pPr>
      <w:r>
        <w:rPr>
          <w:noProof/>
        </w:rPr>
        <w:t>Zajistí sladění zejména s dalšími nástroji v rámci evropských priorit, jako je „Evropa připravená na digitální věk“, „Hospodářství ve prospěch lidí“ a „Zelená dohoda pro Evropu“, a zajistí spolupráci se všemi programy a akcemi v rámci navrhovaného rámcového programu pro výzkum a inovace Horizont Evropa, včetně všech klastrů spadajících do druhého pilíře nazvaného „Globální výzvy a konkurenceschopnost průmyslu“.</w:t>
      </w:r>
    </w:p>
    <w:p>
      <w:pPr>
        <w:pStyle w:val="Text1"/>
        <w:pBdr>
          <w:top w:val="single" w:sz="4" w:space="1" w:color="auto"/>
          <w:left w:val="single" w:sz="4" w:space="4" w:color="auto"/>
          <w:bottom w:val="single" w:sz="4" w:space="1" w:color="auto"/>
          <w:right w:val="single" w:sz="4" w:space="4" w:color="auto"/>
        </w:pBdr>
        <w:rPr>
          <w:noProof/>
        </w:rPr>
      </w:pPr>
      <w:r>
        <w:rPr>
          <w:noProof/>
        </w:rPr>
        <w:t>Monitorování synergií a spolupráce bude probíhat prostřednictvím výroční zprávy o činnosti.</w:t>
      </w:r>
    </w:p>
    <w:p>
      <w:pPr>
        <w:pStyle w:val="Text1"/>
        <w:rPr>
          <w:noProof/>
        </w:rPr>
      </w:pPr>
    </w:p>
    <w:p>
      <w:pPr>
        <w:pStyle w:val="ManualHeading2"/>
        <w:rPr>
          <w:bCs/>
          <w:noProof/>
          <w:szCs w:val="24"/>
        </w:rPr>
      </w:pPr>
      <w:r>
        <w:rPr>
          <w:noProof/>
        </w:rPr>
        <w:br w:type="page"/>
      </w:r>
      <w:bookmarkStart w:id="20" w:name="_Toc514941980"/>
      <w:bookmarkStart w:id="21" w:name="_Toc520485207"/>
      <w:r>
        <w:t>1.5.</w:t>
      </w:r>
      <w:r>
        <w:tab/>
      </w:r>
      <w:r>
        <w:rPr>
          <w:noProof/>
        </w:rPr>
        <w:t>Doba trvání a finanční dopad</w:t>
      </w:r>
      <w:bookmarkEnd w:id="20"/>
      <w:bookmarkEnd w:id="21"/>
      <w:r>
        <w:rPr>
          <w:noProof/>
        </w:rPr>
        <w:t xml:space="preserve"> </w:t>
      </w:r>
    </w:p>
    <w:p>
      <w:pPr>
        <w:pStyle w:val="Text1"/>
        <w:rPr>
          <w:noProof/>
        </w:rPr>
      </w:pPr>
      <w:r>
        <w:rPr>
          <w:noProof/>
        </w:rPr>
        <w:sym w:font="Wingdings" w:char="F0FE"/>
      </w:r>
      <w:r>
        <w:rPr>
          <w:b/>
          <w:i/>
          <w:noProof/>
        </w:rPr>
        <w:t xml:space="preserve"> </w:t>
      </w:r>
      <w:r>
        <w:rPr>
          <w:b/>
          <w:noProof/>
        </w:rPr>
        <w:t xml:space="preserve">časově omezená doba trvání </w:t>
      </w:r>
    </w:p>
    <w:p>
      <w:pPr>
        <w:pStyle w:val="ListDash2"/>
        <w:rPr>
          <w:noProof/>
        </w:rPr>
      </w:pPr>
      <w:r>
        <w:rPr>
          <w:noProof/>
        </w:rPr>
        <w:sym w:font="Wingdings" w:char="F0FE"/>
      </w:r>
      <w:r>
        <w:rPr>
          <w:noProof/>
        </w:rPr>
        <w:tab/>
        <w:t xml:space="preserve">s platností od [1. 1.] 2021 do [31. 12.] 2031, </w:t>
      </w:r>
    </w:p>
    <w:p>
      <w:pPr>
        <w:pStyle w:val="ListDash2"/>
        <w:rPr>
          <w:noProof/>
        </w:rPr>
      </w:pPr>
      <w:r>
        <w:rPr>
          <w:noProof/>
        </w:rPr>
        <w:sym w:font="Wingdings" w:char="F0FE"/>
      </w:r>
      <w:r>
        <w:rPr>
          <w:noProof/>
        </w:rPr>
        <w:tab/>
        <w:t xml:space="preserve">finanční dopad od roku 2021 do roku 2027 u prostředků na závazky a od roku 2022 do roku 2032 u prostředků na platby. </w:t>
      </w:r>
    </w:p>
    <w:p>
      <w:pPr>
        <w:pStyle w:val="Text1"/>
        <w:rPr>
          <w:noProof/>
        </w:rPr>
      </w:pPr>
      <w:r>
        <w:rPr>
          <w:noProof/>
        </w:rPr>
        <w:sym w:font="Wingdings" w:char="F0A8"/>
      </w:r>
      <w:r>
        <w:rPr>
          <w:b/>
          <w:i/>
          <w:noProof/>
        </w:rPr>
        <w:t xml:space="preserve"> </w:t>
      </w:r>
      <w:r>
        <w:rPr>
          <w:b/>
          <w:noProof/>
        </w:rPr>
        <w:t>časově neomezená doba trvání</w:t>
      </w:r>
    </w:p>
    <w:p>
      <w:pPr>
        <w:pStyle w:val="ListDash1"/>
        <w:rPr>
          <w:noProof/>
        </w:rPr>
      </w:pPr>
      <w:r>
        <w:rPr>
          <w:noProof/>
        </w:rPr>
        <w:t>provádění s obdobím rozběhu od RRRR do RRRR,</w:t>
      </w:r>
    </w:p>
    <w:p>
      <w:pPr>
        <w:pStyle w:val="ListDash1"/>
        <w:rPr>
          <w:noProof/>
        </w:rPr>
      </w:pPr>
      <w:r>
        <w:rPr>
          <w:noProof/>
        </w:rPr>
        <w:t>poté plné fungování.</w:t>
      </w:r>
    </w:p>
    <w:p>
      <w:pPr>
        <w:pStyle w:val="ManualHeading2"/>
        <w:rPr>
          <w:bCs/>
          <w:noProof/>
          <w:szCs w:val="24"/>
        </w:rPr>
      </w:pPr>
      <w:bookmarkStart w:id="22" w:name="_Toc514941981"/>
      <w:bookmarkStart w:id="23" w:name="_Toc520485208"/>
      <w:r>
        <w:t>1.6.</w:t>
      </w:r>
      <w:r>
        <w:tab/>
      </w:r>
      <w:r>
        <w:rPr>
          <w:noProof/>
        </w:rPr>
        <w:t>Předpokládaný způsob řízení</w:t>
      </w:r>
      <w:r>
        <w:rPr>
          <w:rStyle w:val="FootnoteReference"/>
          <w:noProof/>
        </w:rPr>
        <w:footnoteReference w:id="21"/>
      </w:r>
      <w:r>
        <w:rPr>
          <w:rStyle w:val="FootnoteReference"/>
          <w:noProof/>
        </w:rPr>
        <w:t xml:space="preserve"> </w:t>
      </w:r>
      <w:bookmarkEnd w:id="22"/>
      <w:bookmarkEnd w:id="23"/>
      <w:r>
        <w:rPr>
          <w:rStyle w:val="FootnoteReference"/>
          <w:noProof/>
        </w:rPr>
        <w:t xml:space="preserve"> </w:t>
      </w:r>
    </w:p>
    <w:p>
      <w:pPr>
        <w:pStyle w:val="Text1"/>
        <w:rPr>
          <w:noProof/>
        </w:rPr>
      </w:pPr>
      <w:r>
        <w:rPr>
          <w:noProof/>
        </w:rPr>
        <w:sym w:font="Wingdings" w:char="F0A8"/>
      </w:r>
      <w:r>
        <w:rPr>
          <w:i/>
          <w:noProof/>
        </w:rPr>
        <w:t xml:space="preserve"> </w:t>
      </w:r>
      <w:r>
        <w:rPr>
          <w:b/>
          <w:noProof/>
        </w:rPr>
        <w:t>Přímé řízení</w:t>
      </w:r>
      <w:r>
        <w:rPr>
          <w:noProof/>
        </w:rPr>
        <w:t xml:space="preserve"> Komisí</w:t>
      </w:r>
    </w:p>
    <w:p>
      <w:pPr>
        <w:pStyle w:val="ListDash2"/>
        <w:rPr>
          <w:rFonts w:cs="EUAlbertina"/>
          <w:noProof/>
        </w:rPr>
      </w:pPr>
      <w:r>
        <w:rPr>
          <w:noProof/>
        </w:rPr>
        <w:sym w:font="Wingdings" w:char="F0A8"/>
      </w:r>
      <w:r>
        <w:rPr>
          <w:noProof/>
        </w:rPr>
        <w:t xml:space="preserve"> prostřednictvím jejích útvarů, včetně jejích zaměstnanců v delegacích Unie, </w:t>
      </w:r>
    </w:p>
    <w:p>
      <w:pPr>
        <w:pStyle w:val="ListDash2"/>
        <w:rPr>
          <w:noProof/>
        </w:rPr>
      </w:pPr>
      <w:r>
        <w:rPr>
          <w:noProof/>
        </w:rPr>
        <w:sym w:font="Wingdings" w:char="F0A8"/>
      </w:r>
      <w:r>
        <w:rPr>
          <w:noProof/>
        </w:rPr>
        <w:tab/>
        <w:t xml:space="preserve">prostřednictvím výkonných agentur. </w:t>
      </w:r>
    </w:p>
    <w:p>
      <w:pPr>
        <w:pStyle w:val="Text1"/>
        <w:rPr>
          <w:noProof/>
        </w:rPr>
      </w:pPr>
      <w:r>
        <w:rPr>
          <w:noProof/>
        </w:rPr>
        <w:sym w:font="Wingdings" w:char="F0A8"/>
      </w:r>
      <w:r>
        <w:rPr>
          <w:b/>
          <w:i/>
          <w:noProof/>
        </w:rPr>
        <w:t xml:space="preserve"> </w:t>
      </w:r>
      <w:r>
        <w:rPr>
          <w:b/>
          <w:noProof/>
        </w:rPr>
        <w:t>Sdílené řízení</w:t>
      </w:r>
      <w:r>
        <w:rPr>
          <w:noProof/>
        </w:rPr>
        <w:t xml:space="preserve"> s členskými státy </w:t>
      </w:r>
    </w:p>
    <w:p>
      <w:pPr>
        <w:pStyle w:val="Text1"/>
        <w:rPr>
          <w:noProof/>
        </w:rPr>
      </w:pPr>
      <w:r>
        <w:rPr>
          <w:noProof/>
        </w:rPr>
        <w:sym w:font="Wingdings" w:char="F0FE"/>
      </w:r>
      <w:r>
        <w:rPr>
          <w:i/>
          <w:noProof/>
        </w:rPr>
        <w:t xml:space="preserve"> </w:t>
      </w:r>
      <w:r>
        <w:rPr>
          <w:b/>
          <w:noProof/>
        </w:rPr>
        <w:t>Nepřímé řízení</w:t>
      </w:r>
      <w:r>
        <w:rPr>
          <w:noProof/>
        </w:rPr>
        <w:t>, při kterém jsou úkoly souvisejícími s plněním rozpočtu pověřeny:</w:t>
      </w:r>
    </w:p>
    <w:p>
      <w:pPr>
        <w:pStyle w:val="ListDash2"/>
        <w:rPr>
          <w:noProof/>
        </w:rPr>
      </w:pPr>
      <w:r>
        <w:rPr>
          <w:noProof/>
        </w:rPr>
        <w:sym w:font="Wingdings" w:char="F0A8"/>
      </w:r>
      <w:r>
        <w:rPr>
          <w:noProof/>
        </w:rPr>
        <w:t xml:space="preserve"> třetí země nebo subjekty určené těmito zeměmi,</w:t>
      </w:r>
    </w:p>
    <w:p>
      <w:pPr>
        <w:pStyle w:val="ListDash2"/>
        <w:rPr>
          <w:noProof/>
        </w:rPr>
      </w:pPr>
      <w:r>
        <w:rPr>
          <w:noProof/>
        </w:rPr>
        <w:sym w:font="Wingdings" w:char="F0A8"/>
      </w:r>
      <w:r>
        <w:rPr>
          <w:noProof/>
        </w:rPr>
        <w:t xml:space="preserve"> mezinárodní organizace a jejich agentury (upřesněte),</w:t>
      </w:r>
    </w:p>
    <w:p>
      <w:pPr>
        <w:pStyle w:val="ListDash2"/>
        <w:rPr>
          <w:noProof/>
        </w:rPr>
      </w:pPr>
      <w:r>
        <w:rPr>
          <w:noProof/>
        </w:rPr>
        <w:sym w:font="Wingdings" w:char="F0A8"/>
      </w:r>
      <w:r>
        <w:rPr>
          <w:noProof/>
        </w:rPr>
        <w:t xml:space="preserve"> EIB a Evropský investiční fond,</w:t>
      </w:r>
    </w:p>
    <w:p>
      <w:pPr>
        <w:pStyle w:val="ListDash2"/>
        <w:rPr>
          <w:noProof/>
        </w:rPr>
      </w:pPr>
      <w:r>
        <w:rPr>
          <w:noProof/>
        </w:rPr>
        <w:sym w:font="Wingdings" w:char="F0A8"/>
      </w:r>
      <w:r>
        <w:rPr>
          <w:noProof/>
        </w:rPr>
        <w:t xml:space="preserve"> subjekty uvedené v článcích 70 a 71 finančního nařízení,</w:t>
      </w:r>
    </w:p>
    <w:p>
      <w:pPr>
        <w:pStyle w:val="ListDash2"/>
        <w:rPr>
          <w:noProof/>
        </w:rPr>
      </w:pPr>
      <w:r>
        <w:rPr>
          <w:noProof/>
        </w:rPr>
        <w:sym w:font="Wingdings" w:char="F0A8"/>
      </w:r>
      <w:r>
        <w:rPr>
          <w:noProof/>
        </w:rPr>
        <w:t xml:space="preserve"> veřejnoprávní subjekty,</w:t>
      </w:r>
    </w:p>
    <w:p>
      <w:pPr>
        <w:pStyle w:val="ListDash2"/>
        <w:rPr>
          <w:noProof/>
        </w:rPr>
      </w:pPr>
      <w:r>
        <w:rPr>
          <w:noProof/>
        </w:rPr>
        <w:sym w:font="Wingdings" w:char="F0FE"/>
      </w:r>
      <w:r>
        <w:rPr>
          <w:noProof/>
        </w:rPr>
        <w:t xml:space="preserve"> soukromoprávní subjekty pověřené výkonem veřejné služby v rozsahu, v jakém poskytují dostatečné finanční záruky,</w:t>
      </w:r>
    </w:p>
    <w:p>
      <w:pPr>
        <w:pStyle w:val="ListDash2"/>
        <w:rPr>
          <w:noProof/>
        </w:rPr>
      </w:pPr>
      <w:r>
        <w:rPr>
          <w:noProof/>
        </w:rPr>
        <w:sym w:font="Wingdings" w:char="F0A8"/>
      </w:r>
      <w:r>
        <w:rPr>
          <w:noProof/>
        </w:rPr>
        <w:t xml:space="preserve"> soukromoprávní subjekty členského státu pověřené uskutečňováním partnerství soukromého a veřejného sektoru a poskytující dostatečné finanční záruky,</w:t>
      </w:r>
    </w:p>
    <w:p>
      <w:pPr>
        <w:pStyle w:val="ListDash2"/>
        <w:rPr>
          <w:noProof/>
        </w:rPr>
      </w:pPr>
      <w:r>
        <w:rPr>
          <w:noProof/>
        </w:rPr>
        <w:sym w:font="Wingdings" w:char="F0A8"/>
      </w:r>
      <w:r>
        <w:rPr>
          <w:noProof/>
        </w:rPr>
        <w:t xml:space="preserve"> osoby pověřené prováděním specifických akcí v rámci společné zahraniční a bezpečnostní politiky podle hlavy V Smlouvy o EU a určené v příslušném základním právním aktu.</w:t>
      </w:r>
    </w:p>
    <w:p>
      <w:pPr>
        <w:pStyle w:val="ListDash2"/>
        <w:rPr>
          <w:i/>
          <w:noProof/>
          <w:sz w:val="18"/>
          <w:u w:val="single"/>
        </w:rPr>
      </w:pPr>
      <w:r>
        <w:rPr>
          <w:i/>
          <w:noProof/>
          <w:sz w:val="18"/>
        </w:rPr>
        <w:t>Pokud vyberete více způsobů řízení, upřesněte je v části „Poznámky“.</w:t>
      </w:r>
    </w:p>
    <w:p>
      <w:pPr>
        <w:rPr>
          <w:noProof/>
        </w:rPr>
      </w:pPr>
      <w:r>
        <w:rPr>
          <w:noProof/>
        </w:rPr>
        <w:t>Poznámky</w:t>
      </w:r>
    </w:p>
    <w:p>
      <w:pPr>
        <w:pBdr>
          <w:top w:val="single" w:sz="4" w:space="1" w:color="auto"/>
          <w:left w:val="single" w:sz="4" w:space="4" w:color="auto"/>
          <w:bottom w:val="single" w:sz="4" w:space="1" w:color="auto"/>
          <w:right w:val="single" w:sz="4" w:space="4" w:color="auto"/>
        </w:pBdr>
        <w:rPr>
          <w:noProof/>
        </w:rPr>
      </w:pPr>
      <w:r>
        <w:rPr>
          <w:noProof/>
        </w:rPr>
        <w:t>EURAMET je sdružení (Eingetragener Verein, e.V.) podle německého práva, jež členské státy a další evropské země pověřily, aby je zastupovalo jako regionální metrologická organizace pro Evropu. Finanční příspěvek Unie pro iniciativu bude poskytován prostřednictvím této organizace.</w:t>
      </w:r>
    </w:p>
    <w:p>
      <w:pPr>
        <w:rPr>
          <w:noProof/>
        </w:rPr>
      </w:pPr>
      <w:r>
        <w:rPr>
          <w:noProof/>
        </w:rPr>
        <w:t xml:space="preserve"> </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24" w:name="_Toc514941982"/>
      <w:bookmarkStart w:id="25" w:name="_Toc520485209"/>
      <w:r>
        <w:t>2.</w:t>
      </w:r>
      <w:r>
        <w:tab/>
      </w:r>
      <w:r>
        <w:rPr>
          <w:noProof/>
        </w:rPr>
        <w:t>SPRÁVNÍ OPATŘENÍ</w:t>
      </w:r>
      <w:bookmarkEnd w:id="24"/>
      <w:bookmarkEnd w:id="25"/>
      <w:r>
        <w:rPr>
          <w:noProof/>
        </w:rPr>
        <w:t xml:space="preserve"> </w:t>
      </w:r>
    </w:p>
    <w:p>
      <w:pPr>
        <w:pStyle w:val="ManualHeading2"/>
        <w:rPr>
          <w:noProof/>
        </w:rPr>
      </w:pPr>
      <w:bookmarkStart w:id="26" w:name="_Toc514941983"/>
      <w:bookmarkStart w:id="27" w:name="_Toc520485210"/>
      <w:r>
        <w:t>2.1.</w:t>
      </w:r>
      <w:r>
        <w:tab/>
      </w:r>
      <w:r>
        <w:rPr>
          <w:noProof/>
        </w:rPr>
        <w:t>Pravidla pro sledování a podávání zpráv</w:t>
      </w:r>
      <w:bookmarkEnd w:id="26"/>
      <w:bookmarkEnd w:id="27"/>
      <w:r>
        <w:rPr>
          <w:noProof/>
        </w:rPr>
        <w:t xml:space="preserve"> </w:t>
      </w:r>
    </w:p>
    <w:p>
      <w:pPr>
        <w:pStyle w:val="Text1"/>
        <w:pBdr>
          <w:top w:val="single" w:sz="4" w:space="1" w:color="auto"/>
          <w:left w:val="single" w:sz="4" w:space="0" w:color="auto"/>
          <w:bottom w:val="single" w:sz="4" w:space="1" w:color="auto"/>
          <w:right w:val="single" w:sz="4" w:space="4" w:color="auto"/>
        </w:pBdr>
        <w:ind w:left="794"/>
        <w:rPr>
          <w:noProof/>
        </w:rPr>
      </w:pPr>
      <w:r>
        <w:rPr>
          <w:noProof/>
        </w:rPr>
        <w:t>V souladu s nařízením o programu Horizont Evropa přijme partnerství systém monitorování v souladu s požadavky uvedenými v článku 45, příloze III a příloze V nařízení o programu Horizont Evropa a bude vkládat údaje do stejné jediné databáze jako ostatní složky programu Horizont Evropa. Systém podávání zpráv a monitorování poskytne klíčové údaje o řízení a provádění (včetně mikrodat na úrovni jednotlivých subjektů) a umožní sledování pokroku v souladu s klíčovými způsoby dosahování dopadů (včetně pokroku při plnění priorit EU) a kritérii partnerství. Partnerství bude podávat zprávy o zvláštních ukazatelích (jež nejsou zahrnuty v klíčových způsobech dosahování dopadů), což umožní sledování pokroku dosaženého v krátkodobém, střednědobém a dlouhodobém horizontu na cestě k uskutečnění vize a splnění zvláštních a operačních cílů partnerství, stanovených v nařízení o založení tohoto partnerství, včetně cílů stanovených do roku 2030. Ukazatele, zdroje údajů a metodiky umožní průběžné hodnocení výsledků, pokroku při dosahování dopadů, včetně plnění politických cílů EU, a zjištění případné potřeby nápravných opatření. Mělo by zohlednit jak kvalitativní, tak kvantitativní údaje, stanovit odpovědnost za shromažďování údajů a stanovit konkrétní přístupy k určení realistického výchozího stavu, cílů a/nebo referenčních hodnot pro případné sledování pokroku, a to v souladu s přístupem programu Horizont Evropa zaměřeným na dopady. Veškeré shromážděné informace jsou předkládány téměř v reálném čase útvarům Komise na základě společných datových modelů a vkládány do jediné databáze, jak je uvedeno v článku 45 nařízení o programu Horizont Evropa. Za tímto účelem budou zavedeny vhodné systémy podávání zpráv, které podpoří soustavné a transparentní podávání zpráv, mimo jiné o přidělených a skutečně poskytnutých finančních a věcných příspěvcích, viditelnosti a postavení na mezinárodní úrovni, dopadu na výzkum a o riziku pro investice do soukromého sektoru spojeném s inovacemi. Podávání zpráv by mělo probíhat v souladu se standardními požadavky na zprávy v programu Horizont Evropa. Do vývoje systémů podávání zpráv v souvislosti se strategickým procesem koordinace budou zapojeny i členské státy a zástupci partnerství, aby byla zajištěna synchronizace a koordinace úsilí v oblasti podávání zpráv a monitorování, mimo jiné v oblasti rozdělení úkolů týkajících se shromažďování údajů a podávání zpráv. Systém podávání zpráv na úrovni projektu bude zahrnovat podrobné informace o financovaných projektech, jejich výsledcích, šíření a využívání v klíčových cílových skupinách a o jejich celkovém přínosu pro vědu, ekonomiku, společnost a/nebo životní prostředí v souladu s cíli projektu a požadovanými dopady. Toto by mělo být doplněno relevantními údaji o přidané hodnotě a dopadu partnerství na evropské, národní a regionální úrovni. Je třeba zajistit vhodný mechanismus pro sdílení údajů se společnými databázemi pro monitorování a podávání zpráv v rámci programu Horizont Evropa.</w:t>
      </w:r>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Komise do 31. prosince 2024 provede průběžné hodnocení iniciativy a do 30. června 2025 oznámí závěry tohoto hodnocení společně s vlastními připomínkami Evropskému parlamentu a Radě. Do šesti měsíců od ukončení iniciativy, ovšem nejpozději dva roky po přijetí rozhodnutí o jejím ukončení, Komise provede její závěrečné hodnocení. Výsledky závěrečného hodnocení se předloží Evropskému parlamentu a Radě. </w:t>
      </w:r>
    </w:p>
    <w:p>
      <w:pPr>
        <w:pStyle w:val="Text1"/>
        <w:pBdr>
          <w:top w:val="single" w:sz="4" w:space="1" w:color="auto"/>
          <w:left w:val="single" w:sz="4" w:space="4" w:color="auto"/>
          <w:bottom w:val="single" w:sz="4" w:space="1" w:color="auto"/>
          <w:right w:val="single" w:sz="4" w:space="4" w:color="auto"/>
        </w:pBdr>
        <w:rPr>
          <w:noProof/>
        </w:rPr>
      </w:pPr>
      <w:r>
        <w:rPr>
          <w:noProof/>
        </w:rPr>
        <w:t>Do 15. února každého roku předloží EURAMET Komisi ke schválení výroční zprávu o činnosti popisující pokrok, jehož partnerství v předcházejícím kalendářním roce dosáhlo, a to zejména ve vztahu k pracovnímu plánu pro daný rok. Zpráva bude obsahovat informace o provedeném výzkumu, inovacích a jiných akcích a příslušných výdajích; předložené návrhy včetně rozdělení podle typu účastníka a země; nepřímé akce vybrané k financování včetně rozdělení podle typu účastníka a země a s uvedením příspěvku Unie pro jednotlivé účastníky a akce.</w:t>
      </w:r>
    </w:p>
    <w:p>
      <w:pPr>
        <w:pStyle w:val="ManualHeading2"/>
        <w:rPr>
          <w:bCs/>
          <w:noProof/>
          <w:szCs w:val="24"/>
        </w:rPr>
      </w:pPr>
      <w:bookmarkStart w:id="28" w:name="_Toc514941984"/>
      <w:bookmarkStart w:id="29" w:name="_Toc520485211"/>
      <w:r>
        <w:t>2.2.</w:t>
      </w:r>
      <w:r>
        <w:tab/>
      </w:r>
      <w:r>
        <w:rPr>
          <w:noProof/>
        </w:rPr>
        <w:t>Systémy řízení a kontroly</w:t>
      </w:r>
      <w:bookmarkEnd w:id="28"/>
      <w:bookmarkEnd w:id="29"/>
      <w:r>
        <w:rPr>
          <w:noProof/>
        </w:rPr>
        <w:t xml:space="preserve"> </w:t>
      </w:r>
    </w:p>
    <w:p>
      <w:pPr>
        <w:pStyle w:val="ManualHeading3"/>
        <w:rPr>
          <w:noProof/>
        </w:rPr>
      </w:pPr>
      <w:bookmarkStart w:id="30" w:name="_Toc514941985"/>
      <w:bookmarkStart w:id="31" w:name="_Toc520485212"/>
      <w:r>
        <w:t>2.2.1.</w:t>
      </w:r>
      <w:r>
        <w:tab/>
      </w:r>
      <w:r>
        <w:rPr>
          <w:noProof/>
        </w:rPr>
        <w:t>Odůvodnění navrhovaných způsobů řízení, mechanismů provádění financování, způsobů plateb a kontrolní strategie</w:t>
      </w:r>
      <w:bookmarkEnd w:id="30"/>
      <w:bookmarkEnd w:id="31"/>
    </w:p>
    <w:p>
      <w:pPr>
        <w:pStyle w:val="Text1"/>
        <w:pBdr>
          <w:top w:val="single" w:sz="4" w:space="1" w:color="auto"/>
          <w:left w:val="single" w:sz="4" w:space="4" w:color="auto"/>
          <w:bottom w:val="single" w:sz="4" w:space="1" w:color="auto"/>
          <w:right w:val="single" w:sz="4" w:space="4" w:color="auto"/>
        </w:pBdr>
        <w:rPr>
          <w:noProof/>
        </w:rPr>
      </w:pPr>
    </w:p>
    <w:p>
      <w:pPr>
        <w:pStyle w:val="Text1"/>
        <w:pBdr>
          <w:top w:val="single" w:sz="4" w:space="1" w:color="auto"/>
          <w:left w:val="single" w:sz="4" w:space="4" w:color="auto"/>
          <w:bottom w:val="single" w:sz="4" w:space="1" w:color="auto"/>
          <w:right w:val="single" w:sz="4" w:space="4" w:color="auto"/>
        </w:pBdr>
        <w:rPr>
          <w:noProof/>
        </w:rPr>
      </w:pPr>
      <w:r>
        <w:rPr>
          <w:noProof/>
        </w:rPr>
        <w:t>Nepřímé řízení je opodstatněné, neboť Evropské partnerství v oblasti metrologie je partnerství v rámci veřejného sektoru, v němž je část financování poskytována formou věcných příspěvků od zúčastněných států.</w:t>
      </w:r>
    </w:p>
    <w:p>
      <w:pPr>
        <w:pStyle w:val="Text1"/>
        <w:pBdr>
          <w:top w:val="single" w:sz="4" w:space="1" w:color="auto"/>
          <w:left w:val="single" w:sz="4" w:space="4" w:color="auto"/>
          <w:bottom w:val="single" w:sz="4" w:space="1" w:color="auto"/>
          <w:right w:val="single" w:sz="4" w:space="4" w:color="auto"/>
        </w:pBdr>
        <w:rPr>
          <w:noProof/>
        </w:rPr>
      </w:pPr>
      <w:r>
        <w:rPr>
          <w:noProof/>
        </w:rPr>
        <w:t>Každý rok bude přijímáno rozhodnutí o příspěvku k Evropskému partnerství v oblasti metrologie na základě rozpočtu EU přijatého na daný rok.</w:t>
      </w:r>
    </w:p>
    <w:p>
      <w:pPr>
        <w:pStyle w:val="Text1"/>
        <w:pBdr>
          <w:top w:val="single" w:sz="4" w:space="1" w:color="auto"/>
          <w:left w:val="single" w:sz="4" w:space="4" w:color="auto"/>
          <w:bottom w:val="single" w:sz="4" w:space="1" w:color="auto"/>
          <w:right w:val="single" w:sz="4" w:space="4" w:color="auto"/>
        </w:pBdr>
        <w:rPr>
          <w:noProof/>
        </w:rPr>
      </w:pPr>
      <w:r>
        <w:rPr>
          <w:noProof/>
        </w:rPr>
        <w:t xml:space="preserve">V pověřovací dohodě, uzavřené mezi Evropskou komisí a organizací EURAMET, bude uvedeno, že Komise uhradí příspěvek na úkoly prováděné každý rok po uzavření dohody o převodu finančních prostředků s organizací EURAMET. Pověřovací dohodě bude předcházet posouzení organizace EURAMET </w:t>
      </w:r>
      <w:r>
        <w:rPr>
          <w:i/>
          <w:iCs/>
          <w:noProof/>
        </w:rPr>
        <w:t>ex ante</w:t>
      </w:r>
      <w:r>
        <w:rPr>
          <w:noProof/>
        </w:rPr>
        <w:t xml:space="preserve"> zaměřené na její rámec vnitřní kontroly a finanční řízení.</w:t>
      </w:r>
    </w:p>
    <w:p>
      <w:pPr>
        <w:pStyle w:val="Text1"/>
        <w:pBdr>
          <w:top w:val="single" w:sz="4" w:space="1" w:color="auto"/>
          <w:left w:val="single" w:sz="4" w:space="4" w:color="auto"/>
          <w:bottom w:val="single" w:sz="4" w:space="1" w:color="auto"/>
          <w:right w:val="single" w:sz="4" w:space="4" w:color="auto"/>
        </w:pBdr>
        <w:rPr>
          <w:noProof/>
        </w:rPr>
      </w:pPr>
      <w:r>
        <w:rPr>
          <w:noProof/>
        </w:rPr>
        <w:t>Komise zajistí, aby pravidla vztahující se na Evropské partnerství v oblasti metrologie byla zcela v souladu s požadavky finančního nařízení.</w:t>
      </w:r>
    </w:p>
    <w:p>
      <w:pPr>
        <w:pStyle w:val="Text1"/>
        <w:pBdr>
          <w:top w:val="single" w:sz="4" w:space="1" w:color="auto"/>
          <w:left w:val="single" w:sz="4" w:space="4" w:color="auto"/>
          <w:bottom w:val="single" w:sz="4" w:space="1" w:color="auto"/>
          <w:right w:val="single" w:sz="4" w:space="4" w:color="auto"/>
        </w:pBdr>
        <w:rPr>
          <w:noProof/>
        </w:rPr>
      </w:pPr>
      <w:r>
        <w:rPr>
          <w:noProof/>
        </w:rPr>
        <w:t>Opaření v oblasti sledování, mimo jiné dohled Unie nad správou a řízením partnerství, a v oblasti podávání zpráv zajistí, aby útvary Komise mohly dostát požadavkům na odpovědnost vůči kolegiu i vůči rozpočtovému orgánu.</w:t>
      </w:r>
    </w:p>
    <w:p>
      <w:pPr>
        <w:pStyle w:val="Text1"/>
        <w:pBdr>
          <w:top w:val="single" w:sz="4" w:space="1" w:color="auto"/>
          <w:left w:val="single" w:sz="4" w:space="4" w:color="auto"/>
          <w:bottom w:val="single" w:sz="4" w:space="1" w:color="auto"/>
          <w:right w:val="single" w:sz="4" w:space="4" w:color="auto"/>
        </w:pBdr>
        <w:rPr>
          <w:noProof/>
        </w:rPr>
      </w:pPr>
      <w:r>
        <w:rPr>
          <w:noProof/>
        </w:rPr>
        <w:t>Rámec vnitřní kontroly organizace EURAMET pro účely provádění Evropského partnerství v oblasti metrologie je založen na:</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uplatňování standardů vnitřní kontroly, které poskytují záruky přinejmenším srovnatelné se standardy uplatňovanými Komisí,</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postupech výběru nejlepších projektů prostřednictvím nezávislého hodnocení a jejich promítnutí do právních nástrojů,</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řízení projektů a zakázek po celou dobu existence každého projektu,</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 xml:space="preserve">kontrolách </w:t>
      </w:r>
      <w:r>
        <w:rPr>
          <w:i/>
          <w:iCs/>
          <w:noProof/>
        </w:rPr>
        <w:t>ex ante</w:t>
      </w:r>
      <w:r>
        <w:rPr>
          <w:noProof/>
        </w:rPr>
        <w:t xml:space="preserve"> u 100 % žádostí, včetně přijímání auditních osvědčení a certifikace metodik nákladů </w:t>
      </w:r>
      <w:r>
        <w:rPr>
          <w:i/>
          <w:iCs/>
          <w:noProof/>
        </w:rPr>
        <w:t>ex ante</w:t>
      </w:r>
      <w:r>
        <w:rPr>
          <w:noProof/>
        </w:rPr>
        <w:t>;</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následných auditech vzorku žádostí v rámci následných auditů programu Horizont Evropa,</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vědeckém hodnocení výsledků projektů.</w:t>
      </w:r>
    </w:p>
    <w:p>
      <w:pPr>
        <w:pStyle w:val="ManualHeading3"/>
        <w:rPr>
          <w:noProof/>
        </w:rPr>
      </w:pPr>
      <w:bookmarkStart w:id="32" w:name="_Toc514941986"/>
      <w:bookmarkStart w:id="33" w:name="_Toc520485213"/>
      <w:r>
        <w:t>2.2.2.</w:t>
      </w:r>
      <w:r>
        <w:tab/>
      </w:r>
      <w:r>
        <w:rPr>
          <w:noProof/>
        </w:rPr>
        <w:t>Informace o zjištěných rizicích a systémech vnitřní kontroly zřízených k jejich zmírnění</w:t>
      </w:r>
      <w:bookmarkEnd w:id="32"/>
      <w:bookmarkEnd w:id="33"/>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Schopnost specializované prováděcí struktury EURAMET spravovat rozpočet Unie a chránit finanční zájmy EU.</w:t>
      </w:r>
    </w:p>
    <w:p>
      <w:pPr>
        <w:pStyle w:val="Text1"/>
        <w:pBdr>
          <w:top w:val="single" w:sz="4" w:space="1" w:color="auto"/>
          <w:left w:val="single" w:sz="4" w:space="4" w:color="auto"/>
          <w:bottom w:val="single" w:sz="4" w:space="1" w:color="auto"/>
          <w:right w:val="single" w:sz="4" w:space="4" w:color="auto"/>
        </w:pBdr>
        <w:rPr>
          <w:noProof/>
        </w:rPr>
      </w:pPr>
      <w:r>
        <w:rPr>
          <w:noProof/>
        </w:rPr>
        <w:t>Kontrolní postup bude v souladu s požadavky stanovenými ve finančních předpisech EU, a zejména si Komise ponechává právo ukončit, snížit nebo pozastavit poskytování svého příspěvku, pokud by provádění bylo nepřípustné nebo nevhodné.</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Schopnost zúčastněných států financovat své příspěvky pro program.</w:t>
      </w:r>
    </w:p>
    <w:p>
      <w:pPr>
        <w:pStyle w:val="Text1"/>
        <w:pBdr>
          <w:top w:val="single" w:sz="4" w:space="1" w:color="auto"/>
          <w:left w:val="single" w:sz="4" w:space="4" w:color="auto"/>
          <w:bottom w:val="single" w:sz="4" w:space="1" w:color="auto"/>
          <w:right w:val="single" w:sz="4" w:space="4" w:color="auto"/>
        </w:pBdr>
        <w:rPr>
          <w:noProof/>
        </w:rPr>
      </w:pPr>
      <w:r>
        <w:rPr>
          <w:noProof/>
        </w:rPr>
        <w:t>Finanční prostředky EU mohou být uvolněny až po doložení vnitrostátních finančních závazků, a to jak na úrovni jednoletých dohod o financování, tak na úrovni plateb pro vnitrostátní účastníky projektů. Další zárukou je skutečnost, že financování EU nemůže přesáhnout 50 % celkového financování z veřejných zdrojů, které bylo poskytnuto na program, a z finančních prostředků EU nelze hradit správní výdaje.</w:t>
      </w:r>
    </w:p>
    <w:p>
      <w:pPr>
        <w:pStyle w:val="ManualHeading3"/>
        <w:rPr>
          <w:noProof/>
        </w:rPr>
      </w:pPr>
      <w:bookmarkStart w:id="34" w:name="_Toc514941987"/>
      <w:bookmarkStart w:id="35" w:name="_Toc520485214"/>
      <w:r>
        <w:t>2.2.3.</w:t>
      </w:r>
      <w:r>
        <w:tab/>
      </w:r>
      <w:r>
        <w:rPr>
          <w:noProof/>
        </w:rPr>
        <w:t>Odhad a odůvodnění nákladové efektivnosti kontrol (poměr „náklady na kontroly ÷ hodnota souvisejících spravovaných finančních prostředků“) a posouzení očekávané míry rizika výskytu chyb (při platbě a při uzávěrce)</w:t>
      </w:r>
      <w:bookmarkEnd w:id="34"/>
      <w:bookmarkEnd w:id="3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Vzhledem k tomu, že pravidla pro účast na programu Horizont Evropa vztahující se na partnerství v oblasti metrologie jsou srovnatelná s pravidly, která Komise použije ve svém pracovním programu, a že soubor příjemců má podobný rizikový profil jako v případě Komise, lze očekávat, že chybové rozpětí bude obdobné jako to, které Komise očekává u programu Horizont Evropa, tj. poskytne přiměřenou jistotu, že se riziko chyb bude v průběhu víceletého výdajového období každoročně pohybovat v rozmezí 2–5 %, přičemž konečným cílem je dosáhnout při uzavírání víceletých programů po zohlednění finančního dopadu všech auditů, nápravných opatření a zpětného získání míry zbytkových chyb, která se bude co nejvíce blížit 2 %.</w:t>
      </w:r>
    </w:p>
    <w:p>
      <w:pPr>
        <w:pStyle w:val="Text1"/>
        <w:pBdr>
          <w:top w:val="single" w:sz="4" w:space="1" w:color="auto"/>
          <w:left w:val="single" w:sz="4" w:space="4" w:color="auto"/>
          <w:bottom w:val="single" w:sz="4" w:space="1" w:color="auto"/>
          <w:right w:val="single" w:sz="4" w:space="4" w:color="auto"/>
        </w:pBdr>
        <w:rPr>
          <w:noProof/>
        </w:rPr>
      </w:pPr>
      <w:r>
        <w:rPr>
          <w:noProof/>
        </w:rPr>
        <w:t>Podrobný popis očekávané míry chyb, pokud jde o účastníky, je uveden v legislativním finančním výkazu pro program Horizont Evropa.</w:t>
      </w:r>
    </w:p>
    <w:p>
      <w:pPr>
        <w:pStyle w:val="ManualHeading2"/>
        <w:rPr>
          <w:bCs/>
          <w:noProof/>
          <w:szCs w:val="24"/>
        </w:rPr>
      </w:pPr>
      <w:bookmarkStart w:id="36" w:name="_Toc514941988"/>
      <w:bookmarkStart w:id="37" w:name="_Toc520485215"/>
      <w:r>
        <w:t>2.3.</w:t>
      </w:r>
      <w:r>
        <w:tab/>
      </w:r>
      <w:r>
        <w:rPr>
          <w:noProof/>
        </w:rPr>
        <w:t>Opatření k zamezení podvodů a nesrovnalostí</w:t>
      </w:r>
      <w:bookmarkEnd w:id="36"/>
      <w:bookmarkEnd w:id="37"/>
      <w:r>
        <w:rPr>
          <w:noProof/>
        </w:rPr>
        <w:t xml:space="preserve"> </w:t>
      </w:r>
    </w:p>
    <w:p>
      <w:pPr>
        <w:pStyle w:val="Text1"/>
        <w:rPr>
          <w:i/>
          <w:noProof/>
          <w:sz w:val="20"/>
        </w:rPr>
      </w:pPr>
      <w:r>
        <w:rPr>
          <w:i/>
          <w:noProof/>
          <w:sz w:val="20"/>
        </w:rPr>
        <w:t>Upřesněte stávající či předpokládaná preventivní a ochranná opatření, např. opatření uvedená ve strategii pro boj proti podvodům.</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Komise zajistí, aby v rámci Evropského partnerství v oblasti metrologie byly ve všech fázích procesu řízení uplatňovány postupy pro boj proti podvodům. </w:t>
      </w:r>
    </w:p>
    <w:p>
      <w:pPr>
        <w:pStyle w:val="Text1"/>
        <w:pBdr>
          <w:top w:val="single" w:sz="4" w:space="1" w:color="auto"/>
          <w:left w:val="single" w:sz="4" w:space="4" w:color="auto"/>
          <w:bottom w:val="single" w:sz="4" w:space="1" w:color="auto"/>
          <w:right w:val="single" w:sz="4" w:space="4" w:color="auto"/>
        </w:pBdr>
        <w:rPr>
          <w:noProof/>
        </w:rPr>
      </w:pPr>
      <w:r>
        <w:rPr>
          <w:noProof/>
        </w:rPr>
        <w:t>U návrhů programu Horizont Evropa bylo provedeno zabezpečení proti podvodům a posouzení dopadu těchto návrhů. Celkově by navrhovaná opatření, zejména větší důraz na audity založené na analýze rizik a posílené vědecké hodnocení a kontrolu, měla mít na boj proti podvodům pozitivní dopad.</w:t>
      </w:r>
    </w:p>
    <w:p>
      <w:pPr>
        <w:pStyle w:val="Text1"/>
        <w:pBdr>
          <w:top w:val="single" w:sz="4" w:space="1" w:color="auto"/>
          <w:left w:val="single" w:sz="4" w:space="4" w:color="auto"/>
          <w:bottom w:val="single" w:sz="4" w:space="1" w:color="auto"/>
          <w:right w:val="single" w:sz="4" w:space="4" w:color="auto"/>
        </w:pBdr>
        <w:rPr>
          <w:noProof/>
        </w:rPr>
      </w:pPr>
      <w:r>
        <w:rPr>
          <w:noProof/>
        </w:rPr>
        <w:t>Komise přijme vhodná opatření k zajištění toho, aby byly při provádění akcí financovaných podle tohoto nařízení finanční zájmy Unie chráněny prevencí podvodů, korupce a jiného protiprávního jednání, účinnými kontrolami, a jsou-li zjištěny nesrovnalosti, zpětným získáním neoprávněně vyplacených částek a případně účinnými, přiměřenými a odrazujícími sankcemi.</w:t>
      </w:r>
    </w:p>
    <w:p>
      <w:pPr>
        <w:pStyle w:val="Text1"/>
        <w:pBdr>
          <w:top w:val="single" w:sz="4" w:space="1" w:color="auto"/>
          <w:left w:val="single" w:sz="4" w:space="4" w:color="auto"/>
          <w:bottom w:val="single" w:sz="4" w:space="1" w:color="auto"/>
          <w:right w:val="single" w:sz="4" w:space="4" w:color="auto"/>
        </w:pBdr>
        <w:rPr>
          <w:noProof/>
        </w:rPr>
      </w:pPr>
      <w:r>
        <w:rPr>
          <w:noProof/>
        </w:rPr>
        <w:t xml:space="preserve">Při provádění stávající iniciativy EMPIR podle článku 185 již EURAMET v záležitostech týkajících se podvodů a nesrovnalostí spolupracuje s útvary Komise. Komise zajistí, aby tato spolupráce pokračovala a byla posílena. </w:t>
      </w:r>
    </w:p>
    <w:p>
      <w:pPr>
        <w:pStyle w:val="Text1"/>
        <w:pBdr>
          <w:top w:val="single" w:sz="4" w:space="1" w:color="auto"/>
          <w:left w:val="single" w:sz="4" w:space="4" w:color="auto"/>
          <w:bottom w:val="single" w:sz="4" w:space="1" w:color="auto"/>
          <w:right w:val="single" w:sz="4" w:space="4" w:color="auto"/>
        </w:pBdr>
        <w:rPr>
          <w:noProof/>
        </w:rPr>
      </w:pPr>
      <w:r>
        <w:rPr>
          <w:noProof/>
        </w:rPr>
        <w:t>Účetní dvůr má pravomoc provádět na základě kontroly dokumentů a inspekcí na místě audit u všech příjemců grantů, dodavatelů a subdodavatelů, kteří v rámci programu obdrželi finanční prostředky Unie.</w:t>
      </w:r>
    </w:p>
    <w:p>
      <w:pPr>
        <w:pStyle w:val="Text1"/>
        <w:pBdr>
          <w:top w:val="single" w:sz="4" w:space="1" w:color="auto"/>
          <w:left w:val="single" w:sz="4" w:space="4" w:color="auto"/>
          <w:bottom w:val="single" w:sz="4" w:space="1" w:color="auto"/>
          <w:right w:val="single" w:sz="4" w:space="4" w:color="auto"/>
        </w:pBdr>
        <w:rPr>
          <w:noProof/>
        </w:rPr>
      </w:pPr>
      <w:r>
        <w:rPr>
          <w:noProof/>
        </w:rPr>
        <w:t>Evropský úřad pro boj proti podvodům (OLAF) může provádět kontroly a inspekce na místě u hospodářských subjektů, jichž se toto financování přímo nebo nepřímo týká, v souladu s postupy stanovenými v nařízení (Euratom, ES) č. 2185/96 s cílem zjistit, zda v souvislosti s grantovou dohodou, rozhodnutím o grantu nebo smlouvou o financování Unií nedošlo k podvodu, korupci nebo jinému protiprávnímu jednání ohrožujícímu finanční zájmy Unie.</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38" w:name="_Toc514941989"/>
      <w:bookmarkStart w:id="39" w:name="_Toc520485216"/>
      <w:r>
        <w:t>3.</w:t>
      </w:r>
      <w:r>
        <w:tab/>
      </w:r>
      <w:r>
        <w:rPr>
          <w:noProof/>
        </w:rPr>
        <w:t>ODHADOVANÝ FINANČNÍ DOPAD NÁVRHU/PODNĚTU</w:t>
      </w:r>
      <w:bookmarkEnd w:id="38"/>
      <w:bookmarkEnd w:id="39"/>
      <w:r>
        <w:rPr>
          <w:noProof/>
        </w:rPr>
        <w:t xml:space="preserve"> </w:t>
      </w:r>
    </w:p>
    <w:p>
      <w:pPr>
        <w:pStyle w:val="ManualHeading2"/>
        <w:rPr>
          <w:noProof/>
        </w:rPr>
      </w:pPr>
      <w:bookmarkStart w:id="40" w:name="_Toc514941990"/>
      <w:bookmarkStart w:id="41" w:name="_Toc520485217"/>
      <w:r>
        <w:t>3.1.</w:t>
      </w:r>
      <w:r>
        <w:tab/>
      </w:r>
      <w:r>
        <w:rPr>
          <w:noProof/>
        </w:rPr>
        <w:t>Okruh víceletého finančního rámce a nově navržené výdajové rozpočtové položky</w:t>
      </w:r>
      <w:bookmarkEnd w:id="40"/>
      <w:bookmarkEnd w:id="41"/>
      <w:r>
        <w:rPr>
          <w:noProof/>
        </w:rPr>
        <w:t xml:space="preserve"> </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1044"/>
        <w:gridCol w:w="1134"/>
        <w:gridCol w:w="814"/>
        <w:gridCol w:w="1448"/>
      </w:tblGrid>
      <w:tr>
        <w:tc>
          <w:tcPr>
            <w:tcW w:w="1080" w:type="dxa"/>
            <w:vMerge w:val="restart"/>
            <w:vAlign w:val="center"/>
          </w:tcPr>
          <w:p>
            <w:pPr>
              <w:spacing w:before="60" w:after="60"/>
              <w:jc w:val="center"/>
              <w:rPr>
                <w:noProof/>
              </w:rPr>
            </w:pPr>
            <w:r>
              <w:rPr>
                <w:noProof/>
                <w:sz w:val="18"/>
              </w:rPr>
              <w:t>Okruh víceletého finančního rámce</w:t>
            </w:r>
          </w:p>
        </w:tc>
        <w:tc>
          <w:tcPr>
            <w:tcW w:w="3960" w:type="dxa"/>
            <w:vAlign w:val="center"/>
          </w:tcPr>
          <w:p>
            <w:pPr>
              <w:spacing w:before="60" w:after="60"/>
              <w:jc w:val="center"/>
              <w:rPr>
                <w:noProof/>
              </w:rPr>
            </w:pPr>
            <w:r>
              <w:rPr>
                <w:noProof/>
                <w:sz w:val="20"/>
              </w:rPr>
              <w:t>Rozpočtová položka</w:t>
            </w:r>
          </w:p>
        </w:tc>
        <w:tc>
          <w:tcPr>
            <w:tcW w:w="1080" w:type="dxa"/>
            <w:vAlign w:val="center"/>
          </w:tcPr>
          <w:p>
            <w:pPr>
              <w:spacing w:before="60" w:after="60"/>
              <w:jc w:val="center"/>
              <w:rPr>
                <w:noProof/>
              </w:rPr>
            </w:pPr>
            <w:r>
              <w:rPr>
                <w:noProof/>
                <w:sz w:val="18"/>
              </w:rPr>
              <w:t xml:space="preserve">Type of </w:t>
            </w:r>
            <w:r>
              <w:rPr>
                <w:noProof/>
                <w:sz w:val="22"/>
              </w:rPr>
              <w:br/>
              <w:t xml:space="preserve">Druh </w:t>
            </w:r>
            <w:r>
              <w:rPr>
                <w:noProof/>
                <w:sz w:val="18"/>
              </w:rPr>
              <w:t>výdaje</w:t>
            </w:r>
          </w:p>
        </w:tc>
        <w:tc>
          <w:tcPr>
            <w:tcW w:w="4440" w:type="dxa"/>
            <w:gridSpan w:val="4"/>
            <w:vAlign w:val="center"/>
          </w:tcPr>
          <w:p>
            <w:pPr>
              <w:spacing w:before="60" w:after="60"/>
              <w:jc w:val="center"/>
              <w:rPr>
                <w:noProof/>
              </w:rPr>
            </w:pPr>
            <w:r>
              <w:rPr>
                <w:noProof/>
                <w:sz w:val="20"/>
              </w:rPr>
              <w:t xml:space="preserve">Příspěvek </w:t>
            </w:r>
          </w:p>
        </w:tc>
      </w:tr>
      <w:tr>
        <w:tc>
          <w:tcPr>
            <w:tcW w:w="1080" w:type="dxa"/>
            <w:vMerge/>
            <w:vAlign w:val="center"/>
          </w:tcPr>
          <w:p>
            <w:pPr>
              <w:jc w:val="center"/>
              <w:rPr>
                <w:noProof/>
              </w:rPr>
            </w:pPr>
          </w:p>
        </w:tc>
        <w:tc>
          <w:tcPr>
            <w:tcW w:w="3960" w:type="dxa"/>
            <w:vAlign w:val="center"/>
          </w:tcPr>
          <w:p>
            <w:pPr>
              <w:rPr>
                <w:b/>
                <w:noProof/>
                <w:sz w:val="20"/>
              </w:rPr>
            </w:pPr>
            <w:r>
              <w:rPr>
                <w:b/>
                <w:noProof/>
                <w:sz w:val="20"/>
              </w:rPr>
              <w:t>Okruh 1</w:t>
            </w:r>
          </w:p>
          <w:p>
            <w:pPr>
              <w:rPr>
                <w:b/>
                <w:noProof/>
              </w:rPr>
            </w:pPr>
            <w:r>
              <w:rPr>
                <w:b/>
                <w:noProof/>
                <w:sz w:val="20"/>
              </w:rPr>
              <w:t>Jednotný trh, inovace a digitální agenda – Horizont Evropa</w:t>
            </w:r>
          </w:p>
        </w:tc>
        <w:tc>
          <w:tcPr>
            <w:tcW w:w="1080" w:type="dxa"/>
            <w:vAlign w:val="center"/>
          </w:tcPr>
          <w:p>
            <w:pPr>
              <w:jc w:val="center"/>
              <w:rPr>
                <w:noProof/>
              </w:rPr>
            </w:pPr>
            <w:r>
              <w:rPr>
                <w:noProof/>
                <w:sz w:val="18"/>
              </w:rPr>
              <w:t>RP/NRP</w:t>
            </w:r>
            <w:r>
              <w:rPr>
                <w:rStyle w:val="FootnoteReference"/>
                <w:noProof/>
                <w:sz w:val="18"/>
              </w:rPr>
              <w:footnoteReference w:id="22"/>
            </w:r>
          </w:p>
        </w:tc>
        <w:tc>
          <w:tcPr>
            <w:tcW w:w="1044" w:type="dxa"/>
            <w:vAlign w:val="center"/>
          </w:tcPr>
          <w:p>
            <w:pPr>
              <w:jc w:val="center"/>
              <w:rPr>
                <w:noProof/>
              </w:rPr>
            </w:pPr>
            <w:r>
              <w:rPr>
                <w:noProof/>
                <w:sz w:val="18"/>
              </w:rPr>
              <w:t>zemí ESVO</w:t>
            </w:r>
            <w:r>
              <w:rPr>
                <w:rStyle w:val="FootnoteReference"/>
                <w:noProof/>
                <w:sz w:val="18"/>
              </w:rPr>
              <w:footnoteReference w:id="23"/>
            </w:r>
          </w:p>
          <w:p>
            <w:pPr>
              <w:spacing w:before="0" w:after="0"/>
              <w:jc w:val="center"/>
              <w:rPr>
                <w:b/>
                <w:noProof/>
                <w:sz w:val="18"/>
              </w:rPr>
            </w:pPr>
          </w:p>
        </w:tc>
        <w:tc>
          <w:tcPr>
            <w:tcW w:w="1134" w:type="dxa"/>
            <w:vAlign w:val="center"/>
          </w:tcPr>
          <w:p>
            <w:pPr>
              <w:jc w:val="center"/>
              <w:rPr>
                <w:noProof/>
              </w:rPr>
            </w:pPr>
            <w:r>
              <w:rPr>
                <w:noProof/>
                <w:sz w:val="18"/>
              </w:rPr>
              <w:t>kandidátských zemí</w:t>
            </w:r>
            <w:r>
              <w:rPr>
                <w:rStyle w:val="FootnoteReference"/>
                <w:noProof/>
                <w:sz w:val="18"/>
              </w:rPr>
              <w:footnoteReference w:id="24"/>
            </w:r>
          </w:p>
          <w:p>
            <w:pPr>
              <w:spacing w:before="0" w:after="0"/>
              <w:jc w:val="center"/>
              <w:rPr>
                <w:noProof/>
                <w:sz w:val="18"/>
              </w:rPr>
            </w:pPr>
          </w:p>
        </w:tc>
        <w:tc>
          <w:tcPr>
            <w:tcW w:w="814" w:type="dxa"/>
            <w:vAlign w:val="center"/>
          </w:tcPr>
          <w:p>
            <w:pPr>
              <w:jc w:val="center"/>
              <w:rPr>
                <w:noProof/>
                <w:sz w:val="18"/>
              </w:rPr>
            </w:pPr>
            <w:r>
              <w:rPr>
                <w:noProof/>
                <w:sz w:val="18"/>
              </w:rPr>
              <w:t>třetích zemí</w:t>
            </w:r>
          </w:p>
        </w:tc>
        <w:tc>
          <w:tcPr>
            <w:tcW w:w="1448" w:type="dxa"/>
            <w:vAlign w:val="center"/>
          </w:tcPr>
          <w:p>
            <w:pPr>
              <w:jc w:val="center"/>
              <w:rPr>
                <w:noProof/>
              </w:rPr>
            </w:pPr>
            <w:r>
              <w:rPr>
                <w:noProof/>
                <w:sz w:val="16"/>
              </w:rPr>
              <w:t xml:space="preserve">ve smyslu čl. 21 odst. 2 písm. b) finančního nařízení </w:t>
            </w:r>
          </w:p>
        </w:tc>
      </w:tr>
      <w:tr>
        <w:tc>
          <w:tcPr>
            <w:tcW w:w="1080" w:type="dxa"/>
            <w:vAlign w:val="center"/>
          </w:tcPr>
          <w:p>
            <w:pPr>
              <w:jc w:val="center"/>
              <w:rPr>
                <w:noProof/>
              </w:rPr>
            </w:pPr>
            <w:r>
              <w:rPr>
                <w:noProof/>
              </w:rPr>
              <w:t>1</w:t>
            </w:r>
          </w:p>
        </w:tc>
        <w:tc>
          <w:tcPr>
            <w:tcW w:w="3960" w:type="dxa"/>
            <w:vAlign w:val="center"/>
          </w:tcPr>
          <w:p>
            <w:pPr>
              <w:spacing w:before="60"/>
              <w:rPr>
                <w:noProof/>
              </w:rPr>
            </w:pPr>
            <w:r>
              <w:rPr>
                <w:noProof/>
              </w:rPr>
              <w:t>01 02 02 40 – Klastr Digitální oblast, průmysl a vesmír</w:t>
            </w:r>
          </w:p>
          <w:p>
            <w:pPr>
              <w:spacing w:after="60"/>
              <w:rPr>
                <w:noProof/>
              </w:rPr>
            </w:pPr>
          </w:p>
        </w:tc>
        <w:tc>
          <w:tcPr>
            <w:tcW w:w="1080" w:type="dxa"/>
            <w:vAlign w:val="center"/>
          </w:tcPr>
          <w:p>
            <w:pPr>
              <w:jc w:val="center"/>
              <w:rPr>
                <w:noProof/>
              </w:rPr>
            </w:pPr>
            <w:r>
              <w:rPr>
                <w:noProof/>
                <w:sz w:val="22"/>
              </w:rPr>
              <w:t>RP</w:t>
            </w:r>
          </w:p>
        </w:tc>
        <w:tc>
          <w:tcPr>
            <w:tcW w:w="1044" w:type="dxa"/>
            <w:vAlign w:val="center"/>
          </w:tcPr>
          <w:p>
            <w:pPr>
              <w:jc w:val="center"/>
              <w:rPr>
                <w:noProof/>
              </w:rPr>
            </w:pPr>
            <w:r>
              <w:rPr>
                <w:noProof/>
                <w:sz w:val="22"/>
              </w:rPr>
              <w:t>ANO</w:t>
            </w:r>
          </w:p>
        </w:tc>
        <w:tc>
          <w:tcPr>
            <w:tcW w:w="1134" w:type="dxa"/>
            <w:vAlign w:val="center"/>
          </w:tcPr>
          <w:p>
            <w:pPr>
              <w:jc w:val="center"/>
              <w:rPr>
                <w:noProof/>
              </w:rPr>
            </w:pPr>
            <w:r>
              <w:rPr>
                <w:noProof/>
                <w:sz w:val="22"/>
              </w:rPr>
              <w:t>ANO</w:t>
            </w:r>
          </w:p>
        </w:tc>
        <w:tc>
          <w:tcPr>
            <w:tcW w:w="814" w:type="dxa"/>
            <w:vAlign w:val="center"/>
          </w:tcPr>
          <w:p>
            <w:pPr>
              <w:jc w:val="center"/>
              <w:rPr>
                <w:noProof/>
              </w:rPr>
            </w:pPr>
            <w:r>
              <w:rPr>
                <w:noProof/>
                <w:sz w:val="22"/>
              </w:rPr>
              <w:t>ANO</w:t>
            </w:r>
          </w:p>
        </w:tc>
        <w:tc>
          <w:tcPr>
            <w:tcW w:w="1448" w:type="dxa"/>
            <w:vAlign w:val="center"/>
          </w:tcPr>
          <w:p>
            <w:pPr>
              <w:jc w:val="center"/>
              <w:rPr>
                <w:noProof/>
              </w:rPr>
            </w:pPr>
            <w:r>
              <w:rPr>
                <w:noProof/>
                <w:sz w:val="22"/>
              </w:rPr>
              <w:t>ANO</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42" w:name="_Toc514941991"/>
      <w:bookmarkStart w:id="43" w:name="_Toc520485218"/>
      <w:r>
        <w:t>3.2.</w:t>
      </w:r>
      <w:r>
        <w:tab/>
      </w:r>
      <w:r>
        <w:rPr>
          <w:noProof/>
        </w:rPr>
        <w:t>Odhadovaný dopad na výdaje</w:t>
      </w:r>
      <w:bookmarkEnd w:id="42"/>
      <w:bookmarkEnd w:id="43"/>
      <w:r>
        <w:rPr>
          <w:noProof/>
        </w:rPr>
        <w:t xml:space="preserve"> </w:t>
      </w:r>
    </w:p>
    <w:p>
      <w:pPr>
        <w:pStyle w:val="ManualHeading3"/>
        <w:rPr>
          <w:noProof/>
          <w:u w:val="single"/>
        </w:rPr>
      </w:pPr>
      <w:bookmarkStart w:id="44" w:name="_Toc514941992"/>
      <w:bookmarkStart w:id="45" w:name="_Toc520485219"/>
      <w:r>
        <w:t>3.2.1.</w:t>
      </w:r>
      <w:r>
        <w:tab/>
      </w:r>
      <w:r>
        <w:rPr>
          <w:noProof/>
        </w:rPr>
        <w:t>Odhadovaný souhrnný dopad na výdaje</w:t>
      </w:r>
      <w:bookmarkEnd w:id="44"/>
      <w:bookmarkEnd w:id="45"/>
      <w:r>
        <w:rPr>
          <w:noProof/>
        </w:rPr>
        <w:t xml:space="preserve"> </w:t>
      </w:r>
    </w:p>
    <w:p>
      <w:pPr>
        <w:jc w:val="right"/>
        <w:rPr>
          <w:noProof/>
          <w:sz w:val="20"/>
        </w:rPr>
      </w:pPr>
      <w:r>
        <w:rPr>
          <w:noProof/>
          <w:sz w:val="20"/>
        </w:rPr>
        <w:t>v milionech EUR (zaokrouhleno na tři desetinná místa)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 xml:space="preserve">Okruh víceletého finančního </w:t>
            </w:r>
            <w:r>
              <w:rPr>
                <w:noProof/>
                <w:sz w:val="22"/>
              </w:rPr>
              <w:br/>
            </w:r>
            <w:r>
              <w:rPr>
                <w:b/>
                <w:noProof/>
                <w:sz w:val="22"/>
              </w:rPr>
              <w:t xml:space="preserve">rámce </w:t>
            </w:r>
          </w:p>
        </w:tc>
        <w:tc>
          <w:tcPr>
            <w:tcW w:w="1080" w:type="dxa"/>
            <w:vAlign w:val="center"/>
          </w:tcPr>
          <w:p>
            <w:pPr>
              <w:spacing w:before="60" w:after="60"/>
              <w:jc w:val="center"/>
              <w:rPr>
                <w:noProof/>
              </w:rPr>
            </w:pPr>
            <w:r>
              <w:rPr>
                <w:b/>
                <w:noProof/>
                <w:sz w:val="22"/>
              </w:rPr>
              <w:t>1</w:t>
            </w:r>
          </w:p>
        </w:tc>
        <w:tc>
          <w:tcPr>
            <w:tcW w:w="7817" w:type="dxa"/>
            <w:vAlign w:val="center"/>
          </w:tcPr>
          <w:p>
            <w:pPr>
              <w:spacing w:before="60" w:after="60"/>
              <w:rPr>
                <w:noProof/>
              </w:rPr>
            </w:pPr>
            <w:r>
              <w:rPr>
                <w:noProof/>
              </w:rPr>
              <w:t>Okruh Jednotný trh, inovace, digitální oblast</w:t>
            </w:r>
          </w:p>
          <w:p>
            <w:pPr>
              <w:spacing w:before="60" w:after="60"/>
              <w:rPr>
                <w:noProof/>
              </w:rPr>
            </w:pPr>
            <w:r>
              <w:rPr>
                <w:noProof/>
              </w:rPr>
              <w:t>Horizont Evropa</w:t>
            </w:r>
          </w:p>
        </w:tc>
      </w:tr>
    </w:tbl>
    <w:p>
      <w:pPr>
        <w:rPr>
          <w:noProof/>
          <w:sz w:val="16"/>
        </w:rPr>
      </w:pPr>
    </w:p>
    <w:tbl>
      <w:tblPr>
        <w:tblW w:w="1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1440"/>
        <w:gridCol w:w="654"/>
        <w:gridCol w:w="868"/>
        <w:gridCol w:w="868"/>
        <w:gridCol w:w="868"/>
        <w:gridCol w:w="868"/>
        <w:gridCol w:w="868"/>
        <w:gridCol w:w="868"/>
        <w:gridCol w:w="868"/>
        <w:gridCol w:w="909"/>
        <w:gridCol w:w="1289"/>
      </w:tblGrid>
      <w:tr>
        <w:trPr>
          <w:jc w:val="center"/>
        </w:trPr>
        <w:tc>
          <w:tcPr>
            <w:tcW w:w="6197" w:type="dxa"/>
            <w:gridSpan w:val="3"/>
            <w:tcBorders>
              <w:top w:val="nil"/>
              <w:left w:val="nil"/>
              <w:bottom w:val="nil"/>
              <w:right w:val="single" w:sz="4" w:space="0" w:color="auto"/>
            </w:tcBorders>
            <w:vAlign w:val="center"/>
          </w:tcPr>
          <w:p>
            <w:pPr>
              <w:jc w:val="center"/>
              <w:rPr>
                <w:b/>
                <w:noProof/>
                <w:sz w:val="20"/>
              </w:rPr>
            </w:pPr>
          </w:p>
        </w:tc>
        <w:tc>
          <w:tcPr>
            <w:tcW w:w="868" w:type="dxa"/>
            <w:tcBorders>
              <w:left w:val="single" w:sz="4" w:space="0" w:color="auto"/>
            </w:tcBorders>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909" w:type="dxa"/>
          </w:tcPr>
          <w:p>
            <w:pPr>
              <w:jc w:val="center"/>
              <w:rPr>
                <w:b/>
                <w:i/>
                <w:noProof/>
                <w:sz w:val="20"/>
              </w:rPr>
            </w:pPr>
            <w:r>
              <w:rPr>
                <w:b/>
                <w:i/>
                <w:noProof/>
                <w:sz w:val="20"/>
              </w:rPr>
              <w:t>Po roce 2027</w:t>
            </w:r>
          </w:p>
        </w:tc>
        <w:tc>
          <w:tcPr>
            <w:tcW w:w="1289" w:type="dxa"/>
            <w:vAlign w:val="center"/>
          </w:tcPr>
          <w:p>
            <w:pPr>
              <w:jc w:val="center"/>
              <w:rPr>
                <w:b/>
                <w:noProof/>
                <w:sz w:val="20"/>
              </w:rPr>
            </w:pPr>
            <w:r>
              <w:rPr>
                <w:b/>
                <w:noProof/>
                <w:sz w:val="20"/>
              </w:rPr>
              <w:t>CELKEM</w:t>
            </w:r>
          </w:p>
        </w:tc>
      </w:tr>
      <w:tr>
        <w:trPr>
          <w:trHeight w:val="433"/>
          <w:jc w:val="center"/>
        </w:trPr>
        <w:tc>
          <w:tcPr>
            <w:tcW w:w="4103" w:type="dxa"/>
            <w:vMerge w:val="restart"/>
            <w:vAlign w:val="center"/>
          </w:tcPr>
          <w:p>
            <w:pPr>
              <w:rPr>
                <w:noProof/>
              </w:rPr>
            </w:pPr>
            <w:r>
              <w:rPr>
                <w:noProof/>
                <w:sz w:val="20"/>
              </w:rPr>
              <w:t xml:space="preserve">Operační prostředky (rozdělené podle rozpočtových položek uvedených v bodě 3.1) </w:t>
            </w:r>
          </w:p>
        </w:tc>
        <w:tc>
          <w:tcPr>
            <w:tcW w:w="1440" w:type="dxa"/>
            <w:vAlign w:val="center"/>
          </w:tcPr>
          <w:p>
            <w:pPr>
              <w:spacing w:before="20" w:after="20"/>
              <w:jc w:val="left"/>
              <w:rPr>
                <w:noProof/>
                <w:sz w:val="18"/>
              </w:rPr>
            </w:pPr>
            <w:r>
              <w:rPr>
                <w:noProof/>
                <w:sz w:val="18"/>
              </w:rPr>
              <w:t>Závazky</w:t>
            </w:r>
          </w:p>
        </w:tc>
        <w:tc>
          <w:tcPr>
            <w:tcW w:w="654" w:type="dxa"/>
            <w:vAlign w:val="center"/>
          </w:tcPr>
          <w:p>
            <w:pPr>
              <w:spacing w:before="20" w:after="20"/>
              <w:jc w:val="center"/>
              <w:rPr>
                <w:noProof/>
                <w:sz w:val="14"/>
              </w:rPr>
            </w:pPr>
            <w:r>
              <w:rPr>
                <w:noProof/>
                <w:sz w:val="14"/>
              </w:rPr>
              <w:t>1)</w:t>
            </w:r>
          </w:p>
        </w:tc>
        <w:tc>
          <w:tcPr>
            <w:tcW w:w="868" w:type="dxa"/>
            <w:vAlign w:val="center"/>
          </w:tcPr>
          <w:p>
            <w:pPr>
              <w:spacing w:before="20" w:after="20"/>
              <w:jc w:val="right"/>
              <w:rPr>
                <w:noProof/>
                <w:sz w:val="20"/>
              </w:rPr>
            </w:pPr>
            <w:r>
              <w:rPr>
                <w:noProof/>
                <w:sz w:val="20"/>
              </w:rPr>
              <w:t>26,000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47,000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39,000</w:t>
            </w:r>
          </w:p>
        </w:tc>
        <w:tc>
          <w:tcPr>
            <w:tcW w:w="909" w:type="dxa"/>
            <w:shd w:val="clear" w:color="auto" w:fill="A6A6A6"/>
          </w:tcPr>
          <w:p>
            <w:pPr>
              <w:spacing w:before="20" w:after="20"/>
              <w:jc w:val="right"/>
              <w:rPr>
                <w:b/>
                <w:noProof/>
                <w:sz w:val="20"/>
              </w:rPr>
            </w:pPr>
          </w:p>
        </w:tc>
        <w:tc>
          <w:tcPr>
            <w:tcW w:w="1289" w:type="dxa"/>
            <w:vAlign w:val="center"/>
          </w:tcPr>
          <w:p>
            <w:pPr>
              <w:spacing w:before="20" w:after="20"/>
              <w:jc w:val="right"/>
              <w:rPr>
                <w:b/>
                <w:noProof/>
                <w:sz w:val="20"/>
              </w:rPr>
            </w:pPr>
            <w:r>
              <w:rPr>
                <w:b/>
                <w:noProof/>
                <w:sz w:val="20"/>
              </w:rPr>
              <w:t>300,000</w:t>
            </w:r>
          </w:p>
        </w:tc>
      </w:tr>
      <w:tr>
        <w:trPr>
          <w:trHeight w:val="411"/>
          <w:jc w:val="center"/>
        </w:trPr>
        <w:tc>
          <w:tcPr>
            <w:tcW w:w="4103" w:type="dxa"/>
            <w:vMerge/>
          </w:tcPr>
          <w:p>
            <w:pPr>
              <w:jc w:val="center"/>
              <w:rPr>
                <w:noProof/>
                <w:sz w:val="20"/>
              </w:rPr>
            </w:pPr>
          </w:p>
        </w:tc>
        <w:tc>
          <w:tcPr>
            <w:tcW w:w="1440" w:type="dxa"/>
            <w:vAlign w:val="center"/>
          </w:tcPr>
          <w:p>
            <w:pPr>
              <w:spacing w:before="20" w:after="20"/>
              <w:jc w:val="left"/>
              <w:rPr>
                <w:noProof/>
                <w:sz w:val="18"/>
              </w:rPr>
            </w:pPr>
            <w:r>
              <w:rPr>
                <w:noProof/>
                <w:sz w:val="18"/>
              </w:rPr>
              <w:t>Platby</w:t>
            </w:r>
          </w:p>
        </w:tc>
        <w:tc>
          <w:tcPr>
            <w:tcW w:w="654" w:type="dxa"/>
            <w:vAlign w:val="center"/>
          </w:tcPr>
          <w:p>
            <w:pPr>
              <w:spacing w:before="20" w:after="20"/>
              <w:jc w:val="center"/>
              <w:rPr>
                <w:noProof/>
                <w:sz w:val="14"/>
              </w:rPr>
            </w:pPr>
            <w:r>
              <w:rPr>
                <w:noProof/>
                <w:sz w:val="14"/>
              </w:rPr>
              <w:t>2)</w:t>
            </w:r>
          </w:p>
        </w:tc>
        <w:tc>
          <w:tcPr>
            <w:tcW w:w="868" w:type="dxa"/>
            <w:vAlign w:val="center"/>
          </w:tcPr>
          <w:p>
            <w:pPr>
              <w:spacing w:before="20" w:after="20"/>
              <w:jc w:val="right"/>
              <w:rPr>
                <w:noProof/>
                <w:sz w:val="20"/>
              </w:rPr>
            </w:pPr>
            <w:r>
              <w:rPr>
                <w:noProof/>
                <w:sz w:val="20"/>
              </w:rPr>
              <w:t>0</w:t>
            </w:r>
          </w:p>
        </w:tc>
        <w:tc>
          <w:tcPr>
            <w:tcW w:w="868" w:type="dxa"/>
            <w:vAlign w:val="center"/>
          </w:tcPr>
          <w:p>
            <w:pPr>
              <w:spacing w:before="20" w:after="20"/>
              <w:jc w:val="right"/>
              <w:rPr>
                <w:noProof/>
                <w:sz w:val="20"/>
              </w:rPr>
            </w:pPr>
            <w:r>
              <w:rPr>
                <w:noProof/>
                <w:sz w:val="20"/>
              </w:rPr>
              <w:t>11,700</w:t>
            </w:r>
          </w:p>
        </w:tc>
        <w:tc>
          <w:tcPr>
            <w:tcW w:w="868" w:type="dxa"/>
            <w:vAlign w:val="center"/>
          </w:tcPr>
          <w:p>
            <w:pPr>
              <w:spacing w:before="20" w:after="20"/>
              <w:jc w:val="right"/>
              <w:rPr>
                <w:noProof/>
                <w:sz w:val="20"/>
              </w:rPr>
            </w:pPr>
            <w:r>
              <w:rPr>
                <w:noProof/>
                <w:sz w:val="20"/>
              </w:rPr>
              <w:t>31,050</w:t>
            </w:r>
          </w:p>
        </w:tc>
        <w:tc>
          <w:tcPr>
            <w:tcW w:w="868" w:type="dxa"/>
            <w:vAlign w:val="center"/>
          </w:tcPr>
          <w:p>
            <w:pPr>
              <w:spacing w:before="20" w:after="20"/>
              <w:jc w:val="right"/>
              <w:rPr>
                <w:noProof/>
                <w:sz w:val="20"/>
              </w:rPr>
            </w:pPr>
            <w:r>
              <w:rPr>
                <w:noProof/>
                <w:sz w:val="20"/>
              </w:rPr>
              <w:t>44,900</w:t>
            </w:r>
          </w:p>
        </w:tc>
        <w:tc>
          <w:tcPr>
            <w:tcW w:w="868" w:type="dxa"/>
            <w:vAlign w:val="center"/>
          </w:tcPr>
          <w:p>
            <w:pPr>
              <w:spacing w:before="20" w:after="20"/>
              <w:jc w:val="right"/>
              <w:rPr>
                <w:noProof/>
                <w:sz w:val="20"/>
              </w:rPr>
            </w:pPr>
            <w:r>
              <w:rPr>
                <w:noProof/>
                <w:sz w:val="20"/>
              </w:rPr>
              <w:t>50,200</w:t>
            </w:r>
          </w:p>
        </w:tc>
        <w:tc>
          <w:tcPr>
            <w:tcW w:w="868" w:type="dxa"/>
            <w:vAlign w:val="center"/>
          </w:tcPr>
          <w:p>
            <w:pPr>
              <w:spacing w:before="20" w:after="20"/>
              <w:jc w:val="right"/>
              <w:rPr>
                <w:noProof/>
                <w:sz w:val="20"/>
              </w:rPr>
            </w:pPr>
            <w:r>
              <w:rPr>
                <w:noProof/>
                <w:sz w:val="20"/>
              </w:rPr>
              <w:t>49,200</w:t>
            </w:r>
          </w:p>
        </w:tc>
        <w:tc>
          <w:tcPr>
            <w:tcW w:w="868" w:type="dxa"/>
            <w:vAlign w:val="center"/>
          </w:tcPr>
          <w:p>
            <w:pPr>
              <w:spacing w:before="20" w:after="20"/>
              <w:jc w:val="right"/>
              <w:rPr>
                <w:noProof/>
                <w:sz w:val="20"/>
              </w:rPr>
            </w:pPr>
            <w:r>
              <w:rPr>
                <w:noProof/>
                <w:sz w:val="20"/>
              </w:rPr>
              <w:t>45,600</w:t>
            </w:r>
          </w:p>
        </w:tc>
        <w:tc>
          <w:tcPr>
            <w:tcW w:w="909" w:type="dxa"/>
            <w:vAlign w:val="center"/>
          </w:tcPr>
          <w:p>
            <w:pPr>
              <w:spacing w:before="20" w:after="20"/>
              <w:jc w:val="right"/>
              <w:rPr>
                <w:noProof/>
                <w:sz w:val="20"/>
              </w:rPr>
            </w:pPr>
            <w:r>
              <w:rPr>
                <w:noProof/>
                <w:sz w:val="20"/>
              </w:rPr>
              <w:t>67,350</w:t>
            </w:r>
          </w:p>
        </w:tc>
        <w:tc>
          <w:tcPr>
            <w:tcW w:w="1289" w:type="dxa"/>
            <w:vAlign w:val="center"/>
          </w:tcPr>
          <w:p>
            <w:pPr>
              <w:spacing w:before="20" w:after="20"/>
              <w:jc w:val="right"/>
              <w:rPr>
                <w:b/>
                <w:noProof/>
                <w:sz w:val="20"/>
              </w:rPr>
            </w:pPr>
            <w:r>
              <w:rPr>
                <w:b/>
                <w:noProof/>
                <w:sz w:val="20"/>
              </w:rPr>
              <w:t>300,000</w:t>
            </w:r>
          </w:p>
        </w:tc>
      </w:tr>
      <w:tr>
        <w:trPr>
          <w:trHeight w:val="319"/>
          <w:jc w:val="center"/>
        </w:trPr>
        <w:tc>
          <w:tcPr>
            <w:tcW w:w="4103" w:type="dxa"/>
            <w:vAlign w:val="center"/>
          </w:tcPr>
          <w:p>
            <w:pPr>
              <w:spacing w:before="20" w:after="20"/>
              <w:jc w:val="left"/>
              <w:rPr>
                <w:noProof/>
              </w:rPr>
            </w:pPr>
            <w:r>
              <w:rPr>
                <w:noProof/>
                <w:sz w:val="20"/>
              </w:rPr>
              <w:t>Prostředky správní povahy financované z krytí programu</w:t>
            </w:r>
            <w:r>
              <w:rPr>
                <w:rStyle w:val="FootnoteReference"/>
                <w:noProof/>
                <w:sz w:val="20"/>
              </w:rPr>
              <w:footnoteReference w:id="25"/>
            </w:r>
            <w:r>
              <w:rPr>
                <w:noProof/>
                <w:sz w:val="21"/>
              </w:rPr>
              <w:t xml:space="preserve"> </w:t>
            </w:r>
          </w:p>
        </w:tc>
        <w:tc>
          <w:tcPr>
            <w:tcW w:w="1440" w:type="dxa"/>
            <w:vAlign w:val="center"/>
          </w:tcPr>
          <w:p>
            <w:pPr>
              <w:spacing w:before="40" w:after="40"/>
              <w:jc w:val="left"/>
              <w:rPr>
                <w:noProof/>
                <w:sz w:val="18"/>
              </w:rPr>
            </w:pPr>
            <w:r>
              <w:rPr>
                <w:noProof/>
                <w:sz w:val="18"/>
              </w:rPr>
              <w:t>Závazky = Platby</w:t>
            </w:r>
          </w:p>
        </w:tc>
        <w:tc>
          <w:tcPr>
            <w:tcW w:w="654" w:type="dxa"/>
            <w:vAlign w:val="center"/>
          </w:tcPr>
          <w:p>
            <w:pPr>
              <w:spacing w:before="40" w:after="40"/>
              <w:jc w:val="center"/>
              <w:rPr>
                <w:noProof/>
                <w:sz w:val="14"/>
              </w:rPr>
            </w:pPr>
            <w:r>
              <w:rPr>
                <w:noProof/>
                <w:sz w:val="14"/>
              </w:rPr>
              <w:t>3)</w:t>
            </w:r>
          </w:p>
        </w:tc>
        <w:tc>
          <w:tcPr>
            <w:tcW w:w="868" w:type="dxa"/>
          </w:tcPr>
          <w:p>
            <w:pPr>
              <w:spacing w:before="40" w:after="40"/>
              <w:jc w:val="right"/>
              <w:rPr>
                <w:b/>
                <w:noProof/>
                <w:sz w:val="20"/>
              </w:rPr>
            </w:pPr>
            <w:r>
              <w:rPr>
                <w:noProof/>
                <w:sz w:val="20"/>
              </w:rPr>
              <w:t xml:space="preserve"> 0,381 </w:t>
            </w:r>
          </w:p>
        </w:tc>
        <w:tc>
          <w:tcPr>
            <w:tcW w:w="868" w:type="dxa"/>
          </w:tcPr>
          <w:p>
            <w:pPr>
              <w:spacing w:before="40" w:after="40"/>
              <w:jc w:val="right"/>
              <w:rPr>
                <w:b/>
                <w:noProof/>
                <w:sz w:val="20"/>
              </w:rPr>
            </w:pPr>
            <w:r>
              <w:rPr>
                <w:noProof/>
                <w:sz w:val="20"/>
              </w:rPr>
              <w:t xml:space="preserve"> 0,389 </w:t>
            </w:r>
          </w:p>
        </w:tc>
        <w:tc>
          <w:tcPr>
            <w:tcW w:w="868" w:type="dxa"/>
          </w:tcPr>
          <w:p>
            <w:pPr>
              <w:spacing w:before="40" w:after="40"/>
              <w:jc w:val="right"/>
              <w:rPr>
                <w:b/>
                <w:noProof/>
                <w:sz w:val="20"/>
              </w:rPr>
            </w:pPr>
            <w:r>
              <w:rPr>
                <w:noProof/>
                <w:sz w:val="20"/>
              </w:rPr>
              <w:t xml:space="preserve"> 0,396 </w:t>
            </w:r>
          </w:p>
        </w:tc>
        <w:tc>
          <w:tcPr>
            <w:tcW w:w="868" w:type="dxa"/>
          </w:tcPr>
          <w:p>
            <w:pPr>
              <w:spacing w:before="40" w:after="40"/>
              <w:jc w:val="right"/>
              <w:rPr>
                <w:b/>
                <w:noProof/>
                <w:sz w:val="20"/>
              </w:rPr>
            </w:pPr>
            <w:r>
              <w:rPr>
                <w:noProof/>
                <w:sz w:val="20"/>
              </w:rPr>
              <w:t xml:space="preserve"> 0,405 </w:t>
            </w:r>
          </w:p>
        </w:tc>
        <w:tc>
          <w:tcPr>
            <w:tcW w:w="868" w:type="dxa"/>
          </w:tcPr>
          <w:p>
            <w:pPr>
              <w:spacing w:before="40" w:after="40"/>
              <w:jc w:val="right"/>
              <w:rPr>
                <w:b/>
                <w:noProof/>
                <w:sz w:val="20"/>
              </w:rPr>
            </w:pPr>
            <w:r>
              <w:rPr>
                <w:noProof/>
                <w:sz w:val="20"/>
              </w:rPr>
              <w:t xml:space="preserve"> 0,413 </w:t>
            </w:r>
          </w:p>
        </w:tc>
        <w:tc>
          <w:tcPr>
            <w:tcW w:w="868" w:type="dxa"/>
          </w:tcPr>
          <w:p>
            <w:pPr>
              <w:spacing w:before="40" w:after="40"/>
              <w:jc w:val="right"/>
              <w:rPr>
                <w:b/>
                <w:noProof/>
                <w:sz w:val="20"/>
              </w:rPr>
            </w:pPr>
            <w:r>
              <w:rPr>
                <w:noProof/>
                <w:sz w:val="20"/>
              </w:rPr>
              <w:t xml:space="preserve"> 0,420 </w:t>
            </w:r>
          </w:p>
        </w:tc>
        <w:tc>
          <w:tcPr>
            <w:tcW w:w="868" w:type="dxa"/>
          </w:tcPr>
          <w:p>
            <w:pPr>
              <w:spacing w:before="40" w:after="40"/>
              <w:jc w:val="right"/>
              <w:rPr>
                <w:b/>
                <w:noProof/>
                <w:sz w:val="20"/>
              </w:rPr>
            </w:pPr>
            <w:r>
              <w:rPr>
                <w:noProof/>
                <w:sz w:val="20"/>
              </w:rPr>
              <w:t xml:space="preserve"> 0,430 </w:t>
            </w:r>
          </w:p>
        </w:tc>
        <w:tc>
          <w:tcPr>
            <w:tcW w:w="909" w:type="dxa"/>
            <w:shd w:val="clear" w:color="auto" w:fill="A6A6A6"/>
          </w:tcPr>
          <w:p>
            <w:pPr>
              <w:spacing w:before="40" w:after="40"/>
              <w:jc w:val="right"/>
              <w:rPr>
                <w:b/>
                <w:noProof/>
                <w:sz w:val="20"/>
              </w:rPr>
            </w:pPr>
            <w:r>
              <w:rPr>
                <w:noProof/>
                <w:sz w:val="20"/>
              </w:rPr>
              <w:t xml:space="preserve"> -   </w:t>
            </w:r>
          </w:p>
        </w:tc>
        <w:tc>
          <w:tcPr>
            <w:tcW w:w="1289" w:type="dxa"/>
          </w:tcPr>
          <w:p>
            <w:pPr>
              <w:spacing w:before="40" w:after="40"/>
              <w:jc w:val="right"/>
              <w:rPr>
                <w:b/>
                <w:noProof/>
                <w:sz w:val="20"/>
              </w:rPr>
            </w:pPr>
            <w:r>
              <w:rPr>
                <w:noProof/>
                <w:sz w:val="20"/>
              </w:rPr>
              <w:t xml:space="preserve"> 2,834 </w:t>
            </w:r>
          </w:p>
        </w:tc>
      </w:tr>
      <w:tr>
        <w:trPr>
          <w:jc w:val="center"/>
        </w:trPr>
        <w:tc>
          <w:tcPr>
            <w:tcW w:w="4103" w:type="dxa"/>
            <w:vMerge w:val="restart"/>
            <w:vAlign w:val="center"/>
          </w:tcPr>
          <w:p>
            <w:pPr>
              <w:jc w:val="left"/>
              <w:rPr>
                <w:b/>
                <w:noProof/>
              </w:rPr>
            </w:pPr>
            <w:r>
              <w:rPr>
                <w:b/>
                <w:noProof/>
                <w:sz w:val="22"/>
              </w:rPr>
              <w:t>Prostředky na krytí programu CELKEM</w:t>
            </w:r>
          </w:p>
        </w:tc>
        <w:tc>
          <w:tcPr>
            <w:tcW w:w="1440" w:type="dxa"/>
            <w:vAlign w:val="center"/>
          </w:tcPr>
          <w:p>
            <w:pPr>
              <w:jc w:val="left"/>
              <w:rPr>
                <w:noProof/>
                <w:sz w:val="18"/>
              </w:rPr>
            </w:pPr>
            <w:r>
              <w:rPr>
                <w:noProof/>
                <w:sz w:val="18"/>
              </w:rPr>
              <w:t>Závazky</w:t>
            </w:r>
          </w:p>
        </w:tc>
        <w:tc>
          <w:tcPr>
            <w:tcW w:w="654" w:type="dxa"/>
            <w:vAlign w:val="center"/>
          </w:tcPr>
          <w:p>
            <w:pPr>
              <w:jc w:val="center"/>
              <w:rPr>
                <w:noProof/>
                <w:sz w:val="14"/>
              </w:rPr>
            </w:pPr>
            <w:r>
              <w:rPr>
                <w:noProof/>
                <w:sz w:val="14"/>
              </w:rPr>
              <w:t>=1+3</w:t>
            </w:r>
          </w:p>
        </w:tc>
        <w:tc>
          <w:tcPr>
            <w:tcW w:w="868" w:type="dxa"/>
            <w:vAlign w:val="center"/>
          </w:tcPr>
          <w:p>
            <w:pPr>
              <w:spacing w:before="20" w:after="20"/>
              <w:jc w:val="right"/>
              <w:rPr>
                <w:noProof/>
                <w:sz w:val="20"/>
              </w:rPr>
            </w:pPr>
            <w:r>
              <w:rPr>
                <w:noProof/>
                <w:sz w:val="20"/>
              </w:rPr>
              <w:t>26,381</w:t>
            </w:r>
          </w:p>
        </w:tc>
        <w:tc>
          <w:tcPr>
            <w:tcW w:w="868" w:type="dxa"/>
            <w:vAlign w:val="center"/>
          </w:tcPr>
          <w:p>
            <w:pPr>
              <w:spacing w:before="20" w:after="20"/>
              <w:jc w:val="right"/>
              <w:rPr>
                <w:noProof/>
                <w:sz w:val="20"/>
              </w:rPr>
            </w:pPr>
            <w:r>
              <w:rPr>
                <w:noProof/>
                <w:sz w:val="20"/>
              </w:rPr>
              <w:t>43,389</w:t>
            </w:r>
          </w:p>
        </w:tc>
        <w:tc>
          <w:tcPr>
            <w:tcW w:w="868" w:type="dxa"/>
            <w:vAlign w:val="center"/>
          </w:tcPr>
          <w:p>
            <w:pPr>
              <w:spacing w:before="20" w:after="20"/>
              <w:jc w:val="right"/>
              <w:rPr>
                <w:noProof/>
                <w:sz w:val="20"/>
              </w:rPr>
            </w:pPr>
            <w:r>
              <w:rPr>
                <w:noProof/>
                <w:sz w:val="20"/>
              </w:rPr>
              <w:t>51,396</w:t>
            </w:r>
          </w:p>
        </w:tc>
        <w:tc>
          <w:tcPr>
            <w:tcW w:w="868" w:type="dxa"/>
            <w:vAlign w:val="center"/>
          </w:tcPr>
          <w:p>
            <w:pPr>
              <w:spacing w:before="20" w:after="20"/>
              <w:jc w:val="right"/>
              <w:rPr>
                <w:noProof/>
                <w:sz w:val="20"/>
              </w:rPr>
            </w:pPr>
            <w:r>
              <w:rPr>
                <w:noProof/>
                <w:sz w:val="20"/>
              </w:rPr>
              <w:t>51,405</w:t>
            </w:r>
          </w:p>
        </w:tc>
        <w:tc>
          <w:tcPr>
            <w:tcW w:w="868" w:type="dxa"/>
            <w:vAlign w:val="center"/>
          </w:tcPr>
          <w:p>
            <w:pPr>
              <w:spacing w:before="20" w:after="20"/>
              <w:jc w:val="right"/>
              <w:rPr>
                <w:noProof/>
                <w:sz w:val="20"/>
              </w:rPr>
            </w:pPr>
            <w:r>
              <w:rPr>
                <w:noProof/>
                <w:sz w:val="20"/>
              </w:rPr>
              <w:t>47,413</w:t>
            </w:r>
          </w:p>
        </w:tc>
        <w:tc>
          <w:tcPr>
            <w:tcW w:w="868" w:type="dxa"/>
            <w:vAlign w:val="center"/>
          </w:tcPr>
          <w:p>
            <w:pPr>
              <w:spacing w:before="20" w:after="20"/>
              <w:jc w:val="right"/>
              <w:rPr>
                <w:noProof/>
                <w:sz w:val="20"/>
              </w:rPr>
            </w:pPr>
            <w:r>
              <w:rPr>
                <w:noProof/>
                <w:sz w:val="20"/>
              </w:rPr>
              <w:t>43,420</w:t>
            </w:r>
          </w:p>
        </w:tc>
        <w:tc>
          <w:tcPr>
            <w:tcW w:w="868" w:type="dxa"/>
            <w:vAlign w:val="center"/>
          </w:tcPr>
          <w:p>
            <w:pPr>
              <w:spacing w:before="20" w:after="20"/>
              <w:jc w:val="right"/>
              <w:rPr>
                <w:noProof/>
                <w:sz w:val="20"/>
              </w:rPr>
            </w:pPr>
            <w:r>
              <w:rPr>
                <w:noProof/>
                <w:sz w:val="20"/>
              </w:rPr>
              <w:t>39,430</w:t>
            </w:r>
          </w:p>
        </w:tc>
        <w:tc>
          <w:tcPr>
            <w:tcW w:w="909" w:type="dxa"/>
            <w:shd w:val="clear" w:color="auto" w:fill="A6A6A6"/>
            <w:vAlign w:val="center"/>
          </w:tcPr>
          <w:p>
            <w:pPr>
              <w:spacing w:before="20" w:after="20"/>
              <w:jc w:val="right"/>
              <w:rPr>
                <w:b/>
                <w:noProof/>
                <w:sz w:val="20"/>
              </w:rPr>
            </w:pPr>
          </w:p>
        </w:tc>
        <w:tc>
          <w:tcPr>
            <w:tcW w:w="1289" w:type="dxa"/>
            <w:vAlign w:val="center"/>
          </w:tcPr>
          <w:p>
            <w:pPr>
              <w:spacing w:before="20" w:after="20"/>
              <w:jc w:val="right"/>
              <w:rPr>
                <w:b/>
                <w:noProof/>
                <w:sz w:val="20"/>
              </w:rPr>
            </w:pPr>
            <w:r>
              <w:rPr>
                <w:b/>
                <w:noProof/>
                <w:sz w:val="20"/>
              </w:rPr>
              <w:t>302,834</w:t>
            </w:r>
          </w:p>
        </w:tc>
      </w:tr>
      <w:tr>
        <w:trPr>
          <w:jc w:val="center"/>
        </w:trPr>
        <w:tc>
          <w:tcPr>
            <w:tcW w:w="4103" w:type="dxa"/>
            <w:vMerge/>
          </w:tcPr>
          <w:p>
            <w:pPr>
              <w:rPr>
                <w:noProof/>
                <w:sz w:val="20"/>
              </w:rPr>
            </w:pPr>
          </w:p>
        </w:tc>
        <w:tc>
          <w:tcPr>
            <w:tcW w:w="1440" w:type="dxa"/>
            <w:vAlign w:val="center"/>
          </w:tcPr>
          <w:p>
            <w:pPr>
              <w:jc w:val="left"/>
              <w:rPr>
                <w:noProof/>
                <w:sz w:val="18"/>
              </w:rPr>
            </w:pPr>
            <w:r>
              <w:rPr>
                <w:noProof/>
                <w:sz w:val="18"/>
              </w:rPr>
              <w:t>Platby</w:t>
            </w:r>
          </w:p>
        </w:tc>
        <w:tc>
          <w:tcPr>
            <w:tcW w:w="654" w:type="dxa"/>
            <w:vAlign w:val="center"/>
          </w:tcPr>
          <w:p>
            <w:pPr>
              <w:jc w:val="center"/>
              <w:rPr>
                <w:noProof/>
                <w:sz w:val="14"/>
              </w:rPr>
            </w:pPr>
            <w:r>
              <w:rPr>
                <w:noProof/>
                <w:sz w:val="14"/>
              </w:rPr>
              <w:t>=2+3</w:t>
            </w:r>
          </w:p>
        </w:tc>
        <w:tc>
          <w:tcPr>
            <w:tcW w:w="868" w:type="dxa"/>
          </w:tcPr>
          <w:p>
            <w:pPr>
              <w:spacing w:before="20" w:after="20"/>
              <w:jc w:val="right"/>
              <w:rPr>
                <w:noProof/>
                <w:sz w:val="20"/>
              </w:rPr>
            </w:pPr>
            <w:r>
              <w:rPr>
                <w:noProof/>
                <w:sz w:val="20"/>
              </w:rPr>
              <w:t xml:space="preserve"> 0,381 </w:t>
            </w:r>
          </w:p>
        </w:tc>
        <w:tc>
          <w:tcPr>
            <w:tcW w:w="868" w:type="dxa"/>
          </w:tcPr>
          <w:p>
            <w:pPr>
              <w:spacing w:before="20" w:after="20"/>
              <w:jc w:val="right"/>
              <w:rPr>
                <w:noProof/>
                <w:sz w:val="20"/>
              </w:rPr>
            </w:pPr>
            <w:r>
              <w:rPr>
                <w:noProof/>
                <w:sz w:val="20"/>
              </w:rPr>
              <w:t xml:space="preserve"> 12,089 </w:t>
            </w:r>
          </w:p>
        </w:tc>
        <w:tc>
          <w:tcPr>
            <w:tcW w:w="868" w:type="dxa"/>
          </w:tcPr>
          <w:p>
            <w:pPr>
              <w:spacing w:before="20" w:after="20"/>
              <w:jc w:val="right"/>
              <w:rPr>
                <w:noProof/>
                <w:sz w:val="20"/>
              </w:rPr>
            </w:pPr>
            <w:r>
              <w:rPr>
                <w:noProof/>
                <w:sz w:val="20"/>
              </w:rPr>
              <w:t xml:space="preserve">31,446 </w:t>
            </w:r>
          </w:p>
        </w:tc>
        <w:tc>
          <w:tcPr>
            <w:tcW w:w="868" w:type="dxa"/>
          </w:tcPr>
          <w:p>
            <w:pPr>
              <w:spacing w:before="20" w:after="20"/>
              <w:jc w:val="right"/>
              <w:rPr>
                <w:noProof/>
                <w:sz w:val="20"/>
              </w:rPr>
            </w:pPr>
            <w:r>
              <w:rPr>
                <w:noProof/>
                <w:sz w:val="20"/>
              </w:rPr>
              <w:t xml:space="preserve">45,305 </w:t>
            </w:r>
          </w:p>
        </w:tc>
        <w:tc>
          <w:tcPr>
            <w:tcW w:w="868" w:type="dxa"/>
          </w:tcPr>
          <w:p>
            <w:pPr>
              <w:spacing w:before="20" w:after="20"/>
              <w:jc w:val="right"/>
              <w:rPr>
                <w:noProof/>
                <w:sz w:val="20"/>
              </w:rPr>
            </w:pPr>
            <w:r>
              <w:rPr>
                <w:noProof/>
                <w:sz w:val="20"/>
              </w:rPr>
              <w:t xml:space="preserve">50,613 </w:t>
            </w:r>
          </w:p>
        </w:tc>
        <w:tc>
          <w:tcPr>
            <w:tcW w:w="868" w:type="dxa"/>
          </w:tcPr>
          <w:p>
            <w:pPr>
              <w:spacing w:before="20" w:after="20"/>
              <w:jc w:val="right"/>
              <w:rPr>
                <w:noProof/>
                <w:sz w:val="20"/>
              </w:rPr>
            </w:pPr>
            <w:r>
              <w:rPr>
                <w:noProof/>
                <w:sz w:val="20"/>
              </w:rPr>
              <w:t xml:space="preserve">49,620 </w:t>
            </w:r>
          </w:p>
        </w:tc>
        <w:tc>
          <w:tcPr>
            <w:tcW w:w="868" w:type="dxa"/>
          </w:tcPr>
          <w:p>
            <w:pPr>
              <w:spacing w:before="20" w:after="20"/>
              <w:jc w:val="right"/>
              <w:rPr>
                <w:b/>
                <w:noProof/>
                <w:sz w:val="20"/>
              </w:rPr>
            </w:pPr>
            <w:r>
              <w:rPr>
                <w:noProof/>
                <w:sz w:val="20"/>
              </w:rPr>
              <w:t xml:space="preserve">46,030 </w:t>
            </w:r>
          </w:p>
        </w:tc>
        <w:tc>
          <w:tcPr>
            <w:tcW w:w="909" w:type="dxa"/>
          </w:tcPr>
          <w:p>
            <w:pPr>
              <w:spacing w:before="20" w:after="20"/>
              <w:jc w:val="right"/>
              <w:rPr>
                <w:b/>
                <w:noProof/>
                <w:sz w:val="20"/>
              </w:rPr>
            </w:pPr>
            <w:r>
              <w:rPr>
                <w:noProof/>
                <w:sz w:val="20"/>
              </w:rPr>
              <w:t xml:space="preserve">67,350 </w:t>
            </w:r>
          </w:p>
        </w:tc>
        <w:tc>
          <w:tcPr>
            <w:tcW w:w="1289" w:type="dxa"/>
          </w:tcPr>
          <w:p>
            <w:pPr>
              <w:spacing w:before="20" w:after="20"/>
              <w:jc w:val="right"/>
              <w:rPr>
                <w:b/>
                <w:noProof/>
                <w:sz w:val="20"/>
              </w:rPr>
            </w:pPr>
            <w:r>
              <w:rPr>
                <w:noProof/>
                <w:sz w:val="20"/>
              </w:rPr>
              <w:t xml:space="preserve"> 302,834 </w:t>
            </w:r>
          </w:p>
        </w:tc>
      </w:tr>
    </w:tbl>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 xml:space="preserve">Okruh víceletého finančního </w:t>
            </w:r>
            <w:r>
              <w:rPr>
                <w:noProof/>
                <w:sz w:val="22"/>
              </w:rPr>
              <w:br/>
            </w:r>
            <w:r>
              <w:rPr>
                <w:b/>
                <w:noProof/>
                <w:sz w:val="22"/>
              </w:rPr>
              <w:t xml:space="preserve">rámce </w:t>
            </w:r>
          </w:p>
        </w:tc>
        <w:tc>
          <w:tcPr>
            <w:tcW w:w="1080" w:type="dxa"/>
            <w:shd w:val="thinDiagStripe" w:color="C0C0C0" w:fill="auto"/>
            <w:vAlign w:val="center"/>
          </w:tcPr>
          <w:p>
            <w:pPr>
              <w:spacing w:before="60" w:after="60"/>
              <w:jc w:val="center"/>
              <w:rPr>
                <w:noProof/>
              </w:rPr>
            </w:pPr>
            <w:r>
              <w:rPr>
                <w:noProof/>
              </w:rPr>
              <w:t>7</w:t>
            </w:r>
          </w:p>
        </w:tc>
        <w:tc>
          <w:tcPr>
            <w:tcW w:w="7817" w:type="dxa"/>
            <w:vAlign w:val="center"/>
          </w:tcPr>
          <w:p>
            <w:pPr>
              <w:spacing w:before="60" w:after="60"/>
              <w:rPr>
                <w:noProof/>
              </w:rPr>
            </w:pPr>
            <w:r>
              <w:rPr>
                <w:noProof/>
                <w:sz w:val="22"/>
              </w:rPr>
              <w:t>„Správní výdaje“</w:t>
            </w:r>
          </w:p>
        </w:tc>
      </w:tr>
    </w:tbl>
    <w:p>
      <w:pPr>
        <w:jc w:val="left"/>
        <w:rPr>
          <w:noProof/>
        </w:rPr>
      </w:pPr>
      <w:r>
        <w:rPr>
          <w:noProof/>
        </w:rPr>
        <w:t>Tento oddíl se vyplní pomocí „rozpočtových údajů správní povahy“, jež se nejprve uvedou v </w:t>
      </w:r>
      <w:hyperlink r:id="rId17" w:history="1">
        <w:r>
          <w:rPr>
            <w:rStyle w:val="Hyperlink"/>
            <w:noProof/>
            <w:color w:val="auto"/>
          </w:rPr>
          <w:t>příloze legislativního finančního výkazu</w:t>
        </w:r>
      </w:hyperlink>
      <w:r>
        <w:rPr>
          <w:noProof/>
        </w:rPr>
        <w:t>, která se pro účely konzultace mezi útvary vloží do aplikace DECIDE.</w:t>
      </w:r>
    </w:p>
    <w:p>
      <w:pPr>
        <w:jc w:val="left"/>
        <w:rPr>
          <w:noProof/>
        </w:rPr>
      </w:pPr>
      <w:r>
        <w:rPr>
          <w:noProof/>
        </w:rPr>
        <w:br w:type="page"/>
      </w:r>
    </w:p>
    <w:p>
      <w:pPr>
        <w:jc w:val="left"/>
        <w:rPr>
          <w:noProof/>
        </w:rPr>
      </w:pPr>
    </w:p>
    <w:p>
      <w:pPr>
        <w:jc w:val="right"/>
        <w:rPr>
          <w:noProof/>
          <w:sz w:val="20"/>
        </w:rPr>
      </w:pPr>
      <w:r>
        <w:rPr>
          <w:noProof/>
          <w:sz w:val="20"/>
        </w:rPr>
        <w:t>v milionech EUR (zaokrouhleno na tři desetinná místa)</w:t>
      </w:r>
    </w:p>
    <w:tbl>
      <w:tblPr>
        <w:tblW w:w="14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9"/>
        <w:gridCol w:w="2046"/>
        <w:gridCol w:w="868"/>
        <w:gridCol w:w="868"/>
        <w:gridCol w:w="868"/>
        <w:gridCol w:w="868"/>
        <w:gridCol w:w="868"/>
        <w:gridCol w:w="868"/>
        <w:gridCol w:w="868"/>
        <w:gridCol w:w="887"/>
        <w:gridCol w:w="1291"/>
      </w:tblGrid>
      <w:tr>
        <w:trPr>
          <w:jc w:val="center"/>
        </w:trPr>
        <w:tc>
          <w:tcPr>
            <w:tcW w:w="6245" w:type="dxa"/>
            <w:gridSpan w:val="2"/>
            <w:tcBorders>
              <w:top w:val="nil"/>
              <w:left w:val="nil"/>
            </w:tcBorders>
            <w:vAlign w:val="center"/>
          </w:tcPr>
          <w:p>
            <w:pPr>
              <w:jc w:val="center"/>
              <w:rPr>
                <w:noProof/>
                <w:sz w:val="20"/>
              </w:rPr>
            </w:pPr>
          </w:p>
        </w:tc>
        <w:tc>
          <w:tcPr>
            <w:tcW w:w="868" w:type="dxa"/>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87" w:type="dxa"/>
          </w:tcPr>
          <w:p>
            <w:pPr>
              <w:jc w:val="center"/>
              <w:rPr>
                <w:b/>
                <w:noProof/>
                <w:sz w:val="20"/>
              </w:rPr>
            </w:pPr>
            <w:r>
              <w:rPr>
                <w:b/>
                <w:i/>
                <w:noProof/>
                <w:sz w:val="20"/>
              </w:rPr>
              <w:t>Po roce 2027</w:t>
            </w:r>
          </w:p>
        </w:tc>
        <w:tc>
          <w:tcPr>
            <w:tcW w:w="1291" w:type="dxa"/>
            <w:vAlign w:val="center"/>
          </w:tcPr>
          <w:p>
            <w:pPr>
              <w:jc w:val="center"/>
              <w:rPr>
                <w:b/>
                <w:noProof/>
                <w:sz w:val="20"/>
              </w:rPr>
            </w:pPr>
            <w:r>
              <w:rPr>
                <w:b/>
                <w:noProof/>
                <w:sz w:val="20"/>
              </w:rPr>
              <w:t>CELKEM</w:t>
            </w:r>
          </w:p>
        </w:tc>
      </w:tr>
      <w:tr>
        <w:trPr>
          <w:trHeight w:val="313"/>
          <w:jc w:val="center"/>
        </w:trPr>
        <w:tc>
          <w:tcPr>
            <w:tcW w:w="6245" w:type="dxa"/>
            <w:gridSpan w:val="2"/>
            <w:vAlign w:val="center"/>
          </w:tcPr>
          <w:p>
            <w:pPr>
              <w:spacing w:before="20" w:after="20"/>
              <w:rPr>
                <w:noProof/>
              </w:rPr>
            </w:pPr>
            <w:r>
              <w:rPr>
                <w:noProof/>
                <w:sz w:val="22"/>
              </w:rPr>
              <w:t xml:space="preserve">Lidské zdroje </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r>
        <w:trPr>
          <w:trHeight w:val="351"/>
          <w:jc w:val="center"/>
        </w:trPr>
        <w:tc>
          <w:tcPr>
            <w:tcW w:w="6245" w:type="dxa"/>
            <w:gridSpan w:val="2"/>
            <w:vAlign w:val="center"/>
          </w:tcPr>
          <w:p>
            <w:pPr>
              <w:spacing w:before="20" w:after="20"/>
              <w:rPr>
                <w:noProof/>
              </w:rPr>
            </w:pPr>
            <w:r>
              <w:rPr>
                <w:noProof/>
                <w:sz w:val="22"/>
              </w:rPr>
              <w:t xml:space="preserve">Ostatní správní výdaje </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r>
        <w:trPr>
          <w:trHeight w:val="351"/>
          <w:jc w:val="center"/>
        </w:trPr>
        <w:tc>
          <w:tcPr>
            <w:tcW w:w="4199" w:type="dxa"/>
            <w:vAlign w:val="center"/>
          </w:tcPr>
          <w:p>
            <w:pPr>
              <w:spacing w:before="20" w:after="20"/>
              <w:jc w:val="left"/>
              <w:rPr>
                <w:b/>
                <w:noProof/>
                <w:sz w:val="22"/>
              </w:rPr>
            </w:pPr>
            <w:r>
              <w:rPr>
                <w:b/>
                <w:noProof/>
                <w:sz w:val="22"/>
              </w:rPr>
              <w:t>Prostředky z OKRUHU 7 víceletého finančního rámce CELKEM</w:t>
            </w:r>
          </w:p>
        </w:tc>
        <w:tc>
          <w:tcPr>
            <w:tcW w:w="2046" w:type="dxa"/>
            <w:vAlign w:val="center"/>
          </w:tcPr>
          <w:p>
            <w:pPr>
              <w:spacing w:before="20" w:after="20"/>
              <w:rPr>
                <w:noProof/>
                <w:sz w:val="22"/>
              </w:rPr>
            </w:pPr>
            <w:r>
              <w:rPr>
                <w:noProof/>
                <w:sz w:val="18"/>
              </w:rPr>
              <w:t>(Závazky celkem = platby celkem)</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291" w:type="dxa"/>
            <w:vAlign w:val="center"/>
          </w:tcPr>
          <w:p>
            <w:pPr>
              <w:spacing w:before="20" w:after="20"/>
              <w:jc w:val="right"/>
              <w:rPr>
                <w:b/>
                <w:noProof/>
                <w:sz w:val="20"/>
              </w:rPr>
            </w:pPr>
            <w:r>
              <w:rPr>
                <w:b/>
                <w:noProof/>
                <w:sz w:val="20"/>
              </w:rPr>
              <w:t>0</w:t>
            </w:r>
          </w:p>
        </w:tc>
      </w:tr>
    </w:tbl>
    <w:p>
      <w:pPr>
        <w:jc w:val="right"/>
        <w:rPr>
          <w:noProof/>
          <w:sz w:val="20"/>
        </w:rPr>
      </w:pPr>
      <w:r>
        <w:rPr>
          <w:noProof/>
          <w:sz w:val="20"/>
        </w:rPr>
        <w:t>v milionech EUR (zaokrouhleno na tři desetinná místa)</w:t>
      </w:r>
    </w:p>
    <w:tbl>
      <w:tblPr>
        <w:tblW w:w="14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560"/>
        <w:gridCol w:w="534"/>
        <w:gridCol w:w="868"/>
        <w:gridCol w:w="868"/>
        <w:gridCol w:w="868"/>
        <w:gridCol w:w="868"/>
        <w:gridCol w:w="868"/>
        <w:gridCol w:w="868"/>
        <w:gridCol w:w="868"/>
        <w:gridCol w:w="877"/>
        <w:gridCol w:w="1292"/>
      </w:tblGrid>
      <w:tr>
        <w:trPr>
          <w:jc w:val="center"/>
        </w:trPr>
        <w:tc>
          <w:tcPr>
            <w:tcW w:w="4173"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b/>
                <w:noProof/>
                <w:sz w:val="20"/>
              </w:rPr>
              <w:t>2021</w:t>
            </w:r>
          </w:p>
        </w:tc>
        <w:tc>
          <w:tcPr>
            <w:tcW w:w="868" w:type="dxa"/>
            <w:vAlign w:val="center"/>
          </w:tcPr>
          <w:p>
            <w:pPr>
              <w:jc w:val="center"/>
              <w:rPr>
                <w:noProof/>
                <w:sz w:val="20"/>
              </w:rPr>
            </w:pPr>
            <w:r>
              <w:rPr>
                <w:b/>
                <w:noProof/>
                <w:sz w:val="20"/>
              </w:rPr>
              <w:t>2022</w:t>
            </w:r>
          </w:p>
        </w:tc>
        <w:tc>
          <w:tcPr>
            <w:tcW w:w="868" w:type="dxa"/>
            <w:vAlign w:val="center"/>
          </w:tcPr>
          <w:p>
            <w:pPr>
              <w:jc w:val="center"/>
              <w:rPr>
                <w:noProof/>
                <w:sz w:val="20"/>
              </w:rPr>
            </w:pPr>
            <w:r>
              <w:rPr>
                <w:b/>
                <w:noProof/>
                <w:sz w:val="20"/>
              </w:rPr>
              <w:t>2023</w:t>
            </w:r>
          </w:p>
        </w:tc>
        <w:tc>
          <w:tcPr>
            <w:tcW w:w="868" w:type="dxa"/>
            <w:vAlign w:val="center"/>
          </w:tcPr>
          <w:p>
            <w:pPr>
              <w:jc w:val="center"/>
              <w:rPr>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77" w:type="dxa"/>
          </w:tcPr>
          <w:p>
            <w:pPr>
              <w:jc w:val="center"/>
              <w:rPr>
                <w:b/>
                <w:noProof/>
                <w:sz w:val="20"/>
              </w:rPr>
            </w:pPr>
            <w:r>
              <w:rPr>
                <w:b/>
                <w:i/>
                <w:noProof/>
                <w:sz w:val="20"/>
              </w:rPr>
              <w:t>Po roce 2027</w:t>
            </w:r>
          </w:p>
        </w:tc>
        <w:tc>
          <w:tcPr>
            <w:tcW w:w="1292" w:type="dxa"/>
            <w:vAlign w:val="center"/>
          </w:tcPr>
          <w:p>
            <w:pPr>
              <w:jc w:val="center"/>
              <w:rPr>
                <w:b/>
                <w:noProof/>
                <w:sz w:val="20"/>
              </w:rPr>
            </w:pPr>
            <w:r>
              <w:rPr>
                <w:b/>
                <w:noProof/>
                <w:sz w:val="20"/>
              </w:rPr>
              <w:t>CELKEM</w:t>
            </w:r>
          </w:p>
        </w:tc>
      </w:tr>
      <w:tr>
        <w:trPr>
          <w:jc w:val="center"/>
        </w:trPr>
        <w:tc>
          <w:tcPr>
            <w:tcW w:w="4173" w:type="dxa"/>
            <w:vMerge w:val="restart"/>
            <w:shd w:val="clear" w:color="auto" w:fill="C0C0C0"/>
            <w:vAlign w:val="center"/>
          </w:tcPr>
          <w:p>
            <w:pPr>
              <w:jc w:val="center"/>
              <w:rPr>
                <w:b/>
                <w:noProof/>
              </w:rPr>
            </w:pPr>
            <w:r>
              <w:rPr>
                <w:b/>
                <w:noProof/>
                <w:sz w:val="22"/>
              </w:rPr>
              <w:t xml:space="preserve">Prostředky CELKEM </w:t>
            </w:r>
            <w:r>
              <w:rPr>
                <w:noProof/>
                <w:sz w:val="22"/>
              </w:rPr>
              <w:br/>
            </w:r>
            <w:r>
              <w:rPr>
                <w:b/>
                <w:noProof/>
                <w:sz w:val="22"/>
              </w:rPr>
              <w:t xml:space="preserve">ze všech OKRUHŮ </w:t>
            </w:r>
            <w:r>
              <w:rPr>
                <w:noProof/>
                <w:sz w:val="22"/>
              </w:rPr>
              <w:br/>
              <w:t>víceletého finančního rámce</w:t>
            </w:r>
            <w:r>
              <w:rPr>
                <w:b/>
                <w:noProof/>
                <w:sz w:val="22"/>
              </w:rPr>
              <w:t xml:space="preserve"> </w:t>
            </w:r>
          </w:p>
        </w:tc>
        <w:tc>
          <w:tcPr>
            <w:tcW w:w="2094" w:type="dxa"/>
            <w:gridSpan w:val="2"/>
            <w:vAlign w:val="center"/>
          </w:tcPr>
          <w:p>
            <w:pPr>
              <w:rPr>
                <w:noProof/>
                <w:sz w:val="14"/>
              </w:rPr>
            </w:pPr>
            <w:r>
              <w:rPr>
                <w:noProof/>
                <w:sz w:val="18"/>
              </w:rPr>
              <w:t>Závazky</w:t>
            </w:r>
          </w:p>
        </w:tc>
        <w:tc>
          <w:tcPr>
            <w:tcW w:w="868" w:type="dxa"/>
            <w:vAlign w:val="center"/>
          </w:tcPr>
          <w:p>
            <w:pPr>
              <w:spacing w:before="60" w:after="60"/>
              <w:jc w:val="right"/>
              <w:rPr>
                <w:noProof/>
                <w:sz w:val="20"/>
              </w:rPr>
            </w:pPr>
            <w:r>
              <w:rPr>
                <w:noProof/>
                <w:sz w:val="20"/>
              </w:rPr>
              <w:t>26,381</w:t>
            </w:r>
          </w:p>
        </w:tc>
        <w:tc>
          <w:tcPr>
            <w:tcW w:w="868" w:type="dxa"/>
            <w:vAlign w:val="center"/>
          </w:tcPr>
          <w:p>
            <w:pPr>
              <w:spacing w:before="60" w:after="60"/>
              <w:jc w:val="right"/>
              <w:rPr>
                <w:noProof/>
                <w:sz w:val="20"/>
              </w:rPr>
            </w:pPr>
            <w:r>
              <w:rPr>
                <w:noProof/>
                <w:sz w:val="20"/>
              </w:rPr>
              <w:t>43,389</w:t>
            </w:r>
          </w:p>
        </w:tc>
        <w:tc>
          <w:tcPr>
            <w:tcW w:w="868" w:type="dxa"/>
            <w:vAlign w:val="center"/>
          </w:tcPr>
          <w:p>
            <w:pPr>
              <w:spacing w:before="60" w:after="60"/>
              <w:jc w:val="right"/>
              <w:rPr>
                <w:noProof/>
                <w:sz w:val="20"/>
              </w:rPr>
            </w:pPr>
            <w:r>
              <w:rPr>
                <w:noProof/>
                <w:sz w:val="20"/>
              </w:rPr>
              <w:t>51,396</w:t>
            </w:r>
          </w:p>
        </w:tc>
        <w:tc>
          <w:tcPr>
            <w:tcW w:w="868" w:type="dxa"/>
            <w:vAlign w:val="center"/>
          </w:tcPr>
          <w:p>
            <w:pPr>
              <w:spacing w:before="60" w:after="60"/>
              <w:jc w:val="right"/>
              <w:rPr>
                <w:noProof/>
                <w:sz w:val="20"/>
              </w:rPr>
            </w:pPr>
            <w:r>
              <w:rPr>
                <w:noProof/>
                <w:sz w:val="20"/>
              </w:rPr>
              <w:t>51,405</w:t>
            </w:r>
          </w:p>
        </w:tc>
        <w:tc>
          <w:tcPr>
            <w:tcW w:w="868" w:type="dxa"/>
            <w:vAlign w:val="center"/>
          </w:tcPr>
          <w:p>
            <w:pPr>
              <w:spacing w:before="60" w:after="60"/>
              <w:jc w:val="right"/>
              <w:rPr>
                <w:noProof/>
                <w:sz w:val="20"/>
              </w:rPr>
            </w:pPr>
            <w:r>
              <w:rPr>
                <w:noProof/>
                <w:sz w:val="20"/>
              </w:rPr>
              <w:t>47,413</w:t>
            </w:r>
          </w:p>
        </w:tc>
        <w:tc>
          <w:tcPr>
            <w:tcW w:w="868" w:type="dxa"/>
            <w:vAlign w:val="center"/>
          </w:tcPr>
          <w:p>
            <w:pPr>
              <w:spacing w:before="60" w:after="60"/>
              <w:jc w:val="right"/>
              <w:rPr>
                <w:noProof/>
                <w:sz w:val="20"/>
              </w:rPr>
            </w:pPr>
            <w:r>
              <w:rPr>
                <w:noProof/>
                <w:sz w:val="20"/>
              </w:rPr>
              <w:t>43,420</w:t>
            </w:r>
          </w:p>
        </w:tc>
        <w:tc>
          <w:tcPr>
            <w:tcW w:w="868" w:type="dxa"/>
            <w:vAlign w:val="center"/>
          </w:tcPr>
          <w:p>
            <w:pPr>
              <w:spacing w:before="60" w:after="60"/>
              <w:jc w:val="right"/>
              <w:rPr>
                <w:noProof/>
                <w:sz w:val="20"/>
              </w:rPr>
            </w:pPr>
            <w:r>
              <w:rPr>
                <w:noProof/>
                <w:sz w:val="20"/>
              </w:rPr>
              <w:t>39,430</w:t>
            </w:r>
          </w:p>
        </w:tc>
        <w:tc>
          <w:tcPr>
            <w:tcW w:w="877" w:type="dxa"/>
            <w:shd w:val="clear" w:color="auto" w:fill="A6A6A6"/>
            <w:vAlign w:val="center"/>
          </w:tcPr>
          <w:p>
            <w:pPr>
              <w:spacing w:before="60" w:after="60"/>
              <w:jc w:val="right"/>
              <w:rPr>
                <w:noProof/>
                <w:sz w:val="20"/>
              </w:rPr>
            </w:pPr>
          </w:p>
        </w:tc>
        <w:tc>
          <w:tcPr>
            <w:tcW w:w="1292" w:type="dxa"/>
            <w:vAlign w:val="center"/>
          </w:tcPr>
          <w:p>
            <w:pPr>
              <w:spacing w:before="60" w:after="60"/>
              <w:jc w:val="right"/>
              <w:rPr>
                <w:noProof/>
                <w:sz w:val="20"/>
              </w:rPr>
            </w:pPr>
            <w:r>
              <w:rPr>
                <w:noProof/>
                <w:sz w:val="20"/>
              </w:rPr>
              <w:t>302,834</w:t>
            </w:r>
          </w:p>
        </w:tc>
      </w:tr>
      <w:tr>
        <w:trPr>
          <w:jc w:val="center"/>
        </w:trPr>
        <w:tc>
          <w:tcPr>
            <w:tcW w:w="4173" w:type="dxa"/>
            <w:vMerge/>
            <w:shd w:val="clear" w:color="auto" w:fill="C0C0C0"/>
          </w:tcPr>
          <w:p>
            <w:pPr>
              <w:rPr>
                <w:noProof/>
                <w:sz w:val="20"/>
              </w:rPr>
            </w:pPr>
          </w:p>
        </w:tc>
        <w:tc>
          <w:tcPr>
            <w:tcW w:w="2094" w:type="dxa"/>
            <w:gridSpan w:val="2"/>
            <w:vAlign w:val="center"/>
          </w:tcPr>
          <w:p>
            <w:pPr>
              <w:rPr>
                <w:noProof/>
                <w:sz w:val="14"/>
              </w:rPr>
            </w:pPr>
            <w:r>
              <w:rPr>
                <w:noProof/>
                <w:sz w:val="18"/>
              </w:rPr>
              <w:t>Platby</w:t>
            </w:r>
          </w:p>
        </w:tc>
        <w:tc>
          <w:tcPr>
            <w:tcW w:w="868" w:type="dxa"/>
          </w:tcPr>
          <w:p>
            <w:pPr>
              <w:spacing w:before="60" w:after="60"/>
              <w:jc w:val="right"/>
              <w:rPr>
                <w:noProof/>
                <w:sz w:val="20"/>
              </w:rPr>
            </w:pPr>
            <w:r>
              <w:rPr>
                <w:noProof/>
                <w:sz w:val="20"/>
              </w:rPr>
              <w:t xml:space="preserve"> 0,381 </w:t>
            </w:r>
          </w:p>
        </w:tc>
        <w:tc>
          <w:tcPr>
            <w:tcW w:w="868" w:type="dxa"/>
          </w:tcPr>
          <w:p>
            <w:pPr>
              <w:spacing w:before="60" w:after="60"/>
              <w:jc w:val="right"/>
              <w:rPr>
                <w:noProof/>
                <w:sz w:val="20"/>
              </w:rPr>
            </w:pPr>
            <w:r>
              <w:rPr>
                <w:noProof/>
                <w:sz w:val="20"/>
              </w:rPr>
              <w:t xml:space="preserve"> 12,089 </w:t>
            </w:r>
          </w:p>
        </w:tc>
        <w:tc>
          <w:tcPr>
            <w:tcW w:w="868" w:type="dxa"/>
          </w:tcPr>
          <w:p>
            <w:pPr>
              <w:spacing w:before="60" w:after="60"/>
              <w:jc w:val="right"/>
              <w:rPr>
                <w:noProof/>
                <w:sz w:val="20"/>
              </w:rPr>
            </w:pPr>
            <w:r>
              <w:rPr>
                <w:noProof/>
                <w:sz w:val="20"/>
              </w:rPr>
              <w:t xml:space="preserve">31,446 </w:t>
            </w:r>
          </w:p>
        </w:tc>
        <w:tc>
          <w:tcPr>
            <w:tcW w:w="868" w:type="dxa"/>
          </w:tcPr>
          <w:p>
            <w:pPr>
              <w:spacing w:before="60" w:after="60"/>
              <w:jc w:val="right"/>
              <w:rPr>
                <w:noProof/>
                <w:sz w:val="20"/>
              </w:rPr>
            </w:pPr>
            <w:r>
              <w:rPr>
                <w:noProof/>
                <w:sz w:val="20"/>
              </w:rPr>
              <w:t xml:space="preserve">45,305 </w:t>
            </w:r>
          </w:p>
        </w:tc>
        <w:tc>
          <w:tcPr>
            <w:tcW w:w="868" w:type="dxa"/>
          </w:tcPr>
          <w:p>
            <w:pPr>
              <w:spacing w:before="60" w:after="60"/>
              <w:jc w:val="right"/>
              <w:rPr>
                <w:noProof/>
                <w:sz w:val="20"/>
              </w:rPr>
            </w:pPr>
            <w:r>
              <w:rPr>
                <w:noProof/>
                <w:sz w:val="20"/>
              </w:rPr>
              <w:t xml:space="preserve">50,613 </w:t>
            </w:r>
          </w:p>
        </w:tc>
        <w:tc>
          <w:tcPr>
            <w:tcW w:w="868" w:type="dxa"/>
          </w:tcPr>
          <w:p>
            <w:pPr>
              <w:spacing w:before="60" w:after="60"/>
              <w:jc w:val="right"/>
              <w:rPr>
                <w:noProof/>
                <w:sz w:val="20"/>
              </w:rPr>
            </w:pPr>
            <w:r>
              <w:rPr>
                <w:noProof/>
                <w:sz w:val="20"/>
              </w:rPr>
              <w:t xml:space="preserve">49,620 </w:t>
            </w:r>
          </w:p>
        </w:tc>
        <w:tc>
          <w:tcPr>
            <w:tcW w:w="868" w:type="dxa"/>
          </w:tcPr>
          <w:p>
            <w:pPr>
              <w:spacing w:before="60" w:after="60"/>
              <w:jc w:val="right"/>
              <w:rPr>
                <w:noProof/>
                <w:sz w:val="20"/>
              </w:rPr>
            </w:pPr>
            <w:r>
              <w:rPr>
                <w:noProof/>
                <w:sz w:val="20"/>
              </w:rPr>
              <w:t xml:space="preserve">46,030 </w:t>
            </w:r>
          </w:p>
        </w:tc>
        <w:tc>
          <w:tcPr>
            <w:tcW w:w="877" w:type="dxa"/>
          </w:tcPr>
          <w:p>
            <w:pPr>
              <w:spacing w:before="60" w:after="60"/>
              <w:jc w:val="right"/>
              <w:rPr>
                <w:noProof/>
                <w:sz w:val="20"/>
              </w:rPr>
            </w:pPr>
            <w:r>
              <w:rPr>
                <w:noProof/>
                <w:sz w:val="20"/>
              </w:rPr>
              <w:t xml:space="preserve">67,350 </w:t>
            </w:r>
          </w:p>
        </w:tc>
        <w:tc>
          <w:tcPr>
            <w:tcW w:w="1292" w:type="dxa"/>
          </w:tcPr>
          <w:p>
            <w:pPr>
              <w:spacing w:before="60" w:after="60"/>
              <w:jc w:val="right"/>
              <w:rPr>
                <w:noProof/>
                <w:sz w:val="20"/>
              </w:rPr>
            </w:pPr>
            <w:r>
              <w:rPr>
                <w:noProof/>
                <w:sz w:val="20"/>
              </w:rPr>
              <w:t xml:space="preserve"> 302,834 </w:t>
            </w:r>
          </w:p>
        </w:tc>
      </w:tr>
    </w:tbl>
    <w:p>
      <w:pPr>
        <w:rPr>
          <w:noProof/>
        </w:rPr>
        <w:sectPr>
          <w:headerReference w:type="default" r:id="rId18"/>
          <w:footerReference w:type="default" r:id="rId19"/>
          <w:headerReference w:type="first" r:id="rId20"/>
          <w:footerReference w:type="first" r:id="rId21"/>
          <w:pgSz w:w="16840" w:h="11907" w:orient="landscape" w:code="9"/>
          <w:pgMar w:top="1134" w:right="1418" w:bottom="1134" w:left="1418" w:header="709" w:footer="709" w:gutter="0"/>
          <w:cols w:space="708"/>
          <w:docGrid w:linePitch="360"/>
        </w:sectPr>
      </w:pPr>
    </w:p>
    <w:p>
      <w:pPr>
        <w:pStyle w:val="ManualHeading3"/>
        <w:rPr>
          <w:bCs/>
          <w:noProof/>
          <w:szCs w:val="24"/>
        </w:rPr>
      </w:pPr>
      <w:bookmarkStart w:id="46" w:name="_Toc514941993"/>
      <w:bookmarkStart w:id="47" w:name="_Toc520485220"/>
      <w:r>
        <w:t>3.2.2.</w:t>
      </w:r>
      <w:r>
        <w:tab/>
      </w:r>
      <w:r>
        <w:rPr>
          <w:noProof/>
        </w:rPr>
        <w:t>Odhadovaný souhrnný dopad na správní prostředky</w:t>
      </w:r>
      <w:bookmarkEnd w:id="46"/>
      <w:bookmarkEnd w:id="47"/>
    </w:p>
    <w:p>
      <w:pPr>
        <w:pStyle w:val="ListDash1"/>
        <w:rPr>
          <w:noProof/>
        </w:rPr>
      </w:pPr>
      <w:r>
        <w:rPr>
          <w:noProof/>
        </w:rPr>
        <w:sym w:font="Wingdings" w:char="F0FE"/>
      </w:r>
      <w:r>
        <w:rPr>
          <w:noProof/>
        </w:rPr>
        <w:tab/>
        <w:t xml:space="preserve">Návrh/podnět nevyžaduje využití prostředků správní povahy </w:t>
      </w:r>
    </w:p>
    <w:p>
      <w:pPr>
        <w:pStyle w:val="ListDash1"/>
        <w:rPr>
          <w:noProof/>
        </w:rPr>
      </w:pPr>
      <w:r>
        <w:rPr>
          <w:noProof/>
        </w:rPr>
        <w:sym w:font="Wingdings" w:char="F0A8"/>
      </w:r>
      <w:r>
        <w:rPr>
          <w:noProof/>
        </w:rPr>
        <w:tab/>
        <w:t>Návrh/podnět vyžaduje využití prostředků správní povahy, jak je vysvětleno dále:</w:t>
      </w:r>
    </w:p>
    <w:p>
      <w:pPr>
        <w:rPr>
          <w:noProof/>
          <w:sz w:val="20"/>
        </w:rPr>
      </w:pPr>
      <w:r>
        <w:rPr>
          <w:noProof/>
          <w:sz w:val="20"/>
        </w:rPr>
        <w:t>v milionech EUR (zaokrouhleno na tři desetinná místa)</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vAlign w:val="center"/>
          </w:tcPr>
          <w:p>
            <w:pPr>
              <w:spacing w:before="60" w:after="60" w:line="200" w:lineRule="exact"/>
              <w:jc w:val="center"/>
              <w:rPr>
                <w:b/>
                <w:noProof/>
                <w:sz w:val="16"/>
                <w:szCs w:val="16"/>
              </w:rPr>
            </w:pPr>
            <w:r>
              <w:rPr>
                <w:b/>
                <w:noProof/>
                <w:sz w:val="16"/>
                <w:szCs w:val="16"/>
              </w:rPr>
              <w:t>Roky</w:t>
            </w:r>
          </w:p>
        </w:tc>
        <w:tc>
          <w:tcPr>
            <w:tcW w:w="1080" w:type="dxa"/>
            <w:vAlign w:val="center"/>
          </w:tcPr>
          <w:p>
            <w:pPr>
              <w:spacing w:before="60" w:after="60" w:line="200" w:lineRule="exact"/>
              <w:jc w:val="center"/>
              <w:rPr>
                <w:noProof/>
                <w:sz w:val="16"/>
                <w:szCs w:val="16"/>
              </w:rPr>
            </w:pPr>
            <w:r>
              <w:rPr>
                <w:b/>
                <w:noProof/>
                <w:sz w:val="20"/>
              </w:rPr>
              <w:t>2021</w:t>
            </w:r>
          </w:p>
        </w:tc>
        <w:tc>
          <w:tcPr>
            <w:tcW w:w="1080" w:type="dxa"/>
            <w:vAlign w:val="center"/>
          </w:tcPr>
          <w:p>
            <w:pPr>
              <w:spacing w:before="60" w:after="60" w:line="200" w:lineRule="exact"/>
              <w:jc w:val="center"/>
              <w:rPr>
                <w:noProof/>
                <w:sz w:val="16"/>
                <w:szCs w:val="16"/>
              </w:rPr>
            </w:pPr>
            <w:r>
              <w:rPr>
                <w:b/>
                <w:noProof/>
                <w:sz w:val="20"/>
              </w:rPr>
              <w:t>2022</w:t>
            </w:r>
          </w:p>
        </w:tc>
        <w:tc>
          <w:tcPr>
            <w:tcW w:w="1080" w:type="dxa"/>
            <w:vAlign w:val="center"/>
          </w:tcPr>
          <w:p>
            <w:pPr>
              <w:spacing w:before="60" w:after="60" w:line="200" w:lineRule="exact"/>
              <w:jc w:val="center"/>
              <w:rPr>
                <w:noProof/>
                <w:sz w:val="16"/>
                <w:szCs w:val="16"/>
              </w:rPr>
            </w:pPr>
            <w:r>
              <w:rPr>
                <w:b/>
                <w:noProof/>
                <w:sz w:val="20"/>
              </w:rPr>
              <w:t>2023</w:t>
            </w:r>
          </w:p>
        </w:tc>
        <w:tc>
          <w:tcPr>
            <w:tcW w:w="1080" w:type="dxa"/>
            <w:vAlign w:val="center"/>
          </w:tcPr>
          <w:p>
            <w:pPr>
              <w:spacing w:before="60" w:after="60" w:line="200" w:lineRule="exact"/>
              <w:jc w:val="center"/>
              <w:rPr>
                <w:noProof/>
                <w:sz w:val="16"/>
                <w:szCs w:val="16"/>
              </w:rPr>
            </w:pPr>
            <w:r>
              <w:rPr>
                <w:b/>
                <w:noProof/>
                <w:sz w:val="20"/>
              </w:rPr>
              <w:t>2024</w:t>
            </w:r>
          </w:p>
        </w:tc>
        <w:tc>
          <w:tcPr>
            <w:tcW w:w="1080" w:type="dxa"/>
            <w:vAlign w:val="center"/>
          </w:tcPr>
          <w:p>
            <w:pPr>
              <w:spacing w:line="200" w:lineRule="exact"/>
              <w:jc w:val="center"/>
              <w:rPr>
                <w:b/>
                <w:noProof/>
                <w:sz w:val="16"/>
                <w:szCs w:val="16"/>
              </w:rPr>
            </w:pPr>
            <w:r>
              <w:rPr>
                <w:b/>
                <w:noProof/>
                <w:sz w:val="18"/>
              </w:rPr>
              <w:t>2025</w:t>
            </w:r>
          </w:p>
        </w:tc>
        <w:tc>
          <w:tcPr>
            <w:tcW w:w="1080" w:type="dxa"/>
            <w:vAlign w:val="center"/>
          </w:tcPr>
          <w:p>
            <w:pPr>
              <w:spacing w:line="200" w:lineRule="exact"/>
              <w:jc w:val="center"/>
              <w:rPr>
                <w:b/>
                <w:noProof/>
                <w:sz w:val="16"/>
                <w:szCs w:val="16"/>
              </w:rPr>
            </w:pPr>
            <w:r>
              <w:rPr>
                <w:b/>
                <w:noProof/>
                <w:sz w:val="18"/>
              </w:rPr>
              <w:t>2026</w:t>
            </w:r>
          </w:p>
        </w:tc>
        <w:tc>
          <w:tcPr>
            <w:tcW w:w="1080" w:type="dxa"/>
            <w:vAlign w:val="center"/>
          </w:tcPr>
          <w:p>
            <w:pPr>
              <w:spacing w:line="200" w:lineRule="exact"/>
              <w:jc w:val="center"/>
              <w:rPr>
                <w:b/>
                <w:noProof/>
                <w:sz w:val="16"/>
                <w:szCs w:val="16"/>
              </w:rPr>
            </w:pPr>
            <w:r>
              <w:rPr>
                <w:b/>
                <w:noProof/>
                <w:sz w:val="18"/>
              </w:rPr>
              <w:t>2027</w:t>
            </w:r>
          </w:p>
        </w:tc>
        <w:tc>
          <w:tcPr>
            <w:tcW w:w="1080" w:type="dxa"/>
            <w:vAlign w:val="center"/>
          </w:tcPr>
          <w:p>
            <w:pPr>
              <w:spacing w:before="60" w:after="60" w:line="200" w:lineRule="exact"/>
              <w:jc w:val="center"/>
              <w:rPr>
                <w:b/>
                <w:noProof/>
                <w:sz w:val="16"/>
                <w:szCs w:val="16"/>
              </w:rPr>
            </w:pPr>
            <w:r>
              <w:rPr>
                <w:b/>
                <w:noProof/>
                <w:sz w:val="16"/>
              </w:rPr>
              <w:t>CELKEM</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HEADING 7</w:t>
            </w:r>
            <w:r>
              <w:rPr>
                <w:noProof/>
                <w:sz w:val="22"/>
              </w:rPr>
              <w:br/>
              <w:t xml:space="preserve">OKRUH 7 </w:t>
            </w:r>
            <w:r>
              <w:rPr>
                <w:b/>
                <w:noProof/>
                <w:sz w:val="16"/>
              </w:rPr>
              <w:t>víceletého finančního rámce</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Lidské zdroje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Ostatní správní výdaje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Subtotal HEADING 7</w:t>
            </w:r>
            <w:r>
              <w:rPr>
                <w:noProof/>
                <w:sz w:val="22"/>
              </w:rPr>
              <w:t xml:space="preserve">Mezisoučet za OKRUH 7 </w:t>
            </w:r>
            <w:r>
              <w:rPr>
                <w:noProof/>
                <w:sz w:val="22"/>
              </w:rPr>
              <w:br/>
            </w:r>
            <w:r>
              <w:rPr>
                <w:b/>
                <w:noProof/>
                <w:sz w:val="16"/>
              </w:rPr>
              <w:t>víceletého finančního rámce</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Outside HEADING 7</w:t>
            </w:r>
            <w:r>
              <w:rPr>
                <w:rStyle w:val="FootnoteReference"/>
                <w:b/>
                <w:noProof/>
                <w:sz w:val="16"/>
              </w:rPr>
              <w:footnoteReference w:id="26"/>
            </w:r>
            <w:r>
              <w:rPr>
                <w:noProof/>
                <w:sz w:val="22"/>
              </w:rPr>
              <w:t xml:space="preserve">Mimo OKRUH 7 </w:t>
            </w:r>
            <w:r>
              <w:rPr>
                <w:noProof/>
                <w:sz w:val="22"/>
              </w:rPr>
              <w:br/>
            </w:r>
            <w:r>
              <w:rPr>
                <w:b/>
                <w:noProof/>
                <w:sz w:val="16"/>
              </w:rPr>
              <w:t>víceletého finančního rámce</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Lidské zdroje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Other expenditure </w:t>
            </w:r>
            <w:r>
              <w:rPr>
                <w:noProof/>
                <w:sz w:val="22"/>
              </w:rPr>
              <w:t xml:space="preserve">Ostatní výdaje </w:t>
            </w:r>
            <w:r>
              <w:rPr>
                <w:noProof/>
                <w:sz w:val="16"/>
              </w:rPr>
              <w:t>správní povahy</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Subtotal </w:t>
            </w:r>
            <w:r>
              <w:rPr>
                <w:noProof/>
                <w:sz w:val="22"/>
              </w:rPr>
              <w:t xml:space="preserve">Mezisoučet – </w:t>
            </w:r>
            <w:r>
              <w:rPr>
                <w:b/>
                <w:noProof/>
                <w:sz w:val="16"/>
              </w:rPr>
              <w:t>mimo OKRUH 7</w:t>
            </w:r>
            <w:r>
              <w:rPr>
                <w:noProof/>
                <w:sz w:val="22"/>
              </w:rPr>
              <w:br/>
              <w:t xml:space="preserve"> víceletého finančního rámce</w:t>
            </w:r>
            <w:r>
              <w:rPr>
                <w:b/>
                <w:noProof/>
                <w:sz w:val="16"/>
              </w:rPr>
              <w:t xml:space="preserve">of the multiannual financial framework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CELKEM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sz w:val="16"/>
                <w:szCs w:val="16"/>
              </w:rPr>
              <w:t>0</w:t>
            </w:r>
          </w:p>
        </w:tc>
      </w:tr>
    </w:tbl>
    <w:p>
      <w:pPr>
        <w:rPr>
          <w:noProof/>
          <w:sz w:val="18"/>
        </w:rPr>
      </w:pPr>
      <w:r>
        <w:rPr>
          <w:noProof/>
          <w:sz w:val="18"/>
        </w:rPr>
        <w:t>Potřebné prostředky na oblast lidských zdrojů a na ostatní výdaje správní povahy budou pokryty z prostředků GŘ, které jsou již vyčleněny na řízení akce a/nebo byly vnitřně přerozděleny v rámci GŘ a případně doplněny z dodatečného přídělu, který lze řídícímu GŘ poskytnout v rámci ročního přidělování a s ohledem na rozpočtová omezení.</w:t>
      </w:r>
    </w:p>
    <w:p>
      <w:pPr>
        <w:spacing w:before="0" w:after="200" w:line="276" w:lineRule="auto"/>
        <w:jc w:val="left"/>
        <w:rPr>
          <w:noProof/>
          <w:sz w:val="18"/>
        </w:rPr>
      </w:pPr>
      <w:r>
        <w:rPr>
          <w:noProof/>
        </w:rPr>
        <w:br w:type="page"/>
      </w:r>
    </w:p>
    <w:p>
      <w:pPr>
        <w:pStyle w:val="ManualHeading4"/>
        <w:rPr>
          <w:bCs/>
          <w:noProof/>
          <w:szCs w:val="24"/>
        </w:rPr>
      </w:pPr>
      <w:r>
        <w:t>3.2.2.1.</w:t>
      </w:r>
      <w:r>
        <w:tab/>
      </w:r>
      <w:r>
        <w:rPr>
          <w:noProof/>
        </w:rPr>
        <w:t>Odhadované potřeby v oblasti lidských zdrojů</w:t>
      </w:r>
    </w:p>
    <w:p>
      <w:pPr>
        <w:pStyle w:val="ListDash1"/>
        <w:rPr>
          <w:noProof/>
        </w:rPr>
      </w:pPr>
      <w:r>
        <w:rPr>
          <w:noProof/>
        </w:rPr>
        <w:sym w:font="Wingdings" w:char="F0A8"/>
      </w:r>
      <w:r>
        <w:rPr>
          <w:noProof/>
        </w:rPr>
        <w:tab/>
        <w:t xml:space="preserve">Návrh/podnět nevyžaduje využití lidských zdrojů. </w:t>
      </w:r>
    </w:p>
    <w:p>
      <w:pPr>
        <w:pStyle w:val="ListDash1"/>
        <w:rPr>
          <w:noProof/>
        </w:rPr>
      </w:pPr>
      <w:r>
        <w:rPr>
          <w:noProof/>
        </w:rPr>
        <w:sym w:font="Wingdings" w:char="F0FE"/>
      </w:r>
      <w:r>
        <w:rPr>
          <w:noProof/>
        </w:rPr>
        <w:tab/>
        <w:t>Návrh/podnět vyžaduje využití lidských zdrojů, jak je vysvětleno dále</w:t>
      </w:r>
      <w:r>
        <w:rPr>
          <w:rStyle w:val="FootnoteReference"/>
          <w:noProof/>
        </w:rPr>
        <w:footnoteReference w:id="27"/>
      </w:r>
      <w:r>
        <w:rPr>
          <w:noProof/>
        </w:rPr>
        <w:t>:</w:t>
      </w:r>
    </w:p>
    <w:p>
      <w:pPr>
        <w:spacing w:after="60"/>
        <w:jc w:val="right"/>
        <w:rPr>
          <w:i/>
          <w:noProof/>
          <w:sz w:val="20"/>
        </w:rPr>
      </w:pPr>
      <w:r>
        <w:rPr>
          <w:i/>
          <w:noProof/>
          <w:sz w:val="20"/>
        </w:rPr>
        <w:t>Odhad vyjádřete v přepočtu na plné pracovní úvazky</w:t>
      </w:r>
    </w:p>
    <w:tbl>
      <w:tblPr>
        <w:tblW w:w="5717"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1"/>
        <w:gridCol w:w="1565"/>
        <w:gridCol w:w="990"/>
        <w:gridCol w:w="1134"/>
        <w:gridCol w:w="990"/>
        <w:gridCol w:w="1134"/>
        <w:gridCol w:w="1132"/>
        <w:gridCol w:w="994"/>
        <w:gridCol w:w="1119"/>
      </w:tblGrid>
      <w:tr>
        <w:trPr>
          <w:trHeight w:val="289"/>
        </w:trPr>
        <w:tc>
          <w:tcPr>
            <w:tcW w:w="1472" w:type="pct"/>
            <w:gridSpan w:val="2"/>
            <w:vAlign w:val="center"/>
          </w:tcPr>
          <w:p>
            <w:pPr>
              <w:pStyle w:val="Text1"/>
              <w:spacing w:before="40" w:after="40"/>
              <w:ind w:left="0"/>
              <w:jc w:val="center"/>
              <w:rPr>
                <w:i/>
                <w:noProof/>
                <w:sz w:val="16"/>
                <w:szCs w:val="16"/>
              </w:rPr>
            </w:pPr>
            <w:r>
              <w:rPr>
                <w:b/>
                <w:noProof/>
                <w:sz w:val="16"/>
                <w:szCs w:val="16"/>
              </w:rPr>
              <w:t>Roky</w:t>
            </w:r>
          </w:p>
        </w:tc>
        <w:tc>
          <w:tcPr>
            <w:tcW w:w="466" w:type="pct"/>
            <w:shd w:val="clear" w:color="auto" w:fill="auto"/>
            <w:vAlign w:val="center"/>
          </w:tcPr>
          <w:p>
            <w:pPr>
              <w:spacing w:before="20" w:after="20"/>
              <w:jc w:val="center"/>
              <w:rPr>
                <w:b/>
                <w:noProof/>
                <w:sz w:val="16"/>
                <w:szCs w:val="16"/>
              </w:rPr>
            </w:pPr>
            <w:r>
              <w:rPr>
                <w:b/>
                <w:noProof/>
                <w:sz w:val="20"/>
              </w:rPr>
              <w:t>2021</w:t>
            </w:r>
          </w:p>
        </w:tc>
        <w:tc>
          <w:tcPr>
            <w:tcW w:w="534" w:type="pct"/>
            <w:shd w:val="clear" w:color="auto" w:fill="auto"/>
            <w:vAlign w:val="center"/>
          </w:tcPr>
          <w:p>
            <w:pPr>
              <w:spacing w:before="20" w:after="20"/>
              <w:jc w:val="center"/>
              <w:rPr>
                <w:b/>
                <w:noProof/>
                <w:sz w:val="20"/>
              </w:rPr>
            </w:pPr>
            <w:r>
              <w:rPr>
                <w:b/>
                <w:noProof/>
                <w:sz w:val="20"/>
              </w:rPr>
              <w:t>2022</w:t>
            </w:r>
          </w:p>
        </w:tc>
        <w:tc>
          <w:tcPr>
            <w:tcW w:w="466" w:type="pct"/>
            <w:shd w:val="clear" w:color="auto" w:fill="auto"/>
            <w:vAlign w:val="center"/>
          </w:tcPr>
          <w:p>
            <w:pPr>
              <w:spacing w:before="20" w:after="20"/>
              <w:jc w:val="center"/>
              <w:rPr>
                <w:b/>
                <w:noProof/>
                <w:sz w:val="20"/>
              </w:rPr>
            </w:pPr>
            <w:r>
              <w:rPr>
                <w:b/>
                <w:noProof/>
                <w:sz w:val="20"/>
              </w:rPr>
              <w:t>2023</w:t>
            </w:r>
          </w:p>
        </w:tc>
        <w:tc>
          <w:tcPr>
            <w:tcW w:w="534" w:type="pct"/>
            <w:shd w:val="clear" w:color="auto" w:fill="auto"/>
            <w:vAlign w:val="center"/>
          </w:tcPr>
          <w:p>
            <w:pPr>
              <w:spacing w:before="20" w:after="20"/>
              <w:jc w:val="center"/>
              <w:rPr>
                <w:b/>
                <w:noProof/>
                <w:sz w:val="20"/>
              </w:rPr>
            </w:pPr>
            <w:r>
              <w:rPr>
                <w:b/>
                <w:noProof/>
                <w:sz w:val="20"/>
              </w:rPr>
              <w:t>2024</w:t>
            </w:r>
          </w:p>
        </w:tc>
        <w:tc>
          <w:tcPr>
            <w:tcW w:w="533" w:type="pct"/>
            <w:shd w:val="clear" w:color="auto" w:fill="auto"/>
            <w:vAlign w:val="center"/>
          </w:tcPr>
          <w:p>
            <w:pPr>
              <w:jc w:val="center"/>
              <w:rPr>
                <w:b/>
                <w:noProof/>
                <w:sz w:val="20"/>
              </w:rPr>
            </w:pPr>
            <w:r>
              <w:rPr>
                <w:b/>
                <w:noProof/>
                <w:sz w:val="20"/>
              </w:rPr>
              <w:t>2025</w:t>
            </w:r>
          </w:p>
        </w:tc>
        <w:tc>
          <w:tcPr>
            <w:tcW w:w="468" w:type="pct"/>
            <w:shd w:val="clear" w:color="auto" w:fill="auto"/>
            <w:vAlign w:val="center"/>
          </w:tcPr>
          <w:p>
            <w:pPr>
              <w:jc w:val="center"/>
              <w:rPr>
                <w:b/>
                <w:noProof/>
                <w:sz w:val="20"/>
              </w:rPr>
            </w:pPr>
            <w:r>
              <w:rPr>
                <w:b/>
                <w:noProof/>
                <w:sz w:val="20"/>
              </w:rPr>
              <w:t>2026</w:t>
            </w:r>
          </w:p>
        </w:tc>
        <w:tc>
          <w:tcPr>
            <w:tcW w:w="527" w:type="pct"/>
            <w:shd w:val="clear" w:color="auto" w:fill="auto"/>
            <w:vAlign w:val="center"/>
          </w:tcPr>
          <w:p>
            <w:pPr>
              <w:jc w:val="center"/>
              <w:rPr>
                <w:b/>
                <w:noProof/>
                <w:sz w:val="20"/>
              </w:rPr>
            </w:pPr>
            <w:r>
              <w:rPr>
                <w:b/>
                <w:noProof/>
                <w:sz w:val="20"/>
              </w:rPr>
              <w:t>2027</w:t>
            </w:r>
          </w:p>
        </w:tc>
      </w:tr>
      <w:tr>
        <w:trPr>
          <w:trHeight w:val="289"/>
        </w:trPr>
        <w:tc>
          <w:tcPr>
            <w:tcW w:w="5000" w:type="pct"/>
            <w:gridSpan w:val="9"/>
          </w:tcPr>
          <w:p>
            <w:pPr>
              <w:jc w:val="left"/>
              <w:rPr>
                <w:noProof/>
                <w:sz w:val="16"/>
                <w:szCs w:val="16"/>
              </w:rPr>
            </w:pPr>
            <w:r>
              <w:rPr>
                <w:b/>
                <w:noProof/>
                <w:sz w:val="16"/>
              </w:rPr>
              <w:sym w:font="Wingdings" w:char="F09F"/>
            </w:r>
            <w:r>
              <w:rPr>
                <w:b/>
                <w:noProof/>
                <w:sz w:val="16"/>
              </w:rPr>
              <w:t xml:space="preserve"> Pracovní místa podle plánu pracovních míst (místa úředníků a dočasných zaměstnanců)</w:t>
            </w:r>
          </w:p>
        </w:tc>
      </w:tr>
      <w:tr>
        <w:trPr>
          <w:trHeight w:val="289"/>
        </w:trPr>
        <w:tc>
          <w:tcPr>
            <w:tcW w:w="1472" w:type="pct"/>
            <w:gridSpan w:val="2"/>
          </w:tcPr>
          <w:p>
            <w:pPr>
              <w:pStyle w:val="Text1"/>
              <w:spacing w:beforeLines="20" w:before="48" w:afterLines="20" w:after="48"/>
              <w:ind w:left="134"/>
              <w:jc w:val="left"/>
              <w:rPr>
                <w:b/>
                <w:noProof/>
                <w:sz w:val="16"/>
                <w:szCs w:val="16"/>
              </w:rPr>
            </w:pPr>
            <w:r>
              <w:rPr>
                <w:noProof/>
                <w:sz w:val="16"/>
              </w:rPr>
              <w:t>Ústředí a zastoupení Komise</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Delegace</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Výzkum</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466" w:type="pct"/>
            <w:shd w:val="clear" w:color="auto" w:fill="auto"/>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533" w:type="pct"/>
            <w:shd w:val="clear" w:color="auto" w:fill="auto"/>
          </w:tcPr>
          <w:p>
            <w:pPr>
              <w:spacing w:beforeLines="20" w:before="48" w:afterLines="20" w:after="48"/>
              <w:jc w:val="center"/>
              <w:rPr>
                <w:noProof/>
                <w:sz w:val="16"/>
                <w:szCs w:val="16"/>
              </w:rPr>
            </w:pPr>
            <w:r>
              <w:rPr>
                <w:noProof/>
                <w:sz w:val="16"/>
                <w:szCs w:val="16"/>
              </w:rPr>
              <w:t>2,5</w:t>
            </w:r>
          </w:p>
        </w:tc>
        <w:tc>
          <w:tcPr>
            <w:tcW w:w="468" w:type="pct"/>
            <w:shd w:val="clear" w:color="auto" w:fill="auto"/>
          </w:tcPr>
          <w:p>
            <w:pPr>
              <w:spacing w:beforeLines="20" w:before="48" w:afterLines="20" w:after="48"/>
              <w:jc w:val="center"/>
              <w:rPr>
                <w:noProof/>
                <w:sz w:val="16"/>
                <w:szCs w:val="16"/>
              </w:rPr>
            </w:pPr>
            <w:r>
              <w:rPr>
                <w:noProof/>
                <w:sz w:val="16"/>
                <w:szCs w:val="16"/>
              </w:rPr>
              <w:t>2,5</w:t>
            </w:r>
          </w:p>
        </w:tc>
        <w:tc>
          <w:tcPr>
            <w:tcW w:w="527" w:type="pct"/>
            <w:shd w:val="clear" w:color="auto" w:fill="auto"/>
          </w:tcPr>
          <w:p>
            <w:pPr>
              <w:spacing w:beforeLines="20" w:before="48" w:afterLines="20" w:after="48"/>
              <w:jc w:val="center"/>
              <w:rPr>
                <w:noProof/>
                <w:sz w:val="16"/>
                <w:szCs w:val="16"/>
              </w:rPr>
            </w:pPr>
            <w:r>
              <w:rPr>
                <w:noProof/>
                <w:sz w:val="16"/>
                <w:szCs w:val="16"/>
              </w:rPr>
              <w:t>2,5</w:t>
            </w:r>
          </w:p>
        </w:tc>
      </w:tr>
      <w:tr>
        <w:trPr>
          <w:trHeight w:val="293"/>
        </w:trPr>
        <w:tc>
          <w:tcPr>
            <w:tcW w:w="5000" w:type="pct"/>
            <w:gridSpan w:val="9"/>
          </w:tcPr>
          <w:p>
            <w:pPr>
              <w:pStyle w:val="Text1"/>
              <w:spacing w:before="60" w:after="60"/>
              <w:ind w:left="0"/>
              <w:jc w:val="left"/>
              <w:rPr>
                <w:b/>
                <w:noProof/>
                <w:sz w:val="16"/>
                <w:szCs w:val="16"/>
              </w:rPr>
            </w:pPr>
            <w:r>
              <w:rPr>
                <w:b/>
                <w:noProof/>
                <w:sz w:val="16"/>
              </w:rPr>
              <w:sym w:font="Wingdings" w:char="F09F"/>
            </w:r>
            <w:r>
              <w:rPr>
                <w:b/>
                <w:noProof/>
                <w:sz w:val="16"/>
              </w:rPr>
              <w:t xml:space="preserve"> Externí zaměstnanci (v přepočtu na plné pracovní úvazky: FTE) – SZ, MZ, VNO, ZAP a MOD</w:t>
            </w:r>
            <w:r>
              <w:rPr>
                <w:noProof/>
                <w:sz w:val="16"/>
              </w:rPr>
              <w:t xml:space="preserve"> </w:t>
            </w:r>
            <w:r>
              <w:rPr>
                <w:rStyle w:val="FootnoteReference"/>
                <w:noProof/>
                <w:sz w:val="16"/>
              </w:rPr>
              <w:footnoteReference w:id="28"/>
            </w:r>
          </w:p>
          <w:p>
            <w:pPr>
              <w:pStyle w:val="Text1"/>
              <w:spacing w:before="0" w:after="0"/>
              <w:ind w:left="0"/>
              <w:jc w:val="left"/>
              <w:rPr>
                <w:noProof/>
                <w:sz w:val="16"/>
                <w:szCs w:val="16"/>
              </w:rPr>
            </w:pPr>
            <w:r>
              <w:rPr>
                <w:noProof/>
                <w:sz w:val="16"/>
                <w:szCs w:val="16"/>
              </w:rPr>
              <w:t>Okruh 7</w:t>
            </w:r>
          </w:p>
        </w:tc>
      </w:tr>
      <w:tr>
        <w:trPr>
          <w:trHeight w:val="485"/>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Financovaní z OKRUHU 7 víceletého finančního rámce</w:t>
            </w:r>
            <w:r>
              <w:rPr>
                <w:b/>
                <w:noProof/>
                <w:sz w:val="16"/>
              </w:rPr>
              <w:t xml:space="preserve"> </w:t>
            </w:r>
          </w:p>
        </w:tc>
        <w:tc>
          <w:tcPr>
            <w:tcW w:w="737" w:type="pct"/>
            <w:vAlign w:val="center"/>
          </w:tcPr>
          <w:p>
            <w:pPr>
              <w:pStyle w:val="Text1"/>
              <w:spacing w:beforeLines="20" w:before="48" w:afterLines="20" w:after="48"/>
              <w:ind w:left="136"/>
              <w:jc w:val="left"/>
              <w:rPr>
                <w:b/>
                <w:noProof/>
                <w:sz w:val="16"/>
                <w:szCs w:val="16"/>
              </w:rPr>
            </w:pPr>
            <w:r>
              <w:rPr>
                <w:noProof/>
                <w:sz w:val="16"/>
              </w:rPr>
              <w:t>- v ústředí</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vAlign w:val="center"/>
          </w:tcPr>
          <w:p>
            <w:pPr>
              <w:pStyle w:val="Text1"/>
              <w:spacing w:beforeLines="20" w:before="48" w:afterLines="20" w:after="48"/>
              <w:ind w:left="136"/>
              <w:jc w:val="left"/>
              <w:rPr>
                <w:noProof/>
                <w:sz w:val="16"/>
                <w:szCs w:val="16"/>
              </w:rPr>
            </w:pPr>
          </w:p>
        </w:tc>
        <w:tc>
          <w:tcPr>
            <w:tcW w:w="737" w:type="pct"/>
            <w:vAlign w:val="center"/>
          </w:tcPr>
          <w:p>
            <w:pPr>
              <w:pStyle w:val="Text1"/>
              <w:spacing w:beforeLines="20" w:before="48" w:afterLines="20" w:after="48"/>
              <w:ind w:left="136"/>
              <w:jc w:val="left"/>
              <w:rPr>
                <w:noProof/>
                <w:sz w:val="16"/>
                <w:szCs w:val="16"/>
              </w:rPr>
            </w:pPr>
            <w:r>
              <w:rPr>
                <w:noProof/>
                <w:sz w:val="16"/>
              </w:rPr>
              <w:t xml:space="preserve">- při delegacích </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370"/>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Financovaní z krytí programu</w:t>
            </w:r>
            <w:r>
              <w:rPr>
                <w:b/>
                <w:noProof/>
                <w:sz w:val="16"/>
                <w:szCs w:val="16"/>
              </w:rPr>
              <w:t xml:space="preserve"> </w:t>
            </w:r>
            <w:r>
              <w:rPr>
                <w:rStyle w:val="FootnoteReference"/>
                <w:b/>
                <w:noProof/>
                <w:sz w:val="16"/>
              </w:rPr>
              <w:footnoteReference w:id="29"/>
            </w: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v ústředí</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tcPr>
          <w:p>
            <w:pPr>
              <w:pStyle w:val="Text1"/>
              <w:spacing w:beforeLines="20" w:before="48" w:afterLines="20" w:after="48"/>
              <w:ind w:left="136"/>
              <w:jc w:val="left"/>
              <w:rPr>
                <w:b/>
                <w:noProof/>
                <w:sz w:val="16"/>
                <w:szCs w:val="16"/>
              </w:rPr>
            </w:pP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xml:space="preserve">- při delegacích </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6"/>
              <w:jc w:val="left"/>
              <w:rPr>
                <w:noProof/>
                <w:sz w:val="16"/>
                <w:szCs w:val="16"/>
              </w:rPr>
            </w:pPr>
            <w:r>
              <w:rPr>
                <w:noProof/>
                <w:sz w:val="16"/>
                <w:szCs w:val="16"/>
              </w:rPr>
              <w:t>Výzkum</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bottom w:val="double" w:sz="4" w:space="0" w:color="auto"/>
            </w:tcBorders>
          </w:tcPr>
          <w:p>
            <w:pPr>
              <w:pStyle w:val="Text1"/>
              <w:spacing w:beforeLines="20" w:before="48" w:afterLines="20" w:after="48"/>
              <w:ind w:left="134"/>
              <w:jc w:val="left"/>
              <w:rPr>
                <w:noProof/>
                <w:sz w:val="16"/>
                <w:szCs w:val="16"/>
              </w:rPr>
            </w:pPr>
            <w:r>
              <w:rPr>
                <w:noProof/>
                <w:sz w:val="16"/>
              </w:rPr>
              <w:t>Jiné (upřesněte)</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top w:val="double" w:sz="4" w:space="0" w:color="auto"/>
            </w:tcBorders>
          </w:tcPr>
          <w:p>
            <w:pPr>
              <w:pStyle w:val="Text1"/>
              <w:spacing w:beforeLines="20" w:before="48" w:afterLines="20" w:after="48"/>
              <w:ind w:left="136"/>
              <w:jc w:val="left"/>
              <w:rPr>
                <w:noProof/>
                <w:sz w:val="16"/>
                <w:szCs w:val="16"/>
              </w:rPr>
            </w:pPr>
            <w:r>
              <w:rPr>
                <w:b/>
                <w:noProof/>
                <w:sz w:val="16"/>
              </w:rPr>
              <w:t>CELKEM</w:t>
            </w:r>
          </w:p>
        </w:tc>
        <w:tc>
          <w:tcPr>
            <w:tcW w:w="466" w:type="pct"/>
            <w:tcBorders>
              <w:top w:val="double" w:sz="4" w:space="0" w:color="auto"/>
            </w:tcBorders>
            <w:shd w:val="clear" w:color="auto" w:fill="auto"/>
            <w:vAlign w:val="center"/>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6"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3"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8"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27"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r>
    </w:tbl>
    <w:p>
      <w:pPr>
        <w:pStyle w:val="Text1"/>
        <w:rPr>
          <w:noProof/>
          <w:sz w:val="18"/>
          <w:szCs w:val="18"/>
        </w:rPr>
      </w:pPr>
      <w:r>
        <w:rPr>
          <w:noProof/>
          <w:sz w:val="18"/>
        </w:rPr>
        <w:t>Potřeby v oblasti lidských zdrojů budou pokryty ze zdrojů GŘ, které jsou již vyčleněny na řízení akce a/nebo byly vnitřně přeobsazeny v rámci GŘ, a případně doplněny z dodatečného přídělu, který lze řídícímu GŘ poskytnout v rámci ročního přidělování a s ohledem na rozpočtová omezení.</w:t>
      </w:r>
    </w:p>
    <w:p>
      <w:pPr>
        <w:rPr>
          <w:noProof/>
          <w:sz w:val="20"/>
        </w:rPr>
      </w:pPr>
      <w:r>
        <w:rPr>
          <w:noProof/>
          <w:sz w:val="20"/>
        </w:rPr>
        <w:t>Popis úkolů:</w:t>
      </w:r>
    </w:p>
    <w:tbl>
      <w:tblPr>
        <w:tblW w:w="1063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392"/>
      </w:tblGrid>
      <w:tr>
        <w:tc>
          <w:tcPr>
            <w:tcW w:w="3240" w:type="dxa"/>
          </w:tcPr>
          <w:p>
            <w:pPr>
              <w:rPr>
                <w:noProof/>
                <w:sz w:val="20"/>
              </w:rPr>
            </w:pPr>
            <w:r>
              <w:rPr>
                <w:noProof/>
                <w:sz w:val="20"/>
              </w:rPr>
              <w:t>Úředníci a dočasní zaměstnanci</w:t>
            </w:r>
          </w:p>
        </w:tc>
        <w:tc>
          <w:tcPr>
            <w:tcW w:w="7392" w:type="dxa"/>
          </w:tcPr>
          <w:p>
            <w:pPr>
              <w:rPr>
                <w:noProof/>
                <w:sz w:val="20"/>
              </w:rPr>
            </w:pPr>
            <w:r>
              <w:rPr>
                <w:noProof/>
                <w:sz w:val="20"/>
              </w:rPr>
              <w:t>Dohled nad programem a politické vedení (PO a LO) a administrativní úkoly v oblasti hodnocení/správy a povinnosti Komise.</w:t>
            </w:r>
          </w:p>
        </w:tc>
      </w:tr>
      <w:tr>
        <w:tc>
          <w:tcPr>
            <w:tcW w:w="3240" w:type="dxa"/>
          </w:tcPr>
          <w:p>
            <w:pPr>
              <w:spacing w:before="60" w:after="60"/>
              <w:rPr>
                <w:noProof/>
                <w:sz w:val="20"/>
              </w:rPr>
            </w:pPr>
            <w:r>
              <w:rPr>
                <w:noProof/>
                <w:sz w:val="20"/>
              </w:rPr>
              <w:t>Externí zaměstnanci</w:t>
            </w:r>
          </w:p>
        </w:tc>
        <w:tc>
          <w:tcPr>
            <w:tcW w:w="7392" w:type="dxa"/>
          </w:tcPr>
          <w:p>
            <w:pPr>
              <w:rPr>
                <w:noProof/>
                <w:sz w:val="20"/>
              </w:rPr>
            </w:pPr>
            <w:r>
              <w:rPr>
                <w:noProof/>
                <w:sz w:val="20"/>
              </w:rPr>
              <w:t>není k dispozici</w:t>
            </w:r>
          </w:p>
        </w:tc>
      </w:tr>
    </w:tbl>
    <w:p>
      <w:pPr>
        <w:rPr>
          <w:noProof/>
        </w:rPr>
        <w:sectPr>
          <w:headerReference w:type="default" r:id="rId22"/>
          <w:footerReference w:type="default" r:id="rId23"/>
          <w:headerReference w:type="first" r:id="rId24"/>
          <w:footerReference w:type="first" r:id="rId25"/>
          <w:pgSz w:w="11907" w:h="16840"/>
          <w:pgMar w:top="1134" w:right="1418" w:bottom="1134" w:left="1418" w:header="709" w:footer="709" w:gutter="0"/>
          <w:cols w:space="708"/>
          <w:docGrid w:linePitch="360"/>
        </w:sectPr>
      </w:pPr>
    </w:p>
    <w:p>
      <w:pPr>
        <w:pStyle w:val="ManualHeading3"/>
        <w:rPr>
          <w:bCs/>
          <w:noProof/>
          <w:szCs w:val="24"/>
        </w:rPr>
      </w:pPr>
      <w:bookmarkStart w:id="48" w:name="_Toc514941994"/>
      <w:bookmarkStart w:id="49" w:name="_Toc520485221"/>
      <w:r>
        <w:t>3.2.3.</w:t>
      </w:r>
      <w:r>
        <w:tab/>
      </w:r>
      <w:r>
        <w:rPr>
          <w:noProof/>
        </w:rPr>
        <w:t>Příspěvky třetích stran</w:t>
      </w:r>
      <w:bookmarkEnd w:id="48"/>
      <w:bookmarkEnd w:id="49"/>
      <w:r>
        <w:rPr>
          <w:noProof/>
        </w:rPr>
        <w:t xml:space="preserve"> </w:t>
      </w:r>
    </w:p>
    <w:p>
      <w:pPr>
        <w:pStyle w:val="Text1"/>
        <w:rPr>
          <w:noProof/>
        </w:rPr>
      </w:pPr>
      <w:r>
        <w:rPr>
          <w:noProof/>
        </w:rPr>
        <w:t>Návrh/podnět:</w:t>
      </w:r>
    </w:p>
    <w:p>
      <w:pPr>
        <w:pStyle w:val="ListDash1"/>
        <w:rPr>
          <w:noProof/>
        </w:rPr>
      </w:pPr>
      <w:r>
        <w:rPr>
          <w:noProof/>
        </w:rPr>
        <w:sym w:font="Wingdings" w:char="F0A8"/>
      </w:r>
      <w:r>
        <w:rPr>
          <w:noProof/>
        </w:rPr>
        <w:tab/>
        <w:t>nepočítá se spolufinancováním od třetích stran</w:t>
      </w:r>
    </w:p>
    <w:p>
      <w:pPr>
        <w:pStyle w:val="ListDash1"/>
        <w:rPr>
          <w:noProof/>
        </w:rPr>
      </w:pPr>
      <w:r>
        <w:rPr>
          <w:noProof/>
        </w:rPr>
        <w:sym w:font="Wingdings" w:char="F0FE"/>
      </w:r>
      <w:r>
        <w:rPr>
          <w:noProof/>
        </w:rPr>
        <w:tab/>
        <w:t>počítá se spolufinancováním od třetích stran podle následujícího odhadu:</w:t>
      </w:r>
    </w:p>
    <w:p>
      <w:pPr>
        <w:jc w:val="right"/>
        <w:rPr>
          <w:noProof/>
          <w:sz w:val="20"/>
        </w:rPr>
      </w:pPr>
      <w:r>
        <w:rPr>
          <w:noProof/>
          <w:sz w:val="20"/>
        </w:rPr>
        <w:t>Prostředky v milionech EUR (zaokrouhleno na tři desetinná místa)</w:t>
      </w:r>
    </w:p>
    <w:tbl>
      <w:tblPr>
        <w:tblW w:w="102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jc w:val="center"/>
        </w:trPr>
        <w:tc>
          <w:tcPr>
            <w:tcW w:w="2340" w:type="dxa"/>
            <w:vAlign w:val="center"/>
          </w:tcPr>
          <w:p>
            <w:pPr>
              <w:spacing w:before="60" w:after="60"/>
              <w:jc w:val="center"/>
              <w:rPr>
                <w:b/>
                <w:noProof/>
                <w:sz w:val="20"/>
              </w:rPr>
            </w:pPr>
            <w:r>
              <w:rPr>
                <w:b/>
                <w:noProof/>
                <w:sz w:val="20"/>
              </w:rPr>
              <w:t>Roky</w:t>
            </w:r>
          </w:p>
        </w:tc>
        <w:tc>
          <w:tcPr>
            <w:tcW w:w="964" w:type="dxa"/>
            <w:vAlign w:val="center"/>
          </w:tcPr>
          <w:p>
            <w:pPr>
              <w:jc w:val="center"/>
              <w:rPr>
                <w:noProof/>
                <w:sz w:val="20"/>
              </w:rPr>
            </w:pPr>
            <w:r>
              <w:rPr>
                <w:b/>
                <w:noProof/>
                <w:sz w:val="20"/>
              </w:rPr>
              <w:t>2021</w:t>
            </w:r>
          </w:p>
        </w:tc>
        <w:tc>
          <w:tcPr>
            <w:tcW w:w="964" w:type="dxa"/>
            <w:vAlign w:val="center"/>
          </w:tcPr>
          <w:p>
            <w:pPr>
              <w:jc w:val="center"/>
              <w:rPr>
                <w:b/>
                <w:noProof/>
                <w:sz w:val="20"/>
              </w:rPr>
            </w:pPr>
            <w:r>
              <w:rPr>
                <w:b/>
                <w:noProof/>
                <w:sz w:val="20"/>
              </w:rPr>
              <w:t>2022</w:t>
            </w:r>
          </w:p>
        </w:tc>
        <w:tc>
          <w:tcPr>
            <w:tcW w:w="964" w:type="dxa"/>
            <w:vAlign w:val="center"/>
          </w:tcPr>
          <w:p>
            <w:pPr>
              <w:jc w:val="center"/>
              <w:rPr>
                <w:b/>
                <w:noProof/>
                <w:sz w:val="20"/>
              </w:rPr>
            </w:pPr>
            <w:r>
              <w:rPr>
                <w:b/>
                <w:noProof/>
                <w:sz w:val="20"/>
              </w:rPr>
              <w:t>2023</w:t>
            </w:r>
          </w:p>
        </w:tc>
        <w:tc>
          <w:tcPr>
            <w:tcW w:w="964" w:type="dxa"/>
            <w:vAlign w:val="center"/>
          </w:tcPr>
          <w:p>
            <w:pPr>
              <w:jc w:val="center"/>
              <w:rPr>
                <w:b/>
                <w:noProof/>
                <w:sz w:val="20"/>
              </w:rPr>
            </w:pPr>
            <w:r>
              <w:rPr>
                <w:b/>
                <w:noProof/>
                <w:sz w:val="20"/>
              </w:rPr>
              <w:t>2024</w:t>
            </w:r>
          </w:p>
        </w:tc>
        <w:tc>
          <w:tcPr>
            <w:tcW w:w="964" w:type="dxa"/>
            <w:vAlign w:val="center"/>
          </w:tcPr>
          <w:p>
            <w:pPr>
              <w:jc w:val="center"/>
              <w:rPr>
                <w:b/>
                <w:noProof/>
                <w:sz w:val="20"/>
              </w:rPr>
            </w:pPr>
            <w:r>
              <w:rPr>
                <w:b/>
                <w:noProof/>
                <w:sz w:val="20"/>
              </w:rPr>
              <w:t>2025</w:t>
            </w:r>
          </w:p>
        </w:tc>
        <w:tc>
          <w:tcPr>
            <w:tcW w:w="964" w:type="dxa"/>
            <w:vAlign w:val="center"/>
          </w:tcPr>
          <w:p>
            <w:pPr>
              <w:jc w:val="center"/>
              <w:rPr>
                <w:b/>
                <w:noProof/>
                <w:sz w:val="20"/>
              </w:rPr>
            </w:pPr>
            <w:r>
              <w:rPr>
                <w:b/>
                <w:noProof/>
                <w:sz w:val="20"/>
              </w:rPr>
              <w:t>2026</w:t>
            </w:r>
          </w:p>
        </w:tc>
        <w:tc>
          <w:tcPr>
            <w:tcW w:w="964" w:type="dxa"/>
            <w:vAlign w:val="center"/>
          </w:tcPr>
          <w:p>
            <w:pPr>
              <w:jc w:val="center"/>
              <w:rPr>
                <w:b/>
                <w:noProof/>
                <w:sz w:val="20"/>
              </w:rPr>
            </w:pPr>
            <w:r>
              <w:rPr>
                <w:b/>
                <w:noProof/>
                <w:sz w:val="20"/>
              </w:rPr>
              <w:t>2027</w:t>
            </w:r>
          </w:p>
        </w:tc>
        <w:tc>
          <w:tcPr>
            <w:tcW w:w="1158" w:type="dxa"/>
            <w:vAlign w:val="center"/>
          </w:tcPr>
          <w:p>
            <w:pPr>
              <w:spacing w:before="60" w:after="60"/>
              <w:jc w:val="center"/>
              <w:rPr>
                <w:b/>
                <w:noProof/>
                <w:sz w:val="20"/>
              </w:rPr>
            </w:pPr>
            <w:r>
              <w:rPr>
                <w:b/>
                <w:noProof/>
                <w:sz w:val="20"/>
              </w:rPr>
              <w:t>CELKEM</w:t>
            </w:r>
          </w:p>
        </w:tc>
      </w:tr>
      <w:tr>
        <w:trPr>
          <w:cantSplit/>
          <w:jc w:val="center"/>
        </w:trPr>
        <w:tc>
          <w:tcPr>
            <w:tcW w:w="2340" w:type="dxa"/>
          </w:tcPr>
          <w:p>
            <w:pPr>
              <w:rPr>
                <w:noProof/>
              </w:rPr>
            </w:pPr>
            <w:r>
              <w:rPr>
                <w:noProof/>
                <w:sz w:val="20"/>
              </w:rPr>
              <w:t>Zúčastněné státy</w:t>
            </w:r>
            <w:r>
              <w:rPr>
                <w:i/>
                <w:noProof/>
                <w:sz w:val="20"/>
              </w:rPr>
              <w:t xml:space="preserve">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158" w:type="dxa"/>
            <w:vAlign w:val="center"/>
          </w:tcPr>
          <w:p>
            <w:pPr>
              <w:spacing w:before="60" w:after="60"/>
              <w:jc w:val="center"/>
              <w:rPr>
                <w:noProof/>
                <w:sz w:val="20"/>
              </w:rPr>
            </w:pPr>
            <w:r>
              <w:rPr>
                <w:noProof/>
                <w:sz w:val="20"/>
              </w:rPr>
              <w:t>363,000</w:t>
            </w:r>
          </w:p>
        </w:tc>
      </w:tr>
      <w:tr>
        <w:trPr>
          <w:cantSplit/>
          <w:jc w:val="center"/>
        </w:trPr>
        <w:tc>
          <w:tcPr>
            <w:tcW w:w="2340" w:type="dxa"/>
          </w:tcPr>
          <w:p>
            <w:pPr>
              <w:spacing w:before="60" w:after="60"/>
              <w:jc w:val="left"/>
              <w:rPr>
                <w:noProof/>
                <w:sz w:val="20"/>
              </w:rPr>
            </w:pPr>
            <w:r>
              <w:rPr>
                <w:noProof/>
                <w:sz w:val="20"/>
              </w:rPr>
              <w:t xml:space="preserve">Spolufinancované prostředky CELKEM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158" w:type="dxa"/>
            <w:vAlign w:val="center"/>
          </w:tcPr>
          <w:p>
            <w:pPr>
              <w:spacing w:before="60" w:after="60"/>
              <w:jc w:val="center"/>
              <w:rPr>
                <w:noProof/>
                <w:sz w:val="20"/>
              </w:rPr>
            </w:pPr>
            <w:r>
              <w:rPr>
                <w:noProof/>
                <w:sz w:val="20"/>
              </w:rPr>
              <w:t>363,000</w:t>
            </w:r>
          </w:p>
        </w:tc>
      </w:tr>
    </w:tbl>
    <w:p>
      <w:pPr>
        <w:rPr>
          <w:noProof/>
        </w:rPr>
      </w:pPr>
    </w:p>
    <w:p>
      <w:pPr>
        <w:pStyle w:val="ManualHeading2"/>
        <w:rPr>
          <w:bCs/>
          <w:noProof/>
          <w:szCs w:val="24"/>
        </w:rPr>
      </w:pPr>
      <w:bookmarkStart w:id="50" w:name="_Toc514941995"/>
      <w:bookmarkStart w:id="51" w:name="_Toc520485222"/>
      <w:r>
        <w:t>3.3.</w:t>
      </w:r>
      <w:r>
        <w:tab/>
      </w:r>
      <w:r>
        <w:rPr>
          <w:noProof/>
        </w:rPr>
        <w:t>Odhadovaný dopad na příjmy</w:t>
      </w:r>
      <w:bookmarkEnd w:id="50"/>
      <w:bookmarkEnd w:id="51"/>
      <w:r>
        <w:rPr>
          <w:noProof/>
        </w:rPr>
        <w:t xml:space="preserve"> </w:t>
      </w:r>
    </w:p>
    <w:p>
      <w:pPr>
        <w:pStyle w:val="ListDash1"/>
        <w:rPr>
          <w:noProof/>
        </w:rPr>
      </w:pPr>
      <w:r>
        <w:rPr>
          <w:noProof/>
        </w:rPr>
        <w:sym w:font="Wingdings" w:char="F0FE"/>
      </w:r>
      <w:r>
        <w:rPr>
          <w:noProof/>
        </w:rPr>
        <w:tab/>
        <w:t>Návrh/podnět nemá žádný finanční dopad na příjmy.</w:t>
      </w:r>
    </w:p>
    <w:p>
      <w:pPr>
        <w:pStyle w:val="ListDash1"/>
        <w:rPr>
          <w:noProof/>
        </w:rPr>
      </w:pPr>
      <w:r>
        <w:rPr>
          <w:noProof/>
        </w:rPr>
        <w:sym w:font="Wingdings" w:char="F0A8"/>
      </w:r>
      <w:r>
        <w:rPr>
          <w:noProof/>
        </w:rPr>
        <w:tab/>
        <w:t>Návrh/podnět má tento finanční dopad:</w:t>
      </w:r>
    </w:p>
    <w:p>
      <w:pPr>
        <w:pStyle w:val="Point2"/>
        <w:rPr>
          <w:noProof/>
        </w:rPr>
      </w:pPr>
      <w:r>
        <w:rPr>
          <w:noProof/>
        </w:rPr>
        <w:sym w:font="Wingdings" w:char="F0A8"/>
      </w:r>
      <w:r>
        <w:rPr>
          <w:noProof/>
        </w:rPr>
        <w:tab/>
        <w:t xml:space="preserve">na vlastní zdroje </w:t>
      </w:r>
    </w:p>
    <w:p>
      <w:pPr>
        <w:pStyle w:val="Point2"/>
        <w:rPr>
          <w:noProof/>
        </w:rPr>
      </w:pPr>
      <w:r>
        <w:rPr>
          <w:noProof/>
        </w:rPr>
        <w:sym w:font="Wingdings" w:char="F0A8"/>
      </w:r>
      <w:r>
        <w:rPr>
          <w:noProof/>
        </w:rPr>
        <w:tab/>
        <w:t>na jiné příjmy</w:t>
      </w:r>
    </w:p>
    <w:p>
      <w:pPr>
        <w:rPr>
          <w:noProof/>
        </w:rPr>
      </w:pPr>
      <w:r>
        <w:rPr>
          <w:noProof/>
        </w:rPr>
        <w:t xml:space="preserve">uveďte, zda je příjem účelově vázán na výdajové položky </w:t>
      </w:r>
      <w:r>
        <w:rPr>
          <w:noProof/>
        </w:rPr>
        <w:sym w:font="Wingdings" w:char="F0A8"/>
      </w:r>
      <w:r>
        <w:rPr>
          <w:noProof/>
        </w:rPr>
        <w:tab/>
      </w:r>
    </w:p>
    <w:p>
      <w:pPr>
        <w:jc w:val="right"/>
        <w:rPr>
          <w:i/>
          <w:noProof/>
          <w:sz w:val="20"/>
        </w:rPr>
      </w:pPr>
      <w:r>
        <w:rPr>
          <w:noProof/>
        </w:rPr>
        <w:t>v milionech EUR (zaokrouhleno na tři desetinná místa)</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080"/>
        <w:gridCol w:w="900"/>
        <w:gridCol w:w="900"/>
        <w:gridCol w:w="1080"/>
        <w:gridCol w:w="1080"/>
        <w:gridCol w:w="1080"/>
        <w:gridCol w:w="1080"/>
      </w:tblGrid>
      <w:tr>
        <w:trPr>
          <w:trHeight w:val="388"/>
          <w:jc w:val="center"/>
        </w:trPr>
        <w:tc>
          <w:tcPr>
            <w:tcW w:w="2144" w:type="dxa"/>
            <w:vMerge w:val="restart"/>
            <w:vAlign w:val="center"/>
          </w:tcPr>
          <w:p>
            <w:pPr>
              <w:spacing w:before="40" w:after="40"/>
              <w:rPr>
                <w:noProof/>
                <w:sz w:val="18"/>
              </w:rPr>
            </w:pPr>
            <w:r>
              <w:rPr>
                <w:noProof/>
                <w:sz w:val="18"/>
              </w:rPr>
              <w:t>Příjmová rozpočtová položka:</w:t>
            </w:r>
          </w:p>
        </w:tc>
        <w:tc>
          <w:tcPr>
            <w:tcW w:w="7200" w:type="dxa"/>
            <w:gridSpan w:val="7"/>
            <w:vAlign w:val="center"/>
          </w:tcPr>
          <w:p>
            <w:pPr>
              <w:jc w:val="center"/>
              <w:rPr>
                <w:noProof/>
                <w:sz w:val="18"/>
              </w:rPr>
            </w:pPr>
            <w:r>
              <w:rPr>
                <w:noProof/>
                <w:sz w:val="18"/>
              </w:rPr>
              <w:t>Dopad návrhu/podnětu</w:t>
            </w:r>
            <w:r>
              <w:rPr>
                <w:rStyle w:val="FootnoteReference"/>
                <w:noProof/>
                <w:sz w:val="18"/>
              </w:rPr>
              <w:footnoteReference w:id="30"/>
            </w:r>
          </w:p>
        </w:tc>
      </w:tr>
      <w:tr>
        <w:trPr>
          <w:trHeight w:val="388"/>
          <w:jc w:val="center"/>
        </w:trPr>
        <w:tc>
          <w:tcPr>
            <w:tcW w:w="2144" w:type="dxa"/>
            <w:vMerge/>
          </w:tcPr>
          <w:p>
            <w:pPr>
              <w:spacing w:before="40" w:after="40"/>
              <w:rPr>
                <w:noProof/>
                <w:sz w:val="18"/>
              </w:rPr>
            </w:pPr>
          </w:p>
        </w:tc>
        <w:tc>
          <w:tcPr>
            <w:tcW w:w="1080" w:type="dxa"/>
            <w:vAlign w:val="center"/>
          </w:tcPr>
          <w:p>
            <w:pPr>
              <w:jc w:val="center"/>
              <w:rPr>
                <w:noProof/>
                <w:sz w:val="18"/>
              </w:rPr>
            </w:pPr>
            <w:r>
              <w:rPr>
                <w:b/>
                <w:noProof/>
                <w:sz w:val="20"/>
              </w:rPr>
              <w:t>2021</w:t>
            </w:r>
          </w:p>
        </w:tc>
        <w:tc>
          <w:tcPr>
            <w:tcW w:w="900" w:type="dxa"/>
            <w:vAlign w:val="center"/>
          </w:tcPr>
          <w:p>
            <w:pPr>
              <w:jc w:val="center"/>
              <w:rPr>
                <w:b/>
                <w:noProof/>
                <w:sz w:val="20"/>
              </w:rPr>
            </w:pPr>
            <w:r>
              <w:rPr>
                <w:b/>
                <w:noProof/>
                <w:sz w:val="20"/>
              </w:rPr>
              <w:t>2022</w:t>
            </w:r>
          </w:p>
        </w:tc>
        <w:tc>
          <w:tcPr>
            <w:tcW w:w="900" w:type="dxa"/>
            <w:vAlign w:val="center"/>
          </w:tcPr>
          <w:p>
            <w:pPr>
              <w:jc w:val="center"/>
              <w:rPr>
                <w:b/>
                <w:noProof/>
                <w:sz w:val="20"/>
              </w:rPr>
            </w:pPr>
            <w:r>
              <w:rPr>
                <w:b/>
                <w:noProof/>
                <w:sz w:val="20"/>
              </w:rPr>
              <w:t>2023</w:t>
            </w:r>
          </w:p>
        </w:tc>
        <w:tc>
          <w:tcPr>
            <w:tcW w:w="1080" w:type="dxa"/>
            <w:vAlign w:val="center"/>
          </w:tcPr>
          <w:p>
            <w:pPr>
              <w:jc w:val="center"/>
              <w:rPr>
                <w:b/>
                <w:noProof/>
                <w:sz w:val="20"/>
              </w:rPr>
            </w:pPr>
            <w:r>
              <w:rPr>
                <w:b/>
                <w:noProof/>
                <w:sz w:val="20"/>
              </w:rPr>
              <w:t>2024</w:t>
            </w:r>
          </w:p>
        </w:tc>
        <w:tc>
          <w:tcPr>
            <w:tcW w:w="1080" w:type="dxa"/>
            <w:vAlign w:val="center"/>
          </w:tcPr>
          <w:p>
            <w:pPr>
              <w:jc w:val="center"/>
              <w:rPr>
                <w:b/>
                <w:noProof/>
                <w:sz w:val="20"/>
              </w:rPr>
            </w:pPr>
            <w:r>
              <w:rPr>
                <w:b/>
                <w:noProof/>
                <w:sz w:val="20"/>
              </w:rPr>
              <w:t>2025</w:t>
            </w:r>
          </w:p>
        </w:tc>
        <w:tc>
          <w:tcPr>
            <w:tcW w:w="1080" w:type="dxa"/>
            <w:vAlign w:val="center"/>
          </w:tcPr>
          <w:p>
            <w:pPr>
              <w:jc w:val="center"/>
              <w:rPr>
                <w:b/>
                <w:noProof/>
                <w:sz w:val="20"/>
              </w:rPr>
            </w:pPr>
            <w:r>
              <w:rPr>
                <w:b/>
                <w:noProof/>
                <w:sz w:val="20"/>
              </w:rPr>
              <w:t>2026</w:t>
            </w:r>
          </w:p>
        </w:tc>
        <w:tc>
          <w:tcPr>
            <w:tcW w:w="1080" w:type="dxa"/>
            <w:vAlign w:val="center"/>
          </w:tcPr>
          <w:p>
            <w:pPr>
              <w:jc w:val="center"/>
              <w:rPr>
                <w:b/>
                <w:noProof/>
                <w:sz w:val="20"/>
              </w:rPr>
            </w:pPr>
            <w:r>
              <w:rPr>
                <w:b/>
                <w:noProof/>
                <w:sz w:val="20"/>
              </w:rPr>
              <w:t>2027</w:t>
            </w:r>
          </w:p>
        </w:tc>
      </w:tr>
      <w:tr>
        <w:trPr>
          <w:trHeight w:val="388"/>
          <w:jc w:val="center"/>
        </w:trPr>
        <w:tc>
          <w:tcPr>
            <w:tcW w:w="2144" w:type="dxa"/>
            <w:vAlign w:val="center"/>
          </w:tcPr>
          <w:p>
            <w:pPr>
              <w:spacing w:before="40" w:after="40"/>
              <w:rPr>
                <w:noProof/>
                <w:sz w:val="18"/>
              </w:rPr>
            </w:pPr>
            <w:r>
              <w:rPr>
                <w:noProof/>
                <w:sz w:val="18"/>
              </w:rPr>
              <w:t>Článek ………….</w:t>
            </w: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U účelově vázaných příjmů upřesněte dotčené výdajové rozpočtové položky.</w:t>
      </w:r>
    </w:p>
    <w:p>
      <w:pPr>
        <w:pStyle w:val="Text1"/>
        <w:rPr>
          <w:noProof/>
        </w:rPr>
      </w:pPr>
      <w:r>
        <w:rPr>
          <w:noProof/>
        </w:rPr>
        <w:t>[…]</w:t>
      </w:r>
    </w:p>
    <w:p>
      <w:pPr>
        <w:pStyle w:val="Text1"/>
        <w:rPr>
          <w:rStyle w:val="CommentReference"/>
          <w:noProof/>
        </w:rPr>
      </w:pPr>
      <w:r>
        <w:rPr>
          <w:noProof/>
          <w:sz w:val="20"/>
        </w:rPr>
        <w:t>Jiné poznámky (např. způsob/vzorec výpočtu dopadu na příjmy nebo jiné údaje).</w:t>
      </w:r>
      <w:r>
        <w:rPr>
          <w:noProof/>
        </w:rPr>
        <w:t xml:space="preserve"> </w:t>
      </w:r>
    </w:p>
    <w:p>
      <w:pPr>
        <w:pStyle w:val="Text1"/>
        <w:rPr>
          <w:noProof/>
        </w:rPr>
      </w:pPr>
      <w:r>
        <w:rPr>
          <w:noProof/>
        </w:rPr>
        <w:t>[…]</w:t>
      </w:r>
    </w:p>
    <w:p>
      <w:pPr>
        <w:pStyle w:val="Text1"/>
        <w:rPr>
          <w:noProof/>
        </w:rPr>
      </w:pPr>
    </w:p>
    <w:p>
      <w:pPr>
        <w:rPr>
          <w:noProof/>
        </w:rPr>
      </w:pPr>
    </w:p>
    <w:p>
      <w:pPr>
        <w:rPr>
          <w:noProof/>
        </w:rPr>
      </w:pPr>
    </w:p>
    <w:p>
      <w:pPr>
        <w:jc w:val="center"/>
        <w:rPr>
          <w:noProof/>
        </w:rPr>
      </w:pPr>
    </w:p>
    <w:sectPr>
      <w:pgSz w:w="11907" w:h="16839"/>
      <w:pgMar w:top="1134" w:right="1417" w:bottom="1134" w:left="1417" w:header="709" w:footer="709"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3AAFCD" w16cex:dateUtc="2021-01-20T12:00:24.53Z"/>
  <w16cex:commentExtensible w16cex:durableId="3351D8E3" w16cex:dateUtc="2021-01-20T12:02:28.75Z"/>
  <w16cex:commentExtensible w16cex:durableId="7ECBC42E" w16cex:dateUtc="2021-01-20T12:05:10Z"/>
  <w16cex:commentExtensible w16cex:durableId="1F77749F" w16cex:dateUtc="2021-01-20T12:05:37Z"/>
  <w16cex:commentExtensible w16cex:durableId="2ABF46DB" w16cex:dateUtc="2021-01-20T12:06:28.223Z"/>
  <w16cex:commentExtensible w16cex:durableId="36ED622C" w16cex:dateUtc="2021-01-20T12:07:31Z"/>
  <w16cex:commentExtensible w16cex:durableId="08026F3D" w16cex:dateUtc="2021-01-20T12:17:11Z"/>
  <w16cex:commentExtensible w16cex:durableId="2BFDFC4E" w16cex:dateUtc="2021-01-20T12:17:27Z"/>
  <w16cex:commentExtensible w16cex:durableId="587C6789" w16cex:dateUtc="2021-01-20T12:19:56Z"/>
  <w16cex:commentExtensible w16cex:durableId="6F171680" w16cex:dateUtc="2021-01-20T12:21:07Z"/>
  <w16cex:commentExtensible w16cex:durableId="56F65E03" w16cex:dateUtc="2021-01-20T13:24:14.874Z"/>
  <w16cex:commentExtensible w16cex:durableId="7B88CA83" w16cex:dateUtc="2021-01-20T13:30:56.082Z"/>
  <w16cex:commentExtensible w16cex:durableId="309FDC2D" w16cex:dateUtc="2021-01-20T13:44:47.494Z"/>
  <w16cex:commentExtensible w16cex:durableId="23F38B2A" w16cex:dateUtc="2021-01-20T13:45:15.785Z"/>
  <w16cex:commentExtensible w16cex:durableId="1BE1ADE1" w16cex:dateUtc="2021-01-20T13:49:15.559Z"/>
  <w16cex:commentExtensible w16cex:durableId="51237490" w16cex:dateUtc="2021-01-20T13:49:37.882Z"/>
  <w16cex:commentExtensible w16cex:durableId="6F736308" w16cex:dateUtc="2021-01-20T13:50:44.135Z"/>
  <w16cex:commentExtensible w16cex:durableId="6EA8A40D" w16cex:dateUtc="2021-01-20T13:53:39.131Z"/>
  <w16cex:commentExtensible w16cex:durableId="65D03116" w16cex:dateUtc="2021-01-20T13:57:34.368Z"/>
  <w16cex:commentExtensible w16cex:durableId="62BC0A2D" w16cex:dateUtc="2021-01-20T13:58:58.271Z"/>
  <w16cex:commentExtensible w16cex:durableId="79449C7D" w16cex:dateUtc="2021-01-20T14:02:58.584Z"/>
  <w16cex:commentExtensible w16cex:durableId="7E66A85E" w16cex:dateUtc="2021-01-20T14:03:18.211Z"/>
  <w16cex:commentExtensible w16cex:durableId="51BDC37A" w16cex:dateUtc="2021-01-20T14:07:28.136Z"/>
  <w16cex:commentExtensible w16cex:durableId="50255943" w16cex:dateUtc="2021-01-20T15:10:59.618Z"/>
  <w16cex:commentExtensible w16cex:durableId="2CB47768" w16cex:dateUtc="2021-01-20T15:11:13.417Z"/>
  <w16cex:commentExtensible w16cex:durableId="4A3D2060" w16cex:dateUtc="2021-01-20T15:13:04.454Z"/>
  <w16cex:commentExtensible w16cex:durableId="7700418D" w16cex:dateUtc="2021-01-20T15:15:42.551Z"/>
  <w16cex:commentExtensible w16cex:durableId="0A7BE412" w16cex:dateUtc="2021-01-20T15:21:01.939Z"/>
  <w16cex:commentExtensible w16cex:durableId="4A47F950" w16cex:dateUtc="2021-01-20T15:23:26.809Z"/>
  <w16cex:commentExtensible w16cex:durableId="3819767B" w16cex:dateUtc="2021-01-20T15:24:52.24Z"/>
  <w16cex:commentExtensible w16cex:durableId="3082CD48" w16cex:dateUtc="2021-01-20T15:26:18.146Z"/>
  <w16cex:commentExtensible w16cex:durableId="715122E6" w16cex:dateUtc="2021-01-21T11:06:24.977Z"/>
  <w16cex:commentExtensible w16cex:durableId="3457BF13" w16cex:dateUtc="2021-01-21T11:18:45.044Z"/>
  <w16cex:commentExtensible w16cex:durableId="5DB28DAB" w16cex:dateUtc="2021-01-21T11:29:39.51Z"/>
  <w16cex:commentExtensible w16cex:durableId="19EA8BBE" w16cex:dateUtc="2021-01-21T11:36:41.342Z"/>
  <w16cex:commentExtensible w16cex:durableId="0480DDB2" w16cex:dateUtc="2021-01-21T16:46:55.362Z"/>
  <w16cex:commentExtensible w16cex:durableId="44560D9E" w16cex:dateUtc="2021-01-21T16:47:46.488Z"/>
</w16cex:commentsExtensible>
</file>

<file path=word/commentsIds.xml><?xml version="1.0" encoding="utf-8"?>
<w16cid:commentsIds xmlns:mc="http://schemas.openxmlformats.org/markup-compatibility/2006" xmlns:w16cid="http://schemas.microsoft.com/office/word/2016/wordml/cid" mc:Ignorable="w16cid">
  <w16cid:commentId w16cid:paraId="7F60C3C8" w16cid:durableId="2AE4BF85"/>
  <w16cid:commentId w16cid:paraId="47019F0F" w16cid:durableId="249FF01D"/>
  <w16cid:commentId w16cid:paraId="352EC00E" w16cid:durableId="4EF99B88"/>
  <w16cid:commentId w16cid:paraId="23D96AEE" w16cid:durableId="35393F5A"/>
  <w16cid:commentId w16cid:paraId="5E02F772" w16cid:durableId="3F4C1815"/>
  <w16cid:commentId w16cid:paraId="18B66D65" w16cid:durableId="550C510E"/>
  <w16cid:commentId w16cid:paraId="17CAE0EE" w16cid:durableId="6876F422"/>
  <w16cid:commentId w16cid:paraId="55A0F28C" w16cid:durableId="14C58AEE"/>
  <w16cid:commentId w16cid:paraId="68D1887F" w16cid:durableId="6C6DB20C"/>
  <w16cid:commentId w16cid:paraId="53D09AA4" w16cid:durableId="7B3A425E"/>
  <w16cid:commentId w16cid:paraId="69FD51C2" w16cid:durableId="6C4ADDA8"/>
  <w16cid:commentId w16cid:paraId="384276C2" w16cid:durableId="620A6AA1"/>
  <w16cid:commentId w16cid:paraId="383CB6E5" w16cid:durableId="64724946"/>
  <w16cid:commentId w16cid:paraId="4B0DCEA3" w16cid:durableId="0D1941BB"/>
  <w16cid:commentId w16cid:paraId="2D05FE6F" w16cid:durableId="68303A4A"/>
  <w16cid:commentId w16cid:paraId="50CD4359" w16cid:durableId="761BAC3A"/>
  <w16cid:commentId w16cid:paraId="76C87834" w16cid:durableId="434982D5"/>
  <w16cid:commentId w16cid:paraId="1D96B4FE" w16cid:durableId="7112DCFD"/>
  <w16cid:commentId w16cid:paraId="436BC2E4" w16cid:durableId="2A06C2CA"/>
  <w16cid:commentId w16cid:paraId="1692ABC8" w16cid:durableId="6AE31B03"/>
  <w16cid:commentId w16cid:paraId="344039EB" w16cid:durableId="2AEA50B2"/>
  <w16cid:commentId w16cid:paraId="51EE8976" w16cid:durableId="543DED7B"/>
  <w16cid:commentId w16cid:paraId="471C5786" w16cid:durableId="1A470481"/>
  <w16cid:commentId w16cid:paraId="2556797C" w16cid:durableId="7348C041"/>
  <w16cid:commentId w16cid:paraId="18B5BE95" w16cid:durableId="2576105F"/>
  <w16cid:commentId w16cid:paraId="7F21C7CE" w16cid:durableId="70883313"/>
  <w16cid:commentId w16cid:paraId="4DFB19D1" w16cid:durableId="2DC4F35E"/>
  <w16cid:commentId w16cid:paraId="5E7804C9" w16cid:durableId="4BA2B09C"/>
  <w16cid:commentId w16cid:paraId="212037FE" w16cid:durableId="44711B05"/>
  <w16cid:commentId w16cid:paraId="603635AD" w16cid:durableId="7EC73D05"/>
  <w16cid:commentId w16cid:paraId="068DCA9C" w16cid:durableId="19569923"/>
  <w16cid:commentId w16cid:paraId="2B569EF7" w16cid:durableId="42B3B2C8"/>
  <w16cid:commentId w16cid:paraId="351A3F6B" w16cid:durableId="3C6FDAD7"/>
  <w16cid:commentId w16cid:paraId="4AFFB334" w16cid:durableId="58884F6F"/>
  <w16cid:commentId w16cid:paraId="4E8AA8BB" w16cid:durableId="2C5B8580"/>
  <w16cid:commentId w16cid:paraId="3877FBC7" w16cid:durableId="4814AE0D"/>
  <w16cid:commentId w16cid:paraId="2A0EDE71" w16cid:durableId="4EFFE078"/>
  <w16cid:commentId w16cid:paraId="5D1F7004" w16cid:durableId="2F76AE39"/>
  <w16cid:commentId w16cid:paraId="726547D3" w16cid:durableId="3AC45020"/>
  <w16cid:commentId w16cid:paraId="543785B7" w16cid:durableId="2BB7C399"/>
  <w16cid:commentId w16cid:paraId="453678E3" w16cid:durableId="0A0CAF4D"/>
  <w16cid:commentId w16cid:paraId="4C48868E" w16cid:durableId="6D600774"/>
  <w16cid:commentId w16cid:paraId="51B646DE" w16cid:durableId="57751895"/>
  <w16cid:commentId w16cid:paraId="20B3797E" w16cid:durableId="05D1DECA"/>
  <w16cid:commentId w16cid:paraId="6460BAEB" w16cid:durableId="31531A3F"/>
  <w16cid:commentId w16cid:paraId="79166F96" w16cid:durableId="55B99F97"/>
  <w16cid:commentId w16cid:paraId="00455731" w16cid:durableId="52411DB6"/>
  <w16cid:commentId w16cid:paraId="00412625" w16cid:durableId="465E1AFF"/>
  <w16cid:commentId w16cid:paraId="43C749B9" w16cid:durableId="3C0892AD"/>
  <w16cid:commentId w16cid:paraId="4DF9D0DE" w16cid:durableId="21AF9CCC"/>
  <w16cid:commentId w16cid:paraId="03CEC5B8" w16cid:durableId="5118FA28"/>
  <w16cid:commentId w16cid:paraId="328E0E83" w16cid:durableId="753E9DD3"/>
  <w16cid:commentId w16cid:paraId="2E83DAFE" w16cid:durableId="11D1F05F"/>
  <w16cid:commentId w16cid:paraId="13751021" w16cid:durableId="16A5C745"/>
  <w16cid:commentId w16cid:paraId="161E50AB" w16cid:durableId="5C4FAC35"/>
  <w16cid:commentId w16cid:paraId="6AFC50B6" w16cid:durableId="2F3AAFCD"/>
  <w16cid:commentId w16cid:paraId="0694992D" w16cid:durableId="3351D8E3"/>
  <w16cid:commentId w16cid:paraId="07751FCC" w16cid:durableId="7ECBC42E"/>
  <w16cid:commentId w16cid:paraId="79CB12B9" w16cid:durableId="1F77749F"/>
  <w16cid:commentId w16cid:paraId="4B094A54" w16cid:durableId="2ABF46DB"/>
  <w16cid:commentId w16cid:paraId="3F595F15" w16cid:durableId="36ED622C"/>
  <w16cid:commentId w16cid:paraId="43B3C328" w16cid:durableId="08026F3D"/>
  <w16cid:commentId w16cid:paraId="300B579B" w16cid:durableId="2BFDFC4E"/>
  <w16cid:commentId w16cid:paraId="77458C4E" w16cid:durableId="587C6789"/>
  <w16cid:commentId w16cid:paraId="2D387002" w16cid:durableId="6F171680"/>
  <w16cid:commentId w16cid:paraId="6FFDD088" w16cid:durableId="56F65E03"/>
  <w16cid:commentId w16cid:paraId="2141B4F4" w16cid:durableId="7B88CA83"/>
  <w16cid:commentId w16cid:paraId="5ECEA3DF" w16cid:durableId="309FDC2D"/>
  <w16cid:commentId w16cid:paraId="7691CCF5" w16cid:durableId="23F38B2A"/>
  <w16cid:commentId w16cid:paraId="5E023E8A" w16cid:durableId="1BE1ADE1"/>
  <w16cid:commentId w16cid:paraId="345953AB" w16cid:durableId="51237490"/>
  <w16cid:commentId w16cid:paraId="448B2909" w16cid:durableId="6F736308"/>
  <w16cid:commentId w16cid:paraId="05CEECE3" w16cid:durableId="6EA8A40D"/>
  <w16cid:commentId w16cid:paraId="408E56D0" w16cid:durableId="65D03116"/>
  <w16cid:commentId w16cid:paraId="22A628D4" w16cid:durableId="62BC0A2D"/>
  <w16cid:commentId w16cid:paraId="048B6CC0" w16cid:durableId="79449C7D"/>
  <w16cid:commentId w16cid:paraId="6CB12D51" w16cid:durableId="7E66A85E"/>
  <w16cid:commentId w16cid:paraId="63E4C0C6" w16cid:durableId="51BDC37A"/>
  <w16cid:commentId w16cid:paraId="519BA5B0" w16cid:durableId="50255943"/>
  <w16cid:commentId w16cid:paraId="6822F922" w16cid:durableId="2CB47768"/>
  <w16cid:commentId w16cid:paraId="13B9A890" w16cid:durableId="4A3D2060"/>
  <w16cid:commentId w16cid:paraId="61B02705" w16cid:durableId="7700418D"/>
  <w16cid:commentId w16cid:paraId="6A95A95F" w16cid:durableId="0A7BE412"/>
  <w16cid:commentId w16cid:paraId="5334FF03" w16cid:durableId="4A47F950"/>
  <w16cid:commentId w16cid:paraId="413C236E" w16cid:durableId="3819767B"/>
  <w16cid:commentId w16cid:paraId="4F3173AA" w16cid:durableId="3082CD48"/>
  <w16cid:commentId w16cid:paraId="0160B7C8" w16cid:durableId="715122E6"/>
  <w16cid:commentId w16cid:paraId="7FCFD291" w16cid:durableId="3457BF13"/>
  <w16cid:commentId w16cid:paraId="45BC3F39" w16cid:durableId="5DB28DAB"/>
  <w16cid:commentId w16cid:paraId="707E761E" w16cid:durableId="19EA8BBE"/>
  <w16cid:commentId w16cid:paraId="7B3B3CCF" w16cid:durableId="0480DDB2"/>
  <w16cid:commentId w16cid:paraId="130C4B43" w16cid:durableId="44560D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p/>
  </w:endnote>
  <w:endnote w:type="continuationSeparator" w:id="0">
    <w:p>
      <w:pPr>
        <w:spacing w:before="0" w:after="0"/>
      </w:pPr>
      <w:r>
        <w:continuationSeparator/>
      </w:r>
    </w:p>
    <w:p/>
  </w:endnote>
  <w:endnote w:type="continuationNotice" w:id="1">
    <w:p>
      <w:pPr>
        <w:spacing w:before="0" w:after="0"/>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tab/>
    </w:r>
    <w:r>
      <w:rPr>
        <w:rFonts w:ascii="Arial" w:hAnsi="Arial" w:cs="Arial"/>
        <w:b/>
        <w:sz w:val="48"/>
      </w:rPr>
      <w:t>CS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CS</w:t>
    </w:r>
    <w:r>
      <w:rPr>
        <w:rFonts w:ascii="Arial" w:hAnsi="Arial" w:cs="Arial"/>
        <w:b/>
        <w:sz w:val="48"/>
      </w:rPr>
      <w:tab/>
    </w:r>
    <w:r>
      <w:fldChar w:fldCharType="begin"/>
    </w:r>
    <w:r>
      <w:instrText xml:space="preserve"> PAGE  \* MERGEFORMAT </w:instrText>
    </w:r>
    <w:r>
      <w:fldChar w:fldCharType="separate"/>
    </w:r>
    <w:r>
      <w:rPr>
        <w:noProof/>
      </w:rPr>
      <w:t>26</w:t>
    </w:r>
    <w:r>
      <w:fldChar w:fldCharType="end"/>
    </w:r>
    <w:r>
      <w:tab/>
    </w:r>
    <w:r>
      <w:tab/>
    </w:r>
    <w:r>
      <w:rPr>
        <w:rFonts w:ascii="Arial" w:hAnsi="Arial" w:cs="Arial"/>
        <w:b/>
        <w:sz w:val="48"/>
      </w:rPr>
      <w:t>CS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CS</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CS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CS</w:t>
    </w:r>
    <w:r>
      <w:rPr>
        <w:rFonts w:ascii="Arial" w:hAnsi="Arial" w:cs="Arial"/>
        <w:b/>
        <w:sz w:val="48"/>
      </w:rPr>
      <w:tab/>
    </w:r>
    <w:r>
      <w:fldChar w:fldCharType="begin"/>
    </w:r>
    <w:r>
      <w:instrText xml:space="preserve"> PAGE  \* MERGEFORMAT </w:instrText>
    </w:r>
    <w:r>
      <w:fldChar w:fldCharType="separate"/>
    </w:r>
    <w:r>
      <w:rPr>
        <w:noProof/>
      </w:rPr>
      <w:t>44</w:t>
    </w:r>
    <w:r>
      <w:fldChar w:fldCharType="end"/>
    </w:r>
    <w:r>
      <w:tab/>
    </w:r>
    <w:r>
      <w:tab/>
    </w:r>
    <w:r>
      <w:rPr>
        <w:rFonts w:ascii="Arial" w:hAnsi="Arial" w:cs="Arial"/>
        <w:b/>
        <w:sz w:val="48"/>
      </w:rPr>
      <w:t>CS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p/>
  </w:footnote>
  <w:footnote w:type="continuationSeparator" w:id="0">
    <w:p>
      <w:pPr>
        <w:spacing w:before="0" w:after="0"/>
      </w:pPr>
      <w:r>
        <w:continuationSeparator/>
      </w:r>
    </w:p>
    <w:p/>
  </w:footnote>
  <w:footnote w:type="continuationNotice" w:id="1">
    <w:p>
      <w:pPr>
        <w:spacing w:before="0" w:after="0"/>
      </w:pPr>
    </w:p>
    <w:p/>
  </w:footnote>
  <w:footnote w:id="2">
    <w:p>
      <w:pPr>
        <w:pStyle w:val="FootnoteText"/>
      </w:pPr>
      <w:r>
        <w:rPr>
          <w:rStyle w:val="FootnoteReference"/>
        </w:rPr>
        <w:footnoteRef/>
      </w:r>
      <w:r>
        <w:tab/>
        <w:t>Nařízení (EU) …[</w:t>
      </w:r>
      <w:r>
        <w:rPr>
          <w:i/>
        </w:rPr>
        <w:t>nařízení o programu Horizont Evropa</w:t>
      </w:r>
      <w:r>
        <w:t>].</w:t>
      </w:r>
    </w:p>
  </w:footnote>
  <w:footnote w:id="3">
    <w:p>
      <w:pPr>
        <w:pStyle w:val="FootnoteText"/>
      </w:pPr>
      <w:r>
        <w:rPr>
          <w:rStyle w:val="FootnoteReference"/>
        </w:rPr>
        <w:footnoteRef/>
      </w:r>
      <w:r>
        <w:tab/>
        <w:t>Předmětem posouzení dopadů bylo jen 12 iniciativ, jelikož dopady iniciativy týkající se vysoce výkonné výpočetní techniky již byly posouzeny v roce 2017 (SEC(2018) 47).</w:t>
      </w:r>
    </w:p>
  </w:footnote>
  <w:footnote w:id="4">
    <w:p>
      <w:pPr>
        <w:pStyle w:val="FootnoteText"/>
      </w:pPr>
      <w:r>
        <w:rPr>
          <w:rStyle w:val="FootnoteReference"/>
        </w:rPr>
        <w:footnoteRef/>
      </w:r>
      <w:r>
        <w:tab/>
        <w:t>Evropská komise ve své zprávě o strategickém výhledu z roku 2020 poukazuje na to, že nynější potřebou EU „je posílit aliance orientované na budoucnost, aby mohla i nadále formovat mezinárodní normy a standardy způsobem, který odráží evropské hodnoty a zájmy“, Zpráva o strategickém výhledu z roku 2020 – Zmapování cesty k odolnější Evropě, s. 15.</w:t>
      </w:r>
    </w:p>
  </w:footnote>
  <w:footnote w:id="5">
    <w:p>
      <w:pPr>
        <w:pStyle w:val="FootnoteText"/>
      </w:pPr>
      <w:r>
        <w:rPr>
          <w:rStyle w:val="FootnoteReference"/>
        </w:rPr>
        <w:footnoteRef/>
      </w:r>
      <w:r>
        <w:tab/>
        <w:t>Odkaz na posouzení dopadů Evropského partnerství v oblasti metrologie.</w:t>
      </w:r>
    </w:p>
  </w:footnote>
  <w:footnote w:id="6">
    <w:p>
      <w:pPr>
        <w:pStyle w:val="FootnoteText"/>
      </w:pPr>
      <w:r>
        <w:rPr>
          <w:rStyle w:val="FootnoteReference"/>
        </w:rPr>
        <w:footnoteRef/>
      </w:r>
      <w:r>
        <w:tab/>
        <w:t>Otevřená veřejná konzultace probíhala od září do listopadu 2019.</w:t>
      </w:r>
    </w:p>
  </w:footnote>
  <w:footnote w:id="7">
    <w:p>
      <w:pPr>
        <w:pStyle w:val="FootnoteText"/>
      </w:pPr>
      <w:r>
        <w:rPr>
          <w:rStyle w:val="FootnoteReference"/>
        </w:rPr>
        <w:footnoteRef/>
      </w:r>
      <w:r>
        <w:tab/>
        <w:t>Technopolis Group (2020), Impact Assessment Study for Institutionalised European Partnerships under Horizon Europe, Final Report, Study for the European Commission, DG Research &amp; Innovation („Studie posouzení dopadů institucionalizovaných evropských partnerství v rámci programu Horizont Evropa, závěrečná zpráva, studie pro Evropskou komisi, GŘ pro výzkum a inovace“).</w:t>
      </w:r>
    </w:p>
  </w:footnote>
  <w:footnote w:id="8">
    <w:p>
      <w:pPr>
        <w:pStyle w:val="FootnoteText"/>
      </w:pPr>
      <w:r>
        <w:rPr>
          <w:rStyle w:val="FootnoteReference"/>
        </w:rPr>
        <w:footnoteRef/>
      </w:r>
      <w:r>
        <w:tab/>
        <w:t>Komise jednala s odborníky z ministerstev členských států EU a Evropského sdružení volného obchodu (ESVO), které měly svůj národní metrologický program. Z celkového počtu 32 zemí poskytlo zpětnou vazbu 20 zemí, z nichž 16 jasně vyjádřilo podporu pokračování iniciativy pro metrologii formou institucionalizovaného partnerství, zatímco žádná země se nevyjádřila proti této myšlence. Celkem 89 % respondentů považovalo metrologii za relevantní pro své výzkumné organizace včetně univerzit, zatímco 86 % respondentů ji považovalo za relevantní pro vnitrostátní politiky a priority.</w:t>
      </w:r>
    </w:p>
  </w:footnote>
  <w:footnote w:id="9">
    <w:p>
      <w:pPr>
        <w:pStyle w:val="FootnoteText"/>
      </w:pPr>
      <w:r>
        <w:rPr>
          <w:rStyle w:val="FootnoteReference"/>
        </w:rPr>
        <w:footnoteRef/>
      </w:r>
      <w:r>
        <w:tab/>
        <w:t>Úř. věst. C, , s. .</w:t>
      </w:r>
    </w:p>
  </w:footnote>
  <w:footnote w:id="10">
    <w:p>
      <w:pPr>
        <w:pStyle w:val="FootnoteText"/>
      </w:pPr>
      <w:r>
        <w:rPr>
          <w:rStyle w:val="FootnoteReference"/>
        </w:rPr>
        <w:footnoteRef/>
      </w:r>
      <w:r>
        <w:tab/>
        <w:t>Nařízení Evropského parlamentu a Rady [XXX] ze dne [datum], kterým se zavádí Horizont Evropa – rámcový program pro výzkum a inovace (Úř. věst. C, , s. ). [</w:t>
      </w:r>
      <w:r>
        <w:rPr>
          <w:i/>
          <w:iCs/>
        </w:rPr>
        <w:t>Vložte úplný odkaz</w:t>
      </w:r>
      <w:r>
        <w:t xml:space="preserve">]. </w:t>
      </w:r>
    </w:p>
  </w:footnote>
  <w:footnote w:id="11">
    <w:p>
      <w:pPr>
        <w:pStyle w:val="FootnoteText"/>
      </w:pPr>
      <w:r>
        <w:rPr>
          <w:rStyle w:val="FootnoteReference"/>
        </w:rPr>
        <w:footnoteRef/>
      </w:r>
      <w:r>
        <w:tab/>
        <w:t>Evropská komise (2018), posouzení dopadů programu Horizont Evropa, SWD(2018) 307.</w:t>
      </w:r>
    </w:p>
  </w:footnote>
  <w:footnote w:id="12">
    <w:p>
      <w:pPr>
        <w:pStyle w:val="FootnoteText"/>
      </w:pPr>
      <w:r>
        <w:rPr>
          <w:rStyle w:val="FootnoteReference"/>
        </w:rPr>
        <w:footnoteRef/>
      </w:r>
      <w:r>
        <w:tab/>
        <w:t>Rozhodnutí Evropského parlamentu a Rady č. 555/2014/EU ze dne 15. května 2014 o účasti Unie na evropském metrologickém programu pro inovace a výzkum (EMPIR) prováděném společně několika členskými státy (Úř. věst. L 169, 7.6.2014, s. 2).</w:t>
      </w:r>
    </w:p>
  </w:footnote>
  <w:footnote w:id="13">
    <w:p>
      <w:pPr>
        <w:pStyle w:val="FootnoteText"/>
      </w:pPr>
      <w:r>
        <w:rPr>
          <w:rStyle w:val="FootnoteReference"/>
        </w:rPr>
        <w:footnoteRef/>
      </w:r>
      <w:r>
        <w:tab/>
        <w:t>Nařízení Evropského parlamentu a Rady (EU) č. 1291/2013 ze dne 11. prosince 2013, kterým se zavádí Horizont 2020 – rámcový program pro výzkum a inovace (2014–2020) a zrušuje rozhodnutí č. 1982/2006/ES (Úř. věst. L 347, 20.12.2013, s. 104).</w:t>
      </w:r>
    </w:p>
  </w:footnote>
  <w:footnote w:id="14">
    <w:p>
      <w:pPr>
        <w:pStyle w:val="FootnoteText"/>
      </w:pPr>
      <w:r>
        <w:rPr>
          <w:rStyle w:val="FootnoteReference"/>
        </w:rPr>
        <w:footnoteRef/>
      </w:r>
      <w:r>
        <w:tab/>
        <w:t>Nařízení Evropského parlamentu a Rady (EU, Euratom) 2018/1046 ze dne 18. července 2018, kterým se stanoví finanční pravidla pro souhrnný rozpočet Unie, mění nařízení (EU) č. 1296/2013, (EU) č. 1301/2013, (EU) č. 1303/2013, (EU) č. 1304/2013, (EU) č. 1309/2013, (EU) č. 1316/2013, (EU) č. 223/2014, (EU) č. 283/2014 a rozhodnutí č. 541/2014/EU a zrušuje nařízení (EU, Euratom) č. 966/2012 (Úř. věst. L 193, 30.7.2018, s. 1).</w:t>
      </w:r>
    </w:p>
  </w:footnote>
  <w:footnote w:id="15">
    <w:p>
      <w:pPr>
        <w:pStyle w:val="FootnoteText"/>
      </w:pPr>
      <w:r>
        <w:rPr>
          <w:rStyle w:val="FootnoteReference"/>
        </w:rPr>
        <w:footnoteRef/>
      </w:r>
      <w:r>
        <w:tab/>
        <w:t>Nařízení Rady (EU) XXX ze dne … (Úř. věst. …).</w:t>
      </w:r>
    </w:p>
  </w:footnote>
  <w:footnote w:id="16">
    <w:p>
      <w:pPr>
        <w:pStyle w:val="FootnoteText"/>
      </w:pPr>
      <w:r>
        <w:rPr>
          <w:rStyle w:val="FootnoteReference"/>
        </w:rPr>
        <w:footnoteRef/>
      </w:r>
      <w:r>
        <w:tab/>
        <w:t>Nařízení Evropského parlamentu a Rady [XXX] o zavedení zvláštního programu, kterým se provádí rámcový program pro výzkum a inovace Horizont Evropa (Úř. věst. C […], […], s. […]). [Vložte úplný odkaz].</w:t>
      </w:r>
    </w:p>
  </w:footnote>
  <w:footnote w:id="17">
    <w:p>
      <w:pPr>
        <w:pStyle w:val="FootnoteText"/>
      </w:pPr>
      <w:r>
        <w:rPr>
          <w:rStyle w:val="FootnoteReference"/>
        </w:rPr>
        <w:footnoteRef/>
      </w:r>
      <w:r>
        <w:tab/>
        <w:t>Nařízení Evropského parlamentu a Rady (EU, Euratom) č. 883/2013 ze dne 11. září 2013 o vyšetřování prováděném Evropským úřadem pro boj proti podvodům (OLAF) a o zrušení nařízení Evropského parlamentu a Rady (ES) č. 1073/1999 a nařízení Rady (Euratom) č. 1074/1999 (Úř. věst. L 248, 18.9.2013, s. 1).</w:t>
      </w:r>
    </w:p>
  </w:footnote>
  <w:footnote w:id="18">
    <w:p>
      <w:pPr>
        <w:pStyle w:val="FootnoteText"/>
      </w:pPr>
      <w:r>
        <w:rPr>
          <w:rStyle w:val="FootnoteReference"/>
        </w:rPr>
        <w:footnoteRef/>
      </w:r>
      <w:r>
        <w:tab/>
        <w:t>Nařízení Rady (Euratom, ES) č. 2185/96 ze dne 11. listopadu 1996 o kontrolách a inspekcích na místě prováděných Komisí za účelem ochrany finančních zájmů Evropských společenství proti podvodům a jiným nesrovnalostem (Úř. věst. L 292, 15.11.1996, s. 2).</w:t>
      </w:r>
    </w:p>
  </w:footnote>
  <w:footnote w:id="19">
    <w:p>
      <w:pPr>
        <w:pStyle w:val="FootnoteText"/>
      </w:pPr>
      <w:r>
        <w:rPr>
          <w:rStyle w:val="FootnoteReference"/>
        </w:rPr>
        <w:footnoteRef/>
      </w:r>
      <w:r>
        <w:tab/>
        <w:t>Nařízení Rady (EU) 2017/1939 ze dne 12. října 2017, kterým se provádí posílená spolupráce za účelem zřízení Úřadu evropského veřejného žalobce (Úř. věst. L 283, 31.10.2017, s. 1).</w:t>
      </w:r>
    </w:p>
  </w:footnote>
  <w:footnote w:id="20">
    <w:p>
      <w:pPr>
        <w:pStyle w:val="FootnoteText"/>
        <w:rPr>
          <w:szCs w:val="24"/>
        </w:rPr>
      </w:pPr>
      <w:r>
        <w:rPr>
          <w:rStyle w:val="FootnoteReference"/>
        </w:rPr>
        <w:footnoteRef/>
      </w:r>
      <w:r>
        <w:tab/>
        <w:t>Uvedené v čl. 58 odst. 2 písm. a) nebo b) finančního nařízení.</w:t>
      </w:r>
    </w:p>
  </w:footnote>
  <w:footnote w:id="21">
    <w:p>
      <w:pPr>
        <w:pStyle w:val="FootnoteText"/>
        <w:jc w:val="left"/>
        <w:rPr>
          <w:szCs w:val="24"/>
        </w:rPr>
      </w:pPr>
      <w:r>
        <w:rPr>
          <w:rStyle w:val="FootnoteReference"/>
        </w:rPr>
        <w:footnoteRef/>
      </w:r>
      <w:r>
        <w:tab/>
        <w:t xml:space="preserve">Vysvětlení způsobů řízení spolu s odkazem na finanční nařízení jsou k dispozici na stránkách BudgWeb: </w:t>
      </w:r>
      <w:hyperlink r:id="rId1" w:history="1">
        <w:r>
          <w:rPr>
            <w:rStyle w:val="Hyperlink"/>
          </w:rPr>
          <w:t>https://myintracomm.ec.europa.eu/budgweb/EN/man/budgmanag/Pages/budgmanag.aspx</w:t>
        </w:r>
      </w:hyperlink>
      <w:r>
        <w:t xml:space="preserve"> </w:t>
      </w:r>
    </w:p>
  </w:footnote>
  <w:footnote w:id="22">
    <w:p>
      <w:pPr>
        <w:pStyle w:val="FootnoteText"/>
        <w:rPr>
          <w:szCs w:val="24"/>
        </w:rPr>
      </w:pPr>
      <w:r>
        <w:rPr>
          <w:rStyle w:val="FootnoteReference"/>
        </w:rPr>
        <w:footnoteRef/>
      </w:r>
      <w:r>
        <w:tab/>
        <w:t>RP = rozlišené prostředky / NRP = nerozlišené prostředky.</w:t>
      </w:r>
    </w:p>
  </w:footnote>
  <w:footnote w:id="23">
    <w:p>
      <w:pPr>
        <w:pStyle w:val="FootnoteText"/>
        <w:rPr>
          <w:szCs w:val="24"/>
        </w:rPr>
      </w:pPr>
      <w:r>
        <w:rPr>
          <w:rStyle w:val="FootnoteReference"/>
        </w:rPr>
        <w:footnoteRef/>
      </w:r>
      <w:r>
        <w:tab/>
        <w:t xml:space="preserve">ESVO: Evropské sdružení volného obchodu. </w:t>
      </w:r>
    </w:p>
  </w:footnote>
  <w:footnote w:id="24">
    <w:p>
      <w:pPr>
        <w:pStyle w:val="FootnoteText"/>
      </w:pPr>
      <w:r>
        <w:rPr>
          <w:rStyle w:val="FootnoteReference"/>
        </w:rPr>
        <w:footnoteRef/>
      </w:r>
      <w:r>
        <w:tab/>
        <w:t>Kandidátské země a případně potenciální kandidáti ze západního Balkánu.</w:t>
      </w:r>
    </w:p>
  </w:footnote>
  <w:footnote w:id="25">
    <w:p>
      <w:pPr>
        <w:pStyle w:val="FootnoteText"/>
        <w:rPr>
          <w:szCs w:val="24"/>
        </w:rPr>
      </w:pPr>
      <w:r>
        <w:rPr>
          <w:rStyle w:val="FootnoteReference"/>
        </w:rPr>
        <w:footnoteRef/>
      </w:r>
      <w:r>
        <w:tab/>
        <w:t>Technická a/nebo administrativní pomoc a výdaje na podporu provádění programů a/nebo akcí EU (bývalé položky „BA“), nepřímý výzkum, přímý výzkum. Včetně správy akcí v rámci programu Horizont Evropa. Náklady přepočtené na plné pracovní úvazky jsou stanoveny na základě průměrných ročních nákladů použitelných od roku 2021 na mzdy stálých zaměstnanců (0,127 EUR) a další správní náklady (0,025 EUR) na budovy a náklady v oblasti IT pracovníků v nepřímém výzkumu. V případě období 2022–2027 byla použita 2% roční valorizace. Uvedené personální potřeby v GŘ Komise jsou orientační a nezávazné povahy.</w:t>
      </w:r>
    </w:p>
  </w:footnote>
  <w:footnote w:id="26">
    <w:p>
      <w:pPr>
        <w:pStyle w:val="FootnoteText"/>
        <w:rPr>
          <w:szCs w:val="24"/>
        </w:rPr>
      </w:pPr>
      <w:r>
        <w:rPr>
          <w:rStyle w:val="FootnoteReference"/>
        </w:rPr>
        <w:footnoteRef/>
      </w:r>
      <w:r>
        <w:tab/>
        <w:t xml:space="preserve">Technická a/nebo administrativní pomoc a výdaje na podporu provádění programů a/nebo akcí EU (bývalé položky „BA“), nepřímý výzkum, přímý výzkum. </w:t>
      </w:r>
    </w:p>
  </w:footnote>
  <w:footnote w:id="27">
    <w:p>
      <w:pPr>
        <w:pStyle w:val="FootnoteText"/>
      </w:pPr>
      <w:r>
        <w:rPr>
          <w:rStyle w:val="FootnoteReference"/>
        </w:rPr>
        <w:footnoteRef/>
      </w:r>
      <w:r>
        <w:tab/>
        <w:t>Uvedené personální potřeby v GŘ Komise jsou orientační a nezávazné povahy.</w:t>
      </w:r>
    </w:p>
  </w:footnote>
  <w:footnote w:id="28">
    <w:p>
      <w:pPr>
        <w:pStyle w:val="FootnoteText"/>
        <w:rPr>
          <w:szCs w:val="24"/>
        </w:rPr>
      </w:pPr>
      <w:r>
        <w:rPr>
          <w:rStyle w:val="FootnoteReference"/>
        </w:rPr>
        <w:footnoteRef/>
      </w:r>
      <w:r>
        <w:tab/>
        <w:t xml:space="preserve">SZ = smluvní zaměstnanec; MZ = místní zaměstnanec; VNO = vyslaný národní odborník; ZAP = zaměstnanec agentury práce; MOD = mladý odborník při delegaci. </w:t>
      </w:r>
    </w:p>
  </w:footnote>
  <w:footnote w:id="29">
    <w:p>
      <w:pPr>
        <w:pStyle w:val="FootnoteText"/>
        <w:rPr>
          <w:szCs w:val="24"/>
        </w:rPr>
      </w:pPr>
      <w:r>
        <w:rPr>
          <w:rStyle w:val="FootnoteReference"/>
        </w:rPr>
        <w:footnoteRef/>
      </w:r>
      <w:r>
        <w:tab/>
        <w:t>Dílčí strop na externí zaměstnance financované z operačních prostředků (bývalé položky „BA“).</w:t>
      </w:r>
    </w:p>
  </w:footnote>
  <w:footnote w:id="30">
    <w:p>
      <w:pPr>
        <w:pStyle w:val="FootnoteText"/>
        <w:rPr>
          <w:szCs w:val="24"/>
        </w:rPr>
      </w:pPr>
      <w:r>
        <w:rPr>
          <w:rStyle w:val="FootnoteReference"/>
        </w:rPr>
        <w:footnoteRef/>
      </w:r>
      <w:r>
        <w:tab/>
        <w:t>Pokud jde o tradiční vlastní zdroje (cla, dávky z cukru), je třeba uvést čisté částky, tj. hrubé částky po odečtení 20 % nákladů na výběr.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69C2C48"/>
    <w:lvl w:ilvl="0">
      <w:start w:val="1"/>
      <w:numFmt w:val="decimal"/>
      <w:pStyle w:val="ListNumber4"/>
      <w:lvlText w:val="%1."/>
      <w:lvlJc w:val="left"/>
      <w:pPr>
        <w:tabs>
          <w:tab w:val="num" w:pos="1209"/>
        </w:tabs>
        <w:ind w:left="1209" w:hanging="360"/>
      </w:pPr>
    </w:lvl>
  </w:abstractNum>
  <w:abstractNum w:abstractNumId="1">
    <w:nsid w:val="FFFFFF7E"/>
    <w:multiLevelType w:val="multilevel"/>
    <w:tmpl w:val="70864E32"/>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FFFFF7F"/>
    <w:multiLevelType w:val="multilevel"/>
    <w:tmpl w:val="51BE6294"/>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FFFFFF81"/>
    <w:multiLevelType w:val="multilevel"/>
    <w:tmpl w:val="535A1B9C"/>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FFFFF82"/>
    <w:multiLevelType w:val="multilevel"/>
    <w:tmpl w:val="BAD062FE"/>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3"/>
    <w:multiLevelType w:val="multilevel"/>
    <w:tmpl w:val="B9068FCE"/>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FFFFF88"/>
    <w:multiLevelType w:val="multilevel"/>
    <w:tmpl w:val="466AD6F4"/>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FFFFF89"/>
    <w:multiLevelType w:val="multilevel"/>
    <w:tmpl w:val="087A81B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2C6A95"/>
    <w:multiLevelType w:val="multi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6">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nsid w:val="489D74ED"/>
    <w:multiLevelType w:val="multi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0C058A"/>
    <w:multiLevelType w:val="multi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6"/>
  </w:num>
  <w:num w:numId="23">
    <w:abstractNumId w:val="2"/>
  </w:num>
  <w:num w:numId="24">
    <w:abstractNumId w:val="1"/>
  </w:num>
  <w:num w:numId="25">
    <w:abstractNumId w:val="0"/>
  </w:num>
  <w:num w:numId="26">
    <w:abstractNumId w:val="19"/>
    <w:lvlOverride w:ilvl="0">
      <w:startOverride w:val="1"/>
    </w:lvlOverride>
  </w:num>
  <w:num w:numId="27">
    <w:abstractNumId w:val="19"/>
    <w:lvlOverride w:ilvl="0">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num>
  <w:num w:numId="31">
    <w:abstractNumId w:val="8"/>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num>
  <w:num w:numId="35">
    <w:abstractNumId w:val="15"/>
  </w:num>
  <w:num w:numId="36">
    <w:abstractNumId w:val="9"/>
  </w:num>
  <w:num w:numId="37">
    <w:abstractNumId w:val="16"/>
  </w:num>
  <w:num w:numId="38">
    <w:abstractNumId w:val="10"/>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7"/>
  </w:num>
  <w:num w:numId="42">
    <w:abstractNumId w:val="27"/>
  </w:num>
  <w:num w:numId="43">
    <w:abstractNumId w:val="14"/>
  </w:num>
  <w:num w:numId="44">
    <w:abstractNumId w:val="18"/>
  </w:num>
  <w:num w:numId="45">
    <w:abstractNumId w:val="12"/>
  </w:num>
  <w:num w:numId="46">
    <w:abstractNumId w:val="26"/>
  </w:num>
  <w:num w:numId="47">
    <w:abstractNumId w:val="11"/>
  </w:num>
  <w:num w:numId="48">
    <w:abstractNumId w:val="19"/>
  </w:num>
  <w:num w:numId="49">
    <w:abstractNumId w:val="23"/>
  </w:num>
  <w:num w:numId="50">
    <w:abstractNumId w:val="24"/>
  </w:num>
  <w:num w:numId="51">
    <w:abstractNumId w:val="13"/>
  </w:num>
  <w:num w:numId="52">
    <w:abstractNumId w:val="22"/>
  </w:num>
  <w:num w:numId="53">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hideSpellingErrors/>
  <w:hideGrammaticalErrors/>
  <w:attachedTemplate r:id="rId1"/>
  <w:revisionView w:markup="0"/>
  <w:defaultTabStop w:val="720"/>
  <w:hyphenationZone w:val="425"/>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03 11:45:0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26"/>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C250909C-368E-4CFC-BF2C-6829D696DF84"/>
    <w:docVar w:name="LW_COVERPAGE_TYPE" w:val="1"/>
    <w:docVar w:name="LW_CROSSREFERENCE" w:val="{SEC(2021) 91 final} - {SWD(2021) 35 final} - {SWD(2021) 36 final}"/>
    <w:docVar w:name="LW_DocType" w:val="COM"/>
    <w:docVar w:name="LW_EMISSION" w:val="23.2.2021"/>
    <w:docVar w:name="LW_EMISSION_ISODATE" w:val="2021-02-23"/>
    <w:docVar w:name="LW_EMISSION_LOCATION" w:val="BRX"/>
    <w:docVar w:name="LW_EMISSION_PREFIX" w:val="V Bruselu dne "/>
    <w:docVar w:name="LW_EMISSION_SUFFIX" w:val=" "/>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CS"/>
    <w:docVar w:name="LW_LEVEL_OF_SENSITIVITY" w:val="Standard treatment"/>
    <w:docVar w:name="LW_NOM.INST" w:val="EVROPSKÁ KOMISE"/>
    <w:docVar w:name="LW_NOM.INST_JOINTDOC" w:val="&lt;EMPTY&gt;"/>
    <w:docVar w:name="LW_PART_NBR" w:val="1"/>
    <w:docVar w:name="LW_PART_NBR_TOTAL" w:val="1"/>
    <w:docVar w:name="LW_REF.II.NEW.CP" w:val="COD"/>
    <w:docVar w:name="LW_REF.II.NEW.CP_NUMBER" w:val="0049"/>
    <w:docVar w:name="LW_REF.II.NEW.CP_YEAR" w:val="2021"/>
    <w:docVar w:name="LW_REF.INST.NEW" w:val="COM"/>
    <w:docVar w:name="LW_REF.INST.NEW_ADOPTED" w:val="final"/>
    <w:docVar w:name="LW_REF.INST.NEW_TEXT" w:val="(2021) 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o ú\u269?asti Unie na Evropském partnerství v oblasti metrologie, realizovaném spole\u269?n\u283? n\u283?kolika \u269?lenskými státy"/>
    <w:docVar w:name="LW_TYPE.DOC.CP" w:val="ROZHODNUTÍ EVROPSKÉHO PARLAMENTU A RADY"/>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pPr>
      <w:keepNext/>
      <w:numPr>
        <w:numId w:val="4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5"/>
      </w:numPr>
      <w:contextualSpacing/>
    </w:p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cs-CZ"/>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cs-CZ"/>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cs-CZ"/>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cs-CZ"/>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cs-CZ"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cs-CZ"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22"/>
      </w:numPr>
      <w:contextualSpacing/>
    </w:pPr>
  </w:style>
  <w:style w:type="paragraph" w:styleId="ListNumber2">
    <w:name w:val="List Number 2"/>
    <w:basedOn w:val="Normal"/>
    <w:unhideWhenUsed/>
    <w:pPr>
      <w:numPr>
        <w:numId w:val="23"/>
      </w:numPr>
      <w:contextualSpacing/>
    </w:pPr>
  </w:style>
  <w:style w:type="paragraph" w:styleId="ListNumber3">
    <w:name w:val="List Number 3"/>
    <w:basedOn w:val="Normal"/>
    <w:unhideWhenUsed/>
    <w:pPr>
      <w:numPr>
        <w:numId w:val="24"/>
      </w:numPr>
      <w:contextualSpacing/>
    </w:pPr>
  </w:style>
  <w:style w:type="paragraph" w:styleId="ListNumber4">
    <w:name w:val="List Number 4"/>
    <w:basedOn w:val="Normal"/>
    <w:unhideWhenUsed/>
    <w:pPr>
      <w:numPr>
        <w:numId w:val="2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29"/>
      </w:numPr>
    </w:pPr>
    <w:rPr>
      <w:rFonts w:eastAsia="Times New Roman"/>
      <w:lang w:eastAsia="de-DE"/>
    </w:rPr>
  </w:style>
  <w:style w:type="paragraph" w:customStyle="1" w:styleId="ListDash2">
    <w:name w:val="List Dash 2"/>
    <w:basedOn w:val="Normal"/>
    <w:pPr>
      <w:numPr>
        <w:numId w:val="3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cs-CZ"/>
    </w:rPr>
  </w:style>
  <w:style w:type="character" w:customStyle="1" w:styleId="FooterSensitivityChar">
    <w:name w:val="Footer Sensitivity Char"/>
    <w:basedOn w:val="DefaultParagraphFont"/>
    <w:rPr>
      <w:rFonts w:ascii="Times New Roman" w:hAnsi="Times New Roman" w:cs="Times New Roman"/>
      <w:b/>
      <w:sz w:val="32"/>
      <w:lang w:val="cs-CZ"/>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cs-CZ"/>
    </w:rPr>
  </w:style>
  <w:style w:type="character" w:customStyle="1" w:styleId="HeaderSensitivityChar">
    <w:name w:val="Header Sensitivity Char"/>
    <w:basedOn w:val="DefaultParagraphFont"/>
    <w:rPr>
      <w:rFonts w:ascii="Times New Roman" w:hAnsi="Times New Roman" w:cs="Times New Roman"/>
      <w:b/>
      <w:sz w:val="32"/>
      <w:lang w:val="cs-CZ"/>
    </w:rPr>
  </w:style>
  <w:style w:type="paragraph" w:customStyle="1" w:styleId="ListBullet1">
    <w:name w:val="List Bullet 1"/>
    <w:basedOn w:val="Normal"/>
    <w:pPr>
      <w:numPr>
        <w:numId w:val="3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35"/>
      </w:numPr>
    </w:pPr>
    <w:rPr>
      <w:rFonts w:eastAsia="Times New Roman"/>
      <w:lang w:eastAsia="de-DE"/>
    </w:rPr>
  </w:style>
  <w:style w:type="paragraph" w:customStyle="1" w:styleId="ListDash3">
    <w:name w:val="List Dash 3"/>
    <w:basedOn w:val="Normal"/>
    <w:pPr>
      <w:numPr>
        <w:numId w:val="36"/>
      </w:numPr>
    </w:pPr>
    <w:rPr>
      <w:rFonts w:eastAsia="Times New Roman"/>
      <w:lang w:eastAsia="en-GB"/>
    </w:rPr>
  </w:style>
  <w:style w:type="paragraph" w:customStyle="1" w:styleId="ListDash4">
    <w:name w:val="List Dash 4"/>
    <w:basedOn w:val="Normal"/>
    <w:pPr>
      <w:numPr>
        <w:numId w:val="37"/>
      </w:numPr>
    </w:pPr>
    <w:rPr>
      <w:rFonts w:eastAsia="Times New Roman"/>
      <w:lang w:eastAsia="en-GB"/>
    </w:rPr>
  </w:style>
  <w:style w:type="paragraph" w:customStyle="1" w:styleId="ListNumber1">
    <w:name w:val="List Number 1"/>
    <w:basedOn w:val="Text1"/>
    <w:pPr>
      <w:numPr>
        <w:numId w:val="38"/>
      </w:numPr>
    </w:pPr>
    <w:rPr>
      <w:rFonts w:eastAsia="Times New Roman"/>
      <w:lang w:eastAsia="en-GB"/>
    </w:rPr>
  </w:style>
  <w:style w:type="paragraph" w:customStyle="1" w:styleId="ListNumber1Level2">
    <w:name w:val="List Number 1 (Level 2)"/>
    <w:basedOn w:val="Text1"/>
    <w:pPr>
      <w:numPr>
        <w:ilvl w:val="1"/>
        <w:numId w:val="3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3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3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cs-CZ"/>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cs-CZ"/>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40"/>
      </w:numPr>
    </w:pPr>
  </w:style>
  <w:style w:type="paragraph" w:customStyle="1" w:styleId="Tiret1">
    <w:name w:val="Tiret 1"/>
    <w:basedOn w:val="Point1"/>
    <w:pPr>
      <w:numPr>
        <w:numId w:val="41"/>
      </w:numPr>
    </w:pPr>
  </w:style>
  <w:style w:type="paragraph" w:customStyle="1" w:styleId="Tiret2">
    <w:name w:val="Tiret 2"/>
    <w:basedOn w:val="Point2"/>
    <w:pPr>
      <w:numPr>
        <w:numId w:val="42"/>
      </w:numPr>
    </w:pPr>
  </w:style>
  <w:style w:type="paragraph" w:customStyle="1" w:styleId="Tiret3">
    <w:name w:val="Tiret 3"/>
    <w:basedOn w:val="Point3"/>
    <w:pPr>
      <w:numPr>
        <w:numId w:val="43"/>
      </w:numPr>
    </w:pPr>
  </w:style>
  <w:style w:type="paragraph" w:customStyle="1" w:styleId="Tiret4">
    <w:name w:val="Tiret 4"/>
    <w:basedOn w:val="Point4"/>
    <w:pPr>
      <w:numPr>
        <w:numId w:val="4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5"/>
      </w:numPr>
    </w:pPr>
  </w:style>
  <w:style w:type="paragraph" w:customStyle="1" w:styleId="NumPar2">
    <w:name w:val="NumPar 2"/>
    <w:basedOn w:val="Normal"/>
    <w:next w:val="Text1"/>
    <w:pPr>
      <w:numPr>
        <w:ilvl w:val="1"/>
        <w:numId w:val="45"/>
      </w:numPr>
    </w:pPr>
  </w:style>
  <w:style w:type="paragraph" w:customStyle="1" w:styleId="NumPar3">
    <w:name w:val="NumPar 3"/>
    <w:basedOn w:val="Normal"/>
    <w:next w:val="Text1"/>
    <w:pPr>
      <w:numPr>
        <w:ilvl w:val="2"/>
        <w:numId w:val="45"/>
      </w:numPr>
    </w:pPr>
  </w:style>
  <w:style w:type="paragraph" w:customStyle="1" w:styleId="NumPar4">
    <w:name w:val="NumPar 4"/>
    <w:basedOn w:val="Normal"/>
    <w:next w:val="Text1"/>
    <w:pPr>
      <w:numPr>
        <w:ilvl w:val="3"/>
        <w:numId w:val="4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7"/>
      </w:numPr>
    </w:pPr>
  </w:style>
  <w:style w:type="paragraph" w:customStyle="1" w:styleId="Point1number">
    <w:name w:val="Point 1 (number)"/>
    <w:basedOn w:val="Normal"/>
    <w:pPr>
      <w:numPr>
        <w:ilvl w:val="2"/>
        <w:numId w:val="47"/>
      </w:numPr>
    </w:pPr>
  </w:style>
  <w:style w:type="paragraph" w:customStyle="1" w:styleId="Point2number">
    <w:name w:val="Point 2 (number)"/>
    <w:basedOn w:val="Normal"/>
    <w:pPr>
      <w:numPr>
        <w:ilvl w:val="4"/>
        <w:numId w:val="47"/>
      </w:numPr>
    </w:pPr>
  </w:style>
  <w:style w:type="paragraph" w:customStyle="1" w:styleId="Point3number">
    <w:name w:val="Point 3 (number)"/>
    <w:basedOn w:val="Normal"/>
    <w:pPr>
      <w:numPr>
        <w:ilvl w:val="6"/>
        <w:numId w:val="47"/>
      </w:numPr>
    </w:pPr>
  </w:style>
  <w:style w:type="paragraph" w:customStyle="1" w:styleId="Point0letter">
    <w:name w:val="Point 0 (letter)"/>
    <w:basedOn w:val="Normal"/>
    <w:pPr>
      <w:numPr>
        <w:ilvl w:val="1"/>
        <w:numId w:val="47"/>
      </w:numPr>
    </w:pPr>
  </w:style>
  <w:style w:type="paragraph" w:customStyle="1" w:styleId="Point1letter">
    <w:name w:val="Point 1 (letter)"/>
    <w:basedOn w:val="Normal"/>
    <w:pPr>
      <w:numPr>
        <w:ilvl w:val="3"/>
        <w:numId w:val="47"/>
      </w:numPr>
    </w:pPr>
  </w:style>
  <w:style w:type="paragraph" w:customStyle="1" w:styleId="Point2letter">
    <w:name w:val="Point 2 (letter)"/>
    <w:basedOn w:val="Normal"/>
    <w:pPr>
      <w:numPr>
        <w:ilvl w:val="5"/>
        <w:numId w:val="47"/>
      </w:numPr>
    </w:pPr>
  </w:style>
  <w:style w:type="paragraph" w:customStyle="1" w:styleId="Point3letter">
    <w:name w:val="Point 3 (letter)"/>
    <w:basedOn w:val="Normal"/>
    <w:pPr>
      <w:numPr>
        <w:ilvl w:val="7"/>
        <w:numId w:val="47"/>
      </w:numPr>
    </w:pPr>
  </w:style>
  <w:style w:type="paragraph" w:customStyle="1" w:styleId="Point4letter">
    <w:name w:val="Point 4 (letter)"/>
    <w:basedOn w:val="Normal"/>
    <w:pPr>
      <w:numPr>
        <w:ilvl w:val="8"/>
        <w:numId w:val="47"/>
      </w:numPr>
    </w:pPr>
  </w:style>
  <w:style w:type="paragraph" w:customStyle="1" w:styleId="Bullet0">
    <w:name w:val="Bullet 0"/>
    <w:basedOn w:val="Normal"/>
    <w:pPr>
      <w:numPr>
        <w:numId w:val="48"/>
      </w:numPr>
    </w:pPr>
  </w:style>
  <w:style w:type="paragraph" w:customStyle="1" w:styleId="Bullet1">
    <w:name w:val="Bullet 1"/>
    <w:basedOn w:val="Normal"/>
    <w:pPr>
      <w:numPr>
        <w:numId w:val="49"/>
      </w:numPr>
    </w:pPr>
  </w:style>
  <w:style w:type="paragraph" w:customStyle="1" w:styleId="Bullet2">
    <w:name w:val="Bullet 2"/>
    <w:basedOn w:val="Normal"/>
    <w:pPr>
      <w:numPr>
        <w:numId w:val="50"/>
      </w:numPr>
    </w:pPr>
  </w:style>
  <w:style w:type="paragraph" w:customStyle="1" w:styleId="Bullet3">
    <w:name w:val="Bullet 3"/>
    <w:basedOn w:val="Normal"/>
    <w:pPr>
      <w:numPr>
        <w:numId w:val="51"/>
      </w:numPr>
    </w:pPr>
  </w:style>
  <w:style w:type="paragraph" w:customStyle="1" w:styleId="Bullet4">
    <w:name w:val="Bullet 4"/>
    <w:basedOn w:val="Normal"/>
    <w:pPr>
      <w:numPr>
        <w:numId w:val="5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cs-CZ"/>
    </w:rPr>
  </w:style>
  <w:style w:type="paragraph" w:styleId="Heading1">
    <w:name w:val="heading 1"/>
    <w:basedOn w:val="Normal"/>
    <w:next w:val="Text1"/>
    <w:link w:val="Heading1Char"/>
    <w:uiPriority w:val="9"/>
    <w:qFormat/>
    <w:pPr>
      <w:keepNext/>
      <w:numPr>
        <w:numId w:val="4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5"/>
      </w:numPr>
      <w:contextualSpacing/>
    </w:p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cs-CZ"/>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cs-CZ"/>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cs-CZ"/>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cs-CZ"/>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cs-CZ"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cs-CZ"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22"/>
      </w:numPr>
      <w:contextualSpacing/>
    </w:pPr>
  </w:style>
  <w:style w:type="paragraph" w:styleId="ListNumber2">
    <w:name w:val="List Number 2"/>
    <w:basedOn w:val="Normal"/>
    <w:unhideWhenUsed/>
    <w:pPr>
      <w:numPr>
        <w:numId w:val="23"/>
      </w:numPr>
      <w:contextualSpacing/>
    </w:pPr>
  </w:style>
  <w:style w:type="paragraph" w:styleId="ListNumber3">
    <w:name w:val="List Number 3"/>
    <w:basedOn w:val="Normal"/>
    <w:unhideWhenUsed/>
    <w:pPr>
      <w:numPr>
        <w:numId w:val="24"/>
      </w:numPr>
      <w:contextualSpacing/>
    </w:pPr>
  </w:style>
  <w:style w:type="paragraph" w:styleId="ListNumber4">
    <w:name w:val="List Number 4"/>
    <w:basedOn w:val="Normal"/>
    <w:unhideWhenUsed/>
    <w:pPr>
      <w:numPr>
        <w:numId w:val="2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29"/>
      </w:numPr>
    </w:pPr>
    <w:rPr>
      <w:rFonts w:eastAsia="Times New Roman"/>
      <w:lang w:eastAsia="de-DE"/>
    </w:rPr>
  </w:style>
  <w:style w:type="paragraph" w:customStyle="1" w:styleId="ListDash2">
    <w:name w:val="List Dash 2"/>
    <w:basedOn w:val="Normal"/>
    <w:pPr>
      <w:numPr>
        <w:numId w:val="3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cs-CZ"/>
    </w:rPr>
  </w:style>
  <w:style w:type="character" w:customStyle="1" w:styleId="FooterSensitivityChar">
    <w:name w:val="Footer Sensitivity Char"/>
    <w:basedOn w:val="DefaultParagraphFont"/>
    <w:rPr>
      <w:rFonts w:ascii="Times New Roman" w:hAnsi="Times New Roman" w:cs="Times New Roman"/>
      <w:b/>
      <w:sz w:val="32"/>
      <w:lang w:val="cs-CZ"/>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cs-CZ"/>
    </w:rPr>
  </w:style>
  <w:style w:type="character" w:customStyle="1" w:styleId="HeaderSensitivityChar">
    <w:name w:val="Header Sensitivity Char"/>
    <w:basedOn w:val="DefaultParagraphFont"/>
    <w:rPr>
      <w:rFonts w:ascii="Times New Roman" w:hAnsi="Times New Roman" w:cs="Times New Roman"/>
      <w:b/>
      <w:sz w:val="32"/>
      <w:lang w:val="cs-CZ"/>
    </w:rPr>
  </w:style>
  <w:style w:type="paragraph" w:customStyle="1" w:styleId="ListBullet1">
    <w:name w:val="List Bullet 1"/>
    <w:basedOn w:val="Normal"/>
    <w:pPr>
      <w:numPr>
        <w:numId w:val="3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35"/>
      </w:numPr>
    </w:pPr>
    <w:rPr>
      <w:rFonts w:eastAsia="Times New Roman"/>
      <w:lang w:eastAsia="de-DE"/>
    </w:rPr>
  </w:style>
  <w:style w:type="paragraph" w:customStyle="1" w:styleId="ListDash3">
    <w:name w:val="List Dash 3"/>
    <w:basedOn w:val="Normal"/>
    <w:pPr>
      <w:numPr>
        <w:numId w:val="36"/>
      </w:numPr>
    </w:pPr>
    <w:rPr>
      <w:rFonts w:eastAsia="Times New Roman"/>
      <w:lang w:eastAsia="en-GB"/>
    </w:rPr>
  </w:style>
  <w:style w:type="paragraph" w:customStyle="1" w:styleId="ListDash4">
    <w:name w:val="List Dash 4"/>
    <w:basedOn w:val="Normal"/>
    <w:pPr>
      <w:numPr>
        <w:numId w:val="37"/>
      </w:numPr>
    </w:pPr>
    <w:rPr>
      <w:rFonts w:eastAsia="Times New Roman"/>
      <w:lang w:eastAsia="en-GB"/>
    </w:rPr>
  </w:style>
  <w:style w:type="paragraph" w:customStyle="1" w:styleId="ListNumber1">
    <w:name w:val="List Number 1"/>
    <w:basedOn w:val="Text1"/>
    <w:pPr>
      <w:numPr>
        <w:numId w:val="38"/>
      </w:numPr>
    </w:pPr>
    <w:rPr>
      <w:rFonts w:eastAsia="Times New Roman"/>
      <w:lang w:eastAsia="en-GB"/>
    </w:rPr>
  </w:style>
  <w:style w:type="paragraph" w:customStyle="1" w:styleId="ListNumber1Level2">
    <w:name w:val="List Number 1 (Level 2)"/>
    <w:basedOn w:val="Text1"/>
    <w:pPr>
      <w:numPr>
        <w:ilvl w:val="1"/>
        <w:numId w:val="3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3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3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cs-CZ"/>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cs-CZ"/>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40"/>
      </w:numPr>
    </w:pPr>
  </w:style>
  <w:style w:type="paragraph" w:customStyle="1" w:styleId="Tiret1">
    <w:name w:val="Tiret 1"/>
    <w:basedOn w:val="Point1"/>
    <w:pPr>
      <w:numPr>
        <w:numId w:val="41"/>
      </w:numPr>
    </w:pPr>
  </w:style>
  <w:style w:type="paragraph" w:customStyle="1" w:styleId="Tiret2">
    <w:name w:val="Tiret 2"/>
    <w:basedOn w:val="Point2"/>
    <w:pPr>
      <w:numPr>
        <w:numId w:val="42"/>
      </w:numPr>
    </w:pPr>
  </w:style>
  <w:style w:type="paragraph" w:customStyle="1" w:styleId="Tiret3">
    <w:name w:val="Tiret 3"/>
    <w:basedOn w:val="Point3"/>
    <w:pPr>
      <w:numPr>
        <w:numId w:val="43"/>
      </w:numPr>
    </w:pPr>
  </w:style>
  <w:style w:type="paragraph" w:customStyle="1" w:styleId="Tiret4">
    <w:name w:val="Tiret 4"/>
    <w:basedOn w:val="Point4"/>
    <w:pPr>
      <w:numPr>
        <w:numId w:val="4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5"/>
      </w:numPr>
    </w:pPr>
  </w:style>
  <w:style w:type="paragraph" w:customStyle="1" w:styleId="NumPar2">
    <w:name w:val="NumPar 2"/>
    <w:basedOn w:val="Normal"/>
    <w:next w:val="Text1"/>
    <w:pPr>
      <w:numPr>
        <w:ilvl w:val="1"/>
        <w:numId w:val="45"/>
      </w:numPr>
    </w:pPr>
  </w:style>
  <w:style w:type="paragraph" w:customStyle="1" w:styleId="NumPar3">
    <w:name w:val="NumPar 3"/>
    <w:basedOn w:val="Normal"/>
    <w:next w:val="Text1"/>
    <w:pPr>
      <w:numPr>
        <w:ilvl w:val="2"/>
        <w:numId w:val="45"/>
      </w:numPr>
    </w:pPr>
  </w:style>
  <w:style w:type="paragraph" w:customStyle="1" w:styleId="NumPar4">
    <w:name w:val="NumPar 4"/>
    <w:basedOn w:val="Normal"/>
    <w:next w:val="Text1"/>
    <w:pPr>
      <w:numPr>
        <w:ilvl w:val="3"/>
        <w:numId w:val="4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7"/>
      </w:numPr>
    </w:pPr>
  </w:style>
  <w:style w:type="paragraph" w:customStyle="1" w:styleId="Point1number">
    <w:name w:val="Point 1 (number)"/>
    <w:basedOn w:val="Normal"/>
    <w:pPr>
      <w:numPr>
        <w:ilvl w:val="2"/>
        <w:numId w:val="47"/>
      </w:numPr>
    </w:pPr>
  </w:style>
  <w:style w:type="paragraph" w:customStyle="1" w:styleId="Point2number">
    <w:name w:val="Point 2 (number)"/>
    <w:basedOn w:val="Normal"/>
    <w:pPr>
      <w:numPr>
        <w:ilvl w:val="4"/>
        <w:numId w:val="47"/>
      </w:numPr>
    </w:pPr>
  </w:style>
  <w:style w:type="paragraph" w:customStyle="1" w:styleId="Point3number">
    <w:name w:val="Point 3 (number)"/>
    <w:basedOn w:val="Normal"/>
    <w:pPr>
      <w:numPr>
        <w:ilvl w:val="6"/>
        <w:numId w:val="47"/>
      </w:numPr>
    </w:pPr>
  </w:style>
  <w:style w:type="paragraph" w:customStyle="1" w:styleId="Point0letter">
    <w:name w:val="Point 0 (letter)"/>
    <w:basedOn w:val="Normal"/>
    <w:pPr>
      <w:numPr>
        <w:ilvl w:val="1"/>
        <w:numId w:val="47"/>
      </w:numPr>
    </w:pPr>
  </w:style>
  <w:style w:type="paragraph" w:customStyle="1" w:styleId="Point1letter">
    <w:name w:val="Point 1 (letter)"/>
    <w:basedOn w:val="Normal"/>
    <w:pPr>
      <w:numPr>
        <w:ilvl w:val="3"/>
        <w:numId w:val="47"/>
      </w:numPr>
    </w:pPr>
  </w:style>
  <w:style w:type="paragraph" w:customStyle="1" w:styleId="Point2letter">
    <w:name w:val="Point 2 (letter)"/>
    <w:basedOn w:val="Normal"/>
    <w:pPr>
      <w:numPr>
        <w:ilvl w:val="5"/>
        <w:numId w:val="47"/>
      </w:numPr>
    </w:pPr>
  </w:style>
  <w:style w:type="paragraph" w:customStyle="1" w:styleId="Point3letter">
    <w:name w:val="Point 3 (letter)"/>
    <w:basedOn w:val="Normal"/>
    <w:pPr>
      <w:numPr>
        <w:ilvl w:val="7"/>
        <w:numId w:val="47"/>
      </w:numPr>
    </w:pPr>
  </w:style>
  <w:style w:type="paragraph" w:customStyle="1" w:styleId="Point4letter">
    <w:name w:val="Point 4 (letter)"/>
    <w:basedOn w:val="Normal"/>
    <w:pPr>
      <w:numPr>
        <w:ilvl w:val="8"/>
        <w:numId w:val="47"/>
      </w:numPr>
    </w:pPr>
  </w:style>
  <w:style w:type="paragraph" w:customStyle="1" w:styleId="Bullet0">
    <w:name w:val="Bullet 0"/>
    <w:basedOn w:val="Normal"/>
    <w:pPr>
      <w:numPr>
        <w:numId w:val="48"/>
      </w:numPr>
    </w:pPr>
  </w:style>
  <w:style w:type="paragraph" w:customStyle="1" w:styleId="Bullet1">
    <w:name w:val="Bullet 1"/>
    <w:basedOn w:val="Normal"/>
    <w:pPr>
      <w:numPr>
        <w:numId w:val="49"/>
      </w:numPr>
    </w:pPr>
  </w:style>
  <w:style w:type="paragraph" w:customStyle="1" w:styleId="Bullet2">
    <w:name w:val="Bullet 2"/>
    <w:basedOn w:val="Normal"/>
    <w:pPr>
      <w:numPr>
        <w:numId w:val="50"/>
      </w:numPr>
    </w:pPr>
  </w:style>
  <w:style w:type="paragraph" w:customStyle="1" w:styleId="Bullet3">
    <w:name w:val="Bullet 3"/>
    <w:basedOn w:val="Normal"/>
    <w:pPr>
      <w:numPr>
        <w:numId w:val="51"/>
      </w:numPr>
    </w:pPr>
  </w:style>
  <w:style w:type="paragraph" w:customStyle="1" w:styleId="Bullet4">
    <w:name w:val="Bullet 4"/>
    <w:basedOn w:val="Normal"/>
    <w:pPr>
      <w:numPr>
        <w:numId w:val="5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037">
      <w:bodyDiv w:val="1"/>
      <w:marLeft w:val="0"/>
      <w:marRight w:val="0"/>
      <w:marTop w:val="0"/>
      <w:marBottom w:val="0"/>
      <w:divBdr>
        <w:top w:val="none" w:sz="0" w:space="0" w:color="auto"/>
        <w:left w:val="none" w:sz="0" w:space="0" w:color="auto"/>
        <w:bottom w:val="none" w:sz="0" w:space="0" w:color="auto"/>
        <w:right w:val="none" w:sz="0" w:space="0" w:color="auto"/>
      </w:divBdr>
    </w:div>
    <w:div w:id="103547316">
      <w:bodyDiv w:val="1"/>
      <w:marLeft w:val="0"/>
      <w:marRight w:val="0"/>
      <w:marTop w:val="0"/>
      <w:marBottom w:val="0"/>
      <w:divBdr>
        <w:top w:val="none" w:sz="0" w:space="0" w:color="auto"/>
        <w:left w:val="none" w:sz="0" w:space="0" w:color="auto"/>
        <w:bottom w:val="none" w:sz="0" w:space="0" w:color="auto"/>
        <w:right w:val="none" w:sz="0" w:space="0" w:color="auto"/>
      </w:divBdr>
    </w:div>
    <w:div w:id="168326109">
      <w:bodyDiv w:val="1"/>
      <w:marLeft w:val="0"/>
      <w:marRight w:val="0"/>
      <w:marTop w:val="0"/>
      <w:marBottom w:val="0"/>
      <w:divBdr>
        <w:top w:val="none" w:sz="0" w:space="0" w:color="auto"/>
        <w:left w:val="none" w:sz="0" w:space="0" w:color="auto"/>
        <w:bottom w:val="none" w:sz="0" w:space="0" w:color="auto"/>
        <w:right w:val="none" w:sz="0" w:space="0" w:color="auto"/>
      </w:divBdr>
    </w:div>
    <w:div w:id="189727669">
      <w:bodyDiv w:val="1"/>
      <w:marLeft w:val="0"/>
      <w:marRight w:val="0"/>
      <w:marTop w:val="0"/>
      <w:marBottom w:val="0"/>
      <w:divBdr>
        <w:top w:val="none" w:sz="0" w:space="0" w:color="auto"/>
        <w:left w:val="none" w:sz="0" w:space="0" w:color="auto"/>
        <w:bottom w:val="none" w:sz="0" w:space="0" w:color="auto"/>
        <w:right w:val="none" w:sz="0" w:space="0" w:color="auto"/>
      </w:divBdr>
    </w:div>
    <w:div w:id="228267548">
      <w:bodyDiv w:val="1"/>
      <w:marLeft w:val="0"/>
      <w:marRight w:val="0"/>
      <w:marTop w:val="0"/>
      <w:marBottom w:val="0"/>
      <w:divBdr>
        <w:top w:val="none" w:sz="0" w:space="0" w:color="auto"/>
        <w:left w:val="none" w:sz="0" w:space="0" w:color="auto"/>
        <w:bottom w:val="none" w:sz="0" w:space="0" w:color="auto"/>
        <w:right w:val="none" w:sz="0" w:space="0" w:color="auto"/>
      </w:divBdr>
      <w:divsChild>
        <w:div w:id="1009799164">
          <w:marLeft w:val="0"/>
          <w:marRight w:val="0"/>
          <w:marTop w:val="0"/>
          <w:marBottom w:val="0"/>
          <w:divBdr>
            <w:top w:val="none" w:sz="0" w:space="0" w:color="auto"/>
            <w:left w:val="none" w:sz="0" w:space="0" w:color="auto"/>
            <w:bottom w:val="none" w:sz="0" w:space="0" w:color="auto"/>
            <w:right w:val="none" w:sz="0" w:space="0" w:color="auto"/>
          </w:divBdr>
        </w:div>
        <w:div w:id="2119370360">
          <w:marLeft w:val="0"/>
          <w:marRight w:val="0"/>
          <w:marTop w:val="0"/>
          <w:marBottom w:val="0"/>
          <w:divBdr>
            <w:top w:val="none" w:sz="0" w:space="0" w:color="auto"/>
            <w:left w:val="none" w:sz="0" w:space="0" w:color="auto"/>
            <w:bottom w:val="none" w:sz="0" w:space="0" w:color="auto"/>
            <w:right w:val="none" w:sz="0" w:space="0" w:color="auto"/>
          </w:divBdr>
        </w:div>
      </w:divsChild>
    </w:div>
    <w:div w:id="371812136">
      <w:bodyDiv w:val="1"/>
      <w:marLeft w:val="0"/>
      <w:marRight w:val="0"/>
      <w:marTop w:val="0"/>
      <w:marBottom w:val="0"/>
      <w:divBdr>
        <w:top w:val="none" w:sz="0" w:space="0" w:color="auto"/>
        <w:left w:val="none" w:sz="0" w:space="0" w:color="auto"/>
        <w:bottom w:val="none" w:sz="0" w:space="0" w:color="auto"/>
        <w:right w:val="none" w:sz="0" w:space="0" w:color="auto"/>
      </w:divBdr>
    </w:div>
    <w:div w:id="493687274">
      <w:bodyDiv w:val="1"/>
      <w:marLeft w:val="0"/>
      <w:marRight w:val="0"/>
      <w:marTop w:val="0"/>
      <w:marBottom w:val="0"/>
      <w:divBdr>
        <w:top w:val="none" w:sz="0" w:space="0" w:color="auto"/>
        <w:left w:val="none" w:sz="0" w:space="0" w:color="auto"/>
        <w:bottom w:val="none" w:sz="0" w:space="0" w:color="auto"/>
        <w:right w:val="none" w:sz="0" w:space="0" w:color="auto"/>
      </w:divBdr>
    </w:div>
    <w:div w:id="506404464">
      <w:bodyDiv w:val="1"/>
      <w:marLeft w:val="0"/>
      <w:marRight w:val="0"/>
      <w:marTop w:val="0"/>
      <w:marBottom w:val="0"/>
      <w:divBdr>
        <w:top w:val="none" w:sz="0" w:space="0" w:color="auto"/>
        <w:left w:val="none" w:sz="0" w:space="0" w:color="auto"/>
        <w:bottom w:val="none" w:sz="0" w:space="0" w:color="auto"/>
        <w:right w:val="none" w:sz="0" w:space="0" w:color="auto"/>
      </w:divBdr>
    </w:div>
    <w:div w:id="600184579">
      <w:bodyDiv w:val="1"/>
      <w:marLeft w:val="0"/>
      <w:marRight w:val="0"/>
      <w:marTop w:val="0"/>
      <w:marBottom w:val="0"/>
      <w:divBdr>
        <w:top w:val="none" w:sz="0" w:space="0" w:color="auto"/>
        <w:left w:val="none" w:sz="0" w:space="0" w:color="auto"/>
        <w:bottom w:val="none" w:sz="0" w:space="0" w:color="auto"/>
        <w:right w:val="none" w:sz="0" w:space="0" w:color="auto"/>
      </w:divBdr>
    </w:div>
    <w:div w:id="633564280">
      <w:bodyDiv w:val="1"/>
      <w:marLeft w:val="0"/>
      <w:marRight w:val="0"/>
      <w:marTop w:val="0"/>
      <w:marBottom w:val="0"/>
      <w:divBdr>
        <w:top w:val="none" w:sz="0" w:space="0" w:color="auto"/>
        <w:left w:val="none" w:sz="0" w:space="0" w:color="auto"/>
        <w:bottom w:val="none" w:sz="0" w:space="0" w:color="auto"/>
        <w:right w:val="none" w:sz="0" w:space="0" w:color="auto"/>
      </w:divBdr>
    </w:div>
    <w:div w:id="666710370">
      <w:bodyDiv w:val="1"/>
      <w:marLeft w:val="0"/>
      <w:marRight w:val="0"/>
      <w:marTop w:val="0"/>
      <w:marBottom w:val="0"/>
      <w:divBdr>
        <w:top w:val="none" w:sz="0" w:space="0" w:color="auto"/>
        <w:left w:val="none" w:sz="0" w:space="0" w:color="auto"/>
        <w:bottom w:val="none" w:sz="0" w:space="0" w:color="auto"/>
        <w:right w:val="none" w:sz="0" w:space="0" w:color="auto"/>
      </w:divBdr>
    </w:div>
    <w:div w:id="709719786">
      <w:bodyDiv w:val="1"/>
      <w:marLeft w:val="0"/>
      <w:marRight w:val="0"/>
      <w:marTop w:val="0"/>
      <w:marBottom w:val="0"/>
      <w:divBdr>
        <w:top w:val="none" w:sz="0" w:space="0" w:color="auto"/>
        <w:left w:val="none" w:sz="0" w:space="0" w:color="auto"/>
        <w:bottom w:val="none" w:sz="0" w:space="0" w:color="auto"/>
        <w:right w:val="none" w:sz="0" w:space="0" w:color="auto"/>
      </w:divBdr>
    </w:div>
    <w:div w:id="891187491">
      <w:bodyDiv w:val="1"/>
      <w:marLeft w:val="0"/>
      <w:marRight w:val="0"/>
      <w:marTop w:val="0"/>
      <w:marBottom w:val="0"/>
      <w:divBdr>
        <w:top w:val="none" w:sz="0" w:space="0" w:color="auto"/>
        <w:left w:val="none" w:sz="0" w:space="0" w:color="auto"/>
        <w:bottom w:val="none" w:sz="0" w:space="0" w:color="auto"/>
        <w:right w:val="none" w:sz="0" w:space="0" w:color="auto"/>
      </w:divBdr>
    </w:div>
    <w:div w:id="941230988">
      <w:bodyDiv w:val="1"/>
      <w:marLeft w:val="0"/>
      <w:marRight w:val="0"/>
      <w:marTop w:val="0"/>
      <w:marBottom w:val="0"/>
      <w:divBdr>
        <w:top w:val="none" w:sz="0" w:space="0" w:color="auto"/>
        <w:left w:val="none" w:sz="0" w:space="0" w:color="auto"/>
        <w:bottom w:val="none" w:sz="0" w:space="0" w:color="auto"/>
        <w:right w:val="none" w:sz="0" w:space="0" w:color="auto"/>
      </w:divBdr>
    </w:div>
    <w:div w:id="1027369686">
      <w:bodyDiv w:val="1"/>
      <w:marLeft w:val="0"/>
      <w:marRight w:val="0"/>
      <w:marTop w:val="0"/>
      <w:marBottom w:val="0"/>
      <w:divBdr>
        <w:top w:val="none" w:sz="0" w:space="0" w:color="auto"/>
        <w:left w:val="none" w:sz="0" w:space="0" w:color="auto"/>
        <w:bottom w:val="none" w:sz="0" w:space="0" w:color="auto"/>
        <w:right w:val="none" w:sz="0" w:space="0" w:color="auto"/>
      </w:divBdr>
    </w:div>
    <w:div w:id="1061446429">
      <w:bodyDiv w:val="1"/>
      <w:marLeft w:val="0"/>
      <w:marRight w:val="0"/>
      <w:marTop w:val="0"/>
      <w:marBottom w:val="0"/>
      <w:divBdr>
        <w:top w:val="none" w:sz="0" w:space="0" w:color="auto"/>
        <w:left w:val="none" w:sz="0" w:space="0" w:color="auto"/>
        <w:bottom w:val="none" w:sz="0" w:space="0" w:color="auto"/>
        <w:right w:val="none" w:sz="0" w:space="0" w:color="auto"/>
      </w:divBdr>
    </w:div>
    <w:div w:id="1082609268">
      <w:bodyDiv w:val="1"/>
      <w:marLeft w:val="0"/>
      <w:marRight w:val="0"/>
      <w:marTop w:val="0"/>
      <w:marBottom w:val="0"/>
      <w:divBdr>
        <w:top w:val="none" w:sz="0" w:space="0" w:color="auto"/>
        <w:left w:val="none" w:sz="0" w:space="0" w:color="auto"/>
        <w:bottom w:val="none" w:sz="0" w:space="0" w:color="auto"/>
        <w:right w:val="none" w:sz="0" w:space="0" w:color="auto"/>
      </w:divBdr>
    </w:div>
    <w:div w:id="1116683407">
      <w:bodyDiv w:val="1"/>
      <w:marLeft w:val="0"/>
      <w:marRight w:val="0"/>
      <w:marTop w:val="0"/>
      <w:marBottom w:val="0"/>
      <w:divBdr>
        <w:top w:val="none" w:sz="0" w:space="0" w:color="auto"/>
        <w:left w:val="none" w:sz="0" w:space="0" w:color="auto"/>
        <w:bottom w:val="none" w:sz="0" w:space="0" w:color="auto"/>
        <w:right w:val="none" w:sz="0" w:space="0" w:color="auto"/>
      </w:divBdr>
    </w:div>
    <w:div w:id="1324045754">
      <w:bodyDiv w:val="1"/>
      <w:marLeft w:val="0"/>
      <w:marRight w:val="0"/>
      <w:marTop w:val="0"/>
      <w:marBottom w:val="0"/>
      <w:divBdr>
        <w:top w:val="none" w:sz="0" w:space="0" w:color="auto"/>
        <w:left w:val="none" w:sz="0" w:space="0" w:color="auto"/>
        <w:bottom w:val="none" w:sz="0" w:space="0" w:color="auto"/>
        <w:right w:val="none" w:sz="0" w:space="0" w:color="auto"/>
      </w:divBdr>
    </w:div>
    <w:div w:id="1417747816">
      <w:bodyDiv w:val="1"/>
      <w:marLeft w:val="0"/>
      <w:marRight w:val="0"/>
      <w:marTop w:val="0"/>
      <w:marBottom w:val="0"/>
      <w:divBdr>
        <w:top w:val="none" w:sz="0" w:space="0" w:color="auto"/>
        <w:left w:val="none" w:sz="0" w:space="0" w:color="auto"/>
        <w:bottom w:val="none" w:sz="0" w:space="0" w:color="auto"/>
        <w:right w:val="none" w:sz="0" w:space="0" w:color="auto"/>
      </w:divBdr>
    </w:div>
    <w:div w:id="1519267976">
      <w:bodyDiv w:val="1"/>
      <w:marLeft w:val="0"/>
      <w:marRight w:val="0"/>
      <w:marTop w:val="0"/>
      <w:marBottom w:val="0"/>
      <w:divBdr>
        <w:top w:val="none" w:sz="0" w:space="0" w:color="auto"/>
        <w:left w:val="none" w:sz="0" w:space="0" w:color="auto"/>
        <w:bottom w:val="none" w:sz="0" w:space="0" w:color="auto"/>
        <w:right w:val="none" w:sz="0" w:space="0" w:color="auto"/>
      </w:divBdr>
    </w:div>
    <w:div w:id="1602643981">
      <w:bodyDiv w:val="1"/>
      <w:marLeft w:val="0"/>
      <w:marRight w:val="0"/>
      <w:marTop w:val="0"/>
      <w:marBottom w:val="0"/>
      <w:divBdr>
        <w:top w:val="none" w:sz="0" w:space="0" w:color="auto"/>
        <w:left w:val="none" w:sz="0" w:space="0" w:color="auto"/>
        <w:bottom w:val="none" w:sz="0" w:space="0" w:color="auto"/>
        <w:right w:val="none" w:sz="0" w:space="0" w:color="auto"/>
      </w:divBdr>
    </w:div>
    <w:div w:id="1662659726">
      <w:bodyDiv w:val="1"/>
      <w:marLeft w:val="0"/>
      <w:marRight w:val="0"/>
      <w:marTop w:val="0"/>
      <w:marBottom w:val="0"/>
      <w:divBdr>
        <w:top w:val="none" w:sz="0" w:space="0" w:color="auto"/>
        <w:left w:val="none" w:sz="0" w:space="0" w:color="auto"/>
        <w:bottom w:val="none" w:sz="0" w:space="0" w:color="auto"/>
        <w:right w:val="none" w:sz="0" w:space="0" w:color="auto"/>
      </w:divBdr>
    </w:div>
    <w:div w:id="1791197012">
      <w:bodyDiv w:val="1"/>
      <w:marLeft w:val="0"/>
      <w:marRight w:val="0"/>
      <w:marTop w:val="0"/>
      <w:marBottom w:val="0"/>
      <w:divBdr>
        <w:top w:val="none" w:sz="0" w:space="0" w:color="auto"/>
        <w:left w:val="none" w:sz="0" w:space="0" w:color="auto"/>
        <w:bottom w:val="none" w:sz="0" w:space="0" w:color="auto"/>
        <w:right w:val="none" w:sz="0" w:space="0" w:color="auto"/>
      </w:divBdr>
    </w:div>
    <w:div w:id="1811360544">
      <w:bodyDiv w:val="1"/>
      <w:marLeft w:val="0"/>
      <w:marRight w:val="0"/>
      <w:marTop w:val="0"/>
      <w:marBottom w:val="0"/>
      <w:divBdr>
        <w:top w:val="none" w:sz="0" w:space="0" w:color="auto"/>
        <w:left w:val="none" w:sz="0" w:space="0" w:color="auto"/>
        <w:bottom w:val="none" w:sz="0" w:space="0" w:color="auto"/>
        <w:right w:val="none" w:sz="0" w:space="0" w:color="auto"/>
      </w:divBdr>
    </w:div>
    <w:div w:id="1881935750">
      <w:bodyDiv w:val="1"/>
      <w:marLeft w:val="0"/>
      <w:marRight w:val="0"/>
      <w:marTop w:val="0"/>
      <w:marBottom w:val="0"/>
      <w:divBdr>
        <w:top w:val="none" w:sz="0" w:space="0" w:color="auto"/>
        <w:left w:val="none" w:sz="0" w:space="0" w:color="auto"/>
        <w:bottom w:val="none" w:sz="0" w:space="0" w:color="auto"/>
        <w:right w:val="none" w:sz="0" w:space="0" w:color="auto"/>
      </w:divBdr>
    </w:div>
    <w:div w:id="1929534518">
      <w:bodyDiv w:val="1"/>
      <w:marLeft w:val="0"/>
      <w:marRight w:val="0"/>
      <w:marTop w:val="0"/>
      <w:marBottom w:val="0"/>
      <w:divBdr>
        <w:top w:val="none" w:sz="0" w:space="0" w:color="auto"/>
        <w:left w:val="none" w:sz="0" w:space="0" w:color="auto"/>
        <w:bottom w:val="none" w:sz="0" w:space="0" w:color="auto"/>
        <w:right w:val="none" w:sz="0" w:space="0" w:color="auto"/>
      </w:divBdr>
    </w:div>
    <w:div w:id="1968924123">
      <w:bodyDiv w:val="1"/>
      <w:marLeft w:val="0"/>
      <w:marRight w:val="0"/>
      <w:marTop w:val="0"/>
      <w:marBottom w:val="0"/>
      <w:divBdr>
        <w:top w:val="none" w:sz="0" w:space="0" w:color="auto"/>
        <w:left w:val="none" w:sz="0" w:space="0" w:color="auto"/>
        <w:bottom w:val="none" w:sz="0" w:space="0" w:color="auto"/>
        <w:right w:val="none" w:sz="0" w:space="0" w:color="auto"/>
      </w:divBdr>
    </w:div>
    <w:div w:id="20347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myintracomm.ec.europa.eu/budgweb/EN/bud/mff/Pages/mff-post-2020.aspx" TargetMode="External"/><Relationship Id="rId25" Type="http://schemas.openxmlformats.org/officeDocument/2006/relationships/footer" Target="footer7.xml"/><Relationship Id="Ra9449430b6e54ae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cb9ec6fe3da741f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4" ma:contentTypeDescription="Create a new document." ma:contentTypeScope="" ma:versionID="8b1fa9895b09e2b4c7f2f4e458e5ee26">
  <xsd:schema xmlns:xsd="http://www.w3.org/2001/XMLSchema" xmlns:xs="http://www.w3.org/2001/XMLSchema" xmlns:p="http://schemas.microsoft.com/office/2006/metadata/properties" xmlns:ns2="541a8a8b-b856-4d35-a5c7-7f2c0ec3d499" targetNamespace="http://schemas.microsoft.com/office/2006/metadata/properties" ma:root="true" ma:fieldsID="4e000a0c0ec7ccb5532d969111d19074"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5BC37-FABA-424F-908D-BC80522C2122}">
  <ds:schemaRefs>
    <ds:schemaRef ds:uri="http://schemas.microsoft.com/sharepoint/events"/>
  </ds:schemaRefs>
</ds:datastoreItem>
</file>

<file path=customXml/itemProps2.xml><?xml version="1.0" encoding="utf-8"?>
<ds:datastoreItem xmlns:ds="http://schemas.openxmlformats.org/officeDocument/2006/customXml" ds:itemID="{E7156CBC-A642-458F-A0EE-86F90A0B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7AE97-8C4B-42C6-A1D9-EBEA9678F076}">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41a8a8b-b856-4d35-a5c7-7f2c0ec3d499"/>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A72B5F-C208-4FDD-AA08-35500559C2CE}">
  <ds:schemaRefs>
    <ds:schemaRef ds:uri="http://schemas.microsoft.com/sharepoint/v3/contenttype/forms"/>
  </ds:schemaRefs>
</ds:datastoreItem>
</file>

<file path=customXml/itemProps5.xml><?xml version="1.0" encoding="utf-8"?>
<ds:datastoreItem xmlns:ds="http://schemas.openxmlformats.org/officeDocument/2006/customXml" ds:itemID="{A9A3B153-D854-4E3B-BAAD-AC5AF881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45</Pages>
  <Words>12906</Words>
  <Characters>78988</Characters>
  <Application>Microsoft Office Word</Application>
  <DocSecurity>0</DocSecurity>
  <Lines>1836</Lines>
  <Paragraphs>883</Paragraphs>
  <ScaleCrop>false</ScaleCrop>
  <HeadingPairs>
    <vt:vector size="2" baseType="variant">
      <vt:variant>
        <vt:lpstr>Title</vt:lpstr>
      </vt:variant>
      <vt:variant>
        <vt:i4>1</vt:i4>
      </vt:variant>
    </vt:vector>
  </HeadingPairs>
  <TitlesOfParts>
    <vt:vector size="1" baseType="lpstr">
      <vt:lpstr>Draft Basic Act Metrology</vt:lpstr>
    </vt:vector>
  </TitlesOfParts>
  <Manager/>
  <Company/>
  <LinksUpToDate>false</LinksUpToDate>
  <CharactersWithSpaces>91011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Basic Act Metrology</dc:title>
  <dc:subject/>
  <dc:creator/>
  <cp:keywords/>
  <dc:description/>
  <cp:lastModifiedBy/>
  <cp:revision>20</cp:revision>
  <cp:lastPrinted>2020-01-27T12:48:00Z</cp:lastPrinted>
  <dcterms:created xsi:type="dcterms:W3CDTF">2021-04-29T10:25:00Z</dcterms:created>
  <dcterms:modified xsi:type="dcterms:W3CDTF">2021-05-03T09:45:00Z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 Build 20190717</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ContentTypeId">
    <vt:lpwstr>0x010100087E4EC354ADFB40AC5D4FC129E379BA</vt:lpwstr>
  </property>
  <property fmtid="{D5CDD505-2E9C-101B-9397-08002B2CF9AE}" pid="11" name="_dlc_DocIdItemGuid">
    <vt:lpwstr>db7f9e85-57d7-4e40-9495-da94843a1332</vt:lpwstr>
  </property>
  <property fmtid="{D5CDD505-2E9C-101B-9397-08002B2CF9AE}" pid="12" name="DQCStatus">
    <vt:lpwstr>Green (DQC version 03)</vt:lpwstr>
  </property>
  <property name="OP_sanitized" fmtid="{D5CDD505-2E9C-101B-9397-08002B2CF9AE}" pid="13">
    <vt:lpwstr>True</vt:lpwstr>
  </property>
</Properties>
</file>