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85BAA" w14:textId="6284F55E" w:rsidR="00807223" w:rsidRDefault="00B10D5C" w:rsidP="00E3706D">
      <w:pPr>
        <w:pStyle w:val="Pagedecouverture"/>
        <w:rPr>
          <w:noProof/>
        </w:rPr>
      </w:pPr>
      <w:bookmarkStart w:id="0" w:name="LW_BM_COVERPAGE"/>
      <w:r>
        <w:rPr>
          <w:noProof/>
        </w:rPr>
        <w:pict w14:anchorId="16CA7E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143BA32-057B-40FB-B6E6-7804F97C376E" style="width:455.3pt;height:310.3pt">
            <v:imagedata r:id="rId15" o:title=""/>
          </v:shape>
        </w:pict>
      </w:r>
    </w:p>
    <w:bookmarkEnd w:id="0"/>
    <w:p w14:paraId="14117269" w14:textId="77777777" w:rsidR="00807223" w:rsidRDefault="00807223" w:rsidP="00807223">
      <w:pPr>
        <w:rPr>
          <w:noProof/>
        </w:rPr>
        <w:sectPr w:rsidR="00807223" w:rsidSect="00E3706D">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5467EE49" w14:textId="77777777" w:rsidR="00B51D4A" w:rsidRDefault="00B51D4A" w:rsidP="00A8067E">
      <w:pPr>
        <w:pStyle w:val="Heading1"/>
        <w:rPr>
          <w:noProof/>
          <w:shd w:val="clear" w:color="auto" w:fill="FFFFFF"/>
        </w:rPr>
      </w:pPr>
      <w:r>
        <w:rPr>
          <w:noProof/>
          <w:shd w:val="clear" w:color="auto" w:fill="FFFFFF"/>
        </w:rPr>
        <w:lastRenderedPageBreak/>
        <w:t>Úvod</w:t>
      </w:r>
    </w:p>
    <w:p w14:paraId="322D38B8" w14:textId="77777777" w:rsidR="00462798" w:rsidRDefault="00462798" w:rsidP="007D7198">
      <w:pPr>
        <w:pStyle w:val="Heading2"/>
        <w:rPr>
          <w:noProof/>
        </w:rPr>
      </w:pPr>
      <w:r>
        <w:rPr>
          <w:noProof/>
        </w:rPr>
        <w:t>Souvislosti</w:t>
      </w:r>
    </w:p>
    <w:p w14:paraId="32828039" w14:textId="7A866730" w:rsidR="0093137A" w:rsidRDefault="0093137A" w:rsidP="00462798">
      <w:pPr>
        <w:rPr>
          <w:noProof/>
        </w:rPr>
      </w:pPr>
      <w:r>
        <w:rPr>
          <w:noProof/>
        </w:rPr>
        <w:t>Nařízením (ES) č. 1185/2009</w:t>
      </w:r>
      <w:r>
        <w:rPr>
          <w:rStyle w:val="FootnoteReference0"/>
          <w:noProof/>
        </w:rPr>
        <w:footnoteReference w:id="2"/>
      </w:r>
      <w:r>
        <w:rPr>
          <w:noProof/>
        </w:rPr>
        <w:t xml:space="preserve"> (dále jen „nařízení“) byl zaveden společný rámec pro evropskou statistiku pesticidů. Nařízení se vztahuje na statistiky uvádění pesticidů na trh (dále jen „statistiky prodeje pesticidů“) a statistiky zemědělského použití pesticidů. Podle článku 7 nařízení musí Komise předložit Evropskému parlamentu a Radě každých pět let zprávu o uplatňování tohoto nařízení. V této zprávě se hodnotí především kvalita předávaných údajů, metody shromažďování údajů a související zatížení podnikatelských subjektů, zemědělských podniků a vnitrostátních správních orgánů. Zpráva se rovněž zabývá tím, nakolik jsou uvedené statistiky užitečné ve vztahu k uplatňování strategie udržitelného používání pesticidů a zejména ve vztahu k plnění cílů stanovených v článku 1 nařízení. Zpráva obsahuje návrhy, jak dále zlepšit kvalitu údajů a metody jejich shromažďování, aby se zlepšily rozsah a srovnatelnost údajů a snížilo se zatížení podnikatelských subjektů, zemědělských podniků a vnitrostátních správních orgánů.</w:t>
      </w:r>
    </w:p>
    <w:p w14:paraId="5A8B451A" w14:textId="5509CEB8" w:rsidR="0093137A" w:rsidRDefault="00EF5E1B" w:rsidP="0093137A">
      <w:pPr>
        <w:rPr>
          <w:noProof/>
        </w:rPr>
      </w:pPr>
      <w:r>
        <w:rPr>
          <w:noProof/>
        </w:rPr>
        <w:t>Evropská statistika pesticidů se používá především pro účely článků 4 a 15 směrnice 2009/128/ES</w:t>
      </w:r>
      <w:r>
        <w:rPr>
          <w:rStyle w:val="FootnoteReference0"/>
          <w:noProof/>
        </w:rPr>
        <w:footnoteReference w:id="3"/>
      </w:r>
      <w:r>
        <w:rPr>
          <w:noProof/>
        </w:rPr>
        <w:t>. Nařízení má také silnou vazbu na nařízení (ES) č. 1107/2009</w:t>
      </w:r>
      <w:r>
        <w:rPr>
          <w:rStyle w:val="FootnoteReference0"/>
          <w:noProof/>
        </w:rPr>
        <w:footnoteReference w:id="4"/>
      </w:r>
      <w:r>
        <w:rPr>
          <w:noProof/>
        </w:rPr>
        <w:t>, a to zejména na článek 67, v němž jsou stanoveny některé povinnosti týkající se předkládání zpráv a vedení záznamů o uvádění pesticidů na trh a o jejich používání.</w:t>
      </w:r>
    </w:p>
    <w:p w14:paraId="502883E1" w14:textId="73967C1B" w:rsidR="003A064B" w:rsidRDefault="00181B78" w:rsidP="003A064B">
      <w:pPr>
        <w:rPr>
          <w:noProof/>
        </w:rPr>
      </w:pPr>
      <w:r>
        <w:rPr>
          <w:noProof/>
        </w:rPr>
        <w:t>Toto je druhá zpráva o provádění nařízení a týká se prodeje pesticidů a jejich zemědělského použití ve sledovaných letech 2015–2019. První zpráva</w:t>
      </w:r>
      <w:r>
        <w:rPr>
          <w:rStyle w:val="FootnoteReference0"/>
          <w:noProof/>
        </w:rPr>
        <w:footnoteReference w:id="5"/>
      </w:r>
      <w:r>
        <w:rPr>
          <w:noProof/>
        </w:rPr>
        <w:t xml:space="preserve">, která byla přijata v roce 2017, zahrnovala prodej pesticidů ve sledovaných letech 2011 až 2014 a zemědělské použití pesticidů ve sledovaném období 2010 až 2014. </w:t>
      </w:r>
    </w:p>
    <w:p w14:paraId="624F53B5" w14:textId="77777777" w:rsidR="003A064B" w:rsidRDefault="003A064B" w:rsidP="003A064B">
      <w:pPr>
        <w:pStyle w:val="Heading2"/>
        <w:numPr>
          <w:ilvl w:val="1"/>
          <w:numId w:val="7"/>
        </w:numPr>
        <w:rPr>
          <w:noProof/>
        </w:rPr>
      </w:pPr>
      <w:r>
        <w:rPr>
          <w:noProof/>
        </w:rPr>
        <w:t>Vývoj na úrovni EU od zveřejnění minulé zprávy</w:t>
      </w:r>
    </w:p>
    <w:p w14:paraId="39DCAA2B" w14:textId="76015214" w:rsidR="009A7B76" w:rsidRPr="009A7B76" w:rsidRDefault="00181B78" w:rsidP="00462798">
      <w:pPr>
        <w:rPr>
          <w:noProof/>
        </w:rPr>
      </w:pPr>
      <w:r>
        <w:rPr>
          <w:noProof/>
        </w:rPr>
        <w:t xml:space="preserve">V květnu 2019 byla přijata </w:t>
      </w:r>
      <w:hyperlink r:id="rId22" w:history="1">
        <w:r>
          <w:rPr>
            <w:noProof/>
          </w:rPr>
          <w:t>směrnice Komise (EU) 2019/782</w:t>
        </w:r>
      </w:hyperlink>
      <w:r>
        <w:rPr>
          <w:rStyle w:val="FootnoteReference0"/>
          <w:noProof/>
        </w:rPr>
        <w:footnoteReference w:id="6"/>
      </w:r>
      <w:r>
        <w:rPr>
          <w:noProof/>
        </w:rPr>
        <w:t xml:space="preserve">, kterou se stanoví harmonizované ukazatele rizika s cílem odhadnout směry vývoje rizik plynoucích z používání pesticidů. V této směrnici jsou stanoveny harmonizované ukazatele rizika, jak je uvedeno v čl. 15 odst. 1 směrnice </w:t>
      </w:r>
      <w:bookmarkStart w:id="1" w:name="_GoBack"/>
      <w:bookmarkEnd w:id="1"/>
      <w:r>
        <w:rPr>
          <w:noProof/>
        </w:rPr>
        <w:t xml:space="preserve">2009/128/ES. Výpočet harmonizovaného ukazatele rizika č. 1, kterým se měří použití pesticidů a z něj plynoucí rizika, provádí Eurostat na základě statistických údajů o prodeji pesticidů </w:t>
      </w:r>
      <w:r>
        <w:rPr>
          <w:noProof/>
        </w:rPr>
        <w:lastRenderedPageBreak/>
        <w:t>shromážděných podle nařízení a používá přitom zařazení účinných látek do skupin a koeficienty pro nebezpečí, jak je stanoveno v uvedené směrnici Komise.</w:t>
      </w:r>
    </w:p>
    <w:p w14:paraId="7B7E1B1D" w14:textId="7CF02D66" w:rsidR="00462798" w:rsidRDefault="00181B78" w:rsidP="00462798">
      <w:pPr>
        <w:rPr>
          <w:noProof/>
        </w:rPr>
      </w:pPr>
      <w:r>
        <w:rPr>
          <w:noProof/>
        </w:rPr>
        <w:t>V květnu 2020 přijala Komise strategii „od zemědělce ke spotřebiteli“ pro spravedlivý, zdravý potravinový systém šetrný k životnímu prostředí</w:t>
      </w:r>
      <w:r>
        <w:rPr>
          <w:rStyle w:val="FootnoteReference0"/>
          <w:noProof/>
        </w:rPr>
        <w:footnoteReference w:id="7"/>
      </w:r>
      <w:r>
        <w:rPr>
          <w:noProof/>
        </w:rPr>
        <w:t xml:space="preserve">. Tato strategie má urychlit přechod na udržitelný potravinový systém. Zahrnuje cíl omezit do roku 2030 celkové používání a riziko chemických pesticidů o 50 % a používání nebezpečnějších pesticidů o 50 %. V akčním plánu ke strategii navrhla Komise revizi nařízení, aby se odstranily nedostatky v údajích a podpořila se tvorba politik založená na důkazech. </w:t>
      </w:r>
    </w:p>
    <w:p w14:paraId="3D34588C" w14:textId="53335520" w:rsidR="000215BA" w:rsidRDefault="00772748" w:rsidP="00772748">
      <w:pPr>
        <w:rPr>
          <w:noProof/>
        </w:rPr>
      </w:pPr>
      <w:r>
        <w:rPr>
          <w:noProof/>
        </w:rPr>
        <w:t>V únoru 2020 zveřejnil Účetní dvůr zprávu nazvanou „Udržitelné využívání přípravků na ochranu rostlin“</w:t>
      </w:r>
      <w:r>
        <w:rPr>
          <w:rStyle w:val="FootnoteReference0"/>
          <w:noProof/>
        </w:rPr>
        <w:footnoteReference w:id="8"/>
      </w:r>
      <w:r>
        <w:rPr>
          <w:noProof/>
        </w:rPr>
        <w:t>, jež se zabývala posouzením toho, zda opatření Komise a členských států vedla ke snížení rizik spojených s používáním přípravků na ochranu rostlin a zda příslušné právní předpisy účinně motivují ke snížení závislosti na těchto přípravcích. Zpráva obsahovala řadu doporučení určených Komisi, která se týkají statistiky pesticidů:</w:t>
      </w:r>
    </w:p>
    <w:p w14:paraId="2FF71444" w14:textId="0596C44D" w:rsidR="000215BA" w:rsidRPr="00AE1348" w:rsidRDefault="004D3FFF" w:rsidP="000215BA">
      <w:pPr>
        <w:pStyle w:val="ListParagraph"/>
        <w:numPr>
          <w:ilvl w:val="0"/>
          <w:numId w:val="27"/>
        </w:numPr>
        <w:rPr>
          <w:noProof/>
        </w:rPr>
      </w:pPr>
      <w:r>
        <w:rPr>
          <w:noProof/>
        </w:rPr>
        <w:t>zlepšit dostupnost statistik přípravků na ochranu rostlin,</w:t>
      </w:r>
    </w:p>
    <w:p w14:paraId="565B2131" w14:textId="7A98143D" w:rsidR="000215BA" w:rsidRPr="00AE1348" w:rsidRDefault="004D3FFF" w:rsidP="000215BA">
      <w:pPr>
        <w:pStyle w:val="ListParagraph"/>
        <w:numPr>
          <w:ilvl w:val="0"/>
          <w:numId w:val="27"/>
        </w:numPr>
        <w:rPr>
          <w:noProof/>
        </w:rPr>
      </w:pPr>
      <w:r>
        <w:rPr>
          <w:noProof/>
        </w:rPr>
        <w:t xml:space="preserve">odstranit restriktivní požadavky na agregaci statistických údajů o přípravcích na ochranu rostlin (čl. 3 odst. 4 nařízení), aby bylo možné zveřejňovat směrodatnější statistiky (např. přípravků s nízkým rizikem a aktivních látek s konkrétními vlastnostmi), </w:t>
      </w:r>
    </w:p>
    <w:p w14:paraId="2FE33287" w14:textId="374D61EB" w:rsidR="00462798" w:rsidRPr="000215BA" w:rsidRDefault="004D3FFF" w:rsidP="000215BA">
      <w:pPr>
        <w:pStyle w:val="ListParagraph"/>
        <w:numPr>
          <w:ilvl w:val="0"/>
          <w:numId w:val="27"/>
        </w:numPr>
        <w:rPr>
          <w:noProof/>
        </w:rPr>
      </w:pPr>
      <w:r>
        <w:rPr>
          <w:noProof/>
        </w:rPr>
        <w:t>vyjasnit, zlepšit a harmonizovat požadavky na statistiky EU týkající se zemědělského používání přípravků na ochranu rostlin (příloha II nařízení), aby statistiky byly dostupnější, lépe srovnatelné a užitečnější (časový rámec: rok 2023).</w:t>
      </w:r>
    </w:p>
    <w:p w14:paraId="46AEE03E" w14:textId="1CAF6249" w:rsidR="00A8067E" w:rsidRPr="00A8067E" w:rsidRDefault="00772748" w:rsidP="00A8067E">
      <w:pPr>
        <w:rPr>
          <w:noProof/>
        </w:rPr>
      </w:pPr>
      <w:r>
        <w:rPr>
          <w:noProof/>
        </w:rPr>
        <w:t>Jako právní nástroj, jímž se má potřebného zlepšení docílit, byl zvolen legislativní návrh nařízení o statistice zemědělských vstupů a výstupů, který Komise přijala dne 2. února 2021</w:t>
      </w:r>
      <w:r>
        <w:rPr>
          <w:rStyle w:val="FootnoteReference0"/>
          <w:noProof/>
        </w:rPr>
        <w:footnoteReference w:id="9"/>
      </w:r>
      <w:r>
        <w:rPr>
          <w:noProof/>
        </w:rPr>
        <w:t>. Tento návrh se vztahuje na zemědělskou statistiku týkající se plodin, zvířat, cen v zemědělství, živin, ekologické produkce, jakož i prodeje přípravků na ochranu rostlin a jejich zemědělského použití. Vstupem navrženého nařízení v platnost bude nařízení zrušeno.</w:t>
      </w:r>
    </w:p>
    <w:p w14:paraId="3A163CC9" w14:textId="5B46D038" w:rsidR="00B51D4A" w:rsidRDefault="00B51D4A" w:rsidP="00A8067E">
      <w:pPr>
        <w:pStyle w:val="Heading1"/>
        <w:rPr>
          <w:noProof/>
        </w:rPr>
      </w:pPr>
      <w:r>
        <w:rPr>
          <w:noProof/>
        </w:rPr>
        <w:t xml:space="preserve">Působnost a obsah </w:t>
      </w:r>
    </w:p>
    <w:p w14:paraId="7F4C6627" w14:textId="155A2B82" w:rsidR="00656F66" w:rsidRPr="00656F66" w:rsidRDefault="00090462" w:rsidP="00656F66">
      <w:pPr>
        <w:pStyle w:val="NormalWeb"/>
        <w:shd w:val="clear" w:color="auto" w:fill="FFFFFF"/>
        <w:spacing w:before="0" w:beforeAutospacing="0" w:after="105" w:afterAutospacing="0"/>
        <w:jc w:val="both"/>
        <w:rPr>
          <w:noProof/>
          <w:sz w:val="22"/>
          <w:szCs w:val="20"/>
        </w:rPr>
      </w:pPr>
      <w:r>
        <w:rPr>
          <w:noProof/>
          <w:sz w:val="22"/>
          <w:szCs w:val="20"/>
        </w:rPr>
        <w:t>Podle čl. 2 písm. a) nařízení se „pesticidy“ rozumí „přípravky na ochranu rostlin, jak jsou definovány v čl. 2 odst. 1 nařízení (ES) č. 1107/2009, nebo biocidní přípravky používané jako přípravky na ochranu rostlin, jak jsou definovány v čl. 2 odst. 1 směrnice 98/8/ES. Pesticidy jsou rozděleny do těchto kategorií:</w:t>
      </w:r>
    </w:p>
    <w:p w14:paraId="30F7D164" w14:textId="4CE73EF3" w:rsidR="00656F66" w:rsidRPr="00D87D77" w:rsidRDefault="00464A17" w:rsidP="00D87D77">
      <w:pPr>
        <w:pStyle w:val="ListParagraph"/>
        <w:numPr>
          <w:ilvl w:val="0"/>
          <w:numId w:val="27"/>
        </w:numPr>
        <w:rPr>
          <w:noProof/>
        </w:rPr>
      </w:pPr>
      <w:r>
        <w:rPr>
          <w:noProof/>
        </w:rPr>
        <w:t>fungicidy a bakteriocidy,</w:t>
      </w:r>
    </w:p>
    <w:p w14:paraId="2E28C079" w14:textId="5E66D3DB" w:rsidR="00656F66" w:rsidRPr="00D87D77" w:rsidRDefault="00464A17" w:rsidP="00D87D77">
      <w:pPr>
        <w:pStyle w:val="ListParagraph"/>
        <w:numPr>
          <w:ilvl w:val="0"/>
          <w:numId w:val="27"/>
        </w:numPr>
        <w:rPr>
          <w:noProof/>
        </w:rPr>
      </w:pPr>
      <w:r>
        <w:rPr>
          <w:noProof/>
        </w:rPr>
        <w:t>herbicidy, desikanty a přípravky proti mechům,</w:t>
      </w:r>
    </w:p>
    <w:p w14:paraId="6C6C9EF2" w14:textId="29DA61C2" w:rsidR="00656F66" w:rsidRPr="00D87D77" w:rsidRDefault="00464A17" w:rsidP="00D87D77">
      <w:pPr>
        <w:pStyle w:val="ListParagraph"/>
        <w:numPr>
          <w:ilvl w:val="0"/>
          <w:numId w:val="27"/>
        </w:numPr>
        <w:rPr>
          <w:noProof/>
        </w:rPr>
      </w:pPr>
      <w:r>
        <w:rPr>
          <w:noProof/>
        </w:rPr>
        <w:t>insekticidy a akaricidy,</w:t>
      </w:r>
    </w:p>
    <w:p w14:paraId="1E1AA493" w14:textId="39E52A37" w:rsidR="00656F66" w:rsidRPr="00D87D77" w:rsidRDefault="00464A17" w:rsidP="00D87D77">
      <w:pPr>
        <w:pStyle w:val="ListParagraph"/>
        <w:numPr>
          <w:ilvl w:val="0"/>
          <w:numId w:val="27"/>
        </w:numPr>
        <w:rPr>
          <w:noProof/>
        </w:rPr>
      </w:pPr>
      <w:r>
        <w:rPr>
          <w:noProof/>
        </w:rPr>
        <w:t>moluskocidy,</w:t>
      </w:r>
    </w:p>
    <w:p w14:paraId="7F285C36" w14:textId="4D26C8A8" w:rsidR="00656F66" w:rsidRPr="00D87D77" w:rsidRDefault="00464A17" w:rsidP="00D87D77">
      <w:pPr>
        <w:pStyle w:val="ListParagraph"/>
        <w:numPr>
          <w:ilvl w:val="0"/>
          <w:numId w:val="27"/>
        </w:numPr>
        <w:rPr>
          <w:noProof/>
        </w:rPr>
      </w:pPr>
      <w:r>
        <w:rPr>
          <w:noProof/>
        </w:rPr>
        <w:t>regulátory růstu rostlin,</w:t>
      </w:r>
    </w:p>
    <w:p w14:paraId="4A668864" w14:textId="0FDF05CE" w:rsidR="00656F66" w:rsidRPr="00D87D77" w:rsidRDefault="00464A17" w:rsidP="00D87D77">
      <w:pPr>
        <w:pStyle w:val="ListParagraph"/>
        <w:numPr>
          <w:ilvl w:val="0"/>
          <w:numId w:val="27"/>
        </w:numPr>
        <w:rPr>
          <w:noProof/>
        </w:rPr>
      </w:pPr>
      <w:r>
        <w:rPr>
          <w:noProof/>
        </w:rPr>
        <w:t>ostatní přípravky na ochranu rostlin.</w:t>
      </w:r>
    </w:p>
    <w:p w14:paraId="55F061B6" w14:textId="77777777" w:rsidR="00CF63F3" w:rsidRPr="00656F66" w:rsidRDefault="00CF63F3" w:rsidP="00CF63F3">
      <w:pPr>
        <w:shd w:val="clear" w:color="auto" w:fill="FFFFFF"/>
        <w:spacing w:before="100" w:beforeAutospacing="1" w:after="100" w:afterAutospacing="1" w:line="240" w:lineRule="auto"/>
        <w:ind w:left="720"/>
        <w:jc w:val="left"/>
        <w:rPr>
          <w:noProof/>
        </w:rPr>
      </w:pPr>
    </w:p>
    <w:p w14:paraId="0E33B60D" w14:textId="6F27765A" w:rsidR="00705D86" w:rsidRDefault="00705D86" w:rsidP="00090462">
      <w:pPr>
        <w:rPr>
          <w:noProof/>
        </w:rPr>
      </w:pPr>
      <w:r>
        <w:rPr>
          <w:noProof/>
        </w:rPr>
        <w:t>Nařízením Komise (EU) 2017/269</w:t>
      </w:r>
      <w:r>
        <w:rPr>
          <w:rStyle w:val="FootnoteReference0"/>
          <w:noProof/>
        </w:rPr>
        <w:footnoteReference w:id="10"/>
      </w:r>
      <w:r>
        <w:rPr>
          <w:noProof/>
        </w:rPr>
        <w:t xml:space="preserve"> byl aktualizován seznam účinných látek pro sledovaný rok 2016. Mezi látky, o nichž se shromažďují údaje, byly zařazeny látky schválené v letech 2011–2016 a u některých látek byla změněna jejich klasifikace (například byly přesunuty z hlavní skupiny „insekticidy a akaricidy“ do „ostatních přípravků na ochranu rostlin“ nebo z hlavní skupiny „ostatní přípravky na ochranu rostlin“ do „fungicidů a bakteriocidů“). Tím došlo k přerušení časové řady. Komise (Eurostat) a členské státy v současnosti spolupracují na tom, aby v průběhu času vytvořily harmonizovaný soubor údajů. </w:t>
      </w:r>
    </w:p>
    <w:p w14:paraId="3447C90B" w14:textId="4F68F978" w:rsidR="00090462" w:rsidRDefault="00090462" w:rsidP="00090462">
      <w:pPr>
        <w:rPr>
          <w:noProof/>
        </w:rPr>
      </w:pPr>
      <w:r>
        <w:rPr>
          <w:noProof/>
        </w:rPr>
        <w:t>Nařízení stanoví, že členské státy</w:t>
      </w:r>
      <w:r>
        <w:rPr>
          <w:rStyle w:val="FootnoteReference0"/>
          <w:noProof/>
        </w:rPr>
        <w:footnoteReference w:id="11"/>
      </w:r>
      <w:r>
        <w:rPr>
          <w:noProof/>
        </w:rPr>
        <w:t xml:space="preserve"> předávají Komisi (Eurostatu) každoročně své statistické údaje o pesticidech uvedených na trh za příslušný rok (statistiky prodeje pesticidů). Kromě toho musí každých pět let poskytnout statistiky zemědělského použití pesticidů. Tato zpráva vychází z údajů a zpráv o kvalitě předaných za sledované roky 2015 až 2019 včetně. </w:t>
      </w:r>
    </w:p>
    <w:p w14:paraId="5DDFBD90" w14:textId="668E8CD6" w:rsidR="00A42412" w:rsidRDefault="00FC3C9E" w:rsidP="00A42412">
      <w:pPr>
        <w:rPr>
          <w:noProof/>
        </w:rPr>
      </w:pPr>
      <w:r>
        <w:rPr>
          <w:noProof/>
        </w:rPr>
        <w:t xml:space="preserve">Z ustanovení nařízení pramení dva velké nedostatky. Kvůli požadavkům na agregaci údajů, které jsou stanoveny v čl. 3 odst. 4 nařízení, nemohou být zveřejňovány žádné údaje na úrovni účinných látek. To má dramatický dopad na dostupnost údajů. Druhým velkým nedostatkem současného shromažďování údajů je, že chybí harmonizace údajů o používání pesticidů. Členské státy si mohou libovolně zvolit sledovaný rok v rámci pětiletého období (2015–2019) a seznam plodin, který považují za reprezentativní ve vztahu k vnitrostátním podmínkám. </w:t>
      </w:r>
    </w:p>
    <w:p w14:paraId="6BB0E3FF" w14:textId="48E6C7EA" w:rsidR="00095A6D" w:rsidRPr="00090462" w:rsidRDefault="00095A6D" w:rsidP="000215BA">
      <w:pPr>
        <w:pStyle w:val="Heading2"/>
        <w:rPr>
          <w:noProof/>
        </w:rPr>
      </w:pPr>
      <w:r>
        <w:rPr>
          <w:noProof/>
        </w:rPr>
        <w:t>Působnost</w:t>
      </w:r>
    </w:p>
    <w:p w14:paraId="0226B966" w14:textId="47B49E1D" w:rsidR="00B51D4A" w:rsidRPr="00B742D9" w:rsidRDefault="00090462" w:rsidP="000215BA">
      <w:pPr>
        <w:pStyle w:val="Heading3"/>
        <w:rPr>
          <w:noProof/>
        </w:rPr>
      </w:pPr>
      <w:r>
        <w:rPr>
          <w:noProof/>
        </w:rPr>
        <w:t>Statistiky prodeje pesticidů</w:t>
      </w:r>
    </w:p>
    <w:p w14:paraId="22A33162" w14:textId="5BB67B79" w:rsidR="00462798" w:rsidRDefault="00462798" w:rsidP="00462798">
      <w:pPr>
        <w:rPr>
          <w:noProof/>
        </w:rPr>
      </w:pPr>
      <w:r>
        <w:rPr>
          <w:noProof/>
        </w:rPr>
        <w:t>Členské státy EU, Island a Norsko mají podle nařízení povinnost předložit statistiky prodeje pesticidů do 30. prosince roku N+1 a národní zprávy o kvalitě do 31. března roku N+2. Švýcarsko, Černá Hora a Turecko předávají údaje a zprávy o kvalitě dobrovolně.</w:t>
      </w:r>
    </w:p>
    <w:p w14:paraId="69AA4056" w14:textId="0A638D7E" w:rsidR="00B51D4A" w:rsidRDefault="006C5C81" w:rsidP="000215BA">
      <w:pPr>
        <w:pStyle w:val="Heading3"/>
        <w:rPr>
          <w:noProof/>
        </w:rPr>
      </w:pPr>
      <w:r>
        <w:rPr>
          <w:noProof/>
        </w:rPr>
        <w:t>Statistiky zemědělského použití pesticidů</w:t>
      </w:r>
    </w:p>
    <w:p w14:paraId="43731BE0" w14:textId="45AD06E6" w:rsidR="00462798" w:rsidRDefault="00462798" w:rsidP="00462798">
      <w:pPr>
        <w:rPr>
          <w:noProof/>
        </w:rPr>
      </w:pPr>
      <w:r>
        <w:rPr>
          <w:noProof/>
        </w:rPr>
        <w:t>Členské státy EU, Island a Norsko (pro účely této zprávy dále společně jen „členské státy“) mají podle nařízení povinnost předložit údaje a zprávy o kvalitě týkající se zemědělského použití pesticidů u zvolených plodin do dvanácti měsíců po uplynutí každého pětiletého období. Druhé pětileté období skončilo 30. prosince 2019 a země měly předat údaje a zprávy o kvalitě do 30. prosince 2020. Výběr plodin musí být reprezentativní, pokud jde o plodiny pěstované v členském státě a používané látky. Sledovaným obdobím je období nejvýše dvanácti měsíců, v němž jsou zjišťována veškerá použití v rámci ochrany rostlin týkající se přímo nebo nepřímo dané plodiny.</w:t>
      </w:r>
    </w:p>
    <w:p w14:paraId="32014B26" w14:textId="364BDCB7" w:rsidR="00B51D4A" w:rsidRDefault="00B51D4A" w:rsidP="007D7198">
      <w:pPr>
        <w:pStyle w:val="Heading2"/>
        <w:rPr>
          <w:noProof/>
        </w:rPr>
      </w:pPr>
      <w:r>
        <w:rPr>
          <w:noProof/>
        </w:rPr>
        <w:t>Metody shromažďování údajů a zdroje</w:t>
      </w:r>
    </w:p>
    <w:p w14:paraId="5621F7DD" w14:textId="41D70775" w:rsidR="00462798" w:rsidRDefault="006567F1" w:rsidP="00462798">
      <w:pPr>
        <w:rPr>
          <w:noProof/>
        </w:rPr>
      </w:pPr>
      <w:r>
        <w:rPr>
          <w:noProof/>
        </w:rPr>
        <w:t>Členské státy mohou podle nařízení shromažďovat nezbytné údaje různými způsoby. Mohou využít zjišťování, informace týkající se uvádění pesticidů na trh a jejich používání, jež jsou poskytovány na základě povinností podle článku 67 nařízení (ES) č. 1107/2009, administrativní zdroje nebo kombinaci těchto způsobů, včetně postupů statistického odhadu na základě odborných posudků nebo modelů.</w:t>
      </w:r>
    </w:p>
    <w:p w14:paraId="702EB8AB" w14:textId="40EE7F79" w:rsidR="00462798" w:rsidRDefault="00090462" w:rsidP="00E6240F">
      <w:pPr>
        <w:pStyle w:val="Heading3"/>
        <w:rPr>
          <w:noProof/>
        </w:rPr>
      </w:pPr>
      <w:r>
        <w:rPr>
          <w:noProof/>
        </w:rPr>
        <w:t>Statistiky prodeje pesticidů</w:t>
      </w:r>
    </w:p>
    <w:p w14:paraId="21545DDA" w14:textId="0EDF5387" w:rsidR="006646C2" w:rsidRPr="00B17F44" w:rsidRDefault="008B427C" w:rsidP="008B427C">
      <w:pPr>
        <w:rPr>
          <w:noProof/>
        </w:rPr>
      </w:pPr>
      <w:r>
        <w:rPr>
          <w:noProof/>
        </w:rPr>
        <w:t>U většiny členských států jsou základní primární údaje týkající se prodeje pesticidů odvozeny z administrativních zdrojů, u kterých je vykazování povinné:  čl. 67 odst. 3 nařízení (ES) č. 1107/2009 stanoví, že držitelé povolení poskytují příslušným orgánům členských států všechny údaje o objemu prodeje přípravků na ochranu rostlin podle právních předpisů EU v oblasti statistiky přípravků na ochranu rostlin. Některé země používají jiné zdroje údajů, například sčítání a (výběrové) zjišťování, nebo kombinaci administrativních a dalších zdrojů. Další informace o postupech jednotlivých členských států jsou uvedeny v národních zprávách o kvalitě</w:t>
      </w:r>
      <w:r>
        <w:rPr>
          <w:rStyle w:val="FootnoteReference0"/>
          <w:noProof/>
        </w:rPr>
        <w:footnoteReference w:id="12"/>
      </w:r>
      <w:r>
        <w:rPr>
          <w:noProof/>
        </w:rPr>
        <w:t>.</w:t>
      </w:r>
    </w:p>
    <w:p w14:paraId="3973227C" w14:textId="1C7E25B5" w:rsidR="006C5C81" w:rsidRPr="00C102CE" w:rsidRDefault="006C5C81" w:rsidP="00766EA3">
      <w:pPr>
        <w:pStyle w:val="Heading3"/>
        <w:rPr>
          <w:noProof/>
        </w:rPr>
      </w:pPr>
      <w:r>
        <w:rPr>
          <w:noProof/>
        </w:rPr>
        <w:t xml:space="preserve">Statistiky zemědělského použití pesticidů </w:t>
      </w:r>
    </w:p>
    <w:p w14:paraId="21AD0FA8" w14:textId="5FCC8DDD" w:rsidR="00823594" w:rsidRDefault="00050214" w:rsidP="008B427C">
      <w:pPr>
        <w:rPr>
          <w:noProof/>
        </w:rPr>
      </w:pPr>
      <w:r>
        <w:rPr>
          <w:noProof/>
        </w:rPr>
        <w:t xml:space="preserve">Statistiky zemědělského použití pesticidů většinou vycházejí ze statistického zjišťování provedeného mezi zemědělci. V některých zemích se provádí sčítání v zemědělských podnicích od stanoveného počtu hektarů nebo na základě očekávaného obratu zemědělského podniku. Jiné metody shromažďování údajů se používají pouze výjimečně: dvě země využívají stávající administrativní údaje o používání pesticidů, dvě země používají údaje ze zemědělské účetní datové sítě (FADN), dvě země extrapolují použití pesticidů z údajů o prodeji pesticidů a jedna země využívá vědeckou studii, která vychází z množství reziduí pesticidů ve vzorkovacích stanicích podzemních vod. </w:t>
      </w:r>
    </w:p>
    <w:p w14:paraId="11EF8041" w14:textId="5C103484" w:rsidR="008B427C" w:rsidRPr="008B427C" w:rsidRDefault="005C44D2" w:rsidP="008B427C">
      <w:pPr>
        <w:rPr>
          <w:noProof/>
        </w:rPr>
      </w:pPr>
      <w:r>
        <w:rPr>
          <w:noProof/>
        </w:rPr>
        <w:t>V některých případech se informace shromažďují elektronickými prostředky, jako je například internetové zjišťování, nebo za použití programů pro řízení zemědělských podniků. Několik zemí však poukázalo na to, že elektronické prostředky nemohly využít. Hlavní metody, které země ke shromáždění údajů použily, zahrnovaly tištěné dotazníky (sedm zemí), osobní dotazování (šest zemí), telefonické dotazování (čtyři země) a elektronické dotazníky (čtyři země) nebo kombinaci metod. K dalším metodám patřily digitální záznamy pořízené uživateli prostřednictvím internetových stránek, trvalý přímý přístup do databází údajů, telefonické dotazování pomocí počítače a internetové dotazování pomocí počítače. Další informace o postupech jednotlivých členských států jsou uvedeny v národních zprávách o kvalitě</w:t>
      </w:r>
      <w:r>
        <w:rPr>
          <w:rStyle w:val="FootnoteReference0"/>
          <w:noProof/>
        </w:rPr>
        <w:footnoteReference w:id="13"/>
      </w:r>
      <w:r>
        <w:rPr>
          <w:noProof/>
        </w:rPr>
        <w:t>.</w:t>
      </w:r>
    </w:p>
    <w:p w14:paraId="4B6F5ABA" w14:textId="00953962" w:rsidR="00B51D4A" w:rsidRPr="00FE58E7" w:rsidRDefault="00B51D4A" w:rsidP="007D7198">
      <w:pPr>
        <w:pStyle w:val="Heading2"/>
        <w:rPr>
          <w:noProof/>
        </w:rPr>
      </w:pPr>
      <w:r>
        <w:rPr>
          <w:noProof/>
        </w:rPr>
        <w:t>Kvalita předávaných údajů</w:t>
      </w:r>
    </w:p>
    <w:p w14:paraId="673EAF69" w14:textId="54A61E60" w:rsidR="002607F6" w:rsidRDefault="0069230E" w:rsidP="002607F6">
      <w:pPr>
        <w:rPr>
          <w:noProof/>
        </w:rPr>
      </w:pPr>
      <w:r>
        <w:rPr>
          <w:noProof/>
        </w:rPr>
        <w:t>Zatímco členské státy odpovídají za kvalitu statistiky pesticidů, Komise (Eurostat) přijímá opatření nezbytná pro zjištění chyb v získaných údajích. Členské státy předávají informace týkající se všech účinných látek a všech agregátů uvedených na seznamu kódů</w:t>
      </w:r>
      <w:r>
        <w:rPr>
          <w:rStyle w:val="FootnoteReference0"/>
          <w:noProof/>
        </w:rPr>
        <w:footnoteReference w:id="14"/>
      </w:r>
      <w:r>
        <w:rPr>
          <w:noProof/>
        </w:rPr>
        <w:t xml:space="preserve"> včetně důvěrných údajů prostřednictvím jednotného kontaktního místa (portálu EDAMIS), přičemž musí dodržovat požadovanou strukturu souborů a formát záznamu. V technickém zajištění přenosu údajů se uplatňuje vysoká úroveň standardizace. Komise (Eurostat) udržuje spolehlivý systém IT pro příjem, validaci a zpracování údajů a provádí několik typů kontrol údajů: kontrolu úplnosti a konzistentnosti vykazovacích dotazníků jednotlivých zemí, ověření agregací množství pesticidů a kontrolu časových řad zaměřenou na vývoj v průběhu času. Komise (Eurostat) rovněž před zveřejněním statistik manuálně kontroluje sekundární důvěrnost a při zjištění jakékoli chyby žádá země o předání revidovaných údajů.</w:t>
      </w:r>
    </w:p>
    <w:p w14:paraId="1A76EA3C" w14:textId="0BBF8A54" w:rsidR="00462798" w:rsidRDefault="00090462" w:rsidP="00462798">
      <w:pPr>
        <w:pStyle w:val="Heading3"/>
        <w:rPr>
          <w:noProof/>
        </w:rPr>
      </w:pPr>
      <w:r>
        <w:rPr>
          <w:noProof/>
        </w:rPr>
        <w:t>Statistiky prodeje pesticidů</w:t>
      </w:r>
    </w:p>
    <w:p w14:paraId="5CDB9C74" w14:textId="0B1ADAC1" w:rsidR="00BD5D83" w:rsidRPr="00D71DB5" w:rsidRDefault="00BD5D83" w:rsidP="00BD5D83">
      <w:pPr>
        <w:spacing w:after="0"/>
        <w:rPr>
          <w:noProof/>
        </w:rPr>
      </w:pPr>
      <w:r>
        <w:rPr>
          <w:noProof/>
        </w:rPr>
        <w:t xml:space="preserve">Většina členských států nadále poskytovala své soubory údajů včas, a když byly vyžadovány další kontroly nebo opravy, dobře spolupracovala. Pokud jde o přesnost, spolehlivost a srovnatelnost, většina zemí potvrdila, že jejich primární údaje o prodeji pesticidů byly shromážděny od držitelů povolení. Měly za to, že údaje získané z těchto zdrojů byly celkově kvalitní. </w:t>
      </w:r>
    </w:p>
    <w:p w14:paraId="0D6C57E0" w14:textId="77777777" w:rsidR="004A0985" w:rsidRDefault="004A0985" w:rsidP="00BD5D83">
      <w:pPr>
        <w:spacing w:after="0"/>
        <w:rPr>
          <w:noProof/>
        </w:rPr>
      </w:pPr>
    </w:p>
    <w:p w14:paraId="65AD17DE" w14:textId="24584161" w:rsidR="00EA5042" w:rsidRDefault="00EA5042" w:rsidP="00EA5042">
      <w:pPr>
        <w:spacing w:after="0"/>
        <w:rPr>
          <w:noProof/>
        </w:rPr>
      </w:pPr>
      <w:r>
        <w:rPr>
          <w:noProof/>
        </w:rPr>
        <w:t>Členské státy uvedly, že přijaly opatření k zajištění statistické kvality svých údajů: srovnání kvantitativních údajů s údaji z předchozího roku, srovnání s externími zdroji údajů, kontrolu spolehlivosti vykázaných množství a přípravků, kontrolu neobvyklých a chybějících množství a namátkové kontroly. Dále uvedly, že uplatnily ustanovení Kodexu evropské statistiky</w:t>
      </w:r>
      <w:r>
        <w:rPr>
          <w:rStyle w:val="FootnoteReference0"/>
          <w:noProof/>
        </w:rPr>
        <w:footnoteReference w:id="15"/>
      </w:r>
      <w:r>
        <w:rPr>
          <w:noProof/>
        </w:rPr>
        <w:t xml:space="preserve">. </w:t>
      </w:r>
    </w:p>
    <w:p w14:paraId="4ED7CD85" w14:textId="77777777" w:rsidR="00EA5042" w:rsidRPr="00273172" w:rsidRDefault="00EA5042" w:rsidP="00EA5042">
      <w:pPr>
        <w:spacing w:after="0"/>
        <w:rPr>
          <w:noProof/>
        </w:rPr>
      </w:pPr>
    </w:p>
    <w:p w14:paraId="401F739D" w14:textId="77777777" w:rsidR="00333E70" w:rsidRDefault="00333E70" w:rsidP="00333E70">
      <w:pPr>
        <w:pStyle w:val="Heading3"/>
        <w:rPr>
          <w:noProof/>
        </w:rPr>
      </w:pPr>
      <w:r>
        <w:rPr>
          <w:noProof/>
        </w:rPr>
        <w:t xml:space="preserve">Statistiky zemědělského použití pesticidů </w:t>
      </w:r>
    </w:p>
    <w:p w14:paraId="1A935AB4" w14:textId="55AD2595" w:rsidR="00F274DA" w:rsidRDefault="00EA5042" w:rsidP="004D6FB8">
      <w:pPr>
        <w:spacing w:after="0"/>
        <w:rPr>
          <w:noProof/>
        </w:rPr>
      </w:pPr>
      <w:r>
        <w:rPr>
          <w:noProof/>
        </w:rPr>
        <w:t xml:space="preserve">Většina zemí poskytla své soubory údajů včas a reagovala rychle na žádosti o další kontroly a/nebo opravy. Jedna země poskytla údaje s několikaměsíčním zpožděním.  </w:t>
      </w:r>
    </w:p>
    <w:p w14:paraId="461856D9" w14:textId="77777777" w:rsidR="00F274DA" w:rsidRDefault="00F274DA" w:rsidP="004D6FB8">
      <w:pPr>
        <w:spacing w:after="0"/>
        <w:rPr>
          <w:noProof/>
        </w:rPr>
      </w:pPr>
    </w:p>
    <w:p w14:paraId="05718A6A" w14:textId="2AED8397" w:rsidR="00AA5173" w:rsidRDefault="00EA5042" w:rsidP="00F274DA">
      <w:pPr>
        <w:spacing w:after="0"/>
        <w:rPr>
          <w:noProof/>
        </w:rPr>
      </w:pPr>
      <w:r>
        <w:rPr>
          <w:noProof/>
        </w:rPr>
        <w:t xml:space="preserve">Pokud jde o přesnost, spolehlivost a srovnatelnost, měla většina členských států za to, že poskytnuté údaje byly kvalitní. Většina zemí se domnívá, že kvalita údajů je od zveřejnění první zprávy v roce 2017 stabilní. Šest zemí uvedlo, že došlo k celkovému zvýšení kvality statistik. Pouze jedna země uvedla, že se zhoršila srovnatelnost údajů. </w:t>
      </w:r>
    </w:p>
    <w:p w14:paraId="0CDFB0E2" w14:textId="77777777" w:rsidR="00344710" w:rsidRDefault="00344710" w:rsidP="00344710">
      <w:pPr>
        <w:rPr>
          <w:noProof/>
        </w:rPr>
      </w:pPr>
    </w:p>
    <w:p w14:paraId="0453C75E" w14:textId="0A30CCCF" w:rsidR="00344710" w:rsidRDefault="00344710" w:rsidP="00344710">
      <w:pPr>
        <w:rPr>
          <w:noProof/>
        </w:rPr>
      </w:pPr>
      <w:r>
        <w:rPr>
          <w:noProof/>
        </w:rPr>
        <w:t xml:space="preserve">Kvůli požadavku na agregaci účinných látek v jednotlivých chemických skupinách není snadné učinit závěry o celkové ploše ošetřené pesticidy. Pokud se na téže fyzické ploše používají účinné látky ze stejné chemické skupiny nebo skupiny, je možné plochu správně určit bez dvojího započtení pouze v případě, že se tato skutečnost zohledňuje při zjišťování.  Více než polovina zemí nemůže zaručit, že vyloučila dvojí započtení ploch s plodinami ošetřenými pesticidy, což snižuje možnost šířit údaje o ošetřených plochách. Takovou agregaci ploch mohou provádět pouze národní statistické úřady, jelikož jsou k tomu zapotřebí podrobné informace na úrovni parcel. </w:t>
      </w:r>
    </w:p>
    <w:p w14:paraId="4FD036F3" w14:textId="77777777" w:rsidR="00344710" w:rsidRDefault="00344710" w:rsidP="00F274DA">
      <w:pPr>
        <w:spacing w:after="0"/>
        <w:rPr>
          <w:noProof/>
        </w:rPr>
      </w:pPr>
    </w:p>
    <w:p w14:paraId="14F60274" w14:textId="5506B80E" w:rsidR="00B51D4A" w:rsidRDefault="00B51D4A" w:rsidP="00A8067E">
      <w:pPr>
        <w:pStyle w:val="Heading1"/>
        <w:rPr>
          <w:noProof/>
        </w:rPr>
      </w:pPr>
      <w:r>
        <w:rPr>
          <w:noProof/>
        </w:rPr>
        <w:t xml:space="preserve">Relevance – užitečnost statistických údajů a jejich šíření </w:t>
      </w:r>
    </w:p>
    <w:p w14:paraId="342B946D" w14:textId="056E7674" w:rsidR="00F2705B" w:rsidRDefault="00480EE2" w:rsidP="004B7479">
      <w:pPr>
        <w:rPr>
          <w:noProof/>
        </w:rPr>
      </w:pPr>
      <w:r>
        <w:rPr>
          <w:noProof/>
        </w:rPr>
        <w:t>Eurostat ve své databázi pro šíření údajů zveřejňuje dva soubory údajů se statistikami pesticidů: prodej pesticidů a zemědělské použití pesticidů</w:t>
      </w:r>
      <w:r>
        <w:rPr>
          <w:rStyle w:val="FootnoteReference0"/>
          <w:noProof/>
        </w:rPr>
        <w:footnoteReference w:id="16"/>
      </w:r>
      <w:r>
        <w:rPr>
          <w:noProof/>
        </w:rPr>
        <w:t xml:space="preserve">. Požadavky na agregaci údajů uvedené v čl. 3 odst. 4 nařízení stanoví, že Komise (Eurostat) nemůže zveřejňovat žádné údaje o účinných látkách. </w:t>
      </w:r>
    </w:p>
    <w:p w14:paraId="1BFBFC6D" w14:textId="7902BFD3" w:rsidR="004B7479" w:rsidRDefault="004B7479" w:rsidP="00F274DA">
      <w:pPr>
        <w:rPr>
          <w:noProof/>
        </w:rPr>
      </w:pPr>
      <w:r>
        <w:rPr>
          <w:noProof/>
        </w:rPr>
        <w:t xml:space="preserve">Kvůli požadavkům na agregaci údajů a komplexním pravidlům důvěrnosti zveřejňovala Komise (Eurostat) statistiky prodeje pesticidů původně pouze na nejvyšší hierarchické úrovni definované v příloze III nařízení, tj. na úrovni „hlavní skupiny“ (zveřejňována od roku 2013). V roce 2018 byla přidána další hierarchická úroveň, „kategorie přípravků“, a poté v roce 2021 úroveň „chemická skupina“. Od předchozího vykazovaného období se tedy zlepšila dostupnost údajů. </w:t>
      </w:r>
    </w:p>
    <w:p w14:paraId="3F309AF0" w14:textId="1D2DA81C" w:rsidR="00F2705B" w:rsidRDefault="00F2705B" w:rsidP="00F2705B">
      <w:pPr>
        <w:rPr>
          <w:noProof/>
        </w:rPr>
      </w:pPr>
      <w:r>
        <w:rPr>
          <w:noProof/>
        </w:rPr>
        <w:t>Zveřejňované statistiky pesticidů jsou stále ovlivněny omezeními vyplývajícími z důvěrnosti. Tato omezení se týkají statistické důvěrnosti, jak je definována v nařízení (ES) č. 223/2009</w:t>
      </w:r>
      <w:r>
        <w:rPr>
          <w:rStyle w:val="FootnoteReference0"/>
          <w:noProof/>
        </w:rPr>
        <w:footnoteReference w:id="17"/>
      </w:r>
      <w:r>
        <w:rPr>
          <w:noProof/>
        </w:rPr>
        <w:t xml:space="preserve">, a vztahují se na údaje, které umožňují přímou či nepřímou identifikaci statistických jednotek, čímž se zpřístupní individuální informace. Dopad statistické důvěrnosti se liší v závislosti na konkrétním členském státu, typu pesticidu a roce. Záleží na struktuře odvětví pesticidů a zemědělství v dané zemi. Za období 2011–2019 byly důvěrné údaje, které se týkaly méně než 1 % celkového množství prodaných pesticidů. </w:t>
      </w:r>
    </w:p>
    <w:p w14:paraId="157FB36C" w14:textId="0C745A02" w:rsidR="00F2705B" w:rsidRPr="00756FDE" w:rsidRDefault="00F2705B" w:rsidP="00F2705B">
      <w:pPr>
        <w:rPr>
          <w:noProof/>
        </w:rPr>
      </w:pPr>
      <w:r>
        <w:rPr>
          <w:noProof/>
        </w:rPr>
        <w:t>Několik členských států zveřejnilo statistiky prodeje pesticidů na vnitrostátní úrovni, aniž by uplatnilo pravidla důvěrnosti. Komise (Eurostat) usnadňuje přístup k těmto vnitrostátním statistikám tím, že uvádí internetové odkazy na vnitrostátní statistiky pesticidů v příloze evropského souboru metadat</w:t>
      </w:r>
      <w:r>
        <w:rPr>
          <w:rStyle w:val="FootnoteReference0"/>
          <w:noProof/>
        </w:rPr>
        <w:footnoteReference w:id="18"/>
      </w:r>
      <w:r>
        <w:rPr>
          <w:noProof/>
        </w:rPr>
        <w:t>.</w:t>
      </w:r>
    </w:p>
    <w:p w14:paraId="38A6EAEE" w14:textId="5AEBDB7F" w:rsidR="00A8067E" w:rsidRDefault="00D52658" w:rsidP="00BF55B4">
      <w:pPr>
        <w:rPr>
          <w:noProof/>
        </w:rPr>
      </w:pPr>
      <w:r>
        <w:rPr>
          <w:noProof/>
        </w:rPr>
        <w:t>Zveřejňování statistik zemědělského použití pesticidů je velmi problematické kvůli požadavkům na agregaci, kvůli chybějící harmonizaci sledovaných let a plodin a kvůli pojetí „ošetřené plochy“.</w:t>
      </w:r>
    </w:p>
    <w:p w14:paraId="3D730268" w14:textId="027F73E6" w:rsidR="00A8067E" w:rsidRDefault="00BF55B4" w:rsidP="00A8067E">
      <w:pPr>
        <w:pStyle w:val="ListParagraph"/>
        <w:numPr>
          <w:ilvl w:val="0"/>
          <w:numId w:val="36"/>
        </w:numPr>
        <w:rPr>
          <w:noProof/>
        </w:rPr>
      </w:pPr>
      <w:r>
        <w:rPr>
          <w:noProof/>
        </w:rPr>
        <w:t>Nařízení stanoví, že každá země musí do zjišťování zahrnout zvolené plodiny a s nimi spojené účinné látky, které jsou reprezentativní ve vztahu k zemědělství dané země, a nikoli veškeré plodiny a pesticidy používané v této zemi. Počet plodin vykázaných jednou zemí za jeden sledovaný rok tak osciluje mezi 2 a 51. Celkem bylo předmětem zjišťování asi 150 různých plodin</w:t>
      </w:r>
      <w:r>
        <w:rPr>
          <w:noProof/>
          <w:vertAlign w:val="superscript"/>
        </w:rPr>
        <w:footnoteReference w:id="19"/>
      </w:r>
      <w:r>
        <w:rPr>
          <w:noProof/>
        </w:rPr>
        <w:t xml:space="preserve">. Komise (Eurostat) vydala návrh na harmonizaci plodin s cílem zlepšit srovnatelnost údajů ve sledovaném období 2020–2024. Země se však mohou rozhodnout, zda se tímto návrhem budou řídit. </w:t>
      </w:r>
    </w:p>
    <w:p w14:paraId="6747A08E" w14:textId="490B2A2A" w:rsidR="001F6375" w:rsidRDefault="0010570D" w:rsidP="00A8067E">
      <w:pPr>
        <w:pStyle w:val="ListParagraph"/>
        <w:numPr>
          <w:ilvl w:val="0"/>
          <w:numId w:val="36"/>
        </w:numPr>
        <w:rPr>
          <w:noProof/>
        </w:rPr>
      </w:pPr>
      <w:r>
        <w:rPr>
          <w:noProof/>
        </w:rPr>
        <w:t xml:space="preserve">Země si mohou zvolit sledovaný rok v rámci pětiletého období stanoveného nařízením. Některé země vykázaly údaje za jeden sledovaný rok z možných pěti, zatímco některé země vykázaly údaje za všech pět sledovaných let (týkající se různých plodin). </w:t>
      </w:r>
    </w:p>
    <w:p w14:paraId="3C3DF98E" w14:textId="4C5D629A" w:rsidR="002F2521" w:rsidRDefault="00A8067E" w:rsidP="00A8067E">
      <w:pPr>
        <w:pStyle w:val="ListParagraph"/>
        <w:numPr>
          <w:ilvl w:val="0"/>
          <w:numId w:val="36"/>
        </w:numPr>
        <w:rPr>
          <w:noProof/>
        </w:rPr>
      </w:pPr>
      <w:r>
        <w:rPr>
          <w:noProof/>
        </w:rPr>
        <w:t xml:space="preserve">Jak je uvedeno v oddíle 2.3.2 výše, není kvůli požadavku na agregaci účinných látek v jednotlivých chemických skupinách snadné poskytnout údaje o celkové ploše ošetřené pesticidy.  </w:t>
      </w:r>
    </w:p>
    <w:p w14:paraId="2B977072" w14:textId="55925729" w:rsidR="00BF55B4" w:rsidRDefault="00BF55B4" w:rsidP="00BF55B4">
      <w:pPr>
        <w:rPr>
          <w:noProof/>
        </w:rPr>
      </w:pPr>
      <w:r>
        <w:rPr>
          <w:noProof/>
        </w:rPr>
        <w:t xml:space="preserve">Všechny tyto faktory podstatně omezují srovnatelnost a užitečnost údajů o zemědělském použití pesticidů. </w:t>
      </w:r>
    </w:p>
    <w:p w14:paraId="03D74838" w14:textId="73370A66" w:rsidR="00BF55B4" w:rsidRDefault="00125F59" w:rsidP="00BF55B4">
      <w:pPr>
        <w:rPr>
          <w:noProof/>
        </w:rPr>
      </w:pPr>
      <w:r>
        <w:rPr>
          <w:noProof/>
        </w:rPr>
        <w:t>Komise (Eurostat) v roce 2019 vydala výzkumnou studii týkající se údajů o zemědělském používání pesticidů</w:t>
      </w:r>
      <w:r>
        <w:rPr>
          <w:rStyle w:val="FootnoteReference0"/>
          <w:noProof/>
        </w:rPr>
        <w:footnoteReference w:id="20"/>
      </w:r>
      <w:r>
        <w:rPr>
          <w:noProof/>
        </w:rPr>
        <w:t xml:space="preserve">. Byly v ní shrnuty hlavní výsledky a problémy shromažďování údajů. Soubor údajů za pětileté období 2010–2014 byl zveřejněn v roce 2020 a údaje za období 2015–2019 do něj byly doplněny v roce 2021. Tento soubor údajů od začátku obsahoval všechny tři hierarchické úrovně: hlavní skupinu, kategorii přípravků a chemickou skupinu. Údaje o ošetřených plochách (v hektarech) za první pětileté období nemohly být vůbec zveřejněny, jelikož se nedalo vyloučit dvojí započtení. Údaje o ošetřených plochách za druhé pětileté období mohly být zveřejněny pouze v případě zemí, které mohly zaručit, že plochy byly započteny pouze jednou (jedenáct zemí). U všech ostatních zemí jsou zveřejněny pouze údaje o množství pesticidů (v kilogramech). </w:t>
      </w:r>
    </w:p>
    <w:p w14:paraId="3760B7E3" w14:textId="3E46C9CD" w:rsidR="00705D86" w:rsidRDefault="00705D86" w:rsidP="00705D86">
      <w:pPr>
        <w:rPr>
          <w:noProof/>
        </w:rPr>
      </w:pPr>
      <w:r>
        <w:rPr>
          <w:noProof/>
        </w:rPr>
        <w:t xml:space="preserve">Vykazovaná jednotka (kilogramy účinné látky) brání zveřejňování údajů o mikrobiologických pesticidech, protože neexistuje žádný harmonizovaný způsob, jak na kilogramy převést jednotky, které jsou pro mikrobiologické pesticidy vhodnější (kolonii tvořící jednotka (KTJ) nebo mezinárodní jednotka (IU)). V důsledku těchto problémů s převody nejsou údaje o mikrobiologických látkách zařazeny do šířených údajů (o prodeji či zemědělském použití). Tím jsou omezeny možnosti sledování toho, jak se tyto účinné látky používají. </w:t>
      </w:r>
    </w:p>
    <w:p w14:paraId="6CC7EA75" w14:textId="15C62EAA" w:rsidR="00705D86" w:rsidRDefault="00056CB1" w:rsidP="00705D86">
      <w:pPr>
        <w:rPr>
          <w:noProof/>
        </w:rPr>
      </w:pPr>
      <w:r>
        <w:rPr>
          <w:noProof/>
        </w:rPr>
        <w:t>Komise v souladu s povinnostmi, jež jsou uloženy v čl. 15 odst. 1 směrnice 2009/128/ES a ve směrnici Komise (EU) 2019/782, vypočítala na základě statistik prodeje pesticidů harmonizovaný ukazatel rizika č. 1 a zveřejnila jej</w:t>
      </w:r>
      <w:r>
        <w:rPr>
          <w:rStyle w:val="FootnoteReference0"/>
          <w:noProof/>
        </w:rPr>
        <w:footnoteReference w:id="21"/>
      </w:r>
      <w:r>
        <w:rPr>
          <w:noProof/>
        </w:rPr>
        <w:t>. Uvedené statistiky se rovněž používají ke sledování plnění cílů strategie „od zemědělce ke spotřebiteli“, které se týkají omezení celkového používání a rizika chemických pesticidů a omezení používání nebezpečnějších pesticidů</w:t>
      </w:r>
      <w:r>
        <w:rPr>
          <w:rStyle w:val="FootnoteReference0"/>
          <w:noProof/>
        </w:rPr>
        <w:footnoteReference w:id="22"/>
      </w:r>
      <w:r>
        <w:rPr>
          <w:noProof/>
        </w:rPr>
        <w:t>.</w:t>
      </w:r>
    </w:p>
    <w:p w14:paraId="055C2D97" w14:textId="6C14452E" w:rsidR="00F2705B" w:rsidRDefault="00705D86" w:rsidP="00705D86">
      <w:pPr>
        <w:rPr>
          <w:noProof/>
        </w:rPr>
      </w:pPr>
      <w:r>
        <w:rPr>
          <w:noProof/>
        </w:rPr>
        <w:t xml:space="preserve">Hlavními uživateli statistik pesticidů v rámci Evropské komise jsou Generální ředitelství pro zdraví a bezpečnost potravin, Generální ředitelství pro zemědělství a rozvoj venkova, Generální ředitelství pro životní prostředí a Společné výzkumné středisko. K dalším uživatelům statistik pesticidů patří vnitrostátní orgány, výzkumní pracovníci, podnikatelský sektor, nevládní organizace, studenti a veřejnost. Tyto statistiky se spolu s dalšími příslušnými údaji používají k měření pokroku, kterého bylo dosaženo ve snižování rizika vyplývajícího z používání přípravků na ochranu rostlin. </w:t>
      </w:r>
    </w:p>
    <w:p w14:paraId="0BF81B36" w14:textId="49B1AE77" w:rsidR="00F2705B" w:rsidRDefault="00705D86" w:rsidP="00705D86">
      <w:pPr>
        <w:rPr>
          <w:noProof/>
        </w:rPr>
      </w:pPr>
      <w:r>
        <w:rPr>
          <w:noProof/>
        </w:rPr>
        <w:t xml:space="preserve">Uživatelé údajů opakovaně upozorňují na to, že tyto údaje musí být dostupnější: </w:t>
      </w:r>
    </w:p>
    <w:p w14:paraId="09D8EFCD" w14:textId="31CE283A" w:rsidR="00F2705B" w:rsidRDefault="00F2705B" w:rsidP="00F2705B">
      <w:pPr>
        <w:pStyle w:val="ListParagraph"/>
        <w:numPr>
          <w:ilvl w:val="0"/>
          <w:numId w:val="28"/>
        </w:numPr>
        <w:rPr>
          <w:rFonts w:eastAsia="Times New Roman"/>
          <w:noProof/>
          <w:szCs w:val="20"/>
        </w:rPr>
      </w:pPr>
      <w:r>
        <w:rPr>
          <w:noProof/>
        </w:rPr>
        <w:t>údaje o účinných látkách v pesticidech nabízených k prodeji a v pesticidech pro zemědělské použití,</w:t>
      </w:r>
    </w:p>
    <w:p w14:paraId="28C3ED04" w14:textId="1106D626" w:rsidR="00F2705B" w:rsidRDefault="00F2705B" w:rsidP="00F2705B">
      <w:pPr>
        <w:pStyle w:val="ListParagraph"/>
        <w:numPr>
          <w:ilvl w:val="0"/>
          <w:numId w:val="28"/>
        </w:numPr>
        <w:rPr>
          <w:rFonts w:eastAsia="Times New Roman"/>
          <w:noProof/>
          <w:szCs w:val="20"/>
        </w:rPr>
      </w:pPr>
      <w:r>
        <w:rPr>
          <w:noProof/>
        </w:rPr>
        <w:t>harmonizované a častější údaje o zemědělském používání pesticidů – údaje týkající se týchž plodin a shromažďované každoročně a</w:t>
      </w:r>
    </w:p>
    <w:p w14:paraId="7B7BDE30" w14:textId="309F3FD8" w:rsidR="00705D86" w:rsidRPr="00F2705B" w:rsidRDefault="00705D86" w:rsidP="00F2705B">
      <w:pPr>
        <w:pStyle w:val="ListParagraph"/>
        <w:numPr>
          <w:ilvl w:val="0"/>
          <w:numId w:val="28"/>
        </w:numPr>
        <w:rPr>
          <w:rFonts w:eastAsia="Times New Roman"/>
          <w:noProof/>
          <w:szCs w:val="20"/>
        </w:rPr>
      </w:pPr>
      <w:r>
        <w:rPr>
          <w:noProof/>
        </w:rPr>
        <w:t>podrobnější údaje na úrovni prostorových (regionálních) dat týkající se zemědělského použití.</w:t>
      </w:r>
    </w:p>
    <w:p w14:paraId="234876B1" w14:textId="6585C9F7" w:rsidR="00041DC9" w:rsidRDefault="00056CB1" w:rsidP="00041DC9">
      <w:pPr>
        <w:rPr>
          <w:noProof/>
        </w:rPr>
      </w:pPr>
      <w:r>
        <w:rPr>
          <w:noProof/>
        </w:rPr>
        <w:t>Komise se věnuje zlepšování dostupnosti a kvality údajů (podrobnosti viz oddíl 5).</w:t>
      </w:r>
    </w:p>
    <w:p w14:paraId="64AB1FD8" w14:textId="511C4C2C" w:rsidR="00B51D4A" w:rsidRDefault="00B51D4A" w:rsidP="00A8067E">
      <w:pPr>
        <w:pStyle w:val="Heading1"/>
        <w:rPr>
          <w:noProof/>
        </w:rPr>
      </w:pPr>
      <w:r>
        <w:rPr>
          <w:noProof/>
        </w:rPr>
        <w:t>Náklady a zátěž</w:t>
      </w:r>
    </w:p>
    <w:p w14:paraId="4E7B622A" w14:textId="130EC5ED" w:rsidR="001806C2" w:rsidRDefault="00FD6608" w:rsidP="007D7198">
      <w:pPr>
        <w:pStyle w:val="Heading2"/>
        <w:rPr>
          <w:noProof/>
        </w:rPr>
      </w:pPr>
      <w:r>
        <w:rPr>
          <w:noProof/>
        </w:rPr>
        <w:t>Náklady</w:t>
      </w:r>
    </w:p>
    <w:p w14:paraId="38CBD0BE" w14:textId="36D7FDCE" w:rsidR="00FD6608" w:rsidRPr="00FD6608" w:rsidRDefault="00FD6608" w:rsidP="00FD6608">
      <w:pPr>
        <w:rPr>
          <w:noProof/>
        </w:rPr>
      </w:pPr>
      <w:r>
        <w:rPr>
          <w:noProof/>
        </w:rPr>
        <w:t>Národní statistické úřady a další statistické úřady odhadly celkové roční náklady</w:t>
      </w:r>
      <w:r>
        <w:rPr>
          <w:rStyle w:val="FootnoteReference0"/>
          <w:noProof/>
        </w:rPr>
        <w:footnoteReference w:id="23"/>
      </w:r>
      <w:r>
        <w:rPr>
          <w:noProof/>
        </w:rPr>
        <w:t xml:space="preserve"> na shromažďování údajů o prodeji pesticidů a o používání pesticidů v zemědělství ve 23 členských státech EU a Norsku přibližně na 4,7 milionu EUR. Shromažďování údajů kromě toho vyžaduje vklad práce asi 43 osob (na plný úvazek). Medián na jednu zemi činí 53 000 EUR a jednoho pracovníka na plný úvazek. Vykázané náklady a počet pracovníků jsou ve většině zemí spíše omezené.</w:t>
      </w:r>
    </w:p>
    <w:p w14:paraId="13F18D5E" w14:textId="47B58D8B" w:rsidR="00462798" w:rsidRDefault="00DE36FD" w:rsidP="007D7198">
      <w:pPr>
        <w:pStyle w:val="Heading2"/>
        <w:rPr>
          <w:noProof/>
        </w:rPr>
      </w:pPr>
      <w:r>
        <w:rPr>
          <w:noProof/>
        </w:rPr>
        <w:t>Zátěž</w:t>
      </w:r>
    </w:p>
    <w:p w14:paraId="4AEC95AD" w14:textId="67B4CFDA" w:rsidR="00095B35" w:rsidRDefault="00462798" w:rsidP="00462798">
      <w:pPr>
        <w:rPr>
          <w:noProof/>
        </w:rPr>
      </w:pPr>
      <w:r>
        <w:rPr>
          <w:noProof/>
        </w:rPr>
        <w:t xml:space="preserve">Zátěž respondentů (držitelů povolení v případě prodeje pesticidů a zemědělských podniků a dalších profesionálních uživatelů působících v zemědělském odvětví v případě zemědělského použití pesticidů) a vnitrostátních správních orgánů se liší v závislosti na zvolené metodě shromažďování údajů. </w:t>
      </w:r>
    </w:p>
    <w:p w14:paraId="1BA286CB" w14:textId="79521746" w:rsidR="00CA02A3" w:rsidRDefault="00CA02A3" w:rsidP="00462798">
      <w:pPr>
        <w:rPr>
          <w:noProof/>
        </w:rPr>
      </w:pPr>
      <w:r>
        <w:rPr>
          <w:noProof/>
        </w:rPr>
        <w:t xml:space="preserve">Země uvedly, že zátěž orgánů a respondentů je v případě shromažďování </w:t>
      </w:r>
      <w:r>
        <w:rPr>
          <w:b/>
          <w:noProof/>
        </w:rPr>
        <w:t>údajů o prodeji pesticidů</w:t>
      </w:r>
      <w:r>
        <w:rPr>
          <w:noProof/>
        </w:rPr>
        <w:t xml:space="preserve"> poměrně malá, neboť držitelé povolení mají administrativní povinnost předkládat příslušným orgánům zprávy o prodeji všech účinných látek uváděných na trh. Statistiky tedy ve většině případů vznikají jako vedlejší produkt tohoto administrativního postupu. </w:t>
      </w:r>
    </w:p>
    <w:p w14:paraId="17CAC39D" w14:textId="04ED0E26" w:rsidR="00BF3EBA" w:rsidRDefault="00BF3EBA" w:rsidP="00BF3EBA">
      <w:pPr>
        <w:rPr>
          <w:noProof/>
        </w:rPr>
      </w:pPr>
      <w:r>
        <w:rPr>
          <w:noProof/>
        </w:rPr>
        <w:t xml:space="preserve">V případě </w:t>
      </w:r>
      <w:r>
        <w:rPr>
          <w:b/>
          <w:noProof/>
        </w:rPr>
        <w:t>zemědělského použití pesticidů</w:t>
      </w:r>
      <w:r>
        <w:rPr>
          <w:noProof/>
        </w:rPr>
        <w:t xml:space="preserve"> je situace odlišná: podle nařízení (ES) č. 1107/2009 mají všichni profesionální uživatelé povinnost vést záznamy o svém používání pesticidů. Tyto informace by v zásadě měly být na vyžádání k dispozici. Jejich použití pro statistické účely je však velmi problematické, a to z několika důvodů: záznamy jsou vedeny na úrovni zemědělských podniků, málokdy jsou harmonizované a mohou být vedeny v libovolném formátu (v tištěné či elektronické podobě). Z tohoto důvodu se většina národních statistických úřadů rozhodla uspořádat statistické zjišťování. </w:t>
      </w:r>
    </w:p>
    <w:p w14:paraId="67DDD396" w14:textId="49F4D92D" w:rsidR="007A4543" w:rsidRDefault="00B5260A" w:rsidP="00462798">
      <w:pPr>
        <w:rPr>
          <w:noProof/>
        </w:rPr>
      </w:pPr>
      <w:r>
        <w:rPr>
          <w:noProof/>
        </w:rPr>
        <w:t xml:space="preserve">Země využívající statistické zjišťování uvedly, že zátěž respondentů dosahovala různé míry, od několika minut (malé zemědělské podniky využívající vykazování v elektronické podobě) do tří hodin (větší zemědělské podniky využívající tištěné dotazníky). Dodatečná zátěž respondentů je i v případě zemí, které provádějí statistická zjišťování, přiměřená, protože profesionální uživatelé stejně mají povinnost vést záznamy o používání pesticidů. U sedmi zemí, které využívají administrativní záznamy o používání pesticidů, údaje ze zemědělské účetní datové sítě, odborné odhady či vědecké modelování, nevzniká respondentům žádná dodatečná zátěž. </w:t>
      </w:r>
    </w:p>
    <w:p w14:paraId="6A19CC4A" w14:textId="580692DB" w:rsidR="00C933CD" w:rsidRDefault="00C933CD" w:rsidP="00462798">
      <w:pPr>
        <w:rPr>
          <w:noProof/>
        </w:rPr>
      </w:pPr>
      <w:r>
        <w:rPr>
          <w:noProof/>
        </w:rPr>
        <w:t xml:space="preserve">Ve srovnání s prvním pětiletým obdobím některé země zátěž snížily různými opatřeními: uživatelsky vstřícnějšími dotazníky (6), snadnějším předáváním údajů (5), zjišťováním menšího počtu proměnných (3), využíváním shromážděných údajů k více účelům (3), jinými opatřeními (3). Osm zemí uvedlo, že od předložení předchozí zprávy o kvalitě (před pěti lety) neučinily žádná opatření ke snížení zátěže. </w:t>
      </w:r>
    </w:p>
    <w:p w14:paraId="31701D98" w14:textId="376A8C6F" w:rsidR="00462798" w:rsidRPr="00AF4FAD" w:rsidRDefault="00D311EA" w:rsidP="004C516F">
      <w:pPr>
        <w:rPr>
          <w:noProof/>
        </w:rPr>
      </w:pPr>
      <w:r>
        <w:rPr>
          <w:noProof/>
        </w:rPr>
        <w:t xml:space="preserve">Pokud jde o zvyšování efektivity, většina zemí uvedla, že docílila větší efektivity díky další automatizaci (11), rozsáhlejšímu využívání administrativních zdrojů (5), internetovému zjišťování (5), další odborné přípravě (4) a jiným opatřením (5). V deseti zemích podle zpráv nedošlo od předložení předchozí zprávy o kvalitě (před pěti lety) k žádným změnám. </w:t>
      </w:r>
    </w:p>
    <w:p w14:paraId="3C7FB7FC" w14:textId="782B4FA1" w:rsidR="00B51D4A" w:rsidRDefault="00B51D4A" w:rsidP="00A8067E">
      <w:pPr>
        <w:pStyle w:val="Heading1"/>
        <w:rPr>
          <w:noProof/>
        </w:rPr>
      </w:pPr>
      <w:r>
        <w:rPr>
          <w:noProof/>
        </w:rPr>
        <w:t xml:space="preserve">Návrhy na další zlepšení </w:t>
      </w:r>
    </w:p>
    <w:p w14:paraId="0972C7E3" w14:textId="7A5591DF" w:rsidR="00673E6C" w:rsidRDefault="00673E6C" w:rsidP="00673E6C">
      <w:pPr>
        <w:rPr>
          <w:noProof/>
        </w:rPr>
      </w:pPr>
      <w:r>
        <w:rPr>
          <w:noProof/>
        </w:rPr>
        <w:t>Komise v současnosti v souladu s čl. 5 odst. 3 nařízení aktualizuje seznam účinných látek, pro které by se měly vykazovat statistické údaje (příloha III nařízení) v roce 2021</w:t>
      </w:r>
      <w:r>
        <w:rPr>
          <w:rStyle w:val="FootnoteReference0"/>
          <w:noProof/>
        </w:rPr>
        <w:footnoteReference w:id="24"/>
      </w:r>
      <w:r>
        <w:rPr>
          <w:noProof/>
        </w:rPr>
        <w:t>. Navrhovaná změna zahrnuje několik agregací účinných látek klasifikovaných podle skupin a kategorií harmonizovaných ukazatelů rizika</w:t>
      </w:r>
      <w:r>
        <w:rPr>
          <w:rStyle w:val="FootnoteReference0"/>
          <w:noProof/>
        </w:rPr>
        <w:footnoteReference w:id="25"/>
      </w:r>
      <w:r>
        <w:rPr>
          <w:noProof/>
        </w:rPr>
        <w:t xml:space="preserve"> a dobrovolné vykazování uvádění pesticidů na trh podle zamýšleného odvětví použití (zemědělství, lesnictví, rekreační oblasti a skladování). Převážná většina členských států uvedla, že v současné době není proveditelné, aby statistické úřady vykazovaly odvětví použití, jelikož tyto údaje nejsou k dispozici. Komise touto aktualizací právního předpisu hodlá zlepšit dostupnost statistických údajů o pesticidech v rámci současného právního rámce. </w:t>
      </w:r>
    </w:p>
    <w:p w14:paraId="71E2FD6A" w14:textId="139170BD" w:rsidR="009A2135" w:rsidRDefault="008C20C4" w:rsidP="0033330D">
      <w:pPr>
        <w:rPr>
          <w:noProof/>
        </w:rPr>
      </w:pPr>
      <w:r>
        <w:rPr>
          <w:noProof/>
        </w:rPr>
        <w:t>V roce 2016 provedla Komise hodnocení statistiky pesticidů v rámci souhrnného hodnocení zemědělské statistiky</w:t>
      </w:r>
      <w:r>
        <w:rPr>
          <w:rStyle w:val="FootnoteReference0"/>
          <w:noProof/>
        </w:rPr>
        <w:footnoteReference w:id="26"/>
      </w:r>
      <w:r>
        <w:rPr>
          <w:noProof/>
        </w:rPr>
        <w:t xml:space="preserve"> a následně zahájila „strategii pro zemědělskou statistiku do roku 2020 a na další období“</w:t>
      </w:r>
      <w:r>
        <w:rPr>
          <w:rStyle w:val="FootnoteReference0"/>
          <w:noProof/>
        </w:rPr>
        <w:footnoteReference w:id="27"/>
      </w:r>
      <w:r>
        <w:rPr>
          <w:noProof/>
        </w:rPr>
        <w:t xml:space="preserve">. Jedná se o zásadní program, který Komise spustila v úzké spolupráci s členskými státy s cílem modernizovat zemědělskou statistiku EU. </w:t>
      </w:r>
    </w:p>
    <w:p w14:paraId="507BF83B" w14:textId="4876D6D8" w:rsidR="008C20C4" w:rsidRDefault="009A2135" w:rsidP="0033330D">
      <w:pPr>
        <w:rPr>
          <w:noProof/>
        </w:rPr>
      </w:pPr>
      <w:r>
        <w:rPr>
          <w:noProof/>
        </w:rPr>
        <w:t>Dne 2. února 2021 Komise v rámci této modernizace předložila legislativní návrh nařízení o statistice zemědělských vstupů a výstupů. Přijetím navrženého nařízení se zruší nařízení (ES) č. 1185/2009. Podle návrhu by se statistické údaje o zemědělském použití pesticidů shromažďovaly každý rok a ne pouze jednou za pět let, jak je tomu nyní. Návrh neobsahuje žádné požadavky na povinnou agregaci zveřejňovaných údajů. Díky této změně by byly dostupné údaje na úrovni účinných látek. Případně se nicméně bude uplatňovat statistická důvěrnost v souladu s nařízením (ES) č. 223/2009. V současnosti probíhají interinstitucionální jednání Evropského parlamentu a Rady o legislativním návrhu. Očekává se, že nařízení o statistice zemědělských vstupů a výstupů, které se bude vztahovat i na statistiku pesticidů, bude přijato v roce 2022 a bude se používat od roku 2024.</w:t>
      </w:r>
    </w:p>
    <w:p w14:paraId="5914B76E" w14:textId="5EB59240" w:rsidR="00687735" w:rsidRDefault="00687735" w:rsidP="0033330D">
      <w:pPr>
        <w:rPr>
          <w:noProof/>
        </w:rPr>
      </w:pPr>
      <w:r>
        <w:rPr>
          <w:noProof/>
        </w:rPr>
        <w:t xml:space="preserve">Komise se zabývá všeobecným zlepšováním vykazování údajů o používání pesticidů. V současné době se připravuje několik iniciativ, jejichž cílem je zajistit dostupnost více statistik, a především harmonizovat záznamy o používání pesticidů a tím je zpřístupnit orgánům v elektronické podobě. Očekává se, že tyto iniciativy mohou být využity k lepšímu řízení souvisejících politik. Uvedené snahy probíhají ve spolupráci s dalšími útvary Komise.     </w:t>
      </w:r>
    </w:p>
    <w:p w14:paraId="4059D3DC" w14:textId="306F8B93" w:rsidR="009D47A3" w:rsidRDefault="009D47A3" w:rsidP="00A8067E">
      <w:pPr>
        <w:pStyle w:val="Heading1"/>
        <w:rPr>
          <w:noProof/>
        </w:rPr>
      </w:pPr>
      <w:r>
        <w:rPr>
          <w:noProof/>
        </w:rPr>
        <w:t>Závěry</w:t>
      </w:r>
    </w:p>
    <w:p w14:paraId="7EE799E7" w14:textId="57C14DAB" w:rsidR="005A06C6" w:rsidRDefault="00EF3604" w:rsidP="005A06C6">
      <w:pPr>
        <w:rPr>
          <w:noProof/>
        </w:rPr>
      </w:pPr>
      <w:r>
        <w:rPr>
          <w:noProof/>
        </w:rPr>
        <w:t>Statistické údaje o prodeji pesticidů se shromažďují a zveřejňují od roku 2011 a statistické údaje o zemědělském používání pesticidů se dosud shromažďovaly a zveřejňovaly ve dvou kolech shromažďování údajů, a to v pětiletých obdobích 2010–2014 a 2015–2019. Od roku 2017, kdy Komise vydala předchozí zprávu, se zvýšila dostupnost a kvalita údajů o prodeji pesticidů i údajů o zemědělském používání pesticidů. Více než polovina členských států zefektivnila shromažďování údajů a snížila zátěž respondentů, která je se shromažďováním údajů spojená.</w:t>
      </w:r>
    </w:p>
    <w:p w14:paraId="2DAFC561" w14:textId="75A09182" w:rsidR="005A06C6" w:rsidRDefault="005A06C6" w:rsidP="005A06C6">
      <w:pPr>
        <w:rPr>
          <w:noProof/>
        </w:rPr>
      </w:pPr>
      <w:r>
        <w:rPr>
          <w:noProof/>
        </w:rPr>
        <w:t xml:space="preserve">Stále ovšem přetrvávají tytéž problémy, které byly zjištěny již v první zprávě: </w:t>
      </w:r>
    </w:p>
    <w:p w14:paraId="25D51113" w14:textId="37A98AB3" w:rsidR="005A06C6" w:rsidRPr="005A06C6" w:rsidRDefault="00F14AD7" w:rsidP="005A06C6">
      <w:pPr>
        <w:pStyle w:val="ListParagraph"/>
        <w:numPr>
          <w:ilvl w:val="0"/>
          <w:numId w:val="30"/>
        </w:numPr>
        <w:jc w:val="both"/>
        <w:rPr>
          <w:rFonts w:eastAsia="Times New Roman"/>
          <w:noProof/>
          <w:szCs w:val="20"/>
        </w:rPr>
      </w:pPr>
      <w:r>
        <w:rPr>
          <w:noProof/>
        </w:rPr>
        <w:t xml:space="preserve">Požadavky na agregaci údajů, které jsou stanoveny v čl. 3 odst. 4 nařízení, nedovolují zveřejňovat žádné údaje na úrovni účinných látek. To má negativní dopad na dostupnost údajů. </w:t>
      </w:r>
    </w:p>
    <w:p w14:paraId="252D3B37" w14:textId="4D83357D" w:rsidR="005A06C6" w:rsidRDefault="00A26863" w:rsidP="005A06C6">
      <w:pPr>
        <w:pStyle w:val="ListParagraph"/>
        <w:numPr>
          <w:ilvl w:val="0"/>
          <w:numId w:val="30"/>
        </w:numPr>
        <w:jc w:val="both"/>
        <w:rPr>
          <w:rFonts w:eastAsia="Times New Roman"/>
          <w:noProof/>
          <w:szCs w:val="20"/>
        </w:rPr>
      </w:pPr>
      <w:r>
        <w:rPr>
          <w:noProof/>
        </w:rPr>
        <w:t xml:space="preserve">Neexistuje harmonizace údajů o používání pesticidů – členské státy si mohou libovolně zvolit sledovaný rok v rámci pětiletého období i seznam plodin, který považují za reprezentativní ve vztahu k vnitrostátním podmínkám. </w:t>
      </w:r>
    </w:p>
    <w:p w14:paraId="02963DCC" w14:textId="3DA7E922" w:rsidR="00A26863" w:rsidRDefault="00A26863" w:rsidP="005A06C6">
      <w:pPr>
        <w:pStyle w:val="ListParagraph"/>
        <w:numPr>
          <w:ilvl w:val="0"/>
          <w:numId w:val="30"/>
        </w:numPr>
        <w:jc w:val="both"/>
        <w:rPr>
          <w:rFonts w:eastAsia="Times New Roman"/>
          <w:noProof/>
          <w:szCs w:val="20"/>
        </w:rPr>
      </w:pPr>
      <w:r>
        <w:rPr>
          <w:noProof/>
        </w:rPr>
        <w:t>Údaje o používání pesticidů v zemědělství jsou dostupné pouze každých pět let.</w:t>
      </w:r>
    </w:p>
    <w:p w14:paraId="387A77C3" w14:textId="2084683A" w:rsidR="00727D87" w:rsidRDefault="00756FDE" w:rsidP="005A06C6">
      <w:pPr>
        <w:pStyle w:val="ListParagraph"/>
        <w:numPr>
          <w:ilvl w:val="0"/>
          <w:numId w:val="30"/>
        </w:numPr>
        <w:jc w:val="both"/>
        <w:rPr>
          <w:rFonts w:eastAsia="Times New Roman"/>
          <w:noProof/>
          <w:szCs w:val="20"/>
        </w:rPr>
      </w:pPr>
      <w:r>
        <w:rPr>
          <w:noProof/>
        </w:rPr>
        <w:t>Metodický problém představuje to, jak zamezit dvojímu započtení ploch s plodinami ošetřenými účinnými látkami na vyšších hierarchických úrovních pesticidů.</w:t>
      </w:r>
    </w:p>
    <w:p w14:paraId="45DB725E" w14:textId="4ED94192" w:rsidR="005A06C6" w:rsidRDefault="00A26863" w:rsidP="005A06C6">
      <w:pPr>
        <w:pStyle w:val="ListParagraph"/>
        <w:numPr>
          <w:ilvl w:val="0"/>
          <w:numId w:val="30"/>
        </w:numPr>
        <w:jc w:val="both"/>
        <w:rPr>
          <w:rFonts w:eastAsia="Times New Roman"/>
          <w:noProof/>
          <w:szCs w:val="20"/>
        </w:rPr>
      </w:pPr>
      <w:r>
        <w:rPr>
          <w:noProof/>
        </w:rPr>
        <w:t>Ve většině členských států nejsou dostupné administrativní údaje o profesionálním používání pesticidů – profesionální uživatelé sice mají povinnost vést záznamy, ty však nejsou harmonizované a jen málokdy jsou vedeny v elektronické podobě.</w:t>
      </w:r>
    </w:p>
    <w:p w14:paraId="16E4BCF8" w14:textId="74E5DEAA" w:rsidR="00A54D70" w:rsidRPr="00727D87" w:rsidRDefault="00A54D70" w:rsidP="00727D87">
      <w:pPr>
        <w:pStyle w:val="ListParagraph"/>
        <w:numPr>
          <w:ilvl w:val="0"/>
          <w:numId w:val="30"/>
        </w:numPr>
        <w:jc w:val="both"/>
        <w:rPr>
          <w:rFonts w:eastAsia="Times New Roman"/>
          <w:noProof/>
          <w:szCs w:val="20"/>
        </w:rPr>
      </w:pPr>
      <w:r>
        <w:rPr>
          <w:noProof/>
        </w:rPr>
        <w:t>Nebylo nalezeno žádné vhodné řešení, jak převádět množství mikrobiologických látek na kilogramy. To brání šíření a sledování mikrobiologických pesticidů.</w:t>
      </w:r>
    </w:p>
    <w:p w14:paraId="4F7856BF" w14:textId="77777777" w:rsidR="005A06C6" w:rsidRDefault="005A06C6" w:rsidP="005A06C6">
      <w:pPr>
        <w:ind w:left="360"/>
        <w:rPr>
          <w:noProof/>
        </w:rPr>
      </w:pPr>
    </w:p>
    <w:p w14:paraId="34B18FD4" w14:textId="239E70F8" w:rsidR="00E3306D" w:rsidRDefault="005A06C6" w:rsidP="005A06C6">
      <w:pPr>
        <w:rPr>
          <w:noProof/>
        </w:rPr>
      </w:pPr>
      <w:r>
        <w:rPr>
          <w:noProof/>
        </w:rPr>
        <w:t>Komise přijímá opatření, aby uvedené nedostatky statistiky pesticidů odstranila:</w:t>
      </w:r>
    </w:p>
    <w:p w14:paraId="4E8E9E5F" w14:textId="7DF43A51" w:rsidR="005A06C6" w:rsidRDefault="00A26863" w:rsidP="00A26863">
      <w:pPr>
        <w:pStyle w:val="ListParagraph"/>
        <w:numPr>
          <w:ilvl w:val="0"/>
          <w:numId w:val="30"/>
        </w:numPr>
        <w:jc w:val="both"/>
        <w:rPr>
          <w:rFonts w:eastAsia="Times New Roman"/>
          <w:noProof/>
          <w:szCs w:val="20"/>
        </w:rPr>
      </w:pPr>
      <w:r>
        <w:rPr>
          <w:noProof/>
        </w:rPr>
        <w:t xml:space="preserve">Návrh nařízení o statistice zemědělských vstupů a výstupů, který Komise předložila dne 2. února 2021, statistiku pesticidů zahrnuje – nejsou v něm navržena žádná omezení ohledně zveřejňování statistik a periodicita statistik zemědělského použití pesticidů se má zvýšit z každých pěti let na každý rok. Navržené nařízení je momentálně předmětem společné tvorby právního předpisu a očekává se, že jej Evropský parlament a Rada přijmou během roku 2022 a že bude použitelné od roku 2024. </w:t>
      </w:r>
    </w:p>
    <w:p w14:paraId="183A4563" w14:textId="6B4C42BF" w:rsidR="001942ED" w:rsidRDefault="001942ED" w:rsidP="00A26863">
      <w:pPr>
        <w:pStyle w:val="ListParagraph"/>
        <w:numPr>
          <w:ilvl w:val="0"/>
          <w:numId w:val="30"/>
        </w:numPr>
        <w:jc w:val="both"/>
        <w:rPr>
          <w:rFonts w:eastAsia="Times New Roman"/>
          <w:noProof/>
          <w:szCs w:val="20"/>
        </w:rPr>
      </w:pPr>
      <w:r>
        <w:rPr>
          <w:noProof/>
        </w:rPr>
        <w:t>Komise a vnitrostátní orgány úzce spolupracují na tom, aby záznamy o profesionálním používání pesticidů byly harmonizovanější a aby byly pro statistické úřady dostupné v elektronické podobě.</w:t>
      </w:r>
    </w:p>
    <w:p w14:paraId="1E3917A4" w14:textId="71554B60" w:rsidR="007F0564" w:rsidRPr="00A26863" w:rsidRDefault="007F0564" w:rsidP="00A26863">
      <w:pPr>
        <w:pStyle w:val="ListParagraph"/>
        <w:numPr>
          <w:ilvl w:val="0"/>
          <w:numId w:val="30"/>
        </w:numPr>
        <w:jc w:val="both"/>
        <w:rPr>
          <w:rFonts w:eastAsia="Times New Roman"/>
          <w:noProof/>
          <w:szCs w:val="20"/>
        </w:rPr>
      </w:pPr>
      <w:r>
        <w:rPr>
          <w:noProof/>
        </w:rPr>
        <w:t xml:space="preserve">Výměny technických a metodických poznatků s členskými státy pokračují formou setkání, webinářů a písemné komunikace. </w:t>
      </w:r>
    </w:p>
    <w:p w14:paraId="32A6D085" w14:textId="19C03C1D" w:rsidR="001F3E4A" w:rsidRDefault="001F3E4A" w:rsidP="0033330D">
      <w:pPr>
        <w:rPr>
          <w:noProof/>
        </w:rPr>
      </w:pPr>
    </w:p>
    <w:p w14:paraId="46295021" w14:textId="77777777" w:rsidR="00E3306D" w:rsidRDefault="00E3306D" w:rsidP="0033330D">
      <w:pPr>
        <w:rPr>
          <w:noProof/>
        </w:rPr>
      </w:pPr>
    </w:p>
    <w:sectPr w:rsidR="00E3306D" w:rsidSect="00B17F44">
      <w:headerReference w:type="even" r:id="rId23"/>
      <w:headerReference w:type="default" r:id="rId24"/>
      <w:footerReference w:type="even" r:id="rId25"/>
      <w:footerReference w:type="default" r:id="rId26"/>
      <w:headerReference w:type="first" r:id="rId27"/>
      <w:footerReference w:type="first" r:id="rId28"/>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93F60" w14:textId="77777777" w:rsidR="003A064B" w:rsidRDefault="003A064B">
      <w:pPr>
        <w:spacing w:after="0" w:line="240" w:lineRule="auto"/>
      </w:pPr>
      <w:r>
        <w:separator/>
      </w:r>
    </w:p>
  </w:endnote>
  <w:endnote w:type="continuationSeparator" w:id="0">
    <w:p w14:paraId="40AA0F53" w14:textId="77777777" w:rsidR="003A064B" w:rsidRDefault="003A064B">
      <w:pPr>
        <w:spacing w:after="0" w:line="240" w:lineRule="auto"/>
      </w:pPr>
      <w:r>
        <w:continuationSeparator/>
      </w:r>
    </w:p>
  </w:endnote>
  <w:endnote w:type="continuationNotice" w:id="1">
    <w:p w14:paraId="3A3E1203" w14:textId="77777777" w:rsidR="003A064B" w:rsidRDefault="003A06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B71B2" w14:textId="77777777" w:rsidR="00E3706D" w:rsidRPr="00E3706D" w:rsidRDefault="00E3706D" w:rsidP="00E370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A2704" w14:textId="2DDF3685" w:rsidR="00ED4C61" w:rsidRPr="00E3706D" w:rsidRDefault="00E3706D" w:rsidP="00E3706D">
    <w:pPr>
      <w:pStyle w:val="FooterCoverPage"/>
      <w:rPr>
        <w:rFonts w:ascii="Arial" w:hAnsi="Arial" w:cs="Arial"/>
        <w:b/>
        <w:sz w:val="48"/>
      </w:rPr>
    </w:pPr>
    <w:r w:rsidRPr="00E3706D">
      <w:rPr>
        <w:rFonts w:ascii="Arial" w:hAnsi="Arial" w:cs="Arial"/>
        <w:b/>
        <w:sz w:val="48"/>
      </w:rPr>
      <w:t>CS</w:t>
    </w:r>
    <w:r w:rsidRPr="00E3706D">
      <w:rPr>
        <w:rFonts w:ascii="Arial" w:hAnsi="Arial" w:cs="Arial"/>
        <w:b/>
        <w:sz w:val="48"/>
      </w:rPr>
      <w:tab/>
    </w:r>
    <w:r w:rsidRPr="00E3706D">
      <w:rPr>
        <w:rFonts w:ascii="Arial" w:hAnsi="Arial" w:cs="Arial"/>
        <w:b/>
        <w:sz w:val="48"/>
      </w:rPr>
      <w:tab/>
    </w:r>
    <w:r w:rsidRPr="00E3706D">
      <w:tab/>
    </w:r>
    <w:r w:rsidRPr="00E3706D">
      <w:rPr>
        <w:rFonts w:ascii="Arial" w:hAnsi="Arial" w:cs="Arial"/>
        <w:b/>
        <w:sz w:val="48"/>
      </w:rPr>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65B65" w14:textId="77777777" w:rsidR="00E3706D" w:rsidRPr="00E3706D" w:rsidRDefault="00E3706D" w:rsidP="00E3706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2510F" w14:textId="77777777" w:rsidR="003A064B" w:rsidRDefault="00B10D5C">
    <w:pPr>
      <w:pStyle w:val="FooterLine"/>
    </w:pPr>
    <w:sdt>
      <w:sdtPr>
        <w:id w:val="214932416"/>
        <w:showingPlcHdr/>
        <w:dataBinding w:prefixMappings="xmlns:cp=&quot;http://schemas.openxmlformats.org/package/2006/metadata/core-properties&quot; xmlns:dc=&quot;http://purl.org/dc/elements/1.1/&quot; xmlns:dcterms=&quot;http://purl.org/dc/terms/&quot;" w:xpath="/cp:coreProperties[1]/dc:title[1]" w:storeItemID="{6C3C8BC8-F283-45AE-878A-BAB7291924A1}"/>
        <w:text w:multiLine="1"/>
      </w:sdtPr>
      <w:sdtEndPr/>
      <w:sdtContent>
        <w:r w:rsidR="00C55806">
          <w:t xml:space="preserve"> </w:t>
        </w:r>
      </w:sdtContent>
    </w:sdt>
    <w:r w:rsidR="00C55806">
      <w:t xml:space="preserve"> – </w:t>
    </w:r>
    <w:sdt>
      <w:sdtPr>
        <w:id w:val="1890849744"/>
        <w:showingPlcHdr/>
        <w:dataBinding w:prefixMappings="xmlns:cp=&quot;http://schemas.openxmlformats.org/package/2006/metadata/core-properties&quot; xmlns:dc=&quot;http://purl.org/dc/elements/1.1/&quot; xmlns:dcterms=&quot;http://purl.org/dc/terms/&quot;" w:xpath="/cp:coreProperties[1]/dc:subject[1]" w:storeItemID="{6C3C8BC8-F283-45AE-878A-BAB7291924A1}"/>
        <w:text w:multiLine="1"/>
      </w:sdtPr>
      <w:sdtEndPr/>
      <w:sdtContent>
        <w:r w:rsidR="00C55806">
          <w:t xml:space="preserve"> </w:t>
        </w:r>
      </w:sdtContent>
    </w:sdt>
    <w:r w:rsidR="00C55806">
      <w:tab/>
      <w:t xml:space="preserve">Strana </w:t>
    </w:r>
    <w:r w:rsidR="00C55806">
      <w:fldChar w:fldCharType="begin"/>
    </w:r>
    <w:r w:rsidR="00C55806">
      <w:instrText>PAGE</w:instrText>
    </w:r>
    <w:r w:rsidR="00C55806">
      <w:fldChar w:fldCharType="separate"/>
    </w:r>
    <w:r w:rsidR="00C55806">
      <w:t>1</w:t>
    </w:r>
    <w:r w:rsidR="00C55806">
      <w:fldChar w:fldCharType="end"/>
    </w:r>
    <w:r w:rsidR="00C55806">
      <w:t xml:space="preserve"> z </w:t>
    </w:r>
    <w:r w:rsidR="00C55806">
      <w:fldChar w:fldCharType="begin"/>
    </w:r>
    <w:r w:rsidR="00C55806">
      <w:instrText>NUMPAGES</w:instrText>
    </w:r>
    <w:r w:rsidR="00C55806">
      <w:fldChar w:fldCharType="separate"/>
    </w:r>
    <w:r w:rsidR="00C55806">
      <w:t>1</w:t>
    </w:r>
    <w:r w:rsidR="00C55806">
      <w:fldChar w:fldCharType="end"/>
    </w:r>
  </w:p>
  <w:p w14:paraId="367C676B" w14:textId="6049E414" w:rsidR="003A064B" w:rsidRDefault="00B10D5C">
    <w:pPr>
      <w:pStyle w:val="Footer"/>
    </w:pPr>
    <w:sdt>
      <w:sdtPr>
        <w:id w:val="1847973514"/>
        <w:dataBinding w:xpath="/Texts/TechFooterVersion" w:storeItemID="{4EF90DE6-88B6-4264-9629-4D8DFDFE87D2}"/>
        <w:text w:multiLine="1"/>
      </w:sdtPr>
      <w:sdtEndPr/>
      <w:sdtContent>
        <w:r w:rsidR="00C55806">
          <w:t>verze dokumentu</w:t>
        </w:r>
      </w:sdtContent>
    </w:sdt>
    <w:r w:rsidR="00C55806">
      <w:t xml:space="preserve"> </w:t>
    </w:r>
    <w:sdt>
      <w:sdtPr>
        <w:alias w:val="Verze"/>
        <w:id w:val="-668320384"/>
        <w:dataBinding w:xpath="/EurolookProperties/DocumentVersion" w:storeItemID="{D3EA5527-7367-4268-9D83-5125C98D0ED2}"/>
        <w:text w:multiLine="1"/>
      </w:sdtPr>
      <w:sdtEndPr/>
      <w:sdtContent>
        <w:r w:rsidR="00C55806">
          <w:t>0.1</w:t>
        </w:r>
      </w:sdtContent>
    </w:sdt>
    <w:r w:rsidR="00C55806">
      <w:t xml:space="preserve"> </w:t>
    </w:r>
    <w:sdt>
      <w:sdtPr>
        <w:id w:val="-1231223282"/>
        <w:dataBinding w:xpath="/Texts/TechFooterDated" w:storeItemID="{4EF90DE6-88B6-4264-9629-4D8DFDFE87D2}"/>
        <w:text w:multiLine="1"/>
      </w:sdtPr>
      <w:sdtEndPr/>
      <w:sdtContent>
        <w:r w:rsidR="00C55806">
          <w:t>ze dne</w:t>
        </w:r>
      </w:sdtContent>
    </w:sdt>
    <w:r w:rsidR="00C55806">
      <w:t xml:space="preserve"> </w:t>
    </w:r>
    <w:sdt>
      <w:sdtPr>
        <w:alias w:val=""/>
        <w:id w:val="2145379456"/>
        <w:dataBinding w:xpath="/EurolookProperties/DocumentDate" w:storeItemID="{D3EA5527-7367-4268-9D83-5125C98D0ED2}"/>
        <w:date w:fullDate="2021-02-23T14:02:00Z">
          <w:dateFormat w:val="dd/MM/yyyy"/>
          <w:lid w:val="cs-CZ"/>
          <w:storeMappedDataAs w:val="dateTime"/>
          <w:calendar w:val="gregorian"/>
        </w:date>
      </w:sdtPr>
      <w:sdtEndPr/>
      <w:sdtContent>
        <w:r w:rsidR="00C55806">
          <w:t>23/02/2021</w:t>
        </w:r>
      </w:sdtContent>
    </w:sdt>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2846B" w14:textId="77777777" w:rsidR="003A064B" w:rsidRDefault="003A064B">
    <w:pPr>
      <w:pStyle w:val="Footer"/>
      <w:jc w:val="center"/>
    </w:pPr>
  </w:p>
  <w:p w14:paraId="2A6ACDBD" w14:textId="34E55179" w:rsidR="003A064B" w:rsidRDefault="00B10D5C">
    <w:pPr>
      <w:pStyle w:val="Footer"/>
      <w:jc w:val="center"/>
    </w:pPr>
    <w:sdt>
      <w:sdtPr>
        <w:id w:val="-240946050"/>
        <w:docPartObj>
          <w:docPartGallery w:val="Page Numbers (Bottom of Page)"/>
          <w:docPartUnique/>
        </w:docPartObj>
      </w:sdtPr>
      <w:sdtEndPr>
        <w:rPr>
          <w:noProof/>
        </w:rPr>
      </w:sdtEndPr>
      <w:sdtContent>
        <w:r w:rsidR="00C55806">
          <w:fldChar w:fldCharType="begin"/>
        </w:r>
        <w:r w:rsidR="00C55806">
          <w:instrText xml:space="preserve"> PAGE   \* MERGEFORMAT </w:instrText>
        </w:r>
        <w:r w:rsidR="00C55806">
          <w:fldChar w:fldCharType="separate"/>
        </w:r>
        <w:r>
          <w:rPr>
            <w:noProof/>
          </w:rPr>
          <w:t>2</w:t>
        </w:r>
        <w:r w:rsidR="00C55806">
          <w:fldChar w:fldCharType="end"/>
        </w:r>
      </w:sdtContent>
    </w:sdt>
  </w:p>
  <w:p w14:paraId="5A8F0033" w14:textId="77777777" w:rsidR="003A064B" w:rsidRPr="00054EF8" w:rsidRDefault="003A064B" w:rsidP="00054EF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639980"/>
      <w:docPartObj>
        <w:docPartGallery w:val="Page Numbers (Bottom of Page)"/>
        <w:docPartUnique/>
      </w:docPartObj>
    </w:sdtPr>
    <w:sdtEndPr>
      <w:rPr>
        <w:noProof/>
      </w:rPr>
    </w:sdtEndPr>
    <w:sdtContent>
      <w:p w14:paraId="715DBB28" w14:textId="236EEE0E" w:rsidR="003A064B" w:rsidRDefault="003A064B">
        <w:pPr>
          <w:pStyle w:val="Footer"/>
          <w:jc w:val="center"/>
        </w:pPr>
        <w:r>
          <w:fldChar w:fldCharType="begin"/>
        </w:r>
        <w:r>
          <w:instrText xml:space="preserve"> PAGE   \* MERGEFORMAT </w:instrText>
        </w:r>
        <w:r>
          <w:fldChar w:fldCharType="separate"/>
        </w:r>
        <w:r w:rsidR="00B10D5C">
          <w:rPr>
            <w:noProof/>
          </w:rPr>
          <w:t>1</w:t>
        </w:r>
        <w:r>
          <w:fldChar w:fldCharType="end"/>
        </w:r>
      </w:p>
    </w:sdtContent>
  </w:sdt>
  <w:p w14:paraId="33E1D442" w14:textId="77777777" w:rsidR="003A064B" w:rsidRPr="00C30813" w:rsidRDefault="003A064B" w:rsidP="00C30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4C8C5" w14:textId="77777777" w:rsidR="003A064B" w:rsidRDefault="003A064B">
      <w:pPr>
        <w:spacing w:after="0" w:line="240" w:lineRule="auto"/>
      </w:pPr>
      <w:r>
        <w:separator/>
      </w:r>
    </w:p>
  </w:footnote>
  <w:footnote w:type="continuationSeparator" w:id="0">
    <w:p w14:paraId="7AF7A5B8" w14:textId="77777777" w:rsidR="003A064B" w:rsidRDefault="003A064B">
      <w:pPr>
        <w:spacing w:after="0" w:line="240" w:lineRule="auto"/>
      </w:pPr>
      <w:r>
        <w:continuationSeparator/>
      </w:r>
    </w:p>
  </w:footnote>
  <w:footnote w:type="continuationNotice" w:id="1">
    <w:p w14:paraId="7AD6F26A" w14:textId="77777777" w:rsidR="003A064B" w:rsidRDefault="003A064B">
      <w:pPr>
        <w:spacing w:after="0" w:line="240" w:lineRule="auto"/>
      </w:pPr>
    </w:p>
  </w:footnote>
  <w:footnote w:id="2">
    <w:p w14:paraId="33103C10" w14:textId="0FD9D5D7" w:rsidR="003A064B" w:rsidRPr="008404B2" w:rsidRDefault="003A064B" w:rsidP="0093137A">
      <w:pPr>
        <w:pStyle w:val="FootnoteText"/>
      </w:pPr>
      <w:r>
        <w:rPr>
          <w:rStyle w:val="FootnoteReference0"/>
        </w:rPr>
        <w:footnoteRef/>
      </w:r>
      <w:r>
        <w:t xml:space="preserve"> </w:t>
      </w:r>
      <w:r>
        <w:tab/>
        <w:t>Nařízení Evropského parlamentu a Rady (ES) č. 1185/2009 ze dne 25. listopadu 2009 o statistice pesticidů (Úř. věst. L 324, 10.12.2009, s. 1).</w:t>
      </w:r>
    </w:p>
  </w:footnote>
  <w:footnote w:id="3">
    <w:p w14:paraId="08BBEB64" w14:textId="32ED4B4F" w:rsidR="003A064B" w:rsidRPr="006B054A" w:rsidRDefault="003A064B" w:rsidP="0093137A">
      <w:pPr>
        <w:pStyle w:val="FootnoteText"/>
      </w:pPr>
      <w:r>
        <w:rPr>
          <w:rStyle w:val="FootnoteReference0"/>
        </w:rPr>
        <w:footnoteRef/>
      </w:r>
      <w:r>
        <w:t xml:space="preserve"> </w:t>
      </w:r>
      <w:r>
        <w:tab/>
        <w:t>Směrnice Evropského parlamentu a Rady 2009/128/ES ze dne 21. října 2009, kterou se stanoví rámec pro činnost Společenství za účelem dosažení udržitelného používání pesticidů (Úř. věst. L 309, 24.11.2009, s. 71).</w:t>
      </w:r>
    </w:p>
  </w:footnote>
  <w:footnote w:id="4">
    <w:p w14:paraId="5B6DE65C" w14:textId="546EE400" w:rsidR="003A064B" w:rsidRPr="006B054A" w:rsidRDefault="003A064B" w:rsidP="0093137A">
      <w:pPr>
        <w:pStyle w:val="FootnoteText"/>
      </w:pPr>
      <w:r>
        <w:rPr>
          <w:rStyle w:val="FootnoteReference0"/>
        </w:rPr>
        <w:footnoteRef/>
      </w:r>
      <w:r>
        <w:t xml:space="preserve"> </w:t>
      </w:r>
      <w:r>
        <w:tab/>
        <w:t>Nařízení Evropského parlamentu a Rady (ES) č. 1107/2009 ze dne 21. října 2009 o uvádění přípravků na ochranu rostlin na trh a o zrušení směrnic Rady 79/117/EHS a 91/414/EHS (Úř. věst. L 309, 24.11.2009, s. 1).</w:t>
      </w:r>
    </w:p>
  </w:footnote>
  <w:footnote w:id="5">
    <w:p w14:paraId="11D00121" w14:textId="6FE2EEA7" w:rsidR="003A064B" w:rsidRPr="00EF5E1B" w:rsidRDefault="003A064B" w:rsidP="003A064B">
      <w:pPr>
        <w:pStyle w:val="FootnoteText"/>
        <w:rPr>
          <w:u w:val="single"/>
        </w:rPr>
      </w:pPr>
      <w:r w:rsidRPr="00B10D5C">
        <w:rPr>
          <w:rStyle w:val="FootnoteReference0"/>
        </w:rPr>
        <w:footnoteRef/>
      </w:r>
      <w:r w:rsidRPr="00B10D5C">
        <w:t xml:space="preserve"> </w:t>
      </w:r>
      <w:r>
        <w:tab/>
      </w:r>
      <w:hyperlink r:id="rId1" w:history="1">
        <w:r>
          <w:rPr>
            <w:rStyle w:val="Hyperlink"/>
          </w:rPr>
          <w:t>https://eur-lex.europa.eu/legal-content/CS/ALL/?uri=CELEX:52017DC0109</w:t>
        </w:r>
      </w:hyperlink>
    </w:p>
  </w:footnote>
  <w:footnote w:id="6">
    <w:p w14:paraId="585705BB" w14:textId="55D02658" w:rsidR="003A064B" w:rsidRPr="009A7B76" w:rsidRDefault="003A064B">
      <w:pPr>
        <w:pStyle w:val="FootnoteText"/>
      </w:pPr>
      <w:r>
        <w:rPr>
          <w:rStyle w:val="FootnoteReference0"/>
        </w:rPr>
        <w:footnoteRef/>
      </w:r>
      <w:r w:rsidR="00B10D5C">
        <w:tab/>
      </w:r>
      <w:r>
        <w:t>Směrnice Komise (EU) 2019/782 ze dne 15. května 2019, kterou se mění směrnice Evropského parlamentu a Rady 2009/128/ES, pokud jde o stanovení harmonizovaných ukazatelů rizika (Úř. věst. L 127, 16.5.2019, s. 4).</w:t>
      </w:r>
    </w:p>
  </w:footnote>
  <w:footnote w:id="7">
    <w:p w14:paraId="13C2EA2B" w14:textId="77777777" w:rsidR="003A064B" w:rsidRPr="000E35CC" w:rsidRDefault="003A064B" w:rsidP="006C4A5B">
      <w:pPr>
        <w:pStyle w:val="FootnoteText"/>
      </w:pPr>
      <w:r>
        <w:rPr>
          <w:rStyle w:val="FootnoteReference0"/>
        </w:rPr>
        <w:footnoteRef/>
      </w:r>
      <w:r>
        <w:t xml:space="preserve"> </w:t>
      </w:r>
      <w:r>
        <w:tab/>
        <w:t xml:space="preserve">Přehled informací o strategii a související dokumenty jsou k dispozici na internetových stránkách </w:t>
      </w:r>
      <w:hyperlink r:id="rId2" w:history="1">
        <w:r>
          <w:rPr>
            <w:rStyle w:val="Hyperlink"/>
          </w:rPr>
          <w:t>https://ec.europa.eu/food/farm2fork_cs</w:t>
        </w:r>
      </w:hyperlink>
      <w:r>
        <w:t xml:space="preserve">. </w:t>
      </w:r>
    </w:p>
  </w:footnote>
  <w:footnote w:id="8">
    <w:p w14:paraId="28A6C712" w14:textId="65F2EF5A" w:rsidR="003A064B" w:rsidRPr="00B742D9" w:rsidRDefault="003A064B" w:rsidP="000215BA">
      <w:pPr>
        <w:pStyle w:val="FootnoteText"/>
        <w:jc w:val="left"/>
      </w:pPr>
      <w:r>
        <w:rPr>
          <w:rStyle w:val="FootnoteReference0"/>
        </w:rPr>
        <w:footnoteRef/>
      </w:r>
      <w:r>
        <w:t xml:space="preserve"> </w:t>
      </w:r>
      <w:r>
        <w:tab/>
        <w:t xml:space="preserve">Zvláštní zpráva Evropského účetního dvora 05/2020: „Udržitelné využívání přípravků na ochranu rostlin: pokrok v měření a snižování rizik je omezený“. Zpráva je dostupná na adrese </w:t>
      </w:r>
      <w:hyperlink r:id="rId3" w:history="1">
        <w:r>
          <w:rPr>
            <w:rStyle w:val="Hyperlink"/>
          </w:rPr>
          <w:t>https://www.eca.europa.eu/Lists/ECADocuments/SR20_05/SR_Pesticides_CS.pdf</w:t>
        </w:r>
      </w:hyperlink>
      <w:r>
        <w:t>.</w:t>
      </w:r>
    </w:p>
  </w:footnote>
  <w:footnote w:id="9">
    <w:p w14:paraId="0F5A3D06" w14:textId="25EA81F6" w:rsidR="003A064B" w:rsidRPr="001268A4" w:rsidRDefault="003A064B">
      <w:pPr>
        <w:pStyle w:val="FootnoteText"/>
      </w:pPr>
      <w:r>
        <w:rPr>
          <w:rStyle w:val="FootnoteReference0"/>
        </w:rPr>
        <w:footnoteRef/>
      </w:r>
      <w:r>
        <w:t xml:space="preserve"> </w:t>
      </w:r>
      <w:r>
        <w:tab/>
        <w:t>Návrh nařízení Evropského parlamentu a Rady o statistice zemědělských vstupů a výstupů a o zrušení nařízení (ES) č. 1165/2008, (ES) č. 543/2009 a (ES) č. 1185/2009 a směrnice Rady 96/16/ES (COM(2021) 37 final).</w:t>
      </w:r>
    </w:p>
  </w:footnote>
  <w:footnote w:id="10">
    <w:p w14:paraId="447D201E" w14:textId="4C40D02C" w:rsidR="003A064B" w:rsidRPr="00705D86" w:rsidRDefault="003A064B" w:rsidP="00823594">
      <w:pPr>
        <w:pStyle w:val="NormalWeb"/>
        <w:shd w:val="clear" w:color="auto" w:fill="FFFFFF"/>
        <w:spacing w:before="0" w:beforeAutospacing="0" w:after="75" w:afterAutospacing="0"/>
        <w:ind w:left="426" w:hanging="426"/>
        <w:jc w:val="both"/>
      </w:pPr>
      <w:r>
        <w:rPr>
          <w:rStyle w:val="FootnoteReference0"/>
          <w:sz w:val="20"/>
          <w:szCs w:val="20"/>
        </w:rPr>
        <w:footnoteRef/>
      </w:r>
      <w:r>
        <w:rPr>
          <w:sz w:val="20"/>
          <w:szCs w:val="20"/>
        </w:rPr>
        <w:t xml:space="preserve"> </w:t>
      </w:r>
      <w:r>
        <w:tab/>
      </w:r>
      <w:r>
        <w:rPr>
          <w:sz w:val="20"/>
          <w:szCs w:val="20"/>
        </w:rPr>
        <w:t>Nařízení Komise (EU) 2017/269 ze dne 16. února 2017, kterým se mění nařízení Evropského parlamentu a Rady (ES) č. 1185/2009 o statistice pesticidů, pokud jde o seznam účinných látek (</w:t>
      </w:r>
      <w:r>
        <w:rPr>
          <w:iCs/>
          <w:sz w:val="20"/>
          <w:szCs w:val="20"/>
        </w:rPr>
        <w:t>Úř. věst. L 40, 17.2.2017, s. 4).</w:t>
      </w:r>
    </w:p>
  </w:footnote>
  <w:footnote w:id="11">
    <w:p w14:paraId="546CF7B3" w14:textId="22E20256" w:rsidR="003A064B" w:rsidRPr="003C23AB" w:rsidRDefault="003A064B" w:rsidP="00823594">
      <w:pPr>
        <w:pStyle w:val="FootnoteText"/>
        <w:ind w:left="426" w:hanging="426"/>
      </w:pPr>
      <w:r>
        <w:rPr>
          <w:vertAlign w:val="superscript"/>
        </w:rPr>
        <w:footnoteRef/>
      </w:r>
      <w:r>
        <w:t xml:space="preserve"> </w:t>
      </w:r>
      <w:r>
        <w:tab/>
        <w:t xml:space="preserve">Spojené království vystoupilo z Evropské unie dne 31. ledna 2020. V této zprávě je zařazeno mezi členské státy, neboť se zpráva týká sledovaných let 2015–2019. </w:t>
      </w:r>
    </w:p>
  </w:footnote>
  <w:footnote w:id="12">
    <w:p w14:paraId="5450F45B" w14:textId="68BCC6BF" w:rsidR="003A064B" w:rsidRPr="002441C4" w:rsidRDefault="003A064B" w:rsidP="00F24DF9">
      <w:pPr>
        <w:pStyle w:val="FootnoteText"/>
        <w:ind w:left="426" w:hanging="426"/>
      </w:pPr>
      <w:r>
        <w:rPr>
          <w:vertAlign w:val="superscript"/>
        </w:rPr>
        <w:footnoteRef/>
      </w:r>
      <w:r>
        <w:rPr>
          <w:vertAlign w:val="superscript"/>
        </w:rPr>
        <w:t xml:space="preserve"> </w:t>
      </w:r>
      <w:r>
        <w:t xml:space="preserve"> </w:t>
      </w:r>
      <w:r>
        <w:tab/>
      </w:r>
      <w:hyperlink r:id="rId4" w:history="1">
        <w:r>
          <w:rPr>
            <w:rStyle w:val="Hyperlink"/>
          </w:rPr>
          <w:t>Pesticide sales (aei_fm_salpest09)</w:t>
        </w:r>
      </w:hyperlink>
      <w:r>
        <w:rPr>
          <w:rStyle w:val="Hyperlink"/>
          <w:u w:val="none"/>
        </w:rPr>
        <w:t xml:space="preserve"> </w:t>
      </w:r>
      <w:r>
        <w:t>(„Prodej pesticidů“) (k dispozici pouze v angličtině).</w:t>
      </w:r>
    </w:p>
  </w:footnote>
  <w:footnote w:id="13">
    <w:p w14:paraId="78005A1F" w14:textId="2D217D08" w:rsidR="003A064B" w:rsidRPr="00F24DF9" w:rsidRDefault="003A064B" w:rsidP="00F24DF9">
      <w:pPr>
        <w:pStyle w:val="FootnoteText"/>
        <w:ind w:left="426" w:hanging="426"/>
      </w:pPr>
      <w:r>
        <w:rPr>
          <w:rStyle w:val="FootnoteReference0"/>
        </w:rPr>
        <w:footnoteRef/>
      </w:r>
      <w:r>
        <w:t xml:space="preserve"> </w:t>
      </w:r>
      <w:r>
        <w:tab/>
      </w:r>
      <w:hyperlink r:id="rId5" w:history="1">
        <w:r>
          <w:rPr>
            <w:rStyle w:val="Hyperlink"/>
          </w:rPr>
          <w:t xml:space="preserve">Pesticide use in agriculture (aei_pestuse) </w:t>
        </w:r>
      </w:hyperlink>
      <w:r>
        <w:t>(„Použití pesticidů v zemědělství“) (k dispozici pouze v angličtině).</w:t>
      </w:r>
    </w:p>
  </w:footnote>
  <w:footnote w:id="14">
    <w:p w14:paraId="46430344" w14:textId="3DE4DC3B" w:rsidR="003A064B" w:rsidRPr="00F24DF9" w:rsidRDefault="003A064B" w:rsidP="009E5EAD">
      <w:pPr>
        <w:pStyle w:val="FootnoteText"/>
        <w:ind w:left="426" w:hanging="426"/>
        <w:rPr>
          <w:b/>
        </w:rPr>
      </w:pPr>
      <w:r>
        <w:rPr>
          <w:rStyle w:val="FootnoteReference0"/>
        </w:rPr>
        <w:footnoteRef/>
      </w:r>
      <w:r>
        <w:t xml:space="preserve"> </w:t>
      </w:r>
      <w:r>
        <w:tab/>
      </w:r>
      <w:hyperlink r:id="rId6" w:history="1">
        <w:r>
          <w:rPr>
            <w:rStyle w:val="Hyperlink"/>
          </w:rPr>
          <w:t>https://webgate.ec.europa.eu/sdmxregistry/</w:t>
        </w:r>
      </w:hyperlink>
      <w:r>
        <w:rPr>
          <w:rStyle w:val="Hyperlink"/>
          <w:u w:val="none"/>
        </w:rPr>
        <w:t xml:space="preserve"> (seznam kódů „CL_PESTICIDES“) </w:t>
      </w:r>
      <w:r>
        <w:t>(k dispozici pouze v angličtině).</w:t>
      </w:r>
    </w:p>
  </w:footnote>
  <w:footnote w:id="15">
    <w:p w14:paraId="0DF4C360" w14:textId="4528B7F2" w:rsidR="003A064B" w:rsidRPr="001E273A" w:rsidRDefault="003A064B">
      <w:pPr>
        <w:pStyle w:val="FootnoteText"/>
      </w:pPr>
      <w:r>
        <w:rPr>
          <w:rStyle w:val="FootnoteReference0"/>
        </w:rPr>
        <w:footnoteRef/>
      </w:r>
      <w:r>
        <w:t xml:space="preserve"> </w:t>
      </w:r>
      <w:r>
        <w:tab/>
      </w:r>
      <w:hyperlink r:id="rId7" w:history="1">
        <w:r>
          <w:rPr>
            <w:rStyle w:val="Hyperlink"/>
          </w:rPr>
          <w:t>Kodex evropské statistiky – revidované vydání z roku 2017, Products Catalogues („Katalogy produktů“), Eurostat (europa.eu)</w:t>
        </w:r>
      </w:hyperlink>
      <w:r>
        <w:t>.</w:t>
      </w:r>
    </w:p>
  </w:footnote>
  <w:footnote w:id="16">
    <w:p w14:paraId="1D682590" w14:textId="77777777" w:rsidR="003A064B" w:rsidRPr="00BA338C" w:rsidRDefault="003A064B" w:rsidP="004B7479">
      <w:pPr>
        <w:pStyle w:val="FootnoteText"/>
      </w:pPr>
      <w:r>
        <w:rPr>
          <w:rStyle w:val="FootnoteReference0"/>
        </w:rPr>
        <w:footnoteRef/>
      </w:r>
      <w:r>
        <w:t xml:space="preserve"> </w:t>
      </w:r>
      <w:r>
        <w:tab/>
        <w:t xml:space="preserve">Viz soubory údajů „Pesticide sales“ (Prodej pesticidů) [aei_fm_salpest09] a „Pesticide use in agriculture“ (Použití pesticidů v zemědělství) [aei_pestuse] na internetových stránkách </w:t>
      </w:r>
      <w:hyperlink r:id="rId8" w:history="1">
        <w:r>
          <w:rPr>
            <w:rStyle w:val="Hyperlink"/>
          </w:rPr>
          <w:t>https://ec.europa.eu/eurostat/data/database</w:t>
        </w:r>
      </w:hyperlink>
      <w:r>
        <w:t>.</w:t>
      </w:r>
    </w:p>
  </w:footnote>
  <w:footnote w:id="17">
    <w:p w14:paraId="46B4BEE8" w14:textId="6B7C6FAE" w:rsidR="003A064B" w:rsidRPr="00A4679A" w:rsidRDefault="003A064B" w:rsidP="00A4679A">
      <w:pPr>
        <w:pStyle w:val="NormalWeb"/>
        <w:shd w:val="clear" w:color="auto" w:fill="FFFFFF"/>
        <w:spacing w:before="0" w:beforeAutospacing="0" w:after="75" w:afterAutospacing="0"/>
        <w:ind w:left="378" w:hanging="378"/>
        <w:jc w:val="both"/>
        <w:rPr>
          <w:u w:val="single"/>
        </w:rPr>
      </w:pPr>
      <w:r>
        <w:rPr>
          <w:rStyle w:val="FootnoteReference0"/>
        </w:rPr>
        <w:footnoteRef/>
      </w:r>
      <w:r>
        <w:t xml:space="preserve"> </w:t>
      </w:r>
      <w:r>
        <w:tab/>
      </w:r>
      <w:r>
        <w:rPr>
          <w:rStyle w:val="Hyperlink"/>
          <w:color w:val="auto"/>
          <w:sz w:val="20"/>
          <w:szCs w:val="20"/>
          <w:u w:val="none"/>
        </w:rPr>
        <w:t>Nařízení Evropského parlamentu a Rady (ES) č. 223/2009 ze dne 11. března 2009 o evropské statistice a zrušení nařízení (ES, Euratom) č. 1101/2008 o předávání údajů, na které se vztahuje statistická důvěrnost, Statistickému úřadu Evropských společenství, nařízení Rady (ES) č. 322/97 o statistice Společenství a rozhodnutí Rady 89/382/EHS, Euratom, kterým se zřizuje Výbor pro statistické programy Evropských společenství (Úř. věst. L 87, 31.3.2009, s. 164).</w:t>
      </w:r>
    </w:p>
  </w:footnote>
  <w:footnote w:id="18">
    <w:p w14:paraId="5F12F074" w14:textId="60FA1DDA" w:rsidR="003A064B" w:rsidRPr="00F24DF9" w:rsidRDefault="003A064B" w:rsidP="00A4679A">
      <w:pPr>
        <w:pStyle w:val="FootnoteText"/>
        <w:ind w:left="378" w:hanging="378"/>
      </w:pPr>
      <w:r>
        <w:rPr>
          <w:rStyle w:val="FootnoteReference0"/>
        </w:rPr>
        <w:footnoteRef/>
      </w:r>
      <w:r>
        <w:t xml:space="preserve"> </w:t>
      </w:r>
      <w:r>
        <w:tab/>
      </w:r>
      <w:hyperlink r:id="rId9" w:history="1">
        <w:r>
          <w:rPr>
            <w:rStyle w:val="Hyperlink"/>
          </w:rPr>
          <w:t>https://ec.europa.eu/eurostat/cache/metadata/en/aei_fm_salpest09_esms.htm</w:t>
        </w:r>
      </w:hyperlink>
      <w:r>
        <w:t xml:space="preserve"> (k dispozici pouze v angličtině).</w:t>
      </w:r>
    </w:p>
  </w:footnote>
  <w:footnote w:id="19">
    <w:p w14:paraId="6BC1809B" w14:textId="61B960BE" w:rsidR="003A064B" w:rsidRPr="005D4551" w:rsidRDefault="003A064B" w:rsidP="00A4679A">
      <w:pPr>
        <w:pStyle w:val="FootnoteText"/>
        <w:ind w:left="350" w:hanging="350"/>
      </w:pPr>
      <w:r>
        <w:rPr>
          <w:rStyle w:val="FootnoteReference0"/>
        </w:rPr>
        <w:footnoteRef/>
      </w:r>
      <w:r>
        <w:t xml:space="preserve"> </w:t>
      </w:r>
      <w:r>
        <w:tab/>
        <w:t xml:space="preserve">Aktuální přehled statistik použití zemědělských pesticidů na plodiny spolu s příslušnými sledovanými roky, jenž je k dispozici na úrovni hlavních skupin pro jednotlivé vykazující země, je uveden v příloze „Data availability overview“ (Přehled dostupnosti údajů) souboru metadat přiloženého k souboru údajů v databázi Eurostatu pro šíření údajů pod odkazem </w:t>
      </w:r>
      <w:hyperlink r:id="rId10" w:history="1">
        <w:r>
          <w:rPr>
            <w:rStyle w:val="Hyperlink"/>
          </w:rPr>
          <w:t>https://ec.europa.eu/eurostat/cache/metadata/Annexes/aei_pestuse_esms_an2.xlsx</w:t>
        </w:r>
      </w:hyperlink>
      <w:r>
        <w:t xml:space="preserve"> (k dispozici pouze v angličtině).</w:t>
      </w:r>
    </w:p>
  </w:footnote>
  <w:footnote w:id="20">
    <w:p w14:paraId="74FA442A" w14:textId="0D3C16A8" w:rsidR="003A064B" w:rsidRPr="00A01FB4" w:rsidRDefault="003A064B" w:rsidP="00F24DF9">
      <w:pPr>
        <w:pStyle w:val="FootnoteText"/>
        <w:ind w:right="-171"/>
        <w:jc w:val="left"/>
      </w:pPr>
      <w:r>
        <w:rPr>
          <w:rStyle w:val="FootnoteReference0"/>
        </w:rPr>
        <w:footnoteRef/>
      </w:r>
      <w:r w:rsidR="00380EF4">
        <w:t xml:space="preserve"> </w:t>
      </w:r>
      <w:hyperlink r:id="rId11" w:history="1">
        <w:r w:rsidR="00380EF4" w:rsidRPr="00690807">
          <w:rPr>
            <w:rStyle w:val="Hyperlink"/>
          </w:rPr>
          <w:t>https://ec.europa.eu/eurostat/documents/749240/0/Statistics+on+the+agricultural+use+of+pesticides+in+the+EU</w:t>
        </w:r>
      </w:hyperlink>
      <w:r>
        <w:rPr>
          <w:rStyle w:val="Hyperlink"/>
        </w:rPr>
        <w:t xml:space="preserve"> </w:t>
      </w:r>
    </w:p>
  </w:footnote>
  <w:footnote w:id="21">
    <w:p w14:paraId="0F906879" w14:textId="77777777" w:rsidR="003A064B" w:rsidRPr="0091666D" w:rsidRDefault="003A064B" w:rsidP="00705D86">
      <w:pPr>
        <w:pStyle w:val="FootnoteText"/>
      </w:pPr>
      <w:r>
        <w:rPr>
          <w:rStyle w:val="FootnoteReference0"/>
        </w:rPr>
        <w:footnoteRef/>
      </w:r>
      <w:r>
        <w:t xml:space="preserve"> </w:t>
      </w:r>
      <w:r>
        <w:tab/>
      </w:r>
      <w:hyperlink r:id="rId12" w:history="1">
        <w:r>
          <w:rPr>
            <w:rStyle w:val="Hyperlink"/>
          </w:rPr>
          <w:t>https://ec.europa.eu/food/plant/pesticides/sustainable_use_pesticides/harmonised-risk-indicators_cs</w:t>
        </w:r>
      </w:hyperlink>
      <w:r>
        <w:t xml:space="preserve"> </w:t>
      </w:r>
    </w:p>
  </w:footnote>
  <w:footnote w:id="22">
    <w:p w14:paraId="77BF09FB" w14:textId="2D0E4C14" w:rsidR="003A064B" w:rsidRPr="000E35CC" w:rsidRDefault="003A064B" w:rsidP="00705D86">
      <w:pPr>
        <w:pStyle w:val="FootnoteText"/>
      </w:pPr>
      <w:r>
        <w:rPr>
          <w:rStyle w:val="FootnoteReference0"/>
        </w:rPr>
        <w:footnoteRef/>
      </w:r>
      <w:r>
        <w:t xml:space="preserve"> </w:t>
      </w:r>
      <w:r>
        <w:tab/>
        <w:t>Sdělení Komise Evropskému parlamentu, Radě, Evropskému hospodářskému a sociálnímu výboru a Výboru regionů – „Doporučení členským státům ohledně jejich strategického plánu pro společnou zemědělskou politiku“ (COM(2020) 846 final).</w:t>
      </w:r>
    </w:p>
  </w:footnote>
  <w:footnote w:id="23">
    <w:p w14:paraId="54FF7B8C" w14:textId="544E2BFF" w:rsidR="003A064B" w:rsidRPr="00DE36FD" w:rsidRDefault="003A064B">
      <w:pPr>
        <w:pStyle w:val="FootnoteText"/>
      </w:pPr>
      <w:r>
        <w:rPr>
          <w:rStyle w:val="FootnoteReference0"/>
        </w:rPr>
        <w:footnoteRef/>
      </w:r>
      <w:r>
        <w:t xml:space="preserve">  Tyto celkové roční náklady zahrnují statistiky prodeje i statistiky zemědělského použití. Celkové náklady na shromažďování statistických údajů o zemědělském použití pesticidů se dělí pěti, jelikož se údaje shromažďují každých pět let. Uvedené náklady jsou součtem ročních nákladů na statistiky prodeje pesticidů a pětiny nákladů na statistiky zemědělského použití pesticidů. Odhady nákladů poskytlo celkem 24 zemí. Některé odhady nebyly úplné, protože nezahrnovaly nepřímé náklady. </w:t>
      </w:r>
    </w:p>
  </w:footnote>
  <w:footnote w:id="24">
    <w:p w14:paraId="136B0CC2" w14:textId="77777777" w:rsidR="003A064B" w:rsidRPr="0079339A" w:rsidRDefault="003A064B" w:rsidP="00673E6C">
      <w:pPr>
        <w:pStyle w:val="FootnoteText"/>
        <w:jc w:val="left"/>
      </w:pPr>
      <w:r>
        <w:rPr>
          <w:rStyle w:val="FootnoteReference0"/>
        </w:rPr>
        <w:footnoteRef/>
      </w:r>
      <w:r>
        <w:t xml:space="preserve"> </w:t>
      </w:r>
      <w:r>
        <w:tab/>
      </w:r>
      <w:hyperlink r:id="rId13" w:history="1">
        <w:r>
          <w:rPr>
            <w:rStyle w:val="Hyperlink"/>
          </w:rPr>
          <w:t>https://ec.europa.eu/info/law/better-regulation/have-your-say/initiatives/12973-Statisticke-udaje-o-pesticidech-aktualizovany-seznam-ucinnych-latek_cs</w:t>
        </w:r>
      </w:hyperlink>
      <w:r>
        <w:t xml:space="preserve"> </w:t>
      </w:r>
    </w:p>
  </w:footnote>
  <w:footnote w:id="25">
    <w:p w14:paraId="0CD53849" w14:textId="77777777" w:rsidR="003A064B" w:rsidRPr="004B7479" w:rsidRDefault="003A064B" w:rsidP="00673E6C">
      <w:pPr>
        <w:pStyle w:val="FootnoteText"/>
      </w:pPr>
      <w:r>
        <w:rPr>
          <w:rStyle w:val="FootnoteReference0"/>
        </w:rPr>
        <w:footnoteRef/>
      </w:r>
      <w:r>
        <w:t xml:space="preserve"> </w:t>
      </w:r>
      <w:r>
        <w:tab/>
        <w:t>Směrnice 2009/128/ES.</w:t>
      </w:r>
    </w:p>
  </w:footnote>
  <w:footnote w:id="26">
    <w:p w14:paraId="65F07010" w14:textId="6C509E99" w:rsidR="003A064B" w:rsidRPr="0079339A" w:rsidRDefault="003A064B">
      <w:pPr>
        <w:pStyle w:val="FootnoteText"/>
      </w:pPr>
      <w:r>
        <w:rPr>
          <w:rStyle w:val="FootnoteReference0"/>
        </w:rPr>
        <w:footnoteRef/>
      </w:r>
      <w:r>
        <w:t xml:space="preserve"> </w:t>
      </w:r>
      <w:r>
        <w:tab/>
        <w:t xml:space="preserve">SWD(2017) 96 – Pracovní dokument útvarů Komise obsahující hodnocení připojené k dokumentu „Strategy for Agricultural Statistics 2020 and beyond and subsequent potential legislative scenarios“ (Strategie pro zemědělskou statistiku do roku 2020 a na další období a následné možné legislativní scénáře), viz </w:t>
      </w:r>
      <w:hyperlink r:id="rId14" w:history="1">
        <w:r>
          <w:rPr>
            <w:rStyle w:val="Hyperlink"/>
          </w:rPr>
          <w:t>https://eur-lex.europa.eu/legal-content/CS/TXT/?uri=celex:52016SC0430</w:t>
        </w:r>
      </w:hyperlink>
      <w:r>
        <w:rPr>
          <w:rStyle w:val="Hyperlink"/>
        </w:rPr>
        <w:t xml:space="preserve"> </w:t>
      </w:r>
      <w:r>
        <w:t>(k dispozici pouze v angličtině).</w:t>
      </w:r>
    </w:p>
  </w:footnote>
  <w:footnote w:id="27">
    <w:p w14:paraId="1C4AE599" w14:textId="11532E1C" w:rsidR="003A064B" w:rsidRPr="0079339A" w:rsidRDefault="003A064B">
      <w:pPr>
        <w:pStyle w:val="FootnoteText"/>
      </w:pPr>
      <w:r>
        <w:rPr>
          <w:rStyle w:val="FootnoteReference0"/>
        </w:rPr>
        <w:footnoteRef/>
      </w:r>
      <w:r>
        <w:t xml:space="preserve"> </w:t>
      </w:r>
      <w:r>
        <w:tab/>
      </w:r>
      <w:hyperlink r:id="rId15" w:history="1">
        <w:r>
          <w:rPr>
            <w:rStyle w:val="Hyperlink"/>
          </w:rPr>
          <w:t>https://ec.europa.eu/eurostat/web/agriculture/methodology/strategy-beyond-2020</w:t>
        </w:r>
      </w:hyperlink>
      <w:r>
        <w:t xml:space="preserve"> (k dispozici pouze v angličtině).</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B10F1" w14:textId="77777777" w:rsidR="00E3706D" w:rsidRPr="00E3706D" w:rsidRDefault="00E3706D" w:rsidP="00E370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02250" w14:textId="77777777" w:rsidR="00E3706D" w:rsidRPr="00E3706D" w:rsidRDefault="00E3706D" w:rsidP="00E3706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0E2BB" w14:textId="77777777" w:rsidR="00E3706D" w:rsidRPr="00E3706D" w:rsidRDefault="00E3706D" w:rsidP="00E3706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FF492" w14:textId="77777777" w:rsidR="003A064B" w:rsidRDefault="003A06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48C1E" w14:textId="77777777" w:rsidR="003A064B" w:rsidRDefault="003A06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AF20F" w14:textId="77777777" w:rsidR="003A064B" w:rsidRDefault="003A06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538C8"/>
    <w:multiLevelType w:val="hybridMultilevel"/>
    <w:tmpl w:val="2C5E5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D3989"/>
    <w:multiLevelType w:val="hybridMultilevel"/>
    <w:tmpl w:val="07E2B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D5141"/>
    <w:multiLevelType w:val="hybridMultilevel"/>
    <w:tmpl w:val="918C19DC"/>
    <w:lvl w:ilvl="0" w:tplc="AE1843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20B7201"/>
    <w:multiLevelType w:val="multilevel"/>
    <w:tmpl w:val="56208D30"/>
    <w:name w:val="ListNumberNumbering"/>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5E17ECE"/>
    <w:multiLevelType w:val="hybridMultilevel"/>
    <w:tmpl w:val="89143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B285E"/>
    <w:multiLevelType w:val="hybridMultilevel"/>
    <w:tmpl w:val="A2A41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FB17EC"/>
    <w:multiLevelType w:val="hybridMultilevel"/>
    <w:tmpl w:val="C4627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675968"/>
    <w:multiLevelType w:val="hybridMultilevel"/>
    <w:tmpl w:val="A620A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293CE3"/>
    <w:multiLevelType w:val="multilevel"/>
    <w:tmpl w:val="69CC542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9" w15:restartNumberingAfterBreak="0">
    <w:nsid w:val="2D293CF4"/>
    <w:multiLevelType w:val="multilevel"/>
    <w:tmpl w:val="8BEC409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10" w15:restartNumberingAfterBreak="0">
    <w:nsid w:val="3DA80B94"/>
    <w:multiLevelType w:val="hybridMultilevel"/>
    <w:tmpl w:val="989E7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7E099C"/>
    <w:multiLevelType w:val="multilevel"/>
    <w:tmpl w:val="AF920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6379A4"/>
    <w:multiLevelType w:val="hybridMultilevel"/>
    <w:tmpl w:val="1880334E"/>
    <w:lvl w:ilvl="0" w:tplc="1272F67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1A982C"/>
    <w:multiLevelType w:val="multilevel"/>
    <w:tmpl w:val="123E18EE"/>
    <w:name w:val="ListBulletNumbering"/>
    <w:lvl w:ilvl="0">
      <w:start w:val="1"/>
      <w:numFmt w:val="bullet"/>
      <w:pStyle w:val="ListBullet"/>
      <w:lvlText w:val=""/>
      <w:lvlJc w:val="left"/>
      <w:pPr>
        <w:tabs>
          <w:tab w:val="num" w:pos="454"/>
        </w:tabs>
        <w:ind w:left="454" w:hanging="454"/>
      </w:pPr>
      <w:rPr>
        <w:rFonts w:ascii="Symbol" w:hAnsi="Symbol"/>
      </w:rPr>
    </w:lvl>
    <w:lvl w:ilvl="1">
      <w:start w:val="1"/>
      <w:numFmt w:val="bullet"/>
      <w:pStyle w:val="ListBulletLevel2"/>
      <w:lvlText w:val=""/>
      <w:lvlJc w:val="left"/>
      <w:pPr>
        <w:tabs>
          <w:tab w:val="num" w:pos="907"/>
        </w:tabs>
        <w:ind w:left="907" w:hanging="453"/>
      </w:pPr>
      <w:rPr>
        <w:rFonts w:ascii="Symbol" w:hAnsi="Symbol"/>
      </w:rPr>
    </w:lvl>
    <w:lvl w:ilvl="2">
      <w:start w:val="1"/>
      <w:numFmt w:val="bullet"/>
      <w:pStyle w:val="ListBulletLevel3"/>
      <w:lvlText w:val=""/>
      <w:lvlJc w:val="left"/>
      <w:pPr>
        <w:tabs>
          <w:tab w:val="num" w:pos="1361"/>
        </w:tabs>
        <w:ind w:left="1361" w:hanging="454"/>
      </w:pPr>
      <w:rPr>
        <w:rFonts w:ascii="Symbol" w:hAnsi="Symbol"/>
      </w:rPr>
    </w:lvl>
    <w:lvl w:ilvl="3">
      <w:start w:val="1"/>
      <w:numFmt w:val="bullet"/>
      <w:pStyle w:val="ListBullet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5072619B"/>
    <w:multiLevelType w:val="multilevel"/>
    <w:tmpl w:val="C888AEA4"/>
    <w:name w:val="ListDashNumbering"/>
    <w:lvl w:ilvl="0">
      <w:start w:val="1"/>
      <w:numFmt w:val="bullet"/>
      <w:pStyle w:val="ListDash"/>
      <w:lvlText w:val="–"/>
      <w:lvlJc w:val="left"/>
      <w:pPr>
        <w:tabs>
          <w:tab w:val="num" w:pos="454"/>
        </w:tabs>
        <w:ind w:left="454" w:hanging="454"/>
      </w:pPr>
      <w:rPr>
        <w:rFonts w:ascii="Times New Roman" w:hAnsi="Times New Roman"/>
      </w:rPr>
    </w:lvl>
    <w:lvl w:ilvl="1">
      <w:start w:val="1"/>
      <w:numFmt w:val="bullet"/>
      <w:pStyle w:val="ListDashLevel2"/>
      <w:lvlText w:val="–"/>
      <w:lvlJc w:val="left"/>
      <w:pPr>
        <w:tabs>
          <w:tab w:val="num" w:pos="907"/>
        </w:tabs>
        <w:ind w:left="907" w:hanging="453"/>
      </w:pPr>
      <w:rPr>
        <w:rFonts w:ascii="Times New Roman" w:hAnsi="Times New Roman"/>
      </w:rPr>
    </w:lvl>
    <w:lvl w:ilvl="2">
      <w:start w:val="1"/>
      <w:numFmt w:val="bullet"/>
      <w:pStyle w:val="ListDashLevel3"/>
      <w:lvlText w:val="–"/>
      <w:lvlJc w:val="left"/>
      <w:pPr>
        <w:tabs>
          <w:tab w:val="num" w:pos="1361"/>
        </w:tabs>
        <w:ind w:left="1361" w:hanging="454"/>
      </w:pPr>
      <w:rPr>
        <w:rFonts w:ascii="Times New Roman" w:hAnsi="Times New Roman"/>
      </w:rPr>
    </w:lvl>
    <w:lvl w:ilvl="3">
      <w:start w:val="1"/>
      <w:numFmt w:val="bullet"/>
      <w:pStyle w:val="ListDashLevel4"/>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52344B65"/>
    <w:multiLevelType w:val="hybridMultilevel"/>
    <w:tmpl w:val="B9C413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3E4A2B"/>
    <w:multiLevelType w:val="hybridMultilevel"/>
    <w:tmpl w:val="1DD25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1E5749"/>
    <w:multiLevelType w:val="hybridMultilevel"/>
    <w:tmpl w:val="B792E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D93922"/>
    <w:multiLevelType w:val="hybridMultilevel"/>
    <w:tmpl w:val="0504C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DF289C"/>
    <w:multiLevelType w:val="hybridMultilevel"/>
    <w:tmpl w:val="99D85AB2"/>
    <w:lvl w:ilvl="0" w:tplc="8B78DCA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65145E"/>
    <w:multiLevelType w:val="multilevel"/>
    <w:tmpl w:val="C3567542"/>
    <w:lvl w:ilvl="0">
      <w:start w:val="1"/>
      <w:numFmt w:val="decimal"/>
      <w:pStyle w:val="Heading1"/>
      <w:lvlText w:val="%1."/>
      <w:lvlJc w:val="left"/>
      <w:pPr>
        <w:tabs>
          <w:tab w:val="num" w:pos="397"/>
        </w:tabs>
        <w:ind w:left="397" w:hanging="397"/>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595"/>
        </w:tabs>
        <w:ind w:left="595" w:hanging="595"/>
      </w:pPr>
      <w:rPr>
        <w:rFonts w:hint="default"/>
      </w:rPr>
    </w:lvl>
    <w:lvl w:ilvl="2">
      <w:start w:val="1"/>
      <w:numFmt w:val="decimal"/>
      <w:pStyle w:val="Heading3"/>
      <w:lvlText w:val="%1.%2.%3."/>
      <w:lvlJc w:val="left"/>
      <w:pPr>
        <w:tabs>
          <w:tab w:val="num" w:pos="737"/>
        </w:tabs>
        <w:ind w:left="737" w:hanging="737"/>
      </w:pPr>
      <w:rPr>
        <w:rFonts w:hint="default"/>
        <w:u w:val="none"/>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049"/>
        </w:tabs>
        <w:ind w:left="1049" w:hanging="1049"/>
      </w:pPr>
      <w:rPr>
        <w:rFonts w:hint="default"/>
      </w:rPr>
    </w:lvl>
    <w:lvl w:ilvl="5">
      <w:start w:val="1"/>
      <w:numFmt w:val="decimal"/>
      <w:pStyle w:val="Heading6"/>
      <w:suff w:val="space"/>
      <w:lvlText w:val="%1.%2.%3.%4.%5.%6."/>
      <w:lvlJc w:val="left"/>
      <w:pPr>
        <w:ind w:firstLine="0"/>
      </w:pPr>
      <w:rPr>
        <w:rFonts w:hint="default"/>
      </w:rPr>
    </w:lvl>
    <w:lvl w:ilvl="6">
      <w:start w:val="1"/>
      <w:numFmt w:val="decimal"/>
      <w:pStyle w:val="Heading7"/>
      <w:suff w:val="space"/>
      <w:lvlText w:val="%1.%2.%3.%4.%5.%6.%7."/>
      <w:lvlJc w:val="left"/>
      <w:pPr>
        <w:ind w:firstLine="0"/>
      </w:pPr>
      <w:rPr>
        <w:rFonts w:hint="default"/>
      </w:rPr>
    </w:lvl>
    <w:lvl w:ilvl="7">
      <w:start w:val="1"/>
      <w:numFmt w:val="decimal"/>
      <w:pStyle w:val="Heading8"/>
      <w:suff w:val="space"/>
      <w:lvlText w:val="%1.%2.%3.%4.%5.%6.%7.%8."/>
      <w:lvlJc w:val="left"/>
      <w:pPr>
        <w:ind w:firstLine="0"/>
      </w:pPr>
      <w:rPr>
        <w:rFonts w:hint="default"/>
      </w:rPr>
    </w:lvl>
    <w:lvl w:ilvl="8">
      <w:start w:val="1"/>
      <w:numFmt w:val="decimal"/>
      <w:pStyle w:val="Heading9"/>
      <w:suff w:val="space"/>
      <w:lvlText w:val="%1.%2.%3.%4.%5.%6.%7.%8.%9."/>
      <w:lvlJc w:val="left"/>
      <w:pPr>
        <w:ind w:firstLine="0"/>
      </w:pPr>
      <w:rPr>
        <w:rFonts w:hint="default"/>
      </w:rPr>
    </w:lvl>
  </w:abstractNum>
  <w:abstractNum w:abstractNumId="2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1"/>
  </w:num>
  <w:num w:numId="2">
    <w:abstractNumId w:val="9"/>
  </w:num>
  <w:num w:numId="3">
    <w:abstractNumId w:val="8"/>
  </w:num>
  <w:num w:numId="4">
    <w:abstractNumId w:val="14"/>
  </w:num>
  <w:num w:numId="5">
    <w:abstractNumId w:val="3"/>
  </w:num>
  <w:num w:numId="6">
    <w:abstractNumId w:val="13"/>
  </w:num>
  <w:num w:numId="7">
    <w:abstractNumId w:val="20"/>
  </w:num>
  <w:num w:numId="8">
    <w:abstractNumId w:val="12"/>
  </w:num>
  <w:num w:numId="9">
    <w:abstractNumId w:val="21"/>
  </w:num>
  <w:num w:numId="10">
    <w:abstractNumId w:val="9"/>
  </w:num>
  <w:num w:numId="11">
    <w:abstractNumId w:val="8"/>
  </w:num>
  <w:num w:numId="12">
    <w:abstractNumId w:val="14"/>
  </w:num>
  <w:num w:numId="13">
    <w:abstractNumId w:val="3"/>
  </w:num>
  <w:num w:numId="14">
    <w:abstractNumId w:val="13"/>
  </w:num>
  <w:num w:numId="15">
    <w:abstractNumId w:val="20"/>
  </w:num>
  <w:num w:numId="16">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7">
    <w:abstractNumId w:val="2"/>
  </w:num>
  <w:num w:numId="18">
    <w:abstractNumId w:val="15"/>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7"/>
  </w:num>
  <w:num w:numId="22">
    <w:abstractNumId w:val="20"/>
  </w:num>
  <w:num w:numId="23">
    <w:abstractNumId w:val="20"/>
  </w:num>
  <w:num w:numId="24">
    <w:abstractNumId w:val="6"/>
  </w:num>
  <w:num w:numId="25">
    <w:abstractNumId w:val="11"/>
  </w:num>
  <w:num w:numId="26">
    <w:abstractNumId w:val="17"/>
  </w:num>
  <w:num w:numId="27">
    <w:abstractNumId w:val="0"/>
  </w:num>
  <w:num w:numId="28">
    <w:abstractNumId w:val="4"/>
  </w:num>
  <w:num w:numId="29">
    <w:abstractNumId w:val="20"/>
  </w:num>
  <w:num w:numId="30">
    <w:abstractNumId w:val="10"/>
  </w:num>
  <w:num w:numId="31">
    <w:abstractNumId w:val="16"/>
  </w:num>
  <w:num w:numId="32">
    <w:abstractNumId w:val="5"/>
  </w:num>
  <w:num w:numId="33">
    <w:abstractNumId w:val="20"/>
  </w:num>
  <w:num w:numId="34">
    <w:abstractNumId w:val="20"/>
  </w:num>
  <w:num w:numId="35">
    <w:abstractNumId w:val="18"/>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hideSpellingErrors/>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143BA32-057B-40FB-B6E6-7804F97C376E"/>
    <w:docVar w:name="LW_COVERPAGE_TYPE" w:val="1"/>
    <w:docVar w:name="LW_CROSSREFERENCE" w:val="&lt;UNUSED&gt;"/>
    <w:docVar w:name="LW_DocType" w:val="EUROLOOK"/>
    <w:docVar w:name="LW_EMISSION" w:val="14.12.2021"/>
    <w:docVar w:name="LW_EMISSION_ISODATE" w:val="2021-12-14"/>
    <w:docVar w:name="LW_EMISSION_LOCATION" w:val="BRX"/>
    <w:docVar w:name="LW_EMISSION_PREFIX" w:val="V Bruselu dne "/>
    <w:docVar w:name="LW_EMISSION_SUFFIX" w:val=" "/>
    <w:docVar w:name="LW_ID_DOCTYPE_NONLW" w:val="CP-006"/>
    <w:docVar w:name="LW_LANGUE" w:val="CS"/>
    <w:docVar w:name="LW_LEVEL_OF_SENSITIVITY" w:val="Standard treatment"/>
    <w:docVar w:name="LW_NOM.INST" w:val="EVROPSKÁ KOMISE"/>
    <w:docVar w:name="LW_NOM.INST_JOINTDOC" w:val="&lt;EMPTY&gt;"/>
    <w:docVar w:name="LW_PART_NBR" w:val="1"/>
    <w:docVar w:name="LW_PART_NBR_TOTAL" w:val="1"/>
    <w:docVar w:name="LW_REF.INST.NEW" w:val="COM"/>
    <w:docVar w:name="LW_REF.INST.NEW_ADOPTED" w:val="final"/>
    <w:docVar w:name="LW_REF.INST.NEW_TEXT" w:val="(2021) 7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provádění nařízení Evropského parlamentu a Rady (ES) č. 1185/2009 ze dne _x000b_25. listopadu 2009 o statistice pesticidů"/>
    <w:docVar w:name="LW_TYPE.DOC.CP" w:val="ZPRÁVA KOMISE EVROPSKÉMU PARLAMENTU A RADĚ"/>
    <w:docVar w:name="LwApiVersions" w:val="LW4CoDe 1.23.2.0; LW 8.0, Build 20211117"/>
  </w:docVars>
  <w:rsids>
    <w:rsidRoot w:val="00EC7D09"/>
    <w:rsid w:val="00000B91"/>
    <w:rsid w:val="00000DB6"/>
    <w:rsid w:val="000054E3"/>
    <w:rsid w:val="00014341"/>
    <w:rsid w:val="00016643"/>
    <w:rsid w:val="00016AB0"/>
    <w:rsid w:val="000215BA"/>
    <w:rsid w:val="000237B8"/>
    <w:rsid w:val="000245D0"/>
    <w:rsid w:val="00025086"/>
    <w:rsid w:val="00027BD0"/>
    <w:rsid w:val="000313A7"/>
    <w:rsid w:val="000313CF"/>
    <w:rsid w:val="00032F9B"/>
    <w:rsid w:val="00041DC9"/>
    <w:rsid w:val="00050214"/>
    <w:rsid w:val="000515BD"/>
    <w:rsid w:val="0005389C"/>
    <w:rsid w:val="0005463B"/>
    <w:rsid w:val="00054EF8"/>
    <w:rsid w:val="00056CB1"/>
    <w:rsid w:val="00067756"/>
    <w:rsid w:val="00070867"/>
    <w:rsid w:val="000838D2"/>
    <w:rsid w:val="00090462"/>
    <w:rsid w:val="00090D78"/>
    <w:rsid w:val="00091C69"/>
    <w:rsid w:val="00095A6D"/>
    <w:rsid w:val="00095B35"/>
    <w:rsid w:val="00096AB4"/>
    <w:rsid w:val="000A295E"/>
    <w:rsid w:val="000C6310"/>
    <w:rsid w:val="000C65F6"/>
    <w:rsid w:val="000D7095"/>
    <w:rsid w:val="000E35CC"/>
    <w:rsid w:val="000E4118"/>
    <w:rsid w:val="000E6BE3"/>
    <w:rsid w:val="00103147"/>
    <w:rsid w:val="0010570D"/>
    <w:rsid w:val="00113F59"/>
    <w:rsid w:val="001209E9"/>
    <w:rsid w:val="00122D5F"/>
    <w:rsid w:val="00125B82"/>
    <w:rsid w:val="00125DDC"/>
    <w:rsid w:val="00125F59"/>
    <w:rsid w:val="001268A4"/>
    <w:rsid w:val="00126944"/>
    <w:rsid w:val="00126BFA"/>
    <w:rsid w:val="00126FFA"/>
    <w:rsid w:val="0013065C"/>
    <w:rsid w:val="001309C9"/>
    <w:rsid w:val="001313D1"/>
    <w:rsid w:val="00135C76"/>
    <w:rsid w:val="00141AF9"/>
    <w:rsid w:val="00142C30"/>
    <w:rsid w:val="00156E4C"/>
    <w:rsid w:val="00166ABA"/>
    <w:rsid w:val="00167C13"/>
    <w:rsid w:val="00171622"/>
    <w:rsid w:val="00174954"/>
    <w:rsid w:val="001806C2"/>
    <w:rsid w:val="00181B78"/>
    <w:rsid w:val="0018312A"/>
    <w:rsid w:val="00183B66"/>
    <w:rsid w:val="00190F54"/>
    <w:rsid w:val="00193633"/>
    <w:rsid w:val="001942ED"/>
    <w:rsid w:val="001960FE"/>
    <w:rsid w:val="00196544"/>
    <w:rsid w:val="001966B2"/>
    <w:rsid w:val="001A0171"/>
    <w:rsid w:val="001A3A38"/>
    <w:rsid w:val="001A4ABF"/>
    <w:rsid w:val="001B5ACB"/>
    <w:rsid w:val="001B6F0C"/>
    <w:rsid w:val="001C0465"/>
    <w:rsid w:val="001C0FD7"/>
    <w:rsid w:val="001C494A"/>
    <w:rsid w:val="001D03BA"/>
    <w:rsid w:val="001D23AA"/>
    <w:rsid w:val="001D6A49"/>
    <w:rsid w:val="001D6FB3"/>
    <w:rsid w:val="001E040A"/>
    <w:rsid w:val="001E0A7E"/>
    <w:rsid w:val="001E252B"/>
    <w:rsid w:val="001E273A"/>
    <w:rsid w:val="001E33BF"/>
    <w:rsid w:val="001F3719"/>
    <w:rsid w:val="001F3E4A"/>
    <w:rsid w:val="001F6375"/>
    <w:rsid w:val="0020149E"/>
    <w:rsid w:val="00204FC5"/>
    <w:rsid w:val="0022056C"/>
    <w:rsid w:val="002208CF"/>
    <w:rsid w:val="00231C22"/>
    <w:rsid w:val="002335DC"/>
    <w:rsid w:val="0023658C"/>
    <w:rsid w:val="00236860"/>
    <w:rsid w:val="0024275D"/>
    <w:rsid w:val="002441C4"/>
    <w:rsid w:val="0024611D"/>
    <w:rsid w:val="00250FF8"/>
    <w:rsid w:val="002607F6"/>
    <w:rsid w:val="00261A84"/>
    <w:rsid w:val="0026458B"/>
    <w:rsid w:val="00270E29"/>
    <w:rsid w:val="00273172"/>
    <w:rsid w:val="00276C6E"/>
    <w:rsid w:val="00277690"/>
    <w:rsid w:val="00280E52"/>
    <w:rsid w:val="002839F8"/>
    <w:rsid w:val="002863D7"/>
    <w:rsid w:val="00290279"/>
    <w:rsid w:val="002904C7"/>
    <w:rsid w:val="002B1D95"/>
    <w:rsid w:val="002B1E6F"/>
    <w:rsid w:val="002B239C"/>
    <w:rsid w:val="002B422B"/>
    <w:rsid w:val="002B4260"/>
    <w:rsid w:val="002B4492"/>
    <w:rsid w:val="002B5EAF"/>
    <w:rsid w:val="002C235E"/>
    <w:rsid w:val="002C3CF0"/>
    <w:rsid w:val="002D192F"/>
    <w:rsid w:val="002D4675"/>
    <w:rsid w:val="002D4878"/>
    <w:rsid w:val="002D6E2B"/>
    <w:rsid w:val="002F091A"/>
    <w:rsid w:val="002F0AFC"/>
    <w:rsid w:val="002F2521"/>
    <w:rsid w:val="002F5318"/>
    <w:rsid w:val="002F54F2"/>
    <w:rsid w:val="00300A41"/>
    <w:rsid w:val="00301584"/>
    <w:rsid w:val="00301F17"/>
    <w:rsid w:val="00305AB9"/>
    <w:rsid w:val="00305E58"/>
    <w:rsid w:val="00323B7A"/>
    <w:rsid w:val="003314E4"/>
    <w:rsid w:val="0033330D"/>
    <w:rsid w:val="00333E70"/>
    <w:rsid w:val="003344DE"/>
    <w:rsid w:val="00335DB5"/>
    <w:rsid w:val="00340372"/>
    <w:rsid w:val="003410B7"/>
    <w:rsid w:val="00343FA2"/>
    <w:rsid w:val="00344710"/>
    <w:rsid w:val="00353774"/>
    <w:rsid w:val="00354C26"/>
    <w:rsid w:val="00357542"/>
    <w:rsid w:val="00360E14"/>
    <w:rsid w:val="00360F97"/>
    <w:rsid w:val="00362311"/>
    <w:rsid w:val="00363E6D"/>
    <w:rsid w:val="003652E0"/>
    <w:rsid w:val="00367DF9"/>
    <w:rsid w:val="00371514"/>
    <w:rsid w:val="00380EF4"/>
    <w:rsid w:val="00381371"/>
    <w:rsid w:val="0039036B"/>
    <w:rsid w:val="00390638"/>
    <w:rsid w:val="00392D0C"/>
    <w:rsid w:val="0039607E"/>
    <w:rsid w:val="003A04E4"/>
    <w:rsid w:val="003A064B"/>
    <w:rsid w:val="003A309D"/>
    <w:rsid w:val="003A3DA7"/>
    <w:rsid w:val="003A5AD8"/>
    <w:rsid w:val="003C1395"/>
    <w:rsid w:val="003C23AB"/>
    <w:rsid w:val="003C2A1E"/>
    <w:rsid w:val="003C7C42"/>
    <w:rsid w:val="003D00AA"/>
    <w:rsid w:val="003D13FC"/>
    <w:rsid w:val="003D2ADB"/>
    <w:rsid w:val="003D5659"/>
    <w:rsid w:val="003D5C06"/>
    <w:rsid w:val="003E07BA"/>
    <w:rsid w:val="003E2454"/>
    <w:rsid w:val="003E4FC1"/>
    <w:rsid w:val="003E5A2F"/>
    <w:rsid w:val="003E6A26"/>
    <w:rsid w:val="003F263D"/>
    <w:rsid w:val="003F7269"/>
    <w:rsid w:val="004009BA"/>
    <w:rsid w:val="00402719"/>
    <w:rsid w:val="00402D9F"/>
    <w:rsid w:val="00410334"/>
    <w:rsid w:val="00413DD9"/>
    <w:rsid w:val="004312FE"/>
    <w:rsid w:val="00433BFF"/>
    <w:rsid w:val="0043749D"/>
    <w:rsid w:val="00444028"/>
    <w:rsid w:val="00446BA6"/>
    <w:rsid w:val="00447260"/>
    <w:rsid w:val="00452186"/>
    <w:rsid w:val="00457BF9"/>
    <w:rsid w:val="00460333"/>
    <w:rsid w:val="00462798"/>
    <w:rsid w:val="0046495A"/>
    <w:rsid w:val="00464A17"/>
    <w:rsid w:val="004721FA"/>
    <w:rsid w:val="00472469"/>
    <w:rsid w:val="0047305F"/>
    <w:rsid w:val="004737F6"/>
    <w:rsid w:val="00480357"/>
    <w:rsid w:val="00480EE2"/>
    <w:rsid w:val="00487030"/>
    <w:rsid w:val="004934AF"/>
    <w:rsid w:val="00495B7A"/>
    <w:rsid w:val="0049728B"/>
    <w:rsid w:val="004A0985"/>
    <w:rsid w:val="004A7908"/>
    <w:rsid w:val="004B2A55"/>
    <w:rsid w:val="004B531D"/>
    <w:rsid w:val="004B7479"/>
    <w:rsid w:val="004C2ED0"/>
    <w:rsid w:val="004C516F"/>
    <w:rsid w:val="004D08AD"/>
    <w:rsid w:val="004D1222"/>
    <w:rsid w:val="004D1BF8"/>
    <w:rsid w:val="004D38C1"/>
    <w:rsid w:val="004D3FFF"/>
    <w:rsid w:val="004D4155"/>
    <w:rsid w:val="004D6FB8"/>
    <w:rsid w:val="004E1047"/>
    <w:rsid w:val="004F1274"/>
    <w:rsid w:val="004F771D"/>
    <w:rsid w:val="005013D1"/>
    <w:rsid w:val="00501EC6"/>
    <w:rsid w:val="005034DF"/>
    <w:rsid w:val="005134E0"/>
    <w:rsid w:val="005142A7"/>
    <w:rsid w:val="0051646F"/>
    <w:rsid w:val="00526FE8"/>
    <w:rsid w:val="00531156"/>
    <w:rsid w:val="005342D4"/>
    <w:rsid w:val="0055158C"/>
    <w:rsid w:val="00555BEB"/>
    <w:rsid w:val="00565457"/>
    <w:rsid w:val="0056685E"/>
    <w:rsid w:val="00567A65"/>
    <w:rsid w:val="0057130A"/>
    <w:rsid w:val="0057192E"/>
    <w:rsid w:val="00572ECA"/>
    <w:rsid w:val="00580871"/>
    <w:rsid w:val="00582E98"/>
    <w:rsid w:val="00583659"/>
    <w:rsid w:val="0058592A"/>
    <w:rsid w:val="00585C84"/>
    <w:rsid w:val="005911BD"/>
    <w:rsid w:val="00591654"/>
    <w:rsid w:val="0059554A"/>
    <w:rsid w:val="00596F2D"/>
    <w:rsid w:val="005A065B"/>
    <w:rsid w:val="005A06C6"/>
    <w:rsid w:val="005A14F2"/>
    <w:rsid w:val="005A160B"/>
    <w:rsid w:val="005A16A4"/>
    <w:rsid w:val="005A4CF7"/>
    <w:rsid w:val="005A64D1"/>
    <w:rsid w:val="005A64D8"/>
    <w:rsid w:val="005B524D"/>
    <w:rsid w:val="005C0214"/>
    <w:rsid w:val="005C03A7"/>
    <w:rsid w:val="005C061F"/>
    <w:rsid w:val="005C2B7A"/>
    <w:rsid w:val="005C3F3A"/>
    <w:rsid w:val="005C44D2"/>
    <w:rsid w:val="005D1B5D"/>
    <w:rsid w:val="005D36D5"/>
    <w:rsid w:val="005D4551"/>
    <w:rsid w:val="005E1C90"/>
    <w:rsid w:val="005E23B0"/>
    <w:rsid w:val="005E6717"/>
    <w:rsid w:val="005F0E2E"/>
    <w:rsid w:val="005F530D"/>
    <w:rsid w:val="006027EA"/>
    <w:rsid w:val="00603809"/>
    <w:rsid w:val="006054E4"/>
    <w:rsid w:val="00605E15"/>
    <w:rsid w:val="00606A08"/>
    <w:rsid w:val="006117FB"/>
    <w:rsid w:val="00611A29"/>
    <w:rsid w:val="00614716"/>
    <w:rsid w:val="00614CE7"/>
    <w:rsid w:val="006161F5"/>
    <w:rsid w:val="00617D68"/>
    <w:rsid w:val="00626162"/>
    <w:rsid w:val="0063628C"/>
    <w:rsid w:val="006442EF"/>
    <w:rsid w:val="00644773"/>
    <w:rsid w:val="00647743"/>
    <w:rsid w:val="00647BCD"/>
    <w:rsid w:val="006500A2"/>
    <w:rsid w:val="00652544"/>
    <w:rsid w:val="006542D3"/>
    <w:rsid w:val="006567F1"/>
    <w:rsid w:val="006568D4"/>
    <w:rsid w:val="00656AD2"/>
    <w:rsid w:val="00656F66"/>
    <w:rsid w:val="006646C2"/>
    <w:rsid w:val="00672455"/>
    <w:rsid w:val="00673E6C"/>
    <w:rsid w:val="00674BE7"/>
    <w:rsid w:val="00684A4C"/>
    <w:rsid w:val="00687481"/>
    <w:rsid w:val="00687735"/>
    <w:rsid w:val="0069230E"/>
    <w:rsid w:val="00692A01"/>
    <w:rsid w:val="006947CA"/>
    <w:rsid w:val="00696678"/>
    <w:rsid w:val="006A56A0"/>
    <w:rsid w:val="006A5B41"/>
    <w:rsid w:val="006B054A"/>
    <w:rsid w:val="006B18DF"/>
    <w:rsid w:val="006B294F"/>
    <w:rsid w:val="006B2B8B"/>
    <w:rsid w:val="006B5E9A"/>
    <w:rsid w:val="006B6342"/>
    <w:rsid w:val="006C4A5B"/>
    <w:rsid w:val="006C4D17"/>
    <w:rsid w:val="006C566B"/>
    <w:rsid w:val="006C5C81"/>
    <w:rsid w:val="006D38DC"/>
    <w:rsid w:val="006D5985"/>
    <w:rsid w:val="006D6F02"/>
    <w:rsid w:val="006E025D"/>
    <w:rsid w:val="006E4448"/>
    <w:rsid w:val="006E522E"/>
    <w:rsid w:val="006E6BF3"/>
    <w:rsid w:val="006F4219"/>
    <w:rsid w:val="00703822"/>
    <w:rsid w:val="00705D86"/>
    <w:rsid w:val="007112E9"/>
    <w:rsid w:val="00720451"/>
    <w:rsid w:val="007208DD"/>
    <w:rsid w:val="00725504"/>
    <w:rsid w:val="007257CE"/>
    <w:rsid w:val="00727B28"/>
    <w:rsid w:val="00727D87"/>
    <w:rsid w:val="007317EF"/>
    <w:rsid w:val="00732CCA"/>
    <w:rsid w:val="00733E34"/>
    <w:rsid w:val="0073499B"/>
    <w:rsid w:val="007366EE"/>
    <w:rsid w:val="00736CA7"/>
    <w:rsid w:val="00741B68"/>
    <w:rsid w:val="00743C60"/>
    <w:rsid w:val="00744B55"/>
    <w:rsid w:val="0074544B"/>
    <w:rsid w:val="00747F49"/>
    <w:rsid w:val="00750AE7"/>
    <w:rsid w:val="00752713"/>
    <w:rsid w:val="007530FB"/>
    <w:rsid w:val="00754A0A"/>
    <w:rsid w:val="0075561B"/>
    <w:rsid w:val="00756FDE"/>
    <w:rsid w:val="00757271"/>
    <w:rsid w:val="00762344"/>
    <w:rsid w:val="00763677"/>
    <w:rsid w:val="00766EA3"/>
    <w:rsid w:val="00767AE7"/>
    <w:rsid w:val="00772748"/>
    <w:rsid w:val="007810F9"/>
    <w:rsid w:val="00782326"/>
    <w:rsid w:val="00785F25"/>
    <w:rsid w:val="007907CB"/>
    <w:rsid w:val="00791C1F"/>
    <w:rsid w:val="0079339A"/>
    <w:rsid w:val="007A1311"/>
    <w:rsid w:val="007A4543"/>
    <w:rsid w:val="007A671F"/>
    <w:rsid w:val="007B077C"/>
    <w:rsid w:val="007C1892"/>
    <w:rsid w:val="007C2161"/>
    <w:rsid w:val="007C7B07"/>
    <w:rsid w:val="007D076F"/>
    <w:rsid w:val="007D2D66"/>
    <w:rsid w:val="007D5336"/>
    <w:rsid w:val="007D7198"/>
    <w:rsid w:val="007E3048"/>
    <w:rsid w:val="007E340A"/>
    <w:rsid w:val="007E7D46"/>
    <w:rsid w:val="007F0564"/>
    <w:rsid w:val="007F358C"/>
    <w:rsid w:val="007F4DF1"/>
    <w:rsid w:val="007F587F"/>
    <w:rsid w:val="00807223"/>
    <w:rsid w:val="00814B7C"/>
    <w:rsid w:val="00816C09"/>
    <w:rsid w:val="008207F3"/>
    <w:rsid w:val="00823594"/>
    <w:rsid w:val="00826C8D"/>
    <w:rsid w:val="008365E6"/>
    <w:rsid w:val="008404B2"/>
    <w:rsid w:val="00844D07"/>
    <w:rsid w:val="008605F9"/>
    <w:rsid w:val="00863E19"/>
    <w:rsid w:val="00865580"/>
    <w:rsid w:val="00874A1C"/>
    <w:rsid w:val="00876F90"/>
    <w:rsid w:val="0088090E"/>
    <w:rsid w:val="00881DCE"/>
    <w:rsid w:val="0089220E"/>
    <w:rsid w:val="008924FF"/>
    <w:rsid w:val="008A154B"/>
    <w:rsid w:val="008A1D55"/>
    <w:rsid w:val="008B427C"/>
    <w:rsid w:val="008B484E"/>
    <w:rsid w:val="008B5483"/>
    <w:rsid w:val="008C0DAF"/>
    <w:rsid w:val="008C20C4"/>
    <w:rsid w:val="008C6A4B"/>
    <w:rsid w:val="008D5F81"/>
    <w:rsid w:val="008D7509"/>
    <w:rsid w:val="008E1EF9"/>
    <w:rsid w:val="008E3E66"/>
    <w:rsid w:val="008E5D8F"/>
    <w:rsid w:val="008E65E9"/>
    <w:rsid w:val="008E760C"/>
    <w:rsid w:val="008E79DC"/>
    <w:rsid w:val="00900D26"/>
    <w:rsid w:val="009027AB"/>
    <w:rsid w:val="009078B8"/>
    <w:rsid w:val="0091125B"/>
    <w:rsid w:val="00916053"/>
    <w:rsid w:val="0091666D"/>
    <w:rsid w:val="0092175A"/>
    <w:rsid w:val="009217A9"/>
    <w:rsid w:val="009250E0"/>
    <w:rsid w:val="0093137A"/>
    <w:rsid w:val="00941EB1"/>
    <w:rsid w:val="00956D55"/>
    <w:rsid w:val="00960082"/>
    <w:rsid w:val="00963F5C"/>
    <w:rsid w:val="00965CF9"/>
    <w:rsid w:val="00967000"/>
    <w:rsid w:val="00967833"/>
    <w:rsid w:val="00967911"/>
    <w:rsid w:val="0097165F"/>
    <w:rsid w:val="009815D3"/>
    <w:rsid w:val="009872AA"/>
    <w:rsid w:val="0098778B"/>
    <w:rsid w:val="0099114C"/>
    <w:rsid w:val="009A2135"/>
    <w:rsid w:val="009A2A7D"/>
    <w:rsid w:val="009A7B76"/>
    <w:rsid w:val="009B2B3C"/>
    <w:rsid w:val="009B3BFD"/>
    <w:rsid w:val="009B4F4D"/>
    <w:rsid w:val="009C7839"/>
    <w:rsid w:val="009D1F77"/>
    <w:rsid w:val="009D2ED7"/>
    <w:rsid w:val="009D32B3"/>
    <w:rsid w:val="009D38A1"/>
    <w:rsid w:val="009D47A3"/>
    <w:rsid w:val="009D6760"/>
    <w:rsid w:val="009E196E"/>
    <w:rsid w:val="009E4D05"/>
    <w:rsid w:val="009E5EAD"/>
    <w:rsid w:val="009F5FF1"/>
    <w:rsid w:val="00A01C29"/>
    <w:rsid w:val="00A01D98"/>
    <w:rsid w:val="00A01FB4"/>
    <w:rsid w:val="00A02FBA"/>
    <w:rsid w:val="00A0354B"/>
    <w:rsid w:val="00A12600"/>
    <w:rsid w:val="00A12B7E"/>
    <w:rsid w:val="00A132E5"/>
    <w:rsid w:val="00A1778D"/>
    <w:rsid w:val="00A21856"/>
    <w:rsid w:val="00A22865"/>
    <w:rsid w:val="00A25DE3"/>
    <w:rsid w:val="00A26863"/>
    <w:rsid w:val="00A348E0"/>
    <w:rsid w:val="00A3529B"/>
    <w:rsid w:val="00A3572C"/>
    <w:rsid w:val="00A40930"/>
    <w:rsid w:val="00A41D96"/>
    <w:rsid w:val="00A42412"/>
    <w:rsid w:val="00A44CD1"/>
    <w:rsid w:val="00A45A22"/>
    <w:rsid w:val="00A4679A"/>
    <w:rsid w:val="00A4782E"/>
    <w:rsid w:val="00A54D70"/>
    <w:rsid w:val="00A55FD2"/>
    <w:rsid w:val="00A566EE"/>
    <w:rsid w:val="00A5728A"/>
    <w:rsid w:val="00A61E71"/>
    <w:rsid w:val="00A629B6"/>
    <w:rsid w:val="00A7009D"/>
    <w:rsid w:val="00A71E60"/>
    <w:rsid w:val="00A8067E"/>
    <w:rsid w:val="00A814A7"/>
    <w:rsid w:val="00A81EB2"/>
    <w:rsid w:val="00A86FDA"/>
    <w:rsid w:val="00A9227C"/>
    <w:rsid w:val="00AA0E27"/>
    <w:rsid w:val="00AA201B"/>
    <w:rsid w:val="00AA5173"/>
    <w:rsid w:val="00AC1147"/>
    <w:rsid w:val="00AC5469"/>
    <w:rsid w:val="00AC58BF"/>
    <w:rsid w:val="00AD2811"/>
    <w:rsid w:val="00AD29C1"/>
    <w:rsid w:val="00AD3B36"/>
    <w:rsid w:val="00AE1348"/>
    <w:rsid w:val="00AE32DE"/>
    <w:rsid w:val="00AE3DA5"/>
    <w:rsid w:val="00AF4FAD"/>
    <w:rsid w:val="00B01D54"/>
    <w:rsid w:val="00B03211"/>
    <w:rsid w:val="00B05D24"/>
    <w:rsid w:val="00B071CD"/>
    <w:rsid w:val="00B074C3"/>
    <w:rsid w:val="00B07EC3"/>
    <w:rsid w:val="00B10D5C"/>
    <w:rsid w:val="00B128B8"/>
    <w:rsid w:val="00B1295F"/>
    <w:rsid w:val="00B132C5"/>
    <w:rsid w:val="00B17F44"/>
    <w:rsid w:val="00B226F4"/>
    <w:rsid w:val="00B22E71"/>
    <w:rsid w:val="00B273D9"/>
    <w:rsid w:val="00B30119"/>
    <w:rsid w:val="00B30C80"/>
    <w:rsid w:val="00B50D38"/>
    <w:rsid w:val="00B51D4A"/>
    <w:rsid w:val="00B5260A"/>
    <w:rsid w:val="00B54CA6"/>
    <w:rsid w:val="00B569DB"/>
    <w:rsid w:val="00B57B90"/>
    <w:rsid w:val="00B606C4"/>
    <w:rsid w:val="00B6123F"/>
    <w:rsid w:val="00B637D8"/>
    <w:rsid w:val="00B742D9"/>
    <w:rsid w:val="00B81A5A"/>
    <w:rsid w:val="00B82227"/>
    <w:rsid w:val="00B8523A"/>
    <w:rsid w:val="00B8527B"/>
    <w:rsid w:val="00B968FD"/>
    <w:rsid w:val="00B96E9D"/>
    <w:rsid w:val="00BA1E04"/>
    <w:rsid w:val="00BA2C26"/>
    <w:rsid w:val="00BA338C"/>
    <w:rsid w:val="00BA381E"/>
    <w:rsid w:val="00BA3E3E"/>
    <w:rsid w:val="00BA76B1"/>
    <w:rsid w:val="00BB019E"/>
    <w:rsid w:val="00BB0BD8"/>
    <w:rsid w:val="00BB0CE7"/>
    <w:rsid w:val="00BB2290"/>
    <w:rsid w:val="00BB2561"/>
    <w:rsid w:val="00BC223D"/>
    <w:rsid w:val="00BC2FB9"/>
    <w:rsid w:val="00BC5321"/>
    <w:rsid w:val="00BC74E1"/>
    <w:rsid w:val="00BC788E"/>
    <w:rsid w:val="00BD1002"/>
    <w:rsid w:val="00BD5D83"/>
    <w:rsid w:val="00BE16FF"/>
    <w:rsid w:val="00BE5ADA"/>
    <w:rsid w:val="00BF2A9F"/>
    <w:rsid w:val="00BF3EBA"/>
    <w:rsid w:val="00BF55B4"/>
    <w:rsid w:val="00C00745"/>
    <w:rsid w:val="00C03D54"/>
    <w:rsid w:val="00C04D5A"/>
    <w:rsid w:val="00C0552C"/>
    <w:rsid w:val="00C102CE"/>
    <w:rsid w:val="00C11E67"/>
    <w:rsid w:val="00C1336E"/>
    <w:rsid w:val="00C1651A"/>
    <w:rsid w:val="00C2121B"/>
    <w:rsid w:val="00C30813"/>
    <w:rsid w:val="00C369E0"/>
    <w:rsid w:val="00C40539"/>
    <w:rsid w:val="00C42053"/>
    <w:rsid w:val="00C44455"/>
    <w:rsid w:val="00C539A7"/>
    <w:rsid w:val="00C55806"/>
    <w:rsid w:val="00C610E2"/>
    <w:rsid w:val="00C656D0"/>
    <w:rsid w:val="00C65F41"/>
    <w:rsid w:val="00C6758C"/>
    <w:rsid w:val="00C73D61"/>
    <w:rsid w:val="00C818C4"/>
    <w:rsid w:val="00C839E3"/>
    <w:rsid w:val="00C84684"/>
    <w:rsid w:val="00C91909"/>
    <w:rsid w:val="00C933CD"/>
    <w:rsid w:val="00C94B27"/>
    <w:rsid w:val="00C957D1"/>
    <w:rsid w:val="00C960B5"/>
    <w:rsid w:val="00CA02A3"/>
    <w:rsid w:val="00CB0296"/>
    <w:rsid w:val="00CB1E5D"/>
    <w:rsid w:val="00CB3F24"/>
    <w:rsid w:val="00CC13F8"/>
    <w:rsid w:val="00CC1922"/>
    <w:rsid w:val="00CC4C17"/>
    <w:rsid w:val="00CC5140"/>
    <w:rsid w:val="00CD0E70"/>
    <w:rsid w:val="00CD5911"/>
    <w:rsid w:val="00CE0248"/>
    <w:rsid w:val="00CE4F0E"/>
    <w:rsid w:val="00CF5115"/>
    <w:rsid w:val="00CF5A7A"/>
    <w:rsid w:val="00CF63F3"/>
    <w:rsid w:val="00D04175"/>
    <w:rsid w:val="00D06B0C"/>
    <w:rsid w:val="00D070B5"/>
    <w:rsid w:val="00D07251"/>
    <w:rsid w:val="00D07978"/>
    <w:rsid w:val="00D126CF"/>
    <w:rsid w:val="00D1315B"/>
    <w:rsid w:val="00D151A9"/>
    <w:rsid w:val="00D26F4E"/>
    <w:rsid w:val="00D30FC8"/>
    <w:rsid w:val="00D311EA"/>
    <w:rsid w:val="00D34340"/>
    <w:rsid w:val="00D444C7"/>
    <w:rsid w:val="00D4652A"/>
    <w:rsid w:val="00D52658"/>
    <w:rsid w:val="00D537E6"/>
    <w:rsid w:val="00D548A5"/>
    <w:rsid w:val="00D562BB"/>
    <w:rsid w:val="00D61CFD"/>
    <w:rsid w:val="00D62C43"/>
    <w:rsid w:val="00D64CAE"/>
    <w:rsid w:val="00D6584F"/>
    <w:rsid w:val="00D71DB5"/>
    <w:rsid w:val="00D769C6"/>
    <w:rsid w:val="00D80401"/>
    <w:rsid w:val="00D857C9"/>
    <w:rsid w:val="00D86F77"/>
    <w:rsid w:val="00D87D77"/>
    <w:rsid w:val="00D90046"/>
    <w:rsid w:val="00D907C9"/>
    <w:rsid w:val="00D91376"/>
    <w:rsid w:val="00D943C0"/>
    <w:rsid w:val="00DA527B"/>
    <w:rsid w:val="00DA727A"/>
    <w:rsid w:val="00DB3DE8"/>
    <w:rsid w:val="00DB5233"/>
    <w:rsid w:val="00DC1AC3"/>
    <w:rsid w:val="00DD4FD1"/>
    <w:rsid w:val="00DD6AD0"/>
    <w:rsid w:val="00DE2283"/>
    <w:rsid w:val="00DE2AFE"/>
    <w:rsid w:val="00DE36FD"/>
    <w:rsid w:val="00DE4B91"/>
    <w:rsid w:val="00DF318D"/>
    <w:rsid w:val="00E01A33"/>
    <w:rsid w:val="00E076DB"/>
    <w:rsid w:val="00E1150D"/>
    <w:rsid w:val="00E119F4"/>
    <w:rsid w:val="00E12B8E"/>
    <w:rsid w:val="00E166A0"/>
    <w:rsid w:val="00E22EE8"/>
    <w:rsid w:val="00E30766"/>
    <w:rsid w:val="00E3306D"/>
    <w:rsid w:val="00E3706D"/>
    <w:rsid w:val="00E402EA"/>
    <w:rsid w:val="00E42F32"/>
    <w:rsid w:val="00E434C2"/>
    <w:rsid w:val="00E4740C"/>
    <w:rsid w:val="00E47BAB"/>
    <w:rsid w:val="00E528FD"/>
    <w:rsid w:val="00E54CF5"/>
    <w:rsid w:val="00E6240F"/>
    <w:rsid w:val="00E633B9"/>
    <w:rsid w:val="00E63644"/>
    <w:rsid w:val="00E64414"/>
    <w:rsid w:val="00E702AB"/>
    <w:rsid w:val="00E758A9"/>
    <w:rsid w:val="00E80E9D"/>
    <w:rsid w:val="00E83144"/>
    <w:rsid w:val="00E96325"/>
    <w:rsid w:val="00EA4310"/>
    <w:rsid w:val="00EA46EF"/>
    <w:rsid w:val="00EA5042"/>
    <w:rsid w:val="00EA59D9"/>
    <w:rsid w:val="00EA7769"/>
    <w:rsid w:val="00EA793A"/>
    <w:rsid w:val="00EB1074"/>
    <w:rsid w:val="00EB1B36"/>
    <w:rsid w:val="00EB74AC"/>
    <w:rsid w:val="00EC0354"/>
    <w:rsid w:val="00EC3CBA"/>
    <w:rsid w:val="00EC7D09"/>
    <w:rsid w:val="00ED1012"/>
    <w:rsid w:val="00ED408F"/>
    <w:rsid w:val="00ED4C61"/>
    <w:rsid w:val="00EE0EBA"/>
    <w:rsid w:val="00EE6AC9"/>
    <w:rsid w:val="00EE7169"/>
    <w:rsid w:val="00EE7A1B"/>
    <w:rsid w:val="00EF1D70"/>
    <w:rsid w:val="00EF3604"/>
    <w:rsid w:val="00EF5E1B"/>
    <w:rsid w:val="00EF6FF1"/>
    <w:rsid w:val="00EF797D"/>
    <w:rsid w:val="00F0051B"/>
    <w:rsid w:val="00F03FD2"/>
    <w:rsid w:val="00F0642D"/>
    <w:rsid w:val="00F11E55"/>
    <w:rsid w:val="00F12701"/>
    <w:rsid w:val="00F13AF9"/>
    <w:rsid w:val="00F14AD7"/>
    <w:rsid w:val="00F16416"/>
    <w:rsid w:val="00F172FC"/>
    <w:rsid w:val="00F17D51"/>
    <w:rsid w:val="00F24DF9"/>
    <w:rsid w:val="00F25742"/>
    <w:rsid w:val="00F2705B"/>
    <w:rsid w:val="00F274DA"/>
    <w:rsid w:val="00F30A4C"/>
    <w:rsid w:val="00F30C53"/>
    <w:rsid w:val="00F32175"/>
    <w:rsid w:val="00F32F78"/>
    <w:rsid w:val="00F34624"/>
    <w:rsid w:val="00F358F0"/>
    <w:rsid w:val="00F412D4"/>
    <w:rsid w:val="00F43CF0"/>
    <w:rsid w:val="00F52216"/>
    <w:rsid w:val="00F5435E"/>
    <w:rsid w:val="00F60384"/>
    <w:rsid w:val="00F647CF"/>
    <w:rsid w:val="00F70F16"/>
    <w:rsid w:val="00F7126A"/>
    <w:rsid w:val="00F724DF"/>
    <w:rsid w:val="00F76DB7"/>
    <w:rsid w:val="00F8112F"/>
    <w:rsid w:val="00F847B0"/>
    <w:rsid w:val="00F85865"/>
    <w:rsid w:val="00F9107F"/>
    <w:rsid w:val="00FA65EB"/>
    <w:rsid w:val="00FB4B00"/>
    <w:rsid w:val="00FB5ABD"/>
    <w:rsid w:val="00FC284A"/>
    <w:rsid w:val="00FC3C9E"/>
    <w:rsid w:val="00FD192E"/>
    <w:rsid w:val="00FD6608"/>
    <w:rsid w:val="00FD6C50"/>
    <w:rsid w:val="00FD767D"/>
    <w:rsid w:val="00FE0BF9"/>
    <w:rsid w:val="00FE1BE4"/>
    <w:rsid w:val="00FE470A"/>
    <w:rsid w:val="00FE5721"/>
    <w:rsid w:val="00FE576A"/>
    <w:rsid w:val="00FE57DA"/>
    <w:rsid w:val="00FE58E7"/>
    <w:rsid w:val="00FE7CE6"/>
    <w:rsid w:val="00FF47CB"/>
    <w:rsid w:val="00FF5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5E89BBD"/>
  <w15:docId w15:val="{C3226CCC-19D9-41FD-8902-4A3D32245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cs-CZ" w:eastAsia="en-US"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lsdException w:name="annotation text" w:semiHidden="1"/>
    <w:lsdException w:name="header" w:uiPriority="99"/>
    <w:lsdException w:name="footer" w:uiPriority="99"/>
    <w:lsdException w:name="index heading" w:semiHidden="1"/>
    <w:lsdException w:name="caption" w:uiPriority="2"/>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uiPriority="1" w:qFormat="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 w:qFormat="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iPriority="99"/>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2"/>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rsid w:val="005A06C6"/>
    <w:pPr>
      <w:spacing w:after="120" w:line="264" w:lineRule="auto"/>
      <w:jc w:val="both"/>
    </w:pPr>
    <w:rPr>
      <w:sz w:val="22"/>
    </w:rPr>
  </w:style>
  <w:style w:type="paragraph" w:styleId="Heading1">
    <w:name w:val="heading 1"/>
    <w:basedOn w:val="Normal"/>
    <w:next w:val="Normal"/>
    <w:autoRedefine/>
    <w:uiPriority w:val="1"/>
    <w:qFormat/>
    <w:rsid w:val="00A8067E"/>
    <w:pPr>
      <w:keepNext/>
      <w:numPr>
        <w:numId w:val="15"/>
      </w:numPr>
      <w:tabs>
        <w:tab w:val="left" w:pos="510"/>
      </w:tabs>
      <w:spacing w:before="480"/>
      <w:outlineLvl w:val="0"/>
    </w:pPr>
    <w:rPr>
      <w:b/>
      <w:smallCaps/>
      <w:sz w:val="26"/>
    </w:rPr>
  </w:style>
  <w:style w:type="paragraph" w:styleId="Heading2">
    <w:name w:val="heading 2"/>
    <w:basedOn w:val="Normal"/>
    <w:next w:val="Normal"/>
    <w:link w:val="Heading2Char"/>
    <w:autoRedefine/>
    <w:uiPriority w:val="1"/>
    <w:qFormat/>
    <w:rsid w:val="007D7198"/>
    <w:pPr>
      <w:keepNext/>
      <w:numPr>
        <w:ilvl w:val="1"/>
        <w:numId w:val="15"/>
      </w:numPr>
      <w:tabs>
        <w:tab w:val="left" w:pos="737"/>
      </w:tabs>
      <w:spacing w:before="420"/>
      <w:outlineLvl w:val="1"/>
    </w:pPr>
    <w:rPr>
      <w:b/>
      <w:sz w:val="26"/>
    </w:rPr>
  </w:style>
  <w:style w:type="paragraph" w:styleId="Heading3">
    <w:name w:val="heading 3"/>
    <w:basedOn w:val="Normal"/>
    <w:next w:val="Normal"/>
    <w:autoRedefine/>
    <w:uiPriority w:val="1"/>
    <w:qFormat/>
    <w:pPr>
      <w:keepNext/>
      <w:numPr>
        <w:ilvl w:val="2"/>
        <w:numId w:val="15"/>
      </w:numPr>
      <w:tabs>
        <w:tab w:val="left" w:pos="935"/>
      </w:tabs>
      <w:spacing w:before="360"/>
      <w:outlineLvl w:val="2"/>
    </w:pPr>
    <w:rPr>
      <w:b/>
      <w:sz w:val="24"/>
    </w:rPr>
  </w:style>
  <w:style w:type="paragraph" w:styleId="Heading4">
    <w:name w:val="heading 4"/>
    <w:basedOn w:val="Normal"/>
    <w:next w:val="Normal"/>
    <w:uiPriority w:val="1"/>
    <w:qFormat/>
    <w:pPr>
      <w:keepNext/>
      <w:numPr>
        <w:ilvl w:val="3"/>
        <w:numId w:val="15"/>
      </w:numPr>
      <w:tabs>
        <w:tab w:val="left" w:pos="1049"/>
      </w:tabs>
      <w:spacing w:before="360"/>
      <w:outlineLvl w:val="3"/>
    </w:pPr>
    <w:rPr>
      <w:b/>
    </w:rPr>
  </w:style>
  <w:style w:type="paragraph" w:styleId="Heading5">
    <w:name w:val="heading 5"/>
    <w:basedOn w:val="Normal"/>
    <w:next w:val="Normal"/>
    <w:semiHidden/>
    <w:pPr>
      <w:keepNext/>
      <w:numPr>
        <w:ilvl w:val="4"/>
        <w:numId w:val="15"/>
      </w:numPr>
      <w:outlineLvl w:val="4"/>
    </w:pPr>
  </w:style>
  <w:style w:type="paragraph" w:styleId="Heading6">
    <w:name w:val="heading 6"/>
    <w:basedOn w:val="Normal"/>
    <w:next w:val="Normal"/>
    <w:semiHidden/>
    <w:pPr>
      <w:keepNext/>
      <w:numPr>
        <w:ilvl w:val="5"/>
        <w:numId w:val="15"/>
      </w:numPr>
      <w:outlineLvl w:val="5"/>
    </w:pPr>
  </w:style>
  <w:style w:type="paragraph" w:styleId="Heading7">
    <w:name w:val="heading 7"/>
    <w:basedOn w:val="Normal"/>
    <w:next w:val="Normal"/>
    <w:semiHidden/>
    <w:pPr>
      <w:keepNext/>
      <w:numPr>
        <w:ilvl w:val="6"/>
        <w:numId w:val="15"/>
      </w:numPr>
      <w:outlineLvl w:val="6"/>
    </w:pPr>
  </w:style>
  <w:style w:type="paragraph" w:styleId="Heading8">
    <w:name w:val="heading 8"/>
    <w:basedOn w:val="Normal"/>
    <w:next w:val="Normal"/>
    <w:semiHidden/>
    <w:pPr>
      <w:keepNext/>
      <w:numPr>
        <w:ilvl w:val="7"/>
        <w:numId w:val="15"/>
      </w:numPr>
      <w:outlineLvl w:val="7"/>
    </w:pPr>
  </w:style>
  <w:style w:type="paragraph" w:styleId="Heading9">
    <w:name w:val="heading 9"/>
    <w:basedOn w:val="Normal"/>
    <w:next w:val="Normal"/>
    <w:semiHidden/>
    <w:pPr>
      <w:keepNext/>
      <w:numPr>
        <w:ilvl w:val="8"/>
        <w:numId w:val="15"/>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croTextChar">
    <w:name w:val="Macro Text Char"/>
    <w:basedOn w:val="DefaultParagraphFont"/>
    <w:uiPriority w:val="1"/>
    <w:qFormat/>
    <w:rPr>
      <w:rFonts w:ascii="Courier New" w:hAnsi="Courier New"/>
      <w:sz w:val="20"/>
    </w:rPr>
  </w:style>
  <w:style w:type="character" w:customStyle="1" w:styleId="subcontenttextbold">
    <w:name w:val="subcontenttextbold"/>
    <w:basedOn w:val="DefaultParagraphFont"/>
    <w:rsid w:val="00EC7D09"/>
  </w:style>
  <w:style w:type="character" w:customStyle="1" w:styleId="footnotereference">
    <w:name w:val="footnotereference"/>
    <w:basedOn w:val="DefaultParagraphFont"/>
    <w:rsid w:val="00EC7D09"/>
  </w:style>
  <w:style w:type="character" w:styleId="Hyperlink">
    <w:name w:val="Hyperlink"/>
    <w:locked/>
    <w:rsid w:val="00EC7D09"/>
    <w:rPr>
      <w:color w:val="0000FF"/>
      <w:u w:val="single"/>
    </w:rPr>
  </w:style>
  <w:style w:type="paragraph" w:styleId="ListParagraph">
    <w:name w:val="List Paragraph"/>
    <w:basedOn w:val="Normal"/>
    <w:qFormat/>
    <w:locked/>
    <w:rsid w:val="00A8067E"/>
    <w:pPr>
      <w:spacing w:after="200" w:line="276" w:lineRule="auto"/>
      <w:ind w:left="720"/>
      <w:contextualSpacing/>
      <w:jc w:val="left"/>
    </w:pPr>
    <w:rPr>
      <w:rFonts w:eastAsia="Calibri"/>
      <w:szCs w:val="22"/>
    </w:rPr>
  </w:style>
  <w:style w:type="paragraph" w:customStyle="1" w:styleId="Normal1">
    <w:name w:val="Normal1"/>
    <w:basedOn w:val="Normal"/>
    <w:rsid w:val="00EC7D09"/>
    <w:pPr>
      <w:spacing w:before="100" w:beforeAutospacing="1" w:after="100" w:afterAutospacing="1" w:line="240" w:lineRule="auto"/>
      <w:jc w:val="left"/>
    </w:pPr>
    <w:rPr>
      <w:sz w:val="24"/>
      <w:szCs w:val="24"/>
      <w:lang w:eastAsia="en-GB"/>
    </w:rPr>
  </w:style>
  <w:style w:type="paragraph" w:customStyle="1" w:styleId="Text1">
    <w:name w:val="Text 1"/>
    <w:basedOn w:val="Normal"/>
    <w:rsid w:val="00EC7D09"/>
    <w:pPr>
      <w:spacing w:after="240" w:line="240" w:lineRule="auto"/>
      <w:ind w:left="482"/>
    </w:pPr>
    <w:rPr>
      <w:sz w:val="24"/>
      <w:lang w:eastAsia="en-GB"/>
    </w:rPr>
  </w:style>
  <w:style w:type="character" w:customStyle="1" w:styleId="FootnoteTextChar">
    <w:name w:val="Footnote Text Char"/>
    <w:uiPriority w:val="99"/>
    <w:rsid w:val="00EC7D09"/>
    <w:rPr>
      <w:sz w:val="20"/>
    </w:rPr>
  </w:style>
  <w:style w:type="character" w:styleId="FootnoteReference0">
    <w:name w:val="footnote reference"/>
    <w:locked/>
    <w:rsid w:val="00EC7D09"/>
    <w:rPr>
      <w:vertAlign w:val="superscript"/>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CrossReference">
    <w:name w:val="Cross Reference"/>
    <w:basedOn w:val="DefaultParagraphFont"/>
    <w:uiPriority w:val="2"/>
    <w:rPr>
      <w:i/>
    </w:rPr>
  </w:style>
  <w:style w:type="character" w:customStyle="1" w:styleId="InstructionPlaceholder">
    <w:name w:val="InstructionPlaceholder"/>
    <w:uiPriority w:val="1"/>
    <w:rPr>
      <w:color w:val="CB3535"/>
    </w:rPr>
  </w:style>
  <w:style w:type="character" w:customStyle="1" w:styleId="InstructionBlue">
    <w:name w:val="InstructionBlue"/>
    <w:uiPriority w:val="1"/>
    <w:rPr>
      <w:color w:val="3366CC"/>
    </w:rPr>
  </w:style>
  <w:style w:type="character" w:customStyle="1" w:styleId="InstructionRed">
    <w:name w:val="InstructionRed"/>
    <w:uiPriority w:val="1"/>
    <w:rPr>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FigureSource">
    <w:name w:val="Figure Source"/>
    <w:basedOn w:val="Normal"/>
    <w:next w:val="Normal"/>
    <w:uiPriority w:val="2"/>
    <w:pPr>
      <w:spacing w:after="240" w:line="240" w:lineRule="auto"/>
    </w:pPr>
    <w:rPr>
      <w:sz w:val="18"/>
    </w:rPr>
  </w:style>
  <w:style w:type="paragraph" w:customStyle="1" w:styleId="FigureNote">
    <w:name w:val="Figure Note"/>
    <w:basedOn w:val="FigureSource"/>
    <w:next w:val="FigureSource"/>
    <w:uiPriority w:val="2"/>
    <w:rPr>
      <w:b/>
    </w:rPr>
  </w:style>
  <w:style w:type="paragraph" w:customStyle="1" w:styleId="FigureBody">
    <w:name w:val="Figure Body"/>
    <w:basedOn w:val="Normal"/>
    <w:next w:val="FigureNote"/>
    <w:uiPriority w:val="2"/>
    <w:pPr>
      <w:keepNext/>
      <w:spacing w:after="40" w:line="240" w:lineRule="auto"/>
    </w:pPr>
  </w:style>
  <w:style w:type="paragraph" w:customStyle="1" w:styleId="FigureTitle">
    <w:name w:val="Figure Title"/>
    <w:basedOn w:val="Normal"/>
    <w:next w:val="FigureBody"/>
    <w:uiPriority w:val="2"/>
    <w:pPr>
      <w:keepNext/>
      <w:spacing w:before="120"/>
    </w:pPr>
    <w:rPr>
      <w:b/>
      <w:i/>
    </w:rPr>
  </w:style>
  <w:style w:type="paragraph" w:customStyle="1" w:styleId="HistoryTable">
    <w:name w:val="HistoryTable"/>
    <w:basedOn w:val="Normal"/>
    <w:uiPriority w:val="2"/>
    <w:pPr>
      <w:spacing w:before="60" w:after="60"/>
    </w:pPr>
    <w:rPr>
      <w:sz w:val="20"/>
    </w:rPr>
  </w:style>
  <w:style w:type="paragraph" w:customStyle="1" w:styleId="HistTableHeading">
    <w:name w:val="HistTableHeading"/>
    <w:basedOn w:val="Normal"/>
    <w:next w:val="HistoryTable"/>
    <w:uiPriority w:val="2"/>
    <w:pPr>
      <w:jc w:val="center"/>
    </w:pPr>
    <w:rPr>
      <w:rFonts w:ascii="Times New Roman Bold" w:hAnsi="Times New Roman Bold"/>
      <w:b/>
      <w:sz w:val="32"/>
    </w:rPr>
  </w:style>
  <w:style w:type="paragraph" w:customStyle="1" w:styleId="TableText">
    <w:name w:val="Table Text"/>
    <w:basedOn w:val="Normal"/>
    <w:uiPriority w:val="1"/>
    <w:qFormat/>
    <w:pPr>
      <w:spacing w:before="60" w:after="60"/>
    </w:pPr>
  </w:style>
  <w:style w:type="paragraph" w:customStyle="1" w:styleId="ContNumLevel3">
    <w:name w:val="ContNum (Level 3)"/>
    <w:basedOn w:val="Normal"/>
    <w:uiPriority w:val="1"/>
    <w:pPr>
      <w:numPr>
        <w:ilvl w:val="2"/>
        <w:numId w:val="10"/>
      </w:numPr>
    </w:pPr>
  </w:style>
  <w:style w:type="paragraph" w:customStyle="1" w:styleId="ContNumLevel2">
    <w:name w:val="ContNum (Level 2)"/>
    <w:basedOn w:val="Normal"/>
    <w:uiPriority w:val="1"/>
    <w:pPr>
      <w:numPr>
        <w:ilvl w:val="1"/>
        <w:numId w:val="10"/>
      </w:numPr>
    </w:pPr>
  </w:style>
  <w:style w:type="paragraph" w:customStyle="1" w:styleId="ContNum">
    <w:name w:val="ContNum"/>
    <w:basedOn w:val="Normal"/>
    <w:uiPriority w:val="1"/>
    <w:qFormat/>
    <w:pPr>
      <w:numPr>
        <w:numId w:val="10"/>
      </w:numPr>
    </w:pPr>
  </w:style>
  <w:style w:type="paragraph" w:customStyle="1" w:styleId="LegalNumPar3">
    <w:name w:val="LegalNumPar3"/>
    <w:basedOn w:val="Normal"/>
    <w:uiPriority w:val="1"/>
    <w:pPr>
      <w:numPr>
        <w:ilvl w:val="2"/>
        <w:numId w:val="11"/>
      </w:numPr>
      <w:spacing w:line="360" w:lineRule="auto"/>
    </w:pPr>
    <w:rPr>
      <w:sz w:val="24"/>
    </w:rPr>
  </w:style>
  <w:style w:type="paragraph" w:customStyle="1" w:styleId="LegalNumPar2">
    <w:name w:val="LegalNumPar2"/>
    <w:basedOn w:val="Normal"/>
    <w:uiPriority w:val="1"/>
    <w:pPr>
      <w:numPr>
        <w:ilvl w:val="1"/>
        <w:numId w:val="11"/>
      </w:numPr>
      <w:spacing w:line="360" w:lineRule="auto"/>
    </w:pPr>
    <w:rPr>
      <w:sz w:val="24"/>
    </w:rPr>
  </w:style>
  <w:style w:type="paragraph" w:customStyle="1" w:styleId="LegalNumPar">
    <w:name w:val="LegalNumPar"/>
    <w:basedOn w:val="Normal"/>
    <w:uiPriority w:val="1"/>
    <w:qFormat/>
    <w:pPr>
      <w:numPr>
        <w:numId w:val="11"/>
      </w:numPr>
      <w:spacing w:line="360" w:lineRule="auto"/>
    </w:pPr>
    <w:rPr>
      <w:sz w:val="24"/>
    </w:rPr>
  </w:style>
  <w:style w:type="paragraph" w:customStyle="1" w:styleId="Marking">
    <w:name w:val="Marking"/>
    <w:basedOn w:val="Normal"/>
    <w:semiHidden/>
    <w:pPr>
      <w:spacing w:line="240" w:lineRule="auto"/>
      <w:ind w:left="5102" w:right="-567"/>
      <w:contextualSpacing/>
      <w:jc w:val="left"/>
    </w:pPr>
    <w:rPr>
      <w:sz w:val="28"/>
    </w:rPr>
  </w:style>
  <w:style w:type="paragraph" w:customStyle="1" w:styleId="SectionTitle">
    <w:name w:val="SectionTitle"/>
    <w:basedOn w:val="Normal"/>
    <w:next w:val="Heading1"/>
    <w:uiPriority w:val="1"/>
    <w:qFormat/>
    <w:pPr>
      <w:keepNext/>
      <w:spacing w:before="720" w:after="360"/>
      <w:contextualSpacing/>
      <w:jc w:val="center"/>
      <w:outlineLvl w:val="0"/>
    </w:pPr>
    <w:rPr>
      <w:rFonts w:ascii="Times New Roman Bold" w:hAnsi="Times New Roman Bold"/>
      <w:b/>
      <w:smallCaps/>
      <w:sz w:val="32"/>
    </w:rPr>
  </w:style>
  <w:style w:type="paragraph" w:customStyle="1" w:styleId="ChapterTitle">
    <w:name w:val="ChapterTitle"/>
    <w:basedOn w:val="Normal"/>
    <w:next w:val="SectionTitle"/>
    <w:uiPriority w:val="1"/>
    <w:qFormat/>
    <w:pPr>
      <w:keepNext/>
      <w:spacing w:before="720" w:after="360"/>
      <w:jc w:val="center"/>
      <w:outlineLvl w:val="0"/>
    </w:pPr>
    <w:rPr>
      <w:b/>
      <w:sz w:val="36"/>
    </w:rPr>
  </w:style>
  <w:style w:type="paragraph" w:customStyle="1" w:styleId="PartTitle">
    <w:name w:val="PartTitle"/>
    <w:basedOn w:val="Normal"/>
    <w:next w:val="ChapterTitle"/>
    <w:uiPriority w:val="1"/>
    <w:qFormat/>
    <w:pPr>
      <w:keepNext/>
      <w:pageBreakBefore/>
      <w:spacing w:before="720" w:after="360"/>
      <w:jc w:val="center"/>
      <w:outlineLvl w:val="0"/>
    </w:pPr>
    <w:rPr>
      <w:b/>
      <w:sz w:val="40"/>
    </w:rPr>
  </w:style>
  <w:style w:type="paragraph" w:customStyle="1" w:styleId="AnnexTitle">
    <w:name w:val="AnnexTitle"/>
    <w:basedOn w:val="Normal"/>
    <w:next w:val="Normal"/>
    <w:uiPriority w:val="1"/>
    <w:qFormat/>
    <w:pPr>
      <w:pageBreakBefore/>
      <w:numPr>
        <w:numId w:val="9"/>
      </w:numPr>
      <w:spacing w:before="240" w:after="360"/>
      <w:outlineLvl w:val="0"/>
    </w:pPr>
    <w:rPr>
      <w:b/>
      <w:sz w:val="36"/>
    </w:rPr>
  </w:style>
  <w:style w:type="paragraph" w:customStyle="1" w:styleId="FITTable">
    <w:name w:val="FIT Table"/>
    <w:basedOn w:val="Normal"/>
    <w:uiPriority w:val="2"/>
    <w:pPr>
      <w:spacing w:before="60" w:after="60"/>
    </w:pPr>
  </w:style>
  <w:style w:type="paragraph" w:customStyle="1" w:styleId="ListNumberLevel4">
    <w:name w:val="List Number (Level 4)"/>
    <w:basedOn w:val="Normal"/>
    <w:uiPriority w:val="1"/>
    <w:semiHidden/>
    <w:unhideWhenUsed/>
    <w:pPr>
      <w:numPr>
        <w:ilvl w:val="3"/>
        <w:numId w:val="13"/>
      </w:numPr>
      <w:ind w:left="1815" w:hanging="454"/>
      <w:contextualSpacing/>
    </w:pPr>
  </w:style>
  <w:style w:type="paragraph" w:customStyle="1" w:styleId="ListNumberLevel3">
    <w:name w:val="List Number (Level 3)"/>
    <w:basedOn w:val="Normal"/>
    <w:uiPriority w:val="1"/>
    <w:semiHidden/>
    <w:unhideWhenUsed/>
    <w:pPr>
      <w:numPr>
        <w:ilvl w:val="2"/>
        <w:numId w:val="13"/>
      </w:numPr>
      <w:contextualSpacing/>
    </w:pPr>
  </w:style>
  <w:style w:type="paragraph" w:customStyle="1" w:styleId="ListNumberLevel2">
    <w:name w:val="List Number (Level 2)"/>
    <w:basedOn w:val="Normal"/>
    <w:uiPriority w:val="1"/>
    <w:pPr>
      <w:numPr>
        <w:ilvl w:val="1"/>
        <w:numId w:val="13"/>
      </w:numPr>
      <w:ind w:left="908" w:hanging="454"/>
      <w:contextualSpacing/>
    </w:pPr>
  </w:style>
  <w:style w:type="paragraph" w:styleId="ListNumber">
    <w:name w:val="List Number"/>
    <w:basedOn w:val="Normal"/>
    <w:uiPriority w:val="1"/>
    <w:pPr>
      <w:numPr>
        <w:numId w:val="13"/>
      </w:numPr>
      <w:contextualSpacing/>
    </w:pPr>
  </w:style>
  <w:style w:type="paragraph" w:customStyle="1" w:styleId="ListDashLevel4">
    <w:name w:val="List Dash (Level 4)"/>
    <w:basedOn w:val="Normal"/>
    <w:uiPriority w:val="1"/>
    <w:semiHidden/>
    <w:unhideWhenUsed/>
    <w:pPr>
      <w:numPr>
        <w:ilvl w:val="3"/>
        <w:numId w:val="12"/>
      </w:numPr>
      <w:contextualSpacing/>
    </w:pPr>
  </w:style>
  <w:style w:type="paragraph" w:customStyle="1" w:styleId="ListDashLevel3">
    <w:name w:val="List Dash (Level 3)"/>
    <w:basedOn w:val="Normal"/>
    <w:uiPriority w:val="1"/>
    <w:semiHidden/>
    <w:unhideWhenUsed/>
    <w:pPr>
      <w:numPr>
        <w:ilvl w:val="2"/>
        <w:numId w:val="12"/>
      </w:numPr>
      <w:contextualSpacing/>
    </w:pPr>
  </w:style>
  <w:style w:type="paragraph" w:customStyle="1" w:styleId="ListDashLevel2">
    <w:name w:val="List Dash (Level 2)"/>
    <w:basedOn w:val="Normal"/>
    <w:uiPriority w:val="1"/>
    <w:pPr>
      <w:numPr>
        <w:ilvl w:val="1"/>
        <w:numId w:val="12"/>
      </w:numPr>
      <w:contextualSpacing/>
    </w:pPr>
  </w:style>
  <w:style w:type="paragraph" w:customStyle="1" w:styleId="ListDash">
    <w:name w:val="List Dash"/>
    <w:basedOn w:val="Normal"/>
    <w:uiPriority w:val="1"/>
    <w:pPr>
      <w:numPr>
        <w:numId w:val="12"/>
      </w:numPr>
      <w:contextualSpacing/>
    </w:pPr>
  </w:style>
  <w:style w:type="paragraph" w:customStyle="1" w:styleId="ListBulletLevel4">
    <w:name w:val="List Bullet (Level 4)"/>
    <w:basedOn w:val="Normal"/>
    <w:uiPriority w:val="1"/>
    <w:semiHidden/>
    <w:unhideWhenUsed/>
    <w:pPr>
      <w:numPr>
        <w:ilvl w:val="3"/>
        <w:numId w:val="14"/>
      </w:numPr>
      <w:contextualSpacing/>
    </w:pPr>
  </w:style>
  <w:style w:type="paragraph" w:customStyle="1" w:styleId="ListBulletLevel3">
    <w:name w:val="List Bullet (Level 3)"/>
    <w:basedOn w:val="Normal"/>
    <w:uiPriority w:val="1"/>
    <w:semiHidden/>
    <w:unhideWhenUsed/>
    <w:pPr>
      <w:numPr>
        <w:ilvl w:val="2"/>
        <w:numId w:val="14"/>
      </w:numPr>
      <w:contextualSpacing/>
    </w:pPr>
  </w:style>
  <w:style w:type="paragraph" w:customStyle="1" w:styleId="ListBulletLevel2">
    <w:name w:val="List Bullet (Level 2)"/>
    <w:basedOn w:val="Normal"/>
    <w:uiPriority w:val="1"/>
    <w:pPr>
      <w:numPr>
        <w:ilvl w:val="1"/>
        <w:numId w:val="14"/>
      </w:numPr>
      <w:contextualSpacing/>
    </w:pPr>
  </w:style>
  <w:style w:type="paragraph" w:styleId="ListBullet">
    <w:name w:val="List Bullet"/>
    <w:basedOn w:val="Normal"/>
    <w:uiPriority w:val="1"/>
    <w:pPr>
      <w:numPr>
        <w:numId w:val="14"/>
      </w:numPr>
      <w:contextualSpacing/>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left" w:pos="595"/>
        <w:tab w:val="right" w:leader="dot" w:pos="8640"/>
      </w:tabs>
      <w:spacing w:before="240" w:after="60" w:line="240" w:lineRule="auto"/>
      <w:ind w:left="1446" w:right="720" w:hanging="1446"/>
    </w:pPr>
    <w:rPr>
      <w:b/>
      <w:sz w:val="20"/>
    </w:rPr>
  </w:style>
  <w:style w:type="paragraph" w:styleId="TOC5">
    <w:name w:val="toc 5"/>
    <w:basedOn w:val="Normal"/>
    <w:next w:val="Normal"/>
    <w:semiHidden/>
    <w:pPr>
      <w:tabs>
        <w:tab w:val="left" w:pos="595"/>
        <w:tab w:val="right" w:leader="dot" w:pos="8640"/>
      </w:tabs>
      <w:spacing w:before="240" w:after="60" w:line="240" w:lineRule="auto"/>
      <w:ind w:right="720"/>
    </w:pPr>
    <w:rPr>
      <w:b/>
      <w:sz w:val="20"/>
    </w:rPr>
  </w:style>
  <w:style w:type="paragraph" w:styleId="TOC4">
    <w:name w:val="toc 4"/>
    <w:basedOn w:val="Normal"/>
    <w:next w:val="Normal"/>
    <w:semiHidden/>
    <w:pPr>
      <w:tabs>
        <w:tab w:val="left" w:pos="1446"/>
        <w:tab w:val="left" w:pos="1587"/>
        <w:tab w:val="right" w:leader="dot" w:pos="8640"/>
      </w:tabs>
      <w:spacing w:after="60" w:line="240" w:lineRule="auto"/>
      <w:ind w:left="1445" w:right="720" w:hanging="850"/>
    </w:pPr>
    <w:rPr>
      <w:noProof/>
      <w:sz w:val="20"/>
    </w:rPr>
  </w:style>
  <w:style w:type="paragraph" w:styleId="TOC3">
    <w:name w:val="toc 3"/>
    <w:basedOn w:val="Normal"/>
    <w:next w:val="Normal"/>
    <w:semiHidden/>
    <w:pPr>
      <w:tabs>
        <w:tab w:val="left" w:pos="1446"/>
        <w:tab w:val="left" w:pos="1587"/>
        <w:tab w:val="right" w:leader="dot" w:pos="8640"/>
      </w:tabs>
      <w:spacing w:after="60" w:line="240" w:lineRule="auto"/>
      <w:ind w:left="1445" w:right="720" w:hanging="850"/>
    </w:pPr>
    <w:rPr>
      <w:sz w:val="20"/>
    </w:rPr>
  </w:style>
  <w:style w:type="paragraph" w:styleId="TOC2">
    <w:name w:val="toc 2"/>
    <w:basedOn w:val="Normal"/>
    <w:next w:val="Normal"/>
    <w:semiHidden/>
    <w:pPr>
      <w:tabs>
        <w:tab w:val="left" w:pos="595"/>
        <w:tab w:val="right" w:leader="dot" w:pos="8640"/>
      </w:tabs>
      <w:spacing w:after="60" w:line="240" w:lineRule="auto"/>
      <w:ind w:left="595" w:right="720" w:hanging="595"/>
    </w:pPr>
    <w:rPr>
      <w:noProof/>
      <w:sz w:val="20"/>
    </w:rPr>
  </w:style>
  <w:style w:type="paragraph" w:styleId="TOC1">
    <w:name w:val="toc 1"/>
    <w:basedOn w:val="Normal"/>
    <w:next w:val="Normal"/>
    <w:semiHidden/>
    <w:pPr>
      <w:tabs>
        <w:tab w:val="left" w:pos="595"/>
        <w:tab w:val="right" w:leader="dot" w:pos="8640"/>
      </w:tabs>
      <w:spacing w:before="240" w:after="60" w:line="240" w:lineRule="auto"/>
      <w:ind w:left="595" w:right="720" w:hanging="595"/>
    </w:pPr>
    <w:rPr>
      <w:b/>
      <w:sz w:val="20"/>
    </w:rPr>
  </w:style>
  <w:style w:type="paragraph" w:styleId="TOCHeading">
    <w:name w:val="TOC Heading"/>
    <w:basedOn w:val="Normal"/>
    <w:next w:val="Normal"/>
    <w:semiHidden/>
    <w:pPr>
      <w:jc w:val="center"/>
    </w:pPr>
    <w:rPr>
      <w:rFonts w:ascii="Times New Roman Bold" w:hAnsi="Times New Roman Bold"/>
      <w:b/>
      <w:sz w:val="32"/>
    </w:rPr>
  </w:style>
  <w:style w:type="paragraph" w:customStyle="1" w:styleId="SubTitle2">
    <w:name w:val="SubTitle 2"/>
    <w:basedOn w:val="Normal"/>
    <w:uiPriority w:val="1"/>
    <w:qFormat/>
    <w:pPr>
      <w:spacing w:after="280"/>
      <w:jc w:val="center"/>
    </w:pPr>
    <w:rPr>
      <w:b/>
      <w:sz w:val="32"/>
    </w:rPr>
  </w:style>
  <w:style w:type="paragraph" w:customStyle="1" w:styleId="SubTitle1">
    <w:name w:val="SubTitle 1"/>
    <w:basedOn w:val="Normal"/>
    <w:next w:val="Normal"/>
    <w:uiPriority w:val="1"/>
    <w:qFormat/>
    <w:pPr>
      <w:spacing w:before="360" w:after="2000"/>
      <w:jc w:val="center"/>
    </w:pPr>
    <w:rPr>
      <w:b/>
      <w:sz w:val="40"/>
    </w:rPr>
  </w:style>
  <w:style w:type="paragraph" w:styleId="Title">
    <w:name w:val="Title"/>
    <w:basedOn w:val="Normal"/>
    <w:next w:val="SubTitle1"/>
    <w:uiPriority w:val="1"/>
    <w:qFormat/>
    <w:pPr>
      <w:spacing w:before="3200" w:after="480"/>
      <w:jc w:val="center"/>
    </w:pPr>
    <w:rPr>
      <w:b/>
      <w:kern w:val="28"/>
      <w:sz w:val="48"/>
    </w:rPr>
  </w:style>
  <w:style w:type="paragraph" w:customStyle="1" w:styleId="NumPar4">
    <w:name w:val="NumPar 4"/>
    <w:basedOn w:val="Heading4"/>
    <w:uiPriority w:val="1"/>
    <w:qFormat/>
    <w:pPr>
      <w:keepNext w:val="0"/>
      <w:spacing w:before="0"/>
      <w:ind w:left="0" w:firstLine="0"/>
      <w:outlineLvl w:val="9"/>
    </w:pPr>
    <w:rPr>
      <w:b w:val="0"/>
    </w:rPr>
  </w:style>
  <w:style w:type="paragraph" w:customStyle="1" w:styleId="NumPar3">
    <w:name w:val="NumPar 3"/>
    <w:basedOn w:val="Heading3"/>
    <w:uiPriority w:val="1"/>
    <w:qFormat/>
    <w:pPr>
      <w:keepNext w:val="0"/>
      <w:spacing w:before="0"/>
      <w:ind w:left="0" w:firstLine="0"/>
      <w:outlineLvl w:val="9"/>
    </w:pPr>
    <w:rPr>
      <w:b w:val="0"/>
      <w:sz w:val="22"/>
    </w:rPr>
  </w:style>
  <w:style w:type="paragraph" w:customStyle="1" w:styleId="NumPar2">
    <w:name w:val="NumPar 2"/>
    <w:basedOn w:val="Heading2"/>
    <w:uiPriority w:val="1"/>
    <w:qFormat/>
    <w:pPr>
      <w:keepNext w:val="0"/>
      <w:spacing w:before="0"/>
      <w:ind w:left="0" w:firstLine="0"/>
      <w:outlineLvl w:val="9"/>
    </w:pPr>
    <w:rPr>
      <w:b w:val="0"/>
      <w:sz w:val="22"/>
    </w:rPr>
  </w:style>
  <w:style w:type="paragraph" w:customStyle="1" w:styleId="NumPar1">
    <w:name w:val="NumPar 1"/>
    <w:basedOn w:val="Heading1"/>
    <w:uiPriority w:val="1"/>
    <w:qFormat/>
    <w:pPr>
      <w:keepNext w:val="0"/>
      <w:spacing w:before="0"/>
      <w:ind w:left="0" w:firstLine="0"/>
      <w:outlineLvl w:val="9"/>
    </w:pPr>
    <w:rPr>
      <w:b w:val="0"/>
      <w:smallCaps w:val="0"/>
      <w:sz w:val="22"/>
    </w:rPr>
  </w:style>
  <w:style w:type="paragraph" w:styleId="FootnoteText">
    <w:name w:val="footnote text"/>
    <w:basedOn w:val="Normal"/>
    <w:uiPriority w:val="99"/>
    <w:unhideWhenUsed/>
    <w:pPr>
      <w:ind w:left="357" w:hanging="357"/>
    </w:pPr>
    <w:rPr>
      <w:sz w:val="20"/>
    </w:rPr>
  </w:style>
  <w:style w:type="paragraph" w:customStyle="1" w:styleId="FooterLine">
    <w:name w:val="Footer Line"/>
    <w:basedOn w:val="Footer"/>
    <w:next w:val="Footer"/>
    <w:uiPriority w:val="2"/>
    <w:pPr>
      <w:pBdr>
        <w:top w:val="single" w:sz="4" w:space="1" w:color="auto"/>
      </w:pBdr>
      <w:tabs>
        <w:tab w:val="right" w:pos="8646"/>
      </w:tabs>
      <w:spacing w:before="120"/>
      <w:ind w:right="0"/>
    </w:pPr>
  </w:style>
  <w:style w:type="paragraph" w:styleId="EndnoteText">
    <w:name w:val="endnote text"/>
    <w:basedOn w:val="Normal"/>
    <w:semiHidden/>
    <w:unhideWhenUsed/>
    <w:rPr>
      <w:sz w:val="20"/>
    </w:rPr>
  </w:style>
  <w:style w:type="paragraph" w:customStyle="1" w:styleId="References">
    <w:name w:val="References"/>
    <w:uiPriority w:val="2"/>
    <w:pPr>
      <w:tabs>
        <w:tab w:val="num" w:pos="397"/>
        <w:tab w:val="num" w:pos="709"/>
      </w:tabs>
      <w:ind w:left="709" w:hanging="709"/>
    </w:pPr>
  </w:style>
  <w:style w:type="paragraph" w:styleId="Date">
    <w:name w:val="Date"/>
    <w:basedOn w:val="Normal"/>
    <w:next w:val="References"/>
    <w:uiPriority w:val="1"/>
    <w:pPr>
      <w:spacing w:after="0"/>
      <w:ind w:left="5102" w:right="-567"/>
    </w:pPr>
  </w:style>
  <w:style w:type="paragraph" w:customStyle="1" w:styleId="Contact">
    <w:name w:val="Contact"/>
    <w:basedOn w:val="Normal"/>
    <w:uiPriority w:val="2"/>
    <w:pPr>
      <w:spacing w:before="480" w:after="240"/>
      <w:ind w:left="567" w:hanging="567"/>
      <w:jc w:val="left"/>
    </w:pPr>
  </w:style>
  <w:style w:type="paragraph" w:styleId="Caption">
    <w:name w:val="caption"/>
    <w:basedOn w:val="Normal"/>
    <w:next w:val="Normal"/>
    <w:uiPriority w:val="2"/>
    <w:pPr>
      <w:spacing w:before="120"/>
    </w:pPr>
    <w:rPr>
      <w:b/>
      <w:i/>
    </w:rPr>
  </w:style>
  <w:style w:type="paragraph" w:customStyle="1" w:styleId="ZDGName">
    <w:name w:val="Z_DGName"/>
    <w:basedOn w:val="Normal"/>
    <w:uiPriority w:val="2"/>
    <w:pPr>
      <w:widowControl w:val="0"/>
      <w:spacing w:after="0" w:line="240" w:lineRule="auto"/>
      <w:ind w:right="85"/>
      <w:jc w:val="left"/>
    </w:pPr>
    <w:rPr>
      <w:sz w:val="16"/>
    </w:rPr>
  </w:style>
  <w:style w:type="paragraph" w:customStyle="1" w:styleId="ZCom">
    <w:name w:val="Z_Com"/>
    <w:basedOn w:val="Normal"/>
    <w:next w:val="Normal"/>
    <w:uiPriority w:val="2"/>
    <w:pPr>
      <w:widowControl w:val="0"/>
      <w:spacing w:before="90" w:after="0" w:line="240" w:lineRule="auto"/>
      <w:ind w:right="85"/>
    </w:pPr>
    <w:rPr>
      <w:sz w:val="24"/>
    </w:rPr>
  </w:style>
  <w:style w:type="paragraph" w:customStyle="1" w:styleId="ZFlag">
    <w:name w:val="Z_Flag"/>
    <w:basedOn w:val="Normal"/>
    <w:next w:val="Normal"/>
    <w:link w:val="ZFlagChar"/>
    <w:uiPriority w:val="2"/>
    <w:pPr>
      <w:widowControl w:val="0"/>
      <w:spacing w:after="0"/>
      <w:ind w:right="85"/>
    </w:pPr>
  </w:style>
  <w:style w:type="paragraph" w:customStyle="1" w:styleId="GlossaryHeading">
    <w:name w:val="GlossaryHeading"/>
    <w:basedOn w:val="Normal"/>
    <w:uiPriority w:val="2"/>
    <w:pPr>
      <w:spacing w:after="480"/>
      <w:jc w:val="center"/>
      <w:outlineLvl w:val="0"/>
    </w:pPr>
    <w:rPr>
      <w:rFonts w:ascii="Times New Roman Bold" w:hAnsi="Times New Roman Bold"/>
      <w:b/>
      <w:sz w:val="32"/>
    </w:rPr>
  </w:style>
  <w:style w:type="paragraph" w:customStyle="1" w:styleId="Glossary">
    <w:name w:val="Glossary"/>
    <w:basedOn w:val="Normal"/>
    <w:uiPriority w:val="2"/>
    <w:pPr>
      <w:tabs>
        <w:tab w:val="left" w:pos="2835"/>
      </w:tabs>
      <w:ind w:left="2835" w:hanging="2835"/>
      <w:jc w:val="left"/>
    </w:pPr>
  </w:style>
  <w:style w:type="paragraph" w:customStyle="1" w:styleId="Citation">
    <w:name w:val="Citation"/>
    <w:basedOn w:val="Normal"/>
    <w:link w:val="CitationChar"/>
    <w:uiPriority w:val="1"/>
    <w:qFormat/>
    <w:pPr>
      <w:ind w:left="454" w:right="454"/>
    </w:pPr>
    <w:rPr>
      <w:i/>
    </w:rPr>
  </w:style>
  <w:style w:type="character" w:customStyle="1" w:styleId="CitationChar">
    <w:name w:val="Citation Char"/>
    <w:link w:val="Citation"/>
    <w:uiPriority w:val="1"/>
    <w:qFormat/>
    <w:rPr>
      <w:i/>
    </w:rPr>
  </w:style>
  <w:style w:type="paragraph" w:styleId="MacroText">
    <w:name w:val="macro"/>
    <w:basedOn w:val="Normal"/>
    <w:link w:val="MacroTextChar1"/>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0"/>
    </w:rPr>
  </w:style>
  <w:style w:type="character" w:customStyle="1" w:styleId="MacroTextChar1">
    <w:name w:val="Macro Text Char1"/>
    <w:basedOn w:val="DefaultParagraphFont"/>
    <w:link w:val="MacroText"/>
    <w:uiPriority w:val="1"/>
    <w:qFormat/>
    <w:rPr>
      <w:rFonts w:ascii="Courier New" w:hAnsi="Courier New"/>
      <w:sz w:val="20"/>
    </w:rPr>
  </w:style>
  <w:style w:type="paragraph" w:styleId="Header">
    <w:name w:val="header"/>
    <w:basedOn w:val="Normal"/>
    <w:link w:val="HeaderChar"/>
    <w:uiPriority w:val="99"/>
    <w:pPr>
      <w:tabs>
        <w:tab w:val="center" w:pos="4150"/>
        <w:tab w:val="right" w:pos="8306"/>
      </w:tabs>
    </w:pPr>
  </w:style>
  <w:style w:type="character" w:customStyle="1" w:styleId="HeaderChar">
    <w:name w:val="Header Char"/>
    <w:basedOn w:val="DefaultParagraphFont"/>
    <w:link w:val="Header"/>
    <w:uiPriority w:val="99"/>
    <w:rPr>
      <w:sz w:val="24"/>
    </w:rPr>
  </w:style>
  <w:style w:type="paragraph" w:styleId="Footer">
    <w:name w:val="footer"/>
    <w:basedOn w:val="Normal"/>
    <w:link w:val="FooterChar"/>
    <w:uiPriority w:val="99"/>
    <w:pPr>
      <w:spacing w:after="0" w:line="240" w:lineRule="auto"/>
      <w:ind w:right="-567"/>
    </w:pPr>
    <w:rPr>
      <w:sz w:val="16"/>
    </w:rPr>
  </w:style>
  <w:style w:type="character" w:customStyle="1" w:styleId="FooterChar">
    <w:name w:val="Footer Char"/>
    <w:link w:val="Footer"/>
    <w:uiPriority w:val="99"/>
    <w:rPr>
      <w:sz w:val="16"/>
    </w:rPr>
  </w:style>
  <w:style w:type="table" w:styleId="TableGrid">
    <w:name w:val="Table Grid"/>
    <w:basedOn w:val="TableNormal"/>
    <w:uiPriority w:val="2"/>
    <w:pPr>
      <w:spacing w:before="60" w:after="60"/>
    </w:p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History">
    <w:name w:val="Table History"/>
    <w:basedOn w:val="TableNormal"/>
    <w:semiHidden/>
    <w:pPr>
      <w:spacing w:before="60" w:after="60"/>
    </w:p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table" w:customStyle="1" w:styleId="PropertiesTable">
    <w:name w:val="Properties Table"/>
    <w:basedOn w:val="TableNormal"/>
    <w:semiHidden/>
    <w:pPr>
      <w:spacing w:after="120" w:line="264" w:lineRule="auto"/>
    </w:pPr>
    <w:tblPr>
      <w:tblInd w:w="1984" w:type="dxa"/>
    </w:tblPr>
  </w:style>
  <w:style w:type="paragraph" w:styleId="NormalWeb">
    <w:name w:val="Normal (Web)"/>
    <w:basedOn w:val="Normal"/>
    <w:uiPriority w:val="99"/>
    <w:unhideWhenUsed/>
    <w:locked/>
    <w:rsid w:val="00BB019E"/>
    <w:pPr>
      <w:spacing w:before="100" w:beforeAutospacing="1" w:after="100" w:afterAutospacing="1" w:line="240" w:lineRule="auto"/>
      <w:jc w:val="left"/>
    </w:pPr>
    <w:rPr>
      <w:sz w:val="24"/>
      <w:szCs w:val="24"/>
    </w:rPr>
  </w:style>
  <w:style w:type="character" w:customStyle="1" w:styleId="tlid-translation">
    <w:name w:val="tlid-translation"/>
    <w:basedOn w:val="DefaultParagraphFont"/>
    <w:rsid w:val="00A40930"/>
  </w:style>
  <w:style w:type="character" w:styleId="Strong">
    <w:name w:val="Strong"/>
    <w:basedOn w:val="DefaultParagraphFont"/>
    <w:uiPriority w:val="22"/>
    <w:qFormat/>
    <w:locked/>
    <w:rsid w:val="00C957D1"/>
    <w:rPr>
      <w:b/>
      <w:bCs/>
    </w:rPr>
  </w:style>
  <w:style w:type="character" w:customStyle="1" w:styleId="Marker">
    <w:name w:val="Marker"/>
    <w:basedOn w:val="DefaultParagraphFont"/>
    <w:rsid w:val="00807223"/>
    <w:rPr>
      <w:color w:val="0000FF"/>
      <w:shd w:val="clear" w:color="auto" w:fill="auto"/>
    </w:rPr>
  </w:style>
  <w:style w:type="paragraph" w:customStyle="1" w:styleId="Pagedecouverture">
    <w:name w:val="Page de couverture"/>
    <w:basedOn w:val="Normal"/>
    <w:next w:val="Normal"/>
    <w:rsid w:val="00807223"/>
    <w:pPr>
      <w:spacing w:after="0" w:line="240" w:lineRule="auto"/>
    </w:pPr>
    <w:rPr>
      <w:rFonts w:eastAsiaTheme="minorHAnsi"/>
      <w:sz w:val="24"/>
      <w:szCs w:val="22"/>
    </w:rPr>
  </w:style>
  <w:style w:type="paragraph" w:customStyle="1" w:styleId="FooterCoverPage">
    <w:name w:val="Footer Cover Page"/>
    <w:basedOn w:val="Normal"/>
    <w:link w:val="FooterCoverPageChar"/>
    <w:rsid w:val="00807223"/>
    <w:pPr>
      <w:tabs>
        <w:tab w:val="center" w:pos="4535"/>
        <w:tab w:val="right" w:pos="9071"/>
        <w:tab w:val="right" w:pos="9921"/>
      </w:tabs>
      <w:spacing w:before="360" w:after="0" w:line="240" w:lineRule="auto"/>
      <w:ind w:left="-850" w:right="-850"/>
      <w:jc w:val="left"/>
    </w:pPr>
    <w:rPr>
      <w:sz w:val="24"/>
    </w:rPr>
  </w:style>
  <w:style w:type="character" w:customStyle="1" w:styleId="ZFlagChar">
    <w:name w:val="Z_Flag Char"/>
    <w:basedOn w:val="DefaultParagraphFont"/>
    <w:link w:val="ZFlag"/>
    <w:uiPriority w:val="2"/>
    <w:rsid w:val="00807223"/>
    <w:rPr>
      <w:sz w:val="22"/>
    </w:rPr>
  </w:style>
  <w:style w:type="character" w:customStyle="1" w:styleId="FooterCoverPageChar">
    <w:name w:val="Footer Cover Page Char"/>
    <w:basedOn w:val="ZFlagChar"/>
    <w:link w:val="FooterCoverPage"/>
    <w:rsid w:val="00807223"/>
    <w:rPr>
      <w:sz w:val="22"/>
    </w:rPr>
  </w:style>
  <w:style w:type="paragraph" w:customStyle="1" w:styleId="FooterSensitivity">
    <w:name w:val="Footer Sensitivity"/>
    <w:basedOn w:val="Normal"/>
    <w:link w:val="FooterSensitivityChar"/>
    <w:rsid w:val="0080722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ZFlagChar"/>
    <w:link w:val="FooterSensitivity"/>
    <w:rsid w:val="00807223"/>
    <w:rPr>
      <w:b/>
      <w:sz w:val="32"/>
    </w:rPr>
  </w:style>
  <w:style w:type="paragraph" w:customStyle="1" w:styleId="HeaderCoverPage">
    <w:name w:val="Header Cover Page"/>
    <w:basedOn w:val="Normal"/>
    <w:link w:val="HeaderCoverPageChar"/>
    <w:rsid w:val="00807223"/>
    <w:pPr>
      <w:tabs>
        <w:tab w:val="center" w:pos="4535"/>
        <w:tab w:val="right" w:pos="9071"/>
      </w:tabs>
      <w:spacing w:line="240" w:lineRule="auto"/>
    </w:pPr>
    <w:rPr>
      <w:sz w:val="24"/>
    </w:rPr>
  </w:style>
  <w:style w:type="character" w:customStyle="1" w:styleId="HeaderCoverPageChar">
    <w:name w:val="Header Cover Page Char"/>
    <w:basedOn w:val="ZFlagChar"/>
    <w:link w:val="HeaderCoverPage"/>
    <w:rsid w:val="00807223"/>
    <w:rPr>
      <w:sz w:val="22"/>
    </w:rPr>
  </w:style>
  <w:style w:type="paragraph" w:customStyle="1" w:styleId="HeaderSensitivity">
    <w:name w:val="Header Sensitivity"/>
    <w:basedOn w:val="Normal"/>
    <w:link w:val="HeaderSensitivityChar"/>
    <w:rsid w:val="00807223"/>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basedOn w:val="ZFlagChar"/>
    <w:link w:val="HeaderSensitivity"/>
    <w:rsid w:val="00807223"/>
    <w:rPr>
      <w:b/>
      <w:sz w:val="32"/>
    </w:rPr>
  </w:style>
  <w:style w:type="paragraph" w:customStyle="1" w:styleId="HeaderSensitivityRight">
    <w:name w:val="Header Sensitivity Right"/>
    <w:basedOn w:val="Normal"/>
    <w:link w:val="HeaderSensitivityRightChar"/>
    <w:rsid w:val="00807223"/>
    <w:pPr>
      <w:spacing w:line="240" w:lineRule="auto"/>
      <w:jc w:val="right"/>
    </w:pPr>
    <w:rPr>
      <w:sz w:val="28"/>
    </w:rPr>
  </w:style>
  <w:style w:type="character" w:customStyle="1" w:styleId="HeaderSensitivityRightChar">
    <w:name w:val="Header Sensitivity Right Char"/>
    <w:basedOn w:val="ZFlagChar"/>
    <w:link w:val="HeaderSensitivityRight"/>
    <w:rsid w:val="00807223"/>
    <w:rPr>
      <w:sz w:val="28"/>
    </w:rPr>
  </w:style>
  <w:style w:type="paragraph" w:customStyle="1" w:styleId="CM1">
    <w:name w:val="CM1"/>
    <w:basedOn w:val="Normal"/>
    <w:next w:val="Normal"/>
    <w:uiPriority w:val="99"/>
    <w:rsid w:val="00E22EE8"/>
    <w:pPr>
      <w:autoSpaceDE w:val="0"/>
      <w:autoSpaceDN w:val="0"/>
      <w:adjustRightInd w:val="0"/>
      <w:spacing w:after="0" w:line="240" w:lineRule="auto"/>
      <w:jc w:val="left"/>
    </w:pPr>
    <w:rPr>
      <w:sz w:val="24"/>
      <w:szCs w:val="24"/>
    </w:rPr>
  </w:style>
  <w:style w:type="paragraph" w:customStyle="1" w:styleId="CM3">
    <w:name w:val="CM3"/>
    <w:basedOn w:val="Normal"/>
    <w:next w:val="Normal"/>
    <w:uiPriority w:val="99"/>
    <w:rsid w:val="00E22EE8"/>
    <w:pPr>
      <w:autoSpaceDE w:val="0"/>
      <w:autoSpaceDN w:val="0"/>
      <w:adjustRightInd w:val="0"/>
      <w:spacing w:after="0" w:line="240" w:lineRule="auto"/>
      <w:jc w:val="left"/>
    </w:pPr>
    <w:rPr>
      <w:sz w:val="24"/>
      <w:szCs w:val="24"/>
    </w:rPr>
  </w:style>
  <w:style w:type="paragraph" w:customStyle="1" w:styleId="CM4">
    <w:name w:val="CM4"/>
    <w:basedOn w:val="Normal"/>
    <w:next w:val="Normal"/>
    <w:uiPriority w:val="99"/>
    <w:rsid w:val="00E22EE8"/>
    <w:pPr>
      <w:autoSpaceDE w:val="0"/>
      <w:autoSpaceDN w:val="0"/>
      <w:adjustRightInd w:val="0"/>
      <w:spacing w:after="0" w:line="240" w:lineRule="auto"/>
      <w:jc w:val="left"/>
    </w:pPr>
    <w:rPr>
      <w:sz w:val="24"/>
      <w:szCs w:val="24"/>
    </w:rPr>
  </w:style>
  <w:style w:type="paragraph" w:customStyle="1" w:styleId="xxxx">
    <w:name w:val="xxxx"/>
    <w:basedOn w:val="Normal"/>
    <w:rsid w:val="00B51D4A"/>
  </w:style>
  <w:style w:type="paragraph" w:customStyle="1" w:styleId="Typedudocument">
    <w:name w:val="Type du document"/>
    <w:basedOn w:val="Normal"/>
    <w:next w:val="Normal"/>
    <w:rsid w:val="0039036B"/>
    <w:pPr>
      <w:spacing w:before="360" w:after="0" w:line="240" w:lineRule="auto"/>
      <w:jc w:val="center"/>
    </w:pPr>
    <w:rPr>
      <w:rFonts w:eastAsiaTheme="minorHAnsi"/>
      <w:b/>
      <w:sz w:val="24"/>
      <w:szCs w:val="22"/>
    </w:rPr>
  </w:style>
  <w:style w:type="paragraph" w:customStyle="1" w:styleId="Titreobjet">
    <w:name w:val="Titre objet"/>
    <w:basedOn w:val="Normal"/>
    <w:next w:val="Normal"/>
    <w:rsid w:val="0039036B"/>
    <w:pPr>
      <w:spacing w:before="360" w:after="360" w:line="240" w:lineRule="auto"/>
      <w:jc w:val="center"/>
    </w:pPr>
    <w:rPr>
      <w:rFonts w:eastAsiaTheme="minorHAnsi"/>
      <w:b/>
      <w:sz w:val="24"/>
      <w:szCs w:val="22"/>
    </w:rPr>
  </w:style>
  <w:style w:type="character" w:styleId="EndnoteReference">
    <w:name w:val="endnote reference"/>
    <w:basedOn w:val="DefaultParagraphFont"/>
    <w:semiHidden/>
    <w:locked/>
    <w:rsid w:val="006B054A"/>
    <w:rPr>
      <w:vertAlign w:val="superscript"/>
    </w:rPr>
  </w:style>
  <w:style w:type="character" w:styleId="FollowedHyperlink">
    <w:name w:val="FollowedHyperlink"/>
    <w:basedOn w:val="DefaultParagraphFont"/>
    <w:semiHidden/>
    <w:locked/>
    <w:rsid w:val="00B742D9"/>
    <w:rPr>
      <w:color w:val="954F72" w:themeColor="followedHyperlink"/>
      <w:u w:val="single"/>
    </w:rPr>
  </w:style>
  <w:style w:type="character" w:styleId="CommentReference">
    <w:name w:val="annotation reference"/>
    <w:basedOn w:val="DefaultParagraphFont"/>
    <w:semiHidden/>
    <w:locked/>
    <w:rsid w:val="00126944"/>
    <w:rPr>
      <w:sz w:val="16"/>
      <w:szCs w:val="16"/>
    </w:rPr>
  </w:style>
  <w:style w:type="paragraph" w:styleId="CommentText">
    <w:name w:val="annotation text"/>
    <w:basedOn w:val="Normal"/>
    <w:link w:val="CommentTextChar"/>
    <w:semiHidden/>
    <w:locked/>
    <w:rsid w:val="00126944"/>
    <w:pPr>
      <w:spacing w:line="240" w:lineRule="auto"/>
    </w:pPr>
    <w:rPr>
      <w:sz w:val="20"/>
    </w:rPr>
  </w:style>
  <w:style w:type="character" w:customStyle="1" w:styleId="CommentTextChar">
    <w:name w:val="Comment Text Char"/>
    <w:basedOn w:val="DefaultParagraphFont"/>
    <w:link w:val="CommentText"/>
    <w:semiHidden/>
    <w:rsid w:val="00126944"/>
    <w:rPr>
      <w:sz w:val="20"/>
    </w:rPr>
  </w:style>
  <w:style w:type="paragraph" w:styleId="CommentSubject">
    <w:name w:val="annotation subject"/>
    <w:basedOn w:val="CommentText"/>
    <w:next w:val="CommentText"/>
    <w:link w:val="CommentSubjectChar"/>
    <w:semiHidden/>
    <w:locked/>
    <w:rsid w:val="00126944"/>
    <w:rPr>
      <w:b/>
      <w:bCs/>
    </w:rPr>
  </w:style>
  <w:style w:type="character" w:customStyle="1" w:styleId="CommentSubjectChar">
    <w:name w:val="Comment Subject Char"/>
    <w:basedOn w:val="CommentTextChar"/>
    <w:link w:val="CommentSubject"/>
    <w:semiHidden/>
    <w:rsid w:val="00126944"/>
    <w:rPr>
      <w:b/>
      <w:bCs/>
      <w:sz w:val="20"/>
    </w:rPr>
  </w:style>
  <w:style w:type="paragraph" w:styleId="BalloonText">
    <w:name w:val="Balloon Text"/>
    <w:basedOn w:val="Normal"/>
    <w:link w:val="BalloonTextChar"/>
    <w:semiHidden/>
    <w:locked/>
    <w:rsid w:val="001269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6944"/>
    <w:rPr>
      <w:rFonts w:ascii="Segoe UI" w:hAnsi="Segoe UI" w:cs="Segoe UI"/>
      <w:sz w:val="18"/>
      <w:szCs w:val="18"/>
    </w:rPr>
  </w:style>
  <w:style w:type="character" w:styleId="Emphasis">
    <w:name w:val="Emphasis"/>
    <w:basedOn w:val="DefaultParagraphFont"/>
    <w:uiPriority w:val="20"/>
    <w:qFormat/>
    <w:locked/>
    <w:rsid w:val="00844D07"/>
    <w:rPr>
      <w:i/>
      <w:iCs/>
    </w:rPr>
  </w:style>
  <w:style w:type="paragraph" w:styleId="Revision">
    <w:name w:val="Revision"/>
    <w:hidden/>
    <w:semiHidden/>
    <w:locked/>
    <w:rsid w:val="001C0FD7"/>
    <w:rPr>
      <w:sz w:val="22"/>
    </w:rPr>
  </w:style>
  <w:style w:type="character" w:customStyle="1" w:styleId="wtoffscreen">
    <w:name w:val="wtoffscreen"/>
    <w:basedOn w:val="DefaultParagraphFont"/>
    <w:rsid w:val="009A7B76"/>
  </w:style>
  <w:style w:type="character" w:customStyle="1" w:styleId="Heading2Char">
    <w:name w:val="Heading 2 Char"/>
    <w:basedOn w:val="DefaultParagraphFont"/>
    <w:link w:val="Heading2"/>
    <w:uiPriority w:val="1"/>
    <w:rsid w:val="003A064B"/>
    <w:rPr>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43538">
      <w:bodyDiv w:val="1"/>
      <w:marLeft w:val="0"/>
      <w:marRight w:val="0"/>
      <w:marTop w:val="0"/>
      <w:marBottom w:val="0"/>
      <w:divBdr>
        <w:top w:val="none" w:sz="0" w:space="0" w:color="auto"/>
        <w:left w:val="none" w:sz="0" w:space="0" w:color="auto"/>
        <w:bottom w:val="none" w:sz="0" w:space="0" w:color="auto"/>
        <w:right w:val="none" w:sz="0" w:space="0" w:color="auto"/>
      </w:divBdr>
    </w:div>
    <w:div w:id="446587774">
      <w:bodyDiv w:val="1"/>
      <w:marLeft w:val="0"/>
      <w:marRight w:val="0"/>
      <w:marTop w:val="0"/>
      <w:marBottom w:val="0"/>
      <w:divBdr>
        <w:top w:val="none" w:sz="0" w:space="0" w:color="auto"/>
        <w:left w:val="none" w:sz="0" w:space="0" w:color="auto"/>
        <w:bottom w:val="none" w:sz="0" w:space="0" w:color="auto"/>
        <w:right w:val="none" w:sz="0" w:space="0" w:color="auto"/>
      </w:divBdr>
    </w:div>
    <w:div w:id="561212343">
      <w:bodyDiv w:val="1"/>
      <w:marLeft w:val="0"/>
      <w:marRight w:val="0"/>
      <w:marTop w:val="0"/>
      <w:marBottom w:val="0"/>
      <w:divBdr>
        <w:top w:val="none" w:sz="0" w:space="0" w:color="auto"/>
        <w:left w:val="none" w:sz="0" w:space="0" w:color="auto"/>
        <w:bottom w:val="none" w:sz="0" w:space="0" w:color="auto"/>
        <w:right w:val="none" w:sz="0" w:space="0" w:color="auto"/>
      </w:divBdr>
    </w:div>
    <w:div w:id="770249267">
      <w:bodyDiv w:val="1"/>
      <w:marLeft w:val="0"/>
      <w:marRight w:val="0"/>
      <w:marTop w:val="0"/>
      <w:marBottom w:val="0"/>
      <w:divBdr>
        <w:top w:val="none" w:sz="0" w:space="0" w:color="auto"/>
        <w:left w:val="none" w:sz="0" w:space="0" w:color="auto"/>
        <w:bottom w:val="none" w:sz="0" w:space="0" w:color="auto"/>
        <w:right w:val="none" w:sz="0" w:space="0" w:color="auto"/>
      </w:divBdr>
    </w:div>
    <w:div w:id="1004818981">
      <w:bodyDiv w:val="1"/>
      <w:marLeft w:val="0"/>
      <w:marRight w:val="0"/>
      <w:marTop w:val="0"/>
      <w:marBottom w:val="0"/>
      <w:divBdr>
        <w:top w:val="none" w:sz="0" w:space="0" w:color="auto"/>
        <w:left w:val="none" w:sz="0" w:space="0" w:color="auto"/>
        <w:bottom w:val="none" w:sz="0" w:space="0" w:color="auto"/>
        <w:right w:val="none" w:sz="0" w:space="0" w:color="auto"/>
      </w:divBdr>
    </w:div>
    <w:div w:id="1158837864">
      <w:bodyDiv w:val="1"/>
      <w:marLeft w:val="0"/>
      <w:marRight w:val="0"/>
      <w:marTop w:val="0"/>
      <w:marBottom w:val="0"/>
      <w:divBdr>
        <w:top w:val="none" w:sz="0" w:space="0" w:color="auto"/>
        <w:left w:val="none" w:sz="0" w:space="0" w:color="auto"/>
        <w:bottom w:val="none" w:sz="0" w:space="0" w:color="auto"/>
        <w:right w:val="none" w:sz="0" w:space="0" w:color="auto"/>
      </w:divBdr>
    </w:div>
    <w:div w:id="1254509535">
      <w:bodyDiv w:val="1"/>
      <w:marLeft w:val="0"/>
      <w:marRight w:val="0"/>
      <w:marTop w:val="0"/>
      <w:marBottom w:val="0"/>
      <w:divBdr>
        <w:top w:val="none" w:sz="0" w:space="0" w:color="auto"/>
        <w:left w:val="none" w:sz="0" w:space="0" w:color="auto"/>
        <w:bottom w:val="none" w:sz="0" w:space="0" w:color="auto"/>
        <w:right w:val="none" w:sz="0" w:space="0" w:color="auto"/>
      </w:divBdr>
    </w:div>
    <w:div w:id="1275136258">
      <w:bodyDiv w:val="1"/>
      <w:marLeft w:val="0"/>
      <w:marRight w:val="0"/>
      <w:marTop w:val="0"/>
      <w:marBottom w:val="0"/>
      <w:divBdr>
        <w:top w:val="none" w:sz="0" w:space="0" w:color="auto"/>
        <w:left w:val="none" w:sz="0" w:space="0" w:color="auto"/>
        <w:bottom w:val="none" w:sz="0" w:space="0" w:color="auto"/>
        <w:right w:val="none" w:sz="0" w:space="0" w:color="auto"/>
      </w:divBdr>
    </w:div>
    <w:div w:id="1379545057">
      <w:bodyDiv w:val="1"/>
      <w:marLeft w:val="0"/>
      <w:marRight w:val="0"/>
      <w:marTop w:val="0"/>
      <w:marBottom w:val="0"/>
      <w:divBdr>
        <w:top w:val="none" w:sz="0" w:space="0" w:color="auto"/>
        <w:left w:val="none" w:sz="0" w:space="0" w:color="auto"/>
        <w:bottom w:val="none" w:sz="0" w:space="0" w:color="auto"/>
        <w:right w:val="none" w:sz="0" w:space="0" w:color="auto"/>
      </w:divBdr>
    </w:div>
    <w:div w:id="1500777803">
      <w:bodyDiv w:val="1"/>
      <w:marLeft w:val="0"/>
      <w:marRight w:val="0"/>
      <w:marTop w:val="0"/>
      <w:marBottom w:val="0"/>
      <w:divBdr>
        <w:top w:val="none" w:sz="0" w:space="0" w:color="auto"/>
        <w:left w:val="none" w:sz="0" w:space="0" w:color="auto"/>
        <w:bottom w:val="none" w:sz="0" w:space="0" w:color="auto"/>
        <w:right w:val="none" w:sz="0" w:space="0" w:color="auto"/>
      </w:divBdr>
    </w:div>
    <w:div w:id="1596941150">
      <w:bodyDiv w:val="1"/>
      <w:marLeft w:val="0"/>
      <w:marRight w:val="0"/>
      <w:marTop w:val="0"/>
      <w:marBottom w:val="0"/>
      <w:divBdr>
        <w:top w:val="none" w:sz="0" w:space="0" w:color="auto"/>
        <w:left w:val="none" w:sz="0" w:space="0" w:color="auto"/>
        <w:bottom w:val="none" w:sz="0" w:space="0" w:color="auto"/>
        <w:right w:val="none" w:sz="0" w:space="0" w:color="auto"/>
      </w:divBdr>
    </w:div>
    <w:div w:id="1621377595">
      <w:bodyDiv w:val="1"/>
      <w:marLeft w:val="0"/>
      <w:marRight w:val="0"/>
      <w:marTop w:val="0"/>
      <w:marBottom w:val="0"/>
      <w:divBdr>
        <w:top w:val="none" w:sz="0" w:space="0" w:color="auto"/>
        <w:left w:val="none" w:sz="0" w:space="0" w:color="auto"/>
        <w:bottom w:val="none" w:sz="0" w:space="0" w:color="auto"/>
        <w:right w:val="none" w:sz="0" w:space="0" w:color="auto"/>
      </w:divBdr>
    </w:div>
    <w:div w:id="1665164490">
      <w:bodyDiv w:val="1"/>
      <w:marLeft w:val="0"/>
      <w:marRight w:val="0"/>
      <w:marTop w:val="0"/>
      <w:marBottom w:val="0"/>
      <w:divBdr>
        <w:top w:val="none" w:sz="0" w:space="0" w:color="auto"/>
        <w:left w:val="none" w:sz="0" w:space="0" w:color="auto"/>
        <w:bottom w:val="none" w:sz="0" w:space="0" w:color="auto"/>
        <w:right w:val="none" w:sz="0" w:space="0" w:color="auto"/>
      </w:divBdr>
    </w:div>
    <w:div w:id="1722706944">
      <w:bodyDiv w:val="1"/>
      <w:marLeft w:val="0"/>
      <w:marRight w:val="0"/>
      <w:marTop w:val="0"/>
      <w:marBottom w:val="0"/>
      <w:divBdr>
        <w:top w:val="none" w:sz="0" w:space="0" w:color="auto"/>
        <w:left w:val="none" w:sz="0" w:space="0" w:color="auto"/>
        <w:bottom w:val="none" w:sz="0" w:space="0" w:color="auto"/>
        <w:right w:val="none" w:sz="0" w:space="0" w:color="auto"/>
      </w:divBdr>
    </w:div>
    <w:div w:id="1909418429">
      <w:bodyDiv w:val="1"/>
      <w:marLeft w:val="0"/>
      <w:marRight w:val="0"/>
      <w:marTop w:val="0"/>
      <w:marBottom w:val="0"/>
      <w:divBdr>
        <w:top w:val="none" w:sz="0" w:space="0" w:color="auto"/>
        <w:left w:val="none" w:sz="0" w:space="0" w:color="auto"/>
        <w:bottom w:val="none" w:sz="0" w:space="0" w:color="auto"/>
        <w:right w:val="none" w:sz="0" w:space="0" w:color="auto"/>
      </w:divBdr>
    </w:div>
    <w:div w:id="1961762419">
      <w:bodyDiv w:val="1"/>
      <w:marLeft w:val="0"/>
      <w:marRight w:val="0"/>
      <w:marTop w:val="0"/>
      <w:marBottom w:val="0"/>
      <w:divBdr>
        <w:top w:val="none" w:sz="0" w:space="0" w:color="auto"/>
        <w:left w:val="none" w:sz="0" w:space="0" w:color="auto"/>
        <w:bottom w:val="none" w:sz="0" w:space="0" w:color="auto"/>
        <w:right w:val="none" w:sz="0" w:space="0" w:color="auto"/>
      </w:divBdr>
    </w:div>
    <w:div w:id="21389850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styles" Target="styl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eur-lex.europa.eu/legal-content/CS/ALL/?uri=CELEX:32019L0782" TargetMode="Externa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data/database" TargetMode="External"/><Relationship Id="rId13" Type="http://schemas.openxmlformats.org/officeDocument/2006/relationships/hyperlink" Target="https://ec.europa.eu/info/law/better-regulation/have-your-say/initiatives/12973-Statisticke-udaje-o-pesticidech-aktualizovany-seznam-ucinnych-latek_cs" TargetMode="External"/><Relationship Id="rId3" Type="http://schemas.openxmlformats.org/officeDocument/2006/relationships/hyperlink" Target="https://www.eca.europa.eu/Lists/ECADocuments/SR20_05/SR_Pesticides_CS.pdf" TargetMode="External"/><Relationship Id="rId7" Type="http://schemas.openxmlformats.org/officeDocument/2006/relationships/hyperlink" Target="https://ec.europa.eu/eurostat/web/products-catalogues/-/ks-02-18-142" TargetMode="External"/><Relationship Id="rId12" Type="http://schemas.openxmlformats.org/officeDocument/2006/relationships/hyperlink" Target="https://ec.europa.eu/food/plant/pesticides/sustainable_use_pesticides/harmonised-risk-indicators_cs" TargetMode="External"/><Relationship Id="rId2" Type="http://schemas.openxmlformats.org/officeDocument/2006/relationships/hyperlink" Target="https://ec.europa.eu/food/farm2fork_cs" TargetMode="External"/><Relationship Id="rId1" Type="http://schemas.openxmlformats.org/officeDocument/2006/relationships/hyperlink" Target="https://eur-lex.europa.eu/legal-content/CS/ALL/?uri=CELEX:52017DC0109" TargetMode="External"/><Relationship Id="rId6" Type="http://schemas.openxmlformats.org/officeDocument/2006/relationships/hyperlink" Target="https://webgate.ec.europa.eu/sdmxregistry/" TargetMode="External"/><Relationship Id="rId11" Type="http://schemas.openxmlformats.org/officeDocument/2006/relationships/hyperlink" Target="https://ec.europa.eu/eurostat/documents/749240/0/Statistics+on+the+agricultural+use+of+pesticides+in+the+EU" TargetMode="External"/><Relationship Id="rId5" Type="http://schemas.openxmlformats.org/officeDocument/2006/relationships/hyperlink" Target="https://ec.europa.eu/eurostat/cache/metadata/en/aei_pestuse_esms.htm" TargetMode="External"/><Relationship Id="rId15" Type="http://schemas.openxmlformats.org/officeDocument/2006/relationships/hyperlink" Target="https://ec.europa.eu/eurostat/web/agriculture/methodology/strategy-beyond-2020" TargetMode="External"/><Relationship Id="rId10" Type="http://schemas.openxmlformats.org/officeDocument/2006/relationships/hyperlink" Target="https://ec.europa.eu/eurostat/cache/metadata/Annexes/aei_pestuse_esms_an2.xlsx" TargetMode="External"/><Relationship Id="rId4" Type="http://schemas.openxmlformats.org/officeDocument/2006/relationships/hyperlink" Target="https://ec.europa.eu/eurostat/cache/metadata/en/aei_fm_salpest09_esms.htm" TargetMode="External"/><Relationship Id="rId9" Type="http://schemas.openxmlformats.org/officeDocument/2006/relationships/hyperlink" Target="https://ec.europa.eu/eurostat/cache/metadata/en/aei_fm_salpest09_esms.htm" TargetMode="External"/><Relationship Id="rId14" Type="http://schemas.openxmlformats.org/officeDocument/2006/relationships/hyperlink" Target="https://eur-lex.europa.eu/legal-content/CS/TXT/?uri=celex:52016SC04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OriginalAuthorRoleName="Writer" OriginalAuthorRoleId="a4fbaff4-b07c-48b4-a21e-e7b9eedf3796" ContentControlTitle="EC Header - Standard">
  <Id>f7b18d0e-e082-48dd-b71a-87c27bfa012d</Id>
  <Names>
    <Latin>
      <FirstName>Ebba</FirstName>
      <LastName>BARANY</LastName>
    </Latin>
    <Greek>
      <FirstName/>
      <LastName/>
    </Greek>
    <Cyrillic>
      <FirstName/>
      <LastName/>
    </Cyrillic>
    <DocumentScript>
      <FirstName>Ebba</FirstName>
      <LastName>BARANY</LastName>
      <FullName>Ebba BARANY</FullName>
    </DocumentScript>
  </Names>
  <Initials>EB</Initials>
  <Gender>f</Gender>
  <Email>Ebba.BARANY@ec.europa.eu</Email>
  <Service>ESTAT.E.1</Service>
  <Function ADCode="" ShowInSignature="true" ShowInHeader="false" HeaderText="">Team Leader</Function>
  <WebAddress/>
  <InheritedWebAddress>WebAddress</InheritedWebAddress>
  <OrgaEntity1>
    <Id>25d24451-9908-4f0e-9a6d-f256cf91ab7b</Id>
    <LogicalLevel>1</LogicalLevel>
    <Name>ESTAT</Name>
    <HeadLine1>EUROSTAT</HeadLine1>
    <HeadLine2/>
    <PrimaryAddressId>1264fb81-f6bb-475e-9f9d-a937d3be6ee2</PrimaryAddressId>
    <SecondaryAddressId/>
    <WebAddress>WebAddress</WebAddress>
    <InheritedWebAddress>WebAddress</InheritedWebAddress>
    <ShowInHeader>true</ShowInHeader>
  </OrgaEntity1>
  <OrgaEntity2>
    <Id>88c0864d-e69e-4773-8d1b-a9c9f43ec548</Id>
    <LogicalLevel>2</LogicalLevel>
    <Name>ESTAT.E</Name>
    <HeadLine1>Directorate E: Sectoral and regional statistics</HeadLine1>
    <HeadLine2/>
    <PrimaryAddressId>1264fb81-f6bb-475e-9f9d-a937d3be6ee2</PrimaryAddressId>
    <SecondaryAddressId/>
    <WebAddress/>
    <InheritedWebAddress>WebAddress</InheritedWebAddress>
    <ShowInHeader>true</ShowInHeader>
  </OrgaEntity2>
  <OrgaEntity3>
    <Id>01fc5454-7140-4274-a34e-9335bc1d21d9</Id>
    <LogicalLevel>3</LogicalLevel>
    <Name>ESTAT.E.1</Name>
    <HeadLine1>Unit E-1: Agriculture and fisheries</HeadLine1>
    <HeadLine2/>
    <PrimaryAddressId>1264fb81-f6bb-475e-9f9d-a937d3be6ee2</PrimaryAddressId>
    <SecondaryAddressId/>
    <WebAddress/>
    <InheritedWebAddress>WebAddress</InheritedWebAddress>
    <ShowInHeader>true</ShowInHeader>
  </OrgaEntity3>
  <Hierarchy>
    <OrgaEntity>
      <Id>25d24451-9908-4f0e-9a6d-f256cf91ab7b</Id>
      <LogicalLevel>1</LogicalLevel>
      <Name>ESTAT</Name>
      <HeadLine1>EUROSTAT</HeadLine1>
      <HeadLine2/>
      <PrimaryAddressId>1264fb81-f6bb-475e-9f9d-a937d3be6ee2</PrimaryAddressId>
      <SecondaryAddressId/>
      <WebAddress>WebAddress</WebAddress>
      <InheritedWebAddress>WebAddress</InheritedWebAddress>
      <ShowInHeader>true</ShowInHeader>
    </OrgaEntity>
    <OrgaEntity>
      <Id>88c0864d-e69e-4773-8d1b-a9c9f43ec548</Id>
      <LogicalLevel>2</LogicalLevel>
      <Name>ESTAT.E</Name>
      <HeadLine1>Directorate E: Sectoral and regional statistics</HeadLine1>
      <HeadLine2/>
      <PrimaryAddressId>1264fb81-f6bb-475e-9f9d-a937d3be6ee2</PrimaryAddressId>
      <SecondaryAddressId/>
      <WebAddress/>
      <InheritedWebAddress>WebAddress</InheritedWebAddress>
      <ShowInHeader>true</ShowInHeader>
    </OrgaEntity>
    <OrgaEntity>
      <Id>01fc5454-7140-4274-a34e-9335bc1d21d9</Id>
      <LogicalLevel>3</LogicalLevel>
      <Name>ESTAT.E.1</Name>
      <HeadLine1>Unit E-1: Agriculture and fisheries</HeadLine1>
      <HeadLine2/>
      <PrimaryAddressId>1264fb81-f6bb-475e-9f9d-a937d3be6ee2</PrimaryAddressId>
      <SecondaryAddressId/>
      <WebAddress/>
      <InheritedWebAddress>WebAddress</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1264fb81-f6bb-475e-9f9d-a937d3be6ee2</AddressId>
    <Fax/>
    <Phone>+352 4301-34290</Phone>
    <Office>BECH B2/454</Office>
  </MainWorkplace>
  <Workplaces>
    <Workplace IsMain="false">
      <AddressId>f03b5801-04c9-4931-aa17-c6d6c70bc579</AddressId>
      <Fax/>
      <Phone/>
      <Office/>
    </Workplace>
    <Workplace IsMain="true">
      <AddressId>1264fb81-f6bb-475e-9f9d-a937d3be6ee2</AddressId>
      <Fax/>
      <Phone>+352 4301-34290</Phone>
      <Office>BECH B2/454</Office>
    </Workplace>
  </Workplaces>
</Author>
</file>

<file path=customXml/item2.xml><?xml version="1.0" encoding="utf-8"?>
<Author OriginalAuthorRoleName="Writer" OriginalAuthorRoleId="a4fbaff4-b07c-48b4-a21e-e7b9eedf3796" ContentControlTitle="EC Footer - Standard ">
  <Id>f7b18d0e-e082-48dd-b71a-87c27bfa012d</Id>
  <Names>
    <Latin>
      <FirstName>Ebba</FirstName>
      <LastName>BARANY</LastName>
    </Latin>
    <Greek>
      <FirstName/>
      <LastName/>
    </Greek>
    <Cyrillic>
      <FirstName/>
      <LastName/>
    </Cyrillic>
    <DocumentScript>
      <FirstName>Ebba</FirstName>
      <LastName>BARANY</LastName>
      <FullName>Ebba BARANY</FullName>
    </DocumentScript>
  </Names>
  <Initials>EB</Initials>
  <Gender>f</Gender>
  <Email>Ebba.BARANY@ec.europa.eu</Email>
  <Service>ESTAT.E.1</Service>
  <Function ADCode="" ShowInSignature="true" ShowInHeader="false" HeaderText="">Team Leader</Function>
  <WebAddress/>
  <InheritedWebAddress>WebAddress</InheritedWebAddress>
  <OrgaEntity1>
    <Id>25d24451-9908-4f0e-9a6d-f256cf91ab7b</Id>
    <LogicalLevel>1</LogicalLevel>
    <Name>ESTAT</Name>
    <HeadLine1>EUROSTAT</HeadLine1>
    <HeadLine2/>
    <PrimaryAddressId>1264fb81-f6bb-475e-9f9d-a937d3be6ee2</PrimaryAddressId>
    <SecondaryAddressId/>
    <WebAddress>WebAddress</WebAddress>
    <InheritedWebAddress>WebAddress</InheritedWebAddress>
    <ShowInHeader>true</ShowInHeader>
  </OrgaEntity1>
  <OrgaEntity2>
    <Id>88c0864d-e69e-4773-8d1b-a9c9f43ec548</Id>
    <LogicalLevel>2</LogicalLevel>
    <Name>ESTAT.E</Name>
    <HeadLine1>Directorate E: Sectoral and regional statistics</HeadLine1>
    <HeadLine2/>
    <PrimaryAddressId>1264fb81-f6bb-475e-9f9d-a937d3be6ee2</PrimaryAddressId>
    <SecondaryAddressId/>
    <WebAddress/>
    <InheritedWebAddress>WebAddress</InheritedWebAddress>
    <ShowInHeader>true</ShowInHeader>
  </OrgaEntity2>
  <OrgaEntity3>
    <Id>01fc5454-7140-4274-a34e-9335bc1d21d9</Id>
    <LogicalLevel>3</LogicalLevel>
    <Name>ESTAT.E.1</Name>
    <HeadLine1>Unit E-1: Agriculture and fisheries</HeadLine1>
    <HeadLine2/>
    <PrimaryAddressId>1264fb81-f6bb-475e-9f9d-a937d3be6ee2</PrimaryAddressId>
    <SecondaryAddressId/>
    <WebAddress/>
    <InheritedWebAddress>WebAddress</InheritedWebAddress>
    <ShowInHeader>true</ShowInHeader>
  </OrgaEntity3>
  <Hierarchy>
    <OrgaEntity>
      <Id>25d24451-9908-4f0e-9a6d-f256cf91ab7b</Id>
      <LogicalLevel>1</LogicalLevel>
      <Name>ESTAT</Name>
      <HeadLine1>EUROSTAT</HeadLine1>
      <HeadLine2/>
      <PrimaryAddressId>1264fb81-f6bb-475e-9f9d-a937d3be6ee2</PrimaryAddressId>
      <SecondaryAddressId/>
      <WebAddress>WebAddress</WebAddress>
      <InheritedWebAddress>WebAddress</InheritedWebAddress>
      <ShowInHeader>true</ShowInHeader>
    </OrgaEntity>
    <OrgaEntity>
      <Id>88c0864d-e69e-4773-8d1b-a9c9f43ec548</Id>
      <LogicalLevel>2</LogicalLevel>
      <Name>ESTAT.E</Name>
      <HeadLine1>Directorate E: Sectoral and regional statistics</HeadLine1>
      <HeadLine2/>
      <PrimaryAddressId>1264fb81-f6bb-475e-9f9d-a937d3be6ee2</PrimaryAddressId>
      <SecondaryAddressId/>
      <WebAddress/>
      <InheritedWebAddress>WebAddress</InheritedWebAddress>
      <ShowInHeader>true</ShowInHeader>
    </OrgaEntity>
    <OrgaEntity>
      <Id>01fc5454-7140-4274-a34e-9335bc1d21d9</Id>
      <LogicalLevel>3</LogicalLevel>
      <Name>ESTAT.E.1</Name>
      <HeadLine1>Unit E-1: Agriculture and fisheries</HeadLine1>
      <HeadLine2/>
      <PrimaryAddressId>1264fb81-f6bb-475e-9f9d-a937d3be6ee2</PrimaryAddressId>
      <SecondaryAddressId/>
      <WebAddress/>
      <InheritedWebAddress>WebAddress</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1264fb81-f6bb-475e-9f9d-a937d3be6ee2</AddressId>
    <Fax/>
    <Phone>+352 4301-34290</Phone>
    <Office>BECH B2/454</Office>
  </MainWorkplace>
  <Workplaces>
    <Workplace IsMain="false">
      <AddressId>f03b5801-04c9-4931-aa17-c6d6c70bc579</AddressId>
      <Fax/>
      <Phone/>
      <Office/>
    </Workplace>
    <Workplace IsMain="true">
      <AddressId>1264fb81-f6bb-475e-9f9d-a937d3be6ee2</AddressId>
      <Fax/>
      <Phone>+352 4301-34290</Phone>
      <Office>BECH B2/454</Office>
    </Workplace>
  </Workplaces>
</Author>
</file>

<file path=customXml/item3.xml><?xml version="1.0" encoding="utf-8"?>
<Author Role="Creator" AuthorRoleName="Writer" AuthorRoleId="a4fbaff4-b07c-48b4-a21e-e7b9eedf3796">
  <Id>cf6073cf-29c5-4d08-b5a0-6f13a28b5475</Id>
  <Names>
    <Latin>
      <FirstName>Christine</FirstName>
      <LastName>WIRTZ</LastName>
    </Latin>
    <Greek>
      <FirstName/>
      <LastName/>
    </Greek>
    <Cyrillic>
      <FirstName/>
      <LastName/>
    </Cyrillic>
    <DocumentScript>
      <FirstName>Christine</FirstName>
      <LastName>WIRTZ</LastName>
      <FullName>Christine WIRTZ</FullName>
    </DocumentScript>
  </Names>
  <Initials>CW</Initials>
  <Gender>f</Gender>
  <Email>Christine.Wirtz@ec.europa.eu</Email>
  <Service>ESTAT.E</Service>
  <Function ADCode="" ShowInSignature="true" ShowInHeader="false" HeaderText=""/>
  <WebAddress/>
  <InheritedWebAddress>WebAddress</InheritedWebAddress>
  <OrgaEntity1>
    <Id>25d24451-9908-4f0e-9a6d-f256cf91ab7b</Id>
    <LogicalLevel>1</LogicalLevel>
    <Name>ESTAT</Name>
    <HeadLine1>EUROSTAT</HeadLine1>
    <HeadLine2/>
    <PrimaryAddressId>1264fb81-f6bb-475e-9f9d-a937d3be6ee2</PrimaryAddressId>
    <SecondaryAddressId/>
    <WebAddress>WebAddress</WebAddress>
    <InheritedWebAddress>WebAddress</InheritedWebAddress>
    <ShowInHeader>true</ShowInHeader>
  </OrgaEntity1>
  <OrgaEntity2>
    <Id>88c0864d-e69e-4773-8d1b-a9c9f43ec548</Id>
    <LogicalLevel>2</LogicalLevel>
    <Name>ESTAT.E</Name>
    <HeadLine1>Directorate E: Sectoral and regional statistics</HeadLine1>
    <HeadLine2/>
    <PrimaryAddressId>1264fb81-f6bb-475e-9f9d-a937d3be6ee2</PrimaryAddressId>
    <SecondaryAddressId/>
    <WebAddress/>
    <InheritedWebAddress>WebAddress</InheritedWebAddress>
    <ShowInHeader>true</ShowInHeader>
  </OrgaEntity2>
  <OrgaEntity3>
    <Id>e3e534e6-c921-49e6-90e9-3c26d8116a9b</Id>
    <LogicalLevel>3</LogicalLevel>
    <Name>ESTAT.E</Name>
    <HeadLine1>The Director (acting)</HeadLine1>
    <HeadLine2/>
    <PrimaryAddressId>1264fb81-f6bb-475e-9f9d-a937d3be6ee2</PrimaryAddressId>
    <SecondaryAddressId/>
    <WebAddress/>
    <InheritedWebAddress>WebAddress</InheritedWebAddress>
    <ShowInHeader>true</ShowInHeader>
  </OrgaEntity3>
  <Hierarchy>
    <OrgaEntity>
      <Id>25d24451-9908-4f0e-9a6d-f256cf91ab7b</Id>
      <LogicalLevel>1</LogicalLevel>
      <Name>ESTAT</Name>
      <HeadLine1>EUROSTAT</HeadLine1>
      <HeadLine2/>
      <PrimaryAddressId>1264fb81-f6bb-475e-9f9d-a937d3be6ee2</PrimaryAddressId>
      <SecondaryAddressId/>
      <WebAddress>WebAddress</WebAddress>
      <InheritedWebAddress>WebAddress</InheritedWebAddress>
      <ShowInHeader>true</ShowInHeader>
    </OrgaEntity>
    <OrgaEntity>
      <Id>88c0864d-e69e-4773-8d1b-a9c9f43ec548</Id>
      <LogicalLevel>2</LogicalLevel>
      <Name>ESTAT.E</Name>
      <HeadLine1>Directorate E: Sectoral and regional statistics</HeadLine1>
      <HeadLine2/>
      <PrimaryAddressId>1264fb81-f6bb-475e-9f9d-a937d3be6ee2</PrimaryAddressId>
      <SecondaryAddressId/>
      <WebAddress/>
      <InheritedWebAddress>WebAddress</InheritedWebAddress>
      <ShowInHeader>true</ShowInHeader>
    </OrgaEntity>
    <OrgaEntity>
      <Id>e3e534e6-c921-49e6-90e9-3c26d8116a9b</Id>
      <LogicalLevel>3</LogicalLevel>
      <Name>ESTAT.E</Name>
      <HeadLine1>The Director (acting)</HeadLine1>
      <HeadLine2/>
      <PrimaryAddressId>1264fb81-f6bb-475e-9f9d-a937d3be6ee2</PrimaryAddressId>
      <SecondaryAddressId/>
      <WebAddress/>
      <InheritedWebAddress>WebAddress</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d784bf9c-ad66-43f8-999d-e9deefc3b8cc</JobAssignmentId>
  <MainWorkplace IsMain="true">
    <AddressId>1264fb81-f6bb-475e-9f9d-a937d3be6ee2</AddressId>
    <Fax/>
    <Phone>+352 4301-34994</Phone>
    <Office>BECH A4/132</Office>
  </MainWorkplace>
  <Workplaces>
    <Workplace IsMain="true">
      <AddressId>1264fb81-f6bb-475e-9f9d-a937d3be6ee2</AddressId>
      <Fax/>
      <Phone>+352 4301-34994</Phone>
      <Office>BECH A4/132</Office>
    </Workplace>
    <Workplace IsMain="false">
      <AddressId>f03b5801-04c9-4931-aa17-c6d6c70bc579</AddressId>
      <Fax/>
      <Phone/>
      <Office/>
    </Workplace>
  </Workplaces>
</Author>
</file>

<file path=customXml/item4.xml><?xml version="1.0" encoding="utf-8"?>
<Author OriginalAuthorRoleName="Writer" OriginalAuthorRoleId="a4fbaff4-b07c-48b4-a21e-e7b9eedf3796" ContentControlTitle="Email Address">
  <Id>f7b18d0e-e082-48dd-b71a-87c27bfa012d</Id>
  <Names>
    <Latin>
      <FirstName>Ebba</FirstName>
      <LastName>BARANY</LastName>
    </Latin>
    <Greek>
      <FirstName/>
      <LastName/>
    </Greek>
    <Cyrillic>
      <FirstName/>
      <LastName/>
    </Cyrillic>
    <DocumentScript>
      <FirstName>Ebba</FirstName>
      <LastName>BARANY</LastName>
      <FullName>Ebba BARANY</FullName>
    </DocumentScript>
  </Names>
  <Initials>EB</Initials>
  <Gender>f</Gender>
  <Email>Ebba.BARANY@ec.europa.eu</Email>
  <Service>ESTAT.E.1</Service>
  <Function ADCode="" ShowInSignature="true" ShowInHeader="false" HeaderText="">Team Leader</Function>
  <WebAddress/>
  <InheritedWebAddress>WebAddress</InheritedWebAddress>
  <OrgaEntity1>
    <Id>25d24451-9908-4f0e-9a6d-f256cf91ab7b</Id>
    <LogicalLevel>1</LogicalLevel>
    <Name>ESTAT</Name>
    <HeadLine1>EUROSTAT</HeadLine1>
    <HeadLine2/>
    <PrimaryAddressId>1264fb81-f6bb-475e-9f9d-a937d3be6ee2</PrimaryAddressId>
    <SecondaryAddressId/>
    <WebAddress>WebAddress</WebAddress>
    <InheritedWebAddress>WebAddress</InheritedWebAddress>
    <ShowInHeader>true</ShowInHeader>
  </OrgaEntity1>
  <OrgaEntity2>
    <Id>88c0864d-e69e-4773-8d1b-a9c9f43ec548</Id>
    <LogicalLevel>2</LogicalLevel>
    <Name>ESTAT.E</Name>
    <HeadLine1>Directorate E: Sectoral and regional statistics</HeadLine1>
    <HeadLine2/>
    <PrimaryAddressId>1264fb81-f6bb-475e-9f9d-a937d3be6ee2</PrimaryAddressId>
    <SecondaryAddressId/>
    <WebAddress/>
    <InheritedWebAddress>WebAddress</InheritedWebAddress>
    <ShowInHeader>true</ShowInHeader>
  </OrgaEntity2>
  <OrgaEntity3>
    <Id>01fc5454-7140-4274-a34e-9335bc1d21d9</Id>
    <LogicalLevel>3</LogicalLevel>
    <Name>ESTAT.E.1</Name>
    <HeadLine1>Unit E-1: Agriculture and fisheries</HeadLine1>
    <HeadLine2/>
    <PrimaryAddressId>1264fb81-f6bb-475e-9f9d-a937d3be6ee2</PrimaryAddressId>
    <SecondaryAddressId/>
    <WebAddress/>
    <InheritedWebAddress>WebAddress</InheritedWebAddress>
    <ShowInHeader>true</ShowInHeader>
  </OrgaEntity3>
  <Hierarchy>
    <OrgaEntity>
      <Id>25d24451-9908-4f0e-9a6d-f256cf91ab7b</Id>
      <LogicalLevel>1</LogicalLevel>
      <Name>ESTAT</Name>
      <HeadLine1>EUROSTAT</HeadLine1>
      <HeadLine2/>
      <PrimaryAddressId>1264fb81-f6bb-475e-9f9d-a937d3be6ee2</PrimaryAddressId>
      <SecondaryAddressId/>
      <WebAddress>WebAddress</WebAddress>
      <InheritedWebAddress>WebAddress</InheritedWebAddress>
      <ShowInHeader>true</ShowInHeader>
    </OrgaEntity>
    <OrgaEntity>
      <Id>88c0864d-e69e-4773-8d1b-a9c9f43ec548</Id>
      <LogicalLevel>2</LogicalLevel>
      <Name>ESTAT.E</Name>
      <HeadLine1>Directorate E: Sectoral and regional statistics</HeadLine1>
      <HeadLine2/>
      <PrimaryAddressId>1264fb81-f6bb-475e-9f9d-a937d3be6ee2</PrimaryAddressId>
      <SecondaryAddressId/>
      <WebAddress/>
      <InheritedWebAddress>WebAddress</InheritedWebAddress>
      <ShowInHeader>true</ShowInHeader>
    </OrgaEntity>
    <OrgaEntity>
      <Id>01fc5454-7140-4274-a34e-9335bc1d21d9</Id>
      <LogicalLevel>3</LogicalLevel>
      <Name>ESTAT.E.1</Name>
      <HeadLine1>Unit E-1: Agriculture and fisheries</HeadLine1>
      <HeadLine2/>
      <PrimaryAddressId>1264fb81-f6bb-475e-9f9d-a937d3be6ee2</PrimaryAddressId>
      <SecondaryAddressId/>
      <WebAddress/>
      <InheritedWebAddress>WebAddress</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1264fb81-f6bb-475e-9f9d-a937d3be6ee2</AddressId>
    <Fax/>
    <Phone>+352 4301-34290</Phone>
    <Office>BECH B2/454</Office>
  </MainWorkplace>
  <Workplaces>
    <Workplace IsMain="false">
      <AddressId>f03b5801-04c9-4931-aa17-c6d6c70bc579</AddressId>
      <Fax/>
      <Phone/>
      <Office/>
    </Workplace>
    <Workplace IsMain="true">
      <AddressId>1264fb81-f6bb-475e-9f9d-a937d3be6ee2</AddressId>
      <Fax/>
      <Phone>+352 4301-34290</Phone>
      <Office>BECH B2/454</Office>
    </Workplace>
  </Workplaces>
</Author>
</file>

<file path=customXml/item5.xml><?xml version="1.0" encoding="utf-8"?>
<EurolookProperties>
  <ProductCustomizationId>EC</ProductCustomizationId>
  <Created>
    <Version>10.0.41789.0</Version>
    <Date>2021-02-23T14:02:33</Date>
    <Language>EN</Language>
    <Note>Created using 'Convert To Eurolook'</Note>
  </Created>
  <Edited>
    <Version>10.0.42447.0</Version>
    <Date>2021-11-12T16:08:10</Date>
  </Edited>
  <DocumentModel>
    <Id>34954475-997f-4cb0-a95b-7f65298f3d8c</Id>
    <Name>Report (long)</Name>
  </DocumentModel>
  <DocumentDate>2021-02-23T14:02:33</DocumentDate>
  <DocumentVersion>0.1</DocumentVersion>
  <CompatibilityMode>Eurolook10</CompatibilityMode>
  <DocumentMetadata>
    <EC_SecurityDistributionWorkingGroup MetadataSerializationType="SimpleValue"/>
    <EC_SecurityDistributionDG MetadataSerializationType="SimpleValue"/>
    <EC_SecurityDistributionSensitive MetadataSerializationType="SimpleValue"/>
    <EC_SecurityDistributionSpecialHandling MetadataSerializationType="SimpleValue"/>
    <EC_SecurityMarking MetadataSerializationType="SimpleValue"/>
    <EC_SecurityDateMarking MetadataSerializationType="SimpleValue"/>
    <EC_SecurityReleasability MetadataSerializationType="SimpleValue"/>
    <EC_SecurityDateMarkingEvent MetadataSerializationType="SimpleValue"/>
    <EC_SecurityDateMarkingDate MetadataSerializationType="SimpleValue"/>
  </DocumentMetadata>
</EurolookProperties>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MarkingUntilText>UNTIL</MarkingUntilText>
  <OrgaRoot>EUROPEAN COMMISSION</OrgaRoot>
  <SecurityPharma>Pharma Investigations</SecurityPharma>
  <ClimaSensitive>CLIMA</ClimaSensitive>
  <SecurityEmbargo>EMBARGO UNTIL</SecurityEmbargo>
  <Contact>Contact:</Contact>
  <Contacts>Contacts:</Contacts>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TOCHeading>Table of Contents</TOCHeading>
  <SecurityCompOperations>COMP Operations</SecurityCompOperations>
  <SecurityOpinionLegalService>Opinion of the Legal Service</SecurityOpinionLegalServi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ContactFax>fax</ContactFax>
  <ContactTextPattern>%Name%[, %Function%][, %Office%][, %Phone%][, %Fax%][, %Email%][, %Dg%][, %Directorate%][, %Unit%]</ContactTextPattern>
  <ContactTel>tel.</ContactTel>
  <ContactOffice>office</ContactOffice>
  <SecurityMedicalSecret>Medical Secret</SecurityMedicalSecret>
  <TechHistoryCreatedBy>Document created by</TechHistoryCreatedBy>
  <TechHistoryDate>Date</TechHistoryDate>
  <TechHistory>Document History</TechHistory>
  <TechHistoryComment>Comment</TechHistoryComment>
  <TechHistoryVersion>Version</TechHistoryVersion>
  <SecurityStaffMatter>Staff Matter</SecurityStaffMatter>
  <SecurityMediationServiceMatter>Mediation Service</SecurityMediationServiceMatter>
  <SecurityReleasable>RELEASABLE TO:</SecurityReleasable>
  <LabelPictureSeq>Figure {SEQ Figure \* ARABIC }: </LabelPictureSeq>
  <LabelSource>Source</LabelSource>
  <TechPropsRefno>Reference Number:</TechPropsRefno>
  <TechPropsRevised>Revised by:</TechPropsRevised>
  <TechPropsVersion>Version:</TechPropsVersion>
  <TechPropsApproved>Approved by:</TechPropsApproved>
  <TechPropsAuthors>Authors:</TechPropsAuthors>
  <TechPropsPublic>Public:</TechPropsPublic>
  <TechPropsDate>Date:</TechPropsDate>
  <TechFooterVersion>verze dokumentu</TechFooterVersion>
  <TechFooterDated>ze dne</TechFooterDated>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Figure>Figure </Figure>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7.xml><?xml version="1.0" encoding="utf-8"?>
<Author OriginalAuthorRoleName="Writer" OriginalAuthorRoleId="a4fbaff4-b07c-48b4-a21e-e7b9eedf3796" ContentControlTitle="Properties Table">
  <Id>f7b18d0e-e082-48dd-b71a-87c27bfa012d</Id>
  <Names>
    <Latin>
      <FirstName>Ebba</FirstName>
      <LastName>BARANY</LastName>
    </Latin>
    <Greek>
      <FirstName/>
      <LastName/>
    </Greek>
    <Cyrillic>
      <FirstName/>
      <LastName/>
    </Cyrillic>
    <DocumentScript>
      <FirstName>Ebba</FirstName>
      <LastName>BARANY</LastName>
      <FullName>Ebba BARANY</FullName>
    </DocumentScript>
  </Names>
  <Initials>EB</Initials>
  <Gender>f</Gender>
  <Email>Ebba.BARANY@ec.europa.eu</Email>
  <Service>ESTAT.E.1</Service>
  <Function ADCode="" ShowInSignature="true" ShowInHeader="false" HeaderText="">Team Leader</Function>
  <WebAddress/>
  <InheritedWebAddress>WebAddress</InheritedWebAddress>
  <OrgaEntity1>
    <Id>25d24451-9908-4f0e-9a6d-f256cf91ab7b</Id>
    <LogicalLevel>1</LogicalLevel>
    <Name>ESTAT</Name>
    <HeadLine1>EUROSTAT</HeadLine1>
    <HeadLine2/>
    <PrimaryAddressId>1264fb81-f6bb-475e-9f9d-a937d3be6ee2</PrimaryAddressId>
    <SecondaryAddressId/>
    <WebAddress>WebAddress</WebAddress>
    <InheritedWebAddress>WebAddress</InheritedWebAddress>
    <ShowInHeader>true</ShowInHeader>
  </OrgaEntity1>
  <OrgaEntity2>
    <Id>88c0864d-e69e-4773-8d1b-a9c9f43ec548</Id>
    <LogicalLevel>2</LogicalLevel>
    <Name>ESTAT.E</Name>
    <HeadLine1>Directorate E: Sectoral and regional statistics</HeadLine1>
    <HeadLine2/>
    <PrimaryAddressId>1264fb81-f6bb-475e-9f9d-a937d3be6ee2</PrimaryAddressId>
    <SecondaryAddressId/>
    <WebAddress/>
    <InheritedWebAddress>WebAddress</InheritedWebAddress>
    <ShowInHeader>true</ShowInHeader>
  </OrgaEntity2>
  <OrgaEntity3>
    <Id>01fc5454-7140-4274-a34e-9335bc1d21d9</Id>
    <LogicalLevel>3</LogicalLevel>
    <Name>ESTAT.E.1</Name>
    <HeadLine1>Unit E-1: Agriculture and fisheries</HeadLine1>
    <HeadLine2/>
    <PrimaryAddressId>1264fb81-f6bb-475e-9f9d-a937d3be6ee2</PrimaryAddressId>
    <SecondaryAddressId/>
    <WebAddress/>
    <InheritedWebAddress>WebAddress</InheritedWebAddress>
    <ShowInHeader>true</ShowInHeader>
  </OrgaEntity3>
  <Hierarchy>
    <OrgaEntity>
      <Id>25d24451-9908-4f0e-9a6d-f256cf91ab7b</Id>
      <LogicalLevel>1</LogicalLevel>
      <Name>ESTAT</Name>
      <HeadLine1>EUROSTAT</HeadLine1>
      <HeadLine2/>
      <PrimaryAddressId>1264fb81-f6bb-475e-9f9d-a937d3be6ee2</PrimaryAddressId>
      <SecondaryAddressId/>
      <WebAddress>WebAddress</WebAddress>
      <InheritedWebAddress>WebAddress</InheritedWebAddress>
      <ShowInHeader>true</ShowInHeader>
    </OrgaEntity>
    <OrgaEntity>
      <Id>88c0864d-e69e-4773-8d1b-a9c9f43ec548</Id>
      <LogicalLevel>2</LogicalLevel>
      <Name>ESTAT.E</Name>
      <HeadLine1>Directorate E: Sectoral and regional statistics</HeadLine1>
      <HeadLine2/>
      <PrimaryAddressId>1264fb81-f6bb-475e-9f9d-a937d3be6ee2</PrimaryAddressId>
      <SecondaryAddressId/>
      <WebAddress/>
      <InheritedWebAddress>WebAddress</InheritedWebAddress>
      <ShowInHeader>true</ShowInHeader>
    </OrgaEntity>
    <OrgaEntity>
      <Id>01fc5454-7140-4274-a34e-9335bc1d21d9</Id>
      <LogicalLevel>3</LogicalLevel>
      <Name>ESTAT.E.1</Name>
      <HeadLine1>Unit E-1: Agriculture and fisheries</HeadLine1>
      <HeadLine2/>
      <PrimaryAddressId>1264fb81-f6bb-475e-9f9d-a937d3be6ee2</PrimaryAddressId>
      <SecondaryAddressId/>
      <WebAddress/>
      <InheritedWebAddress>WebAddress</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1264fb81-f6bb-475e-9f9d-a937d3be6ee2</AddressId>
    <Fax/>
    <Phone>+352 4301-34290</Phone>
    <Office>BECH B2/454</Office>
  </MainWorkplace>
  <Workplaces>
    <Workplace IsMain="false">
      <AddressId>f03b5801-04c9-4931-aa17-c6d6c70bc579</AddressId>
      <Fax/>
      <Phone/>
      <Office/>
    </Workplace>
    <Workplace IsMain="true">
      <AddressId>1264fb81-f6bb-475e-9f9d-a937d3be6ee2</AddressId>
      <Fax/>
      <Phone>+352 4301-34290</Phone>
      <Office>BECH B2/454</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00E50-EF64-4E6D-8419-06C94F6A4AEA}">
  <ds:schemaRefs/>
</ds:datastoreItem>
</file>

<file path=customXml/itemProps2.xml><?xml version="1.0" encoding="utf-8"?>
<ds:datastoreItem xmlns:ds="http://schemas.openxmlformats.org/officeDocument/2006/customXml" ds:itemID="{6DF12A5A-41C9-4689-A75B-CBD0634AE4B4}">
  <ds:schemaRefs/>
</ds:datastoreItem>
</file>

<file path=customXml/itemProps3.xml><?xml version="1.0" encoding="utf-8"?>
<ds:datastoreItem xmlns:ds="http://schemas.openxmlformats.org/officeDocument/2006/customXml" ds:itemID="{AC680BD9-A000-48F9-8960-F5DCA1E742F7}">
  <ds:schemaRefs/>
</ds:datastoreItem>
</file>

<file path=customXml/itemProps4.xml><?xml version="1.0" encoding="utf-8"?>
<ds:datastoreItem xmlns:ds="http://schemas.openxmlformats.org/officeDocument/2006/customXml" ds:itemID="{F6B80320-E48A-44A8-94DF-B2D934A6F3B3}">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B54189AC-18CB-44DF-96AC-418D2AD56D04}">
  <ds:schemaRefs/>
</ds:datastoreItem>
</file>

<file path=customXml/itemProps8.xml><?xml version="1.0" encoding="utf-8"?>
<ds:datastoreItem xmlns:ds="http://schemas.openxmlformats.org/officeDocument/2006/customXml" ds:itemID="{1363C46C-6C34-4B3A-8E63-5DA06EA10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Eurolook.dotm</Template>
  <TotalTime>16</TotalTime>
  <Pages>12</Pages>
  <Words>3773</Words>
  <Characters>23169</Characters>
  <Application>Microsoft Office Word</Application>
  <DocSecurity>0</DocSecurity>
  <PresentationFormat>Microsoft Word 14.0</PresentationFormat>
  <Lines>356</Lines>
  <Paragraphs>106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35</cp:revision>
  <dcterms:created xsi:type="dcterms:W3CDTF">2021-12-07T09:01:00Z</dcterms:created>
  <dcterms:modified xsi:type="dcterms:W3CDTF">2021-12-14T12:35:00Z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7.0.1, Build 20200226</vt:lpwstr>
  </property>
  <property fmtid="{D5CDD505-2E9C-101B-9397-08002B2CF9AE}" pid="8" name="Created using">
    <vt:lpwstr>LW 7.0.1, Build 20190916</vt:lpwstr>
  </property>
  <property fmtid="{D5CDD505-2E9C-101B-9397-08002B2CF9AE}" pid="9" name="_DocHome">
    <vt:i4>-195284345</vt:i4>
  </property>
  <property fmtid="{D5CDD505-2E9C-101B-9397-08002B2CF9AE}" pid="10" name="_LW_INVALIDATED__LW_INVALIDATED__LW_INVALIDATED__LW_INVALIDATED__LW_INVALIDATED__LW_INVALIDATED__LW_INVALIDATED__LW_INVALIDATED__LW_INVALIDATED__LW_INVALIDATED__LW_INVALIDATED__LW_INVALIDATED__LW_INVALIDATED_EurolookVersion">
    <vt:lpwstr>10.0</vt:lpwstr>
  </property>
  <property fmtid="{D5CDD505-2E9C-101B-9397-08002B2CF9AE}" pid="11" name="_LW_INVALIDATED__LW_INVALIDATED__LW_INVALIDATED__LW_INVALIDATED__LW_INVALIDATED__LW_INVALIDATED__LW_INVALIDATED__LW_INVALIDATED__LW_INVALIDATED__LW_INVALIDATED__LW_INVALIDATED__LW_INVALIDATED__LW_INVALIDATED_ELDocType">
    <vt:lpwstr>tech.dot</vt:lpwstr>
  </property>
  <property name="OP_sanitized" fmtid="{D5CDD505-2E9C-101B-9397-08002B2CF9AE}" pid="12">
    <vt:lpwstr>True</vt:lpwstr>
  </property>
</Properties>
</file>