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  <w:lang w:val="en-IE"/>
        </w:rPr>
      </w:pPr>
      <w:bookmarkStart w:id="0" w:name="LW_BM_COVERPAGE"/>
      <w:r>
        <w:rPr>
          <w:noProof/>
          <w:lang w:val="en-I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F36CDEDF-0A59-416E-AC79-18AFEEEF3905" style="width:450.75pt;height:333.75pt">
            <v:imagedata r:id="rId12" o:title=""/>
          </v:shape>
        </w:pict>
      </w:r>
    </w:p>
    <w:bookmarkEnd w:id="0"/>
    <w:p>
      <w:pPr>
        <w:pStyle w:val="Pagedecouverture"/>
        <w:rPr>
          <w:noProof/>
          <w:lang w:val="en-IE"/>
        </w:rPr>
        <w:sectPr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pStyle w:val="Heading1"/>
        <w:rPr>
          <w:i/>
          <w:noProof/>
          <w:sz w:val="28"/>
          <w:szCs w:val="28"/>
        </w:rPr>
      </w:pPr>
      <w:bookmarkStart w:id="1" w:name="_GoBack"/>
      <w:bookmarkEnd w:id="1"/>
      <w:r>
        <w:rPr>
          <w:noProof/>
          <w:sz w:val="28"/>
          <w:szCs w:val="28"/>
        </w:rPr>
        <w:lastRenderedPageBreak/>
        <w:t>NA CESTĚ K ROVNOSTI ŽEN A MUŽŮ V EVROPĚ</w:t>
      </w:r>
    </w:p>
    <w:p>
      <w:pPr>
        <w:pStyle w:val="Pagedecouverture"/>
        <w:rPr>
          <w:b/>
          <w:i/>
          <w:noProof/>
          <w:szCs w:val="24"/>
        </w:rPr>
      </w:pPr>
      <w:r>
        <w:rPr>
          <w:b/>
          <w:i/>
          <w:noProof/>
          <w:szCs w:val="24"/>
        </w:rPr>
        <w:t xml:space="preserve"> „Při všech svých činnostech usiluje Unie o odstranění nerovností a podporuje rovné zacházení pro muže a ženy.“ </w:t>
      </w:r>
    </w:p>
    <w:p>
      <w:pPr>
        <w:pStyle w:val="ListParagraph"/>
        <w:spacing w:line="100" w:lineRule="atLeast"/>
        <w:jc w:val="right"/>
        <w:rPr>
          <w:rFonts w:ascii="Times New Roman" w:hAnsi="Times New Roman" w:cs="Times New Roman"/>
          <w:noProof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t>Článek 8 Smlouvy o fungování Evropské unie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>„Neměli bychom se zdráhat být hrdí na to, čeho jsme dosáhli, či na to, čeho chceme dosáhnout.“</w:t>
      </w:r>
    </w:p>
    <w:p>
      <w:pPr>
        <w:spacing w:line="100" w:lineRule="atLeast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– předsedkyně Ursula von der Leyenová</w:t>
      </w:r>
      <w:r>
        <w:rPr>
          <w:rFonts w:ascii="Times New Roman" w:hAnsi="Times New Roman" w:cs="Times New Roman"/>
          <w:noProof/>
          <w:sz w:val="24"/>
          <w:szCs w:val="24"/>
        </w:rPr>
        <w:br/>
        <w:t>politické směry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Podpora rovného zacházení pro muže a ženy je úkolem Unie při všech jejích činnostech na základě Smluv.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Genderová rovnost je základní hodnotou EU, základním právem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"/>
      </w:r>
      <w:r>
        <w:rPr>
          <w:rFonts w:ascii="Times New Roman" w:hAnsi="Times New Roman" w:cs="Times New Roman"/>
          <w:noProof/>
          <w:sz w:val="24"/>
          <w:szCs w:val="24"/>
        </w:rPr>
        <w:t xml:space="preserve"> a hlavní zásadou evropského pilíře sociálních práv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"/>
      </w:r>
      <w:r>
        <w:rPr>
          <w:rFonts w:ascii="Times New Roman" w:hAnsi="Times New Roman" w:cs="Times New Roman"/>
          <w:noProof/>
          <w:sz w:val="24"/>
          <w:szCs w:val="24"/>
        </w:rPr>
        <w:t xml:space="preserve">. Je odrazem toho, kdo jsme, a také zásadním předpokladem inovativní, konkurenceschopné a prosperující evropské ekonomiky.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 podnikání, politice i společnosti jako celku můžeme naplnit náš potenciál jen, když plně využijeme našeho talentu a rozmanitosti. </w:t>
      </w:r>
      <w:r>
        <w:rPr>
          <w:rFonts w:ascii="Times New Roman" w:hAnsi="Times New Roman" w:cs="Times New Roman"/>
          <w:noProof/>
          <w:sz w:val="24"/>
          <w:szCs w:val="24"/>
        </w:rPr>
        <w:t>Genderová rovnost přináší více pracovních míst a zvyšuje produktivitu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"/>
      </w:r>
      <w:r>
        <w:rPr>
          <w:rFonts w:ascii="Times New Roman" w:hAnsi="Times New Roman" w:cs="Times New Roman"/>
          <w:noProof/>
          <w:sz w:val="24"/>
          <w:szCs w:val="24"/>
        </w:rPr>
        <w:t xml:space="preserve">, což je potenciál, který je třeba realizovat, vzhledem k tomu, že </w:t>
      </w:r>
      <w:r>
        <w:rPr>
          <w:rFonts w:ascii="Times New Roman" w:hAnsi="Times New Roman" w:cs="Times New Roman"/>
          <w:b/>
          <w:noProof/>
          <w:sz w:val="24"/>
          <w:szCs w:val="24"/>
        </w:rPr>
        <w:t>přecházíme na ekologickou a digitální ekonomiku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čelíme demografickým výzvám.</w:t>
      </w:r>
    </w:p>
    <w:p>
      <w:pPr>
        <w:spacing w:line="100" w:lineRule="atLeast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Evropská unie je v genderové rovnosti na světové špičce: </w:t>
      </w:r>
      <w:r>
        <w:rPr>
          <w:rFonts w:ascii="Times New Roman" w:hAnsi="Times New Roman" w:cs="Times New Roman"/>
          <w:noProof/>
          <w:sz w:val="24"/>
          <w:szCs w:val="24"/>
        </w:rPr>
        <w:t>mezi 20 zeměmi světa, které v této oblasti dosahují nejlepších výsledků, figuruje 14 členských států EU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"/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Díky objemnému korpusu právních předpisů a judikatury v oblasti rovného zacházení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"/>
      </w:r>
      <w:r>
        <w:rPr>
          <w:rFonts w:ascii="Times New Roman" w:hAnsi="Times New Roman" w:cs="Times New Roman"/>
          <w:noProof/>
          <w:sz w:val="24"/>
          <w:szCs w:val="24"/>
        </w:rPr>
        <w:t>, úsilí o začlenění genderového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"/>
      </w:r>
      <w:r>
        <w:rPr>
          <w:rFonts w:ascii="Times New Roman" w:hAnsi="Times New Roman" w:cs="Times New Roman"/>
          <w:noProof/>
          <w:sz w:val="24"/>
          <w:szCs w:val="24"/>
        </w:rPr>
        <w:t xml:space="preserve"> hlediska do různých oblastí politiky a právním předpisům zaměřeným na řešení konkrétních nerovností dosáhla EU v posledních desetiletích v dotčené oblasti významného pokroku.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Žádný členský stát však dosud nedosáhl úplné genderové rovnosti a pokrok je pomalý.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Členské státy obdržely v indexu rovnosti žen a mužů EU za rok 2019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"/>
      </w:r>
      <w:r>
        <w:rPr>
          <w:rFonts w:ascii="Times New Roman" w:hAnsi="Times New Roman" w:cs="Times New Roman"/>
          <w:noProof/>
          <w:sz w:val="24"/>
          <w:szCs w:val="24"/>
        </w:rPr>
        <w:t xml:space="preserve"> v průměru 67,4 bodu ze 100, což je skóre, které se od roku 2005 zlepšilo o pouhých 5,4 bodu.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Pokrok v oblasti genderové rovnosti bohužel není nevyhnutelný ani nevratný. Musíme proto dát genderové rovnosti nový impuls.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Ačkoliv v oblasti vzdělávání byly genderové rozdíly překonány, stále přetrvávají v otázkách zaměstnání, mzdy, péče, postavení ve společnosti a důchodů. Příliš mnoho lidí stále porušuje zásadu genderové rovnosti sexistickými nenávistnými projevy a brzdí boj proti genderově podmíněnému násilí a genderovým stereotypům. Stále alarmující je míra genderově podmíněného násilí a obtěžování. Hnutí #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MeToo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poukázalo na rozsah sexismu a zneužívání, kterým ženy a dívky nadále čelí. Zároveň posílilo postavení žen na celém světě, aby se už netajily svými zkušenostmi a obrátily se na soudy.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Tato strategie pro rovnost žen a mužů tvoří rámec pro práci Evropské komise v oblasti genderové rovnosti a stanoví politické cíle a klíčová opatření pro období 2020–2025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9"/>
      </w:r>
      <w:r>
        <w:rPr>
          <w:rFonts w:ascii="Times New Roman" w:hAnsi="Times New Roman" w:cs="Times New Roman"/>
          <w:noProof/>
          <w:sz w:val="24"/>
          <w:szCs w:val="24"/>
        </w:rPr>
        <w:t>. Usiluje o to, aby se Evropa stala místem, kde si budou ženy a muži rovni, kde genderově podmíněné násilí, diskriminace na základě pohlaví a strukturální nerovnost mezi ženami a muži bude pouhou minulostí. Místem, kde si ženy a muži a dívky a chlapci v celé své diverzitě</w:t>
      </w:r>
      <w:r>
        <w:rPr>
          <w:rStyle w:val="FootnoteReference"/>
          <w:rFonts w:ascii="Times New Roman" w:hAnsi="Times New Roman" w:cs="Times New Roman"/>
          <w:bCs/>
          <w:noProof/>
          <w:sz w:val="24"/>
          <w:szCs w:val="24"/>
        </w:rPr>
        <w:footnoteReference w:id="10"/>
      </w:r>
      <w:r>
        <w:rPr>
          <w:rFonts w:ascii="Times New Roman" w:hAnsi="Times New Roman" w:cs="Times New Roman"/>
          <w:noProof/>
          <w:sz w:val="24"/>
          <w:szCs w:val="24"/>
        </w:rPr>
        <w:t xml:space="preserve"> budou rovni, kde si budou moci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>svobodně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vybrat svoji životní cestu, místem, kde budou mít rovné možnosti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>uspět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kde se budou moci stejnou měrou podílet na formování evropské společnosti a na jejím 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>vedení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Strategie bude založena na dvojím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přístupu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přístupu cílených opatření pro dosažení genderové rovnosti v kombinaci s přístupem intenzivnějšího začleňování genderového hlediska (tzv. genderový mainstreaming). Komise bude posilovat genderový mainstreaming </w:t>
      </w:r>
      <w:r>
        <w:rPr>
          <w:rFonts w:ascii="Times New Roman" w:hAnsi="Times New Roman" w:cs="Times New Roman"/>
          <w:b/>
          <w:noProof/>
          <w:sz w:val="24"/>
          <w:szCs w:val="24"/>
        </w:rPr>
        <w:t>systematickým začleňováním genderového hlediska do všech fází tvorby politik ve všech oblastech vnitřní i vnější činnosti EU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Strategie bude prováděna pomocí </w:t>
      </w:r>
      <w:r>
        <w:rPr>
          <w:rFonts w:ascii="Times New Roman" w:hAnsi="Times New Roman" w:cs="Times New Roman"/>
          <w:b/>
          <w:noProof/>
          <w:sz w:val="24"/>
          <w:szCs w:val="24"/>
        </w:rPr>
        <w:t>průřezové zásady, kterou je intersekcionalita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</w:rPr>
        <w:footnoteReference w:id="11"/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zkoumající jak prolínání genderu a ostatních osobních vlastností či identit, tak způsoby, jakým tato prolínání přispívají ke konkrétním zkušenostem dané osoby s diskriminací.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V letošním roce 2020, kdy si připomínáme 25. výročí přijetí Pekingské deklarace a akční platformy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2"/>
      </w:r>
      <w:r>
        <w:rPr>
          <w:rFonts w:ascii="Times New Roman" w:hAnsi="Times New Roman" w:cs="Times New Roman"/>
          <w:noProof/>
          <w:sz w:val="24"/>
          <w:szCs w:val="24"/>
        </w:rPr>
        <w:t xml:space="preserve"> – prvního univerzálního závazku a akčního plánu pro dosažení pokroku v oblasti rovnosti žen a mužů, </w:t>
      </w:r>
      <w:r>
        <w:rPr>
          <w:rFonts w:ascii="Times New Roman" w:hAnsi="Times New Roman" w:cs="Times New Roman"/>
          <w:b/>
          <w:noProof/>
          <w:sz w:val="24"/>
          <w:szCs w:val="24"/>
        </w:rPr>
        <w:t>je tato strategie příspěvkem EU k utváření lepšího světa pro ženy i muže a dívky i chlapce</w:t>
      </w:r>
      <w:r>
        <w:rPr>
          <w:rFonts w:ascii="Times New Roman" w:hAnsi="Times New Roman" w:cs="Times New Roman"/>
          <w:noProof/>
          <w:sz w:val="24"/>
          <w:szCs w:val="24"/>
        </w:rPr>
        <w:t>. Má naplnit cíl udržitelného rozvoje (cíl č. 5) a dosáhnout genderové rovnosti, což je průřezová priorita všech cílů udržitelného rozvoje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3"/>
      </w:r>
      <w:r>
        <w:rPr>
          <w:rFonts w:ascii="Times New Roman" w:hAnsi="Times New Roman" w:cs="Times New Roman"/>
          <w:noProof/>
          <w:sz w:val="24"/>
          <w:szCs w:val="24"/>
        </w:rPr>
        <w:t>, a dostát závazkům EU stanoveným v Úmluvě OSN o právech osob se zdravotním postižením.</w:t>
      </w:r>
    </w:p>
    <w:p>
      <w:pPr>
        <w:spacing w:line="100" w:lineRule="atLeast"/>
        <w:ind w:left="709" w:hanging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  <w:t>Bez násilí a stereotypů</w:t>
      </w:r>
    </w:p>
    <w:p>
      <w:pPr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>Ve svých domovech, blízkých vztazích, na pracovištích, ve veřejných prostorech i online by se všichni měli cítit bezpečně. Ženy i muži a dívky i chlapci v celé své diverzitě by měli mít možnost svobodně vyjadřovat své myšlenky a emoce a sledovat svou zvolenou dráhu na poli vzdělání i profese bez omezení, která jim vnucují stereotypizující genderové normy.</w:t>
      </w:r>
    </w:p>
    <w:p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Ukončení genderově podmíněného násilí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Genderově podmíněné násilí nebo násilí zaměřené proti ženě proto, že je žena, nebo které postihuje ženy ve vyšší míře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4"/>
      </w:r>
      <w:r>
        <w:rPr>
          <w:rFonts w:ascii="Times New Roman" w:hAnsi="Times New Roman" w:cs="Times New Roman"/>
          <w:noProof/>
          <w:sz w:val="24"/>
          <w:szCs w:val="24"/>
        </w:rPr>
        <w:t>, zůstává jednou z největších výzev našich společností a je hluboce zakořeněno v genderové nerovnosti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5"/>
      </w:r>
      <w:r>
        <w:rPr>
          <w:rFonts w:ascii="Times New Roman" w:hAnsi="Times New Roman" w:cs="Times New Roman"/>
          <w:noProof/>
          <w:sz w:val="24"/>
          <w:szCs w:val="24"/>
        </w:rPr>
        <w:t xml:space="preserve">. Genderově podmíněné násilí ve všech svých formách se nadále nedostatečně oznamuje a je přehlíženo, jak v EU, tak i v ostatních zemích. </w:t>
      </w:r>
      <w:r>
        <w:rPr>
          <w:rFonts w:ascii="Times New Roman" w:hAnsi="Times New Roman" w:cs="Times New Roman"/>
          <w:b/>
          <w:noProof/>
          <w:sz w:val="24"/>
          <w:szCs w:val="24"/>
        </w:rPr>
        <w:t>EU učiní vše, co bude v jejích silách, aby předcházela genderově podmíněnému násilí, aby s ním bojovala, aby podpořila a ochránila oběti takových zločinů a pohnala jejich pachatele k odpovědnosti.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59450" cy="1000173"/>
            <wp:effectExtent l="0" t="0" r="0" b="9525"/>
            <wp:docPr id="3" name="Picture 3" descr="H:\honcova\gender-based-violence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honcova\gender-based-violence-c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0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Úmluva Rady Evropy o prevenci a potírání násilí vůči ženám a domácího násilí – </w:t>
      </w:r>
      <w:r>
        <w:rPr>
          <w:rFonts w:ascii="Times New Roman" w:hAnsi="Times New Roman" w:cs="Times New Roman"/>
          <w:b/>
          <w:noProof/>
          <w:sz w:val="24"/>
          <w:szCs w:val="24"/>
        </w:rPr>
        <w:t>„Istanbulská úmluva“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je měřítkem pro mezinárodní normy v této oblasti. EU podepsala úmluvu v roce 2017 a dokončení přistoupení Unie k úmluvě je pro Komisi klíčovou prioritou. Aby se tento proces urychlil, Evropský parlament požádal v roce 2019 Evropský soudní dvůr o posudek v této věci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16"/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Pokud by přistoupení EU k Istanbulské úmluvě zůstalo zablokováno, Komise hodlá </w:t>
      </w:r>
      <w:r>
        <w:rPr>
          <w:rFonts w:ascii="Times New Roman" w:hAnsi="Times New Roman" w:cs="Times New Roman"/>
          <w:b/>
          <w:noProof/>
          <w:sz w:val="24"/>
          <w:szCs w:val="24"/>
        </w:rPr>
        <w:t>navrhnout v roce 2021 opatření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jež budou v mezích pravomoci EU </w:t>
      </w:r>
      <w:r>
        <w:rPr>
          <w:rFonts w:ascii="Times New Roman" w:hAnsi="Times New Roman" w:cs="Times New Roman"/>
          <w:b/>
          <w:noProof/>
          <w:sz w:val="24"/>
          <w:szCs w:val="24"/>
        </w:rPr>
        <w:t>a budou usilovat o dosažení stejných cílů, jako jsou cíle stanovené v Istanbulské úmluvě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Komise zejména hodlá předložit iniciativu, jejímž cílem je v souladu s čl. 83 odst. 1 SFEU </w:t>
      </w:r>
      <w:r>
        <w:rPr>
          <w:rFonts w:ascii="Times New Roman" w:hAnsi="Times New Roman" w:cs="Times New Roman"/>
          <w:b/>
          <w:noProof/>
          <w:sz w:val="24"/>
          <w:szCs w:val="24"/>
        </w:rPr>
        <w:t>rozšířit oblasti trestné činnosti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(oblasti, v nichž je harmonizace možná) na specifické formy genderově podmíněného násilí; jde o trestné činy s evropským rozměrem, tzv. </w:t>
      </w:r>
      <w:r>
        <w:rPr>
          <w:rFonts w:ascii="Times New Roman" w:hAnsi="Times New Roman" w:cs="Times New Roman"/>
          <w:b/>
          <w:noProof/>
          <w:sz w:val="24"/>
          <w:szCs w:val="24"/>
        </w:rPr>
        <w:t>eurozločiny</w:t>
      </w:r>
      <w:r>
        <w:rPr>
          <w:rFonts w:ascii="Times New Roman" w:hAnsi="Times New Roman" w:cs="Times New Roman"/>
          <w:noProof/>
          <w:sz w:val="24"/>
          <w:szCs w:val="24"/>
        </w:rPr>
        <w:t>).</w:t>
      </w:r>
    </w:p>
    <w:p>
      <w:pPr>
        <w:spacing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V míře, v jaké již tyto oblasti spadají do stávajících eurozločinů ve smyslu čl. 83 odst. 1 SFEU, Komise navrhne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dodatečná opatření k prevenci specifických forem genderově podmíněného násilí a boji proti nim</w:t>
      </w:r>
      <w:r>
        <w:rPr>
          <w:rFonts w:ascii="Times New Roman" w:hAnsi="Times New Roman" w:cs="Times New Roman"/>
          <w:noProof/>
          <w:sz w:val="24"/>
          <w:szCs w:val="24"/>
        </w:rPr>
        <w:t>, včetně sexuálního obtěžování, zneužívání žen a mrzačení ženských pohlavních orgánů (FGM).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59450" cy="1015865"/>
            <wp:effectExtent l="0" t="0" r="0" b="0"/>
            <wp:docPr id="4" name="Picture 4" descr="H:\honcova\FGM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honcova\FGM-c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1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Mrzačení ženských pohlavních orgánů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7"/>
      </w:r>
      <w:r>
        <w:rPr>
          <w:rFonts w:ascii="Times New Roman" w:hAnsi="Times New Roman" w:cs="Times New Roman"/>
          <w:noProof/>
          <w:sz w:val="24"/>
          <w:szCs w:val="24"/>
        </w:rPr>
        <w:t xml:space="preserve">, násilná přerušení těhotenství, násilné sterilizace, sňatky v raném věku a nucené sňatky, násilí páchané ve jménu cti a další </w:t>
      </w:r>
      <w:r>
        <w:rPr>
          <w:rFonts w:ascii="Times New Roman" w:hAnsi="Times New Roman" w:cs="Times New Roman"/>
          <w:b/>
          <w:noProof/>
          <w:sz w:val="24"/>
          <w:szCs w:val="24"/>
        </w:rPr>
        <w:t>škodlivé praktiky vůči ženám a dívkám představují formy genderově podmíněného násilí a závažné porušení práv žen a dětí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v EU i na celém světě. Kromě možných právních předpisů předloží EU </w:t>
      </w:r>
      <w:r>
        <w:rPr>
          <w:rFonts w:ascii="Times New Roman" w:hAnsi="Times New Roman" w:cs="Times New Roman"/>
          <w:b/>
          <w:noProof/>
          <w:sz w:val="24"/>
          <w:szCs w:val="24"/>
        </w:rPr>
        <w:t>doporučení o prevenci škodlivých praktik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i o potřebě účinných preventivních opatření a uznání důležitosti vzdělávání. Doporučení se také zaměří na posílení veřejných služeb, preventivní a podpůrná opatření, budování kapacit odborníků a přístup ke spravedlnosti s důrazem na práva obětí. </w:t>
      </w:r>
    </w:p>
    <w:p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V roce 2020 Komise na základě směrnice o právech obětí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</w:rPr>
        <w:footnoteReference w:id="18"/>
      </w:r>
      <w:r>
        <w:rPr>
          <w:rFonts w:ascii="Times New Roman" w:hAnsi="Times New Roman" w:cs="Times New Roman"/>
          <w:noProof/>
          <w:sz w:val="24"/>
          <w:szCs w:val="24"/>
        </w:rPr>
        <w:t xml:space="preserve"> rovněž předloží </w:t>
      </w:r>
      <w:r>
        <w:rPr>
          <w:rFonts w:ascii="Times New Roman" w:hAnsi="Times New Roman" w:cs="Times New Roman"/>
          <w:b/>
          <w:noProof/>
          <w:sz w:val="24"/>
          <w:szCs w:val="24"/>
        </w:rPr>
        <w:t>strategii pro práva obětí</w:t>
      </w:r>
      <w:r>
        <w:rPr>
          <w:rFonts w:ascii="Times New Roman" w:hAnsi="Times New Roman" w:cs="Times New Roman"/>
          <w:noProof/>
          <w:sz w:val="24"/>
          <w:szCs w:val="24"/>
        </w:rPr>
        <w:t>, která se bude zabývat specifickými potřebami obětí genderově podmíněného násilí, včetně obětí domácího násilí.</w:t>
      </w:r>
    </w:p>
    <w:p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Ženy se </w:t>
      </w:r>
      <w:r>
        <w:rPr>
          <w:rFonts w:ascii="Times New Roman" w:hAnsi="Times New Roman" w:cs="Times New Roman"/>
          <w:b/>
          <w:noProof/>
          <w:sz w:val="24"/>
          <w:szCs w:val="24"/>
        </w:rPr>
        <w:t>zdravotním problémem nebo zdravotním postižením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mají vyšší pravděpodobnost, že se setkají s různými formami násilí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19"/>
      </w:r>
      <w:r>
        <w:rPr>
          <w:rFonts w:ascii="Times New Roman" w:hAnsi="Times New Roman" w:cs="Times New Roman"/>
          <w:noProof/>
          <w:sz w:val="24"/>
          <w:szCs w:val="24"/>
        </w:rPr>
        <w:t>. Komise vypracuje a bude financovat opatření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0"/>
      </w:r>
      <w:r>
        <w:rPr>
          <w:rFonts w:ascii="Times New Roman" w:hAnsi="Times New Roman" w:cs="Times New Roman"/>
          <w:noProof/>
          <w:sz w:val="24"/>
          <w:szCs w:val="24"/>
        </w:rPr>
        <w:t xml:space="preserve"> k boji proti zneužívání, násilí i násilným sterilizacím a násilným přerušením těhotenství; přispěje například k budování kapacit profesionálů a povede kampaně na zvyšování povědomí o právech a přístupu ke spravedlnosti.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Klíčový význam má účinná prevence násilí.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To zahrnuje vychovávat chlapce a dívky od raného věku ke genderové rovnosti a podporovat rozvoj nenásilných vztahů. Je také třeba, aby odborníci i služby přijali multidisciplinární přístup, a to i v rámci systému trestního soudnictví, služeb podpory pro oběti, programů pro pachatele a sociálních a zdravotních služeb. Řešení násilí páchaného na ženách a potírání ideologií, které podkopávají práva žen, by rovněž mohlo přispět k předcházení radikalizaci vedoucí k násilnému extremismu a terorismu. Komise zprovozní </w:t>
      </w:r>
      <w:r>
        <w:rPr>
          <w:rFonts w:ascii="Times New Roman" w:hAnsi="Times New Roman" w:cs="Times New Roman"/>
          <w:b/>
          <w:noProof/>
          <w:sz w:val="24"/>
          <w:szCs w:val="24"/>
        </w:rPr>
        <w:t>síť EU pro předcházení genderově podmíněnému násilí a domácímu násilí</w:t>
      </w:r>
      <w:r>
        <w:rPr>
          <w:rFonts w:ascii="Times New Roman" w:hAnsi="Times New Roman" w:cs="Times New Roman"/>
          <w:noProof/>
          <w:sz w:val="24"/>
          <w:szCs w:val="24"/>
        </w:rPr>
        <w:t>, jejímž prostřednictvím si členské státy a zúčastněné strany budou moci vyměňovat osvědčené postupy, a poskytne finanční prostředky na odbornou přípravu, budování kapacit a podpůrné služby. Ústřední význam bude mít prevence násilí zaměřená na muže a chlapce, jakož i na téma maskulinity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1"/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V zájmu odstranění násilí a obtěžování v pracovním prostředí bude Komise nadále vybízet členské státy, aby ratifikovaly </w:t>
      </w:r>
      <w:r>
        <w:rPr>
          <w:rFonts w:ascii="Times New Roman" w:hAnsi="Times New Roman" w:cs="Times New Roman"/>
          <w:b/>
          <w:noProof/>
          <w:sz w:val="24"/>
          <w:szCs w:val="24"/>
        </w:rPr>
        <w:t>úmluvu Mezinárodní organizace práce (MOP) k zabránění násilí a obtěžování ve světě práce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2"/>
      </w:r>
      <w:r>
        <w:rPr>
          <w:rFonts w:ascii="Times New Roman" w:hAnsi="Times New Roman" w:cs="Times New Roman"/>
          <w:noProof/>
          <w:sz w:val="24"/>
          <w:szCs w:val="24"/>
        </w:rPr>
        <w:t>, aby prováděly stávající pravidla EU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3"/>
      </w:r>
      <w:r>
        <w:rPr>
          <w:rFonts w:ascii="Times New Roman" w:hAnsi="Times New Roman" w:cs="Times New Roman"/>
          <w:noProof/>
          <w:sz w:val="24"/>
          <w:szCs w:val="24"/>
        </w:rPr>
        <w:t xml:space="preserve"> týkající se ochrany pracovníků před sexuálním obtěžováním a aby zvýšily povědomí občanů o těchto předpisech. Komise coby zaměstnavatel přijme nový komplexní právní rámec se souborem preventivních a reaktivních opatření proti obtěžování na pracovišti.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Násilí na internetu zaměřené proti ženám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je dnes všudypřítomné a má specifické negativní důsledky: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to je nepřijatelné. Násilí na internetu představuje překážku zapojení žen do veřejného života.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Šikana, obtěžování a zneužívání na sociálních médiích má dalekosáhlé dopady na každodenní život žen a dívek. Komise navrhne </w:t>
      </w:r>
      <w:r>
        <w:rPr>
          <w:rFonts w:ascii="Times New Roman" w:hAnsi="Times New Roman" w:cs="Times New Roman"/>
          <w:b/>
          <w:noProof/>
          <w:sz w:val="24"/>
          <w:szCs w:val="24"/>
        </w:rPr>
        <w:t>akt o digitálních službách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4"/>
      </w:r>
      <w:r>
        <w:rPr>
          <w:rFonts w:ascii="Times New Roman" w:hAnsi="Times New Roman" w:cs="Times New Roman"/>
          <w:noProof/>
          <w:sz w:val="24"/>
          <w:szCs w:val="24"/>
        </w:rPr>
        <w:t xml:space="preserve">, aby vyjasnila povinnosti digitálních platforem, pokud jde o obsah šířený uživateli. Akt o digitálních službách – s ohledem na ochranu základních práv – objasní, jaká opatření pro boj proti nezákonným činnostem na internetu se od platforem očekávají. Uživatelé musí být rovněž schopni čelit jiným druhům škodlivého a urážlivého obsahu, který nemusí být vždy považován za nezákonný, ale přesto může mít ničivé účinky. V zájmu ochrany bezpečnosti žen na internetu Komise usnadní rozvoj </w:t>
      </w:r>
      <w:r>
        <w:rPr>
          <w:rFonts w:ascii="Times New Roman" w:hAnsi="Times New Roman" w:cs="Times New Roman"/>
          <w:b/>
          <w:noProof/>
          <w:sz w:val="24"/>
          <w:szCs w:val="24"/>
        </w:rPr>
        <w:t>nového rámce pro spolupráci mezi internetovými platformami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5"/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Ženy a dívky tvoří naprostou většinu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obětí obchodování s lidmi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v EU i mimo ni a je s nimi obchodováno převážně pro </w:t>
      </w:r>
      <w:r>
        <w:rPr>
          <w:rFonts w:ascii="Times New Roman" w:hAnsi="Times New Roman" w:cs="Times New Roman"/>
          <w:bCs/>
          <w:noProof/>
          <w:sz w:val="24"/>
          <w:szCs w:val="24"/>
        </w:rPr>
        <w:t>účely sexuálního vykořisťování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6"/>
      </w:r>
      <w:r>
        <w:rPr>
          <w:rFonts w:ascii="Times New Roman" w:hAnsi="Times New Roman" w:cs="Times New Roman"/>
          <w:noProof/>
          <w:sz w:val="24"/>
          <w:szCs w:val="24"/>
        </w:rPr>
        <w:t>. EU řeší problematiku obchodování s lidmi komplexně, a to koordinací ve všech příslušných oblastech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7"/>
      </w:r>
      <w:r>
        <w:rPr>
          <w:rFonts w:ascii="Times New Roman" w:hAnsi="Times New Roman" w:cs="Times New Roman"/>
          <w:noProof/>
          <w:sz w:val="24"/>
          <w:szCs w:val="24"/>
        </w:rPr>
        <w:t xml:space="preserve">. Prioritou je boj proti beztrestnosti uživatelů, vykořisťovatelů a osob, jimž z této činnosti kynou zisky. 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Obavy žen a dívek, jež se staly oběťmi obchodování s lidmi, musí být ústředním bodem vývoje relevantní politiky.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V rámci bezpečnostní unie Komise předloží novou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strategii EU pro vymýcení obchodu s lidmi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strategii EU pro účinnější boj proti pohlavnímu zneužívání dětí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Pro vytváření účinných politik týkajících se boje proti genderově podmíněnému násilí </w:t>
      </w:r>
      <w:r>
        <w:rPr>
          <w:rFonts w:ascii="Times New Roman" w:hAnsi="Times New Roman" w:cs="Times New Roman"/>
          <w:b/>
          <w:noProof/>
          <w:sz w:val="24"/>
          <w:szCs w:val="24"/>
        </w:rPr>
        <w:t>potřebuje EU komplexní, aktualizované a srovnatelné údaje.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Aby bylo možné získat úplný obraz o genderově podmíněném násilí, měly by být údaje členěny podle příslušných intersekcionálních aspektů a ukazatelů, jako je věk, status osoby se zdravotním postižením, status migranta a místo pobytu (město nebo venkov). </w:t>
      </w:r>
      <w:r>
        <w:rPr>
          <w:rFonts w:ascii="Times New Roman" w:hAnsi="Times New Roman" w:cs="Times New Roman"/>
          <w:b/>
          <w:noProof/>
          <w:sz w:val="24"/>
          <w:szCs w:val="24"/>
        </w:rPr>
        <w:t>Celounijní průzkum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koordinovaný Eurostatem poskytne údaje o výskytu a dynamice násilí na ženách a dalších forem interpersonálního násilí. Výsledky tohoto průzkumu budou předloženy v roce 2023.</w:t>
      </w:r>
    </w:p>
    <w:p>
      <w:pPr>
        <w:spacing w:line="100" w:lineRule="atLeast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>Boj proti genderovým stereotypům</w:t>
      </w:r>
    </w:p>
    <w:p>
      <w:pPr>
        <w:pStyle w:val="NormalWeb"/>
        <w:spacing w:before="0" w:beforeAutospacing="0" w:after="200" w:afterAutospacing="0" w:line="100" w:lineRule="atLeast"/>
        <w:jc w:val="both"/>
        <w:rPr>
          <w:noProof/>
        </w:rPr>
      </w:pPr>
      <w:r>
        <w:rPr>
          <w:b/>
          <w:noProof/>
        </w:rPr>
        <w:t>Genderové stereotypy jsou hlavní příčinou genderové nerovnosti a ovlivňují všechny oblasti společnosti</w:t>
      </w:r>
      <w:r>
        <w:rPr>
          <w:rStyle w:val="FootnoteReference"/>
          <w:noProof/>
        </w:rPr>
        <w:footnoteReference w:id="28"/>
      </w:r>
      <w:r>
        <w:rPr>
          <w:noProof/>
        </w:rPr>
        <w:t>. Stereotypní očekávání založená na pevně daných normách pro ženy i muže a dívky i chlapce omezují jejich ambice, volby a svobodu, a proto musí být odstraněna. Genderové stereotypy výrazně přispívají k rozdílům v odměňování žen a mužů. Často se vyskytují v kombinaci s jinými stereotypy, například stereotypy založenými na rasovém či etnickém původu, náboženském vyznání nebo přesvědčení, zdravotním postižení, věku nebo sexuální orientaci, což může dále posilovat negativní dopady stereotypů.</w:t>
      </w:r>
    </w:p>
    <w:p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59450" cy="1000173"/>
            <wp:effectExtent l="0" t="0" r="0" b="9525"/>
            <wp:docPr id="6" name="Picture 6" descr="H:\honcova\stereotypes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honcova\stereotypes-c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0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Umělá inteligence se stala oblastí strategického významu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klíčovou hnací silou hospodářského pokroku, a proto musí být ženy jako výzkumné pracovnice, programátorky a uživatelky součástí jejího rozvoje.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Přestože umělá inteligence může přinést řešení mnoha společenských výzev, nese s sebou také riziko, že genderové nerovnosti dále posílí. Algoritmy a související strojové učení, pokud nebudou dostatečně transparentní a propracované, implikují riziko vzniku genderové předpojatosti, které si programátoři nemusí být vědomi nebo která bude výsledkem výběru určitých údajů, jakož i riziko jejího opakování a posilování nebo přispívání k tomuto jevu. Nová bílá kniha Komise o umělé inteligenci stanoví evropský přístup založený na hodnotách a základních právech EU, včetně nediskriminace a rovnosti žen a mužů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29"/>
      </w:r>
      <w:r>
        <w:rPr>
          <w:rFonts w:ascii="Times New Roman" w:hAnsi="Times New Roman" w:cs="Times New Roman"/>
          <w:noProof/>
          <w:sz w:val="24"/>
          <w:szCs w:val="24"/>
        </w:rPr>
        <w:t xml:space="preserve">. Příští rámcový program pro výzkum a inovace </w:t>
      </w:r>
      <w:r>
        <w:rPr>
          <w:rFonts w:ascii="Times New Roman" w:hAnsi="Times New Roman" w:cs="Times New Roman"/>
          <w:b/>
          <w:noProof/>
          <w:sz w:val="24"/>
          <w:szCs w:val="24"/>
        </w:rPr>
        <w:t>Horizont Evropa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0"/>
      </w:r>
      <w:r>
        <w:rPr>
          <w:rFonts w:ascii="Times New Roman" w:hAnsi="Times New Roman" w:cs="Times New Roman"/>
          <w:noProof/>
          <w:sz w:val="24"/>
          <w:szCs w:val="24"/>
        </w:rPr>
        <w:t xml:space="preserve"> rovněž poskytne poznatky a řešení, jak odstranit možnou genderovou předpojatost v oblasti umělé inteligence i ve všech sociálních, hospodářských a kulturních oblastech, a podpoří tak rozvoj objektivních politik založených na důkazech.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Sdělovací prostředky a kulturní odvětví mají značný vliv na názory a hodnoty občanů, jakož i na jejich vnímání reality, a jsou tedy nadále klíčové v procesu změn postojů a odstraňování stereotypů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1"/>
      </w:r>
      <w:r>
        <w:rPr>
          <w:rFonts w:ascii="Times New Roman" w:hAnsi="Times New Roman" w:cs="Times New Roman"/>
          <w:noProof/>
          <w:sz w:val="24"/>
          <w:szCs w:val="24"/>
        </w:rPr>
        <w:t xml:space="preserve">. Komise bude i v budoucnu podporovat projekty zaměřené na genderovou rovnost v rámci programu </w:t>
      </w:r>
      <w:r>
        <w:rPr>
          <w:rFonts w:ascii="Times New Roman" w:hAnsi="Times New Roman" w:cs="Times New Roman"/>
          <w:b/>
          <w:noProof/>
          <w:sz w:val="24"/>
          <w:szCs w:val="24"/>
        </w:rPr>
        <w:t>Kreativní Evropa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2"/>
      </w:r>
      <w:r>
        <w:rPr>
          <w:rFonts w:ascii="Times New Roman" w:hAnsi="Times New Roman" w:cs="Times New Roman"/>
          <w:b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včetně programu </w:t>
      </w:r>
      <w:r>
        <w:rPr>
          <w:rFonts w:ascii="Times New Roman" w:hAnsi="Times New Roman" w:cs="Times New Roman"/>
          <w:b/>
          <w:noProof/>
          <w:sz w:val="24"/>
          <w:szCs w:val="24"/>
        </w:rPr>
        <w:t>Hudba hýbe Evropou,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představí </w:t>
      </w:r>
      <w:r>
        <w:rPr>
          <w:rFonts w:ascii="Times New Roman" w:hAnsi="Times New Roman" w:cs="Times New Roman"/>
          <w:b/>
          <w:noProof/>
          <w:sz w:val="24"/>
          <w:szCs w:val="24"/>
        </w:rPr>
        <w:t>strategii pro rovnost žen a mužů v audiovizuálním průmyslu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jež bude součástí příštího dílčího programu </w:t>
      </w:r>
      <w:r>
        <w:rPr>
          <w:rFonts w:ascii="Times New Roman" w:hAnsi="Times New Roman" w:cs="Times New Roman"/>
          <w:b/>
          <w:noProof/>
          <w:sz w:val="24"/>
          <w:szCs w:val="24"/>
        </w:rPr>
        <w:t>MEDIA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3"/>
      </w:r>
      <w:r>
        <w:rPr>
          <w:rFonts w:ascii="Times New Roman" w:hAnsi="Times New Roman" w:cs="Times New Roman"/>
          <w:noProof/>
          <w:sz w:val="24"/>
          <w:szCs w:val="24"/>
        </w:rPr>
        <w:t>, a to včetně finanční podpory, strukturovaného dialogu, odborného vedení a přípravy pro režisérky, producentky a scénáristky.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Komise zahájí </w:t>
      </w:r>
      <w:r>
        <w:rPr>
          <w:rFonts w:ascii="Times New Roman" w:hAnsi="Times New Roman" w:cs="Times New Roman"/>
          <w:b/>
          <w:noProof/>
          <w:sz w:val="24"/>
          <w:szCs w:val="24"/>
        </w:rPr>
        <w:t>celoevropskou komunikační kampaň zaměřenou na boj proti genderovým stereotypům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Ve spolupráci s členskými státy se prostřednictvím intersekcionálního přístupu zaměří na všechny oblasti života a na zapojení mládeže.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>
        <w:tc>
          <w:tcPr>
            <w:tcW w:w="9212" w:type="dxa"/>
          </w:tcPr>
          <w:p>
            <w:pPr>
              <w:spacing w:before="120" w:line="10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Kromě svých výše uvedených opatření Komise vyzývá</w:t>
            </w:r>
          </w:p>
          <w:p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Radu, aby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dokončila přistoupení EU k Istanbulské úmluvě a zajistila rychlou ratifikaci ze strany EU.</w:t>
            </w:r>
          </w:p>
          <w:p>
            <w:pPr>
              <w:pStyle w:val="ListParagraph"/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členské státy, aby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: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ratifikovaly a provedly Istanbulskou úmluvu,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ratifikovaly a provedly úmluvu Mezinárodní organizace práce (MOP) k zabránění násilí a obtěžování ve světě práce,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provedly směrnici o právech obětí, směrnici o boji proti pohlavnímu zneužívání dětí</w:t>
            </w:r>
            <w:r>
              <w:rPr>
                <w:rStyle w:val="FootnoteReference"/>
                <w:rFonts w:ascii="Times New Roman" w:hAnsi="Times New Roman" w:cs="Times New Roman"/>
                <w:noProof/>
                <w:sz w:val="24"/>
                <w:szCs w:val="24"/>
              </w:rPr>
              <w:footnoteReference w:id="34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a další příslušné právní předpisy EU na ochranu obětí genderově podmíněného násilí</w:t>
            </w:r>
            <w:r>
              <w:rPr>
                <w:rStyle w:val="FootnoteReference"/>
                <w:rFonts w:ascii="Times New Roman" w:hAnsi="Times New Roman" w:cs="Times New Roman"/>
                <w:noProof/>
                <w:sz w:val="24"/>
                <w:szCs w:val="24"/>
              </w:rPr>
              <w:footnoteReference w:id="35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,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systematicky shromažďovaly a vykazovaly údaje o genderově podmíněném násilí a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podporovaly občanskou společnost a veřejné služby při předcházení genderově podmíněnému násilí a genderovým stereotypům a boji proti nim, a to i s pomocí finančních prostředků EU dostupných v rámci programu Občané, rovnost, práva a hodnoty (2021–2027).</w:t>
            </w:r>
          </w:p>
        </w:tc>
      </w:tr>
    </w:tbl>
    <w:p>
      <w:pPr>
        <w:spacing w:line="10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  <w:t>Prosperita v hospodářství založeném na rovném postavení žen a mužů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t>Prosperující a sociální Evropa závisí na nás všech. Ženy i muži v celé své diverzitě by měli mít rovné možnosti uspět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a být ekonomicky nezávislí, měli by být stejně placeni za stejnou práci, měli by mít rovný přístup k financím a spravedlivé důchody. Ženy a muži by se měli spravedlivě dělit o pečovatelskou a finanční odpovědnost. 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Odstranění genderových rozdílů na trhu práce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Zvýšení účasti žen na trhu práce má silný pozitivní dopad na ekonomiku, zejména v souvislosti s úbytkem pracovní síly a nedostatkem kvalifikovaných pracovních sil. </w:t>
      </w:r>
      <w:r>
        <w:rPr>
          <w:rFonts w:ascii="Times New Roman" w:hAnsi="Times New Roman" w:cs="Times New Roman"/>
          <w:noProof/>
          <w:sz w:val="24"/>
          <w:szCs w:val="24"/>
        </w:rPr>
        <w:t>Posiluje rovněž postavení žen při utváření vlastní budoucnosti, v zapojení do veřejného života a dosahování ekonomické nezávislosti.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Ačkoliv je dnes </w:t>
      </w:r>
      <w:r>
        <w:rPr>
          <w:rFonts w:ascii="Times New Roman" w:hAnsi="Times New Roman" w:cs="Times New Roman"/>
          <w:b/>
          <w:noProof/>
          <w:sz w:val="24"/>
          <w:szCs w:val="24"/>
        </w:rPr>
        <w:t>míra zaměstnanosti žen v EU vyšší než kdy dříve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6"/>
      </w:r>
      <w:r>
        <w:rPr>
          <w:rFonts w:ascii="Times New Roman" w:hAnsi="Times New Roman" w:cs="Times New Roman"/>
          <w:noProof/>
          <w:sz w:val="24"/>
          <w:szCs w:val="24"/>
        </w:rPr>
        <w:t>, stále mnoho žen čelí překážkám, které jim brání ve vstupu na trh práce a v setrvání na něm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7"/>
      </w:r>
      <w:r>
        <w:rPr>
          <w:rFonts w:ascii="Times New Roman" w:hAnsi="Times New Roman" w:cs="Times New Roman"/>
          <w:noProof/>
          <w:sz w:val="24"/>
          <w:szCs w:val="24"/>
        </w:rPr>
        <w:t>. Některé ženy jsou na trhu práce strukturálně nedostatečně zastoupeny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8"/>
      </w:r>
      <w:r>
        <w:rPr>
          <w:rFonts w:ascii="Times New Roman" w:hAnsi="Times New Roman" w:cs="Times New Roman"/>
          <w:noProof/>
          <w:sz w:val="24"/>
          <w:szCs w:val="24"/>
        </w:rPr>
        <w:t>, což je často výsledkem intersekcionální diskriminace, tedy genderové diskriminace a diskriminace na základě dalších stavů zranitelnosti nebo marginalizace, jako je příslušnost k etnické či náboženské menšině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39"/>
      </w:r>
      <w:r>
        <w:rPr>
          <w:rFonts w:ascii="Times New Roman" w:hAnsi="Times New Roman" w:cs="Times New Roman"/>
          <w:noProof/>
          <w:sz w:val="24"/>
          <w:szCs w:val="24"/>
        </w:rPr>
        <w:t xml:space="preserve"> nebo přistěhovalecký původ. </w:t>
      </w:r>
    </w:p>
    <w:p>
      <w:pPr>
        <w:pStyle w:val="NormalWeb"/>
        <w:spacing w:before="0" w:beforeAutospacing="0" w:after="200" w:afterAutospacing="0" w:line="100" w:lineRule="atLeast"/>
        <w:jc w:val="both"/>
        <w:rPr>
          <w:noProof/>
          <w:highlight w:val="yellow"/>
        </w:rPr>
      </w:pPr>
      <w:r>
        <w:rPr>
          <w:noProof/>
          <w:lang w:val="en-GB" w:eastAsia="en-GB"/>
        </w:rPr>
        <w:drawing>
          <wp:inline distT="0" distB="0" distL="0" distR="0">
            <wp:extent cx="5759450" cy="1987246"/>
            <wp:effectExtent l="0" t="0" r="0" b="0"/>
            <wp:docPr id="9" name="Picture 9" descr="H:\honcova\gender-gap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honcova\gender-gap-c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8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NormalWeb"/>
        <w:spacing w:after="200" w:line="100" w:lineRule="atLeast"/>
        <w:jc w:val="both"/>
        <w:rPr>
          <w:noProof/>
        </w:rPr>
      </w:pPr>
      <w:r>
        <w:rPr>
          <w:noProof/>
        </w:rPr>
        <w:t xml:space="preserve">Jedním ze způsobů řešení genderových rozdílů na trhu práce je zlepšení rovnováhy mezi pracovním a soukromým životem pracovníků. Oba rodiče musí pociťovat odpovědnost za péči o rodinu a mít možnost ji vykonávat. </w:t>
      </w:r>
      <w:r>
        <w:rPr>
          <w:b/>
          <w:noProof/>
        </w:rPr>
        <w:t>Směrnice o rovnováze mezi pracovním a soukromým životem</w:t>
      </w:r>
      <w:r>
        <w:rPr>
          <w:rStyle w:val="FootnoteReference"/>
          <w:noProof/>
        </w:rPr>
        <w:footnoteReference w:id="40"/>
      </w:r>
      <w:r>
        <w:rPr>
          <w:b/>
          <w:noProof/>
        </w:rPr>
        <w:t xml:space="preserve"> </w:t>
      </w:r>
      <w:r>
        <w:rPr>
          <w:noProof/>
        </w:rPr>
        <w:t xml:space="preserve">zavádí minimální normy pro pracovní volno z rodinných důvodů a pružné uspořádání práce pro pracovníky a podporuje rovné sdílení pečovatelských povinností mezi rodiči. Komise zajistí, aby členské státy tuto směrnici správně </w:t>
      </w:r>
      <w:r>
        <w:rPr>
          <w:b/>
          <w:noProof/>
        </w:rPr>
        <w:t>provedly ve svém vnitrostátním právu</w:t>
      </w:r>
      <w:r>
        <w:rPr>
          <w:rStyle w:val="FootnoteReference"/>
          <w:noProof/>
        </w:rPr>
        <w:footnoteReference w:id="41"/>
      </w:r>
      <w:r>
        <w:rPr>
          <w:noProof/>
        </w:rPr>
        <w:t xml:space="preserve"> a </w:t>
      </w:r>
      <w:r>
        <w:rPr>
          <w:b/>
          <w:noProof/>
        </w:rPr>
        <w:t>uplatňovaly</w:t>
      </w:r>
      <w:r>
        <w:rPr>
          <w:noProof/>
        </w:rPr>
        <w:t>, aby muži i ženy měli stejnou možnost dosáhnout osobního i profesního úspěchu, a vyzývá členské státy, aby při přezkumu svých politik šly nad rámec těchto minimálních standardů. Měly by rovněž zajistit kvalitní řešení, například pokud jde o péči o děti, která by dosáhla také do méně obydlených oblastí v Evropě. V rámci své vlastní administrativy bude Komise podporovat a sledovat rovné využívání pružného uspořádání práce u všech zaměstnanců</w:t>
      </w:r>
      <w:r>
        <w:rPr>
          <w:noProof/>
          <w:vertAlign w:val="superscript"/>
        </w:rPr>
        <w:footnoteReference w:id="42"/>
      </w:r>
      <w:r>
        <w:rPr>
          <w:noProof/>
        </w:rPr>
        <w:t>.</w:t>
      </w:r>
    </w:p>
    <w:p>
      <w:pPr>
        <w:pStyle w:val="Text1"/>
        <w:ind w:left="0"/>
        <w:rPr>
          <w:noProof/>
          <w:szCs w:val="24"/>
        </w:rPr>
      </w:pPr>
      <w:r>
        <w:rPr>
          <w:noProof/>
          <w:szCs w:val="24"/>
        </w:rPr>
        <w:t xml:space="preserve">Výzvy týkající se genderové rovnosti v členských státech, zejména v souvislosti s trhy práce, sociálním začleněním a vzděláváním, budou i nadále sledovány prostřednictvím </w:t>
      </w:r>
      <w:r>
        <w:rPr>
          <w:b/>
          <w:noProof/>
          <w:szCs w:val="24"/>
        </w:rPr>
        <w:t>evropského semestru</w:t>
      </w:r>
      <w:r>
        <w:rPr>
          <w:rStyle w:val="FootnoteReference"/>
          <w:noProof/>
          <w:szCs w:val="24"/>
        </w:rPr>
        <w:footnoteReference w:id="43"/>
      </w:r>
      <w:r>
        <w:rPr>
          <w:noProof/>
          <w:szCs w:val="24"/>
        </w:rPr>
        <w:t>. Prostřednictvím srovnávacího přehledu sociálních ukazatelů evropský semestr rovněž sleduje tyto rozměry evropského pilíře sociálních práv</w:t>
      </w:r>
      <w:r>
        <w:rPr>
          <w:rStyle w:val="FootnoteReference"/>
          <w:noProof/>
          <w:szCs w:val="24"/>
        </w:rPr>
        <w:footnoteReference w:id="44"/>
      </w:r>
      <w:r>
        <w:rPr>
          <w:noProof/>
          <w:szCs w:val="24"/>
        </w:rPr>
        <w:t>. Od počátku cyklu semestru 2019–2020 přispívají zprávy o jednotlivých zemích v rámci evropského semestru k monitorování cílů udržitelného rozvoje – včetně cíle udržitelného rozvoje č. 5 týkajícího se genderové rovnosti –, jakož i k monitorování způsobů, jakými mohou politiky v oblasti hospodářství a zaměstnanosti k plnění těchto cílů přispívat.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Program na podporu strukturálních reforem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může podpořit členské státy při začleňování hlediska genderové rovnosti do veřejné správy, sestavování národního rozpočtu a finančního řízení. Kromě toho může přispět k vnitrostátním strukturálním reformám v členských státech s cílem </w:t>
      </w:r>
      <w:r>
        <w:rPr>
          <w:rFonts w:ascii="Times New Roman" w:hAnsi="Times New Roman" w:cs="Times New Roman"/>
          <w:b/>
          <w:noProof/>
          <w:sz w:val="24"/>
          <w:szCs w:val="24"/>
        </w:rPr>
        <w:t>odstranit rozdíly v zaměstnanosti žen a mužů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vyřešit situaci, kterou představuje vyšší podíl žen žijících v chudobě, zejména ve vyšším věku. 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Sociální a hospodářské politiky, daňové systémy a systémy sociální ochrany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by neměly udržovat strukturální nerovnosti mezi ženami a muži založené na tradičních genderových rolích v oblasti pracovního a soukromého života. Komise vypracuje pokyny pro členské státy ohledně možného dopadu vnitrostátních systémů daní a dávek na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finanční faktory, které motivují druhou výdělečně činnou osobu v domácnosti k nástupu do zaměstnání, nebo ji od toho odrazují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59450" cy="1333360"/>
            <wp:effectExtent l="0" t="0" r="0" b="635"/>
            <wp:docPr id="15" name="Picture 15" descr="H:\honcova\decision-makers-private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honcova\decision-makers-private-c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Posílení postavení žen na trhu práce také znamená dát jim možnost, aby </w:t>
      </w:r>
      <w:r>
        <w:rPr>
          <w:rFonts w:ascii="Times New Roman" w:hAnsi="Times New Roman" w:cs="Times New Roman"/>
          <w:b/>
          <w:noProof/>
          <w:sz w:val="24"/>
          <w:szCs w:val="24"/>
        </w:rPr>
        <w:t>uspěly jako investorky a podnikatelky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5"/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Politika soudržnosti EU podporuje podnikání žen, jejich (opětovné) začlenění na trh práce a genderovou rovnost ve specifických, tradičně mužských odvětvích. V rámci </w:t>
      </w:r>
      <w:r>
        <w:rPr>
          <w:rFonts w:ascii="Times New Roman" w:hAnsi="Times New Roman" w:cs="Times New Roman"/>
          <w:b/>
          <w:noProof/>
          <w:sz w:val="24"/>
          <w:szCs w:val="24"/>
        </w:rPr>
        <w:t>Evropské rady pro inovace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(ERI) programu Horizont Evropa budou v roce 2020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46"/>
      </w:r>
      <w:r>
        <w:rPr>
          <w:rFonts w:ascii="Times New Roman" w:hAnsi="Times New Roman" w:cs="Times New Roman"/>
          <w:noProof/>
          <w:sz w:val="24"/>
          <w:szCs w:val="24"/>
        </w:rPr>
        <w:t xml:space="preserve"> vypracována cílená opatření na podporu účasti žen v oblasti inovací, včetně pilotního projektu na podporu začínajících podniků a inovativních malých a středních podniků vedených ženami. Komise rovněž podpoří zastoupení žen v rozhodovacích pozicích ve fondech soukromého kapitálu a rizikového kapitálu. Prostřednictvím </w:t>
      </w:r>
      <w:r>
        <w:rPr>
          <w:rFonts w:ascii="Times New Roman" w:hAnsi="Times New Roman" w:cs="Times New Roman"/>
          <w:b/>
          <w:noProof/>
          <w:sz w:val="24"/>
          <w:szCs w:val="24"/>
        </w:rPr>
        <w:t>Programu InvestEU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podpoří fondy investující s genderově diverzifikovanými portfolii s cílem mobilizovat soukromé a veřejné investice v Evropě pro udržitelnější a inovativnější růst podporující začlenění.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Dosažení rovné účasti v rozličných ekonomických odvětvích </w:t>
      </w:r>
    </w:p>
    <w:p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I když je v Evropě </w:t>
      </w:r>
      <w:r>
        <w:rPr>
          <w:rFonts w:ascii="Times New Roman" w:hAnsi="Times New Roman" w:cs="Times New Roman"/>
          <w:b/>
          <w:noProof/>
          <w:sz w:val="24"/>
          <w:szCs w:val="24"/>
        </w:rPr>
        <w:t>více absolventek než absolventů vysokých škol</w:t>
      </w:r>
      <w:r>
        <w:rPr>
          <w:rFonts w:ascii="Times New Roman" w:hAnsi="Times New Roman" w:cs="Times New Roman"/>
          <w:noProof/>
          <w:sz w:val="24"/>
          <w:szCs w:val="24"/>
        </w:rPr>
        <w:t>, ženy jsou i nadále nedostatečně zastoupeny v lépe placených profesích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</w:rPr>
        <w:footnoteReference w:id="47"/>
      </w:r>
      <w:r>
        <w:rPr>
          <w:rFonts w:ascii="Times New Roman" w:hAnsi="Times New Roman" w:cs="Times New Roman"/>
          <w:noProof/>
          <w:sz w:val="24"/>
          <w:szCs w:val="24"/>
        </w:rPr>
        <w:t>. Ženy také častěji než muži přijímají málo placenou práci, pracují ve špatně placených odvětvích nebo na nižších pozicích.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footnoteReference w:id="48"/>
      </w:r>
      <w:r>
        <w:rPr>
          <w:rFonts w:ascii="Times New Roman" w:hAnsi="Times New Roman" w:cs="Times New Roman"/>
          <w:noProof/>
          <w:sz w:val="24"/>
          <w:szCs w:val="24"/>
        </w:rPr>
        <w:t xml:space="preserve"> Mezi faktory, které k této situaci přispívají, patří například diskriminační sociální normy a stereotypy o dovednostech žen a mužů a podhodnocování práce žen.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59450" cy="1310615"/>
            <wp:effectExtent l="0" t="0" r="0" b="4445"/>
            <wp:docPr id="17" name="Picture 17" descr="H:\honcova\sectors-economy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honcova\sectors-economy-c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br w:type="page"/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V této souvislosti je nesmírně důležitý </w:t>
      </w:r>
      <w:r>
        <w:rPr>
          <w:rFonts w:ascii="Times New Roman" w:hAnsi="Times New Roman" w:cs="Times New Roman"/>
          <w:b/>
          <w:noProof/>
          <w:sz w:val="24"/>
          <w:szCs w:val="24"/>
        </w:rPr>
        <w:t>přechod k digitalizaci</w:t>
      </w:r>
      <w:r>
        <w:rPr>
          <w:rFonts w:ascii="Times New Roman" w:hAnsi="Times New Roman" w:cs="Times New Roman"/>
          <w:noProof/>
          <w:sz w:val="24"/>
          <w:szCs w:val="24"/>
        </w:rPr>
        <w:t>. Kvůli rychlé transformaci a digitalizaci ekonomiky a trhu práce dnes 90 % pracovních míst vyžaduje alespoň základní digitální dovednosti.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footnoteReference w:id="49"/>
      </w:r>
      <w:r>
        <w:rPr>
          <w:rFonts w:ascii="Times New Roman" w:hAnsi="Times New Roman" w:cs="Times New Roman"/>
          <w:noProof/>
          <w:sz w:val="24"/>
          <w:szCs w:val="24"/>
        </w:rPr>
        <w:t xml:space="preserve"> Pouze 17 % pracovníků a studujících v oborech IKT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0"/>
      </w:r>
      <w:r>
        <w:rPr>
          <w:rFonts w:ascii="Times New Roman" w:hAnsi="Times New Roman" w:cs="Times New Roman"/>
          <w:noProof/>
          <w:sz w:val="24"/>
          <w:szCs w:val="24"/>
        </w:rPr>
        <w:t xml:space="preserve"> v EU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1"/>
      </w:r>
      <w:r>
        <w:rPr>
          <w:rFonts w:ascii="Times New Roman" w:hAnsi="Times New Roman" w:cs="Times New Roman"/>
          <w:noProof/>
          <w:sz w:val="24"/>
          <w:szCs w:val="24"/>
        </w:rPr>
        <w:t xml:space="preserve"> a pouze 36% absolventů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2"/>
      </w:r>
      <w:r>
        <w:rPr>
          <w:rFonts w:ascii="Times New Roman" w:hAnsi="Times New Roman" w:cs="Times New Roman"/>
          <w:noProof/>
          <w:sz w:val="24"/>
          <w:szCs w:val="24"/>
        </w:rPr>
        <w:t xml:space="preserve"> STEM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3"/>
      </w:r>
      <w:r>
        <w:rPr>
          <w:rFonts w:ascii="Times New Roman" w:hAnsi="Times New Roman" w:cs="Times New Roman"/>
          <w:noProof/>
          <w:sz w:val="24"/>
          <w:szCs w:val="24"/>
        </w:rPr>
        <w:t xml:space="preserve"> jsou ženy, přestože dívky dosahují v počítačové gramotnosti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footnoteReference w:id="54"/>
      </w:r>
      <w:r>
        <w:rPr>
          <w:rFonts w:ascii="Times New Roman" w:hAnsi="Times New Roman" w:cs="Times New Roman"/>
          <w:noProof/>
          <w:sz w:val="24"/>
          <w:szCs w:val="24"/>
        </w:rPr>
        <w:t xml:space="preserve"> lepších výsledků než chlapci. Tento rozdíl i paradox se budou řešit v aktualizovaném </w:t>
      </w:r>
      <w:r>
        <w:rPr>
          <w:rFonts w:ascii="Times New Roman" w:hAnsi="Times New Roman" w:cs="Times New Roman"/>
          <w:b/>
          <w:noProof/>
          <w:sz w:val="24"/>
          <w:szCs w:val="24"/>
        </w:rPr>
        <w:t>akčním plánu digitálního vzdělávání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 prováděním </w:t>
      </w:r>
      <w:r>
        <w:rPr>
          <w:rFonts w:ascii="Times New Roman" w:hAnsi="Times New Roman" w:cs="Times New Roman"/>
          <w:b/>
          <w:noProof/>
          <w:sz w:val="24"/>
          <w:szCs w:val="24"/>
        </w:rPr>
        <w:t>prohlášení ministrů o závazku týkajícím se zastoupení žen v digitálním světě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5"/>
      </w:r>
      <w:r>
        <w:rPr>
          <w:rFonts w:ascii="Times New Roman" w:hAnsi="Times New Roman" w:cs="Times New Roman"/>
          <w:noProof/>
          <w:sz w:val="24"/>
          <w:szCs w:val="24"/>
        </w:rPr>
        <w:t xml:space="preserve">. Bude se také systematičtěji využívat </w:t>
      </w:r>
      <w:r>
        <w:rPr>
          <w:rFonts w:ascii="Times New Roman" w:hAnsi="Times New Roman" w:cs="Times New Roman"/>
          <w:b/>
          <w:noProof/>
          <w:sz w:val="24"/>
          <w:szCs w:val="24"/>
        </w:rPr>
        <w:t>srovnávací přehled o zastoupení žen v digitálním světě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Aktualizovaná agenda dovedností pro Evropu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pomůže řešit horizontální segregaci, stereotypizaci a genderové rozdíly v oblasti vzdělávání a odborné přípravy. Návrh Komise na </w:t>
      </w:r>
      <w:r>
        <w:rPr>
          <w:rFonts w:ascii="Times New Roman" w:hAnsi="Times New Roman" w:cs="Times New Roman"/>
          <w:b/>
          <w:noProof/>
          <w:sz w:val="24"/>
          <w:szCs w:val="24"/>
        </w:rPr>
        <w:t>doporučení Rady týkající se odborného vzdělávání a přípravy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podpoří úsilí o vyváženější zastoupení žen a mužů v profesích, v nichž tradičně převažují buď ženy, nebo muži, a bude se zabývat genderovými stereotypy. </w:t>
      </w:r>
      <w:r>
        <w:rPr>
          <w:rFonts w:ascii="Times New Roman" w:hAnsi="Times New Roman" w:cs="Times New Roman"/>
          <w:b/>
          <w:noProof/>
          <w:sz w:val="24"/>
          <w:szCs w:val="24"/>
        </w:rPr>
        <w:t>Rozšířená záruka pro mladé lidi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se rovněž specificky zaměří na ženy, které nejsou zaměstnané ani se neúčastní vzdělávání nebo odborné přípravy, aby i jim byly zajištěny rovné příležitosti.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V připravovaném </w:t>
      </w:r>
      <w:r>
        <w:rPr>
          <w:rFonts w:ascii="Times New Roman" w:hAnsi="Times New Roman" w:cs="Times New Roman"/>
          <w:b/>
          <w:noProof/>
          <w:sz w:val="24"/>
          <w:szCs w:val="24"/>
        </w:rPr>
        <w:t>sdělení Komise o evropském prostoru vzdělávání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bude genderová rovnost uvedena jako jeden z klíčových prvků. Obnovený </w:t>
      </w:r>
      <w:r>
        <w:rPr>
          <w:rFonts w:ascii="Times New Roman" w:hAnsi="Times New Roman" w:cs="Times New Roman"/>
          <w:b/>
          <w:noProof/>
          <w:sz w:val="24"/>
          <w:szCs w:val="24"/>
        </w:rPr>
        <w:t>strategický rámec pro genderovou rovnost ve sportu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podpoří účast žen a dívek na sportovních a fyzických aktivitách, stejně jako genderovou vyváženost ve vedoucích pozicích v rámci sportovních organizací.</w:t>
      </w:r>
    </w:p>
    <w:p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t>Řešení rozdílů v odměňování a důchodech žen a mužů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Zásada stejné odměny za stejnou nebo rovnocennou práci je zakotvena ve Smlouvách od roku 1957 a byla převedena do práva EU.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Zajišťuje, aby v případě diskriminace existovaly prostředky právní nápravy. Ženy však stále vydělávají v průměru méně než muži.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6"/>
      </w:r>
      <w:r>
        <w:rPr>
          <w:rFonts w:ascii="Times New Roman" w:hAnsi="Times New Roman" w:cs="Times New Roman"/>
          <w:noProof/>
          <w:sz w:val="24"/>
          <w:szCs w:val="24"/>
        </w:rPr>
        <w:t xml:space="preserve"> Nahromaděné celoživotní rozdíly v zaměstnanosti a v odměňování žen a mužů vedou k ještě markantnějším rozdílům ve výši důchodů, a proto starší ženy ohrožuje chudoba více než muže. </w:t>
      </w:r>
    </w:p>
    <w:p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59450" cy="1219762"/>
            <wp:effectExtent l="0" t="0" r="0" b="0"/>
            <wp:docPr id="18" name="Picture 18" descr="H:\honcova\pension-gender-gap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honcova\pension-gender-gap-c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1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Odstranění rozdílů v odměňování žen a mužů</w:t>
      </w:r>
      <w:r>
        <w:rPr>
          <w:rFonts w:ascii="Times New Roman" w:hAnsi="Times New Roman"/>
          <w:noProof/>
          <w:sz w:val="24"/>
          <w:szCs w:val="24"/>
        </w:rPr>
        <w:t xml:space="preserve"> vyžaduje odstranění všech základních příčin, včetně nižší účasti žen na trhu práce, neviditelné a neplacené práce, vyššího využívání práce na částečný úvazek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7"/>
      </w:r>
      <w:r>
        <w:rPr>
          <w:rFonts w:ascii="Times New Roman" w:hAnsi="Times New Roman"/>
          <w:noProof/>
          <w:sz w:val="24"/>
          <w:szCs w:val="24"/>
        </w:rPr>
        <w:t xml:space="preserve"> a přerušení kariéry, jakož i vertikální a horizontální segregace na základě genderových stereotypů a diskriminace. 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Jsou-li k dispozici informace o úrovních odměňování, dají se rozdíly a diskriminace lépe odhalit. Z důvodu nedostatečné transparentnosti mnoho žen neví nebo nemůže prokázat, že jsou špatně placeny. Komise předloží </w:t>
      </w:r>
      <w:r>
        <w:rPr>
          <w:rFonts w:ascii="Times New Roman" w:hAnsi="Times New Roman"/>
          <w:b/>
          <w:noProof/>
          <w:sz w:val="24"/>
          <w:szCs w:val="24"/>
        </w:rPr>
        <w:t>do konce roku 2020 závazná opatření týkající se transparentnosti odměňování</w:t>
      </w:r>
      <w:r>
        <w:rPr>
          <w:rFonts w:ascii="Times New Roman" w:hAnsi="Times New Roman"/>
          <w:noProof/>
          <w:sz w:val="24"/>
          <w:szCs w:val="24"/>
        </w:rPr>
        <w:t>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Uvedená iniciativa posílí práva zaměstnanců na více informací o výši mezd, i když to může pro zaměstnavatele znamenat další administrativní zátěž. Aby bylo takové opatření EU náležitě vyvážené, je nanejvýš důležité konzultovat a vyslechnout sociální partnery a vnitrostátní správní orgány. Komise provedla důkladné zhodnocení stávajícího rámce pro stejnou odměnu za stejnou nebo rovnocennou práci.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8"/>
      </w:r>
      <w:r>
        <w:rPr>
          <w:rFonts w:ascii="Times New Roman" w:hAnsi="Times New Roman"/>
          <w:noProof/>
          <w:sz w:val="24"/>
          <w:szCs w:val="24"/>
        </w:rPr>
        <w:t xml:space="preserve"> Spolu s přijetím této strategie zahajuje Komise </w:t>
      </w:r>
      <w:r>
        <w:rPr>
          <w:rFonts w:ascii="Times New Roman" w:hAnsi="Times New Roman"/>
          <w:b/>
          <w:noProof/>
          <w:sz w:val="24"/>
          <w:szCs w:val="24"/>
        </w:rPr>
        <w:t>rozsáhlý a inkluzivní konzultační proces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59"/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s veřejností, členskými státy a sociálními partnery. Z širší perspektivy</w:t>
      </w:r>
      <w:r>
        <w:rPr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Komise znovu zahájí diskusi se </w:t>
      </w:r>
      <w:r>
        <w:rPr>
          <w:rFonts w:ascii="Times New Roman" w:hAnsi="Times New Roman"/>
          <w:b/>
          <w:noProof/>
          <w:sz w:val="24"/>
          <w:szCs w:val="24"/>
        </w:rPr>
        <w:t>sociálními partnery</w:t>
      </w:r>
      <w:r>
        <w:rPr>
          <w:rFonts w:ascii="Times New Roman" w:hAnsi="Times New Roman"/>
          <w:noProof/>
          <w:sz w:val="24"/>
          <w:szCs w:val="24"/>
        </w:rPr>
        <w:t xml:space="preserve"> o tom, jak zlepšit genderovou rovnost ve světě práce, a to i v rámci jejich struktur. Podpoří také sociální partnery k zintenzivnění úsilí při řešení otázky rozdílů v zaměstnanosti a odměňování žen a mužů.</w:t>
      </w:r>
    </w:p>
    <w:p>
      <w:pPr>
        <w:pStyle w:val="NormalWeb"/>
        <w:jc w:val="both"/>
        <w:rPr>
          <w:noProof/>
        </w:rPr>
      </w:pPr>
      <w:r>
        <w:rPr>
          <w:noProof/>
        </w:rPr>
        <w:t xml:space="preserve">Nižší příjmy, častěji přijímaná práce na částečný úvazek a přerušování kariéry související s pečovatelskými povinnostmi žen významně přispívají k </w:t>
      </w:r>
      <w:r>
        <w:rPr>
          <w:b/>
          <w:noProof/>
        </w:rPr>
        <w:t>rozdílům ve výši důchodů žen a mužů</w:t>
      </w:r>
      <w:r>
        <w:rPr>
          <w:noProof/>
        </w:rPr>
        <w:t xml:space="preserve">. Ve </w:t>
      </w:r>
      <w:r>
        <w:rPr>
          <w:b/>
          <w:noProof/>
        </w:rPr>
        <w:t>zprávě o přiměřenosti důchodů</w:t>
      </w:r>
      <w:r>
        <w:rPr>
          <w:noProof/>
        </w:rPr>
        <w:t xml:space="preserve"> pro rok 2021 Komise spolu s Výborem pro sociální ochranu v rámci Rady posoudí, jak jsou rizika a zdroje v penzijních systémech rozložena mezi ženy a muže. V zájmu ochrany důchodových práv a podpory rovného rozdělení pečovatelských povinností mezi ženami a muži Komise prozkoumá spolu s členskými státy a zúčastněnými stranami poskytování </w:t>
      </w:r>
      <w:r>
        <w:rPr>
          <w:b/>
          <w:noProof/>
        </w:rPr>
        <w:t>důchodových kreditů za přerušení kariéry v souvislosti s péčí v rámci systémů zaměstnaneckého penzijního pojištění</w:t>
      </w:r>
      <w:r>
        <w:rPr>
          <w:noProof/>
        </w:rPr>
        <w:t>, jak doporučila skupina na vysoké úrovni pro důchody</w:t>
      </w:r>
      <w:r>
        <w:rPr>
          <w:rStyle w:val="FootnoteReference"/>
          <w:noProof/>
        </w:rPr>
        <w:footnoteReference w:id="60"/>
      </w:r>
      <w:r>
        <w:rPr>
          <w:noProof/>
        </w:rPr>
        <w:t>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t>Odstranění genderových rozdílů v poskytování péče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Být úspěšný v práci a zároveň zvládat pečovatelské povinnosti v domácnosti je velkou výzvou, zejména pro ženy. </w:t>
      </w:r>
      <w:r>
        <w:rPr>
          <w:rFonts w:ascii="Times New Roman" w:hAnsi="Times New Roman"/>
          <w:noProof/>
          <w:sz w:val="24"/>
          <w:szCs w:val="24"/>
        </w:rPr>
        <w:t>Ženy často podřizují své rozhodnutí, zda a jak pracovat, svým pečovatelským povinnostem a tomu, zda a nakolik tyto povinnosti sdílí se svým partnerem. Jde o velký problém zejména pro rodiče samoživitele, z nichž většina jsou ženy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1"/>
      </w:r>
      <w:r>
        <w:rPr>
          <w:rFonts w:ascii="Times New Roman" w:hAnsi="Times New Roman"/>
          <w:noProof/>
          <w:sz w:val="24"/>
          <w:szCs w:val="24"/>
        </w:rPr>
        <w:t>, a pro osoby žijící ve vzdálených venkovských oblastech, kterým se často nedostává dostatečné podpory. Ženy rovněž nesou neúměrnou zátěž spojenou s neplacenou prací, která představuje významný podíl hospodářské činnosti.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2"/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Rovnoměrné rozdělení pečovatelských povinností v domácnosti je zásadním požadavkem, stejně jako dostupnost péče o děti, sociální péče a služeb v domácnosti</w:t>
      </w:r>
      <w:r>
        <w:rPr>
          <w:rFonts w:ascii="Times New Roman" w:hAnsi="Times New Roman"/>
          <w:noProof/>
          <w:sz w:val="24"/>
          <w:szCs w:val="24"/>
        </w:rPr>
        <w:t>, zejména v případě rodičů samoživitelů.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3"/>
      </w:r>
      <w:r>
        <w:rPr>
          <w:rFonts w:ascii="Times New Roman" w:hAnsi="Times New Roman"/>
          <w:noProof/>
          <w:sz w:val="24"/>
          <w:szCs w:val="24"/>
        </w:rPr>
        <w:t xml:space="preserve"> Nedostatečný přístup ke kvalitním a cenově dostupným službám formální péče je jedním z hlavních faktorů genderové nerovnosti na trhu práce.</w:t>
      </w:r>
      <w:r>
        <w:rPr>
          <w:rStyle w:val="FootnoteReference"/>
          <w:rFonts w:ascii="Times New Roman" w:eastAsia="Times New Roman" w:hAnsi="Times New Roman" w:cs="Times New Roman"/>
          <w:noProof/>
          <w:sz w:val="24"/>
          <w:szCs w:val="24"/>
        </w:rPr>
        <w:footnoteReference w:id="64"/>
      </w:r>
      <w:r>
        <w:rPr>
          <w:rFonts w:ascii="Times New Roman" w:hAnsi="Times New Roman"/>
          <w:noProof/>
          <w:sz w:val="24"/>
          <w:szCs w:val="24"/>
        </w:rPr>
        <w:t xml:space="preserve"> Investice do pečovatelských služeb a služeb péče o děti jsou proto důležité pro podporu žen, aby vykonávaly placenou práci, a jejich profesního rozvoje a mají také potenciál pro tvorbu pracovních míst pro ženy i muže.</w:t>
      </w:r>
    </w:p>
    <w:p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59450" cy="1061555"/>
            <wp:effectExtent l="0" t="0" r="0" b="5715"/>
            <wp:docPr id="23" name="Picture 23" descr="H:\honcova\gender-care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honcova\gender-care-c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Barcelonské cíle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5"/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pro poskytování předškolního vzdělávání a opatření v oblasti péče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o děti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jsou většinou splněny, ale některé členské státy za ostatními výrazně zaostávají. Komise proto navrhne revizi barcelonských cílů, aby posílila vzestupnou konvergenci mezi členskými státy v oblasti předškolního vzdělávání a péče. Kromě toho předloží Komise v roce 2021 návrh na </w:t>
      </w:r>
      <w:r>
        <w:rPr>
          <w:rFonts w:ascii="Times New Roman" w:hAnsi="Times New Roman" w:cs="Times New Roman"/>
          <w:b/>
          <w:noProof/>
          <w:sz w:val="24"/>
          <w:szCs w:val="24"/>
        </w:rPr>
        <w:t>záruky pro děti</w:t>
      </w:r>
      <w:r>
        <w:rPr>
          <w:rFonts w:ascii="Times New Roman" w:hAnsi="Times New Roman" w:cs="Times New Roman"/>
          <w:noProof/>
          <w:sz w:val="24"/>
          <w:szCs w:val="24"/>
        </w:rPr>
        <w:t>, který se zaměří na nejvýznamnější překážky, jež brání dětem v přístupu k nezbytným službám zajišťujícím jejich dobré životní podmínky a osobní rozvoj, aby se podařilo vykročit z bludného kruhu chudoby a snížit nerovnost.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Komise bude nadále podporovat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úsilí členských států o zlepšení obecné a cenové dostupnosti kvalitních pečovatelských služeb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a služeb péče o děti a další závislé osoby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prostřednictvím investic z Evropského sociálního fondu plus, Evropského fondu pro regionální rozvoj, Programu InvestEU a Evropského zemědělského fondu pro rozvoj venkova.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Na konci roku 2020 zahájí Komise konzultační proces k </w:t>
      </w:r>
      <w:r>
        <w:rPr>
          <w:rFonts w:ascii="Times New Roman" w:hAnsi="Times New Roman" w:cs="Times New Roman"/>
          <w:b/>
          <w:noProof/>
          <w:sz w:val="24"/>
          <w:szCs w:val="24"/>
        </w:rPr>
        <w:t>zelené knize o stárnutí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se zaměřením na dlouhodobou péči, důchody a aktivní stárnutí.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>
        <w:tc>
          <w:tcPr>
            <w:tcW w:w="9212" w:type="dxa"/>
          </w:tcPr>
          <w:p>
            <w:pPr>
              <w:spacing w:before="120" w:line="10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Kromě svých výše uvedených opatření Komise vyzývá členské státy, aby: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provedly směrnici o rovnováze mezi pracovním a soukromým životem ve vnitrostátním právu a řádně prováděly právní předpisy EU v oblasti genderové rovnosti a pracovní právo EU</w:t>
            </w:r>
            <w:r>
              <w:rPr>
                <w:rStyle w:val="FootnoteReference"/>
                <w:rFonts w:ascii="Times New Roman" w:hAnsi="Times New Roman" w:cs="Times New Roman"/>
                <w:noProof/>
                <w:sz w:val="24"/>
                <w:szCs w:val="24"/>
              </w:rPr>
              <w:footnoteReference w:id="66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,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přijaly opatření v návaznosti na závěry Rady z června 2019 „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GB"/>
              </w:rPr>
              <w:t>Odstraňování rozdílů v odměňování žen a mužů: klíčové politiky a opatření“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,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 xml:space="preserve">zajistily přiměřené investice do předškolního vzdělávání, pečovatelských služeb, služeb péče o děti a služeb dlouhodobé péče, a to i z dostupných finančních prostředků EU, a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provedly prohlášení ministrů o závazku týkajícím se zastoupení žen v digitálním světě.</w:t>
            </w:r>
          </w:p>
          <w:p>
            <w:p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>
      <w:pPr>
        <w:spacing w:line="100" w:lineRule="atLeast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noProof/>
          <w:sz w:val="28"/>
          <w:szCs w:val="28"/>
        </w:rPr>
        <w:tab/>
        <w:t>Rovný podíl na vedení napříč společností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 xml:space="preserve">Podniky, komunity a země by měly být vedeny ženami i muži v celé jejich diverzitě. To, zda jste žena nebo muž, by nemělo ovlivnit vaši kariéru. 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t>Dosažení genderové vyváženosti v rozhodovacích pozicích a v politice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Ve vedoucích pozicích je stále příliš málo žen, ať už v politice nebo ve vládních agenturách, na nejvyšších soudech nebo ve správních radách podniků, a to i v případech, kdy na nižších úrovních rovné zastoupení žen a mužů nalezneme. Jsou-li nejvyšší pozice dlouhou dobu zastávány výhradně muži, ovlivní to způsob výběru jejich nástupců, někdy pouze kvůli podvědomým předsudkům.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Má-li být vedení úspěšné, musí se na něm nezbytně podílet ženy i muži. </w:t>
      </w:r>
      <w:r>
        <w:rPr>
          <w:rFonts w:ascii="Times New Roman" w:hAnsi="Times New Roman"/>
          <w:b/>
          <w:noProof/>
          <w:sz w:val="24"/>
          <w:szCs w:val="24"/>
        </w:rPr>
        <w:t>K vyřešení složitých problémů, s nimiž se lidé na rozhodovacích pozicích v dnešní době potýkají, je zapotřebí inkluzivní a rozmanité vedení</w:t>
      </w:r>
      <w:r>
        <w:rPr>
          <w:rFonts w:ascii="Times New Roman" w:hAnsi="Times New Roman"/>
          <w:noProof/>
          <w:sz w:val="24"/>
          <w:szCs w:val="24"/>
        </w:rPr>
        <w:t>. Větší inkluzivnost a rozmanitost jsou zásadním předpokladem nových myšlenek a inovativních přístupů, které by lépe posloužily dynamické a prosperující společnosti v EU. Občané ze všech prostředí by měli mít možnost smysluplně se zapojit do společenského dění, neboť to je podmínkou dobrého fungování demokracie a účinnější tvorby politik.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7"/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59450" cy="862473"/>
            <wp:effectExtent l="0" t="0" r="0" b="0"/>
            <wp:docPr id="25" name="Picture 25" descr="H:\honcova\gender-balance-politics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honcova\gender-balance-politics-c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K lepšímu rozhodování, správě a řízení společností a k podpoře hospodářského růstu přispívá široká škála talentů a dovedností.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footnoteReference w:id="68"/>
      </w:r>
      <w:r>
        <w:rPr>
          <w:rFonts w:ascii="Times New Roman" w:hAnsi="Times New Roman" w:cs="Times New Roman"/>
          <w:noProof/>
          <w:sz w:val="24"/>
          <w:szCs w:val="24"/>
        </w:rPr>
        <w:t xml:space="preserve"> I přes určitý pokrok, jehož bylo v posledních letech dosaženo, jsou ženy na rozhodovacích pozicích v evropských podnicích a průmyslu stále nedostatečně zastoupeny.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69"/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Aby Komise pomohla prolomit „skleněný strop“, bude usilovat o přijetí návrhu </w:t>
      </w:r>
      <w:r>
        <w:rPr>
          <w:rFonts w:ascii="Times New Roman" w:hAnsi="Times New Roman" w:cs="Times New Roman"/>
          <w:b/>
          <w:noProof/>
          <w:sz w:val="24"/>
          <w:szCs w:val="24"/>
        </w:rPr>
        <w:t>směrnice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z roku 2012 </w:t>
      </w:r>
      <w:r>
        <w:rPr>
          <w:rFonts w:ascii="Times New Roman" w:hAnsi="Times New Roman" w:cs="Times New Roman"/>
          <w:b/>
          <w:noProof/>
          <w:sz w:val="24"/>
          <w:szCs w:val="24"/>
        </w:rPr>
        <w:t>o zlepšení genderové vyváženosti řídících a dozorčích orgánů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0"/>
      </w:r>
      <w:r>
        <w:rPr>
          <w:rFonts w:ascii="Times New Roman" w:hAnsi="Times New Roman" w:cs="Times New Roman"/>
          <w:noProof/>
          <w:sz w:val="24"/>
          <w:szCs w:val="24"/>
        </w:rPr>
        <w:t>, která stanoví, že v řídících a dozorčích orgánech společnosti musí být nejméně 40 % nevýkonných členů nedostatečně zastoupeného pohlaví.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1"/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Zároveň s tím Komise usnadní výměnu osvědčených postupů zabývajících se genderovou vyvážeností ve výkonných radách a řídících funkcích a předloží příklady vnitrostátních nebo regionálních projektů prováděných vládami, občanskou společností nebo soukromým sektorem. </w:t>
      </w:r>
      <w:r>
        <w:rPr>
          <w:rFonts w:ascii="Times New Roman" w:hAnsi="Times New Roman"/>
          <w:b/>
          <w:noProof/>
          <w:sz w:val="24"/>
          <w:szCs w:val="24"/>
        </w:rPr>
        <w:t>Platforma EU pro charty diverzity</w:t>
      </w: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footnoteReference w:id="72"/>
      </w:r>
      <w:r>
        <w:rPr>
          <w:rFonts w:ascii="Times New Roman" w:hAnsi="Times New Roman"/>
          <w:noProof/>
          <w:sz w:val="24"/>
          <w:szCs w:val="24"/>
        </w:rPr>
        <w:t xml:space="preserve"> bude sloužit jako platforma pro výměnu poznatků. Komise bude i nadále spolupracovat s projekty na úrovni EU, jako je Evropský index genderové diverzity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3"/>
      </w:r>
      <w:r>
        <w:rPr>
          <w:rFonts w:ascii="Times New Roman" w:hAnsi="Times New Roman"/>
          <w:noProof/>
          <w:sz w:val="24"/>
          <w:szCs w:val="24"/>
        </w:rPr>
        <w:t xml:space="preserve"> (European Gender Diversity Index (GDI)).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Zajištění rovných příležitostí pro účast na společenském dění má pro zastupitelskou demokracii na všech úrovních – evropské, vnitrostátní, regionální i místní – zásadní význam.</w:t>
      </w:r>
      <w:r>
        <w:rPr>
          <w:rFonts w:ascii="Times New Roman" w:hAnsi="Times New Roman"/>
          <w:noProof/>
          <w:sz w:val="24"/>
          <w:szCs w:val="24"/>
        </w:rPr>
        <w:t xml:space="preserve"> Komise bude ve spolupráci s Evropským parlamentem, vnitrostátními parlamenty, členskými státy a občanskou společností podporovat účast žen jako voliček a kandidátek ve </w:t>
      </w:r>
      <w:r>
        <w:rPr>
          <w:rFonts w:ascii="Times New Roman" w:hAnsi="Times New Roman"/>
          <w:b/>
          <w:noProof/>
          <w:sz w:val="24"/>
          <w:szCs w:val="24"/>
        </w:rPr>
        <w:t>volbách do Evropského parlamentu v roce 2024</w:t>
      </w:r>
      <w:r>
        <w:rPr>
          <w:rFonts w:ascii="Times New Roman" w:hAnsi="Times New Roman"/>
          <w:noProof/>
          <w:sz w:val="24"/>
          <w:szCs w:val="24"/>
        </w:rPr>
        <w:t>, a to i finančně a prosazováním osvědčených postupů. Evropské politické strany, které žádají o financování z prostředků EU, jsou vybízeny k tomu, aby byly transparentní, pokud jde o genderovou vyváženost straníků.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4"/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59450" cy="948637"/>
            <wp:effectExtent l="0" t="0" r="0" b="4445"/>
            <wp:docPr id="26" name="Picture 26" descr="H:\honcova\commission-mep-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honcova\commission-mep-c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Ani </w:t>
      </w:r>
      <w:r>
        <w:rPr>
          <w:rFonts w:ascii="Times New Roman" w:hAnsi="Times New Roman"/>
          <w:b/>
          <w:noProof/>
          <w:sz w:val="24"/>
          <w:szCs w:val="24"/>
        </w:rPr>
        <w:t>orgány a instituce EU by neměly být vyňaty</w:t>
      </w:r>
      <w:r>
        <w:rPr>
          <w:rFonts w:ascii="Times New Roman" w:hAnsi="Times New Roman"/>
          <w:noProof/>
          <w:sz w:val="24"/>
          <w:szCs w:val="24"/>
        </w:rPr>
        <w:t xml:space="preserve"> z povinnosti zajistit genderovou vyváženost ve vedoucích pozicích a Komise půjde příkladem.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Díky naléhavému apelu předsedkyně von der Leyenové na </w:t>
      </w:r>
      <w:r>
        <w:rPr>
          <w:rFonts w:ascii="Times New Roman" w:hAnsi="Times New Roman"/>
          <w:b/>
          <w:noProof/>
          <w:sz w:val="24"/>
          <w:szCs w:val="24"/>
        </w:rPr>
        <w:t>rovné zastoupení žen a mužů ve sboru komisařů</w:t>
      </w:r>
      <w:r>
        <w:rPr>
          <w:rFonts w:ascii="Times New Roman" w:hAnsi="Times New Roman"/>
          <w:noProof/>
          <w:sz w:val="24"/>
          <w:szCs w:val="24"/>
        </w:rPr>
        <w:t xml:space="preserve"> má stávající Komise </w:t>
      </w:r>
      <w:r>
        <w:rPr>
          <w:rFonts w:ascii="Times New Roman" w:hAnsi="Times New Roman"/>
          <w:bCs/>
          <w:noProof/>
          <w:sz w:val="24"/>
          <w:szCs w:val="24"/>
        </w:rPr>
        <w:t>dosud nejvyšší</w:t>
      </w:r>
      <w:r>
        <w:rPr>
          <w:rFonts w:ascii="Times New Roman" w:hAnsi="Times New Roman"/>
          <w:noProof/>
          <w:sz w:val="24"/>
          <w:szCs w:val="24"/>
        </w:rPr>
        <w:t xml:space="preserve"> zastoupení žen. Komise chce do konce roku 2024 dosáhnout </w:t>
      </w:r>
      <w:r>
        <w:rPr>
          <w:rFonts w:ascii="Times New Roman" w:hAnsi="Times New Roman"/>
          <w:b/>
          <w:bCs/>
          <w:noProof/>
          <w:sz w:val="24"/>
          <w:szCs w:val="24"/>
        </w:rPr>
        <w:t>50% zastoupení žen a mužů</w:t>
      </w:r>
      <w:r>
        <w:rPr>
          <w:rFonts w:ascii="Times New Roman" w:hAnsi="Times New Roman"/>
          <w:noProof/>
          <w:sz w:val="24"/>
          <w:szCs w:val="24"/>
        </w:rPr>
        <w:t xml:space="preserve"> na všech úrovních svého řízení.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5"/>
      </w:r>
      <w:r>
        <w:rPr>
          <w:rFonts w:ascii="Times New Roman" w:hAnsi="Times New Roman"/>
          <w:noProof/>
          <w:sz w:val="24"/>
          <w:szCs w:val="24"/>
        </w:rPr>
        <w:t xml:space="preserve"> Podpůrná opatření budou zahrnovat kvantitativní cíle pro jmenování žen a programy rozvoje lídrovských schopností.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6"/>
      </w:r>
      <w:r>
        <w:rPr>
          <w:rFonts w:ascii="Times New Roman" w:hAnsi="Times New Roman"/>
          <w:noProof/>
          <w:sz w:val="24"/>
          <w:szCs w:val="24"/>
        </w:rPr>
        <w:t xml:space="preserve"> Komise rovněž zvýší úsilí o dosažení většího podílu </w:t>
      </w:r>
      <w:r>
        <w:rPr>
          <w:rFonts w:ascii="Times New Roman" w:hAnsi="Times New Roman"/>
          <w:b/>
          <w:noProof/>
          <w:sz w:val="24"/>
          <w:szCs w:val="24"/>
        </w:rPr>
        <w:t>žen v řídících funkcích v agenturách EU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7"/>
      </w:r>
      <w:r>
        <w:rPr>
          <w:rFonts w:ascii="Times New Roman" w:hAnsi="Times New Roman"/>
          <w:noProof/>
          <w:sz w:val="24"/>
          <w:szCs w:val="24"/>
        </w:rPr>
        <w:t xml:space="preserve"> a zajistí vyvážené zastoupení žen a mužů mezi řečníky a diskutéry na konferencích, které organizuje. </w:t>
      </w: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Komise bude podporovat členské státy při vytváření a provádění účinnějších </w:t>
      </w:r>
      <w:r>
        <w:rPr>
          <w:rFonts w:ascii="Times New Roman" w:hAnsi="Times New Roman"/>
          <w:b/>
          <w:noProof/>
          <w:sz w:val="24"/>
          <w:szCs w:val="24"/>
        </w:rPr>
        <w:t>strategií pro zvýšení počtu žen v rozhodovacích pozicích</w:t>
      </w:r>
      <w:r>
        <w:rPr>
          <w:rFonts w:ascii="Times New Roman" w:hAnsi="Times New Roman"/>
          <w:noProof/>
          <w:sz w:val="24"/>
          <w:szCs w:val="24"/>
        </w:rPr>
        <w:t>, mimo jiné prostřednictvím programu vzájemného učení v oblasti genderové rovnosti.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8"/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Komise bude rovněž ve spolupráci s Evropským institutem pro rovnost žen a mužů (EIGE) </w:t>
      </w:r>
      <w:r>
        <w:rPr>
          <w:rFonts w:ascii="Times New Roman" w:hAnsi="Times New Roman"/>
          <w:b/>
          <w:noProof/>
          <w:sz w:val="24"/>
          <w:szCs w:val="24"/>
        </w:rPr>
        <w:t>šířit údaje a analýzy trendů, pokud jde o zastoupení žen a mužů v rozhodovacích pozicích</w:t>
      </w:r>
      <w:r>
        <w:rPr>
          <w:rFonts w:ascii="Times New Roman" w:hAnsi="Times New Roman"/>
          <w:noProof/>
          <w:sz w:val="24"/>
          <w:szCs w:val="24"/>
        </w:rPr>
        <w:t>.</w:t>
      </w:r>
    </w:p>
    <w:p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>
        <w:tc>
          <w:tcPr>
            <w:tcW w:w="9212" w:type="dxa"/>
          </w:tcPr>
          <w:p>
            <w:pPr>
              <w:pStyle w:val="ListParagraph"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GB"/>
              </w:rPr>
              <w:t xml:space="preserve">Kromě svých výše uvedených opatření Komise vyzývá </w:t>
            </w:r>
          </w:p>
          <w:p>
            <w:pPr>
              <w:pStyle w:val="ListParagraph"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GB"/>
              </w:rPr>
            </w:pPr>
          </w:p>
          <w:p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Evropský parlament a Radu, aby: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přijaly návrh směrnice o zlepšení genderové vyváženosti dozorčích rad a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přijaly opatření ke zlepšení genderové vyváženosti na všech úrovních svého řízení a ve vedoucích pozicích.</w:t>
            </w:r>
          </w:p>
          <w:p>
            <w:pPr>
              <w:pStyle w:val="ListParagraph"/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členské státy, aby: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provedly ve svém vnitrostátním právu směrnici o zlepšení genderové vyváženosti dozorčích rad, jakmile bude přijata, a uplatňovaly ji, a </w:t>
            </w:r>
          </w:p>
          <w:p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vypracovaly a prováděly strategie ke zvýšení počtu žen v rozhodovacích pozicích v politice a tvorbě politik.</w:t>
            </w:r>
          </w:p>
          <w:p>
            <w:pPr>
              <w:pStyle w:val="ListParagraph"/>
              <w:spacing w:after="120"/>
              <w:jc w:val="both"/>
              <w:rPr>
                <w:noProof/>
                <w:sz w:val="24"/>
                <w:szCs w:val="24"/>
              </w:rPr>
            </w:pPr>
          </w:p>
        </w:tc>
      </w:tr>
    </w:tbl>
    <w:p>
      <w:pPr>
        <w:spacing w:line="100" w:lineRule="atLeast"/>
        <w:ind w:left="709" w:hanging="709"/>
        <w:jc w:val="both"/>
        <w:rPr>
          <w:rFonts w:ascii="Times New Roman" w:hAnsi="Times New Roman" w:cs="Times New Roman"/>
          <w:b/>
          <w:noProof/>
          <w:sz w:val="28"/>
          <w:szCs w:val="28"/>
          <w:lang w:val="fr-BE"/>
        </w:rPr>
      </w:pPr>
      <w:r>
        <w:rPr>
          <w:rFonts w:ascii="Times New Roman" w:hAnsi="Times New Roman"/>
          <w:b/>
          <w:noProof/>
          <w:sz w:val="28"/>
          <w:szCs w:val="28"/>
          <w:lang w:val="fr-BE"/>
        </w:rPr>
        <w:t xml:space="preserve">4. </w:t>
      </w:r>
      <w:r>
        <w:rPr>
          <w:rFonts w:ascii="Times New Roman" w:hAnsi="Times New Roman"/>
          <w:b/>
          <w:noProof/>
          <w:sz w:val="28"/>
          <w:szCs w:val="28"/>
          <w:lang w:val="fr-BE"/>
        </w:rPr>
        <w:tab/>
        <w:t>Začleňování genderového hlediska a intersekcionální perspektiva v politikách EU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b/>
          <w:noProof/>
          <w:sz w:val="24"/>
          <w:szCs w:val="24"/>
          <w:lang w:val="fr-BE"/>
        </w:rPr>
        <w:t>Hlavní problémy, s nimiž se EU dnes potýká – včetně ekologické transformace, přechodu k digitalizaci a demografických změn – mají také genderový rozměr.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Začlenění genderového hlediska do všech politik a procesů EU je zásadním předpokladem pro dosažení genderové rovnosti.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Začleňování genderového hlediska zajistí, aby politiky a programy maximalizovaly potenciál všech – žen i mužů a dívek i chlapců v celé jejich diverzitě. Cílem je přerozdělit moc, vliv a zdroje spravedlivým a genderově rovným způsobem, bojovat proti nerovnosti, podporovat spravedlnost a vytvářet příležitosti.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Komise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během stávajícího funkčního období začlení genderové hledisko do všech hlavních iniciativ Komise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. Tomu napomůže jmenování první komisařky odpovědné za rovnost coby samostatné portfolio a zřízení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Pracovní skupiny pro rovnost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79"/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složené ze zástupců všech útvarů Komise a Evropské služby pro vnější činnost. Tato pracovní skupina zajistí začleňování zásady rovnosti, včetně genderové rovnosti, na operační a technické úrovni.</w:t>
      </w: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Jako příklad lze uvést nadcházející politiky v rámci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Zelené dohody pro Evropu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jako je například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vlna renovací budov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nebo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strategie EU pro přizpůsobení se změně klimatu</w:t>
      </w:r>
      <w:r>
        <w:rPr>
          <w:rFonts w:ascii="Times New Roman" w:hAnsi="Times New Roman"/>
          <w:noProof/>
          <w:sz w:val="24"/>
          <w:szCs w:val="24"/>
          <w:lang w:val="fr-BE"/>
        </w:rPr>
        <w:t>, které mohou mít jiný dopad na ženy než na muže.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0"/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V otázce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změny klimatu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hrají významnou úlohu zejména mladé ženy, jež jsou v čele tlaku na změnu. Zelené politiky nezasahují ženy a muže stejně: ať už jde o změnu klimatu (ženy mají menší možnosti coby klimatičtí migranti), přechod na čistou energii (více žen žije v energetické chudobě) nebo dopravu bez emisí (více žen využívá veřejnou dopravu). Řešení genderového rozměru proto může hrát klíčovou úlohu při mobilizaci plného potenciálu těchto politik.</w:t>
      </w: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Dalším příkladem je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digitalizace</w:t>
      </w:r>
      <w:r>
        <w:rPr>
          <w:rFonts w:ascii="Times New Roman" w:hAnsi="Times New Roman"/>
          <w:noProof/>
          <w:sz w:val="24"/>
          <w:szCs w:val="24"/>
          <w:lang w:val="fr-BE"/>
        </w:rPr>
        <w:t>, která zásadním způsobem změní životy naše a našich dětí. Při tomto přechodu je zásadní, aby ženy pomáhaly budovat digitální budoucnost a aby mnohem více dívek než v současnosti získávalo dovednosti v oblasti informačních technologií, aby mohly hrát roli při utváření budoucího digitálního světa.</w:t>
      </w:r>
    </w:p>
    <w:p>
      <w:pPr>
        <w:spacing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fr-BE"/>
        </w:rPr>
        <w:t>Pokud jde o zdraví</w:t>
      </w:r>
      <w:r>
        <w:rPr>
          <w:rFonts w:ascii="Times New Roman" w:hAnsi="Times New Roman"/>
          <w:bCs/>
          <w:noProof/>
          <w:sz w:val="24"/>
          <w:szCs w:val="24"/>
          <w:lang w:val="fr-BE"/>
        </w:rPr>
        <w:t xml:space="preserve">, ženy a muži čelí genderově specifickým zdravotním rizikům. Tento genderový rozměr bude začleněn do evropského plánu boje proti rakovině, který bude zahájen v roce 2020. 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Bude usnadněna </w:t>
      </w:r>
      <w:r>
        <w:rPr>
          <w:rFonts w:ascii="Times New Roman" w:hAnsi="Times New Roman"/>
          <w:bCs/>
          <w:noProof/>
          <w:sz w:val="24"/>
          <w:szCs w:val="24"/>
          <w:lang w:val="fr-BE"/>
        </w:rPr>
        <w:t>pravidelná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výměna osvědčených postupů mezi členskými státy a zúčastněnými stranami ohledně genderových aspektů zdraví, a to i v oblasti sexuálního a reprodukčního zdraví a práv. </w:t>
      </w:r>
    </w:p>
    <w:p>
      <w:pPr>
        <w:spacing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V roce 2020 bude přijata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protidrogová agenda EU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na období 2021–2025, která se bude zabývat genderově specifickými problémy žen a dívek zneužívajících návykové látky. 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b/>
          <w:noProof/>
          <w:sz w:val="24"/>
          <w:szCs w:val="24"/>
          <w:lang w:val="fr-BE"/>
        </w:rPr>
        <w:t>Prolínáním genderových a dalších důvodů diskriminace (intersekcionální diskriminace) se budou zabývat všechny politiky EU</w:t>
      </w:r>
      <w:r>
        <w:rPr>
          <w:rFonts w:ascii="Times New Roman" w:hAnsi="Times New Roman"/>
          <w:noProof/>
          <w:sz w:val="24"/>
          <w:szCs w:val="24"/>
          <w:lang w:val="fr-BE"/>
        </w:rPr>
        <w:t>. Ženy jsou různorodou skupinou a mohou čelit intersekcionální diskriminaci, k níž dochází na základě několika osobních vlastností. Například migrující žena se zdravotním postižením může čelit diskriminaci ze tří i více důvodů. Právní předpisy EU, politiky a jejich provádění by proto měly reagovat na specifické potřeby a situaci žen a dívek v různých skupinách. S touto strategií budou spojeny nový akční plán pro integraci a začlenění a strategické rámce</w:t>
      </w:r>
      <w:r>
        <w:rPr>
          <w:noProof/>
          <w:sz w:val="24"/>
          <w:szCs w:val="24"/>
          <w:lang w:val="fr-BE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EU týkající se zdravotního postižení, LGBTI+, začleňování Romů a práv dětí, které budou propojeny i mezi sebou navzájem. </w:t>
      </w:r>
      <w:r>
        <w:rPr>
          <w:rFonts w:ascii="Times New Roman" w:hAnsi="Times New Roman" w:cs="Times New Roman"/>
          <w:noProof/>
          <w:sz w:val="24"/>
          <w:szCs w:val="24"/>
          <w:lang w:val="fr-BE"/>
        </w:rPr>
        <w:t>Kromě toho se bude při tvorbě politik týkajících se genderové rovnosti vždy z této intersekcionální perspektivy vycházet.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val="fr-BE"/>
        </w:rPr>
      </w:pPr>
      <w:r>
        <w:rPr>
          <w:rFonts w:ascii="Times New Roman" w:hAnsi="Times New Roman"/>
          <w:b/>
          <w:noProof/>
          <w:sz w:val="28"/>
          <w:szCs w:val="28"/>
          <w:lang w:val="fr-BE"/>
        </w:rPr>
        <w:t xml:space="preserve">5. </w:t>
      </w:r>
      <w:r>
        <w:rPr>
          <w:rFonts w:ascii="Times New Roman" w:hAnsi="Times New Roman"/>
          <w:b/>
          <w:noProof/>
          <w:sz w:val="28"/>
          <w:szCs w:val="28"/>
          <w:lang w:val="fr-BE"/>
        </w:rPr>
        <w:tab/>
        <w:t>Financování opatření zaměřených na dosažení pokroku v oblasti genderové rovnosti v EU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Návrhy Komise na příští víceletý finanční rámec (VFR) zajistí integraci genderového rozměru do celého finančního rámce a konkrétněji do řady nástrojů financování a rozpočtových záruk EU, zejména do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Evropského sociálního fondu plus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Evropského fondu pro regionální rozvoj, programu Kreativní Evropa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Evropského námořního a rybářského fondu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Fondu soudržnosti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a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Programu InvestEU</w:t>
      </w:r>
      <w:r>
        <w:rPr>
          <w:rFonts w:ascii="Times New Roman" w:hAnsi="Times New Roman"/>
          <w:noProof/>
          <w:sz w:val="24"/>
          <w:szCs w:val="24"/>
          <w:lang w:val="fr-BE"/>
        </w:rPr>
        <w:t>. Financování podpoří opatření na podporu účasti žen na trhu práce a rovnováhy mezi pracovním a soukromým životem, podpoří investice do zařízení péče o děti a pečovatelských zařízení, podnikání žen, boj proti genderové segregaci v některých profesích a pomůže řešit nevyvážené zastoupení dívek a chlapců v některých odvětvích vzdělávání a odborné přípravy.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>Navrhované nařízení o společných ustanoveních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1"/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zahrnuje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specifické „základní podmínky“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které vyžadují, aby členský stát zavedl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vnitrostátní strategický rámec pro rovnost žen a mužů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což je nezbytným předpokladem pro využívání fondů při investování do zlepšování genderové vyváženosti na trhu práce, rovnováhy mezi pracovním a soukromým životem nebo infrastruktury péče o děti. Další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horizontální základní podmínka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týkající se účinného uplatňování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Listiny základních práv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zahrnuje genderovou rovnost jako jednu ze svých základních zásad a vztahuje se na všechny investice podle tohoto nařízení.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Prostřednictvím programu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Občané, rovnost, práva a hodnoty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budou k dispozici zvláštní finanční prostředky na projekty ve prospěch organizací občanské společnosti a veřejných institucí, které provádějí konkrétní opatření, včetně předcházení genderově podmíněnému násilí a boje proti němu. Zvláštní pozornost je třeba věnovat ženám a dívkám v kontextu azylu a migrace. Prostřednictvím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Azylového a migračního fondu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bude Komise podporovat členské státy v tom, aby se zaměřovaly na opatření, která podporují specifické potřeby žen v azylovém řízení, jakož i na opatření na podporu integrace žen v nové společnosti. Tento fond dále umožní posílení ochrany zranitelných skupin, včetně žen, které se staly oběťmi genderově podmíněného násilí v kontextu azylu a migrace.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V oblasti výzkumu a inovací zavede Komise nová opatření k posílení genderové rovnosti v programu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Horizont Evropa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. Tato opatření stanoví možnost požadovat od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žadatelů plán pro rovnost žen a mužů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jakož i iniciativu zaměřenou na zvýšení počtu začínajících podniků v oblasti technologií vedených ženami. K dispozici budou rovněž finanční prostředky na genderový a intersekcionální výzkum.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Budou rovněž poskytnuty možnosti financování s cílem zvýšit podnikatelské znalosti žen a jejich účast na rozhodování a investovat do rozvoje základních služeb ve venkovských oblastech v rámci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společné zemědělské politiky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. S ohledem na posílení postavení žen se v rámci příštího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Evropského námořního a rybářského fondu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na období 2021–2027 plánuje nová výzva určená ženám v „modré ekonomice“.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2"/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Strategie pro začleňování a rozmanitost v rámci budoucího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programu Erasmus+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poskytne pokyny ohledně toho, jak může tento program pomoci řešit genderovou nerovnost ve všech odvětvích vzdělávání a odborné přípravy, mládeže a sportu.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Pokyny Komise pro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sociálně odpovědné zadávání veřejných zakázek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budou bojovat proti diskriminaci a prosazovat genderovou rovnost ve veřejných zadávacích řízeních.</w:t>
      </w:r>
    </w:p>
    <w:p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>V souladu s opakovanými výzvami řady členských států a Evropského parlamentu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3"/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se </w:t>
      </w:r>
      <w:r>
        <w:rPr>
          <w:rFonts w:ascii="Times New Roman" w:hAnsi="Times New Roman"/>
          <w:b/>
          <w:bCs/>
          <w:noProof/>
          <w:sz w:val="24"/>
          <w:szCs w:val="24"/>
          <w:lang w:val="fr-BE"/>
        </w:rPr>
        <w:t>Komise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ve víceletém finančním rámci na období 2021–2027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zaměří na dopad svých činností na rovnost žen a mužů a na to, jak měřit výdaje související s genderovou rovností na úrovni programu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. K tomuto procesu přispěje výsledek nedávno zahájeného auditu Evropského účetního dvora zaměřeného na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začleňování genderového hlediska rovnosti do rozpočtu EU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na podporu rovnosti. Tím se zlepší začleňování genderového hlediska do rozpočtového procesu Komise a dále zvýší přínosnost tvorby politik a přidělování zdrojů pro cíle v oblasti genderové rovnosti.</w:t>
      </w:r>
    </w:p>
    <w:p>
      <w:pPr>
        <w:spacing w:line="100" w:lineRule="atLeast"/>
        <w:ind w:left="709" w:hanging="709"/>
        <w:jc w:val="both"/>
        <w:rPr>
          <w:rFonts w:ascii="Times New Roman" w:hAnsi="Times New Roman" w:cs="Times New Roman"/>
          <w:b/>
          <w:noProof/>
          <w:sz w:val="28"/>
          <w:szCs w:val="28"/>
          <w:lang w:val="fr-BE"/>
        </w:rPr>
      </w:pPr>
      <w:r>
        <w:rPr>
          <w:rFonts w:ascii="Times New Roman" w:hAnsi="Times New Roman"/>
          <w:b/>
          <w:noProof/>
          <w:sz w:val="28"/>
          <w:szCs w:val="28"/>
          <w:lang w:val="fr-BE"/>
        </w:rPr>
        <w:t>6.</w:t>
      </w:r>
      <w:r>
        <w:rPr>
          <w:rFonts w:ascii="Times New Roman" w:hAnsi="Times New Roman"/>
          <w:b/>
          <w:noProof/>
          <w:sz w:val="28"/>
          <w:szCs w:val="28"/>
          <w:lang w:val="fr-BE"/>
        </w:rPr>
        <w:tab/>
        <w:t>Řešení genderové rovnosti a posílení postavení žen ve světě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b/>
          <w:noProof/>
          <w:sz w:val="24"/>
          <w:szCs w:val="24"/>
          <w:lang w:val="fr-BE"/>
        </w:rPr>
        <w:t>Genderová nerovnost představuje celosvětový problém.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 xml:space="preserve">Genderová rovnost a posílení postavení žen jsou jedním z hlavních cílů vnější činnosti EU. </w:t>
      </w:r>
      <w:r>
        <w:rPr>
          <w:rFonts w:ascii="Times New Roman" w:hAnsi="Times New Roman"/>
          <w:noProof/>
          <w:sz w:val="24"/>
          <w:szCs w:val="24"/>
          <w:lang w:val="fr-BE"/>
        </w:rPr>
        <w:t>Je důležité, aby vnitřní a vnější činnost EU v této oblasti byla soudržná a vzájemně se posilovala.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EU podporuje genderovou rovnost a posílení postavení žen v rámci mezinárodních partnerství, politických dialogů a dialogů o lidských právech se třetími zeměmi a obchodní politiky EU, jakož i v rámci politik sousedství a rozšíření, a to i v souvislosti s přístupovými jednáními a procesem stabilizace a přidružení. </w:t>
      </w:r>
      <w:r>
        <w:rPr>
          <w:rFonts w:ascii="Times New Roman" w:hAnsi="Times New Roman"/>
          <w:bCs/>
          <w:noProof/>
          <w:sz w:val="24"/>
          <w:szCs w:val="24"/>
          <w:lang w:val="fr-BE"/>
        </w:rPr>
        <w:t>Opatření v oblasti rovnosti žen a mužů jsou navíc zahrnuta do opatření EU v nestabilních, konfliktních a nouzových situacích.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b/>
          <w:noProof/>
          <w:sz w:val="24"/>
          <w:szCs w:val="24"/>
          <w:lang w:val="fr-BE"/>
        </w:rPr>
        <w:t>Akční plán pro rovnost žen a mužů a posílení postavení žen ve vnějších vztazích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(2016–2020) (GAP II)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4"/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se zaměřuje na vymýcení násilí páchaného na ženách a dívkách, na podporu hospodářského a sociálního postavení žen a na zajištění toho, aby byla dodržována jejich lidská, politická a občanská práva. V návaznosti na dosažené výsledky a získané poznatky bude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v roce 2020 zahájen akční plán GAP III</w:t>
      </w:r>
      <w:r>
        <w:rPr>
          <w:rFonts w:ascii="Times New Roman" w:hAnsi="Times New Roman"/>
          <w:noProof/>
          <w:sz w:val="24"/>
          <w:szCs w:val="24"/>
          <w:lang w:val="fr-BE"/>
        </w:rPr>
        <w:t>, který bude stavět na komplexním přístupu a bude v souladu s prioritami této strategie, neboť do vnější činnosti EU začlenění všechny její příslušné prvky.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EU bude i nadále podporovat lidská práva žen, jejich obránce, sexuální a reprodukční zdraví a práva a úsilí o omezení sexuálního násilí a genderově podmíněného násilí na celém světě, a to i v nestabilních, konfliktních a nouzových situacích. EU zahájila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iniciativu Spotlight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která je společným globálním programem EU a OSN. EU na ni vyčlenila 500 milionů eur na odstranění všech forem násilí páchaného na ženách a dívkách. EU zahájí v roce 2020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kampaň #WithHer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jejímž cílem je čelit škodlivým genderovým normám a stereotypům, které podporují násilí na ženách po celém světě. Unie také v roce 2020 přijme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akční plán EU pro lidská práva a demokracii (2020–2024)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. Bude rovněž pokračovat v provádění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strategického přístupu EU a akčního plánu pro ženy, mír a bezpečnost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(2019–2024)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5"/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. </w:t>
      </w:r>
    </w:p>
    <w:p>
      <w:pPr>
        <w:tabs>
          <w:tab w:val="left" w:pos="7655"/>
        </w:tabs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BE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Komise bude i nadále aktivně prosazovat genderovou rovnost prostřednictvím své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obchodní politiky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, mimo jiné aktivním zapojením do této otázky v rámci Světové obchodní organizace. Bude nadále shromažďovat údaje roztříděné podle pohlaví, aby zajistila, že genderové aspekty budou v obchodních dohodách náležitě zohledněny, a aby mohla mapovat vliv genderu na obchodní iniciativy.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fr-BE"/>
        </w:rPr>
        <w:t xml:space="preserve">V partnerských zemích použije EU </w:t>
      </w:r>
      <w:r>
        <w:rPr>
          <w:rFonts w:ascii="Times New Roman" w:hAnsi="Times New Roman"/>
          <w:b/>
          <w:noProof/>
          <w:sz w:val="24"/>
          <w:szCs w:val="24"/>
          <w:lang w:val="fr-BE"/>
        </w:rPr>
        <w:t>plán vnějších investic</w:t>
      </w:r>
      <w:r>
        <w:rPr>
          <w:rFonts w:ascii="Times New Roman" w:hAnsi="Times New Roman"/>
          <w:noProof/>
          <w:sz w:val="24"/>
          <w:szCs w:val="24"/>
          <w:lang w:val="fr-BE"/>
        </w:rPr>
        <w:t xml:space="preserve"> na podporu podnikání žen a jejich účasti na trhu práce. Jako příklad lze uvést facilitu pro finanční začlenění žen, která sama usiluje o mobilizaci 100 milionů eur na přístup žen k financování. </w:t>
      </w:r>
      <w:r>
        <w:rPr>
          <w:rFonts w:ascii="Times New Roman" w:hAnsi="Times New Roman"/>
          <w:noProof/>
          <w:sz w:val="24"/>
          <w:szCs w:val="24"/>
          <w:lang w:val="fr-FR"/>
        </w:rPr>
        <w:t xml:space="preserve">Také </w:t>
      </w:r>
      <w:r>
        <w:rPr>
          <w:rFonts w:ascii="Times New Roman" w:hAnsi="Times New Roman"/>
          <w:b/>
          <w:noProof/>
          <w:sz w:val="24"/>
          <w:szCs w:val="24"/>
          <w:lang w:val="fr-FR"/>
        </w:rPr>
        <w:t>strategie EU pro Afriku</w:t>
      </w:r>
      <w:r>
        <w:rPr>
          <w:rFonts w:ascii="Times New Roman" w:hAnsi="Times New Roman"/>
          <w:noProof/>
          <w:sz w:val="24"/>
          <w:szCs w:val="24"/>
          <w:lang w:val="fr-FR"/>
        </w:rPr>
        <w:t xml:space="preserve"> se v roce 2020 zaměří na genderovou rovnost a posílení postavení žen.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>
        <w:rPr>
          <w:rFonts w:ascii="Times New Roman" w:hAnsi="Times New Roman"/>
          <w:b/>
          <w:noProof/>
          <w:sz w:val="24"/>
          <w:szCs w:val="24"/>
          <w:lang w:val="fr-FR"/>
        </w:rPr>
        <w:t>U vnějších politik EU se začleňování genderového hlediska objevuje v rámci rozpočtového procesu</w:t>
      </w:r>
      <w:r>
        <w:rPr>
          <w:rFonts w:ascii="Times New Roman" w:hAnsi="Times New Roman"/>
          <w:noProof/>
          <w:sz w:val="24"/>
          <w:szCs w:val="24"/>
          <w:lang w:val="fr-FR"/>
        </w:rPr>
        <w:t xml:space="preserve"> ve formě závazku, že 85 % všech nových programů bude přispívat ke genderové rovnosti a posílení postavení žen.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6"/>
      </w:r>
    </w:p>
    <w:p>
      <w:pPr>
        <w:rPr>
          <w:rFonts w:ascii="Times New Roman" w:hAnsi="Times New Roman" w:cs="Times New Roman"/>
          <w:b/>
          <w:noProof/>
          <w:sz w:val="28"/>
          <w:szCs w:val="28"/>
          <w:lang w:val="fr-FR"/>
        </w:rPr>
      </w:pPr>
      <w:r>
        <w:rPr>
          <w:noProof/>
          <w:lang w:val="fr-FR"/>
        </w:rPr>
        <w:br w:type="page"/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8"/>
          <w:szCs w:val="28"/>
          <w:lang w:val="fr-FR"/>
        </w:rPr>
      </w:pPr>
      <w:r>
        <w:rPr>
          <w:rFonts w:ascii="Times New Roman" w:hAnsi="Times New Roman"/>
          <w:b/>
          <w:noProof/>
          <w:sz w:val="28"/>
          <w:szCs w:val="28"/>
          <w:lang w:val="fr-FR"/>
        </w:rPr>
        <w:t>SPOLUPRÁCE NA DOSAŽENÍ GENDEROVĚ SPRAVEDLIVÉ EVROPY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>
        <w:rPr>
          <w:rFonts w:ascii="Times New Roman" w:hAnsi="Times New Roman"/>
          <w:b/>
          <w:noProof/>
          <w:sz w:val="24"/>
          <w:szCs w:val="24"/>
          <w:lang w:val="fr-FR"/>
        </w:rPr>
        <w:t xml:space="preserve">Dosažení genderové rovnosti v Evropské unii do roku 2025 je odpovědností nás všech. </w:t>
      </w:r>
      <w:r>
        <w:rPr>
          <w:rFonts w:ascii="Times New Roman" w:hAnsi="Times New Roman"/>
          <w:noProof/>
          <w:sz w:val="24"/>
          <w:szCs w:val="24"/>
          <w:lang w:val="fr-FR"/>
        </w:rPr>
        <w:t xml:space="preserve">Vyžaduje spolupráci a opatření všech orgánů EU, členských států a agentur EU v partnerství s občanskou společností a ženskými organizacemi, sociálními partnery a soukromým sektorem.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>
        <w:rPr>
          <w:rFonts w:ascii="Times New Roman" w:hAnsi="Times New Roman"/>
          <w:b/>
          <w:noProof/>
          <w:sz w:val="24"/>
          <w:szCs w:val="24"/>
          <w:lang w:val="fr-FR"/>
        </w:rPr>
        <w:t>Evropský parlament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7"/>
      </w:r>
      <w:r>
        <w:rPr>
          <w:rFonts w:ascii="Times New Roman" w:hAnsi="Times New Roman"/>
          <w:noProof/>
          <w:sz w:val="24"/>
          <w:szCs w:val="24"/>
          <w:lang w:val="fr-FR"/>
        </w:rPr>
        <w:t xml:space="preserve"> a </w:t>
      </w:r>
      <w:r>
        <w:rPr>
          <w:rFonts w:ascii="Times New Roman" w:hAnsi="Times New Roman"/>
          <w:b/>
          <w:noProof/>
          <w:sz w:val="24"/>
          <w:szCs w:val="24"/>
          <w:lang w:val="fr-FR"/>
        </w:rPr>
        <w:t>Rada</w:t>
      </w:r>
      <w:r>
        <w:rPr>
          <w:rStyle w:val="FootnoteReference"/>
          <w:rFonts w:ascii="Times New Roman" w:hAnsi="Times New Roman" w:cs="Times New Roman"/>
          <w:noProof/>
          <w:sz w:val="24"/>
          <w:szCs w:val="24"/>
        </w:rPr>
        <w:footnoteReference w:id="88"/>
      </w:r>
      <w:r>
        <w:rPr>
          <w:rFonts w:ascii="Times New Roman" w:hAnsi="Times New Roman"/>
          <w:noProof/>
          <w:sz w:val="24"/>
          <w:szCs w:val="24"/>
          <w:lang w:val="fr-FR"/>
        </w:rPr>
        <w:t xml:space="preserve"> prokázaly odhodlání dosáhnout genderové rovnosti v několika svých usneseních a závěrech, v nichž vyzvaly Komisi, aby přijala evropskou strategii pro rovnost žen a mužů a posílila začleňování genderového hlediska do všech oblastí politiky.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</w:rPr>
        <w:t>Orgány EU a členské státy by měly spolupracovat a v zájmu pokroku v oblasti genderové rovnosti a udržení pozice světového lídra prohlubovat dialog s občanskou společností, včetně ženských hnutí a organizací, mezinárodních organizací a vlád.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fr-FR"/>
        </w:rPr>
        <w:t xml:space="preserve">Komise vyzývá Evropský parlament a Radu, aby pokračovaly s prací na stávajících a budoucích návrzích Komise ve stanovených lhůtách. Členské státy by měly využívat všechny nástroje, které mají k dispozici, zejména možnosti, které nabízí finanční podpora EU, a zajistit zlepšení v oblasti genderové rovnosti. </w:t>
      </w:r>
    </w:p>
    <w:p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fr-FR"/>
        </w:rPr>
        <w:t xml:space="preserve">Klíčová opatření představená v této strategii budou pravidelně aktualizována a doplňována. Jejich provádění bude sledováno a každoročně se budou předkládat zprávy o dosaženém pokroku. Tyto zprávy budou sloužit jako </w:t>
      </w:r>
      <w:r>
        <w:rPr>
          <w:rFonts w:ascii="Times New Roman" w:hAnsi="Times New Roman"/>
          <w:b/>
          <w:noProof/>
          <w:sz w:val="24"/>
          <w:szCs w:val="24"/>
          <w:lang w:val="fr-FR"/>
        </w:rPr>
        <w:t>každoroční politická bilance dosaženého pokroku</w:t>
      </w:r>
      <w:r>
        <w:rPr>
          <w:rFonts w:ascii="Times New Roman" w:hAnsi="Times New Roman"/>
          <w:noProof/>
          <w:sz w:val="24"/>
          <w:szCs w:val="24"/>
          <w:lang w:val="fr-FR"/>
        </w:rPr>
        <w:t>. Kromě příkladů osvědčených postupů v členských státech budou výroční zprávy obsahovat také příslušné údaje, včetně údajů od Eurostatu a nadace Eurofound, jakož i ukazatele pro měření pokroku, a to na základě ročního indexu rovnosti žen a mužů v EU (EU Gender Equality Index) Evropského institutu pro rovnost žen a mužů (EIGE). Institut EIGE rovněž poskytne údaje a zajistí výzkum, a tak přispěje k tvorbě politik orgánů EU a členských států, které se budou opírat o důkazy.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  <w:r>
        <w:rPr>
          <w:rFonts w:ascii="Times New Roman" w:hAnsi="Times New Roman"/>
          <w:b/>
          <w:noProof/>
          <w:sz w:val="24"/>
          <w:szCs w:val="24"/>
          <w:lang w:val="fr-FR"/>
        </w:rPr>
        <w:t>Společnou prací můžeme do roku 2025 dosáhnout skutečného pokroku a vytvořit Evropu, kde si ženy, muži, dívky i chlapci v celé své diverzitě budou rovni, kde si budou moci svobodně vybrat svoji životní cestu a plně využít svůj potenciál, Evropu, kde budou mít rovné možnosti uspět a kde se budou moci stejnou měrou podílet na formování evropské společnosti a na jejím vedení.</w:t>
      </w:r>
    </w:p>
    <w:p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  <w:lang w:val="fr-FR"/>
        </w:rPr>
      </w:pPr>
    </w:p>
    <w:sectPr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8" w:right="1418" w:bottom="1418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  <w:endnote w:type="continuationNotice" w:id="1">
    <w:p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Albertina">
    <w:altName w:val="EU Albert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CS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CS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6147577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type="continuationNotice" w:id="1">
    <w:p>
      <w:pPr>
        <w:spacing w:after="0" w:line="240" w:lineRule="auto"/>
      </w:pPr>
    </w:p>
  </w:footnote>
  <w:footnote w:id="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Viz článek 2 a čl. 3 odst. 3 SEU, články 8, 10, 19 a 157 SFEU a články 21 a 23 Listiny základních práv EU.</w:t>
      </w:r>
    </w:p>
  </w:footnote>
  <w:footnote w:id="3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> </w:t>
      </w:r>
      <w:hyperlink r:id="rId1" w:history="1">
        <w:r>
          <w:rPr>
            <w:rStyle w:val="Hyperlink"/>
            <w:rFonts w:ascii="Times New Roman" w:hAnsi="Times New Roman"/>
          </w:rPr>
          <w:t>https://ec.europa.eu/commission/sites/beta-political/files/social-summit-european-pillar-social-rights-booklet_cs.pdf</w:t>
        </w:r>
      </w:hyperlink>
    </w:p>
  </w:footnote>
  <w:footnote w:id="4">
    <w:p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Pokud dokážeme zlepšit genderovou rovnost, zvýší se v roce 2050 unijní HDP na obyvatele o 6,1 % až 9,6 %, což činí 1,95 až 3,15 bilionu EUR: </w:t>
      </w:r>
      <w:hyperlink r:id="rId2" w:history="1">
        <w:r>
          <w:rPr>
            <w:rStyle w:val="Hyperlink"/>
            <w:rFonts w:ascii="Times New Roman" w:hAnsi="Times New Roman"/>
            <w:u w:val="none"/>
          </w:rPr>
          <w:t>https://eige.europa.eu/gender-mainstreaming/policy-areas/economic-and-financial-affairs/economic-benefits-gender-equality</w:t>
        </w:r>
      </w:hyperlink>
    </w:p>
  </w:footnote>
  <w:footnote w:id="5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Pokud jde o provádění cíle udržitelného rozvoje č. 5 týkajícího se genderové rovnosti, viz 2019 EM2030 SDG Gender Index</w:t>
      </w:r>
      <w:r>
        <w:rPr>
          <w:rFonts w:ascii="Times New Roman" w:hAnsi="Times New Roman"/>
          <w:sz w:val="16"/>
        </w:rPr>
        <w:t xml:space="preserve"> (</w:t>
      </w:r>
      <w:r>
        <w:rPr>
          <w:rFonts w:ascii="Times New Roman" w:hAnsi="Times New Roman"/>
        </w:rPr>
        <w:t>„Equal Measures 2030“, Cíle udržitelného rozvoje na rok 2019,</w:t>
      </w:r>
      <w:r>
        <w:rPr>
          <w:sz w:val="22"/>
          <w:szCs w:val="22"/>
        </w:rPr>
        <w:t xml:space="preserve"> </w:t>
      </w:r>
      <w:r>
        <w:rPr>
          <w:rFonts w:ascii="Times New Roman" w:hAnsi="Times New Roman"/>
        </w:rPr>
        <w:t xml:space="preserve">index rovnosti žen a mužů): </w:t>
      </w:r>
      <w:hyperlink r:id="rId3" w:history="1">
        <w:r>
          <w:rPr>
            <w:rStyle w:val="Hyperlink"/>
            <w:rFonts w:ascii="Times New Roman" w:hAnsi="Times New Roman"/>
            <w:u w:val="none"/>
          </w:rPr>
          <w:t>https://data.em2030.org/em2030-sdg-gender-index/</w:t>
        </w:r>
      </w:hyperlink>
    </w:p>
  </w:footnote>
  <w:footnote w:id="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 přijala šest směrnic týkajících se rovného zacházení pro ženy a muže na pracovišti, v samostatné výdělečné činnosti, v přístupu ke zboží a službám, v sociálním zabezpečení, těhotenství a mateřství a dovolené z rodinných důvodů a pružného uspořádání pracovní doby pro rodiče a pečovatele. Tyto předpisy spolu postupně vytvořily právní normu pro celou Evropu zajišťující širokou ochranu před diskriminací. Četné případy předložené Evropskému soudnímu dvoru ještě více posílily zásadu rovnosti a přinesly spravedlnost obětem diskriminace.</w:t>
      </w:r>
    </w:p>
  </w:footnote>
  <w:footnote w:id="7">
    <w:p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Pod pojmem „gender“ se rozumí společensky ustavená role, chování, aktivity a atributy, jež daná společnost považuje za náležité pro ženy a muže (viz čl. 3 bod c) Úmluvy Rady Evropy o prevenci a potírání násilí vůči ženám a domácího násilí. </w:t>
      </w:r>
    </w:p>
  </w:footnote>
  <w:footnote w:id="8">
    <w:p>
      <w:pPr>
        <w:pStyle w:val="FootnoteText"/>
        <w:contextualSpacing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Viz Evropský institut pro rovnost žen a mužů (EIGE): </w:t>
      </w:r>
      <w:hyperlink r:id="rId4" w:history="1">
        <w:r>
          <w:rPr>
            <w:rStyle w:val="Hyperlink"/>
            <w:rFonts w:ascii="Times New Roman" w:hAnsi="Times New Roman"/>
            <w:u w:val="none"/>
          </w:rPr>
          <w:t>https://eige.europa.eu/gender-equality-index/2019</w:t>
        </w:r>
      </w:hyperlink>
      <w:r>
        <w:rPr>
          <w:rFonts w:ascii="Times New Roman" w:hAnsi="Times New Roman"/>
        </w:rPr>
        <w:t xml:space="preserve"> </w:t>
      </w:r>
    </w:p>
  </w:footnote>
  <w:footnote w:id="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V návaznosti na strategický závazek Komise k zajištění rovnosti žen a mužů na období 2016–2019.</w:t>
      </w:r>
    </w:p>
  </w:footnote>
  <w:footnote w:id="10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Výraz „v celé své diverzitě“ se v této strategii používá k vyjádření toho, že mluvíme-li o ženách nebo mužích, jde o heterogenní kategorie, a to i z hlediska pohlaví, pohlavních znaků, genderové identity nebo vyjádření pohlavní příslušnosti. Potvrzuje se v ní závazek, že nikdo nezůstane opomenut a že bude dosaženo rovnosti žen a mužů v Evropě, bez ohledu na pohlaví, rasový nebo etnický původ, náboženské vyznání nebo přesvědčení, zdravotní postižení, věk nebo sexuální orientaci.</w:t>
      </w:r>
    </w:p>
  </w:footnote>
  <w:footnote w:id="11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EIGE definuje „intersekcionalitu“ jako „analytický nástroj pro zkoumání a pochopení způsobů, jimiž se hledisko pohlaví a genderu prolíná s ostatními osobními vlastnostmi či identitami, a reagování na tyto způsoby prolínání a zkoumání, jak toto prolínání přispívá ke konkrétním zkušenostem dané osoby s diskriminací“ (viz </w:t>
      </w:r>
      <w:hyperlink r:id="rId5" w:history="1">
        <w:r>
          <w:rPr>
            <w:rStyle w:val="Hyperlink"/>
            <w:rFonts w:ascii="Times New Roman" w:hAnsi="Times New Roman"/>
          </w:rPr>
          <w:t>https://eige.europa.eu/thesaurus/terms/1263?lang=cs</w:t>
        </w:r>
      </w:hyperlink>
      <w:r>
        <w:rPr>
          <w:rFonts w:ascii="Times New Roman" w:hAnsi="Times New Roman"/>
        </w:rPr>
        <w:t>). Článek 10 SFEU stanoví, že „při vymezování a provádění svých politik a činností se Unie zaměřuje na boj proti jakékoliv diskriminaci na základě pohlaví, rasy nebo etnického původu, náboženského vyznání nebo přesvědčení, zdravotního postižení, věku nebo sexuální orientace“.</w:t>
      </w:r>
    </w:p>
  </w:footnote>
  <w:footnote w:id="12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6" w:history="1">
        <w:r>
          <w:rPr>
            <w:rStyle w:val="Hyperlink"/>
            <w:rFonts w:ascii="Times New Roman" w:hAnsi="Times New Roman"/>
            <w:u w:val="none"/>
          </w:rPr>
          <w:t>https://beijing20.unwomen.org/en/about</w:t>
        </w:r>
      </w:hyperlink>
    </w:p>
  </w:footnote>
  <w:footnote w:id="13">
    <w:p>
      <w:pPr>
        <w:pStyle w:val="End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7" w:history="1">
        <w:r>
          <w:rPr>
            <w:rStyle w:val="Hyperlink"/>
            <w:rFonts w:ascii="Times New Roman" w:hAnsi="Times New Roman"/>
            <w:u w:val="none"/>
          </w:rPr>
          <w:t>https://ec.europa.eu/europeaid/policies/sustainable-development-goals_en</w:t>
        </w:r>
      </w:hyperlink>
    </w:p>
  </w:footnote>
  <w:footnote w:id="14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Čl. 3 písm. d) Istanbulské úmluvy.</w:t>
      </w:r>
    </w:p>
  </w:footnote>
  <w:footnote w:id="1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Agentura Evropské unie pro základní práva (FRA), „</w:t>
      </w:r>
      <w:r>
        <w:rPr>
          <w:rFonts w:ascii="Times New Roman" w:hAnsi="Times New Roman" w:cs="Times New Roman"/>
        </w:rPr>
        <w:t>Violence against women: an EU-wide survey“ (</w:t>
      </w:r>
      <w:r>
        <w:rPr>
          <w:rFonts w:ascii="Times New Roman" w:hAnsi="Times New Roman"/>
        </w:rPr>
        <w:t>Násilí páchané na ženách: celounijní průzkum), 2014 – viz infografika.</w:t>
      </w:r>
    </w:p>
  </w:footnote>
  <w:footnote w:id="16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Žádost o posudek předložená Evropským parlamentem podle čl. 218 odst. 11 SFEU (posudek 1/19).</w:t>
      </w:r>
    </w:p>
  </w:footnote>
  <w:footnote w:id="1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Údaje uvedené v infografice pocházejí ze studií, které nedávno zveřejnila Evropská síť pro ukončení praktiky mrzačení ženských pohlavních orgánů, viz: </w:t>
      </w:r>
      <w:hyperlink r:id="rId8" w:history="1">
        <w:r>
          <w:rPr>
            <w:rStyle w:val="Hyperlink"/>
            <w:rFonts w:ascii="Times New Roman" w:hAnsi="Times New Roman"/>
            <w:u w:val="none"/>
          </w:rPr>
          <w:t>https://www.endfgm.eu/female-genital-mutilation/fgm-in-europe</w:t>
        </w:r>
      </w:hyperlink>
    </w:p>
  </w:footnote>
  <w:footnote w:id="18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Směrnice 2012/29/EU, kterou se zavádí minimální pravidla pro práva, podporu a ochranu obětí trestného činu.</w:t>
      </w:r>
    </w:p>
  </w:footnote>
  <w:footnote w:id="1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V partnerském vztahu například zažilo fyzické nebo sexuální násilí 34 % žen se zdravotním problémem nebo zdravotním postižením oproti 19 % žen bez zdravotního problému nebo zdravotního postižení. FRA, „</w:t>
      </w:r>
      <w:r>
        <w:rPr>
          <w:rFonts w:ascii="Times New Roman" w:hAnsi="Times New Roman" w:cs="Times New Roman"/>
        </w:rPr>
        <w:t>Violence against women: an EU-wide survey“ (</w:t>
      </w:r>
      <w:r>
        <w:rPr>
          <w:rFonts w:ascii="Times New Roman" w:hAnsi="Times New Roman"/>
        </w:rPr>
        <w:t>Násilí páchané na ženách: celounijní průzkum), 2014.</w:t>
      </w:r>
    </w:p>
  </w:footnote>
  <w:footnote w:id="20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Provádět doporučení, která Evropské unii předložil Výbor OSN pro práva osob se zdravotním postižením, zejména pokud jde o články 6 (Ženy se zdravotním postižením) a 16 (Ochrana před vykořisťováním, násilím a zneužíváním).</w:t>
      </w:r>
    </w:p>
  </w:footnote>
  <w:footnote w:id="2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EIGE definuje „maskulinitu“ jako „soubor představ o tom, co to znamená být mužem, včetně vzorců chování spojovaných s místem, které je mužům přisuzováno v dané soustavě genderových rolí a vztahů“, viz: </w:t>
      </w:r>
      <w:hyperlink r:id="rId9" w:history="1">
        <w:r>
          <w:rPr>
            <w:rStyle w:val="Hyperlink"/>
            <w:rFonts w:ascii="Times New Roman" w:hAnsi="Times New Roman"/>
            <w:u w:val="none"/>
          </w:rPr>
          <w:t>https://eige.europa.eu/thesaurus/terms/1285?lang=cs</w:t>
        </w:r>
      </w:hyperlink>
    </w:p>
  </w:footnote>
  <w:footnote w:id="22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MOP, Úmluva o násilí a obtěžování (č. 190) a doporučení (č. 206).</w:t>
      </w:r>
    </w:p>
  </w:footnote>
  <w:footnote w:id="23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Směrnice 2006/54 o zavedení zásady rovných příležitostí a rovného zacházení pro muže a ženy v oblasti zaměstnání a povolání (přepracované znění).</w:t>
      </w:r>
    </w:p>
  </w:footnote>
  <w:footnote w:id="2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0" w:history="1">
        <w:r>
          <w:rPr>
            <w:rStyle w:val="Hyperlink"/>
            <w:rFonts w:ascii="Times New Roman" w:hAnsi="Times New Roman"/>
            <w:u w:val="none"/>
          </w:rPr>
          <w:t>https://ec.europa.eu/digital-single-market/en/new-eu-rules-e-commerce</w:t>
        </w:r>
      </w:hyperlink>
    </w:p>
  </w:footnote>
  <w:footnote w:id="25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Na základě spolupráce v rámci internetového fóra EU, která vedla k přijetí kodexu chování EU pro boj proti nezákonným nenávistným projevům online.</w:t>
      </w:r>
    </w:p>
  </w:footnote>
  <w:footnote w:id="2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Obchodování s lidmi je v souladu s článkem 6 Úmluvy OSN o odstranění všech forem diskriminace žen považováno za násilí páchané na ženách a dívkách </w:t>
      </w:r>
      <w:r>
        <w:rPr>
          <w:rFonts w:ascii="Times New Roman" w:hAnsi="Times New Roman" w:cs="Times New Roman"/>
        </w:rPr>
        <w:t>(CEDAW)</w:t>
      </w:r>
      <w:r>
        <w:rPr>
          <w:rFonts w:ascii="Times New Roman" w:hAnsi="Times New Roman"/>
        </w:rPr>
        <w:t>.</w:t>
      </w:r>
    </w:p>
  </w:footnote>
  <w:footnote w:id="27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Vychází při tom ze směrnice o boji proti obchodování s lidmi – směrnice 2011/36/EU o prevenci obchodování s lidmi, boji proti němu a o ochraně obětí.</w:t>
      </w:r>
    </w:p>
  </w:footnote>
  <w:footnote w:id="2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Zvláštní průzkum Eurobarometru č. 465, červen 2017 – viz infografika.</w:t>
      </w:r>
      <w:r>
        <w:t xml:space="preserve"> </w:t>
      </w:r>
    </w:p>
  </w:footnote>
  <w:footnote w:id="29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Evropská komise, bílá kniha o umělé inteligenci – evropský přístup k excelenci a důvěře, COM(2020) 65 final: </w:t>
      </w:r>
      <w:hyperlink r:id="rId11" w:history="1">
        <w:r>
          <w:rPr>
            <w:rStyle w:val="Hyperlink"/>
            <w:rFonts w:ascii="Times New Roman" w:hAnsi="Times New Roman"/>
          </w:rPr>
          <w:t>https://ec.europa.eu/info/sites/info/files/commission-white-paper-artificial-intelligence-feb2020_en.pdf</w:t>
        </w:r>
      </w:hyperlink>
    </w:p>
  </w:footnote>
  <w:footnote w:id="30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2" w:history="1">
        <w:r>
          <w:rPr>
            <w:rStyle w:val="Hyperlink"/>
            <w:rFonts w:ascii="Times New Roman" w:hAnsi="Times New Roman"/>
          </w:rPr>
          <w:t>https://ec.europa.eu/info/horizon-europe-next-research-and-innovation-framework-programme_en</w:t>
        </w:r>
      </w:hyperlink>
    </w:p>
  </w:footnote>
  <w:footnote w:id="31">
    <w:p>
      <w:pPr>
        <w:pStyle w:val="FootnoteText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Viz např. studie </w:t>
      </w:r>
      <w:r>
        <w:rPr>
          <w:rFonts w:ascii="Times New Roman" w:hAnsi="Times New Roman" w:cs="Times New Roman"/>
        </w:rPr>
        <w:t>„Gender equality in the media sector“</w:t>
      </w:r>
      <w:r>
        <w:rPr>
          <w:rFonts w:ascii="Times New Roman" w:hAnsi="Times New Roman"/>
        </w:rPr>
        <w:t xml:space="preserve"> (Rovnost žen a mužů v odvětví sdělovacích prostředků), kterou nechal vypracovat Výbor pro práva žen a rovnost pohlaví, Evropský parlament, 2018. </w:t>
      </w:r>
    </w:p>
  </w:footnote>
  <w:footnote w:id="32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3" w:history="1">
        <w:r>
          <w:rPr>
            <w:rStyle w:val="Hyperlink"/>
            <w:rFonts w:ascii="Times New Roman" w:hAnsi="Times New Roman"/>
          </w:rPr>
          <w:t>https://ec.europa.eu/programmes/creative-europe/node_en</w:t>
        </w:r>
      </w:hyperlink>
    </w:p>
  </w:footnote>
  <w:footnote w:id="3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4" w:history="1">
        <w:r>
          <w:rPr>
            <w:rStyle w:val="Hyperlink"/>
            <w:rFonts w:ascii="Times New Roman" w:hAnsi="Times New Roman"/>
          </w:rPr>
          <w:t>https://ec.europa.eu/digital-single-market/en/media-sub-programme-creative-europe</w:t>
        </w:r>
      </w:hyperlink>
    </w:p>
  </w:footnote>
  <w:footnote w:id="34">
    <w:p>
      <w:pPr>
        <w:pStyle w:val="FootnoteText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Směrnice 2011/93/EU o boji proti pohlavnímu zneužívání a pohlavnímu vykořisťování dětí a proti dětské pornografii.</w:t>
      </w:r>
    </w:p>
  </w:footnote>
  <w:footnote w:id="35">
    <w:p>
      <w:pPr>
        <w:pStyle w:val="FootnoteText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Zejména směrnici 2011/36/EU o prevenci obchodování s lidmi, boji proti němu a o ochraně obětí, směrnici 2011/99/EU o evropském ochranném příkazu, nařízení (EU) č. 606/2013 o vzájemném uznávání ochranných opatření v občanských věcech a směrnici Rady 2004/80/ES o odškodňování obětí trestných činů.</w:t>
      </w:r>
    </w:p>
  </w:footnote>
  <w:footnote w:id="36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Eurostat, 2019, </w:t>
      </w:r>
      <w:hyperlink r:id="rId15" w:history="1">
        <w:r>
          <w:rPr>
            <w:rStyle w:val="Hyperlink"/>
            <w:rFonts w:ascii="Times New Roman" w:hAnsi="Times New Roman"/>
            <w:lang w:val="fr-FR"/>
          </w:rPr>
          <w:t>https://ec.europa.eu/eurostat/web/products-datasets/product?code=sdg_05_30</w:t>
        </w:r>
      </w:hyperlink>
      <w:r>
        <w:rPr>
          <w:rFonts w:ascii="Times New Roman" w:hAnsi="Times New Roman"/>
          <w:lang w:val="fr-FR"/>
        </w:rPr>
        <w:t xml:space="preserve"> a </w:t>
      </w:r>
      <w:hyperlink r:id="rId16" w:history="1">
        <w:r>
          <w:rPr>
            <w:rStyle w:val="Hyperlink"/>
            <w:rFonts w:ascii="Times New Roman" w:hAnsi="Times New Roman"/>
            <w:lang w:val="fr-FR"/>
          </w:rPr>
          <w:t>https://appsso.eurostat.ec.europa.eu/nui/show.do?dataset=lfsi_emp_a&amp;lang=en</w:t>
        </w:r>
      </w:hyperlink>
      <w:r>
        <w:rPr>
          <w:lang w:val="fr-FR"/>
        </w:rPr>
        <w:t xml:space="preserve"> </w:t>
      </w:r>
      <w:r>
        <w:rPr>
          <w:rFonts w:ascii="Times New Roman" w:hAnsi="Times New Roman"/>
          <w:lang w:val="fr-FR"/>
        </w:rPr>
        <w:t>– viz infografika.</w:t>
      </w:r>
    </w:p>
  </w:footnote>
  <w:footnote w:id="37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</w:rPr>
        <w:footnoteRef/>
      </w:r>
      <w:r>
        <w:rPr>
          <w:lang w:val="fr-FR"/>
        </w:rPr>
        <w:t xml:space="preserve"> </w:t>
      </w:r>
      <w:hyperlink r:id="rId17" w:history="1">
        <w:r>
          <w:rPr>
            <w:rStyle w:val="Hyperlink"/>
            <w:rFonts w:ascii="Times New Roman" w:hAnsi="Times New Roman"/>
            <w:lang w:val="fr-FR"/>
          </w:rPr>
          <w:t>https://ec.europa.eu/eurostat/statistics-explained/pdfscache/35409.pdf</w:t>
        </w:r>
      </w:hyperlink>
      <w:r>
        <w:rPr>
          <w:rFonts w:ascii="Times New Roman" w:hAnsi="Times New Roman"/>
          <w:lang w:val="fr-FR"/>
        </w:rPr>
        <w:t xml:space="preserve"> a také Agentura Evropské unie pro základní práva (FRA), „Roma Women in nine EU Member States“ (Romské ženy v devíti členských státech EU), 2019 – viz infografika.</w:t>
      </w:r>
    </w:p>
  </w:footnote>
  <w:footnote w:id="38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</w:rPr>
        <w:footnoteRef/>
      </w:r>
      <w:r>
        <w:rPr>
          <w:lang w:val="fr-FR"/>
        </w:rPr>
        <w:t xml:space="preserve"> </w:t>
      </w:r>
      <w:r>
        <w:rPr>
          <w:rFonts w:ascii="Times New Roman" w:hAnsi="Times New Roman"/>
          <w:lang w:val="fr-FR"/>
        </w:rPr>
        <w:t xml:space="preserve">Eurostat, šetření pracovních sil, výpočty na základě </w:t>
      </w:r>
      <w:r>
        <w:rPr>
          <w:rFonts w:ascii="Times New Roman" w:hAnsi="Times New Roman"/>
          <w:i/>
          <w:iCs/>
          <w:lang w:val="fr-FR"/>
        </w:rPr>
        <w:t>lfsa_eegan2</w:t>
      </w:r>
      <w:r>
        <w:rPr>
          <w:rFonts w:ascii="Times New Roman" w:hAnsi="Times New Roman"/>
          <w:iCs/>
          <w:lang w:val="fr-FR"/>
        </w:rPr>
        <w:t xml:space="preserve"> – viz infografika.</w:t>
      </w:r>
    </w:p>
  </w:footnote>
  <w:footnote w:id="39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Viz například ENAR, „Racism and discrimination in Employment in Europe 2013–2017“ (Rasismus a diskriminace v oblasti zaměstnávání v Evropě v letech 2013–2017), 2017. </w:t>
      </w:r>
    </w:p>
  </w:footnote>
  <w:footnote w:id="40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Směrnice (EU) 2019/1158 o rovnováze mezi pracovním a soukromým životem rodičů a pečujících osob.</w:t>
      </w:r>
    </w:p>
  </w:footnote>
  <w:footnote w:id="41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Směrnici o rovnováze mezi pracovním a soukromým životem provedou členské státy ve svém vnitrostátním právu do 2. srpna 2022 (a do 2. srpna 2024, pokud jde o platbu za poslední dva týdny minimálně dvouměsíční rodičovské dovolené).</w:t>
      </w:r>
    </w:p>
  </w:footnote>
  <w:footnote w:id="42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Pokud jde o stávající opatření, viz Evropská komise, „Diversity and Gender Equality Report 2019“ (Zpráva o diverzitě a genderové rovnosti 2019) (interní dokument).</w:t>
      </w:r>
    </w:p>
  </w:footnote>
  <w:footnote w:id="43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8" w:history="1">
        <w:r>
          <w:rPr>
            <w:rStyle w:val="Hyperlink"/>
            <w:rFonts w:ascii="Times New Roman" w:hAnsi="Times New Roman"/>
          </w:rPr>
          <w:t>https://ec.europa.eu/info/business-economy-euro/economic-and-fiscal-policy-coordination/eu-economic-governance-monitoring-prevention-correction/european-semester_en</w:t>
        </w:r>
      </w:hyperlink>
    </w:p>
  </w:footnote>
  <w:footnote w:id="44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>Zásada 2 pilíře se přímo týká genderové rovnosti, ale i další zásady řeší výzvy s genderem související, včetně zásady rovných příležitostí (zásada 3), rovnováhy mezi pracovním a soukromým životem (zásada 9), péče o děti a podpory dětí (zásada 11), příjmu ve stáří a důchodů (zásada 15) a dlouhodobé péče (zásada 18).</w:t>
      </w:r>
    </w:p>
  </w:footnote>
  <w:footnote w:id="45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t xml:space="preserve"> </w:t>
      </w:r>
      <w:r>
        <w:rPr>
          <w:rFonts w:ascii="Times New Roman" w:hAnsi="Times New Roman"/>
        </w:rPr>
        <w:t xml:space="preserve">Mezinárodní finanční korporace, „Moving toward gender balance in private equity and venture capital“ (Směrem ke genderové rovnováze ve fondech soukromého kapitálu a rizikového kapitálu), 2019; Biegel, S., Hunt, S. M., Kuhlman, S., „Project Sage 2.0 Tracking venture capital with a gender lens“ (Projekt Sage 2.0, Rizikový kapitál optikou genderu), 2019 a Atomico, „State of European Tech 2019 Report“ (Stav evropské technologie 2019), </w:t>
      </w:r>
      <w:hyperlink r:id="rId19" w:history="1">
        <w:r>
          <w:rPr>
            <w:rStyle w:val="Hyperlink"/>
            <w:rFonts w:ascii="Times New Roman" w:hAnsi="Times New Roman"/>
          </w:rPr>
          <w:t>https://2019.stateofeuropeantech.com/chapter/state-european-tech-2019/article/executive-summary</w:t>
        </w:r>
      </w:hyperlink>
      <w:r>
        <w:rPr>
          <w:rFonts w:ascii="Times New Roman" w:hAnsi="Times New Roman"/>
        </w:rPr>
        <w:t>) – viz infografika.</w:t>
      </w:r>
    </w:p>
  </w:footnote>
  <w:footnote w:id="46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20" w:history="1">
        <w:r>
          <w:rPr>
            <w:rStyle w:val="Hyperlink"/>
            <w:rFonts w:ascii="Times New Roman" w:hAnsi="Times New Roman"/>
          </w:rPr>
          <w:t>https://ec.europa.eu/research/eic/index.cfm</w:t>
        </w:r>
      </w:hyperlink>
      <w:r>
        <w:rPr>
          <w:rFonts w:ascii="Times New Roman" w:hAnsi="Times New Roman"/>
        </w:rPr>
        <w:t xml:space="preserve"> </w:t>
      </w:r>
    </w:p>
  </w:footnote>
  <w:footnote w:id="47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t xml:space="preserve"> </w:t>
      </w:r>
      <w:r>
        <w:rPr>
          <w:rFonts w:ascii="Times New Roman" w:hAnsi="Times New Roman"/>
        </w:rPr>
        <w:t xml:space="preserve">Zpráva PISA 2019, </w:t>
      </w:r>
      <w:hyperlink r:id="rId21" w:history="1">
        <w:r>
          <w:rPr>
            <w:rStyle w:val="Hyperlink"/>
            <w:rFonts w:ascii="Times New Roman" w:hAnsi="Times New Roman"/>
          </w:rPr>
          <w:t>http://www.oecd.org/pisa/PISA%202018%20Insights%20and%20Interpretations%20FINAL%20PDF.pdf</w:t>
        </w:r>
      </w:hyperlink>
      <w:r>
        <w:rPr>
          <w:rFonts w:ascii="Times New Roman" w:hAnsi="Times New Roman"/>
        </w:rPr>
        <w:t>; Evropská komise, „Women in the Digital Age – Final Report“ (Ženy v digitálním věku – závěrečná zpráva), 2018 a Světové ekonomické fórum, „Gender Gap Report 2020“ (Zpráva o genderových rozdílech 2020) – viz infografika.</w:t>
      </w:r>
    </w:p>
  </w:footnote>
  <w:footnote w:id="48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Eurostat, „A decomposition of the unadjusted gender pay gap using Structure of Earnings Survey data“ (Rozklad neočištěného rozdílu v odměňování žen a mužů na základě údajů z průzkumu o struktuře výdělků), statistický pracovní dokument, 2018.</w:t>
      </w:r>
    </w:p>
  </w:footnote>
  <w:footnote w:id="49">
    <w:p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 Evropská komise, „ICT for Work: Digital Skills in the Workplace“ (IKT pro práci: digitální dovednosti na pracovišti), 2017. </w:t>
      </w:r>
    </w:p>
  </w:footnote>
  <w:footnote w:id="50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Informační a komunikační technologie (IKT).</w:t>
      </w:r>
    </w:p>
  </w:footnote>
  <w:footnote w:id="51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</w:t>
      </w:r>
      <w:hyperlink r:id="rId22" w:history="1">
        <w:r>
          <w:rPr>
            <w:rStyle w:val="Hyperlink"/>
            <w:rFonts w:ascii="Times New Roman" w:hAnsi="Times New Roman"/>
            <w:lang w:val="fr-FR"/>
          </w:rPr>
          <w:t>https://ec.europa.eu/eurostat/web/products-eurostat-news/-/EDN-20180425-1</w:t>
        </w:r>
      </w:hyperlink>
    </w:p>
  </w:footnote>
  <w:footnote w:id="52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</w:t>
      </w:r>
      <w:hyperlink r:id="rId23" w:history="1">
        <w:r>
          <w:rPr>
            <w:rStyle w:val="Hyperlink"/>
            <w:rFonts w:ascii="Times New Roman" w:hAnsi="Times New Roman"/>
            <w:lang w:val="fr-FR"/>
          </w:rPr>
          <w:t>https://op.europa.eu/en/publication-detail/-/publication/9540ffa1-4478-11e9-a8ed-01aa75ed71a1/language-en</w:t>
        </w:r>
      </w:hyperlink>
    </w:p>
  </w:footnote>
  <w:footnote w:id="53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Přírodní vědy, technologie, inženýrství a matematika.</w:t>
      </w:r>
    </w:p>
  </w:footnote>
  <w:footnote w:id="54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lang w:val="fr-FR"/>
        </w:rPr>
        <w:t xml:space="preserve"> </w:t>
      </w:r>
      <w:r>
        <w:rPr>
          <w:rFonts w:ascii="Times New Roman" w:hAnsi="Times New Roman"/>
          <w:lang w:val="fr-FR"/>
        </w:rPr>
        <w:t>„2018 International Computer and Information Literacy Study (ICILS)“ (Mezinárodní studie počítačové a informační gramotnosti (ICILS), 2018).</w:t>
      </w:r>
    </w:p>
  </w:footnote>
  <w:footnote w:id="55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</w:t>
      </w:r>
      <w:hyperlink r:id="rId24" w:history="1">
        <w:r>
          <w:rPr>
            <w:rStyle w:val="Hyperlink"/>
            <w:rFonts w:ascii="Times New Roman" w:hAnsi="Times New Roman"/>
            <w:lang w:val="fr-FR"/>
          </w:rPr>
          <w:t>https://ec.europa.eu/digital-single-market/en/news/eu-countries-commit-boost-participation-women-digital</w:t>
        </w:r>
      </w:hyperlink>
      <w:r>
        <w:rPr>
          <w:rFonts w:ascii="Times New Roman" w:hAnsi="Times New Roman"/>
          <w:lang w:val="fr-FR"/>
        </w:rPr>
        <w:t>.</w:t>
      </w:r>
    </w:p>
  </w:footnote>
  <w:footnote w:id="56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Eurostat, 2018, </w:t>
      </w:r>
      <w:hyperlink r:id="rId25" w:history="1">
        <w:r>
          <w:rPr>
            <w:rFonts w:ascii="Times New Roman" w:hAnsi="Times New Roman"/>
            <w:color w:val="0563C1"/>
            <w:u w:val="single"/>
            <w:lang w:val="fr-FR"/>
          </w:rPr>
          <w:t>https://ec.europa.eu/eurostat/databrowser/product/view/SDG_05_20?lang=en</w:t>
        </w:r>
      </w:hyperlink>
      <w:r>
        <w:rPr>
          <w:rFonts w:ascii="Times New Roman" w:hAnsi="Times New Roman"/>
          <w:color w:val="0563C1"/>
          <w:u w:val="single"/>
          <w:lang w:val="fr-FR"/>
        </w:rPr>
        <w:t>;</w:t>
      </w:r>
      <w:r>
        <w:rPr>
          <w:rFonts w:ascii="Times New Roman" w:hAnsi="Times New Roman"/>
          <w:lang w:val="fr-FR"/>
        </w:rPr>
        <w:t xml:space="preserve"> </w:t>
      </w:r>
      <w:hyperlink r:id="rId26" w:history="1">
        <w:r>
          <w:rPr>
            <w:rFonts w:ascii="Times New Roman" w:hAnsi="Times New Roman"/>
            <w:color w:val="0563C1"/>
            <w:u w:val="single"/>
            <w:lang w:val="fr-FR"/>
          </w:rPr>
          <w:t>https://appsso.eurostat.ec.europa.eu/nui/show.do?dataset=ilc_pnp13&amp;lang=en</w:t>
        </w:r>
      </w:hyperlink>
      <w:r>
        <w:rPr>
          <w:rFonts w:ascii="Times New Roman" w:hAnsi="Times New Roman"/>
          <w:lang w:val="fr-FR"/>
        </w:rPr>
        <w:t xml:space="preserve"> a </w:t>
      </w:r>
      <w:hyperlink r:id="rId27" w:history="1">
        <w:r>
          <w:rPr>
            <w:rFonts w:ascii="Times New Roman" w:hAnsi="Times New Roman"/>
            <w:color w:val="0563C1"/>
            <w:u w:val="single"/>
            <w:lang w:val="fr-FR"/>
          </w:rPr>
          <w:t>https://appsso.eurostat.ec.europa.eu/nui/show.do?dataset=ilc_pnp14&amp;lang=en</w:t>
        </w:r>
      </w:hyperlink>
      <w:r>
        <w:rPr>
          <w:rFonts w:ascii="Times New Roman" w:hAnsi="Times New Roman"/>
          <w:lang w:val="fr-FR"/>
        </w:rPr>
        <w:t xml:space="preserve"> – viz infografika.</w:t>
      </w:r>
    </w:p>
  </w:footnote>
  <w:footnote w:id="57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Jedním z důvodů je skutečnost, že v průměru tráví ženy v placeném zaměstnání méně hodin než muži: v EU na částečný úvazek pracuje pouze 8 % mužů, avšak téměř třetina žen (31 %), viz Eurostat, 2018, </w:t>
      </w:r>
      <w:hyperlink r:id="rId28" w:history="1">
        <w:r>
          <w:rPr>
            <w:rStyle w:val="Hyperlink"/>
            <w:rFonts w:ascii="Times New Roman" w:hAnsi="Times New Roman"/>
            <w:lang w:val="fr-FR"/>
          </w:rPr>
          <w:t>https://ec.europa.eu/eurostat/web/products-eurostat-news/-/DDN-20190621-1</w:t>
        </w:r>
      </w:hyperlink>
      <w:r>
        <w:rPr>
          <w:rFonts w:ascii="Times New Roman" w:hAnsi="Times New Roman"/>
          <w:lang w:val="fr-FR"/>
        </w:rPr>
        <w:t>.</w:t>
      </w:r>
    </w:p>
  </w:footnote>
  <w:footnote w:id="58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lang w:val="fr-FR"/>
        </w:rPr>
        <w:t xml:space="preserve"> </w:t>
      </w:r>
      <w:r>
        <w:rPr>
          <w:rFonts w:ascii="Times New Roman" w:hAnsi="Times New Roman"/>
          <w:lang w:val="fr-FR"/>
        </w:rPr>
        <w:t>Hodnocení příslušného ustanovení směrnice 2006/54/ES, kterým se provádí zásada „stejné odměny za stejnou nebo rovnocennou práci“ zakotvená ve Smlouvě, SWD(2020) 50; zpráva o provádění akčního plánu EU na období 2017–2019 „Boj proti rozdílům v odměňování žen a mužů“, COM(2020) 101.</w:t>
      </w:r>
    </w:p>
  </w:footnote>
  <w:footnote w:id="59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Konzultace budou zahájeny společně s touto strategií.</w:t>
      </w:r>
    </w:p>
  </w:footnote>
  <w:footnote w:id="60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Závěrečná zpráva skupiny na vysoké úrovni pro důchody, prosinec 2019, </w:t>
      </w:r>
      <w:hyperlink r:id="rId29" w:history="1">
        <w:r>
          <w:rPr>
            <w:rStyle w:val="Hyperlink"/>
            <w:rFonts w:ascii="Times New Roman" w:hAnsi="Times New Roman"/>
          </w:rPr>
          <w:t>https://ec.europa.eu/transparency/regexpert/index.cfm?do=groupDetail.groupDetail&amp;groupID=3589</w:t>
        </w:r>
      </w:hyperlink>
    </w:p>
  </w:footnote>
  <w:footnote w:id="61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Maldonado, L. C., &amp; Nieuwenhuis, R., „Family policies and single parent poverty in 18 OECD countries, 1978–2008“ (Rodinné politiky a chudoba rodičů samoživitelů v 18 zemích OECD v období 1978–2008), Community, Work &amp; Family, 18(4): str. 395–415.</w:t>
      </w:r>
    </w:p>
  </w:footnote>
  <w:footnote w:id="62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0" w:history="1">
        <w:r>
          <w:rPr>
            <w:rStyle w:val="Hyperlink"/>
            <w:rFonts w:ascii="Times New Roman" w:hAnsi="Times New Roman"/>
          </w:rPr>
          <w:t>https://www.ilo.org/wcmsp5/groups/public/---dgreports/---cabinet/documents/publication/wcms_713376.pdf</w:t>
        </w:r>
      </w:hyperlink>
      <w:r>
        <w:rPr>
          <w:rFonts w:ascii="Times New Roman" w:hAnsi="Times New Roman"/>
        </w:rPr>
        <w:t xml:space="preserve"> </w:t>
      </w:r>
    </w:p>
  </w:footnote>
  <w:footnote w:id="63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t xml:space="preserve"> </w:t>
      </w:r>
      <w:r>
        <w:rPr>
          <w:rFonts w:ascii="Times New Roman" w:hAnsi="Times New Roman"/>
        </w:rPr>
        <w:t>Eurofound, „Striking a balance: Reconciling work and life in the EU“ (Hledání rovnováhy: sladění pracovního a soukromého života v EU), 2018 – viz infografika.</w:t>
      </w:r>
    </w:p>
  </w:footnote>
  <w:footnote w:id="64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Hoffmann, F., &amp; Rodrigues, R., „Informal carers: who takes care of them?“ (Informální pečovatelé: kdo se stará o ně?“), informativní zpráva, duben 2010, Evropské centrum pro sociální politiku a výzkum, Vídeň – viz infografika.</w:t>
      </w:r>
    </w:p>
  </w:footnote>
  <w:footnote w:id="65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1" w:history="1">
        <w:r>
          <w:rPr>
            <w:rStyle w:val="Hyperlink"/>
            <w:rFonts w:ascii="Times New Roman" w:hAnsi="Times New Roman"/>
          </w:rPr>
          <w:t>https://ec.europa.eu/info/sites/info/files/bcn_objectives-report2018_web_en.pdf</w:t>
        </w:r>
      </w:hyperlink>
    </w:p>
  </w:footnote>
  <w:footnote w:id="66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Patří sem přepracované znění směrnice o genderové rovnosti v zaměstnání a povolání, směrnice o genderové rovnosti v samostatné výdělečné činnosti, v přístupu ke zboží a službám, v sociálním zabezpečení, v těhotenství a mateřství, směrnice o částečném pracovním úvazku, směrnice o transparentních a předvídatelných pracovních podmínkách, doporučení o přístupu k sociální ochraně a doporučení pro orgány pro rovné zacházení.</w:t>
      </w:r>
    </w:p>
  </w:footnote>
  <w:footnote w:id="67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Databáze statistických údajů o ženách a mužích EIGE, „National parliaments: Single/lower house“ (Národní parlamenty: jediná/dolní komora), 2019 – viz infografika.</w:t>
      </w:r>
    </w:p>
  </w:footnote>
  <w:footnote w:id="68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MOP, „The business case for change“ (Hospodářský důvod ke změně), 2019; McKinsey, „Women Matter report“, 2017; Catalyst, „Why Diversity and Inclusion Matter“ (Proč na diverzitě a inkluzi záleží), 2018; Rohini Anand, „Gender-Balanced Teams Linked to Better Business Performance: A Sodexo Study“ (Genderově vyvážené týmy a lepší obchodní výkonnost: studie skupiny Sodexo), 2016.</w:t>
      </w:r>
    </w:p>
  </w:footnote>
  <w:footnote w:id="69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Databáze statistických údajů o ženách a mužích EIGE, „Women and men in decision-making“ (Ženy a muži v rozhodovacích pozicích), 2019</w:t>
      </w:r>
      <w:r>
        <w:t xml:space="preserve"> </w:t>
      </w:r>
      <w:r>
        <w:rPr>
          <w:rFonts w:ascii="Times New Roman" w:hAnsi="Times New Roman"/>
        </w:rPr>
        <w:t>– viz infografika.</w:t>
      </w:r>
    </w:p>
  </w:footnote>
  <w:footnote w:id="70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COM(2012) 614 v konečném znění.</w:t>
      </w:r>
    </w:p>
  </w:footnote>
  <w:footnote w:id="71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Pozitivních výsledků dosáhla řada zemí, které zavedly příslušná legislativní opatření, včetně Francie, Itálie, Belgie, Německa a nedávno i Rakouska a Portugalska. </w:t>
      </w:r>
      <w:r>
        <w:rPr>
          <w:rFonts w:ascii="Times New Roman" w:hAnsi="Times New Roman"/>
          <w:lang w:val="fr-FR"/>
        </w:rPr>
        <w:t xml:space="preserve">Viz </w:t>
      </w:r>
      <w:hyperlink r:id="rId32" w:history="1">
        <w:r>
          <w:rPr>
            <w:rStyle w:val="Hyperlink"/>
            <w:rFonts w:ascii="Times New Roman" w:hAnsi="Times New Roman"/>
            <w:lang w:val="fr-FR"/>
          </w:rPr>
          <w:t>https://eige.europa.eu/publications/gender-equality-index-2019-report/more-gender-equality-corporate-boards-only-few-member-states</w:t>
        </w:r>
      </w:hyperlink>
    </w:p>
  </w:footnote>
  <w:footnote w:id="72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</w:t>
      </w:r>
      <w:hyperlink r:id="rId33" w:history="1">
        <w:r>
          <w:rPr>
            <w:rStyle w:val="Hyperlink"/>
            <w:rFonts w:ascii="Times New Roman" w:hAnsi="Times New Roman"/>
            <w:lang w:val="fr-FR"/>
          </w:rPr>
          <w:t>https://ec.europa.eu/info/policies/justice-and-fundamental-rights/combatting-discrimination/tackling-discrimination/diversity-management/eu-platform-diversity-charters_en</w:t>
        </w:r>
      </w:hyperlink>
    </w:p>
  </w:footnote>
  <w:footnote w:id="73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K příslušným projektům patří European Women on Boards (Evropské ženy v řídících a dozorčích orgánech): </w:t>
      </w:r>
      <w:hyperlink r:id="rId34" w:history="1">
        <w:r>
          <w:rPr>
            <w:rStyle w:val="Hyperlink"/>
            <w:rFonts w:ascii="Times New Roman" w:hAnsi="Times New Roman"/>
            <w:lang w:val="fr-FR"/>
          </w:rPr>
          <w:t>https://europeanwomenonboards.eu/</w:t>
        </w:r>
      </w:hyperlink>
      <w:r>
        <w:rPr>
          <w:rFonts w:ascii="Times New Roman" w:hAnsi="Times New Roman"/>
          <w:lang w:val="fr-FR"/>
        </w:rPr>
        <w:t>.</w:t>
      </w:r>
    </w:p>
  </w:footnote>
  <w:footnote w:id="74">
    <w:p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Nařízení 2018/673, kterým se mění nařízení Evropského parlamentu a Rady (EU, Euratom) č. 1141/2014 o statusu a financování evropských politických stran a evropských politických nadací, 6. bod odůvodnění.</w:t>
      </w:r>
    </w:p>
  </w:footnote>
  <w:footnote w:id="75">
    <w:p>
      <w:pPr>
        <w:pStyle w:val="FootnoteText"/>
        <w:jc w:val="both"/>
        <w:rPr>
          <w:rFonts w:ascii="Times New Roman" w:hAnsi="Times New Roman" w:cs="Times New Roman"/>
          <w:sz w:val="22"/>
          <w:lang w:val="fr-BE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BE"/>
        </w:rPr>
        <w:t xml:space="preserve"> V roce 2019 zastávaly ženy 41 % manažerských pozic v Komisi (30 % v roce 2014). To zahrnovalo 37 % pozic vyššího vedení (dříve 27 %) a 42 % středního vedení (dříve 31 %).</w:t>
      </w:r>
    </w:p>
  </w:footnote>
  <w:footnote w:id="7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Stávající opatření viz Evropská komise, „Diversity and Gender Equality Report 2019“ (Zpráva o diverzitě a genderové rovnosti 2019), Brusel, 6. listopadu 2019.</w:t>
      </w:r>
    </w:p>
  </w:footnote>
  <w:footnote w:id="77">
    <w:p>
      <w:pPr>
        <w:pStyle w:val="FootnoteText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Více než tři ze čtyř agentur EU vede v současnosti muž.</w:t>
      </w:r>
    </w:p>
  </w:footnote>
  <w:footnote w:id="78">
    <w:p>
      <w:pPr>
        <w:pStyle w:val="FootnoteText"/>
        <w:jc w:val="both"/>
        <w:rPr>
          <w:rFonts w:ascii="Times New Roman" w:hAnsi="Times New Roman" w:cs="Times New Roman"/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> </w:t>
      </w:r>
      <w:hyperlink r:id="rId35" w:history="1">
        <w:r>
          <w:rPr>
            <w:rStyle w:val="Hyperlink"/>
            <w:rFonts w:ascii="Times New Roman" w:hAnsi="Times New Roman"/>
            <w:lang w:val="fr-FR"/>
          </w:rPr>
          <w:t>https://ec.europa.eu/info/policies/justice-and-fundamental-rights/gender-equality/who-we-work-gender-equality/mutual-learning-programme-gender-equality_en</w:t>
        </w:r>
      </w:hyperlink>
      <w:r>
        <w:rPr>
          <w:rFonts w:ascii="Times New Roman" w:hAnsi="Times New Roman"/>
          <w:lang w:val="fr-FR"/>
        </w:rPr>
        <w:t>.</w:t>
      </w:r>
    </w:p>
  </w:footnote>
  <w:footnote w:id="79">
    <w:p>
      <w:pPr>
        <w:pStyle w:val="FootnoteText"/>
        <w:rPr>
          <w:lang w:val="fr-FR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fr-FR"/>
        </w:rPr>
        <w:t xml:space="preserve"> Pracovní skupina usnadní začleňování rovnosti v souvislosti se šesti důvody diskriminace, kterými jsou pohlaví, rasa nebo etnický původ, náboženské vyznání nebo přesvědčení, zdravotní postižení, věk a sexuální orientace.</w:t>
      </w:r>
    </w:p>
  </w:footnote>
  <w:footnote w:id="80">
    <w:p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>
        <w:rPr>
          <w:lang w:val="fr-FR"/>
        </w:rPr>
        <w:t xml:space="preserve"> </w:t>
      </w:r>
      <w:r>
        <w:rPr>
          <w:rFonts w:ascii="Times New Roman" w:hAnsi="Times New Roman"/>
          <w:lang w:val="fr-FR"/>
        </w:rPr>
        <w:t>V obou případech bude zvláštní pozornost věnována starším osobám (pokud jde o udržitelné renovace nebo o politiky pro přizpůsobení se změně klimatu či opatření v průběhu vln veder ke zlepšení hydratace) pozitivní dopad na ženy, zejména proto, že ženy tvoří většinu starší populace.</w:t>
      </w:r>
    </w:p>
  </w:footnote>
  <w:footnote w:id="81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COM/2018/375 final.</w:t>
      </w:r>
    </w:p>
  </w:footnote>
  <w:footnote w:id="8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6" w:history="1">
        <w:r>
          <w:rPr>
            <w:rStyle w:val="Hyperlink"/>
            <w:rFonts w:ascii="Times New Roman" w:hAnsi="Times New Roman"/>
          </w:rPr>
          <w:t>https://ec.europa.eu/jrc/en/news/how-big-eus-blue-economy-eu-report-potential-coasts-and-oceans-provide-sustainable-economic-growth</w:t>
        </w:r>
      </w:hyperlink>
    </w:p>
  </w:footnote>
  <w:footnote w:id="8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7" w:history="1">
        <w:r>
          <w:rPr>
            <w:rStyle w:val="Hyperlink"/>
            <w:rFonts w:ascii="Times New Roman" w:hAnsi="Times New Roman"/>
          </w:rPr>
          <w:t>http://www.europarl.europa.eu/meetdocs/2014_2019/plmrep/COMMITTEES/FEMM/DV/2018/09-03/20180828DraftResolutionGenderBudgetingintheEUBudget-thewayforward_EN.pdf</w:t>
        </w:r>
      </w:hyperlink>
    </w:p>
  </w:footnote>
  <w:footnote w:id="84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8" w:history="1">
        <w:r>
          <w:rPr>
            <w:rStyle w:val="Hyperlink"/>
            <w:rFonts w:ascii="Times New Roman" w:hAnsi="Times New Roman"/>
          </w:rPr>
          <w:t>https://europa.eu/capacity4dev/articles/eu-gender-action-plan-ii-how-eu-delegations-contribute-gender-equality-worldwide</w:t>
        </w:r>
      </w:hyperlink>
      <w:r>
        <w:rPr>
          <w:rFonts w:ascii="Times New Roman" w:hAnsi="Times New Roman"/>
        </w:rPr>
        <w:t>.</w:t>
      </w:r>
    </w:p>
  </w:footnote>
  <w:footnote w:id="85">
    <w:p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Strategický přístup EU k ženám, míru a bezpečnosti tvoří přílohu závěrů Rady pro zahraniční věci o ženách, míru a bezpečnosti ze dne 10. prosince 2018 (dokument Rady 15086/18), </w:t>
      </w:r>
      <w:hyperlink r:id="rId39" w:history="1">
        <w:r>
          <w:rPr>
            <w:rStyle w:val="Hyperlink"/>
            <w:rFonts w:ascii="Times New Roman" w:hAnsi="Times New Roman"/>
          </w:rPr>
          <w:t>https://www.consilium.europa.eu/media/37412/st15086-en18.pdf</w:t>
        </w:r>
      </w:hyperlink>
      <w:r>
        <w:rPr>
          <w:rFonts w:ascii="Times New Roman" w:hAnsi="Times New Roman"/>
        </w:rPr>
        <w:t xml:space="preserve">. Akční plán pro ženy, mír a bezpečnost 2019–2024 ze dne 4. července 2019, EEAS(2019) 747 viz </w:t>
      </w:r>
      <w:hyperlink r:id="rId40" w:history="1">
        <w:r>
          <w:rPr>
            <w:rStyle w:val="Hyperlink"/>
            <w:rFonts w:ascii="Times New Roman" w:hAnsi="Times New Roman"/>
          </w:rPr>
          <w:t>https://www.consilium.europa.eu/register/en/content/out?&amp;typ=ENTRY&amp;i=ADV&amp;DOC_ID=ST-11031-2019-INIT</w:t>
        </w:r>
      </w:hyperlink>
    </w:p>
  </w:footnote>
  <w:footnote w:id="86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Měření se provádí podle ukazatele OECD pro politiku rovnosti žen a mužů. Pokud jde konkrétně o humanitární pomoc, Komise uplatňuje svůj vlastní ukazatel pohlaví a věku. </w:t>
      </w:r>
    </w:p>
  </w:footnote>
  <w:footnote w:id="87">
    <w:p>
      <w:pPr>
        <w:pStyle w:val="NoSpacing"/>
        <w:jc w:val="both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  <w:sz w:val="20"/>
        </w:rPr>
        <w:t>Nedávná usnesení Evropského parlamentu o genderové rovnosti zahrnují:</w:t>
      </w:r>
      <w:r>
        <w:rPr>
          <w:sz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usnesení Evropského parlamentu </w:t>
      </w:r>
      <w:hyperlink r:id="rId41" w:history="1">
        <w:r>
          <w:rPr>
            <w:rStyle w:val="Hyperlink"/>
            <w:rFonts w:ascii="Times New Roman" w:hAnsi="Times New Roman"/>
            <w:sz w:val="20"/>
            <w:szCs w:val="20"/>
          </w:rPr>
          <w:t>2019/2870(RSP)</w:t>
        </w:r>
      </w:hyperlink>
      <w:r>
        <w:rPr>
          <w:rFonts w:ascii="Times New Roman" w:hAnsi="Times New Roman"/>
          <w:sz w:val="20"/>
          <w:szCs w:val="20"/>
        </w:rPr>
        <w:t xml:space="preserve"> ze dne 30. ledna 2020 o rozdílech v odměňování žen a mužů, usnesení Evropského parlamentu </w:t>
      </w:r>
      <w:hyperlink r:id="rId42" w:history="1">
        <w:r>
          <w:rPr>
            <w:rStyle w:val="Hyperlink"/>
            <w:rFonts w:ascii="Times New Roman" w:hAnsi="Times New Roman"/>
            <w:sz w:val="20"/>
            <w:szCs w:val="20"/>
          </w:rPr>
          <w:t>2019/2855(RSP)</w:t>
        </w:r>
      </w:hyperlink>
      <w:r>
        <w:rPr>
          <w:rFonts w:ascii="Times New Roman" w:hAnsi="Times New Roman"/>
          <w:sz w:val="20"/>
          <w:szCs w:val="20"/>
        </w:rPr>
        <w:t xml:space="preserve"> ze dne 28. listopadu 2019 o přistoupení EU k Istanbulské úmluvě a další opatření v boji proti genderově podmíněnému násilí, usnesení Evropského parlamentu </w:t>
      </w:r>
      <w:hyperlink r:id="rId43" w:history="1">
        <w:r>
          <w:rPr>
            <w:rStyle w:val="Hyperlink"/>
            <w:rFonts w:ascii="Times New Roman" w:hAnsi="Times New Roman"/>
            <w:sz w:val="20"/>
            <w:szCs w:val="20"/>
          </w:rPr>
          <w:t>2016/2249(INI)</w:t>
        </w:r>
      </w:hyperlink>
      <w:r>
        <w:rPr>
          <w:rFonts w:ascii="Times New Roman" w:hAnsi="Times New Roman"/>
          <w:sz w:val="20"/>
          <w:szCs w:val="20"/>
        </w:rPr>
        <w:t xml:space="preserve"> ze dne 14. března 2017 o rovnosti žen a mužů v Evropské unii v letech 2014–2015. </w:t>
      </w:r>
    </w:p>
  </w:footnote>
  <w:footnote w:id="88">
    <w:p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Nedávné závěry Rady týkající se genderové rovnosti zahrnují: závěry Rady ze dne 10. prosince 2019 o ekonomikách založených na genderové rovnosti v EU: další postup – hodnocení po 25 letech provádění Pekingské akční platformy, závěry Rady ze dne 24. října 2019 o </w:t>
      </w:r>
      <w:r>
        <w:rPr>
          <w:rFonts w:ascii="Times New Roman" w:hAnsi="Times New Roman"/>
          <w:bCs/>
        </w:rPr>
        <w:t>ekonomice blahobytu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bCs/>
        </w:rPr>
        <w:t>závěry Rady ze dne 13. června 2019 o odstraňování rozdílů v odměňování žen a mužů: klíčové politiky a opatření</w:t>
      </w:r>
      <w:r>
        <w:rPr>
          <w:rFonts w:ascii="Times New Roman" w:hAnsi="Times New Roman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4E68"/>
    <w:multiLevelType w:val="hybridMultilevel"/>
    <w:tmpl w:val="616849BE"/>
    <w:lvl w:ilvl="0" w:tplc="2E943616">
      <w:numFmt w:val="bullet"/>
      <w:lvlText w:val="•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9E7893"/>
    <w:multiLevelType w:val="hybridMultilevel"/>
    <w:tmpl w:val="C4D23E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D553C"/>
    <w:multiLevelType w:val="hybridMultilevel"/>
    <w:tmpl w:val="2B581C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320AD"/>
    <w:multiLevelType w:val="hybridMultilevel"/>
    <w:tmpl w:val="92228780"/>
    <w:lvl w:ilvl="0" w:tplc="EAC8A79C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96C70"/>
    <w:multiLevelType w:val="hybridMultilevel"/>
    <w:tmpl w:val="A322BAD0"/>
    <w:lvl w:ilvl="0" w:tplc="B886847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F10AA"/>
    <w:multiLevelType w:val="hybridMultilevel"/>
    <w:tmpl w:val="83AA8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744C2"/>
    <w:multiLevelType w:val="hybridMultilevel"/>
    <w:tmpl w:val="F19A644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22664"/>
    <w:multiLevelType w:val="hybridMultilevel"/>
    <w:tmpl w:val="1FCE8004"/>
    <w:lvl w:ilvl="0" w:tplc="80409E2A">
      <w:numFmt w:val="bullet"/>
      <w:lvlText w:val="-"/>
      <w:lvlJc w:val="left"/>
      <w:pPr>
        <w:ind w:left="1788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113C65AB"/>
    <w:multiLevelType w:val="hybridMultilevel"/>
    <w:tmpl w:val="EF3ED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C3818"/>
    <w:multiLevelType w:val="hybridMultilevel"/>
    <w:tmpl w:val="4C9A0CA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2404624"/>
    <w:multiLevelType w:val="hybridMultilevel"/>
    <w:tmpl w:val="2CEEF0F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A85C96"/>
    <w:multiLevelType w:val="hybridMultilevel"/>
    <w:tmpl w:val="750E1AC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996626"/>
    <w:multiLevelType w:val="hybridMultilevel"/>
    <w:tmpl w:val="BA340CA4"/>
    <w:lvl w:ilvl="0" w:tplc="17BE2C34">
      <w:start w:val="1"/>
      <w:numFmt w:val="bullet"/>
      <w:pStyle w:val="B0Lis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89625A"/>
    <w:multiLevelType w:val="hybridMultilevel"/>
    <w:tmpl w:val="CAB4EA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565CC"/>
    <w:multiLevelType w:val="hybridMultilevel"/>
    <w:tmpl w:val="7C927AF6"/>
    <w:lvl w:ilvl="0" w:tplc="A202B042">
      <w:start w:val="1"/>
      <w:numFmt w:val="decimal"/>
      <w:lvlText w:val="%1."/>
      <w:lvlJc w:val="left"/>
      <w:pPr>
        <w:ind w:left="360" w:hanging="360"/>
      </w:pPr>
      <w:rPr>
        <w:b/>
        <w:i w:val="0"/>
        <w:sz w:val="28"/>
        <w:szCs w:val="28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374086"/>
    <w:multiLevelType w:val="hybridMultilevel"/>
    <w:tmpl w:val="C2C6B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3B1969"/>
    <w:multiLevelType w:val="hybridMultilevel"/>
    <w:tmpl w:val="7C72AF7E"/>
    <w:lvl w:ilvl="0" w:tplc="E498240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343241"/>
    <w:multiLevelType w:val="hybridMultilevel"/>
    <w:tmpl w:val="3F6428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B76495"/>
    <w:multiLevelType w:val="hybridMultilevel"/>
    <w:tmpl w:val="9AC6131E"/>
    <w:lvl w:ilvl="0" w:tplc="2F2287C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185CAF"/>
    <w:multiLevelType w:val="hybridMultilevel"/>
    <w:tmpl w:val="BD7CC05C"/>
    <w:lvl w:ilvl="0" w:tplc="08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>
    <w:nsid w:val="2200208C"/>
    <w:multiLevelType w:val="hybridMultilevel"/>
    <w:tmpl w:val="C2467B6C"/>
    <w:lvl w:ilvl="0" w:tplc="9DB4B2B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23A5309"/>
    <w:multiLevelType w:val="hybridMultilevel"/>
    <w:tmpl w:val="78DCE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676A38"/>
    <w:multiLevelType w:val="hybridMultilevel"/>
    <w:tmpl w:val="60F64C8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835334"/>
    <w:multiLevelType w:val="hybridMultilevel"/>
    <w:tmpl w:val="72BCF7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0A7454"/>
    <w:multiLevelType w:val="hybridMultilevel"/>
    <w:tmpl w:val="1160F59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6110FB"/>
    <w:multiLevelType w:val="hybridMultilevel"/>
    <w:tmpl w:val="3D70678A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E7086D"/>
    <w:multiLevelType w:val="hybridMultilevel"/>
    <w:tmpl w:val="C0B0939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94564D6"/>
    <w:multiLevelType w:val="hybridMultilevel"/>
    <w:tmpl w:val="7E0C06CC"/>
    <w:lvl w:ilvl="0" w:tplc="59D008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CD77D49"/>
    <w:multiLevelType w:val="hybridMultilevel"/>
    <w:tmpl w:val="63B695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4F470A"/>
    <w:multiLevelType w:val="hybridMultilevel"/>
    <w:tmpl w:val="48EAA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732AF8"/>
    <w:multiLevelType w:val="hybridMultilevel"/>
    <w:tmpl w:val="5B9036FA"/>
    <w:lvl w:ilvl="0" w:tplc="BE6E08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E8A0F5D"/>
    <w:multiLevelType w:val="hybridMultilevel"/>
    <w:tmpl w:val="4382327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3864C4"/>
    <w:multiLevelType w:val="hybridMultilevel"/>
    <w:tmpl w:val="DB0AC8C8"/>
    <w:lvl w:ilvl="0" w:tplc="5B4606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DA19EA"/>
    <w:multiLevelType w:val="hybridMultilevel"/>
    <w:tmpl w:val="AD6C9A2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3AC1498"/>
    <w:multiLevelType w:val="hybridMultilevel"/>
    <w:tmpl w:val="2C2E4D4E"/>
    <w:lvl w:ilvl="0" w:tplc="16B46DF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7CF35FE"/>
    <w:multiLevelType w:val="hybridMultilevel"/>
    <w:tmpl w:val="D63C4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9EE1B06"/>
    <w:multiLevelType w:val="hybridMultilevel"/>
    <w:tmpl w:val="9D680D5E"/>
    <w:lvl w:ilvl="0" w:tplc="02A016C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7730C4"/>
    <w:multiLevelType w:val="singleLevel"/>
    <w:tmpl w:val="456C96DE"/>
    <w:lvl w:ilvl="0">
      <w:start w:val="1"/>
      <w:numFmt w:val="bullet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 w:cs="Symbol"/>
      </w:rPr>
    </w:lvl>
  </w:abstractNum>
  <w:abstractNum w:abstractNumId="38">
    <w:nsid w:val="3B3A68C8"/>
    <w:multiLevelType w:val="hybridMultilevel"/>
    <w:tmpl w:val="68DE966C"/>
    <w:lvl w:ilvl="0" w:tplc="EE444F74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sz w:val="28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DFB030D"/>
    <w:multiLevelType w:val="hybridMultilevel"/>
    <w:tmpl w:val="843A42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671F4A"/>
    <w:multiLevelType w:val="hybridMultilevel"/>
    <w:tmpl w:val="10DC4EB6"/>
    <w:lvl w:ilvl="0" w:tplc="BE6E085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432B1353"/>
    <w:multiLevelType w:val="hybridMultilevel"/>
    <w:tmpl w:val="A886915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450B03C3"/>
    <w:multiLevelType w:val="hybridMultilevel"/>
    <w:tmpl w:val="D578F79C"/>
    <w:lvl w:ilvl="0" w:tplc="D9C634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FB5FC5"/>
    <w:multiLevelType w:val="hybridMultilevel"/>
    <w:tmpl w:val="BDEA5D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61F5772"/>
    <w:multiLevelType w:val="hybridMultilevel"/>
    <w:tmpl w:val="08D40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83D0E8A"/>
    <w:multiLevelType w:val="hybridMultilevel"/>
    <w:tmpl w:val="DAC676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92A1252"/>
    <w:multiLevelType w:val="hybridMultilevel"/>
    <w:tmpl w:val="12CEEDC2"/>
    <w:lvl w:ilvl="0" w:tplc="BE6E08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9643708"/>
    <w:multiLevelType w:val="hybridMultilevel"/>
    <w:tmpl w:val="C2107A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F717ED"/>
    <w:multiLevelType w:val="hybridMultilevel"/>
    <w:tmpl w:val="0F8CC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C692F63"/>
    <w:multiLevelType w:val="hybridMultilevel"/>
    <w:tmpl w:val="310285D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E56718C"/>
    <w:multiLevelType w:val="hybridMultilevel"/>
    <w:tmpl w:val="C5D4FF8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EA72406"/>
    <w:multiLevelType w:val="hybridMultilevel"/>
    <w:tmpl w:val="472AA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EE737AB"/>
    <w:multiLevelType w:val="hybridMultilevel"/>
    <w:tmpl w:val="BD38885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F897938"/>
    <w:multiLevelType w:val="hybridMultilevel"/>
    <w:tmpl w:val="65EC7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10C7B00"/>
    <w:multiLevelType w:val="hybridMultilevel"/>
    <w:tmpl w:val="06B214C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43E0B3E"/>
    <w:multiLevelType w:val="hybridMultilevel"/>
    <w:tmpl w:val="D528117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4F44D5E"/>
    <w:multiLevelType w:val="hybridMultilevel"/>
    <w:tmpl w:val="4E744C2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8E750E1"/>
    <w:multiLevelType w:val="hybridMultilevel"/>
    <w:tmpl w:val="211807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9526F75"/>
    <w:multiLevelType w:val="hybridMultilevel"/>
    <w:tmpl w:val="AE5442C8"/>
    <w:lvl w:ilvl="0" w:tplc="42E49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A792952"/>
    <w:multiLevelType w:val="hybridMultilevel"/>
    <w:tmpl w:val="E8F0F3F4"/>
    <w:lvl w:ilvl="0" w:tplc="06CC35F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ADA2E52"/>
    <w:multiLevelType w:val="hybridMultilevel"/>
    <w:tmpl w:val="5FFCB2F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9663EE"/>
    <w:multiLevelType w:val="hybridMultilevel"/>
    <w:tmpl w:val="DD1ABB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5D776220"/>
    <w:multiLevelType w:val="hybridMultilevel"/>
    <w:tmpl w:val="EE50309E"/>
    <w:lvl w:ilvl="0" w:tplc="0DC6D5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E856946"/>
    <w:multiLevelType w:val="hybridMultilevel"/>
    <w:tmpl w:val="C41E57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F406FEE"/>
    <w:multiLevelType w:val="hybridMultilevel"/>
    <w:tmpl w:val="9D2C0E0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04E6039"/>
    <w:multiLevelType w:val="hybridMultilevel"/>
    <w:tmpl w:val="7CD0B0E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1542B7F"/>
    <w:multiLevelType w:val="hybridMultilevel"/>
    <w:tmpl w:val="95928620"/>
    <w:lvl w:ilvl="0" w:tplc="8BEC7C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22D20EA"/>
    <w:multiLevelType w:val="hybridMultilevel"/>
    <w:tmpl w:val="B686C92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33C4953"/>
    <w:multiLevelType w:val="hybridMultilevel"/>
    <w:tmpl w:val="E05A60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44E5CF9"/>
    <w:multiLevelType w:val="hybridMultilevel"/>
    <w:tmpl w:val="64ACB266"/>
    <w:lvl w:ilvl="0" w:tplc="2E94361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58A2542"/>
    <w:multiLevelType w:val="hybridMultilevel"/>
    <w:tmpl w:val="2250B90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991276D"/>
    <w:multiLevelType w:val="hybridMultilevel"/>
    <w:tmpl w:val="8A94E00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BF43FDA"/>
    <w:multiLevelType w:val="hybridMultilevel"/>
    <w:tmpl w:val="AD9A8B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C8866D1"/>
    <w:multiLevelType w:val="hybridMultilevel"/>
    <w:tmpl w:val="7214DABE"/>
    <w:lvl w:ilvl="0" w:tplc="8A9861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D0366DF"/>
    <w:multiLevelType w:val="hybridMultilevel"/>
    <w:tmpl w:val="6A18B1E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D7A3248"/>
    <w:multiLevelType w:val="hybridMultilevel"/>
    <w:tmpl w:val="B8181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1715649"/>
    <w:multiLevelType w:val="hybridMultilevel"/>
    <w:tmpl w:val="E91EE14E"/>
    <w:lvl w:ilvl="0" w:tplc="75245EDE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22F479F"/>
    <w:multiLevelType w:val="hybridMultilevel"/>
    <w:tmpl w:val="D82A76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29C26B5"/>
    <w:multiLevelType w:val="hybridMultilevel"/>
    <w:tmpl w:val="06A67D5C"/>
    <w:lvl w:ilvl="0" w:tplc="83C45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30C56AF"/>
    <w:multiLevelType w:val="hybridMultilevel"/>
    <w:tmpl w:val="E7682B4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3FE3A80"/>
    <w:multiLevelType w:val="hybridMultilevel"/>
    <w:tmpl w:val="16006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49F4AFF"/>
    <w:multiLevelType w:val="hybridMultilevel"/>
    <w:tmpl w:val="7742BCC4"/>
    <w:lvl w:ilvl="0" w:tplc="41F4A6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4B804FB"/>
    <w:multiLevelType w:val="hybridMultilevel"/>
    <w:tmpl w:val="B6A0CC00"/>
    <w:lvl w:ilvl="0" w:tplc="27E008E6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5BA3838"/>
    <w:multiLevelType w:val="hybridMultilevel"/>
    <w:tmpl w:val="01487B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A7D5636"/>
    <w:multiLevelType w:val="hybridMultilevel"/>
    <w:tmpl w:val="2EE204A0"/>
    <w:lvl w:ilvl="0" w:tplc="BE6E085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>
    <w:nsid w:val="7E2F1CBD"/>
    <w:multiLevelType w:val="hybridMultilevel"/>
    <w:tmpl w:val="523C39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9"/>
  </w:num>
  <w:num w:numId="4">
    <w:abstractNumId w:val="73"/>
  </w:num>
  <w:num w:numId="5">
    <w:abstractNumId w:val="14"/>
  </w:num>
  <w:num w:numId="6">
    <w:abstractNumId w:val="33"/>
  </w:num>
  <w:num w:numId="7">
    <w:abstractNumId w:val="70"/>
  </w:num>
  <w:num w:numId="8">
    <w:abstractNumId w:val="10"/>
  </w:num>
  <w:num w:numId="9">
    <w:abstractNumId w:val="79"/>
  </w:num>
  <w:num w:numId="10">
    <w:abstractNumId w:val="67"/>
  </w:num>
  <w:num w:numId="11">
    <w:abstractNumId w:val="36"/>
  </w:num>
  <w:num w:numId="12">
    <w:abstractNumId w:val="4"/>
  </w:num>
  <w:num w:numId="13">
    <w:abstractNumId w:val="12"/>
  </w:num>
  <w:num w:numId="14">
    <w:abstractNumId w:val="12"/>
  </w:num>
  <w:num w:numId="15">
    <w:abstractNumId w:val="25"/>
  </w:num>
  <w:num w:numId="16">
    <w:abstractNumId w:val="54"/>
  </w:num>
  <w:num w:numId="17">
    <w:abstractNumId w:val="38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77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5"/>
  </w:num>
  <w:num w:numId="26">
    <w:abstractNumId w:val="28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39"/>
  </w:num>
  <w:num w:numId="30">
    <w:abstractNumId w:val="63"/>
  </w:num>
  <w:num w:numId="31">
    <w:abstractNumId w:val="45"/>
  </w:num>
  <w:num w:numId="32">
    <w:abstractNumId w:val="16"/>
  </w:num>
  <w:num w:numId="33">
    <w:abstractNumId w:val="72"/>
  </w:num>
  <w:num w:numId="34">
    <w:abstractNumId w:val="62"/>
  </w:num>
  <w:num w:numId="35">
    <w:abstractNumId w:val="42"/>
  </w:num>
  <w:num w:numId="36">
    <w:abstractNumId w:val="13"/>
  </w:num>
  <w:num w:numId="37">
    <w:abstractNumId w:val="46"/>
  </w:num>
  <w:num w:numId="38">
    <w:abstractNumId w:val="77"/>
  </w:num>
  <w:num w:numId="39">
    <w:abstractNumId w:val="81"/>
  </w:num>
  <w:num w:numId="40">
    <w:abstractNumId w:val="82"/>
  </w:num>
  <w:num w:numId="41">
    <w:abstractNumId w:val="3"/>
  </w:num>
  <w:num w:numId="42">
    <w:abstractNumId w:val="49"/>
  </w:num>
  <w:num w:numId="43">
    <w:abstractNumId w:val="71"/>
  </w:num>
  <w:num w:numId="44">
    <w:abstractNumId w:val="52"/>
  </w:num>
  <w:num w:numId="45">
    <w:abstractNumId w:val="6"/>
  </w:num>
  <w:num w:numId="46">
    <w:abstractNumId w:val="60"/>
  </w:num>
  <w:num w:numId="47">
    <w:abstractNumId w:val="32"/>
  </w:num>
  <w:num w:numId="48">
    <w:abstractNumId w:val="59"/>
  </w:num>
  <w:num w:numId="49">
    <w:abstractNumId w:val="76"/>
  </w:num>
  <w:num w:numId="50">
    <w:abstractNumId w:val="79"/>
  </w:num>
  <w:num w:numId="51">
    <w:abstractNumId w:val="55"/>
  </w:num>
  <w:num w:numId="52">
    <w:abstractNumId w:val="57"/>
  </w:num>
  <w:num w:numId="53">
    <w:abstractNumId w:val="65"/>
  </w:num>
  <w:num w:numId="54">
    <w:abstractNumId w:val="50"/>
  </w:num>
  <w:num w:numId="55">
    <w:abstractNumId w:val="83"/>
  </w:num>
  <w:num w:numId="56">
    <w:abstractNumId w:val="74"/>
  </w:num>
  <w:num w:numId="57">
    <w:abstractNumId w:val="64"/>
  </w:num>
  <w:num w:numId="58">
    <w:abstractNumId w:val="1"/>
  </w:num>
  <w:num w:numId="59">
    <w:abstractNumId w:val="47"/>
  </w:num>
  <w:num w:numId="60">
    <w:abstractNumId w:val="11"/>
  </w:num>
  <w:num w:numId="61">
    <w:abstractNumId w:val="2"/>
  </w:num>
  <w:num w:numId="62">
    <w:abstractNumId w:val="24"/>
  </w:num>
  <w:num w:numId="63">
    <w:abstractNumId w:val="17"/>
  </w:num>
  <w:num w:numId="64">
    <w:abstractNumId w:val="22"/>
  </w:num>
  <w:num w:numId="65">
    <w:abstractNumId w:val="31"/>
  </w:num>
  <w:num w:numId="66">
    <w:abstractNumId w:val="85"/>
  </w:num>
  <w:num w:numId="67">
    <w:abstractNumId w:val="20"/>
  </w:num>
  <w:num w:numId="68">
    <w:abstractNumId w:val="19"/>
  </w:num>
  <w:num w:numId="69">
    <w:abstractNumId w:val="37"/>
  </w:num>
  <w:num w:numId="70">
    <w:abstractNumId w:val="40"/>
  </w:num>
  <w:num w:numId="71">
    <w:abstractNumId w:val="61"/>
  </w:num>
  <w:num w:numId="72">
    <w:abstractNumId w:val="80"/>
  </w:num>
  <w:num w:numId="73">
    <w:abstractNumId w:val="21"/>
  </w:num>
  <w:num w:numId="74">
    <w:abstractNumId w:val="51"/>
  </w:num>
  <w:num w:numId="75">
    <w:abstractNumId w:val="48"/>
  </w:num>
  <w:num w:numId="76">
    <w:abstractNumId w:val="69"/>
  </w:num>
  <w:num w:numId="77">
    <w:abstractNumId w:val="0"/>
  </w:num>
  <w:num w:numId="78">
    <w:abstractNumId w:val="53"/>
  </w:num>
  <w:num w:numId="79">
    <w:abstractNumId w:val="66"/>
  </w:num>
  <w:num w:numId="80">
    <w:abstractNumId w:val="44"/>
  </w:num>
  <w:num w:numId="81">
    <w:abstractNumId w:val="35"/>
  </w:num>
  <w:num w:numId="82">
    <w:abstractNumId w:val="43"/>
  </w:num>
  <w:num w:numId="83">
    <w:abstractNumId w:val="30"/>
  </w:num>
  <w:num w:numId="84">
    <w:abstractNumId w:val="75"/>
  </w:num>
  <w:num w:numId="85">
    <w:abstractNumId w:val="68"/>
  </w:num>
  <w:num w:numId="86">
    <w:abstractNumId w:val="18"/>
  </w:num>
  <w:num w:numId="87">
    <w:abstractNumId w:val="58"/>
  </w:num>
  <w:num w:numId="88">
    <w:abstractNumId w:val="56"/>
  </w:num>
  <w:num w:numId="89">
    <w:abstractNumId w:val="26"/>
  </w:num>
  <w:num w:numId="90">
    <w:abstractNumId w:val="34"/>
  </w:num>
  <w:num w:numId="91">
    <w:abstractNumId w:val="84"/>
  </w:num>
  <w:num w:numId="92">
    <w:abstractNumId w:val="78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hideGrammaticalErrors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IE" w:vendorID="64" w:dllVersion="131078" w:nlCheck="1" w:checkStyle="1"/>
  <w:activeWritingStyle w:appName="MSWord" w:lang="en-CA" w:vendorID="64" w:dllVersion="131078" w:nlCheck="1" w:checkStyle="1"/>
  <w:activeWritingStyle w:appName="MSWord" w:lang="en-US" w:vendorID="64" w:dllVersion="131078" w:nlCheck="1" w:checkStyle="1"/>
  <w:activeWritingStyle w:appName="MSWord" w:lang="it-IT" w:vendorID="64" w:dllVersion="131078" w:nlCheck="1" w:checkStyle="0"/>
  <w:activeWritingStyle w:appName="MSWord" w:lang="en-AU" w:vendorID="64" w:dllVersion="131078" w:nlCheck="1" w:checkStyle="1"/>
  <w:activeWritingStyle w:appName="MSWord" w:lang="de-DE" w:vendorID="64" w:dllVersion="131078" w:nlCheck="1" w:checkStyle="0"/>
  <w:activeWritingStyle w:appName="MSWord" w:lang="pt-PT" w:vendorID="64" w:dllVersion="131078" w:nlCheck="1" w:checkStyle="0"/>
  <w:activeWritingStyle w:appName="MSWord" w:lang="fr-FR" w:vendorID="64" w:dllVersion="131078" w:nlCheck="1" w:checkStyle="0"/>
  <w:revisionView w:markup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CORRIGENDUM" w:val="&lt;UNUSED&gt;"/>
    <w:docVar w:name="LW_COVERPAGE_EXISTS" w:val="True"/>
    <w:docVar w:name="LW_COVERPAGE_GUID" w:val="F36CDEDF-0A59-416E-AC79-18AFEEEF3905"/>
    <w:docVar w:name="LW_COVERPAGE_TYPE" w:val="1"/>
    <w:docVar w:name="LW_CROSSREFERENCE" w:val="&lt;UNUSED&gt;"/>
    <w:docVar w:name="LW_DocType" w:val="NORMAL"/>
    <w:docVar w:name="LW_EMISSION" w:val="5.3.2020"/>
    <w:docVar w:name="LW_EMISSION_ISODATE" w:val="2020-03-05"/>
    <w:docVar w:name="LW_EMISSION_LOCATION" w:val="BRX"/>
    <w:docVar w:name="LW_EMISSION_PREFIX" w:val="V Bruselu dne "/>
    <w:docVar w:name="LW_EMISSION_SUFFIX" w:val=" "/>
    <w:docVar w:name="LW_ID_DOCTYPE_NONLW" w:val="CP-014"/>
    <w:docVar w:name="LW_LANGUE" w:val="CS"/>
    <w:docVar w:name="LW_LEVEL_OF_SENSITIVITY" w:val="Standard treatment"/>
    <w:docVar w:name="LW_NOM.INST" w:val="EVROPSKÁ KOMISE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"/>
    <w:docVar w:name="LW_REF.INST.NEW_TEXT" w:val="(2020) 152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Unie rovnosti: strategie pro rovnost \u382?en a mu\u382?\u367? na období 2020\u8211?2025_x000d__x000d__x000d__x000d__x000d__x000d__x000b__x000d__x000d__x000d__x000d__x000d__x000d__x000d__x000d__x000b_"/>
    <w:docVar w:name="LW_TYPE.DOC.CP" w:val="SD\u282?LENÍ KOMISE EVROPSKÉMU PARLAMENTU, RAD\u282?, EVROPSKÉMU HOSPODÁ\u344?SKÉMU A SOCIÁLNÍMU VÝBORU A VÝBORU REGION\u366?"/>
    <w:docVar w:name="LW_TYPE.DOC.CP.USERTEXT" w:val="&lt;EMPTY&gt;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E" w:eastAsia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1st level - Bullet List Paragraph,List Paragraph1,Lettre d'introduction,Paragrafo elenco,Medium Grid 1 - Accent 21,Fiche List Paragraph,body,Odsek zoznamu2,Odsek zoznamu1,3,Bullet 1,Bullet Points,Colorful List - Accent 11,Dot pt,Bulle,2"/>
    <w:basedOn w:val="Normal"/>
    <w:link w:val="ListParagraphChar"/>
    <w:uiPriority w:val="34"/>
    <w:qFormat/>
    <w:pPr>
      <w:ind w:left="720"/>
      <w:contextualSpacing/>
    </w:pPr>
    <w:rPr>
      <w:rFonts w:ascii="Calibri" w:hAnsi="Calibri" w:cs="Calibri"/>
      <w:lang w:val="fr-B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customStyle="1" w:styleId="B0List">
    <w:name w:val="B0 List"/>
    <w:basedOn w:val="Normal"/>
    <w:qFormat/>
    <w:pPr>
      <w:widowControl w:val="0"/>
      <w:numPr>
        <w:numId w:val="13"/>
      </w:numPr>
      <w:spacing w:after="120" w:line="240" w:lineRule="auto"/>
      <w:jc w:val="both"/>
    </w:pPr>
    <w:rPr>
      <w:rFonts w:ascii="Times New Roman" w:eastAsia="Calibri" w:hAnsi="Times New Roman" w:cs="Tahoma"/>
      <w:sz w:val="24"/>
    </w:rPr>
  </w:style>
  <w:style w:type="paragraph" w:customStyle="1" w:styleId="Briefinglist1">
    <w:name w:val="Briefing list 1"/>
    <w:basedOn w:val="Normal"/>
    <w:pPr>
      <w:tabs>
        <w:tab w:val="num" w:pos="284"/>
      </w:tabs>
      <w:spacing w:after="120" w:line="240" w:lineRule="auto"/>
      <w:ind w:left="284" w:hanging="284"/>
      <w:jc w:val="both"/>
    </w:pPr>
    <w:rPr>
      <w:rFonts w:ascii="Arial" w:hAnsi="Arial" w:cs="Arial"/>
    </w:rPr>
  </w:style>
  <w:style w:type="paragraph" w:styleId="FootnoteText">
    <w:name w:val="footnote text"/>
    <w:aliases w:val="Char,Fußnote,Carattere,fn,Footnotes,Footnote ak,Footnote Text Char1,Footnote Text Char Char,fn Char Char,footnote text Char Char,Footnotes Char Char,Footnote ak Char Char,fn Char1,footnote text Char1,Footnotes Char1,ft,Footnote Text_EP-LC"/>
    <w:basedOn w:val="Normal"/>
    <w:link w:val="FootnoteTextChar"/>
    <w:uiPriority w:val="99"/>
    <w:unhideWhenUsed/>
    <w:qFormat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aliases w:val="Char Char,Fußnote Char,Carattere Char,fn Char,Footnotes Char,Footnote ak Char,Footnote Text Char1 Char,Footnote Text Char Char Char,fn Char Char Char,footnote text Char Char Char,Footnotes Char Char Char,Footnote ak Char Char Char"/>
    <w:basedOn w:val="DefaultParagraphFont"/>
    <w:link w:val="FootnoteText"/>
    <w:uiPriority w:val="99"/>
    <w:qFormat/>
    <w:rPr>
      <w:sz w:val="20"/>
      <w:szCs w:val="20"/>
      <w:lang w:val="en-US"/>
    </w:rPr>
  </w:style>
  <w:style w:type="character" w:styleId="FootnoteReference">
    <w:name w:val="footnote reference"/>
    <w:aliases w:val="Footnote Reference Superscript,BVI fnr, BVI fnr,Footnote symbol,Footnote reference number,note TESI,Appel note de bas de p,Nota,SUPERS,Footnote number,EN Footnote Reference,-E Fußnotenzeichen,number Char Char,number,Ref,styl,styli,o"/>
    <w:basedOn w:val="DefaultParagraphFont"/>
    <w:uiPriority w:val="99"/>
    <w:unhideWhenUsed/>
    <w:qFormat/>
    <w:rPr>
      <w:vertAlign w:val="superscript"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ListParagraphChar">
    <w:name w:val="List Paragraph Char"/>
    <w:aliases w:val="1st level - Bullet List Paragraph Char,List Paragraph1 Char,Lettre d'introduction Char,Paragrafo elenco Char,Medium Grid 1 - Accent 21 Char,Fiche List Paragraph Char,body Char,Odsek zoznamu2 Char,Odsek zoznamu1 Char,3 Char,Bulle Char"/>
    <w:link w:val="ListParagraph"/>
    <w:uiPriority w:val="34"/>
    <w:qFormat/>
    <w:locked/>
    <w:rPr>
      <w:rFonts w:ascii="Calibri" w:hAnsi="Calibri" w:cs="Calibri"/>
      <w:lang w:val="fr-B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val="en-IE" w:eastAsia="en-IE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ListParagraphChar"/>
    <w:link w:val="FooterCoverPage"/>
    <w:rPr>
      <w:rFonts w:ascii="Times New Roman" w:hAnsi="Times New Roman" w:cs="Times New Roman"/>
      <w:sz w:val="24"/>
      <w:lang w:val="fr-BE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ListParagraphChar"/>
    <w:link w:val="FooterSensitivity"/>
    <w:rPr>
      <w:rFonts w:ascii="Times New Roman" w:hAnsi="Times New Roman" w:cs="Times New Roman"/>
      <w:b/>
      <w:sz w:val="32"/>
      <w:lang w:val="fr-BE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ListParagraphChar"/>
    <w:link w:val="HeaderCoverPage"/>
    <w:rPr>
      <w:rFonts w:ascii="Times New Roman" w:hAnsi="Times New Roman" w:cs="Times New Roman"/>
      <w:sz w:val="24"/>
      <w:lang w:val="fr-BE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ListParagraphChar"/>
    <w:link w:val="HeaderSensitivity"/>
    <w:rPr>
      <w:rFonts w:ascii="Times New Roman" w:hAnsi="Times New Roman" w:cs="Times New Roman"/>
      <w:b/>
      <w:sz w:val="32"/>
      <w:lang w:val="fr-BE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ListParagraphChar"/>
    <w:link w:val="HeaderSensitivityRight"/>
    <w:rPr>
      <w:rFonts w:ascii="Times New Roman" w:hAnsi="Times New Roman" w:cs="Times New Roman"/>
      <w:sz w:val="28"/>
      <w:lang w:val="fr-B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">
    <w:name w:val="Text 1"/>
    <w:basedOn w:val="Normal"/>
    <w:uiPriority w:val="90"/>
    <w:qFormat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customStyle="1" w:styleId="ListBullet1">
    <w:name w:val="List Bullet 1"/>
    <w:basedOn w:val="Normal"/>
    <w:pPr>
      <w:tabs>
        <w:tab w:val="num" w:pos="765"/>
      </w:tabs>
      <w:spacing w:after="240" w:line="240" w:lineRule="auto"/>
      <w:ind w:left="765" w:hanging="283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name">
    <w:name w:val="authors__name"/>
    <w:basedOn w:val="DefaultParagraphFont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TextEP-LC1">
    <w:name w:val="Footnote Text_EP-LC1"/>
    <w:basedOn w:val="Normal"/>
    <w:uiPriority w:val="99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f9">
    <w:name w:val="ff9"/>
    <w:basedOn w:val="DefaultParagraphFont"/>
  </w:style>
  <w:style w:type="character" w:customStyle="1" w:styleId="ff1">
    <w:name w:val="ff1"/>
    <w:basedOn w:val="DefaultParagraphFont"/>
  </w:style>
  <w:style w:type="character" w:customStyle="1" w:styleId="ls12">
    <w:name w:val="ls12"/>
    <w:basedOn w:val="DefaultParagraphFont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  <w:lang w:val="fr-BE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E" w:eastAsia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1st level - Bullet List Paragraph,List Paragraph1,Lettre d'introduction,Paragrafo elenco,Medium Grid 1 - Accent 21,Fiche List Paragraph,body,Odsek zoznamu2,Odsek zoznamu1,3,Bullet 1,Bullet Points,Colorful List - Accent 11,Dot pt,Bulle,2"/>
    <w:basedOn w:val="Normal"/>
    <w:link w:val="ListParagraphChar"/>
    <w:uiPriority w:val="34"/>
    <w:qFormat/>
    <w:pPr>
      <w:ind w:left="720"/>
      <w:contextualSpacing/>
    </w:pPr>
    <w:rPr>
      <w:rFonts w:ascii="Calibri" w:hAnsi="Calibri" w:cs="Calibri"/>
      <w:lang w:val="fr-B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customStyle="1" w:styleId="B0List">
    <w:name w:val="B0 List"/>
    <w:basedOn w:val="Normal"/>
    <w:qFormat/>
    <w:pPr>
      <w:widowControl w:val="0"/>
      <w:numPr>
        <w:numId w:val="13"/>
      </w:numPr>
      <w:spacing w:after="120" w:line="240" w:lineRule="auto"/>
      <w:jc w:val="both"/>
    </w:pPr>
    <w:rPr>
      <w:rFonts w:ascii="Times New Roman" w:eastAsia="Calibri" w:hAnsi="Times New Roman" w:cs="Tahoma"/>
      <w:sz w:val="24"/>
    </w:rPr>
  </w:style>
  <w:style w:type="paragraph" w:customStyle="1" w:styleId="Briefinglist1">
    <w:name w:val="Briefing list 1"/>
    <w:basedOn w:val="Normal"/>
    <w:pPr>
      <w:tabs>
        <w:tab w:val="num" w:pos="284"/>
      </w:tabs>
      <w:spacing w:after="120" w:line="240" w:lineRule="auto"/>
      <w:ind w:left="284" w:hanging="284"/>
      <w:jc w:val="both"/>
    </w:pPr>
    <w:rPr>
      <w:rFonts w:ascii="Arial" w:hAnsi="Arial" w:cs="Arial"/>
    </w:rPr>
  </w:style>
  <w:style w:type="paragraph" w:styleId="FootnoteText">
    <w:name w:val="footnote text"/>
    <w:aliases w:val="Char,Fußnote,Carattere,fn,Footnotes,Footnote ak,Footnote Text Char1,Footnote Text Char Char,fn Char Char,footnote text Char Char,Footnotes Char Char,Footnote ak Char Char,fn Char1,footnote text Char1,Footnotes Char1,ft,Footnote Text_EP-LC"/>
    <w:basedOn w:val="Normal"/>
    <w:link w:val="FootnoteTextChar"/>
    <w:uiPriority w:val="99"/>
    <w:unhideWhenUsed/>
    <w:qFormat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aliases w:val="Char Char,Fußnote Char,Carattere Char,fn Char,Footnotes Char,Footnote ak Char,Footnote Text Char1 Char,Footnote Text Char Char Char,fn Char Char Char,footnote text Char Char Char,Footnotes Char Char Char,Footnote ak Char Char Char"/>
    <w:basedOn w:val="DefaultParagraphFont"/>
    <w:link w:val="FootnoteText"/>
    <w:uiPriority w:val="99"/>
    <w:qFormat/>
    <w:rPr>
      <w:sz w:val="20"/>
      <w:szCs w:val="20"/>
      <w:lang w:val="en-US"/>
    </w:rPr>
  </w:style>
  <w:style w:type="character" w:styleId="FootnoteReference">
    <w:name w:val="footnote reference"/>
    <w:aliases w:val="Footnote Reference Superscript,BVI fnr, BVI fnr,Footnote symbol,Footnote reference number,note TESI,Appel note de bas de p,Nota,SUPERS,Footnote number,EN Footnote Reference,-E Fußnotenzeichen,number Char Char,number,Ref,styl,styli,o"/>
    <w:basedOn w:val="DefaultParagraphFont"/>
    <w:uiPriority w:val="99"/>
    <w:unhideWhenUsed/>
    <w:qFormat/>
    <w:rPr>
      <w:vertAlign w:val="superscript"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ListParagraphChar">
    <w:name w:val="List Paragraph Char"/>
    <w:aliases w:val="1st level - Bullet List Paragraph Char,List Paragraph1 Char,Lettre d'introduction Char,Paragrafo elenco Char,Medium Grid 1 - Accent 21 Char,Fiche List Paragraph Char,body Char,Odsek zoznamu2 Char,Odsek zoznamu1 Char,3 Char,Bulle Char"/>
    <w:link w:val="ListParagraph"/>
    <w:uiPriority w:val="34"/>
    <w:qFormat/>
    <w:locked/>
    <w:rPr>
      <w:rFonts w:ascii="Calibri" w:hAnsi="Calibri" w:cs="Calibri"/>
      <w:lang w:val="fr-B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val="en-IE" w:eastAsia="en-IE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ListParagraphChar"/>
    <w:link w:val="FooterCoverPage"/>
    <w:rPr>
      <w:rFonts w:ascii="Times New Roman" w:hAnsi="Times New Roman" w:cs="Times New Roman"/>
      <w:sz w:val="24"/>
      <w:lang w:val="fr-BE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ListParagraphChar"/>
    <w:link w:val="FooterSensitivity"/>
    <w:rPr>
      <w:rFonts w:ascii="Times New Roman" w:hAnsi="Times New Roman" w:cs="Times New Roman"/>
      <w:b/>
      <w:sz w:val="32"/>
      <w:lang w:val="fr-BE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ListParagraphChar"/>
    <w:link w:val="HeaderCoverPage"/>
    <w:rPr>
      <w:rFonts w:ascii="Times New Roman" w:hAnsi="Times New Roman" w:cs="Times New Roman"/>
      <w:sz w:val="24"/>
      <w:lang w:val="fr-BE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ListParagraphChar"/>
    <w:link w:val="HeaderSensitivity"/>
    <w:rPr>
      <w:rFonts w:ascii="Times New Roman" w:hAnsi="Times New Roman" w:cs="Times New Roman"/>
      <w:b/>
      <w:sz w:val="32"/>
      <w:lang w:val="fr-BE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ListParagraphChar"/>
    <w:link w:val="HeaderSensitivityRight"/>
    <w:rPr>
      <w:rFonts w:ascii="Times New Roman" w:hAnsi="Times New Roman" w:cs="Times New Roman"/>
      <w:sz w:val="28"/>
      <w:lang w:val="fr-B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">
    <w:name w:val="Text 1"/>
    <w:basedOn w:val="Normal"/>
    <w:uiPriority w:val="90"/>
    <w:qFormat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customStyle="1" w:styleId="ListBullet1">
    <w:name w:val="List Bullet 1"/>
    <w:basedOn w:val="Normal"/>
    <w:pPr>
      <w:tabs>
        <w:tab w:val="num" w:pos="765"/>
      </w:tabs>
      <w:spacing w:after="240" w:line="240" w:lineRule="auto"/>
      <w:ind w:left="765" w:hanging="283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name">
    <w:name w:val="authors__name"/>
    <w:basedOn w:val="DefaultParagraphFont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TextEP-LC1">
    <w:name w:val="Footnote Text_EP-LC1"/>
    <w:basedOn w:val="Normal"/>
    <w:uiPriority w:val="99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f9">
    <w:name w:val="ff9"/>
    <w:basedOn w:val="DefaultParagraphFont"/>
  </w:style>
  <w:style w:type="character" w:customStyle="1" w:styleId="ff1">
    <w:name w:val="ff1"/>
    <w:basedOn w:val="DefaultParagraphFont"/>
  </w:style>
  <w:style w:type="character" w:customStyle="1" w:styleId="ls12">
    <w:name w:val="ls12"/>
    <w:basedOn w:val="DefaultParagraphFont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  <w:lang w:val="fr-BE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footer" Target="footer6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5" Type="http://schemas.openxmlformats.org/officeDocument/2006/relationships/image" Target="media/image8.jpeg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dfgm.eu/female-genital-mutilation/fgm-in-europe" TargetMode="External"/><Relationship Id="rId13" Type="http://schemas.openxmlformats.org/officeDocument/2006/relationships/hyperlink" Target="https://ec.europa.eu/programmes/creative-europe/node_en" TargetMode="External"/><Relationship Id="rId18" Type="http://schemas.openxmlformats.org/officeDocument/2006/relationships/hyperlink" Target="https://ec.europa.eu/info/business-economy-euro/economic-and-fiscal-policy-coordination/eu-economic-governance-monitoring-prevention-correction/european-semester_en" TargetMode="External"/><Relationship Id="rId26" Type="http://schemas.openxmlformats.org/officeDocument/2006/relationships/hyperlink" Target="https://appsso.eurostat.ec.europa.eu/nui/show.do?dataset=ilc_pnp13&amp;lang=en" TargetMode="External"/><Relationship Id="rId39" Type="http://schemas.openxmlformats.org/officeDocument/2006/relationships/hyperlink" Target="https://www.consilium.europa.eu/media/37412/st15086-en18.pdf" TargetMode="External"/><Relationship Id="rId3" Type="http://schemas.openxmlformats.org/officeDocument/2006/relationships/hyperlink" Target="https://data.em2030.org/em2030-sdg-gender-index/" TargetMode="External"/><Relationship Id="rId21" Type="http://schemas.openxmlformats.org/officeDocument/2006/relationships/hyperlink" Target="http://www.oecd.org/pisa/PISA%202018%20Insights%20and%20Interpretations%20FINAL%20PDF.pdf" TargetMode="External"/><Relationship Id="rId34" Type="http://schemas.openxmlformats.org/officeDocument/2006/relationships/hyperlink" Target="https://europeanwomenonboards.eu/" TargetMode="External"/><Relationship Id="rId42" Type="http://schemas.openxmlformats.org/officeDocument/2006/relationships/hyperlink" Target="http://www.europarl.europa.eu/oeil/popups/ficheprocedure.do?lang=en&amp;reference=2019/2855(RSP)" TargetMode="External"/><Relationship Id="rId7" Type="http://schemas.openxmlformats.org/officeDocument/2006/relationships/hyperlink" Target="https://ec.europa.eu/europeaid/policies/sustainable-development-goals_en" TargetMode="External"/><Relationship Id="rId12" Type="http://schemas.openxmlformats.org/officeDocument/2006/relationships/hyperlink" Target="https://ec.europa.eu/info/horizon-europe-next-research-and-innovation-framework-programme_en" TargetMode="External"/><Relationship Id="rId17" Type="http://schemas.openxmlformats.org/officeDocument/2006/relationships/hyperlink" Target="https://ec.europa.eu/eurostat/statistics-explained/pdfscache/35409.pdf" TargetMode="External"/><Relationship Id="rId25" Type="http://schemas.openxmlformats.org/officeDocument/2006/relationships/hyperlink" Target="https://ec.europa.eu/eurostat/databrowser/product/view/SDG_05_20?lang=en" TargetMode="External"/><Relationship Id="rId33" Type="http://schemas.openxmlformats.org/officeDocument/2006/relationships/hyperlink" Target="https://ec.europa.eu/info/policies/justice-and-fundamental-rights/combatting-discrimination/tackling-discrimination/diversity-management/eu-platform-diversity-charters_en" TargetMode="External"/><Relationship Id="rId38" Type="http://schemas.openxmlformats.org/officeDocument/2006/relationships/hyperlink" Target="https://europa.eu/capacity4dev/articles/eu-gender-action-plan-ii-how-eu-delegations-contribute-gender-equality-worldwide" TargetMode="External"/><Relationship Id="rId2" Type="http://schemas.openxmlformats.org/officeDocument/2006/relationships/hyperlink" Target="https://eige.europa.eu/gender-mainstreaming/policy-areas/economic-and-financial-affairs/economic-benefits-gender-equality" TargetMode="External"/><Relationship Id="rId16" Type="http://schemas.openxmlformats.org/officeDocument/2006/relationships/hyperlink" Target="https://appsso.eurostat.ec.europa.eu/nui/show.do?dataset=lfsi_emp_a&amp;lang=en" TargetMode="External"/><Relationship Id="rId20" Type="http://schemas.openxmlformats.org/officeDocument/2006/relationships/hyperlink" Target="https://ec.europa.eu/research/eic/index.cfm" TargetMode="External"/><Relationship Id="rId29" Type="http://schemas.openxmlformats.org/officeDocument/2006/relationships/hyperlink" Target="https://ec.europa.eu/transparency/regexpert/index.cfm?do=groupDetail.groupDetail&amp;groupID=3589" TargetMode="External"/><Relationship Id="rId41" Type="http://schemas.openxmlformats.org/officeDocument/2006/relationships/hyperlink" Target="http://www.europarl.europa.eu/oeil/popups/ficheprocedure.do?lang=en&amp;reference=2019/2870(RSP)" TargetMode="External"/><Relationship Id="rId1" Type="http://schemas.openxmlformats.org/officeDocument/2006/relationships/hyperlink" Target="https://ec.europa.eu/commission/sites/beta-political/files/social-summit-european-pillar-social-rights-booklet_cs.pdf" TargetMode="External"/><Relationship Id="rId6" Type="http://schemas.openxmlformats.org/officeDocument/2006/relationships/hyperlink" Target="https://beijing20.unwomen.org/en/about" TargetMode="External"/><Relationship Id="rId11" Type="http://schemas.openxmlformats.org/officeDocument/2006/relationships/hyperlink" Target="https://ec.europa.eu/info/sites/info/files/commission-white-paper-artificial-intelligence-feb2020_en.pdf" TargetMode="External"/><Relationship Id="rId24" Type="http://schemas.openxmlformats.org/officeDocument/2006/relationships/hyperlink" Target="https://ec.europa.eu/digital-single-market/en/news/eu-countries-commit-boost-participation-women-digital" TargetMode="External"/><Relationship Id="rId32" Type="http://schemas.openxmlformats.org/officeDocument/2006/relationships/hyperlink" Target="https://eige.europa.eu/publications/gender-equality-index-2019-report/more-gender-equality-corporate-boards-only-few-member-states" TargetMode="External"/><Relationship Id="rId37" Type="http://schemas.openxmlformats.org/officeDocument/2006/relationships/hyperlink" Target="http://www.europarl.europa.eu/meetdocs/2014_2019/plmrep/COMMITTEES/FEMM/DV/2018/09-03/20180828DraftResolutionGenderBudgetingintheEUBudget-thewayforward_EN.pdf" TargetMode="External"/><Relationship Id="rId40" Type="http://schemas.openxmlformats.org/officeDocument/2006/relationships/hyperlink" Target="https://www.consilium.europa.eu/register/en/content/out?&amp;typ=ENTRY&amp;i=ADV&amp;DOC_ID=ST-11031-2019-INIT" TargetMode="External"/><Relationship Id="rId5" Type="http://schemas.openxmlformats.org/officeDocument/2006/relationships/hyperlink" Target="https://eige.europa.eu/thesaurus/terms/1263?lang=cs" TargetMode="External"/><Relationship Id="rId15" Type="http://schemas.openxmlformats.org/officeDocument/2006/relationships/hyperlink" Target="https://ec.europa.eu/eurostat/web/products-datasets/product?code=sdg_05_30" TargetMode="External"/><Relationship Id="rId23" Type="http://schemas.openxmlformats.org/officeDocument/2006/relationships/hyperlink" Target="https://op.europa.eu/en/publication-detail/-/publication/9540ffa1-4478-11e9-a8ed-01aa75ed71a1/language-en" TargetMode="External"/><Relationship Id="rId28" Type="http://schemas.openxmlformats.org/officeDocument/2006/relationships/hyperlink" Target="https://ec.europa.eu/eurostat/web/products-eurostat-news/-/DDN-20190621-1" TargetMode="External"/><Relationship Id="rId36" Type="http://schemas.openxmlformats.org/officeDocument/2006/relationships/hyperlink" Target="https://ec.europa.eu/jrc/en/news/how-big-eus-blue-economy-eu-report-potential-coasts-and-oceans-provide-sustainable-economic-growth" TargetMode="External"/><Relationship Id="rId10" Type="http://schemas.openxmlformats.org/officeDocument/2006/relationships/hyperlink" Target="https://ec.europa.eu/digital-single-market/en/new-eu-rules-e-commerce" TargetMode="External"/><Relationship Id="rId19" Type="http://schemas.openxmlformats.org/officeDocument/2006/relationships/hyperlink" Target="https://2019.stateofeuropeantech.com/chapter/state-european-tech-2019/article/executive-summary" TargetMode="External"/><Relationship Id="rId31" Type="http://schemas.openxmlformats.org/officeDocument/2006/relationships/hyperlink" Target="https://ec.europa.eu/info/sites/info/files/bcn_objectives-report2018_web_en.pdf" TargetMode="External"/><Relationship Id="rId4" Type="http://schemas.openxmlformats.org/officeDocument/2006/relationships/hyperlink" Target="https://eige.europa.eu/gender-equality-index/2019" TargetMode="External"/><Relationship Id="rId9" Type="http://schemas.openxmlformats.org/officeDocument/2006/relationships/hyperlink" Target="https://eige.europa.eu/thesaurus/terms/1285?lang=cs" TargetMode="External"/><Relationship Id="rId14" Type="http://schemas.openxmlformats.org/officeDocument/2006/relationships/hyperlink" Target="https://ec.europa.eu/digital-single-market/en/media-sub-programme-creative-europe" TargetMode="External"/><Relationship Id="rId22" Type="http://schemas.openxmlformats.org/officeDocument/2006/relationships/hyperlink" Target="https://ec.europa.eu/eurostat/web/products-eurostat-news/-/EDN-20180425-1" TargetMode="External"/><Relationship Id="rId27" Type="http://schemas.openxmlformats.org/officeDocument/2006/relationships/hyperlink" Target="https://appsso.eurostat.ec.europa.eu/nui/show.do?dataset=ilc_pnp14&amp;lang=en" TargetMode="External"/><Relationship Id="rId30" Type="http://schemas.openxmlformats.org/officeDocument/2006/relationships/hyperlink" Target="https://www.ilo.org/wcmsp5/groups/public/---dgreports/---cabinet/documents/publication/wcms_713376.pdf" TargetMode="External"/><Relationship Id="rId35" Type="http://schemas.openxmlformats.org/officeDocument/2006/relationships/hyperlink" Target="https://ec.europa.eu/info/policies/justice-and-fundamental-rights/gender-equality/who-we-work-gender-equality/mutual-learning-programme-gender-equality_en" TargetMode="External"/><Relationship Id="rId43" Type="http://schemas.openxmlformats.org/officeDocument/2006/relationships/hyperlink" Target="http://www.europarl.europa.eu/oeil/popups/ficheprocedure.do?lang=en&amp;reference=2016/2249(INI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17A1C524D8DBC041BAC361A7FA0BC3BA" ma:contentTypeVersion="0" ma:contentTypeDescription="Create a new document in this library." ma:contentTypeScope="" ma:versionID="472184d01dc63c2631f13a6db2b93dd8">
  <xsd:schema xmlns:xsd="http://www.w3.org/2001/XMLSchema" xmlns:xs="http://www.w3.org/2001/XMLSchema" xmlns:p="http://schemas.microsoft.com/office/2006/metadata/properties" xmlns:ns2="http://schemas.microsoft.com/sharepoint/v3/fields" xmlns:ns3="724151e2-140d-4670-8684-77a651b4f52a" targetNamespace="http://schemas.microsoft.com/office/2006/metadata/properties" ma:root="true" ma:fieldsID="2be522cebc4dc708207e7baaea01d0b1" ns2:_="" ns3:_="">
    <xsd:import namespace="http://schemas.microsoft.com/sharepoint/v3/fields"/>
    <xsd:import namespace="724151e2-140d-4670-8684-77a651b4f52a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151e2-140d-4670-8684-77a651b4f52a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DocumentLanguage xmlns="724151e2-140d-4670-8684-77a651b4f52a">EN</EC_Collab_DocumentLanguage>
    <EC_Collab_Status xmlns="724151e2-140d-4670-8684-77a651b4f52a">Not Started</EC_Collab_Status>
    <_Status xmlns="http://schemas.microsoft.com/sharepoint/v3/fields">Not Started</_Status>
    <EC_Collab_Reference xmlns="724151e2-140d-4670-8684-77a651b4f52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28D57-7110-4F19-BC08-E1A0CCC06E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724151e2-140d-4670-8684-77a651b4f5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0832C9-B7EF-4D1B-8CCB-14981AA68B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DB49A3-B364-427A-AC8C-027C0721EE78}">
  <ds:schemaRefs>
    <ds:schemaRef ds:uri="http://schemas.microsoft.com/office/2006/documentManagement/types"/>
    <ds:schemaRef ds:uri="http://schemas.microsoft.com/office/infopath/2007/PartnerControls"/>
    <ds:schemaRef ds:uri="724151e2-140d-4670-8684-77a651b4f52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EA552E8-4819-4F60-97F2-5A1B0761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6398</Words>
  <Characters>37627</Characters>
  <Application>Microsoft Office Word</Application>
  <DocSecurity>0</DocSecurity>
  <Lines>597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2020-03-06T09:54:00Z</dcterms:created>
  <dcterms:modified xsi:type="dcterms:W3CDTF">2020-03-06T13:47:00Z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Last edited using">
    <vt:lpwstr>LW 7.0, Build 20190717</vt:lpwstr>
  </property>
  <property fmtid="{D5CDD505-2E9C-101B-9397-08002B2CF9AE}" pid="4" name="Part">
    <vt:lpwstr>1</vt:lpwstr>
  </property>
  <property fmtid="{D5CDD505-2E9C-101B-9397-08002B2CF9AE}" pid="5" name="Total parts">
    <vt:lpwstr>1</vt:lpwstr>
  </property>
  <property fmtid="{D5CDD505-2E9C-101B-9397-08002B2CF9AE}" pid="6" name="DocStatus">
    <vt:lpwstr>Green</vt:lpwstr>
  </property>
  <property fmtid="{D5CDD505-2E9C-101B-9397-08002B2CF9AE}" pid="7" name="CPTemplateID">
    <vt:lpwstr>CP-014</vt:lpwstr>
  </property>
  <property fmtid="{D5CDD505-2E9C-101B-9397-08002B2CF9AE}" pid="8" name="_LW_INVALIDATED__LW_INVALIDATED__LW_INVALIDATED__LW_INVALIDATED__LW_INVALIDATED__LW_INVALIDATED_ContentTypeId">
    <vt:lpwstr>0x010100258AA79CEB83498886A3A086811232500017A1C524D8DBC041BAC361A7FA0BC3BA</vt:lpwstr>
  </property>
</Properties>
</file>