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alt="3365FE50-580D-4375-9760-7E877F716F20" style="width:450.75pt;height:30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ManualHeading1"/>
        <w:rPr>
          <w:noProof/>
        </w:rPr>
      </w:pPr>
      <w:bookmarkStart w:id="1" w:name="_GoBack"/>
      <w:bookmarkEnd w:id="1"/>
      <w:r>
        <w:rPr>
          <w:noProof/>
        </w:rPr>
        <w:lastRenderedPageBreak/>
        <w:t>1</w:t>
      </w:r>
      <w:r>
        <w:rPr>
          <w:noProof/>
        </w:rPr>
        <w:tab/>
        <w:t>Úvod</w:t>
      </w:r>
    </w:p>
    <w:p>
      <w:pPr>
        <w:spacing w:after="100" w:afterAutospacing="1"/>
        <w:rPr>
          <w:noProof/>
          <w:szCs w:val="22"/>
        </w:rPr>
      </w:pPr>
      <w:r>
        <w:rPr>
          <w:noProof/>
        </w:rPr>
        <w:t>V souvislosti s vystoupením Spojeného království z Unie vybralo ostatních 27 členských států v rámci zasedání Rady za nové sídlo Evropského orgánu pro bankovnictví (EBA) Paříž</w:t>
      </w:r>
      <w:r>
        <w:rPr>
          <w:rStyle w:val="FootnoteReference"/>
          <w:noProof/>
          <w:szCs w:val="22"/>
        </w:rPr>
        <w:footnoteReference w:id="2"/>
      </w:r>
      <w:r>
        <w:rPr>
          <w:noProof/>
        </w:rPr>
        <w:t xml:space="preserve">. </w:t>
      </w:r>
    </w:p>
    <w:p>
      <w:pPr>
        <w:spacing w:after="100" w:afterAutospacing="1"/>
        <w:rPr>
          <w:noProof/>
          <w:szCs w:val="22"/>
        </w:rPr>
      </w:pPr>
      <w:r>
        <w:rPr>
          <w:noProof/>
        </w:rPr>
        <w:t>Sídlo orgánu EBA je stanoveno v článku 7 zakládajícího nařízení orgánu EBA</w:t>
      </w:r>
      <w:r>
        <w:rPr>
          <w:rStyle w:val="FootnoteReference"/>
          <w:noProof/>
          <w:szCs w:val="22"/>
        </w:rPr>
        <w:footnoteReference w:id="3"/>
      </w:r>
      <w:r>
        <w:rPr>
          <w:noProof/>
        </w:rPr>
        <w:t xml:space="preserve"> (dále jen „nařízení o orgánu EBA“), které proto muselo být změněno za účelem přemístění sídla z Londýna do Paříže. Kromě změny sídla zavádí změna nařízení o orgánu EBA</w:t>
      </w:r>
      <w:r>
        <w:rPr>
          <w:rStyle w:val="FootnoteReference"/>
          <w:noProof/>
        </w:rPr>
        <w:footnoteReference w:id="4"/>
      </w:r>
      <w:r>
        <w:rPr>
          <w:noProof/>
        </w:rPr>
        <w:t xml:space="preserve"> rovněž nové požadavky na orgán EBA, pokud jde o jeho sídlo, a povinnost Komise zveřejnit do 30. března 2019 a poté každých 12 měsíců zprávu o tom, jak orgán EBA tyto požadavky dodržuje.</w:t>
      </w:r>
    </w:p>
    <w:p>
      <w:pPr>
        <w:spacing w:after="100" w:afterAutospacing="1"/>
        <w:rPr>
          <w:noProof/>
          <w:szCs w:val="22"/>
        </w:rPr>
      </w:pPr>
      <w:r>
        <w:rPr>
          <w:noProof/>
        </w:rPr>
        <w:t xml:space="preserve">Článek 7 nařízení o orgánu EBA stanoví: </w:t>
      </w:r>
      <w:r>
        <w:rPr>
          <w:i/>
          <w:noProof/>
          <w:szCs w:val="22"/>
        </w:rPr>
        <w:t>„Umístění sídla orgánu pro bankovnictví nemá mít dopad na plnění jeho úkolů a výkon jeho pravomocí, na organizaci jeho řídicí struktury, chod jeho hlavní organizace ani na hlavní financování jeho činností, přičemž případně umožní sdílené využívání služeb administrativní podpory a služeb správy budov, které nesouvisí s hlavními činnostmi orgánu pro bankovnictví, s agenturami Unie“</w:t>
      </w:r>
      <w:r>
        <w:rPr>
          <w:noProof/>
        </w:rPr>
        <w:t xml:space="preserve">. </w:t>
      </w:r>
    </w:p>
    <w:p>
      <w:pPr>
        <w:spacing w:after="100" w:afterAutospacing="1"/>
        <w:rPr>
          <w:noProof/>
          <w:szCs w:val="22"/>
        </w:rPr>
      </w:pPr>
      <w:r>
        <w:rPr>
          <w:noProof/>
        </w:rPr>
        <w:t xml:space="preserve">Orgán EBA poskytl nezbytné informace pro splnění těchto požadavků v oblasti podávání zpráv. Tato první zpráva v rámci nové oznamovací povinnosti se zveřejňuje po 30. březnu 2019, neboť plný provoz v Paříži byl zahájen až 3. června 2019. </w:t>
      </w:r>
    </w:p>
    <w:p>
      <w:pPr>
        <w:pStyle w:val="ManualHeading1"/>
        <w:rPr>
          <w:noProof/>
        </w:rPr>
      </w:pPr>
      <w:r>
        <w:rPr>
          <w:noProof/>
        </w:rPr>
        <w:t>2</w:t>
      </w:r>
      <w:r>
        <w:rPr>
          <w:noProof/>
        </w:rPr>
        <w:tab/>
        <w:t>Dohoda o sídle orgánu EBA</w:t>
      </w:r>
    </w:p>
    <w:p>
      <w:pPr>
        <w:rPr>
          <w:noProof/>
          <w:szCs w:val="22"/>
        </w:rPr>
      </w:pPr>
      <w:r>
        <w:rPr>
          <w:noProof/>
        </w:rPr>
        <w:t xml:space="preserve">Dne 4. března 2019 schválila správní rada orgánu EBA dohodu o sídle, která byla slavnostně podepsána v Paříži dne 6. března 2019. Orgán EBA očekává potvrzení o dokončení vnitřních postupů požadovaných ve Francii k tomu, aby dohoda o sídle vstoupila v platnost. Podpis dohody o sídle nemá vliv na chod a řízení orgánu EBA.   </w:t>
      </w:r>
    </w:p>
    <w:p>
      <w:pPr>
        <w:rPr>
          <w:noProof/>
          <w:szCs w:val="22"/>
        </w:rPr>
      </w:pPr>
      <w:r>
        <w:rPr>
          <w:noProof/>
        </w:rPr>
        <w:t>Kromě toho, že dohoda o sídle zohledňuje požadavky protokolu č. 7 o výsadách a imunitách Evropské unie</w:t>
      </w:r>
      <w:r>
        <w:rPr>
          <w:rStyle w:val="FootnoteReference"/>
          <w:noProof/>
          <w:szCs w:val="22"/>
        </w:rPr>
        <w:footnoteReference w:id="5"/>
      </w:r>
      <w:r>
        <w:rPr>
          <w:noProof/>
        </w:rPr>
        <w:t xml:space="preserve">, stanoví výsadu pro zaměstnance, kteří se stěhují z Londýna do Paříže, která jim umožňuje koupit si do dvanácti měsíců od přestěhování automobil osvobozený od daně, přičemž tato výsada byla rozšířena na zaměstnance s francouzskou státní příslušností. Dohoda o sídle rovněž zavazuje francouzskou vládu, aby se zapojila do procesu zřízení Evropské školy v pařížském regionu. Nejvyšší rada evropských škol schválila dokumentaci o shodě navrhované Evropské školy, která má být otevřena v září 2019 v Courbevoie. Tato dvě opatření podpory </w:t>
      </w:r>
      <w:r>
        <w:rPr>
          <w:noProof/>
        </w:rPr>
        <w:lastRenderedPageBreak/>
        <w:t xml:space="preserve">pomohou zaměstnancům při jejich relokaci, zejména v případě rodin s dětmi ve školním věku.  </w:t>
      </w:r>
    </w:p>
    <w:p>
      <w:pPr>
        <w:rPr>
          <w:noProof/>
        </w:rPr>
      </w:pPr>
      <w:r>
        <w:rPr>
          <w:noProof/>
        </w:rPr>
        <w:t>Orgán EBA rovněž spolupracuje s úřadem protokolu francouzského ministerstva zahraničních věcí a evropských záležitostí a s francouzskými celními orgány s cílem zajistit hladký průběh, pokud jde o příchod zaměstnanců a jejich rodin do Francie, poskytování zvláštních povolení k pobytu a uplatňování daňových zvýhodnění na orgán EBA.</w:t>
      </w:r>
    </w:p>
    <w:p>
      <w:pPr>
        <w:pStyle w:val="ManualHeading1"/>
        <w:rPr>
          <w:noProof/>
        </w:rPr>
      </w:pPr>
      <w:r>
        <w:rPr>
          <w:noProof/>
        </w:rPr>
        <w:t>3</w:t>
      </w:r>
      <w:r>
        <w:rPr>
          <w:noProof/>
        </w:rPr>
        <w:tab/>
        <w:t>Řízení, fungování a plnění úkolů orgánu EBA</w:t>
      </w:r>
    </w:p>
    <w:p>
      <w:pPr>
        <w:spacing w:after="100" w:afterAutospacing="1"/>
        <w:rPr>
          <w:noProof/>
        </w:rPr>
      </w:pPr>
      <w:r>
        <w:rPr>
          <w:noProof/>
        </w:rPr>
        <w:t>Přemístění sídla orgánu EBA nemělo dopad na jeho úkoly a pravomoci, organizaci řídicí struktury, fungování jeho hlavní organizace či hlavní financování jeho činnosti.</w:t>
      </w:r>
    </w:p>
    <w:p>
      <w:pPr>
        <w:rPr>
          <w:noProof/>
          <w:sz w:val="22"/>
          <w:szCs w:val="22"/>
        </w:rPr>
      </w:pPr>
      <w:r>
        <w:rPr>
          <w:noProof/>
        </w:rPr>
        <w:t>Orgán EBA obdržel od francouzské vlády zvláštní finanční prostředky na pomoc s náklady na přemístění:</w:t>
      </w:r>
    </w:p>
    <w:p>
      <w:pPr>
        <w:pStyle w:val="ListParagraph"/>
        <w:numPr>
          <w:ilvl w:val="0"/>
          <w:numId w:val="21"/>
        </w:numPr>
        <w:spacing w:before="0" w:after="160" w:line="252" w:lineRule="auto"/>
        <w:rPr>
          <w:noProof/>
        </w:rPr>
      </w:pPr>
      <w:r>
        <w:rPr>
          <w:noProof/>
        </w:rPr>
        <w:t>1,5 milionu EUR má být použito jako příspěvek na náklady na vybavení kanceláří v Paříži. Tato částka byla přijata a vyplacena.</w:t>
      </w:r>
    </w:p>
    <w:p>
      <w:pPr>
        <w:pStyle w:val="ListParagraph"/>
        <w:numPr>
          <w:ilvl w:val="0"/>
          <w:numId w:val="21"/>
        </w:numPr>
        <w:spacing w:before="0" w:after="100" w:afterAutospacing="1" w:line="252" w:lineRule="auto"/>
        <w:rPr>
          <w:noProof/>
        </w:rPr>
      </w:pPr>
      <w:r>
        <w:rPr>
          <w:noProof/>
        </w:rPr>
        <w:t>7 milionů EUR má být použito jako příspěvek na pronájem kanceláří v Paříži a související poplatky za budovy. K dnešnímu dni obdržel orgán EBA 2,5 milionu z této částky. Zůstatek bude poskytován po dobu pronájmu kanceláří v Paříži.</w:t>
      </w:r>
    </w:p>
    <w:p>
      <w:pPr>
        <w:spacing w:after="100" w:afterAutospacing="1"/>
        <w:rPr>
          <w:noProof/>
        </w:rPr>
      </w:pPr>
      <w:r>
        <w:rPr>
          <w:noProof/>
        </w:rPr>
        <w:t xml:space="preserve">Do příchodu nového předsedy orgánu EBA dne 1. května 2019 jednal jako dočasný předseda orgánu EBA náhradník předsedy orgánu EBA, a to i v souvislosti s podpisem dohody o sídle jménem orgánu EBA. Vzhledem k tomu, že nové kancelářské prostory v Paříži nebyly do konce května 2019 k dispozici, uplatňovala se během přechodného období od dubna do května 2019 zvláštní opatření s cílem minimalizovat narušení pro zaměstnance orgánu EBA a plně zachovat provozní kontinuitu. Vrcholné vedení působí v Paříži ode dne 30. března 2019, kdy orgán EBA zajistil omezené dočasné kanceláře v budově Europlaza (budova nových prostor orgánu EBA).  </w:t>
      </w:r>
    </w:p>
    <w:p>
      <w:pPr>
        <w:spacing w:after="100" w:afterAutospacing="1"/>
        <w:rPr>
          <w:noProof/>
        </w:rPr>
      </w:pPr>
      <w:r>
        <w:rPr>
          <w:noProof/>
        </w:rPr>
        <w:t>Ode dne 1. dubna 2019 začal orgán EBA pořádat klíčová zasedání v Paříži a dalších městech EU. Banque de France poskytla zvláštní podporu, když poskytla prostory pro zasedání rady orgánů dohledu ve dnech 16. a 17. dubna 2019, přičemž veřejné slyšení bylo rovněž uspořádáno v budově Europlaza.</w:t>
      </w:r>
    </w:p>
    <w:p>
      <w:pPr>
        <w:pStyle w:val="ManualHeading1"/>
        <w:rPr>
          <w:noProof/>
        </w:rPr>
      </w:pPr>
      <w:r>
        <w:rPr>
          <w:noProof/>
        </w:rPr>
        <w:t>4</w:t>
      </w:r>
      <w:r>
        <w:rPr>
          <w:noProof/>
        </w:rPr>
        <w:tab/>
        <w:t>Přemístění kanceláří orgánu EBA</w:t>
      </w:r>
    </w:p>
    <w:p>
      <w:pPr>
        <w:rPr>
          <w:noProof/>
        </w:rPr>
      </w:pPr>
      <w:r>
        <w:rPr>
          <w:noProof/>
        </w:rPr>
        <w:t xml:space="preserve">V posledních měsících probíhaly v budově Europlaza intenzivní týdenní schůzky s cílem sledovat a řešit otázky týkající se vybavení budovy. I když úplné dokončení vybavení budovy pronajímatelem nebylo provedeno do smluvní lhůty 16. dubna 2019, bylo dosaženo dostatečného pokroku, aby orgán EBA mohl dodržet harmonogram úplného přemístění svých kanceláří. Dovybavení prostor orgánu EBA v budově Europlaza (nábytek, audiovizuální zařízení a IT pro koncové uživatele) externími dodavateli a zaměstnanci orgánu EBA bylo dokončeno dne 31. května 2019, přičemž lhůta pro dokončení přemístění kanceláře orgánu EBA z Londýna do Paříže byla stanovena na 2. června 2019. Plný provoz v Paříži byl zahájen dne 3. června 2019, </w:t>
      </w:r>
      <w:r>
        <w:rPr>
          <w:noProof/>
        </w:rPr>
        <w:lastRenderedPageBreak/>
        <w:t>kdy se všichni zaměstnanci ujali svých povinností v novém sídle orgánu EBA v budově Europlaza.</w:t>
      </w:r>
    </w:p>
    <w:p>
      <w:pPr>
        <w:pStyle w:val="ManualHeading1"/>
        <w:rPr>
          <w:noProof/>
        </w:rPr>
      </w:pPr>
      <w:r>
        <w:rPr>
          <w:noProof/>
        </w:rPr>
        <w:t>5</w:t>
      </w:r>
      <w:r>
        <w:rPr>
          <w:noProof/>
        </w:rPr>
        <w:tab/>
        <w:t>Přemístění datového střediska orgánu EBA</w:t>
      </w:r>
    </w:p>
    <w:p>
      <w:pPr>
        <w:rPr>
          <w:noProof/>
        </w:rPr>
      </w:pPr>
      <w:r>
        <w:rPr>
          <w:noProof/>
        </w:rPr>
        <w:t>Vzhledem k tomu, že smlouvy na hostingové služby datových středisek vyprší v roce 2019, se orgán EBA rozhodl v souladu se svojí strategií v oblasti hostingu a před očekávaným vystoupením Velké Británie v březnu 2019 přesunout své datové středisko do interinstuticionálního prostředí komunitního cloudu. Orgán EBA v rámci svého programu migrace datového střediska z roku 2018 v úzké spolupráci s Evropským orgánem pro pojišťovnictví a zaměstnanecké penzijní pojištění (EIOPA) navrhl, naplánoval, smluvně dohodl a plně provedl přenos svých dat uchovávaných v rámci hostingu a služeb infrastruktury.  Tím se podařilo zajistit nepřerušenou činnost agentury, zlepšení bezpečnosti a snížení nákladů za stejnou nebo lepší kvalitu služeb.</w:t>
      </w:r>
    </w:p>
    <w:p>
      <w:pPr>
        <w:rPr>
          <w:noProof/>
        </w:rPr>
      </w:pPr>
      <w:r>
        <w:rPr>
          <w:noProof/>
        </w:rPr>
        <w:t>Orgán EBA spojil dvě interinstitucionální zadávací řízení, která vedl Evropský orgán pro cenné papíry a trhy (ESMA): pro poradenské služby v oblasti informačních a komunikačních technologií (IKT) (rámcová smlouva byla podepsána dne 8. října 2018) a pro poradenské služby v oblasti správy budov (rámcová smlouva byla zadána dne 30. dubna 2019). Na základě smlouvy o poradenství v oblasti informačních a komunikačních technologií (IKT) se znalosti stávajících dočasných britských partnerů v oblasti IT se sídlem ve Spojeném království převádějí na dodavatele, aby se zajistilo, že technické znalosti všech IT aplikací a projektů zůstanou v rámci orgánu EBA zachovány a uchovávány strukturovaným způsobem.</w:t>
      </w:r>
    </w:p>
    <w:p>
      <w:pPr>
        <w:pStyle w:val="ManualHeading1"/>
        <w:ind w:left="0" w:firstLine="0"/>
        <w:rPr>
          <w:noProof/>
        </w:rPr>
      </w:pPr>
      <w:r>
        <w:rPr>
          <w:noProof/>
        </w:rPr>
        <w:t>5</w:t>
      </w:r>
      <w:r>
        <w:rPr>
          <w:noProof/>
        </w:rPr>
        <w:tab/>
        <w:t>Závěry</w:t>
      </w:r>
    </w:p>
    <w:p>
      <w:pPr>
        <w:rPr>
          <w:noProof/>
          <w:sz w:val="22"/>
          <w:szCs w:val="22"/>
        </w:rPr>
      </w:pPr>
      <w:r>
        <w:rPr>
          <w:noProof/>
        </w:rPr>
        <w:t>Na základě dostupných informací nebyl přemístěním sídla orgánu EBA do Paříže a výše uvedenými ujednáními o správní spolupráci mezi orgánem ESMA a EIPA, která se netýkají hlavních činností orgánu EBA, dotčen výkon jeho pravomocí a plnění úkolů, organizace řídicí struktury, chod hlavní organizace nebo financování jeho činností.</w:t>
      </w:r>
    </w:p>
    <w:p>
      <w:pPr>
        <w:rPr>
          <w:noProof/>
          <w:szCs w:val="22"/>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800" w:bottom="1440" w:left="180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CS</w:t>
    </w:r>
    <w:r>
      <w:rPr>
        <w:rFonts w:ascii="Arial" w:hAnsi="Arial" w:cs="Arial"/>
        <w:b/>
        <w:sz w:val="48"/>
      </w:rPr>
      <w:tab/>
    </w:r>
    <w:r>
      <w:rPr>
        <w:rFonts w:ascii="Arial" w:hAnsi="Arial" w:cs="Arial"/>
        <w:b/>
        <w:sz w:val="48"/>
      </w:rPr>
      <w:tab/>
    </w:r>
    <w:r>
      <w:tab/>
    </w:r>
    <w:r>
      <w:rPr>
        <w:rFonts w:ascii="Arial" w:hAnsi="Arial" w:cs="Arial"/>
        <w:b/>
        <w:sz w:val="48"/>
      </w:rPr>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 xml:space="preserve"> </w:t>
      </w:r>
      <w:r>
        <w:tab/>
        <w:t xml:space="preserve">Rada pro obecné záležitosti (článek 50), 20. listopad 2017: </w:t>
      </w:r>
      <w:r>
        <w:tab/>
        <w:t xml:space="preserve"> </w:t>
      </w:r>
      <w:hyperlink r:id="rId1" w:history="1">
        <w:r>
          <w:rPr>
            <w:rStyle w:val="Hyperlink"/>
          </w:rPr>
          <w:t>https://www.consilium.europa.eu/en/press/press-releascs/2017/11/20/european-banking-authority-to-be-relocated-to-city-country/</w:t>
        </w:r>
      </w:hyperlink>
      <w:r>
        <w:t xml:space="preserve"> </w:t>
      </w:r>
    </w:p>
  </w:footnote>
  <w:footnote w:id="3">
    <w:p>
      <w:pPr>
        <w:pStyle w:val="FootnoteText"/>
      </w:pPr>
      <w:r>
        <w:rPr>
          <w:rStyle w:val="FootnoteReference"/>
        </w:rPr>
        <w:footnoteRef/>
      </w:r>
      <w:r>
        <w:t xml:space="preserve"> </w:t>
      </w:r>
      <w:r>
        <w:tab/>
        <w:t>Nařízení Evropského parlamentu a Rady (EU) č. 1093/2010 ze dne 24. listopadu 2010 o zřízení Evropského orgánu dohledu (Evropského orgánu pro bankovnictví) (Úř. věst. L 331, 15.12.2010, s. 12).</w:t>
      </w:r>
    </w:p>
  </w:footnote>
  <w:footnote w:id="4">
    <w:p>
      <w:pPr>
        <w:pStyle w:val="FootnoteText"/>
      </w:pPr>
      <w:r>
        <w:rPr>
          <w:rStyle w:val="FootnoteReference"/>
        </w:rPr>
        <w:footnoteRef/>
      </w:r>
      <w:r>
        <w:t xml:space="preserve"> </w:t>
      </w:r>
      <w:r>
        <w:tab/>
        <w:t>Nařízení Evropského parlamentu a Rady (EU) 2018/1717 ze dne 14. listopadu 2018 o změně nařízení (EU) č. 1093/2010, pokud jde o umístění sídla Evropského orgánu pro bankovnictví (Úř. věst. L291, 16.11.2018, s. 1).</w:t>
      </w:r>
    </w:p>
  </w:footnote>
  <w:footnote w:id="5">
    <w:p>
      <w:pPr>
        <w:pStyle w:val="FootnoteText"/>
      </w:pPr>
      <w:r>
        <w:rPr>
          <w:rStyle w:val="FootnoteReference"/>
        </w:rPr>
        <w:footnoteRef/>
      </w:r>
      <w:r>
        <w:t xml:space="preserve"> </w:t>
      </w:r>
      <w:r>
        <w:tab/>
        <w:t>Úř. věst. C202, 7.6.2016, s. 266.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516DD"/>
    <w:multiLevelType w:val="hybridMultilevel"/>
    <w:tmpl w:val="950A2FC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nsid w:val="1A305CB3"/>
    <w:multiLevelType w:val="hybridMultilevel"/>
    <w:tmpl w:val="F5F07DB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nsid w:val="1A630759"/>
    <w:multiLevelType w:val="hybridMultilevel"/>
    <w:tmpl w:val="3DA2D288"/>
    <w:lvl w:ilvl="0" w:tplc="382EB298">
      <w:start w:val="18"/>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B3C78B8"/>
    <w:multiLevelType w:val="multilevel"/>
    <w:tmpl w:val="2ED4F4D0"/>
    <w:name w:val="Point"/>
    <w:lvl w:ilvl="0">
      <w:start w:val="1"/>
      <w:numFmt w:val="decimal"/>
      <w:lvlRestart w:val="0"/>
      <w:pStyle w:val="Rfrenceinstitutionnelle"/>
      <w:lvlText w:val="(%1)"/>
      <w:lvlJc w:val="left"/>
      <w:pPr>
        <w:tabs>
          <w:tab w:val="num" w:pos="850"/>
        </w:tabs>
        <w:ind w:left="850" w:hanging="850"/>
      </w:pPr>
    </w:lvl>
    <w:lvl w:ilvl="1">
      <w:start w:val="1"/>
      <w:numFmt w:val="lowerLetter"/>
      <w:pStyle w:val="SectionTitle"/>
      <w:lvlText w:val="(%2)"/>
      <w:lvlJc w:val="left"/>
      <w:pPr>
        <w:tabs>
          <w:tab w:val="num" w:pos="850"/>
        </w:tabs>
        <w:ind w:left="850" w:hanging="850"/>
      </w:pPr>
    </w:lvl>
    <w:lvl w:ilvl="2">
      <w:start w:val="1"/>
      <w:numFmt w:val="decimal"/>
      <w:pStyle w:val="Rfrenceinterinstitutionnelle"/>
      <w:lvlText w:val="(%3)"/>
      <w:lvlJc w:val="left"/>
      <w:pPr>
        <w:tabs>
          <w:tab w:val="num" w:pos="1417"/>
        </w:tabs>
        <w:ind w:left="1417" w:hanging="567"/>
      </w:pPr>
    </w:lvl>
    <w:lvl w:ilvl="3">
      <w:start w:val="1"/>
      <w:numFmt w:val="lowerLetter"/>
      <w:pStyle w:val="Sous-titreobjet"/>
      <w:lvlText w:val="(%4)"/>
      <w:lvlJc w:val="left"/>
      <w:pPr>
        <w:tabs>
          <w:tab w:val="num" w:pos="1417"/>
        </w:tabs>
        <w:ind w:left="1417" w:hanging="567"/>
      </w:pPr>
    </w:lvl>
    <w:lvl w:ilvl="4">
      <w:start w:val="1"/>
      <w:numFmt w:val="decimal"/>
      <w:pStyle w:val="RfrenceinterinstitutionnellePagedecouverture"/>
      <w:lvlText w:val="(%5)"/>
      <w:lvlJc w:val="left"/>
      <w:pPr>
        <w:tabs>
          <w:tab w:val="num" w:pos="1984"/>
        </w:tabs>
        <w:ind w:left="1984" w:hanging="567"/>
      </w:pPr>
    </w:lvl>
    <w:lvl w:ilvl="5">
      <w:start w:val="1"/>
      <w:numFmt w:val="lowerLetter"/>
      <w:pStyle w:val="Sous-titreobjetPagedecouverture"/>
      <w:lvlText w:val="(%6)"/>
      <w:lvlJc w:val="left"/>
      <w:pPr>
        <w:tabs>
          <w:tab w:val="num" w:pos="1984"/>
        </w:tabs>
        <w:ind w:left="1984" w:hanging="567"/>
      </w:pPr>
    </w:lvl>
    <w:lvl w:ilvl="6">
      <w:start w:val="1"/>
      <w:numFmt w:val="decimal"/>
      <w:pStyle w:val="Rfrenceinterne"/>
      <w:lvlText w:val="(%7)"/>
      <w:lvlJc w:val="left"/>
      <w:pPr>
        <w:tabs>
          <w:tab w:val="num" w:pos="2551"/>
        </w:tabs>
        <w:ind w:left="2551" w:hanging="567"/>
      </w:pPr>
    </w:lvl>
    <w:lvl w:ilvl="7">
      <w:start w:val="1"/>
      <w:numFmt w:val="lowerLetter"/>
      <w:pStyle w:val="Statut"/>
      <w:lvlText w:val="(%8)"/>
      <w:lvlJc w:val="left"/>
      <w:pPr>
        <w:tabs>
          <w:tab w:val="num" w:pos="2551"/>
        </w:tabs>
        <w:ind w:left="2551" w:hanging="567"/>
      </w:pPr>
    </w:lvl>
    <w:lvl w:ilvl="8">
      <w:start w:val="1"/>
      <w:numFmt w:val="lowerLetter"/>
      <w:pStyle w:val="StatutPagedecouverture"/>
      <w:lvlText w:val="(%9)"/>
      <w:lvlJc w:val="left"/>
      <w:pPr>
        <w:tabs>
          <w:tab w:val="num" w:pos="3118"/>
        </w:tabs>
        <w:ind w:left="3118" w:hanging="567"/>
      </w:pPr>
    </w:lvl>
  </w:abstractNum>
  <w:abstractNum w:abstractNumId="4">
    <w:nsid w:val="1F734306"/>
    <w:multiLevelType w:val="multilevel"/>
    <w:tmpl w:val="D266108E"/>
    <w:lvl w:ilvl="0">
      <w:start w:val="1"/>
      <w:numFmt w:val="decimal"/>
      <w:lvlText w:val="%1."/>
      <w:lvlJc w:val="left"/>
      <w:pPr>
        <w:tabs>
          <w:tab w:val="num" w:pos="480"/>
        </w:tabs>
        <w:ind w:left="480" w:hanging="480"/>
      </w:pPr>
    </w:lvl>
    <w:lvl w:ilvl="1">
      <w:start w:val="1"/>
      <w:numFmt w:val="decimal"/>
      <w:lvlText w:val="%1.%2."/>
      <w:lvlJc w:val="left"/>
      <w:pPr>
        <w:tabs>
          <w:tab w:val="num" w:pos="1200"/>
        </w:tabs>
        <w:ind w:left="1200" w:hanging="720"/>
      </w:pPr>
    </w:lvl>
    <w:lvl w:ilvl="2">
      <w:start w:val="1"/>
      <w:numFmt w:val="decimal"/>
      <w:lvlText w:val="%1.%2.%3."/>
      <w:lvlJc w:val="left"/>
      <w:pPr>
        <w:tabs>
          <w:tab w:val="num" w:pos="1920"/>
        </w:tabs>
        <w:ind w:left="192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23942455"/>
    <w:multiLevelType w:val="multilevel"/>
    <w:tmpl w:val="FAD434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2C9B7D3F"/>
    <w:multiLevelType w:val="hybridMultilevel"/>
    <w:tmpl w:val="60D2B5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39D26EF3"/>
    <w:multiLevelType w:val="hybridMultilevel"/>
    <w:tmpl w:val="4524F13E"/>
    <w:lvl w:ilvl="0" w:tplc="82AA5778">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3B393CED"/>
    <w:multiLevelType w:val="hybridMultilevel"/>
    <w:tmpl w:val="0930C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2263F03"/>
    <w:multiLevelType w:val="multilevel"/>
    <w:tmpl w:val="6EC0168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nsid w:val="67167667"/>
    <w:multiLevelType w:val="hybridMultilevel"/>
    <w:tmpl w:val="7A1E7628"/>
    <w:lvl w:ilvl="0" w:tplc="76089A36">
      <w:start w:val="159"/>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nsid w:val="6CD316EF"/>
    <w:multiLevelType w:val="hybridMultilevel"/>
    <w:tmpl w:val="E86E8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0E31602"/>
    <w:multiLevelType w:val="hybridMultilevel"/>
    <w:tmpl w:val="E02EC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1EF2E05"/>
    <w:multiLevelType w:val="hybridMultilevel"/>
    <w:tmpl w:val="4524F13E"/>
    <w:lvl w:ilvl="0" w:tplc="82AA577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7BE95D7F"/>
    <w:multiLevelType w:val="multilevel"/>
    <w:tmpl w:val="F126F78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14"/>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8"/>
  </w:num>
  <w:num w:numId="5">
    <w:abstractNumId w:val="2"/>
  </w:num>
  <w:num w:numId="6">
    <w:abstractNumId w:val="6"/>
  </w:num>
  <w:num w:numId="7">
    <w:abstractNumId w:val="12"/>
  </w:num>
  <w:num w:numId="8">
    <w:abstractNumId w:val="1"/>
  </w:num>
  <w:num w:numId="9">
    <w:abstractNumId w:val="13"/>
  </w:num>
  <w:num w:numId="10">
    <w:abstractNumId w:val="7"/>
  </w:num>
  <w:num w:numId="11">
    <w:abstractNumId w:val="11"/>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it-IT" w:vendorID="64" w:dllVersion="131078" w:nlCheck="1" w:checkStyle="0"/>
  <w:activeWritingStyle w:appName="MSWord" w:lang="en-IE" w:vendorID="64" w:dllVersion="131078" w:nlCheck="1" w:checkStyle="1"/>
  <w:revisionView w:markup="0"/>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365FE50-580D-4375-9760-7E877F716F20"/>
    <w:docVar w:name="LW_COVERPAGE_TYPE" w:val="1"/>
    <w:docVar w:name="LW_CROSSREFERENCE" w:val="&lt;UNUSED&gt;"/>
    <w:docVar w:name="LW_DocType" w:val="NORMAL"/>
    <w:docVar w:name="LW_EMISSION" w:val="9.10.2019"/>
    <w:docVar w:name="LW_EMISSION_ISODATE" w:val="2019-10-09"/>
    <w:docVar w:name="LW_EMISSION_LOCATION" w:val="BRX"/>
    <w:docVar w:name="LW_EMISSION_PREFIX" w:val="V Bruselu dne "/>
    <w:docVar w:name="LW_EMISSION_SUFFIX" w:val=" "/>
    <w:docVar w:name="LW_ID_DOCTYPE_NONLW" w:val="CP-006"/>
    <w:docVar w:name="LW_LANGUE" w:val="CS"/>
    <w:docVar w:name="LW_LEVEL_OF_SENSITIVITY" w:val="Standard treatment"/>
    <w:docVar w:name="LW_NOM.INST" w:val="EVROPSKÁ KOMISE"/>
    <w:docVar w:name="LW_NOM.INST_JOINTDOC" w:val="&lt;EMPTY&gt;"/>
    <w:docVar w:name="LW_PART_NBR" w:val="1"/>
    <w:docVar w:name="LW_PART_NBR_TOTAL" w:val="1"/>
    <w:docVar w:name="LW_REF.INST.NEW" w:val="COM"/>
    <w:docVar w:name="LW_REF.INST.NEW_ADOPTED" w:val="final"/>
    <w:docVar w:name="LW_REF.INST.NEW_TEXT" w:val="(2019) 45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lt;FMT:Bold&gt;o souladu Evropského orgánu pro bankovnictví s po\u382?adavky týkajícími se umíst\u283?ní jeho sídla&lt;/FMT&gt;"/>
    <w:docVar w:name="LW_TYPE.DOC.CP" w:val="ZPRÁVA KOMISE EVROPSKÉMU PARLAMENTU A RAD\u282?"/>
    <w:docVar w:name="Stamp" w:val="\\dossiers.dgt.cec.eu.int\dossiers\ENER\ENER-2018-00192\ENER-2018-00192-00-00-EN-REV-00.201803050814321755775.DOCX"/>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keepLines/>
      <w:numPr>
        <w:numId w:val="3"/>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numPr>
        <w:ilvl w:val="1"/>
        <w:numId w:val="3"/>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numPr>
        <w:ilvl w:val="2"/>
        <w:numId w:val="3"/>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character" w:customStyle="1" w:styleId="FooterChar">
    <w:name w:val="Footer Char"/>
    <w:basedOn w:val="DefaultParagraphFont"/>
    <w:link w:val="Footer"/>
    <w:uiPriority w:val="99"/>
    <w:rPr>
      <w:rFonts w:ascii="Times New Roman" w:hAnsi="Times New Roman" w:cs="Times New Roman"/>
      <w:sz w:val="24"/>
    </w:rPr>
  </w:style>
  <w:style w:type="character" w:styleId="FootnoteReference">
    <w:name w:val="footnote reference"/>
    <w:uiPriority w:val="99"/>
    <w:rPr>
      <w:shd w:val="clear" w:color="auto" w:fill="auto"/>
      <w:vertAlign w:val="superscript"/>
    </w:rPr>
  </w:style>
  <w:style w:type="paragraph" w:styleId="FootnoteText">
    <w:name w:val="footnote text"/>
    <w:basedOn w:val="Normal"/>
    <w:uiPriority w:val="99"/>
    <w:semiHidden/>
    <w:pPr>
      <w:spacing w:before="0" w:after="0"/>
      <w:ind w:left="720" w:hanging="720"/>
    </w:pPr>
    <w:rPr>
      <w:sz w:val="20"/>
      <w:szCs w:val="20"/>
    </w:rPr>
  </w:style>
  <w:style w:type="character" w:customStyle="1" w:styleId="FootnoteTextChar">
    <w:name w:val="Footnote Text Char"/>
    <w:basedOn w:val="DefaultParagraphFont"/>
    <w:uiPriority w:val="99"/>
    <w:semiHidden/>
    <w:rPr>
      <w:rFonts w:ascii="Times New Roman" w:eastAsia="Times New Roman" w:hAnsi="Times New Roman" w:cs="Times New Roman"/>
      <w:sz w:val="20"/>
      <w:szCs w:val="20"/>
    </w:rPr>
  </w:style>
  <w:style w:type="paragraph" w:styleId="Header">
    <w:name w:val="header"/>
    <w:basedOn w:val="Normal"/>
    <w:link w:val="HeaderChar"/>
    <w:uiPriority w:val="99"/>
    <w:unhideWhenUsed/>
    <w:pPr>
      <w:tabs>
        <w:tab w:val="center" w:pos="4535"/>
        <w:tab w:val="right" w:pos="9071"/>
      </w:tabs>
      <w:spacing w:before="0"/>
    </w:pPr>
    <w:rPr>
      <w:rFonts w:eastAsiaTheme="minorHAnsi"/>
      <w:szCs w:val="22"/>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customStyle="1" w:styleId="ManualHeading1">
    <w:name w:val="Manual Heading 1"/>
    <w:basedOn w:val="Normal"/>
    <w:next w:val="Normal"/>
    <w:link w:val="ManualHeading1Char"/>
    <w:pPr>
      <w:keepNext/>
      <w:tabs>
        <w:tab w:val="left" w:pos="850"/>
      </w:tabs>
      <w:spacing w:before="360"/>
      <w:ind w:left="850" w:hanging="850"/>
      <w:outlineLvl w:val="0"/>
    </w:pPr>
    <w:rPr>
      <w:b/>
      <w:smallCaps/>
    </w:rPr>
  </w:style>
  <w:style w:type="paragraph" w:customStyle="1" w:styleId="ManualHeading2">
    <w:name w:val="Manual Heading 2"/>
    <w:basedOn w:val="Normal"/>
    <w:next w:val="Normal"/>
    <w:pPr>
      <w:keepNext/>
      <w:tabs>
        <w:tab w:val="left" w:pos="850"/>
      </w:tabs>
      <w:ind w:left="850" w:hanging="850"/>
      <w:outlineLvl w:val="1"/>
    </w:pPr>
    <w:rPr>
      <w:b/>
    </w:rPr>
  </w:style>
  <w:style w:type="paragraph" w:customStyle="1" w:styleId="Point0letter">
    <w:name w:val="Point 0 (letter)"/>
    <w:basedOn w:val="Normal"/>
    <w:pPr>
      <w:numPr>
        <w:ilvl w:val="1"/>
        <w:numId w:val="1"/>
      </w:numPr>
    </w:pPr>
  </w:style>
  <w:style w:type="paragraph" w:customStyle="1" w:styleId="Point0number">
    <w:name w:val="Point 0 (number)"/>
    <w:basedOn w:val="Normal"/>
    <w:pPr>
      <w:numPr>
        <w:numId w:val="1"/>
      </w:numPr>
    </w:pPr>
  </w:style>
  <w:style w:type="paragraph" w:customStyle="1" w:styleId="Point1letter">
    <w:name w:val="Point 1 (letter)"/>
    <w:basedOn w:val="Normal"/>
    <w:pPr>
      <w:numPr>
        <w:ilvl w:val="3"/>
        <w:numId w:val="1"/>
      </w:numPr>
    </w:pPr>
  </w:style>
  <w:style w:type="paragraph" w:customStyle="1" w:styleId="Point1number">
    <w:name w:val="Point 1 (number)"/>
    <w:basedOn w:val="Normal"/>
    <w:pPr>
      <w:numPr>
        <w:ilvl w:val="2"/>
        <w:numId w:val="1"/>
      </w:numPr>
    </w:pPr>
  </w:style>
  <w:style w:type="paragraph" w:customStyle="1" w:styleId="Point2letter">
    <w:name w:val="Point 2 (letter)"/>
    <w:basedOn w:val="Normal"/>
    <w:pPr>
      <w:numPr>
        <w:ilvl w:val="5"/>
        <w:numId w:val="1"/>
      </w:numPr>
    </w:pPr>
  </w:style>
  <w:style w:type="paragraph" w:customStyle="1" w:styleId="Point2number">
    <w:name w:val="Point 2 (number)"/>
    <w:basedOn w:val="Normal"/>
    <w:pPr>
      <w:numPr>
        <w:ilvl w:val="4"/>
        <w:numId w:val="1"/>
      </w:numPr>
    </w:pPr>
  </w:style>
  <w:style w:type="paragraph" w:customStyle="1" w:styleId="Point3letter">
    <w:name w:val="Point 3 (letter)"/>
    <w:basedOn w:val="Normal"/>
    <w:pPr>
      <w:numPr>
        <w:ilvl w:val="7"/>
        <w:numId w:val="1"/>
      </w:numPr>
    </w:pPr>
  </w:style>
  <w:style w:type="paragraph" w:customStyle="1" w:styleId="Point3number">
    <w:name w:val="Point 3 (number)"/>
    <w:basedOn w:val="Normal"/>
    <w:pPr>
      <w:numPr>
        <w:ilvl w:val="6"/>
        <w:numId w:val="1"/>
      </w:numPr>
    </w:pPr>
  </w:style>
  <w:style w:type="paragraph" w:customStyle="1" w:styleId="Point4letter">
    <w:name w:val="Point 4 (letter)"/>
    <w:basedOn w:val="Normal"/>
    <w:pPr>
      <w:numPr>
        <w:ilvl w:val="8"/>
        <w:numId w:val="1"/>
      </w:numPr>
    </w:pPr>
  </w:style>
  <w:style w:type="paragraph" w:customStyle="1" w:styleId="Rfrenceinstitutionnelle">
    <w:name w:val="Référence institutionnelle"/>
    <w:basedOn w:val="Normal"/>
    <w:next w:val="Normal"/>
    <w:pPr>
      <w:numPr>
        <w:numId w:val="2"/>
      </w:numPr>
      <w:tabs>
        <w:tab w:val="clear" w:pos="850"/>
      </w:tabs>
      <w:spacing w:before="0" w:after="240"/>
      <w:ind w:left="5103" w:firstLine="0"/>
      <w:jc w:val="left"/>
    </w:pPr>
  </w:style>
  <w:style w:type="paragraph" w:customStyle="1" w:styleId="Rfrenceinterinstitutionnelle">
    <w:name w:val="Référence interinstitutionnelle"/>
    <w:basedOn w:val="Normal"/>
    <w:next w:val="Normal"/>
    <w:pPr>
      <w:numPr>
        <w:ilvl w:val="2"/>
        <w:numId w:val="2"/>
      </w:numPr>
      <w:tabs>
        <w:tab w:val="clear" w:pos="1417"/>
      </w:tabs>
      <w:spacing w:before="0" w:after="0"/>
      <w:ind w:left="5103" w:firstLine="0"/>
      <w:jc w:val="left"/>
    </w:pPr>
  </w:style>
  <w:style w:type="paragraph" w:customStyle="1" w:styleId="RfrenceinterinstitutionnellePagedecouverture">
    <w:name w:val="Référence interinstitutionnelle (Page de couverture)"/>
    <w:basedOn w:val="Rfrenceinterinstitutionnelle"/>
    <w:next w:val="Normal"/>
    <w:pPr>
      <w:numPr>
        <w:ilvl w:val="4"/>
      </w:numPr>
      <w:tabs>
        <w:tab w:val="clear" w:pos="1984"/>
      </w:tabs>
      <w:ind w:left="5103" w:firstLine="0"/>
    </w:pPr>
  </w:style>
  <w:style w:type="paragraph" w:customStyle="1" w:styleId="Rfrenceinterne">
    <w:name w:val="Référence interne"/>
    <w:basedOn w:val="Normal"/>
    <w:next w:val="Rfrenceinterinstitutionnelle"/>
    <w:pPr>
      <w:numPr>
        <w:ilvl w:val="6"/>
        <w:numId w:val="2"/>
      </w:numPr>
      <w:tabs>
        <w:tab w:val="clear" w:pos="2551"/>
      </w:tabs>
      <w:spacing w:before="0" w:after="0"/>
      <w:ind w:left="5103" w:firstLine="0"/>
      <w:jc w:val="left"/>
    </w:pPr>
  </w:style>
  <w:style w:type="paragraph" w:customStyle="1" w:styleId="SectionTitle">
    <w:name w:val="SectionTitle"/>
    <w:basedOn w:val="Normal"/>
    <w:next w:val="Heading1"/>
    <w:pPr>
      <w:keepNext/>
      <w:numPr>
        <w:ilvl w:val="1"/>
        <w:numId w:val="2"/>
      </w:numPr>
      <w:tabs>
        <w:tab w:val="clear" w:pos="850"/>
      </w:tabs>
      <w:spacing w:after="360"/>
      <w:ind w:left="0" w:firstLine="0"/>
      <w:jc w:val="center"/>
    </w:pPr>
    <w:rPr>
      <w:b/>
      <w:smallCaps/>
      <w:sz w:val="28"/>
    </w:rPr>
  </w:style>
  <w:style w:type="paragraph" w:customStyle="1" w:styleId="Sous-titreobjet">
    <w:name w:val="Sous-titre objet"/>
    <w:basedOn w:val="Normal"/>
    <w:pPr>
      <w:numPr>
        <w:ilvl w:val="3"/>
        <w:numId w:val="2"/>
      </w:numPr>
      <w:tabs>
        <w:tab w:val="clear" w:pos="1417"/>
      </w:tabs>
      <w:spacing w:before="0" w:after="0"/>
      <w:ind w:left="0" w:firstLine="0"/>
      <w:jc w:val="center"/>
    </w:pPr>
    <w:rPr>
      <w:b/>
    </w:rPr>
  </w:style>
  <w:style w:type="paragraph" w:customStyle="1" w:styleId="Sous-titreobjetPagedecouverture">
    <w:name w:val="Sous-titre objet (Page de couverture)"/>
    <w:basedOn w:val="Sous-titreobjet"/>
    <w:pPr>
      <w:numPr>
        <w:ilvl w:val="5"/>
      </w:numPr>
      <w:tabs>
        <w:tab w:val="clear" w:pos="1984"/>
      </w:tabs>
      <w:ind w:left="0" w:firstLine="0"/>
    </w:pPr>
  </w:style>
  <w:style w:type="paragraph" w:customStyle="1" w:styleId="Statut">
    <w:name w:val="Statut"/>
    <w:basedOn w:val="Normal"/>
    <w:next w:val="Normal"/>
    <w:pPr>
      <w:numPr>
        <w:ilvl w:val="7"/>
        <w:numId w:val="2"/>
      </w:numPr>
      <w:tabs>
        <w:tab w:val="clear" w:pos="2551"/>
      </w:tabs>
      <w:spacing w:before="360" w:after="0"/>
      <w:ind w:left="0" w:firstLine="0"/>
      <w:jc w:val="center"/>
    </w:pPr>
  </w:style>
  <w:style w:type="paragraph" w:customStyle="1" w:styleId="StatutPagedecouverture">
    <w:name w:val="Statut (Page de couverture)"/>
    <w:basedOn w:val="Statut"/>
    <w:next w:val="Normal"/>
    <w:pPr>
      <w:numPr>
        <w:ilvl w:val="8"/>
      </w:numPr>
      <w:tabs>
        <w:tab w:val="clear" w:pos="3118"/>
      </w:tabs>
      <w:ind w:left="0" w:firstLine="0"/>
    </w:pPr>
  </w:style>
  <w:style w:type="paragraph" w:customStyle="1" w:styleId="ListDash">
    <w:name w:val="List Dash"/>
    <w:basedOn w:val="Normal"/>
    <w:pPr>
      <w:spacing w:after="0"/>
      <w:ind w:firstLine="283"/>
    </w:pPr>
    <w:rPr>
      <w:noProof/>
      <w:szCs w:val="22"/>
      <w:lang w:eastAsia="de-DE"/>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Normal"/>
    <w:uiPriority w:val="39"/>
    <w:semiHidden/>
    <w:unhideWhenUsed/>
    <w:qFormat/>
    <w:pPr>
      <w:numPr>
        <w:numId w:val="0"/>
      </w:numPr>
      <w:spacing w:line="276" w:lineRule="auto"/>
      <w:jc w:val="left"/>
      <w:outlineLvl w:val="9"/>
    </w:pPr>
    <w:rPr>
      <w:lang w:eastAsia="ja-JP"/>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ListParagraph">
    <w:name w:val="List Paragraph"/>
    <w:basedOn w:val="Normal"/>
    <w:uiPriority w:val="34"/>
    <w:qFormat/>
    <w:pPr>
      <w:ind w:left="720"/>
      <w:contextualSpacing/>
    </w:p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Heading1Char"/>
    <w:link w:val="FooterCoverPage"/>
    <w:rPr>
      <w:rFonts w:ascii="Times New Roman" w:eastAsia="Times New Roman" w:hAnsi="Times New Roman" w:cs="Times New Roman"/>
      <w:b w:val="0"/>
      <w:bCs w:val="0"/>
      <w:color w:val="365F91" w:themeColor="accent1" w:themeShade="BF"/>
      <w:sz w:val="24"/>
      <w:szCs w:val="24"/>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Heading1Char"/>
    <w:link w:val="HeaderCoverPage"/>
    <w:rPr>
      <w:rFonts w:ascii="Times New Roman" w:eastAsia="Times New Roman" w:hAnsi="Times New Roman" w:cs="Times New Roman"/>
      <w:b w:val="0"/>
      <w:bCs w:val="0"/>
      <w:color w:val="365F91" w:themeColor="accent1" w:themeShade="BF"/>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CM4">
    <w:name w:val="CM4"/>
    <w:basedOn w:val="Normal"/>
    <w:next w:val="Normal"/>
    <w:uiPriority w:val="99"/>
    <w:pPr>
      <w:autoSpaceDE w:val="0"/>
      <w:autoSpaceDN w:val="0"/>
      <w:adjustRightInd w:val="0"/>
      <w:spacing w:before="0" w:after="0"/>
      <w:jc w:val="left"/>
    </w:pPr>
    <w:rPr>
      <w:rFonts w:ascii="EUAlbertina" w:hAnsi="EUAlbertina"/>
    </w:rPr>
  </w:style>
  <w:style w:type="paragraph" w:customStyle="1" w:styleId="Footno">
    <w:name w:val="Footno"/>
    <w:basedOn w:val="FootnoteText"/>
    <w:pPr>
      <w:jc w:val="left"/>
    </w:pPr>
  </w:style>
  <w:style w:type="character" w:styleId="Emphasis">
    <w:name w:val="Emphasis"/>
    <w:basedOn w:val="DefaultParagraphFont"/>
    <w:uiPriority w:val="20"/>
    <w:qFormat/>
    <w:rPr>
      <w:i/>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classification">
    <w:name w:val="Declassification"/>
    <w:basedOn w:val="Normal"/>
    <w:next w:val="Normal"/>
    <w:pPr>
      <w:spacing w:before="0" w:after="0"/>
    </w:pPr>
    <w:rPr>
      <w:rFonts w:eastAsiaTheme="minorHAnsi"/>
      <w:szCs w:val="22"/>
    </w:rPr>
  </w:style>
  <w:style w:type="paragraph" w:customStyle="1" w:styleId="HeaderLandscape">
    <w:name w:val="HeaderLandscape"/>
    <w:basedOn w:val="Normal"/>
    <w:pPr>
      <w:tabs>
        <w:tab w:val="center" w:pos="7285"/>
        <w:tab w:val="right" w:pos="14003"/>
      </w:tabs>
      <w:spacing w:before="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styleId="Title">
    <w:name w:val="Title"/>
    <w:basedOn w:val="Normal"/>
    <w:next w:val="Normal"/>
    <w:link w:val="TitleChar"/>
    <w:uiPriority w:val="10"/>
    <w:qFormat/>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Caption">
    <w:name w:val="caption"/>
    <w:basedOn w:val="Normal"/>
    <w:next w:val="Normal"/>
    <w:uiPriority w:val="35"/>
    <w:unhideWhenUsed/>
    <w:qFormat/>
    <w:pPr>
      <w:spacing w:before="0" w:after="200"/>
    </w:pPr>
    <w:rPr>
      <w:i/>
      <w:iCs/>
      <w:color w:val="1F497D" w:themeColor="text2"/>
      <w:sz w:val="18"/>
      <w:szCs w:val="18"/>
    </w:rPr>
  </w:style>
  <w:style w:type="character" w:customStyle="1" w:styleId="st1">
    <w:name w:val="st1"/>
    <w:basedOn w:val="DefaultParagraphFont"/>
  </w:style>
  <w:style w:type="paragraph" w:customStyle="1" w:styleId="SecurityMarking">
    <w:name w:val="SecurityMarking"/>
    <w:basedOn w:val="Normal"/>
    <w:pPr>
      <w:spacing w:before="0" w:after="0" w:line="276" w:lineRule="auto"/>
      <w:ind w:left="5103"/>
      <w:jc w:val="left"/>
    </w:pPr>
    <w:rPr>
      <w:rFonts w:eastAsiaTheme="minorHAnsi"/>
      <w:sz w:val="28"/>
      <w:szCs w:val="22"/>
    </w:rPr>
  </w:style>
  <w:style w:type="paragraph" w:customStyle="1" w:styleId="DateMarking">
    <w:name w:val="DateMarking"/>
    <w:basedOn w:val="Normal"/>
    <w:pPr>
      <w:spacing w:before="0" w:after="0" w:line="276" w:lineRule="auto"/>
      <w:ind w:left="5103"/>
      <w:jc w:val="left"/>
    </w:pPr>
    <w:rPr>
      <w:rFonts w:eastAsiaTheme="minorHAnsi"/>
      <w:i/>
      <w:sz w:val="28"/>
      <w:szCs w:val="22"/>
    </w:rPr>
  </w:style>
  <w:style w:type="paragraph" w:customStyle="1" w:styleId="HeaderSensitivityRight">
    <w:name w:val="Header Sensitivity Right"/>
    <w:basedOn w:val="Normal"/>
    <w:link w:val="HeaderSensitivityRightChar"/>
    <w:pPr>
      <w:spacing w:before="0"/>
      <w:jc w:val="right"/>
    </w:pPr>
    <w:rPr>
      <w:sz w:val="28"/>
    </w:rPr>
  </w:style>
  <w:style w:type="character" w:customStyle="1" w:styleId="ManualHeading1Char">
    <w:name w:val="Manual Heading 1 Char"/>
    <w:basedOn w:val="DefaultParagraphFont"/>
    <w:link w:val="ManualHeading1"/>
    <w:rPr>
      <w:rFonts w:ascii="Times New Roman" w:eastAsia="Times New Roman" w:hAnsi="Times New Roman" w:cs="Times New Roman"/>
      <w:b/>
      <w:smallCaps/>
      <w:sz w:val="24"/>
      <w:szCs w:val="24"/>
    </w:rPr>
  </w:style>
  <w:style w:type="character" w:customStyle="1" w:styleId="HeaderSensitivityRightChar">
    <w:name w:val="Header Sensitivity Right Char"/>
    <w:basedOn w:val="ManualHeading1Char"/>
    <w:link w:val="HeaderSensitivityRight"/>
    <w:rPr>
      <w:rFonts w:ascii="Times New Roman" w:eastAsia="Times New Roman" w:hAnsi="Times New Roman" w:cs="Times New Roman"/>
      <w:b w:val="0"/>
      <w:smallCaps w:val="0"/>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keepLines/>
      <w:numPr>
        <w:numId w:val="3"/>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numPr>
        <w:ilvl w:val="1"/>
        <w:numId w:val="3"/>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numPr>
        <w:ilvl w:val="2"/>
        <w:numId w:val="3"/>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character" w:customStyle="1" w:styleId="FooterChar">
    <w:name w:val="Footer Char"/>
    <w:basedOn w:val="DefaultParagraphFont"/>
    <w:link w:val="Footer"/>
    <w:uiPriority w:val="99"/>
    <w:rPr>
      <w:rFonts w:ascii="Times New Roman" w:hAnsi="Times New Roman" w:cs="Times New Roman"/>
      <w:sz w:val="24"/>
    </w:rPr>
  </w:style>
  <w:style w:type="character" w:styleId="FootnoteReference">
    <w:name w:val="footnote reference"/>
    <w:uiPriority w:val="99"/>
    <w:rPr>
      <w:shd w:val="clear" w:color="auto" w:fill="auto"/>
      <w:vertAlign w:val="superscript"/>
    </w:rPr>
  </w:style>
  <w:style w:type="paragraph" w:styleId="FootnoteText">
    <w:name w:val="footnote text"/>
    <w:basedOn w:val="Normal"/>
    <w:uiPriority w:val="99"/>
    <w:semiHidden/>
    <w:pPr>
      <w:spacing w:before="0" w:after="0"/>
      <w:ind w:left="720" w:hanging="720"/>
    </w:pPr>
    <w:rPr>
      <w:sz w:val="20"/>
      <w:szCs w:val="20"/>
    </w:rPr>
  </w:style>
  <w:style w:type="character" w:customStyle="1" w:styleId="FootnoteTextChar">
    <w:name w:val="Footnote Text Char"/>
    <w:basedOn w:val="DefaultParagraphFont"/>
    <w:uiPriority w:val="99"/>
    <w:semiHidden/>
    <w:rPr>
      <w:rFonts w:ascii="Times New Roman" w:eastAsia="Times New Roman" w:hAnsi="Times New Roman" w:cs="Times New Roman"/>
      <w:sz w:val="20"/>
      <w:szCs w:val="20"/>
    </w:rPr>
  </w:style>
  <w:style w:type="paragraph" w:styleId="Header">
    <w:name w:val="header"/>
    <w:basedOn w:val="Normal"/>
    <w:link w:val="HeaderChar"/>
    <w:uiPriority w:val="99"/>
    <w:unhideWhenUsed/>
    <w:pPr>
      <w:tabs>
        <w:tab w:val="center" w:pos="4535"/>
        <w:tab w:val="right" w:pos="9071"/>
      </w:tabs>
      <w:spacing w:before="0"/>
    </w:pPr>
    <w:rPr>
      <w:rFonts w:eastAsiaTheme="minorHAnsi"/>
      <w:szCs w:val="22"/>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customStyle="1" w:styleId="ManualHeading1">
    <w:name w:val="Manual Heading 1"/>
    <w:basedOn w:val="Normal"/>
    <w:next w:val="Normal"/>
    <w:link w:val="ManualHeading1Char"/>
    <w:pPr>
      <w:keepNext/>
      <w:tabs>
        <w:tab w:val="left" w:pos="850"/>
      </w:tabs>
      <w:spacing w:before="360"/>
      <w:ind w:left="850" w:hanging="850"/>
      <w:outlineLvl w:val="0"/>
    </w:pPr>
    <w:rPr>
      <w:b/>
      <w:smallCaps/>
    </w:rPr>
  </w:style>
  <w:style w:type="paragraph" w:customStyle="1" w:styleId="ManualHeading2">
    <w:name w:val="Manual Heading 2"/>
    <w:basedOn w:val="Normal"/>
    <w:next w:val="Normal"/>
    <w:pPr>
      <w:keepNext/>
      <w:tabs>
        <w:tab w:val="left" w:pos="850"/>
      </w:tabs>
      <w:ind w:left="850" w:hanging="850"/>
      <w:outlineLvl w:val="1"/>
    </w:pPr>
    <w:rPr>
      <w:b/>
    </w:rPr>
  </w:style>
  <w:style w:type="paragraph" w:customStyle="1" w:styleId="Point0letter">
    <w:name w:val="Point 0 (letter)"/>
    <w:basedOn w:val="Normal"/>
    <w:pPr>
      <w:numPr>
        <w:ilvl w:val="1"/>
        <w:numId w:val="1"/>
      </w:numPr>
    </w:pPr>
  </w:style>
  <w:style w:type="paragraph" w:customStyle="1" w:styleId="Point0number">
    <w:name w:val="Point 0 (number)"/>
    <w:basedOn w:val="Normal"/>
    <w:pPr>
      <w:numPr>
        <w:numId w:val="1"/>
      </w:numPr>
    </w:pPr>
  </w:style>
  <w:style w:type="paragraph" w:customStyle="1" w:styleId="Point1letter">
    <w:name w:val="Point 1 (letter)"/>
    <w:basedOn w:val="Normal"/>
    <w:pPr>
      <w:numPr>
        <w:ilvl w:val="3"/>
        <w:numId w:val="1"/>
      </w:numPr>
    </w:pPr>
  </w:style>
  <w:style w:type="paragraph" w:customStyle="1" w:styleId="Point1number">
    <w:name w:val="Point 1 (number)"/>
    <w:basedOn w:val="Normal"/>
    <w:pPr>
      <w:numPr>
        <w:ilvl w:val="2"/>
        <w:numId w:val="1"/>
      </w:numPr>
    </w:pPr>
  </w:style>
  <w:style w:type="paragraph" w:customStyle="1" w:styleId="Point2letter">
    <w:name w:val="Point 2 (letter)"/>
    <w:basedOn w:val="Normal"/>
    <w:pPr>
      <w:numPr>
        <w:ilvl w:val="5"/>
        <w:numId w:val="1"/>
      </w:numPr>
    </w:pPr>
  </w:style>
  <w:style w:type="paragraph" w:customStyle="1" w:styleId="Point2number">
    <w:name w:val="Point 2 (number)"/>
    <w:basedOn w:val="Normal"/>
    <w:pPr>
      <w:numPr>
        <w:ilvl w:val="4"/>
        <w:numId w:val="1"/>
      </w:numPr>
    </w:pPr>
  </w:style>
  <w:style w:type="paragraph" w:customStyle="1" w:styleId="Point3letter">
    <w:name w:val="Point 3 (letter)"/>
    <w:basedOn w:val="Normal"/>
    <w:pPr>
      <w:numPr>
        <w:ilvl w:val="7"/>
        <w:numId w:val="1"/>
      </w:numPr>
    </w:pPr>
  </w:style>
  <w:style w:type="paragraph" w:customStyle="1" w:styleId="Point3number">
    <w:name w:val="Point 3 (number)"/>
    <w:basedOn w:val="Normal"/>
    <w:pPr>
      <w:numPr>
        <w:ilvl w:val="6"/>
        <w:numId w:val="1"/>
      </w:numPr>
    </w:pPr>
  </w:style>
  <w:style w:type="paragraph" w:customStyle="1" w:styleId="Point4letter">
    <w:name w:val="Point 4 (letter)"/>
    <w:basedOn w:val="Normal"/>
    <w:pPr>
      <w:numPr>
        <w:ilvl w:val="8"/>
        <w:numId w:val="1"/>
      </w:numPr>
    </w:pPr>
  </w:style>
  <w:style w:type="paragraph" w:customStyle="1" w:styleId="Rfrenceinstitutionnelle">
    <w:name w:val="Référence institutionnelle"/>
    <w:basedOn w:val="Normal"/>
    <w:next w:val="Normal"/>
    <w:pPr>
      <w:numPr>
        <w:numId w:val="2"/>
      </w:numPr>
      <w:tabs>
        <w:tab w:val="clear" w:pos="850"/>
      </w:tabs>
      <w:spacing w:before="0" w:after="240"/>
      <w:ind w:left="5103" w:firstLine="0"/>
      <w:jc w:val="left"/>
    </w:pPr>
  </w:style>
  <w:style w:type="paragraph" w:customStyle="1" w:styleId="Rfrenceinterinstitutionnelle">
    <w:name w:val="Référence interinstitutionnelle"/>
    <w:basedOn w:val="Normal"/>
    <w:next w:val="Normal"/>
    <w:pPr>
      <w:numPr>
        <w:ilvl w:val="2"/>
        <w:numId w:val="2"/>
      </w:numPr>
      <w:tabs>
        <w:tab w:val="clear" w:pos="1417"/>
      </w:tabs>
      <w:spacing w:before="0" w:after="0"/>
      <w:ind w:left="5103" w:firstLine="0"/>
      <w:jc w:val="left"/>
    </w:pPr>
  </w:style>
  <w:style w:type="paragraph" w:customStyle="1" w:styleId="RfrenceinterinstitutionnellePagedecouverture">
    <w:name w:val="Référence interinstitutionnelle (Page de couverture)"/>
    <w:basedOn w:val="Rfrenceinterinstitutionnelle"/>
    <w:next w:val="Normal"/>
    <w:pPr>
      <w:numPr>
        <w:ilvl w:val="4"/>
      </w:numPr>
      <w:tabs>
        <w:tab w:val="clear" w:pos="1984"/>
      </w:tabs>
      <w:ind w:left="5103" w:firstLine="0"/>
    </w:pPr>
  </w:style>
  <w:style w:type="paragraph" w:customStyle="1" w:styleId="Rfrenceinterne">
    <w:name w:val="Référence interne"/>
    <w:basedOn w:val="Normal"/>
    <w:next w:val="Rfrenceinterinstitutionnelle"/>
    <w:pPr>
      <w:numPr>
        <w:ilvl w:val="6"/>
        <w:numId w:val="2"/>
      </w:numPr>
      <w:tabs>
        <w:tab w:val="clear" w:pos="2551"/>
      </w:tabs>
      <w:spacing w:before="0" w:after="0"/>
      <w:ind w:left="5103" w:firstLine="0"/>
      <w:jc w:val="left"/>
    </w:pPr>
  </w:style>
  <w:style w:type="paragraph" w:customStyle="1" w:styleId="SectionTitle">
    <w:name w:val="SectionTitle"/>
    <w:basedOn w:val="Normal"/>
    <w:next w:val="Heading1"/>
    <w:pPr>
      <w:keepNext/>
      <w:numPr>
        <w:ilvl w:val="1"/>
        <w:numId w:val="2"/>
      </w:numPr>
      <w:tabs>
        <w:tab w:val="clear" w:pos="850"/>
      </w:tabs>
      <w:spacing w:after="360"/>
      <w:ind w:left="0" w:firstLine="0"/>
      <w:jc w:val="center"/>
    </w:pPr>
    <w:rPr>
      <w:b/>
      <w:smallCaps/>
      <w:sz w:val="28"/>
    </w:rPr>
  </w:style>
  <w:style w:type="paragraph" w:customStyle="1" w:styleId="Sous-titreobjet">
    <w:name w:val="Sous-titre objet"/>
    <w:basedOn w:val="Normal"/>
    <w:pPr>
      <w:numPr>
        <w:ilvl w:val="3"/>
        <w:numId w:val="2"/>
      </w:numPr>
      <w:tabs>
        <w:tab w:val="clear" w:pos="1417"/>
      </w:tabs>
      <w:spacing w:before="0" w:after="0"/>
      <w:ind w:left="0" w:firstLine="0"/>
      <w:jc w:val="center"/>
    </w:pPr>
    <w:rPr>
      <w:b/>
    </w:rPr>
  </w:style>
  <w:style w:type="paragraph" w:customStyle="1" w:styleId="Sous-titreobjetPagedecouverture">
    <w:name w:val="Sous-titre objet (Page de couverture)"/>
    <w:basedOn w:val="Sous-titreobjet"/>
    <w:pPr>
      <w:numPr>
        <w:ilvl w:val="5"/>
      </w:numPr>
      <w:tabs>
        <w:tab w:val="clear" w:pos="1984"/>
      </w:tabs>
      <w:ind w:left="0" w:firstLine="0"/>
    </w:pPr>
  </w:style>
  <w:style w:type="paragraph" w:customStyle="1" w:styleId="Statut">
    <w:name w:val="Statut"/>
    <w:basedOn w:val="Normal"/>
    <w:next w:val="Normal"/>
    <w:pPr>
      <w:numPr>
        <w:ilvl w:val="7"/>
        <w:numId w:val="2"/>
      </w:numPr>
      <w:tabs>
        <w:tab w:val="clear" w:pos="2551"/>
      </w:tabs>
      <w:spacing w:before="360" w:after="0"/>
      <w:ind w:left="0" w:firstLine="0"/>
      <w:jc w:val="center"/>
    </w:pPr>
  </w:style>
  <w:style w:type="paragraph" w:customStyle="1" w:styleId="StatutPagedecouverture">
    <w:name w:val="Statut (Page de couverture)"/>
    <w:basedOn w:val="Statut"/>
    <w:next w:val="Normal"/>
    <w:pPr>
      <w:numPr>
        <w:ilvl w:val="8"/>
      </w:numPr>
      <w:tabs>
        <w:tab w:val="clear" w:pos="3118"/>
      </w:tabs>
      <w:ind w:left="0" w:firstLine="0"/>
    </w:pPr>
  </w:style>
  <w:style w:type="paragraph" w:customStyle="1" w:styleId="ListDash">
    <w:name w:val="List Dash"/>
    <w:basedOn w:val="Normal"/>
    <w:pPr>
      <w:spacing w:after="0"/>
      <w:ind w:firstLine="283"/>
    </w:pPr>
    <w:rPr>
      <w:noProof/>
      <w:szCs w:val="22"/>
      <w:lang w:eastAsia="de-DE"/>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Normal"/>
    <w:uiPriority w:val="39"/>
    <w:semiHidden/>
    <w:unhideWhenUsed/>
    <w:qFormat/>
    <w:pPr>
      <w:numPr>
        <w:numId w:val="0"/>
      </w:numPr>
      <w:spacing w:line="276" w:lineRule="auto"/>
      <w:jc w:val="left"/>
      <w:outlineLvl w:val="9"/>
    </w:pPr>
    <w:rPr>
      <w:lang w:eastAsia="ja-JP"/>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ListParagraph">
    <w:name w:val="List Paragraph"/>
    <w:basedOn w:val="Normal"/>
    <w:uiPriority w:val="34"/>
    <w:qFormat/>
    <w:pPr>
      <w:ind w:left="720"/>
      <w:contextualSpacing/>
    </w:p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Heading1Char"/>
    <w:link w:val="FooterCoverPage"/>
    <w:rPr>
      <w:rFonts w:ascii="Times New Roman" w:eastAsia="Times New Roman" w:hAnsi="Times New Roman" w:cs="Times New Roman"/>
      <w:b w:val="0"/>
      <w:bCs w:val="0"/>
      <w:color w:val="365F91" w:themeColor="accent1" w:themeShade="BF"/>
      <w:sz w:val="24"/>
      <w:szCs w:val="24"/>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Heading1Char"/>
    <w:link w:val="HeaderCoverPage"/>
    <w:rPr>
      <w:rFonts w:ascii="Times New Roman" w:eastAsia="Times New Roman" w:hAnsi="Times New Roman" w:cs="Times New Roman"/>
      <w:b w:val="0"/>
      <w:bCs w:val="0"/>
      <w:color w:val="365F91" w:themeColor="accent1" w:themeShade="BF"/>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CM4">
    <w:name w:val="CM4"/>
    <w:basedOn w:val="Normal"/>
    <w:next w:val="Normal"/>
    <w:uiPriority w:val="99"/>
    <w:pPr>
      <w:autoSpaceDE w:val="0"/>
      <w:autoSpaceDN w:val="0"/>
      <w:adjustRightInd w:val="0"/>
      <w:spacing w:before="0" w:after="0"/>
      <w:jc w:val="left"/>
    </w:pPr>
    <w:rPr>
      <w:rFonts w:ascii="EUAlbertina" w:hAnsi="EUAlbertina"/>
    </w:rPr>
  </w:style>
  <w:style w:type="paragraph" w:customStyle="1" w:styleId="Footno">
    <w:name w:val="Footno"/>
    <w:basedOn w:val="FootnoteText"/>
    <w:pPr>
      <w:jc w:val="left"/>
    </w:pPr>
  </w:style>
  <w:style w:type="character" w:styleId="Emphasis">
    <w:name w:val="Emphasis"/>
    <w:basedOn w:val="DefaultParagraphFont"/>
    <w:uiPriority w:val="20"/>
    <w:qFormat/>
    <w:rPr>
      <w:i/>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classification">
    <w:name w:val="Declassification"/>
    <w:basedOn w:val="Normal"/>
    <w:next w:val="Normal"/>
    <w:pPr>
      <w:spacing w:before="0" w:after="0"/>
    </w:pPr>
    <w:rPr>
      <w:rFonts w:eastAsiaTheme="minorHAnsi"/>
      <w:szCs w:val="22"/>
    </w:rPr>
  </w:style>
  <w:style w:type="paragraph" w:customStyle="1" w:styleId="HeaderLandscape">
    <w:name w:val="HeaderLandscape"/>
    <w:basedOn w:val="Normal"/>
    <w:pPr>
      <w:tabs>
        <w:tab w:val="center" w:pos="7285"/>
        <w:tab w:val="right" w:pos="14003"/>
      </w:tabs>
      <w:spacing w:before="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styleId="Title">
    <w:name w:val="Title"/>
    <w:basedOn w:val="Normal"/>
    <w:next w:val="Normal"/>
    <w:link w:val="TitleChar"/>
    <w:uiPriority w:val="10"/>
    <w:qFormat/>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Caption">
    <w:name w:val="caption"/>
    <w:basedOn w:val="Normal"/>
    <w:next w:val="Normal"/>
    <w:uiPriority w:val="35"/>
    <w:unhideWhenUsed/>
    <w:qFormat/>
    <w:pPr>
      <w:spacing w:before="0" w:after="200"/>
    </w:pPr>
    <w:rPr>
      <w:i/>
      <w:iCs/>
      <w:color w:val="1F497D" w:themeColor="text2"/>
      <w:sz w:val="18"/>
      <w:szCs w:val="18"/>
    </w:rPr>
  </w:style>
  <w:style w:type="character" w:customStyle="1" w:styleId="st1">
    <w:name w:val="st1"/>
    <w:basedOn w:val="DefaultParagraphFont"/>
  </w:style>
  <w:style w:type="paragraph" w:customStyle="1" w:styleId="SecurityMarking">
    <w:name w:val="SecurityMarking"/>
    <w:basedOn w:val="Normal"/>
    <w:pPr>
      <w:spacing w:before="0" w:after="0" w:line="276" w:lineRule="auto"/>
      <w:ind w:left="5103"/>
      <w:jc w:val="left"/>
    </w:pPr>
    <w:rPr>
      <w:rFonts w:eastAsiaTheme="minorHAnsi"/>
      <w:sz w:val="28"/>
      <w:szCs w:val="22"/>
    </w:rPr>
  </w:style>
  <w:style w:type="paragraph" w:customStyle="1" w:styleId="DateMarking">
    <w:name w:val="DateMarking"/>
    <w:basedOn w:val="Normal"/>
    <w:pPr>
      <w:spacing w:before="0" w:after="0" w:line="276" w:lineRule="auto"/>
      <w:ind w:left="5103"/>
      <w:jc w:val="left"/>
    </w:pPr>
    <w:rPr>
      <w:rFonts w:eastAsiaTheme="minorHAnsi"/>
      <w:i/>
      <w:sz w:val="28"/>
      <w:szCs w:val="22"/>
    </w:rPr>
  </w:style>
  <w:style w:type="paragraph" w:customStyle="1" w:styleId="HeaderSensitivityRight">
    <w:name w:val="Header Sensitivity Right"/>
    <w:basedOn w:val="Normal"/>
    <w:link w:val="HeaderSensitivityRightChar"/>
    <w:pPr>
      <w:spacing w:before="0"/>
      <w:jc w:val="right"/>
    </w:pPr>
    <w:rPr>
      <w:sz w:val="28"/>
    </w:rPr>
  </w:style>
  <w:style w:type="character" w:customStyle="1" w:styleId="ManualHeading1Char">
    <w:name w:val="Manual Heading 1 Char"/>
    <w:basedOn w:val="DefaultParagraphFont"/>
    <w:link w:val="ManualHeading1"/>
    <w:rPr>
      <w:rFonts w:ascii="Times New Roman" w:eastAsia="Times New Roman" w:hAnsi="Times New Roman" w:cs="Times New Roman"/>
      <w:b/>
      <w:smallCaps/>
      <w:sz w:val="24"/>
      <w:szCs w:val="24"/>
    </w:rPr>
  </w:style>
  <w:style w:type="character" w:customStyle="1" w:styleId="HeaderSensitivityRightChar">
    <w:name w:val="Header Sensitivity Right Char"/>
    <w:basedOn w:val="ManualHeading1Char"/>
    <w:link w:val="HeaderSensitivityRight"/>
    <w:rPr>
      <w:rFonts w:ascii="Times New Roman" w:eastAsia="Times New Roman" w:hAnsi="Times New Roman" w:cs="Times New Roman"/>
      <w:b w:val="0"/>
      <w:smallCaps w:val="0"/>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203589">
      <w:bodyDiv w:val="1"/>
      <w:marLeft w:val="0"/>
      <w:marRight w:val="0"/>
      <w:marTop w:val="0"/>
      <w:marBottom w:val="0"/>
      <w:divBdr>
        <w:top w:val="none" w:sz="0" w:space="0" w:color="auto"/>
        <w:left w:val="none" w:sz="0" w:space="0" w:color="auto"/>
        <w:bottom w:val="none" w:sz="0" w:space="0" w:color="auto"/>
        <w:right w:val="none" w:sz="0" w:space="0" w:color="auto"/>
      </w:divBdr>
      <w:divsChild>
        <w:div w:id="1855264196">
          <w:marLeft w:val="864"/>
          <w:marRight w:val="0"/>
          <w:marTop w:val="0"/>
          <w:marBottom w:val="120"/>
          <w:divBdr>
            <w:top w:val="none" w:sz="0" w:space="0" w:color="auto"/>
            <w:left w:val="none" w:sz="0" w:space="0" w:color="auto"/>
            <w:bottom w:val="none" w:sz="0" w:space="0" w:color="auto"/>
            <w:right w:val="none" w:sz="0" w:space="0" w:color="auto"/>
          </w:divBdr>
        </w:div>
      </w:divsChild>
    </w:div>
    <w:div w:id="444082417">
      <w:bodyDiv w:val="1"/>
      <w:marLeft w:val="0"/>
      <w:marRight w:val="0"/>
      <w:marTop w:val="0"/>
      <w:marBottom w:val="0"/>
      <w:divBdr>
        <w:top w:val="none" w:sz="0" w:space="0" w:color="auto"/>
        <w:left w:val="none" w:sz="0" w:space="0" w:color="auto"/>
        <w:bottom w:val="none" w:sz="0" w:space="0" w:color="auto"/>
        <w:right w:val="none" w:sz="0" w:space="0" w:color="auto"/>
      </w:divBdr>
    </w:div>
    <w:div w:id="557938735">
      <w:bodyDiv w:val="1"/>
      <w:marLeft w:val="0"/>
      <w:marRight w:val="0"/>
      <w:marTop w:val="0"/>
      <w:marBottom w:val="0"/>
      <w:divBdr>
        <w:top w:val="none" w:sz="0" w:space="0" w:color="auto"/>
        <w:left w:val="none" w:sz="0" w:space="0" w:color="auto"/>
        <w:bottom w:val="none" w:sz="0" w:space="0" w:color="auto"/>
        <w:right w:val="none" w:sz="0" w:space="0" w:color="auto"/>
      </w:divBdr>
    </w:div>
    <w:div w:id="715275489">
      <w:bodyDiv w:val="1"/>
      <w:marLeft w:val="0"/>
      <w:marRight w:val="0"/>
      <w:marTop w:val="0"/>
      <w:marBottom w:val="0"/>
      <w:divBdr>
        <w:top w:val="none" w:sz="0" w:space="0" w:color="auto"/>
        <w:left w:val="none" w:sz="0" w:space="0" w:color="auto"/>
        <w:bottom w:val="none" w:sz="0" w:space="0" w:color="auto"/>
        <w:right w:val="none" w:sz="0" w:space="0" w:color="auto"/>
      </w:divBdr>
    </w:div>
    <w:div w:id="814494072">
      <w:bodyDiv w:val="1"/>
      <w:marLeft w:val="0"/>
      <w:marRight w:val="0"/>
      <w:marTop w:val="0"/>
      <w:marBottom w:val="0"/>
      <w:divBdr>
        <w:top w:val="none" w:sz="0" w:space="0" w:color="auto"/>
        <w:left w:val="none" w:sz="0" w:space="0" w:color="auto"/>
        <w:bottom w:val="none" w:sz="0" w:space="0" w:color="auto"/>
        <w:right w:val="none" w:sz="0" w:space="0" w:color="auto"/>
      </w:divBdr>
    </w:div>
    <w:div w:id="913661068">
      <w:bodyDiv w:val="1"/>
      <w:marLeft w:val="0"/>
      <w:marRight w:val="0"/>
      <w:marTop w:val="0"/>
      <w:marBottom w:val="0"/>
      <w:divBdr>
        <w:top w:val="none" w:sz="0" w:space="0" w:color="auto"/>
        <w:left w:val="none" w:sz="0" w:space="0" w:color="auto"/>
        <w:bottom w:val="none" w:sz="0" w:space="0" w:color="auto"/>
        <w:right w:val="none" w:sz="0" w:space="0" w:color="auto"/>
      </w:divBdr>
    </w:div>
    <w:div w:id="1122111114">
      <w:bodyDiv w:val="1"/>
      <w:marLeft w:val="0"/>
      <w:marRight w:val="0"/>
      <w:marTop w:val="0"/>
      <w:marBottom w:val="0"/>
      <w:divBdr>
        <w:top w:val="none" w:sz="0" w:space="0" w:color="auto"/>
        <w:left w:val="none" w:sz="0" w:space="0" w:color="auto"/>
        <w:bottom w:val="none" w:sz="0" w:space="0" w:color="auto"/>
        <w:right w:val="none" w:sz="0" w:space="0" w:color="auto"/>
      </w:divBdr>
    </w:div>
    <w:div w:id="1193419894">
      <w:bodyDiv w:val="1"/>
      <w:marLeft w:val="0"/>
      <w:marRight w:val="0"/>
      <w:marTop w:val="0"/>
      <w:marBottom w:val="0"/>
      <w:divBdr>
        <w:top w:val="none" w:sz="0" w:space="0" w:color="auto"/>
        <w:left w:val="none" w:sz="0" w:space="0" w:color="auto"/>
        <w:bottom w:val="none" w:sz="0" w:space="0" w:color="auto"/>
        <w:right w:val="none" w:sz="0" w:space="0" w:color="auto"/>
      </w:divBdr>
    </w:div>
    <w:div w:id="1599287057">
      <w:bodyDiv w:val="1"/>
      <w:marLeft w:val="0"/>
      <w:marRight w:val="0"/>
      <w:marTop w:val="0"/>
      <w:marBottom w:val="0"/>
      <w:divBdr>
        <w:top w:val="none" w:sz="0" w:space="0" w:color="auto"/>
        <w:left w:val="none" w:sz="0" w:space="0" w:color="auto"/>
        <w:bottom w:val="none" w:sz="0" w:space="0" w:color="auto"/>
        <w:right w:val="none" w:sz="0" w:space="0" w:color="auto"/>
      </w:divBdr>
      <w:divsChild>
        <w:div w:id="1634828086">
          <w:marLeft w:val="1555"/>
          <w:marRight w:val="0"/>
          <w:marTop w:val="0"/>
          <w:marBottom w:val="120"/>
          <w:divBdr>
            <w:top w:val="none" w:sz="0" w:space="0" w:color="auto"/>
            <w:left w:val="none" w:sz="0" w:space="0" w:color="auto"/>
            <w:bottom w:val="none" w:sz="0" w:space="0" w:color="auto"/>
            <w:right w:val="none" w:sz="0" w:space="0" w:color="auto"/>
          </w:divBdr>
        </w:div>
      </w:divsChild>
    </w:div>
    <w:div w:id="1656570617">
      <w:bodyDiv w:val="1"/>
      <w:marLeft w:val="0"/>
      <w:marRight w:val="0"/>
      <w:marTop w:val="0"/>
      <w:marBottom w:val="0"/>
      <w:divBdr>
        <w:top w:val="none" w:sz="0" w:space="0" w:color="auto"/>
        <w:left w:val="none" w:sz="0" w:space="0" w:color="auto"/>
        <w:bottom w:val="none" w:sz="0" w:space="0" w:color="auto"/>
        <w:right w:val="none" w:sz="0" w:space="0" w:color="auto"/>
      </w:divBdr>
      <w:divsChild>
        <w:div w:id="1861242235">
          <w:marLeft w:val="864"/>
          <w:marRight w:val="0"/>
          <w:marTop w:val="0"/>
          <w:marBottom w:val="120"/>
          <w:divBdr>
            <w:top w:val="none" w:sz="0" w:space="0" w:color="auto"/>
            <w:left w:val="none" w:sz="0" w:space="0" w:color="auto"/>
            <w:bottom w:val="none" w:sz="0" w:space="0" w:color="auto"/>
            <w:right w:val="none" w:sz="0" w:space="0" w:color="auto"/>
          </w:divBdr>
        </w:div>
        <w:div w:id="1923370541">
          <w:marLeft w:val="864"/>
          <w:marRight w:val="0"/>
          <w:marTop w:val="0"/>
          <w:marBottom w:val="120"/>
          <w:divBdr>
            <w:top w:val="none" w:sz="0" w:space="0" w:color="auto"/>
            <w:left w:val="none" w:sz="0" w:space="0" w:color="auto"/>
            <w:bottom w:val="none" w:sz="0" w:space="0" w:color="auto"/>
            <w:right w:val="none" w:sz="0" w:space="0" w:color="auto"/>
          </w:divBdr>
        </w:div>
        <w:div w:id="1594584938">
          <w:marLeft w:val="864"/>
          <w:marRight w:val="0"/>
          <w:marTop w:val="0"/>
          <w:marBottom w:val="120"/>
          <w:divBdr>
            <w:top w:val="none" w:sz="0" w:space="0" w:color="auto"/>
            <w:left w:val="none" w:sz="0" w:space="0" w:color="auto"/>
            <w:bottom w:val="none" w:sz="0" w:space="0" w:color="auto"/>
            <w:right w:val="none" w:sz="0" w:space="0" w:color="auto"/>
          </w:divBdr>
        </w:div>
      </w:divsChild>
    </w:div>
    <w:div w:id="170925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onsilium.europa.eu/cs/press/press-releases/2017/11/20/european-banking-authority-to-be-relocated-to-city-coun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8ADB8-31CD-49D2-90F8-90ED7D3AA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1054</Words>
  <Characters>5898</Characters>
  <Application>Microsoft Office Word</Application>
  <DocSecurity>0</DocSecurity>
  <Lines>103</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15</cp:revision>
  <cp:lastPrinted>2019-06-17T17:15:00Z</cp:lastPrinted>
  <dcterms:created xsi:type="dcterms:W3CDTF">2019-09-04T14:36:00Z</dcterms:created>
  <dcterms:modified xsi:type="dcterms:W3CDTF">2019-10-02T09:03:00Z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7.0, Build 20190717</vt:lpwstr>
  </property>
  <property fmtid="{D5CDD505-2E9C-101B-9397-08002B2CF9AE}" pid="7" name="Created using">
    <vt:lpwstr>LW 6.0.1, Build 20180503</vt:lpwstr>
  </property>
  <property fmtid="{D5CDD505-2E9C-101B-9397-08002B2CF9AE}" pid="8" name="CPTemplateID">
    <vt:lpwstr>CP-006</vt:lpwstr>
  </property>
  <property name="OP_sanitized" fmtid="{D5CDD505-2E9C-101B-9397-08002B2CF9AE}" pid="9">
    <vt:lpwstr>True</vt:lpwstr>
  </property>
</Properties>
</file>