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084AE4A0-F53A-4ABA-9ADF-EC3DBC9883CD" style="width:450.35pt;height:320.6pt">
            <v:imagedata r:id="rId9" o:title=""/>
          </v:shape>
        </w:pict>
      </w:r>
    </w:p>
    <w:bookmarkEnd w:id="0"/>
    <w:p>
      <w:pPr>
        <w:spacing w:before="0" w:after="0"/>
        <w:jc w:val="left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aperSrc w:first="15" w:other="15"/>
          <w:pgNumType w:start="1"/>
          <w:cols w:space="720"/>
          <w:docGrid w:linePitch="326"/>
        </w:sectPr>
      </w:pPr>
    </w:p>
    <w:p>
      <w:pPr>
        <w:pStyle w:val="TOCHeading"/>
        <w:rPr>
          <w:noProof/>
        </w:rPr>
      </w:pPr>
      <w:bookmarkStart w:id="1" w:name="_GoBack"/>
      <w:bookmarkEnd w:id="1"/>
      <w:r>
        <w:rPr>
          <w:noProof/>
        </w:rPr>
        <w:lastRenderedPageBreak/>
        <w:t>Obsah</w:t>
      </w:r>
    </w:p>
    <w:p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r>
        <w:rPr>
          <w:noProof/>
        </w:rPr>
        <w:fldChar w:fldCharType="begin"/>
      </w:r>
      <w:r>
        <w:rPr>
          <w:noProof/>
        </w:rPr>
        <w:instrText xml:space="preserve"> TOC \o "1-3" \h \z \u </w:instrText>
      </w:r>
      <w:r>
        <w:rPr>
          <w:noProof/>
        </w:rPr>
        <w:fldChar w:fldCharType="separate"/>
      </w:r>
      <w:hyperlink w:anchor="_Toc15034220" w:history="1">
        <w:r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1" w:history="1">
        <w:r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Finanční situace a významné transakce záručního fondu</w:t>
        </w:r>
        <w:r>
          <w:rPr>
            <w:noProof/>
            <w:webHidden/>
          </w:rPr>
          <w:tab/>
          <w:t>3</w:t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2" w:history="1">
        <w:r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Finanční situace záručního fondu k 31. prosinci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3" w:history="1">
        <w:r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Významné transakce fondu v roce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6" w:history="1">
        <w:r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Vývoj po uzávěrce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7" w:history="1">
        <w:r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Účetní závěrka fondu před konsolidací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8" w:history="1">
        <w:r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Finanční situace před konsolidací k 31. prosinci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29" w:history="1">
        <w:r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Výkaz o finanční výkonnosti před konsolidací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30" w:history="1">
        <w:r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Správa peněžních prostředků záručního fondu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31" w:history="1">
        <w:r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Investiční politika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32" w:history="1">
        <w:r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Výkonnost a vývoj na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  <w:hyperlink w:anchor="_Toc15034233" w:history="1">
        <w:r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Žádosti o čerpání ze záručního fondu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>
      <w:pPr>
        <w:pStyle w:val="TOC1"/>
        <w:rPr>
          <w:rStyle w:val="Hyperlink"/>
          <w:noProof/>
        </w:rPr>
      </w:pPr>
      <w:hyperlink w:anchor="_Toc15034234" w:history="1">
        <w:r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bidi="ar-SA"/>
          </w:rPr>
          <w:tab/>
        </w:r>
        <w:r>
          <w:rPr>
            <w:rStyle w:val="Hyperlink"/>
            <w:noProof/>
          </w:rPr>
          <w:t>Odměna pro EIB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_Toc15034234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>
      <w:pPr>
        <w:rPr>
          <w:rStyle w:val="Hyperlink"/>
          <w:noProof/>
        </w:rPr>
      </w:pPr>
      <w:r>
        <w:rPr>
          <w:rStyle w:val="Hyperlink"/>
          <w:noProof/>
        </w:rPr>
        <w:br w:type="page"/>
      </w:r>
    </w:p>
    <w:p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bidi="ar-SA"/>
        </w:rPr>
      </w:pPr>
    </w:p>
    <w:p>
      <w:pPr>
        <w:pStyle w:val="ManualHeading1"/>
        <w:rPr>
          <w:noProof/>
        </w:rPr>
      </w:pPr>
      <w:r>
        <w:rPr>
          <w:b w:val="0"/>
          <w:bCs/>
          <w:noProof/>
        </w:rPr>
        <w:fldChar w:fldCharType="end"/>
      </w:r>
      <w:bookmarkStart w:id="2" w:name="_Toc323019492"/>
      <w:bookmarkStart w:id="3" w:name="_Toc354050118"/>
      <w:bookmarkStart w:id="4" w:name="_Toc358294843"/>
      <w:bookmarkStart w:id="5" w:name="_Toc415838340"/>
      <w:bookmarkStart w:id="6" w:name="_Toc478625434"/>
      <w:bookmarkStart w:id="7" w:name="_Toc15034220"/>
      <w:r>
        <w:rPr>
          <w:noProof/>
        </w:rPr>
        <w:t>1.</w:t>
      </w:r>
      <w:r>
        <w:rPr>
          <w:noProof/>
        </w:rPr>
        <w:tab/>
        <w:t>Úvod</w:t>
      </w:r>
      <w:bookmarkEnd w:id="2"/>
      <w:bookmarkEnd w:id="3"/>
      <w:bookmarkEnd w:id="4"/>
      <w:bookmarkEnd w:id="5"/>
      <w:bookmarkEnd w:id="6"/>
      <w:bookmarkEnd w:id="7"/>
    </w:p>
    <w:p>
      <w:pPr>
        <w:rPr>
          <w:noProof/>
        </w:rPr>
      </w:pPr>
      <w:r>
        <w:rPr>
          <w:noProof/>
        </w:rPr>
        <w:t>Nařízením Rady (ES, Euratom) č. 480/2009 ze dne 25. května 2009 (kodifikované znění) (dále jen „nařízení“)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byl zřízen Záruční fond pro vnější vztahy (dále jen „záruční fond“ nebo „fond“), ze kterého se mají vyplácet platby věřitelům Unie v případech, kdy jsou příjemci úvěrů poskytnutých nebo zaručených Evropskou unií v prodlení se splácením. V souladu s článkem 7 nařízení pověřila Komise finanční správou fondu Evropskou investiční banku (EIB), a to na základě dohody, kterou Evropská unie a EIB podepsaly dne 25. listopadu 1994 a která byla následně změněna ve dnech 23. září 1996, 8. května 2002, 25. února 2008, 9. listopadu 2010 a 28. září 2018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(dále jen „dohoda“).</w:t>
      </w:r>
    </w:p>
    <w:p>
      <w:pPr>
        <w:rPr>
          <w:noProof/>
        </w:rPr>
      </w:pPr>
      <w:r>
        <w:rPr>
          <w:noProof/>
        </w:rPr>
        <w:t xml:space="preserve">Podle článku 8 nařízení zašle Komise za každý rozpočtový rok do 31. května následujícího roku Evropskému parlamentu, Radě a Účetnímu dvoru zprávu o stavu fondu a jeho správě na konci předchozího kalendářního roku. </w:t>
      </w:r>
    </w:p>
    <w:p>
      <w:pPr>
        <w:rPr>
          <w:noProof/>
        </w:rPr>
      </w:pPr>
      <w:r>
        <w:rPr>
          <w:noProof/>
        </w:rPr>
        <w:t>Uvedené informace obsahuje tato zpráva a pracovní dokument útvarů Komise. Zpráva v souladu s dohodou vychází z údajů, které předložila EIB.</w:t>
      </w:r>
    </w:p>
    <w:p>
      <w:pPr>
        <w:pStyle w:val="ManualHeading1"/>
        <w:rPr>
          <w:noProof/>
        </w:rPr>
      </w:pPr>
      <w:r>
        <w:rPr>
          <w:noProof/>
        </w:rPr>
        <w:br w:type="page"/>
      </w:r>
      <w:bookmarkStart w:id="8" w:name="_Toc478625435"/>
      <w:bookmarkStart w:id="9" w:name="_Toc15034221"/>
      <w:bookmarkStart w:id="10" w:name="_Toc323019493"/>
      <w:bookmarkStart w:id="11" w:name="_Toc354050119"/>
      <w:bookmarkStart w:id="12" w:name="_Toc358294844"/>
      <w:bookmarkStart w:id="13" w:name="_Toc415838341"/>
      <w:r>
        <w:rPr>
          <w:noProof/>
        </w:rPr>
        <w:t>2.</w:t>
      </w:r>
      <w:r>
        <w:rPr>
          <w:noProof/>
        </w:rPr>
        <w:tab/>
        <w:t>Finanční situace a významné transakce záručního fondu</w:t>
      </w:r>
      <w:bookmarkEnd w:id="8"/>
      <w:bookmarkEnd w:id="9"/>
      <w:r>
        <w:rPr>
          <w:noProof/>
        </w:rPr>
        <w:t xml:space="preserve"> </w:t>
      </w:r>
      <w:bookmarkEnd w:id="10"/>
      <w:bookmarkEnd w:id="11"/>
      <w:bookmarkEnd w:id="12"/>
      <w:bookmarkEnd w:id="13"/>
    </w:p>
    <w:p>
      <w:pPr>
        <w:pStyle w:val="ManualHeading2"/>
        <w:spacing w:before="360"/>
        <w:ind w:left="851" w:hanging="851"/>
        <w:rPr>
          <w:noProof/>
        </w:rPr>
      </w:pPr>
      <w:bookmarkStart w:id="14" w:name="_Toc478625436"/>
      <w:bookmarkStart w:id="15" w:name="_Toc15034222"/>
      <w:r>
        <w:rPr>
          <w:noProof/>
        </w:rPr>
        <w:t>2.1.</w:t>
      </w:r>
      <w:r>
        <w:rPr>
          <w:noProof/>
        </w:rPr>
        <w:tab/>
        <w:t xml:space="preserve">Finanční situace záručního fondu k 31. prosinci </w:t>
      </w:r>
      <w:bookmarkEnd w:id="14"/>
      <w:r>
        <w:rPr>
          <w:noProof/>
        </w:rPr>
        <w:t>2018</w:t>
      </w:r>
      <w:bookmarkEnd w:id="15"/>
    </w:p>
    <w:p>
      <w:pPr>
        <w:rPr>
          <w:noProof/>
        </w:rPr>
      </w:pPr>
      <w:r>
        <w:rPr>
          <w:noProof/>
        </w:rPr>
        <w:t xml:space="preserve">Celková výše finančních prostředků v záručním fondu k 31. prosinci 2018 činila 2 609 881 747,51 EUR (k 31. prosinci 2017 činila 2 560 761 844,63 EUR) (viz příloha pracovního dokumentu útvarů Komise: Účetní závěrka záručního fondu poskytnutá EIB). </w:t>
      </w:r>
    </w:p>
    <w:p>
      <w:pPr>
        <w:rPr>
          <w:noProof/>
        </w:rPr>
      </w:pPr>
      <w:r>
        <w:rPr>
          <w:noProof/>
        </w:rPr>
        <w:t>Celková účetní hodnota fondu v roce 2018 vzrostla přibližně o 49,1 milionu EUR, což bylo dáno zejména těmito skutečnostmi:</w:t>
      </w:r>
    </w:p>
    <w:p>
      <w:pPr>
        <w:rPr>
          <w:noProof/>
          <w:u w:val="single"/>
        </w:rPr>
      </w:pPr>
      <w:r>
        <w:rPr>
          <w:noProof/>
          <w:u w:val="single"/>
        </w:rPr>
        <w:t>Nárůst:</w:t>
      </w:r>
    </w:p>
    <w:p>
      <w:pPr>
        <w:pStyle w:val="Bullet0"/>
        <w:numPr>
          <w:ilvl w:val="0"/>
          <w:numId w:val="14"/>
        </w:numPr>
        <w:rPr>
          <w:noProof/>
        </w:rPr>
      </w:pPr>
      <w:r>
        <w:rPr>
          <w:noProof/>
        </w:rPr>
        <w:t xml:space="preserve">příspěvek z rozpočtu EU (částka dotace) ve výši 103,2 milionu EUR za účelem dorovnání objemu fondu na cílovou částku na úrovni 9 % veškerých nesplacených kapitálových závazků, </w:t>
      </w:r>
    </w:p>
    <w:p>
      <w:pPr>
        <w:pStyle w:val="Bullet0"/>
        <w:numPr>
          <w:ilvl w:val="0"/>
          <w:numId w:val="14"/>
        </w:numPr>
        <w:rPr>
          <w:noProof/>
        </w:rPr>
      </w:pPr>
      <w:r>
        <w:rPr>
          <w:noProof/>
        </w:rPr>
        <w:t>zisk z finančních operací dosáhl 12,0 milionu EUR.</w:t>
      </w:r>
    </w:p>
    <w:p>
      <w:pPr>
        <w:rPr>
          <w:noProof/>
          <w:u w:val="single"/>
        </w:rPr>
      </w:pPr>
      <w:r>
        <w:rPr>
          <w:noProof/>
          <w:u w:val="single"/>
        </w:rPr>
        <w:t>Pokles:</w:t>
      </w:r>
    </w:p>
    <w:p>
      <w:pPr>
        <w:pStyle w:val="Bullet0"/>
        <w:numPr>
          <w:ilvl w:val="0"/>
          <w:numId w:val="14"/>
        </w:numPr>
        <w:rPr>
          <w:noProof/>
        </w:rPr>
      </w:pPr>
      <w:r>
        <w:rPr>
          <w:noProof/>
        </w:rPr>
        <w:t xml:space="preserve">intervence fondu na pokrytí plateb v prodlení v celkové výši 55,7 milionu EUR, </w:t>
      </w:r>
    </w:p>
    <w:p>
      <w:pPr>
        <w:pStyle w:val="Bullet0"/>
        <w:numPr>
          <w:ilvl w:val="0"/>
          <w:numId w:val="14"/>
        </w:numPr>
        <w:rPr>
          <w:noProof/>
        </w:rPr>
      </w:pPr>
      <w:r>
        <w:rPr>
          <w:noProof/>
        </w:rPr>
        <w:t>hodnota portfolia se snížila o 10,5 milionu EUR v důsledku přecenění podle tržní hodnoty.</w:t>
      </w:r>
    </w:p>
    <w:p>
      <w:pPr>
        <w:pStyle w:val="ManualHeading2"/>
        <w:spacing w:before="360"/>
        <w:ind w:left="851" w:hanging="851"/>
        <w:rPr>
          <w:noProof/>
        </w:rPr>
      </w:pPr>
      <w:bookmarkStart w:id="16" w:name="_Toc415838343"/>
      <w:bookmarkStart w:id="17" w:name="_Toc478625437"/>
      <w:bookmarkStart w:id="18" w:name="_Toc15034223"/>
      <w:r>
        <w:rPr>
          <w:noProof/>
        </w:rPr>
        <w:t>2.2.</w:t>
      </w:r>
      <w:r>
        <w:rPr>
          <w:noProof/>
        </w:rPr>
        <w:tab/>
        <w:t>Významné</w:t>
      </w:r>
      <w:bookmarkEnd w:id="16"/>
      <w:r>
        <w:rPr>
          <w:noProof/>
        </w:rPr>
        <w:t xml:space="preserve"> transakce fondu v roce</w:t>
      </w:r>
      <w:bookmarkEnd w:id="17"/>
      <w:r>
        <w:rPr>
          <w:noProof/>
        </w:rPr>
        <w:t xml:space="preserve"> 2018</w:t>
      </w:r>
      <w:bookmarkEnd w:id="18"/>
    </w:p>
    <w:p>
      <w:pPr>
        <w:pStyle w:val="ManualHeading2"/>
        <w:tabs>
          <w:tab w:val="clear" w:pos="850"/>
          <w:tab w:val="left" w:pos="426"/>
        </w:tabs>
        <w:spacing w:before="240"/>
        <w:ind w:left="425" w:firstLine="0"/>
        <w:rPr>
          <w:noProof/>
        </w:rPr>
      </w:pPr>
      <w:bookmarkStart w:id="19" w:name="_Toc15034224"/>
      <w:r>
        <w:rPr>
          <w:noProof/>
        </w:rPr>
        <w:t>2.2.1</w:t>
      </w:r>
      <w:r>
        <w:rPr>
          <w:noProof/>
        </w:rPr>
        <w:tab/>
        <w:t>Žádosti o čerpání ze záručního fondu v roce 2018</w:t>
      </w:r>
      <w:bookmarkEnd w:id="19"/>
    </w:p>
    <w:p>
      <w:pPr>
        <w:tabs>
          <w:tab w:val="left" w:pos="426"/>
        </w:tabs>
        <w:spacing w:after="0"/>
        <w:ind w:left="426"/>
        <w:rPr>
          <w:b/>
          <w:noProof/>
        </w:rPr>
      </w:pPr>
      <w:r>
        <w:rPr>
          <w:b/>
          <w:noProof/>
        </w:rPr>
        <w:t>Sýrie</w:t>
      </w:r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>V roce 2018 EIB i nadále zaznamenávala u splátek syrských státních úvěrů prodlení. V důsledku toho a v souladu s dohodami o záruce mezi EU a EIB podala EIB do 31. prosince 2018 9 dalších žádostí o platby ze záručního fondu EU v celkové výši 55,73 milionu EUR (viz bod 5).</w:t>
      </w:r>
    </w:p>
    <w:p>
      <w:pPr>
        <w:tabs>
          <w:tab w:val="left" w:pos="426"/>
        </w:tabs>
        <w:spacing w:after="0"/>
        <w:ind w:left="426"/>
        <w:rPr>
          <w:b/>
          <w:noProof/>
        </w:rPr>
      </w:pPr>
      <w:r>
        <w:rPr>
          <w:b/>
          <w:noProof/>
        </w:rPr>
        <w:t>Letiště Enfidha (Tunisko)</w:t>
      </w:r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>V roce 2018 získala EIB zpět částku 136 092,88 EUR z úvěru poskytnutého letišti Enfidha (Tunisko), která byla připsána na bankovní účet záručního fondu ve výši k 15. lednu 2018 (viz bod 5).</w:t>
      </w:r>
    </w:p>
    <w:p>
      <w:pPr>
        <w:pStyle w:val="ManualHeading2"/>
        <w:tabs>
          <w:tab w:val="clear" w:pos="850"/>
          <w:tab w:val="left" w:pos="426"/>
        </w:tabs>
        <w:spacing w:before="360"/>
        <w:ind w:left="425" w:firstLine="0"/>
        <w:rPr>
          <w:noProof/>
        </w:rPr>
      </w:pPr>
      <w:bookmarkStart w:id="20" w:name="_Toc15034225"/>
      <w:r>
        <w:rPr>
          <w:noProof/>
        </w:rPr>
        <w:t>2.2.2</w:t>
      </w:r>
      <w:r>
        <w:rPr>
          <w:noProof/>
        </w:rPr>
        <w:tab/>
        <w:t>Poskytování prostředků pro záruční fond v roce 2018</w:t>
      </w:r>
      <w:bookmarkEnd w:id="20"/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>V únoru 2018 byla z rozpočtu do fondu převedena částka ve výši 137,8 milionu EUR, která odpovídá dotaci na rok 2018.</w:t>
      </w:r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>Příspěvek z rozpočtu EU do fondu na rok 2019, jehož výše byla stanovena na 103,2 milionu EUR, byl rovněž vypočítán v únoru 2018 a převeden v únoru 2019. Příspěvek byl vypočítán podle článku 3 a článku 5 nařízení:</w:t>
      </w:r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 xml:space="preserve">Článek 3 nařízení stanoví cílovou částku fondu na 9 % veškerých nesplacených kapitálových závazků vyplývajících ze všech operací a zvýšených o splatné, ale dosud nezaplacené úroky. </w:t>
      </w:r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>Podle článku 5 nařízení se částka, která má být převedena z rozpočtu do fondu v roce n+1, vypočte na základě rozdílu mezi cílovou částkou a hodnotou čistých aktiv fondu ke konci roku n–1, vypočítaného na začátku roku n.</w:t>
      </w:r>
    </w:p>
    <w:p>
      <w:pPr>
        <w:pStyle w:val="Point0number"/>
        <w:tabs>
          <w:tab w:val="left" w:pos="426"/>
        </w:tabs>
        <w:ind w:left="426"/>
        <w:rPr>
          <w:noProof/>
        </w:rPr>
      </w:pPr>
      <w:r>
        <w:rPr>
          <w:noProof/>
        </w:rPr>
        <w:t xml:space="preserve">S cílem dorovnat stav fondu na úroveň 9 % veškerých nesplacených kapitálových závazků bylo do rozpočtu EU na rok 2019 jako dotace fondu vloženo 103,22 milionu EUR, přičemž částka byla vypočítána ze zaručených operací nesplacených k 31. prosinci 2017. Částka byla schválena Radou a Evropským parlamentem a vykázána v rozvaze k 31. prosinci 2018 jako aktivum (pohledávka) fondu.  </w:t>
      </w:r>
    </w:p>
    <w:p>
      <w:pPr>
        <w:pStyle w:val="ManualHeading2"/>
        <w:spacing w:before="360"/>
        <w:ind w:left="851" w:hanging="851"/>
        <w:rPr>
          <w:noProof/>
        </w:rPr>
      </w:pPr>
      <w:bookmarkStart w:id="21" w:name="_Toc323019496"/>
      <w:bookmarkStart w:id="22" w:name="_Toc354050122"/>
      <w:bookmarkStart w:id="23" w:name="_Toc358294847"/>
      <w:bookmarkStart w:id="24" w:name="_Toc415838344"/>
      <w:bookmarkStart w:id="25" w:name="_Toc478625438"/>
      <w:bookmarkStart w:id="26" w:name="_Toc15034226"/>
      <w:r>
        <w:rPr>
          <w:noProof/>
        </w:rPr>
        <w:t>2.3.</w:t>
      </w:r>
      <w:r>
        <w:rPr>
          <w:noProof/>
        </w:rPr>
        <w:tab/>
        <w:t>Vývoj po uzávěrce</w:t>
      </w:r>
      <w:bookmarkEnd w:id="21"/>
      <w:bookmarkEnd w:id="22"/>
      <w:bookmarkEnd w:id="23"/>
      <w:bookmarkEnd w:id="24"/>
      <w:bookmarkEnd w:id="25"/>
      <w:r>
        <w:rPr>
          <w:noProof/>
        </w:rPr>
        <w:t xml:space="preserve"> (ke konci března 2019)</w:t>
      </w:r>
      <w:bookmarkEnd w:id="26"/>
    </w:p>
    <w:p>
      <w:pPr>
        <w:ind w:left="850"/>
        <w:rPr>
          <w:noProof/>
        </w:rPr>
      </w:pPr>
      <w:r>
        <w:rPr>
          <w:noProof/>
        </w:rPr>
        <w:t>V únoru 2019 byla z rozpočtu EU do fondu převedena výše uvedená částka dotace ve výši 103,2 milionu EUR.</w:t>
      </w:r>
    </w:p>
    <w:p>
      <w:pPr>
        <w:ind w:left="851"/>
        <w:rPr>
          <w:noProof/>
        </w:rPr>
      </w:pPr>
      <w:r>
        <w:rPr>
          <w:noProof/>
        </w:rPr>
        <w:t xml:space="preserve">V lednu a březnu 2019 bylo uhrazeno celkem 10,6 milionu EUR na základě dvou žádostí o plnění ze záruky v souvislosti s platbami v prodlení, které dluží Sýrie (3,2 milionu EUR a 7,4 milionu EUR včetně sankcí uplatněných EIB). </w:t>
      </w:r>
    </w:p>
    <w:p>
      <w:pPr>
        <w:pStyle w:val="ManualHeading1"/>
        <w:ind w:left="851" w:hanging="851"/>
        <w:rPr>
          <w:noProof/>
        </w:rPr>
      </w:pPr>
      <w:bookmarkStart w:id="27" w:name="_Toc478625439"/>
      <w:bookmarkStart w:id="28" w:name="_Toc15034227"/>
      <w:bookmarkStart w:id="29" w:name="_Toc323019497"/>
      <w:bookmarkStart w:id="30" w:name="_Toc354050123"/>
      <w:bookmarkStart w:id="31" w:name="_Toc358294848"/>
      <w:bookmarkStart w:id="32" w:name="_Toc415838345"/>
      <w:r>
        <w:rPr>
          <w:noProof/>
        </w:rPr>
        <w:t>3.</w:t>
      </w:r>
      <w:r>
        <w:rPr>
          <w:noProof/>
        </w:rPr>
        <w:tab/>
        <w:t>Účetní závěrka fondu před konsolidací</w:t>
      </w:r>
      <w:bookmarkEnd w:id="27"/>
      <w:bookmarkEnd w:id="28"/>
    </w:p>
    <w:p>
      <w:pPr>
        <w:rPr>
          <w:noProof/>
        </w:rPr>
      </w:pPr>
      <w:r>
        <w:rPr>
          <w:noProof/>
        </w:rPr>
        <w:t>Účetní závěrka fondu před konsolidací se vyhotovuje, aby byly zahrnuty účetní operace, jež nejsou obsaženy v účetní závěrce fondu, kterou připravuje EIB (viz pracovní dokument útvarů Komise). Tvoří součást konsolidované účetní závěrky EU.</w:t>
      </w:r>
    </w:p>
    <w:p>
      <w:pPr>
        <w:pStyle w:val="ManualHeading2"/>
        <w:rPr>
          <w:noProof/>
        </w:rPr>
      </w:pPr>
      <w:bookmarkStart w:id="33" w:name="_Toc358294850"/>
      <w:bookmarkStart w:id="34" w:name="_Toc415838347"/>
      <w:bookmarkStart w:id="35" w:name="_Toc478625443"/>
      <w:bookmarkStart w:id="36" w:name="_Toc323019499"/>
      <w:bookmarkStart w:id="37" w:name="_Toc354050125"/>
      <w:bookmarkEnd w:id="29"/>
      <w:bookmarkEnd w:id="30"/>
      <w:bookmarkEnd w:id="31"/>
      <w:bookmarkEnd w:id="32"/>
      <w:r>
        <w:rPr>
          <w:noProof/>
        </w:rPr>
        <w:br w:type="page"/>
      </w:r>
      <w:bookmarkStart w:id="38" w:name="_Toc15034228"/>
      <w:r>
        <w:rPr>
          <w:noProof/>
        </w:rPr>
        <w:t>3.1.</w:t>
      </w:r>
      <w:r>
        <w:rPr>
          <w:noProof/>
        </w:rPr>
        <w:tab/>
        <w:t>Finanční situace před konsolidací k 31. prosinci</w:t>
      </w:r>
      <w:bookmarkEnd w:id="33"/>
      <w:bookmarkEnd w:id="34"/>
      <w:bookmarkEnd w:id="35"/>
      <w:r>
        <w:rPr>
          <w:noProof/>
        </w:rPr>
        <w:t xml:space="preserve"> 2018</w:t>
      </w:r>
      <w:bookmarkEnd w:id="38"/>
    </w:p>
    <w:p>
      <w:pPr>
        <w:rPr>
          <w:noProof/>
        </w:rPr>
      </w:pPr>
      <w:r>
        <w:rPr>
          <w:noProof/>
        </w:rPr>
        <w:t>Rozvaha – Aktiva</w:t>
      </w:r>
    </w:p>
    <w:tbl>
      <w:tblPr>
        <w:tblW w:w="8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976"/>
        <w:gridCol w:w="2115"/>
      </w:tblGrid>
      <w:tr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31. prosince 2018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31. prosince 2017</w:t>
            </w:r>
          </w:p>
        </w:tc>
      </w:tr>
      <w:tr>
        <w:tc>
          <w:tcPr>
            <w:tcW w:w="3374" w:type="dxa"/>
            <w:shd w:val="pct20" w:color="auto" w:fill="auto"/>
          </w:tcPr>
          <w:p>
            <w:pPr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t>DLOUHODOBÁ AKTIVA</w:t>
            </w:r>
          </w:p>
        </w:tc>
        <w:tc>
          <w:tcPr>
            <w:tcW w:w="2976" w:type="dxa"/>
            <w:shd w:val="pct20" w:color="auto" w:fill="auto"/>
          </w:tcPr>
          <w:p>
            <w:pPr>
              <w:jc w:val="right"/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t>2 275 342 664</w:t>
            </w:r>
          </w:p>
        </w:tc>
        <w:tc>
          <w:tcPr>
            <w:tcW w:w="2115" w:type="dxa"/>
            <w:shd w:val="pct20" w:color="auto" w:fill="auto"/>
          </w:tcPr>
          <w:p>
            <w:pPr>
              <w:jc w:val="right"/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t>2 077 970 486</w:t>
            </w:r>
          </w:p>
        </w:tc>
      </w:tr>
      <w:tr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aktiva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2 275 342 664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2 077 970 486</w:t>
            </w:r>
          </w:p>
        </w:tc>
      </w:tr>
      <w:tr>
        <w:tc>
          <w:tcPr>
            <w:tcW w:w="3374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KRÁTKODOBÁ AKTIVA</w:t>
            </w:r>
          </w:p>
        </w:tc>
        <w:tc>
          <w:tcPr>
            <w:tcW w:w="2976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231 316 149</w:t>
            </w:r>
          </w:p>
        </w:tc>
        <w:tc>
          <w:tcPr>
            <w:tcW w:w="2115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344 990 638</w:t>
            </w:r>
          </w:p>
        </w:tc>
      </w:tr>
      <w:tr>
        <w:tc>
          <w:tcPr>
            <w:tcW w:w="3374" w:type="dxa"/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aktiva</w:t>
            </w:r>
          </w:p>
        </w:tc>
        <w:tc>
          <w:tcPr>
            <w:tcW w:w="2976" w:type="dxa"/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189 758 096</w:t>
            </w:r>
          </w:p>
        </w:tc>
        <w:tc>
          <w:tcPr>
            <w:tcW w:w="2115" w:type="dxa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120 771 792</w:t>
            </w:r>
          </w:p>
        </w:tc>
      </w:tr>
      <w:tr>
        <w:tc>
          <w:tcPr>
            <w:tcW w:w="3374" w:type="dxa"/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Pohledávky</w:t>
            </w:r>
          </w:p>
        </w:tc>
        <w:tc>
          <w:tcPr>
            <w:tcW w:w="2976" w:type="dxa"/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2115" w:type="dxa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136 093</w:t>
            </w:r>
          </w:p>
        </w:tc>
      </w:tr>
      <w:tr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Peněžní prostředky a peněžní ekvivalenty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41 558 053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224 082 753</w:t>
            </w:r>
          </w:p>
        </w:tc>
      </w:tr>
      <w:tr>
        <w:tc>
          <w:tcPr>
            <w:tcW w:w="3374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AKTIVA CELKEM</w:t>
            </w:r>
          </w:p>
        </w:tc>
        <w:tc>
          <w:tcPr>
            <w:tcW w:w="2976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2 506 658 813</w:t>
            </w:r>
          </w:p>
        </w:tc>
        <w:tc>
          <w:tcPr>
            <w:tcW w:w="2115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2 422 961 124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Rozvaha – Pasiva</w:t>
      </w:r>
    </w:p>
    <w:tbl>
      <w:tblPr>
        <w:tblW w:w="8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2261"/>
      </w:tblGrid>
      <w:t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31. prosince 2018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31. prosince 2017</w:t>
            </w:r>
          </w:p>
        </w:tc>
      </w:tr>
      <w:tr>
        <w:tc>
          <w:tcPr>
            <w:tcW w:w="3936" w:type="dxa"/>
            <w:shd w:val="pct20" w:color="auto" w:fill="auto"/>
          </w:tcPr>
          <w:p>
            <w:pPr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t>ZDROJE OD PŘISPĚVATELŮ</w:t>
            </w:r>
          </w:p>
        </w:tc>
        <w:tc>
          <w:tcPr>
            <w:tcW w:w="2268" w:type="dxa"/>
            <w:shd w:val="pct20" w:color="auto" w:fill="auto"/>
          </w:tcPr>
          <w:p>
            <w:pPr>
              <w:jc w:val="right"/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t>2 295 687 144</w:t>
            </w:r>
          </w:p>
        </w:tc>
        <w:tc>
          <w:tcPr>
            <w:tcW w:w="2261" w:type="dxa"/>
            <w:shd w:val="pct20" w:color="auto" w:fill="auto"/>
          </w:tcPr>
          <w:p>
            <w:pPr>
              <w:jc w:val="right"/>
              <w:rPr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t>2 160 971 521</w:t>
            </w:r>
          </w:p>
        </w:tc>
      </w:tr>
      <w:tr>
        <w:tc>
          <w:tcPr>
            <w:tcW w:w="3936" w:type="dxa"/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Příspěvek Evropské komise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1 846 972 362</w:t>
            </w:r>
          </w:p>
        </w:tc>
        <w:tc>
          <w:tcPr>
            <w:tcW w:w="2261" w:type="dxa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1 709 171 640</w:t>
            </w:r>
          </w:p>
        </w:tc>
      </w:tr>
      <w:tr>
        <w:tc>
          <w:tcPr>
            <w:tcW w:w="3936" w:type="dxa"/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Fond z přecenění reálnou hodnotou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12 227 192</w:t>
            </w:r>
          </w:p>
        </w:tc>
        <w:tc>
          <w:tcPr>
            <w:tcW w:w="2261" w:type="dxa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22 700 055</w:t>
            </w:r>
          </w:p>
        </w:tc>
      </w:tr>
      <w:t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Nerozdělené zisky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436 487 590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429 099 826</w:t>
            </w:r>
          </w:p>
        </w:tc>
      </w:tr>
      <w:tr>
        <w:tc>
          <w:tcPr>
            <w:tcW w:w="3936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DLOUHODOBÉ ZÁVAZKY</w:t>
            </w:r>
          </w:p>
        </w:tc>
        <w:tc>
          <w:tcPr>
            <w:tcW w:w="2268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159 153 609</w:t>
            </w:r>
          </w:p>
        </w:tc>
        <w:tc>
          <w:tcPr>
            <w:tcW w:w="2261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208 033 976</w:t>
            </w:r>
          </w:p>
        </w:tc>
      </w:tr>
      <w:t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rezervy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159 153 609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208 033 976</w:t>
            </w:r>
          </w:p>
        </w:tc>
      </w:tr>
      <w:tr>
        <w:tc>
          <w:tcPr>
            <w:tcW w:w="3936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KRÁTKODOBÉ ZÁVAZKY</w:t>
            </w:r>
          </w:p>
        </w:tc>
        <w:tc>
          <w:tcPr>
            <w:tcW w:w="2268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51 818 060</w:t>
            </w:r>
          </w:p>
        </w:tc>
        <w:tc>
          <w:tcPr>
            <w:tcW w:w="2261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53 955 627</w:t>
            </w:r>
          </w:p>
        </w:tc>
      </w:tr>
      <w:t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rezervy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50 777 871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50 408 230</w:t>
            </w:r>
          </w:p>
        </w:tc>
      </w:tr>
      <w:t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Závazky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1 040 189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3 547 397</w:t>
            </w:r>
          </w:p>
        </w:tc>
      </w:tr>
      <w:tr>
        <w:tc>
          <w:tcPr>
            <w:tcW w:w="3936" w:type="dxa"/>
            <w:shd w:val="pct20" w:color="auto" w:fill="auto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ZDROJE OD PŘISPĚVATELŮ + ZÁVAZKY CELKEM</w:t>
            </w:r>
          </w:p>
        </w:tc>
        <w:tc>
          <w:tcPr>
            <w:tcW w:w="2268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2 506 658 813</w:t>
            </w:r>
          </w:p>
        </w:tc>
        <w:tc>
          <w:tcPr>
            <w:tcW w:w="2261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2 422 961 124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br w:type="page"/>
        <w:t>Rozdíl ve výši 103,2 milionu EUR mezi celkovou účetní hodnotou fondu před konsolidací (2 506 658 813 EUR) a hodnotou fondu uvedenou v účetní závěrce vypracované EIB (2 609 881 748 EUR) je dán převážně těmito skutečnostmi:</w:t>
      </w:r>
    </w:p>
    <w:p>
      <w:pPr>
        <w:numPr>
          <w:ilvl w:val="0"/>
          <w:numId w:val="13"/>
        </w:numPr>
        <w:tabs>
          <w:tab w:val="clear" w:pos="850"/>
        </w:tabs>
        <w:ind w:left="360" w:hanging="360"/>
        <w:rPr>
          <w:noProof/>
        </w:rPr>
      </w:pPr>
      <w:r>
        <w:rPr>
          <w:noProof/>
        </w:rPr>
        <w:t xml:space="preserve">účetní závěrka před konsolidací obsahuje veškeré částky postoupené EU v důsledku plateb ze záruky na základě žádostí EIB v souvislosti s nesplacenými splátkami úvěrů (splatné nedoplatky plus úroky z prodlení), vzhledem k politické situaci v Sýrii a na základě rozhodnutí účetního EK však byly tyto částky v účetní závěrce za rok 2018 vykázány v plné výši jako znehodnocená aktiva, </w:t>
      </w:r>
    </w:p>
    <w:p>
      <w:pPr>
        <w:numPr>
          <w:ilvl w:val="0"/>
          <w:numId w:val="13"/>
        </w:numPr>
        <w:tabs>
          <w:tab w:val="clear" w:pos="850"/>
        </w:tabs>
        <w:ind w:left="360" w:hanging="360"/>
        <w:rPr>
          <w:noProof/>
        </w:rPr>
      </w:pPr>
      <w:r>
        <w:rPr>
          <w:noProof/>
        </w:rPr>
        <w:t xml:space="preserve">účetní závěrka před konsolidací neobsahuje 103,2 milionu EUR příspěvku z rozpočtu EU, který byl do fondu převeden v roce 2019, jelikož tuto pohledávku kompenzuje příslušný závazek v konsolidované účetní závěrce EU, </w:t>
      </w:r>
    </w:p>
    <w:p>
      <w:pPr>
        <w:numPr>
          <w:ilvl w:val="0"/>
          <w:numId w:val="13"/>
        </w:numPr>
        <w:tabs>
          <w:tab w:val="clear" w:pos="850"/>
        </w:tabs>
        <w:ind w:left="360" w:hanging="360"/>
        <w:rPr>
          <w:noProof/>
        </w:rPr>
      </w:pPr>
      <w:r>
        <w:rPr>
          <w:noProof/>
        </w:rPr>
        <w:t xml:space="preserve">v rozvaze za rok 2018 před konsolidací byly vykázány finanční rezervy ve výši 209,9 milionu EUR v souvislosti s budoucími splátkami zbývajících nesplacených syrských úvěrů, </w:t>
      </w:r>
    </w:p>
    <w:p>
      <w:pPr>
        <w:pStyle w:val="ListBullet"/>
        <w:tabs>
          <w:tab w:val="clear" w:pos="283"/>
        </w:tabs>
        <w:ind w:left="360" w:hanging="360"/>
        <w:rPr>
          <w:noProof/>
        </w:rPr>
      </w:pPr>
      <w:r>
        <w:rPr>
          <w:noProof/>
        </w:rPr>
        <w:t>platby ve prospěch EIB spojené s žádostmi o čerpání prostředků ze záručního fondu (a v příslušných případech postupné zpětné získání čerpaných prostředků a úroků z prodlení) jsou v účetní závěrce vypracované EIB vykázány jako pokles (nárůst) čistých aktiv (příspěvku EU). V účetní závěrce před konsolidací nejsou částky vyplacené EIB v souvislosti s příslušnými žádostmi odečteny od čistých aktiv, protože se z nich stanou postoupené částky. Související částky jsou zaúčtovány buď jako výnosy (připsané úroky z prodlení a sankce, kurzové zisky), nebo jako náklady (poplatky za inkaso pohledávek splatné EIB, snížení hodnoty, kurzové ztráty). Výsledkem je trvalý rozdíl mezi položkou čistých aktiv (příspěvek EU a nerozdělený zisk) vykázanou v účetní závěrce vypracované EIB a položkou vykázanou v účetní závěrce před konsolidací vypracované EK.</w:t>
      </w:r>
    </w:p>
    <w:p>
      <w:pPr>
        <w:pStyle w:val="ManualHeading2"/>
        <w:rPr>
          <w:noProof/>
        </w:rPr>
      </w:pPr>
      <w:r>
        <w:rPr>
          <w:noProof/>
        </w:rPr>
        <w:br w:type="page"/>
      </w:r>
      <w:bookmarkStart w:id="39" w:name="_Toc15034229"/>
      <w:r>
        <w:rPr>
          <w:noProof/>
        </w:rPr>
        <w:t>3.2.</w:t>
      </w:r>
      <w:r>
        <w:rPr>
          <w:noProof/>
        </w:rPr>
        <w:tab/>
      </w:r>
      <w:bookmarkStart w:id="40" w:name="_Toc478625446"/>
      <w:r>
        <w:rPr>
          <w:noProof/>
        </w:rPr>
        <w:t>Výkaz o finanční výkonnosti před konsolidací</w:t>
      </w:r>
      <w:bookmarkEnd w:id="40"/>
      <w:bookmarkEnd w:id="39"/>
    </w:p>
    <w:p>
      <w:pPr>
        <w:rPr>
          <w:noProof/>
        </w:rPr>
      </w:pPr>
      <w:r>
        <w:rPr>
          <w:noProof/>
        </w:rPr>
        <w:t xml:space="preserve">Podobně jako rozvaha se k začlenění do konsolidovaných účetních výkazů EU vypracovává i výkaz o finanční výkonnosti před konsolidací.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768"/>
        <w:gridCol w:w="1776"/>
      </w:tblGrid>
      <w:tr>
        <w:tc>
          <w:tcPr>
            <w:tcW w:w="4786" w:type="dxa"/>
            <w:shd w:val="clear" w:color="auto" w:fill="auto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2018</w:t>
            </w:r>
          </w:p>
        </w:tc>
        <w:tc>
          <w:tcPr>
            <w:tcW w:w="177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2017</w:t>
            </w:r>
          </w:p>
        </w:tc>
      </w:tr>
      <w:tr>
        <w:tc>
          <w:tcPr>
            <w:tcW w:w="4786" w:type="dxa"/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Výnosy z provozní činnosti</w:t>
            </w:r>
          </w:p>
        </w:tc>
        <w:tc>
          <w:tcPr>
            <w:tcW w:w="1768" w:type="dxa"/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2 928 446</w:t>
            </w:r>
          </w:p>
        </w:tc>
        <w:tc>
          <w:tcPr>
            <w:tcW w:w="1776" w:type="dxa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939 062</w:t>
            </w:r>
          </w:p>
        </w:tc>
      </w:tr>
      <w:t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Náklady na provozní činnost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(4 876 241)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(3 834 219)</w:t>
            </w:r>
          </w:p>
        </w:tc>
      </w:tr>
      <w:tr>
        <w:tc>
          <w:tcPr>
            <w:tcW w:w="4786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VÝSLEDEK Z PROVOZNÍ ČINNOSTI</w:t>
            </w:r>
          </w:p>
        </w:tc>
        <w:tc>
          <w:tcPr>
            <w:tcW w:w="1768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(1 947 795)</w:t>
            </w:r>
          </w:p>
        </w:tc>
        <w:tc>
          <w:tcPr>
            <w:tcW w:w="1776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(2 895 157)</w:t>
            </w:r>
          </w:p>
        </w:tc>
      </w:tr>
      <w:tr>
        <w:tc>
          <w:tcPr>
            <w:tcW w:w="4786" w:type="dxa"/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výnosy</w:t>
            </w:r>
          </w:p>
        </w:tc>
        <w:tc>
          <w:tcPr>
            <w:tcW w:w="1768" w:type="dxa"/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30 241 834</w:t>
            </w:r>
          </w:p>
        </w:tc>
        <w:tc>
          <w:tcPr>
            <w:tcW w:w="1776" w:type="dxa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29 913 694</w:t>
            </w:r>
          </w:p>
        </w:tc>
      </w:tr>
      <w:t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náklady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(20 906 275)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(51 793 999)</w:t>
            </w:r>
          </w:p>
        </w:tc>
      </w:tr>
      <w:tr>
        <w:tc>
          <w:tcPr>
            <w:tcW w:w="4786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FINANČNÍ VÝSLEDEK</w:t>
            </w:r>
          </w:p>
        </w:tc>
        <w:tc>
          <w:tcPr>
            <w:tcW w:w="1768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9 335 559</w:t>
            </w:r>
          </w:p>
        </w:tc>
        <w:tc>
          <w:tcPr>
            <w:tcW w:w="1776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(21 880 305)</w:t>
            </w:r>
          </w:p>
        </w:tc>
      </w:tr>
      <w:t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noProof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  <w:rPr>
                <w:noProof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noProof/>
              </w:rPr>
            </w:pPr>
          </w:p>
        </w:tc>
      </w:tr>
      <w:tr>
        <w:tc>
          <w:tcPr>
            <w:tcW w:w="4786" w:type="dxa"/>
            <w:shd w:val="pct20" w:color="auto" w:fill="auto"/>
          </w:tcPr>
          <w:p>
            <w:pPr>
              <w:rPr>
                <w:noProof/>
              </w:rPr>
            </w:pPr>
            <w:r>
              <w:rPr>
                <w:noProof/>
              </w:rPr>
              <w:t>VÝSLEDEK HOSPODAŘENÍ ZA DANÝ ROZPOČTOVÝ ROK</w:t>
            </w:r>
          </w:p>
        </w:tc>
        <w:tc>
          <w:tcPr>
            <w:tcW w:w="1768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7 387 764</w:t>
            </w:r>
          </w:p>
        </w:tc>
        <w:tc>
          <w:tcPr>
            <w:tcW w:w="1776" w:type="dxa"/>
            <w:shd w:val="pct20" w:color="auto" w:fill="auto"/>
          </w:tcPr>
          <w:p>
            <w:pPr>
              <w:jc w:val="right"/>
              <w:rPr>
                <w:noProof/>
              </w:rPr>
            </w:pPr>
            <w:r>
              <w:rPr>
                <w:noProof/>
              </w:rPr>
              <w:t>(24 775 462)</w:t>
            </w:r>
          </w:p>
        </w:tc>
      </w:tr>
    </w:tbl>
    <w:p>
      <w:pPr>
        <w:pStyle w:val="ListBullet"/>
        <w:numPr>
          <w:ilvl w:val="0"/>
          <w:numId w:val="0"/>
        </w:numPr>
        <w:ind w:left="283" w:hanging="283"/>
        <w:rPr>
          <w:noProof/>
        </w:rPr>
      </w:pPr>
      <w:bookmarkStart w:id="41" w:name="RANGE!A1:C28"/>
      <w:bookmarkStart w:id="42" w:name="_Toc323019504"/>
      <w:bookmarkStart w:id="43" w:name="_Toc354050130"/>
      <w:bookmarkStart w:id="44" w:name="_Toc358294851"/>
      <w:bookmarkStart w:id="45" w:name="_Toc415838348"/>
      <w:bookmarkEnd w:id="36"/>
      <w:bookmarkEnd w:id="37"/>
      <w:bookmarkEnd w:id="41"/>
    </w:p>
    <w:p>
      <w:pPr>
        <w:pStyle w:val="ListBullet"/>
        <w:tabs>
          <w:tab w:val="clear" w:pos="283"/>
        </w:tabs>
        <w:ind w:left="360" w:hanging="360"/>
        <w:rPr>
          <w:noProof/>
        </w:rPr>
      </w:pPr>
      <w:r>
        <w:rPr>
          <w:noProof/>
        </w:rPr>
        <w:t xml:space="preserve">Výnosy z provozní činnosti zahrnují kurzové zisky a obrácený zůstatek časově rozlišených poplatků EIB z roku 2017 získaný na základě požadavků nové dohody o vymáhání pohledávek podepsané v roce 2018. Nová dohoda již nepočítá s platbou na pokrytí interních nákladů EIB na vymáhání. </w:t>
      </w:r>
    </w:p>
    <w:p>
      <w:pPr>
        <w:pStyle w:val="ListBullet"/>
        <w:tabs>
          <w:tab w:val="clear" w:pos="283"/>
        </w:tabs>
        <w:ind w:left="360" w:hanging="360"/>
        <w:rPr>
          <w:noProof/>
        </w:rPr>
      </w:pPr>
      <w:r>
        <w:rPr>
          <w:noProof/>
        </w:rPr>
        <w:t xml:space="preserve">Náklady na provozní činnost zahrnují zejména poplatky EIB za obhospodařování aktiv (0,9 milionu EUR), externí poplatky za zpětné získání pohledávek splatné EIB (1,9 milionu EUR) a navýšení finančních rezerv týkajících se budoucích syrských nezaplacených splátek (1,9 milionu EUR). </w:t>
      </w:r>
    </w:p>
    <w:p>
      <w:pPr>
        <w:pStyle w:val="ListBullet"/>
        <w:tabs>
          <w:tab w:val="clear" w:pos="283"/>
        </w:tabs>
        <w:ind w:left="360" w:hanging="360"/>
        <w:rPr>
          <w:noProof/>
        </w:rPr>
      </w:pPr>
      <w:r>
        <w:rPr>
          <w:noProof/>
        </w:rPr>
        <w:t>Finanční výnosy zahrnují zejména výnos z úroků z investičního portfolia (6,3 milionu EUR), realizovaný zisk z prodeje finančních aktiv (10,0 milionu EUR) a úroky z prodlení připsané k postoupeným částkám (13,9 milionu EUR).</w:t>
      </w:r>
    </w:p>
    <w:p>
      <w:pPr>
        <w:numPr>
          <w:ilvl w:val="0"/>
          <w:numId w:val="13"/>
        </w:numPr>
        <w:rPr>
          <w:noProof/>
        </w:rPr>
      </w:pPr>
      <w:r>
        <w:rPr>
          <w:noProof/>
        </w:rPr>
        <w:t xml:space="preserve">Finanční náklady zahrnují zejména ztráty (19,6 milionu EUR) ze snížení hodnoty částek postoupených EU v roce 2018 (viz bod 5), úrokové náklady spojené s peněžními prostředky a peněžními ekvivalenty (0,9 milionu EUR) a realizované ztráty z prodeje finančních aktiv (0,5 milionu EUR). </w:t>
      </w:r>
    </w:p>
    <w:p>
      <w:pPr>
        <w:pStyle w:val="ManualHeading1"/>
        <w:rPr>
          <w:noProof/>
        </w:rPr>
      </w:pPr>
      <w:bookmarkStart w:id="46" w:name="_Toc15034230"/>
      <w:bookmarkStart w:id="47" w:name="_Toc478625447"/>
      <w:r>
        <w:rPr>
          <w:noProof/>
        </w:rPr>
        <w:t>4.</w:t>
      </w:r>
      <w:r>
        <w:rPr>
          <w:noProof/>
        </w:rPr>
        <w:tab/>
        <w:t>Správa peněžních prostředků záručního fondu</w:t>
      </w:r>
      <w:bookmarkEnd w:id="46"/>
      <w:r>
        <w:rPr>
          <w:noProof/>
        </w:rPr>
        <w:t xml:space="preserve"> </w:t>
      </w:r>
      <w:bookmarkEnd w:id="47"/>
    </w:p>
    <w:p>
      <w:pPr>
        <w:pStyle w:val="ManualHeading2"/>
        <w:spacing w:before="360"/>
        <w:ind w:left="851" w:hanging="851"/>
        <w:rPr>
          <w:noProof/>
        </w:rPr>
      </w:pPr>
      <w:bookmarkStart w:id="48" w:name="_Toc478037617"/>
      <w:bookmarkStart w:id="49" w:name="_Toc478625455"/>
      <w:bookmarkStart w:id="50" w:name="_Toc15034231"/>
      <w:bookmarkStart w:id="51" w:name="_Toc323019509"/>
      <w:bookmarkEnd w:id="42"/>
      <w:bookmarkEnd w:id="43"/>
      <w:bookmarkEnd w:id="44"/>
      <w:bookmarkEnd w:id="45"/>
      <w:bookmarkEnd w:id="48"/>
      <w:bookmarkEnd w:id="49"/>
      <w:r>
        <w:rPr>
          <w:noProof/>
        </w:rPr>
        <w:t>4.1.</w:t>
      </w:r>
      <w:r>
        <w:rPr>
          <w:noProof/>
        </w:rPr>
        <w:tab/>
      </w:r>
      <w:bookmarkStart w:id="52" w:name="_Toc478625457"/>
      <w:r>
        <w:rPr>
          <w:noProof/>
        </w:rPr>
        <w:t>Investiční politika</w:t>
      </w:r>
      <w:bookmarkEnd w:id="52"/>
      <w:bookmarkEnd w:id="50"/>
      <w:r>
        <w:rPr>
          <w:noProof/>
        </w:rPr>
        <w:t xml:space="preserve"> </w:t>
      </w:r>
    </w:p>
    <w:p>
      <w:pPr>
        <w:rPr>
          <w:noProof/>
        </w:rPr>
      </w:pPr>
      <w:r>
        <w:rPr>
          <w:noProof/>
        </w:rPr>
        <w:t>Likvidní aktiva fondu se investují v souladu s pravidly hospodaření uvedenými v příloze dohody o správě ve znění pozdějších změn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. V souladu s tím se do peněžních aktiv umístí dostatečný objem aktiv k pokrytí krátkodobého odtoku (kratšího než jeden rok), a to v poměru, který je stanoven v roční investiční strategii. Zbývající aktiva mohou být přidělena na střednědobé a dlouhodobé nástroje s maximální dobou splatnosti deset let a šest měsíců od data platby (střednědobé a dlouhodobé portfolio). </w:t>
      </w:r>
    </w:p>
    <w:p>
      <w:pPr>
        <w:pStyle w:val="ManualHeading2"/>
        <w:spacing w:before="360"/>
        <w:ind w:left="851" w:hanging="851"/>
        <w:rPr>
          <w:noProof/>
        </w:rPr>
      </w:pPr>
      <w:bookmarkStart w:id="53" w:name="_Toc15034232"/>
      <w:r>
        <w:rPr>
          <w:noProof/>
        </w:rPr>
        <w:t>4.2.</w:t>
      </w:r>
      <w:r>
        <w:rPr>
          <w:noProof/>
        </w:rPr>
        <w:tab/>
      </w:r>
      <w:r>
        <w:rPr>
          <w:noProof/>
        </w:rPr>
        <w:tab/>
        <w:t>Výkonnost a vývoj na trhu v roce 2018</w:t>
      </w:r>
      <w:bookmarkEnd w:id="53"/>
    </w:p>
    <w:p>
      <w:pPr>
        <w:rPr>
          <w:noProof/>
        </w:rPr>
      </w:pPr>
      <w:r>
        <w:rPr>
          <w:noProof/>
        </w:rPr>
        <w:t>Rok 2018 se vyznačoval nestabilními pohyby výnosů na evropských trzích s nástroji s pevným výnosem, přičemž v prvním čtvrtletí byla zaznamenána vyšší míra výnosů z důvodu očekáváného ukončení politiky kvantitativního uvolňování ECB. Na konci roku se pak sazby posunuly na roční minimum v důsledku zpomalení hospodářského růstu. Úvěrová rozpětí se v průběhu roku zvyšovala a v prosinci došlo k dalšímu zrychlení v souvislosti s poklesem na akciových trzích a očekáváním přísnějších měnových politik.</w:t>
      </w:r>
    </w:p>
    <w:p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Finanční trhy byly v průběhu roku ovlivněny následujícími rizikovými faktory. Zavedení obchodních cel prezidentem Trumpem zpomalilo hospodářský růst a inflace zůstala nižší než cíle centrální banky z důvodu nízkých cen komodit a faktorů globalizace. Nejistá perspektiva jednání o brexitu měla dopad na finanční podniky a korporace ve Spojeném království. Květen poznamenaly důsledky březnových voleb v Itálii – rozpětí pro Itálii se v porovnání s Německem rozšířilo na více než 250 bazických bodů. </w:t>
      </w:r>
    </w:p>
    <w:p>
      <w:pPr>
        <w:rPr>
          <w:noProof/>
        </w:rPr>
      </w:pPr>
      <w:r>
        <w:rPr>
          <w:noProof/>
        </w:rPr>
        <w:t>V roce 2018 také došlo ke zpřísnění měnové politiky hlavních světových centrálních bank. Federální rezervní systém USA (FED) i nadále pokračoval v cyklickém zvyšování signálních úrokových sazeb („rate hike cycle“), přičemž v každém čtvrtletí došlo ke zvýšení o 25 bazických bodů, čímž se do konce roku zvýšilo rozpětí cílové mezibankovní úrokové sazby pro rezervní fondy na 2,50–2,75 %. ECB v září snížila čistý měsíční nákup aktiv v rámci své politiky kvantitativního uvolňování ze 30 miliard EUR na 15 miliard EUR a poté čisté nákupy ke konci roku 2018 ukončila. Reinvestice splatných dluhopisů do rozvahy ECB bude i nadále podporovat trhy. V poslední době je však měnová politika na obou stranách Atlantiku vzhledem k rostoucí nejistotě umírněnější. Trh již dále neočekává zvyšování signálních úrokových sazeb FED a první zvýšení úrokové sazby ECB bylo odloženo na rok 2020. Očekává se, že v roce 2019 dojde v porovnání s rokem 2018 ke zpomalení hospodářského růstu: v USA z 2,9 % na 2,5 % a v eurozóně z 1,9 % na 1,4 %.</w:t>
      </w:r>
    </w:p>
    <w:p>
      <w:pPr>
        <w:rPr>
          <w:noProof/>
        </w:rPr>
      </w:pPr>
      <w:r>
        <w:rPr>
          <w:noProof/>
        </w:rPr>
        <w:t>Předpokládá se, že volatilita na trzích přetrvá i v roce 2019, neboť nejistota v souvislosti s brexitem a zpomalení růstu budou mít vliv na tržní sazby, které se v současné době blíží historickému minimu. Zároveň dochází k rozšiřování úvěrových rozpětí, neboť hospodářský cyklus USA se blíží ke konci a v EU byly ukončeny nákupy aktiv ze strany centrální banky.</w:t>
      </w:r>
    </w:p>
    <w:p>
      <w:pPr>
        <w:rPr>
          <w:noProof/>
        </w:rPr>
      </w:pPr>
      <w:r>
        <w:rPr>
          <w:noProof/>
        </w:rPr>
        <w:t xml:space="preserve">Výkonnost portfolia fondu byla sledována na základě tržního ocenění („mark-to-market“, MTM) (reálná hodnota). V roce 2018 vykázalo portfolio roční výnosnost 0,1005 % MTM, čímž překonalo svou referenční úroveň o +13,5 bazického bodu.  </w:t>
      </w:r>
    </w:p>
    <w:p>
      <w:pPr>
        <w:pStyle w:val="ManualHeading1"/>
        <w:rPr>
          <w:noProof/>
        </w:rPr>
      </w:pPr>
      <w:bookmarkStart w:id="54" w:name="_Toc15034233"/>
      <w:bookmarkStart w:id="55" w:name="_Toc478625464"/>
      <w:bookmarkEnd w:id="51"/>
      <w:r>
        <w:rPr>
          <w:noProof/>
        </w:rPr>
        <w:t>5.</w:t>
      </w:r>
      <w:r>
        <w:rPr>
          <w:noProof/>
        </w:rPr>
        <w:tab/>
        <w:t>Žádosti o čerpání ze záručního fondu</w:t>
      </w:r>
      <w:bookmarkEnd w:id="54"/>
      <w:r>
        <w:rPr>
          <w:noProof/>
        </w:rPr>
        <w:t xml:space="preserve"> </w:t>
      </w:r>
      <w:bookmarkEnd w:id="55"/>
    </w:p>
    <w:p>
      <w:pPr>
        <w:keepNext/>
        <w:spacing w:after="0"/>
        <w:rPr>
          <w:b/>
          <w:noProof/>
          <w:u w:val="single"/>
        </w:rPr>
      </w:pPr>
      <w:r>
        <w:rPr>
          <w:b/>
          <w:noProof/>
          <w:u w:val="single"/>
        </w:rPr>
        <w:t>Sýrie</w:t>
      </w:r>
    </w:p>
    <w:p>
      <w:pPr>
        <w:rPr>
          <w:noProof/>
        </w:rPr>
      </w:pPr>
      <w:r>
        <w:rPr>
          <w:noProof/>
        </w:rPr>
        <w:t xml:space="preserve">Od listopadu 2011 zaznamenává EIB u splátek syrských státních úvěrů prodlení. V důsledku toho a v souladu s dohodami o záruce mezi EU a EIB podala EIB do 31. prosince 2018 63 žádostí o platby ze záručního fondu EU v celkové výši 421,05 milionu EUR (včetně sankcí uplatněných EIB a inkasovaných pohledávek). </w:t>
      </w:r>
    </w:p>
    <w:p>
      <w:pPr>
        <w:spacing w:after="0"/>
        <w:rPr>
          <w:b/>
          <w:noProof/>
          <w:u w:val="single"/>
        </w:rPr>
      </w:pPr>
      <w:r>
        <w:rPr>
          <w:b/>
          <w:noProof/>
          <w:u w:val="single"/>
        </w:rPr>
        <w:t>Letiště Enfidha (Tunisko)</w:t>
      </w:r>
    </w:p>
    <w:p>
      <w:pPr>
        <w:rPr>
          <w:noProof/>
        </w:rPr>
      </w:pPr>
      <w:r>
        <w:rPr>
          <w:noProof/>
        </w:rPr>
        <w:t>V lednu roku 2018 získala EIB zpět částku 136 092,88 EUR z úvěru poskytnutého letišti Enfidha (Tunisko), která byla připsána na bankovní účet Záručního fondu pro vnější vztahy.</w:t>
      </w:r>
    </w:p>
    <w:p>
      <w:pPr>
        <w:pStyle w:val="ManualHeading1"/>
        <w:rPr>
          <w:noProof/>
        </w:rPr>
      </w:pPr>
      <w:bookmarkStart w:id="56" w:name="_Toc323019515"/>
      <w:bookmarkStart w:id="57" w:name="_Toc354050137"/>
      <w:bookmarkStart w:id="58" w:name="_Toc358294858"/>
      <w:bookmarkStart w:id="59" w:name="_Toc415838355"/>
      <w:bookmarkStart w:id="60" w:name="_Toc15034234"/>
      <w:bookmarkStart w:id="61" w:name="_Toc478625467"/>
      <w:r>
        <w:rPr>
          <w:noProof/>
        </w:rPr>
        <w:t>6.</w:t>
      </w:r>
      <w:r>
        <w:rPr>
          <w:noProof/>
        </w:rPr>
        <w:tab/>
        <w:t>Odměna pro EIB</w:t>
      </w:r>
      <w:bookmarkEnd w:id="56"/>
      <w:bookmarkEnd w:id="57"/>
      <w:bookmarkEnd w:id="58"/>
      <w:bookmarkEnd w:id="59"/>
      <w:bookmarkEnd w:id="60"/>
      <w:r>
        <w:rPr>
          <w:noProof/>
        </w:rPr>
        <w:t xml:space="preserve"> </w:t>
      </w:r>
      <w:bookmarkEnd w:id="61"/>
    </w:p>
    <w:p>
      <w:pPr>
        <w:rPr>
          <w:noProof/>
        </w:rPr>
      </w:pPr>
      <w:r>
        <w:rPr>
          <w:noProof/>
        </w:rPr>
        <w:t>Odměnu pro EIB tvoří poplatky za správu a poplatky za inkaso pohledávek. Poplatky za správu se týkají obhospodařování aktiv fondu. Poplatky za inkaso pohledávek jsou určeny na pokrytí externích nákladů vzniklých EIB v souvislosti s vymáháním pohledávek v prodlení, na něž se vztahuje záruka EU na finanční operace EIB mimo Unii.</w:t>
      </w:r>
    </w:p>
    <w:p>
      <w:pPr>
        <w:rPr>
          <w:noProof/>
        </w:rPr>
      </w:pPr>
      <w:r>
        <w:rPr>
          <w:noProof/>
        </w:rPr>
        <w:t>Druhá Dodatková dohoda k dohodě ze dne 8. května 2002 stanoví, že poplatky za správu pro banku se vypočítávají použitím degresivní roční sazby poplatků na každou tranši aktiv fondu. Při výpočtu odměny se vychází z ročních průměrných aktiv fondu.</w:t>
      </w:r>
    </w:p>
    <w:p>
      <w:pPr>
        <w:rPr>
          <w:noProof/>
        </w:rPr>
      </w:pPr>
      <w:r>
        <w:rPr>
          <w:noProof/>
        </w:rPr>
        <w:t xml:space="preserve">Poplatky za správu pro banku za rok 2018 byly stanoveny na 894 626 EUR a byly zaúčtovány ve výkazu o finanční výkonnosti jako náklad a v rozvaze jako výdaje příštích období (na straně pasiv). </w:t>
      </w:r>
      <w:bookmarkStart w:id="62" w:name="_CopyToNewDocument_"/>
      <w:bookmarkEnd w:id="62"/>
      <w:r>
        <w:rPr>
          <w:noProof/>
        </w:rPr>
        <w:t xml:space="preserve"> </w:t>
      </w:r>
    </w:p>
    <w:p>
      <w:pPr>
        <w:rPr>
          <w:rFonts w:ascii="Calibri" w:hAnsi="Calibri"/>
          <w:noProof/>
          <w:color w:val="000000"/>
          <w:sz w:val="22"/>
          <w:szCs w:val="22"/>
        </w:rPr>
      </w:pPr>
      <w:r>
        <w:rPr>
          <w:noProof/>
        </w:rPr>
        <w:t xml:space="preserve">Dohoda o vymáhání pohledávek podepsaná mezi Komisí a EIB v prosinci 2018 předpokládá platbu pouze za externí výdaje EIB na vymáhání pohledávek (a dále již nepočítá s platbou za výdaje interní). 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CS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278962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ind w:left="360" w:hanging="360"/>
      </w:pPr>
      <w:r>
        <w:rPr>
          <w:rStyle w:val="FootnoteReference"/>
        </w:rPr>
        <w:footnoteRef/>
      </w:r>
      <w:r>
        <w:tab/>
        <w:t>Úř. věst. L 145, 10.6.2009, s. 10; uvedeným nařízením bylo kodifikováno a zrušeno nařízení Rady (ES, Euratom) č. 2728/94 ze dne 31. října 1994, kterým se zřizuje Záruční fond pro vnější vztahy. Dne 14. března 2018 bylo změněno nařízením Evropského parlamentu a Rady (EU) 2018/409.</w:t>
      </w:r>
    </w:p>
  </w:footnote>
  <w:footnote w:id="2">
    <w:p>
      <w:pPr>
        <w:pStyle w:val="FootnoteText"/>
        <w:ind w:left="360" w:hanging="360"/>
      </w:pPr>
      <w:r>
        <w:rPr>
          <w:rStyle w:val="FootnoteReference"/>
        </w:rPr>
        <w:footnoteRef/>
      </w:r>
      <w:r>
        <w:tab/>
        <w:t>Dodatková dohoda č. 5 k dohodě mezi Evropskou unií a Evropským investičním fondem o správě záručního fondu – ref. č. Ares (2018) 5207374 ze dne 10. října 2018.</w:t>
      </w:r>
    </w:p>
  </w:footnote>
  <w:footnote w:id="3">
    <w:p>
      <w:pPr>
        <w:pStyle w:val="FootnoteText"/>
        <w:ind w:left="360" w:hanging="360"/>
      </w:pPr>
      <w:r>
        <w:rPr>
          <w:rStyle w:val="FootnoteReference"/>
        </w:rPr>
        <w:footnoteRef/>
      </w:r>
      <w:r>
        <w:tab/>
        <w:t>Pozměněna Dodatkovou dohodou č. 1 ze dne 23. září 1996, Dodatkovou dohodou č. 2 ze dne 8. května 2002, Dodatkovou dohodou č. 3 ze dne 25. února 2008, Dodatkovou dohodou č. 4 ze dne 9. listopadu 2010 a Dodatkovou dohodou č. 5 ze září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33ABA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8FFC5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EEC82E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1"/>
    <w:multiLevelType w:val="singleLevel"/>
    <w:tmpl w:val="CDC48C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634D4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2F690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1D6A4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CB477BA"/>
    <w:multiLevelType w:val="multilevel"/>
    <w:tmpl w:val="9E24730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F212747"/>
    <w:multiLevelType w:val="multilevel"/>
    <w:tmpl w:val="FBD0F488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15592001"/>
    <w:multiLevelType w:val="singleLevel"/>
    <w:tmpl w:val="3C6C7C7E"/>
    <w:lvl w:ilvl="0">
      <w:start w:val="1"/>
      <w:numFmt w:val="bullet"/>
      <w:lvlRestart w:val="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1">
    <w:nsid w:val="2AF76E7A"/>
    <w:multiLevelType w:val="singleLevel"/>
    <w:tmpl w:val="C74C5A32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2">
    <w:nsid w:val="2F076C74"/>
    <w:multiLevelType w:val="multilevel"/>
    <w:tmpl w:val="72EA1244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13">
    <w:nsid w:val="3A5459E8"/>
    <w:multiLevelType w:val="singleLevel"/>
    <w:tmpl w:val="2188C922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3BA736C9"/>
    <w:multiLevelType w:val="singleLevel"/>
    <w:tmpl w:val="F00A6C0C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3C90278F"/>
    <w:multiLevelType w:val="singleLevel"/>
    <w:tmpl w:val="0FE08974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>
    <w:nsid w:val="40FF3500"/>
    <w:multiLevelType w:val="singleLevel"/>
    <w:tmpl w:val="84DA1EE8"/>
    <w:name w:val="Default"/>
    <w:lvl w:ilvl="0">
      <w:start w:val="1"/>
      <w:numFmt w:val="bullet"/>
      <w:lvlRestart w:val="0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43001DEE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8842C30"/>
    <w:multiLevelType w:val="singleLevel"/>
    <w:tmpl w:val="4FA60B9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>
    <w:nsid w:val="54593082"/>
    <w:multiLevelType w:val="singleLevel"/>
    <w:tmpl w:val="EDE069AC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0">
    <w:nsid w:val="568864DC"/>
    <w:multiLevelType w:val="singleLevel"/>
    <w:tmpl w:val="485EBDAC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>
    <w:nsid w:val="5D432F82"/>
    <w:multiLevelType w:val="hybridMultilevel"/>
    <w:tmpl w:val="5F7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42530"/>
    <w:multiLevelType w:val="singleLevel"/>
    <w:tmpl w:val="D5444702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3">
    <w:nsid w:val="5F9C40AA"/>
    <w:multiLevelType w:val="singleLevel"/>
    <w:tmpl w:val="B89CB5A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4">
    <w:nsid w:val="62970F71"/>
    <w:multiLevelType w:val="singleLevel"/>
    <w:tmpl w:val="5AFA8C72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>
    <w:nsid w:val="63B26268"/>
    <w:multiLevelType w:val="singleLevel"/>
    <w:tmpl w:val="491E6360"/>
    <w:name w:val="Heading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6">
    <w:nsid w:val="69995580"/>
    <w:multiLevelType w:val="singleLevel"/>
    <w:tmpl w:val="75CC7CBA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7">
    <w:nsid w:val="6D2B5511"/>
    <w:multiLevelType w:val="singleLevel"/>
    <w:tmpl w:val="74A09970"/>
    <w:name w:val="0.6452252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8">
    <w:nsid w:val="7BE95D7F"/>
    <w:multiLevelType w:val="multilevel"/>
    <w:tmpl w:val="F126F780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22"/>
  </w:num>
  <w:num w:numId="5">
    <w:abstractNumId w:val="18"/>
  </w:num>
  <w:num w:numId="6">
    <w:abstractNumId w:val="26"/>
  </w:num>
  <w:num w:numId="7">
    <w:abstractNumId w:val="28"/>
  </w:num>
  <w:num w:numId="8">
    <w:abstractNumId w:val="14"/>
  </w:num>
  <w:num w:numId="9">
    <w:abstractNumId w:val="13"/>
  </w:num>
  <w:num w:numId="10">
    <w:abstractNumId w:val="24"/>
  </w:num>
  <w:num w:numId="11">
    <w:abstractNumId w:val="15"/>
  </w:num>
  <w:num w:numId="12">
    <w:abstractNumId w:val="20"/>
  </w:num>
  <w:num w:numId="13">
    <w:abstractNumId w:val="12"/>
  </w:num>
  <w:num w:numId="14">
    <w:abstractNumId w:val="10"/>
  </w:num>
  <w:num w:numId="15">
    <w:abstractNumId w:val="27"/>
  </w:num>
  <w:num w:numId="16">
    <w:abstractNumId w:val="5"/>
  </w:num>
  <w:num w:numId="17">
    <w:abstractNumId w:val="4"/>
  </w:num>
  <w:num w:numId="18">
    <w:abstractNumId w:val="3"/>
  </w:num>
  <w:num w:numId="19">
    <w:abstractNumId w:val="6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8"/>
  </w:num>
  <w:num w:numId="25">
    <w:abstractNumId w:val="8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1"/>
  </w:num>
  <w:num w:numId="2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084AE4A0-F53A-4ABA-9ADF-EC3DBC9883CD"/>
    <w:docVar w:name="LW_COVERPAGE_TYPE" w:val="1"/>
    <w:docVar w:name="LW_CROSSREFERENCE" w:val="{SWD(2019) 314 final}"/>
    <w:docVar w:name="LW_DocType" w:val="NORMAL"/>
    <w:docVar w:name="LW_EMISSION" w:val="5.8.2019"/>
    <w:docVar w:name="LW_EMISSION_ISODATE" w:val="2019-08-05"/>
    <w:docVar w:name="LW_EMISSION_LOCATION" w:val="BRX"/>
    <w:docVar w:name="LW_EMISSION_PREFIX" w:val="V Bruselu dne "/>
    <w:docVar w:name="LW_EMISSION_SUFFIX" w:val=" "/>
    <w:docVar w:name="LW_ID_DOCTYPE_NONLW" w:val="CP-006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9) 36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O ZÁRU\u268?NÍM FONDU PRO VN\u282?J\u352?Í VZTAHY A JEHO SPRÁV\u282? V ROCE 2018_x000b_"/>
    <w:docVar w:name="LW_TYPE.DOC.CP" w:val="ZPRÁVA KOMISE EVROPSKÉMU PARLAMENTU A RAD\u28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4"/>
      </w:numPr>
      <w:spacing w:before="360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4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numPr>
        <w:ilvl w:val="2"/>
        <w:numId w:val="24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mpagnant">
    <w:name w:val="Accompagnant"/>
    <w:basedOn w:val="Normal"/>
    <w:next w:val="Normal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"/>
  </w:style>
  <w:style w:type="character" w:customStyle="1" w:styleId="Added">
    <w:name w:val="Added"/>
    <w:rPr>
      <w:b/>
      <w:u w:val="single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Normal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Bullet0">
    <w:name w:val="Bullet 0"/>
    <w:basedOn w:val="Normal"/>
    <w:pPr>
      <w:numPr>
        <w:numId w:val="1"/>
      </w:numPr>
    </w:p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Bullet2">
    <w:name w:val="Bullet 2"/>
    <w:basedOn w:val="Normal"/>
    <w:pPr>
      <w:numPr>
        <w:numId w:val="3"/>
      </w:numPr>
    </w:pPr>
  </w:style>
  <w:style w:type="paragraph" w:customStyle="1" w:styleId="Bullet3">
    <w:name w:val="Bullet 3"/>
    <w:basedOn w:val="Normal"/>
    <w:pPr>
      <w:numPr>
        <w:numId w:val="4"/>
      </w:numPr>
    </w:pPr>
  </w:style>
  <w:style w:type="paragraph" w:customStyle="1" w:styleId="Bullet4">
    <w:name w:val="Bullet 4"/>
    <w:basedOn w:val="Normal"/>
    <w:pPr>
      <w:numPr>
        <w:numId w:val="5"/>
      </w:numPr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Normal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"/>
    <w:pPr>
      <w:numPr>
        <w:numId w:val="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Normal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"/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Emission">
    <w:name w:val="Emission"/>
    <w:basedOn w:val="Normal"/>
    <w:next w:val="Normal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Normal"/>
    <w:pPr>
      <w:keepNext/>
      <w:spacing w:after="0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szCs w:val="2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rFonts w:eastAsia="Calibri"/>
      <w:szCs w:val="22"/>
    </w:rPr>
  </w:style>
  <w:style w:type="character" w:styleId="FootnoteReference">
    <w:name w:val="footnote reference"/>
    <w:uiPriority w:val="99"/>
    <w:rPr>
      <w:shd w:val="clear" w:color="auto" w:fill="auto"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before="0" w:after="0"/>
      <w:ind w:left="720" w:hanging="720"/>
    </w:pPr>
    <w:rPr>
      <w:sz w:val="20"/>
      <w:szCs w:val="20"/>
    </w:rPr>
  </w:style>
  <w:style w:type="paragraph" w:customStyle="1" w:styleId="Formuledadoption">
    <w:name w:val="Formule d'adoption"/>
    <w:basedOn w:val="Normal"/>
    <w:next w:val="Normal"/>
    <w:pPr>
      <w:keepNext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Normal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IntrtEEEPagedecouverture">
    <w:name w:val="Intérêt EEE (Page de couverture)"/>
    <w:basedOn w:val="IntrtEEE"/>
    <w:next w:val="Normal"/>
  </w:style>
  <w:style w:type="paragraph" w:customStyle="1" w:styleId="Langue">
    <w:name w:val="Langue"/>
    <w:basedOn w:val="Normal"/>
    <w:next w:val="Normal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Normal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Normal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"/>
    <w:next w:val="Normal"/>
    <w:pPr>
      <w:ind w:left="850" w:hanging="850"/>
    </w:pPr>
  </w:style>
  <w:style w:type="paragraph" w:customStyle="1" w:styleId="ManualNumPar2">
    <w:name w:val="Manual NumPar 2"/>
    <w:basedOn w:val="Normal"/>
    <w:next w:val="Normal"/>
    <w:pPr>
      <w:ind w:left="850" w:hanging="850"/>
    </w:pPr>
  </w:style>
  <w:style w:type="paragraph" w:customStyle="1" w:styleId="ManualNumPar3">
    <w:name w:val="Manual NumPar 3"/>
    <w:basedOn w:val="Normal"/>
    <w:next w:val="Normal"/>
    <w:pPr>
      <w:ind w:left="850" w:hanging="850"/>
    </w:pPr>
  </w:style>
  <w:style w:type="paragraph" w:customStyle="1" w:styleId="ManualNumPar4">
    <w:name w:val="Manual NumPar 4"/>
    <w:basedOn w:val="Normal"/>
    <w:next w:val="Normal"/>
    <w:pPr>
      <w:ind w:left="850" w:hanging="850"/>
    </w:p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NumPar1">
    <w:name w:val="NumPar 1"/>
    <w:basedOn w:val="Normal"/>
    <w:next w:val="Normal"/>
    <w:pPr>
      <w:numPr>
        <w:numId w:val="23"/>
      </w:numPr>
    </w:pPr>
  </w:style>
  <w:style w:type="paragraph" w:customStyle="1" w:styleId="NumPar2">
    <w:name w:val="NumPar 2"/>
    <w:basedOn w:val="Normal"/>
    <w:next w:val="Normal"/>
    <w:pPr>
      <w:numPr>
        <w:ilvl w:val="1"/>
        <w:numId w:val="23"/>
      </w:numPr>
    </w:pPr>
  </w:style>
  <w:style w:type="paragraph" w:customStyle="1" w:styleId="NumPar3">
    <w:name w:val="NumPar 3"/>
    <w:basedOn w:val="Normal"/>
    <w:next w:val="Normal"/>
    <w:pPr>
      <w:numPr>
        <w:ilvl w:val="2"/>
        <w:numId w:val="23"/>
      </w:numPr>
    </w:pPr>
  </w:style>
  <w:style w:type="paragraph" w:customStyle="1" w:styleId="NumPar4">
    <w:name w:val="NumPar 4"/>
    <w:basedOn w:val="Normal"/>
    <w:next w:val="Normal"/>
    <w:pPr>
      <w:numPr>
        <w:ilvl w:val="3"/>
        <w:numId w:val="23"/>
      </w:numPr>
    </w:pPr>
  </w:style>
  <w:style w:type="paragraph" w:customStyle="1" w:styleId="Objetacteprincipal">
    <w:name w:val="Objet acte principal"/>
    <w:basedOn w:val="Normal"/>
    <w:next w:val="Normal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"/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0letter">
    <w:name w:val="Point 0 (letter)"/>
    <w:basedOn w:val="Normal"/>
  </w:style>
  <w:style w:type="paragraph" w:customStyle="1" w:styleId="Point0number">
    <w:name w:val="Point 0 (number)"/>
    <w:basedOn w:val="Normal"/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1letter">
    <w:name w:val="Point 1 (letter)"/>
    <w:basedOn w:val="Normal"/>
  </w:style>
  <w:style w:type="paragraph" w:customStyle="1" w:styleId="Point1number">
    <w:name w:val="Point 1 (number)"/>
    <w:basedOn w:val="Normal"/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2letter">
    <w:name w:val="Point 2 (letter)"/>
    <w:basedOn w:val="Normal"/>
    <w:pPr>
      <w:numPr>
        <w:ilvl w:val="5"/>
        <w:numId w:val="7"/>
      </w:numPr>
    </w:pPr>
  </w:style>
  <w:style w:type="paragraph" w:customStyle="1" w:styleId="Point2number">
    <w:name w:val="Point 2 (number)"/>
    <w:basedOn w:val="Normal"/>
    <w:pPr>
      <w:numPr>
        <w:ilvl w:val="4"/>
        <w:numId w:val="7"/>
      </w:numPr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3letter">
    <w:name w:val="Point 3 (letter)"/>
    <w:basedOn w:val="Normal"/>
    <w:pPr>
      <w:numPr>
        <w:ilvl w:val="7"/>
        <w:numId w:val="7"/>
      </w:numPr>
    </w:pPr>
  </w:style>
  <w:style w:type="paragraph" w:customStyle="1" w:styleId="Point3number">
    <w:name w:val="Point 3 (number)"/>
    <w:basedOn w:val="Normal"/>
    <w:pPr>
      <w:numPr>
        <w:ilvl w:val="6"/>
        <w:numId w:val="7"/>
      </w:numPr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4letter">
    <w:name w:val="Point 4 (letter)"/>
    <w:basedOn w:val="Normal"/>
    <w:pPr>
      <w:numPr>
        <w:ilvl w:val="8"/>
        <w:numId w:val="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Normal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">
    <w:name w:val="Statut"/>
    <w:basedOn w:val="Normal"/>
    <w:next w:val="Normal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"/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iret0">
    <w:name w:val="Tiret 0"/>
    <w:basedOn w:val="Point0"/>
    <w:pPr>
      <w:numPr>
        <w:numId w:val="8"/>
      </w:numPr>
    </w:pPr>
  </w:style>
  <w:style w:type="paragraph" w:customStyle="1" w:styleId="Tiret1">
    <w:name w:val="Tiret 1"/>
    <w:basedOn w:val="Point1"/>
    <w:pPr>
      <w:numPr>
        <w:numId w:val="9"/>
      </w:numPr>
    </w:pPr>
  </w:style>
  <w:style w:type="paragraph" w:customStyle="1" w:styleId="Tiret2">
    <w:name w:val="Tiret 2"/>
    <w:basedOn w:val="Point2"/>
    <w:pPr>
      <w:numPr>
        <w:numId w:val="10"/>
      </w:numPr>
    </w:pPr>
  </w:style>
  <w:style w:type="paragraph" w:customStyle="1" w:styleId="Tiret3">
    <w:name w:val="Tiret 3"/>
    <w:basedOn w:val="Point3"/>
    <w:pPr>
      <w:numPr>
        <w:numId w:val="11"/>
      </w:numPr>
    </w:pPr>
  </w:style>
  <w:style w:type="paragraph" w:customStyle="1" w:styleId="Tiret4">
    <w:name w:val="Tiret 4"/>
    <w:basedOn w:val="Point4"/>
    <w:pPr>
      <w:numPr>
        <w:numId w:val="12"/>
      </w:numPr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</w:pPr>
  </w:style>
  <w:style w:type="paragraph" w:styleId="TOCHeading">
    <w:name w:val="TOC Heading"/>
    <w:basedOn w:val="Normal"/>
    <w:next w:val="Normal"/>
    <w:link w:val="TOCHeadingChar"/>
    <w:uiPriority w:val="39"/>
    <w:qFormat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styleId="ListBullet">
    <w:name w:val="List Bullet"/>
    <w:basedOn w:val="Normal"/>
    <w:pPr>
      <w:numPr>
        <w:numId w:val="15"/>
      </w:numPr>
    </w:pPr>
  </w:style>
  <w:style w:type="table" w:styleId="TableGrid">
    <w:name w:val="Table Grid"/>
    <w:basedOn w:val="TableNormal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shd w:val="clear" w:color="auto" w:fill="auto"/>
      <w:lang w:eastAsia="cs-CZ"/>
    </w:rPr>
  </w:style>
  <w:style w:type="paragraph" w:styleId="ListBullet2">
    <w:name w:val="List Bullet 2"/>
    <w:basedOn w:val="Normal"/>
    <w:pPr>
      <w:numPr>
        <w:numId w:val="16"/>
      </w:numPr>
    </w:pPr>
  </w:style>
  <w:style w:type="paragraph" w:styleId="ListBullet3">
    <w:name w:val="List Bullet 3"/>
    <w:basedOn w:val="Normal"/>
    <w:pPr>
      <w:numPr>
        <w:numId w:val="17"/>
      </w:numPr>
    </w:pPr>
  </w:style>
  <w:style w:type="paragraph" w:styleId="ListBullet4">
    <w:name w:val="List Bullet 4"/>
    <w:basedOn w:val="Normal"/>
    <w:pPr>
      <w:numPr>
        <w:numId w:val="18"/>
      </w:numPr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</w:style>
  <w:style w:type="paragraph" w:styleId="ListNumber">
    <w:name w:val="List Number"/>
    <w:basedOn w:val="Normal"/>
    <w:pPr>
      <w:numPr>
        <w:numId w:val="19"/>
      </w:numPr>
    </w:pPr>
  </w:style>
  <w:style w:type="paragraph" w:styleId="ListNumber2">
    <w:name w:val="List Number 2"/>
    <w:basedOn w:val="Normal"/>
    <w:pPr>
      <w:numPr>
        <w:numId w:val="20"/>
      </w:numPr>
    </w:pPr>
  </w:style>
  <w:style w:type="paragraph" w:styleId="ListNumber3">
    <w:name w:val="List Number 3"/>
    <w:basedOn w:val="Normal"/>
    <w:pPr>
      <w:numPr>
        <w:numId w:val="21"/>
      </w:numPr>
    </w:pPr>
  </w:style>
  <w:style w:type="paragraph" w:styleId="ListNumber4">
    <w:name w:val="List Number 4"/>
    <w:basedOn w:val="Normal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rPr>
      <w:shd w:val="clear" w:color="auto" w:fill="auto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shd w:val="clear" w:color="auto" w:fill="auto"/>
      <w:lang w:eastAsia="cs-CZ"/>
    </w:rPr>
  </w:style>
  <w:style w:type="character" w:styleId="Hyperlink">
    <w:name w:val="Hyperlink"/>
    <w:uiPriority w:val="99"/>
    <w:rPr>
      <w:rFonts w:cs="Times New Roman"/>
      <w:color w:val="0000FF"/>
      <w:u w:val="single"/>
      <w:shd w:val="clear" w:color="auto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TOCHeadingChar">
    <w:name w:val="TOC Heading Char"/>
    <w:link w:val="TOCHeading"/>
    <w:uiPriority w:val="39"/>
    <w:rPr>
      <w:b/>
      <w:sz w:val="28"/>
      <w:szCs w:val="24"/>
      <w:shd w:val="clear" w:color="auto" w:fill="auto"/>
      <w:lang w:eastAsia="cs-CZ"/>
    </w:rPr>
  </w:style>
  <w:style w:type="character" w:customStyle="1" w:styleId="FooterCoverPageChar">
    <w:name w:val="Footer Cover Page Char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link w:val="HeaderCoverPage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Pr>
      <w:lang w:eastAsia="cs-CZ"/>
    </w:rPr>
  </w:style>
  <w:style w:type="character" w:customStyle="1" w:styleId="Heading4Char">
    <w:name w:val="Heading 4 Char"/>
    <w:link w:val="Heading4"/>
    <w:rPr>
      <w:bCs/>
      <w:sz w:val="24"/>
      <w:szCs w:val="28"/>
      <w:lang w:eastAsia="cs-CZ"/>
    </w:rPr>
  </w:style>
  <w:style w:type="character" w:customStyle="1" w:styleId="FooterChar">
    <w:name w:val="Footer Char"/>
    <w:link w:val="Footer"/>
    <w:uiPriority w:val="99"/>
    <w:rPr>
      <w:rFonts w:eastAsia="Calibri"/>
      <w:sz w:val="24"/>
      <w:szCs w:val="22"/>
      <w:lang w:eastAsia="cs-CZ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customStyle="1" w:styleId="Heading3Char">
    <w:name w:val="Heading 3 Char"/>
    <w:link w:val="Heading3"/>
    <w:rPr>
      <w:bCs/>
      <w:i/>
      <w:sz w:val="24"/>
      <w:szCs w:val="26"/>
      <w:lang w:eastAsia="cs-CZ"/>
    </w:rPr>
  </w:style>
  <w:style w:type="paragraph" w:customStyle="1" w:styleId="Declassification">
    <w:name w:val="Declassification"/>
    <w:basedOn w:val="Normal"/>
    <w:next w:val="Normal"/>
    <w:pPr>
      <w:spacing w:before="0" w:after="0"/>
    </w:pPr>
    <w:rPr>
      <w:rFonts w:eastAsia="Calibri"/>
      <w:szCs w:val="22"/>
    </w:rPr>
  </w:style>
  <w:style w:type="character" w:customStyle="1" w:styleId="HeaderChar">
    <w:name w:val="Header Char"/>
    <w:link w:val="Header"/>
    <w:uiPriority w:val="99"/>
    <w:rPr>
      <w:rFonts w:eastAsia="Calibri"/>
      <w:sz w:val="24"/>
      <w:szCs w:val="22"/>
      <w:lang w:eastAsia="cs-CZ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4"/>
      </w:numPr>
      <w:spacing w:before="360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4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numPr>
        <w:ilvl w:val="2"/>
        <w:numId w:val="24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mpagnant">
    <w:name w:val="Accompagnant"/>
    <w:basedOn w:val="Normal"/>
    <w:next w:val="Normal"/>
    <w:pPr>
      <w:spacing w:before="0"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al"/>
  </w:style>
  <w:style w:type="character" w:customStyle="1" w:styleId="Added">
    <w:name w:val="Added"/>
    <w:rPr>
      <w:b/>
      <w:u w:val="single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Normal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Bullet0">
    <w:name w:val="Bullet 0"/>
    <w:basedOn w:val="Normal"/>
    <w:pPr>
      <w:numPr>
        <w:numId w:val="1"/>
      </w:numPr>
    </w:p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Bullet2">
    <w:name w:val="Bullet 2"/>
    <w:basedOn w:val="Normal"/>
    <w:pPr>
      <w:numPr>
        <w:numId w:val="3"/>
      </w:numPr>
    </w:pPr>
  </w:style>
  <w:style w:type="paragraph" w:customStyle="1" w:styleId="Bullet3">
    <w:name w:val="Bullet 3"/>
    <w:basedOn w:val="Normal"/>
    <w:pPr>
      <w:numPr>
        <w:numId w:val="4"/>
      </w:numPr>
    </w:pPr>
  </w:style>
  <w:style w:type="paragraph" w:customStyle="1" w:styleId="Bullet4">
    <w:name w:val="Bullet 4"/>
    <w:basedOn w:val="Normal"/>
    <w:pPr>
      <w:numPr>
        <w:numId w:val="5"/>
      </w:numPr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Normal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"/>
    <w:pPr>
      <w:numPr>
        <w:numId w:val="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Normal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al"/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Emission">
    <w:name w:val="Emission"/>
    <w:basedOn w:val="Normal"/>
    <w:next w:val="Normal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Normal"/>
    <w:pPr>
      <w:keepNext/>
      <w:spacing w:after="0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szCs w:val="2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rFonts w:eastAsia="Calibri"/>
      <w:szCs w:val="22"/>
    </w:rPr>
  </w:style>
  <w:style w:type="character" w:styleId="FootnoteReference">
    <w:name w:val="footnote reference"/>
    <w:uiPriority w:val="99"/>
    <w:rPr>
      <w:shd w:val="clear" w:color="auto" w:fill="auto"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before="0" w:after="0"/>
      <w:ind w:left="720" w:hanging="720"/>
    </w:pPr>
    <w:rPr>
      <w:sz w:val="20"/>
      <w:szCs w:val="20"/>
    </w:rPr>
  </w:style>
  <w:style w:type="paragraph" w:customStyle="1" w:styleId="Formuledadoption">
    <w:name w:val="Formule d'adoption"/>
    <w:basedOn w:val="Normal"/>
    <w:next w:val="Normal"/>
    <w:pPr>
      <w:keepNext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Normal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IntrtEEEPagedecouverture">
    <w:name w:val="Intérêt EEE (Page de couverture)"/>
    <w:basedOn w:val="IntrtEEE"/>
    <w:next w:val="Normal"/>
  </w:style>
  <w:style w:type="paragraph" w:customStyle="1" w:styleId="Langue">
    <w:name w:val="Langue"/>
    <w:basedOn w:val="Normal"/>
    <w:next w:val="Normal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Normal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Normal"/>
    <w:pPr>
      <w:keepNext/>
      <w:tabs>
        <w:tab w:val="left" w:pos="850"/>
      </w:tabs>
      <w:ind w:left="850" w:hanging="850"/>
      <w:outlineLvl w:val="3"/>
    </w:pPr>
  </w:style>
  <w:style w:type="paragraph" w:customStyle="1" w:styleId="ManualNumPar1">
    <w:name w:val="Manual NumPar 1"/>
    <w:basedOn w:val="Normal"/>
    <w:next w:val="Normal"/>
    <w:pPr>
      <w:ind w:left="850" w:hanging="850"/>
    </w:pPr>
  </w:style>
  <w:style w:type="paragraph" w:customStyle="1" w:styleId="ManualNumPar2">
    <w:name w:val="Manual NumPar 2"/>
    <w:basedOn w:val="Normal"/>
    <w:next w:val="Normal"/>
    <w:pPr>
      <w:ind w:left="850" w:hanging="850"/>
    </w:pPr>
  </w:style>
  <w:style w:type="paragraph" w:customStyle="1" w:styleId="ManualNumPar3">
    <w:name w:val="Manual NumPar 3"/>
    <w:basedOn w:val="Normal"/>
    <w:next w:val="Normal"/>
    <w:pPr>
      <w:ind w:left="850" w:hanging="850"/>
    </w:pPr>
  </w:style>
  <w:style w:type="paragraph" w:customStyle="1" w:styleId="ManualNumPar4">
    <w:name w:val="Manual NumPar 4"/>
    <w:basedOn w:val="Normal"/>
    <w:next w:val="Normal"/>
    <w:pPr>
      <w:ind w:left="850" w:hanging="850"/>
    </w:p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NumPar1">
    <w:name w:val="NumPar 1"/>
    <w:basedOn w:val="Normal"/>
    <w:next w:val="Normal"/>
    <w:pPr>
      <w:numPr>
        <w:numId w:val="23"/>
      </w:numPr>
    </w:pPr>
  </w:style>
  <w:style w:type="paragraph" w:customStyle="1" w:styleId="NumPar2">
    <w:name w:val="NumPar 2"/>
    <w:basedOn w:val="Normal"/>
    <w:next w:val="Normal"/>
    <w:pPr>
      <w:numPr>
        <w:ilvl w:val="1"/>
        <w:numId w:val="23"/>
      </w:numPr>
    </w:pPr>
  </w:style>
  <w:style w:type="paragraph" w:customStyle="1" w:styleId="NumPar3">
    <w:name w:val="NumPar 3"/>
    <w:basedOn w:val="Normal"/>
    <w:next w:val="Normal"/>
    <w:pPr>
      <w:numPr>
        <w:ilvl w:val="2"/>
        <w:numId w:val="23"/>
      </w:numPr>
    </w:pPr>
  </w:style>
  <w:style w:type="paragraph" w:customStyle="1" w:styleId="NumPar4">
    <w:name w:val="NumPar 4"/>
    <w:basedOn w:val="Normal"/>
    <w:next w:val="Normal"/>
    <w:pPr>
      <w:numPr>
        <w:ilvl w:val="3"/>
        <w:numId w:val="23"/>
      </w:numPr>
    </w:pPr>
  </w:style>
  <w:style w:type="paragraph" w:customStyle="1" w:styleId="Objetacteprincipal">
    <w:name w:val="Objet acte principal"/>
    <w:basedOn w:val="Normal"/>
    <w:next w:val="Normal"/>
    <w:pPr>
      <w:spacing w:before="0"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al"/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0letter">
    <w:name w:val="Point 0 (letter)"/>
    <w:basedOn w:val="Normal"/>
  </w:style>
  <w:style w:type="paragraph" w:customStyle="1" w:styleId="Point0number">
    <w:name w:val="Point 0 (number)"/>
    <w:basedOn w:val="Normal"/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1letter">
    <w:name w:val="Point 1 (letter)"/>
    <w:basedOn w:val="Normal"/>
  </w:style>
  <w:style w:type="paragraph" w:customStyle="1" w:styleId="Point1number">
    <w:name w:val="Point 1 (number)"/>
    <w:basedOn w:val="Normal"/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2letter">
    <w:name w:val="Point 2 (letter)"/>
    <w:basedOn w:val="Normal"/>
    <w:pPr>
      <w:numPr>
        <w:ilvl w:val="5"/>
        <w:numId w:val="7"/>
      </w:numPr>
    </w:pPr>
  </w:style>
  <w:style w:type="paragraph" w:customStyle="1" w:styleId="Point2number">
    <w:name w:val="Point 2 (number)"/>
    <w:basedOn w:val="Normal"/>
    <w:pPr>
      <w:numPr>
        <w:ilvl w:val="4"/>
        <w:numId w:val="7"/>
      </w:numPr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3letter">
    <w:name w:val="Point 3 (letter)"/>
    <w:basedOn w:val="Normal"/>
    <w:pPr>
      <w:numPr>
        <w:ilvl w:val="7"/>
        <w:numId w:val="7"/>
      </w:numPr>
    </w:pPr>
  </w:style>
  <w:style w:type="paragraph" w:customStyle="1" w:styleId="Point3number">
    <w:name w:val="Point 3 (number)"/>
    <w:basedOn w:val="Normal"/>
    <w:pPr>
      <w:numPr>
        <w:ilvl w:val="6"/>
        <w:numId w:val="7"/>
      </w:numPr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4letter">
    <w:name w:val="Point 4 (letter)"/>
    <w:basedOn w:val="Normal"/>
    <w:pPr>
      <w:numPr>
        <w:ilvl w:val="8"/>
        <w:numId w:val="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Normal"/>
    <w:pPr>
      <w:spacing w:before="0" w:after="0"/>
      <w:ind w:left="5103"/>
      <w:jc w:val="left"/>
    </w:p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">
    <w:name w:val="Statut"/>
    <w:basedOn w:val="Normal"/>
    <w:next w:val="Normal"/>
    <w:pPr>
      <w:spacing w:before="360" w:after="0"/>
      <w:jc w:val="center"/>
    </w:pPr>
  </w:style>
  <w:style w:type="paragraph" w:customStyle="1" w:styleId="StatutPagedecouverture">
    <w:name w:val="Statut (Page de couverture)"/>
    <w:basedOn w:val="Statut"/>
    <w:next w:val="Normal"/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iret0">
    <w:name w:val="Tiret 0"/>
    <w:basedOn w:val="Point0"/>
    <w:pPr>
      <w:numPr>
        <w:numId w:val="8"/>
      </w:numPr>
    </w:pPr>
  </w:style>
  <w:style w:type="paragraph" w:customStyle="1" w:styleId="Tiret1">
    <w:name w:val="Tiret 1"/>
    <w:basedOn w:val="Point1"/>
    <w:pPr>
      <w:numPr>
        <w:numId w:val="9"/>
      </w:numPr>
    </w:pPr>
  </w:style>
  <w:style w:type="paragraph" w:customStyle="1" w:styleId="Tiret2">
    <w:name w:val="Tiret 2"/>
    <w:basedOn w:val="Point2"/>
    <w:pPr>
      <w:numPr>
        <w:numId w:val="10"/>
      </w:numPr>
    </w:pPr>
  </w:style>
  <w:style w:type="paragraph" w:customStyle="1" w:styleId="Tiret3">
    <w:name w:val="Tiret 3"/>
    <w:basedOn w:val="Point3"/>
    <w:pPr>
      <w:numPr>
        <w:numId w:val="11"/>
      </w:numPr>
    </w:pPr>
  </w:style>
  <w:style w:type="paragraph" w:customStyle="1" w:styleId="Tiret4">
    <w:name w:val="Tiret 4"/>
    <w:basedOn w:val="Point4"/>
    <w:pPr>
      <w:numPr>
        <w:numId w:val="12"/>
      </w:numPr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</w:pPr>
  </w:style>
  <w:style w:type="paragraph" w:styleId="TOCHeading">
    <w:name w:val="TOC Heading"/>
    <w:basedOn w:val="Normal"/>
    <w:next w:val="Normal"/>
    <w:link w:val="TOCHeadingChar"/>
    <w:uiPriority w:val="39"/>
    <w:qFormat/>
    <w:pPr>
      <w:spacing w:after="240"/>
      <w:jc w:val="center"/>
    </w:pPr>
    <w:rPr>
      <w:b/>
      <w:sz w:val="28"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styleId="ListBullet">
    <w:name w:val="List Bullet"/>
    <w:basedOn w:val="Normal"/>
    <w:pPr>
      <w:numPr>
        <w:numId w:val="15"/>
      </w:numPr>
    </w:pPr>
  </w:style>
  <w:style w:type="table" w:styleId="TableGrid">
    <w:name w:val="Table Grid"/>
    <w:basedOn w:val="TableNormal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shd w:val="clear" w:color="auto" w:fill="auto"/>
      <w:lang w:eastAsia="cs-CZ"/>
    </w:rPr>
  </w:style>
  <w:style w:type="paragraph" w:styleId="ListBullet2">
    <w:name w:val="List Bullet 2"/>
    <w:basedOn w:val="Normal"/>
    <w:pPr>
      <w:numPr>
        <w:numId w:val="16"/>
      </w:numPr>
    </w:pPr>
  </w:style>
  <w:style w:type="paragraph" w:styleId="ListBullet3">
    <w:name w:val="List Bullet 3"/>
    <w:basedOn w:val="Normal"/>
    <w:pPr>
      <w:numPr>
        <w:numId w:val="17"/>
      </w:numPr>
    </w:pPr>
  </w:style>
  <w:style w:type="paragraph" w:styleId="ListBullet4">
    <w:name w:val="List Bullet 4"/>
    <w:basedOn w:val="Normal"/>
    <w:pPr>
      <w:numPr>
        <w:numId w:val="18"/>
      </w:numPr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</w:style>
  <w:style w:type="paragraph" w:styleId="ListNumber">
    <w:name w:val="List Number"/>
    <w:basedOn w:val="Normal"/>
    <w:pPr>
      <w:numPr>
        <w:numId w:val="19"/>
      </w:numPr>
    </w:pPr>
  </w:style>
  <w:style w:type="paragraph" w:styleId="ListNumber2">
    <w:name w:val="List Number 2"/>
    <w:basedOn w:val="Normal"/>
    <w:pPr>
      <w:numPr>
        <w:numId w:val="20"/>
      </w:numPr>
    </w:pPr>
  </w:style>
  <w:style w:type="paragraph" w:styleId="ListNumber3">
    <w:name w:val="List Number 3"/>
    <w:basedOn w:val="Normal"/>
    <w:pPr>
      <w:numPr>
        <w:numId w:val="21"/>
      </w:numPr>
    </w:pPr>
  </w:style>
  <w:style w:type="paragraph" w:styleId="ListNumber4">
    <w:name w:val="List Number 4"/>
    <w:basedOn w:val="Normal"/>
    <w:pPr>
      <w:numPr>
        <w:numId w:val="2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rPr>
      <w:shd w:val="clear" w:color="auto" w:fill="auto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shd w:val="clear" w:color="auto" w:fill="auto"/>
      <w:lang w:eastAsia="cs-CZ"/>
    </w:rPr>
  </w:style>
  <w:style w:type="character" w:styleId="Hyperlink">
    <w:name w:val="Hyperlink"/>
    <w:uiPriority w:val="99"/>
    <w:rPr>
      <w:rFonts w:cs="Times New Roman"/>
      <w:color w:val="0000FF"/>
      <w:u w:val="single"/>
      <w:shd w:val="clear" w:color="auto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TOCHeadingChar">
    <w:name w:val="TOC Heading Char"/>
    <w:link w:val="TOCHeading"/>
    <w:uiPriority w:val="39"/>
    <w:rPr>
      <w:b/>
      <w:sz w:val="28"/>
      <w:szCs w:val="24"/>
      <w:shd w:val="clear" w:color="auto" w:fill="auto"/>
      <w:lang w:eastAsia="cs-CZ"/>
    </w:rPr>
  </w:style>
  <w:style w:type="character" w:customStyle="1" w:styleId="FooterCoverPageChar">
    <w:name w:val="Footer Cover Page Char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link w:val="HeaderCoverPage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Pr>
      <w:lang w:eastAsia="cs-CZ"/>
    </w:rPr>
  </w:style>
  <w:style w:type="character" w:customStyle="1" w:styleId="Heading4Char">
    <w:name w:val="Heading 4 Char"/>
    <w:link w:val="Heading4"/>
    <w:rPr>
      <w:bCs/>
      <w:sz w:val="24"/>
      <w:szCs w:val="28"/>
      <w:lang w:eastAsia="cs-CZ"/>
    </w:rPr>
  </w:style>
  <w:style w:type="character" w:customStyle="1" w:styleId="FooterChar">
    <w:name w:val="Footer Char"/>
    <w:link w:val="Footer"/>
    <w:uiPriority w:val="99"/>
    <w:rPr>
      <w:rFonts w:eastAsia="Calibri"/>
      <w:sz w:val="24"/>
      <w:szCs w:val="22"/>
      <w:lang w:eastAsia="cs-CZ"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customStyle="1" w:styleId="Heading3Char">
    <w:name w:val="Heading 3 Char"/>
    <w:link w:val="Heading3"/>
    <w:rPr>
      <w:bCs/>
      <w:i/>
      <w:sz w:val="24"/>
      <w:szCs w:val="26"/>
      <w:lang w:eastAsia="cs-CZ"/>
    </w:rPr>
  </w:style>
  <w:style w:type="paragraph" w:customStyle="1" w:styleId="Declassification">
    <w:name w:val="Declassification"/>
    <w:basedOn w:val="Normal"/>
    <w:next w:val="Normal"/>
    <w:pPr>
      <w:spacing w:before="0" w:after="0"/>
    </w:pPr>
    <w:rPr>
      <w:rFonts w:eastAsia="Calibri"/>
      <w:szCs w:val="22"/>
    </w:rPr>
  </w:style>
  <w:style w:type="character" w:customStyle="1" w:styleId="HeaderChar">
    <w:name w:val="Header Char"/>
    <w:link w:val="Header"/>
    <w:uiPriority w:val="99"/>
    <w:rPr>
      <w:rFonts w:eastAsia="Calibri"/>
      <w:sz w:val="24"/>
      <w:szCs w:val="22"/>
      <w:lang w:eastAsia="cs-CZ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7D20-3D63-45B2-B4CA-01870EB7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2387</Words>
  <Characters>12486</Characters>
  <Application>Microsoft Office Word</Application>
  <DocSecurity>0</DocSecurity>
  <Lines>320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14678</CharactersWithSpaces>
  <SharedDoc>false</SharedDoc>
  <HLinks>
    <vt:vector size="78" baseType="variant"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_Toc478625467</vt:lpwstr>
      </vt:variant>
      <vt:variant>
        <vt:i4>1376314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_Toc478625464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_Toc478625458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_Toc478625457</vt:lpwstr>
      </vt:variant>
      <vt:variant>
        <vt:i4>1507386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_Toc478625447</vt:lpwstr>
      </vt:variant>
      <vt:variant>
        <vt:i4>1507386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_Toc478625446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_Toc478625443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_Toc478625439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_Toc478625438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_Toc478625437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_Toc478625436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_Toc478625435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_Toc478625434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2019-04-25T14:20:00Z</cp:lastPrinted>
  <dcterms:created xsi:type="dcterms:W3CDTF">2019-07-15T12:56:00Z</dcterms:created>
  <dcterms:modified xsi:type="dcterms:W3CDTF">2019-07-29T07:57:00Z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Level of sensitivity">
    <vt:lpwstr>Standard treatment</vt:lpwstr>
  </property>
  <property fmtid="{D5CDD505-2E9C-101B-9397-08002B2CF9AE}" pid="6" name="Last edited using">
    <vt:lpwstr>LW 6.0.1, Build 20180503</vt:lpwstr>
  </property>
  <property fmtid="{D5CDD505-2E9C-101B-9397-08002B2CF9AE}" pid="7" name="Created using">
    <vt:lpwstr>LW 6.0.1, Build 20180503</vt:lpwstr>
  </property>
  <property name="OP_sanitized" fmtid="{D5CDD505-2E9C-101B-9397-08002B2CF9AE}" pid="8">
    <vt:lpwstr>True</vt:lpwstr>
  </property>
</Properties>
</file>