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485222989"/>
      <w:bookmarkStart w:id="1" w:name="_Toc394048479"/>
      <w:bookmarkStart w:id="2" w:name="_Toc369271376"/>
      <w:bookmarkStart w:id="3" w:name="_Toc332353732"/>
      <w:bookmarkStart w:id="4"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1D3168DC-9370-41B7-9F7A-5F2961113BAC" style="width:450.6pt;height:320.4pt">
            <v:imagedata r:id="rId9" o:title=""/>
          </v:shape>
        </w:pict>
      </w:r>
    </w:p>
    <w:bookmarkEnd w:id="4"/>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5" w:name="_GoBack"/>
      <w:bookmarkEnd w:id="5"/>
      <w:r>
        <w:rPr>
          <w:noProof/>
        </w:rPr>
        <w:lastRenderedPageBreak/>
        <w:t>ZPRÁVA KOMISE</w:t>
      </w:r>
    </w:p>
    <w:p>
      <w:pPr>
        <w:pStyle w:val="Titreobjet"/>
        <w:rPr>
          <w:noProof/>
        </w:rPr>
      </w:pPr>
      <w:r>
        <w:rPr>
          <w:noProof/>
        </w:rPr>
        <w:t>Souhrnná výroční zpráva za rok 2017 o provádění režimu licencí FLEGT stanoveného nařízením (ES) č. 2173/2005 ze dne 20. prosince 2005 o zavedení režimu licencí FLEGT pro dovoz dřeva do Evropského společenství</w:t>
      </w:r>
    </w:p>
    <w:p>
      <w:pPr>
        <w:tabs>
          <w:tab w:val="left" w:pos="360"/>
        </w:tabs>
        <w:jc w:val="both"/>
        <w:rPr>
          <w:rFonts w:ascii="Times New Roman" w:hAnsi="Times New Roman"/>
          <w:noProof/>
          <w:sz w:val="24"/>
          <w:szCs w:val="24"/>
        </w:rPr>
      </w:pPr>
      <w:r>
        <w:rPr>
          <w:rFonts w:ascii="Times New Roman" w:hAnsi="Times New Roman"/>
          <w:b/>
          <w:noProof/>
          <w:sz w:val="24"/>
        </w:rPr>
        <w:t>1.</w:t>
      </w:r>
      <w:r>
        <w:rPr>
          <w:noProof/>
        </w:rPr>
        <w:tab/>
      </w:r>
      <w:r>
        <w:rPr>
          <w:rFonts w:ascii="Times New Roman" w:hAnsi="Times New Roman"/>
          <w:b/>
          <w:noProof/>
          <w:sz w:val="24"/>
        </w:rPr>
        <w:t>Úvod</w:t>
      </w:r>
      <w:bookmarkEnd w:id="0"/>
      <w:r>
        <w:rPr>
          <w:rFonts w:ascii="Times New Roman" w:hAnsi="Times New Roman"/>
          <w:b/>
          <w:noProof/>
          <w:sz w:val="24"/>
        </w:rPr>
        <w:t xml:space="preserve"> a souvislosti</w:t>
      </w:r>
    </w:p>
    <w:p>
      <w:pPr>
        <w:spacing w:line="240" w:lineRule="auto"/>
        <w:jc w:val="both"/>
        <w:rPr>
          <w:rFonts w:ascii="Times New Roman" w:hAnsi="Times New Roman"/>
          <w:noProof/>
          <w:sz w:val="24"/>
          <w:szCs w:val="24"/>
        </w:rPr>
      </w:pPr>
      <w:r>
        <w:rPr>
          <w:rFonts w:ascii="Times New Roman" w:hAnsi="Times New Roman"/>
          <w:noProof/>
          <w:sz w:val="24"/>
        </w:rPr>
        <w:t>V rámci provádění akčního plánu Evropské unie pro prosazování práva, správu a obchod v oblasti lesnictví (FLEGT)</w:t>
      </w:r>
      <w:r>
        <w:rPr>
          <w:rStyle w:val="FootnoteReference"/>
          <w:rFonts w:ascii="Times New Roman" w:hAnsi="Times New Roman"/>
          <w:noProof/>
          <w:sz w:val="24"/>
        </w:rPr>
        <w:footnoteReference w:id="1"/>
      </w:r>
      <w:r>
        <w:rPr>
          <w:rFonts w:ascii="Times New Roman" w:hAnsi="Times New Roman"/>
          <w:noProof/>
          <w:sz w:val="24"/>
        </w:rPr>
        <w:t xml:space="preserve"> z roku 2003 přijala EU v roce 2005 nařízení Rady (ES) č. 2173/2005</w:t>
      </w:r>
      <w:r>
        <w:rPr>
          <w:rFonts w:ascii="Times New Roman" w:hAnsi="Times New Roman"/>
          <w:noProof/>
          <w:sz w:val="24"/>
          <w:vertAlign w:val="superscript"/>
        </w:rPr>
        <w:footnoteReference w:id="2"/>
      </w:r>
      <w:r>
        <w:rPr>
          <w:rFonts w:ascii="Times New Roman" w:hAnsi="Times New Roman"/>
          <w:noProof/>
          <w:sz w:val="24"/>
        </w:rPr>
        <w:t xml:space="preserve"> ze dne 20. prosince 2005 o zavedení režimu licencí FLEGT pro dovoz dřeva do Evropského společenství (dále jen „nařízení FLEGT“). V roce 2008 pak Komise přijala prováděcí nařízení (ES) č. 1024/2008</w:t>
      </w:r>
      <w:r>
        <w:rPr>
          <w:rFonts w:ascii="Times New Roman" w:hAnsi="Times New Roman"/>
          <w:noProof/>
          <w:sz w:val="24"/>
          <w:vertAlign w:val="superscript"/>
        </w:rPr>
        <w:footnoteReference w:id="3"/>
      </w:r>
      <w:r>
        <w:rPr>
          <w:rFonts w:ascii="Times New Roman" w:hAnsi="Times New Roman"/>
          <w:noProof/>
          <w:sz w:val="24"/>
        </w:rPr>
        <w:t>, kterým se stanoví podrobná opatření k provádění nařízení FLEGT.</w:t>
      </w:r>
    </w:p>
    <w:p>
      <w:pPr>
        <w:spacing w:line="240" w:lineRule="auto"/>
        <w:jc w:val="both"/>
        <w:rPr>
          <w:rFonts w:ascii="Times New Roman" w:hAnsi="Times New Roman"/>
          <w:noProof/>
          <w:sz w:val="24"/>
          <w:szCs w:val="24"/>
        </w:rPr>
      </w:pPr>
      <w:r>
        <w:rPr>
          <w:rFonts w:ascii="Times New Roman" w:hAnsi="Times New Roman"/>
          <w:noProof/>
          <w:sz w:val="24"/>
        </w:rPr>
        <w:t>Nařízení FLEGT stanoví pravidla pro provádění režimu licencí FLEGT formou uzavírání dobrovolných dohod o partnerství se zeměmi produkujícími dřevo, včetně požadavku, aby byl dovoz dřevařských výrobků z partnerských zemí FLEGT do EU kryt licencemi FLEGT.</w:t>
      </w:r>
    </w:p>
    <w:p>
      <w:pPr>
        <w:spacing w:line="240" w:lineRule="auto"/>
        <w:jc w:val="both"/>
        <w:rPr>
          <w:rFonts w:ascii="Times New Roman" w:hAnsi="Times New Roman"/>
          <w:noProof/>
          <w:sz w:val="24"/>
          <w:szCs w:val="24"/>
        </w:rPr>
      </w:pPr>
      <w:r>
        <w:rPr>
          <w:rFonts w:ascii="Times New Roman" w:hAnsi="Times New Roman"/>
          <w:noProof/>
          <w:sz w:val="24"/>
        </w:rPr>
        <w:t>Dne 15. listopadu 2016 začal režim licencí FLEGT fungovat s Indonésií. Ta byla v roce 2017 jedinou zemí, která tento režim provozovala.</w:t>
      </w:r>
    </w:p>
    <w:p>
      <w:pPr>
        <w:spacing w:line="240" w:lineRule="auto"/>
        <w:jc w:val="both"/>
        <w:rPr>
          <w:rFonts w:ascii="Times New Roman" w:hAnsi="Times New Roman"/>
          <w:noProof/>
          <w:sz w:val="24"/>
          <w:szCs w:val="24"/>
        </w:rPr>
      </w:pPr>
      <w:r>
        <w:rPr>
          <w:rFonts w:ascii="Times New Roman" w:hAnsi="Times New Roman"/>
          <w:noProof/>
          <w:sz w:val="24"/>
        </w:rPr>
        <w:t xml:space="preserve">V souladu s čl. 8 odst. 1 nařízení FLEGT předloží členské státy výroční zprávu za předcházející kalendářní rok. </w:t>
      </w:r>
    </w:p>
    <w:p>
      <w:pPr>
        <w:spacing w:line="240" w:lineRule="auto"/>
        <w:jc w:val="both"/>
        <w:rPr>
          <w:rFonts w:ascii="Times New Roman" w:hAnsi="Times New Roman"/>
          <w:noProof/>
          <w:sz w:val="24"/>
          <w:szCs w:val="24"/>
        </w:rPr>
      </w:pPr>
      <w:r>
        <w:rPr>
          <w:rFonts w:ascii="Times New Roman" w:hAnsi="Times New Roman"/>
          <w:noProof/>
          <w:sz w:val="24"/>
        </w:rPr>
        <w:t>Podle čl. 8 odst. 3 pak Komise sestaví a veřejnosti zpřístupní souhrnnou výroční zprávu založenou na informacích podaných členskými státy v rámci jejich výročních zpráv.</w:t>
      </w:r>
    </w:p>
    <w:p>
      <w:pPr>
        <w:spacing w:line="240" w:lineRule="auto"/>
        <w:jc w:val="both"/>
        <w:rPr>
          <w:rFonts w:ascii="Times New Roman" w:hAnsi="Times New Roman"/>
          <w:noProof/>
          <w:sz w:val="24"/>
          <w:szCs w:val="24"/>
        </w:rPr>
      </w:pPr>
      <w:r>
        <w:rPr>
          <w:rFonts w:ascii="Times New Roman" w:hAnsi="Times New Roman"/>
          <w:noProof/>
          <w:sz w:val="24"/>
        </w:rPr>
        <w:t>Tato druhá zpráva</w:t>
      </w:r>
      <w:r>
        <w:rPr>
          <w:rFonts w:ascii="Times New Roman" w:hAnsi="Times New Roman"/>
          <w:noProof/>
          <w:sz w:val="24"/>
          <w:vertAlign w:val="superscript"/>
        </w:rPr>
        <w:footnoteReference w:id="4"/>
      </w:r>
      <w:r>
        <w:rPr>
          <w:rFonts w:ascii="Times New Roman" w:hAnsi="Times New Roman"/>
          <w:noProof/>
          <w:sz w:val="24"/>
        </w:rPr>
        <w:t xml:space="preserve"> analyzuje první úplný rok provádění režimu licencí FLEGT napříč EU a nastiňuje závěry a další kroky.</w:t>
      </w:r>
    </w:p>
    <w:p>
      <w:pPr>
        <w:spacing w:line="240" w:lineRule="auto"/>
        <w:jc w:val="both"/>
        <w:rPr>
          <w:rFonts w:ascii="Times New Roman" w:hAnsi="Times New Roman"/>
          <w:noProof/>
          <w:sz w:val="24"/>
          <w:szCs w:val="24"/>
        </w:rPr>
      </w:pPr>
      <w:r>
        <w:rPr>
          <w:rFonts w:ascii="Times New Roman" w:hAnsi="Times New Roman"/>
          <w:noProof/>
          <w:sz w:val="24"/>
        </w:rPr>
        <w:t>Podrobnější rozbor vnitrostátních zpráv, který pro Komisi vypracovalo Světové středisko pro sledování ochrany živočichů a rostlin v rámci programu OSN pro životní prostředí (UNEP-WCMC), je k dispozici na internetových stránkách Komise</w:t>
      </w:r>
      <w:r>
        <w:rPr>
          <w:rStyle w:val="FootnoteReference"/>
          <w:rFonts w:ascii="Times New Roman" w:hAnsi="Times New Roman"/>
          <w:noProof/>
          <w:sz w:val="24"/>
        </w:rPr>
        <w:footnoteReference w:id="5"/>
      </w:r>
      <w:r>
        <w:rPr>
          <w:rFonts w:ascii="Times New Roman" w:hAnsi="Times New Roman"/>
          <w:noProof/>
          <w:sz w:val="24"/>
        </w:rPr>
        <w:t>. Uvádí, že pouze 21 členských států předložilo zprávy ve stanovené lhůtě.</w:t>
      </w:r>
    </w:p>
    <w:p>
      <w:pPr>
        <w:spacing w:line="270" w:lineRule="atLeast"/>
        <w:jc w:val="both"/>
        <w:rPr>
          <w:rFonts w:ascii="Times New Roman" w:hAnsi="Times New Roman"/>
          <w:noProof/>
          <w:sz w:val="24"/>
          <w:szCs w:val="24"/>
        </w:rPr>
      </w:pPr>
      <w:r>
        <w:rPr>
          <w:rFonts w:ascii="Times New Roman" w:hAnsi="Times New Roman"/>
          <w:noProof/>
          <w:sz w:val="24"/>
        </w:rPr>
        <w:t>V souladu s čl. 8 odst. 1 nařízení FLEGT členské státy podávají zprávu o:</w:t>
      </w:r>
    </w:p>
    <w:p>
      <w:pPr>
        <w:numPr>
          <w:ilvl w:val="0"/>
          <w:numId w:val="10"/>
        </w:numPr>
        <w:spacing w:line="270" w:lineRule="atLeast"/>
        <w:jc w:val="both"/>
        <w:rPr>
          <w:rFonts w:ascii="Times New Roman" w:hAnsi="Times New Roman"/>
          <w:noProof/>
          <w:sz w:val="24"/>
          <w:szCs w:val="24"/>
        </w:rPr>
      </w:pPr>
      <w:r>
        <w:rPr>
          <w:rFonts w:ascii="Times New Roman" w:hAnsi="Times New Roman"/>
          <w:noProof/>
          <w:sz w:val="24"/>
        </w:rPr>
        <w:t>množství dřevařských výrobků dovezených do členského státu v rámci režimu licencí FLEGT, a to podle položek harmonizovaného systému (HS) uvedených v přílohách II a III a za každou partnerskou zemi;</w:t>
      </w:r>
    </w:p>
    <w:p>
      <w:pPr>
        <w:numPr>
          <w:ilvl w:val="0"/>
          <w:numId w:val="10"/>
        </w:numPr>
        <w:spacing w:line="270" w:lineRule="atLeast"/>
        <w:jc w:val="both"/>
        <w:rPr>
          <w:rFonts w:ascii="Times New Roman" w:hAnsi="Times New Roman"/>
          <w:noProof/>
          <w:sz w:val="24"/>
          <w:szCs w:val="24"/>
        </w:rPr>
      </w:pPr>
      <w:r>
        <w:rPr>
          <w:rFonts w:ascii="Times New Roman" w:hAnsi="Times New Roman"/>
          <w:noProof/>
          <w:sz w:val="24"/>
        </w:rPr>
        <w:t>počtu obdržených licencí FLEGT</w:t>
      </w:r>
      <w:r>
        <w:rPr>
          <w:rFonts w:ascii="Times New Roman" w:hAnsi="Times New Roman"/>
          <w:noProof/>
          <w:sz w:val="24"/>
          <w:vertAlign w:val="superscript"/>
        </w:rPr>
        <w:footnoteReference w:id="6"/>
      </w:r>
      <w:r>
        <w:rPr>
          <w:rFonts w:ascii="Times New Roman" w:hAnsi="Times New Roman"/>
          <w:noProof/>
          <w:sz w:val="24"/>
        </w:rPr>
        <w:t>, a to podle položek harmonizovaného systému uvedených v přílohách II a III a za každou partnerskou zemi;</w:t>
      </w:r>
    </w:p>
    <w:p>
      <w:pPr>
        <w:numPr>
          <w:ilvl w:val="0"/>
          <w:numId w:val="10"/>
        </w:numPr>
        <w:spacing w:line="270" w:lineRule="atLeast"/>
        <w:jc w:val="both"/>
        <w:rPr>
          <w:rFonts w:ascii="Times New Roman" w:hAnsi="Times New Roman"/>
          <w:noProof/>
          <w:sz w:val="24"/>
          <w:szCs w:val="24"/>
        </w:rPr>
      </w:pPr>
      <w:r>
        <w:rPr>
          <w:rFonts w:ascii="Times New Roman" w:hAnsi="Times New Roman"/>
          <w:noProof/>
          <w:sz w:val="24"/>
        </w:rPr>
        <w:t>počet případů, kdy byl použit čl. 6 odst. 1 (dodávky nebyly kryty licencí FLEGT), a množství dotčených dřevařských výrobků</w:t>
      </w:r>
      <w:r>
        <w:rPr>
          <w:rFonts w:ascii="Times New Roman" w:hAnsi="Times New Roman"/>
          <w:noProof/>
          <w:sz w:val="24"/>
          <w:vertAlign w:val="superscript"/>
        </w:rPr>
        <w:footnoteReference w:id="7"/>
      </w:r>
      <w:r>
        <w:rPr>
          <w:rFonts w:ascii="Times New Roman" w:hAnsi="Times New Roman"/>
          <w:noProof/>
          <w:sz w:val="24"/>
        </w:rPr>
        <w:t xml:space="preserve">. </w:t>
      </w:r>
    </w:p>
    <w:p>
      <w:pPr>
        <w:spacing w:line="240" w:lineRule="auto"/>
        <w:jc w:val="both"/>
        <w:rPr>
          <w:rFonts w:ascii="Times New Roman" w:hAnsi="Times New Roman"/>
          <w:noProof/>
          <w:sz w:val="24"/>
          <w:szCs w:val="24"/>
        </w:rPr>
      </w:pPr>
      <w:r>
        <w:rPr>
          <w:rFonts w:ascii="Times New Roman" w:hAnsi="Times New Roman"/>
          <w:noProof/>
          <w:sz w:val="24"/>
        </w:rPr>
        <w:t>Aby členským státům usnadnila podávání zpráv, stanovila Komise v souladu s čl. 8 odst. 2 formát těchto zpráv. V zájmu snazšího sledování režimu licencí FLEGT obsahuje stanovený formát nejen údaje požadované podle čl. 8 odst. 1, ale také základní informace o hlavních povinnostech členských států podle nařízení FLEGT (např. pokud jde o určený příslušný orgán či orgány nebo o sankce) a informace o praktických aspektech provádění režimu.</w:t>
      </w:r>
    </w:p>
    <w:p>
      <w:pPr>
        <w:spacing w:line="240" w:lineRule="auto"/>
        <w:jc w:val="both"/>
        <w:rPr>
          <w:rFonts w:ascii="Times New Roman" w:hAnsi="Times New Roman"/>
          <w:noProof/>
          <w:sz w:val="24"/>
          <w:szCs w:val="24"/>
        </w:rPr>
      </w:pPr>
      <w:r>
        <w:rPr>
          <w:rFonts w:ascii="Times New Roman" w:hAnsi="Times New Roman"/>
          <w:noProof/>
          <w:sz w:val="24"/>
        </w:rPr>
        <w:t>Tento formát byl pro účely vykazování za rok 2017 aktualizován, aby se zohlednily relevantní zkušenosti získané během prvního cyklu podávání zpráv za rok 2016. Formát byl dohodnut s členskými státy v rámci expertní skupiny FLEGT/EUTR. Aby se navíc snížila administrativní zátěž, podávala se zpráva prostřednictvím internetového průzkumu a některé oddíly byly předvyplněny informacemi z předchozí zprávy.</w:t>
      </w:r>
    </w:p>
    <w:p>
      <w:pPr>
        <w:pStyle w:val="ListParagraph"/>
        <w:keepNext/>
        <w:keepLines/>
        <w:numPr>
          <w:ilvl w:val="0"/>
          <w:numId w:val="15"/>
        </w:numPr>
        <w:spacing w:line="270" w:lineRule="atLeast"/>
        <w:jc w:val="both"/>
        <w:outlineLvl w:val="1"/>
        <w:rPr>
          <w:rFonts w:ascii="Times New Roman" w:hAnsi="Times New Roman"/>
          <w:b/>
          <w:bCs/>
          <w:noProof/>
          <w:sz w:val="24"/>
          <w:szCs w:val="24"/>
        </w:rPr>
      </w:pPr>
      <w:r>
        <w:rPr>
          <w:rFonts w:ascii="Times New Roman" w:hAnsi="Times New Roman"/>
          <w:b/>
          <w:noProof/>
          <w:sz w:val="24"/>
        </w:rPr>
        <w:t>Provádění – současný stav</w:t>
      </w:r>
      <w:bookmarkEnd w:id="1"/>
      <w:bookmarkEnd w:id="2"/>
      <w:bookmarkEnd w:id="3"/>
    </w:p>
    <w:p>
      <w:pPr>
        <w:spacing w:line="240" w:lineRule="auto"/>
        <w:jc w:val="both"/>
        <w:rPr>
          <w:rFonts w:ascii="Times New Roman" w:hAnsi="Times New Roman"/>
          <w:noProof/>
          <w:sz w:val="24"/>
          <w:szCs w:val="24"/>
        </w:rPr>
      </w:pPr>
      <w:r>
        <w:rPr>
          <w:rFonts w:ascii="Times New Roman" w:hAnsi="Times New Roman"/>
          <w:noProof/>
          <w:sz w:val="24"/>
        </w:rPr>
        <w:t>Členské státy jsou na základě nařízení FLEGT povinny určit příslušný orgán nebo orgány a přijímat účinné, přiměřené a odrazující sankce k prosazování předmětného nařízení. Vnitrostátní zprávy jsou prostředkem k posouzení stavu provádění a míry soudržnosti dosažené napříč členskými státy.</w:t>
      </w:r>
    </w:p>
    <w:p>
      <w:pPr>
        <w:pStyle w:val="ListParagraph"/>
        <w:keepNext/>
        <w:keepLines/>
        <w:numPr>
          <w:ilvl w:val="1"/>
          <w:numId w:val="15"/>
        </w:numPr>
        <w:spacing w:before="240" w:line="270" w:lineRule="atLeast"/>
        <w:jc w:val="both"/>
        <w:outlineLvl w:val="0"/>
        <w:rPr>
          <w:rFonts w:ascii="Times New Roman" w:hAnsi="Times New Roman"/>
          <w:b/>
          <w:noProof/>
          <w:sz w:val="24"/>
          <w:szCs w:val="24"/>
        </w:rPr>
      </w:pPr>
      <w:bookmarkStart w:id="6" w:name="_Toc485222991"/>
      <w:r>
        <w:rPr>
          <w:rFonts w:ascii="Times New Roman" w:hAnsi="Times New Roman"/>
          <w:b/>
          <w:noProof/>
          <w:sz w:val="24"/>
        </w:rPr>
        <w:t>Určení příslušných orgánů</w:t>
      </w:r>
      <w:bookmarkEnd w:id="6"/>
    </w:p>
    <w:p>
      <w:pPr>
        <w:spacing w:line="240" w:lineRule="auto"/>
        <w:jc w:val="both"/>
        <w:rPr>
          <w:rFonts w:ascii="Times New Roman" w:eastAsia="Times New Roman" w:hAnsi="Times New Roman"/>
          <w:noProof/>
          <w:sz w:val="24"/>
          <w:szCs w:val="24"/>
        </w:rPr>
      </w:pPr>
      <w:r>
        <w:rPr>
          <w:rFonts w:ascii="Times New Roman" w:hAnsi="Times New Roman"/>
          <w:noProof/>
          <w:sz w:val="24"/>
        </w:rPr>
        <w:t>V souladu s čl. 7 odst. 1 nařízení FLEGT určily všechny členské státy příslušný orgán nebo příslušné orgány</w:t>
      </w:r>
      <w:r>
        <w:rPr>
          <w:rFonts w:ascii="Times New Roman" w:hAnsi="Times New Roman"/>
          <w:noProof/>
          <w:sz w:val="24"/>
          <w:vertAlign w:val="superscript"/>
        </w:rPr>
        <w:footnoteReference w:id="8"/>
      </w:r>
      <w:r>
        <w:rPr>
          <w:rFonts w:ascii="Times New Roman" w:hAnsi="Times New Roman"/>
          <w:noProof/>
          <w:sz w:val="24"/>
        </w:rPr>
        <w:t xml:space="preserve"> a všechny vykazující členské státy kromě jednoho (Portugalsko) poskytly informace o legislativním aktu, kterým příslušné orgány určily.</w:t>
      </w:r>
    </w:p>
    <w:p>
      <w:pPr>
        <w:spacing w:line="240" w:lineRule="auto"/>
        <w:jc w:val="both"/>
        <w:rPr>
          <w:rFonts w:ascii="Times New Roman" w:hAnsi="Times New Roman"/>
          <w:noProof/>
          <w:sz w:val="24"/>
          <w:szCs w:val="24"/>
        </w:rPr>
      </w:pPr>
      <w:r>
        <w:rPr>
          <w:rFonts w:ascii="Times New Roman" w:hAnsi="Times New Roman"/>
          <w:noProof/>
          <w:sz w:val="24"/>
        </w:rPr>
        <w:t>V devíti členských státech byl jako orgán příslušný pro licence FLEGT určen celní orgán nebo v nich byl celní orgán k příslušnému orgánu přiřazen jako jeho součást. V devatenácti členských státech jsou celní orgán a příslušný orgán samostatné subjekty. V případě těchto členských států je důležité, aby byla zavedena opatření zajišťující účinnou spolupráci orgánů při zpracovávání licencí FLEGT. Příslušný orgán musí mít možnost delegovat relevantní úkoly na celní orgán a musí mít možnost získávat informace nezbytné k ověření, že určitá licence FLEGT odpovídá dané dodávce. Delegování úkolů bylo zavedeno ve všech těchto členských státech buď na základě dohody, nebo memoranda o porozumění. Četnost a uspořádání výměny údajů se v jednotlivých členských státech lišily.</w:t>
      </w:r>
    </w:p>
    <w:p>
      <w:pPr>
        <w:pStyle w:val="ListParagraph"/>
        <w:keepNext/>
        <w:keepLines/>
        <w:numPr>
          <w:ilvl w:val="1"/>
          <w:numId w:val="15"/>
        </w:numPr>
        <w:spacing w:before="240" w:line="270" w:lineRule="atLeast"/>
        <w:jc w:val="both"/>
        <w:outlineLvl w:val="0"/>
        <w:rPr>
          <w:rFonts w:ascii="Times New Roman" w:hAnsi="Times New Roman"/>
          <w:b/>
          <w:noProof/>
          <w:sz w:val="24"/>
          <w:szCs w:val="24"/>
        </w:rPr>
      </w:pPr>
      <w:r>
        <w:rPr>
          <w:rFonts w:ascii="Times New Roman" w:hAnsi="Times New Roman"/>
          <w:b/>
          <w:noProof/>
          <w:sz w:val="24"/>
        </w:rPr>
        <w:t xml:space="preserve">Množství dovezeného dřeva a související počet licencí </w:t>
      </w:r>
      <w:bookmarkStart w:id="7" w:name="_Toc485222992"/>
      <w:r>
        <w:rPr>
          <w:rFonts w:ascii="Times New Roman" w:hAnsi="Times New Roman"/>
          <w:b/>
          <w:noProof/>
          <w:sz w:val="24"/>
        </w:rPr>
        <w:t>FLEGT</w:t>
      </w:r>
      <w:bookmarkEnd w:id="7"/>
    </w:p>
    <w:p>
      <w:pPr>
        <w:spacing w:line="240" w:lineRule="auto"/>
        <w:jc w:val="both"/>
        <w:rPr>
          <w:rFonts w:ascii="Times New Roman" w:hAnsi="Times New Roman"/>
          <w:i/>
          <w:noProof/>
          <w:sz w:val="24"/>
          <w:szCs w:val="24"/>
        </w:rPr>
      </w:pPr>
      <w:r>
        <w:rPr>
          <w:rFonts w:ascii="Times New Roman" w:hAnsi="Times New Roman"/>
          <w:i/>
          <w:noProof/>
          <w:sz w:val="24"/>
        </w:rPr>
        <w:t>Počet licencí</w:t>
      </w:r>
    </w:p>
    <w:p>
      <w:pPr>
        <w:spacing w:line="240" w:lineRule="auto"/>
        <w:jc w:val="both"/>
        <w:rPr>
          <w:rFonts w:ascii="Times New Roman" w:hAnsi="Times New Roman"/>
          <w:noProof/>
          <w:sz w:val="24"/>
          <w:szCs w:val="24"/>
        </w:rPr>
      </w:pPr>
      <w:r>
        <w:rPr>
          <w:rFonts w:ascii="Times New Roman" w:hAnsi="Times New Roman"/>
          <w:noProof/>
          <w:sz w:val="24"/>
        </w:rPr>
        <w:t>V roce 2017 obdrželo licence FLEGT 26 členských států (všechny členské státy kromě Lotyšska a Lucemburska). Podle poskytnutých informací bylo obdrženo celkem 28 826 licencí, přičemž počty licencí se v jednotlivých členských státech dosti lišily (graf 1). Více než 98 % (28 467) obdržených licencí FLEGT příslušné orgány potvrdily/schválily.</w:t>
      </w:r>
    </w:p>
    <w:p>
      <w:pPr>
        <w:keepNext/>
        <w:spacing w:line="270" w:lineRule="atLeast"/>
        <w:jc w:val="both"/>
        <w:rPr>
          <w:noProof/>
        </w:rPr>
      </w:pPr>
      <w:r>
        <w:rPr>
          <w:noProof/>
          <w:lang w:val="en-GB" w:eastAsia="en-GB" w:bidi="ar-SA"/>
        </w:rPr>
        <w:drawing>
          <wp:inline distT="0" distB="0" distL="0" distR="0">
            <wp:extent cx="5753735" cy="3183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735" cy="3183255"/>
                    </a:xfrm>
                    <a:prstGeom prst="rect">
                      <a:avLst/>
                    </a:prstGeom>
                    <a:noFill/>
                    <a:ln>
                      <a:noFill/>
                    </a:ln>
                  </pic:spPr>
                </pic:pic>
              </a:graphicData>
            </a:graphic>
          </wp:inline>
        </w:drawing>
      </w:r>
    </w:p>
    <w:p>
      <w:pPr>
        <w:pStyle w:val="Caption"/>
        <w:tabs>
          <w:tab w:val="left" w:pos="840"/>
        </w:tabs>
        <w:ind w:left="851" w:hanging="851"/>
        <w:jc w:val="both"/>
        <w:rPr>
          <w:rFonts w:ascii="Times New Roman" w:hAnsi="Times New Roman"/>
          <w:noProof/>
          <w:color w:val="auto"/>
          <w:sz w:val="20"/>
          <w:szCs w:val="20"/>
        </w:rPr>
      </w:pPr>
      <w:r>
        <w:rPr>
          <w:rFonts w:ascii="Times New Roman" w:hAnsi="Times New Roman"/>
          <w:b/>
          <w:i w:val="0"/>
          <w:noProof/>
          <w:color w:val="auto"/>
          <w:sz w:val="20"/>
        </w:rPr>
        <w:t xml:space="preserve">Graf </w:t>
      </w:r>
      <w:r>
        <w:rPr>
          <w:rFonts w:ascii="Times New Roman" w:hAnsi="Times New Roman"/>
          <w:b/>
          <w:i w:val="0"/>
          <w:noProof/>
          <w:color w:val="auto"/>
          <w:sz w:val="20"/>
          <w:szCs w:val="20"/>
        </w:rPr>
        <w:fldChar w:fldCharType="begin"/>
      </w:r>
      <w:r>
        <w:rPr>
          <w:rFonts w:ascii="Times New Roman" w:hAnsi="Times New Roman"/>
          <w:b/>
          <w:i w:val="0"/>
          <w:noProof/>
          <w:color w:val="auto"/>
          <w:sz w:val="20"/>
          <w:szCs w:val="20"/>
        </w:rPr>
        <w:instrText xml:space="preserve"> SEQ Figure \* ARABIC </w:instrText>
      </w:r>
      <w:r>
        <w:rPr>
          <w:rFonts w:ascii="Times New Roman" w:hAnsi="Times New Roman"/>
          <w:b/>
          <w:i w:val="0"/>
          <w:noProof/>
          <w:color w:val="auto"/>
          <w:sz w:val="20"/>
          <w:szCs w:val="20"/>
        </w:rPr>
        <w:fldChar w:fldCharType="separate"/>
      </w:r>
      <w:r>
        <w:rPr>
          <w:rFonts w:ascii="Times New Roman" w:hAnsi="Times New Roman"/>
          <w:b/>
          <w:i w:val="0"/>
          <w:noProof/>
          <w:color w:val="auto"/>
          <w:sz w:val="20"/>
          <w:szCs w:val="20"/>
        </w:rPr>
        <w:t>1</w:t>
      </w:r>
      <w:r>
        <w:rPr>
          <w:rFonts w:ascii="Times New Roman" w:hAnsi="Times New Roman"/>
          <w:b/>
          <w:i w:val="0"/>
          <w:noProof/>
          <w:color w:val="auto"/>
          <w:sz w:val="20"/>
          <w:szCs w:val="20"/>
        </w:rPr>
        <w:fldChar w:fldCharType="end"/>
      </w:r>
      <w:r>
        <w:rPr>
          <w:rFonts w:ascii="Times New Roman" w:hAnsi="Times New Roman"/>
          <w:i w:val="0"/>
          <w:noProof/>
          <w:color w:val="auto"/>
          <w:sz w:val="20"/>
        </w:rPr>
        <w:t>:</w:t>
      </w:r>
      <w:r>
        <w:rPr>
          <w:noProof/>
        </w:rPr>
        <w:tab/>
      </w:r>
      <w:r>
        <w:rPr>
          <w:rFonts w:ascii="Times New Roman" w:hAnsi="Times New Roman"/>
          <w:i w:val="0"/>
          <w:noProof/>
          <w:color w:val="auto"/>
          <w:sz w:val="20"/>
        </w:rPr>
        <w:t>Počet licencí FLEGT obdržených v roce 2017.</w:t>
      </w:r>
    </w:p>
    <w:p>
      <w:pPr>
        <w:spacing w:line="270" w:lineRule="atLeast"/>
        <w:jc w:val="both"/>
        <w:rPr>
          <w:rFonts w:ascii="Times New Roman" w:hAnsi="Times New Roman"/>
          <w:i/>
          <w:noProof/>
          <w:sz w:val="24"/>
          <w:szCs w:val="24"/>
        </w:rPr>
      </w:pPr>
      <w:r>
        <w:rPr>
          <w:rFonts w:ascii="Times New Roman" w:hAnsi="Times New Roman"/>
          <w:i/>
          <w:noProof/>
          <w:sz w:val="24"/>
        </w:rPr>
        <w:t>Dovezená množství</w:t>
      </w:r>
    </w:p>
    <w:p>
      <w:pPr>
        <w:spacing w:line="270" w:lineRule="atLeast"/>
        <w:jc w:val="both"/>
        <w:rPr>
          <w:rFonts w:ascii="Times New Roman" w:hAnsi="Times New Roman"/>
          <w:noProof/>
          <w:sz w:val="24"/>
          <w:szCs w:val="24"/>
        </w:rPr>
      </w:pPr>
      <w:r>
        <w:rPr>
          <w:rFonts w:ascii="Times New Roman" w:hAnsi="Times New Roman"/>
          <w:noProof/>
          <w:sz w:val="24"/>
        </w:rPr>
        <w:t>V roce 2017 bylo na potvrzených licencích FLEGT vykázáno více než 658 milionů kg dřeva a dřevařských výrobků s licencí FLEGT</w:t>
      </w:r>
      <w:r>
        <w:rPr>
          <w:rStyle w:val="FootnoteReference"/>
          <w:rFonts w:ascii="Times New Roman" w:hAnsi="Times New Roman"/>
          <w:noProof/>
          <w:color w:val="000000" w:themeColor="text1"/>
          <w:sz w:val="24"/>
        </w:rPr>
        <w:footnoteReference w:id="9"/>
      </w:r>
      <w:r>
        <w:rPr>
          <w:rFonts w:ascii="Times New Roman" w:hAnsi="Times New Roman"/>
          <w:noProof/>
          <w:sz w:val="24"/>
          <w:vertAlign w:val="superscript"/>
        </w:rPr>
        <w:t>,</w:t>
      </w:r>
      <w:r>
        <w:rPr>
          <w:rStyle w:val="FootnoteReference"/>
          <w:rFonts w:ascii="Times New Roman" w:hAnsi="Times New Roman"/>
          <w:noProof/>
          <w:sz w:val="24"/>
        </w:rPr>
        <w:footnoteReference w:id="10"/>
      </w:r>
      <w:r>
        <w:rPr>
          <w:rFonts w:ascii="Times New Roman" w:hAnsi="Times New Roman"/>
          <w:noProof/>
          <w:sz w:val="24"/>
        </w:rPr>
        <w:t>. K hlavním druhům výrobků s licencí FLEGT dovezeným do EU (podle hmotnosti) patřily papírové výrobky (HS 4802 a 4803), nábytek (HS 9403 a 9401), překližky, dýhované desky a podobné vrstvené dřevo (HS 4412), výrobky stavebního truhlářství a tesařství (HS 4418) a souvisle profilované dřevo (HS 4409) (graf 2). Hlavní dovozci těchto výrobků jsou uvedeni v grafu 3.</w:t>
      </w:r>
    </w:p>
    <w:p>
      <w:pPr>
        <w:spacing w:line="270" w:lineRule="atLeast"/>
        <w:jc w:val="both"/>
        <w:rPr>
          <w:rFonts w:ascii="Times New Roman" w:hAnsi="Times New Roman"/>
          <w:noProof/>
          <w:sz w:val="24"/>
          <w:szCs w:val="24"/>
        </w:rPr>
      </w:pPr>
      <w:r>
        <w:rPr>
          <w:rFonts w:ascii="Times New Roman" w:hAnsi="Times New Roman"/>
          <w:noProof/>
          <w:sz w:val="24"/>
          <w:szCs w:val="24"/>
          <w:lang w:val="en-GB" w:eastAsia="en-GB"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5568051</wp:posOffset>
                </wp:positionV>
                <wp:extent cx="3104707" cy="295275"/>
                <wp:effectExtent l="0" t="0" r="635" b="9525"/>
                <wp:wrapNone/>
                <wp:docPr id="9" name="Text Box 9"/>
                <wp:cNvGraphicFramePr/>
                <a:graphic xmlns:a="http://schemas.openxmlformats.org/drawingml/2006/main">
                  <a:graphicData uri="http://schemas.microsoft.com/office/word/2010/wordprocessingShape">
                    <wps:wsp>
                      <wps:cNvSpPr txBox="1"/>
                      <wps:spPr>
                        <a:xfrm>
                          <a:off x="0" y="0"/>
                          <a:ext cx="3104707"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spacing w:line="270" w:lineRule="atLeast"/>
                              <w:rPr>
                                <w:rFonts w:asciiTheme="minorHAnsi" w:hAnsiTheme="minorHAnsi"/>
                                <w:sz w:val="18"/>
                                <w:szCs w:val="18"/>
                              </w:rPr>
                            </w:pPr>
                            <w:r>
                              <w:rPr>
                                <w:rFonts w:asciiTheme="minorHAnsi" w:hAnsiTheme="minorHAnsi"/>
                                <w:sz w:val="18"/>
                              </w:rPr>
                              <w:t>*Překližky, dýhované desky a podobné vrstvené dřevo</w:t>
                            </w:r>
                          </w:p>
                          <w:p>
                            <w:pPr>
                              <w:rPr>
                                <w:rFonts w:asciiTheme="minorHAnsi" w:hAnsi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pt;margin-top:438.45pt;width:244.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" fillcolor="white [3201]" stroked="f" strokeweight=".5pt">
                <v:textbox>
                  <w:txbxContent>
                    <w:p>
                      <w:pPr>
                        <w:spacing w:line="270" w:lineRule="atLeast"/>
                        <w:rPr>
                          <w:rFonts w:asciiTheme="minorHAnsi" w:hAnsiTheme="minorHAnsi"/>
                          <w:sz w:val="18"/>
                          <w:szCs w:val="18"/>
                        </w:rPr>
                      </w:pPr>
                      <w:r>
                        <w:rPr>
                          <w:rFonts w:asciiTheme="minorHAnsi" w:hAnsiTheme="minorHAnsi"/>
                          <w:sz w:val="18"/>
                        </w:rPr>
                        <w:t>*Překližky, dýhované desky a podobné vrstvené dřevo</w:t>
                      </w:r>
                    </w:p>
                    <w:p>
                      <w:pPr>
                        <w:rPr>
                          <w:rFonts w:asciiTheme="minorHAnsi" w:hAnsiTheme="minorHAnsi"/>
                          <w:sz w:val="18"/>
                          <w:szCs w:val="18"/>
                        </w:rPr>
                      </w:pPr>
                    </w:p>
                  </w:txbxContent>
                </v:textbox>
              </v:shape>
            </w:pict>
          </mc:Fallback>
        </mc:AlternateContent>
      </w:r>
      <w:r>
        <w:rPr>
          <w:noProof/>
          <w:lang w:val="en-GB" w:eastAsia="en-GB" w:bidi="ar-SA"/>
        </w:rPr>
        <w:drawing>
          <wp:inline distT="0" distB="0" distL="0" distR="0">
            <wp:extent cx="5760720" cy="5727648"/>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60720" cy="5727648"/>
                    </a:xfrm>
                    <a:prstGeom prst="rect">
                      <a:avLst/>
                    </a:prstGeom>
                  </pic:spPr>
                </pic:pic>
              </a:graphicData>
            </a:graphic>
          </wp:inline>
        </w:drawing>
      </w:r>
    </w:p>
    <w:p>
      <w:pPr>
        <w:keepNext/>
        <w:ind w:left="851" w:hanging="851"/>
        <w:jc w:val="both"/>
        <w:rPr>
          <w:rFonts w:ascii="Times New Roman" w:hAnsi="Times New Roman"/>
          <w:iCs/>
          <w:noProof/>
          <w:sz w:val="20"/>
          <w:szCs w:val="20"/>
        </w:rPr>
      </w:pPr>
      <w:r>
        <w:rPr>
          <w:rFonts w:ascii="Times New Roman" w:hAnsi="Times New Roman"/>
          <w:b/>
          <w:noProof/>
          <w:sz w:val="20"/>
        </w:rPr>
        <w:t>Graf 2</w:t>
      </w:r>
      <w:r>
        <w:rPr>
          <w:rFonts w:ascii="Times New Roman" w:hAnsi="Times New Roman"/>
          <w:noProof/>
          <w:sz w:val="20"/>
        </w:rPr>
        <w:t xml:space="preserve">: Množství výrobků s licencí FLEGT vykázaných podle kódu HS** na potvrzených licencích FLEGT z Indonésie do EU v roce 2017 podle hmotnosti (kg)*** (úplný popis kódů HS viz příloha A). </w:t>
      </w:r>
      <w:r>
        <w:rPr>
          <w:rFonts w:ascii="Times New Roman" w:hAnsi="Times New Roman"/>
          <w:noProof/>
          <w:sz w:val="16"/>
        </w:rPr>
        <w:t>** Dle možnosti byly kódy HS sesouhlaseny na šest číslic; čtyřčíselné kódy HS zahrnují pouze obchod vykázaný členskými státy na čtyřmístné úrovni.</w:t>
      </w:r>
      <w:r>
        <w:rPr>
          <w:rFonts w:asciiTheme="minorHAnsi" w:hAnsiTheme="minorHAnsi" w:cstheme="minorHAnsi"/>
          <w:noProof/>
          <w:sz w:val="16"/>
        </w:rPr>
        <w:t xml:space="preserve"> </w:t>
      </w:r>
      <w:r>
        <w:rPr>
          <w:rFonts w:ascii="Times New Roman" w:hAnsi="Times New Roman"/>
          <w:noProof/>
          <w:sz w:val="20"/>
        </w:rPr>
        <w:t xml:space="preserve"> </w:t>
      </w:r>
      <w:r>
        <w:rPr>
          <w:rFonts w:ascii="Times New Roman" w:hAnsi="Times New Roman"/>
          <w:noProof/>
          <w:sz w:val="16"/>
        </w:rPr>
        <w:t>*** Množství bylo vykázáno podle hmotnosti u 28 331 (&gt; 99 %) licencí FLEGT, což nemusí být reprezentativní pro veškerý obchod.</w:t>
      </w:r>
    </w:p>
    <w:p>
      <w:pPr>
        <w:spacing w:line="270" w:lineRule="atLeast"/>
        <w:jc w:val="both"/>
        <w:rPr>
          <w:rFonts w:ascii="Times New Roman" w:hAnsi="Times New Roman"/>
          <w:noProof/>
          <w:sz w:val="24"/>
          <w:szCs w:val="24"/>
        </w:rPr>
      </w:pPr>
    </w:p>
    <w:p>
      <w:pPr>
        <w:keepNext/>
        <w:spacing w:line="270" w:lineRule="atLeast"/>
        <w:jc w:val="both"/>
        <w:rPr>
          <w:noProof/>
        </w:rPr>
      </w:pPr>
      <w:r>
        <w:rPr>
          <w:noProof/>
          <w:lang w:val="en-GB" w:eastAsia="en-GB" w:bidi="ar-SA"/>
        </w:rPr>
        <w:drawing>
          <wp:inline distT="0" distB="0" distL="0" distR="0">
            <wp:extent cx="5753735" cy="28206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735" cy="2820670"/>
                    </a:xfrm>
                    <a:prstGeom prst="rect">
                      <a:avLst/>
                    </a:prstGeom>
                    <a:noFill/>
                    <a:ln>
                      <a:noFill/>
                    </a:ln>
                  </pic:spPr>
                </pic:pic>
              </a:graphicData>
            </a:graphic>
          </wp:inline>
        </w:drawing>
      </w:r>
    </w:p>
    <w:p>
      <w:pPr>
        <w:pStyle w:val="Caption"/>
        <w:spacing w:after="0"/>
        <w:ind w:left="851" w:hanging="851"/>
        <w:jc w:val="both"/>
        <w:rPr>
          <w:rFonts w:ascii="Times New Roman" w:hAnsi="Times New Roman"/>
          <w:i w:val="0"/>
          <w:noProof/>
          <w:color w:val="auto"/>
          <w:sz w:val="20"/>
          <w:szCs w:val="20"/>
        </w:rPr>
      </w:pPr>
      <w:r>
        <w:rPr>
          <w:rFonts w:ascii="Times New Roman" w:hAnsi="Times New Roman"/>
          <w:b/>
          <w:i w:val="0"/>
          <w:noProof/>
          <w:color w:val="auto"/>
          <w:sz w:val="20"/>
        </w:rPr>
        <w:t>Graf 3</w:t>
      </w:r>
      <w:r>
        <w:rPr>
          <w:rFonts w:ascii="Times New Roman" w:hAnsi="Times New Roman"/>
          <w:i w:val="0"/>
          <w:noProof/>
          <w:color w:val="auto"/>
          <w:sz w:val="20"/>
        </w:rPr>
        <w:t>:</w:t>
      </w:r>
      <w:r>
        <w:rPr>
          <w:noProof/>
        </w:rPr>
        <w:tab/>
      </w:r>
      <w:r>
        <w:rPr>
          <w:rFonts w:ascii="Times New Roman" w:hAnsi="Times New Roman"/>
          <w:i w:val="0"/>
          <w:noProof/>
          <w:color w:val="auto"/>
          <w:sz w:val="20"/>
        </w:rPr>
        <w:t xml:space="preserve">Hlavní unijní dovozci šesti hlavních výrobků s licencí FLEGT vykázaných podle kódu HS* na potvrzených licencích FLEGT z Indonésie do EU v roce 2017 podle hmotnosti (kg) (úplný popis kódů HS viz příloha A). </w:t>
      </w:r>
      <w:r>
        <w:rPr>
          <w:rFonts w:ascii="Times New Roman" w:hAnsi="Times New Roman"/>
          <w:i w:val="0"/>
          <w:noProof/>
          <w:color w:val="auto"/>
          <w:sz w:val="16"/>
        </w:rPr>
        <w:t>* Dle možnosti byly kódy HS sesouhlaseny na šest číslic; čtyřčíselné kódy HS zahrnují pouze obchod vykázaný členskými státy na čtyřmístné úrovni.</w:t>
      </w:r>
      <w:r>
        <w:rPr>
          <w:rFonts w:asciiTheme="minorHAnsi" w:hAnsiTheme="minorHAnsi" w:cstheme="minorHAnsi"/>
          <w:noProof/>
          <w:color w:val="auto"/>
          <w:sz w:val="16"/>
        </w:rPr>
        <w:t xml:space="preserve"> </w:t>
      </w:r>
    </w:p>
    <w:p>
      <w:pPr>
        <w:ind w:left="851"/>
        <w:rPr>
          <w:noProof/>
        </w:rPr>
      </w:pPr>
    </w:p>
    <w:p>
      <w:pPr>
        <w:spacing w:line="270" w:lineRule="atLeast"/>
        <w:jc w:val="both"/>
        <w:rPr>
          <w:rFonts w:ascii="Times New Roman" w:hAnsi="Times New Roman"/>
          <w:i/>
          <w:noProof/>
          <w:sz w:val="24"/>
          <w:szCs w:val="24"/>
        </w:rPr>
      </w:pPr>
      <w:r>
        <w:rPr>
          <w:rFonts w:ascii="Times New Roman" w:hAnsi="Times New Roman"/>
          <w:i/>
          <w:noProof/>
          <w:sz w:val="24"/>
        </w:rPr>
        <w:t>Dovezené taxony</w:t>
      </w:r>
    </w:p>
    <w:p>
      <w:pPr>
        <w:spacing w:line="270" w:lineRule="atLeast"/>
        <w:jc w:val="both"/>
        <w:rPr>
          <w:rFonts w:ascii="Times New Roman" w:hAnsi="Times New Roman"/>
          <w:noProof/>
          <w:sz w:val="24"/>
          <w:szCs w:val="24"/>
        </w:rPr>
      </w:pPr>
      <w:r>
        <w:rPr>
          <w:rFonts w:ascii="Times New Roman" w:hAnsi="Times New Roman"/>
          <w:noProof/>
          <w:sz w:val="24"/>
        </w:rPr>
        <w:t xml:space="preserve">Informace o taxonech v obchodu poskytlo 23 z 26 členských států, které v roce 2017 vykázaly obchod. Maďarsko, Nizozemsko a Spojené království, na které společně připadlo 311,1 milionu kg dřeva na potvrzených licencích FLEGT, informace o obchodovaných druzích neposkytly. Kromě toho ostatních 23 členských států vykázalo více než 498 000 kg dřeva na potvrzených licencích FLEGT bez udání taxonů. </w:t>
      </w:r>
    </w:p>
    <w:p>
      <w:pPr>
        <w:spacing w:line="270" w:lineRule="atLeast"/>
        <w:jc w:val="both"/>
        <w:rPr>
          <w:rFonts w:ascii="Times New Roman" w:hAnsi="Times New Roman"/>
          <w:noProof/>
          <w:sz w:val="24"/>
          <w:szCs w:val="24"/>
        </w:rPr>
      </w:pPr>
      <w:r>
        <w:rPr>
          <w:rFonts w:ascii="Times New Roman" w:hAnsi="Times New Roman"/>
          <w:noProof/>
          <w:sz w:val="24"/>
        </w:rPr>
        <w:t xml:space="preserve">Celkem bylo v roce 2017 na potvrzených licencích FLEGT jednotlivě vykázáno celkem 115 různých druhů a 57 vyšších taxonů (např. rodů) o hmotnosti 176,5 milionu kg spolu s dalšími 170,7 milionu kg dodávek smíšených taxonů. V případech, kdy byly určeny jednotlivé taxony, připadlo nejvíce obchodovaných taxonů dle hmotnosti na druhy </w:t>
      </w:r>
      <w:r>
        <w:rPr>
          <w:rFonts w:ascii="Times New Roman" w:hAnsi="Times New Roman"/>
          <w:i/>
          <w:noProof/>
          <w:sz w:val="24"/>
        </w:rPr>
        <w:t xml:space="preserve">Acacia mangium </w:t>
      </w:r>
      <w:r>
        <w:rPr>
          <w:rFonts w:ascii="Times New Roman" w:hAnsi="Times New Roman"/>
          <w:noProof/>
          <w:sz w:val="24"/>
        </w:rPr>
        <w:t xml:space="preserve">(mangium), </w:t>
      </w:r>
      <w:r>
        <w:rPr>
          <w:rFonts w:ascii="Times New Roman" w:hAnsi="Times New Roman"/>
          <w:i/>
          <w:noProof/>
          <w:sz w:val="24"/>
        </w:rPr>
        <w:t xml:space="preserve">Shorea </w:t>
      </w:r>
      <w:r>
        <w:rPr>
          <w:rFonts w:ascii="Times New Roman" w:hAnsi="Times New Roman"/>
          <w:noProof/>
          <w:sz w:val="24"/>
        </w:rPr>
        <w:t xml:space="preserve">(meranti) a </w:t>
      </w:r>
      <w:r>
        <w:rPr>
          <w:rFonts w:ascii="Times New Roman" w:hAnsi="Times New Roman"/>
          <w:i/>
          <w:noProof/>
          <w:sz w:val="24"/>
        </w:rPr>
        <w:t xml:space="preserve">Tectona grandis </w:t>
      </w:r>
      <w:r>
        <w:rPr>
          <w:rFonts w:ascii="Times New Roman" w:hAnsi="Times New Roman"/>
          <w:noProof/>
          <w:sz w:val="24"/>
        </w:rPr>
        <w:t>(teak).</w:t>
      </w:r>
    </w:p>
    <w:p>
      <w:pPr>
        <w:spacing w:line="240" w:lineRule="auto"/>
        <w:jc w:val="both"/>
        <w:rPr>
          <w:rFonts w:ascii="Times New Roman" w:hAnsi="Times New Roman"/>
          <w:noProof/>
          <w:sz w:val="24"/>
          <w:szCs w:val="24"/>
        </w:rPr>
      </w:pPr>
      <w:r>
        <w:rPr>
          <w:rFonts w:ascii="Times New Roman" w:hAnsi="Times New Roman"/>
          <w:i/>
          <w:noProof/>
          <w:sz w:val="24"/>
        </w:rPr>
        <w:t>Zpracování licencí FLEGT</w:t>
      </w:r>
    </w:p>
    <w:p>
      <w:pPr>
        <w:spacing w:line="240" w:lineRule="auto"/>
        <w:jc w:val="both"/>
        <w:rPr>
          <w:rFonts w:ascii="Times New Roman" w:hAnsi="Times New Roman"/>
          <w:noProof/>
          <w:sz w:val="24"/>
          <w:szCs w:val="24"/>
        </w:rPr>
      </w:pPr>
      <w:r>
        <w:rPr>
          <w:rFonts w:ascii="Times New Roman" w:hAnsi="Times New Roman"/>
          <w:noProof/>
          <w:sz w:val="24"/>
        </w:rPr>
        <w:t>Ve dvaceti členských státech byl ke zpracování licencí FLEGT použit systém FLEGIT/TRACES</w:t>
      </w:r>
      <w:r>
        <w:rPr>
          <w:rStyle w:val="FootnoteReference"/>
          <w:rFonts w:ascii="Times New Roman" w:hAnsi="Times New Roman"/>
          <w:noProof/>
          <w:sz w:val="24"/>
        </w:rPr>
        <w:footnoteReference w:id="11"/>
      </w:r>
      <w:r>
        <w:rPr>
          <w:rFonts w:ascii="Times New Roman" w:hAnsi="Times New Roman"/>
          <w:noProof/>
          <w:sz w:val="24"/>
        </w:rPr>
        <w:t xml:space="preserve"> a devět členských států použilo vnitrostátní systémy. Rakousko použilo jak systém FLEGIT/TRACES, tak systém vnitrostátní. Členské státy rovněž oznámily formát, v němž byly licence FLEGT předloženy. Čtrnáct členských států obdrželo licence FLEGT ve více než jednom formátu. V souhrnu devatenáct členských států oznámilo předložení papírových licencí, osmnáct předložení prostřednictvím systému FLEGIT/TRACES, tři prostřednictvím vnitrostátních elektronických systémů a dva e-mailem. </w:t>
      </w:r>
    </w:p>
    <w:p>
      <w:pPr>
        <w:pStyle w:val="ListParagraph"/>
        <w:numPr>
          <w:ilvl w:val="1"/>
          <w:numId w:val="15"/>
        </w:numPr>
        <w:spacing w:line="240" w:lineRule="auto"/>
        <w:jc w:val="both"/>
        <w:rPr>
          <w:rFonts w:ascii="Times New Roman" w:hAnsi="Times New Roman"/>
          <w:b/>
          <w:noProof/>
          <w:sz w:val="24"/>
          <w:szCs w:val="24"/>
        </w:rPr>
      </w:pPr>
      <w:r>
        <w:rPr>
          <w:rFonts w:ascii="Times New Roman" w:hAnsi="Times New Roman"/>
          <w:b/>
          <w:noProof/>
          <w:sz w:val="24"/>
        </w:rPr>
        <w:t>Další ověřování licencí FLEGT a dodávek</w:t>
      </w:r>
    </w:p>
    <w:p>
      <w:pPr>
        <w:spacing w:line="270" w:lineRule="atLeast"/>
        <w:jc w:val="both"/>
        <w:rPr>
          <w:rFonts w:ascii="Times New Roman" w:hAnsi="Times New Roman"/>
          <w:noProof/>
          <w:sz w:val="24"/>
          <w:szCs w:val="24"/>
        </w:rPr>
      </w:pPr>
      <w:r>
        <w:rPr>
          <w:rFonts w:ascii="Times New Roman" w:hAnsi="Times New Roman"/>
          <w:noProof/>
          <w:sz w:val="24"/>
        </w:rPr>
        <w:t>Podle čl. 5 odst. 4 nařízení FLEGT rozhodnou příslušné orgány, zda je potřeba dodávky dále prověřovat pomocí přístupu založeného na riziku. Povinnost provádět další ověřování licencí FLEGT je stanovena ve 22 členských státech a v 23 členských státech se jedná o povinnost dalších ověřování dodávek s licencí FLEGT (příloha B, tabulka 1 a 2). V roce 2017 bylo dodatečně ověřeno celkem 1 144 licencí FLEGT (např. kontaktováním indonéského oddělení pro informace o licencích za účelem dalšího ověřování) a kontroly provedlo sedmnáct členských států.</w:t>
      </w:r>
      <w:r>
        <w:rPr>
          <w:noProof/>
        </w:rPr>
        <w:t xml:space="preserve"> </w:t>
      </w:r>
      <w:r>
        <w:rPr>
          <w:rFonts w:ascii="Times New Roman" w:hAnsi="Times New Roman"/>
          <w:noProof/>
          <w:sz w:val="24"/>
        </w:rPr>
        <w:t>Nizozemsko navíc provádělo dodatečné ověřování každodenně, avšak z důvodu omezení administrativní zátěže počet kontrol nezaznamenávalo.</w:t>
      </w:r>
    </w:p>
    <w:p>
      <w:pPr>
        <w:spacing w:line="270" w:lineRule="atLeast"/>
        <w:jc w:val="both"/>
        <w:rPr>
          <w:rFonts w:ascii="Times New Roman" w:hAnsi="Times New Roman"/>
          <w:noProof/>
          <w:sz w:val="24"/>
          <w:szCs w:val="24"/>
        </w:rPr>
      </w:pPr>
      <w:r>
        <w:rPr>
          <w:rFonts w:ascii="Times New Roman" w:hAnsi="Times New Roman"/>
          <w:noProof/>
          <w:sz w:val="24"/>
        </w:rPr>
        <w:t>Členské státy uvedly, že o potřebě dalšího ověření licence FLEGT nebo dodávky rozhodují na základě několika kritérií rizikovosti, včetně případů, kdy existuje nesoulad mezi informacemi v licenci FLEGT a dalšími doklady (příloha B, tabulka 1 a 2).</w:t>
      </w:r>
      <w:r>
        <w:rPr>
          <w:noProof/>
        </w:rPr>
        <w:t xml:space="preserve"> </w:t>
      </w:r>
      <w:r>
        <w:rPr>
          <w:rFonts w:ascii="Times New Roman" w:hAnsi="Times New Roman"/>
          <w:noProof/>
          <w:sz w:val="24"/>
        </w:rPr>
        <w:t>Devatenáct členských států uvedlo, že k ověření licencí FLEGT obdržených od hospodářských subjektů používá indonéský informační systém o zákonnosti dřeva (SILK), přičemž šest z nich tento systém používá „občas“.</w:t>
      </w:r>
    </w:p>
    <w:p>
      <w:pPr>
        <w:spacing w:line="270" w:lineRule="atLeast"/>
        <w:jc w:val="both"/>
        <w:rPr>
          <w:rFonts w:ascii="Times New Roman" w:hAnsi="Times New Roman"/>
          <w:noProof/>
          <w:sz w:val="24"/>
          <w:szCs w:val="24"/>
        </w:rPr>
      </w:pPr>
      <w:r>
        <w:rPr>
          <w:rFonts w:ascii="Times New Roman" w:hAnsi="Times New Roman"/>
          <w:noProof/>
          <w:sz w:val="24"/>
        </w:rPr>
        <w:t>V roce 2017 provedlo dvanáct členských států celkem 218 fyzických kontrol dodávek s licencí FLEGT a v 94,6 % případů dodávka souhlasila s údaji uvedenými v licenci FLEGT.</w:t>
      </w:r>
    </w:p>
    <w:p>
      <w:pPr>
        <w:spacing w:line="270" w:lineRule="atLeast"/>
        <w:jc w:val="both"/>
        <w:rPr>
          <w:rFonts w:ascii="Times New Roman" w:hAnsi="Times New Roman"/>
          <w:bCs/>
          <w:iCs/>
          <w:noProof/>
          <w:sz w:val="24"/>
          <w:szCs w:val="24"/>
        </w:rPr>
      </w:pPr>
      <w:r>
        <w:rPr>
          <w:rFonts w:ascii="Times New Roman" w:hAnsi="Times New Roman"/>
          <w:noProof/>
          <w:sz w:val="24"/>
        </w:rPr>
        <w:t>V souladu s čl. 3 odst. 2 prováděcího nařízení (ES) č. 1024/2008 Komise poskytla (a v případě potřeby nadále poskytuje) členským státům i názvy a další důležité údaje licenčních orgánů určených Indonésií, ověřené vzory razítek a podpisů každého z těchto licenčních orgánů, jakož i vzory šablony, kterou Indonésie používá pro licence FLEGT.</w:t>
      </w:r>
    </w:p>
    <w:p>
      <w:pPr>
        <w:pStyle w:val="ListParagraph"/>
        <w:numPr>
          <w:ilvl w:val="1"/>
          <w:numId w:val="15"/>
        </w:numPr>
        <w:spacing w:line="240" w:lineRule="auto"/>
        <w:jc w:val="both"/>
        <w:rPr>
          <w:rFonts w:ascii="Times New Roman" w:hAnsi="Times New Roman"/>
          <w:b/>
          <w:noProof/>
          <w:sz w:val="24"/>
          <w:szCs w:val="24"/>
        </w:rPr>
      </w:pPr>
      <w:r>
        <w:rPr>
          <w:rFonts w:ascii="Times New Roman" w:hAnsi="Times New Roman"/>
          <w:b/>
          <w:noProof/>
          <w:sz w:val="24"/>
        </w:rPr>
        <w:t>Ustanovení o sankcích</w:t>
      </w:r>
    </w:p>
    <w:p>
      <w:pPr>
        <w:spacing w:line="270" w:lineRule="atLeast"/>
        <w:jc w:val="both"/>
        <w:rPr>
          <w:rFonts w:ascii="Times New Roman" w:hAnsi="Times New Roman"/>
          <w:noProof/>
          <w:sz w:val="24"/>
          <w:szCs w:val="24"/>
        </w:rPr>
      </w:pPr>
      <w:r>
        <w:rPr>
          <w:rFonts w:ascii="Times New Roman" w:hAnsi="Times New Roman"/>
          <w:noProof/>
          <w:sz w:val="24"/>
        </w:rPr>
        <w:t>Ustanovení čl. 5 odst. 8 nařízení FLEGT stanoví, že „každý členský stát stanoví sankce, které se uloží v případě porušení ustanovení tohoto nařízení.</w:t>
      </w:r>
      <w:r>
        <w:rPr>
          <w:rFonts w:ascii="Times New Roman" w:hAnsi="Times New Roman"/>
          <w:i/>
          <w:noProof/>
          <w:sz w:val="24"/>
        </w:rPr>
        <w:t xml:space="preserve"> </w:t>
      </w:r>
      <w:r>
        <w:rPr>
          <w:rFonts w:ascii="Times New Roman" w:hAnsi="Times New Roman"/>
          <w:noProof/>
          <w:sz w:val="24"/>
        </w:rPr>
        <w:t>Tyto sankce musí být účinné, přiměřené a odrazující.“ Osmnáct členských států má zavedeno ustanovení o správních pokutách, šestnáct o trestních pokutách, dvacet o uložení trestu odnětí svobody, pět o pozastavení oprávnění k obchodování a osm o uložení nápravných opatření nebo písemných varováních. Maximální možná výše trestu odnětí svobody se pohybuje od jednoho měsíce do patnácti let (šestnáct členských států oznámilo maximální možnou výši trestu odnětí svobody od jednoho roku do pěti let).</w:t>
      </w:r>
    </w:p>
    <w:p>
      <w:pPr>
        <w:spacing w:line="270" w:lineRule="atLeast"/>
        <w:jc w:val="both"/>
        <w:rPr>
          <w:rFonts w:ascii="Times New Roman" w:hAnsi="Times New Roman"/>
          <w:noProof/>
          <w:sz w:val="24"/>
          <w:szCs w:val="24"/>
        </w:rPr>
      </w:pPr>
      <w:r>
        <w:rPr>
          <w:rFonts w:ascii="Times New Roman" w:hAnsi="Times New Roman"/>
          <w:noProof/>
          <w:sz w:val="24"/>
        </w:rPr>
        <w:t>V souladu s čl. 5 odst. 7 nařízení FLEGT mohou celní orgány pozdržet propuštění dřevařských produktů nebo je zabavit, pokud se mají důvod domnívat, že licence nemusí být platná. Dvacet tři členských států uvedlo, že mohou dřevařské výrobky zajistit, a dvacet jedna členských států oznámilo, že likvidace zabaveného dřeva je stanovena v jejich vnitrostátních právních předpisech (graf 4). Z členských států, které mají likvidaci zabaveného dřeva stanovenu ve vnitrostátních právních předpisech, deset uvedlo, že likvidace je v kompetenci celních orgánů, a pět uvedlo, že tato likvidace je v kompetenci příslušného orgánu.</w:t>
      </w:r>
    </w:p>
    <w:p>
      <w:pPr>
        <w:keepNext/>
        <w:spacing w:line="270" w:lineRule="atLeast"/>
        <w:jc w:val="both"/>
        <w:rPr>
          <w:rFonts w:ascii="Times New Roman" w:hAnsi="Times New Roman"/>
          <w:bCs/>
          <w:noProof/>
          <w:sz w:val="24"/>
          <w:szCs w:val="24"/>
        </w:rPr>
      </w:pPr>
      <w:r>
        <w:rPr>
          <w:noProof/>
          <w:lang w:val="en-GB" w:eastAsia="en-GB" w:bidi="ar-SA"/>
        </w:rPr>
        <w:drawing>
          <wp:inline distT="0" distB="0" distL="0" distR="0">
            <wp:extent cx="2570672" cy="2734261"/>
            <wp:effectExtent l="0" t="0" r="127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576456" cy="2740413"/>
                    </a:xfrm>
                    <a:prstGeom prst="rect">
                      <a:avLst/>
                    </a:prstGeom>
                  </pic:spPr>
                </pic:pic>
              </a:graphicData>
            </a:graphic>
          </wp:inline>
        </w:drawing>
      </w:r>
      <w:r>
        <w:rPr>
          <w:noProof/>
          <w:lang w:val="en-GB" w:eastAsia="en-GB" w:bidi="ar-SA"/>
        </w:rPr>
        <w:drawing>
          <wp:inline distT="0" distB="0" distL="0" distR="0">
            <wp:extent cx="2674189" cy="2753542"/>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679237" cy="2758739"/>
                    </a:xfrm>
                    <a:prstGeom prst="rect">
                      <a:avLst/>
                    </a:prstGeom>
                  </pic:spPr>
                </pic:pic>
              </a:graphicData>
            </a:graphic>
          </wp:inline>
        </w:drawing>
      </w:r>
      <w:r>
        <w:rPr>
          <w:noProof/>
          <w:lang w:val="en-GB" w:eastAsia="en-GB" w:bidi="ar-SA"/>
        </w:rPr>
        <mc:AlternateContent>
          <mc:Choice Requires="wps">
            <w:drawing>
              <wp:anchor distT="45720" distB="45720" distL="114300" distR="114300" simplePos="0" relativeHeight="251658240" behindDoc="0" locked="0" layoutInCell="1" allowOverlap="1">
                <wp:simplePos x="0" y="0"/>
                <wp:positionH relativeFrom="margin">
                  <wp:posOffset>-262255</wp:posOffset>
                </wp:positionH>
                <wp:positionV relativeFrom="paragraph">
                  <wp:posOffset>2044700</wp:posOffset>
                </wp:positionV>
                <wp:extent cx="5657850" cy="435610"/>
                <wp:effectExtent l="444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line="270" w:lineRule="atLeast"/>
                              <w:ind w:left="360"/>
                              <w:rPr>
                                <w:color w:val="6C8911"/>
                                <w:sz w:val="28"/>
                              </w:rPr>
                            </w:pPr>
                            <w:r>
                              <w:rPr>
                                <w:color w:val="6C8911"/>
                                <w:sz w:val="28"/>
                              </w:rPr>
                              <w:t>A)                                                                 B)</w:t>
                            </w: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0.65pt;margin-top:161pt;width:445.5pt;height:34.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" filled="f" stroked="f">
                <v:textbox style="mso-fit-shape-to-text:t">
                  <w:txbxContent>
                    <w:p>
                      <w:pPr>
                        <w:spacing w:line="270" w:lineRule="atLeast"/>
                        <w:ind w:left="360"/>
                        <w:rPr>
                          <w:color w:val="6C8911"/>
                          <w:sz w:val="28"/>
                        </w:rPr>
                      </w:pPr>
                      <w:r>
                        <w:rPr>
                          <w:color w:val="6C8911"/>
                          <w:sz w:val="28"/>
                        </w:rPr>
                        <w:t>A)                                                                 B)</w:t>
                      </w:r>
                      <w:r>
                        <w:t xml:space="preserve"> </w:t>
                      </w:r>
                    </w:p>
                  </w:txbxContent>
                </v:textbox>
                <w10:wrap anchorx="margin"/>
              </v:shape>
            </w:pict>
          </mc:Fallback>
        </mc:AlternateContent>
      </w:r>
      <w:r>
        <w:rPr>
          <w:rFonts w:ascii="Times New Roman" w:hAnsi="Times New Roman"/>
          <w:noProof/>
          <w:sz w:val="24"/>
        </w:rPr>
        <w:t xml:space="preserve">                 </w:t>
      </w:r>
      <w:r>
        <w:rPr>
          <w:noProof/>
        </w:rPr>
        <w:t xml:space="preserve"> </w:t>
      </w:r>
    </w:p>
    <w:p>
      <w:pPr>
        <w:spacing w:after="0" w:line="270" w:lineRule="atLeast"/>
        <w:ind w:left="851" w:hanging="851"/>
        <w:jc w:val="both"/>
        <w:rPr>
          <w:rFonts w:ascii="Times New Roman" w:hAnsi="Times New Roman"/>
          <w:noProof/>
          <w:sz w:val="20"/>
          <w:szCs w:val="20"/>
        </w:rPr>
      </w:pPr>
      <w:r>
        <w:rPr>
          <w:rFonts w:ascii="Times New Roman" w:hAnsi="Times New Roman"/>
          <w:b/>
          <w:noProof/>
          <w:sz w:val="20"/>
        </w:rPr>
        <w:t xml:space="preserve">Graf 4: </w:t>
      </w:r>
      <w:r>
        <w:rPr>
          <w:rFonts w:ascii="Times New Roman" w:hAnsi="Times New Roman"/>
          <w:noProof/>
          <w:sz w:val="20"/>
        </w:rPr>
        <w:t>Členské státy mající A) sankce, které zahrnují zajištění nebo zabavení dodávek dřeva, B) likvidaci zabaveného dřeva stanovenu ve vnitrostátních právních předpisech.</w:t>
      </w:r>
    </w:p>
    <w:p>
      <w:pPr>
        <w:spacing w:after="0" w:line="270" w:lineRule="atLeast"/>
        <w:jc w:val="both"/>
        <w:rPr>
          <w:rFonts w:ascii="Times New Roman" w:hAnsi="Times New Roman"/>
          <w:noProof/>
          <w:sz w:val="20"/>
          <w:szCs w:val="20"/>
        </w:rPr>
      </w:pPr>
    </w:p>
    <w:p>
      <w:pPr>
        <w:pStyle w:val="ListParagraph"/>
        <w:numPr>
          <w:ilvl w:val="1"/>
          <w:numId w:val="15"/>
        </w:numPr>
        <w:spacing w:line="240" w:lineRule="auto"/>
        <w:jc w:val="both"/>
        <w:rPr>
          <w:rFonts w:ascii="Times New Roman" w:hAnsi="Times New Roman"/>
          <w:b/>
          <w:noProof/>
          <w:sz w:val="24"/>
          <w:szCs w:val="24"/>
        </w:rPr>
      </w:pPr>
      <w:bookmarkStart w:id="8" w:name="_Toc485222993"/>
      <w:r>
        <w:rPr>
          <w:rFonts w:ascii="Times New Roman" w:hAnsi="Times New Roman"/>
          <w:b/>
          <w:noProof/>
          <w:sz w:val="24"/>
        </w:rPr>
        <w:t>Uplatněné sankce</w:t>
      </w:r>
    </w:p>
    <w:p>
      <w:pPr>
        <w:spacing w:line="240" w:lineRule="auto"/>
        <w:jc w:val="both"/>
        <w:rPr>
          <w:rFonts w:ascii="Times New Roman" w:hAnsi="Times New Roman"/>
          <w:noProof/>
          <w:sz w:val="24"/>
          <w:szCs w:val="24"/>
        </w:rPr>
      </w:pPr>
      <w:r>
        <w:rPr>
          <w:rFonts w:ascii="Times New Roman" w:hAnsi="Times New Roman"/>
          <w:noProof/>
          <w:sz w:val="24"/>
        </w:rPr>
        <w:t>V roce 2017 jedenáct členských států dle svých informací neschválilo</w:t>
      </w:r>
      <w:r>
        <w:rPr>
          <w:rStyle w:val="FootnoteReference"/>
          <w:rFonts w:ascii="Times New Roman" w:hAnsi="Times New Roman"/>
          <w:noProof/>
          <w:sz w:val="24"/>
        </w:rPr>
        <w:footnoteReference w:id="12"/>
      </w:r>
      <w:r>
        <w:rPr>
          <w:rFonts w:ascii="Times New Roman" w:hAnsi="Times New Roman"/>
          <w:noProof/>
          <w:sz w:val="24"/>
        </w:rPr>
        <w:t xml:space="preserve"> celkem 107 licencí FLEGT, přičemž nejvyšší počet neschválila Itálie (63) (graf 5). Dva členské státy (Rakousko a Estonsko) použily v roce 2017 čl. 6 odst. 1</w:t>
      </w:r>
      <w:r>
        <w:rPr>
          <w:rStyle w:val="FootnoteReference"/>
          <w:rFonts w:ascii="Times New Roman" w:hAnsi="Times New Roman"/>
          <w:noProof/>
          <w:sz w:val="24"/>
        </w:rPr>
        <w:footnoteReference w:id="13"/>
      </w:r>
      <w:r>
        <w:rPr>
          <w:rFonts w:ascii="Times New Roman" w:hAnsi="Times New Roman"/>
          <w:noProof/>
          <w:sz w:val="24"/>
        </w:rPr>
        <w:t xml:space="preserve"> na celkem čtyři případy dodávek o hmotnosti 4 475 kg a všechny měly za následek správní sankce. Jeden členský stát (Německo) použil z důvodu údajně padělané licence čl. 6 odst. 2</w:t>
      </w:r>
      <w:r>
        <w:rPr>
          <w:rStyle w:val="FootnoteReference"/>
          <w:rFonts w:ascii="Times New Roman" w:hAnsi="Times New Roman"/>
          <w:noProof/>
          <w:sz w:val="24"/>
        </w:rPr>
        <w:footnoteReference w:id="14"/>
      </w:r>
      <w:r>
        <w:rPr>
          <w:rFonts w:ascii="Times New Roman" w:hAnsi="Times New Roman"/>
          <w:noProof/>
          <w:sz w:val="24"/>
        </w:rPr>
        <w:t>.</w:t>
      </w:r>
    </w:p>
    <w:p>
      <w:pPr>
        <w:spacing w:line="240" w:lineRule="auto"/>
        <w:jc w:val="both"/>
        <w:rPr>
          <w:rFonts w:ascii="Times New Roman" w:hAnsi="Times New Roman"/>
          <w:noProof/>
          <w:sz w:val="24"/>
          <w:szCs w:val="24"/>
        </w:rPr>
      </w:pPr>
    </w:p>
    <w:p>
      <w:pPr>
        <w:spacing w:after="0" w:line="240" w:lineRule="auto"/>
        <w:jc w:val="both"/>
        <w:rPr>
          <w:rFonts w:ascii="Times New Roman" w:hAnsi="Times New Roman"/>
          <w:b/>
          <w:noProof/>
          <w:sz w:val="24"/>
          <w:szCs w:val="24"/>
        </w:rPr>
      </w:pPr>
      <w:r>
        <w:rPr>
          <w:noProof/>
        </w:rPr>
        <w:t xml:space="preserve"> </w:t>
      </w:r>
      <w:r>
        <w:rPr>
          <w:noProof/>
          <w:lang w:val="en-GB" w:eastAsia="en-GB" w:bidi="ar-SA"/>
        </w:rPr>
        <w:drawing>
          <wp:inline distT="0" distB="0" distL="0" distR="0">
            <wp:extent cx="5760720" cy="311186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60720" cy="3111867"/>
                    </a:xfrm>
                    <a:prstGeom prst="rect">
                      <a:avLst/>
                    </a:prstGeom>
                  </pic:spPr>
                </pic:pic>
              </a:graphicData>
            </a:graphic>
          </wp:inline>
        </w:drawing>
      </w:r>
    </w:p>
    <w:p>
      <w:pPr>
        <w:tabs>
          <w:tab w:val="left" w:pos="851"/>
        </w:tabs>
        <w:spacing w:after="0" w:line="270" w:lineRule="atLeast"/>
        <w:jc w:val="both"/>
        <w:rPr>
          <w:rFonts w:ascii="Times New Roman" w:hAnsi="Times New Roman"/>
          <w:noProof/>
          <w:sz w:val="20"/>
          <w:szCs w:val="20"/>
        </w:rPr>
      </w:pPr>
      <w:r>
        <w:rPr>
          <w:rFonts w:ascii="Times New Roman" w:hAnsi="Times New Roman"/>
          <w:b/>
          <w:noProof/>
          <w:sz w:val="20"/>
        </w:rPr>
        <w:t xml:space="preserve">Graf 5: </w:t>
      </w:r>
      <w:r>
        <w:rPr>
          <w:rFonts w:ascii="Times New Roman" w:hAnsi="Times New Roman"/>
          <w:noProof/>
          <w:sz w:val="20"/>
        </w:rPr>
        <w:t>Počet licencí FLEGT neschválených v roce 2017.</w:t>
      </w:r>
    </w:p>
    <w:p>
      <w:pPr>
        <w:spacing w:after="0" w:line="270" w:lineRule="atLeast"/>
        <w:jc w:val="both"/>
        <w:rPr>
          <w:rFonts w:ascii="Times New Roman" w:hAnsi="Times New Roman"/>
          <w:noProof/>
          <w:sz w:val="20"/>
          <w:szCs w:val="20"/>
        </w:rPr>
      </w:pPr>
    </w:p>
    <w:p>
      <w:pPr>
        <w:pStyle w:val="ListParagraph"/>
        <w:numPr>
          <w:ilvl w:val="1"/>
          <w:numId w:val="15"/>
        </w:numPr>
        <w:spacing w:line="270" w:lineRule="atLeast"/>
        <w:jc w:val="both"/>
        <w:rPr>
          <w:rFonts w:ascii="Times New Roman" w:hAnsi="Times New Roman"/>
          <w:b/>
          <w:noProof/>
          <w:sz w:val="24"/>
          <w:szCs w:val="24"/>
        </w:rPr>
      </w:pPr>
      <w:bookmarkStart w:id="9" w:name="_Toc485222994"/>
      <w:bookmarkEnd w:id="8"/>
      <w:r>
        <w:rPr>
          <w:rFonts w:ascii="Times New Roman" w:hAnsi="Times New Roman"/>
          <w:b/>
          <w:noProof/>
          <w:sz w:val="24"/>
        </w:rPr>
        <w:t>Poplatky</w:t>
      </w:r>
      <w:bookmarkEnd w:id="9"/>
      <w:r>
        <w:rPr>
          <w:rFonts w:ascii="Times New Roman" w:hAnsi="Times New Roman"/>
          <w:b/>
          <w:noProof/>
          <w:sz w:val="24"/>
        </w:rPr>
        <w:t xml:space="preserve"> za zpracování licencí FLEGT</w:t>
      </w:r>
    </w:p>
    <w:p>
      <w:pPr>
        <w:spacing w:line="270" w:lineRule="atLeast"/>
        <w:jc w:val="both"/>
        <w:rPr>
          <w:rFonts w:ascii="Times New Roman" w:hAnsi="Times New Roman"/>
          <w:noProof/>
          <w:sz w:val="24"/>
          <w:szCs w:val="24"/>
        </w:rPr>
      </w:pPr>
      <w:r>
        <w:rPr>
          <w:rFonts w:ascii="Times New Roman" w:hAnsi="Times New Roman"/>
          <w:noProof/>
          <w:sz w:val="24"/>
        </w:rPr>
        <w:t>Podle čl. 5 odst. 6 nařízení FLEGT mohou členské státy ukládat poplatky za zpracování licencí FLEGT. Šest členských států oznámilo, že tak činí. Poplatky se pohybují v rozmezí od přibližně 11 EUR (9,60 GBP) až do 105,90 EUR (příloha B, tabulka 3).</w:t>
      </w:r>
    </w:p>
    <w:p>
      <w:pPr>
        <w:spacing w:line="270" w:lineRule="atLeast"/>
        <w:ind w:left="360" w:hanging="360"/>
        <w:jc w:val="both"/>
        <w:rPr>
          <w:rFonts w:ascii="Times New Roman" w:hAnsi="Times New Roman"/>
          <w:b/>
          <w:noProof/>
          <w:sz w:val="24"/>
          <w:szCs w:val="24"/>
        </w:rPr>
      </w:pPr>
      <w:r>
        <w:rPr>
          <w:rFonts w:ascii="Times New Roman" w:hAnsi="Times New Roman"/>
          <w:b/>
          <w:noProof/>
          <w:sz w:val="24"/>
        </w:rPr>
        <w:t>2.7</w:t>
      </w:r>
      <w:r>
        <w:rPr>
          <w:noProof/>
        </w:rPr>
        <w:tab/>
      </w:r>
      <w:r>
        <w:rPr>
          <w:rFonts w:ascii="Times New Roman" w:hAnsi="Times New Roman"/>
          <w:b/>
          <w:noProof/>
          <w:sz w:val="24"/>
        </w:rPr>
        <w:t>Další prováděcí opatření</w:t>
      </w:r>
    </w:p>
    <w:p>
      <w:pPr>
        <w:spacing w:line="270" w:lineRule="atLeast"/>
        <w:jc w:val="both"/>
        <w:rPr>
          <w:rFonts w:ascii="Times New Roman" w:hAnsi="Times New Roman"/>
          <w:noProof/>
          <w:sz w:val="24"/>
          <w:szCs w:val="24"/>
        </w:rPr>
      </w:pPr>
      <w:r>
        <w:rPr>
          <w:rFonts w:ascii="Times New Roman" w:hAnsi="Times New Roman"/>
          <w:noProof/>
          <w:sz w:val="24"/>
        </w:rPr>
        <w:t>Informace o dalších prováděcích opatřeních a problémech spojených s prováděním poskytlo dvacet jedna členských států. Deset z nich uvedlo, že spolupracuje s jinými příslušnými orgány, a šest s Evropskou komisí. Tato spolupráce přináší výsledky. Jeden nebo více členských států zmínilo několik problémů spojených s prováděním, které by pomohly vyřešit praktičtěji zaměřené pokyny k provádění nařízení FLEGT v praxi (např. pro celníky), uživatelsky přívětivější systém FLEGIT a širší přístup příslušných orgánů k údajům v systému SILK. Členské státy se také vyjádřily k problémům, mezi něž patří předkládání neúplných nebo poškozených licencí FLEGT, nesoulad mezi informacemi uvedenými v těchto licencích a v celních prohlášeních a administrativní zátěž spojená s řešením těchto problémů.</w:t>
      </w:r>
    </w:p>
    <w:p>
      <w:pPr>
        <w:spacing w:line="270" w:lineRule="atLeast"/>
        <w:jc w:val="both"/>
        <w:rPr>
          <w:rFonts w:ascii="Times New Roman" w:hAnsi="Times New Roman"/>
          <w:b/>
          <w:noProof/>
          <w:sz w:val="24"/>
          <w:szCs w:val="24"/>
        </w:rPr>
      </w:pPr>
      <w:r>
        <w:rPr>
          <w:rFonts w:ascii="Times New Roman" w:hAnsi="Times New Roman"/>
          <w:b/>
          <w:noProof/>
          <w:sz w:val="24"/>
        </w:rPr>
        <w:t>3. Závěry</w:t>
      </w:r>
    </w:p>
    <w:p>
      <w:pPr>
        <w:spacing w:line="270" w:lineRule="atLeast"/>
        <w:jc w:val="both"/>
        <w:rPr>
          <w:rFonts w:ascii="Times New Roman" w:hAnsi="Times New Roman"/>
          <w:noProof/>
          <w:sz w:val="24"/>
          <w:szCs w:val="24"/>
        </w:rPr>
      </w:pPr>
      <w:r>
        <w:rPr>
          <w:rFonts w:ascii="Times New Roman" w:hAnsi="Times New Roman"/>
          <w:noProof/>
          <w:sz w:val="24"/>
        </w:rPr>
        <w:t>Z druhé zprávy o provádění režimu licencí FLEGT vyplývá, že toto provádění postupuje dobře. V roce 2017, což byl první úplný rok provádění tohoto režimu, bylo obdrženo 28 826 licencí, z nichž více než 98 % (což představuje více než 658 milionů kg dřeva a dřevařských výrobků) bylo schváleno. Členské státy uvedly, že spolupráce mezi příslušnými orgány a s Komisí je uspokojivá. Zvýšil se počet členských států, které vybírají poplatky za zpracování licencí FLEGT. Ve srovnání s předchozí zprávou se snížilo rozpětí těchto poplatků.</w:t>
      </w:r>
    </w:p>
    <w:p>
      <w:pPr>
        <w:spacing w:line="270" w:lineRule="atLeast"/>
        <w:jc w:val="both"/>
        <w:rPr>
          <w:rFonts w:ascii="Times New Roman" w:hAnsi="Times New Roman"/>
          <w:noProof/>
          <w:sz w:val="24"/>
          <w:szCs w:val="24"/>
        </w:rPr>
      </w:pPr>
      <w:r>
        <w:rPr>
          <w:rFonts w:ascii="Times New Roman" w:hAnsi="Times New Roman"/>
          <w:noProof/>
          <w:sz w:val="24"/>
        </w:rPr>
        <w:t>Stále přetrvávají některé problémy, jako je nesoulad mezi informacemi uvedenými v licencích FLEGT a v celních prohlášeních a omezený přístup členských států k údajům v systému SILK.</w:t>
      </w:r>
    </w:p>
    <w:p>
      <w:pPr>
        <w:spacing w:line="270" w:lineRule="atLeast"/>
        <w:jc w:val="both"/>
        <w:rPr>
          <w:rFonts w:ascii="Times New Roman" w:hAnsi="Times New Roman"/>
          <w:noProof/>
          <w:sz w:val="24"/>
          <w:szCs w:val="24"/>
        </w:rPr>
      </w:pPr>
      <w:r>
        <w:rPr>
          <w:rFonts w:ascii="Times New Roman" w:hAnsi="Times New Roman"/>
          <w:b/>
          <w:noProof/>
          <w:sz w:val="24"/>
        </w:rPr>
        <w:t>4. Další kroky</w:t>
      </w:r>
    </w:p>
    <w:p>
      <w:pPr>
        <w:spacing w:line="270" w:lineRule="atLeast"/>
        <w:jc w:val="both"/>
        <w:rPr>
          <w:rFonts w:ascii="Times New Roman" w:hAnsi="Times New Roman"/>
          <w:noProof/>
          <w:sz w:val="24"/>
          <w:szCs w:val="24"/>
        </w:rPr>
      </w:pPr>
      <w:r>
        <w:rPr>
          <w:rFonts w:ascii="Times New Roman" w:hAnsi="Times New Roman"/>
          <w:noProof/>
          <w:sz w:val="24"/>
        </w:rPr>
        <w:t>Komise bude s členskými státy dále spolupracovat na účinném a jednotném uplatňování nařízení FLEGT v celé EU, včetně přípravy dalších pokynů, a rovněž na revizi stávajících pokynů pro celní postupy a FLEGT tam, kde je to na základě dosavadních zkušeností zapotřebí. Komise bude také při zohlednění získaných poznatků spolu s členskými státy dále zlepšovat podávání zpráv, a to i v oblasti ucelenějšího vykazování údajů uvedených v licencích FLEGT a v celních prohlášeních, důslednějšího používání měrných jednotek a dalšího zlepšování formátu těchto zpráv. Kromě toho Komise vyzve členské státy, které dosud nepoužívají systém FLEGIT/TRACES, aby tak učinily, neboť to mj. usnadní podávání zpráv. Při vylepšování informačního systému FLEGIT/TRACES Komise zohlední zkušenosti a návrhy členských států a bude spolupracovat na výměně údajů s členskými státy, které vyvinuly vlastní vnitrostátní elektronické systémy.</w:t>
      </w:r>
    </w:p>
    <w:p>
      <w:pPr>
        <w:spacing w:line="270" w:lineRule="atLeast"/>
        <w:jc w:val="both"/>
        <w:rPr>
          <w:rFonts w:ascii="Times New Roman" w:hAnsi="Times New Roman"/>
          <w:noProof/>
          <w:sz w:val="24"/>
          <w:szCs w:val="24"/>
        </w:rPr>
      </w:pPr>
      <w:r>
        <w:rPr>
          <w:rFonts w:ascii="Times New Roman" w:hAnsi="Times New Roman"/>
          <w:noProof/>
          <w:sz w:val="24"/>
        </w:rPr>
        <w:t>Zároveň bude Komise nadále úzce spolupracovat s indonéskými orgány, aby byly v rámci širších diskusí o provádění dobrovolné dohody o partnerství FLEGT mezi EU a Indonésií a sledování jejích dopadů řešeny výše popsané problémy. Komise také zahájila s Indonésií pilotní projekt, který spočívá v integraci příslušných systémů IT, tj. FLEGIT/TRACES se systémem SILK, a který má v budoucnu vést k plně elektronickému systému udělování licencí.</w:t>
      </w:r>
    </w:p>
    <w:p>
      <w:pPr>
        <w:spacing w:line="270" w:lineRule="atLeast"/>
        <w:jc w:val="both"/>
        <w:rPr>
          <w:rFonts w:ascii="Times New Roman" w:hAnsi="Times New Roman"/>
          <w:noProof/>
          <w:sz w:val="24"/>
          <w:szCs w:val="24"/>
        </w:rPr>
        <w:sectPr>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docGrid w:linePitch="360"/>
        </w:sectPr>
      </w:pPr>
    </w:p>
    <w:p>
      <w:pPr>
        <w:keepNext/>
        <w:keepLines/>
        <w:spacing w:line="640" w:lineRule="atLeast"/>
        <w:jc w:val="right"/>
        <w:outlineLvl w:val="1"/>
        <w:rPr>
          <w:rFonts w:ascii="Times New Roman" w:hAnsi="Times New Roman"/>
          <w:b/>
          <w:bCs/>
          <w:noProof/>
          <w:sz w:val="24"/>
          <w:szCs w:val="24"/>
        </w:rPr>
      </w:pPr>
      <w:bookmarkStart w:id="10" w:name="_Toc485222998"/>
      <w:r>
        <w:rPr>
          <w:rFonts w:ascii="Times New Roman" w:hAnsi="Times New Roman"/>
          <w:b/>
          <w:noProof/>
          <w:sz w:val="24"/>
        </w:rPr>
        <w:t xml:space="preserve">Příloha </w:t>
      </w:r>
      <w:bookmarkEnd w:id="10"/>
      <w:r>
        <w:rPr>
          <w:rFonts w:ascii="Times New Roman" w:hAnsi="Times New Roman"/>
          <w:b/>
          <w:noProof/>
          <w:sz w:val="24"/>
        </w:rPr>
        <w:t>A</w:t>
      </w:r>
    </w:p>
    <w:p>
      <w:pPr>
        <w:spacing w:line="270" w:lineRule="atLeast"/>
        <w:rPr>
          <w:rFonts w:ascii="Times New Roman" w:hAnsi="Times New Roman"/>
          <w:b/>
          <w:noProof/>
          <w:sz w:val="24"/>
          <w:szCs w:val="24"/>
        </w:rPr>
      </w:pPr>
      <w:r>
        <w:rPr>
          <w:rFonts w:ascii="Times New Roman" w:hAnsi="Times New Roman"/>
          <w:b/>
          <w:noProof/>
          <w:sz w:val="24"/>
        </w:rPr>
        <w:t>Kódy harmonizovaného systému (HS), pokud jde o výrobky, na které se vztahují licence FLEGT, dovezené v roce 2017</w:t>
      </w:r>
    </w:p>
    <w:tbl>
      <w:tblPr>
        <w:tblStyle w:val="TableGrid5"/>
        <w:tblW w:w="5078" w:type="pct"/>
        <w:tblBorders>
          <w:left w:val="none" w:sz="0" w:space="0" w:color="auto"/>
          <w:right w:val="none" w:sz="0" w:space="0" w:color="auto"/>
        </w:tblBorders>
        <w:tblCellMar>
          <w:left w:w="28" w:type="dxa"/>
          <w:right w:w="28" w:type="dxa"/>
        </w:tblCellMar>
        <w:tblLook w:val="04A0" w:firstRow="1" w:lastRow="0" w:firstColumn="1" w:lastColumn="0" w:noHBand="0" w:noVBand="1"/>
      </w:tblPr>
      <w:tblGrid>
        <w:gridCol w:w="901"/>
        <w:gridCol w:w="8369"/>
      </w:tblGrid>
      <w:tr>
        <w:trPr>
          <w:tblHeader/>
        </w:trPr>
        <w:tc>
          <w:tcPr>
            <w:tcW w:w="486" w:type="pct"/>
            <w:shd w:val="clear" w:color="auto" w:fill="6C8911"/>
          </w:tcPr>
          <w:p>
            <w:pPr>
              <w:autoSpaceDE w:val="0"/>
              <w:autoSpaceDN w:val="0"/>
              <w:adjustRightInd w:val="0"/>
              <w:spacing w:after="60" w:line="240" w:lineRule="auto"/>
              <w:rPr>
                <w:rFonts w:ascii="Times New Roman" w:eastAsiaTheme="minorHAnsi" w:hAnsi="Times New Roman" w:cs="Times New Roman"/>
                <w:noProof/>
                <w:color w:val="FFFFFF" w:themeColor="background1"/>
                <w:sz w:val="18"/>
                <w:szCs w:val="18"/>
              </w:rPr>
            </w:pPr>
            <w:r>
              <w:rPr>
                <w:rFonts w:ascii="Times New Roman" w:eastAsiaTheme="minorHAnsi" w:hAnsi="Times New Roman"/>
                <w:noProof/>
                <w:color w:val="FFFFFF" w:themeColor="background1"/>
                <w:sz w:val="18"/>
              </w:rPr>
              <w:t>Kód HS</w:t>
            </w:r>
          </w:p>
        </w:tc>
        <w:tc>
          <w:tcPr>
            <w:tcW w:w="4514" w:type="pct"/>
            <w:shd w:val="clear" w:color="auto" w:fill="6C8911"/>
          </w:tcPr>
          <w:p>
            <w:pPr>
              <w:autoSpaceDE w:val="0"/>
              <w:autoSpaceDN w:val="0"/>
              <w:adjustRightInd w:val="0"/>
              <w:spacing w:after="60" w:line="240" w:lineRule="auto"/>
              <w:rPr>
                <w:rFonts w:ascii="Times New Roman" w:eastAsiaTheme="minorHAnsi" w:hAnsi="Times New Roman" w:cs="Times New Roman"/>
                <w:noProof/>
                <w:color w:val="FFFFFF" w:themeColor="background1"/>
                <w:sz w:val="18"/>
                <w:szCs w:val="18"/>
              </w:rPr>
            </w:pPr>
            <w:r>
              <w:rPr>
                <w:rFonts w:ascii="Times New Roman" w:eastAsiaTheme="minorHAnsi" w:hAnsi="Times New Roman"/>
                <w:noProof/>
                <w:color w:val="FFFFFF" w:themeColor="background1"/>
                <w:sz w:val="18"/>
              </w:rPr>
              <w:t xml:space="preserve">Podrobnosti </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4407</w:t>
            </w:r>
          </w:p>
        </w:tc>
        <w:tc>
          <w:tcPr>
            <w:tcW w:w="4514" w:type="pct"/>
          </w:tcPr>
          <w:p>
            <w:pPr>
              <w:autoSpaceDE w:val="0"/>
              <w:autoSpaceDN w:val="0"/>
              <w:adjustRightInd w:val="0"/>
              <w:spacing w:after="60" w:line="240" w:lineRule="auto"/>
              <w:rPr>
                <w:rFonts w:ascii="Times New Roman" w:hAnsi="Times New Roman" w:cs="Times New Roman"/>
                <w:noProof/>
                <w:sz w:val="18"/>
                <w:szCs w:val="18"/>
              </w:rPr>
            </w:pPr>
            <w:r>
              <w:rPr>
                <w:rFonts w:ascii="Times New Roman" w:hAnsi="Times New Roman"/>
                <w:noProof/>
                <w:sz w:val="18"/>
              </w:rPr>
              <w:t xml:space="preserve">Dřevo rozřezané nebo štípané podélně, krájené nebo loupané, též hoblované, broušené nebo na koncích spojované, o tloušťce převyšující 6 mm  </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4407.25</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Dřevo, tropické; Dark red Meranti (Tmavočervené meranti), Light red Meranti (Světlečervené meranti) a Meranti bakau, rozřezané nebo štípané podélně, krájené nebo loupané, též hoblované, broušené nebo na koncích spojované, o tloušťce převyšující 6 mm</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4409</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Dřevo (včetně nesestavených pruhů a vlysů pro parketové podlahy) souvisle profilované (s pery, drážkované, polodrážkové, zkosené, spojované do V, vroubkované, lištované, zaoblené nebo podobně profilované) podél jakékoliv z jeho hran, konců nebo ploch, též hoblované, broušené nebo na koncích spojované</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4409.22</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Dřevo; tropické (včetně nesestavených pruhů a vlysů pro parketové podlahy), souvisle profilované podél jakékoliv z jeho hran, konců nebo ploch, též hoblované, broušené nebo na koncích spojované</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4409.29</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Dřevo (včetně nesestavených pruhů a vlysů pro parketové podlahy) souvisle profilované (s pery, drážkované, polodrážkové, zkosené, spojované do V, vroubkované, lištované, zaoblené nebo podobně profilované) podél jakékoliv z jeho hran, konců nebo ploch, též hoblované, broušené nebo na koncích spojované, jiné než jehličnaté (ne ze španělského rákosu (rotang))</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sz w:val="18"/>
              </w:rPr>
              <w:t>4412</w:t>
            </w:r>
          </w:p>
        </w:tc>
        <w:tc>
          <w:tcPr>
            <w:tcW w:w="4514" w:type="pct"/>
          </w:tcPr>
          <w:p>
            <w:pPr>
              <w:autoSpaceDE w:val="0"/>
              <w:autoSpaceDN w:val="0"/>
              <w:adjustRightInd w:val="0"/>
              <w:spacing w:after="60" w:line="240" w:lineRule="auto"/>
              <w:rPr>
                <w:rFonts w:ascii="Times New Roman" w:eastAsia="Times New Roman" w:hAnsi="Times New Roman" w:cs="Times New Roman"/>
                <w:noProof/>
                <w:color w:val="007C9A"/>
                <w:sz w:val="18"/>
                <w:szCs w:val="18"/>
              </w:rPr>
            </w:pPr>
            <w:r>
              <w:rPr>
                <w:rFonts w:ascii="Times New Roman" w:hAnsi="Times New Roman"/>
                <w:noProof/>
                <w:sz w:val="18"/>
              </w:rPr>
              <w:t>Překližky, dýhované desky a podobné vrstvené dřevo</w:t>
            </w:r>
          </w:p>
        </w:tc>
      </w:tr>
      <w:tr>
        <w:tc>
          <w:tcPr>
            <w:tcW w:w="486" w:type="pct"/>
          </w:tcPr>
          <w:p>
            <w:pPr>
              <w:autoSpaceDE w:val="0"/>
              <w:autoSpaceDN w:val="0"/>
              <w:adjustRightInd w:val="0"/>
              <w:spacing w:after="60" w:line="240" w:lineRule="auto"/>
              <w:rPr>
                <w:rFonts w:ascii="Times New Roman" w:eastAsiaTheme="minorHAnsi" w:hAnsi="Times New Roman" w:cs="Times New Roman"/>
                <w:noProof/>
                <w:sz w:val="18"/>
                <w:szCs w:val="18"/>
              </w:rPr>
            </w:pPr>
            <w:r>
              <w:rPr>
                <w:rFonts w:ascii="Times New Roman" w:eastAsiaTheme="minorHAnsi" w:hAnsi="Times New Roman"/>
                <w:noProof/>
                <w:sz w:val="18"/>
              </w:rPr>
              <w:t>4412.31</w:t>
            </w:r>
          </w:p>
        </w:tc>
        <w:tc>
          <w:tcPr>
            <w:tcW w:w="4514" w:type="pct"/>
          </w:tcPr>
          <w:p>
            <w:pPr>
              <w:autoSpaceDE w:val="0"/>
              <w:autoSpaceDN w:val="0"/>
              <w:adjustRightInd w:val="0"/>
              <w:spacing w:after="60" w:line="240" w:lineRule="auto"/>
              <w:rPr>
                <w:rFonts w:ascii="Times New Roman" w:eastAsia="Times New Roman" w:hAnsi="Times New Roman" w:cs="Times New Roman"/>
                <w:noProof/>
                <w:sz w:val="18"/>
                <w:szCs w:val="18"/>
              </w:rPr>
            </w:pPr>
            <w:r>
              <w:rPr>
                <w:rFonts w:ascii="Times New Roman" w:hAnsi="Times New Roman"/>
                <w:noProof/>
                <w:sz w:val="18"/>
              </w:rPr>
              <w:t>Překližky; sestávající pouze z dřevěných listů (ne z bambusu), o tloušťce každé vrstvy nepřesahující 6 mm, nejméně s jednou vnější vrstvou z tropického dřeva</w:t>
            </w:r>
          </w:p>
        </w:tc>
      </w:tr>
      <w:tr>
        <w:tc>
          <w:tcPr>
            <w:tcW w:w="486" w:type="pct"/>
          </w:tcPr>
          <w:p>
            <w:pPr>
              <w:autoSpaceDE w:val="0"/>
              <w:autoSpaceDN w:val="0"/>
              <w:adjustRightInd w:val="0"/>
              <w:spacing w:after="60" w:line="240" w:lineRule="auto"/>
              <w:rPr>
                <w:rFonts w:ascii="Times New Roman" w:eastAsiaTheme="minorHAnsi" w:hAnsi="Times New Roman" w:cs="Times New Roman"/>
                <w:noProof/>
                <w:sz w:val="18"/>
                <w:szCs w:val="18"/>
              </w:rPr>
            </w:pPr>
            <w:r>
              <w:rPr>
                <w:rFonts w:ascii="Times New Roman" w:eastAsiaTheme="minorHAnsi" w:hAnsi="Times New Roman"/>
                <w:noProof/>
                <w:sz w:val="18"/>
              </w:rPr>
              <w:t>4412.94</w:t>
            </w:r>
          </w:p>
        </w:tc>
        <w:tc>
          <w:tcPr>
            <w:tcW w:w="4514" w:type="pct"/>
          </w:tcPr>
          <w:p>
            <w:pPr>
              <w:autoSpaceDE w:val="0"/>
              <w:autoSpaceDN w:val="0"/>
              <w:adjustRightInd w:val="0"/>
              <w:spacing w:after="60" w:line="240" w:lineRule="auto"/>
              <w:rPr>
                <w:rFonts w:ascii="Times New Roman" w:eastAsia="Times New Roman" w:hAnsi="Times New Roman" w:cs="Times New Roman"/>
                <w:noProof/>
                <w:sz w:val="18"/>
                <w:szCs w:val="18"/>
              </w:rPr>
            </w:pPr>
            <w:r>
              <w:rPr>
                <w:rFonts w:ascii="Times New Roman" w:hAnsi="Times New Roman"/>
                <w:noProof/>
                <w:sz w:val="18"/>
              </w:rPr>
              <w:t>Laťovky, vrstvené desky a podlahové laťovky (ne z bambusu a jiné než překližky sestávající pouze z dřevěných listů, o tloušťce každé vrstvy nepřesahující 6 mm)</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4414</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Dřevěné rámy na obrazy, fotografie, zrcadla nebo podobné předměty (ne z bambusu nebo španělského rákosu (rotang))</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4418</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Výrobky stavebního truhlářství a tesařství, včetně dřevěných voštinových desek, sestavených podlahových desek a šindelů („shingles“ a „shakes“) ze dřeva</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4418.20</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Dřevo; dveře a jejich rámy a zárubně a prahy</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4418.99</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Dřevo; výrobky stavebního truhlářství a tesařství ze dřeva, nezařazené do čísla 4418, jiné než z bambusu</w:t>
            </w:r>
          </w:p>
        </w:tc>
      </w:tr>
      <w:tr>
        <w:tc>
          <w:tcPr>
            <w:tcW w:w="486" w:type="pct"/>
            <w:shd w:val="clear" w:color="auto" w:fill="auto"/>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4421</w:t>
            </w:r>
          </w:p>
        </w:tc>
        <w:tc>
          <w:tcPr>
            <w:tcW w:w="4514" w:type="pct"/>
            <w:shd w:val="clear" w:color="auto" w:fill="auto"/>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Výrobky ze dřeva, nezařazené do čísel 4414 až 4420</w:t>
            </w:r>
          </w:p>
        </w:tc>
      </w:tr>
      <w:tr>
        <w:tc>
          <w:tcPr>
            <w:tcW w:w="486" w:type="pct"/>
            <w:shd w:val="clear" w:color="auto" w:fill="auto"/>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4421.99</w:t>
            </w:r>
          </w:p>
        </w:tc>
        <w:tc>
          <w:tcPr>
            <w:tcW w:w="4514" w:type="pct"/>
            <w:shd w:val="clear" w:color="auto" w:fill="auto"/>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Dřevo; ne z bambusu, výrobky nezařazené do čísel 4414 až 4420 (kromě ramínek na šaty)</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4703</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Chemická dřevná buničina, natronová nebo sulfátová, jiná než druhů pro rozpouštění</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4802</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Nenatíraný papír, kartón a lepenka, určené ke psaní, tisku nebo k jiným grafickým účelům, a papír na děrné štítky nebo děrné pásky, v kotoučích nebo listech (arších), jiný než papír čísel 4801 nebo 4803; ručně vyrobený papír, kartón a lepenka</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4802.56</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Nenatíraný papír, kartón a lepenka (jiný než čísel 4801 nebo 4803); určené ke psaní, tisku nebo ke grafickým účelům, obsahující 10 % hmotnostních nebo méně vláken získaných mechanickým nebo chemicko-mechanickým postupem, s hmotností 40–150 g/m2, v listech (arších) s jednou stranou nepřesahující 435 mm a s druhou stranou nepřesahující 297 mm (v nepřeloženém stavu)</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4803</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Tenký papír, ručníkový nebo ubrouskový papír a podobné papíry používané v domácnosti nebo pro hygienické účely, buničitá vata a pásy z plstěných buničinových vláken, v kotoučích o šířce převyšující 36 cm nebo v pravoúhlých listech (arších) s jednou stranou převyšující 36 cm v nepřeloženém stavu</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4804</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Nenatíraný papír, kartón a lepenka kraft, v kotoučích nebo listech (arších), jiné než patřící do čísel 4802 nebo 4803</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4810</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Papír, kartón a lepenka, natírané na jedné nebo na obou stranách kaolinem nebo jinou anorganickou látkou, též s pojivem, a bez jakéhokoliv dalšího nátěru, též na povrchu barvené, zdobené nebo potištěné, v kotoučích nebo v pravoúhlých (včetně čtvercových) listech (arších), jakéhokoliv rozměru (ne z jiného materiálu než dřeva nebo z recyklovaného materiálu)</w:t>
            </w:r>
          </w:p>
        </w:tc>
      </w:tr>
      <w:tr>
        <w:tc>
          <w:tcPr>
            <w:tcW w:w="486" w:type="pct"/>
            <w:shd w:val="clear" w:color="auto" w:fill="auto"/>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4821</w:t>
            </w:r>
          </w:p>
        </w:tc>
        <w:tc>
          <w:tcPr>
            <w:tcW w:w="4514" w:type="pct"/>
            <w:shd w:val="clear" w:color="auto" w:fill="auto"/>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Etikety všech druhů, z papíru, kartónu nebo lepenky, též potištěné</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9401</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Sedadla (jiná než sedadla čísla 9402), též proměnitelná v lůžka, jejich části a součásti</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9401.69</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Sedadla; s dřevěnou kostrou, nečalouněná, (kromě lékařského, chirurgického, zubolékařského, zvěrolékařského nebo holičského či kadeřnického nábytku)</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9403</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Ostatní nábytek a jeho části a součásti</w:t>
            </w:r>
          </w:p>
        </w:tc>
      </w:tr>
      <w:tr>
        <w:tc>
          <w:tcPr>
            <w:tcW w:w="486"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9403.60</w:t>
            </w:r>
          </w:p>
        </w:tc>
        <w:tc>
          <w:tcPr>
            <w:tcW w:w="4514" w:type="pct"/>
          </w:tcPr>
          <w:p>
            <w:pPr>
              <w:autoSpaceDE w:val="0"/>
              <w:autoSpaceDN w:val="0"/>
              <w:adjustRightInd w:val="0"/>
              <w:spacing w:after="60" w:line="240" w:lineRule="auto"/>
              <w:rPr>
                <w:rFonts w:ascii="Times New Roman" w:eastAsiaTheme="minorHAnsi" w:hAnsi="Times New Roman" w:cs="Times New Roman"/>
                <w:noProof/>
                <w:color w:val="000000"/>
                <w:sz w:val="18"/>
                <w:szCs w:val="18"/>
              </w:rPr>
            </w:pPr>
            <w:r>
              <w:rPr>
                <w:rFonts w:ascii="Times New Roman" w:eastAsiaTheme="minorHAnsi" w:hAnsi="Times New Roman"/>
                <w:noProof/>
                <w:color w:val="000000"/>
                <w:sz w:val="18"/>
              </w:rPr>
              <w:t>Nábytek; dřevěný, jiný než kancelářský, kuchyňský nebo ložnicový</w:t>
            </w:r>
          </w:p>
        </w:tc>
      </w:tr>
    </w:tbl>
    <w:p>
      <w:pPr>
        <w:spacing w:after="0" w:line="240" w:lineRule="auto"/>
        <w:jc w:val="both"/>
        <w:rPr>
          <w:rFonts w:ascii="Times New Roman" w:hAnsi="Times New Roman"/>
          <w:noProof/>
          <w:sz w:val="24"/>
          <w:szCs w:val="24"/>
        </w:rPr>
        <w:sectPr>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20"/>
          <w:docGrid w:linePitch="360"/>
        </w:sectPr>
      </w:pPr>
    </w:p>
    <w:p>
      <w:pPr>
        <w:spacing w:line="270" w:lineRule="atLeast"/>
        <w:jc w:val="right"/>
        <w:rPr>
          <w:rFonts w:ascii="Times New Roman" w:hAnsi="Times New Roman"/>
          <w:b/>
          <w:bCs/>
          <w:noProof/>
          <w:sz w:val="24"/>
          <w:szCs w:val="24"/>
        </w:rPr>
      </w:pPr>
      <w:r>
        <w:rPr>
          <w:rFonts w:ascii="Times New Roman" w:hAnsi="Times New Roman"/>
          <w:b/>
          <w:noProof/>
          <w:sz w:val="24"/>
        </w:rPr>
        <w:t>Příloha B</w:t>
      </w:r>
    </w:p>
    <w:p>
      <w:pPr>
        <w:spacing w:line="270" w:lineRule="atLeast"/>
        <w:rPr>
          <w:rFonts w:ascii="Times New Roman" w:hAnsi="Times New Roman"/>
          <w:b/>
          <w:noProof/>
          <w:sz w:val="20"/>
          <w:szCs w:val="20"/>
        </w:rPr>
      </w:pPr>
      <w:r>
        <w:rPr>
          <w:rFonts w:ascii="Times New Roman" w:hAnsi="Times New Roman"/>
          <w:b/>
          <w:noProof/>
          <w:sz w:val="20"/>
        </w:rPr>
        <w:t xml:space="preserve">Tabulka 1: Kritéria používaná k posouzení toho, zda je třeba dodatečné ověření licencí FLEGT, pokud je členské státy vykázaly </w:t>
      </w:r>
    </w:p>
    <w:tbl>
      <w:tblPr>
        <w:tblW w:w="4931" w:type="pct"/>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63"/>
        <w:gridCol w:w="1367"/>
        <w:gridCol w:w="1123"/>
        <w:gridCol w:w="1123"/>
        <w:gridCol w:w="1123"/>
        <w:gridCol w:w="1123"/>
        <w:gridCol w:w="1123"/>
        <w:gridCol w:w="1123"/>
        <w:gridCol w:w="4498"/>
      </w:tblGrid>
      <w:tr>
        <w:trPr>
          <w:trHeight w:val="20"/>
        </w:trPr>
        <w:tc>
          <w:tcPr>
            <w:tcW w:w="455" w:type="pct"/>
            <w:shd w:val="clear" w:color="000000" w:fill="6C8911"/>
            <w:noWrap/>
            <w:hideMark/>
          </w:tcPr>
          <w:p>
            <w:pPr>
              <w:spacing w:after="0" w:line="240" w:lineRule="auto"/>
              <w:rPr>
                <w:rFonts w:ascii="Times New Roman" w:eastAsia="Times New Roman" w:hAnsi="Times New Roman"/>
                <w:noProof/>
                <w:color w:val="FFFFFF"/>
                <w:sz w:val="18"/>
                <w:szCs w:val="18"/>
              </w:rPr>
            </w:pPr>
            <w:r>
              <w:rPr>
                <w:rFonts w:ascii="Times New Roman" w:hAnsi="Times New Roman"/>
                <w:noProof/>
                <w:color w:val="FFFFFF"/>
                <w:sz w:val="18"/>
              </w:rPr>
              <w:t>Země</w:t>
            </w:r>
          </w:p>
        </w:tc>
        <w:tc>
          <w:tcPr>
            <w:tcW w:w="493" w:type="pct"/>
            <w:shd w:val="clear" w:color="000000" w:fill="6C8911"/>
            <w:noWrap/>
            <w:hideMark/>
          </w:tcPr>
          <w:p>
            <w:pPr>
              <w:spacing w:after="0" w:line="240" w:lineRule="auto"/>
              <w:rPr>
                <w:rFonts w:ascii="Times New Roman" w:eastAsia="Times New Roman" w:hAnsi="Times New Roman"/>
                <w:noProof/>
                <w:color w:val="FFFFFF"/>
                <w:sz w:val="18"/>
                <w:szCs w:val="18"/>
              </w:rPr>
            </w:pPr>
            <w:r>
              <w:rPr>
                <w:rFonts w:ascii="Times New Roman" w:hAnsi="Times New Roman"/>
                <w:noProof/>
                <w:color w:val="FFFFFF"/>
                <w:sz w:val="18"/>
              </w:rPr>
              <w:t>Úřad provádějící kontroly*</w:t>
            </w:r>
          </w:p>
        </w:tc>
        <w:tc>
          <w:tcPr>
            <w:tcW w:w="405" w:type="pct"/>
            <w:shd w:val="clear" w:color="000000" w:fill="6C8911"/>
            <w:noWrap/>
            <w:hideMark/>
          </w:tcPr>
          <w:p>
            <w:pPr>
              <w:spacing w:after="0" w:line="240" w:lineRule="auto"/>
              <w:jc w:val="center"/>
              <w:rPr>
                <w:rFonts w:ascii="Times New Roman" w:eastAsia="Times New Roman" w:hAnsi="Times New Roman"/>
                <w:noProof/>
                <w:color w:val="FFFFFF"/>
                <w:sz w:val="18"/>
                <w:szCs w:val="18"/>
              </w:rPr>
            </w:pPr>
            <w:r>
              <w:rPr>
                <w:rFonts w:ascii="Times New Roman" w:hAnsi="Times New Roman"/>
                <w:noProof/>
                <w:color w:val="FFFFFF"/>
                <w:sz w:val="18"/>
              </w:rPr>
              <w:t>Druh</w:t>
            </w:r>
          </w:p>
        </w:tc>
        <w:tc>
          <w:tcPr>
            <w:tcW w:w="405" w:type="pct"/>
            <w:shd w:val="clear" w:color="000000" w:fill="6C8911"/>
            <w:noWrap/>
            <w:hideMark/>
          </w:tcPr>
          <w:p>
            <w:pPr>
              <w:spacing w:after="0" w:line="240" w:lineRule="auto"/>
              <w:jc w:val="center"/>
              <w:rPr>
                <w:rFonts w:ascii="Times New Roman" w:eastAsia="Times New Roman" w:hAnsi="Times New Roman"/>
                <w:noProof/>
                <w:color w:val="FFFFFF"/>
                <w:sz w:val="18"/>
                <w:szCs w:val="18"/>
              </w:rPr>
            </w:pPr>
            <w:r>
              <w:rPr>
                <w:rFonts w:ascii="Times New Roman" w:hAnsi="Times New Roman"/>
                <w:noProof/>
                <w:color w:val="FFFFFF"/>
                <w:sz w:val="18"/>
              </w:rPr>
              <w:t>Hospodářský subjekt</w:t>
            </w:r>
          </w:p>
        </w:tc>
        <w:tc>
          <w:tcPr>
            <w:tcW w:w="405" w:type="pct"/>
            <w:shd w:val="clear" w:color="000000" w:fill="6C8911"/>
            <w:noWrap/>
            <w:hideMark/>
          </w:tcPr>
          <w:p>
            <w:pPr>
              <w:spacing w:after="0" w:line="240" w:lineRule="auto"/>
              <w:jc w:val="center"/>
              <w:rPr>
                <w:rFonts w:ascii="Times New Roman" w:eastAsia="Times New Roman" w:hAnsi="Times New Roman"/>
                <w:noProof/>
                <w:color w:val="FFFFFF"/>
                <w:sz w:val="18"/>
                <w:szCs w:val="18"/>
              </w:rPr>
            </w:pPr>
            <w:r>
              <w:rPr>
                <w:rFonts w:ascii="Times New Roman" w:hAnsi="Times New Roman"/>
                <w:noProof/>
                <w:color w:val="FFFFFF"/>
                <w:sz w:val="18"/>
              </w:rPr>
              <w:t>Objem / hmotnost dodávky</w:t>
            </w:r>
          </w:p>
        </w:tc>
        <w:tc>
          <w:tcPr>
            <w:tcW w:w="405" w:type="pct"/>
            <w:shd w:val="clear" w:color="000000" w:fill="6C8911"/>
            <w:noWrap/>
            <w:hideMark/>
          </w:tcPr>
          <w:p>
            <w:pPr>
              <w:spacing w:after="0" w:line="240" w:lineRule="auto"/>
              <w:jc w:val="center"/>
              <w:rPr>
                <w:rFonts w:ascii="Times New Roman" w:eastAsia="Times New Roman" w:hAnsi="Times New Roman"/>
                <w:noProof/>
                <w:color w:val="FFFFFF"/>
                <w:sz w:val="18"/>
                <w:szCs w:val="18"/>
              </w:rPr>
            </w:pPr>
            <w:r>
              <w:rPr>
                <w:rFonts w:ascii="Times New Roman" w:hAnsi="Times New Roman"/>
                <w:noProof/>
                <w:color w:val="FFFFFF"/>
                <w:sz w:val="18"/>
              </w:rPr>
              <w:t>Kódy HS</w:t>
            </w:r>
          </w:p>
        </w:tc>
        <w:tc>
          <w:tcPr>
            <w:tcW w:w="405" w:type="pct"/>
            <w:shd w:val="clear" w:color="000000" w:fill="6C8911"/>
            <w:noWrap/>
            <w:hideMark/>
          </w:tcPr>
          <w:p>
            <w:pPr>
              <w:spacing w:after="0" w:line="240" w:lineRule="auto"/>
              <w:jc w:val="center"/>
              <w:rPr>
                <w:rFonts w:ascii="Times New Roman" w:eastAsia="Times New Roman" w:hAnsi="Times New Roman"/>
                <w:noProof/>
                <w:color w:val="FFFFFF"/>
                <w:sz w:val="18"/>
                <w:szCs w:val="18"/>
              </w:rPr>
            </w:pPr>
            <w:r>
              <w:rPr>
                <w:rFonts w:ascii="Times New Roman" w:hAnsi="Times New Roman"/>
                <w:noProof/>
                <w:color w:val="FFFFFF"/>
                <w:sz w:val="18"/>
              </w:rPr>
              <w:t>Země původu</w:t>
            </w:r>
          </w:p>
        </w:tc>
        <w:tc>
          <w:tcPr>
            <w:tcW w:w="405" w:type="pct"/>
            <w:shd w:val="clear" w:color="000000" w:fill="6C8911"/>
            <w:noWrap/>
            <w:hideMark/>
          </w:tcPr>
          <w:p>
            <w:pPr>
              <w:spacing w:after="0" w:line="240" w:lineRule="auto"/>
              <w:jc w:val="center"/>
              <w:rPr>
                <w:rFonts w:ascii="Times New Roman" w:eastAsia="Times New Roman" w:hAnsi="Times New Roman"/>
                <w:noProof/>
                <w:color w:val="FFFFFF"/>
                <w:sz w:val="18"/>
                <w:szCs w:val="18"/>
              </w:rPr>
            </w:pPr>
            <w:r>
              <w:rPr>
                <w:rFonts w:ascii="Times New Roman" w:hAnsi="Times New Roman"/>
                <w:noProof/>
                <w:color w:val="FFFFFF"/>
                <w:sz w:val="18"/>
              </w:rPr>
              <w:t>Nesoulad informací v dokladech</w:t>
            </w:r>
          </w:p>
        </w:tc>
        <w:tc>
          <w:tcPr>
            <w:tcW w:w="1622" w:type="pct"/>
            <w:shd w:val="clear" w:color="000000" w:fill="6C8911"/>
            <w:noWrap/>
            <w:hideMark/>
          </w:tcPr>
          <w:p>
            <w:pPr>
              <w:spacing w:after="0" w:line="240" w:lineRule="auto"/>
              <w:rPr>
                <w:rFonts w:ascii="Times New Roman" w:eastAsia="Times New Roman" w:hAnsi="Times New Roman"/>
                <w:noProof/>
                <w:color w:val="FFFFFF"/>
                <w:sz w:val="18"/>
                <w:szCs w:val="18"/>
              </w:rPr>
            </w:pPr>
            <w:r>
              <w:rPr>
                <w:rFonts w:ascii="Times New Roman" w:hAnsi="Times New Roman"/>
                <w:noProof/>
                <w:color w:val="FFFFFF"/>
                <w:sz w:val="18"/>
              </w:rPr>
              <w:t>Jiné problémy**</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Rakousko</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 </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Belgie</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 &amp; CO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 </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Bulharsko</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 </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Kypr</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neupřesněno</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Česká republika</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 &amp; CO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neupřesněno</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Dánsko</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neupřesněno</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Estonsko</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CO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např. poskytnuta pouze kopie licence FLEGT</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Finsko</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licence neexistuje v databázi SILK, chybějící razítko a/nebo podpis, licence nevytištěna na úředním papíře</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Německo</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srovnání s informacemi o licenci v databázi SILK</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Maďarsko</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neupřesněno</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Irsko</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srovnání s informacemi o licenci v databázi SILK</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Itálie</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 &amp; CO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 </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Lotyšsko</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 xml:space="preserve">PO </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 kontroluje zákonnost licencí v indonéském informačním systému o zákonnosti dřeva</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Litva</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CO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622" w:type="pct"/>
            <w:shd w:val="clear" w:color="auto" w:fill="auto"/>
            <w:noWrap/>
            <w:hideMark/>
          </w:tcPr>
          <w:p>
            <w:pPr>
              <w:spacing w:after="0" w:line="240" w:lineRule="auto"/>
              <w:rPr>
                <w:rFonts w:ascii="Times New Roman" w:eastAsia="Times New Roman" w:hAnsi="Times New Roman"/>
                <w:b/>
                <w:noProof/>
                <w:color w:val="000000"/>
                <w:sz w:val="18"/>
                <w:szCs w:val="18"/>
              </w:rPr>
            </w:pPr>
            <w:r>
              <w:rPr>
                <w:rFonts w:ascii="Times New Roman" w:hAnsi="Times New Roman"/>
                <w:noProof/>
                <w:color w:val="000000"/>
                <w:sz w:val="18"/>
              </w:rPr>
              <w:t>neupřesněno</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Malta</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 &amp; CO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neupřesněno</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Nizozemsko</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neupřesněno</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Polsko</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pochybnosti ohledně pravosti podpisu na licenci FLEGT</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Slovensko</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 </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Slovinsko</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 &amp; CO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neupřesněno</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Španělsko</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1622" w:type="pct"/>
            <w:shd w:val="clear" w:color="auto" w:fill="auto"/>
            <w:noWrap/>
            <w:hideMark/>
          </w:tcPr>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noProof/>
                <w:color w:val="212121"/>
                <w:sz w:val="18"/>
                <w:szCs w:val="18"/>
              </w:rPr>
            </w:pPr>
            <w:r>
              <w:rPr>
                <w:rFonts w:ascii="Times New Roman" w:hAnsi="Times New Roman"/>
                <w:noProof/>
                <w:color w:val="212121"/>
                <w:sz w:val="18"/>
              </w:rPr>
              <w:t>[pokud licence neexistuje, nebo nesouhlasí s databází SILK, nebo skončila její platnost]</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Švédsko</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 &amp; ostatní (indonéské oddělení pro informace o licencích)</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na licenci chybí podpis, razítka, další povinné informace; podpis chybí v SILK, nebo již není platný; licence již není platná</w:t>
            </w:r>
          </w:p>
        </w:tc>
      </w:tr>
      <w:tr>
        <w:trPr>
          <w:trHeight w:val="20"/>
        </w:trPr>
        <w:tc>
          <w:tcPr>
            <w:tcW w:w="455"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Spojené království</w:t>
            </w:r>
          </w:p>
        </w:tc>
        <w:tc>
          <w:tcPr>
            <w:tcW w:w="493"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0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1622"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nesoulad mezi obchodními sazebními kódy Spojeného království a Indonésie</w:t>
            </w:r>
          </w:p>
        </w:tc>
      </w:tr>
    </w:tbl>
    <w:p>
      <w:pPr>
        <w:spacing w:after="0" w:line="240" w:lineRule="auto"/>
        <w:rPr>
          <w:rFonts w:ascii="Times New Roman" w:hAnsi="Times New Roman"/>
          <w:noProof/>
          <w:sz w:val="18"/>
          <w:szCs w:val="18"/>
        </w:rPr>
      </w:pPr>
      <w:r>
        <w:rPr>
          <w:rFonts w:ascii="Times New Roman" w:hAnsi="Times New Roman"/>
          <w:noProof/>
          <w:sz w:val="18"/>
        </w:rPr>
        <w:t>* PO = příslušný orgán; CO = celní orgán.</w:t>
      </w:r>
    </w:p>
    <w:p>
      <w:pPr>
        <w:keepNext/>
        <w:spacing w:after="0" w:line="240" w:lineRule="auto"/>
        <w:rPr>
          <w:rFonts w:ascii="Times New Roman" w:hAnsi="Times New Roman"/>
          <w:noProof/>
          <w:sz w:val="18"/>
          <w:szCs w:val="18"/>
        </w:rPr>
      </w:pPr>
      <w:r>
        <w:rPr>
          <w:rFonts w:ascii="Times New Roman" w:hAnsi="Times New Roman"/>
          <w:noProof/>
          <w:sz w:val="18"/>
        </w:rPr>
        <w:t>** Text v hranatých závorkách „[ ]“ byl přeložen nebo shrnut z připomínek zaslaných členskými státy.</w:t>
      </w:r>
    </w:p>
    <w:p>
      <w:pPr>
        <w:spacing w:line="270" w:lineRule="atLeast"/>
        <w:rPr>
          <w:rFonts w:ascii="Times New Roman" w:hAnsi="Times New Roman"/>
          <w:b/>
          <w:bCs/>
          <w:noProof/>
          <w:sz w:val="20"/>
          <w:szCs w:val="20"/>
        </w:rPr>
      </w:pPr>
    </w:p>
    <w:p>
      <w:pPr>
        <w:spacing w:line="270" w:lineRule="atLeast"/>
        <w:rPr>
          <w:rFonts w:ascii="Times New Roman" w:hAnsi="Times New Roman"/>
          <w:b/>
          <w:noProof/>
          <w:sz w:val="20"/>
          <w:szCs w:val="20"/>
        </w:rPr>
      </w:pPr>
      <w:r>
        <w:rPr>
          <w:rFonts w:ascii="Times New Roman" w:hAnsi="Times New Roman"/>
          <w:b/>
          <w:noProof/>
          <w:sz w:val="20"/>
        </w:rPr>
        <w:t xml:space="preserve">Tabulka 2: Kritéria používaná k posouzení toho, zda jsou třeba dodatečná ověření dodávek s licencí FLEGT, pokud je členské státy vykázaly </w:t>
      </w:r>
    </w:p>
    <w:tbl>
      <w:tblPr>
        <w:tblW w:w="4931" w:type="pct"/>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68"/>
        <w:gridCol w:w="2159"/>
        <w:gridCol w:w="1162"/>
        <w:gridCol w:w="1162"/>
        <w:gridCol w:w="1223"/>
        <w:gridCol w:w="1104"/>
        <w:gridCol w:w="1162"/>
        <w:gridCol w:w="1162"/>
        <w:gridCol w:w="1162"/>
        <w:gridCol w:w="1151"/>
        <w:gridCol w:w="1151"/>
      </w:tblGrid>
      <w:tr>
        <w:trPr>
          <w:trHeight w:val="20"/>
          <w:tblHeader/>
        </w:trPr>
        <w:tc>
          <w:tcPr>
            <w:tcW w:w="457" w:type="pct"/>
            <w:shd w:val="clear" w:color="000000" w:fill="6C8911"/>
            <w:noWrap/>
            <w:hideMark/>
          </w:tcPr>
          <w:p>
            <w:pPr>
              <w:spacing w:after="0" w:line="240" w:lineRule="auto"/>
              <w:rPr>
                <w:rFonts w:ascii="Times New Roman" w:eastAsia="Times New Roman" w:hAnsi="Times New Roman"/>
                <w:noProof/>
                <w:color w:val="FFFFFF" w:themeColor="background1"/>
                <w:sz w:val="18"/>
                <w:szCs w:val="18"/>
              </w:rPr>
            </w:pPr>
            <w:r>
              <w:rPr>
                <w:rFonts w:ascii="Times New Roman" w:hAnsi="Times New Roman"/>
                <w:noProof/>
                <w:color w:val="FFFFFF" w:themeColor="background1"/>
                <w:sz w:val="18"/>
              </w:rPr>
              <w:t>Země</w:t>
            </w:r>
          </w:p>
        </w:tc>
        <w:tc>
          <w:tcPr>
            <w:tcW w:w="778" w:type="pct"/>
            <w:shd w:val="clear" w:color="000000" w:fill="6C8911"/>
            <w:noWrap/>
            <w:hideMark/>
          </w:tcPr>
          <w:p>
            <w:pPr>
              <w:spacing w:after="0" w:line="240" w:lineRule="auto"/>
              <w:rPr>
                <w:rFonts w:ascii="Times New Roman" w:eastAsia="Times New Roman" w:hAnsi="Times New Roman"/>
                <w:noProof/>
                <w:color w:val="FFFFFF" w:themeColor="background1"/>
                <w:sz w:val="18"/>
                <w:szCs w:val="18"/>
              </w:rPr>
            </w:pPr>
            <w:r>
              <w:rPr>
                <w:rFonts w:ascii="Times New Roman" w:hAnsi="Times New Roman"/>
                <w:noProof/>
                <w:color w:val="FFFFFF"/>
                <w:sz w:val="18"/>
              </w:rPr>
              <w:t>Úřad provádějící kontroly*</w:t>
            </w:r>
          </w:p>
        </w:tc>
        <w:tc>
          <w:tcPr>
            <w:tcW w:w="419" w:type="pct"/>
            <w:shd w:val="clear" w:color="000000" w:fill="6C8911"/>
          </w:tcPr>
          <w:p>
            <w:pPr>
              <w:spacing w:after="0" w:line="240" w:lineRule="auto"/>
              <w:jc w:val="center"/>
              <w:rPr>
                <w:rFonts w:ascii="Times New Roman" w:hAnsi="Times New Roman"/>
                <w:noProof/>
                <w:color w:val="FFFFFF" w:themeColor="background1"/>
                <w:sz w:val="18"/>
                <w:szCs w:val="18"/>
              </w:rPr>
            </w:pPr>
            <w:r>
              <w:rPr>
                <w:rFonts w:ascii="Times New Roman" w:hAnsi="Times New Roman"/>
                <w:noProof/>
                <w:color w:val="FFFFFF" w:themeColor="background1"/>
                <w:sz w:val="18"/>
              </w:rPr>
              <w:t>Druh</w:t>
            </w:r>
          </w:p>
        </w:tc>
        <w:tc>
          <w:tcPr>
            <w:tcW w:w="419" w:type="pct"/>
            <w:shd w:val="clear" w:color="000000" w:fill="6C8911"/>
          </w:tcPr>
          <w:p>
            <w:pPr>
              <w:spacing w:after="0" w:line="240" w:lineRule="auto"/>
              <w:jc w:val="center"/>
              <w:rPr>
                <w:rFonts w:ascii="Times New Roman" w:hAnsi="Times New Roman"/>
                <w:noProof/>
                <w:color w:val="FFFFFF" w:themeColor="background1"/>
                <w:sz w:val="18"/>
                <w:szCs w:val="18"/>
              </w:rPr>
            </w:pPr>
            <w:r>
              <w:rPr>
                <w:rFonts w:ascii="Times New Roman" w:hAnsi="Times New Roman"/>
                <w:noProof/>
                <w:color w:val="FFFFFF" w:themeColor="background1"/>
                <w:sz w:val="18"/>
              </w:rPr>
              <w:t>Hospodářský subjekt</w:t>
            </w:r>
          </w:p>
        </w:tc>
        <w:tc>
          <w:tcPr>
            <w:tcW w:w="441" w:type="pct"/>
            <w:shd w:val="clear" w:color="000000" w:fill="6C8911"/>
          </w:tcPr>
          <w:p>
            <w:pPr>
              <w:spacing w:after="0" w:line="240" w:lineRule="auto"/>
              <w:jc w:val="center"/>
              <w:rPr>
                <w:rFonts w:ascii="Times New Roman" w:hAnsi="Times New Roman"/>
                <w:noProof/>
                <w:color w:val="FFFFFF" w:themeColor="background1"/>
                <w:sz w:val="18"/>
                <w:szCs w:val="18"/>
              </w:rPr>
            </w:pPr>
            <w:r>
              <w:rPr>
                <w:rFonts w:ascii="Times New Roman" w:hAnsi="Times New Roman"/>
                <w:noProof/>
                <w:color w:val="FFFFFF" w:themeColor="background1"/>
                <w:sz w:val="18"/>
              </w:rPr>
              <w:t>Objem / hmotnost dodávky</w:t>
            </w:r>
          </w:p>
        </w:tc>
        <w:tc>
          <w:tcPr>
            <w:tcW w:w="398" w:type="pct"/>
            <w:shd w:val="clear" w:color="000000" w:fill="6C8911"/>
          </w:tcPr>
          <w:p>
            <w:pPr>
              <w:spacing w:after="0" w:line="240" w:lineRule="auto"/>
              <w:jc w:val="center"/>
              <w:rPr>
                <w:rFonts w:ascii="Times New Roman" w:hAnsi="Times New Roman"/>
                <w:noProof/>
                <w:color w:val="FFFFFF" w:themeColor="background1"/>
                <w:sz w:val="18"/>
                <w:szCs w:val="18"/>
              </w:rPr>
            </w:pPr>
            <w:r>
              <w:rPr>
                <w:rFonts w:ascii="Times New Roman" w:hAnsi="Times New Roman"/>
                <w:noProof/>
                <w:color w:val="FFFFFF" w:themeColor="background1"/>
                <w:sz w:val="18"/>
              </w:rPr>
              <w:t>Kódy HS</w:t>
            </w:r>
          </w:p>
        </w:tc>
        <w:tc>
          <w:tcPr>
            <w:tcW w:w="419" w:type="pct"/>
            <w:shd w:val="clear" w:color="000000" w:fill="6C8911"/>
          </w:tcPr>
          <w:p>
            <w:pPr>
              <w:spacing w:after="0" w:line="240" w:lineRule="auto"/>
              <w:jc w:val="center"/>
              <w:rPr>
                <w:rFonts w:ascii="Times New Roman" w:hAnsi="Times New Roman"/>
                <w:noProof/>
                <w:color w:val="FFFFFF" w:themeColor="background1"/>
                <w:sz w:val="18"/>
                <w:szCs w:val="18"/>
              </w:rPr>
            </w:pPr>
            <w:r>
              <w:rPr>
                <w:rFonts w:ascii="Times New Roman" w:hAnsi="Times New Roman"/>
                <w:noProof/>
                <w:color w:val="FFFFFF" w:themeColor="background1"/>
                <w:sz w:val="18"/>
              </w:rPr>
              <w:t>Země původu</w:t>
            </w:r>
          </w:p>
        </w:tc>
        <w:tc>
          <w:tcPr>
            <w:tcW w:w="419" w:type="pct"/>
            <w:shd w:val="clear" w:color="000000" w:fill="6C8911"/>
            <w:noWrap/>
            <w:hideMark/>
          </w:tcPr>
          <w:p>
            <w:pPr>
              <w:spacing w:after="0" w:line="240" w:lineRule="auto"/>
              <w:jc w:val="center"/>
              <w:rPr>
                <w:rFonts w:ascii="Times New Roman" w:eastAsia="Times New Roman" w:hAnsi="Times New Roman"/>
                <w:noProof/>
                <w:color w:val="FFFFFF" w:themeColor="background1"/>
                <w:sz w:val="18"/>
                <w:szCs w:val="18"/>
              </w:rPr>
            </w:pPr>
            <w:r>
              <w:rPr>
                <w:rFonts w:ascii="Times New Roman" w:hAnsi="Times New Roman"/>
                <w:noProof/>
                <w:color w:val="FFFFFF" w:themeColor="background1"/>
                <w:sz w:val="18"/>
              </w:rPr>
              <w:t>Nesoulad informací v dokladech</w:t>
            </w:r>
          </w:p>
        </w:tc>
        <w:tc>
          <w:tcPr>
            <w:tcW w:w="419" w:type="pct"/>
            <w:shd w:val="clear" w:color="000000" w:fill="6C8911"/>
          </w:tcPr>
          <w:p>
            <w:pPr>
              <w:spacing w:after="0" w:line="240" w:lineRule="auto"/>
              <w:jc w:val="center"/>
              <w:rPr>
                <w:rFonts w:ascii="Times New Roman" w:eastAsia="Times New Roman" w:hAnsi="Times New Roman"/>
                <w:noProof/>
                <w:color w:val="FFFFFF" w:themeColor="background1"/>
                <w:sz w:val="18"/>
                <w:szCs w:val="18"/>
              </w:rPr>
            </w:pPr>
            <w:r>
              <w:rPr>
                <w:rFonts w:ascii="Times New Roman" w:hAnsi="Times New Roman"/>
                <w:noProof/>
                <w:color w:val="FFFFFF" w:themeColor="background1"/>
                <w:sz w:val="18"/>
              </w:rPr>
              <w:t>Jiné problémy s licencí FLEGT</w:t>
            </w:r>
          </w:p>
        </w:tc>
        <w:tc>
          <w:tcPr>
            <w:tcW w:w="415" w:type="pct"/>
            <w:shd w:val="clear" w:color="000000" w:fill="6C8911"/>
          </w:tcPr>
          <w:p>
            <w:pPr>
              <w:spacing w:after="0" w:line="240" w:lineRule="auto"/>
              <w:jc w:val="center"/>
              <w:rPr>
                <w:rFonts w:ascii="Times New Roman" w:hAnsi="Times New Roman"/>
                <w:noProof/>
                <w:color w:val="FFFFFF" w:themeColor="background1"/>
                <w:sz w:val="18"/>
                <w:szCs w:val="18"/>
              </w:rPr>
            </w:pPr>
            <w:r>
              <w:rPr>
                <w:rFonts w:ascii="Times New Roman" w:hAnsi="Times New Roman"/>
                <w:noProof/>
                <w:color w:val="FFFFFF" w:themeColor="background1"/>
                <w:sz w:val="18"/>
              </w:rPr>
              <w:t>Namátkové kontroly na místě</w:t>
            </w:r>
          </w:p>
        </w:tc>
        <w:tc>
          <w:tcPr>
            <w:tcW w:w="415" w:type="pct"/>
            <w:shd w:val="clear" w:color="000000" w:fill="6C8911"/>
            <w:noWrap/>
            <w:hideMark/>
          </w:tcPr>
          <w:p>
            <w:pPr>
              <w:spacing w:after="0" w:line="240" w:lineRule="auto"/>
              <w:jc w:val="center"/>
              <w:rPr>
                <w:rFonts w:ascii="Times New Roman" w:eastAsia="Times New Roman" w:hAnsi="Times New Roman"/>
                <w:noProof/>
                <w:color w:val="FFFFFF" w:themeColor="background1"/>
                <w:sz w:val="18"/>
                <w:szCs w:val="18"/>
              </w:rPr>
            </w:pPr>
            <w:r>
              <w:rPr>
                <w:rFonts w:ascii="Times New Roman" w:hAnsi="Times New Roman"/>
                <w:noProof/>
                <w:color w:val="FFFFFF" w:themeColor="background1"/>
                <w:sz w:val="18"/>
              </w:rPr>
              <w:t>Jiné problémy</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Rakousko</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color w:val="000000"/>
                <w:sz w:val="18"/>
              </w:rPr>
              <w:t>PO &amp; CO</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398"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p>
        </w:tc>
        <w:tc>
          <w:tcPr>
            <w:tcW w:w="415"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Belgie</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CO &amp; jiný**</w:t>
            </w:r>
          </w:p>
        </w:tc>
        <w:tc>
          <w:tcPr>
            <w:tcW w:w="419" w:type="pct"/>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p>
        </w:tc>
        <w:tc>
          <w:tcPr>
            <w:tcW w:w="441" w:type="pct"/>
          </w:tcPr>
          <w:p>
            <w:pPr>
              <w:spacing w:after="0" w:line="240" w:lineRule="auto"/>
              <w:jc w:val="center"/>
              <w:rPr>
                <w:rFonts w:ascii="Helvetica" w:eastAsia="Times New Roman" w:hAnsi="Helvetica" w:cs="Calibri"/>
                <w:noProof/>
                <w:color w:val="000000"/>
                <w:sz w:val="16"/>
                <w:szCs w:val="16"/>
              </w:rPr>
            </w:pPr>
          </w:p>
        </w:tc>
        <w:tc>
          <w:tcPr>
            <w:tcW w:w="398" w:type="pct"/>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p>
        </w:tc>
        <w:tc>
          <w:tcPr>
            <w:tcW w:w="415"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Bulharsko</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CO &amp; jiný (Výkonný úřad lesního hospodářství)</w:t>
            </w:r>
          </w:p>
        </w:tc>
        <w:tc>
          <w:tcPr>
            <w:tcW w:w="419"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398"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Chorvatsko</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CO</w:t>
            </w:r>
          </w:p>
        </w:tc>
        <w:tc>
          <w:tcPr>
            <w:tcW w:w="419"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p>
        </w:tc>
        <w:tc>
          <w:tcPr>
            <w:tcW w:w="398"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p>
        </w:tc>
        <w:tc>
          <w:tcPr>
            <w:tcW w:w="415" w:type="pct"/>
          </w:tcPr>
          <w:p>
            <w:pPr>
              <w:spacing w:after="0" w:line="240" w:lineRule="auto"/>
              <w:jc w:val="center"/>
              <w:rPr>
                <w:rFonts w:ascii="Helvetica" w:eastAsia="Times New Roman" w:hAnsi="Helvetica" w:cs="Calibri"/>
                <w:noProof/>
                <w:color w:val="000000"/>
                <w:sz w:val="16"/>
                <w:szCs w:val="16"/>
              </w:rPr>
            </w:pP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Kypr</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PO &amp; jiný (neupřesněno)</w:t>
            </w:r>
          </w:p>
        </w:tc>
        <w:tc>
          <w:tcPr>
            <w:tcW w:w="419" w:type="pct"/>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p>
        </w:tc>
        <w:tc>
          <w:tcPr>
            <w:tcW w:w="441" w:type="pct"/>
          </w:tcPr>
          <w:p>
            <w:pPr>
              <w:spacing w:after="0" w:line="240" w:lineRule="auto"/>
              <w:jc w:val="center"/>
              <w:rPr>
                <w:rFonts w:ascii="Helvetica" w:eastAsia="Times New Roman" w:hAnsi="Helvetica" w:cs="Calibri"/>
                <w:noProof/>
                <w:color w:val="000000"/>
                <w:sz w:val="16"/>
                <w:szCs w:val="16"/>
              </w:rPr>
            </w:pPr>
          </w:p>
        </w:tc>
        <w:tc>
          <w:tcPr>
            <w:tcW w:w="398" w:type="pct"/>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Wingdings" w:hAnsi="Wingdings"/>
                <w:noProof/>
                <w:sz w:val="16"/>
                <w:szCs w:val="16"/>
              </w:rPr>
            </w:pP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Česká republika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PO &amp; CO</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p>
        </w:tc>
        <w:tc>
          <w:tcPr>
            <w:tcW w:w="398"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Helvetica" w:eastAsia="Times New Roman" w:hAnsi="Helvetica" w:cs="Calibri"/>
                <w:noProof/>
                <w:color w:val="000000"/>
                <w:sz w:val="16"/>
                <w:szCs w:val="16"/>
              </w:rPr>
            </w:pP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Dánsko</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PO &amp; CO &amp; jiný (neupřesněno)</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p>
        </w:tc>
        <w:tc>
          <w:tcPr>
            <w:tcW w:w="398"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Estonsko</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CO &amp; jiný (neupřesněno)</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p>
        </w:tc>
        <w:tc>
          <w:tcPr>
            <w:tcW w:w="398"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Finsko</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PO &amp; CO</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398"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p>
        </w:tc>
        <w:tc>
          <w:tcPr>
            <w:tcW w:w="415"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Francie</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CO &amp; jiný (neupřesněno)</w:t>
            </w:r>
          </w:p>
        </w:tc>
        <w:tc>
          <w:tcPr>
            <w:tcW w:w="419"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p>
        </w:tc>
        <w:tc>
          <w:tcPr>
            <w:tcW w:w="398"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Německo</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PO &amp; CO</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41"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398"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Irsko</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PO</w:t>
            </w:r>
          </w:p>
        </w:tc>
        <w:tc>
          <w:tcPr>
            <w:tcW w:w="419"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p>
        </w:tc>
        <w:tc>
          <w:tcPr>
            <w:tcW w:w="398"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Itálie</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PO &amp; CO</w:t>
            </w:r>
          </w:p>
        </w:tc>
        <w:tc>
          <w:tcPr>
            <w:tcW w:w="419"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398"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p>
        </w:tc>
        <w:tc>
          <w:tcPr>
            <w:tcW w:w="415" w:type="pct"/>
          </w:tcPr>
          <w:p>
            <w:pPr>
              <w:spacing w:after="0" w:line="240" w:lineRule="auto"/>
              <w:jc w:val="center"/>
              <w:rPr>
                <w:rFonts w:ascii="Helvetica" w:eastAsia="Times New Roman" w:hAnsi="Helvetica" w:cs="Calibri"/>
                <w:noProof/>
                <w:color w:val="000000"/>
                <w:sz w:val="16"/>
                <w:szCs w:val="16"/>
              </w:rPr>
            </w:pP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Litva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CO &amp; jiný (neupřesněno)</w:t>
            </w:r>
          </w:p>
        </w:tc>
        <w:tc>
          <w:tcPr>
            <w:tcW w:w="419"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p>
        </w:tc>
        <w:tc>
          <w:tcPr>
            <w:tcW w:w="398"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Malta</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PO &amp; CO &amp; jiný (neupřesněno)</w:t>
            </w:r>
          </w:p>
        </w:tc>
        <w:tc>
          <w:tcPr>
            <w:tcW w:w="419" w:type="pct"/>
            <w:shd w:val="clear" w:color="auto" w:fill="auto"/>
          </w:tcPr>
          <w:p>
            <w:pPr>
              <w:spacing w:after="0" w:line="240" w:lineRule="auto"/>
              <w:jc w:val="center"/>
              <w:rPr>
                <w:rFonts w:ascii="Wingdings" w:hAnsi="Wingdings"/>
                <w:noProof/>
                <w:sz w:val="16"/>
                <w:szCs w:val="16"/>
              </w:rPr>
            </w:pPr>
          </w:p>
        </w:tc>
        <w:tc>
          <w:tcPr>
            <w:tcW w:w="419" w:type="pct"/>
            <w:shd w:val="clear" w:color="auto" w:fill="auto"/>
          </w:tcPr>
          <w:p>
            <w:pPr>
              <w:spacing w:after="0" w:line="240" w:lineRule="auto"/>
              <w:jc w:val="center"/>
              <w:rPr>
                <w:rFonts w:ascii="Wingdings" w:hAnsi="Wingdings"/>
                <w:noProof/>
                <w:sz w:val="16"/>
                <w:szCs w:val="16"/>
              </w:rPr>
            </w:pPr>
          </w:p>
        </w:tc>
        <w:tc>
          <w:tcPr>
            <w:tcW w:w="441" w:type="pct"/>
            <w:shd w:val="clear" w:color="auto" w:fill="auto"/>
          </w:tcPr>
          <w:p>
            <w:pPr>
              <w:spacing w:after="0" w:line="240" w:lineRule="auto"/>
              <w:jc w:val="center"/>
              <w:rPr>
                <w:rFonts w:ascii="Wingdings" w:hAnsi="Wingdings"/>
                <w:noProof/>
                <w:sz w:val="16"/>
                <w:szCs w:val="16"/>
              </w:rPr>
            </w:pPr>
          </w:p>
        </w:tc>
        <w:tc>
          <w:tcPr>
            <w:tcW w:w="398" w:type="pct"/>
            <w:shd w:val="clear" w:color="auto" w:fill="auto"/>
          </w:tcPr>
          <w:p>
            <w:pPr>
              <w:spacing w:after="0" w:line="240" w:lineRule="auto"/>
              <w:jc w:val="center"/>
              <w:rPr>
                <w:rFonts w:ascii="Wingdings" w:hAnsi="Wingdings"/>
                <w:noProof/>
                <w:sz w:val="16"/>
                <w:szCs w:val="16"/>
              </w:rPr>
            </w:pPr>
          </w:p>
        </w:tc>
        <w:tc>
          <w:tcPr>
            <w:tcW w:w="419" w:type="pct"/>
            <w:shd w:val="clear" w:color="auto" w:fill="auto"/>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shd w:val="clear" w:color="auto" w:fill="auto"/>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shd w:val="clear" w:color="auto" w:fill="auto"/>
          </w:tcPr>
          <w:p>
            <w:pPr>
              <w:spacing w:after="0" w:line="240" w:lineRule="auto"/>
              <w:jc w:val="center"/>
              <w:rPr>
                <w:rFonts w:ascii="Wingdings" w:hAnsi="Wingdings"/>
                <w:noProof/>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Nizozemsko</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CO &amp; jiný (neupřesněno)</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398"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Polsko</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CO &amp; jiný (neupřesněno)</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398"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Wingdings" w:hAnsi="Wingdings"/>
                <w:noProof/>
                <w:sz w:val="16"/>
                <w:szCs w:val="16"/>
              </w:rPr>
            </w:pP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Rumunsko</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PO &amp; CO &amp; jiný (neupřesněno)</w:t>
            </w:r>
          </w:p>
        </w:tc>
        <w:tc>
          <w:tcPr>
            <w:tcW w:w="419"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398" w:type="pct"/>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Wingdings" w:hAnsi="Wingdings"/>
                <w:noProof/>
                <w:sz w:val="16"/>
                <w:szCs w:val="16"/>
              </w:rPr>
            </w:pP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Slovensko</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PO &amp; CO</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41"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398"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tcPr>
          <w:p>
            <w:pPr>
              <w:spacing w:after="0" w:line="240" w:lineRule="auto"/>
              <w:jc w:val="center"/>
              <w:rPr>
                <w:rFonts w:ascii="Wingdings" w:hAnsi="Wingdings"/>
                <w:noProof/>
                <w:sz w:val="16"/>
                <w:szCs w:val="16"/>
              </w:rPr>
            </w:pPr>
            <w:r>
              <w:rPr>
                <w:rFonts w:ascii="Wingdings" w:hAnsi="Wingdings"/>
                <w:noProof/>
                <w:sz w:val="16"/>
                <w:szCs w:val="16"/>
              </w:rPr>
              <w:t></w:t>
            </w: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p>
        </w:tc>
        <w:tc>
          <w:tcPr>
            <w:tcW w:w="415" w:type="pct"/>
          </w:tcPr>
          <w:p>
            <w:pPr>
              <w:spacing w:after="0" w:line="240" w:lineRule="auto"/>
              <w:jc w:val="center"/>
              <w:rPr>
                <w:rFonts w:ascii="Helvetica" w:eastAsia="Times New Roman" w:hAnsi="Helvetica" w:cs="Calibri"/>
                <w:noProof/>
                <w:color w:val="000000"/>
                <w:sz w:val="16"/>
                <w:szCs w:val="16"/>
              </w:rPr>
            </w:pP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Slovinsko</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PO &amp; CO &amp; jiný (finanční správa)</w:t>
            </w:r>
          </w:p>
        </w:tc>
        <w:tc>
          <w:tcPr>
            <w:tcW w:w="419"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41" w:type="pct"/>
          </w:tcPr>
          <w:p>
            <w:pPr>
              <w:spacing w:after="0" w:line="240" w:lineRule="auto"/>
              <w:jc w:val="center"/>
              <w:rPr>
                <w:rFonts w:ascii="Wingdings" w:hAnsi="Wingdings"/>
                <w:noProof/>
                <w:sz w:val="16"/>
                <w:szCs w:val="16"/>
              </w:rPr>
            </w:pPr>
          </w:p>
        </w:tc>
        <w:tc>
          <w:tcPr>
            <w:tcW w:w="398" w:type="pct"/>
          </w:tcPr>
          <w:p>
            <w:pPr>
              <w:spacing w:after="0" w:line="240" w:lineRule="auto"/>
              <w:jc w:val="center"/>
              <w:rPr>
                <w:rFonts w:ascii="Wingdings" w:hAnsi="Wingdings"/>
                <w:noProof/>
                <w:sz w:val="16"/>
                <w:szCs w:val="16"/>
              </w:rPr>
            </w:pPr>
          </w:p>
        </w:tc>
        <w:tc>
          <w:tcPr>
            <w:tcW w:w="419" w:type="pct"/>
          </w:tcPr>
          <w:p>
            <w:pPr>
              <w:spacing w:after="0" w:line="240" w:lineRule="auto"/>
              <w:jc w:val="center"/>
              <w:rPr>
                <w:rFonts w:ascii="Wingdings" w:hAnsi="Wingdings"/>
                <w:noProof/>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c>
          <w:tcPr>
            <w:tcW w:w="415" w:type="pct"/>
          </w:tcPr>
          <w:p>
            <w:pPr>
              <w:spacing w:after="0" w:line="240" w:lineRule="auto"/>
              <w:jc w:val="center"/>
              <w:rPr>
                <w:rFonts w:ascii="Wingdings" w:hAnsi="Wingdings"/>
                <w:noProof/>
                <w:sz w:val="16"/>
                <w:szCs w:val="16"/>
              </w:rPr>
            </w:pP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Španělsko</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PO &amp; CO</w:t>
            </w:r>
          </w:p>
        </w:tc>
        <w:tc>
          <w:tcPr>
            <w:tcW w:w="419" w:type="pct"/>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p>
        </w:tc>
        <w:tc>
          <w:tcPr>
            <w:tcW w:w="441" w:type="pct"/>
          </w:tcPr>
          <w:p>
            <w:pPr>
              <w:spacing w:after="0" w:line="240" w:lineRule="auto"/>
              <w:jc w:val="center"/>
              <w:rPr>
                <w:rFonts w:ascii="Helvetica" w:eastAsia="Times New Roman" w:hAnsi="Helvetica" w:cs="Calibri"/>
                <w:noProof/>
                <w:color w:val="000000"/>
                <w:sz w:val="16"/>
                <w:szCs w:val="16"/>
              </w:rPr>
            </w:pPr>
            <w:r>
              <w:rPr>
                <w:rFonts w:ascii="Helvetica" w:hAnsi="Helvetica"/>
                <w:noProof/>
                <w:color w:val="000000"/>
                <w:sz w:val="16"/>
              </w:rPr>
              <w:t>***</w:t>
            </w:r>
          </w:p>
        </w:tc>
        <w:tc>
          <w:tcPr>
            <w:tcW w:w="398" w:type="pct"/>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p>
        </w:tc>
        <w:tc>
          <w:tcPr>
            <w:tcW w:w="419" w:type="pct"/>
          </w:tcPr>
          <w:p>
            <w:pPr>
              <w:spacing w:after="0" w:line="240" w:lineRule="auto"/>
              <w:jc w:val="center"/>
              <w:rPr>
                <w:rFonts w:ascii="Helvetica" w:eastAsia="Times New Roman" w:hAnsi="Helvetica" w:cs="Calibri"/>
                <w:noProof/>
                <w:color w:val="000000"/>
                <w:sz w:val="16"/>
                <w:szCs w:val="16"/>
              </w:rPr>
            </w:pPr>
          </w:p>
        </w:tc>
        <w:tc>
          <w:tcPr>
            <w:tcW w:w="415" w:type="pct"/>
          </w:tcPr>
          <w:p>
            <w:pPr>
              <w:spacing w:after="0" w:line="240" w:lineRule="auto"/>
              <w:jc w:val="center"/>
              <w:rPr>
                <w:rFonts w:ascii="Wingdings" w:hAnsi="Wingdings"/>
                <w:noProof/>
                <w:sz w:val="16"/>
                <w:szCs w:val="16"/>
              </w:rPr>
            </w:pP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r>
        <w:trPr>
          <w:trHeight w:val="20"/>
        </w:trPr>
        <w:tc>
          <w:tcPr>
            <w:tcW w:w="457" w:type="pct"/>
            <w:shd w:val="clear" w:color="auto" w:fill="auto"/>
            <w:noWrap/>
          </w:tcPr>
          <w:p>
            <w:pPr>
              <w:spacing w:after="0" w:line="240" w:lineRule="auto"/>
              <w:rPr>
                <w:rFonts w:ascii="Times New Roman" w:hAnsi="Times New Roman"/>
                <w:noProof/>
                <w:sz w:val="18"/>
                <w:szCs w:val="18"/>
              </w:rPr>
            </w:pPr>
            <w:r>
              <w:rPr>
                <w:rFonts w:ascii="Times New Roman" w:hAnsi="Times New Roman"/>
                <w:noProof/>
                <w:sz w:val="18"/>
              </w:rPr>
              <w:t>Švédsko</w:t>
            </w:r>
          </w:p>
        </w:tc>
        <w:tc>
          <w:tcPr>
            <w:tcW w:w="778" w:type="pct"/>
            <w:shd w:val="clear" w:color="auto" w:fill="auto"/>
            <w:noWrap/>
          </w:tcPr>
          <w:p>
            <w:pPr>
              <w:spacing w:after="0" w:line="240" w:lineRule="auto"/>
              <w:rPr>
                <w:rFonts w:ascii="Times New Roman" w:hAnsi="Times New Roman"/>
                <w:noProof/>
                <w:sz w:val="18"/>
                <w:szCs w:val="18"/>
              </w:rPr>
            </w:pPr>
            <w:r>
              <w:rPr>
                <w:rFonts w:ascii="Times New Roman" w:hAnsi="Times New Roman"/>
                <w:noProof/>
                <w:sz w:val="18"/>
              </w:rPr>
              <w:t>CO</w:t>
            </w:r>
          </w:p>
        </w:tc>
        <w:tc>
          <w:tcPr>
            <w:tcW w:w="419" w:type="pct"/>
          </w:tcPr>
          <w:p>
            <w:pPr>
              <w:spacing w:after="0" w:line="240" w:lineRule="auto"/>
              <w:jc w:val="center"/>
              <w:rPr>
                <w:rFonts w:ascii="Wingdings" w:eastAsia="Times New Roman" w:hAnsi="Wingdings" w:cs="Calibri"/>
                <w:noProof/>
                <w:color w:val="000000"/>
                <w:sz w:val="16"/>
                <w:szCs w:val="16"/>
              </w:rPr>
            </w:pPr>
          </w:p>
        </w:tc>
        <w:tc>
          <w:tcPr>
            <w:tcW w:w="419" w:type="pct"/>
          </w:tcPr>
          <w:p>
            <w:pPr>
              <w:spacing w:after="0" w:line="240" w:lineRule="auto"/>
              <w:jc w:val="center"/>
              <w:rPr>
                <w:rFonts w:ascii="Wingdings" w:eastAsia="Times New Roman" w:hAnsi="Wingdings" w:cs="Calibri"/>
                <w:noProof/>
                <w:color w:val="000000"/>
                <w:sz w:val="16"/>
                <w:szCs w:val="16"/>
              </w:rPr>
            </w:pPr>
          </w:p>
        </w:tc>
        <w:tc>
          <w:tcPr>
            <w:tcW w:w="441" w:type="pct"/>
          </w:tcPr>
          <w:p>
            <w:pPr>
              <w:spacing w:after="0" w:line="240" w:lineRule="auto"/>
              <w:jc w:val="center"/>
              <w:rPr>
                <w:rFonts w:ascii="Wingdings" w:eastAsia="Times New Roman" w:hAnsi="Wingdings" w:cs="Calibri"/>
                <w:noProof/>
                <w:color w:val="000000"/>
                <w:sz w:val="16"/>
                <w:szCs w:val="16"/>
              </w:rPr>
            </w:pPr>
          </w:p>
        </w:tc>
        <w:tc>
          <w:tcPr>
            <w:tcW w:w="398" w:type="pct"/>
          </w:tcPr>
          <w:p>
            <w:pPr>
              <w:spacing w:after="0" w:line="240" w:lineRule="auto"/>
              <w:jc w:val="center"/>
              <w:rPr>
                <w:rFonts w:ascii="Wingdings" w:eastAsia="Times New Roman" w:hAnsi="Wingdings" w:cs="Calibri"/>
                <w:noProof/>
                <w:color w:val="000000"/>
                <w:sz w:val="16"/>
                <w:szCs w:val="16"/>
              </w:rPr>
            </w:pPr>
            <w:r>
              <w:rPr>
                <w:rFonts w:ascii="Wingdings" w:eastAsia="Times New Roman" w:hAnsi="Wingdings" w:cs="Calibri"/>
                <w:noProof/>
                <w:color w:val="000000"/>
                <w:sz w:val="16"/>
                <w:szCs w:val="16"/>
              </w:rPr>
              <w:t></w:t>
            </w:r>
          </w:p>
        </w:tc>
        <w:tc>
          <w:tcPr>
            <w:tcW w:w="419" w:type="pct"/>
          </w:tcPr>
          <w:p>
            <w:pPr>
              <w:spacing w:after="0" w:line="240" w:lineRule="auto"/>
              <w:jc w:val="center"/>
              <w:rPr>
                <w:rFonts w:ascii="Wingdings" w:eastAsia="Times New Roman" w:hAnsi="Wingdings" w:cs="Calibri"/>
                <w:noProof/>
                <w:color w:val="000000"/>
                <w:sz w:val="16"/>
                <w:szCs w:val="16"/>
              </w:rPr>
            </w:pPr>
          </w:p>
        </w:tc>
        <w:tc>
          <w:tcPr>
            <w:tcW w:w="419" w:type="pct"/>
            <w:shd w:val="clear" w:color="auto" w:fill="auto"/>
            <w:noWrap/>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15" w:type="pct"/>
          </w:tcPr>
          <w:p>
            <w:pPr>
              <w:spacing w:after="0" w:line="240" w:lineRule="auto"/>
              <w:jc w:val="center"/>
              <w:rPr>
                <w:rFonts w:ascii="Wingdings" w:hAnsi="Wingdings"/>
                <w:noProof/>
                <w:sz w:val="16"/>
                <w:szCs w:val="16"/>
              </w:rPr>
            </w:pPr>
          </w:p>
        </w:tc>
        <w:tc>
          <w:tcPr>
            <w:tcW w:w="415" w:type="pct"/>
            <w:shd w:val="clear" w:color="auto" w:fill="auto"/>
            <w:noWrap/>
          </w:tcPr>
          <w:p>
            <w:pPr>
              <w:spacing w:after="0" w:line="240" w:lineRule="auto"/>
              <w:jc w:val="center"/>
              <w:rPr>
                <w:rFonts w:ascii="Wingdings" w:hAnsi="Wingdings"/>
                <w:noProof/>
                <w:sz w:val="16"/>
                <w:szCs w:val="16"/>
              </w:rPr>
            </w:pPr>
          </w:p>
        </w:tc>
      </w:tr>
      <w:tr>
        <w:trPr>
          <w:trHeight w:val="20"/>
        </w:trPr>
        <w:tc>
          <w:tcPr>
            <w:tcW w:w="457"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Spojené království</w:t>
            </w:r>
          </w:p>
        </w:tc>
        <w:tc>
          <w:tcPr>
            <w:tcW w:w="778" w:type="pct"/>
            <w:shd w:val="clear" w:color="auto" w:fill="auto"/>
            <w:noWrap/>
            <w:hideMark/>
          </w:tcPr>
          <w:p>
            <w:pPr>
              <w:spacing w:after="0" w:line="240" w:lineRule="auto"/>
              <w:rPr>
                <w:rFonts w:ascii="Times New Roman" w:eastAsia="Times New Roman" w:hAnsi="Times New Roman"/>
                <w:noProof/>
                <w:color w:val="000000"/>
                <w:sz w:val="18"/>
                <w:szCs w:val="18"/>
              </w:rPr>
            </w:pPr>
            <w:r>
              <w:rPr>
                <w:rFonts w:ascii="Times New Roman" w:hAnsi="Times New Roman"/>
                <w:noProof/>
                <w:sz w:val="18"/>
              </w:rPr>
              <w:t>CO &amp; jiný (pohraniční služba)</w:t>
            </w:r>
          </w:p>
        </w:tc>
        <w:tc>
          <w:tcPr>
            <w:tcW w:w="419" w:type="pct"/>
          </w:tcPr>
          <w:p>
            <w:pPr>
              <w:spacing w:after="0" w:line="240" w:lineRule="auto"/>
              <w:jc w:val="center"/>
              <w:rPr>
                <w:rFonts w:ascii="Wingdings" w:eastAsia="Times New Roman" w:hAnsi="Wingdings" w:cs="Calibri"/>
                <w:noProof/>
                <w:color w:val="000000"/>
                <w:sz w:val="16"/>
                <w:szCs w:val="16"/>
              </w:rPr>
            </w:pPr>
          </w:p>
        </w:tc>
        <w:tc>
          <w:tcPr>
            <w:tcW w:w="419" w:type="pct"/>
          </w:tcPr>
          <w:p>
            <w:pPr>
              <w:spacing w:after="0" w:line="240" w:lineRule="auto"/>
              <w:jc w:val="center"/>
              <w:rPr>
                <w:rFonts w:ascii="Wingdings" w:eastAsia="Times New Roman" w:hAnsi="Wingdings" w:cs="Calibri"/>
                <w:noProof/>
                <w:color w:val="000000"/>
                <w:sz w:val="16"/>
                <w:szCs w:val="16"/>
              </w:rPr>
            </w:pPr>
          </w:p>
        </w:tc>
        <w:tc>
          <w:tcPr>
            <w:tcW w:w="441" w:type="pct"/>
          </w:tcPr>
          <w:p>
            <w:pPr>
              <w:spacing w:after="0" w:line="240" w:lineRule="auto"/>
              <w:jc w:val="center"/>
              <w:rPr>
                <w:rFonts w:ascii="Wingdings" w:eastAsia="Times New Roman" w:hAnsi="Wingdings" w:cs="Calibri"/>
                <w:noProof/>
                <w:color w:val="000000"/>
                <w:sz w:val="16"/>
                <w:szCs w:val="16"/>
              </w:rPr>
            </w:pPr>
          </w:p>
        </w:tc>
        <w:tc>
          <w:tcPr>
            <w:tcW w:w="398" w:type="pct"/>
          </w:tcPr>
          <w:p>
            <w:pPr>
              <w:spacing w:after="0" w:line="240" w:lineRule="auto"/>
              <w:jc w:val="center"/>
              <w:rPr>
                <w:rFonts w:ascii="Wingdings" w:eastAsia="Times New Roman" w:hAnsi="Wingdings" w:cs="Calibri"/>
                <w:noProof/>
                <w:color w:val="000000"/>
                <w:sz w:val="16"/>
                <w:szCs w:val="16"/>
              </w:rPr>
            </w:pPr>
            <w:r>
              <w:rPr>
                <w:rFonts w:ascii="Wingdings" w:eastAsia="Times New Roman" w:hAnsi="Wingdings" w:cs="Calibri"/>
                <w:noProof/>
                <w:color w:val="000000"/>
                <w:sz w:val="16"/>
                <w:szCs w:val="16"/>
              </w:rPr>
              <w:t></w:t>
            </w:r>
          </w:p>
        </w:tc>
        <w:tc>
          <w:tcPr>
            <w:tcW w:w="419" w:type="pct"/>
          </w:tcPr>
          <w:p>
            <w:pPr>
              <w:spacing w:after="0" w:line="240" w:lineRule="auto"/>
              <w:jc w:val="center"/>
              <w:rPr>
                <w:rFonts w:ascii="Wingdings" w:eastAsia="Times New Roman" w:hAnsi="Wingdings" w:cs="Calibri"/>
                <w:noProof/>
                <w:color w:val="000000"/>
                <w:sz w:val="16"/>
                <w:szCs w:val="16"/>
              </w:rPr>
            </w:pPr>
          </w:p>
        </w:tc>
        <w:tc>
          <w:tcPr>
            <w:tcW w:w="419"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19" w:type="pct"/>
          </w:tcPr>
          <w:p>
            <w:pPr>
              <w:spacing w:after="0" w:line="240" w:lineRule="auto"/>
              <w:jc w:val="center"/>
              <w:rPr>
                <w:rFonts w:ascii="Helvetica" w:eastAsia="Times New Roman" w:hAnsi="Helvetica" w:cs="Calibri"/>
                <w:noProof/>
                <w:color w:val="000000"/>
                <w:sz w:val="16"/>
                <w:szCs w:val="16"/>
              </w:rPr>
            </w:pPr>
            <w:r>
              <w:rPr>
                <w:rFonts w:ascii="Wingdings" w:eastAsia="Times New Roman" w:hAnsi="Wingdings" w:cs="Calibri"/>
                <w:noProof/>
                <w:color w:val="000000"/>
                <w:sz w:val="16"/>
                <w:szCs w:val="16"/>
              </w:rPr>
              <w:t></w:t>
            </w:r>
          </w:p>
        </w:tc>
        <w:tc>
          <w:tcPr>
            <w:tcW w:w="415" w:type="pct"/>
          </w:tcPr>
          <w:p>
            <w:pPr>
              <w:spacing w:after="0" w:line="240" w:lineRule="auto"/>
              <w:jc w:val="center"/>
              <w:rPr>
                <w:rFonts w:ascii="Wingdings" w:hAnsi="Wingdings"/>
                <w:noProof/>
                <w:sz w:val="16"/>
                <w:szCs w:val="16"/>
              </w:rPr>
            </w:pPr>
            <w:r>
              <w:rPr>
                <w:rFonts w:ascii="Wingdings" w:eastAsia="Times New Roman" w:hAnsi="Wingdings" w:cs="Calibri"/>
                <w:noProof/>
                <w:color w:val="000000"/>
                <w:sz w:val="16"/>
                <w:szCs w:val="16"/>
              </w:rPr>
              <w:t></w:t>
            </w:r>
          </w:p>
        </w:tc>
        <w:tc>
          <w:tcPr>
            <w:tcW w:w="415" w:type="pct"/>
            <w:shd w:val="clear" w:color="auto" w:fill="auto"/>
            <w:noWrap/>
            <w:hideMark/>
          </w:tcPr>
          <w:p>
            <w:pPr>
              <w:spacing w:after="0" w:line="240" w:lineRule="auto"/>
              <w:jc w:val="center"/>
              <w:rPr>
                <w:rFonts w:ascii="Helvetica" w:eastAsia="Times New Roman" w:hAnsi="Helvetica" w:cs="Calibri"/>
                <w:noProof/>
                <w:color w:val="000000"/>
                <w:sz w:val="16"/>
                <w:szCs w:val="16"/>
              </w:rPr>
            </w:pPr>
            <w:r>
              <w:rPr>
                <w:rFonts w:ascii="Wingdings" w:hAnsi="Wingdings"/>
                <w:noProof/>
                <w:sz w:val="16"/>
                <w:szCs w:val="16"/>
              </w:rPr>
              <w:t></w:t>
            </w:r>
          </w:p>
        </w:tc>
      </w:tr>
    </w:tbl>
    <w:p>
      <w:pPr>
        <w:spacing w:after="0"/>
        <w:rPr>
          <w:rFonts w:ascii="Times New Roman" w:hAnsi="Times New Roman"/>
          <w:noProof/>
          <w:sz w:val="18"/>
          <w:szCs w:val="18"/>
        </w:rPr>
      </w:pPr>
      <w:r>
        <w:rPr>
          <w:rFonts w:ascii="Times New Roman" w:hAnsi="Times New Roman"/>
          <w:noProof/>
          <w:sz w:val="18"/>
        </w:rPr>
        <w:t>* PO = příslušný orgán; CO = celní orgán.</w:t>
      </w:r>
    </w:p>
    <w:p>
      <w:pPr>
        <w:spacing w:after="0"/>
        <w:rPr>
          <w:rFonts w:ascii="Times New Roman" w:hAnsi="Times New Roman"/>
          <w:noProof/>
          <w:sz w:val="18"/>
          <w:szCs w:val="18"/>
        </w:rPr>
      </w:pPr>
      <w:r>
        <w:rPr>
          <w:rFonts w:ascii="Times New Roman" w:hAnsi="Times New Roman"/>
          <w:noProof/>
          <w:sz w:val="18"/>
        </w:rPr>
        <w:t>** Belgický příslušný orgán plánuje zavedení dalších kontrol založených na riziku (druh, objem, kódy HS, země původu) ve spolupráci s celními orgány.</w:t>
      </w:r>
    </w:p>
    <w:p>
      <w:pPr>
        <w:spacing w:after="0"/>
        <w:rPr>
          <w:rFonts w:ascii="Times New Roman" w:hAnsi="Times New Roman"/>
          <w:noProof/>
          <w:sz w:val="18"/>
          <w:szCs w:val="18"/>
        </w:rPr>
      </w:pPr>
      <w:r>
        <w:rPr>
          <w:rFonts w:ascii="Times New Roman" w:hAnsi="Times New Roman"/>
          <w:noProof/>
          <w:sz w:val="18"/>
        </w:rPr>
        <w:t>*** Španělsko: celní orgány kontrolují, že hmotnost dodávek nepřesahuje 10 % hmotnosti uvedené v licenci.</w:t>
      </w:r>
    </w:p>
    <w:p>
      <w:pPr>
        <w:keepNext/>
        <w:spacing w:line="240" w:lineRule="auto"/>
        <w:jc w:val="both"/>
        <w:rPr>
          <w:rFonts w:ascii="Times New Roman" w:hAnsi="Times New Roman"/>
          <w:b/>
          <w:bCs/>
          <w:noProof/>
          <w:sz w:val="20"/>
          <w:szCs w:val="20"/>
        </w:rPr>
      </w:pPr>
    </w:p>
    <w:p>
      <w:pPr>
        <w:keepNext/>
        <w:spacing w:line="240" w:lineRule="auto"/>
        <w:jc w:val="both"/>
        <w:rPr>
          <w:rFonts w:ascii="Times New Roman" w:hAnsi="Times New Roman"/>
          <w:b/>
          <w:bCs/>
          <w:noProof/>
          <w:sz w:val="20"/>
          <w:szCs w:val="20"/>
        </w:rPr>
        <w:sectPr>
          <w:headerReference w:type="even" r:id="rId34"/>
          <w:headerReference w:type="default" r:id="rId35"/>
          <w:footerReference w:type="even" r:id="rId36"/>
          <w:footerReference w:type="default" r:id="rId37"/>
          <w:headerReference w:type="first" r:id="rId38"/>
          <w:footerReference w:type="first" r:id="rId39"/>
          <w:pgSz w:w="16838" w:h="11906" w:orient="landscape"/>
          <w:pgMar w:top="1417" w:right="1417" w:bottom="1417" w:left="1417" w:header="708" w:footer="708" w:gutter="0"/>
          <w:cols w:space="720"/>
          <w:docGrid w:linePitch="360"/>
        </w:sectPr>
      </w:pPr>
    </w:p>
    <w:p>
      <w:pPr>
        <w:keepNext/>
        <w:spacing w:line="240" w:lineRule="auto"/>
        <w:jc w:val="both"/>
        <w:rPr>
          <w:rFonts w:ascii="Times New Roman" w:hAnsi="Times New Roman"/>
          <w:b/>
          <w:bCs/>
          <w:noProof/>
          <w:sz w:val="20"/>
          <w:szCs w:val="20"/>
        </w:rPr>
      </w:pPr>
    </w:p>
    <w:p>
      <w:pPr>
        <w:keepNext/>
        <w:spacing w:line="240" w:lineRule="auto"/>
        <w:jc w:val="both"/>
        <w:rPr>
          <w:rFonts w:ascii="Times New Roman" w:hAnsi="Times New Roman"/>
          <w:b/>
          <w:noProof/>
          <w:sz w:val="20"/>
          <w:szCs w:val="20"/>
        </w:rPr>
      </w:pPr>
      <w:r>
        <w:rPr>
          <w:rFonts w:ascii="Times New Roman" w:hAnsi="Times New Roman"/>
          <w:b/>
          <w:noProof/>
          <w:sz w:val="20"/>
        </w:rPr>
        <w:t>Tabulka 3: Přibližná výše poplatků za zpracovávání licencí FLEGT a základ pro jejich výpočet v případě členských států, které je dovozcům účtují</w:t>
      </w:r>
    </w:p>
    <w:tbl>
      <w:tblPr>
        <w:tblW w:w="9087"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1"/>
        <w:gridCol w:w="1843"/>
        <w:gridCol w:w="5953"/>
      </w:tblGrid>
      <w:tr>
        <w:trPr>
          <w:trHeight w:val="20"/>
        </w:trPr>
        <w:tc>
          <w:tcPr>
            <w:tcW w:w="1291" w:type="dxa"/>
            <w:shd w:val="clear" w:color="000000" w:fill="6C8911"/>
            <w:noWrap/>
            <w:tcMar>
              <w:top w:w="15" w:type="dxa"/>
              <w:left w:w="15" w:type="dxa"/>
              <w:bottom w:w="0" w:type="dxa"/>
              <w:right w:w="15" w:type="dxa"/>
            </w:tcMar>
            <w:hideMark/>
          </w:tcPr>
          <w:p>
            <w:pPr>
              <w:spacing w:after="0" w:line="240" w:lineRule="auto"/>
              <w:rPr>
                <w:rFonts w:ascii="Times New Roman" w:hAnsi="Times New Roman"/>
                <w:noProof/>
                <w:color w:val="FFFFFF"/>
                <w:sz w:val="18"/>
                <w:szCs w:val="18"/>
              </w:rPr>
            </w:pPr>
            <w:bookmarkStart w:id="11" w:name="_Toc513702709"/>
            <w:r>
              <w:rPr>
                <w:rFonts w:ascii="Times New Roman" w:hAnsi="Times New Roman"/>
                <w:noProof/>
                <w:color w:val="FFFFFF"/>
                <w:sz w:val="18"/>
              </w:rPr>
              <w:t>Země</w:t>
            </w:r>
          </w:p>
        </w:tc>
        <w:tc>
          <w:tcPr>
            <w:tcW w:w="1843" w:type="dxa"/>
            <w:shd w:val="clear" w:color="000000" w:fill="6C8911"/>
            <w:noWrap/>
            <w:tcMar>
              <w:top w:w="15" w:type="dxa"/>
              <w:left w:w="15" w:type="dxa"/>
              <w:bottom w:w="0" w:type="dxa"/>
              <w:right w:w="15" w:type="dxa"/>
            </w:tcMar>
            <w:hideMark/>
          </w:tcPr>
          <w:p>
            <w:pPr>
              <w:spacing w:after="0" w:line="240" w:lineRule="auto"/>
              <w:rPr>
                <w:rFonts w:ascii="Times New Roman" w:hAnsi="Times New Roman"/>
                <w:noProof/>
                <w:color w:val="FFFFFF"/>
                <w:sz w:val="18"/>
                <w:szCs w:val="18"/>
              </w:rPr>
            </w:pPr>
            <w:r>
              <w:rPr>
                <w:rFonts w:ascii="Times New Roman" w:hAnsi="Times New Roman"/>
                <w:noProof/>
                <w:color w:val="FFFFFF"/>
                <w:sz w:val="18"/>
              </w:rPr>
              <w:t>Výše poplatku [přepočteno]</w:t>
            </w:r>
          </w:p>
        </w:tc>
        <w:tc>
          <w:tcPr>
            <w:tcW w:w="5953" w:type="dxa"/>
            <w:shd w:val="clear" w:color="000000" w:fill="6C8911"/>
            <w:noWrap/>
            <w:tcMar>
              <w:top w:w="15" w:type="dxa"/>
              <w:left w:w="15" w:type="dxa"/>
              <w:bottom w:w="0" w:type="dxa"/>
              <w:right w:w="15" w:type="dxa"/>
            </w:tcMar>
            <w:hideMark/>
          </w:tcPr>
          <w:p>
            <w:pPr>
              <w:spacing w:after="0" w:line="240" w:lineRule="auto"/>
              <w:rPr>
                <w:rFonts w:ascii="Times New Roman" w:hAnsi="Times New Roman"/>
                <w:noProof/>
                <w:color w:val="FFFFFF"/>
                <w:sz w:val="18"/>
                <w:szCs w:val="18"/>
              </w:rPr>
            </w:pPr>
            <w:r>
              <w:rPr>
                <w:rFonts w:ascii="Times New Roman" w:hAnsi="Times New Roman"/>
                <w:noProof/>
                <w:color w:val="FFFFFF"/>
                <w:sz w:val="18"/>
              </w:rPr>
              <w:t>Základ pro výpočet poplatku</w:t>
            </w:r>
          </w:p>
        </w:tc>
      </w:tr>
      <w:tr>
        <w:trPr>
          <w:trHeight w:val="20"/>
        </w:trPr>
        <w:tc>
          <w:tcPr>
            <w:tcW w:w="1291"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Rakousko</w:t>
            </w:r>
          </w:p>
        </w:tc>
        <w:tc>
          <w:tcPr>
            <w:tcW w:w="184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105,90 EUR</w:t>
            </w:r>
          </w:p>
        </w:tc>
        <w:tc>
          <w:tcPr>
            <w:tcW w:w="5953" w:type="dxa"/>
            <w:shd w:val="clear" w:color="auto" w:fill="auto"/>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Poplatky vypočteny na základě</w:t>
            </w:r>
            <w:r>
              <w:rPr>
                <w:rFonts w:ascii="Times New Roman" w:hAnsi="Times New Roman"/>
                <w:noProof/>
                <w:color w:val="000000"/>
                <w:sz w:val="18"/>
                <w:szCs w:val="18"/>
              </w:rPr>
              <w:br/>
            </w:r>
            <w:r>
              <w:rPr>
                <w:rFonts w:ascii="Times New Roman" w:hAnsi="Times New Roman"/>
                <w:noProof/>
                <w:color w:val="000000"/>
                <w:sz w:val="18"/>
              </w:rPr>
              <w:t>– počtu dovozů od počátku roku 2015 do konce května 2016,</w:t>
            </w:r>
            <w:r>
              <w:rPr>
                <w:rFonts w:ascii="Times New Roman" w:hAnsi="Times New Roman"/>
                <w:noProof/>
                <w:color w:val="000000"/>
                <w:sz w:val="18"/>
                <w:szCs w:val="18"/>
              </w:rPr>
              <w:br/>
            </w:r>
            <w:r>
              <w:rPr>
                <w:rFonts w:ascii="Times New Roman" w:hAnsi="Times New Roman"/>
                <w:noProof/>
                <w:color w:val="000000"/>
                <w:sz w:val="18"/>
              </w:rPr>
              <w:t>– odhadované doby potřebné ke kontrole licence v kanceláři,</w:t>
            </w:r>
            <w:r>
              <w:rPr>
                <w:rFonts w:ascii="Times New Roman" w:hAnsi="Times New Roman"/>
                <w:noProof/>
                <w:color w:val="000000"/>
                <w:sz w:val="18"/>
                <w:szCs w:val="18"/>
              </w:rPr>
              <w:br/>
            </w:r>
            <w:r>
              <w:rPr>
                <w:rFonts w:ascii="Times New Roman" w:hAnsi="Times New Roman"/>
                <w:noProof/>
                <w:color w:val="000000"/>
                <w:sz w:val="18"/>
              </w:rPr>
              <w:t>– odhadované délky fyzických kontrol a nákladů na tyto kontroly (pracovní doba, cestovní náklady)</w:t>
            </w:r>
          </w:p>
        </w:tc>
      </w:tr>
      <w:tr>
        <w:trPr>
          <w:trHeight w:val="20"/>
        </w:trPr>
        <w:tc>
          <w:tcPr>
            <w:tcW w:w="1291"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Belgie</w:t>
            </w:r>
          </w:p>
        </w:tc>
        <w:tc>
          <w:tcPr>
            <w:tcW w:w="184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50 EUR (pouze u dodávek &gt; 500 kg)</w:t>
            </w:r>
          </w:p>
        </w:tc>
        <w:tc>
          <w:tcPr>
            <w:tcW w:w="595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Právní základ poplatku</w:t>
            </w:r>
          </w:p>
        </w:tc>
      </w:tr>
      <w:tr>
        <w:trPr>
          <w:trHeight w:val="20"/>
        </w:trPr>
        <w:tc>
          <w:tcPr>
            <w:tcW w:w="1291"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Finsko</w:t>
            </w:r>
          </w:p>
        </w:tc>
        <w:tc>
          <w:tcPr>
            <w:tcW w:w="184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70 EUR</w:t>
            </w:r>
          </w:p>
        </w:tc>
        <w:tc>
          <w:tcPr>
            <w:tcW w:w="595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Právní základ poplatku; založeno na průměrné době, kterou zaměstnanci potřebují ke zpracování licence FLEGT</w:t>
            </w:r>
          </w:p>
        </w:tc>
      </w:tr>
      <w:tr>
        <w:trPr>
          <w:trHeight w:val="20"/>
        </w:trPr>
        <w:tc>
          <w:tcPr>
            <w:tcW w:w="1291"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Řecko</w:t>
            </w:r>
          </w:p>
        </w:tc>
        <w:tc>
          <w:tcPr>
            <w:tcW w:w="184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100 EUR</w:t>
            </w:r>
          </w:p>
        </w:tc>
        <w:tc>
          <w:tcPr>
            <w:tcW w:w="595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Právní základ poplatku</w:t>
            </w:r>
          </w:p>
        </w:tc>
      </w:tr>
      <w:tr>
        <w:trPr>
          <w:trHeight w:val="20"/>
        </w:trPr>
        <w:tc>
          <w:tcPr>
            <w:tcW w:w="1291"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Itálie</w:t>
            </w:r>
          </w:p>
        </w:tc>
        <w:tc>
          <w:tcPr>
            <w:tcW w:w="184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50 EUR</w:t>
            </w:r>
          </w:p>
        </w:tc>
        <w:tc>
          <w:tcPr>
            <w:tcW w:w="595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Založeno na průměrné době, kterou zaměstnanci potřebují ke zpracování licence FLEGT</w:t>
            </w:r>
          </w:p>
        </w:tc>
      </w:tr>
      <w:tr>
        <w:trPr>
          <w:trHeight w:val="20"/>
        </w:trPr>
        <w:tc>
          <w:tcPr>
            <w:tcW w:w="1291"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Spojené království</w:t>
            </w:r>
          </w:p>
        </w:tc>
        <w:tc>
          <w:tcPr>
            <w:tcW w:w="184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9,60 GBP [11,26 EUR]</w:t>
            </w:r>
          </w:p>
        </w:tc>
        <w:tc>
          <w:tcPr>
            <w:tcW w:w="5953" w:type="dxa"/>
            <w:shd w:val="clear" w:color="auto" w:fill="auto"/>
            <w:noWrap/>
            <w:tcMar>
              <w:top w:w="15" w:type="dxa"/>
              <w:left w:w="15" w:type="dxa"/>
              <w:bottom w:w="0" w:type="dxa"/>
              <w:right w:w="15" w:type="dxa"/>
            </w:tcMar>
            <w:hideMark/>
          </w:tcPr>
          <w:p>
            <w:pPr>
              <w:spacing w:after="0" w:line="240" w:lineRule="auto"/>
              <w:rPr>
                <w:rFonts w:ascii="Times New Roman" w:hAnsi="Times New Roman"/>
                <w:noProof/>
                <w:color w:val="000000"/>
                <w:sz w:val="18"/>
                <w:szCs w:val="18"/>
              </w:rPr>
            </w:pPr>
            <w:r>
              <w:rPr>
                <w:rFonts w:ascii="Times New Roman" w:hAnsi="Times New Roman"/>
                <w:noProof/>
                <w:color w:val="000000"/>
                <w:sz w:val="18"/>
              </w:rPr>
              <w:t>Právní základ poplatku; založeno na průměrné době, kterou zaměstnanci potřebují ke zpracování licence FLEGT</w:t>
            </w:r>
          </w:p>
        </w:tc>
      </w:tr>
      <w:bookmarkEnd w:id="11"/>
    </w:tbl>
    <w:p>
      <w:pPr>
        <w:keepNext/>
        <w:tabs>
          <w:tab w:val="left" w:pos="10635"/>
        </w:tabs>
        <w:spacing w:after="120" w:line="270" w:lineRule="atLeast"/>
        <w:rPr>
          <w:rFonts w:ascii="Times New Roman" w:hAnsi="Times New Roman"/>
          <w:noProof/>
          <w:sz w:val="24"/>
          <w:szCs w:val="24"/>
        </w:rPr>
      </w:pPr>
    </w:p>
    <w:sectPr>
      <w:headerReference w:type="even" r:id="rId40"/>
      <w:headerReference w:type="default" r:id="rId41"/>
      <w:footerReference w:type="even" r:id="rId42"/>
      <w:footerReference w:type="default" r:id="rId43"/>
      <w:headerReference w:type="first" r:id="rId44"/>
      <w:footerReference w:type="first" r:id="rId4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12</w:t>
    </w:r>
    <w:r>
      <w:rPr>
        <w:noProof/>
      </w:rPr>
      <w:fldChar w:fldCharType="end"/>
    </w:r>
  </w:p>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15</w:t>
    </w:r>
    <w:r>
      <w:rPr>
        <w:noProof/>
      </w:rPr>
      <w:fldChar w:fldCharType="end"/>
    </w:r>
  </w:p>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11</w:t>
    </w:r>
    <w:r>
      <w:rPr>
        <w:noProof/>
      </w:rPr>
      <w:fldChar w:fldCharType="end"/>
    </w:r>
  </w:p>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lang w:val="pt-PT"/>
        </w:rPr>
      </w:pPr>
      <w:r>
        <w:rPr>
          <w:rStyle w:val="FootnoteReference"/>
          <w:rFonts w:ascii="Times New Roman" w:hAnsi="Times New Roman"/>
        </w:rPr>
        <w:footnoteRef/>
      </w:r>
      <w:r>
        <w:rPr>
          <w:rFonts w:ascii="Times New Roman" w:hAnsi="Times New Roman"/>
        </w:rPr>
        <w:t xml:space="preserve"> KOM(2003) 0251 v konečném znění.</w:t>
      </w:r>
    </w:p>
  </w:footnote>
  <w:footnote w:id="2">
    <w:p>
      <w:pPr>
        <w:spacing w:after="0" w:line="240" w:lineRule="auto"/>
        <w:jc w:val="both"/>
        <w:rPr>
          <w:rFonts w:ascii="Times New Roman" w:hAnsi="Times New Roman"/>
          <w:sz w:val="20"/>
          <w:szCs w:val="20"/>
          <w:lang w:val="nn-NO"/>
        </w:rPr>
      </w:pPr>
      <w:r>
        <w:rPr>
          <w:rStyle w:val="FootnoteReference"/>
          <w:rFonts w:ascii="Times New Roman" w:hAnsi="Times New Roman"/>
          <w:sz w:val="20"/>
        </w:rPr>
        <w:footnoteRef/>
      </w:r>
      <w:r>
        <w:rPr>
          <w:rFonts w:ascii="Times New Roman" w:hAnsi="Times New Roman"/>
          <w:sz w:val="20"/>
        </w:rPr>
        <w:t xml:space="preserve"> Úř. věst. L 347, 30.12.2005, s. 1.</w:t>
      </w:r>
    </w:p>
  </w:footnote>
  <w:footnote w:id="3">
    <w:p>
      <w:pPr>
        <w:spacing w:after="0" w:line="240" w:lineRule="auto"/>
        <w:jc w:val="both"/>
        <w:rPr>
          <w:rFonts w:ascii="Times New Roman" w:hAnsi="Times New Roman"/>
          <w:sz w:val="20"/>
          <w:szCs w:val="20"/>
          <w:lang w:val="nn-NO"/>
        </w:rPr>
      </w:pPr>
      <w:r>
        <w:rPr>
          <w:rStyle w:val="FootnoteReference"/>
          <w:rFonts w:ascii="Times New Roman" w:hAnsi="Times New Roman"/>
          <w:sz w:val="20"/>
        </w:rPr>
        <w:footnoteRef/>
      </w:r>
      <w:r>
        <w:rPr>
          <w:rFonts w:ascii="Times New Roman" w:hAnsi="Times New Roman"/>
          <w:sz w:val="20"/>
        </w:rPr>
        <w:t xml:space="preserve"> Úř. věst. L 277, 18.10.2008, s. 23.</w:t>
      </w:r>
    </w:p>
  </w:footnote>
  <w:footnote w:id="4">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První zpráva se týkala období od 15. listopadu do 31. prosince 2016, COM(2018) 448 final.</w:t>
      </w:r>
    </w:p>
  </w:footnote>
  <w:footnote w:id="5">
    <w:p>
      <w:pPr>
        <w:pStyle w:val="FootnoteText"/>
        <w:jc w:val="both"/>
      </w:pPr>
      <w:r>
        <w:rPr>
          <w:rStyle w:val="FootnoteReference"/>
          <w:rFonts w:ascii="Times New Roman" w:hAnsi="Times New Roman"/>
        </w:rPr>
        <w:footnoteRef/>
      </w:r>
      <w:r>
        <w:rPr>
          <w:rFonts w:ascii="Times New Roman" w:hAnsi="Times New Roman"/>
        </w:rPr>
        <w:t xml:space="preserve"> </w:t>
      </w:r>
      <w:hyperlink r:id="rId1">
        <w:r>
          <w:rPr>
            <w:rStyle w:val="Hyperlink"/>
            <w:rFonts w:ascii="Times New Roman" w:hAnsi="Times New Roman"/>
          </w:rPr>
          <w:t>http://ec.europa.eu/environment/forests/flegt.htm</w:t>
        </w:r>
      </w:hyperlink>
    </w:p>
  </w:footnote>
  <w:footnote w:id="6">
    <w:p>
      <w:pPr>
        <w:pStyle w:val="FootnoteText"/>
        <w:tabs>
          <w:tab w:val="left" w:pos="240"/>
        </w:tabs>
        <w:rPr>
          <w:rFonts w:ascii="Times New Roman" w:hAnsi="Times New Roman"/>
        </w:rPr>
      </w:pPr>
      <w:r>
        <w:rPr>
          <w:rStyle w:val="FootnoteReference"/>
          <w:rFonts w:ascii="Times New Roman" w:hAnsi="Times New Roman"/>
        </w:rPr>
        <w:footnoteRef/>
      </w:r>
      <w:r>
        <w:tab/>
      </w:r>
      <w:r>
        <w:rPr>
          <w:rFonts w:ascii="Times New Roman" w:hAnsi="Times New Roman"/>
        </w:rPr>
        <w:t>tj. počtu licencí podaných k příslušnému orgánu.</w:t>
      </w:r>
    </w:p>
  </w:footnote>
  <w:footnote w:id="7">
    <w:p>
      <w:pPr>
        <w:pStyle w:val="FootnoteText"/>
        <w:tabs>
          <w:tab w:val="left" w:pos="240"/>
        </w:tabs>
        <w:ind w:left="240" w:hanging="24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tj. počtu případů, kdy nebyly dodávky kryty licencí FLEGT a postupovalo se v souladu s vnitrostátními právními předpisy.</w:t>
      </w:r>
    </w:p>
  </w:footnote>
  <w:footnote w:id="8">
    <w:p>
      <w:pPr>
        <w:tabs>
          <w:tab w:val="left" w:pos="240"/>
        </w:tabs>
        <w:spacing w:after="0" w:line="240" w:lineRule="auto"/>
        <w:jc w:val="both"/>
      </w:pPr>
      <w:r>
        <w:rPr>
          <w:rStyle w:val="FootnoteReference"/>
          <w:rFonts w:ascii="Times New Roman" w:hAnsi="Times New Roman"/>
          <w:sz w:val="20"/>
        </w:rPr>
        <w:footnoteRef/>
      </w:r>
      <w:r>
        <w:tab/>
      </w:r>
      <w:r>
        <w:rPr>
          <w:rFonts w:ascii="Times New Roman" w:hAnsi="Times New Roman"/>
          <w:sz w:val="20"/>
        </w:rPr>
        <w:t xml:space="preserve">Viz </w:t>
      </w:r>
      <w:hyperlink r:id="rId2">
        <w:r>
          <w:rPr>
            <w:rStyle w:val="Hyperlink"/>
            <w:rFonts w:ascii="Times New Roman" w:hAnsi="Times New Roman"/>
            <w:sz w:val="20"/>
          </w:rPr>
          <w:t>http://ec.europa.eu/environment/forests/pdf/list_competent_authorities_flegt.pdf</w:t>
        </w:r>
      </w:hyperlink>
      <w:r>
        <w:rPr>
          <w:rFonts w:ascii="Times New Roman" w:hAnsi="Times New Roman"/>
          <w:sz w:val="20"/>
        </w:rPr>
        <w:t xml:space="preserve"> </w:t>
      </w:r>
    </w:p>
  </w:footnote>
  <w:footnote w:id="9">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Více než 99 % (28 331) potvrzených licencí FLEGT vykázalo hmotnost komodity při obchodování. Ve 136 případech, kde nebyla vykázána hmotnost, bylo vykázáno dalších 443 m</w:t>
      </w:r>
      <w:r>
        <w:rPr>
          <w:rFonts w:ascii="Times New Roman" w:hAnsi="Times New Roman"/>
          <w:vertAlign w:val="superscript"/>
        </w:rPr>
        <w:t>3</w:t>
      </w:r>
      <w:r>
        <w:rPr>
          <w:rFonts w:ascii="Times New Roman" w:hAnsi="Times New Roman"/>
        </w:rPr>
        <w:t xml:space="preserve"> a 801 913 položek. </w:t>
      </w:r>
    </w:p>
    <w:p>
      <w:pPr>
        <w:pStyle w:val="FootnoteText"/>
        <w:jc w:val="both"/>
        <w:rPr>
          <w:rFonts w:asciiTheme="minorHAnsi" w:hAnsiTheme="minorHAnsi" w:cstheme="minorHAnsi"/>
        </w:rPr>
      </w:pPr>
      <w:r>
        <w:rPr>
          <w:rFonts w:ascii="Times New Roman" w:hAnsi="Times New Roman"/>
        </w:rPr>
        <w:t>Aby se zabránilo dvojímu započtení, upřednostňovala se v případě, že množství bylo vykázáno ve více než jedné metrice, před objemem nebo počtem položek hmotnost, neboť se jednalo o nejčastěji vykazovanou metriku. Nebyla-li vykázána hmotnost, upřednostňoval se před počtem položek objem.</w:t>
      </w:r>
    </w:p>
  </w:footnote>
  <w:footnote w:id="10">
    <w:p>
      <w:pPr>
        <w:pStyle w:val="FootnoteText"/>
        <w:jc w:val="both"/>
        <w:rPr>
          <w:rFonts w:ascii="Times New Roman" w:hAnsi="Times New Roman"/>
          <w:sz w:val="16"/>
          <w:szCs w:val="16"/>
        </w:rPr>
      </w:pPr>
      <w:r>
        <w:rPr>
          <w:rStyle w:val="FootnoteReference"/>
          <w:rFonts w:ascii="Times New Roman" w:hAnsi="Times New Roman"/>
        </w:rPr>
        <w:footnoteRef/>
      </w:r>
      <w:r>
        <w:rPr>
          <w:rFonts w:ascii="Times New Roman" w:hAnsi="Times New Roman"/>
        </w:rPr>
        <w:t xml:space="preserve"> Tato zpráva obsahuje pouze údaje z licencí FLEGT. Ačkoli členské státy vykázaly údaje z celních prohlášení, nebyly tyto údaje kvůli použití různých měrných jednotek vždy přímo srovnatelné s údaji na licencích FLEGT.</w:t>
      </w:r>
      <w:r>
        <w:rPr>
          <w:rFonts w:ascii="Times New Roman" w:hAnsi="Times New Roman"/>
          <w:sz w:val="16"/>
        </w:rPr>
        <w:t xml:space="preserve"> </w:t>
      </w:r>
    </w:p>
  </w:footnote>
  <w:footnote w:id="11">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FLEGIT/TRACES je internetová aplikace – složka systému TRACES NT (TRAde Control and Expert System, New Technology) – a mohou ji využívat dovozci z EU a jejich zástupci, příslušné orgány FLEGT členských států a celní orgány EU k rychlému a bezpečnému elektronickému ověřování a správě licencí FLEGT.</w:t>
      </w:r>
    </w:p>
  </w:footnote>
  <w:footnote w:id="12">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Mohou sem patřit licence FLEGT, které byly zamítnuty, a ty, které byly ignorovány (např. případy, kdy byla předložena licence FLEGT pro dřevařské výrobky, na něž se nevztahuje dobrovolná dohoda o partnerství s Indonésií).</w:t>
      </w:r>
    </w:p>
  </w:footnote>
  <w:footnote w:id="13">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Ustanovení čl. 6 odst. 1 uvádí, že pokud příslušné orgány zjistí, že dodávka není kryta licencí FLEGT, a její dovoz je tudíž zakázán, postupují v souladu s platnými vnitrostátními právními předpisy.</w:t>
      </w:r>
    </w:p>
  </w:footnote>
  <w:footnote w:id="14">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Ustanovení čl. 6 odst. 2: Členské státy oznámí Komisi veškeré informace naznačující, že ustanovení tohoto nařízení jsou nebo byla obcházena.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0EB0"/>
    <w:multiLevelType w:val="multilevel"/>
    <w:tmpl w:val="D68C6B1E"/>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109D79E3"/>
    <w:multiLevelType w:val="hybridMultilevel"/>
    <w:tmpl w:val="BC942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659590F"/>
    <w:multiLevelType w:val="hybridMultilevel"/>
    <w:tmpl w:val="3A542E00"/>
    <w:lvl w:ilvl="0" w:tplc="DD78FCE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8200A1E"/>
    <w:multiLevelType w:val="hybridMultilevel"/>
    <w:tmpl w:val="04625FA0"/>
    <w:lvl w:ilvl="0" w:tplc="1A82386C">
      <w:start w:val="1"/>
      <w:numFmt w:val="upperRoman"/>
      <w:lvlText w:val="%1."/>
      <w:lvlJc w:val="left"/>
      <w:pPr>
        <w:ind w:left="1440" w:hanging="108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nsid w:val="353741A0"/>
    <w:multiLevelType w:val="hybridMultilevel"/>
    <w:tmpl w:val="3DF68DCE"/>
    <w:lvl w:ilvl="0" w:tplc="99BC39C2">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nsid w:val="40BA5D60"/>
    <w:multiLevelType w:val="hybridMultilevel"/>
    <w:tmpl w:val="CBB69BC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nsid w:val="43566FCB"/>
    <w:multiLevelType w:val="hybridMultilevel"/>
    <w:tmpl w:val="47AE6B3C"/>
    <w:lvl w:ilvl="0" w:tplc="83EEE7C6">
      <w:start w:val="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CA3283"/>
    <w:multiLevelType w:val="hybridMultilevel"/>
    <w:tmpl w:val="5B7C07D4"/>
    <w:lvl w:ilvl="0" w:tplc="3D6A7E28">
      <w:start w:val="6"/>
      <w:numFmt w:val="bullet"/>
      <w:lvlText w:val=""/>
      <w:lvlJc w:val="left"/>
      <w:pPr>
        <w:ind w:left="720" w:hanging="360"/>
      </w:pPr>
      <w:rPr>
        <w:rFonts w:ascii="Symbol" w:eastAsia="Calibri"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0813AAF"/>
    <w:multiLevelType w:val="hybridMultilevel"/>
    <w:tmpl w:val="0D70E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C282459"/>
    <w:multiLevelType w:val="hybridMultilevel"/>
    <w:tmpl w:val="36108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0D520D7"/>
    <w:multiLevelType w:val="multilevel"/>
    <w:tmpl w:val="06E84262"/>
    <w:lvl w:ilvl="0">
      <w:start w:val="2"/>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nsid w:val="6D2B4EBE"/>
    <w:multiLevelType w:val="hybridMultilevel"/>
    <w:tmpl w:val="E47E404E"/>
    <w:lvl w:ilvl="0" w:tplc="BBC0436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DC65909"/>
    <w:multiLevelType w:val="multilevel"/>
    <w:tmpl w:val="FF727CAA"/>
    <w:lvl w:ilvl="0">
      <w:start w:val="4"/>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2"/>
  </w:num>
  <w:num w:numId="11">
    <w:abstractNumId w:val="8"/>
  </w:num>
  <w:num w:numId="12">
    <w:abstractNumId w:val="11"/>
  </w:num>
  <w:num w:numId="13">
    <w:abstractNumId w:val="12"/>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de-DE" w:vendorID="64" w:dllVersion="131078" w:nlCheck="1" w:checkStyle="0"/>
  <w:activeWritingStyle w:appName="MSWord" w:lang="en-GB" w:vendorID="64" w:dllVersion="131078" w:nlCheck="1" w:checkStyle="1"/>
  <w:activeWritingStyle w:appName="MSWord" w:lang="fi-FI"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pt-PT" w:vendorID="64" w:dllVersion="131078" w:nlCheck="1" w:checkStyle="0"/>
  <w:activeWritingStyle w:appName="MSWord" w:lang="en-IE" w:vendorID="64" w:dllVersion="131078" w:nlCheck="1" w:checkStyle="1"/>
  <w:revisionView w:markup="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D3168DC-9370-41B7-9F7A-5F2961113BAC"/>
    <w:docVar w:name="LW_COVERPAGE_TYPE" w:val="1"/>
    <w:docVar w:name="LW_CROSSREFERENCE" w:val="&lt;UNUSED&gt;"/>
    <w:docVar w:name="LW_DocType" w:val="NORMAL"/>
    <w:docVar w:name="LW_EMISSION" w:val="4.6.2019"/>
    <w:docVar w:name="LW_EMISSION_ISODATE" w:val="2019-06-04"/>
    <w:docVar w:name="LW_EMISSION_LOCATION" w:val="BRX"/>
    <w:docVar w:name="LW_EMISSION_PREFIX" w:val="V Bruselu dne "/>
    <w:docVar w:name="LW_EMISSION_SUFFIX" w:val=" "/>
    <w:docVar w:name="LW_ID_DOCTYPE_NONLW" w:val="CP-003"/>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19) 2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Souhrnná výro\u269?ní zpráva za rok 2017 o provád\u283?ní re\u382?imu licencí FLEGT stanoveného na\u345?ízením (ES) \u269?. 2173/2005 ze dne 20. prosince 2005 o zavedení re\u382?imu licencí FLEGT pro dovoz d\u345?eva do Evropského spole\u269?enství"/>
    <w:docVar w:name="LW_TYPE.DOC.CP" w:val="ZPRÁVA KOMISE"/>
  </w:docVar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cs-CZ"/>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qFormat/>
    <w:lock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uiPriority w:val="99"/>
    <w:rPr>
      <w:rFonts w:cs="Times New Roman"/>
      <w:color w:val="0000FF"/>
      <w:shd w:val="clear" w:color="auto" w:fill="auto"/>
    </w:rPr>
  </w:style>
  <w:style w:type="paragraph" w:customStyle="1" w:styleId="Pagedecouverture">
    <w:name w:val="Page de couverture"/>
    <w:basedOn w:val="Normal"/>
    <w:next w:val="Normal"/>
    <w:uiPriority w:val="99"/>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locked/>
    <w:rPr>
      <w:rFonts w:ascii="Times New Roman" w:eastAsiaTheme="minorHAnsi" w:hAnsi="Times New Roman"/>
      <w:sz w:val="24"/>
      <w:lang w:val="cs-CZ" w:eastAsia="cs-CZ"/>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locked/>
    <w:rPr>
      <w:rFonts w:ascii="Times New Roman" w:eastAsiaTheme="minorHAnsi" w:hAnsi="Times New Roman"/>
      <w:sz w:val="24"/>
      <w:lang w:val="cs-CZ" w:eastAsia="cs-CZ"/>
    </w:rPr>
  </w:style>
  <w:style w:type="paragraph" w:customStyle="1" w:styleId="Typedudocument">
    <w:name w:val="Type du document"/>
    <w:basedOn w:val="Normal"/>
    <w:next w:val="Normal"/>
    <w:link w:val="TypedudocumentChar"/>
    <w:uiPriority w:val="99"/>
    <w:pPr>
      <w:spacing w:before="360" w:after="0" w:line="240" w:lineRule="auto"/>
      <w:jc w:val="center"/>
    </w:pPr>
    <w:rPr>
      <w:rFonts w:ascii="Times New Roman" w:hAnsi="Times New Roman"/>
      <w:b/>
      <w:sz w:val="24"/>
    </w:rPr>
  </w:style>
  <w:style w:type="paragraph" w:customStyle="1" w:styleId="Titreobjet">
    <w:name w:val="Titre objet"/>
    <w:basedOn w:val="Normal"/>
    <w:next w:val="Normal"/>
    <w:uiPriority w:val="99"/>
    <w:pPr>
      <w:spacing w:before="360" w:after="360" w:line="240" w:lineRule="auto"/>
      <w:jc w:val="center"/>
    </w:pPr>
    <w:rPr>
      <w:rFonts w:ascii="Times New Roman" w:hAnsi="Times New Roman"/>
      <w:b/>
      <w:sz w:val="24"/>
    </w:rPr>
  </w:style>
  <w:style w:type="paragraph" w:customStyle="1" w:styleId="FooterCoverPage">
    <w:name w:val="Footer Cover Page"/>
    <w:basedOn w:val="Normal"/>
    <w:link w:val="FooterCoverPageChar"/>
    <w:uiPriority w:val="99"/>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TypedudocumentChar">
    <w:name w:val="Type du document Char"/>
    <w:basedOn w:val="DefaultParagraphFont"/>
    <w:link w:val="Typedudocument"/>
    <w:uiPriority w:val="99"/>
    <w:locked/>
    <w:rPr>
      <w:rFonts w:ascii="Times New Roman" w:hAnsi="Times New Roman" w:cs="Times New Roman"/>
      <w:b/>
      <w:sz w:val="24"/>
    </w:rPr>
  </w:style>
  <w:style w:type="character" w:customStyle="1" w:styleId="FooterCoverPageChar">
    <w:name w:val="Footer Cover Page Char"/>
    <w:basedOn w:val="TypedudocumentChar"/>
    <w:link w:val="FooterCoverPage"/>
    <w:uiPriority w:val="99"/>
    <w:locked/>
    <w:rPr>
      <w:rFonts w:ascii="Times New Roman" w:hAnsi="Times New Roman" w:cs="Times New Roman"/>
      <w:b w:val="0"/>
      <w:sz w:val="24"/>
    </w:rPr>
  </w:style>
  <w:style w:type="paragraph" w:customStyle="1" w:styleId="HeaderCoverPage">
    <w:name w:val="Header Cover Page"/>
    <w:basedOn w:val="Normal"/>
    <w:link w:val="HeaderCoverPageChar"/>
    <w:uiPriority w:val="99"/>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TypedudocumentChar"/>
    <w:link w:val="HeaderCoverPage"/>
    <w:uiPriority w:val="99"/>
    <w:locked/>
    <w:rPr>
      <w:rFonts w:ascii="Times New Roman" w:hAnsi="Times New Roman" w:cs="Times New Roman"/>
      <w:b w:val="0"/>
      <w:sz w:val="24"/>
    </w:rPr>
  </w:style>
  <w:style w:type="paragraph" w:styleId="ListParagraph">
    <w:name w:val="List Paragraph"/>
    <w:basedOn w:val="Normal"/>
    <w:uiPriority w:val="99"/>
    <w:qFormat/>
    <w:pPr>
      <w:ind w:left="720"/>
      <w:contextualSpacing/>
    </w:pPr>
  </w:style>
  <w:style w:type="character" w:styleId="Hyperlink">
    <w:name w:val="Hyperlink"/>
    <w:basedOn w:val="DefaultParagraphFont"/>
    <w:uiPriority w:val="99"/>
    <w:semiHidden/>
    <w:rPr>
      <w:rFonts w:cs="Times New Roman"/>
      <w:color w:val="0000FF"/>
      <w:u w:val="single"/>
    </w:rPr>
  </w:style>
  <w:style w:type="paragraph" w:styleId="FootnoteText">
    <w:name w:val="footnote text"/>
    <w:aliases w:val="Footnote,Testo nota a piè di pagina_Rientro,stile 1,Footnote1,Footnote2,Footnote3,Footnote4,Footnote5,Footnote6,Footnote7,Footnote8,Footnote9,Footnote10,Footnote11,Footnote21,Footnote31,Footnote41,Footnote51,ft,o,f,Reference,Footnote text"/>
    <w:basedOn w:val="Normal"/>
    <w:link w:val="FootnoteTextChar"/>
    <w:uiPriority w:val="99"/>
    <w:qFormat/>
    <w:pPr>
      <w:spacing w:after="0" w:line="240" w:lineRule="auto"/>
    </w:pPr>
    <w:rPr>
      <w:rFonts w:ascii="Constantia" w:eastAsia="Times New Roman" w:hAnsi="Constantia"/>
      <w:sz w:val="20"/>
      <w:szCs w:val="20"/>
    </w:rPr>
  </w:style>
  <w:style w:type="character" w:customStyle="1" w:styleId="FootnoteTextChar">
    <w:name w:val="Footnote Text Char"/>
    <w:aliases w:val="Footnote Char,Testo nota a piè di pagina_Rientro Char,stile 1 Char,Footnote1 Char,Footnote2 Char,Footnote3 Char,Footnote4 Char,Footnote5 Char,Footnote6 Char,Footnote7 Char,Footnote8 Char,Footnote9 Char,Footnote10 Char,Footnote11 Char"/>
    <w:basedOn w:val="DefaultParagraphFont"/>
    <w:link w:val="FootnoteText"/>
    <w:uiPriority w:val="99"/>
    <w:locked/>
    <w:rPr>
      <w:rFonts w:ascii="Constantia" w:hAnsi="Constantia" w:cs="Times New Roman"/>
      <w:sz w:val="20"/>
      <w:szCs w:val="20"/>
      <w:lang w:eastAsia="cs-CZ"/>
    </w:rPr>
  </w:style>
  <w:style w:type="character" w:styleId="FootnoteReference">
    <w:name w:val="footnote reference"/>
    <w:aliases w:val="number,Footnote symbol,Voetnootverwijzing,Times 10 Point,Exposant 3 Point,Footnote reference number,note TESI,SUPERS,EN Footnote Reference,Ref,de nota al pie,Footnote Reference Superscript,Footnote sign,BVI fnr,stylish"/>
    <w:basedOn w:val="DefaultParagraphFont"/>
    <w:qFormat/>
    <w:rPr>
      <w:rFonts w:cs="Times New Roman"/>
      <w:vertAlign w:val="superscript"/>
    </w:rPr>
  </w:style>
  <w:style w:type="table" w:styleId="TableGrid">
    <w:name w:val="Table Grid"/>
    <w:basedOn w:val="TableNormal"/>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customStyle="1" w:styleId="TableGrid1">
    <w:name w:val="Table Grid1"/>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Revision">
    <w:name w:val="Revision"/>
    <w:hidden/>
    <w:uiPriority w:val="99"/>
    <w:semiHidden/>
  </w:style>
  <w:style w:type="character" w:styleId="Emphasis">
    <w:name w:val="Emphasis"/>
    <w:basedOn w:val="DefaultParagraphFont"/>
    <w:uiPriority w:val="20"/>
    <w:qFormat/>
    <w:locked/>
    <w:rPr>
      <w:i/>
      <w:iCs/>
    </w:rPr>
  </w:style>
  <w:style w:type="paragraph" w:customStyle="1" w:styleId="Default">
    <w:name w:val="Default"/>
    <w:pPr>
      <w:autoSpaceDE w:val="0"/>
      <w:autoSpaceDN w:val="0"/>
      <w:adjustRightInd w:val="0"/>
    </w:pPr>
    <w:rPr>
      <w:rFonts w:cs="Calibri"/>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cs-CZ" w:eastAsia="cs-CZ"/>
    </w:rPr>
  </w:style>
  <w:style w:type="character" w:styleId="EndnoteReference">
    <w:name w:val="endnote reference"/>
    <w:basedOn w:val="DefaultParagraphFont"/>
    <w:uiPriority w:val="99"/>
    <w:semiHidden/>
    <w:unhideWhenUsed/>
    <w:rPr>
      <w:vertAlign w:val="superscript"/>
    </w:rPr>
  </w:style>
  <w:style w:type="paragraph" w:styleId="Caption">
    <w:name w:val="caption"/>
    <w:basedOn w:val="Normal"/>
    <w:next w:val="Normal"/>
    <w:unhideWhenUsed/>
    <w:qFormat/>
    <w:locked/>
    <w:pPr>
      <w:spacing w:line="240" w:lineRule="auto"/>
    </w:pPr>
    <w:rPr>
      <w:i/>
      <w:iCs/>
      <w:color w:val="1F497D" w:themeColor="text2"/>
      <w:sz w:val="18"/>
      <w:szCs w:val="18"/>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lang w:val="cs-CZ" w:eastAsia="cs-CZ"/>
    </w:rPr>
  </w:style>
  <w:style w:type="character" w:customStyle="1" w:styleId="Heading2Char">
    <w:name w:val="Heading 2 Char"/>
    <w:basedOn w:val="DefaultParagraphFont"/>
    <w:link w:val="Heading2"/>
    <w:semiHidden/>
    <w:rPr>
      <w:rFonts w:asciiTheme="majorHAnsi" w:eastAsiaTheme="majorEastAsia" w:hAnsiTheme="majorHAnsi" w:cstheme="majorBidi"/>
      <w:b/>
      <w:bCs/>
      <w:color w:val="4F81BD" w:themeColor="accent1"/>
      <w:sz w:val="26"/>
      <w:szCs w:val="26"/>
      <w:lang w:val="cs-CZ" w:eastAsia="cs-CZ"/>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lang w:val="cs-CZ" w:eastAsia="cs-CZ"/>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lang w:val="cs-CZ" w:eastAsia="cs-CZ"/>
    </w:rPr>
  </w:style>
  <w:style w:type="table" w:customStyle="1" w:styleId="TableGrid5">
    <w:name w:val="Table Grid5"/>
    <w:basedOn w:val="TableNormal"/>
    <w:next w:val="TableGrid"/>
    <w:uiPriority w:val="59"/>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cs-CZ"/>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qFormat/>
    <w:lock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uiPriority w:val="99"/>
    <w:rPr>
      <w:rFonts w:cs="Times New Roman"/>
      <w:color w:val="0000FF"/>
      <w:shd w:val="clear" w:color="auto" w:fill="auto"/>
    </w:rPr>
  </w:style>
  <w:style w:type="paragraph" w:customStyle="1" w:styleId="Pagedecouverture">
    <w:name w:val="Page de couverture"/>
    <w:basedOn w:val="Normal"/>
    <w:next w:val="Normal"/>
    <w:uiPriority w:val="99"/>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locked/>
    <w:rPr>
      <w:rFonts w:ascii="Times New Roman" w:eastAsiaTheme="minorHAnsi" w:hAnsi="Times New Roman"/>
      <w:sz w:val="24"/>
      <w:lang w:val="cs-CZ" w:eastAsia="cs-CZ"/>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locked/>
    <w:rPr>
      <w:rFonts w:ascii="Times New Roman" w:eastAsiaTheme="minorHAnsi" w:hAnsi="Times New Roman"/>
      <w:sz w:val="24"/>
      <w:lang w:val="cs-CZ" w:eastAsia="cs-CZ"/>
    </w:rPr>
  </w:style>
  <w:style w:type="paragraph" w:customStyle="1" w:styleId="Typedudocument">
    <w:name w:val="Type du document"/>
    <w:basedOn w:val="Normal"/>
    <w:next w:val="Normal"/>
    <w:link w:val="TypedudocumentChar"/>
    <w:uiPriority w:val="99"/>
    <w:pPr>
      <w:spacing w:before="360" w:after="0" w:line="240" w:lineRule="auto"/>
      <w:jc w:val="center"/>
    </w:pPr>
    <w:rPr>
      <w:rFonts w:ascii="Times New Roman" w:hAnsi="Times New Roman"/>
      <w:b/>
      <w:sz w:val="24"/>
    </w:rPr>
  </w:style>
  <w:style w:type="paragraph" w:customStyle="1" w:styleId="Titreobjet">
    <w:name w:val="Titre objet"/>
    <w:basedOn w:val="Normal"/>
    <w:next w:val="Normal"/>
    <w:uiPriority w:val="99"/>
    <w:pPr>
      <w:spacing w:before="360" w:after="360" w:line="240" w:lineRule="auto"/>
      <w:jc w:val="center"/>
    </w:pPr>
    <w:rPr>
      <w:rFonts w:ascii="Times New Roman" w:hAnsi="Times New Roman"/>
      <w:b/>
      <w:sz w:val="24"/>
    </w:rPr>
  </w:style>
  <w:style w:type="paragraph" w:customStyle="1" w:styleId="FooterCoverPage">
    <w:name w:val="Footer Cover Page"/>
    <w:basedOn w:val="Normal"/>
    <w:link w:val="FooterCoverPageChar"/>
    <w:uiPriority w:val="99"/>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TypedudocumentChar">
    <w:name w:val="Type du document Char"/>
    <w:basedOn w:val="DefaultParagraphFont"/>
    <w:link w:val="Typedudocument"/>
    <w:uiPriority w:val="99"/>
    <w:locked/>
    <w:rPr>
      <w:rFonts w:ascii="Times New Roman" w:hAnsi="Times New Roman" w:cs="Times New Roman"/>
      <w:b/>
      <w:sz w:val="24"/>
    </w:rPr>
  </w:style>
  <w:style w:type="character" w:customStyle="1" w:styleId="FooterCoverPageChar">
    <w:name w:val="Footer Cover Page Char"/>
    <w:basedOn w:val="TypedudocumentChar"/>
    <w:link w:val="FooterCoverPage"/>
    <w:uiPriority w:val="99"/>
    <w:locked/>
    <w:rPr>
      <w:rFonts w:ascii="Times New Roman" w:hAnsi="Times New Roman" w:cs="Times New Roman"/>
      <w:b w:val="0"/>
      <w:sz w:val="24"/>
    </w:rPr>
  </w:style>
  <w:style w:type="paragraph" w:customStyle="1" w:styleId="HeaderCoverPage">
    <w:name w:val="Header Cover Page"/>
    <w:basedOn w:val="Normal"/>
    <w:link w:val="HeaderCoverPageChar"/>
    <w:uiPriority w:val="99"/>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TypedudocumentChar"/>
    <w:link w:val="HeaderCoverPage"/>
    <w:uiPriority w:val="99"/>
    <w:locked/>
    <w:rPr>
      <w:rFonts w:ascii="Times New Roman" w:hAnsi="Times New Roman" w:cs="Times New Roman"/>
      <w:b w:val="0"/>
      <w:sz w:val="24"/>
    </w:rPr>
  </w:style>
  <w:style w:type="paragraph" w:styleId="ListParagraph">
    <w:name w:val="List Paragraph"/>
    <w:basedOn w:val="Normal"/>
    <w:uiPriority w:val="99"/>
    <w:qFormat/>
    <w:pPr>
      <w:ind w:left="720"/>
      <w:contextualSpacing/>
    </w:pPr>
  </w:style>
  <w:style w:type="character" w:styleId="Hyperlink">
    <w:name w:val="Hyperlink"/>
    <w:basedOn w:val="DefaultParagraphFont"/>
    <w:uiPriority w:val="99"/>
    <w:semiHidden/>
    <w:rPr>
      <w:rFonts w:cs="Times New Roman"/>
      <w:color w:val="0000FF"/>
      <w:u w:val="single"/>
    </w:rPr>
  </w:style>
  <w:style w:type="paragraph" w:styleId="FootnoteText">
    <w:name w:val="footnote text"/>
    <w:aliases w:val="Footnote,Testo nota a piè di pagina_Rientro,stile 1,Footnote1,Footnote2,Footnote3,Footnote4,Footnote5,Footnote6,Footnote7,Footnote8,Footnote9,Footnote10,Footnote11,Footnote21,Footnote31,Footnote41,Footnote51,ft,o,f,Reference,Footnote text"/>
    <w:basedOn w:val="Normal"/>
    <w:link w:val="FootnoteTextChar"/>
    <w:uiPriority w:val="99"/>
    <w:qFormat/>
    <w:pPr>
      <w:spacing w:after="0" w:line="240" w:lineRule="auto"/>
    </w:pPr>
    <w:rPr>
      <w:rFonts w:ascii="Constantia" w:eastAsia="Times New Roman" w:hAnsi="Constantia"/>
      <w:sz w:val="20"/>
      <w:szCs w:val="20"/>
    </w:rPr>
  </w:style>
  <w:style w:type="character" w:customStyle="1" w:styleId="FootnoteTextChar">
    <w:name w:val="Footnote Text Char"/>
    <w:aliases w:val="Footnote Char,Testo nota a piè di pagina_Rientro Char,stile 1 Char,Footnote1 Char,Footnote2 Char,Footnote3 Char,Footnote4 Char,Footnote5 Char,Footnote6 Char,Footnote7 Char,Footnote8 Char,Footnote9 Char,Footnote10 Char,Footnote11 Char"/>
    <w:basedOn w:val="DefaultParagraphFont"/>
    <w:link w:val="FootnoteText"/>
    <w:uiPriority w:val="99"/>
    <w:locked/>
    <w:rPr>
      <w:rFonts w:ascii="Constantia" w:hAnsi="Constantia" w:cs="Times New Roman"/>
      <w:sz w:val="20"/>
      <w:szCs w:val="20"/>
      <w:lang w:eastAsia="cs-CZ"/>
    </w:rPr>
  </w:style>
  <w:style w:type="character" w:styleId="FootnoteReference">
    <w:name w:val="footnote reference"/>
    <w:aliases w:val="number,Footnote symbol,Voetnootverwijzing,Times 10 Point,Exposant 3 Point,Footnote reference number,note TESI,SUPERS,EN Footnote Reference,Ref,de nota al pie,Footnote Reference Superscript,Footnote sign,BVI fnr,stylish"/>
    <w:basedOn w:val="DefaultParagraphFont"/>
    <w:qFormat/>
    <w:rPr>
      <w:rFonts w:cs="Times New Roman"/>
      <w:vertAlign w:val="superscript"/>
    </w:rPr>
  </w:style>
  <w:style w:type="table" w:styleId="TableGrid">
    <w:name w:val="Table Grid"/>
    <w:basedOn w:val="TableNormal"/>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customStyle="1" w:styleId="TableGrid1">
    <w:name w:val="Table Grid1"/>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Revision">
    <w:name w:val="Revision"/>
    <w:hidden/>
    <w:uiPriority w:val="99"/>
    <w:semiHidden/>
  </w:style>
  <w:style w:type="character" w:styleId="Emphasis">
    <w:name w:val="Emphasis"/>
    <w:basedOn w:val="DefaultParagraphFont"/>
    <w:uiPriority w:val="20"/>
    <w:qFormat/>
    <w:locked/>
    <w:rPr>
      <w:i/>
      <w:iCs/>
    </w:rPr>
  </w:style>
  <w:style w:type="paragraph" w:customStyle="1" w:styleId="Default">
    <w:name w:val="Default"/>
    <w:pPr>
      <w:autoSpaceDE w:val="0"/>
      <w:autoSpaceDN w:val="0"/>
      <w:adjustRightInd w:val="0"/>
    </w:pPr>
    <w:rPr>
      <w:rFonts w:cs="Calibri"/>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cs-CZ" w:eastAsia="cs-CZ"/>
    </w:rPr>
  </w:style>
  <w:style w:type="character" w:styleId="EndnoteReference">
    <w:name w:val="endnote reference"/>
    <w:basedOn w:val="DefaultParagraphFont"/>
    <w:uiPriority w:val="99"/>
    <w:semiHidden/>
    <w:unhideWhenUsed/>
    <w:rPr>
      <w:vertAlign w:val="superscript"/>
    </w:rPr>
  </w:style>
  <w:style w:type="paragraph" w:styleId="Caption">
    <w:name w:val="caption"/>
    <w:basedOn w:val="Normal"/>
    <w:next w:val="Normal"/>
    <w:unhideWhenUsed/>
    <w:qFormat/>
    <w:locked/>
    <w:pPr>
      <w:spacing w:line="240" w:lineRule="auto"/>
    </w:pPr>
    <w:rPr>
      <w:i/>
      <w:iCs/>
      <w:color w:val="1F497D" w:themeColor="text2"/>
      <w:sz w:val="18"/>
      <w:szCs w:val="18"/>
    </w:rP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lang w:val="cs-CZ" w:eastAsia="cs-CZ"/>
    </w:rPr>
  </w:style>
  <w:style w:type="character" w:customStyle="1" w:styleId="Heading2Char">
    <w:name w:val="Heading 2 Char"/>
    <w:basedOn w:val="DefaultParagraphFont"/>
    <w:link w:val="Heading2"/>
    <w:semiHidden/>
    <w:rPr>
      <w:rFonts w:asciiTheme="majorHAnsi" w:eastAsiaTheme="majorEastAsia" w:hAnsiTheme="majorHAnsi" w:cstheme="majorBidi"/>
      <w:b/>
      <w:bCs/>
      <w:color w:val="4F81BD" w:themeColor="accent1"/>
      <w:sz w:val="26"/>
      <w:szCs w:val="26"/>
      <w:lang w:val="cs-CZ" w:eastAsia="cs-CZ"/>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lang w:val="cs-CZ" w:eastAsia="cs-CZ"/>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lang w:val="cs-CZ" w:eastAsia="cs-CZ"/>
    </w:rPr>
  </w:style>
  <w:style w:type="table" w:customStyle="1" w:styleId="TableGrid5">
    <w:name w:val="Table Grid5"/>
    <w:basedOn w:val="TableNormal"/>
    <w:next w:val="TableGrid"/>
    <w:uiPriority w:val="59"/>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18443">
      <w:bodyDiv w:val="1"/>
      <w:marLeft w:val="0"/>
      <w:marRight w:val="0"/>
      <w:marTop w:val="0"/>
      <w:marBottom w:val="0"/>
      <w:divBdr>
        <w:top w:val="none" w:sz="0" w:space="0" w:color="auto"/>
        <w:left w:val="none" w:sz="0" w:space="0" w:color="auto"/>
        <w:bottom w:val="none" w:sz="0" w:space="0" w:color="auto"/>
        <w:right w:val="none" w:sz="0" w:space="0" w:color="auto"/>
      </w:divBdr>
    </w:div>
    <w:div w:id="400446890">
      <w:bodyDiv w:val="1"/>
      <w:marLeft w:val="0"/>
      <w:marRight w:val="0"/>
      <w:marTop w:val="0"/>
      <w:marBottom w:val="0"/>
      <w:divBdr>
        <w:top w:val="none" w:sz="0" w:space="0" w:color="auto"/>
        <w:left w:val="none" w:sz="0" w:space="0" w:color="auto"/>
        <w:bottom w:val="none" w:sz="0" w:space="0" w:color="auto"/>
        <w:right w:val="none" w:sz="0" w:space="0" w:color="auto"/>
      </w:divBdr>
    </w:div>
    <w:div w:id="1052463737">
      <w:marLeft w:val="0"/>
      <w:marRight w:val="0"/>
      <w:marTop w:val="0"/>
      <w:marBottom w:val="0"/>
      <w:divBdr>
        <w:top w:val="none" w:sz="0" w:space="0" w:color="auto"/>
        <w:left w:val="none" w:sz="0" w:space="0" w:color="auto"/>
        <w:bottom w:val="none" w:sz="0" w:space="0" w:color="auto"/>
        <w:right w:val="none" w:sz="0" w:space="0" w:color="auto"/>
      </w:divBdr>
    </w:div>
    <w:div w:id="1052463738">
      <w:marLeft w:val="0"/>
      <w:marRight w:val="0"/>
      <w:marTop w:val="0"/>
      <w:marBottom w:val="0"/>
      <w:divBdr>
        <w:top w:val="none" w:sz="0" w:space="0" w:color="auto"/>
        <w:left w:val="none" w:sz="0" w:space="0" w:color="auto"/>
        <w:bottom w:val="none" w:sz="0" w:space="0" w:color="auto"/>
        <w:right w:val="none" w:sz="0" w:space="0" w:color="auto"/>
      </w:divBdr>
    </w:div>
    <w:div w:id="1052463739">
      <w:marLeft w:val="0"/>
      <w:marRight w:val="0"/>
      <w:marTop w:val="0"/>
      <w:marBottom w:val="0"/>
      <w:divBdr>
        <w:top w:val="none" w:sz="0" w:space="0" w:color="auto"/>
        <w:left w:val="none" w:sz="0" w:space="0" w:color="auto"/>
        <w:bottom w:val="none" w:sz="0" w:space="0" w:color="auto"/>
        <w:right w:val="none" w:sz="0" w:space="0" w:color="auto"/>
      </w:divBdr>
    </w:div>
    <w:div w:id="1052463740">
      <w:marLeft w:val="0"/>
      <w:marRight w:val="0"/>
      <w:marTop w:val="0"/>
      <w:marBottom w:val="0"/>
      <w:divBdr>
        <w:top w:val="none" w:sz="0" w:space="0" w:color="auto"/>
        <w:left w:val="none" w:sz="0" w:space="0" w:color="auto"/>
        <w:bottom w:val="none" w:sz="0" w:space="0" w:color="auto"/>
        <w:right w:val="none" w:sz="0" w:space="0" w:color="auto"/>
      </w:divBdr>
    </w:div>
    <w:div w:id="1052463741">
      <w:marLeft w:val="0"/>
      <w:marRight w:val="0"/>
      <w:marTop w:val="0"/>
      <w:marBottom w:val="0"/>
      <w:divBdr>
        <w:top w:val="none" w:sz="0" w:space="0" w:color="auto"/>
        <w:left w:val="none" w:sz="0" w:space="0" w:color="auto"/>
        <w:bottom w:val="none" w:sz="0" w:space="0" w:color="auto"/>
        <w:right w:val="none" w:sz="0" w:space="0" w:color="auto"/>
      </w:divBdr>
    </w:div>
    <w:div w:id="1052463742">
      <w:marLeft w:val="0"/>
      <w:marRight w:val="0"/>
      <w:marTop w:val="0"/>
      <w:marBottom w:val="0"/>
      <w:divBdr>
        <w:top w:val="none" w:sz="0" w:space="0" w:color="auto"/>
        <w:left w:val="none" w:sz="0" w:space="0" w:color="auto"/>
        <w:bottom w:val="none" w:sz="0" w:space="0" w:color="auto"/>
        <w:right w:val="none" w:sz="0" w:space="0" w:color="auto"/>
      </w:divBdr>
    </w:div>
    <w:div w:id="1052463743">
      <w:marLeft w:val="0"/>
      <w:marRight w:val="0"/>
      <w:marTop w:val="0"/>
      <w:marBottom w:val="0"/>
      <w:divBdr>
        <w:top w:val="none" w:sz="0" w:space="0" w:color="auto"/>
        <w:left w:val="none" w:sz="0" w:space="0" w:color="auto"/>
        <w:bottom w:val="none" w:sz="0" w:space="0" w:color="auto"/>
        <w:right w:val="none" w:sz="0" w:space="0" w:color="auto"/>
      </w:divBdr>
    </w:div>
    <w:div w:id="1052463744">
      <w:marLeft w:val="0"/>
      <w:marRight w:val="0"/>
      <w:marTop w:val="0"/>
      <w:marBottom w:val="0"/>
      <w:divBdr>
        <w:top w:val="none" w:sz="0" w:space="0" w:color="auto"/>
        <w:left w:val="none" w:sz="0" w:space="0" w:color="auto"/>
        <w:bottom w:val="none" w:sz="0" w:space="0" w:color="auto"/>
        <w:right w:val="none" w:sz="0" w:space="0" w:color="auto"/>
      </w:divBdr>
    </w:div>
    <w:div w:id="1052463745">
      <w:marLeft w:val="0"/>
      <w:marRight w:val="0"/>
      <w:marTop w:val="0"/>
      <w:marBottom w:val="0"/>
      <w:divBdr>
        <w:top w:val="none" w:sz="0" w:space="0" w:color="auto"/>
        <w:left w:val="none" w:sz="0" w:space="0" w:color="auto"/>
        <w:bottom w:val="none" w:sz="0" w:space="0" w:color="auto"/>
        <w:right w:val="none" w:sz="0" w:space="0" w:color="auto"/>
      </w:divBdr>
    </w:div>
    <w:div w:id="1052463746">
      <w:marLeft w:val="0"/>
      <w:marRight w:val="0"/>
      <w:marTop w:val="0"/>
      <w:marBottom w:val="0"/>
      <w:divBdr>
        <w:top w:val="none" w:sz="0" w:space="0" w:color="auto"/>
        <w:left w:val="none" w:sz="0" w:space="0" w:color="auto"/>
        <w:bottom w:val="none" w:sz="0" w:space="0" w:color="auto"/>
        <w:right w:val="none" w:sz="0" w:space="0" w:color="auto"/>
      </w:divBdr>
    </w:div>
    <w:div w:id="1052463747">
      <w:marLeft w:val="0"/>
      <w:marRight w:val="0"/>
      <w:marTop w:val="0"/>
      <w:marBottom w:val="0"/>
      <w:divBdr>
        <w:top w:val="none" w:sz="0" w:space="0" w:color="auto"/>
        <w:left w:val="none" w:sz="0" w:space="0" w:color="auto"/>
        <w:bottom w:val="none" w:sz="0" w:space="0" w:color="auto"/>
        <w:right w:val="none" w:sz="0" w:space="0" w:color="auto"/>
      </w:divBdr>
    </w:div>
    <w:div w:id="1052463748">
      <w:marLeft w:val="0"/>
      <w:marRight w:val="0"/>
      <w:marTop w:val="0"/>
      <w:marBottom w:val="0"/>
      <w:divBdr>
        <w:top w:val="none" w:sz="0" w:space="0" w:color="auto"/>
        <w:left w:val="none" w:sz="0" w:space="0" w:color="auto"/>
        <w:bottom w:val="none" w:sz="0" w:space="0" w:color="auto"/>
        <w:right w:val="none" w:sz="0" w:space="0" w:color="auto"/>
      </w:divBdr>
    </w:div>
    <w:div w:id="1052463749">
      <w:marLeft w:val="0"/>
      <w:marRight w:val="0"/>
      <w:marTop w:val="0"/>
      <w:marBottom w:val="0"/>
      <w:divBdr>
        <w:top w:val="none" w:sz="0" w:space="0" w:color="auto"/>
        <w:left w:val="none" w:sz="0" w:space="0" w:color="auto"/>
        <w:bottom w:val="none" w:sz="0" w:space="0" w:color="auto"/>
        <w:right w:val="none" w:sz="0" w:space="0" w:color="auto"/>
      </w:divBdr>
    </w:div>
    <w:div w:id="1052463750">
      <w:marLeft w:val="0"/>
      <w:marRight w:val="0"/>
      <w:marTop w:val="0"/>
      <w:marBottom w:val="0"/>
      <w:divBdr>
        <w:top w:val="none" w:sz="0" w:space="0" w:color="auto"/>
        <w:left w:val="none" w:sz="0" w:space="0" w:color="auto"/>
        <w:bottom w:val="none" w:sz="0" w:space="0" w:color="auto"/>
        <w:right w:val="none" w:sz="0" w:space="0" w:color="auto"/>
      </w:divBdr>
    </w:div>
    <w:div w:id="1052463751">
      <w:marLeft w:val="0"/>
      <w:marRight w:val="0"/>
      <w:marTop w:val="0"/>
      <w:marBottom w:val="0"/>
      <w:divBdr>
        <w:top w:val="none" w:sz="0" w:space="0" w:color="auto"/>
        <w:left w:val="none" w:sz="0" w:space="0" w:color="auto"/>
        <w:bottom w:val="none" w:sz="0" w:space="0" w:color="auto"/>
        <w:right w:val="none" w:sz="0" w:space="0" w:color="auto"/>
      </w:divBdr>
    </w:div>
    <w:div w:id="1052463752">
      <w:marLeft w:val="0"/>
      <w:marRight w:val="0"/>
      <w:marTop w:val="0"/>
      <w:marBottom w:val="0"/>
      <w:divBdr>
        <w:top w:val="none" w:sz="0" w:space="0" w:color="auto"/>
        <w:left w:val="none" w:sz="0" w:space="0" w:color="auto"/>
        <w:bottom w:val="none" w:sz="0" w:space="0" w:color="auto"/>
        <w:right w:val="none" w:sz="0" w:space="0" w:color="auto"/>
      </w:divBdr>
    </w:div>
    <w:div w:id="1398212109">
      <w:bodyDiv w:val="1"/>
      <w:marLeft w:val="0"/>
      <w:marRight w:val="0"/>
      <w:marTop w:val="0"/>
      <w:marBottom w:val="0"/>
      <w:divBdr>
        <w:top w:val="none" w:sz="0" w:space="0" w:color="auto"/>
        <w:left w:val="none" w:sz="0" w:space="0" w:color="auto"/>
        <w:bottom w:val="none" w:sz="0" w:space="0" w:color="auto"/>
        <w:right w:val="none" w:sz="0" w:space="0" w:color="auto"/>
      </w:divBdr>
    </w:div>
    <w:div w:id="149390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header" Target="header6.xml"/><Relationship Id="rId39" Type="http://schemas.openxmlformats.org/officeDocument/2006/relationships/footer" Target="footer12.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eader" Target="header10.xml"/><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png"/><Relationship Id="rId29" Type="http://schemas.openxmlformats.org/officeDocument/2006/relationships/header" Target="header8.xml"/><Relationship Id="rId41"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10.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footer" Target="footer8.xml"/><Relationship Id="rId44"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1.xml"/><Relationship Id="rId43" Type="http://schemas.openxmlformats.org/officeDocument/2006/relationships/footer" Target="footer14.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environment/forests/pdf/list_competent_authorities_flegt.pdf" TargetMode="External"/><Relationship Id="rId1" Type="http://schemas.openxmlformats.org/officeDocument/2006/relationships/hyperlink" Target="http://ec.europa.eu/environment/forests/fleg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51C0E-9423-4371-B189-D7F4F65A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3593</Words>
  <Characters>19729</Characters>
  <Application>Microsoft Office Word</Application>
  <DocSecurity>0</DocSecurity>
  <Lines>857</Lines>
  <Paragraphs>506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15</cp:revision>
  <cp:lastPrinted>2019-05-21T09:48:00Z</cp:lastPrinted>
  <dcterms:created xsi:type="dcterms:W3CDTF">2019-05-28T08:04:00Z</dcterms:created>
  <dcterms:modified xsi:type="dcterms:W3CDTF">2019-05-29T07:54:00Z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