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2F7993D8-7F26-4042-9429-05DB9EC09683" style="width:450.35pt;height:293.45pt">
            <v:imagedata r:id="rId9" o:title=""/>
          </v:shape>
        </w:pict>
      </w:r>
    </w:p>
    <w:bookmarkEnd w:id="0"/>
    <w:p>
      <w:pPr>
        <w:rPr>
          <w:noProof/>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0"/>
          <w:cols w:space="720"/>
          <w:docGrid w:linePitch="360"/>
        </w:sectPr>
      </w:pPr>
    </w:p>
    <w:p>
      <w:pPr>
        <w:spacing w:before="360" w:after="0" w:line="240" w:lineRule="auto"/>
        <w:jc w:val="center"/>
        <w:rPr>
          <w:rFonts w:ascii="Times New Roman" w:hAnsi="Times New Roman"/>
          <w:b/>
          <w:noProof/>
          <w:sz w:val="24"/>
        </w:rPr>
      </w:pPr>
      <w:bookmarkStart w:id="1" w:name="_GoBack"/>
      <w:bookmarkEnd w:id="1"/>
      <w:r>
        <w:rPr>
          <w:rFonts w:ascii="Times New Roman" w:hAnsi="Times New Roman"/>
          <w:b/>
          <w:noProof/>
          <w:sz w:val="24"/>
        </w:rPr>
        <w:lastRenderedPageBreak/>
        <w:t>ZPRÁVA KOMISE EVROPSKÉMU PARLAMENTU A RADĚ</w:t>
      </w:r>
    </w:p>
    <w:p>
      <w:pPr>
        <w:spacing w:before="360" w:after="360" w:line="240" w:lineRule="auto"/>
        <w:jc w:val="center"/>
        <w:rPr>
          <w:rFonts w:ascii="Times New Roman" w:hAnsi="Times New Roman"/>
          <w:b/>
          <w:noProof/>
          <w:sz w:val="24"/>
        </w:rPr>
      </w:pPr>
      <w:r>
        <w:rPr>
          <w:rFonts w:ascii="Times New Roman" w:hAnsi="Times New Roman"/>
          <w:b/>
          <w:noProof/>
          <w:sz w:val="24"/>
        </w:rPr>
        <w:t>o implicitních závazcích s možným dopadem na veřejné rozpočty</w:t>
      </w:r>
    </w:p>
    <w:p>
      <w:pPr>
        <w:spacing w:before="120" w:after="240" w:line="240" w:lineRule="auto"/>
        <w:jc w:val="center"/>
        <w:rPr>
          <w:rFonts w:ascii="Times New Roman" w:eastAsia="Times New Roman" w:hAnsi="Times New Roman"/>
          <w:b/>
          <w:noProof/>
          <w:sz w:val="28"/>
        </w:rPr>
      </w:pPr>
      <w:r>
        <w:rPr>
          <w:rFonts w:ascii="Times New Roman" w:hAnsi="Times New Roman"/>
          <w:b/>
          <w:noProof/>
          <w:sz w:val="28"/>
        </w:rPr>
        <w:t>OBSAH</w:t>
      </w:r>
    </w:p>
    <w:p>
      <w:pPr>
        <w:pStyle w:val="TOC1"/>
        <w:tabs>
          <w:tab w:val="left" w:pos="440"/>
          <w:tab w:val="right" w:leader="dot" w:pos="9016"/>
        </w:tabs>
        <w:rPr>
          <w:rFonts w:asciiTheme="minorHAnsi" w:eastAsiaTheme="minorEastAsia" w:hAnsiTheme="minorHAnsi" w:cstheme="minorBidi"/>
          <w:noProof/>
          <w:lang w:val="en-GB" w:eastAsia="en-GB" w:bidi="ar-SA"/>
        </w:rPr>
      </w:pPr>
      <w:r>
        <w:rPr>
          <w:rFonts w:ascii="Times New Roman" w:eastAsia="Times New Roman" w:hAnsi="Times New Roman"/>
          <w:noProof/>
          <w:sz w:val="24"/>
        </w:rPr>
        <w:fldChar w:fldCharType="begin"/>
      </w:r>
      <w:r>
        <w:rPr>
          <w:rFonts w:ascii="Times New Roman" w:eastAsia="Times New Roman" w:hAnsi="Times New Roman"/>
          <w:noProof/>
          <w:sz w:val="24"/>
        </w:rPr>
        <w:instrText xml:space="preserve"> TOC \o "1-3" \h \z \u </w:instrText>
      </w:r>
      <w:r>
        <w:rPr>
          <w:rFonts w:ascii="Times New Roman" w:eastAsia="Times New Roman" w:hAnsi="Times New Roman"/>
          <w:noProof/>
          <w:sz w:val="24"/>
        </w:rPr>
        <w:fldChar w:fldCharType="separate"/>
      </w:r>
      <w:hyperlink w:anchor="_Toc536524247" w:history="1">
        <w:r>
          <w:rPr>
            <w:rStyle w:val="Hyperlink"/>
            <w:rFonts w:ascii="Times New Roman" w:hAnsi="Times New Roman"/>
            <w:b/>
            <w:bCs/>
            <w:smallCaps/>
            <w:noProof/>
          </w:rPr>
          <w:t>1.</w:t>
        </w:r>
        <w:r>
          <w:rPr>
            <w:rFonts w:asciiTheme="minorHAnsi" w:eastAsiaTheme="minorEastAsia" w:hAnsiTheme="minorHAnsi" w:cstheme="minorBidi"/>
            <w:noProof/>
            <w:lang w:val="en-GB" w:eastAsia="en-GB" w:bidi="ar-SA"/>
          </w:rPr>
          <w:tab/>
        </w:r>
        <w:r>
          <w:rPr>
            <w:rStyle w:val="Hyperlink"/>
            <w:rFonts w:ascii="Times New Roman" w:hAnsi="Times New Roman"/>
            <w:b/>
            <w:bCs/>
            <w:smallCaps/>
            <w:noProof/>
          </w:rPr>
          <w:t>Souvislosti</w:t>
        </w:r>
        <w:r>
          <w:rPr>
            <w:noProof/>
            <w:webHidden/>
          </w:rPr>
          <w:tab/>
        </w:r>
        <w:r>
          <w:rPr>
            <w:noProof/>
            <w:webHidden/>
          </w:rPr>
          <w:fldChar w:fldCharType="begin"/>
        </w:r>
        <w:r>
          <w:rPr>
            <w:noProof/>
            <w:webHidden/>
          </w:rPr>
          <w:instrText xml:space="preserve"> PAGEREF _Toc536524247 \h </w:instrText>
        </w:r>
        <w:r>
          <w:rPr>
            <w:noProof/>
            <w:webHidden/>
          </w:rPr>
        </w:r>
        <w:r>
          <w:rPr>
            <w:noProof/>
            <w:webHidden/>
          </w:rPr>
          <w:fldChar w:fldCharType="separate"/>
        </w:r>
        <w:r>
          <w:rPr>
            <w:noProof/>
            <w:webHidden/>
          </w:rPr>
          <w:t>2</w:t>
        </w:r>
        <w:r>
          <w:rPr>
            <w:noProof/>
            <w:webHidden/>
          </w:rPr>
          <w:fldChar w:fldCharType="end"/>
        </w:r>
      </w:hyperlink>
    </w:p>
    <w:p>
      <w:pPr>
        <w:pStyle w:val="TOC1"/>
        <w:tabs>
          <w:tab w:val="left" w:pos="440"/>
          <w:tab w:val="right" w:leader="dot" w:pos="9016"/>
        </w:tabs>
        <w:rPr>
          <w:rFonts w:asciiTheme="minorHAnsi" w:eastAsiaTheme="minorEastAsia" w:hAnsiTheme="minorHAnsi" w:cstheme="minorBidi"/>
          <w:noProof/>
          <w:lang w:val="en-GB" w:eastAsia="en-GB" w:bidi="ar-SA"/>
        </w:rPr>
      </w:pPr>
      <w:hyperlink w:anchor="_Toc536524248" w:history="1">
        <w:r>
          <w:rPr>
            <w:rStyle w:val="Hyperlink"/>
            <w:rFonts w:ascii="Times New Roman" w:eastAsia="Times New Roman" w:hAnsi="Times New Roman"/>
            <w:b/>
            <w:bCs/>
            <w:smallCaps/>
            <w:noProof/>
          </w:rPr>
          <w:t>2.</w:t>
        </w:r>
        <w:r>
          <w:rPr>
            <w:rFonts w:asciiTheme="minorHAnsi" w:eastAsiaTheme="minorEastAsia" w:hAnsiTheme="minorHAnsi" w:cstheme="minorBidi"/>
            <w:noProof/>
            <w:lang w:val="en-GB" w:eastAsia="en-GB" w:bidi="ar-SA"/>
          </w:rPr>
          <w:tab/>
        </w:r>
        <w:r>
          <w:rPr>
            <w:rStyle w:val="Hyperlink"/>
            <w:rFonts w:ascii="Times New Roman" w:hAnsi="Times New Roman"/>
            <w:b/>
            <w:bCs/>
            <w:smallCaps/>
            <w:noProof/>
          </w:rPr>
          <w:t>Přehled údajů shromážděných Eurostatem</w:t>
        </w:r>
        <w:r>
          <w:rPr>
            <w:rStyle w:val="Hyperlink"/>
            <w:noProof/>
          </w:rPr>
          <w:t xml:space="preserve"> </w:t>
        </w:r>
        <w:r>
          <w:rPr>
            <w:rStyle w:val="Hyperlink"/>
            <w:rFonts w:ascii="Times New Roman" w:hAnsi="Times New Roman"/>
            <w:b/>
            <w:smallCaps/>
            <w:noProof/>
          </w:rPr>
          <w:t>podle směrnice Rady 2011/85/EU</w:t>
        </w:r>
        <w:r>
          <w:rPr>
            <w:noProof/>
            <w:webHidden/>
          </w:rPr>
          <w:tab/>
        </w:r>
        <w:r>
          <w:rPr>
            <w:noProof/>
            <w:webHidden/>
          </w:rPr>
          <w:fldChar w:fldCharType="begin"/>
        </w:r>
        <w:r>
          <w:rPr>
            <w:noProof/>
            <w:webHidden/>
          </w:rPr>
          <w:instrText xml:space="preserve"> PAGEREF _Toc536524248 \h </w:instrText>
        </w:r>
        <w:r>
          <w:rPr>
            <w:noProof/>
            <w:webHidden/>
          </w:rPr>
        </w:r>
        <w:r>
          <w:rPr>
            <w:noProof/>
            <w:webHidden/>
          </w:rPr>
          <w:fldChar w:fldCharType="separate"/>
        </w:r>
        <w:r>
          <w:rPr>
            <w:noProof/>
            <w:webHidden/>
          </w:rPr>
          <w:t>3</w:t>
        </w:r>
        <w:r>
          <w:rPr>
            <w:noProof/>
            <w:webHidden/>
          </w:rPr>
          <w:fldChar w:fldCharType="end"/>
        </w:r>
      </w:hyperlink>
    </w:p>
    <w:p>
      <w:pPr>
        <w:pStyle w:val="TOC2"/>
        <w:rPr>
          <w:rFonts w:asciiTheme="minorHAnsi" w:eastAsiaTheme="minorEastAsia" w:hAnsiTheme="minorHAnsi" w:cstheme="minorBidi"/>
          <w:lang w:val="en-GB" w:eastAsia="en-GB" w:bidi="ar-SA"/>
        </w:rPr>
      </w:pPr>
      <w:hyperlink w:anchor="_Toc536524249" w:history="1">
        <w:r>
          <w:rPr>
            <w:rStyle w:val="Hyperlink"/>
          </w:rPr>
          <w:t>2.1.</w:t>
        </w:r>
        <w:r>
          <w:rPr>
            <w:rFonts w:asciiTheme="minorHAnsi" w:eastAsiaTheme="minorEastAsia" w:hAnsiTheme="minorHAnsi" w:cstheme="minorBidi"/>
            <w:lang w:val="en-GB" w:eastAsia="en-GB" w:bidi="ar-SA"/>
          </w:rPr>
          <w:tab/>
        </w:r>
        <w:r>
          <w:rPr>
            <w:rStyle w:val="Hyperlink"/>
          </w:rPr>
          <w:t>Vykazování podle čl. 14 odst. 3 směrnice Rady 2011/85/EU</w:t>
        </w:r>
        <w:r>
          <w:rPr>
            <w:webHidden/>
          </w:rPr>
          <w:tab/>
        </w:r>
        <w:r>
          <w:rPr>
            <w:webHidden/>
          </w:rPr>
          <w:fldChar w:fldCharType="begin"/>
        </w:r>
        <w:r>
          <w:rPr>
            <w:webHidden/>
          </w:rPr>
          <w:instrText xml:space="preserve"> PAGEREF _Toc536524249 \h </w:instrText>
        </w:r>
        <w:r>
          <w:rPr>
            <w:webHidden/>
          </w:rPr>
        </w:r>
        <w:r>
          <w:rPr>
            <w:webHidden/>
          </w:rPr>
          <w:fldChar w:fldCharType="separate"/>
        </w:r>
        <w:r>
          <w:rPr>
            <w:webHidden/>
          </w:rPr>
          <w:t>3</w:t>
        </w:r>
        <w:r>
          <w:rPr>
            <w:webHidden/>
          </w:rPr>
          <w:fldChar w:fldCharType="end"/>
        </w:r>
      </w:hyperlink>
    </w:p>
    <w:p>
      <w:pPr>
        <w:pStyle w:val="TOC2"/>
        <w:rPr>
          <w:rFonts w:asciiTheme="minorHAnsi" w:eastAsiaTheme="minorEastAsia" w:hAnsiTheme="minorHAnsi" w:cstheme="minorBidi"/>
          <w:lang w:val="en-GB" w:eastAsia="en-GB" w:bidi="ar-SA"/>
        </w:rPr>
      </w:pPr>
      <w:hyperlink w:anchor="_Toc536524250" w:history="1">
        <w:r>
          <w:rPr>
            <w:rStyle w:val="Hyperlink"/>
          </w:rPr>
          <w:t>2.2.</w:t>
        </w:r>
        <w:r>
          <w:rPr>
            <w:rFonts w:asciiTheme="minorHAnsi" w:eastAsiaTheme="minorEastAsia" w:hAnsiTheme="minorHAnsi" w:cstheme="minorBidi"/>
            <w:lang w:val="en-GB" w:eastAsia="en-GB" w:bidi="ar-SA"/>
          </w:rPr>
          <w:tab/>
        </w:r>
        <w:r>
          <w:rPr>
            <w:rStyle w:val="Hyperlink"/>
          </w:rPr>
          <w:t>Lhůty</w:t>
        </w:r>
        <w:r>
          <w:rPr>
            <w:webHidden/>
          </w:rPr>
          <w:tab/>
        </w:r>
        <w:r>
          <w:rPr>
            <w:webHidden/>
          </w:rPr>
          <w:fldChar w:fldCharType="begin"/>
        </w:r>
        <w:r>
          <w:rPr>
            <w:webHidden/>
          </w:rPr>
          <w:instrText xml:space="preserve"> PAGEREF _Toc536524250 \h </w:instrText>
        </w:r>
        <w:r>
          <w:rPr>
            <w:webHidden/>
          </w:rPr>
        </w:r>
        <w:r>
          <w:rPr>
            <w:webHidden/>
          </w:rPr>
          <w:fldChar w:fldCharType="separate"/>
        </w:r>
        <w:r>
          <w:rPr>
            <w:webHidden/>
          </w:rPr>
          <w:t>3</w:t>
        </w:r>
        <w:r>
          <w:rPr>
            <w:webHidden/>
          </w:rPr>
          <w:fldChar w:fldCharType="end"/>
        </w:r>
      </w:hyperlink>
    </w:p>
    <w:p>
      <w:pPr>
        <w:pStyle w:val="TOC2"/>
        <w:rPr>
          <w:rFonts w:asciiTheme="minorHAnsi" w:eastAsiaTheme="minorEastAsia" w:hAnsiTheme="minorHAnsi" w:cstheme="minorBidi"/>
          <w:lang w:val="en-GB" w:eastAsia="en-GB" w:bidi="ar-SA"/>
        </w:rPr>
      </w:pPr>
      <w:hyperlink w:anchor="_Toc536524251" w:history="1">
        <w:r>
          <w:rPr>
            <w:rStyle w:val="Hyperlink"/>
          </w:rPr>
          <w:t>2.3.</w:t>
        </w:r>
        <w:r>
          <w:rPr>
            <w:rFonts w:asciiTheme="minorHAnsi" w:eastAsiaTheme="minorEastAsia" w:hAnsiTheme="minorHAnsi" w:cstheme="minorBidi"/>
            <w:lang w:val="en-GB" w:eastAsia="en-GB" w:bidi="ar-SA"/>
          </w:rPr>
          <w:tab/>
        </w:r>
        <w:r>
          <w:rPr>
            <w:rStyle w:val="Hyperlink"/>
          </w:rPr>
          <w:t>Popis ukazatelů</w:t>
        </w:r>
        <w:r>
          <w:rPr>
            <w:webHidden/>
          </w:rPr>
          <w:tab/>
        </w:r>
        <w:r>
          <w:rPr>
            <w:webHidden/>
          </w:rPr>
          <w:fldChar w:fldCharType="begin"/>
        </w:r>
        <w:r>
          <w:rPr>
            <w:webHidden/>
          </w:rPr>
          <w:instrText xml:space="preserve"> PAGEREF _Toc536524251 \h </w:instrText>
        </w:r>
        <w:r>
          <w:rPr>
            <w:webHidden/>
          </w:rPr>
        </w:r>
        <w:r>
          <w:rPr>
            <w:webHidden/>
          </w:rPr>
          <w:fldChar w:fldCharType="separate"/>
        </w:r>
        <w:r>
          <w:rPr>
            <w:webHidden/>
          </w:rPr>
          <w:t>4</w:t>
        </w:r>
        <w:r>
          <w:rPr>
            <w:webHidden/>
          </w:rPr>
          <w:fldChar w:fldCharType="end"/>
        </w:r>
      </w:hyperlink>
    </w:p>
    <w:p>
      <w:pPr>
        <w:pStyle w:val="TOC3"/>
        <w:tabs>
          <w:tab w:val="left" w:pos="1320"/>
          <w:tab w:val="right" w:leader="dot" w:pos="9016"/>
        </w:tabs>
        <w:rPr>
          <w:rFonts w:asciiTheme="minorHAnsi" w:eastAsiaTheme="minorEastAsia" w:hAnsiTheme="minorHAnsi" w:cstheme="minorBidi"/>
          <w:noProof/>
          <w:lang w:val="en-GB" w:eastAsia="en-GB" w:bidi="ar-SA"/>
        </w:rPr>
      </w:pPr>
      <w:hyperlink w:anchor="_Toc536524252" w:history="1">
        <w:r>
          <w:rPr>
            <w:rStyle w:val="Hyperlink"/>
            <w:noProof/>
          </w:rPr>
          <w:t>2.3.1.</w:t>
        </w:r>
        <w:r>
          <w:rPr>
            <w:rFonts w:asciiTheme="minorHAnsi" w:eastAsiaTheme="minorEastAsia" w:hAnsiTheme="minorHAnsi" w:cstheme="minorBidi"/>
            <w:noProof/>
            <w:lang w:val="en-GB" w:eastAsia="en-GB" w:bidi="ar-SA"/>
          </w:rPr>
          <w:tab/>
        </w:r>
        <w:r>
          <w:rPr>
            <w:rStyle w:val="Hyperlink"/>
            <w:noProof/>
          </w:rPr>
          <w:t>Vládní záruky</w:t>
        </w:r>
        <w:r>
          <w:rPr>
            <w:noProof/>
            <w:webHidden/>
          </w:rPr>
          <w:tab/>
        </w:r>
        <w:r>
          <w:rPr>
            <w:noProof/>
            <w:webHidden/>
          </w:rPr>
          <w:fldChar w:fldCharType="begin"/>
        </w:r>
        <w:r>
          <w:rPr>
            <w:noProof/>
            <w:webHidden/>
          </w:rPr>
          <w:instrText xml:space="preserve"> PAGEREF _Toc536524252 \h </w:instrText>
        </w:r>
        <w:r>
          <w:rPr>
            <w:noProof/>
            <w:webHidden/>
          </w:rPr>
        </w:r>
        <w:r>
          <w:rPr>
            <w:noProof/>
            <w:webHidden/>
          </w:rPr>
          <w:fldChar w:fldCharType="separate"/>
        </w:r>
        <w:r>
          <w:rPr>
            <w:noProof/>
            <w:webHidden/>
          </w:rPr>
          <w:t>4</w:t>
        </w:r>
        <w:r>
          <w:rPr>
            <w:noProof/>
            <w:webHidden/>
          </w:rPr>
          <w:fldChar w:fldCharType="end"/>
        </w:r>
      </w:hyperlink>
    </w:p>
    <w:p>
      <w:pPr>
        <w:pStyle w:val="TOC3"/>
        <w:tabs>
          <w:tab w:val="left" w:pos="1320"/>
          <w:tab w:val="right" w:leader="dot" w:pos="9016"/>
        </w:tabs>
        <w:rPr>
          <w:rFonts w:asciiTheme="minorHAnsi" w:eastAsiaTheme="minorEastAsia" w:hAnsiTheme="minorHAnsi" w:cstheme="minorBidi"/>
          <w:noProof/>
          <w:lang w:val="en-GB" w:eastAsia="en-GB" w:bidi="ar-SA"/>
        </w:rPr>
      </w:pPr>
      <w:hyperlink w:anchor="_Toc536524253" w:history="1">
        <w:r>
          <w:rPr>
            <w:rStyle w:val="Hyperlink"/>
            <w:noProof/>
          </w:rPr>
          <w:t>2.3.2.</w:t>
        </w:r>
        <w:r>
          <w:rPr>
            <w:rFonts w:asciiTheme="minorHAnsi" w:eastAsiaTheme="minorEastAsia" w:hAnsiTheme="minorHAnsi" w:cstheme="minorBidi"/>
            <w:noProof/>
            <w:lang w:val="en-GB" w:eastAsia="en-GB" w:bidi="ar-SA"/>
          </w:rPr>
          <w:tab/>
        </w:r>
        <w:r>
          <w:rPr>
            <w:rStyle w:val="Hyperlink"/>
            <w:noProof/>
          </w:rPr>
          <w:t>Podrozvahová partnerství veřejného a soukromého sektoru</w:t>
        </w:r>
        <w:r>
          <w:rPr>
            <w:noProof/>
            <w:webHidden/>
          </w:rPr>
          <w:tab/>
        </w:r>
        <w:r>
          <w:rPr>
            <w:noProof/>
            <w:webHidden/>
          </w:rPr>
          <w:fldChar w:fldCharType="begin"/>
        </w:r>
        <w:r>
          <w:rPr>
            <w:noProof/>
            <w:webHidden/>
          </w:rPr>
          <w:instrText xml:space="preserve"> PAGEREF _Toc536524253 \h </w:instrText>
        </w:r>
        <w:r>
          <w:rPr>
            <w:noProof/>
            <w:webHidden/>
          </w:rPr>
        </w:r>
        <w:r>
          <w:rPr>
            <w:noProof/>
            <w:webHidden/>
          </w:rPr>
          <w:fldChar w:fldCharType="separate"/>
        </w:r>
        <w:r>
          <w:rPr>
            <w:noProof/>
            <w:webHidden/>
          </w:rPr>
          <w:t>4</w:t>
        </w:r>
        <w:r>
          <w:rPr>
            <w:noProof/>
            <w:webHidden/>
          </w:rPr>
          <w:fldChar w:fldCharType="end"/>
        </w:r>
      </w:hyperlink>
    </w:p>
    <w:p>
      <w:pPr>
        <w:pStyle w:val="TOC3"/>
        <w:tabs>
          <w:tab w:val="left" w:pos="1320"/>
          <w:tab w:val="right" w:leader="dot" w:pos="9016"/>
        </w:tabs>
        <w:rPr>
          <w:rFonts w:asciiTheme="minorHAnsi" w:eastAsiaTheme="minorEastAsia" w:hAnsiTheme="minorHAnsi" w:cstheme="minorBidi"/>
          <w:noProof/>
          <w:lang w:val="en-GB" w:eastAsia="en-GB" w:bidi="ar-SA"/>
        </w:rPr>
      </w:pPr>
      <w:hyperlink w:anchor="_Toc536524254" w:history="1">
        <w:r>
          <w:rPr>
            <w:rStyle w:val="Hyperlink"/>
            <w:noProof/>
          </w:rPr>
          <w:t>2.3.3.</w:t>
        </w:r>
        <w:r>
          <w:rPr>
            <w:rFonts w:asciiTheme="minorHAnsi" w:eastAsiaTheme="minorEastAsia" w:hAnsiTheme="minorHAnsi" w:cstheme="minorBidi"/>
            <w:noProof/>
            <w:lang w:val="en-GB" w:eastAsia="en-GB" w:bidi="ar-SA"/>
          </w:rPr>
          <w:tab/>
        </w:r>
        <w:r>
          <w:rPr>
            <w:rStyle w:val="Hyperlink"/>
            <w:noProof/>
          </w:rPr>
          <w:t>Úvěry se selháním / ohrožené půjčky sektoru vládních institucí</w:t>
        </w:r>
        <w:r>
          <w:rPr>
            <w:noProof/>
            <w:webHidden/>
          </w:rPr>
          <w:tab/>
        </w:r>
        <w:r>
          <w:rPr>
            <w:noProof/>
            <w:webHidden/>
          </w:rPr>
          <w:fldChar w:fldCharType="begin"/>
        </w:r>
        <w:r>
          <w:rPr>
            <w:noProof/>
            <w:webHidden/>
          </w:rPr>
          <w:instrText xml:space="preserve"> PAGEREF _Toc536524254 \h </w:instrText>
        </w:r>
        <w:r>
          <w:rPr>
            <w:noProof/>
            <w:webHidden/>
          </w:rPr>
        </w:r>
        <w:r>
          <w:rPr>
            <w:noProof/>
            <w:webHidden/>
          </w:rPr>
          <w:fldChar w:fldCharType="separate"/>
        </w:r>
        <w:r>
          <w:rPr>
            <w:noProof/>
            <w:webHidden/>
          </w:rPr>
          <w:t>5</w:t>
        </w:r>
        <w:r>
          <w:rPr>
            <w:noProof/>
            <w:webHidden/>
          </w:rPr>
          <w:fldChar w:fldCharType="end"/>
        </w:r>
      </w:hyperlink>
    </w:p>
    <w:p>
      <w:pPr>
        <w:pStyle w:val="TOC3"/>
        <w:tabs>
          <w:tab w:val="left" w:pos="1320"/>
          <w:tab w:val="right" w:leader="dot" w:pos="9016"/>
        </w:tabs>
        <w:rPr>
          <w:rFonts w:asciiTheme="minorHAnsi" w:eastAsiaTheme="minorEastAsia" w:hAnsiTheme="minorHAnsi" w:cstheme="minorBidi"/>
          <w:noProof/>
          <w:lang w:val="en-GB" w:eastAsia="en-GB" w:bidi="ar-SA"/>
        </w:rPr>
      </w:pPr>
      <w:hyperlink w:anchor="_Toc536524255" w:history="1">
        <w:r>
          <w:rPr>
            <w:rStyle w:val="Hyperlink"/>
            <w:noProof/>
          </w:rPr>
          <w:t>2.3.4.</w:t>
        </w:r>
        <w:r>
          <w:rPr>
            <w:rFonts w:asciiTheme="minorHAnsi" w:eastAsiaTheme="minorEastAsia" w:hAnsiTheme="minorHAnsi" w:cstheme="minorBidi"/>
            <w:noProof/>
            <w:lang w:val="en-GB" w:eastAsia="en-GB" w:bidi="ar-SA"/>
          </w:rPr>
          <w:tab/>
        </w:r>
        <w:r>
          <w:rPr>
            <w:rStyle w:val="Hyperlink"/>
            <w:noProof/>
          </w:rPr>
          <w:t>Závazky subjektů kontrolovaných vládními institucemi zatříděných mimo sektor vládních institucí (veřejných korporací)</w:t>
        </w:r>
        <w:r>
          <w:rPr>
            <w:noProof/>
            <w:webHidden/>
          </w:rPr>
          <w:tab/>
        </w:r>
        <w:r>
          <w:rPr>
            <w:noProof/>
            <w:webHidden/>
          </w:rPr>
          <w:fldChar w:fldCharType="begin"/>
        </w:r>
        <w:r>
          <w:rPr>
            <w:noProof/>
            <w:webHidden/>
          </w:rPr>
          <w:instrText xml:space="preserve"> PAGEREF _Toc536524255 \h </w:instrText>
        </w:r>
        <w:r>
          <w:rPr>
            <w:noProof/>
            <w:webHidden/>
          </w:rPr>
        </w:r>
        <w:r>
          <w:rPr>
            <w:noProof/>
            <w:webHidden/>
          </w:rPr>
          <w:fldChar w:fldCharType="separate"/>
        </w:r>
        <w:r>
          <w:rPr>
            <w:noProof/>
            <w:webHidden/>
          </w:rPr>
          <w:t>5</w:t>
        </w:r>
        <w:r>
          <w:rPr>
            <w:noProof/>
            <w:webHidden/>
          </w:rPr>
          <w:fldChar w:fldCharType="end"/>
        </w:r>
      </w:hyperlink>
    </w:p>
    <w:p>
      <w:pPr>
        <w:pStyle w:val="TOC1"/>
        <w:tabs>
          <w:tab w:val="left" w:pos="440"/>
          <w:tab w:val="right" w:leader="dot" w:pos="9016"/>
        </w:tabs>
        <w:rPr>
          <w:rFonts w:asciiTheme="minorHAnsi" w:eastAsiaTheme="minorEastAsia" w:hAnsiTheme="minorHAnsi" w:cstheme="minorBidi"/>
          <w:noProof/>
          <w:lang w:val="en-GB" w:eastAsia="en-GB" w:bidi="ar-SA"/>
        </w:rPr>
      </w:pPr>
      <w:hyperlink w:anchor="_Toc536524256" w:history="1">
        <w:r>
          <w:rPr>
            <w:rStyle w:val="Hyperlink"/>
            <w:rFonts w:ascii="Times New Roman" w:eastAsia="Times New Roman" w:hAnsi="Times New Roman"/>
            <w:b/>
            <w:bCs/>
            <w:smallCaps/>
            <w:noProof/>
          </w:rPr>
          <w:t>3.</w:t>
        </w:r>
        <w:r>
          <w:rPr>
            <w:rFonts w:asciiTheme="minorHAnsi" w:eastAsiaTheme="minorEastAsia" w:hAnsiTheme="minorHAnsi" w:cstheme="minorBidi"/>
            <w:noProof/>
            <w:lang w:val="en-GB" w:eastAsia="en-GB" w:bidi="ar-SA"/>
          </w:rPr>
          <w:tab/>
        </w:r>
        <w:r>
          <w:rPr>
            <w:rStyle w:val="Hyperlink"/>
            <w:rFonts w:ascii="Times New Roman" w:hAnsi="Times New Roman"/>
            <w:b/>
            <w:bCs/>
            <w:smallCaps/>
            <w:noProof/>
          </w:rPr>
          <w:t>Výsledky sběru údajů o podmíněných závazcích</w:t>
        </w:r>
        <w:r>
          <w:rPr>
            <w:rStyle w:val="Hyperlink"/>
            <w:noProof/>
          </w:rPr>
          <w:t xml:space="preserve"> </w:t>
        </w:r>
        <w:r>
          <w:rPr>
            <w:rStyle w:val="Hyperlink"/>
            <w:rFonts w:ascii="Times New Roman" w:hAnsi="Times New Roman"/>
            <w:b/>
            <w:smallCaps/>
            <w:noProof/>
          </w:rPr>
          <w:t>provedeného Eurostatem</w:t>
        </w:r>
        <w:r>
          <w:rPr>
            <w:noProof/>
            <w:webHidden/>
          </w:rPr>
          <w:tab/>
        </w:r>
        <w:r>
          <w:rPr>
            <w:noProof/>
            <w:webHidden/>
          </w:rPr>
          <w:fldChar w:fldCharType="begin"/>
        </w:r>
        <w:r>
          <w:rPr>
            <w:noProof/>
            <w:webHidden/>
          </w:rPr>
          <w:instrText xml:space="preserve"> PAGEREF _Toc536524256 \h </w:instrText>
        </w:r>
        <w:r>
          <w:rPr>
            <w:noProof/>
            <w:webHidden/>
          </w:rPr>
        </w:r>
        <w:r>
          <w:rPr>
            <w:noProof/>
            <w:webHidden/>
          </w:rPr>
          <w:fldChar w:fldCharType="separate"/>
        </w:r>
        <w:r>
          <w:rPr>
            <w:noProof/>
            <w:webHidden/>
          </w:rPr>
          <w:t>6</w:t>
        </w:r>
        <w:r>
          <w:rPr>
            <w:noProof/>
            <w:webHidden/>
          </w:rPr>
          <w:fldChar w:fldCharType="end"/>
        </w:r>
      </w:hyperlink>
    </w:p>
    <w:p>
      <w:pPr>
        <w:pStyle w:val="TOC2"/>
        <w:rPr>
          <w:rFonts w:asciiTheme="minorHAnsi" w:eastAsiaTheme="minorEastAsia" w:hAnsiTheme="minorHAnsi" w:cstheme="minorBidi"/>
          <w:lang w:val="en-GB" w:eastAsia="en-GB" w:bidi="ar-SA"/>
        </w:rPr>
      </w:pPr>
      <w:hyperlink w:anchor="_Toc536524257" w:history="1">
        <w:r>
          <w:rPr>
            <w:rStyle w:val="Hyperlink"/>
          </w:rPr>
          <w:t>3.1.</w:t>
        </w:r>
        <w:r>
          <w:rPr>
            <w:rFonts w:asciiTheme="minorHAnsi" w:eastAsiaTheme="minorEastAsia" w:hAnsiTheme="minorHAnsi" w:cstheme="minorBidi"/>
            <w:lang w:val="en-GB" w:eastAsia="en-GB" w:bidi="ar-SA"/>
          </w:rPr>
          <w:tab/>
        </w:r>
        <w:r>
          <w:rPr>
            <w:rStyle w:val="Hyperlink"/>
          </w:rPr>
          <w:t>Úplnost a rozsah údajů</w:t>
        </w:r>
        <w:r>
          <w:rPr>
            <w:webHidden/>
          </w:rPr>
          <w:tab/>
        </w:r>
        <w:r>
          <w:rPr>
            <w:webHidden/>
          </w:rPr>
          <w:fldChar w:fldCharType="begin"/>
        </w:r>
        <w:r>
          <w:rPr>
            <w:webHidden/>
          </w:rPr>
          <w:instrText xml:space="preserve"> PAGEREF _Toc536524257 \h </w:instrText>
        </w:r>
        <w:r>
          <w:rPr>
            <w:webHidden/>
          </w:rPr>
        </w:r>
        <w:r>
          <w:rPr>
            <w:webHidden/>
          </w:rPr>
          <w:fldChar w:fldCharType="separate"/>
        </w:r>
        <w:r>
          <w:rPr>
            <w:webHidden/>
          </w:rPr>
          <w:t>6</w:t>
        </w:r>
        <w:r>
          <w:rPr>
            <w:webHidden/>
          </w:rPr>
          <w:fldChar w:fldCharType="end"/>
        </w:r>
      </w:hyperlink>
    </w:p>
    <w:p>
      <w:pPr>
        <w:pStyle w:val="TOC3"/>
        <w:tabs>
          <w:tab w:val="left" w:pos="1320"/>
          <w:tab w:val="right" w:leader="dot" w:pos="9016"/>
        </w:tabs>
        <w:rPr>
          <w:rFonts w:asciiTheme="minorHAnsi" w:eastAsiaTheme="minorEastAsia" w:hAnsiTheme="minorHAnsi" w:cstheme="minorBidi"/>
          <w:noProof/>
          <w:lang w:val="en-GB" w:eastAsia="en-GB" w:bidi="ar-SA"/>
        </w:rPr>
      </w:pPr>
      <w:hyperlink w:anchor="_Toc536524258" w:history="1">
        <w:r>
          <w:rPr>
            <w:rStyle w:val="Hyperlink"/>
            <w:noProof/>
          </w:rPr>
          <w:t>3.1.1.</w:t>
        </w:r>
        <w:r>
          <w:rPr>
            <w:rFonts w:asciiTheme="minorHAnsi" w:eastAsiaTheme="minorEastAsia" w:hAnsiTheme="minorHAnsi" w:cstheme="minorBidi"/>
            <w:noProof/>
            <w:lang w:val="en-GB" w:eastAsia="en-GB" w:bidi="ar-SA"/>
          </w:rPr>
          <w:tab/>
        </w:r>
        <w:r>
          <w:rPr>
            <w:rStyle w:val="Hyperlink"/>
            <w:noProof/>
          </w:rPr>
          <w:t>Vládní záruky</w:t>
        </w:r>
        <w:r>
          <w:rPr>
            <w:noProof/>
            <w:webHidden/>
          </w:rPr>
          <w:tab/>
        </w:r>
        <w:r>
          <w:rPr>
            <w:noProof/>
            <w:webHidden/>
          </w:rPr>
          <w:fldChar w:fldCharType="begin"/>
        </w:r>
        <w:r>
          <w:rPr>
            <w:noProof/>
            <w:webHidden/>
          </w:rPr>
          <w:instrText xml:space="preserve"> PAGEREF _Toc536524258 \h </w:instrText>
        </w:r>
        <w:r>
          <w:rPr>
            <w:noProof/>
            <w:webHidden/>
          </w:rPr>
        </w:r>
        <w:r>
          <w:rPr>
            <w:noProof/>
            <w:webHidden/>
          </w:rPr>
          <w:fldChar w:fldCharType="separate"/>
        </w:r>
        <w:r>
          <w:rPr>
            <w:noProof/>
            <w:webHidden/>
          </w:rPr>
          <w:t>6</w:t>
        </w:r>
        <w:r>
          <w:rPr>
            <w:noProof/>
            <w:webHidden/>
          </w:rPr>
          <w:fldChar w:fldCharType="end"/>
        </w:r>
      </w:hyperlink>
    </w:p>
    <w:p>
      <w:pPr>
        <w:pStyle w:val="TOC3"/>
        <w:tabs>
          <w:tab w:val="left" w:pos="1320"/>
          <w:tab w:val="right" w:leader="dot" w:pos="9016"/>
        </w:tabs>
        <w:rPr>
          <w:rFonts w:asciiTheme="minorHAnsi" w:eastAsiaTheme="minorEastAsia" w:hAnsiTheme="minorHAnsi" w:cstheme="minorBidi"/>
          <w:noProof/>
          <w:lang w:val="en-GB" w:eastAsia="en-GB" w:bidi="ar-SA"/>
        </w:rPr>
      </w:pPr>
      <w:hyperlink w:anchor="_Toc536524259" w:history="1">
        <w:r>
          <w:rPr>
            <w:rStyle w:val="Hyperlink"/>
            <w:noProof/>
          </w:rPr>
          <w:t>3.1.2.</w:t>
        </w:r>
        <w:r>
          <w:rPr>
            <w:rFonts w:asciiTheme="minorHAnsi" w:eastAsiaTheme="minorEastAsia" w:hAnsiTheme="minorHAnsi" w:cstheme="minorBidi"/>
            <w:noProof/>
            <w:lang w:val="en-GB" w:eastAsia="en-GB" w:bidi="ar-SA"/>
          </w:rPr>
          <w:tab/>
        </w:r>
        <w:r>
          <w:rPr>
            <w:rStyle w:val="Hyperlink"/>
            <w:noProof/>
          </w:rPr>
          <w:t>Podrozvahová partnerství veřejného a soukromého sektoru</w:t>
        </w:r>
        <w:r>
          <w:rPr>
            <w:noProof/>
            <w:webHidden/>
          </w:rPr>
          <w:tab/>
        </w:r>
        <w:r>
          <w:rPr>
            <w:noProof/>
            <w:webHidden/>
          </w:rPr>
          <w:fldChar w:fldCharType="begin"/>
        </w:r>
        <w:r>
          <w:rPr>
            <w:noProof/>
            <w:webHidden/>
          </w:rPr>
          <w:instrText xml:space="preserve"> PAGEREF _Toc536524259 \h </w:instrText>
        </w:r>
        <w:r>
          <w:rPr>
            <w:noProof/>
            <w:webHidden/>
          </w:rPr>
        </w:r>
        <w:r>
          <w:rPr>
            <w:noProof/>
            <w:webHidden/>
          </w:rPr>
          <w:fldChar w:fldCharType="separate"/>
        </w:r>
        <w:r>
          <w:rPr>
            <w:noProof/>
            <w:webHidden/>
          </w:rPr>
          <w:t>7</w:t>
        </w:r>
        <w:r>
          <w:rPr>
            <w:noProof/>
            <w:webHidden/>
          </w:rPr>
          <w:fldChar w:fldCharType="end"/>
        </w:r>
      </w:hyperlink>
    </w:p>
    <w:p>
      <w:pPr>
        <w:pStyle w:val="TOC3"/>
        <w:tabs>
          <w:tab w:val="left" w:pos="1320"/>
          <w:tab w:val="right" w:leader="dot" w:pos="9016"/>
        </w:tabs>
        <w:rPr>
          <w:rFonts w:asciiTheme="minorHAnsi" w:eastAsiaTheme="minorEastAsia" w:hAnsiTheme="minorHAnsi" w:cstheme="minorBidi"/>
          <w:noProof/>
          <w:lang w:val="en-GB" w:eastAsia="en-GB" w:bidi="ar-SA"/>
        </w:rPr>
      </w:pPr>
      <w:hyperlink w:anchor="_Toc536524260" w:history="1">
        <w:r>
          <w:rPr>
            <w:rStyle w:val="Hyperlink"/>
            <w:noProof/>
          </w:rPr>
          <w:t>3.1.3.</w:t>
        </w:r>
        <w:r>
          <w:rPr>
            <w:rFonts w:asciiTheme="minorHAnsi" w:eastAsiaTheme="minorEastAsia" w:hAnsiTheme="minorHAnsi" w:cstheme="minorBidi"/>
            <w:noProof/>
            <w:lang w:val="en-GB" w:eastAsia="en-GB" w:bidi="ar-SA"/>
          </w:rPr>
          <w:tab/>
        </w:r>
        <w:r>
          <w:rPr>
            <w:rStyle w:val="Hyperlink"/>
            <w:noProof/>
          </w:rPr>
          <w:t>Úvěry se selháním / ohrožené půjčky</w:t>
        </w:r>
        <w:r>
          <w:rPr>
            <w:noProof/>
            <w:webHidden/>
          </w:rPr>
          <w:tab/>
        </w:r>
        <w:r>
          <w:rPr>
            <w:noProof/>
            <w:webHidden/>
          </w:rPr>
          <w:fldChar w:fldCharType="begin"/>
        </w:r>
        <w:r>
          <w:rPr>
            <w:noProof/>
            <w:webHidden/>
          </w:rPr>
          <w:instrText xml:space="preserve"> PAGEREF _Toc536524260 \h </w:instrText>
        </w:r>
        <w:r>
          <w:rPr>
            <w:noProof/>
            <w:webHidden/>
          </w:rPr>
        </w:r>
        <w:r>
          <w:rPr>
            <w:noProof/>
            <w:webHidden/>
          </w:rPr>
          <w:fldChar w:fldCharType="separate"/>
        </w:r>
        <w:r>
          <w:rPr>
            <w:noProof/>
            <w:webHidden/>
          </w:rPr>
          <w:t>7</w:t>
        </w:r>
        <w:r>
          <w:rPr>
            <w:noProof/>
            <w:webHidden/>
          </w:rPr>
          <w:fldChar w:fldCharType="end"/>
        </w:r>
      </w:hyperlink>
    </w:p>
    <w:p>
      <w:pPr>
        <w:pStyle w:val="TOC3"/>
        <w:tabs>
          <w:tab w:val="left" w:pos="1320"/>
          <w:tab w:val="right" w:leader="dot" w:pos="9016"/>
        </w:tabs>
        <w:rPr>
          <w:rFonts w:asciiTheme="minorHAnsi" w:eastAsiaTheme="minorEastAsia" w:hAnsiTheme="minorHAnsi" w:cstheme="minorBidi"/>
          <w:noProof/>
          <w:lang w:val="en-GB" w:eastAsia="en-GB" w:bidi="ar-SA"/>
        </w:rPr>
      </w:pPr>
      <w:hyperlink w:anchor="_Toc536524261" w:history="1">
        <w:r>
          <w:rPr>
            <w:rStyle w:val="Hyperlink"/>
            <w:noProof/>
          </w:rPr>
          <w:t>3.1.4.</w:t>
        </w:r>
        <w:r>
          <w:rPr>
            <w:rFonts w:asciiTheme="minorHAnsi" w:eastAsiaTheme="minorEastAsia" w:hAnsiTheme="minorHAnsi" w:cstheme="minorBidi"/>
            <w:noProof/>
            <w:lang w:val="en-GB" w:eastAsia="en-GB" w:bidi="ar-SA"/>
          </w:rPr>
          <w:tab/>
        </w:r>
        <w:r>
          <w:rPr>
            <w:rStyle w:val="Hyperlink"/>
            <w:noProof/>
          </w:rPr>
          <w:t>Závazky subjektů kontrolovaných vládními institucemi zatříděných mimo sektor vládních institucí</w:t>
        </w:r>
        <w:r>
          <w:rPr>
            <w:noProof/>
            <w:webHidden/>
          </w:rPr>
          <w:tab/>
        </w:r>
        <w:r>
          <w:rPr>
            <w:noProof/>
            <w:webHidden/>
          </w:rPr>
          <w:fldChar w:fldCharType="begin"/>
        </w:r>
        <w:r>
          <w:rPr>
            <w:noProof/>
            <w:webHidden/>
          </w:rPr>
          <w:instrText xml:space="preserve"> PAGEREF _Toc536524261 \h </w:instrText>
        </w:r>
        <w:r>
          <w:rPr>
            <w:noProof/>
            <w:webHidden/>
          </w:rPr>
        </w:r>
        <w:r>
          <w:rPr>
            <w:noProof/>
            <w:webHidden/>
          </w:rPr>
          <w:fldChar w:fldCharType="separate"/>
        </w:r>
        <w:r>
          <w:rPr>
            <w:noProof/>
            <w:webHidden/>
          </w:rPr>
          <w:t>7</w:t>
        </w:r>
        <w:r>
          <w:rPr>
            <w:noProof/>
            <w:webHidden/>
          </w:rPr>
          <w:fldChar w:fldCharType="end"/>
        </w:r>
      </w:hyperlink>
    </w:p>
    <w:p>
      <w:pPr>
        <w:pStyle w:val="TOC2"/>
        <w:rPr>
          <w:rFonts w:asciiTheme="minorHAnsi" w:eastAsiaTheme="minorEastAsia" w:hAnsiTheme="minorHAnsi" w:cstheme="minorBidi"/>
          <w:lang w:val="en-GB" w:eastAsia="en-GB" w:bidi="ar-SA"/>
        </w:rPr>
      </w:pPr>
      <w:hyperlink w:anchor="_Toc536524262" w:history="1">
        <w:r>
          <w:rPr>
            <w:rStyle w:val="Hyperlink"/>
          </w:rPr>
          <w:t>3.2.</w:t>
        </w:r>
        <w:r>
          <w:rPr>
            <w:rFonts w:asciiTheme="minorHAnsi" w:eastAsiaTheme="minorEastAsia" w:hAnsiTheme="minorHAnsi" w:cstheme="minorBidi"/>
            <w:lang w:val="en-GB" w:eastAsia="en-GB" w:bidi="ar-SA"/>
          </w:rPr>
          <w:tab/>
        </w:r>
        <w:r>
          <w:rPr>
            <w:rStyle w:val="Hyperlink"/>
          </w:rPr>
          <w:t>Srovnatelnost údajů</w:t>
        </w:r>
        <w:r>
          <w:rPr>
            <w:webHidden/>
          </w:rPr>
          <w:tab/>
        </w:r>
        <w:r>
          <w:rPr>
            <w:webHidden/>
          </w:rPr>
          <w:fldChar w:fldCharType="begin"/>
        </w:r>
        <w:r>
          <w:rPr>
            <w:webHidden/>
          </w:rPr>
          <w:instrText xml:space="preserve"> PAGEREF _Toc536524262 \h </w:instrText>
        </w:r>
        <w:r>
          <w:rPr>
            <w:webHidden/>
          </w:rPr>
        </w:r>
        <w:r>
          <w:rPr>
            <w:webHidden/>
          </w:rPr>
          <w:fldChar w:fldCharType="separate"/>
        </w:r>
        <w:r>
          <w:rPr>
            <w:webHidden/>
          </w:rPr>
          <w:t>7</w:t>
        </w:r>
        <w:r>
          <w:rPr>
            <w:webHidden/>
          </w:rPr>
          <w:fldChar w:fldCharType="end"/>
        </w:r>
      </w:hyperlink>
    </w:p>
    <w:p>
      <w:pPr>
        <w:pStyle w:val="TOC1"/>
        <w:tabs>
          <w:tab w:val="left" w:pos="440"/>
          <w:tab w:val="right" w:leader="dot" w:pos="9016"/>
        </w:tabs>
        <w:rPr>
          <w:rFonts w:asciiTheme="minorHAnsi" w:eastAsiaTheme="minorEastAsia" w:hAnsiTheme="minorHAnsi" w:cstheme="minorBidi"/>
          <w:noProof/>
          <w:lang w:val="en-GB" w:eastAsia="en-GB" w:bidi="ar-SA"/>
        </w:rPr>
      </w:pPr>
      <w:hyperlink w:anchor="_Toc536524263" w:history="1">
        <w:r>
          <w:rPr>
            <w:rStyle w:val="Hyperlink"/>
            <w:rFonts w:ascii="Times New Roman" w:hAnsi="Times New Roman"/>
            <w:b/>
            <w:bCs/>
            <w:smallCaps/>
            <w:noProof/>
          </w:rPr>
          <w:t>4.</w:t>
        </w:r>
        <w:r>
          <w:rPr>
            <w:rFonts w:asciiTheme="minorHAnsi" w:eastAsiaTheme="minorEastAsia" w:hAnsiTheme="minorHAnsi" w:cstheme="minorBidi"/>
            <w:noProof/>
            <w:lang w:val="en-GB" w:eastAsia="en-GB" w:bidi="ar-SA"/>
          </w:rPr>
          <w:tab/>
        </w:r>
        <w:r>
          <w:rPr>
            <w:rStyle w:val="Hyperlink"/>
            <w:rFonts w:ascii="Times New Roman" w:hAnsi="Times New Roman"/>
            <w:b/>
            <w:bCs/>
            <w:smallCaps/>
            <w:noProof/>
          </w:rPr>
          <w:t>Další sběry údajů provedené Eurostatem</w:t>
        </w:r>
        <w:r>
          <w:rPr>
            <w:noProof/>
            <w:webHidden/>
          </w:rPr>
          <w:tab/>
        </w:r>
        <w:r>
          <w:rPr>
            <w:noProof/>
            <w:webHidden/>
          </w:rPr>
          <w:fldChar w:fldCharType="begin"/>
        </w:r>
        <w:r>
          <w:rPr>
            <w:noProof/>
            <w:webHidden/>
          </w:rPr>
          <w:instrText xml:space="preserve"> PAGEREF _Toc536524263 \h </w:instrText>
        </w:r>
        <w:r>
          <w:rPr>
            <w:noProof/>
            <w:webHidden/>
          </w:rPr>
        </w:r>
        <w:r>
          <w:rPr>
            <w:noProof/>
            <w:webHidden/>
          </w:rPr>
          <w:fldChar w:fldCharType="separate"/>
        </w:r>
        <w:r>
          <w:rPr>
            <w:noProof/>
            <w:webHidden/>
          </w:rPr>
          <w:t>8</w:t>
        </w:r>
        <w:r>
          <w:rPr>
            <w:noProof/>
            <w:webHidden/>
          </w:rPr>
          <w:fldChar w:fldCharType="end"/>
        </w:r>
      </w:hyperlink>
    </w:p>
    <w:p>
      <w:pPr>
        <w:pStyle w:val="TOC2"/>
        <w:rPr>
          <w:rFonts w:asciiTheme="minorHAnsi" w:eastAsiaTheme="minorEastAsia" w:hAnsiTheme="minorHAnsi" w:cstheme="minorBidi"/>
          <w:lang w:val="en-GB" w:eastAsia="en-GB" w:bidi="ar-SA"/>
        </w:rPr>
      </w:pPr>
      <w:hyperlink w:anchor="_Toc536524264" w:history="1">
        <w:r>
          <w:rPr>
            <w:rStyle w:val="Hyperlink"/>
          </w:rPr>
          <w:t>4.1.</w:t>
        </w:r>
        <w:r>
          <w:rPr>
            <w:rFonts w:asciiTheme="minorHAnsi" w:eastAsiaTheme="minorEastAsia" w:hAnsiTheme="minorHAnsi" w:cstheme="minorBidi"/>
            <w:lang w:val="en-GB" w:eastAsia="en-GB" w:bidi="ar-SA"/>
          </w:rPr>
          <w:tab/>
        </w:r>
        <w:r>
          <w:rPr>
            <w:rStyle w:val="Hyperlink"/>
          </w:rPr>
          <w:t>Podmíněné závazky vládních institucí vůči finančnímu sektoru</w:t>
        </w:r>
        <w:r>
          <w:rPr>
            <w:webHidden/>
          </w:rPr>
          <w:tab/>
        </w:r>
        <w:r>
          <w:rPr>
            <w:webHidden/>
          </w:rPr>
          <w:fldChar w:fldCharType="begin"/>
        </w:r>
        <w:r>
          <w:rPr>
            <w:webHidden/>
          </w:rPr>
          <w:instrText xml:space="preserve"> PAGEREF _Toc536524264 \h </w:instrText>
        </w:r>
        <w:r>
          <w:rPr>
            <w:webHidden/>
          </w:rPr>
        </w:r>
        <w:r>
          <w:rPr>
            <w:webHidden/>
          </w:rPr>
          <w:fldChar w:fldCharType="separate"/>
        </w:r>
        <w:r>
          <w:rPr>
            <w:webHidden/>
          </w:rPr>
          <w:t>8</w:t>
        </w:r>
        <w:r>
          <w:rPr>
            <w:webHidden/>
          </w:rPr>
          <w:fldChar w:fldCharType="end"/>
        </w:r>
      </w:hyperlink>
    </w:p>
    <w:p>
      <w:pPr>
        <w:pStyle w:val="TOC2"/>
        <w:rPr>
          <w:rFonts w:asciiTheme="minorHAnsi" w:eastAsiaTheme="minorEastAsia" w:hAnsiTheme="minorHAnsi" w:cstheme="minorBidi"/>
          <w:lang w:val="en-GB" w:eastAsia="en-GB" w:bidi="ar-SA"/>
        </w:rPr>
      </w:pPr>
      <w:hyperlink w:anchor="_Toc536524265" w:history="1">
        <w:r>
          <w:rPr>
            <w:rStyle w:val="Hyperlink"/>
          </w:rPr>
          <w:t>4.2.</w:t>
        </w:r>
        <w:r>
          <w:rPr>
            <w:rFonts w:asciiTheme="minorHAnsi" w:eastAsiaTheme="minorEastAsia" w:hAnsiTheme="minorHAnsi" w:cstheme="minorBidi"/>
            <w:lang w:val="en-GB" w:eastAsia="en-GB" w:bidi="ar-SA"/>
          </w:rPr>
          <w:tab/>
        </w:r>
        <w:r>
          <w:rPr>
            <w:rStyle w:val="Hyperlink"/>
          </w:rPr>
          <w:t>Další zdroje údajů Eurostatu</w:t>
        </w:r>
        <w:r>
          <w:rPr>
            <w:webHidden/>
          </w:rPr>
          <w:tab/>
        </w:r>
        <w:r>
          <w:rPr>
            <w:webHidden/>
          </w:rPr>
          <w:fldChar w:fldCharType="begin"/>
        </w:r>
        <w:r>
          <w:rPr>
            <w:webHidden/>
          </w:rPr>
          <w:instrText xml:space="preserve"> PAGEREF _Toc536524265 \h </w:instrText>
        </w:r>
        <w:r>
          <w:rPr>
            <w:webHidden/>
          </w:rPr>
        </w:r>
        <w:r>
          <w:rPr>
            <w:webHidden/>
          </w:rPr>
          <w:fldChar w:fldCharType="separate"/>
        </w:r>
        <w:r>
          <w:rPr>
            <w:webHidden/>
          </w:rPr>
          <w:t>8</w:t>
        </w:r>
        <w:r>
          <w:rPr>
            <w:webHidden/>
          </w:rPr>
          <w:fldChar w:fldCharType="end"/>
        </w:r>
      </w:hyperlink>
    </w:p>
    <w:p>
      <w:pPr>
        <w:pStyle w:val="TOC1"/>
        <w:tabs>
          <w:tab w:val="left" w:pos="440"/>
          <w:tab w:val="right" w:leader="dot" w:pos="9016"/>
        </w:tabs>
        <w:rPr>
          <w:rFonts w:asciiTheme="minorHAnsi" w:eastAsiaTheme="minorEastAsia" w:hAnsiTheme="minorHAnsi" w:cstheme="minorBidi"/>
          <w:noProof/>
          <w:lang w:val="en-GB" w:eastAsia="en-GB" w:bidi="ar-SA"/>
        </w:rPr>
      </w:pPr>
      <w:hyperlink w:anchor="_Toc536524266" w:history="1">
        <w:r>
          <w:rPr>
            <w:rStyle w:val="Hyperlink"/>
            <w:rFonts w:ascii="Times New Roman" w:hAnsi="Times New Roman"/>
            <w:b/>
            <w:bCs/>
            <w:smallCaps/>
            <w:noProof/>
          </w:rPr>
          <w:t>5.</w:t>
        </w:r>
        <w:r>
          <w:rPr>
            <w:rFonts w:asciiTheme="minorHAnsi" w:eastAsiaTheme="minorEastAsia" w:hAnsiTheme="minorHAnsi" w:cstheme="minorBidi"/>
            <w:noProof/>
            <w:lang w:val="en-GB" w:eastAsia="en-GB" w:bidi="ar-SA"/>
          </w:rPr>
          <w:tab/>
        </w:r>
        <w:r>
          <w:rPr>
            <w:rStyle w:val="Hyperlink"/>
            <w:rFonts w:ascii="Times New Roman" w:hAnsi="Times New Roman"/>
            <w:b/>
            <w:bCs/>
            <w:smallCaps/>
            <w:noProof/>
          </w:rPr>
          <w:t>Závěry</w:t>
        </w:r>
        <w:r>
          <w:rPr>
            <w:noProof/>
            <w:webHidden/>
          </w:rPr>
          <w:tab/>
        </w:r>
        <w:r>
          <w:rPr>
            <w:noProof/>
            <w:webHidden/>
          </w:rPr>
          <w:fldChar w:fldCharType="begin"/>
        </w:r>
        <w:r>
          <w:rPr>
            <w:noProof/>
            <w:webHidden/>
          </w:rPr>
          <w:instrText xml:space="preserve"> PAGEREF _Toc536524266 \h </w:instrText>
        </w:r>
        <w:r>
          <w:rPr>
            <w:noProof/>
            <w:webHidden/>
          </w:rPr>
        </w:r>
        <w:r>
          <w:rPr>
            <w:noProof/>
            <w:webHidden/>
          </w:rPr>
          <w:fldChar w:fldCharType="separate"/>
        </w:r>
        <w:r>
          <w:rPr>
            <w:noProof/>
            <w:webHidden/>
          </w:rPr>
          <w:t>9</w:t>
        </w:r>
        <w:r>
          <w:rPr>
            <w:noProof/>
            <w:webHidden/>
          </w:rPr>
          <w:fldChar w:fldCharType="end"/>
        </w:r>
      </w:hyperlink>
    </w:p>
    <w:p>
      <w:pPr>
        <w:pStyle w:val="TOC1"/>
        <w:tabs>
          <w:tab w:val="left" w:pos="440"/>
          <w:tab w:val="right" w:leader="dot" w:pos="9016"/>
        </w:tabs>
        <w:rPr>
          <w:rFonts w:asciiTheme="minorHAnsi" w:eastAsiaTheme="minorEastAsia" w:hAnsiTheme="minorHAnsi" w:cstheme="minorBidi"/>
          <w:noProof/>
        </w:rPr>
      </w:pPr>
      <w:r>
        <w:rPr>
          <w:rFonts w:ascii="Times New Roman" w:eastAsia="Times New Roman" w:hAnsi="Times New Roman"/>
          <w:b/>
          <w:bCs/>
          <w:noProof/>
          <w:sz w:val="24"/>
        </w:rPr>
        <w:fldChar w:fldCharType="end"/>
      </w:r>
    </w:p>
    <w:p>
      <w:pPr>
        <w:spacing w:after="0" w:line="240" w:lineRule="auto"/>
        <w:rPr>
          <w:rFonts w:ascii="Times New Roman" w:eastAsia="Times New Roman" w:hAnsi="Times New Roman"/>
          <w:b/>
          <w:bCs/>
          <w:smallCaps/>
          <w:noProof/>
          <w:sz w:val="24"/>
          <w:szCs w:val="28"/>
        </w:rPr>
      </w:pPr>
      <w:bookmarkStart w:id="2" w:name="_Toc342558477"/>
      <w:r>
        <w:rPr>
          <w:noProof/>
        </w:rPr>
        <w:br w:type="page"/>
      </w:r>
    </w:p>
    <w:p>
      <w:pPr>
        <w:keepNext/>
        <w:numPr>
          <w:ilvl w:val="0"/>
          <w:numId w:val="2"/>
        </w:numPr>
        <w:shd w:val="clear" w:color="auto" w:fill="FFFFFF"/>
        <w:spacing w:before="360" w:after="120" w:line="240" w:lineRule="auto"/>
        <w:jc w:val="both"/>
        <w:outlineLvl w:val="0"/>
        <w:rPr>
          <w:rStyle w:val="Heading1Char"/>
          <w:rFonts w:eastAsia="Calibri"/>
          <w:noProof/>
        </w:rPr>
      </w:pPr>
      <w:bookmarkStart w:id="3" w:name="_Toc410373480"/>
      <w:bookmarkStart w:id="4" w:name="_Toc413919809"/>
      <w:bookmarkStart w:id="5" w:name="_Toc413920795"/>
      <w:bookmarkStart w:id="6" w:name="_Toc414992036"/>
      <w:bookmarkStart w:id="7" w:name="_Toc536173290"/>
      <w:bookmarkStart w:id="8" w:name="_Toc536524247"/>
      <w:bookmarkEnd w:id="2"/>
      <w:r>
        <w:rPr>
          <w:rStyle w:val="Heading1Char"/>
          <w:rFonts w:eastAsiaTheme="minorHAnsi"/>
          <w:noProof/>
        </w:rPr>
        <w:t>Souvislosti</w:t>
      </w:r>
      <w:bookmarkEnd w:id="3"/>
      <w:bookmarkEnd w:id="4"/>
      <w:bookmarkEnd w:id="5"/>
      <w:bookmarkEnd w:id="6"/>
      <w:bookmarkEnd w:id="7"/>
      <w:bookmarkEnd w:id="8"/>
    </w:p>
    <w:p>
      <w:pPr>
        <w:spacing w:before="120" w:after="120" w:line="240" w:lineRule="auto"/>
        <w:ind w:left="850"/>
        <w:jc w:val="both"/>
        <w:rPr>
          <w:rFonts w:ascii="Times New Roman" w:hAnsi="Times New Roman"/>
          <w:noProof/>
          <w:sz w:val="24"/>
        </w:rPr>
      </w:pPr>
      <w:r>
        <w:rPr>
          <w:rFonts w:ascii="Times New Roman" w:hAnsi="Times New Roman"/>
          <w:noProof/>
          <w:sz w:val="24"/>
        </w:rPr>
        <w:t>Článek 11 nařízení (EU) č. 549/2013 o Evropském systému národních a regionálních účtů v Evropské unii</w:t>
      </w:r>
      <w:r>
        <w:rPr>
          <w:rStyle w:val="FootnoteReference"/>
          <w:rFonts w:ascii="Times New Roman" w:hAnsi="Times New Roman"/>
          <w:noProof/>
          <w:sz w:val="24"/>
        </w:rPr>
        <w:footnoteReference w:id="1"/>
      </w:r>
      <w:r>
        <w:rPr>
          <w:rFonts w:ascii="Times New Roman" w:hAnsi="Times New Roman"/>
          <w:noProof/>
          <w:sz w:val="24"/>
        </w:rPr>
        <w:t xml:space="preserve"> (dále jen „ESA 2010“) požaduje, aby Komise do roku 2018 předložila Evropskému parlamentu a Radě další zprávu, která zhodnotí, do jaké míry informace o závazcích zveřejňované Komisí (Eurostatem) zachycují implicitní závazky mimo vládní instituce, včetně podmíněných závazků, v jejich úplnosti. Předchozí zpráva Komise (Eurostatu) na toto téma byla zveřejněna v roce 2015</w:t>
      </w:r>
      <w:r>
        <w:rPr>
          <w:rStyle w:val="FootnoteReference"/>
          <w:rFonts w:ascii="Times New Roman" w:hAnsi="Times New Roman"/>
          <w:noProof/>
          <w:sz w:val="24"/>
        </w:rPr>
        <w:footnoteReference w:id="2"/>
      </w:r>
      <w:r>
        <w:rPr>
          <w:rFonts w:ascii="Times New Roman" w:hAnsi="Times New Roman"/>
          <w:noProof/>
          <w:sz w:val="24"/>
        </w:rPr>
        <w:t xml:space="preserve"> a uváděla v té době aktuální informace o partnerstvích veřejného a soukromého sektoru a dalších implicitních závazcích, včetně podmíněných závazků, mimo vládní instituce</w:t>
      </w:r>
      <w:r>
        <w:rPr>
          <w:noProof/>
        </w:rPr>
        <w:t>.</w:t>
      </w:r>
    </w:p>
    <w:p>
      <w:pPr>
        <w:spacing w:before="30" w:after="30" w:line="240" w:lineRule="auto"/>
        <w:ind w:left="850"/>
        <w:jc w:val="both"/>
        <w:rPr>
          <w:rFonts w:ascii="Times New Roman" w:eastAsia="Times New Roman" w:hAnsi="Times New Roman"/>
          <w:noProof/>
          <w:sz w:val="24"/>
          <w:szCs w:val="24"/>
        </w:rPr>
      </w:pPr>
      <w:r>
        <w:rPr>
          <w:rFonts w:ascii="Times New Roman" w:hAnsi="Times New Roman"/>
          <w:noProof/>
          <w:sz w:val="24"/>
        </w:rPr>
        <w:t xml:space="preserve">Závazky jsou </w:t>
      </w:r>
      <w:r>
        <w:rPr>
          <w:rFonts w:ascii="Times New Roman" w:hAnsi="Times New Roman"/>
          <w:i/>
          <w:noProof/>
          <w:sz w:val="24"/>
        </w:rPr>
        <w:t>podmíněné</w:t>
      </w:r>
      <w:r>
        <w:rPr>
          <w:rFonts w:ascii="Times New Roman" w:hAnsi="Times New Roman"/>
          <w:noProof/>
          <w:sz w:val="24"/>
        </w:rPr>
        <w:t xml:space="preserve"> v tom smyslu, že jsou ze své podstaty pouze potenciální, a nikoli skutečné. Význam shromažďování tohoto druhu informací je uznán v odstavci 5.11 přílohy A ESA 2010: „</w:t>
      </w:r>
      <w:r>
        <w:rPr>
          <w:rFonts w:ascii="Times New Roman" w:hAnsi="Times New Roman"/>
          <w:i/>
          <w:noProof/>
          <w:sz w:val="24"/>
        </w:rPr>
        <w:t>Přestože se podmíněná aktiva a podmíněné závazky na účtech nezaznamenávají, jsou důležité pro politiku a analýzu a informace o nich je třeba shromažďovat a vykazovat ve formě doplňujících údajů. Ačkoli podmíněná aktiva a podmíněné závazky nemusí nakonec vést k výdajovým platbám, vysoký objem podmíněných položek může svědčit o nežádoucí úrovni rizika na straně jednotek, které je nabízejí</w:t>
      </w:r>
      <w:r>
        <w:rPr>
          <w:rFonts w:ascii="Times New Roman" w:hAnsi="Times New Roman"/>
          <w:noProof/>
          <w:sz w:val="24"/>
        </w:rPr>
        <w:t>.“</w:t>
      </w:r>
    </w:p>
    <w:p>
      <w:pPr>
        <w:spacing w:before="30" w:after="30" w:line="240" w:lineRule="auto"/>
        <w:ind w:left="850"/>
        <w:jc w:val="both"/>
        <w:rPr>
          <w:rFonts w:ascii="Times New Roman" w:eastAsia="Times New Roman" w:hAnsi="Times New Roman"/>
          <w:i/>
          <w:noProof/>
          <w:sz w:val="24"/>
          <w:szCs w:val="24"/>
        </w:rPr>
      </w:pPr>
      <w:r>
        <w:rPr>
          <w:rFonts w:ascii="Times New Roman" w:hAnsi="Times New Roman"/>
          <w:noProof/>
          <w:sz w:val="24"/>
        </w:rPr>
        <w:t>Dále je třeba zdůraznit, že podmíněné závazky nejsou součástí veřejného zadlužení, jak je definováno v nařízení Rady (ES) č. 479/2009 o použití Protokolu o postupu při nadměrném schodku</w:t>
      </w:r>
      <w:r>
        <w:rPr>
          <w:rStyle w:val="FootnoteReference"/>
          <w:rFonts w:ascii="Times New Roman" w:hAnsi="Times New Roman"/>
          <w:noProof/>
          <w:sz w:val="24"/>
        </w:rPr>
        <w:footnoteReference w:id="3"/>
      </w:r>
      <w:r>
        <w:rPr>
          <w:rFonts w:ascii="Times New Roman" w:hAnsi="Times New Roman"/>
          <w:noProof/>
          <w:sz w:val="24"/>
        </w:rPr>
        <w:t>.</w:t>
      </w:r>
    </w:p>
    <w:p>
      <w:pPr>
        <w:spacing w:before="120" w:after="120" w:line="240" w:lineRule="auto"/>
        <w:ind w:left="850"/>
        <w:jc w:val="both"/>
        <w:rPr>
          <w:rFonts w:ascii="Times New Roman" w:hAnsi="Times New Roman"/>
          <w:noProof/>
          <w:sz w:val="24"/>
        </w:rPr>
      </w:pPr>
      <w:r>
        <w:rPr>
          <w:rFonts w:ascii="Times New Roman" w:hAnsi="Times New Roman"/>
          <w:noProof/>
          <w:sz w:val="24"/>
        </w:rPr>
        <w:t>Tato zpráva poskytuje aktualizovaný přehled informací, které má Eurostat k dispozici. Zaměřuje se především na údaje o podmíněných závazcích shromážděné Eurostatem v souvislosti s posílením správy ekonomických záležitostí EU, které proběhlo v roce 2011 („balíček šesti právních aktů týkajících se správy ekonomických záležitostí“), a zejména na sběr údajů uvedený ve směrnici 2011/85/EU o požadavcích na rozpočtové rámce členských států</w:t>
      </w:r>
      <w:r>
        <w:rPr>
          <w:rStyle w:val="FootnoteReference"/>
          <w:rFonts w:ascii="Times New Roman" w:hAnsi="Times New Roman"/>
          <w:noProof/>
          <w:sz w:val="24"/>
        </w:rPr>
        <w:footnoteReference w:id="4"/>
      </w:r>
      <w:r>
        <w:rPr>
          <w:rFonts w:ascii="Times New Roman" w:hAnsi="Times New Roman"/>
          <w:noProof/>
          <w:sz w:val="24"/>
        </w:rPr>
        <w:t>. Ustanovení čl. 14 odst. 3 této směrnice vymezuje nové statistické požadavky na členské státy:</w:t>
      </w:r>
    </w:p>
    <w:p>
      <w:pPr>
        <w:spacing w:before="120" w:after="120" w:line="240" w:lineRule="auto"/>
        <w:ind w:left="850"/>
        <w:jc w:val="both"/>
        <w:rPr>
          <w:rFonts w:ascii="Times New Roman" w:hAnsi="Times New Roman"/>
          <w:i/>
          <w:noProof/>
          <w:sz w:val="24"/>
        </w:rPr>
      </w:pPr>
      <w:r>
        <w:rPr>
          <w:rFonts w:ascii="Times New Roman" w:hAnsi="Times New Roman"/>
          <w:i/>
          <w:noProof/>
          <w:sz w:val="24"/>
        </w:rPr>
        <w:t>„Členské státy zveřejní příslušné informace, týkající se všech subsektorů sektoru vládních institucí, o podmíněných závazcích s potenciálně velkým dopadem na veřejné finance, což zahrnuje mimo jiné vládní záruky, úvěry se selháním a závazky vyplývající z činnosti veřejných společností, včetně jejich rozsahu. Členské státy rovněž zveřejní informace o držených majetkových účastech v soukromých a veřejných společnostech, pokud jde o ekonomicky významné částky.“</w:t>
      </w:r>
    </w:p>
    <w:p>
      <w:pPr>
        <w:spacing w:before="120" w:after="120" w:line="240" w:lineRule="auto"/>
        <w:ind w:left="850"/>
        <w:jc w:val="both"/>
        <w:rPr>
          <w:rFonts w:ascii="Times New Roman" w:hAnsi="Times New Roman"/>
          <w:noProof/>
          <w:sz w:val="24"/>
        </w:rPr>
      </w:pPr>
      <w:r>
        <w:rPr>
          <w:rFonts w:ascii="Times New Roman" w:hAnsi="Times New Roman"/>
          <w:noProof/>
          <w:sz w:val="24"/>
        </w:rPr>
        <w:t xml:space="preserve">Údaje shromážděné v souvislosti s výše uvedenou směrnicí jsou hlavním zdrojem informací týkajících se podmíněných závazků sektoru vládních institucí v členských státech. Kromě toho poskytují další sběry údajů provedené Eurostatem (tedy </w:t>
      </w:r>
      <w:r>
        <w:rPr>
          <w:rFonts w:ascii="Times New Roman" w:hAnsi="Times New Roman"/>
          <w:i/>
          <w:noProof/>
          <w:sz w:val="24"/>
        </w:rPr>
        <w:t>Doplňková tabulka týkající se finanční krize, dotazník u postupu při nadměrném schodku</w:t>
      </w:r>
      <w:r>
        <w:rPr>
          <w:rFonts w:ascii="Times New Roman" w:hAnsi="Times New Roman"/>
          <w:noProof/>
          <w:sz w:val="24"/>
        </w:rPr>
        <w:t>) omezené a/nebo důvěrné informace týkající se určitých druhů podmíněných závazků.  Rozsah informací, které byly k dispozici z těchto zdrojů, bude v této zprávě rovněž uveden.</w:t>
      </w:r>
    </w:p>
    <w:p>
      <w:pPr>
        <w:keepNext/>
        <w:numPr>
          <w:ilvl w:val="0"/>
          <w:numId w:val="2"/>
        </w:numPr>
        <w:shd w:val="clear" w:color="auto" w:fill="FFFFFF"/>
        <w:spacing w:before="360" w:after="120" w:line="240" w:lineRule="auto"/>
        <w:jc w:val="both"/>
        <w:outlineLvl w:val="0"/>
        <w:rPr>
          <w:rFonts w:ascii="Times New Roman" w:eastAsia="Times New Roman" w:hAnsi="Times New Roman"/>
          <w:b/>
          <w:bCs/>
          <w:smallCaps/>
          <w:noProof/>
          <w:sz w:val="24"/>
          <w:szCs w:val="28"/>
        </w:rPr>
      </w:pPr>
      <w:bookmarkStart w:id="9" w:name="_Toc413919810"/>
      <w:bookmarkStart w:id="10" w:name="_Toc413920796"/>
      <w:bookmarkStart w:id="11" w:name="_Toc414992037"/>
      <w:bookmarkStart w:id="12" w:name="_Toc536173291"/>
      <w:bookmarkStart w:id="13" w:name="_Toc536524248"/>
      <w:bookmarkStart w:id="14" w:name="_Toc342558478"/>
      <w:bookmarkStart w:id="15" w:name="_Toc410373481"/>
      <w:r>
        <w:rPr>
          <w:rStyle w:val="Heading1Char"/>
          <w:rFonts w:eastAsiaTheme="minorHAnsi"/>
          <w:noProof/>
        </w:rPr>
        <w:t>Přehled údajů shromážděných Eurostatem</w:t>
      </w:r>
      <w:r>
        <w:rPr>
          <w:noProof/>
        </w:rPr>
        <w:t xml:space="preserve"> </w:t>
      </w:r>
      <w:r>
        <w:rPr>
          <w:rFonts w:ascii="Times New Roman" w:hAnsi="Times New Roman"/>
          <w:b/>
          <w:smallCaps/>
          <w:noProof/>
          <w:sz w:val="24"/>
        </w:rPr>
        <w:t>podle směrnice Rady 2011/85</w:t>
      </w:r>
      <w:bookmarkEnd w:id="9"/>
      <w:bookmarkEnd w:id="10"/>
      <w:bookmarkEnd w:id="11"/>
      <w:r>
        <w:rPr>
          <w:rFonts w:ascii="Times New Roman" w:hAnsi="Times New Roman"/>
          <w:b/>
          <w:smallCaps/>
          <w:noProof/>
          <w:sz w:val="24"/>
        </w:rPr>
        <w:t>/EU</w:t>
      </w:r>
      <w:bookmarkEnd w:id="12"/>
      <w:bookmarkEnd w:id="13"/>
    </w:p>
    <w:p>
      <w:pPr>
        <w:pStyle w:val="Heading2"/>
        <w:numPr>
          <w:ilvl w:val="1"/>
          <w:numId w:val="2"/>
        </w:numPr>
        <w:rPr>
          <w:noProof/>
        </w:rPr>
      </w:pPr>
      <w:bookmarkStart w:id="16" w:name="_Toc413919811"/>
      <w:bookmarkStart w:id="17" w:name="_Toc413920797"/>
      <w:bookmarkStart w:id="18" w:name="_Toc414992038"/>
      <w:bookmarkStart w:id="19" w:name="_Toc536173292"/>
      <w:bookmarkStart w:id="20" w:name="_Toc536524249"/>
      <w:r>
        <w:rPr>
          <w:noProof/>
        </w:rPr>
        <w:t>Vykazování podle čl. 14 odst. 3 směrnice Rady 2011/85</w:t>
      </w:r>
      <w:bookmarkEnd w:id="16"/>
      <w:bookmarkEnd w:id="17"/>
      <w:bookmarkEnd w:id="18"/>
      <w:r>
        <w:rPr>
          <w:noProof/>
        </w:rPr>
        <w:t>/EU</w:t>
      </w:r>
      <w:bookmarkEnd w:id="19"/>
      <w:bookmarkEnd w:id="20"/>
    </w:p>
    <w:p>
      <w:pPr>
        <w:spacing w:before="120" w:after="120" w:line="240" w:lineRule="auto"/>
        <w:ind w:left="850"/>
        <w:jc w:val="both"/>
        <w:rPr>
          <w:rFonts w:ascii="Times New Roman" w:hAnsi="Times New Roman"/>
          <w:noProof/>
          <w:sz w:val="24"/>
        </w:rPr>
      </w:pPr>
      <w:r>
        <w:rPr>
          <w:rFonts w:ascii="Times New Roman" w:hAnsi="Times New Roman"/>
          <w:noProof/>
          <w:sz w:val="24"/>
        </w:rPr>
        <w:t>Na provádění statistických požadavků směrnice panovala široká shoda v pracovní skupině vedené Eurostatem ve spolupráci s členskými státy a GŘ ECFIN</w:t>
      </w:r>
      <w:r>
        <w:rPr>
          <w:rStyle w:val="FootnoteReference"/>
          <w:rFonts w:ascii="Times New Roman" w:hAnsi="Times New Roman"/>
          <w:noProof/>
          <w:sz w:val="24"/>
        </w:rPr>
        <w:footnoteReference w:id="5"/>
      </w:r>
      <w:r>
        <w:rPr>
          <w:rFonts w:ascii="Times New Roman" w:hAnsi="Times New Roman"/>
          <w:noProof/>
          <w:sz w:val="24"/>
        </w:rPr>
        <w:t xml:space="preserve">. Závěrečná zpráva pracovní skupiny obsahuje mimo jiné soubor šablon a souvisejících poznámek týkajících se metodiky, rozsahu povinných údajů, periodicity a včasnosti zveřejňování údajů o podmíněných závazcích, které se provádí vnitrostátně i které provádí Eurostat. </w:t>
      </w:r>
    </w:p>
    <w:p>
      <w:pPr>
        <w:spacing w:before="120" w:after="120" w:line="240" w:lineRule="auto"/>
        <w:ind w:left="850"/>
        <w:jc w:val="both"/>
        <w:rPr>
          <w:rFonts w:ascii="Times New Roman" w:hAnsi="Times New Roman"/>
          <w:noProof/>
          <w:sz w:val="24"/>
        </w:rPr>
      </w:pPr>
      <w:r>
        <w:rPr>
          <w:rFonts w:ascii="Times New Roman" w:hAnsi="Times New Roman"/>
          <w:noProof/>
          <w:sz w:val="24"/>
        </w:rPr>
        <w:t xml:space="preserve">Zpráva rovněž upřesňuje, že Eurostat bude shromažďovat a zveřejňovat vybrané ukazatele týkající se podmíněných závazků, tj. </w:t>
      </w:r>
      <w:r>
        <w:rPr>
          <w:rFonts w:ascii="Times New Roman" w:hAnsi="Times New Roman"/>
          <w:i/>
          <w:noProof/>
          <w:sz w:val="24"/>
        </w:rPr>
        <w:t>vládní záruky, podrozvahová partnerství veřejného a soukromého sektoru, závazky subjektů kontrolovaných vládními institucemi zatříděných mimo sektor vládních institucí (veřejných korporací) a úvěry se selháním / ohrožené půjčky (aktiva vládních institucí)</w:t>
      </w:r>
      <w:r>
        <w:rPr>
          <w:rFonts w:ascii="Times New Roman" w:hAnsi="Times New Roman"/>
          <w:noProof/>
          <w:sz w:val="24"/>
        </w:rPr>
        <w:t>. Členské státy by měly zveřejnit tytéž ukazatele na vnitrostátní úrovni a kromě toho také údaje o držených majetkových účastech v korporacích.</w:t>
      </w:r>
    </w:p>
    <w:p>
      <w:pPr>
        <w:spacing w:before="120" w:after="120" w:line="240" w:lineRule="auto"/>
        <w:ind w:left="850"/>
        <w:jc w:val="both"/>
        <w:rPr>
          <w:rFonts w:ascii="Times New Roman" w:hAnsi="Times New Roman"/>
          <w:noProof/>
          <w:sz w:val="24"/>
        </w:rPr>
      </w:pPr>
      <w:r>
        <w:rPr>
          <w:rFonts w:ascii="Times New Roman" w:hAnsi="Times New Roman"/>
          <w:noProof/>
          <w:sz w:val="24"/>
        </w:rPr>
        <w:t xml:space="preserve">Potřebné změny v systému Eurostatu pro shromažďování údajů byly zavedeny dodatkem k dotazníku u postupu při nadměrném schodku, podle ustanovení čl. 8 odst. 2 písm. d) nařízení Rady (ES) č. 479/2009. Šablony a prováděcí pokyny byly obsaženy v rozhodnutí Eurostatu ze dne 22. července 2013 o </w:t>
      </w:r>
      <w:r>
        <w:rPr>
          <w:rFonts w:ascii="Times New Roman" w:hAnsi="Times New Roman"/>
          <w:i/>
          <w:noProof/>
          <w:sz w:val="24"/>
        </w:rPr>
        <w:t>Dodatku k dotazníku u postupu při nadměrném schodku o podmíněných závazcích a potenciálních závazcích</w:t>
      </w:r>
      <w:r>
        <w:rPr>
          <w:rStyle w:val="FootnoteReference"/>
          <w:rFonts w:ascii="Times New Roman" w:hAnsi="Times New Roman"/>
          <w:noProof/>
          <w:sz w:val="24"/>
        </w:rPr>
        <w:footnoteReference w:id="6"/>
      </w:r>
      <w:r>
        <w:rPr>
          <w:rFonts w:ascii="Times New Roman" w:hAnsi="Times New Roman"/>
          <w:noProof/>
          <w:sz w:val="24"/>
        </w:rPr>
        <w:t>. Uvedené rozhodnutí rovněž stanoví, že údaje o závazcích subjektů kontrolovaných vládními institucemi zatříděných mimo sektor vládních institucí (veřejných korporací) budou Eurostatem sestaveny na základě informací, které již byly shromážděny díky dotazníku o jednotkách kontrolovaných vládními institucemi zatříděných mimo sektor vládních institucí, jenž byl zaveden v roce 2011</w:t>
      </w:r>
      <w:r>
        <w:rPr>
          <w:noProof/>
          <w:vertAlign w:val="superscript"/>
        </w:rPr>
        <w:footnoteReference w:id="7"/>
      </w:r>
      <w:r>
        <w:rPr>
          <w:rFonts w:ascii="Times New Roman" w:hAnsi="Times New Roman"/>
          <w:noProof/>
          <w:sz w:val="24"/>
        </w:rPr>
        <w:t>.</w:t>
      </w:r>
    </w:p>
    <w:p>
      <w:pPr>
        <w:shd w:val="clear" w:color="auto" w:fill="FFFFFF"/>
        <w:spacing w:before="120" w:after="120" w:line="240" w:lineRule="auto"/>
        <w:ind w:left="850"/>
        <w:jc w:val="both"/>
        <w:rPr>
          <w:rFonts w:ascii="Times New Roman" w:hAnsi="Times New Roman"/>
          <w:noProof/>
          <w:sz w:val="24"/>
        </w:rPr>
      </w:pPr>
      <w:r>
        <w:rPr>
          <w:rFonts w:ascii="Times New Roman" w:hAnsi="Times New Roman"/>
          <w:noProof/>
          <w:sz w:val="24"/>
        </w:rPr>
        <w:t>Všechny ukazatele se Eurostatu vykazují v milionech jednotek národní měny na úrovni jednotlivých subsektorů sektoru vládních institucí. Metadata týkající se úplnosti, definic, použití odhadů nebo včasnosti údajů se Eurostatu poskytují společně s dotčenými údaji.</w:t>
      </w:r>
    </w:p>
    <w:p>
      <w:pPr>
        <w:pStyle w:val="Heading2"/>
        <w:numPr>
          <w:ilvl w:val="1"/>
          <w:numId w:val="2"/>
        </w:numPr>
        <w:rPr>
          <w:noProof/>
        </w:rPr>
      </w:pPr>
      <w:bookmarkStart w:id="21" w:name="_Toc413919812"/>
      <w:bookmarkStart w:id="22" w:name="_Toc413920798"/>
      <w:bookmarkStart w:id="23" w:name="_Toc414992039"/>
      <w:bookmarkStart w:id="24" w:name="_Toc536173293"/>
      <w:bookmarkStart w:id="25" w:name="_Toc536524250"/>
      <w:r>
        <w:rPr>
          <w:noProof/>
        </w:rPr>
        <w:t>Lhůty</w:t>
      </w:r>
      <w:bookmarkEnd w:id="21"/>
      <w:bookmarkEnd w:id="22"/>
      <w:bookmarkEnd w:id="23"/>
      <w:bookmarkEnd w:id="24"/>
      <w:bookmarkEnd w:id="25"/>
    </w:p>
    <w:p>
      <w:pPr>
        <w:spacing w:before="120" w:after="120" w:line="240" w:lineRule="auto"/>
        <w:ind w:left="850"/>
        <w:jc w:val="both"/>
        <w:rPr>
          <w:rFonts w:ascii="Times New Roman" w:hAnsi="Times New Roman"/>
          <w:noProof/>
          <w:sz w:val="24"/>
        </w:rPr>
      </w:pPr>
      <w:r>
        <w:rPr>
          <w:rFonts w:ascii="Times New Roman" w:hAnsi="Times New Roman"/>
          <w:noProof/>
          <w:sz w:val="24"/>
        </w:rPr>
        <w:t>„</w:t>
      </w:r>
      <w:r>
        <w:rPr>
          <w:rFonts w:ascii="Times New Roman" w:hAnsi="Times New Roman"/>
          <w:i/>
          <w:noProof/>
          <w:sz w:val="24"/>
        </w:rPr>
        <w:t>Dodatek k dotazníku u postupu při nadměrném schodku o podmíněných závazcích a potenciálních závazcích</w:t>
      </w:r>
      <w:r>
        <w:rPr>
          <w:rFonts w:ascii="Times New Roman" w:hAnsi="Times New Roman"/>
          <w:noProof/>
          <w:sz w:val="24"/>
        </w:rPr>
        <w:t xml:space="preserve">“ by měl být Eurostatu předán národním statistickým úřadem každoročně před 31. prosincem roku T. Údaje by měly zahrnovat alespoň čtyři roky (T–1 až T–4) a dobrovolné revize historických údajů (T–5 a starších). </w:t>
      </w:r>
      <w:r>
        <w:rPr>
          <w:rFonts w:ascii="Times New Roman" w:hAnsi="Times New Roman"/>
          <w:i/>
          <w:noProof/>
          <w:sz w:val="24"/>
        </w:rPr>
        <w:t>Dotazník o jednotkách kontrolovaných vládními institucemi zatříděných mimo sektor vládních institucí</w:t>
      </w:r>
      <w:r>
        <w:rPr>
          <w:rFonts w:ascii="Times New Roman" w:hAnsi="Times New Roman"/>
          <w:noProof/>
          <w:sz w:val="24"/>
        </w:rPr>
        <w:t xml:space="preserve"> by měl být poskytnut ve stejné lhůtě a měl by odkazovat na rok T–1 (nebo T–2, nejsou-li k dispozici novější údaje).</w:t>
      </w:r>
    </w:p>
    <w:p>
      <w:pPr>
        <w:pStyle w:val="Heading2"/>
        <w:numPr>
          <w:ilvl w:val="1"/>
          <w:numId w:val="2"/>
        </w:numPr>
        <w:rPr>
          <w:noProof/>
        </w:rPr>
      </w:pPr>
      <w:bookmarkStart w:id="26" w:name="_Toc414991203"/>
      <w:bookmarkStart w:id="27" w:name="_Toc414992040"/>
      <w:bookmarkStart w:id="28" w:name="_Toc413919813"/>
      <w:bookmarkStart w:id="29" w:name="_Toc413920799"/>
      <w:bookmarkStart w:id="30" w:name="_Toc414992041"/>
      <w:bookmarkStart w:id="31" w:name="_Toc536173294"/>
      <w:bookmarkStart w:id="32" w:name="_Toc536524251"/>
      <w:bookmarkEnd w:id="26"/>
      <w:bookmarkEnd w:id="27"/>
      <w:r>
        <w:rPr>
          <w:noProof/>
        </w:rPr>
        <w:t>Popis ukazatelů</w:t>
      </w:r>
      <w:bookmarkEnd w:id="28"/>
      <w:bookmarkEnd w:id="29"/>
      <w:bookmarkEnd w:id="30"/>
      <w:bookmarkEnd w:id="31"/>
      <w:bookmarkEnd w:id="32"/>
    </w:p>
    <w:p>
      <w:pPr>
        <w:spacing w:before="120" w:after="120" w:line="240" w:lineRule="auto"/>
        <w:ind w:left="850"/>
        <w:jc w:val="both"/>
        <w:rPr>
          <w:rFonts w:ascii="Times New Roman" w:hAnsi="Times New Roman"/>
          <w:noProof/>
          <w:sz w:val="24"/>
          <w:szCs w:val="24"/>
        </w:rPr>
      </w:pPr>
      <w:r>
        <w:rPr>
          <w:rFonts w:ascii="Times New Roman" w:hAnsi="Times New Roman"/>
          <w:noProof/>
          <w:sz w:val="24"/>
        </w:rPr>
        <w:t xml:space="preserve">V tomto oddíle jsou uvedeny dohodnuté pojmy a definice pro zveřejňování údajů o podmíněných závazcích, přičemž jejich uplatňování členskými státy na údaje poskytované Eurostatu je popsáno v oddíle 3. Je třeba zdůraznit, že níže uvedené ukazatele mají různorodou povahu a představují různé druhy potenciálního dopadu na veřejné finance. Kromě toho by se v některých případech mohlo stejné fiskální riziko odrazit ve dvou nebo více ukazatelích. Když například vládní instituce ručí za odpovědnost subjektu kontrolovaného vládními institucemi zatříděného mimo sektor vládních institucí, jsou potenciální rizika zahrnuta v údajích týkajících se jak </w:t>
      </w:r>
      <w:r>
        <w:rPr>
          <w:rFonts w:ascii="Times New Roman" w:hAnsi="Times New Roman"/>
          <w:i/>
          <w:noProof/>
          <w:sz w:val="24"/>
        </w:rPr>
        <w:t>Záruk</w:t>
      </w:r>
      <w:r>
        <w:rPr>
          <w:rFonts w:ascii="Times New Roman" w:hAnsi="Times New Roman"/>
          <w:noProof/>
          <w:sz w:val="24"/>
        </w:rPr>
        <w:t xml:space="preserve">, tak </w:t>
      </w:r>
      <w:r>
        <w:rPr>
          <w:rFonts w:ascii="Times New Roman" w:hAnsi="Times New Roman"/>
          <w:i/>
          <w:noProof/>
          <w:sz w:val="24"/>
        </w:rPr>
        <w:t>Závazků subjektů kontrolovaných vládními institucemi zatříděných mimo sektor vládních institucí</w:t>
      </w:r>
      <w:r>
        <w:rPr>
          <w:rFonts w:ascii="Times New Roman" w:hAnsi="Times New Roman"/>
          <w:noProof/>
          <w:sz w:val="24"/>
        </w:rPr>
        <w:t>. Hodnocení celkového rizika pro veřejné finance součtem ukazatelů by tak mohlo potenciální dopad nadhodnocovat.</w:t>
      </w:r>
    </w:p>
    <w:p>
      <w:pPr>
        <w:pStyle w:val="Heading3"/>
        <w:numPr>
          <w:ilvl w:val="2"/>
          <w:numId w:val="2"/>
        </w:numPr>
        <w:rPr>
          <w:noProof/>
        </w:rPr>
      </w:pPr>
      <w:bookmarkStart w:id="33" w:name="_Toc413919814"/>
      <w:bookmarkStart w:id="34" w:name="_Toc413920800"/>
      <w:bookmarkStart w:id="35" w:name="_Toc414992042"/>
      <w:bookmarkStart w:id="36" w:name="_Toc536173295"/>
      <w:bookmarkStart w:id="37" w:name="_Toc536524252"/>
      <w:r>
        <w:rPr>
          <w:noProof/>
        </w:rPr>
        <w:t>Vládní záruky</w:t>
      </w:r>
      <w:bookmarkEnd w:id="33"/>
      <w:bookmarkEnd w:id="34"/>
      <w:bookmarkEnd w:id="35"/>
      <w:bookmarkEnd w:id="36"/>
      <w:bookmarkEnd w:id="37"/>
    </w:p>
    <w:p>
      <w:pPr>
        <w:spacing w:before="120" w:after="120" w:line="240" w:lineRule="auto"/>
        <w:ind w:left="850"/>
        <w:jc w:val="both"/>
        <w:rPr>
          <w:rFonts w:ascii="Times New Roman" w:hAnsi="Times New Roman"/>
          <w:noProof/>
          <w:sz w:val="24"/>
        </w:rPr>
      </w:pPr>
      <w:bookmarkStart w:id="38" w:name="_Toc413919815"/>
      <w:r>
        <w:rPr>
          <w:rFonts w:ascii="Times New Roman" w:hAnsi="Times New Roman"/>
          <w:noProof/>
          <w:sz w:val="24"/>
        </w:rPr>
        <w:t>Eurostat shromažďuje informace o nesplacených částkách záruk poskytnutých vládními institucemi. Vykazují se pouze záruky poskytované jednotkám zatříděným mimo sektor vládních institucí. Je k dispozici členění podle subsektorů, kromě fondů sociálního zabezpečení, což není pro většinu členských států relevantní. Údaje se vykazují v nominální hodnotě.</w:t>
      </w:r>
      <w:bookmarkEnd w:id="38"/>
    </w:p>
    <w:p>
      <w:pPr>
        <w:spacing w:before="120" w:after="120" w:line="240" w:lineRule="auto"/>
        <w:ind w:left="850"/>
        <w:jc w:val="both"/>
        <w:rPr>
          <w:rFonts w:ascii="Times New Roman" w:hAnsi="Times New Roman"/>
          <w:noProof/>
          <w:sz w:val="24"/>
        </w:rPr>
      </w:pPr>
      <w:bookmarkStart w:id="39" w:name="_Toc413919816"/>
      <w:r>
        <w:rPr>
          <w:rFonts w:ascii="Times New Roman" w:hAnsi="Times New Roman"/>
          <w:noProof/>
          <w:sz w:val="24"/>
        </w:rPr>
        <w:t xml:space="preserve">Tyto údaje zahrnují jak jednorázové, tak standardizované záruky. Jednorázová záruka je definována jako individuální a ručitelé nemohou spolehlivě odhadnout riziko, že bude uplatněna. Jednorázové záruky jsou spojeny s dluhovými nástroji (např. úvěry, dluhopisy).  Údaje představují celkový stav dluhů zajištěných vládními institucemi, s výjimkou dluhu již převzatého vládními institucemi, jak je zaznamenán na účtech podle ESA 2010. Další členění je k dispozici pro jednorázové záruky poskytnuté veřejným korporacím a finančním institucím. </w:t>
      </w:r>
    </w:p>
    <w:p>
      <w:pPr>
        <w:spacing w:before="120" w:after="120" w:line="240" w:lineRule="auto"/>
        <w:ind w:left="850"/>
        <w:jc w:val="both"/>
        <w:rPr>
          <w:rFonts w:ascii="Times New Roman" w:hAnsi="Times New Roman"/>
          <w:noProof/>
          <w:sz w:val="24"/>
        </w:rPr>
      </w:pPr>
      <w:r>
        <w:rPr>
          <w:rFonts w:ascii="Times New Roman" w:hAnsi="Times New Roman"/>
          <w:noProof/>
          <w:sz w:val="24"/>
        </w:rPr>
        <w:t>Standardizované záruky jsou záruky vydávané ve velkých počtech, obvykle na poměrně nízké částky a za stejných podmínek. Není možné přesně odhadnout riziko u jakékoli jednotlivé půjčky, že nebude splácena, ale je možné odhadnout, kolik z velkého počtu těchto půjček bude nesplaceno. Příkladem jsou záruky za hypoteční úvěry, záruky za studentské půjčky atd.</w:t>
      </w:r>
      <w:bookmarkEnd w:id="39"/>
      <w:r>
        <w:rPr>
          <w:rFonts w:ascii="Times New Roman" w:hAnsi="Times New Roman"/>
          <w:noProof/>
          <w:sz w:val="24"/>
        </w:rPr>
        <w:t xml:space="preserve"> Údaje o standardizovaných zárukách představují celkový stav aktiv, na něž se vztahuje tento nástroj. </w:t>
      </w:r>
    </w:p>
    <w:p>
      <w:pPr>
        <w:pStyle w:val="Heading3"/>
        <w:numPr>
          <w:ilvl w:val="2"/>
          <w:numId w:val="2"/>
        </w:numPr>
        <w:rPr>
          <w:noProof/>
        </w:rPr>
      </w:pPr>
      <w:bookmarkStart w:id="40" w:name="_Toc413919818"/>
      <w:bookmarkStart w:id="41" w:name="_Toc413920801"/>
      <w:bookmarkStart w:id="42" w:name="_Toc414992043"/>
      <w:bookmarkStart w:id="43" w:name="_Toc536173296"/>
      <w:bookmarkStart w:id="44" w:name="_Toc536524253"/>
      <w:r>
        <w:rPr>
          <w:noProof/>
        </w:rPr>
        <w:t>Podrozvahová partnerství veřejného a soukromého sektoru</w:t>
      </w:r>
      <w:bookmarkEnd w:id="40"/>
      <w:bookmarkEnd w:id="41"/>
      <w:bookmarkEnd w:id="42"/>
      <w:bookmarkEnd w:id="43"/>
      <w:bookmarkEnd w:id="44"/>
    </w:p>
    <w:p>
      <w:pPr>
        <w:spacing w:before="120" w:after="120" w:line="240" w:lineRule="auto"/>
        <w:ind w:left="850"/>
        <w:jc w:val="both"/>
        <w:rPr>
          <w:rFonts w:ascii="Times New Roman" w:hAnsi="Times New Roman"/>
          <w:noProof/>
          <w:sz w:val="24"/>
        </w:rPr>
      </w:pPr>
      <w:bookmarkStart w:id="45" w:name="_Toc413919819"/>
      <w:r>
        <w:rPr>
          <w:rFonts w:ascii="Times New Roman" w:hAnsi="Times New Roman"/>
          <w:noProof/>
          <w:sz w:val="24"/>
        </w:rPr>
        <w:t>Partnerství veřejného a soukromého sektoru</w:t>
      </w:r>
      <w:r>
        <w:rPr>
          <w:rStyle w:val="FootnoteReference"/>
          <w:rFonts w:ascii="Times New Roman" w:hAnsi="Times New Roman"/>
          <w:noProof/>
          <w:sz w:val="24"/>
        </w:rPr>
        <w:footnoteReference w:id="8"/>
      </w:r>
      <w:r>
        <w:rPr>
          <w:rFonts w:ascii="Times New Roman" w:hAnsi="Times New Roman"/>
          <w:noProof/>
          <w:sz w:val="24"/>
        </w:rPr>
        <w:t>, které se nezaznamenává v rozvaze vládních institucí, znamená, že aktiva nejsou z ekonomického hlediska považována za vlastněná vládními institucemi a tvorba hrubého fixního kapitálu se nezachycuje jako výdaj vládních institucí v okamžiku, kdy je vynaložen.</w:t>
      </w:r>
    </w:p>
    <w:p>
      <w:pPr>
        <w:spacing w:before="120" w:after="120" w:line="240" w:lineRule="auto"/>
        <w:ind w:left="850"/>
        <w:jc w:val="both"/>
        <w:rPr>
          <w:rFonts w:ascii="Times New Roman" w:hAnsi="Times New Roman"/>
          <w:noProof/>
          <w:sz w:val="24"/>
        </w:rPr>
      </w:pPr>
      <w:r>
        <w:rPr>
          <w:rFonts w:ascii="Times New Roman" w:hAnsi="Times New Roman"/>
          <w:noProof/>
          <w:sz w:val="24"/>
        </w:rPr>
        <w:t>Eurostat shromažďuje údaje týkající se celkových nesplacených podrozvahových závazků. Měly by být vyjádřeny jako upravená kapitálová hodnota odpovídající počáteční smluvní kapitálové hodnotě, která se časem postupně snižuje o výši „ekonomického odpisu“ vypočtenou na základě odhadů nebo skutečných údajů. Upravená kapitálová hodnota odpovídá běžné hodnotě aktiva v době vykazování. Tato částka představuje odhad tvorby hrubého fixního kapitálu a dopadu dluhu v případě, že budou vládní instituce muset převzít aktiva během doby trvání smlouvy. Údaje se shromažďují za sektor vládních institucí a ve všech jeho subsektorech a jsou vykazovány v nominální hodnotě.</w:t>
      </w:r>
      <w:bookmarkEnd w:id="45"/>
    </w:p>
    <w:p>
      <w:pPr>
        <w:pStyle w:val="Heading3"/>
        <w:numPr>
          <w:ilvl w:val="2"/>
          <w:numId w:val="2"/>
        </w:numPr>
        <w:rPr>
          <w:noProof/>
        </w:rPr>
      </w:pPr>
      <w:bookmarkStart w:id="46" w:name="_Toc413919820"/>
      <w:bookmarkStart w:id="47" w:name="_Toc413920802"/>
      <w:bookmarkStart w:id="48" w:name="_Toc414992044"/>
      <w:bookmarkStart w:id="49" w:name="_Toc536173297"/>
      <w:bookmarkStart w:id="50" w:name="_Toc536524254"/>
      <w:r>
        <w:rPr>
          <w:noProof/>
        </w:rPr>
        <w:t>Úvěry se selháním / ohrožené půjčky sektoru vládních institucí</w:t>
      </w:r>
      <w:bookmarkEnd w:id="46"/>
      <w:bookmarkEnd w:id="47"/>
      <w:bookmarkEnd w:id="48"/>
      <w:bookmarkEnd w:id="49"/>
      <w:bookmarkEnd w:id="50"/>
    </w:p>
    <w:p>
      <w:pPr>
        <w:spacing w:before="120" w:after="120" w:line="240" w:lineRule="auto"/>
        <w:ind w:left="850"/>
        <w:jc w:val="both"/>
        <w:rPr>
          <w:rFonts w:ascii="Times New Roman" w:hAnsi="Times New Roman"/>
          <w:noProof/>
          <w:sz w:val="24"/>
        </w:rPr>
      </w:pPr>
      <w:bookmarkStart w:id="51" w:name="_Toc413919821"/>
      <w:r>
        <w:rPr>
          <w:rFonts w:ascii="Times New Roman" w:hAnsi="Times New Roman"/>
          <w:noProof/>
          <w:sz w:val="24"/>
        </w:rPr>
        <w:t>Shromažďují se informace o celkovém stavu úvěrů se selháním (aktiva vládních institucí) poskytovaných vládními institucemi. Úvěr se označuje za úvěr se selháním, pokud jsou platby úroku nebo jistiny v prodlení 90 dní či více po datu splatnosti nebo pokud byly platby úroku splatné 90 či více dní kapitalizovány, refinancovány nebo odloženy na základě dohody nebo pokud platby nebyly provedeny po dobu kratší než 90 dní od data splatnosti, ale existuje jiný pádný důvod (například ohlášení úpadku ze strany dlužníka) k pochybám, že budou platby provedeny v plné výši. Údaje se vykazují v nominální hodnotě. Konsolidované údaje za vládní instituce a v členění podle jednotlivých subsektorů se zpřístupňují.</w:t>
      </w:r>
      <w:bookmarkEnd w:id="51"/>
    </w:p>
    <w:p>
      <w:pPr>
        <w:pStyle w:val="Heading3"/>
        <w:numPr>
          <w:ilvl w:val="2"/>
          <w:numId w:val="2"/>
        </w:numPr>
        <w:rPr>
          <w:noProof/>
        </w:rPr>
      </w:pPr>
      <w:bookmarkStart w:id="52" w:name="_Toc413919822"/>
      <w:bookmarkStart w:id="53" w:name="_Toc413920803"/>
      <w:bookmarkStart w:id="54" w:name="_Toc414992045"/>
      <w:bookmarkStart w:id="55" w:name="_Toc536173298"/>
      <w:bookmarkStart w:id="56" w:name="_Toc536524255"/>
      <w:r>
        <w:rPr>
          <w:noProof/>
        </w:rPr>
        <w:t>Závazky subjektů kontrolovaných vládními institucemi zatříděných mimo sektor vládních institucí (veřejných korporací)</w:t>
      </w:r>
      <w:bookmarkEnd w:id="52"/>
      <w:bookmarkEnd w:id="53"/>
      <w:bookmarkEnd w:id="54"/>
      <w:bookmarkEnd w:id="55"/>
      <w:bookmarkEnd w:id="56"/>
    </w:p>
    <w:p>
      <w:pPr>
        <w:spacing w:before="120" w:after="120" w:line="240" w:lineRule="auto"/>
        <w:ind w:left="850"/>
        <w:jc w:val="both"/>
        <w:rPr>
          <w:rFonts w:cs="Minion Pro"/>
          <w:noProof/>
          <w:color w:val="000000"/>
          <w:sz w:val="20"/>
          <w:szCs w:val="20"/>
        </w:rPr>
      </w:pPr>
      <w:r>
        <w:rPr>
          <w:rFonts w:ascii="Times New Roman" w:hAnsi="Times New Roman"/>
          <w:noProof/>
          <w:sz w:val="24"/>
        </w:rPr>
        <w:t>Subjekty kontrolované vládními institucemi jsou jednotky, u kterých obecnou politiku nebo program určuje vládní instituce (ESA 2010, příloha A, odstavec 20.18)</w:t>
      </w:r>
      <w:r>
        <w:rPr>
          <w:rStyle w:val="FootnoteReference"/>
          <w:rFonts w:ascii="Times New Roman" w:hAnsi="Times New Roman"/>
          <w:noProof/>
          <w:sz w:val="24"/>
        </w:rPr>
        <w:footnoteReference w:id="9"/>
      </w:r>
      <w:r>
        <w:rPr>
          <w:rFonts w:ascii="Times New Roman" w:hAnsi="Times New Roman"/>
          <w:noProof/>
          <w:sz w:val="24"/>
        </w:rPr>
        <w:t xml:space="preserve">. Tyto subjekty kontrolované vládními institucemi (veřejné korporace) jsou zatříděny mimo sektor vládních institucí ve většině případů z toho důvodu, že mají povahu tržní jednotky. </w:t>
      </w:r>
    </w:p>
    <w:p>
      <w:pPr>
        <w:spacing w:before="120" w:after="120" w:line="240" w:lineRule="auto"/>
        <w:ind w:left="850"/>
        <w:jc w:val="both"/>
        <w:rPr>
          <w:rFonts w:ascii="Times New Roman" w:hAnsi="Times New Roman"/>
          <w:noProof/>
          <w:sz w:val="24"/>
        </w:rPr>
      </w:pPr>
      <w:r>
        <w:rPr>
          <w:rFonts w:ascii="Times New Roman" w:hAnsi="Times New Roman"/>
          <w:noProof/>
          <w:sz w:val="24"/>
        </w:rPr>
        <w:t>Závazky subjektů kontrolovaných vládními institucemi zatříděných mimo sektor vládních institucí (veřejných korporací) jsou definovány jako stav závazků na konci roku podle podnikových účtů korporací. Členské státy si mohou vybrat, které pojetí budou pro vykazování používat – buď pojetí podnikových účtů (zahrnující všechny závazky z finančních výkazů společnosti), nebo pojetí národních účtů (nezahrnující ostatní závazky). Lze vykázat rovněž údaje o závazcích týkajících se položek maastrichtského dluhu, jsou-li k dispozici.</w:t>
      </w:r>
    </w:p>
    <w:p>
      <w:pPr>
        <w:spacing w:before="120" w:after="120" w:line="240" w:lineRule="auto"/>
        <w:ind w:left="850"/>
        <w:jc w:val="both"/>
        <w:rPr>
          <w:rFonts w:ascii="Times New Roman" w:hAnsi="Times New Roman"/>
          <w:noProof/>
          <w:sz w:val="24"/>
        </w:rPr>
      </w:pPr>
      <w:r>
        <w:rPr>
          <w:rFonts w:ascii="Times New Roman" w:hAnsi="Times New Roman"/>
          <w:noProof/>
          <w:sz w:val="24"/>
        </w:rPr>
        <w:t>Údaje zahrnují závazky vykazované jednotkami kontrolovanými vládními institucemi, které jsou vyšší než 0,01 % HDP a jsou zatříděny podle ESA 2010 do sektorů nefinančních podniků, finančních institucí a nerezidentů. Údaje se vykazují za jednotlivé jednotky, a nikoli za konsolidované účty skupiny.</w:t>
      </w:r>
    </w:p>
    <w:p>
      <w:pPr>
        <w:spacing w:before="120" w:after="120" w:line="240" w:lineRule="auto"/>
        <w:ind w:left="850"/>
        <w:jc w:val="both"/>
        <w:rPr>
          <w:rFonts w:ascii="Times New Roman" w:hAnsi="Times New Roman"/>
          <w:noProof/>
          <w:sz w:val="24"/>
        </w:rPr>
      </w:pPr>
      <w:r>
        <w:rPr>
          <w:rFonts w:ascii="Times New Roman" w:hAnsi="Times New Roman"/>
          <w:noProof/>
          <w:sz w:val="24"/>
        </w:rPr>
        <w:t>Jsou rozděleny na závazky jednotek, které se zabývají finanční činností</w:t>
      </w:r>
      <w:r>
        <w:rPr>
          <w:noProof/>
          <w:vertAlign w:val="superscript"/>
        </w:rPr>
        <w:footnoteReference w:id="10"/>
      </w:r>
      <w:r>
        <w:rPr>
          <w:rFonts w:ascii="Times New Roman" w:hAnsi="Times New Roman"/>
          <w:noProof/>
          <w:sz w:val="24"/>
        </w:rPr>
        <w:t xml:space="preserve">, a závazky jednotek, které se zabývají ostatními činnostmi, mezi něž patří ztrátové nefinanční jednotky. Kromě toho lze podle údajů identifikovat rovněž kontrolní subsektor vládních institucí. </w:t>
      </w:r>
    </w:p>
    <w:p>
      <w:pPr>
        <w:spacing w:before="120" w:after="120" w:line="240" w:lineRule="auto"/>
        <w:ind w:left="850"/>
        <w:jc w:val="both"/>
        <w:rPr>
          <w:rFonts w:ascii="Times New Roman" w:hAnsi="Times New Roman"/>
          <w:noProof/>
          <w:sz w:val="24"/>
        </w:rPr>
      </w:pPr>
    </w:p>
    <w:p>
      <w:pPr>
        <w:rPr>
          <w:rStyle w:val="Heading1Char"/>
          <w:rFonts w:eastAsia="Calibri"/>
          <w:noProof/>
        </w:rPr>
      </w:pPr>
      <w:bookmarkStart w:id="57" w:name="_Toc413919823"/>
      <w:bookmarkStart w:id="58" w:name="_Toc413920804"/>
      <w:bookmarkStart w:id="59" w:name="_Toc414992046"/>
      <w:r>
        <w:rPr>
          <w:noProof/>
        </w:rPr>
        <w:br w:type="page"/>
      </w:r>
    </w:p>
    <w:p>
      <w:pPr>
        <w:keepNext/>
        <w:numPr>
          <w:ilvl w:val="0"/>
          <w:numId w:val="2"/>
        </w:numPr>
        <w:spacing w:before="360" w:after="120" w:line="240" w:lineRule="auto"/>
        <w:jc w:val="both"/>
        <w:outlineLvl w:val="0"/>
        <w:rPr>
          <w:rFonts w:ascii="Times New Roman" w:eastAsia="Times New Roman" w:hAnsi="Times New Roman"/>
          <w:b/>
          <w:bCs/>
          <w:smallCaps/>
          <w:noProof/>
          <w:sz w:val="24"/>
          <w:szCs w:val="28"/>
        </w:rPr>
      </w:pPr>
      <w:bookmarkStart w:id="60" w:name="_Toc536173299"/>
      <w:bookmarkStart w:id="61" w:name="_Toc536524256"/>
      <w:r>
        <w:rPr>
          <w:rStyle w:val="Heading1Char"/>
          <w:rFonts w:eastAsiaTheme="minorHAnsi"/>
          <w:noProof/>
        </w:rPr>
        <w:t>Výsledky sběru údajů o podmíněných závazcích</w:t>
      </w:r>
      <w:r>
        <w:rPr>
          <w:noProof/>
        </w:rPr>
        <w:t xml:space="preserve"> </w:t>
      </w:r>
      <w:r>
        <w:rPr>
          <w:rFonts w:ascii="Times New Roman" w:hAnsi="Times New Roman"/>
          <w:b/>
          <w:smallCaps/>
          <w:noProof/>
          <w:sz w:val="24"/>
        </w:rPr>
        <w:t>provedeného Eurostatem</w:t>
      </w:r>
      <w:bookmarkEnd w:id="57"/>
      <w:bookmarkEnd w:id="58"/>
      <w:bookmarkEnd w:id="59"/>
      <w:bookmarkEnd w:id="60"/>
      <w:bookmarkEnd w:id="61"/>
    </w:p>
    <w:p>
      <w:pPr>
        <w:spacing w:before="120" w:after="120" w:line="240" w:lineRule="auto"/>
        <w:ind w:left="850"/>
        <w:jc w:val="both"/>
        <w:rPr>
          <w:rFonts w:ascii="Times New Roman" w:hAnsi="Times New Roman"/>
          <w:noProof/>
          <w:sz w:val="24"/>
        </w:rPr>
      </w:pPr>
      <w:r>
        <w:rPr>
          <w:rFonts w:ascii="Times New Roman" w:hAnsi="Times New Roman"/>
          <w:noProof/>
          <w:sz w:val="24"/>
        </w:rPr>
        <w:t>Poprvé byly údaje předány v prosinci 2014</w:t>
      </w:r>
      <w:r>
        <w:rPr>
          <w:noProof/>
        </w:rPr>
        <w:t xml:space="preserve"> </w:t>
      </w:r>
      <w:r>
        <w:rPr>
          <w:rFonts w:ascii="Times New Roman" w:hAnsi="Times New Roman"/>
          <w:noProof/>
        </w:rPr>
        <w:t xml:space="preserve">a od té doby </w:t>
      </w:r>
      <w:r>
        <w:rPr>
          <w:rFonts w:ascii="Times New Roman" w:hAnsi="Times New Roman"/>
          <w:noProof/>
          <w:sz w:val="24"/>
        </w:rPr>
        <w:t>se každoročně provádí pravidelný sběr údajů. Eurostat systematicky sledoval, jak členské státy plní pokyny pracovní skupiny, upozorňoval na prostor pro zlepšení a vyzýval členské státy, aby zdokonalovaly kvalitu údajů. Níže uvedený text popisuje stav, pokud jde o úplnost a rozsah, s přihlédnutím k výsledkům sběru údajů za rok 2017.</w:t>
      </w:r>
    </w:p>
    <w:p>
      <w:pPr>
        <w:spacing w:before="120" w:after="120" w:line="240" w:lineRule="auto"/>
        <w:ind w:left="850"/>
        <w:jc w:val="both"/>
        <w:rPr>
          <w:rFonts w:ascii="Times New Roman" w:hAnsi="Times New Roman"/>
          <w:noProof/>
          <w:sz w:val="24"/>
        </w:rPr>
      </w:pPr>
      <w:r>
        <w:rPr>
          <w:rFonts w:ascii="Times New Roman" w:hAnsi="Times New Roman"/>
          <w:noProof/>
          <w:sz w:val="24"/>
        </w:rPr>
        <w:t>Všechny členské státy poskytly Eurostatu v termínu pro vykazování na konci prosince 2017 „</w:t>
      </w:r>
      <w:r>
        <w:rPr>
          <w:rFonts w:ascii="Times New Roman" w:hAnsi="Times New Roman"/>
          <w:i/>
          <w:noProof/>
          <w:sz w:val="24"/>
        </w:rPr>
        <w:t>Dodatek o podmíněných závazcích a potenciálních závazcích</w:t>
      </w:r>
      <w:r>
        <w:rPr>
          <w:rFonts w:ascii="Times New Roman" w:hAnsi="Times New Roman"/>
          <w:noProof/>
          <w:sz w:val="24"/>
        </w:rPr>
        <w:t>“. Dne 29. ledna 2018 Eurostat zveřejnil číselné údaje ve své databázi</w:t>
      </w:r>
      <w:r>
        <w:rPr>
          <w:rStyle w:val="FootnoteReference"/>
          <w:rFonts w:ascii="Times New Roman" w:hAnsi="Times New Roman"/>
          <w:noProof/>
          <w:sz w:val="24"/>
        </w:rPr>
        <w:footnoteReference w:id="11"/>
      </w:r>
      <w:r>
        <w:rPr>
          <w:rFonts w:ascii="Times New Roman" w:hAnsi="Times New Roman"/>
          <w:noProof/>
          <w:sz w:val="24"/>
        </w:rPr>
        <w:t xml:space="preserve"> v milionech jednotek národní měny a v procentním podílu HDP</w:t>
      </w:r>
      <w:r>
        <w:rPr>
          <w:rStyle w:val="FootnoteReference"/>
          <w:rFonts w:ascii="Times New Roman" w:hAnsi="Times New Roman"/>
          <w:noProof/>
          <w:sz w:val="24"/>
        </w:rPr>
        <w:footnoteReference w:id="12"/>
      </w:r>
      <w:r>
        <w:rPr>
          <w:rFonts w:ascii="Times New Roman" w:hAnsi="Times New Roman"/>
          <w:noProof/>
          <w:sz w:val="24"/>
        </w:rPr>
        <w:t xml:space="preserve"> společně s příslušnými metadaty a poznámkami pro každou zemi</w:t>
      </w:r>
      <w:r>
        <w:rPr>
          <w:noProof/>
          <w:vertAlign w:val="superscript"/>
        </w:rPr>
        <w:footnoteReference w:id="13"/>
      </w:r>
      <w:r>
        <w:rPr>
          <w:rFonts w:ascii="Times New Roman" w:hAnsi="Times New Roman"/>
          <w:noProof/>
          <w:sz w:val="24"/>
        </w:rPr>
        <w:t>. Byla vydána rovněž doprovodná tisková zpráva</w:t>
      </w:r>
      <w:r>
        <w:rPr>
          <w:noProof/>
          <w:vertAlign w:val="superscript"/>
        </w:rPr>
        <w:footnoteReference w:id="14"/>
      </w:r>
      <w:r>
        <w:rPr>
          <w:rFonts w:ascii="Times New Roman" w:hAnsi="Times New Roman"/>
          <w:noProof/>
          <w:sz w:val="24"/>
        </w:rPr>
        <w:t xml:space="preserve">. Hlavní výsledky jsou uvedeny v příloze 1 této zprávy. </w:t>
      </w:r>
    </w:p>
    <w:p>
      <w:pPr>
        <w:pStyle w:val="Heading2"/>
        <w:numPr>
          <w:ilvl w:val="1"/>
          <w:numId w:val="2"/>
        </w:numPr>
        <w:rPr>
          <w:noProof/>
        </w:rPr>
      </w:pPr>
      <w:bookmarkStart w:id="62" w:name="_Toc413919824"/>
      <w:bookmarkStart w:id="63" w:name="_Toc413920805"/>
      <w:bookmarkStart w:id="64" w:name="_Toc414992047"/>
      <w:bookmarkStart w:id="65" w:name="_Toc536173300"/>
      <w:bookmarkStart w:id="66" w:name="_Toc536524257"/>
      <w:r>
        <w:rPr>
          <w:noProof/>
        </w:rPr>
        <w:t>Úplnost a rozsah údajů</w:t>
      </w:r>
      <w:bookmarkEnd w:id="62"/>
      <w:bookmarkEnd w:id="63"/>
      <w:bookmarkEnd w:id="64"/>
      <w:bookmarkEnd w:id="65"/>
      <w:bookmarkEnd w:id="66"/>
    </w:p>
    <w:p>
      <w:pPr>
        <w:spacing w:before="120" w:after="120" w:line="240" w:lineRule="auto"/>
        <w:ind w:left="850"/>
        <w:jc w:val="both"/>
        <w:rPr>
          <w:rFonts w:ascii="Times New Roman" w:hAnsi="Times New Roman"/>
          <w:noProof/>
          <w:sz w:val="24"/>
        </w:rPr>
      </w:pPr>
      <w:r>
        <w:rPr>
          <w:rFonts w:ascii="Times New Roman" w:hAnsi="Times New Roman"/>
          <w:noProof/>
          <w:sz w:val="24"/>
        </w:rPr>
        <w:t>Všechny členské státy předložily vyplněný Dodatek o podmíněných závazcích a potenciálních závazcích, jakož i odpověď na dotazník týkající se subjektů kontrolovaných vládními institucemi zatříděných mimo sektor vládních institucí. Úplnost údajů se liší v závislosti na jednotlivých ukazatelích a na členských státech.</w:t>
      </w:r>
    </w:p>
    <w:p>
      <w:pPr>
        <w:pStyle w:val="Heading3"/>
        <w:numPr>
          <w:ilvl w:val="2"/>
          <w:numId w:val="2"/>
        </w:numPr>
        <w:rPr>
          <w:noProof/>
        </w:rPr>
      </w:pPr>
      <w:bookmarkStart w:id="67" w:name="_Toc413919825"/>
      <w:bookmarkStart w:id="68" w:name="_Toc413920806"/>
      <w:bookmarkStart w:id="69" w:name="_Toc414992048"/>
      <w:bookmarkStart w:id="70" w:name="_Toc536173301"/>
      <w:bookmarkStart w:id="71" w:name="_Toc536524258"/>
      <w:r>
        <w:rPr>
          <w:noProof/>
        </w:rPr>
        <w:t>Vládní záruky</w:t>
      </w:r>
      <w:bookmarkEnd w:id="67"/>
      <w:bookmarkEnd w:id="68"/>
      <w:bookmarkEnd w:id="69"/>
      <w:bookmarkEnd w:id="70"/>
      <w:bookmarkEnd w:id="71"/>
    </w:p>
    <w:p>
      <w:pPr>
        <w:spacing w:before="120" w:after="120" w:line="240" w:lineRule="auto"/>
        <w:ind w:left="850"/>
        <w:jc w:val="both"/>
        <w:rPr>
          <w:rFonts w:ascii="Times New Roman" w:hAnsi="Times New Roman"/>
          <w:noProof/>
          <w:sz w:val="24"/>
        </w:rPr>
      </w:pPr>
      <w:r>
        <w:rPr>
          <w:rFonts w:ascii="Times New Roman" w:hAnsi="Times New Roman"/>
          <w:noProof/>
          <w:sz w:val="24"/>
        </w:rPr>
        <w:t xml:space="preserve">Všechny členské státy poskytly číselné údaje o celkových vládních zárukách vládních institucí za povinné období let 2013–2016. Úplnost a rozsah údajů jsou u většiny členských států považovány za dobré. U tří členských států – Řecka, Francie a Itálie – je stále prostor ke zlepšení, pokud jde o dostupnost a úplnost údajů pro subsektor místních vládních institucí. </w:t>
      </w:r>
    </w:p>
    <w:p>
      <w:pPr>
        <w:spacing w:before="120" w:after="120" w:line="240" w:lineRule="auto"/>
        <w:ind w:left="850"/>
        <w:jc w:val="both"/>
        <w:rPr>
          <w:rFonts w:ascii="Times New Roman" w:hAnsi="Times New Roman"/>
          <w:noProof/>
          <w:sz w:val="24"/>
        </w:rPr>
      </w:pPr>
      <w:r>
        <w:rPr>
          <w:rFonts w:ascii="Times New Roman" w:hAnsi="Times New Roman"/>
          <w:noProof/>
          <w:sz w:val="24"/>
        </w:rPr>
        <w:t>V případě České republiky nejsou údaje o podnicích zahrnutých do sektoru vládních institucí úplné, jsou však zahrnuty všechny významné subjekty. V případě Maďarska jsou údaje o ústřední a místních rozpočtových vládních institucích a přeřazených velkých korporacích ve vlastnictví státu úplné, avšak nebyl poskytnut žádný soubor údajů o poskytnutých zárukách od nedávno přeřazených statutárních záručních fondů a přeřazených malých státních či místních veřejných korporací a neziskových institucí ve vlastnictví vládních institucí a neexistuje žádný plán pro sběr administrativních ani statistických údajů od přeřazených malých jednotek. V případě Finska nejsou plně konsolidovány údaje o místních vládních institucích.</w:t>
      </w:r>
    </w:p>
    <w:p>
      <w:pPr>
        <w:spacing w:before="120" w:after="120" w:line="240" w:lineRule="auto"/>
        <w:ind w:left="850"/>
        <w:jc w:val="both"/>
        <w:rPr>
          <w:rFonts w:ascii="Times New Roman" w:hAnsi="Times New Roman"/>
          <w:noProof/>
          <w:sz w:val="24"/>
        </w:rPr>
      </w:pPr>
      <w:r>
        <w:rPr>
          <w:rFonts w:ascii="Times New Roman" w:hAnsi="Times New Roman"/>
          <w:noProof/>
          <w:sz w:val="24"/>
        </w:rPr>
        <w:t>U některých členských států (Dánsko, Chorvatsko a Polsko) nejsou k dispozici údaje o standardizovaných zárukách místních vládních institucí; dopad těchto částek na celkovou úroveň záruk však zřejmě nebude významný.</w:t>
      </w:r>
    </w:p>
    <w:p>
      <w:pPr>
        <w:pStyle w:val="Heading3"/>
        <w:numPr>
          <w:ilvl w:val="2"/>
          <w:numId w:val="2"/>
        </w:numPr>
        <w:rPr>
          <w:noProof/>
        </w:rPr>
      </w:pPr>
      <w:bookmarkStart w:id="72" w:name="_Toc413919826"/>
      <w:bookmarkStart w:id="73" w:name="_Toc413920807"/>
      <w:bookmarkStart w:id="74" w:name="_Toc414992049"/>
      <w:bookmarkStart w:id="75" w:name="_Toc536173302"/>
      <w:bookmarkStart w:id="76" w:name="_Toc536524259"/>
      <w:r>
        <w:rPr>
          <w:noProof/>
        </w:rPr>
        <w:t>Podrozvahová partnerství veřejného a soukromého sektoru</w:t>
      </w:r>
      <w:bookmarkEnd w:id="72"/>
      <w:bookmarkEnd w:id="73"/>
      <w:bookmarkEnd w:id="74"/>
      <w:bookmarkEnd w:id="75"/>
      <w:bookmarkEnd w:id="76"/>
    </w:p>
    <w:p>
      <w:pPr>
        <w:spacing w:before="120" w:after="120" w:line="240" w:lineRule="auto"/>
        <w:ind w:left="850"/>
        <w:jc w:val="both"/>
        <w:rPr>
          <w:rFonts w:ascii="Times New Roman" w:hAnsi="Times New Roman"/>
          <w:noProof/>
          <w:sz w:val="24"/>
        </w:rPr>
      </w:pPr>
      <w:r>
        <w:rPr>
          <w:rFonts w:ascii="Times New Roman" w:hAnsi="Times New Roman"/>
          <w:noProof/>
          <w:sz w:val="24"/>
        </w:rPr>
        <w:t>Všechny členské státy poskytly údaje o podrozvahových partnerstvích veřejného a soukromého sektoru za povinné období 2013–2016. U většiny členských států se úplnost a rozsah údajů považují za dobré. Zlepšení jsou potřebná v případě Slovinska a Spojeného království, u nichž nejsou k dispozici údaje týkající se místních vládních institucí; příslušné částky však zřejmě nebudou významné. V případě Finska pravděpodobně nejsou úplné údaje týkající se místních vládních institucí.</w:t>
      </w:r>
    </w:p>
    <w:p>
      <w:pPr>
        <w:pStyle w:val="Heading3"/>
        <w:numPr>
          <w:ilvl w:val="2"/>
          <w:numId w:val="2"/>
        </w:numPr>
        <w:rPr>
          <w:noProof/>
        </w:rPr>
      </w:pPr>
      <w:bookmarkStart w:id="77" w:name="_Toc413919827"/>
      <w:bookmarkStart w:id="78" w:name="_Toc413920808"/>
      <w:bookmarkStart w:id="79" w:name="_Toc414992050"/>
      <w:bookmarkStart w:id="80" w:name="_Toc536173303"/>
      <w:bookmarkStart w:id="81" w:name="_Toc536524260"/>
      <w:r>
        <w:rPr>
          <w:noProof/>
        </w:rPr>
        <w:t>Úvěry se selháním / ohrožené půjčky</w:t>
      </w:r>
      <w:bookmarkEnd w:id="77"/>
      <w:bookmarkEnd w:id="78"/>
      <w:bookmarkEnd w:id="79"/>
      <w:bookmarkEnd w:id="80"/>
      <w:bookmarkEnd w:id="81"/>
    </w:p>
    <w:p>
      <w:pPr>
        <w:spacing w:before="120" w:after="120" w:line="240" w:lineRule="auto"/>
        <w:ind w:left="850"/>
        <w:jc w:val="both"/>
        <w:rPr>
          <w:rFonts w:ascii="Times New Roman" w:hAnsi="Times New Roman"/>
          <w:noProof/>
          <w:sz w:val="24"/>
        </w:rPr>
      </w:pPr>
      <w:r>
        <w:rPr>
          <w:rFonts w:ascii="Times New Roman" w:hAnsi="Times New Roman"/>
          <w:noProof/>
          <w:sz w:val="24"/>
        </w:rPr>
        <w:t xml:space="preserve">Je stále třeba výrazně zlepšit úplnost a rozsah údajů o úvěrech se selháním. Údaje za požadované období 2013–2016 poskytlo 24 členských států. Čtyři členské státy – Belgie, Francie, Chorvatsko a Kypr – dosud neposkytují informace o úvěrech se selháním v sektoru vládních institucí. </w:t>
      </w:r>
    </w:p>
    <w:p>
      <w:pPr>
        <w:spacing w:before="120" w:after="120" w:line="240" w:lineRule="auto"/>
        <w:ind w:left="850"/>
        <w:jc w:val="both"/>
        <w:rPr>
          <w:rFonts w:ascii="Times New Roman" w:hAnsi="Times New Roman"/>
          <w:noProof/>
          <w:sz w:val="24"/>
        </w:rPr>
      </w:pPr>
      <w:r>
        <w:rPr>
          <w:rFonts w:ascii="Times New Roman" w:hAnsi="Times New Roman"/>
          <w:noProof/>
          <w:sz w:val="24"/>
        </w:rPr>
        <w:t xml:space="preserve">Kromě toho nejsou úplné údaje poskytnuté Itálií, Portugalskem a Finskem. Údaje poskytnuté Řeckem nepokrývají sektor sociálního zabezpečení a v případě Španělska a Spojeného království nejsou úplné údaje týkající se místních vládních institucí; příslušné částky však zřejmě nebudou významné. </w:t>
      </w:r>
    </w:p>
    <w:p>
      <w:pPr>
        <w:pStyle w:val="Heading3"/>
        <w:numPr>
          <w:ilvl w:val="2"/>
          <w:numId w:val="2"/>
        </w:numPr>
        <w:rPr>
          <w:noProof/>
        </w:rPr>
      </w:pPr>
      <w:bookmarkStart w:id="82" w:name="_Toc413919828"/>
      <w:bookmarkStart w:id="83" w:name="_Toc413920809"/>
      <w:bookmarkStart w:id="84" w:name="_Toc414992051"/>
      <w:bookmarkStart w:id="85" w:name="_Toc536173304"/>
      <w:bookmarkStart w:id="86" w:name="_Toc536524261"/>
      <w:r>
        <w:rPr>
          <w:noProof/>
        </w:rPr>
        <w:t>Závazky subjektů kontrolovaných vládními institucemi zatříděných mimo sektor vládních institucí</w:t>
      </w:r>
      <w:bookmarkEnd w:id="82"/>
      <w:bookmarkEnd w:id="83"/>
      <w:bookmarkEnd w:id="84"/>
      <w:bookmarkEnd w:id="85"/>
      <w:bookmarkEnd w:id="86"/>
    </w:p>
    <w:p>
      <w:pPr>
        <w:spacing w:before="120" w:after="120" w:line="240" w:lineRule="auto"/>
        <w:ind w:left="850"/>
        <w:jc w:val="both"/>
        <w:rPr>
          <w:rFonts w:ascii="Times New Roman" w:hAnsi="Times New Roman"/>
          <w:noProof/>
          <w:sz w:val="24"/>
        </w:rPr>
      </w:pPr>
      <w:r>
        <w:rPr>
          <w:rFonts w:ascii="Times New Roman" w:hAnsi="Times New Roman"/>
          <w:noProof/>
          <w:sz w:val="24"/>
        </w:rPr>
        <w:t xml:space="preserve">Na dotazník Eurostatu o subjektech kontrolovaných vládními institucemi, který je základem pro výpočet datové řady týkající se závazků subjektů kontrolovaných vládními institucemi zatříděných mimo sektor vládních institucí, odpověděly všechny členské státy. Údaje většiny členských států se týkají roku 2016, kromě České republiky, Francie, Německa a Rakouska a částečně Itálie a Malty, kde se údaje týkají roku 2015. Většina členských států poskytla úplné údaje zahrnující všechny kontrolující subsektory vládních institucí, v některých případech je však zlepšení stále zapotřebí. </w:t>
      </w:r>
    </w:p>
    <w:p>
      <w:pPr>
        <w:spacing w:before="120" w:after="120" w:line="240" w:lineRule="auto"/>
        <w:ind w:left="850"/>
        <w:jc w:val="both"/>
        <w:rPr>
          <w:noProof/>
        </w:rPr>
      </w:pPr>
      <w:r>
        <w:rPr>
          <w:rFonts w:ascii="Times New Roman" w:hAnsi="Times New Roman"/>
          <w:noProof/>
          <w:sz w:val="24"/>
        </w:rPr>
        <w:t>Údaje o místních vládních institucích poskytnuté Francií a Irskem nejsou úplné.  V Řecku a Belgii jsou také některé menší jednotky kontrolované vládními institucemi, které nejsou do údajů zahrnuty, avšak příslušné částky zřejmě nebudou významné. V případě Polska údaje nezahrnují jednotky zaměstnávající méně než 10 osob.</w:t>
      </w:r>
    </w:p>
    <w:p>
      <w:pPr>
        <w:pStyle w:val="Heading2"/>
        <w:numPr>
          <w:ilvl w:val="1"/>
          <w:numId w:val="2"/>
        </w:numPr>
        <w:rPr>
          <w:noProof/>
        </w:rPr>
      </w:pPr>
      <w:bookmarkStart w:id="87" w:name="_Toc413919829"/>
      <w:bookmarkStart w:id="88" w:name="_Toc413920810"/>
      <w:bookmarkStart w:id="89" w:name="_Toc414992052"/>
      <w:bookmarkStart w:id="90" w:name="_Toc536173305"/>
      <w:bookmarkStart w:id="91" w:name="_Toc536524262"/>
      <w:r>
        <w:rPr>
          <w:noProof/>
        </w:rPr>
        <w:t>Srovnatelnost údajů</w:t>
      </w:r>
      <w:bookmarkEnd w:id="87"/>
      <w:bookmarkEnd w:id="88"/>
      <w:bookmarkEnd w:id="89"/>
      <w:bookmarkEnd w:id="90"/>
      <w:bookmarkEnd w:id="91"/>
    </w:p>
    <w:p>
      <w:pPr>
        <w:spacing w:before="120" w:after="120" w:line="240" w:lineRule="auto"/>
        <w:ind w:left="850"/>
        <w:jc w:val="both"/>
        <w:rPr>
          <w:rFonts w:ascii="Times New Roman" w:hAnsi="Times New Roman"/>
          <w:noProof/>
          <w:sz w:val="24"/>
        </w:rPr>
      </w:pPr>
      <w:r>
        <w:rPr>
          <w:rFonts w:ascii="Times New Roman" w:hAnsi="Times New Roman"/>
          <w:noProof/>
          <w:sz w:val="24"/>
        </w:rPr>
        <w:t>Údaje o podmíněných závazcích jsou pro každou zemi specifické a jsou úzce spjaty s hospodářskou, finanční a právní strukturou členského státu. V tomto sběru údajů bylo dosaženo významného pokroku, pokud jde o jejich rozsah a úplnost. Rozsah údajů u některých členských států však stále není úplný, jak je popsáno výše a dále uvedeno v poznámkách pod čarou zveřejněných spolu s údaji členských států.</w:t>
      </w:r>
    </w:p>
    <w:p>
      <w:pPr>
        <w:spacing w:before="120" w:after="120" w:line="240" w:lineRule="auto"/>
        <w:ind w:left="850"/>
        <w:jc w:val="both"/>
        <w:rPr>
          <w:rFonts w:ascii="Times New Roman" w:hAnsi="Times New Roman"/>
          <w:noProof/>
          <w:sz w:val="24"/>
        </w:rPr>
      </w:pPr>
      <w:r>
        <w:rPr>
          <w:rFonts w:ascii="Times New Roman" w:hAnsi="Times New Roman"/>
          <w:noProof/>
          <w:sz w:val="24"/>
        </w:rPr>
        <w:t xml:space="preserve">Obecně lze uspokojivě srovnávat vládní záruky, úvěry se selháním a podrozvahová partnerství veřejného a soukromého sektoru, neboť tyto údaje se omezují na závazky veřejných korporací. </w:t>
      </w:r>
    </w:p>
    <w:p>
      <w:pPr>
        <w:spacing w:before="120" w:after="120" w:line="240" w:lineRule="auto"/>
        <w:ind w:left="850"/>
        <w:jc w:val="both"/>
        <w:rPr>
          <w:rFonts w:ascii="Times New Roman" w:hAnsi="Times New Roman"/>
          <w:noProof/>
          <w:sz w:val="24"/>
        </w:rPr>
      </w:pPr>
      <w:r>
        <w:rPr>
          <w:rFonts w:ascii="Times New Roman" w:hAnsi="Times New Roman"/>
          <w:noProof/>
          <w:sz w:val="24"/>
        </w:rPr>
        <w:t>U tohoto ukazatele by kromě otázek týkajících se rozsahu měly být při analýze údajů jednotlivých členských států zohledněny i další aspekty. Za prvé, údaje o závazcích veřejných korporací nejsou konsolidovány, což znamená, že část závazků těchto jednotek může představovat závazky vůči subjektům stejné skupiny společností a tyto částky nelze na základě vykázaných údajů určit. Za druhé, shromážděné údaje se týkají pouze závazků, aniž by byly tyto závazky vyrovnány aktivy. Tento aspekt je velmi důležitý v případě finančních institucí, které mají obvykle velké množství aktiv i dluhových závazků. Kromě toho některé členské státy mají více subjektů, které jsou kontrolovány vládními institucemi a jsou zapojeny do finančních služeb, než jiné, a proto vykazují vyšší závazky než ty, kde tyto subjekty vůbec neexistují, nebo je jich jen velmi málo. Navíc se u některých členských států velká část závazků vykázaných finančními institucemi týká vkladů domácností nebo jiných druhů soukromých či veřejných subjektů v držení veřejných bank.</w:t>
      </w:r>
    </w:p>
    <w:p>
      <w:pPr>
        <w:spacing w:before="120" w:after="120" w:line="240" w:lineRule="auto"/>
        <w:ind w:left="850"/>
        <w:jc w:val="both"/>
        <w:rPr>
          <w:rFonts w:ascii="Times New Roman" w:hAnsi="Times New Roman"/>
          <w:noProof/>
          <w:sz w:val="24"/>
        </w:rPr>
      </w:pPr>
      <w:r>
        <w:rPr>
          <w:rFonts w:ascii="Times New Roman" w:hAnsi="Times New Roman"/>
          <w:noProof/>
          <w:sz w:val="24"/>
        </w:rPr>
        <w:t>Je třeba rovněž zmínit, že při sestavování statistik o závazcích veřejných korporací si členské státy mohly pro vykazování vybrat buď pojetí podnikových účtů, nebo pojetí národních účtů. Na základě definic podnikových účtů členské státy zahrnuly všechny závazky z finančních výkazů společnosti, včetně závazků týkajících se položky „ostatní závazky“. Většina členských států vykázala závazky v souladu s tímto přístupem.</w:t>
      </w:r>
      <w:r>
        <w:rPr>
          <w:noProof/>
        </w:rPr>
        <w:t xml:space="preserve"> </w:t>
      </w:r>
      <w:r>
        <w:rPr>
          <w:rFonts w:ascii="Times New Roman" w:hAnsi="Times New Roman"/>
          <w:noProof/>
          <w:sz w:val="24"/>
        </w:rPr>
        <w:t xml:space="preserve">Nicméně několik členských států (Španělsko, Belgie, Nizozemsko a Slovensko) vykázalo maastrichtské závazky, zejména údaje o závazcích týkajících se oběživa a vkladů, dluhových cenných papírů a půjček (jak je definováno v ESA 2010) s vyloučením položky „ostatní závazky“.  </w:t>
      </w:r>
    </w:p>
    <w:p>
      <w:pPr>
        <w:keepNext/>
        <w:numPr>
          <w:ilvl w:val="0"/>
          <w:numId w:val="2"/>
        </w:numPr>
        <w:spacing w:before="360" w:after="120" w:line="240" w:lineRule="auto"/>
        <w:jc w:val="both"/>
        <w:outlineLvl w:val="0"/>
        <w:rPr>
          <w:rStyle w:val="Heading1Char"/>
          <w:rFonts w:eastAsia="Calibri"/>
          <w:noProof/>
        </w:rPr>
      </w:pPr>
      <w:bookmarkStart w:id="92" w:name="_Toc413919830"/>
      <w:bookmarkStart w:id="93" w:name="_Toc413920811"/>
      <w:bookmarkStart w:id="94" w:name="_Toc414992053"/>
      <w:bookmarkStart w:id="95" w:name="_Toc536173306"/>
      <w:bookmarkStart w:id="96" w:name="_Toc536524263"/>
      <w:bookmarkStart w:id="97" w:name="_Toc342558496"/>
      <w:bookmarkStart w:id="98" w:name="_Toc410373500"/>
      <w:bookmarkEnd w:id="14"/>
      <w:bookmarkEnd w:id="15"/>
      <w:r>
        <w:rPr>
          <w:rStyle w:val="Heading1Char"/>
          <w:rFonts w:eastAsiaTheme="minorHAnsi"/>
          <w:noProof/>
        </w:rPr>
        <w:t>Další sběry údajů provedené Eurostatem</w:t>
      </w:r>
      <w:bookmarkEnd w:id="92"/>
      <w:bookmarkEnd w:id="93"/>
      <w:bookmarkEnd w:id="94"/>
      <w:bookmarkEnd w:id="95"/>
      <w:bookmarkEnd w:id="96"/>
    </w:p>
    <w:p>
      <w:pPr>
        <w:pStyle w:val="Heading2"/>
        <w:numPr>
          <w:ilvl w:val="1"/>
          <w:numId w:val="2"/>
        </w:numPr>
        <w:rPr>
          <w:noProof/>
        </w:rPr>
      </w:pPr>
      <w:bookmarkStart w:id="99" w:name="_Toc413919831"/>
      <w:bookmarkStart w:id="100" w:name="_Toc413920812"/>
      <w:bookmarkStart w:id="101" w:name="_Toc414992054"/>
      <w:bookmarkStart w:id="102" w:name="_Toc536173307"/>
      <w:bookmarkStart w:id="103" w:name="_Toc536524264"/>
      <w:r>
        <w:rPr>
          <w:noProof/>
        </w:rPr>
        <w:t>Podmíněné závazky vládních institucí vůči finančnímu sektoru</w:t>
      </w:r>
      <w:bookmarkEnd w:id="99"/>
      <w:bookmarkEnd w:id="100"/>
      <w:bookmarkEnd w:id="101"/>
      <w:bookmarkEnd w:id="102"/>
      <w:bookmarkEnd w:id="103"/>
    </w:p>
    <w:p>
      <w:pPr>
        <w:spacing w:before="120" w:after="120" w:line="240" w:lineRule="auto"/>
        <w:ind w:left="850"/>
        <w:jc w:val="both"/>
        <w:rPr>
          <w:rFonts w:ascii="Times New Roman" w:hAnsi="Times New Roman"/>
          <w:noProof/>
          <w:sz w:val="24"/>
          <w:highlight w:val="green"/>
        </w:rPr>
      </w:pPr>
      <w:r>
        <w:rPr>
          <w:rFonts w:ascii="Times New Roman" w:hAnsi="Times New Roman"/>
          <w:noProof/>
          <w:sz w:val="24"/>
        </w:rPr>
        <w:t>Od října 2009 Eurostat pravidelně shromažďuje (jako součást každého oznámení o postupu při nadměrném schodku dvakrát ročně</w:t>
      </w:r>
      <w:r>
        <w:rPr>
          <w:rFonts w:ascii="Times New Roman" w:hAnsi="Times New Roman"/>
          <w:noProof/>
          <w:sz w:val="24"/>
          <w:vertAlign w:val="superscript"/>
        </w:rPr>
        <w:footnoteReference w:id="15"/>
      </w:r>
      <w:r>
        <w:rPr>
          <w:rFonts w:ascii="Times New Roman" w:hAnsi="Times New Roman"/>
          <w:noProof/>
          <w:sz w:val="24"/>
        </w:rPr>
        <w:t>) informace o podmíněných závazcích vládních institucí, a to pomocí „Doplňkových tabulek pro vykazování intervencí vládních institucí na podporu finančních institucí“</w:t>
      </w:r>
      <w:r>
        <w:rPr>
          <w:rFonts w:ascii="Times New Roman" w:hAnsi="Times New Roman"/>
          <w:noProof/>
          <w:sz w:val="24"/>
          <w:vertAlign w:val="superscript"/>
        </w:rPr>
        <w:footnoteReference w:id="16"/>
      </w:r>
      <w:r>
        <w:rPr>
          <w:rFonts w:ascii="Times New Roman" w:hAnsi="Times New Roman"/>
          <w:noProof/>
          <w:sz w:val="24"/>
        </w:rPr>
        <w:t>. Ty obsahují údaje o skutečných a potenciálních dopadech podpory poskytované finančním institucím na schodek a dluh vládních institucí.</w:t>
      </w:r>
    </w:p>
    <w:p>
      <w:pPr>
        <w:spacing w:before="120" w:after="120" w:line="240" w:lineRule="auto"/>
        <w:ind w:left="850"/>
        <w:jc w:val="both"/>
        <w:rPr>
          <w:rFonts w:ascii="Times New Roman" w:hAnsi="Times New Roman"/>
          <w:noProof/>
          <w:sz w:val="24"/>
        </w:rPr>
      </w:pPr>
      <w:r>
        <w:rPr>
          <w:rFonts w:ascii="Times New Roman" w:hAnsi="Times New Roman"/>
          <w:noProof/>
          <w:sz w:val="24"/>
        </w:rPr>
        <w:t>Informace o podmíněných závazcích vládních institucí souvisejících s finančním sektorem jsou zveřejněny na internetové stránce Eurostatu</w:t>
      </w:r>
      <w:r>
        <w:rPr>
          <w:rFonts w:ascii="Times New Roman" w:hAnsi="Times New Roman"/>
          <w:noProof/>
          <w:sz w:val="24"/>
          <w:vertAlign w:val="superscript"/>
        </w:rPr>
        <w:footnoteReference w:id="17"/>
      </w:r>
      <w:r>
        <w:rPr>
          <w:rFonts w:ascii="Times New Roman" w:hAnsi="Times New Roman"/>
          <w:noProof/>
          <w:sz w:val="24"/>
        </w:rPr>
        <w:t xml:space="preserve"> za každý členský stát EU včetně souhrnné tabulky s úhrnnými údaji za EU a eurozónu a zahrnují období let 2007–2017.</w:t>
      </w:r>
    </w:p>
    <w:p>
      <w:pPr>
        <w:pStyle w:val="Heading2"/>
        <w:numPr>
          <w:ilvl w:val="1"/>
          <w:numId w:val="2"/>
        </w:numPr>
        <w:rPr>
          <w:noProof/>
        </w:rPr>
      </w:pPr>
      <w:bookmarkStart w:id="104" w:name="_Toc413919832"/>
      <w:bookmarkStart w:id="105" w:name="_Toc413920813"/>
      <w:bookmarkStart w:id="106" w:name="_Toc414992055"/>
      <w:bookmarkStart w:id="107" w:name="_Toc536173308"/>
      <w:bookmarkStart w:id="108" w:name="_Toc536524265"/>
      <w:r>
        <w:rPr>
          <w:noProof/>
        </w:rPr>
        <w:t>Další zdroje údajů Eurostatu</w:t>
      </w:r>
      <w:bookmarkEnd w:id="104"/>
      <w:bookmarkEnd w:id="105"/>
      <w:bookmarkEnd w:id="106"/>
      <w:bookmarkEnd w:id="107"/>
      <w:bookmarkEnd w:id="108"/>
    </w:p>
    <w:p>
      <w:pPr>
        <w:spacing w:before="120" w:after="120" w:line="240" w:lineRule="auto"/>
        <w:ind w:left="850"/>
        <w:jc w:val="both"/>
        <w:rPr>
          <w:rFonts w:ascii="Times New Roman" w:hAnsi="Times New Roman"/>
          <w:noProof/>
          <w:sz w:val="24"/>
        </w:rPr>
      </w:pPr>
      <w:r>
        <w:rPr>
          <w:rFonts w:ascii="Times New Roman" w:hAnsi="Times New Roman"/>
          <w:noProof/>
          <w:sz w:val="24"/>
        </w:rPr>
        <w:t>Již přes deset let shromažďuje Eurostat některé údaje týkající se vládních záruk, jakož i podrozvahových partnerství veřejného a soukromého sektoru díky tabulkám obsaženým v dotazníku v rámci postupu při nadměrném schodku, které nejsou veřejné a které se předkládají společně s oznámením v rámci postupu při nadměrném schodku. Shromážděné informace nejsou určeny ke zveřejnění, ale pro vnitřní účely Eurostatu při zajišťování kvality oznámení v rámci postupu při nadměrném schodku. Kromě toho se úhrnné údaje o státních zárukách shromažďují v rámci každoročního „dotazníku o struktuře dluhu vládních institucí“, který se zveřejňuje na internetové stránce Eurostatu ve lhůtě přibližně T+6 měsíců po skončení sledovaného období</w:t>
      </w:r>
      <w:r>
        <w:rPr>
          <w:rFonts w:ascii="Times New Roman" w:hAnsi="Times New Roman"/>
          <w:noProof/>
          <w:sz w:val="24"/>
          <w:vertAlign w:val="superscript"/>
        </w:rPr>
        <w:footnoteReference w:id="18"/>
      </w:r>
      <w:r>
        <w:rPr>
          <w:rFonts w:ascii="Times New Roman" w:hAnsi="Times New Roman"/>
          <w:noProof/>
          <w:sz w:val="24"/>
        </w:rPr>
        <w:t>.</w:t>
      </w:r>
    </w:p>
    <w:p>
      <w:pPr>
        <w:keepNext/>
        <w:numPr>
          <w:ilvl w:val="0"/>
          <w:numId w:val="2"/>
        </w:numPr>
        <w:spacing w:before="360" w:after="120" w:line="240" w:lineRule="auto"/>
        <w:jc w:val="both"/>
        <w:outlineLvl w:val="0"/>
        <w:rPr>
          <w:rStyle w:val="Heading1Char"/>
          <w:rFonts w:eastAsia="Calibri"/>
          <w:noProof/>
        </w:rPr>
      </w:pPr>
      <w:bookmarkStart w:id="109" w:name="_Toc413919833"/>
      <w:bookmarkStart w:id="110" w:name="_Toc413920814"/>
      <w:bookmarkStart w:id="111" w:name="_Toc414992056"/>
      <w:bookmarkStart w:id="112" w:name="_Toc536173309"/>
      <w:bookmarkStart w:id="113" w:name="_Toc536524266"/>
      <w:r>
        <w:rPr>
          <w:rStyle w:val="Heading1Char"/>
          <w:rFonts w:eastAsiaTheme="minorHAnsi"/>
          <w:noProof/>
        </w:rPr>
        <w:t>Závěry</w:t>
      </w:r>
      <w:bookmarkEnd w:id="97"/>
      <w:bookmarkEnd w:id="98"/>
      <w:bookmarkEnd w:id="109"/>
      <w:bookmarkEnd w:id="110"/>
      <w:bookmarkEnd w:id="111"/>
      <w:bookmarkEnd w:id="112"/>
      <w:bookmarkEnd w:id="113"/>
    </w:p>
    <w:p>
      <w:pPr>
        <w:spacing w:before="120" w:after="120" w:line="240" w:lineRule="auto"/>
        <w:ind w:left="850"/>
        <w:jc w:val="both"/>
        <w:rPr>
          <w:noProof/>
        </w:rPr>
      </w:pPr>
      <w:r>
        <w:rPr>
          <w:rFonts w:ascii="Times New Roman" w:hAnsi="Times New Roman"/>
          <w:noProof/>
          <w:sz w:val="24"/>
        </w:rPr>
        <w:t>Shromažďování údajů o podmíněných závazcích podle směrnice Rady 2011/85/EU zvýšilo dostupnost informací o implicitních závazcích vládních institucí. Před provedením směrnice shromažďoval Eurostat o zárukách a podrozvahových partnerstvích veřejného a soukromého sektoru pouze částečné a většinou neveřejné údaje. Podle zprávy pracovní skupiny začaly členské státy příslušné informace zveřejňovat na vnitrostátní úrovni jednotným a komplexním způsobem a poskytovat je Eurostatu. Od prvního sběru údajů v roce 2014 řada členských států přezkoumala a revidovala číselné údaje s cílem lépe dodržovat pokyny pracovní skupiny. V této fázi jsou pro velkou většinu členských států k dispozici úplné údaje s dostatečným rozsahem, a to pro většinu ukazatelů. Eurostat velmi oceňuje úsilí členských států a vítá dosažené výsledky.</w:t>
      </w:r>
      <w:r>
        <w:rPr>
          <w:noProof/>
        </w:rPr>
        <w:t xml:space="preserve"> </w:t>
      </w:r>
    </w:p>
    <w:p>
      <w:pPr>
        <w:spacing w:before="120" w:after="120" w:line="240" w:lineRule="auto"/>
        <w:ind w:left="850"/>
        <w:jc w:val="both"/>
        <w:rPr>
          <w:rFonts w:ascii="Times New Roman" w:hAnsi="Times New Roman"/>
          <w:noProof/>
          <w:sz w:val="24"/>
          <w:highlight w:val="cyan"/>
        </w:rPr>
      </w:pPr>
      <w:r>
        <w:rPr>
          <w:rFonts w:ascii="Times New Roman" w:hAnsi="Times New Roman"/>
          <w:noProof/>
          <w:sz w:val="24"/>
        </w:rPr>
        <w:t>Nicméně, jak je uvedeno výše, v některých případech nejsou údaje ještě úplné. Zejména je stále třeba zdokonalit údaje o úvěrech se selháním a o závazcích subjektů kontrolovaných vládními institucemi zatříděných mimo sektor vládních institucí. Eurostat bude i nadále spolupracovat s členskými státy na tom, aby byly informace týkající se těchto ukazatelů úplné.</w:t>
      </w:r>
    </w:p>
    <w:p>
      <w:pPr>
        <w:spacing w:before="120" w:after="120" w:line="240" w:lineRule="auto"/>
        <w:ind w:left="850"/>
        <w:jc w:val="both"/>
        <w:rPr>
          <w:rFonts w:ascii="Times New Roman" w:hAnsi="Times New Roman"/>
          <w:noProof/>
          <w:sz w:val="24"/>
        </w:rPr>
      </w:pPr>
      <w:r>
        <w:rPr>
          <w:rFonts w:ascii="Times New Roman" w:hAnsi="Times New Roman"/>
          <w:noProof/>
          <w:sz w:val="24"/>
        </w:rPr>
        <w:t xml:space="preserve">Kromě toho by se měla v zájmu vyšší informovanosti uživatelů o vnitrostátních charakteristikách, revizích a meziročních změnách dále zlepšit dostupnost průvodních metadat. V souvislosti s budoucími sběry údajů bude přezkoumána možnost rozšíření současné šablony pro metadata. </w:t>
      </w:r>
    </w:p>
    <w:p>
      <w:pPr>
        <w:spacing w:before="120" w:after="120" w:line="240" w:lineRule="auto"/>
        <w:ind w:left="850"/>
        <w:jc w:val="both"/>
        <w:rPr>
          <w:rFonts w:ascii="Times New Roman" w:hAnsi="Times New Roman"/>
          <w:noProof/>
          <w:sz w:val="24"/>
        </w:rPr>
      </w:pPr>
      <w:r>
        <w:rPr>
          <w:rFonts w:ascii="Times New Roman" w:hAnsi="Times New Roman"/>
          <w:noProof/>
          <w:sz w:val="24"/>
        </w:rPr>
        <w:t>Závěrem lze říci, že ačkoli podmíněné závazky představují náročnou oblast statistiky, bylo v posledních letech dosaženo významných zlepšení. Nový sběr údajů je krokem vpřed směrem k větší transparentnosti veřejných financí v Evropské unii, neboť poskytuje komplexnější obraz finanční situace členských států EU. Dostupnost srovnatelných a harmonizovaných údajů o podmíněných závazcích vládních institucí je důležitým úspěchem, který z EU činí průkopníka v této oblasti v mezinárodním kontextu.</w:t>
      </w:r>
    </w:p>
    <w:p>
      <w:pPr>
        <w:spacing w:before="120" w:after="120" w:line="240" w:lineRule="auto"/>
        <w:jc w:val="both"/>
        <w:rPr>
          <w:rFonts w:ascii="Times New Roman" w:hAnsi="Times New Roman"/>
          <w:noProof/>
          <w:sz w:val="24"/>
        </w:rPr>
        <w:sectPr>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pPr>
    </w:p>
    <w:p>
      <w:pPr>
        <w:spacing w:after="0" w:line="240" w:lineRule="auto"/>
        <w:jc w:val="center"/>
        <w:rPr>
          <w:rFonts w:ascii="Arial" w:eastAsia="Times New Roman" w:hAnsi="Arial" w:cs="Arial"/>
          <w:b/>
          <w:bCs/>
          <w:noProof/>
          <w:color w:val="000000"/>
          <w:sz w:val="18"/>
          <w:szCs w:val="18"/>
        </w:rPr>
      </w:pPr>
      <w:r>
        <w:rPr>
          <w:rFonts w:ascii="Arial" w:hAnsi="Arial"/>
          <w:b/>
          <w:noProof/>
          <w:color w:val="000000"/>
          <w:sz w:val="18"/>
        </w:rPr>
        <w:t>Příloha 1. Celkové podmíněné závazky a úvěry se selháním vládních institucí v členských státech EU, 2016</w:t>
      </w:r>
      <w:r>
        <w:rPr>
          <w:noProof/>
        </w:rPr>
        <w:t xml:space="preserve"> </w:t>
      </w:r>
      <w:r>
        <w:rPr>
          <w:rFonts w:ascii="Arial" w:hAnsi="Arial"/>
          <w:noProof/>
          <w:color w:val="000000"/>
          <w:sz w:val="18"/>
        </w:rPr>
        <w:t>(v % HDP)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2"/>
        <w:gridCol w:w="1438"/>
        <w:gridCol w:w="1568"/>
        <w:gridCol w:w="1568"/>
        <w:gridCol w:w="1568"/>
        <w:gridCol w:w="1568"/>
        <w:gridCol w:w="1568"/>
        <w:gridCol w:w="1568"/>
        <w:gridCol w:w="1560"/>
      </w:tblGrid>
      <w:tr>
        <w:tc>
          <w:tcPr>
            <w:tcW w:w="562" w:type="pct"/>
            <w:vMerge w:val="restart"/>
            <w:tcBorders>
              <w:top w:val="single" w:sz="8" w:space="0" w:color="auto"/>
              <w:left w:val="single" w:sz="8" w:space="0" w:color="auto"/>
              <w:right w:val="single" w:sz="8" w:space="0" w:color="auto"/>
            </w:tcBorders>
            <w:shd w:val="clear" w:color="auto" w:fill="auto"/>
            <w:tcMar>
              <w:left w:w="0" w:type="dxa"/>
              <w:right w:w="0" w:type="dxa"/>
            </w:tcMar>
            <w:vAlign w:val="center"/>
          </w:tcPr>
          <w:p>
            <w:pPr>
              <w:spacing w:before="20" w:after="20" w:line="210" w:lineRule="exact"/>
              <w:jc w:val="center"/>
              <w:rPr>
                <w:rFonts w:ascii="Arial" w:eastAsia="Times New Roman" w:hAnsi="Arial" w:cs="Arial"/>
                <w:noProof/>
                <w:sz w:val="18"/>
                <w:szCs w:val="18"/>
              </w:rPr>
            </w:pPr>
          </w:p>
        </w:tc>
        <w:tc>
          <w:tcPr>
            <w:tcW w:w="1636" w:type="pct"/>
            <w:gridSpan w:val="3"/>
            <w:tcBorders>
              <w:top w:val="single" w:sz="8" w:space="0" w:color="auto"/>
              <w:left w:val="single" w:sz="8" w:space="0" w:color="auto"/>
              <w:right w:val="single" w:sz="8" w:space="0" w:color="auto"/>
            </w:tcBorders>
            <w:vAlign w:val="center"/>
          </w:tcPr>
          <w:p>
            <w:pPr>
              <w:spacing w:before="20" w:after="20" w:line="210" w:lineRule="exact"/>
              <w:jc w:val="center"/>
              <w:rPr>
                <w:rFonts w:ascii="Arial" w:eastAsia="Times New Roman" w:hAnsi="Arial" w:cs="Arial"/>
                <w:b/>
                <w:noProof/>
                <w:sz w:val="18"/>
                <w:szCs w:val="18"/>
              </w:rPr>
            </w:pPr>
            <w:r>
              <w:rPr>
                <w:rFonts w:ascii="Arial" w:hAnsi="Arial"/>
                <w:b/>
                <w:noProof/>
                <w:sz w:val="18"/>
              </w:rPr>
              <w:t>Vládní záruky</w:t>
            </w:r>
          </w:p>
        </w:tc>
        <w:tc>
          <w:tcPr>
            <w:tcW w:w="561" w:type="pct"/>
            <w:vMerge w:val="restart"/>
            <w:tcBorders>
              <w:top w:val="single" w:sz="8" w:space="0" w:color="auto"/>
              <w:left w:val="single" w:sz="8" w:space="0" w:color="auto"/>
              <w:right w:val="single" w:sz="8" w:space="0" w:color="auto"/>
            </w:tcBorders>
            <w:shd w:val="clear" w:color="auto" w:fill="auto"/>
            <w:tcMar>
              <w:left w:w="0" w:type="dxa"/>
              <w:right w:w="0" w:type="dxa"/>
            </w:tcMar>
            <w:vAlign w:val="center"/>
          </w:tcPr>
          <w:p>
            <w:pPr>
              <w:spacing w:before="20" w:after="20" w:line="210" w:lineRule="exact"/>
              <w:jc w:val="center"/>
              <w:rPr>
                <w:rFonts w:ascii="Arial" w:eastAsia="Times New Roman" w:hAnsi="Arial" w:cs="Arial"/>
                <w:b/>
                <w:noProof/>
                <w:sz w:val="17"/>
                <w:szCs w:val="17"/>
              </w:rPr>
            </w:pPr>
            <w:r>
              <w:rPr>
                <w:rFonts w:ascii="Arial" w:hAnsi="Arial"/>
                <w:b/>
                <w:noProof/>
                <w:sz w:val="17"/>
              </w:rPr>
              <w:t>Závazky týkající se podrozvahových partnerství veřejného a soukromého sektoru</w:t>
            </w:r>
          </w:p>
        </w:tc>
        <w:tc>
          <w:tcPr>
            <w:tcW w:w="1683" w:type="pct"/>
            <w:gridSpan w:val="3"/>
            <w:tcBorders>
              <w:top w:val="single" w:sz="8" w:space="0" w:color="auto"/>
              <w:left w:val="single" w:sz="8" w:space="0" w:color="auto"/>
              <w:right w:val="single" w:sz="8" w:space="0" w:color="auto"/>
            </w:tcBorders>
            <w:vAlign w:val="center"/>
          </w:tcPr>
          <w:p>
            <w:pPr>
              <w:spacing w:before="20" w:after="20" w:line="210" w:lineRule="exact"/>
              <w:jc w:val="center"/>
              <w:rPr>
                <w:rFonts w:ascii="Arial" w:eastAsia="Times New Roman" w:hAnsi="Arial" w:cs="Arial"/>
                <w:b/>
                <w:noProof/>
                <w:sz w:val="18"/>
                <w:szCs w:val="18"/>
              </w:rPr>
            </w:pPr>
            <w:r>
              <w:rPr>
                <w:rFonts w:ascii="Arial" w:hAnsi="Arial"/>
                <w:b/>
                <w:noProof/>
                <w:sz w:val="18"/>
              </w:rPr>
              <w:t>Závazky subjektů kontrolovaných vládními institucemi zatříděných mimo sektor vládních institucí</w:t>
            </w:r>
          </w:p>
        </w:tc>
        <w:tc>
          <w:tcPr>
            <w:tcW w:w="559" w:type="pct"/>
            <w:vMerge w:val="restart"/>
            <w:tcBorders>
              <w:top w:val="single" w:sz="8" w:space="0" w:color="auto"/>
              <w:left w:val="single" w:sz="8" w:space="0" w:color="auto"/>
              <w:right w:val="single" w:sz="8" w:space="0" w:color="auto"/>
            </w:tcBorders>
            <w:shd w:val="clear" w:color="auto" w:fill="auto"/>
            <w:tcMar>
              <w:left w:w="0" w:type="dxa"/>
              <w:right w:w="0" w:type="dxa"/>
            </w:tcMar>
            <w:vAlign w:val="center"/>
          </w:tcPr>
          <w:p>
            <w:pPr>
              <w:spacing w:before="20" w:after="20" w:line="210" w:lineRule="exact"/>
              <w:jc w:val="center"/>
              <w:rPr>
                <w:rFonts w:ascii="Arial" w:eastAsia="Times New Roman" w:hAnsi="Arial" w:cs="Arial"/>
                <w:b/>
                <w:noProof/>
                <w:sz w:val="18"/>
                <w:szCs w:val="18"/>
              </w:rPr>
            </w:pPr>
            <w:r>
              <w:rPr>
                <w:rFonts w:ascii="Arial" w:hAnsi="Arial"/>
                <w:b/>
                <w:noProof/>
                <w:sz w:val="18"/>
              </w:rPr>
              <w:t>Úvěry se selháním (aktiva vládních institucí)</w:t>
            </w:r>
          </w:p>
        </w:tc>
      </w:tr>
      <w:tr>
        <w:trPr>
          <w:trHeight w:val="509"/>
        </w:trPr>
        <w:tc>
          <w:tcPr>
            <w:tcW w:w="562" w:type="pct"/>
            <w:vMerge/>
            <w:tcBorders>
              <w:left w:val="single" w:sz="8" w:space="0" w:color="auto"/>
              <w:right w:val="single" w:sz="8" w:space="0" w:color="auto"/>
            </w:tcBorders>
            <w:shd w:val="clear" w:color="auto" w:fill="auto"/>
            <w:tcMar>
              <w:left w:w="0" w:type="dxa"/>
              <w:right w:w="0" w:type="dxa"/>
            </w:tcMar>
            <w:vAlign w:val="center"/>
          </w:tcPr>
          <w:p>
            <w:pPr>
              <w:spacing w:before="20" w:after="20" w:line="210" w:lineRule="exact"/>
              <w:jc w:val="center"/>
              <w:rPr>
                <w:rFonts w:ascii="Arial" w:eastAsia="Times New Roman" w:hAnsi="Arial" w:cs="Arial"/>
                <w:noProof/>
                <w:sz w:val="18"/>
                <w:szCs w:val="18"/>
              </w:rPr>
            </w:pPr>
          </w:p>
        </w:tc>
        <w:tc>
          <w:tcPr>
            <w:tcW w:w="514" w:type="pct"/>
            <w:tcBorders>
              <w:top w:val="single" w:sz="4" w:space="0" w:color="auto"/>
              <w:left w:val="single" w:sz="8" w:space="0" w:color="auto"/>
              <w:right w:val="single" w:sz="4" w:space="0" w:color="auto"/>
            </w:tcBorders>
            <w:shd w:val="clear" w:color="auto" w:fill="auto"/>
            <w:tcMar>
              <w:left w:w="0" w:type="dxa"/>
              <w:right w:w="0" w:type="dxa"/>
            </w:tcMar>
            <w:vAlign w:val="center"/>
          </w:tcPr>
          <w:p>
            <w:pPr>
              <w:spacing w:before="20" w:after="20" w:line="210" w:lineRule="exact"/>
              <w:jc w:val="center"/>
              <w:rPr>
                <w:rFonts w:ascii="Arial" w:eastAsia="Times New Roman" w:hAnsi="Arial" w:cs="Arial"/>
                <w:i/>
                <w:noProof/>
                <w:sz w:val="18"/>
                <w:szCs w:val="18"/>
              </w:rPr>
            </w:pPr>
            <w:r>
              <w:rPr>
                <w:rFonts w:ascii="Arial" w:hAnsi="Arial"/>
                <w:i/>
                <w:noProof/>
                <w:sz w:val="18"/>
              </w:rPr>
              <w:t>Jednorázové</w:t>
            </w:r>
          </w:p>
        </w:tc>
        <w:tc>
          <w:tcPr>
            <w:tcW w:w="561" w:type="pct"/>
            <w:tcBorders>
              <w:top w:val="single" w:sz="4" w:space="0" w:color="auto"/>
              <w:left w:val="single" w:sz="4" w:space="0" w:color="auto"/>
              <w:right w:val="single" w:sz="4" w:space="0" w:color="auto"/>
            </w:tcBorders>
            <w:vAlign w:val="center"/>
          </w:tcPr>
          <w:p>
            <w:pPr>
              <w:spacing w:before="20" w:after="20" w:line="210" w:lineRule="exact"/>
              <w:jc w:val="center"/>
              <w:rPr>
                <w:rFonts w:ascii="Arial" w:eastAsia="Times New Roman" w:hAnsi="Arial" w:cs="Arial"/>
                <w:i/>
                <w:noProof/>
                <w:sz w:val="18"/>
                <w:szCs w:val="18"/>
              </w:rPr>
            </w:pPr>
            <w:r>
              <w:rPr>
                <w:rFonts w:ascii="Arial" w:hAnsi="Arial"/>
                <w:i/>
                <w:noProof/>
                <w:sz w:val="18"/>
              </w:rPr>
              <w:t>Standardizované</w:t>
            </w:r>
          </w:p>
        </w:tc>
        <w:tc>
          <w:tcPr>
            <w:tcW w:w="561" w:type="pct"/>
            <w:tcBorders>
              <w:top w:val="single" w:sz="4" w:space="0" w:color="auto"/>
              <w:left w:val="single" w:sz="4" w:space="0" w:color="auto"/>
              <w:right w:val="single" w:sz="8" w:space="0" w:color="auto"/>
            </w:tcBorders>
            <w:shd w:val="clear" w:color="auto" w:fill="auto"/>
            <w:tcMar>
              <w:left w:w="0" w:type="dxa"/>
              <w:right w:w="0" w:type="dxa"/>
            </w:tcMar>
            <w:vAlign w:val="center"/>
          </w:tcPr>
          <w:p>
            <w:pPr>
              <w:spacing w:before="20" w:after="20" w:line="210" w:lineRule="exact"/>
              <w:jc w:val="center"/>
              <w:rPr>
                <w:rFonts w:ascii="Arial" w:eastAsia="Times New Roman" w:hAnsi="Arial" w:cs="Arial"/>
                <w:b/>
                <w:noProof/>
                <w:sz w:val="18"/>
                <w:szCs w:val="18"/>
              </w:rPr>
            </w:pPr>
            <w:r>
              <w:rPr>
                <w:rFonts w:ascii="Arial" w:hAnsi="Arial"/>
                <w:b/>
                <w:noProof/>
                <w:sz w:val="18"/>
              </w:rPr>
              <w:t>Celkem</w:t>
            </w:r>
          </w:p>
        </w:tc>
        <w:tc>
          <w:tcPr>
            <w:tcW w:w="561" w:type="pct"/>
            <w:vMerge/>
            <w:tcBorders>
              <w:left w:val="single" w:sz="8" w:space="0" w:color="auto"/>
              <w:right w:val="single" w:sz="8" w:space="0" w:color="auto"/>
            </w:tcBorders>
            <w:shd w:val="clear" w:color="auto" w:fill="auto"/>
            <w:tcMar>
              <w:left w:w="0" w:type="dxa"/>
              <w:right w:w="0" w:type="dxa"/>
            </w:tcMar>
            <w:vAlign w:val="center"/>
          </w:tcPr>
          <w:p>
            <w:pPr>
              <w:spacing w:before="20" w:after="20" w:line="210" w:lineRule="exact"/>
              <w:jc w:val="center"/>
              <w:rPr>
                <w:rFonts w:ascii="Arial" w:eastAsia="Times New Roman" w:hAnsi="Arial" w:cs="Arial"/>
                <w:b/>
                <w:noProof/>
                <w:sz w:val="18"/>
                <w:szCs w:val="18"/>
              </w:rPr>
            </w:pPr>
          </w:p>
        </w:tc>
        <w:tc>
          <w:tcPr>
            <w:tcW w:w="561" w:type="pct"/>
            <w:tcBorders>
              <w:left w:val="single" w:sz="8" w:space="0" w:color="auto"/>
              <w:right w:val="single" w:sz="4" w:space="0" w:color="auto"/>
            </w:tcBorders>
            <w:shd w:val="clear" w:color="auto" w:fill="auto"/>
            <w:tcMar>
              <w:left w:w="0" w:type="dxa"/>
              <w:right w:w="0" w:type="dxa"/>
            </w:tcMar>
            <w:vAlign w:val="center"/>
          </w:tcPr>
          <w:p>
            <w:pPr>
              <w:spacing w:before="20" w:after="20" w:line="210" w:lineRule="exact"/>
              <w:jc w:val="center"/>
              <w:rPr>
                <w:rFonts w:ascii="Arial" w:eastAsia="Times New Roman" w:hAnsi="Arial" w:cs="Arial"/>
                <w:i/>
                <w:noProof/>
                <w:sz w:val="18"/>
                <w:szCs w:val="18"/>
              </w:rPr>
            </w:pPr>
            <w:r>
              <w:rPr>
                <w:rFonts w:ascii="Arial" w:hAnsi="Arial"/>
                <w:i/>
                <w:noProof/>
                <w:sz w:val="18"/>
              </w:rPr>
              <w:t>Subjekty zapojené do finančních činností</w:t>
            </w:r>
          </w:p>
        </w:tc>
        <w:tc>
          <w:tcPr>
            <w:tcW w:w="561" w:type="pct"/>
            <w:tcBorders>
              <w:left w:val="single" w:sz="4" w:space="0" w:color="auto"/>
              <w:right w:val="single" w:sz="4" w:space="0" w:color="auto"/>
            </w:tcBorders>
            <w:vAlign w:val="center"/>
          </w:tcPr>
          <w:p>
            <w:pPr>
              <w:spacing w:before="20" w:after="20" w:line="210" w:lineRule="exact"/>
              <w:jc w:val="center"/>
              <w:rPr>
                <w:rFonts w:ascii="Arial" w:eastAsia="Times New Roman" w:hAnsi="Arial" w:cs="Arial"/>
                <w:i/>
                <w:noProof/>
                <w:sz w:val="18"/>
                <w:szCs w:val="18"/>
              </w:rPr>
            </w:pPr>
            <w:r>
              <w:rPr>
                <w:rFonts w:ascii="Arial" w:hAnsi="Arial"/>
                <w:i/>
                <w:noProof/>
                <w:sz w:val="18"/>
              </w:rPr>
              <w:t>Subjekty zapojené do ostatních činností</w:t>
            </w:r>
          </w:p>
        </w:tc>
        <w:tc>
          <w:tcPr>
            <w:tcW w:w="561" w:type="pct"/>
            <w:tcBorders>
              <w:left w:val="single" w:sz="4" w:space="0" w:color="auto"/>
              <w:right w:val="single" w:sz="8" w:space="0" w:color="auto"/>
            </w:tcBorders>
            <w:shd w:val="clear" w:color="auto" w:fill="auto"/>
            <w:vAlign w:val="center"/>
          </w:tcPr>
          <w:p>
            <w:pPr>
              <w:spacing w:before="20" w:after="20" w:line="210" w:lineRule="exact"/>
              <w:jc w:val="center"/>
              <w:rPr>
                <w:rFonts w:ascii="Arial" w:eastAsia="Times New Roman" w:hAnsi="Arial" w:cs="Arial"/>
                <w:b/>
                <w:noProof/>
                <w:sz w:val="18"/>
                <w:szCs w:val="18"/>
              </w:rPr>
            </w:pPr>
            <w:r>
              <w:rPr>
                <w:rFonts w:ascii="Arial" w:hAnsi="Arial"/>
                <w:b/>
                <w:noProof/>
                <w:sz w:val="18"/>
              </w:rPr>
              <w:t>Celkem</w:t>
            </w:r>
          </w:p>
        </w:tc>
        <w:tc>
          <w:tcPr>
            <w:tcW w:w="559" w:type="pct"/>
            <w:vMerge/>
            <w:tcBorders>
              <w:left w:val="single" w:sz="8" w:space="0" w:color="auto"/>
              <w:right w:val="single" w:sz="8" w:space="0" w:color="auto"/>
            </w:tcBorders>
            <w:shd w:val="clear" w:color="auto" w:fill="auto"/>
            <w:tcMar>
              <w:left w:w="0" w:type="dxa"/>
              <w:right w:w="0" w:type="dxa"/>
            </w:tcMar>
            <w:vAlign w:val="center"/>
          </w:tcPr>
          <w:p>
            <w:pPr>
              <w:spacing w:before="20" w:after="20" w:line="210" w:lineRule="exact"/>
              <w:jc w:val="center"/>
              <w:rPr>
                <w:rFonts w:ascii="Arial" w:eastAsia="Times New Roman" w:hAnsi="Arial" w:cs="Arial"/>
                <w:b/>
                <w:noProof/>
                <w:sz w:val="18"/>
                <w:szCs w:val="18"/>
              </w:rPr>
            </w:pPr>
          </w:p>
        </w:tc>
      </w:tr>
      <w:tr>
        <w:tc>
          <w:tcPr>
            <w:tcW w:w="562" w:type="pct"/>
            <w:tcBorders>
              <w:top w:val="single" w:sz="8" w:space="0" w:color="auto"/>
              <w:left w:val="single" w:sz="8" w:space="0" w:color="auto"/>
              <w:right w:val="single" w:sz="8" w:space="0" w:color="auto"/>
            </w:tcBorders>
            <w:shd w:val="clear" w:color="auto" w:fill="auto"/>
            <w:tcMar>
              <w:left w:w="57" w:type="dxa"/>
              <w:right w:w="0" w:type="dxa"/>
            </w:tcMar>
            <w:vAlign w:val="center"/>
          </w:tcPr>
          <w:p>
            <w:pPr>
              <w:spacing w:before="20" w:after="20" w:line="210" w:lineRule="exact"/>
              <w:ind w:left="142" w:hanging="142"/>
              <w:rPr>
                <w:rFonts w:ascii="Arial" w:eastAsia="Times New Roman" w:hAnsi="Arial" w:cs="Arial"/>
                <w:b/>
                <w:bCs/>
                <w:noProof/>
                <w:sz w:val="18"/>
                <w:szCs w:val="18"/>
              </w:rPr>
            </w:pPr>
            <w:r>
              <w:rPr>
                <w:rFonts w:ascii="Arial" w:hAnsi="Arial"/>
                <w:b/>
                <w:noProof/>
                <w:sz w:val="18"/>
              </w:rPr>
              <w:t>Belgie</w:t>
            </w:r>
          </w:p>
        </w:tc>
        <w:tc>
          <w:tcPr>
            <w:tcW w:w="514" w:type="pct"/>
            <w:tcBorders>
              <w:top w:val="single" w:sz="8" w:space="0" w:color="auto"/>
              <w:left w:val="single" w:sz="8" w:space="0" w:color="auto"/>
              <w:right w:val="single" w:sz="4" w:space="0" w:color="auto"/>
            </w:tcBorders>
            <w:shd w:val="clear" w:color="auto" w:fill="auto"/>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10,3</w:t>
            </w:r>
          </w:p>
        </w:tc>
        <w:tc>
          <w:tcPr>
            <w:tcW w:w="561" w:type="pct"/>
            <w:tcBorders>
              <w:top w:val="single" w:sz="8" w:space="0" w:color="auto"/>
              <w:left w:val="single" w:sz="4" w:space="0" w:color="auto"/>
              <w:right w:val="single" w:sz="4" w:space="0" w:color="auto"/>
            </w:tcBorders>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0,6</w:t>
            </w:r>
          </w:p>
        </w:tc>
        <w:tc>
          <w:tcPr>
            <w:tcW w:w="561" w:type="pct"/>
            <w:tcBorders>
              <w:top w:val="single" w:sz="8" w:space="0" w:color="auto"/>
              <w:left w:val="single" w:sz="4" w:space="0" w:color="auto"/>
              <w:right w:val="single" w:sz="8" w:space="0" w:color="auto"/>
            </w:tcBorders>
            <w:shd w:val="clear" w:color="auto" w:fill="auto"/>
            <w:vAlign w:val="center"/>
          </w:tcPr>
          <w:p>
            <w:pPr>
              <w:spacing w:after="0" w:line="240" w:lineRule="auto"/>
              <w:ind w:right="599"/>
              <w:jc w:val="right"/>
              <w:rPr>
                <w:rFonts w:ascii="Arial" w:eastAsia="Times New Roman" w:hAnsi="Arial" w:cs="Arial"/>
                <w:b/>
                <w:bCs/>
                <w:noProof/>
                <w:sz w:val="18"/>
                <w:szCs w:val="18"/>
              </w:rPr>
            </w:pPr>
            <w:r>
              <w:rPr>
                <w:rFonts w:ascii="Arial" w:hAnsi="Arial"/>
                <w:b/>
                <w:noProof/>
                <w:sz w:val="18"/>
              </w:rPr>
              <w:t>10,9</w:t>
            </w:r>
          </w:p>
        </w:tc>
        <w:tc>
          <w:tcPr>
            <w:tcW w:w="561" w:type="pct"/>
            <w:tcBorders>
              <w:top w:val="single" w:sz="8" w:space="0" w:color="auto"/>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0,1</w:t>
            </w:r>
          </w:p>
        </w:tc>
        <w:tc>
          <w:tcPr>
            <w:tcW w:w="561" w:type="pct"/>
            <w:tcBorders>
              <w:top w:val="single" w:sz="8" w:space="0" w:color="auto"/>
              <w:left w:val="single" w:sz="8" w:space="0" w:color="auto"/>
              <w:right w:val="single" w:sz="4" w:space="0" w:color="auto"/>
            </w:tcBorders>
            <w:shd w:val="clear" w:color="auto" w:fill="auto"/>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38,0</w:t>
            </w:r>
          </w:p>
        </w:tc>
        <w:tc>
          <w:tcPr>
            <w:tcW w:w="561" w:type="pct"/>
            <w:tcBorders>
              <w:top w:val="single" w:sz="8" w:space="0" w:color="auto"/>
              <w:left w:val="single" w:sz="4" w:space="0" w:color="auto"/>
              <w:right w:val="single" w:sz="4" w:space="0" w:color="auto"/>
            </w:tcBorders>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13,7</w:t>
            </w:r>
          </w:p>
        </w:tc>
        <w:tc>
          <w:tcPr>
            <w:tcW w:w="561" w:type="pct"/>
            <w:tcBorders>
              <w:top w:val="single" w:sz="8" w:space="0" w:color="auto"/>
              <w:left w:val="single" w:sz="4" w:space="0" w:color="auto"/>
              <w:right w:val="single" w:sz="8" w:space="0" w:color="auto"/>
            </w:tcBorders>
            <w:shd w:val="clear" w:color="auto" w:fill="auto"/>
            <w:vAlign w:val="center"/>
          </w:tcPr>
          <w:p>
            <w:pPr>
              <w:spacing w:after="0" w:line="240" w:lineRule="auto"/>
              <w:ind w:right="600"/>
              <w:jc w:val="right"/>
              <w:rPr>
                <w:rFonts w:ascii="Arial" w:eastAsia="Times New Roman" w:hAnsi="Arial" w:cs="Arial"/>
                <w:b/>
                <w:bCs/>
                <w:noProof/>
                <w:sz w:val="18"/>
                <w:szCs w:val="18"/>
              </w:rPr>
            </w:pPr>
            <w:r>
              <w:rPr>
                <w:rFonts w:ascii="Arial" w:hAnsi="Arial"/>
                <w:b/>
                <w:noProof/>
                <w:sz w:val="18"/>
              </w:rPr>
              <w:t>51,7</w:t>
            </w:r>
          </w:p>
        </w:tc>
        <w:tc>
          <w:tcPr>
            <w:tcW w:w="559" w:type="pct"/>
            <w:tcBorders>
              <w:top w:val="single" w:sz="8" w:space="0" w:color="auto"/>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w:t>
            </w:r>
          </w:p>
        </w:tc>
      </w:tr>
      <w:tr>
        <w:tc>
          <w:tcPr>
            <w:tcW w:w="562" w:type="pct"/>
            <w:tcBorders>
              <w:left w:val="single" w:sz="8" w:space="0" w:color="auto"/>
              <w:right w:val="single" w:sz="8" w:space="0" w:color="auto"/>
            </w:tcBorders>
            <w:shd w:val="clear" w:color="auto" w:fill="auto"/>
            <w:tcMar>
              <w:left w:w="57" w:type="dxa"/>
              <w:right w:w="0" w:type="dxa"/>
            </w:tcMar>
            <w:vAlign w:val="center"/>
          </w:tcPr>
          <w:p>
            <w:pPr>
              <w:spacing w:before="20" w:after="20" w:line="210" w:lineRule="exact"/>
              <w:ind w:left="142" w:hanging="142"/>
              <w:rPr>
                <w:rFonts w:ascii="Arial" w:eastAsia="Times New Roman" w:hAnsi="Arial" w:cs="Arial"/>
                <w:b/>
                <w:bCs/>
                <w:noProof/>
                <w:sz w:val="18"/>
                <w:szCs w:val="18"/>
              </w:rPr>
            </w:pPr>
            <w:r>
              <w:rPr>
                <w:rFonts w:ascii="Arial" w:hAnsi="Arial"/>
                <w:b/>
                <w:noProof/>
                <w:sz w:val="18"/>
              </w:rPr>
              <w:t>Bulharsko</w:t>
            </w:r>
          </w:p>
        </w:tc>
        <w:tc>
          <w:tcPr>
            <w:tcW w:w="514" w:type="pct"/>
            <w:tcBorders>
              <w:left w:val="single" w:sz="8" w:space="0" w:color="auto"/>
              <w:right w:val="single" w:sz="4" w:space="0" w:color="auto"/>
            </w:tcBorders>
            <w:shd w:val="clear" w:color="auto" w:fill="auto"/>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0,4</w:t>
            </w:r>
          </w:p>
        </w:tc>
        <w:tc>
          <w:tcPr>
            <w:tcW w:w="561" w:type="pct"/>
            <w:tcBorders>
              <w:left w:val="single" w:sz="4" w:space="0" w:color="auto"/>
              <w:right w:val="single" w:sz="4" w:space="0" w:color="auto"/>
            </w:tcBorders>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0,1</w:t>
            </w:r>
          </w:p>
        </w:tc>
        <w:tc>
          <w:tcPr>
            <w:tcW w:w="561" w:type="pct"/>
            <w:tcBorders>
              <w:left w:val="single" w:sz="4" w:space="0" w:color="auto"/>
              <w:right w:val="single" w:sz="8" w:space="0" w:color="auto"/>
            </w:tcBorders>
            <w:shd w:val="clear" w:color="auto" w:fill="auto"/>
            <w:vAlign w:val="center"/>
          </w:tcPr>
          <w:p>
            <w:pPr>
              <w:spacing w:after="0" w:line="240" w:lineRule="auto"/>
              <w:ind w:right="599"/>
              <w:jc w:val="right"/>
              <w:rPr>
                <w:rFonts w:ascii="Arial" w:eastAsia="Times New Roman" w:hAnsi="Arial" w:cs="Arial"/>
                <w:b/>
                <w:bCs/>
                <w:noProof/>
                <w:sz w:val="18"/>
                <w:szCs w:val="18"/>
              </w:rPr>
            </w:pPr>
            <w:r>
              <w:rPr>
                <w:rFonts w:ascii="Arial" w:hAnsi="Arial"/>
                <w:b/>
                <w:noProof/>
                <w:sz w:val="18"/>
              </w:rPr>
              <w:t>0,5</w:t>
            </w:r>
          </w:p>
        </w:tc>
        <w:tc>
          <w:tcPr>
            <w:tcW w:w="561"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0,0</w:t>
            </w:r>
          </w:p>
        </w:tc>
        <w:tc>
          <w:tcPr>
            <w:tcW w:w="561" w:type="pct"/>
            <w:tcBorders>
              <w:left w:val="single" w:sz="8" w:space="0" w:color="auto"/>
              <w:right w:val="single" w:sz="4" w:space="0" w:color="auto"/>
            </w:tcBorders>
            <w:shd w:val="clear" w:color="auto" w:fill="auto"/>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5,0</w:t>
            </w:r>
          </w:p>
        </w:tc>
        <w:tc>
          <w:tcPr>
            <w:tcW w:w="561" w:type="pct"/>
            <w:tcBorders>
              <w:left w:val="single" w:sz="4" w:space="0" w:color="auto"/>
              <w:right w:val="single" w:sz="4" w:space="0" w:color="auto"/>
            </w:tcBorders>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8,1</w:t>
            </w:r>
          </w:p>
        </w:tc>
        <w:tc>
          <w:tcPr>
            <w:tcW w:w="561" w:type="pct"/>
            <w:tcBorders>
              <w:left w:val="single" w:sz="4" w:space="0" w:color="auto"/>
              <w:right w:val="single" w:sz="8" w:space="0" w:color="auto"/>
            </w:tcBorders>
            <w:shd w:val="clear" w:color="auto" w:fill="auto"/>
            <w:vAlign w:val="center"/>
          </w:tcPr>
          <w:p>
            <w:pPr>
              <w:spacing w:after="0" w:line="240" w:lineRule="auto"/>
              <w:ind w:right="600"/>
              <w:jc w:val="right"/>
              <w:rPr>
                <w:rFonts w:ascii="Arial" w:eastAsia="Times New Roman" w:hAnsi="Arial" w:cs="Arial"/>
                <w:b/>
                <w:bCs/>
                <w:noProof/>
                <w:sz w:val="18"/>
                <w:szCs w:val="18"/>
              </w:rPr>
            </w:pPr>
            <w:r>
              <w:rPr>
                <w:rFonts w:ascii="Arial" w:hAnsi="Arial"/>
                <w:b/>
                <w:noProof/>
                <w:sz w:val="18"/>
              </w:rPr>
              <w:t>13,1</w:t>
            </w:r>
          </w:p>
        </w:tc>
        <w:tc>
          <w:tcPr>
            <w:tcW w:w="559"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0,1</w:t>
            </w:r>
          </w:p>
        </w:tc>
      </w:tr>
      <w:tr>
        <w:tc>
          <w:tcPr>
            <w:tcW w:w="562" w:type="pct"/>
            <w:tcBorders>
              <w:left w:val="single" w:sz="8" w:space="0" w:color="auto"/>
              <w:right w:val="single" w:sz="8" w:space="0" w:color="auto"/>
            </w:tcBorders>
            <w:shd w:val="clear" w:color="auto" w:fill="auto"/>
            <w:tcMar>
              <w:left w:w="57" w:type="dxa"/>
              <w:right w:w="0" w:type="dxa"/>
            </w:tcMar>
            <w:vAlign w:val="center"/>
          </w:tcPr>
          <w:p>
            <w:pPr>
              <w:spacing w:before="20" w:after="20" w:line="210" w:lineRule="exact"/>
              <w:ind w:left="142" w:hanging="142"/>
              <w:rPr>
                <w:rFonts w:ascii="Arial" w:eastAsia="Times New Roman" w:hAnsi="Arial" w:cs="Arial"/>
                <w:b/>
                <w:bCs/>
                <w:noProof/>
                <w:sz w:val="18"/>
                <w:szCs w:val="18"/>
              </w:rPr>
            </w:pPr>
            <w:r>
              <w:rPr>
                <w:rFonts w:ascii="Arial" w:hAnsi="Arial"/>
                <w:b/>
                <w:noProof/>
                <w:sz w:val="18"/>
              </w:rPr>
              <w:t>Česká republika</w:t>
            </w:r>
          </w:p>
        </w:tc>
        <w:tc>
          <w:tcPr>
            <w:tcW w:w="514" w:type="pct"/>
            <w:tcBorders>
              <w:left w:val="single" w:sz="8" w:space="0" w:color="auto"/>
              <w:right w:val="single" w:sz="4" w:space="0" w:color="auto"/>
            </w:tcBorders>
            <w:shd w:val="clear" w:color="auto" w:fill="auto"/>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0,3</w:t>
            </w:r>
          </w:p>
        </w:tc>
        <w:tc>
          <w:tcPr>
            <w:tcW w:w="561" w:type="pct"/>
            <w:tcBorders>
              <w:left w:val="single" w:sz="4" w:space="0" w:color="auto"/>
              <w:right w:val="single" w:sz="4" w:space="0" w:color="auto"/>
            </w:tcBorders>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0,0</w:t>
            </w:r>
          </w:p>
        </w:tc>
        <w:tc>
          <w:tcPr>
            <w:tcW w:w="561" w:type="pct"/>
            <w:tcBorders>
              <w:left w:val="single" w:sz="4" w:space="0" w:color="auto"/>
              <w:right w:val="single" w:sz="8" w:space="0" w:color="auto"/>
            </w:tcBorders>
            <w:shd w:val="clear" w:color="auto" w:fill="auto"/>
            <w:vAlign w:val="center"/>
          </w:tcPr>
          <w:p>
            <w:pPr>
              <w:spacing w:after="0" w:line="240" w:lineRule="auto"/>
              <w:ind w:right="599"/>
              <w:jc w:val="right"/>
              <w:rPr>
                <w:rFonts w:ascii="Arial" w:eastAsia="Times New Roman" w:hAnsi="Arial" w:cs="Arial"/>
                <w:b/>
                <w:bCs/>
                <w:noProof/>
                <w:sz w:val="18"/>
                <w:szCs w:val="18"/>
              </w:rPr>
            </w:pPr>
            <w:r>
              <w:rPr>
                <w:rFonts w:ascii="Arial" w:hAnsi="Arial"/>
                <w:b/>
                <w:noProof/>
                <w:sz w:val="18"/>
              </w:rPr>
              <w:t>0,3</w:t>
            </w:r>
          </w:p>
        </w:tc>
        <w:tc>
          <w:tcPr>
            <w:tcW w:w="561"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0,0</w:t>
            </w:r>
          </w:p>
        </w:tc>
        <w:tc>
          <w:tcPr>
            <w:tcW w:w="561" w:type="pct"/>
            <w:tcBorders>
              <w:left w:val="single" w:sz="8" w:space="0" w:color="auto"/>
              <w:right w:val="single" w:sz="4" w:space="0" w:color="auto"/>
            </w:tcBorders>
            <w:shd w:val="clear" w:color="auto" w:fill="auto"/>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0,0</w:t>
            </w:r>
          </w:p>
        </w:tc>
        <w:tc>
          <w:tcPr>
            <w:tcW w:w="561" w:type="pct"/>
            <w:tcBorders>
              <w:left w:val="single" w:sz="4" w:space="0" w:color="auto"/>
              <w:right w:val="single" w:sz="4" w:space="0" w:color="auto"/>
            </w:tcBorders>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10,7</w:t>
            </w:r>
          </w:p>
        </w:tc>
        <w:tc>
          <w:tcPr>
            <w:tcW w:w="561" w:type="pct"/>
            <w:tcBorders>
              <w:left w:val="single" w:sz="4" w:space="0" w:color="auto"/>
              <w:right w:val="single" w:sz="8" w:space="0" w:color="auto"/>
            </w:tcBorders>
            <w:shd w:val="clear" w:color="auto" w:fill="auto"/>
            <w:vAlign w:val="center"/>
          </w:tcPr>
          <w:p>
            <w:pPr>
              <w:spacing w:after="0" w:line="240" w:lineRule="auto"/>
              <w:ind w:right="600"/>
              <w:jc w:val="right"/>
              <w:rPr>
                <w:rFonts w:ascii="Arial" w:eastAsia="Times New Roman" w:hAnsi="Arial" w:cs="Arial"/>
                <w:b/>
                <w:bCs/>
                <w:noProof/>
                <w:sz w:val="18"/>
                <w:szCs w:val="18"/>
              </w:rPr>
            </w:pPr>
            <w:r>
              <w:rPr>
                <w:rFonts w:ascii="Arial" w:hAnsi="Arial"/>
                <w:b/>
                <w:noProof/>
                <w:sz w:val="18"/>
              </w:rPr>
              <w:t>10,8</w:t>
            </w:r>
          </w:p>
        </w:tc>
        <w:tc>
          <w:tcPr>
            <w:tcW w:w="559"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1,4</w:t>
            </w:r>
          </w:p>
        </w:tc>
      </w:tr>
      <w:tr>
        <w:tc>
          <w:tcPr>
            <w:tcW w:w="562" w:type="pct"/>
            <w:tcBorders>
              <w:left w:val="single" w:sz="8" w:space="0" w:color="auto"/>
              <w:right w:val="single" w:sz="8" w:space="0" w:color="auto"/>
            </w:tcBorders>
            <w:shd w:val="clear" w:color="auto" w:fill="auto"/>
            <w:tcMar>
              <w:left w:w="57" w:type="dxa"/>
              <w:right w:w="0" w:type="dxa"/>
            </w:tcMar>
            <w:vAlign w:val="center"/>
          </w:tcPr>
          <w:p>
            <w:pPr>
              <w:spacing w:before="20" w:after="20" w:line="210" w:lineRule="exact"/>
              <w:ind w:left="142" w:hanging="142"/>
              <w:rPr>
                <w:rFonts w:ascii="Arial" w:eastAsia="Times New Roman" w:hAnsi="Arial" w:cs="Arial"/>
                <w:b/>
                <w:bCs/>
                <w:noProof/>
                <w:sz w:val="18"/>
                <w:szCs w:val="18"/>
              </w:rPr>
            </w:pPr>
            <w:r>
              <w:rPr>
                <w:rFonts w:ascii="Arial" w:hAnsi="Arial"/>
                <w:b/>
                <w:noProof/>
                <w:sz w:val="18"/>
              </w:rPr>
              <w:t>Dánsko</w:t>
            </w:r>
          </w:p>
        </w:tc>
        <w:tc>
          <w:tcPr>
            <w:tcW w:w="514" w:type="pct"/>
            <w:tcBorders>
              <w:left w:val="single" w:sz="8" w:space="0" w:color="auto"/>
              <w:right w:val="single" w:sz="4" w:space="0" w:color="auto"/>
            </w:tcBorders>
            <w:shd w:val="clear" w:color="auto" w:fill="auto"/>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9,9</w:t>
            </w:r>
          </w:p>
        </w:tc>
        <w:tc>
          <w:tcPr>
            <w:tcW w:w="561" w:type="pct"/>
            <w:tcBorders>
              <w:left w:val="single" w:sz="4" w:space="0" w:color="auto"/>
              <w:right w:val="single" w:sz="4" w:space="0" w:color="auto"/>
            </w:tcBorders>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0,0</w:t>
            </w:r>
          </w:p>
        </w:tc>
        <w:tc>
          <w:tcPr>
            <w:tcW w:w="561" w:type="pct"/>
            <w:tcBorders>
              <w:left w:val="single" w:sz="4" w:space="0" w:color="auto"/>
              <w:right w:val="single" w:sz="8" w:space="0" w:color="auto"/>
            </w:tcBorders>
            <w:shd w:val="clear" w:color="auto" w:fill="auto"/>
            <w:vAlign w:val="center"/>
          </w:tcPr>
          <w:p>
            <w:pPr>
              <w:spacing w:after="0" w:line="240" w:lineRule="auto"/>
              <w:ind w:right="599"/>
              <w:jc w:val="right"/>
              <w:rPr>
                <w:rFonts w:ascii="Arial" w:eastAsia="Times New Roman" w:hAnsi="Arial" w:cs="Arial"/>
                <w:b/>
                <w:bCs/>
                <w:noProof/>
                <w:sz w:val="18"/>
                <w:szCs w:val="18"/>
              </w:rPr>
            </w:pPr>
            <w:r>
              <w:rPr>
                <w:rFonts w:ascii="Arial" w:hAnsi="Arial"/>
                <w:b/>
                <w:noProof/>
                <w:sz w:val="18"/>
              </w:rPr>
              <w:t>9,9</w:t>
            </w:r>
          </w:p>
        </w:tc>
        <w:tc>
          <w:tcPr>
            <w:tcW w:w="561"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0,2</w:t>
            </w:r>
          </w:p>
        </w:tc>
        <w:tc>
          <w:tcPr>
            <w:tcW w:w="561" w:type="pct"/>
            <w:tcBorders>
              <w:left w:val="single" w:sz="8" w:space="0" w:color="auto"/>
              <w:right w:val="single" w:sz="4" w:space="0" w:color="auto"/>
            </w:tcBorders>
            <w:shd w:val="clear" w:color="auto" w:fill="auto"/>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10,9</w:t>
            </w:r>
          </w:p>
        </w:tc>
        <w:tc>
          <w:tcPr>
            <w:tcW w:w="561" w:type="pct"/>
            <w:tcBorders>
              <w:left w:val="single" w:sz="4" w:space="0" w:color="auto"/>
              <w:right w:val="single" w:sz="4" w:space="0" w:color="auto"/>
            </w:tcBorders>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18,2</w:t>
            </w:r>
          </w:p>
        </w:tc>
        <w:tc>
          <w:tcPr>
            <w:tcW w:w="561" w:type="pct"/>
            <w:tcBorders>
              <w:left w:val="single" w:sz="4" w:space="0" w:color="auto"/>
              <w:right w:val="single" w:sz="8" w:space="0" w:color="auto"/>
            </w:tcBorders>
            <w:shd w:val="clear" w:color="auto" w:fill="auto"/>
            <w:vAlign w:val="center"/>
          </w:tcPr>
          <w:p>
            <w:pPr>
              <w:spacing w:after="0" w:line="240" w:lineRule="auto"/>
              <w:ind w:right="600"/>
              <w:jc w:val="right"/>
              <w:rPr>
                <w:rFonts w:ascii="Arial" w:eastAsia="Times New Roman" w:hAnsi="Arial" w:cs="Arial"/>
                <w:b/>
                <w:bCs/>
                <w:noProof/>
                <w:sz w:val="18"/>
                <w:szCs w:val="18"/>
              </w:rPr>
            </w:pPr>
            <w:r>
              <w:rPr>
                <w:rFonts w:ascii="Arial" w:hAnsi="Arial"/>
                <w:b/>
                <w:noProof/>
                <w:sz w:val="18"/>
              </w:rPr>
              <w:t>29,1</w:t>
            </w:r>
          </w:p>
        </w:tc>
        <w:tc>
          <w:tcPr>
            <w:tcW w:w="559"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0,3</w:t>
            </w:r>
          </w:p>
        </w:tc>
      </w:tr>
      <w:tr>
        <w:tc>
          <w:tcPr>
            <w:tcW w:w="562" w:type="pct"/>
            <w:tcBorders>
              <w:left w:val="single" w:sz="8" w:space="0" w:color="auto"/>
              <w:right w:val="single" w:sz="8" w:space="0" w:color="auto"/>
            </w:tcBorders>
            <w:shd w:val="clear" w:color="auto" w:fill="auto"/>
            <w:tcMar>
              <w:left w:w="57" w:type="dxa"/>
              <w:right w:w="0" w:type="dxa"/>
            </w:tcMar>
            <w:vAlign w:val="center"/>
          </w:tcPr>
          <w:p>
            <w:pPr>
              <w:spacing w:before="20" w:after="20" w:line="210" w:lineRule="exact"/>
              <w:ind w:left="142" w:hanging="142"/>
              <w:rPr>
                <w:rFonts w:ascii="Arial" w:eastAsia="Times New Roman" w:hAnsi="Arial" w:cs="Arial"/>
                <w:b/>
                <w:bCs/>
                <w:noProof/>
                <w:sz w:val="18"/>
                <w:szCs w:val="18"/>
              </w:rPr>
            </w:pPr>
            <w:r>
              <w:rPr>
                <w:rFonts w:ascii="Arial" w:hAnsi="Arial"/>
                <w:b/>
                <w:noProof/>
                <w:sz w:val="18"/>
              </w:rPr>
              <w:t>Německo</w:t>
            </w:r>
          </w:p>
        </w:tc>
        <w:tc>
          <w:tcPr>
            <w:tcW w:w="514" w:type="pct"/>
            <w:tcBorders>
              <w:left w:val="single" w:sz="8" w:space="0" w:color="auto"/>
              <w:right w:val="single" w:sz="4" w:space="0" w:color="auto"/>
            </w:tcBorders>
            <w:shd w:val="clear" w:color="auto" w:fill="auto"/>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14,3</w:t>
            </w:r>
          </w:p>
        </w:tc>
        <w:tc>
          <w:tcPr>
            <w:tcW w:w="561" w:type="pct"/>
            <w:tcBorders>
              <w:left w:val="single" w:sz="4" w:space="0" w:color="auto"/>
              <w:right w:val="single" w:sz="4" w:space="0" w:color="auto"/>
            </w:tcBorders>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0,0</w:t>
            </w:r>
          </w:p>
        </w:tc>
        <w:tc>
          <w:tcPr>
            <w:tcW w:w="561" w:type="pct"/>
            <w:tcBorders>
              <w:left w:val="single" w:sz="4" w:space="0" w:color="auto"/>
              <w:right w:val="single" w:sz="8" w:space="0" w:color="auto"/>
            </w:tcBorders>
            <w:shd w:val="clear" w:color="auto" w:fill="auto"/>
            <w:vAlign w:val="center"/>
          </w:tcPr>
          <w:p>
            <w:pPr>
              <w:spacing w:after="0" w:line="240" w:lineRule="auto"/>
              <w:ind w:right="599"/>
              <w:jc w:val="right"/>
              <w:rPr>
                <w:rFonts w:ascii="Arial" w:eastAsia="Times New Roman" w:hAnsi="Arial" w:cs="Arial"/>
                <w:b/>
                <w:bCs/>
                <w:noProof/>
                <w:sz w:val="18"/>
                <w:szCs w:val="18"/>
              </w:rPr>
            </w:pPr>
            <w:r>
              <w:rPr>
                <w:rFonts w:ascii="Arial" w:hAnsi="Arial"/>
                <w:b/>
                <w:noProof/>
                <w:sz w:val="18"/>
              </w:rPr>
              <w:t>14,3</w:t>
            </w:r>
          </w:p>
        </w:tc>
        <w:tc>
          <w:tcPr>
            <w:tcW w:w="561"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0,0</w:t>
            </w:r>
          </w:p>
        </w:tc>
        <w:tc>
          <w:tcPr>
            <w:tcW w:w="561" w:type="pct"/>
            <w:tcBorders>
              <w:left w:val="single" w:sz="8" w:space="0" w:color="auto"/>
              <w:right w:val="single" w:sz="4" w:space="0" w:color="auto"/>
            </w:tcBorders>
            <w:shd w:val="clear" w:color="auto" w:fill="auto"/>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96,4</w:t>
            </w:r>
          </w:p>
        </w:tc>
        <w:tc>
          <w:tcPr>
            <w:tcW w:w="561" w:type="pct"/>
            <w:tcBorders>
              <w:left w:val="single" w:sz="4" w:space="0" w:color="auto"/>
              <w:right w:val="single" w:sz="4" w:space="0" w:color="auto"/>
            </w:tcBorders>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4,3</w:t>
            </w:r>
          </w:p>
        </w:tc>
        <w:tc>
          <w:tcPr>
            <w:tcW w:w="561" w:type="pct"/>
            <w:tcBorders>
              <w:left w:val="single" w:sz="4" w:space="0" w:color="auto"/>
              <w:right w:val="single" w:sz="8" w:space="0" w:color="auto"/>
            </w:tcBorders>
            <w:shd w:val="clear" w:color="auto" w:fill="auto"/>
            <w:vAlign w:val="center"/>
          </w:tcPr>
          <w:p>
            <w:pPr>
              <w:spacing w:after="0" w:line="240" w:lineRule="auto"/>
              <w:ind w:right="600"/>
              <w:jc w:val="right"/>
              <w:rPr>
                <w:rFonts w:ascii="Arial" w:eastAsia="Times New Roman" w:hAnsi="Arial" w:cs="Arial"/>
                <w:b/>
                <w:bCs/>
                <w:noProof/>
                <w:sz w:val="18"/>
                <w:szCs w:val="18"/>
              </w:rPr>
            </w:pPr>
            <w:r>
              <w:rPr>
                <w:rFonts w:ascii="Arial" w:hAnsi="Arial"/>
                <w:b/>
                <w:noProof/>
                <w:sz w:val="18"/>
              </w:rPr>
              <w:t>100,7</w:t>
            </w:r>
          </w:p>
        </w:tc>
        <w:tc>
          <w:tcPr>
            <w:tcW w:w="559"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0,1</w:t>
            </w:r>
          </w:p>
        </w:tc>
      </w:tr>
      <w:tr>
        <w:tc>
          <w:tcPr>
            <w:tcW w:w="562" w:type="pct"/>
            <w:tcBorders>
              <w:left w:val="single" w:sz="8" w:space="0" w:color="auto"/>
              <w:right w:val="single" w:sz="8" w:space="0" w:color="auto"/>
            </w:tcBorders>
            <w:shd w:val="clear" w:color="auto" w:fill="auto"/>
            <w:tcMar>
              <w:left w:w="57" w:type="dxa"/>
              <w:right w:w="0" w:type="dxa"/>
            </w:tcMar>
            <w:vAlign w:val="center"/>
          </w:tcPr>
          <w:p>
            <w:pPr>
              <w:spacing w:before="20" w:after="20" w:line="210" w:lineRule="exact"/>
              <w:ind w:left="142" w:hanging="142"/>
              <w:rPr>
                <w:rFonts w:ascii="Arial" w:eastAsia="Times New Roman" w:hAnsi="Arial" w:cs="Arial"/>
                <w:b/>
                <w:bCs/>
                <w:noProof/>
                <w:sz w:val="18"/>
                <w:szCs w:val="18"/>
              </w:rPr>
            </w:pPr>
            <w:r>
              <w:rPr>
                <w:rFonts w:ascii="Arial" w:hAnsi="Arial"/>
                <w:b/>
                <w:noProof/>
                <w:sz w:val="18"/>
              </w:rPr>
              <w:t>Estonsko</w:t>
            </w:r>
          </w:p>
        </w:tc>
        <w:tc>
          <w:tcPr>
            <w:tcW w:w="514" w:type="pct"/>
            <w:tcBorders>
              <w:left w:val="single" w:sz="8" w:space="0" w:color="auto"/>
              <w:right w:val="single" w:sz="4" w:space="0" w:color="auto"/>
            </w:tcBorders>
            <w:shd w:val="clear" w:color="auto" w:fill="auto"/>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0,0</w:t>
            </w:r>
          </w:p>
        </w:tc>
        <w:tc>
          <w:tcPr>
            <w:tcW w:w="561" w:type="pct"/>
            <w:tcBorders>
              <w:left w:val="single" w:sz="4" w:space="0" w:color="auto"/>
              <w:right w:val="single" w:sz="4" w:space="0" w:color="auto"/>
            </w:tcBorders>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1,5</w:t>
            </w:r>
          </w:p>
        </w:tc>
        <w:tc>
          <w:tcPr>
            <w:tcW w:w="561" w:type="pct"/>
            <w:tcBorders>
              <w:left w:val="single" w:sz="4" w:space="0" w:color="auto"/>
              <w:right w:val="single" w:sz="8" w:space="0" w:color="auto"/>
            </w:tcBorders>
            <w:shd w:val="clear" w:color="auto" w:fill="auto"/>
            <w:vAlign w:val="center"/>
          </w:tcPr>
          <w:p>
            <w:pPr>
              <w:spacing w:after="0" w:line="240" w:lineRule="auto"/>
              <w:ind w:right="599"/>
              <w:jc w:val="right"/>
              <w:rPr>
                <w:rFonts w:ascii="Arial" w:eastAsia="Times New Roman" w:hAnsi="Arial" w:cs="Arial"/>
                <w:b/>
                <w:bCs/>
                <w:noProof/>
                <w:sz w:val="18"/>
                <w:szCs w:val="18"/>
              </w:rPr>
            </w:pPr>
            <w:r>
              <w:rPr>
                <w:rFonts w:ascii="Arial" w:hAnsi="Arial"/>
                <w:b/>
                <w:noProof/>
                <w:sz w:val="18"/>
              </w:rPr>
              <w:t>1,5</w:t>
            </w:r>
          </w:p>
        </w:tc>
        <w:tc>
          <w:tcPr>
            <w:tcW w:w="561"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0,1</w:t>
            </w:r>
          </w:p>
        </w:tc>
        <w:tc>
          <w:tcPr>
            <w:tcW w:w="561" w:type="pct"/>
            <w:tcBorders>
              <w:left w:val="single" w:sz="8" w:space="0" w:color="auto"/>
              <w:right w:val="single" w:sz="4" w:space="0" w:color="auto"/>
            </w:tcBorders>
            <w:shd w:val="clear" w:color="auto" w:fill="auto"/>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0,2</w:t>
            </w:r>
          </w:p>
        </w:tc>
        <w:tc>
          <w:tcPr>
            <w:tcW w:w="561" w:type="pct"/>
            <w:tcBorders>
              <w:left w:val="single" w:sz="4" w:space="0" w:color="auto"/>
              <w:right w:val="single" w:sz="4" w:space="0" w:color="auto"/>
            </w:tcBorders>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13,3</w:t>
            </w:r>
          </w:p>
        </w:tc>
        <w:tc>
          <w:tcPr>
            <w:tcW w:w="561" w:type="pct"/>
            <w:tcBorders>
              <w:left w:val="single" w:sz="4" w:space="0" w:color="auto"/>
              <w:right w:val="single" w:sz="8" w:space="0" w:color="auto"/>
            </w:tcBorders>
            <w:shd w:val="clear" w:color="auto" w:fill="auto"/>
            <w:vAlign w:val="center"/>
          </w:tcPr>
          <w:p>
            <w:pPr>
              <w:spacing w:after="0" w:line="240" w:lineRule="auto"/>
              <w:ind w:right="600"/>
              <w:jc w:val="right"/>
              <w:rPr>
                <w:rFonts w:ascii="Arial" w:eastAsia="Times New Roman" w:hAnsi="Arial" w:cs="Arial"/>
                <w:b/>
                <w:bCs/>
                <w:noProof/>
                <w:sz w:val="18"/>
                <w:szCs w:val="18"/>
              </w:rPr>
            </w:pPr>
            <w:r>
              <w:rPr>
                <w:rFonts w:ascii="Arial" w:hAnsi="Arial"/>
                <w:b/>
                <w:noProof/>
                <w:sz w:val="18"/>
              </w:rPr>
              <w:t>13,5</w:t>
            </w:r>
          </w:p>
        </w:tc>
        <w:tc>
          <w:tcPr>
            <w:tcW w:w="559"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0,0</w:t>
            </w:r>
          </w:p>
        </w:tc>
      </w:tr>
      <w:tr>
        <w:tc>
          <w:tcPr>
            <w:tcW w:w="562" w:type="pct"/>
            <w:tcBorders>
              <w:left w:val="single" w:sz="8" w:space="0" w:color="auto"/>
              <w:right w:val="single" w:sz="8" w:space="0" w:color="auto"/>
            </w:tcBorders>
            <w:shd w:val="clear" w:color="auto" w:fill="auto"/>
            <w:tcMar>
              <w:left w:w="57" w:type="dxa"/>
              <w:right w:w="0" w:type="dxa"/>
            </w:tcMar>
            <w:vAlign w:val="center"/>
          </w:tcPr>
          <w:p>
            <w:pPr>
              <w:spacing w:before="20" w:after="20" w:line="210" w:lineRule="exact"/>
              <w:ind w:left="142" w:hanging="142"/>
              <w:rPr>
                <w:rFonts w:ascii="Arial" w:eastAsia="Times New Roman" w:hAnsi="Arial" w:cs="Arial"/>
                <w:b/>
                <w:bCs/>
                <w:noProof/>
                <w:sz w:val="18"/>
                <w:szCs w:val="18"/>
              </w:rPr>
            </w:pPr>
            <w:r>
              <w:rPr>
                <w:rFonts w:ascii="Arial" w:hAnsi="Arial"/>
                <w:b/>
                <w:noProof/>
                <w:sz w:val="18"/>
              </w:rPr>
              <w:t>Irsko</w:t>
            </w:r>
          </w:p>
        </w:tc>
        <w:tc>
          <w:tcPr>
            <w:tcW w:w="514" w:type="pct"/>
            <w:tcBorders>
              <w:left w:val="single" w:sz="8" w:space="0" w:color="auto"/>
              <w:right w:val="single" w:sz="4" w:space="0" w:color="auto"/>
            </w:tcBorders>
            <w:shd w:val="clear" w:color="auto" w:fill="auto"/>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1,9</w:t>
            </w:r>
          </w:p>
        </w:tc>
        <w:tc>
          <w:tcPr>
            <w:tcW w:w="561" w:type="pct"/>
            <w:tcBorders>
              <w:left w:val="single" w:sz="4" w:space="0" w:color="auto"/>
              <w:right w:val="single" w:sz="4" w:space="0" w:color="auto"/>
            </w:tcBorders>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0,0</w:t>
            </w:r>
          </w:p>
        </w:tc>
        <w:tc>
          <w:tcPr>
            <w:tcW w:w="561" w:type="pct"/>
            <w:tcBorders>
              <w:left w:val="single" w:sz="4" w:space="0" w:color="auto"/>
              <w:right w:val="single" w:sz="8" w:space="0" w:color="auto"/>
            </w:tcBorders>
            <w:shd w:val="clear" w:color="auto" w:fill="auto"/>
            <w:vAlign w:val="center"/>
          </w:tcPr>
          <w:p>
            <w:pPr>
              <w:spacing w:after="0" w:line="240" w:lineRule="auto"/>
              <w:ind w:right="599"/>
              <w:jc w:val="right"/>
              <w:rPr>
                <w:rFonts w:ascii="Arial" w:eastAsia="Times New Roman" w:hAnsi="Arial" w:cs="Arial"/>
                <w:b/>
                <w:bCs/>
                <w:noProof/>
                <w:sz w:val="18"/>
                <w:szCs w:val="18"/>
              </w:rPr>
            </w:pPr>
            <w:r>
              <w:rPr>
                <w:rFonts w:ascii="Arial" w:hAnsi="Arial"/>
                <w:b/>
                <w:noProof/>
                <w:sz w:val="18"/>
              </w:rPr>
              <w:t>1,9</w:t>
            </w:r>
          </w:p>
        </w:tc>
        <w:tc>
          <w:tcPr>
            <w:tcW w:w="561"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0,7</w:t>
            </w:r>
          </w:p>
        </w:tc>
        <w:tc>
          <w:tcPr>
            <w:tcW w:w="561" w:type="pct"/>
            <w:tcBorders>
              <w:left w:val="single" w:sz="8" w:space="0" w:color="auto"/>
              <w:right w:val="single" w:sz="4" w:space="0" w:color="auto"/>
            </w:tcBorders>
            <w:shd w:val="clear" w:color="auto" w:fill="auto"/>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36,4</w:t>
            </w:r>
          </w:p>
        </w:tc>
        <w:tc>
          <w:tcPr>
            <w:tcW w:w="561" w:type="pct"/>
            <w:tcBorders>
              <w:left w:val="single" w:sz="4" w:space="0" w:color="auto"/>
              <w:right w:val="single" w:sz="4" w:space="0" w:color="auto"/>
            </w:tcBorders>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6,4</w:t>
            </w:r>
          </w:p>
        </w:tc>
        <w:tc>
          <w:tcPr>
            <w:tcW w:w="561" w:type="pct"/>
            <w:tcBorders>
              <w:left w:val="single" w:sz="4" w:space="0" w:color="auto"/>
              <w:right w:val="single" w:sz="8" w:space="0" w:color="auto"/>
            </w:tcBorders>
            <w:shd w:val="clear" w:color="auto" w:fill="auto"/>
            <w:vAlign w:val="center"/>
          </w:tcPr>
          <w:p>
            <w:pPr>
              <w:spacing w:after="0" w:line="240" w:lineRule="auto"/>
              <w:ind w:right="600"/>
              <w:jc w:val="right"/>
              <w:rPr>
                <w:rFonts w:ascii="Arial" w:eastAsia="Times New Roman" w:hAnsi="Arial" w:cs="Arial"/>
                <w:b/>
                <w:bCs/>
                <w:noProof/>
                <w:sz w:val="18"/>
                <w:szCs w:val="18"/>
              </w:rPr>
            </w:pPr>
            <w:r>
              <w:rPr>
                <w:rFonts w:ascii="Arial" w:hAnsi="Arial"/>
                <w:b/>
                <w:noProof/>
                <w:sz w:val="18"/>
              </w:rPr>
              <w:t>42,8</w:t>
            </w:r>
          </w:p>
        </w:tc>
        <w:tc>
          <w:tcPr>
            <w:tcW w:w="559"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0,8</w:t>
            </w:r>
          </w:p>
        </w:tc>
      </w:tr>
      <w:tr>
        <w:tc>
          <w:tcPr>
            <w:tcW w:w="562" w:type="pct"/>
            <w:tcBorders>
              <w:left w:val="single" w:sz="8" w:space="0" w:color="auto"/>
              <w:right w:val="single" w:sz="8" w:space="0" w:color="auto"/>
            </w:tcBorders>
            <w:shd w:val="clear" w:color="auto" w:fill="auto"/>
            <w:tcMar>
              <w:left w:w="57" w:type="dxa"/>
              <w:right w:w="0" w:type="dxa"/>
            </w:tcMar>
            <w:vAlign w:val="center"/>
          </w:tcPr>
          <w:p>
            <w:pPr>
              <w:spacing w:before="20" w:after="20" w:line="210" w:lineRule="exact"/>
              <w:ind w:left="142" w:hanging="142"/>
              <w:rPr>
                <w:rFonts w:ascii="Arial" w:eastAsia="Times New Roman" w:hAnsi="Arial" w:cs="Arial"/>
                <w:b/>
                <w:bCs/>
                <w:noProof/>
                <w:sz w:val="18"/>
                <w:szCs w:val="18"/>
              </w:rPr>
            </w:pPr>
            <w:r>
              <w:rPr>
                <w:rFonts w:ascii="Arial" w:hAnsi="Arial"/>
                <w:b/>
                <w:noProof/>
                <w:sz w:val="18"/>
              </w:rPr>
              <w:t>Řecko</w:t>
            </w:r>
          </w:p>
        </w:tc>
        <w:tc>
          <w:tcPr>
            <w:tcW w:w="514" w:type="pct"/>
            <w:tcBorders>
              <w:left w:val="single" w:sz="8" w:space="0" w:color="auto"/>
              <w:right w:val="single" w:sz="4" w:space="0" w:color="auto"/>
            </w:tcBorders>
            <w:shd w:val="clear" w:color="auto" w:fill="auto"/>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6,1</w:t>
            </w:r>
          </w:p>
        </w:tc>
        <w:tc>
          <w:tcPr>
            <w:tcW w:w="561" w:type="pct"/>
            <w:tcBorders>
              <w:left w:val="single" w:sz="4" w:space="0" w:color="auto"/>
              <w:right w:val="single" w:sz="4" w:space="0" w:color="auto"/>
            </w:tcBorders>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0,0</w:t>
            </w:r>
          </w:p>
        </w:tc>
        <w:tc>
          <w:tcPr>
            <w:tcW w:w="561" w:type="pct"/>
            <w:tcBorders>
              <w:left w:val="single" w:sz="4" w:space="0" w:color="auto"/>
              <w:right w:val="single" w:sz="8" w:space="0" w:color="auto"/>
            </w:tcBorders>
            <w:shd w:val="clear" w:color="auto" w:fill="auto"/>
            <w:vAlign w:val="center"/>
          </w:tcPr>
          <w:p>
            <w:pPr>
              <w:spacing w:after="0" w:line="240" w:lineRule="auto"/>
              <w:ind w:right="599"/>
              <w:jc w:val="right"/>
              <w:rPr>
                <w:rFonts w:ascii="Arial" w:eastAsia="Times New Roman" w:hAnsi="Arial" w:cs="Arial"/>
                <w:b/>
                <w:bCs/>
                <w:noProof/>
                <w:sz w:val="18"/>
                <w:szCs w:val="18"/>
              </w:rPr>
            </w:pPr>
            <w:r>
              <w:rPr>
                <w:rFonts w:ascii="Arial" w:hAnsi="Arial"/>
                <w:b/>
                <w:noProof/>
                <w:sz w:val="18"/>
              </w:rPr>
              <w:t>6,1</w:t>
            </w:r>
          </w:p>
        </w:tc>
        <w:tc>
          <w:tcPr>
            <w:tcW w:w="561"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0,1</w:t>
            </w:r>
          </w:p>
        </w:tc>
        <w:tc>
          <w:tcPr>
            <w:tcW w:w="561" w:type="pct"/>
            <w:tcBorders>
              <w:left w:val="single" w:sz="8" w:space="0" w:color="auto"/>
              <w:right w:val="single" w:sz="4" w:space="0" w:color="auto"/>
            </w:tcBorders>
            <w:shd w:val="clear" w:color="auto" w:fill="auto"/>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136,1</w:t>
            </w:r>
          </w:p>
        </w:tc>
        <w:tc>
          <w:tcPr>
            <w:tcW w:w="561" w:type="pct"/>
            <w:tcBorders>
              <w:left w:val="single" w:sz="4" w:space="0" w:color="auto"/>
              <w:right w:val="single" w:sz="4" w:space="0" w:color="auto"/>
            </w:tcBorders>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8,1</w:t>
            </w:r>
          </w:p>
        </w:tc>
        <w:tc>
          <w:tcPr>
            <w:tcW w:w="561" w:type="pct"/>
            <w:tcBorders>
              <w:left w:val="single" w:sz="4" w:space="0" w:color="auto"/>
              <w:right w:val="single" w:sz="8" w:space="0" w:color="auto"/>
            </w:tcBorders>
            <w:shd w:val="clear" w:color="auto" w:fill="auto"/>
            <w:vAlign w:val="center"/>
          </w:tcPr>
          <w:p>
            <w:pPr>
              <w:spacing w:after="0" w:line="240" w:lineRule="auto"/>
              <w:ind w:right="600"/>
              <w:jc w:val="right"/>
              <w:rPr>
                <w:rFonts w:ascii="Arial" w:eastAsia="Times New Roman" w:hAnsi="Arial" w:cs="Arial"/>
                <w:b/>
                <w:bCs/>
                <w:noProof/>
                <w:sz w:val="18"/>
                <w:szCs w:val="18"/>
              </w:rPr>
            </w:pPr>
            <w:r>
              <w:rPr>
                <w:rFonts w:ascii="Arial" w:hAnsi="Arial"/>
                <w:b/>
                <w:noProof/>
                <w:sz w:val="18"/>
              </w:rPr>
              <w:t>144,2</w:t>
            </w:r>
          </w:p>
        </w:tc>
        <w:tc>
          <w:tcPr>
            <w:tcW w:w="559"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0,2</w:t>
            </w:r>
          </w:p>
        </w:tc>
      </w:tr>
      <w:tr>
        <w:tc>
          <w:tcPr>
            <w:tcW w:w="562" w:type="pct"/>
            <w:tcBorders>
              <w:left w:val="single" w:sz="8" w:space="0" w:color="auto"/>
              <w:right w:val="single" w:sz="8" w:space="0" w:color="auto"/>
            </w:tcBorders>
            <w:shd w:val="clear" w:color="auto" w:fill="auto"/>
            <w:tcMar>
              <w:left w:w="57" w:type="dxa"/>
              <w:right w:w="0" w:type="dxa"/>
            </w:tcMar>
            <w:vAlign w:val="center"/>
          </w:tcPr>
          <w:p>
            <w:pPr>
              <w:spacing w:before="20" w:after="20" w:line="210" w:lineRule="exact"/>
              <w:ind w:left="142" w:hanging="142"/>
              <w:rPr>
                <w:rFonts w:ascii="Arial" w:eastAsia="Times New Roman" w:hAnsi="Arial" w:cs="Arial"/>
                <w:b/>
                <w:bCs/>
                <w:noProof/>
                <w:sz w:val="18"/>
                <w:szCs w:val="18"/>
              </w:rPr>
            </w:pPr>
            <w:r>
              <w:rPr>
                <w:rFonts w:ascii="Arial" w:hAnsi="Arial"/>
                <w:b/>
                <w:noProof/>
                <w:sz w:val="18"/>
              </w:rPr>
              <w:t>Španělsko</w:t>
            </w:r>
          </w:p>
        </w:tc>
        <w:tc>
          <w:tcPr>
            <w:tcW w:w="514" w:type="pct"/>
            <w:tcBorders>
              <w:left w:val="single" w:sz="8" w:space="0" w:color="auto"/>
              <w:right w:val="single" w:sz="4" w:space="0" w:color="auto"/>
            </w:tcBorders>
            <w:shd w:val="clear" w:color="auto" w:fill="auto"/>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7,7</w:t>
            </w:r>
          </w:p>
        </w:tc>
        <w:tc>
          <w:tcPr>
            <w:tcW w:w="561" w:type="pct"/>
            <w:tcBorders>
              <w:left w:val="single" w:sz="4" w:space="0" w:color="auto"/>
              <w:right w:val="single" w:sz="4" w:space="0" w:color="auto"/>
            </w:tcBorders>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0,0</w:t>
            </w:r>
          </w:p>
        </w:tc>
        <w:tc>
          <w:tcPr>
            <w:tcW w:w="561" w:type="pct"/>
            <w:tcBorders>
              <w:left w:val="single" w:sz="4" w:space="0" w:color="auto"/>
              <w:right w:val="single" w:sz="8" w:space="0" w:color="auto"/>
            </w:tcBorders>
            <w:shd w:val="clear" w:color="auto" w:fill="auto"/>
            <w:vAlign w:val="center"/>
          </w:tcPr>
          <w:p>
            <w:pPr>
              <w:spacing w:after="0" w:line="240" w:lineRule="auto"/>
              <w:ind w:right="599"/>
              <w:jc w:val="right"/>
              <w:rPr>
                <w:rFonts w:ascii="Arial" w:eastAsia="Times New Roman" w:hAnsi="Arial" w:cs="Arial"/>
                <w:b/>
                <w:bCs/>
                <w:noProof/>
                <w:sz w:val="18"/>
                <w:szCs w:val="18"/>
              </w:rPr>
            </w:pPr>
            <w:r>
              <w:rPr>
                <w:rFonts w:ascii="Arial" w:hAnsi="Arial"/>
                <w:b/>
                <w:noProof/>
                <w:sz w:val="18"/>
              </w:rPr>
              <w:t>7,7</w:t>
            </w:r>
          </w:p>
        </w:tc>
        <w:tc>
          <w:tcPr>
            <w:tcW w:w="561"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0,3</w:t>
            </w:r>
          </w:p>
        </w:tc>
        <w:tc>
          <w:tcPr>
            <w:tcW w:w="561" w:type="pct"/>
            <w:tcBorders>
              <w:left w:val="single" w:sz="8" w:space="0" w:color="auto"/>
              <w:right w:val="single" w:sz="4" w:space="0" w:color="auto"/>
            </w:tcBorders>
            <w:shd w:val="clear" w:color="auto" w:fill="auto"/>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22,7</w:t>
            </w:r>
          </w:p>
        </w:tc>
        <w:tc>
          <w:tcPr>
            <w:tcW w:w="561" w:type="pct"/>
            <w:tcBorders>
              <w:left w:val="single" w:sz="4" w:space="0" w:color="auto"/>
              <w:right w:val="single" w:sz="4" w:space="0" w:color="auto"/>
            </w:tcBorders>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3,0</w:t>
            </w:r>
          </w:p>
        </w:tc>
        <w:tc>
          <w:tcPr>
            <w:tcW w:w="561" w:type="pct"/>
            <w:tcBorders>
              <w:left w:val="single" w:sz="4" w:space="0" w:color="auto"/>
              <w:right w:val="single" w:sz="8" w:space="0" w:color="auto"/>
            </w:tcBorders>
            <w:shd w:val="clear" w:color="auto" w:fill="auto"/>
            <w:vAlign w:val="center"/>
          </w:tcPr>
          <w:p>
            <w:pPr>
              <w:spacing w:after="0" w:line="240" w:lineRule="auto"/>
              <w:ind w:right="600"/>
              <w:jc w:val="right"/>
              <w:rPr>
                <w:rFonts w:ascii="Arial" w:eastAsia="Times New Roman" w:hAnsi="Arial" w:cs="Arial"/>
                <w:b/>
                <w:bCs/>
                <w:noProof/>
                <w:sz w:val="18"/>
                <w:szCs w:val="18"/>
              </w:rPr>
            </w:pPr>
            <w:r>
              <w:rPr>
                <w:rFonts w:ascii="Arial" w:hAnsi="Arial"/>
                <w:b/>
                <w:noProof/>
                <w:sz w:val="18"/>
              </w:rPr>
              <w:t>25,7</w:t>
            </w:r>
          </w:p>
        </w:tc>
        <w:tc>
          <w:tcPr>
            <w:tcW w:w="559"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0,2</w:t>
            </w:r>
          </w:p>
        </w:tc>
      </w:tr>
      <w:tr>
        <w:tc>
          <w:tcPr>
            <w:tcW w:w="562" w:type="pct"/>
            <w:tcBorders>
              <w:left w:val="single" w:sz="8" w:space="0" w:color="auto"/>
              <w:right w:val="single" w:sz="8" w:space="0" w:color="auto"/>
            </w:tcBorders>
            <w:shd w:val="clear" w:color="auto" w:fill="auto"/>
            <w:tcMar>
              <w:left w:w="57" w:type="dxa"/>
              <w:right w:w="0" w:type="dxa"/>
            </w:tcMar>
            <w:vAlign w:val="center"/>
          </w:tcPr>
          <w:p>
            <w:pPr>
              <w:spacing w:before="20" w:after="20" w:line="210" w:lineRule="exact"/>
              <w:ind w:left="142" w:hanging="142"/>
              <w:rPr>
                <w:rFonts w:ascii="Arial" w:eastAsia="Times New Roman" w:hAnsi="Arial" w:cs="Arial"/>
                <w:b/>
                <w:bCs/>
                <w:noProof/>
                <w:sz w:val="18"/>
                <w:szCs w:val="18"/>
              </w:rPr>
            </w:pPr>
            <w:r>
              <w:rPr>
                <w:rFonts w:ascii="Arial" w:hAnsi="Arial"/>
                <w:b/>
                <w:noProof/>
                <w:sz w:val="18"/>
              </w:rPr>
              <w:t>Francie</w:t>
            </w:r>
          </w:p>
        </w:tc>
        <w:tc>
          <w:tcPr>
            <w:tcW w:w="514" w:type="pct"/>
            <w:tcBorders>
              <w:left w:val="single" w:sz="8" w:space="0" w:color="auto"/>
              <w:right w:val="single" w:sz="4" w:space="0" w:color="auto"/>
            </w:tcBorders>
            <w:shd w:val="clear" w:color="auto" w:fill="auto"/>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3,0</w:t>
            </w:r>
          </w:p>
        </w:tc>
        <w:tc>
          <w:tcPr>
            <w:tcW w:w="561" w:type="pct"/>
            <w:tcBorders>
              <w:left w:val="single" w:sz="4" w:space="0" w:color="auto"/>
              <w:right w:val="single" w:sz="4" w:space="0" w:color="auto"/>
            </w:tcBorders>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2,2</w:t>
            </w:r>
          </w:p>
        </w:tc>
        <w:tc>
          <w:tcPr>
            <w:tcW w:w="561" w:type="pct"/>
            <w:tcBorders>
              <w:left w:val="single" w:sz="4" w:space="0" w:color="auto"/>
              <w:right w:val="single" w:sz="8" w:space="0" w:color="auto"/>
            </w:tcBorders>
            <w:shd w:val="clear" w:color="auto" w:fill="auto"/>
            <w:vAlign w:val="center"/>
          </w:tcPr>
          <w:p>
            <w:pPr>
              <w:spacing w:after="0" w:line="240" w:lineRule="auto"/>
              <w:ind w:right="599"/>
              <w:jc w:val="right"/>
              <w:rPr>
                <w:rFonts w:ascii="Arial" w:eastAsia="Times New Roman" w:hAnsi="Arial" w:cs="Arial"/>
                <w:b/>
                <w:bCs/>
                <w:noProof/>
                <w:sz w:val="18"/>
                <w:szCs w:val="18"/>
              </w:rPr>
            </w:pPr>
            <w:r>
              <w:rPr>
                <w:rFonts w:ascii="Arial" w:hAnsi="Arial"/>
                <w:b/>
                <w:noProof/>
                <w:sz w:val="18"/>
              </w:rPr>
              <w:t>5,2</w:t>
            </w:r>
          </w:p>
        </w:tc>
        <w:tc>
          <w:tcPr>
            <w:tcW w:w="561"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0,0</w:t>
            </w:r>
          </w:p>
        </w:tc>
        <w:tc>
          <w:tcPr>
            <w:tcW w:w="561" w:type="pct"/>
            <w:tcBorders>
              <w:left w:val="single" w:sz="8" w:space="0" w:color="auto"/>
              <w:right w:val="single" w:sz="4" w:space="0" w:color="auto"/>
            </w:tcBorders>
            <w:shd w:val="clear" w:color="auto" w:fill="auto"/>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42,8</w:t>
            </w:r>
          </w:p>
        </w:tc>
        <w:tc>
          <w:tcPr>
            <w:tcW w:w="561" w:type="pct"/>
            <w:tcBorders>
              <w:left w:val="single" w:sz="4" w:space="0" w:color="auto"/>
              <w:right w:val="single" w:sz="4" w:space="0" w:color="auto"/>
            </w:tcBorders>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19,2</w:t>
            </w:r>
          </w:p>
        </w:tc>
        <w:tc>
          <w:tcPr>
            <w:tcW w:w="561" w:type="pct"/>
            <w:tcBorders>
              <w:left w:val="single" w:sz="4" w:space="0" w:color="auto"/>
              <w:right w:val="single" w:sz="8" w:space="0" w:color="auto"/>
            </w:tcBorders>
            <w:shd w:val="clear" w:color="auto" w:fill="auto"/>
            <w:vAlign w:val="center"/>
          </w:tcPr>
          <w:p>
            <w:pPr>
              <w:spacing w:after="0" w:line="240" w:lineRule="auto"/>
              <w:ind w:right="600"/>
              <w:jc w:val="right"/>
              <w:rPr>
                <w:rFonts w:ascii="Arial" w:eastAsia="Times New Roman" w:hAnsi="Arial" w:cs="Arial"/>
                <w:b/>
                <w:bCs/>
                <w:noProof/>
                <w:sz w:val="18"/>
                <w:szCs w:val="18"/>
              </w:rPr>
            </w:pPr>
            <w:r>
              <w:rPr>
                <w:rFonts w:ascii="Arial" w:hAnsi="Arial"/>
                <w:b/>
                <w:noProof/>
                <w:sz w:val="18"/>
              </w:rPr>
              <w:t>62,0</w:t>
            </w:r>
          </w:p>
        </w:tc>
        <w:tc>
          <w:tcPr>
            <w:tcW w:w="559"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w:t>
            </w:r>
          </w:p>
        </w:tc>
      </w:tr>
      <w:tr>
        <w:tc>
          <w:tcPr>
            <w:tcW w:w="562" w:type="pct"/>
            <w:tcBorders>
              <w:left w:val="single" w:sz="8" w:space="0" w:color="auto"/>
              <w:right w:val="single" w:sz="8" w:space="0" w:color="auto"/>
            </w:tcBorders>
            <w:shd w:val="clear" w:color="auto" w:fill="auto"/>
            <w:tcMar>
              <w:left w:w="57" w:type="dxa"/>
              <w:right w:w="0" w:type="dxa"/>
            </w:tcMar>
            <w:vAlign w:val="center"/>
          </w:tcPr>
          <w:p>
            <w:pPr>
              <w:spacing w:before="20" w:after="20" w:line="210" w:lineRule="exact"/>
              <w:ind w:left="142" w:hanging="142"/>
              <w:rPr>
                <w:rFonts w:ascii="Arial" w:eastAsia="Times New Roman" w:hAnsi="Arial" w:cs="Arial"/>
                <w:b/>
                <w:bCs/>
                <w:noProof/>
                <w:sz w:val="18"/>
                <w:szCs w:val="18"/>
              </w:rPr>
            </w:pPr>
            <w:r>
              <w:rPr>
                <w:rFonts w:ascii="Arial" w:hAnsi="Arial"/>
                <w:b/>
                <w:noProof/>
                <w:sz w:val="18"/>
              </w:rPr>
              <w:t>Chorvatsko</w:t>
            </w:r>
          </w:p>
        </w:tc>
        <w:tc>
          <w:tcPr>
            <w:tcW w:w="514" w:type="pct"/>
            <w:tcBorders>
              <w:left w:val="single" w:sz="8" w:space="0" w:color="auto"/>
              <w:right w:val="single" w:sz="4" w:space="0" w:color="auto"/>
            </w:tcBorders>
            <w:shd w:val="clear" w:color="auto" w:fill="auto"/>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2,6</w:t>
            </w:r>
          </w:p>
        </w:tc>
        <w:tc>
          <w:tcPr>
            <w:tcW w:w="561" w:type="pct"/>
            <w:tcBorders>
              <w:left w:val="single" w:sz="4" w:space="0" w:color="auto"/>
              <w:right w:val="single" w:sz="4" w:space="0" w:color="auto"/>
            </w:tcBorders>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0,0</w:t>
            </w:r>
          </w:p>
        </w:tc>
        <w:tc>
          <w:tcPr>
            <w:tcW w:w="561" w:type="pct"/>
            <w:tcBorders>
              <w:left w:val="single" w:sz="4" w:space="0" w:color="auto"/>
              <w:right w:val="single" w:sz="8" w:space="0" w:color="auto"/>
            </w:tcBorders>
            <w:shd w:val="clear" w:color="auto" w:fill="auto"/>
            <w:vAlign w:val="center"/>
          </w:tcPr>
          <w:p>
            <w:pPr>
              <w:spacing w:after="0" w:line="240" w:lineRule="auto"/>
              <w:ind w:right="599"/>
              <w:jc w:val="right"/>
              <w:rPr>
                <w:rFonts w:ascii="Arial" w:eastAsia="Times New Roman" w:hAnsi="Arial" w:cs="Arial"/>
                <w:b/>
                <w:bCs/>
                <w:noProof/>
                <w:sz w:val="18"/>
                <w:szCs w:val="18"/>
              </w:rPr>
            </w:pPr>
            <w:r>
              <w:rPr>
                <w:rFonts w:ascii="Arial" w:hAnsi="Arial"/>
                <w:b/>
                <w:noProof/>
                <w:sz w:val="18"/>
              </w:rPr>
              <w:t>2,6</w:t>
            </w:r>
          </w:p>
        </w:tc>
        <w:tc>
          <w:tcPr>
            <w:tcW w:w="561"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0,1</w:t>
            </w:r>
          </w:p>
        </w:tc>
        <w:tc>
          <w:tcPr>
            <w:tcW w:w="561" w:type="pct"/>
            <w:tcBorders>
              <w:left w:val="single" w:sz="8" w:space="0" w:color="auto"/>
              <w:right w:val="single" w:sz="4" w:space="0" w:color="auto"/>
            </w:tcBorders>
            <w:shd w:val="clear" w:color="auto" w:fill="auto"/>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5,2</w:t>
            </w:r>
          </w:p>
        </w:tc>
        <w:tc>
          <w:tcPr>
            <w:tcW w:w="561" w:type="pct"/>
            <w:tcBorders>
              <w:left w:val="single" w:sz="4" w:space="0" w:color="auto"/>
              <w:right w:val="single" w:sz="4" w:space="0" w:color="auto"/>
            </w:tcBorders>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5,2</w:t>
            </w:r>
          </w:p>
        </w:tc>
        <w:tc>
          <w:tcPr>
            <w:tcW w:w="561" w:type="pct"/>
            <w:tcBorders>
              <w:left w:val="single" w:sz="4" w:space="0" w:color="auto"/>
              <w:right w:val="single" w:sz="8" w:space="0" w:color="auto"/>
            </w:tcBorders>
            <w:shd w:val="clear" w:color="auto" w:fill="auto"/>
            <w:vAlign w:val="center"/>
          </w:tcPr>
          <w:p>
            <w:pPr>
              <w:spacing w:after="0" w:line="240" w:lineRule="auto"/>
              <w:ind w:right="600"/>
              <w:jc w:val="right"/>
              <w:rPr>
                <w:rFonts w:ascii="Arial" w:eastAsia="Times New Roman" w:hAnsi="Arial" w:cs="Arial"/>
                <w:b/>
                <w:bCs/>
                <w:noProof/>
                <w:sz w:val="18"/>
                <w:szCs w:val="18"/>
              </w:rPr>
            </w:pPr>
            <w:r>
              <w:rPr>
                <w:rFonts w:ascii="Arial" w:hAnsi="Arial"/>
                <w:b/>
                <w:noProof/>
                <w:sz w:val="18"/>
              </w:rPr>
              <w:t>10,4</w:t>
            </w:r>
          </w:p>
        </w:tc>
        <w:tc>
          <w:tcPr>
            <w:tcW w:w="559"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w:t>
            </w:r>
          </w:p>
        </w:tc>
      </w:tr>
      <w:tr>
        <w:tc>
          <w:tcPr>
            <w:tcW w:w="562" w:type="pct"/>
            <w:tcBorders>
              <w:left w:val="single" w:sz="8" w:space="0" w:color="auto"/>
              <w:right w:val="single" w:sz="8" w:space="0" w:color="auto"/>
            </w:tcBorders>
            <w:shd w:val="clear" w:color="auto" w:fill="auto"/>
            <w:tcMar>
              <w:left w:w="57" w:type="dxa"/>
              <w:right w:w="0" w:type="dxa"/>
            </w:tcMar>
            <w:vAlign w:val="center"/>
          </w:tcPr>
          <w:p>
            <w:pPr>
              <w:spacing w:before="20" w:after="20" w:line="210" w:lineRule="exact"/>
              <w:ind w:left="142" w:hanging="142"/>
              <w:rPr>
                <w:rFonts w:ascii="Arial" w:eastAsia="Times New Roman" w:hAnsi="Arial" w:cs="Arial"/>
                <w:b/>
                <w:bCs/>
                <w:noProof/>
                <w:sz w:val="18"/>
                <w:szCs w:val="18"/>
              </w:rPr>
            </w:pPr>
            <w:r>
              <w:rPr>
                <w:rFonts w:ascii="Arial" w:hAnsi="Arial"/>
                <w:b/>
                <w:noProof/>
                <w:sz w:val="18"/>
              </w:rPr>
              <w:t>Itálie</w:t>
            </w:r>
          </w:p>
        </w:tc>
        <w:tc>
          <w:tcPr>
            <w:tcW w:w="514" w:type="pct"/>
            <w:tcBorders>
              <w:left w:val="single" w:sz="8" w:space="0" w:color="auto"/>
              <w:right w:val="single" w:sz="4" w:space="0" w:color="auto"/>
            </w:tcBorders>
            <w:shd w:val="clear" w:color="auto" w:fill="auto"/>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1,2</w:t>
            </w:r>
          </w:p>
        </w:tc>
        <w:tc>
          <w:tcPr>
            <w:tcW w:w="561" w:type="pct"/>
            <w:tcBorders>
              <w:left w:val="single" w:sz="4" w:space="0" w:color="auto"/>
              <w:right w:val="single" w:sz="4" w:space="0" w:color="auto"/>
            </w:tcBorders>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1,2</w:t>
            </w:r>
          </w:p>
        </w:tc>
        <w:tc>
          <w:tcPr>
            <w:tcW w:w="561" w:type="pct"/>
            <w:tcBorders>
              <w:left w:val="single" w:sz="4" w:space="0" w:color="auto"/>
              <w:right w:val="single" w:sz="8" w:space="0" w:color="auto"/>
            </w:tcBorders>
            <w:shd w:val="clear" w:color="auto" w:fill="auto"/>
            <w:vAlign w:val="center"/>
          </w:tcPr>
          <w:p>
            <w:pPr>
              <w:spacing w:after="0" w:line="240" w:lineRule="auto"/>
              <w:ind w:right="599"/>
              <w:jc w:val="right"/>
              <w:rPr>
                <w:rFonts w:ascii="Arial" w:eastAsia="Times New Roman" w:hAnsi="Arial" w:cs="Arial"/>
                <w:b/>
                <w:bCs/>
                <w:noProof/>
                <w:sz w:val="18"/>
                <w:szCs w:val="18"/>
              </w:rPr>
            </w:pPr>
            <w:r>
              <w:rPr>
                <w:rFonts w:ascii="Arial" w:hAnsi="Arial"/>
                <w:b/>
                <w:noProof/>
                <w:sz w:val="18"/>
              </w:rPr>
              <w:t>2,4</w:t>
            </w:r>
          </w:p>
        </w:tc>
        <w:tc>
          <w:tcPr>
            <w:tcW w:w="561"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0,0</w:t>
            </w:r>
          </w:p>
        </w:tc>
        <w:tc>
          <w:tcPr>
            <w:tcW w:w="561" w:type="pct"/>
            <w:tcBorders>
              <w:left w:val="single" w:sz="8" w:space="0" w:color="auto"/>
              <w:right w:val="single" w:sz="4" w:space="0" w:color="auto"/>
            </w:tcBorders>
            <w:shd w:val="clear" w:color="auto" w:fill="auto"/>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29,3</w:t>
            </w:r>
          </w:p>
        </w:tc>
        <w:tc>
          <w:tcPr>
            <w:tcW w:w="561" w:type="pct"/>
            <w:tcBorders>
              <w:left w:val="single" w:sz="4" w:space="0" w:color="auto"/>
              <w:right w:val="single" w:sz="4" w:space="0" w:color="auto"/>
            </w:tcBorders>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22,6</w:t>
            </w:r>
          </w:p>
        </w:tc>
        <w:tc>
          <w:tcPr>
            <w:tcW w:w="561" w:type="pct"/>
            <w:tcBorders>
              <w:left w:val="single" w:sz="4" w:space="0" w:color="auto"/>
              <w:right w:val="single" w:sz="8" w:space="0" w:color="auto"/>
            </w:tcBorders>
            <w:shd w:val="clear" w:color="auto" w:fill="auto"/>
            <w:vAlign w:val="center"/>
          </w:tcPr>
          <w:p>
            <w:pPr>
              <w:spacing w:after="0" w:line="240" w:lineRule="auto"/>
              <w:ind w:right="600"/>
              <w:jc w:val="right"/>
              <w:rPr>
                <w:rFonts w:ascii="Arial" w:eastAsia="Times New Roman" w:hAnsi="Arial" w:cs="Arial"/>
                <w:b/>
                <w:bCs/>
                <w:noProof/>
                <w:sz w:val="18"/>
                <w:szCs w:val="18"/>
              </w:rPr>
            </w:pPr>
            <w:r>
              <w:rPr>
                <w:rFonts w:ascii="Arial" w:hAnsi="Arial"/>
                <w:b/>
                <w:noProof/>
                <w:sz w:val="18"/>
              </w:rPr>
              <w:t>51,9</w:t>
            </w:r>
          </w:p>
        </w:tc>
        <w:tc>
          <w:tcPr>
            <w:tcW w:w="559"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0,0</w:t>
            </w:r>
          </w:p>
        </w:tc>
      </w:tr>
      <w:tr>
        <w:tc>
          <w:tcPr>
            <w:tcW w:w="562" w:type="pct"/>
            <w:tcBorders>
              <w:left w:val="single" w:sz="8" w:space="0" w:color="auto"/>
              <w:right w:val="single" w:sz="8" w:space="0" w:color="auto"/>
            </w:tcBorders>
            <w:shd w:val="clear" w:color="auto" w:fill="auto"/>
            <w:tcMar>
              <w:left w:w="57" w:type="dxa"/>
              <w:right w:w="0" w:type="dxa"/>
            </w:tcMar>
            <w:vAlign w:val="center"/>
          </w:tcPr>
          <w:p>
            <w:pPr>
              <w:spacing w:before="20" w:after="20" w:line="210" w:lineRule="exact"/>
              <w:ind w:left="142" w:hanging="142"/>
              <w:rPr>
                <w:rFonts w:ascii="Arial" w:eastAsia="Times New Roman" w:hAnsi="Arial" w:cs="Arial"/>
                <w:b/>
                <w:bCs/>
                <w:noProof/>
                <w:sz w:val="18"/>
                <w:szCs w:val="18"/>
              </w:rPr>
            </w:pPr>
            <w:r>
              <w:rPr>
                <w:rFonts w:ascii="Arial" w:hAnsi="Arial"/>
                <w:b/>
                <w:noProof/>
                <w:sz w:val="18"/>
              </w:rPr>
              <w:t>Kypr</w:t>
            </w:r>
          </w:p>
        </w:tc>
        <w:tc>
          <w:tcPr>
            <w:tcW w:w="514" w:type="pct"/>
            <w:tcBorders>
              <w:left w:val="single" w:sz="8" w:space="0" w:color="auto"/>
              <w:right w:val="single" w:sz="4" w:space="0" w:color="auto"/>
            </w:tcBorders>
            <w:shd w:val="clear" w:color="auto" w:fill="auto"/>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9,1</w:t>
            </w:r>
          </w:p>
        </w:tc>
        <w:tc>
          <w:tcPr>
            <w:tcW w:w="561" w:type="pct"/>
            <w:tcBorders>
              <w:left w:val="single" w:sz="4" w:space="0" w:color="auto"/>
              <w:right w:val="single" w:sz="4" w:space="0" w:color="auto"/>
            </w:tcBorders>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0,3</w:t>
            </w:r>
          </w:p>
        </w:tc>
        <w:tc>
          <w:tcPr>
            <w:tcW w:w="561" w:type="pct"/>
            <w:tcBorders>
              <w:left w:val="single" w:sz="4" w:space="0" w:color="auto"/>
              <w:right w:val="single" w:sz="8" w:space="0" w:color="auto"/>
            </w:tcBorders>
            <w:shd w:val="clear" w:color="auto" w:fill="auto"/>
            <w:vAlign w:val="center"/>
          </w:tcPr>
          <w:p>
            <w:pPr>
              <w:spacing w:after="0" w:line="240" w:lineRule="auto"/>
              <w:ind w:right="599"/>
              <w:jc w:val="right"/>
              <w:rPr>
                <w:rFonts w:ascii="Arial" w:eastAsia="Times New Roman" w:hAnsi="Arial" w:cs="Arial"/>
                <w:b/>
                <w:bCs/>
                <w:noProof/>
                <w:sz w:val="18"/>
                <w:szCs w:val="18"/>
              </w:rPr>
            </w:pPr>
            <w:r>
              <w:rPr>
                <w:rFonts w:ascii="Arial" w:hAnsi="Arial"/>
                <w:b/>
                <w:noProof/>
                <w:sz w:val="18"/>
              </w:rPr>
              <w:t>9,4</w:t>
            </w:r>
          </w:p>
        </w:tc>
        <w:tc>
          <w:tcPr>
            <w:tcW w:w="561"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0,8</w:t>
            </w:r>
          </w:p>
        </w:tc>
        <w:tc>
          <w:tcPr>
            <w:tcW w:w="561" w:type="pct"/>
            <w:tcBorders>
              <w:left w:val="single" w:sz="8" w:space="0" w:color="auto"/>
              <w:right w:val="single" w:sz="4" w:space="0" w:color="auto"/>
            </w:tcBorders>
            <w:shd w:val="clear" w:color="auto" w:fill="auto"/>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76,2</w:t>
            </w:r>
          </w:p>
        </w:tc>
        <w:tc>
          <w:tcPr>
            <w:tcW w:w="561" w:type="pct"/>
            <w:tcBorders>
              <w:left w:val="single" w:sz="4" w:space="0" w:color="auto"/>
              <w:right w:val="single" w:sz="4" w:space="0" w:color="auto"/>
            </w:tcBorders>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13,6</w:t>
            </w:r>
          </w:p>
        </w:tc>
        <w:tc>
          <w:tcPr>
            <w:tcW w:w="561" w:type="pct"/>
            <w:tcBorders>
              <w:left w:val="single" w:sz="4" w:space="0" w:color="auto"/>
              <w:right w:val="single" w:sz="8" w:space="0" w:color="auto"/>
            </w:tcBorders>
            <w:shd w:val="clear" w:color="auto" w:fill="auto"/>
            <w:vAlign w:val="center"/>
          </w:tcPr>
          <w:p>
            <w:pPr>
              <w:spacing w:after="0" w:line="240" w:lineRule="auto"/>
              <w:ind w:right="600"/>
              <w:jc w:val="right"/>
              <w:rPr>
                <w:rFonts w:ascii="Arial" w:eastAsia="Times New Roman" w:hAnsi="Arial" w:cs="Arial"/>
                <w:b/>
                <w:bCs/>
                <w:noProof/>
                <w:sz w:val="18"/>
                <w:szCs w:val="18"/>
              </w:rPr>
            </w:pPr>
            <w:r>
              <w:rPr>
                <w:rFonts w:ascii="Arial" w:hAnsi="Arial"/>
                <w:b/>
                <w:noProof/>
                <w:sz w:val="18"/>
              </w:rPr>
              <w:t>89,8</w:t>
            </w:r>
          </w:p>
        </w:tc>
        <w:tc>
          <w:tcPr>
            <w:tcW w:w="559"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w:t>
            </w:r>
          </w:p>
        </w:tc>
      </w:tr>
      <w:tr>
        <w:tc>
          <w:tcPr>
            <w:tcW w:w="562" w:type="pct"/>
            <w:tcBorders>
              <w:left w:val="single" w:sz="8" w:space="0" w:color="auto"/>
              <w:right w:val="single" w:sz="8" w:space="0" w:color="auto"/>
            </w:tcBorders>
            <w:shd w:val="clear" w:color="auto" w:fill="auto"/>
            <w:tcMar>
              <w:left w:w="57" w:type="dxa"/>
              <w:right w:w="0" w:type="dxa"/>
            </w:tcMar>
            <w:vAlign w:val="center"/>
          </w:tcPr>
          <w:p>
            <w:pPr>
              <w:spacing w:before="20" w:after="20" w:line="210" w:lineRule="exact"/>
              <w:ind w:left="142" w:hanging="142"/>
              <w:rPr>
                <w:rFonts w:ascii="Arial" w:eastAsia="Times New Roman" w:hAnsi="Arial" w:cs="Arial"/>
                <w:b/>
                <w:bCs/>
                <w:noProof/>
                <w:sz w:val="18"/>
                <w:szCs w:val="18"/>
              </w:rPr>
            </w:pPr>
            <w:r>
              <w:rPr>
                <w:rFonts w:ascii="Arial" w:hAnsi="Arial"/>
                <w:b/>
                <w:noProof/>
                <w:sz w:val="18"/>
              </w:rPr>
              <w:t>Lotyšsko</w:t>
            </w:r>
          </w:p>
        </w:tc>
        <w:tc>
          <w:tcPr>
            <w:tcW w:w="514" w:type="pct"/>
            <w:tcBorders>
              <w:left w:val="single" w:sz="8" w:space="0" w:color="auto"/>
              <w:right w:val="single" w:sz="4" w:space="0" w:color="auto"/>
            </w:tcBorders>
            <w:shd w:val="clear" w:color="auto" w:fill="auto"/>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0,9</w:t>
            </w:r>
          </w:p>
        </w:tc>
        <w:tc>
          <w:tcPr>
            <w:tcW w:w="561" w:type="pct"/>
            <w:tcBorders>
              <w:left w:val="single" w:sz="4" w:space="0" w:color="auto"/>
              <w:right w:val="single" w:sz="4" w:space="0" w:color="auto"/>
            </w:tcBorders>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0,5</w:t>
            </w:r>
          </w:p>
        </w:tc>
        <w:tc>
          <w:tcPr>
            <w:tcW w:w="561" w:type="pct"/>
            <w:tcBorders>
              <w:left w:val="single" w:sz="4" w:space="0" w:color="auto"/>
              <w:right w:val="single" w:sz="8" w:space="0" w:color="auto"/>
            </w:tcBorders>
            <w:shd w:val="clear" w:color="auto" w:fill="auto"/>
            <w:vAlign w:val="center"/>
          </w:tcPr>
          <w:p>
            <w:pPr>
              <w:spacing w:after="0" w:line="240" w:lineRule="auto"/>
              <w:ind w:right="599"/>
              <w:jc w:val="right"/>
              <w:rPr>
                <w:rFonts w:ascii="Arial" w:eastAsia="Times New Roman" w:hAnsi="Arial" w:cs="Arial"/>
                <w:b/>
                <w:bCs/>
                <w:noProof/>
                <w:sz w:val="18"/>
                <w:szCs w:val="18"/>
              </w:rPr>
            </w:pPr>
            <w:r>
              <w:rPr>
                <w:rFonts w:ascii="Arial" w:hAnsi="Arial"/>
                <w:b/>
                <w:noProof/>
                <w:sz w:val="18"/>
              </w:rPr>
              <w:t>1,5</w:t>
            </w:r>
          </w:p>
        </w:tc>
        <w:tc>
          <w:tcPr>
            <w:tcW w:w="561"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0,0</w:t>
            </w:r>
          </w:p>
        </w:tc>
        <w:tc>
          <w:tcPr>
            <w:tcW w:w="561" w:type="pct"/>
            <w:tcBorders>
              <w:left w:val="single" w:sz="8" w:space="0" w:color="auto"/>
              <w:right w:val="single" w:sz="4" w:space="0" w:color="auto"/>
            </w:tcBorders>
            <w:shd w:val="clear" w:color="auto" w:fill="auto"/>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w:t>
            </w:r>
          </w:p>
        </w:tc>
        <w:tc>
          <w:tcPr>
            <w:tcW w:w="561" w:type="pct"/>
            <w:tcBorders>
              <w:left w:val="single" w:sz="4" w:space="0" w:color="auto"/>
              <w:right w:val="single" w:sz="4" w:space="0" w:color="auto"/>
            </w:tcBorders>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20,7</w:t>
            </w:r>
          </w:p>
        </w:tc>
        <w:tc>
          <w:tcPr>
            <w:tcW w:w="561" w:type="pct"/>
            <w:tcBorders>
              <w:left w:val="single" w:sz="4" w:space="0" w:color="auto"/>
              <w:right w:val="single" w:sz="8" w:space="0" w:color="auto"/>
            </w:tcBorders>
            <w:shd w:val="clear" w:color="auto" w:fill="auto"/>
            <w:vAlign w:val="center"/>
          </w:tcPr>
          <w:p>
            <w:pPr>
              <w:spacing w:after="0" w:line="240" w:lineRule="auto"/>
              <w:ind w:right="600"/>
              <w:jc w:val="right"/>
              <w:rPr>
                <w:rFonts w:ascii="Arial" w:eastAsia="Times New Roman" w:hAnsi="Arial" w:cs="Arial"/>
                <w:b/>
                <w:bCs/>
                <w:noProof/>
                <w:sz w:val="18"/>
                <w:szCs w:val="18"/>
              </w:rPr>
            </w:pPr>
            <w:r>
              <w:rPr>
                <w:rFonts w:ascii="Arial" w:hAnsi="Arial"/>
                <w:b/>
                <w:noProof/>
                <w:sz w:val="18"/>
              </w:rPr>
              <w:t>20,7</w:t>
            </w:r>
          </w:p>
        </w:tc>
        <w:tc>
          <w:tcPr>
            <w:tcW w:w="559"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0,2</w:t>
            </w:r>
          </w:p>
        </w:tc>
      </w:tr>
      <w:tr>
        <w:tc>
          <w:tcPr>
            <w:tcW w:w="562" w:type="pct"/>
            <w:tcBorders>
              <w:left w:val="single" w:sz="8" w:space="0" w:color="auto"/>
              <w:right w:val="single" w:sz="8" w:space="0" w:color="auto"/>
            </w:tcBorders>
            <w:shd w:val="clear" w:color="auto" w:fill="auto"/>
            <w:tcMar>
              <w:left w:w="57" w:type="dxa"/>
              <w:right w:w="0" w:type="dxa"/>
            </w:tcMar>
            <w:vAlign w:val="center"/>
          </w:tcPr>
          <w:p>
            <w:pPr>
              <w:spacing w:before="20" w:after="20" w:line="210" w:lineRule="exact"/>
              <w:ind w:left="142" w:hanging="142"/>
              <w:rPr>
                <w:rFonts w:ascii="Arial" w:eastAsia="Times New Roman" w:hAnsi="Arial" w:cs="Arial"/>
                <w:b/>
                <w:bCs/>
                <w:noProof/>
                <w:sz w:val="18"/>
                <w:szCs w:val="18"/>
              </w:rPr>
            </w:pPr>
            <w:r>
              <w:rPr>
                <w:rFonts w:ascii="Arial" w:hAnsi="Arial"/>
                <w:b/>
                <w:noProof/>
                <w:sz w:val="18"/>
              </w:rPr>
              <w:t>Litva</w:t>
            </w:r>
          </w:p>
        </w:tc>
        <w:tc>
          <w:tcPr>
            <w:tcW w:w="514" w:type="pct"/>
            <w:tcBorders>
              <w:left w:val="single" w:sz="8" w:space="0" w:color="auto"/>
              <w:right w:val="single" w:sz="4" w:space="0" w:color="auto"/>
            </w:tcBorders>
            <w:shd w:val="clear" w:color="auto" w:fill="auto"/>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0,2</w:t>
            </w:r>
          </w:p>
        </w:tc>
        <w:tc>
          <w:tcPr>
            <w:tcW w:w="561" w:type="pct"/>
            <w:tcBorders>
              <w:left w:val="single" w:sz="4" w:space="0" w:color="auto"/>
              <w:right w:val="single" w:sz="4" w:space="0" w:color="auto"/>
            </w:tcBorders>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0,7</w:t>
            </w:r>
          </w:p>
        </w:tc>
        <w:tc>
          <w:tcPr>
            <w:tcW w:w="561" w:type="pct"/>
            <w:tcBorders>
              <w:left w:val="single" w:sz="4" w:space="0" w:color="auto"/>
              <w:right w:val="single" w:sz="8" w:space="0" w:color="auto"/>
            </w:tcBorders>
            <w:shd w:val="clear" w:color="auto" w:fill="auto"/>
            <w:vAlign w:val="center"/>
          </w:tcPr>
          <w:p>
            <w:pPr>
              <w:spacing w:after="0" w:line="240" w:lineRule="auto"/>
              <w:ind w:right="599"/>
              <w:jc w:val="right"/>
              <w:rPr>
                <w:rFonts w:ascii="Arial" w:eastAsia="Times New Roman" w:hAnsi="Arial" w:cs="Arial"/>
                <w:b/>
                <w:bCs/>
                <w:noProof/>
                <w:sz w:val="18"/>
                <w:szCs w:val="18"/>
              </w:rPr>
            </w:pPr>
            <w:r>
              <w:rPr>
                <w:rFonts w:ascii="Arial" w:hAnsi="Arial"/>
                <w:b/>
                <w:noProof/>
                <w:sz w:val="18"/>
              </w:rPr>
              <w:t>0,9</w:t>
            </w:r>
          </w:p>
        </w:tc>
        <w:tc>
          <w:tcPr>
            <w:tcW w:w="561"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0,0</w:t>
            </w:r>
          </w:p>
        </w:tc>
        <w:tc>
          <w:tcPr>
            <w:tcW w:w="561" w:type="pct"/>
            <w:tcBorders>
              <w:left w:val="single" w:sz="8" w:space="0" w:color="auto"/>
              <w:right w:val="single" w:sz="4" w:space="0" w:color="auto"/>
            </w:tcBorders>
            <w:shd w:val="clear" w:color="auto" w:fill="auto"/>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0,1</w:t>
            </w:r>
          </w:p>
        </w:tc>
        <w:tc>
          <w:tcPr>
            <w:tcW w:w="561" w:type="pct"/>
            <w:tcBorders>
              <w:left w:val="single" w:sz="4" w:space="0" w:color="auto"/>
              <w:right w:val="single" w:sz="4" w:space="0" w:color="auto"/>
            </w:tcBorders>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5,8</w:t>
            </w:r>
          </w:p>
        </w:tc>
        <w:tc>
          <w:tcPr>
            <w:tcW w:w="561" w:type="pct"/>
            <w:tcBorders>
              <w:left w:val="single" w:sz="4" w:space="0" w:color="auto"/>
              <w:right w:val="single" w:sz="8" w:space="0" w:color="auto"/>
            </w:tcBorders>
            <w:shd w:val="clear" w:color="auto" w:fill="auto"/>
            <w:vAlign w:val="center"/>
          </w:tcPr>
          <w:p>
            <w:pPr>
              <w:spacing w:after="0" w:line="240" w:lineRule="auto"/>
              <w:ind w:right="600"/>
              <w:jc w:val="right"/>
              <w:rPr>
                <w:rFonts w:ascii="Arial" w:eastAsia="Times New Roman" w:hAnsi="Arial" w:cs="Arial"/>
                <w:b/>
                <w:bCs/>
                <w:noProof/>
                <w:sz w:val="18"/>
                <w:szCs w:val="18"/>
              </w:rPr>
            </w:pPr>
            <w:r>
              <w:rPr>
                <w:rFonts w:ascii="Arial" w:hAnsi="Arial"/>
                <w:b/>
                <w:noProof/>
                <w:sz w:val="18"/>
              </w:rPr>
              <w:t>5,9</w:t>
            </w:r>
          </w:p>
        </w:tc>
        <w:tc>
          <w:tcPr>
            <w:tcW w:w="559"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0,1</w:t>
            </w:r>
          </w:p>
        </w:tc>
      </w:tr>
      <w:tr>
        <w:tc>
          <w:tcPr>
            <w:tcW w:w="562" w:type="pct"/>
            <w:tcBorders>
              <w:left w:val="single" w:sz="8" w:space="0" w:color="auto"/>
              <w:right w:val="single" w:sz="8" w:space="0" w:color="auto"/>
            </w:tcBorders>
            <w:shd w:val="clear" w:color="auto" w:fill="auto"/>
            <w:tcMar>
              <w:left w:w="57" w:type="dxa"/>
              <w:right w:w="0" w:type="dxa"/>
            </w:tcMar>
            <w:vAlign w:val="center"/>
          </w:tcPr>
          <w:p>
            <w:pPr>
              <w:spacing w:before="20" w:after="20" w:line="210" w:lineRule="exact"/>
              <w:ind w:left="142" w:hanging="142"/>
              <w:rPr>
                <w:rFonts w:ascii="Arial" w:eastAsia="Times New Roman" w:hAnsi="Arial" w:cs="Arial"/>
                <w:b/>
                <w:bCs/>
                <w:noProof/>
                <w:sz w:val="18"/>
                <w:szCs w:val="18"/>
              </w:rPr>
            </w:pPr>
            <w:r>
              <w:rPr>
                <w:rFonts w:ascii="Arial" w:hAnsi="Arial"/>
                <w:b/>
                <w:noProof/>
                <w:sz w:val="18"/>
              </w:rPr>
              <w:t>Lucembursko</w:t>
            </w:r>
          </w:p>
        </w:tc>
        <w:tc>
          <w:tcPr>
            <w:tcW w:w="514" w:type="pct"/>
            <w:tcBorders>
              <w:left w:val="single" w:sz="8" w:space="0" w:color="auto"/>
              <w:right w:val="single" w:sz="4" w:space="0" w:color="auto"/>
            </w:tcBorders>
            <w:shd w:val="clear" w:color="auto" w:fill="auto"/>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12,0</w:t>
            </w:r>
          </w:p>
        </w:tc>
        <w:tc>
          <w:tcPr>
            <w:tcW w:w="561" w:type="pct"/>
            <w:tcBorders>
              <w:left w:val="single" w:sz="4" w:space="0" w:color="auto"/>
              <w:right w:val="single" w:sz="4" w:space="0" w:color="auto"/>
            </w:tcBorders>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0,9</w:t>
            </w:r>
          </w:p>
        </w:tc>
        <w:tc>
          <w:tcPr>
            <w:tcW w:w="561" w:type="pct"/>
            <w:tcBorders>
              <w:left w:val="single" w:sz="4" w:space="0" w:color="auto"/>
              <w:right w:val="single" w:sz="8" w:space="0" w:color="auto"/>
            </w:tcBorders>
            <w:shd w:val="clear" w:color="auto" w:fill="auto"/>
            <w:vAlign w:val="center"/>
          </w:tcPr>
          <w:p>
            <w:pPr>
              <w:spacing w:after="0" w:line="240" w:lineRule="auto"/>
              <w:ind w:right="599"/>
              <w:jc w:val="right"/>
              <w:rPr>
                <w:rFonts w:ascii="Arial" w:eastAsia="Times New Roman" w:hAnsi="Arial" w:cs="Arial"/>
                <w:b/>
                <w:bCs/>
                <w:noProof/>
                <w:sz w:val="18"/>
                <w:szCs w:val="18"/>
              </w:rPr>
            </w:pPr>
            <w:r>
              <w:rPr>
                <w:rFonts w:ascii="Arial" w:hAnsi="Arial"/>
                <w:b/>
                <w:noProof/>
                <w:sz w:val="18"/>
              </w:rPr>
              <w:t>12,9</w:t>
            </w:r>
          </w:p>
        </w:tc>
        <w:tc>
          <w:tcPr>
            <w:tcW w:w="561"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0,0</w:t>
            </w:r>
          </w:p>
        </w:tc>
        <w:tc>
          <w:tcPr>
            <w:tcW w:w="561" w:type="pct"/>
            <w:tcBorders>
              <w:left w:val="single" w:sz="8" w:space="0" w:color="auto"/>
              <w:right w:val="single" w:sz="4" w:space="0" w:color="auto"/>
            </w:tcBorders>
            <w:shd w:val="clear" w:color="auto" w:fill="auto"/>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74,4</w:t>
            </w:r>
          </w:p>
        </w:tc>
        <w:tc>
          <w:tcPr>
            <w:tcW w:w="561" w:type="pct"/>
            <w:tcBorders>
              <w:left w:val="single" w:sz="4" w:space="0" w:color="auto"/>
              <w:right w:val="single" w:sz="4" w:space="0" w:color="auto"/>
            </w:tcBorders>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7,1</w:t>
            </w:r>
          </w:p>
        </w:tc>
        <w:tc>
          <w:tcPr>
            <w:tcW w:w="561" w:type="pct"/>
            <w:tcBorders>
              <w:left w:val="single" w:sz="4" w:space="0" w:color="auto"/>
              <w:right w:val="single" w:sz="8" w:space="0" w:color="auto"/>
            </w:tcBorders>
            <w:shd w:val="clear" w:color="auto" w:fill="auto"/>
            <w:vAlign w:val="center"/>
          </w:tcPr>
          <w:p>
            <w:pPr>
              <w:spacing w:after="0" w:line="240" w:lineRule="auto"/>
              <w:ind w:right="600"/>
              <w:jc w:val="right"/>
              <w:rPr>
                <w:rFonts w:ascii="Arial" w:eastAsia="Times New Roman" w:hAnsi="Arial" w:cs="Arial"/>
                <w:b/>
                <w:bCs/>
                <w:noProof/>
                <w:sz w:val="18"/>
                <w:szCs w:val="18"/>
              </w:rPr>
            </w:pPr>
            <w:r>
              <w:rPr>
                <w:rFonts w:ascii="Arial" w:hAnsi="Arial"/>
                <w:b/>
                <w:noProof/>
                <w:sz w:val="18"/>
              </w:rPr>
              <w:t>81,5</w:t>
            </w:r>
          </w:p>
        </w:tc>
        <w:tc>
          <w:tcPr>
            <w:tcW w:w="559"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0,0</w:t>
            </w:r>
          </w:p>
        </w:tc>
      </w:tr>
      <w:tr>
        <w:tc>
          <w:tcPr>
            <w:tcW w:w="562" w:type="pct"/>
            <w:tcBorders>
              <w:left w:val="single" w:sz="8" w:space="0" w:color="auto"/>
              <w:right w:val="single" w:sz="8" w:space="0" w:color="auto"/>
            </w:tcBorders>
            <w:shd w:val="clear" w:color="auto" w:fill="auto"/>
            <w:tcMar>
              <w:left w:w="57" w:type="dxa"/>
              <w:right w:w="0" w:type="dxa"/>
            </w:tcMar>
            <w:vAlign w:val="center"/>
          </w:tcPr>
          <w:p>
            <w:pPr>
              <w:spacing w:before="20" w:after="20" w:line="210" w:lineRule="exact"/>
              <w:ind w:left="142" w:hanging="142"/>
              <w:rPr>
                <w:rFonts w:ascii="Arial" w:eastAsia="Times New Roman" w:hAnsi="Arial" w:cs="Arial"/>
                <w:b/>
                <w:bCs/>
                <w:noProof/>
                <w:sz w:val="18"/>
                <w:szCs w:val="18"/>
              </w:rPr>
            </w:pPr>
            <w:r>
              <w:rPr>
                <w:rFonts w:ascii="Arial" w:hAnsi="Arial"/>
                <w:b/>
                <w:noProof/>
                <w:sz w:val="18"/>
              </w:rPr>
              <w:t>Maďarsko</w:t>
            </w:r>
          </w:p>
        </w:tc>
        <w:tc>
          <w:tcPr>
            <w:tcW w:w="514" w:type="pct"/>
            <w:tcBorders>
              <w:left w:val="single" w:sz="8" w:space="0" w:color="auto"/>
              <w:right w:val="single" w:sz="4" w:space="0" w:color="auto"/>
            </w:tcBorders>
            <w:shd w:val="clear" w:color="auto" w:fill="auto"/>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7,9</w:t>
            </w:r>
          </w:p>
        </w:tc>
        <w:tc>
          <w:tcPr>
            <w:tcW w:w="561" w:type="pct"/>
            <w:tcBorders>
              <w:left w:val="single" w:sz="4" w:space="0" w:color="auto"/>
              <w:right w:val="single" w:sz="4" w:space="0" w:color="auto"/>
            </w:tcBorders>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0,2</w:t>
            </w:r>
          </w:p>
        </w:tc>
        <w:tc>
          <w:tcPr>
            <w:tcW w:w="561" w:type="pct"/>
            <w:tcBorders>
              <w:left w:val="single" w:sz="4" w:space="0" w:color="auto"/>
              <w:right w:val="single" w:sz="8" w:space="0" w:color="auto"/>
            </w:tcBorders>
            <w:shd w:val="clear" w:color="auto" w:fill="auto"/>
            <w:vAlign w:val="center"/>
          </w:tcPr>
          <w:p>
            <w:pPr>
              <w:spacing w:after="0" w:line="240" w:lineRule="auto"/>
              <w:ind w:right="599"/>
              <w:jc w:val="right"/>
              <w:rPr>
                <w:rFonts w:ascii="Arial" w:eastAsia="Times New Roman" w:hAnsi="Arial" w:cs="Arial"/>
                <w:b/>
                <w:bCs/>
                <w:noProof/>
                <w:sz w:val="18"/>
                <w:szCs w:val="18"/>
              </w:rPr>
            </w:pPr>
            <w:r>
              <w:rPr>
                <w:rFonts w:ascii="Arial" w:hAnsi="Arial"/>
                <w:b/>
                <w:noProof/>
                <w:sz w:val="18"/>
              </w:rPr>
              <w:t>8,1</w:t>
            </w:r>
          </w:p>
        </w:tc>
        <w:tc>
          <w:tcPr>
            <w:tcW w:w="561"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1,7</w:t>
            </w:r>
          </w:p>
        </w:tc>
        <w:tc>
          <w:tcPr>
            <w:tcW w:w="561" w:type="pct"/>
            <w:tcBorders>
              <w:left w:val="single" w:sz="8" w:space="0" w:color="auto"/>
              <w:right w:val="single" w:sz="4" w:space="0" w:color="auto"/>
            </w:tcBorders>
            <w:shd w:val="clear" w:color="auto" w:fill="auto"/>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9,3</w:t>
            </w:r>
          </w:p>
        </w:tc>
        <w:tc>
          <w:tcPr>
            <w:tcW w:w="561" w:type="pct"/>
            <w:tcBorders>
              <w:left w:val="single" w:sz="4" w:space="0" w:color="auto"/>
              <w:right w:val="single" w:sz="4" w:space="0" w:color="auto"/>
            </w:tcBorders>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5,0</w:t>
            </w:r>
          </w:p>
        </w:tc>
        <w:tc>
          <w:tcPr>
            <w:tcW w:w="561" w:type="pct"/>
            <w:tcBorders>
              <w:left w:val="single" w:sz="4" w:space="0" w:color="auto"/>
              <w:right w:val="single" w:sz="8" w:space="0" w:color="auto"/>
            </w:tcBorders>
            <w:shd w:val="clear" w:color="auto" w:fill="auto"/>
            <w:vAlign w:val="center"/>
          </w:tcPr>
          <w:p>
            <w:pPr>
              <w:spacing w:after="0" w:line="240" w:lineRule="auto"/>
              <w:ind w:right="600"/>
              <w:jc w:val="right"/>
              <w:rPr>
                <w:rFonts w:ascii="Arial" w:eastAsia="Times New Roman" w:hAnsi="Arial" w:cs="Arial"/>
                <w:b/>
                <w:bCs/>
                <w:noProof/>
                <w:sz w:val="18"/>
                <w:szCs w:val="18"/>
              </w:rPr>
            </w:pPr>
            <w:r>
              <w:rPr>
                <w:rFonts w:ascii="Arial" w:hAnsi="Arial"/>
                <w:b/>
                <w:noProof/>
                <w:sz w:val="18"/>
              </w:rPr>
              <w:t>14,3</w:t>
            </w:r>
          </w:p>
        </w:tc>
        <w:tc>
          <w:tcPr>
            <w:tcW w:w="559"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0,0</w:t>
            </w:r>
          </w:p>
        </w:tc>
      </w:tr>
      <w:tr>
        <w:tc>
          <w:tcPr>
            <w:tcW w:w="562" w:type="pct"/>
            <w:tcBorders>
              <w:left w:val="single" w:sz="8" w:space="0" w:color="auto"/>
              <w:right w:val="single" w:sz="8" w:space="0" w:color="auto"/>
            </w:tcBorders>
            <w:shd w:val="clear" w:color="auto" w:fill="auto"/>
            <w:tcMar>
              <w:left w:w="57" w:type="dxa"/>
              <w:right w:w="0" w:type="dxa"/>
            </w:tcMar>
            <w:vAlign w:val="center"/>
          </w:tcPr>
          <w:p>
            <w:pPr>
              <w:spacing w:before="20" w:after="20" w:line="210" w:lineRule="exact"/>
              <w:ind w:left="142" w:hanging="142"/>
              <w:rPr>
                <w:rFonts w:ascii="Arial" w:eastAsia="Times New Roman" w:hAnsi="Arial" w:cs="Arial"/>
                <w:b/>
                <w:bCs/>
                <w:noProof/>
                <w:sz w:val="18"/>
                <w:szCs w:val="18"/>
              </w:rPr>
            </w:pPr>
            <w:r>
              <w:rPr>
                <w:rFonts w:ascii="Arial" w:hAnsi="Arial"/>
                <w:b/>
                <w:noProof/>
                <w:sz w:val="18"/>
              </w:rPr>
              <w:t>Malta</w:t>
            </w:r>
          </w:p>
        </w:tc>
        <w:tc>
          <w:tcPr>
            <w:tcW w:w="514" w:type="pct"/>
            <w:tcBorders>
              <w:left w:val="single" w:sz="8" w:space="0" w:color="auto"/>
              <w:right w:val="single" w:sz="4" w:space="0" w:color="auto"/>
            </w:tcBorders>
            <w:shd w:val="clear" w:color="auto" w:fill="auto"/>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14,1</w:t>
            </w:r>
          </w:p>
        </w:tc>
        <w:tc>
          <w:tcPr>
            <w:tcW w:w="561" w:type="pct"/>
            <w:tcBorders>
              <w:left w:val="single" w:sz="4" w:space="0" w:color="auto"/>
              <w:right w:val="single" w:sz="4" w:space="0" w:color="auto"/>
            </w:tcBorders>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0,0</w:t>
            </w:r>
          </w:p>
        </w:tc>
        <w:tc>
          <w:tcPr>
            <w:tcW w:w="561" w:type="pct"/>
            <w:tcBorders>
              <w:left w:val="single" w:sz="4" w:space="0" w:color="auto"/>
              <w:right w:val="single" w:sz="8" w:space="0" w:color="auto"/>
            </w:tcBorders>
            <w:shd w:val="clear" w:color="auto" w:fill="auto"/>
            <w:vAlign w:val="center"/>
          </w:tcPr>
          <w:p>
            <w:pPr>
              <w:spacing w:after="0" w:line="240" w:lineRule="auto"/>
              <w:ind w:right="599"/>
              <w:jc w:val="right"/>
              <w:rPr>
                <w:rFonts w:ascii="Arial" w:eastAsia="Times New Roman" w:hAnsi="Arial" w:cs="Arial"/>
                <w:b/>
                <w:bCs/>
                <w:noProof/>
                <w:sz w:val="18"/>
                <w:szCs w:val="18"/>
              </w:rPr>
            </w:pPr>
            <w:r>
              <w:rPr>
                <w:rFonts w:ascii="Arial" w:hAnsi="Arial"/>
                <w:b/>
                <w:noProof/>
                <w:sz w:val="18"/>
              </w:rPr>
              <w:t>14,1</w:t>
            </w:r>
          </w:p>
        </w:tc>
        <w:tc>
          <w:tcPr>
            <w:tcW w:w="561"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0,1</w:t>
            </w:r>
          </w:p>
        </w:tc>
        <w:tc>
          <w:tcPr>
            <w:tcW w:w="561" w:type="pct"/>
            <w:tcBorders>
              <w:left w:val="single" w:sz="8" w:space="0" w:color="auto"/>
              <w:right w:val="single" w:sz="4" w:space="0" w:color="auto"/>
            </w:tcBorders>
            <w:shd w:val="clear" w:color="auto" w:fill="auto"/>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3,2</w:t>
            </w:r>
          </w:p>
        </w:tc>
        <w:tc>
          <w:tcPr>
            <w:tcW w:w="561" w:type="pct"/>
            <w:tcBorders>
              <w:left w:val="single" w:sz="4" w:space="0" w:color="auto"/>
              <w:right w:val="single" w:sz="4" w:space="0" w:color="auto"/>
            </w:tcBorders>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16,2</w:t>
            </w:r>
          </w:p>
        </w:tc>
        <w:tc>
          <w:tcPr>
            <w:tcW w:w="561" w:type="pct"/>
            <w:tcBorders>
              <w:left w:val="single" w:sz="4" w:space="0" w:color="auto"/>
              <w:right w:val="single" w:sz="8" w:space="0" w:color="auto"/>
            </w:tcBorders>
            <w:shd w:val="clear" w:color="auto" w:fill="auto"/>
            <w:vAlign w:val="center"/>
          </w:tcPr>
          <w:p>
            <w:pPr>
              <w:spacing w:after="0" w:line="240" w:lineRule="auto"/>
              <w:ind w:right="600"/>
              <w:jc w:val="right"/>
              <w:rPr>
                <w:rFonts w:ascii="Arial" w:eastAsia="Times New Roman" w:hAnsi="Arial" w:cs="Arial"/>
                <w:b/>
                <w:bCs/>
                <w:noProof/>
                <w:sz w:val="18"/>
                <w:szCs w:val="18"/>
              </w:rPr>
            </w:pPr>
            <w:r>
              <w:rPr>
                <w:rFonts w:ascii="Arial" w:hAnsi="Arial"/>
                <w:b/>
                <w:noProof/>
                <w:sz w:val="18"/>
              </w:rPr>
              <w:t>19,4</w:t>
            </w:r>
          </w:p>
        </w:tc>
        <w:tc>
          <w:tcPr>
            <w:tcW w:w="559"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0,0</w:t>
            </w:r>
          </w:p>
        </w:tc>
      </w:tr>
      <w:tr>
        <w:tc>
          <w:tcPr>
            <w:tcW w:w="562" w:type="pct"/>
            <w:tcBorders>
              <w:left w:val="single" w:sz="8" w:space="0" w:color="auto"/>
              <w:right w:val="single" w:sz="8" w:space="0" w:color="auto"/>
            </w:tcBorders>
            <w:shd w:val="clear" w:color="auto" w:fill="auto"/>
            <w:tcMar>
              <w:left w:w="57" w:type="dxa"/>
              <w:right w:w="0" w:type="dxa"/>
            </w:tcMar>
            <w:vAlign w:val="center"/>
          </w:tcPr>
          <w:p>
            <w:pPr>
              <w:spacing w:before="20" w:after="20" w:line="210" w:lineRule="exact"/>
              <w:ind w:left="142" w:hanging="142"/>
              <w:rPr>
                <w:rFonts w:ascii="Arial" w:eastAsia="Times New Roman" w:hAnsi="Arial" w:cs="Arial"/>
                <w:b/>
                <w:bCs/>
                <w:noProof/>
                <w:sz w:val="18"/>
                <w:szCs w:val="18"/>
              </w:rPr>
            </w:pPr>
            <w:r>
              <w:rPr>
                <w:rFonts w:ascii="Arial" w:hAnsi="Arial"/>
                <w:b/>
                <w:noProof/>
                <w:sz w:val="18"/>
              </w:rPr>
              <w:t>Nizozemsko</w:t>
            </w:r>
          </w:p>
        </w:tc>
        <w:tc>
          <w:tcPr>
            <w:tcW w:w="514" w:type="pct"/>
            <w:tcBorders>
              <w:left w:val="single" w:sz="8" w:space="0" w:color="auto"/>
              <w:right w:val="single" w:sz="4" w:space="0" w:color="auto"/>
            </w:tcBorders>
            <w:shd w:val="clear" w:color="auto" w:fill="auto"/>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3,3</w:t>
            </w:r>
          </w:p>
        </w:tc>
        <w:tc>
          <w:tcPr>
            <w:tcW w:w="561" w:type="pct"/>
            <w:tcBorders>
              <w:left w:val="single" w:sz="4" w:space="0" w:color="auto"/>
              <w:right w:val="single" w:sz="4" w:space="0" w:color="auto"/>
            </w:tcBorders>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0,4</w:t>
            </w:r>
          </w:p>
        </w:tc>
        <w:tc>
          <w:tcPr>
            <w:tcW w:w="561" w:type="pct"/>
            <w:tcBorders>
              <w:left w:val="single" w:sz="4" w:space="0" w:color="auto"/>
              <w:right w:val="single" w:sz="8" w:space="0" w:color="auto"/>
            </w:tcBorders>
            <w:shd w:val="clear" w:color="auto" w:fill="auto"/>
            <w:vAlign w:val="center"/>
          </w:tcPr>
          <w:p>
            <w:pPr>
              <w:spacing w:after="0" w:line="240" w:lineRule="auto"/>
              <w:ind w:right="599"/>
              <w:jc w:val="right"/>
              <w:rPr>
                <w:rFonts w:ascii="Arial" w:eastAsia="Times New Roman" w:hAnsi="Arial" w:cs="Arial"/>
                <w:b/>
                <w:bCs/>
                <w:noProof/>
                <w:sz w:val="18"/>
                <w:szCs w:val="18"/>
              </w:rPr>
            </w:pPr>
            <w:r>
              <w:rPr>
                <w:rFonts w:ascii="Arial" w:hAnsi="Arial"/>
                <w:b/>
                <w:noProof/>
                <w:sz w:val="18"/>
              </w:rPr>
              <w:t>3,7</w:t>
            </w:r>
          </w:p>
        </w:tc>
        <w:tc>
          <w:tcPr>
            <w:tcW w:w="561"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0,4</w:t>
            </w:r>
          </w:p>
        </w:tc>
        <w:tc>
          <w:tcPr>
            <w:tcW w:w="561" w:type="pct"/>
            <w:tcBorders>
              <w:left w:val="single" w:sz="8" w:space="0" w:color="auto"/>
              <w:right w:val="single" w:sz="4" w:space="0" w:color="auto"/>
            </w:tcBorders>
            <w:shd w:val="clear" w:color="auto" w:fill="auto"/>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88,3</w:t>
            </w:r>
          </w:p>
        </w:tc>
        <w:tc>
          <w:tcPr>
            <w:tcW w:w="561" w:type="pct"/>
            <w:tcBorders>
              <w:left w:val="single" w:sz="4" w:space="0" w:color="auto"/>
              <w:right w:val="single" w:sz="4" w:space="0" w:color="auto"/>
            </w:tcBorders>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15,6</w:t>
            </w:r>
          </w:p>
        </w:tc>
        <w:tc>
          <w:tcPr>
            <w:tcW w:w="561" w:type="pct"/>
            <w:tcBorders>
              <w:left w:val="single" w:sz="4" w:space="0" w:color="auto"/>
              <w:right w:val="single" w:sz="8" w:space="0" w:color="auto"/>
            </w:tcBorders>
            <w:shd w:val="clear" w:color="auto" w:fill="auto"/>
            <w:vAlign w:val="center"/>
          </w:tcPr>
          <w:p>
            <w:pPr>
              <w:spacing w:after="0" w:line="240" w:lineRule="auto"/>
              <w:ind w:right="600"/>
              <w:jc w:val="right"/>
              <w:rPr>
                <w:rFonts w:ascii="Arial" w:eastAsia="Times New Roman" w:hAnsi="Arial" w:cs="Arial"/>
                <w:b/>
                <w:bCs/>
                <w:noProof/>
                <w:sz w:val="18"/>
                <w:szCs w:val="18"/>
              </w:rPr>
            </w:pPr>
            <w:r>
              <w:rPr>
                <w:rFonts w:ascii="Arial" w:hAnsi="Arial"/>
                <w:b/>
                <w:noProof/>
                <w:sz w:val="18"/>
              </w:rPr>
              <w:t>103,9</w:t>
            </w:r>
          </w:p>
        </w:tc>
        <w:tc>
          <w:tcPr>
            <w:tcW w:w="559"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0,0</w:t>
            </w:r>
          </w:p>
        </w:tc>
      </w:tr>
      <w:tr>
        <w:tc>
          <w:tcPr>
            <w:tcW w:w="562" w:type="pct"/>
            <w:tcBorders>
              <w:left w:val="single" w:sz="8" w:space="0" w:color="auto"/>
              <w:right w:val="single" w:sz="8" w:space="0" w:color="auto"/>
            </w:tcBorders>
            <w:shd w:val="clear" w:color="auto" w:fill="auto"/>
            <w:tcMar>
              <w:left w:w="57" w:type="dxa"/>
              <w:right w:w="0" w:type="dxa"/>
            </w:tcMar>
            <w:vAlign w:val="center"/>
          </w:tcPr>
          <w:p>
            <w:pPr>
              <w:spacing w:before="20" w:after="20" w:line="210" w:lineRule="exact"/>
              <w:ind w:left="142" w:hanging="142"/>
              <w:rPr>
                <w:rFonts w:ascii="Arial" w:eastAsia="Times New Roman" w:hAnsi="Arial" w:cs="Arial"/>
                <w:b/>
                <w:bCs/>
                <w:noProof/>
                <w:sz w:val="18"/>
                <w:szCs w:val="18"/>
              </w:rPr>
            </w:pPr>
            <w:r>
              <w:rPr>
                <w:rFonts w:ascii="Arial" w:hAnsi="Arial"/>
                <w:b/>
                <w:noProof/>
                <w:sz w:val="18"/>
              </w:rPr>
              <w:t>Rakousko</w:t>
            </w:r>
          </w:p>
        </w:tc>
        <w:tc>
          <w:tcPr>
            <w:tcW w:w="514" w:type="pct"/>
            <w:tcBorders>
              <w:left w:val="single" w:sz="8" w:space="0" w:color="auto"/>
              <w:right w:val="single" w:sz="4" w:space="0" w:color="auto"/>
            </w:tcBorders>
            <w:shd w:val="clear" w:color="auto" w:fill="auto"/>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20,5</w:t>
            </w:r>
          </w:p>
        </w:tc>
        <w:tc>
          <w:tcPr>
            <w:tcW w:w="561" w:type="pct"/>
            <w:tcBorders>
              <w:left w:val="single" w:sz="4" w:space="0" w:color="auto"/>
              <w:right w:val="single" w:sz="4" w:space="0" w:color="auto"/>
            </w:tcBorders>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0,0</w:t>
            </w:r>
          </w:p>
        </w:tc>
        <w:tc>
          <w:tcPr>
            <w:tcW w:w="561" w:type="pct"/>
            <w:tcBorders>
              <w:left w:val="single" w:sz="4" w:space="0" w:color="auto"/>
              <w:right w:val="single" w:sz="8" w:space="0" w:color="auto"/>
            </w:tcBorders>
            <w:shd w:val="clear" w:color="auto" w:fill="auto"/>
            <w:vAlign w:val="center"/>
          </w:tcPr>
          <w:p>
            <w:pPr>
              <w:spacing w:after="0" w:line="240" w:lineRule="auto"/>
              <w:ind w:right="599"/>
              <w:jc w:val="right"/>
              <w:rPr>
                <w:rFonts w:ascii="Arial" w:eastAsia="Times New Roman" w:hAnsi="Arial" w:cs="Arial"/>
                <w:b/>
                <w:bCs/>
                <w:noProof/>
                <w:sz w:val="18"/>
                <w:szCs w:val="18"/>
              </w:rPr>
            </w:pPr>
            <w:r>
              <w:rPr>
                <w:rFonts w:ascii="Arial" w:hAnsi="Arial"/>
                <w:b/>
                <w:noProof/>
                <w:sz w:val="18"/>
              </w:rPr>
              <w:t>20,5</w:t>
            </w:r>
          </w:p>
        </w:tc>
        <w:tc>
          <w:tcPr>
            <w:tcW w:w="561"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0,1</w:t>
            </w:r>
          </w:p>
        </w:tc>
        <w:tc>
          <w:tcPr>
            <w:tcW w:w="561" w:type="pct"/>
            <w:tcBorders>
              <w:left w:val="single" w:sz="8" w:space="0" w:color="auto"/>
              <w:right w:val="single" w:sz="4" w:space="0" w:color="auto"/>
            </w:tcBorders>
            <w:shd w:val="clear" w:color="auto" w:fill="auto"/>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14,6</w:t>
            </w:r>
          </w:p>
        </w:tc>
        <w:tc>
          <w:tcPr>
            <w:tcW w:w="561" w:type="pct"/>
            <w:tcBorders>
              <w:left w:val="single" w:sz="4" w:space="0" w:color="auto"/>
              <w:right w:val="single" w:sz="4" w:space="0" w:color="auto"/>
            </w:tcBorders>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13,4</w:t>
            </w:r>
          </w:p>
        </w:tc>
        <w:tc>
          <w:tcPr>
            <w:tcW w:w="561" w:type="pct"/>
            <w:tcBorders>
              <w:left w:val="single" w:sz="4" w:space="0" w:color="auto"/>
              <w:right w:val="single" w:sz="8" w:space="0" w:color="auto"/>
            </w:tcBorders>
            <w:shd w:val="clear" w:color="auto" w:fill="auto"/>
            <w:vAlign w:val="center"/>
          </w:tcPr>
          <w:p>
            <w:pPr>
              <w:spacing w:after="0" w:line="240" w:lineRule="auto"/>
              <w:ind w:right="600"/>
              <w:jc w:val="right"/>
              <w:rPr>
                <w:rFonts w:ascii="Arial" w:eastAsia="Times New Roman" w:hAnsi="Arial" w:cs="Arial"/>
                <w:b/>
                <w:bCs/>
                <w:noProof/>
                <w:sz w:val="18"/>
                <w:szCs w:val="18"/>
              </w:rPr>
            </w:pPr>
            <w:r>
              <w:rPr>
                <w:rFonts w:ascii="Arial" w:hAnsi="Arial"/>
                <w:b/>
                <w:noProof/>
                <w:sz w:val="18"/>
              </w:rPr>
              <w:t>28,0</w:t>
            </w:r>
          </w:p>
        </w:tc>
        <w:tc>
          <w:tcPr>
            <w:tcW w:w="559"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1,1</w:t>
            </w:r>
          </w:p>
        </w:tc>
      </w:tr>
      <w:tr>
        <w:tc>
          <w:tcPr>
            <w:tcW w:w="562" w:type="pct"/>
            <w:tcBorders>
              <w:left w:val="single" w:sz="8" w:space="0" w:color="auto"/>
              <w:right w:val="single" w:sz="8" w:space="0" w:color="auto"/>
            </w:tcBorders>
            <w:shd w:val="clear" w:color="auto" w:fill="auto"/>
            <w:tcMar>
              <w:left w:w="57" w:type="dxa"/>
              <w:right w:w="0" w:type="dxa"/>
            </w:tcMar>
            <w:vAlign w:val="center"/>
          </w:tcPr>
          <w:p>
            <w:pPr>
              <w:spacing w:before="20" w:after="20" w:line="210" w:lineRule="exact"/>
              <w:ind w:left="142" w:hanging="142"/>
              <w:rPr>
                <w:rFonts w:ascii="Arial" w:eastAsia="Times New Roman" w:hAnsi="Arial" w:cs="Arial"/>
                <w:b/>
                <w:bCs/>
                <w:noProof/>
                <w:sz w:val="18"/>
                <w:szCs w:val="18"/>
              </w:rPr>
            </w:pPr>
            <w:r>
              <w:rPr>
                <w:rFonts w:ascii="Arial" w:hAnsi="Arial"/>
                <w:b/>
                <w:noProof/>
                <w:sz w:val="18"/>
              </w:rPr>
              <w:t>Polsko</w:t>
            </w:r>
          </w:p>
        </w:tc>
        <w:tc>
          <w:tcPr>
            <w:tcW w:w="514" w:type="pct"/>
            <w:tcBorders>
              <w:left w:val="single" w:sz="8" w:space="0" w:color="auto"/>
              <w:right w:val="single" w:sz="4" w:space="0" w:color="auto"/>
            </w:tcBorders>
            <w:shd w:val="clear" w:color="auto" w:fill="auto"/>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6,5</w:t>
            </w:r>
          </w:p>
        </w:tc>
        <w:tc>
          <w:tcPr>
            <w:tcW w:w="561" w:type="pct"/>
            <w:tcBorders>
              <w:left w:val="single" w:sz="4" w:space="0" w:color="auto"/>
              <w:right w:val="single" w:sz="4" w:space="0" w:color="auto"/>
            </w:tcBorders>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0,7</w:t>
            </w:r>
          </w:p>
        </w:tc>
        <w:tc>
          <w:tcPr>
            <w:tcW w:w="561" w:type="pct"/>
            <w:tcBorders>
              <w:left w:val="single" w:sz="4" w:space="0" w:color="auto"/>
              <w:right w:val="single" w:sz="8" w:space="0" w:color="auto"/>
            </w:tcBorders>
            <w:shd w:val="clear" w:color="auto" w:fill="auto"/>
            <w:vAlign w:val="center"/>
          </w:tcPr>
          <w:p>
            <w:pPr>
              <w:spacing w:after="0" w:line="240" w:lineRule="auto"/>
              <w:ind w:right="599"/>
              <w:jc w:val="right"/>
              <w:rPr>
                <w:rFonts w:ascii="Arial" w:eastAsia="Times New Roman" w:hAnsi="Arial" w:cs="Arial"/>
                <w:b/>
                <w:bCs/>
                <w:noProof/>
                <w:sz w:val="18"/>
                <w:szCs w:val="18"/>
              </w:rPr>
            </w:pPr>
            <w:r>
              <w:rPr>
                <w:rFonts w:ascii="Arial" w:hAnsi="Arial"/>
                <w:b/>
                <w:noProof/>
                <w:sz w:val="18"/>
              </w:rPr>
              <w:t>7,1</w:t>
            </w:r>
          </w:p>
        </w:tc>
        <w:tc>
          <w:tcPr>
            <w:tcW w:w="561"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0,0</w:t>
            </w:r>
          </w:p>
        </w:tc>
        <w:tc>
          <w:tcPr>
            <w:tcW w:w="561" w:type="pct"/>
            <w:tcBorders>
              <w:left w:val="single" w:sz="8" w:space="0" w:color="auto"/>
              <w:right w:val="single" w:sz="4" w:space="0" w:color="auto"/>
            </w:tcBorders>
            <w:shd w:val="clear" w:color="auto" w:fill="auto"/>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21,9</w:t>
            </w:r>
          </w:p>
        </w:tc>
        <w:tc>
          <w:tcPr>
            <w:tcW w:w="561" w:type="pct"/>
            <w:tcBorders>
              <w:left w:val="single" w:sz="4" w:space="0" w:color="auto"/>
              <w:right w:val="single" w:sz="4" w:space="0" w:color="auto"/>
            </w:tcBorders>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12,8</w:t>
            </w:r>
          </w:p>
        </w:tc>
        <w:tc>
          <w:tcPr>
            <w:tcW w:w="561" w:type="pct"/>
            <w:tcBorders>
              <w:left w:val="single" w:sz="4" w:space="0" w:color="auto"/>
              <w:right w:val="single" w:sz="8" w:space="0" w:color="auto"/>
            </w:tcBorders>
            <w:shd w:val="clear" w:color="auto" w:fill="auto"/>
            <w:vAlign w:val="center"/>
          </w:tcPr>
          <w:p>
            <w:pPr>
              <w:spacing w:after="0" w:line="240" w:lineRule="auto"/>
              <w:ind w:right="600"/>
              <w:jc w:val="right"/>
              <w:rPr>
                <w:rFonts w:ascii="Arial" w:eastAsia="Times New Roman" w:hAnsi="Arial" w:cs="Arial"/>
                <w:b/>
                <w:bCs/>
                <w:noProof/>
                <w:sz w:val="18"/>
                <w:szCs w:val="18"/>
              </w:rPr>
            </w:pPr>
            <w:r>
              <w:rPr>
                <w:rFonts w:ascii="Arial" w:hAnsi="Arial"/>
                <w:b/>
                <w:noProof/>
                <w:sz w:val="18"/>
              </w:rPr>
              <w:t>34,7</w:t>
            </w:r>
          </w:p>
        </w:tc>
        <w:tc>
          <w:tcPr>
            <w:tcW w:w="559"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0,3</w:t>
            </w:r>
          </w:p>
        </w:tc>
      </w:tr>
      <w:tr>
        <w:tc>
          <w:tcPr>
            <w:tcW w:w="562" w:type="pct"/>
            <w:tcBorders>
              <w:left w:val="single" w:sz="8" w:space="0" w:color="auto"/>
              <w:right w:val="single" w:sz="8" w:space="0" w:color="auto"/>
            </w:tcBorders>
            <w:shd w:val="clear" w:color="auto" w:fill="auto"/>
            <w:tcMar>
              <w:left w:w="57" w:type="dxa"/>
              <w:right w:w="0" w:type="dxa"/>
            </w:tcMar>
            <w:vAlign w:val="center"/>
          </w:tcPr>
          <w:p>
            <w:pPr>
              <w:spacing w:before="20" w:after="20" w:line="210" w:lineRule="exact"/>
              <w:ind w:left="142" w:hanging="142"/>
              <w:rPr>
                <w:rFonts w:ascii="Arial" w:eastAsia="Times New Roman" w:hAnsi="Arial" w:cs="Arial"/>
                <w:b/>
                <w:bCs/>
                <w:noProof/>
                <w:sz w:val="18"/>
                <w:szCs w:val="18"/>
              </w:rPr>
            </w:pPr>
            <w:r>
              <w:rPr>
                <w:rFonts w:ascii="Arial" w:hAnsi="Arial"/>
                <w:b/>
                <w:noProof/>
                <w:sz w:val="18"/>
              </w:rPr>
              <w:t>Portugalsko</w:t>
            </w:r>
          </w:p>
        </w:tc>
        <w:tc>
          <w:tcPr>
            <w:tcW w:w="514" w:type="pct"/>
            <w:tcBorders>
              <w:left w:val="single" w:sz="8" w:space="0" w:color="auto"/>
              <w:right w:val="single" w:sz="4" w:space="0" w:color="auto"/>
            </w:tcBorders>
            <w:shd w:val="clear" w:color="auto" w:fill="auto"/>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5,6</w:t>
            </w:r>
          </w:p>
        </w:tc>
        <w:tc>
          <w:tcPr>
            <w:tcW w:w="561" w:type="pct"/>
            <w:tcBorders>
              <w:left w:val="single" w:sz="4" w:space="0" w:color="auto"/>
              <w:right w:val="single" w:sz="4" w:space="0" w:color="auto"/>
            </w:tcBorders>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0,0</w:t>
            </w:r>
          </w:p>
        </w:tc>
        <w:tc>
          <w:tcPr>
            <w:tcW w:w="561" w:type="pct"/>
            <w:tcBorders>
              <w:left w:val="single" w:sz="4" w:space="0" w:color="auto"/>
              <w:right w:val="single" w:sz="8" w:space="0" w:color="auto"/>
            </w:tcBorders>
            <w:shd w:val="clear" w:color="auto" w:fill="auto"/>
            <w:vAlign w:val="center"/>
          </w:tcPr>
          <w:p>
            <w:pPr>
              <w:spacing w:after="0" w:line="240" w:lineRule="auto"/>
              <w:ind w:right="599"/>
              <w:jc w:val="right"/>
              <w:rPr>
                <w:rFonts w:ascii="Arial" w:eastAsia="Times New Roman" w:hAnsi="Arial" w:cs="Arial"/>
                <w:b/>
                <w:bCs/>
                <w:noProof/>
                <w:sz w:val="18"/>
                <w:szCs w:val="18"/>
              </w:rPr>
            </w:pPr>
            <w:r>
              <w:rPr>
                <w:rFonts w:ascii="Arial" w:hAnsi="Arial"/>
                <w:b/>
                <w:noProof/>
                <w:sz w:val="18"/>
              </w:rPr>
              <w:t>5,6</w:t>
            </w:r>
          </w:p>
        </w:tc>
        <w:tc>
          <w:tcPr>
            <w:tcW w:w="561"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3,2</w:t>
            </w:r>
          </w:p>
        </w:tc>
        <w:tc>
          <w:tcPr>
            <w:tcW w:w="561" w:type="pct"/>
            <w:tcBorders>
              <w:left w:val="single" w:sz="8" w:space="0" w:color="auto"/>
              <w:right w:val="single" w:sz="4" w:space="0" w:color="auto"/>
            </w:tcBorders>
            <w:shd w:val="clear" w:color="auto" w:fill="auto"/>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62,4</w:t>
            </w:r>
          </w:p>
        </w:tc>
        <w:tc>
          <w:tcPr>
            <w:tcW w:w="561" w:type="pct"/>
            <w:tcBorders>
              <w:left w:val="single" w:sz="4" w:space="0" w:color="auto"/>
              <w:right w:val="single" w:sz="4" w:space="0" w:color="auto"/>
            </w:tcBorders>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3,9</w:t>
            </w:r>
          </w:p>
        </w:tc>
        <w:tc>
          <w:tcPr>
            <w:tcW w:w="561" w:type="pct"/>
            <w:tcBorders>
              <w:left w:val="single" w:sz="4" w:space="0" w:color="auto"/>
              <w:right w:val="single" w:sz="8" w:space="0" w:color="auto"/>
            </w:tcBorders>
            <w:shd w:val="clear" w:color="auto" w:fill="auto"/>
            <w:vAlign w:val="center"/>
          </w:tcPr>
          <w:p>
            <w:pPr>
              <w:spacing w:after="0" w:line="240" w:lineRule="auto"/>
              <w:ind w:right="600"/>
              <w:jc w:val="right"/>
              <w:rPr>
                <w:rFonts w:ascii="Arial" w:eastAsia="Times New Roman" w:hAnsi="Arial" w:cs="Arial"/>
                <w:b/>
                <w:bCs/>
                <w:noProof/>
                <w:sz w:val="18"/>
                <w:szCs w:val="18"/>
              </w:rPr>
            </w:pPr>
            <w:r>
              <w:rPr>
                <w:rFonts w:ascii="Arial" w:hAnsi="Arial"/>
                <w:b/>
                <w:noProof/>
                <w:sz w:val="18"/>
              </w:rPr>
              <w:t>66,2</w:t>
            </w:r>
          </w:p>
        </w:tc>
        <w:tc>
          <w:tcPr>
            <w:tcW w:w="559"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1,5</w:t>
            </w:r>
          </w:p>
        </w:tc>
      </w:tr>
      <w:tr>
        <w:tc>
          <w:tcPr>
            <w:tcW w:w="562" w:type="pct"/>
            <w:tcBorders>
              <w:left w:val="single" w:sz="8" w:space="0" w:color="auto"/>
              <w:right w:val="single" w:sz="8" w:space="0" w:color="auto"/>
            </w:tcBorders>
            <w:shd w:val="clear" w:color="auto" w:fill="auto"/>
            <w:tcMar>
              <w:left w:w="57" w:type="dxa"/>
              <w:right w:w="0" w:type="dxa"/>
            </w:tcMar>
            <w:vAlign w:val="center"/>
          </w:tcPr>
          <w:p>
            <w:pPr>
              <w:spacing w:before="20" w:after="20" w:line="210" w:lineRule="exact"/>
              <w:ind w:left="142" w:hanging="142"/>
              <w:rPr>
                <w:rFonts w:ascii="Arial" w:eastAsia="Times New Roman" w:hAnsi="Arial" w:cs="Arial"/>
                <w:b/>
                <w:bCs/>
                <w:noProof/>
                <w:sz w:val="18"/>
                <w:szCs w:val="18"/>
              </w:rPr>
            </w:pPr>
            <w:r>
              <w:rPr>
                <w:rFonts w:ascii="Arial" w:hAnsi="Arial"/>
                <w:b/>
                <w:noProof/>
                <w:sz w:val="18"/>
              </w:rPr>
              <w:t>Rumunsko</w:t>
            </w:r>
          </w:p>
        </w:tc>
        <w:tc>
          <w:tcPr>
            <w:tcW w:w="514" w:type="pct"/>
            <w:tcBorders>
              <w:left w:val="single" w:sz="8" w:space="0" w:color="auto"/>
              <w:right w:val="single" w:sz="4" w:space="0" w:color="auto"/>
            </w:tcBorders>
            <w:shd w:val="clear" w:color="auto" w:fill="auto"/>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0,4</w:t>
            </w:r>
          </w:p>
        </w:tc>
        <w:tc>
          <w:tcPr>
            <w:tcW w:w="561" w:type="pct"/>
            <w:tcBorders>
              <w:left w:val="single" w:sz="4" w:space="0" w:color="auto"/>
              <w:right w:val="single" w:sz="4" w:space="0" w:color="auto"/>
            </w:tcBorders>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1,9</w:t>
            </w:r>
          </w:p>
        </w:tc>
        <w:tc>
          <w:tcPr>
            <w:tcW w:w="561" w:type="pct"/>
            <w:tcBorders>
              <w:left w:val="single" w:sz="4" w:space="0" w:color="auto"/>
              <w:right w:val="single" w:sz="8" w:space="0" w:color="auto"/>
            </w:tcBorders>
            <w:shd w:val="clear" w:color="auto" w:fill="auto"/>
            <w:vAlign w:val="center"/>
          </w:tcPr>
          <w:p>
            <w:pPr>
              <w:spacing w:after="0" w:line="240" w:lineRule="auto"/>
              <w:ind w:right="599"/>
              <w:jc w:val="right"/>
              <w:rPr>
                <w:rFonts w:ascii="Arial" w:eastAsia="Times New Roman" w:hAnsi="Arial" w:cs="Arial"/>
                <w:b/>
                <w:bCs/>
                <w:noProof/>
                <w:sz w:val="18"/>
                <w:szCs w:val="18"/>
              </w:rPr>
            </w:pPr>
            <w:r>
              <w:rPr>
                <w:rFonts w:ascii="Arial" w:hAnsi="Arial"/>
                <w:b/>
                <w:noProof/>
                <w:sz w:val="18"/>
              </w:rPr>
              <w:t>2,2</w:t>
            </w:r>
          </w:p>
        </w:tc>
        <w:tc>
          <w:tcPr>
            <w:tcW w:w="561"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0,0</w:t>
            </w:r>
          </w:p>
        </w:tc>
        <w:tc>
          <w:tcPr>
            <w:tcW w:w="561" w:type="pct"/>
            <w:tcBorders>
              <w:left w:val="single" w:sz="8" w:space="0" w:color="auto"/>
              <w:right w:val="single" w:sz="4" w:space="0" w:color="auto"/>
            </w:tcBorders>
            <w:shd w:val="clear" w:color="auto" w:fill="auto"/>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3,9</w:t>
            </w:r>
          </w:p>
        </w:tc>
        <w:tc>
          <w:tcPr>
            <w:tcW w:w="561" w:type="pct"/>
            <w:tcBorders>
              <w:left w:val="single" w:sz="4" w:space="0" w:color="auto"/>
              <w:right w:val="single" w:sz="4" w:space="0" w:color="auto"/>
            </w:tcBorders>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3,5</w:t>
            </w:r>
          </w:p>
        </w:tc>
        <w:tc>
          <w:tcPr>
            <w:tcW w:w="561" w:type="pct"/>
            <w:tcBorders>
              <w:left w:val="single" w:sz="4" w:space="0" w:color="auto"/>
              <w:right w:val="single" w:sz="8" w:space="0" w:color="auto"/>
            </w:tcBorders>
            <w:shd w:val="clear" w:color="auto" w:fill="auto"/>
            <w:vAlign w:val="center"/>
          </w:tcPr>
          <w:p>
            <w:pPr>
              <w:spacing w:after="0" w:line="240" w:lineRule="auto"/>
              <w:ind w:right="600"/>
              <w:jc w:val="right"/>
              <w:rPr>
                <w:rFonts w:ascii="Arial" w:eastAsia="Times New Roman" w:hAnsi="Arial" w:cs="Arial"/>
                <w:b/>
                <w:bCs/>
                <w:noProof/>
                <w:sz w:val="18"/>
                <w:szCs w:val="18"/>
              </w:rPr>
            </w:pPr>
            <w:r>
              <w:rPr>
                <w:rFonts w:ascii="Arial" w:hAnsi="Arial"/>
                <w:b/>
                <w:noProof/>
                <w:sz w:val="18"/>
              </w:rPr>
              <w:t>7,4</w:t>
            </w:r>
          </w:p>
        </w:tc>
        <w:tc>
          <w:tcPr>
            <w:tcW w:w="559"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0,0</w:t>
            </w:r>
          </w:p>
        </w:tc>
      </w:tr>
      <w:tr>
        <w:tc>
          <w:tcPr>
            <w:tcW w:w="562" w:type="pct"/>
            <w:tcBorders>
              <w:left w:val="single" w:sz="8" w:space="0" w:color="auto"/>
              <w:right w:val="single" w:sz="8" w:space="0" w:color="auto"/>
            </w:tcBorders>
            <w:shd w:val="clear" w:color="auto" w:fill="auto"/>
            <w:tcMar>
              <w:left w:w="57" w:type="dxa"/>
              <w:right w:w="0" w:type="dxa"/>
            </w:tcMar>
            <w:vAlign w:val="center"/>
          </w:tcPr>
          <w:p>
            <w:pPr>
              <w:spacing w:before="20" w:after="20" w:line="210" w:lineRule="exact"/>
              <w:ind w:left="142" w:hanging="142"/>
              <w:rPr>
                <w:rFonts w:ascii="Arial" w:eastAsia="Times New Roman" w:hAnsi="Arial" w:cs="Arial"/>
                <w:b/>
                <w:bCs/>
                <w:noProof/>
                <w:sz w:val="18"/>
                <w:szCs w:val="18"/>
              </w:rPr>
            </w:pPr>
            <w:r>
              <w:rPr>
                <w:rFonts w:ascii="Arial" w:hAnsi="Arial"/>
                <w:b/>
                <w:noProof/>
                <w:sz w:val="18"/>
              </w:rPr>
              <w:t>Slovinsko</w:t>
            </w:r>
          </w:p>
        </w:tc>
        <w:tc>
          <w:tcPr>
            <w:tcW w:w="514" w:type="pct"/>
            <w:tcBorders>
              <w:left w:val="single" w:sz="8" w:space="0" w:color="auto"/>
              <w:right w:val="single" w:sz="4" w:space="0" w:color="auto"/>
            </w:tcBorders>
            <w:shd w:val="clear" w:color="auto" w:fill="auto"/>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9,6</w:t>
            </w:r>
          </w:p>
        </w:tc>
        <w:tc>
          <w:tcPr>
            <w:tcW w:w="561" w:type="pct"/>
            <w:tcBorders>
              <w:left w:val="single" w:sz="4" w:space="0" w:color="auto"/>
              <w:right w:val="single" w:sz="4" w:space="0" w:color="auto"/>
            </w:tcBorders>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0,0</w:t>
            </w:r>
          </w:p>
        </w:tc>
        <w:tc>
          <w:tcPr>
            <w:tcW w:w="561" w:type="pct"/>
            <w:tcBorders>
              <w:left w:val="single" w:sz="4" w:space="0" w:color="auto"/>
              <w:right w:val="single" w:sz="8" w:space="0" w:color="auto"/>
            </w:tcBorders>
            <w:shd w:val="clear" w:color="auto" w:fill="auto"/>
            <w:vAlign w:val="center"/>
          </w:tcPr>
          <w:p>
            <w:pPr>
              <w:spacing w:after="0" w:line="240" w:lineRule="auto"/>
              <w:ind w:right="599"/>
              <w:jc w:val="right"/>
              <w:rPr>
                <w:rFonts w:ascii="Arial" w:eastAsia="Times New Roman" w:hAnsi="Arial" w:cs="Arial"/>
                <w:b/>
                <w:bCs/>
                <w:noProof/>
                <w:sz w:val="18"/>
                <w:szCs w:val="18"/>
              </w:rPr>
            </w:pPr>
            <w:r>
              <w:rPr>
                <w:rFonts w:ascii="Arial" w:hAnsi="Arial"/>
                <w:b/>
                <w:noProof/>
                <w:sz w:val="18"/>
              </w:rPr>
              <w:t>9,6</w:t>
            </w:r>
          </w:p>
        </w:tc>
        <w:tc>
          <w:tcPr>
            <w:tcW w:w="561"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0,0</w:t>
            </w:r>
          </w:p>
        </w:tc>
        <w:tc>
          <w:tcPr>
            <w:tcW w:w="561" w:type="pct"/>
            <w:tcBorders>
              <w:left w:val="single" w:sz="8" w:space="0" w:color="auto"/>
              <w:right w:val="single" w:sz="4" w:space="0" w:color="auto"/>
            </w:tcBorders>
            <w:shd w:val="clear" w:color="auto" w:fill="auto"/>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40,1</w:t>
            </w:r>
          </w:p>
        </w:tc>
        <w:tc>
          <w:tcPr>
            <w:tcW w:w="561" w:type="pct"/>
            <w:tcBorders>
              <w:left w:val="single" w:sz="4" w:space="0" w:color="auto"/>
              <w:right w:val="single" w:sz="4" w:space="0" w:color="auto"/>
            </w:tcBorders>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18,2</w:t>
            </w:r>
          </w:p>
        </w:tc>
        <w:tc>
          <w:tcPr>
            <w:tcW w:w="561" w:type="pct"/>
            <w:tcBorders>
              <w:left w:val="single" w:sz="4" w:space="0" w:color="auto"/>
              <w:right w:val="single" w:sz="8" w:space="0" w:color="auto"/>
            </w:tcBorders>
            <w:shd w:val="clear" w:color="auto" w:fill="auto"/>
            <w:vAlign w:val="center"/>
          </w:tcPr>
          <w:p>
            <w:pPr>
              <w:spacing w:after="0" w:line="240" w:lineRule="auto"/>
              <w:ind w:right="600"/>
              <w:jc w:val="right"/>
              <w:rPr>
                <w:rFonts w:ascii="Arial" w:eastAsia="Times New Roman" w:hAnsi="Arial" w:cs="Arial"/>
                <w:b/>
                <w:bCs/>
                <w:noProof/>
                <w:sz w:val="18"/>
                <w:szCs w:val="18"/>
              </w:rPr>
            </w:pPr>
            <w:r>
              <w:rPr>
                <w:rFonts w:ascii="Arial" w:hAnsi="Arial"/>
                <w:b/>
                <w:noProof/>
                <w:sz w:val="18"/>
              </w:rPr>
              <w:t>58,2</w:t>
            </w:r>
          </w:p>
        </w:tc>
        <w:tc>
          <w:tcPr>
            <w:tcW w:w="559"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5,9</w:t>
            </w:r>
          </w:p>
        </w:tc>
      </w:tr>
      <w:tr>
        <w:tc>
          <w:tcPr>
            <w:tcW w:w="562" w:type="pct"/>
            <w:tcBorders>
              <w:left w:val="single" w:sz="8" w:space="0" w:color="auto"/>
              <w:right w:val="single" w:sz="8" w:space="0" w:color="auto"/>
            </w:tcBorders>
            <w:shd w:val="clear" w:color="auto" w:fill="auto"/>
            <w:tcMar>
              <w:left w:w="57" w:type="dxa"/>
              <w:right w:w="0" w:type="dxa"/>
            </w:tcMar>
            <w:vAlign w:val="center"/>
          </w:tcPr>
          <w:p>
            <w:pPr>
              <w:spacing w:before="20" w:after="20" w:line="210" w:lineRule="exact"/>
              <w:ind w:left="142" w:hanging="142"/>
              <w:rPr>
                <w:rFonts w:ascii="Arial" w:eastAsia="Times New Roman" w:hAnsi="Arial" w:cs="Arial"/>
                <w:b/>
                <w:bCs/>
                <w:noProof/>
                <w:sz w:val="18"/>
                <w:szCs w:val="18"/>
              </w:rPr>
            </w:pPr>
            <w:r>
              <w:rPr>
                <w:rFonts w:ascii="Arial" w:hAnsi="Arial"/>
                <w:b/>
                <w:noProof/>
                <w:sz w:val="18"/>
              </w:rPr>
              <w:t>Slovensko</w:t>
            </w:r>
          </w:p>
        </w:tc>
        <w:tc>
          <w:tcPr>
            <w:tcW w:w="514" w:type="pct"/>
            <w:tcBorders>
              <w:left w:val="single" w:sz="8" w:space="0" w:color="auto"/>
              <w:right w:val="single" w:sz="4" w:space="0" w:color="auto"/>
            </w:tcBorders>
            <w:shd w:val="clear" w:color="auto" w:fill="auto"/>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0,0</w:t>
            </w:r>
          </w:p>
        </w:tc>
        <w:tc>
          <w:tcPr>
            <w:tcW w:w="561" w:type="pct"/>
            <w:tcBorders>
              <w:left w:val="single" w:sz="4" w:space="0" w:color="auto"/>
              <w:right w:val="single" w:sz="4" w:space="0" w:color="auto"/>
            </w:tcBorders>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0,0</w:t>
            </w:r>
          </w:p>
        </w:tc>
        <w:tc>
          <w:tcPr>
            <w:tcW w:w="561" w:type="pct"/>
            <w:tcBorders>
              <w:left w:val="single" w:sz="4" w:space="0" w:color="auto"/>
              <w:right w:val="single" w:sz="8" w:space="0" w:color="auto"/>
            </w:tcBorders>
            <w:shd w:val="clear" w:color="auto" w:fill="auto"/>
            <w:vAlign w:val="center"/>
          </w:tcPr>
          <w:p>
            <w:pPr>
              <w:spacing w:after="0" w:line="240" w:lineRule="auto"/>
              <w:ind w:right="599"/>
              <w:jc w:val="right"/>
              <w:rPr>
                <w:rFonts w:ascii="Arial" w:eastAsia="Times New Roman" w:hAnsi="Arial" w:cs="Arial"/>
                <w:b/>
                <w:bCs/>
                <w:noProof/>
                <w:sz w:val="18"/>
                <w:szCs w:val="18"/>
              </w:rPr>
            </w:pPr>
            <w:r>
              <w:rPr>
                <w:rFonts w:ascii="Arial" w:hAnsi="Arial"/>
                <w:b/>
                <w:noProof/>
                <w:sz w:val="18"/>
              </w:rPr>
              <w:t>0,0</w:t>
            </w:r>
          </w:p>
        </w:tc>
        <w:tc>
          <w:tcPr>
            <w:tcW w:w="561"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3,1</w:t>
            </w:r>
          </w:p>
        </w:tc>
        <w:tc>
          <w:tcPr>
            <w:tcW w:w="561" w:type="pct"/>
            <w:tcBorders>
              <w:left w:val="single" w:sz="8" w:space="0" w:color="auto"/>
              <w:right w:val="single" w:sz="4" w:space="0" w:color="auto"/>
            </w:tcBorders>
            <w:shd w:val="clear" w:color="auto" w:fill="auto"/>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0,3</w:t>
            </w:r>
          </w:p>
        </w:tc>
        <w:tc>
          <w:tcPr>
            <w:tcW w:w="561" w:type="pct"/>
            <w:tcBorders>
              <w:left w:val="single" w:sz="4" w:space="0" w:color="auto"/>
              <w:right w:val="single" w:sz="4" w:space="0" w:color="auto"/>
            </w:tcBorders>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1,0</w:t>
            </w:r>
          </w:p>
        </w:tc>
        <w:tc>
          <w:tcPr>
            <w:tcW w:w="561" w:type="pct"/>
            <w:tcBorders>
              <w:left w:val="single" w:sz="4" w:space="0" w:color="auto"/>
              <w:right w:val="single" w:sz="8" w:space="0" w:color="auto"/>
            </w:tcBorders>
            <w:shd w:val="clear" w:color="auto" w:fill="auto"/>
            <w:vAlign w:val="center"/>
          </w:tcPr>
          <w:p>
            <w:pPr>
              <w:spacing w:after="0" w:line="240" w:lineRule="auto"/>
              <w:ind w:right="600"/>
              <w:jc w:val="right"/>
              <w:rPr>
                <w:rFonts w:ascii="Arial" w:eastAsia="Times New Roman" w:hAnsi="Arial" w:cs="Arial"/>
                <w:b/>
                <w:bCs/>
                <w:noProof/>
                <w:sz w:val="18"/>
                <w:szCs w:val="18"/>
              </w:rPr>
            </w:pPr>
            <w:r>
              <w:rPr>
                <w:rFonts w:ascii="Arial" w:hAnsi="Arial"/>
                <w:b/>
                <w:noProof/>
                <w:sz w:val="18"/>
              </w:rPr>
              <w:t>1,3</w:t>
            </w:r>
          </w:p>
        </w:tc>
        <w:tc>
          <w:tcPr>
            <w:tcW w:w="559"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0,1</w:t>
            </w:r>
          </w:p>
        </w:tc>
      </w:tr>
      <w:tr>
        <w:tc>
          <w:tcPr>
            <w:tcW w:w="562" w:type="pct"/>
            <w:tcBorders>
              <w:left w:val="single" w:sz="8" w:space="0" w:color="auto"/>
              <w:right w:val="single" w:sz="8" w:space="0" w:color="auto"/>
            </w:tcBorders>
            <w:shd w:val="clear" w:color="auto" w:fill="auto"/>
            <w:tcMar>
              <w:left w:w="57" w:type="dxa"/>
              <w:right w:w="0" w:type="dxa"/>
            </w:tcMar>
            <w:vAlign w:val="center"/>
          </w:tcPr>
          <w:p>
            <w:pPr>
              <w:spacing w:before="20" w:after="20" w:line="210" w:lineRule="exact"/>
              <w:ind w:left="142" w:hanging="142"/>
              <w:rPr>
                <w:rFonts w:ascii="Arial" w:eastAsia="Times New Roman" w:hAnsi="Arial" w:cs="Arial"/>
                <w:b/>
                <w:bCs/>
                <w:noProof/>
                <w:sz w:val="18"/>
                <w:szCs w:val="18"/>
              </w:rPr>
            </w:pPr>
            <w:r>
              <w:rPr>
                <w:rFonts w:ascii="Arial" w:hAnsi="Arial"/>
                <w:b/>
                <w:noProof/>
                <w:sz w:val="18"/>
              </w:rPr>
              <w:t>Finsko</w:t>
            </w:r>
          </w:p>
        </w:tc>
        <w:tc>
          <w:tcPr>
            <w:tcW w:w="514" w:type="pct"/>
            <w:tcBorders>
              <w:left w:val="single" w:sz="8" w:space="0" w:color="auto"/>
              <w:right w:val="single" w:sz="4" w:space="0" w:color="auto"/>
            </w:tcBorders>
            <w:shd w:val="clear" w:color="auto" w:fill="auto"/>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27,0</w:t>
            </w:r>
          </w:p>
        </w:tc>
        <w:tc>
          <w:tcPr>
            <w:tcW w:w="561" w:type="pct"/>
            <w:tcBorders>
              <w:left w:val="single" w:sz="4" w:space="0" w:color="auto"/>
              <w:right w:val="single" w:sz="4" w:space="0" w:color="auto"/>
            </w:tcBorders>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1,1</w:t>
            </w:r>
          </w:p>
        </w:tc>
        <w:tc>
          <w:tcPr>
            <w:tcW w:w="561" w:type="pct"/>
            <w:tcBorders>
              <w:left w:val="single" w:sz="4" w:space="0" w:color="auto"/>
              <w:right w:val="single" w:sz="8" w:space="0" w:color="auto"/>
            </w:tcBorders>
            <w:shd w:val="clear" w:color="auto" w:fill="auto"/>
            <w:vAlign w:val="center"/>
          </w:tcPr>
          <w:p>
            <w:pPr>
              <w:spacing w:after="0" w:line="240" w:lineRule="auto"/>
              <w:ind w:right="599"/>
              <w:jc w:val="right"/>
              <w:rPr>
                <w:rFonts w:ascii="Arial" w:eastAsia="Times New Roman" w:hAnsi="Arial" w:cs="Arial"/>
                <w:b/>
                <w:bCs/>
                <w:noProof/>
                <w:sz w:val="18"/>
                <w:szCs w:val="18"/>
              </w:rPr>
            </w:pPr>
            <w:r>
              <w:rPr>
                <w:rFonts w:ascii="Arial" w:hAnsi="Arial"/>
                <w:b/>
                <w:noProof/>
                <w:sz w:val="18"/>
              </w:rPr>
              <w:t>28,0</w:t>
            </w:r>
          </w:p>
        </w:tc>
        <w:tc>
          <w:tcPr>
            <w:tcW w:w="561"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0,0</w:t>
            </w:r>
          </w:p>
        </w:tc>
        <w:tc>
          <w:tcPr>
            <w:tcW w:w="561" w:type="pct"/>
            <w:tcBorders>
              <w:left w:val="single" w:sz="8" w:space="0" w:color="auto"/>
              <w:right w:val="single" w:sz="4" w:space="0" w:color="auto"/>
            </w:tcBorders>
            <w:shd w:val="clear" w:color="auto" w:fill="auto"/>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20,5</w:t>
            </w:r>
          </w:p>
        </w:tc>
        <w:tc>
          <w:tcPr>
            <w:tcW w:w="561" w:type="pct"/>
            <w:tcBorders>
              <w:left w:val="single" w:sz="4" w:space="0" w:color="auto"/>
              <w:right w:val="single" w:sz="4" w:space="0" w:color="auto"/>
            </w:tcBorders>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22,2</w:t>
            </w:r>
          </w:p>
        </w:tc>
        <w:tc>
          <w:tcPr>
            <w:tcW w:w="561" w:type="pct"/>
            <w:tcBorders>
              <w:left w:val="single" w:sz="4" w:space="0" w:color="auto"/>
              <w:right w:val="single" w:sz="8" w:space="0" w:color="auto"/>
            </w:tcBorders>
            <w:shd w:val="clear" w:color="auto" w:fill="auto"/>
            <w:vAlign w:val="center"/>
          </w:tcPr>
          <w:p>
            <w:pPr>
              <w:spacing w:after="0" w:line="240" w:lineRule="auto"/>
              <w:ind w:right="600"/>
              <w:jc w:val="right"/>
              <w:rPr>
                <w:rFonts w:ascii="Arial" w:eastAsia="Times New Roman" w:hAnsi="Arial" w:cs="Arial"/>
                <w:b/>
                <w:bCs/>
                <w:noProof/>
                <w:sz w:val="18"/>
                <w:szCs w:val="18"/>
              </w:rPr>
            </w:pPr>
            <w:r>
              <w:rPr>
                <w:rFonts w:ascii="Arial" w:hAnsi="Arial"/>
                <w:b/>
                <w:noProof/>
                <w:sz w:val="18"/>
              </w:rPr>
              <w:t>42,7</w:t>
            </w:r>
          </w:p>
        </w:tc>
        <w:tc>
          <w:tcPr>
            <w:tcW w:w="559"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0,1</w:t>
            </w:r>
          </w:p>
        </w:tc>
      </w:tr>
      <w:tr>
        <w:tc>
          <w:tcPr>
            <w:tcW w:w="562" w:type="pct"/>
            <w:tcBorders>
              <w:left w:val="single" w:sz="8" w:space="0" w:color="auto"/>
              <w:right w:val="single" w:sz="8" w:space="0" w:color="auto"/>
            </w:tcBorders>
            <w:shd w:val="clear" w:color="auto" w:fill="auto"/>
            <w:tcMar>
              <w:left w:w="57" w:type="dxa"/>
              <w:right w:w="0" w:type="dxa"/>
            </w:tcMar>
            <w:vAlign w:val="center"/>
          </w:tcPr>
          <w:p>
            <w:pPr>
              <w:spacing w:before="20" w:after="20" w:line="210" w:lineRule="exact"/>
              <w:ind w:left="142" w:hanging="142"/>
              <w:rPr>
                <w:rFonts w:ascii="Arial" w:eastAsia="Times New Roman" w:hAnsi="Arial" w:cs="Arial"/>
                <w:b/>
                <w:bCs/>
                <w:noProof/>
                <w:sz w:val="18"/>
                <w:szCs w:val="18"/>
              </w:rPr>
            </w:pPr>
            <w:r>
              <w:rPr>
                <w:rFonts w:ascii="Arial" w:hAnsi="Arial"/>
                <w:b/>
                <w:noProof/>
                <w:sz w:val="18"/>
              </w:rPr>
              <w:t>Švédsko</w:t>
            </w:r>
          </w:p>
        </w:tc>
        <w:tc>
          <w:tcPr>
            <w:tcW w:w="514" w:type="pct"/>
            <w:tcBorders>
              <w:left w:val="single" w:sz="8" w:space="0" w:color="auto"/>
              <w:right w:val="single" w:sz="4" w:space="0" w:color="auto"/>
            </w:tcBorders>
            <w:shd w:val="clear" w:color="auto" w:fill="auto"/>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10,5</w:t>
            </w:r>
          </w:p>
        </w:tc>
        <w:tc>
          <w:tcPr>
            <w:tcW w:w="561" w:type="pct"/>
            <w:tcBorders>
              <w:left w:val="single" w:sz="4" w:space="0" w:color="auto"/>
              <w:right w:val="single" w:sz="4" w:space="0" w:color="auto"/>
            </w:tcBorders>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0,0</w:t>
            </w:r>
          </w:p>
        </w:tc>
        <w:tc>
          <w:tcPr>
            <w:tcW w:w="561" w:type="pct"/>
            <w:tcBorders>
              <w:left w:val="single" w:sz="4" w:space="0" w:color="auto"/>
              <w:right w:val="single" w:sz="8" w:space="0" w:color="auto"/>
            </w:tcBorders>
            <w:shd w:val="clear" w:color="auto" w:fill="auto"/>
            <w:vAlign w:val="center"/>
          </w:tcPr>
          <w:p>
            <w:pPr>
              <w:spacing w:after="0" w:line="240" w:lineRule="auto"/>
              <w:ind w:right="599"/>
              <w:jc w:val="right"/>
              <w:rPr>
                <w:rFonts w:ascii="Arial" w:eastAsia="Times New Roman" w:hAnsi="Arial" w:cs="Arial"/>
                <w:b/>
                <w:bCs/>
                <w:noProof/>
                <w:sz w:val="18"/>
                <w:szCs w:val="18"/>
              </w:rPr>
            </w:pPr>
            <w:r>
              <w:rPr>
                <w:rFonts w:ascii="Arial" w:hAnsi="Arial"/>
                <w:b/>
                <w:noProof/>
                <w:sz w:val="18"/>
              </w:rPr>
              <w:t>10,5</w:t>
            </w:r>
          </w:p>
        </w:tc>
        <w:tc>
          <w:tcPr>
            <w:tcW w:w="561"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0,0</w:t>
            </w:r>
          </w:p>
        </w:tc>
        <w:tc>
          <w:tcPr>
            <w:tcW w:w="561" w:type="pct"/>
            <w:tcBorders>
              <w:left w:val="single" w:sz="8" w:space="0" w:color="auto"/>
              <w:right w:val="single" w:sz="4" w:space="0" w:color="auto"/>
            </w:tcBorders>
            <w:shd w:val="clear" w:color="auto" w:fill="auto"/>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19,4</w:t>
            </w:r>
          </w:p>
        </w:tc>
        <w:tc>
          <w:tcPr>
            <w:tcW w:w="561" w:type="pct"/>
            <w:tcBorders>
              <w:left w:val="single" w:sz="4" w:space="0" w:color="auto"/>
              <w:right w:val="single" w:sz="4" w:space="0" w:color="auto"/>
            </w:tcBorders>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24,4</w:t>
            </w:r>
          </w:p>
        </w:tc>
        <w:tc>
          <w:tcPr>
            <w:tcW w:w="561" w:type="pct"/>
            <w:tcBorders>
              <w:left w:val="single" w:sz="4" w:space="0" w:color="auto"/>
              <w:right w:val="single" w:sz="8" w:space="0" w:color="auto"/>
            </w:tcBorders>
            <w:shd w:val="clear" w:color="auto" w:fill="auto"/>
            <w:vAlign w:val="center"/>
          </w:tcPr>
          <w:p>
            <w:pPr>
              <w:spacing w:after="0" w:line="240" w:lineRule="auto"/>
              <w:ind w:right="600"/>
              <w:jc w:val="right"/>
              <w:rPr>
                <w:rFonts w:ascii="Arial" w:eastAsia="Times New Roman" w:hAnsi="Arial" w:cs="Arial"/>
                <w:b/>
                <w:bCs/>
                <w:noProof/>
                <w:sz w:val="18"/>
                <w:szCs w:val="18"/>
              </w:rPr>
            </w:pPr>
            <w:r>
              <w:rPr>
                <w:rFonts w:ascii="Arial" w:hAnsi="Arial"/>
                <w:b/>
                <w:noProof/>
                <w:sz w:val="18"/>
              </w:rPr>
              <w:t>43,8</w:t>
            </w:r>
          </w:p>
        </w:tc>
        <w:tc>
          <w:tcPr>
            <w:tcW w:w="559" w:type="pct"/>
            <w:tcBorders>
              <w:left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0,7</w:t>
            </w:r>
          </w:p>
        </w:tc>
      </w:tr>
      <w:tr>
        <w:tc>
          <w:tcPr>
            <w:tcW w:w="562" w:type="pct"/>
            <w:tcBorders>
              <w:left w:val="single" w:sz="8" w:space="0" w:color="auto"/>
              <w:bottom w:val="single" w:sz="8" w:space="0" w:color="auto"/>
              <w:right w:val="single" w:sz="8" w:space="0" w:color="auto"/>
            </w:tcBorders>
            <w:shd w:val="clear" w:color="auto" w:fill="auto"/>
            <w:tcMar>
              <w:left w:w="57" w:type="dxa"/>
              <w:right w:w="0" w:type="dxa"/>
            </w:tcMar>
            <w:vAlign w:val="center"/>
          </w:tcPr>
          <w:p>
            <w:pPr>
              <w:spacing w:before="20" w:after="20" w:line="210" w:lineRule="exact"/>
              <w:ind w:left="142" w:hanging="142"/>
              <w:rPr>
                <w:rFonts w:ascii="Arial" w:eastAsia="Times New Roman" w:hAnsi="Arial" w:cs="Arial"/>
                <w:b/>
                <w:bCs/>
                <w:noProof/>
                <w:sz w:val="18"/>
                <w:szCs w:val="18"/>
              </w:rPr>
            </w:pPr>
            <w:r>
              <w:rPr>
                <w:rFonts w:ascii="Arial" w:hAnsi="Arial"/>
                <w:b/>
                <w:noProof/>
                <w:sz w:val="18"/>
              </w:rPr>
              <w:t>Spojené království</w:t>
            </w:r>
          </w:p>
        </w:tc>
        <w:tc>
          <w:tcPr>
            <w:tcW w:w="514" w:type="pct"/>
            <w:tcBorders>
              <w:left w:val="single" w:sz="8" w:space="0" w:color="auto"/>
              <w:bottom w:val="single" w:sz="8" w:space="0" w:color="auto"/>
              <w:right w:val="single" w:sz="4" w:space="0" w:color="auto"/>
            </w:tcBorders>
            <w:shd w:val="clear" w:color="auto" w:fill="auto"/>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8,3</w:t>
            </w:r>
          </w:p>
        </w:tc>
        <w:tc>
          <w:tcPr>
            <w:tcW w:w="561" w:type="pct"/>
            <w:tcBorders>
              <w:left w:val="single" w:sz="4" w:space="0" w:color="auto"/>
              <w:bottom w:val="single" w:sz="8" w:space="0" w:color="auto"/>
              <w:right w:val="single" w:sz="4" w:space="0" w:color="auto"/>
            </w:tcBorders>
            <w:vAlign w:val="center"/>
          </w:tcPr>
          <w:p>
            <w:pPr>
              <w:spacing w:after="0" w:line="240" w:lineRule="auto"/>
              <w:ind w:right="599"/>
              <w:jc w:val="right"/>
              <w:rPr>
                <w:rFonts w:ascii="Arial" w:eastAsia="Times New Roman" w:hAnsi="Arial" w:cs="Arial"/>
                <w:i/>
                <w:iCs/>
                <w:noProof/>
                <w:sz w:val="18"/>
                <w:szCs w:val="18"/>
              </w:rPr>
            </w:pPr>
            <w:r>
              <w:rPr>
                <w:rFonts w:ascii="Arial" w:hAnsi="Arial"/>
                <w:i/>
                <w:noProof/>
                <w:sz w:val="18"/>
              </w:rPr>
              <w:t>0,1</w:t>
            </w:r>
          </w:p>
        </w:tc>
        <w:tc>
          <w:tcPr>
            <w:tcW w:w="561" w:type="pct"/>
            <w:tcBorders>
              <w:left w:val="single" w:sz="4" w:space="0" w:color="auto"/>
              <w:bottom w:val="single" w:sz="8" w:space="0" w:color="auto"/>
              <w:right w:val="single" w:sz="8" w:space="0" w:color="auto"/>
            </w:tcBorders>
            <w:shd w:val="clear" w:color="auto" w:fill="auto"/>
            <w:vAlign w:val="center"/>
          </w:tcPr>
          <w:p>
            <w:pPr>
              <w:spacing w:after="0" w:line="240" w:lineRule="auto"/>
              <w:ind w:right="599"/>
              <w:jc w:val="right"/>
              <w:rPr>
                <w:rFonts w:ascii="Arial" w:eastAsia="Times New Roman" w:hAnsi="Arial" w:cs="Arial"/>
                <w:b/>
                <w:bCs/>
                <w:noProof/>
                <w:sz w:val="18"/>
                <w:szCs w:val="18"/>
              </w:rPr>
            </w:pPr>
            <w:r>
              <w:rPr>
                <w:rFonts w:ascii="Arial" w:hAnsi="Arial"/>
                <w:b/>
                <w:noProof/>
                <w:sz w:val="18"/>
              </w:rPr>
              <w:t>8,3</w:t>
            </w:r>
          </w:p>
        </w:tc>
        <w:tc>
          <w:tcPr>
            <w:tcW w:w="561" w:type="pct"/>
            <w:tcBorders>
              <w:left w:val="single" w:sz="8" w:space="0" w:color="auto"/>
              <w:bottom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1,5</w:t>
            </w:r>
          </w:p>
        </w:tc>
        <w:tc>
          <w:tcPr>
            <w:tcW w:w="561" w:type="pct"/>
            <w:tcBorders>
              <w:left w:val="single" w:sz="8" w:space="0" w:color="auto"/>
              <w:bottom w:val="single" w:sz="8" w:space="0" w:color="auto"/>
              <w:right w:val="single" w:sz="4" w:space="0" w:color="auto"/>
            </w:tcBorders>
            <w:shd w:val="clear" w:color="auto" w:fill="auto"/>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37,6</w:t>
            </w:r>
          </w:p>
        </w:tc>
        <w:tc>
          <w:tcPr>
            <w:tcW w:w="561" w:type="pct"/>
            <w:tcBorders>
              <w:left w:val="single" w:sz="4" w:space="0" w:color="auto"/>
              <w:bottom w:val="single" w:sz="8" w:space="0" w:color="auto"/>
              <w:right w:val="single" w:sz="4" w:space="0" w:color="auto"/>
            </w:tcBorders>
            <w:vAlign w:val="center"/>
          </w:tcPr>
          <w:p>
            <w:pPr>
              <w:spacing w:after="0" w:line="240" w:lineRule="auto"/>
              <w:ind w:right="600"/>
              <w:jc w:val="right"/>
              <w:rPr>
                <w:rFonts w:ascii="Arial" w:eastAsia="Times New Roman" w:hAnsi="Arial" w:cs="Arial"/>
                <w:i/>
                <w:iCs/>
                <w:noProof/>
                <w:sz w:val="18"/>
                <w:szCs w:val="18"/>
              </w:rPr>
            </w:pPr>
            <w:r>
              <w:rPr>
                <w:rFonts w:ascii="Arial" w:hAnsi="Arial"/>
                <w:i/>
                <w:noProof/>
                <w:sz w:val="18"/>
              </w:rPr>
              <w:t>5,4</w:t>
            </w:r>
          </w:p>
        </w:tc>
        <w:tc>
          <w:tcPr>
            <w:tcW w:w="561" w:type="pct"/>
            <w:tcBorders>
              <w:left w:val="single" w:sz="4" w:space="0" w:color="auto"/>
              <w:bottom w:val="single" w:sz="8" w:space="0" w:color="auto"/>
              <w:right w:val="single" w:sz="8" w:space="0" w:color="auto"/>
            </w:tcBorders>
            <w:shd w:val="clear" w:color="auto" w:fill="auto"/>
            <w:vAlign w:val="center"/>
          </w:tcPr>
          <w:p>
            <w:pPr>
              <w:spacing w:after="0" w:line="240" w:lineRule="auto"/>
              <w:ind w:right="600"/>
              <w:jc w:val="right"/>
              <w:rPr>
                <w:rFonts w:ascii="Arial" w:eastAsia="Times New Roman" w:hAnsi="Arial" w:cs="Arial"/>
                <w:b/>
                <w:bCs/>
                <w:noProof/>
                <w:sz w:val="18"/>
                <w:szCs w:val="18"/>
              </w:rPr>
            </w:pPr>
            <w:r>
              <w:rPr>
                <w:rFonts w:ascii="Arial" w:hAnsi="Arial"/>
                <w:b/>
                <w:noProof/>
                <w:sz w:val="18"/>
              </w:rPr>
              <w:t>42,9</w:t>
            </w:r>
          </w:p>
        </w:tc>
        <w:tc>
          <w:tcPr>
            <w:tcW w:w="559" w:type="pct"/>
            <w:tcBorders>
              <w:left w:val="single" w:sz="8" w:space="0" w:color="auto"/>
              <w:bottom w:val="single" w:sz="8" w:space="0" w:color="auto"/>
              <w:right w:val="single" w:sz="8" w:space="0" w:color="auto"/>
            </w:tcBorders>
            <w:shd w:val="clear" w:color="auto" w:fill="auto"/>
            <w:vAlign w:val="center"/>
          </w:tcPr>
          <w:p>
            <w:pPr>
              <w:spacing w:after="0" w:line="240" w:lineRule="auto"/>
              <w:jc w:val="center"/>
              <w:rPr>
                <w:rFonts w:ascii="Arial" w:eastAsia="Times New Roman" w:hAnsi="Arial" w:cs="Arial"/>
                <w:b/>
                <w:bCs/>
                <w:noProof/>
                <w:sz w:val="18"/>
                <w:szCs w:val="18"/>
              </w:rPr>
            </w:pPr>
            <w:r>
              <w:rPr>
                <w:rFonts w:ascii="Arial" w:hAnsi="Arial"/>
                <w:b/>
                <w:noProof/>
                <w:sz w:val="18"/>
              </w:rPr>
              <w:t>0,0</w:t>
            </w:r>
          </w:p>
        </w:tc>
      </w:tr>
    </w:tbl>
    <w:p>
      <w:pPr>
        <w:tabs>
          <w:tab w:val="left" w:pos="284"/>
          <w:tab w:val="left" w:pos="2268"/>
        </w:tabs>
        <w:spacing w:before="60" w:after="0" w:line="240" w:lineRule="auto"/>
        <w:jc w:val="both"/>
        <w:rPr>
          <w:noProof/>
        </w:rPr>
      </w:pPr>
      <w:r>
        <w:rPr>
          <w:rFonts w:ascii="Arial" w:hAnsi="Arial"/>
          <w:noProof/>
          <w:sz w:val="16"/>
        </w:rPr>
        <w:t>„:“ údaj není k dispozici,  „-“ nepoužije se</w:t>
      </w:r>
    </w:p>
    <w:sectPr>
      <w:headerReference w:type="even" r:id="rId22"/>
      <w:headerReference w:type="default" r:id="rId23"/>
      <w:footerReference w:type="even" r:id="rId24"/>
      <w:footerReference w:type="default" r:id="rId25"/>
      <w:headerReference w:type="first" r:id="rId26"/>
      <w:footerReference w:type="first" r:id="rId2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nion Pro">
    <w:altName w:val="Minion Pro"/>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CS</w:t>
    </w:r>
    <w:r>
      <w:rPr>
        <w:rFonts w:ascii="Arial" w:hAnsi="Arial" w:cs="Arial"/>
        <w:b/>
        <w:sz w:val="48"/>
      </w:rPr>
      <w:tab/>
    </w:r>
    <w:r>
      <w:rPr>
        <w:rFonts w:ascii="Arial" w:hAnsi="Arial" w:cs="Arial"/>
        <w:b/>
        <w:sz w:val="48"/>
      </w:rPr>
      <w:tab/>
    </w:r>
    <w:r>
      <w:tab/>
    </w:r>
    <w:r>
      <w:rPr>
        <w:rFonts w:ascii="Arial" w:hAnsi="Arial" w:cs="Arial"/>
        <w:b/>
        <w:sz w:val="48"/>
      </w:rPr>
      <w:t>CS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1</w:t>
    </w:r>
    <w:r>
      <w:rPr>
        <w:noProof/>
      </w:rPr>
      <w:fldChar w:fldCharType="end"/>
    </w:r>
  </w:p>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pPr>
      <w:r>
        <w:rPr>
          <w:rStyle w:val="FootnoteReference"/>
        </w:rPr>
        <w:footnoteRef/>
      </w:r>
      <w:r>
        <w:t xml:space="preserve"> </w:t>
      </w:r>
      <w:r>
        <w:rPr>
          <w:rFonts w:ascii="Times New Roman" w:hAnsi="Times New Roman"/>
          <w:sz w:val="18"/>
        </w:rPr>
        <w:t>Nařízení Evropského parlamentu a Rady (EU) č. 549/2013 ze dne 21. května 2013 o Evropském systému národních a regionálních účtů v Evropské unii (Úř. věst. L 174, 26.6.2013, s. 1).</w:t>
      </w:r>
    </w:p>
  </w:footnote>
  <w:footnote w:id="2">
    <w:p>
      <w:pPr>
        <w:pStyle w:val="FootnoteText"/>
      </w:pPr>
      <w:r>
        <w:rPr>
          <w:rStyle w:val="FootnoteReference"/>
        </w:rPr>
        <w:footnoteRef/>
      </w:r>
      <w:r>
        <w:t xml:space="preserve"> </w:t>
      </w:r>
      <w:hyperlink r:id="rId1">
        <w:r>
          <w:rPr>
            <w:rStyle w:val="Hyperlink"/>
            <w:rFonts w:ascii="Times New Roman" w:hAnsi="Times New Roman"/>
            <w:sz w:val="18"/>
          </w:rPr>
          <w:t>http://eur-lex.europa.eu/legal-content/CS/TXT/?qid=1435910317596&amp;uri=CELEX:52015DC0314</w:t>
        </w:r>
      </w:hyperlink>
    </w:p>
  </w:footnote>
  <w:footnote w:id="3">
    <w:p>
      <w:pPr>
        <w:pStyle w:val="FootnoteText"/>
      </w:pPr>
      <w:r>
        <w:rPr>
          <w:rStyle w:val="FootnoteReference"/>
        </w:rPr>
        <w:footnoteRef/>
      </w:r>
      <w:r>
        <w:t xml:space="preserve"> </w:t>
      </w:r>
      <w:r>
        <w:rPr>
          <w:rFonts w:ascii="Times New Roman" w:hAnsi="Times New Roman"/>
          <w:sz w:val="18"/>
        </w:rPr>
        <w:t>Nařízení Rady (ES) č. 479/2009 ze dne 25. května 2009 o použití Protokolu o postupu při nadměrném schodku, připojeného ke Smlouvě o založení Evropského společenství (Úř. věst. L 145, 10.6.2009, s. 1).</w:t>
      </w:r>
    </w:p>
  </w:footnote>
  <w:footnote w:id="4">
    <w:p>
      <w:pPr>
        <w:pStyle w:val="FootnoteText"/>
        <w:rPr>
          <w:rFonts w:ascii="Times New Roman" w:eastAsia="Times New Roman" w:hAnsi="Times New Roman"/>
          <w:lang w:eastAsia="en-GB"/>
        </w:rPr>
      </w:pPr>
      <w:r>
        <w:rPr>
          <w:rStyle w:val="FootnoteReference"/>
        </w:rPr>
        <w:footnoteRef/>
      </w:r>
      <w:r>
        <w:t xml:space="preserve"> </w:t>
      </w:r>
      <w:r>
        <w:rPr>
          <w:rFonts w:ascii="Times New Roman" w:hAnsi="Times New Roman"/>
          <w:sz w:val="18"/>
        </w:rPr>
        <w:t>Směrnice Rady 2011/85/EU ze dne 8. listopadu 2011 o požadavcích na rozpočtové rámce členských států (Úř. věst. L 306, 23.11.2011, s. 41).</w:t>
      </w:r>
    </w:p>
    <w:p>
      <w:pPr>
        <w:pStyle w:val="FootnoteText"/>
        <w:rPr>
          <w:rFonts w:ascii="Times New Roman" w:eastAsia="Times New Roman" w:hAnsi="Times New Roman"/>
          <w:lang w:eastAsia="en-GB"/>
        </w:rPr>
      </w:pPr>
    </w:p>
  </w:footnote>
  <w:footnote w:id="5">
    <w:p>
      <w:pPr>
        <w:pStyle w:val="FootnoteText"/>
        <w:spacing w:after="0" w:line="240" w:lineRule="auto"/>
        <w:rPr>
          <w:rFonts w:ascii="Times New Roman" w:hAnsi="Times New Roman"/>
          <w:sz w:val="18"/>
          <w:szCs w:val="18"/>
        </w:rPr>
      </w:pPr>
      <w:r>
        <w:rPr>
          <w:rStyle w:val="FootnoteReference"/>
          <w:rFonts w:ascii="Times New Roman" w:hAnsi="Times New Roman"/>
          <w:sz w:val="18"/>
        </w:rPr>
        <w:footnoteRef/>
      </w:r>
      <w:r>
        <w:rPr>
          <w:rFonts w:ascii="Times New Roman" w:hAnsi="Times New Roman"/>
          <w:sz w:val="18"/>
        </w:rPr>
        <w:t xml:space="preserve"> Tři schůze pracovní skupiny se konaly v roce 2012, konkrétně 29. června, 5. září a 6. listopadu.</w:t>
      </w:r>
    </w:p>
  </w:footnote>
  <w:footnote w:id="6">
    <w:p>
      <w:pPr>
        <w:pStyle w:val="FootnoteText"/>
        <w:spacing w:after="0" w:line="240" w:lineRule="auto"/>
        <w:rPr>
          <w:rFonts w:ascii="Times New Roman" w:hAnsi="Times New Roman"/>
          <w:sz w:val="18"/>
          <w:szCs w:val="18"/>
        </w:rPr>
      </w:pPr>
      <w:r>
        <w:rPr>
          <w:rStyle w:val="FootnoteReference"/>
          <w:rFonts w:ascii="Times New Roman" w:hAnsi="Times New Roman"/>
          <w:sz w:val="18"/>
        </w:rPr>
        <w:footnoteRef/>
      </w:r>
      <w:r>
        <w:rPr>
          <w:rFonts w:ascii="Times New Roman" w:hAnsi="Times New Roman"/>
          <w:sz w:val="18"/>
        </w:rPr>
        <w:t xml:space="preserve"> </w:t>
      </w:r>
      <w:hyperlink r:id="rId2">
        <w:r>
          <w:rPr>
            <w:rStyle w:val="Hyperlink"/>
            <w:rFonts w:ascii="Times New Roman" w:hAnsi="Times New Roman"/>
            <w:sz w:val="18"/>
          </w:rPr>
          <w:t>http://ec.europa.eu/eurostat/documents/1015035/2041337/ESTAT-decision-Suppl-on-conting-liab-EDP-Q.pdf/0b35165a-ee53-470a-a15a-7beaa98aac8b</w:t>
        </w:r>
      </w:hyperlink>
    </w:p>
  </w:footnote>
  <w:footnote w:id="7">
    <w:p>
      <w:pPr>
        <w:pStyle w:val="FootnoteText"/>
        <w:spacing w:after="0" w:line="240" w:lineRule="auto"/>
        <w:rPr>
          <w:rFonts w:ascii="Times New Roman" w:hAnsi="Times New Roman"/>
          <w:sz w:val="18"/>
          <w:szCs w:val="18"/>
        </w:rPr>
      </w:pPr>
      <w:r>
        <w:rPr>
          <w:rStyle w:val="FootnoteReference"/>
          <w:rFonts w:ascii="Times New Roman" w:hAnsi="Times New Roman"/>
          <w:sz w:val="18"/>
        </w:rPr>
        <w:footnoteRef/>
      </w:r>
      <w:r>
        <w:rPr>
          <w:rFonts w:ascii="Times New Roman" w:hAnsi="Times New Roman"/>
          <w:sz w:val="18"/>
        </w:rPr>
        <w:t xml:space="preserve"> K dotazníku vyjádřil kladné stanovisko Výbor pro měnovou a finanční statistiku a statistiku platební bilance v roce 2011. Údaje se shromažďují každoročně a poprvé byly předány v prosinci 2012.</w:t>
      </w:r>
    </w:p>
  </w:footnote>
  <w:footnote w:id="8">
    <w:p>
      <w:pPr>
        <w:pStyle w:val="FootnoteText"/>
        <w:rPr>
          <w:rFonts w:ascii="Times New Roman" w:hAnsi="Times New Roman"/>
          <w:sz w:val="18"/>
          <w:szCs w:val="18"/>
        </w:rPr>
      </w:pPr>
      <w:r>
        <w:rPr>
          <w:rStyle w:val="FootnoteReference"/>
          <w:rFonts w:ascii="Times New Roman" w:hAnsi="Times New Roman"/>
          <w:sz w:val="18"/>
        </w:rPr>
        <w:footnoteRef/>
      </w:r>
      <w:r>
        <w:rPr>
          <w:rFonts w:ascii="Times New Roman" w:hAnsi="Times New Roman"/>
          <w:sz w:val="18"/>
        </w:rPr>
        <w:t xml:space="preserve"> Partnerství veřejného a soukromého sektoru podle definice uvedené v odstavci 20.276 přílohy A nařízení ESA 2010, dále upřesněné v</w:t>
      </w:r>
      <w:r>
        <w:t xml:space="preserve"> </w:t>
      </w:r>
      <w:hyperlink r:id="rId3">
        <w:r>
          <w:rPr>
            <w:rStyle w:val="Hyperlink"/>
            <w:rFonts w:ascii="Times New Roman" w:hAnsi="Times New Roman"/>
            <w:sz w:val="18"/>
          </w:rPr>
          <w:t>příručce Eurostatu o schodku a dluhu vládních institucí</w:t>
        </w:r>
      </w:hyperlink>
      <w:r>
        <w:rPr>
          <w:rFonts w:ascii="Times New Roman" w:hAnsi="Times New Roman"/>
          <w:sz w:val="18"/>
        </w:rPr>
        <w:t>, část VI.4.</w:t>
      </w:r>
    </w:p>
  </w:footnote>
  <w:footnote w:id="9">
    <w:p>
      <w:pPr>
        <w:pStyle w:val="FootnoteText"/>
        <w:spacing w:after="0" w:line="240" w:lineRule="auto"/>
        <w:rPr>
          <w:rFonts w:ascii="Times New Roman" w:hAnsi="Times New Roman"/>
          <w:sz w:val="18"/>
          <w:szCs w:val="18"/>
        </w:rPr>
      </w:pPr>
      <w:r>
        <w:rPr>
          <w:rStyle w:val="FootnoteReference"/>
          <w:rFonts w:ascii="Times New Roman" w:hAnsi="Times New Roman"/>
          <w:sz w:val="18"/>
        </w:rPr>
        <w:footnoteRef/>
      </w:r>
      <w:r>
        <w:rPr>
          <w:rFonts w:ascii="Times New Roman" w:hAnsi="Times New Roman"/>
          <w:sz w:val="18"/>
        </w:rPr>
        <w:t xml:space="preserve"> Při určování úrovně kontroly je třeba zvážit soubor znaků (podrobnosti o každém kritériu jsou vymezeny v odstavci 20.309 přílohy A ESA 2010).</w:t>
      </w:r>
    </w:p>
  </w:footnote>
  <w:footnote w:id="10">
    <w:p>
      <w:pPr>
        <w:pStyle w:val="FootnoteText"/>
        <w:spacing w:after="0" w:line="240" w:lineRule="auto"/>
        <w:rPr>
          <w:rFonts w:ascii="Times New Roman" w:hAnsi="Times New Roman"/>
          <w:sz w:val="18"/>
          <w:szCs w:val="18"/>
        </w:rPr>
      </w:pPr>
      <w:r>
        <w:rPr>
          <w:rStyle w:val="FootnoteReference"/>
          <w:rFonts w:ascii="Times New Roman" w:hAnsi="Times New Roman"/>
          <w:sz w:val="18"/>
        </w:rPr>
        <w:footnoteRef/>
      </w:r>
      <w:r>
        <w:rPr>
          <w:rFonts w:ascii="Times New Roman" w:hAnsi="Times New Roman"/>
          <w:sz w:val="18"/>
        </w:rPr>
        <w:t xml:space="preserve"> Závazky jednotek, které se zabývají finanční činností, zahrnují tyto kategorie NACE: 64) Finanční činnosti, kromě centrální banky, 65) Pojišťovnictví, 66) Pomocné činnosti související s peněžnictvím.</w:t>
      </w:r>
    </w:p>
  </w:footnote>
  <w:footnote w:id="11">
    <w:p>
      <w:pPr>
        <w:pStyle w:val="FootnoteText"/>
        <w:spacing w:after="0" w:line="240" w:lineRule="auto"/>
        <w:rPr>
          <w:rFonts w:ascii="Times New Roman" w:hAnsi="Times New Roman"/>
          <w:sz w:val="18"/>
          <w:szCs w:val="18"/>
        </w:rPr>
      </w:pPr>
      <w:r>
        <w:rPr>
          <w:rStyle w:val="FootnoteReference"/>
          <w:rFonts w:ascii="Times New Roman" w:hAnsi="Times New Roman"/>
          <w:sz w:val="18"/>
        </w:rPr>
        <w:footnoteRef/>
      </w:r>
      <w:r>
        <w:rPr>
          <w:rFonts w:ascii="Times New Roman" w:hAnsi="Times New Roman"/>
          <w:sz w:val="18"/>
        </w:rPr>
        <w:t xml:space="preserve"> </w:t>
      </w:r>
      <w:hyperlink r:id="rId4">
        <w:r>
          <w:rPr>
            <w:rStyle w:val="Hyperlink"/>
            <w:rFonts w:ascii="Times New Roman" w:hAnsi="Times New Roman"/>
            <w:sz w:val="18"/>
          </w:rPr>
          <w:t>http://ec.europa.eu/eurostat/web/government-finance-statistics/data/database</w:t>
        </w:r>
      </w:hyperlink>
    </w:p>
  </w:footnote>
  <w:footnote w:id="12">
    <w:p>
      <w:pPr>
        <w:tabs>
          <w:tab w:val="left" w:pos="284"/>
        </w:tabs>
        <w:spacing w:after="0" w:line="240" w:lineRule="auto"/>
        <w:rPr>
          <w:rFonts w:ascii="Times New Roman" w:eastAsia="Times New Roman" w:hAnsi="Times New Roman"/>
          <w:bCs/>
          <w:sz w:val="18"/>
          <w:szCs w:val="18"/>
          <w:lang w:eastAsia="en-GB"/>
        </w:rPr>
      </w:pPr>
      <w:r>
        <w:rPr>
          <w:rStyle w:val="FootnoteReference"/>
          <w:rFonts w:ascii="Times New Roman" w:hAnsi="Times New Roman"/>
          <w:sz w:val="18"/>
        </w:rPr>
        <w:footnoteRef/>
      </w:r>
      <w:r>
        <w:rPr>
          <w:rFonts w:ascii="Times New Roman" w:hAnsi="Times New Roman"/>
          <w:sz w:val="18"/>
        </w:rPr>
        <w:t xml:space="preserve"> Pro výpočet ukazatelů byly použity číselné údaje o HDP poskytnuté v oznámení v rámci postupu při nadměrném schodku z října 2017.</w:t>
      </w:r>
    </w:p>
  </w:footnote>
  <w:footnote w:id="13">
    <w:p>
      <w:pPr>
        <w:pStyle w:val="PlainText"/>
        <w:rPr>
          <w:rFonts w:ascii="Times New Roman" w:eastAsia="Times New Roman" w:hAnsi="Times New Roman"/>
          <w:sz w:val="18"/>
          <w:szCs w:val="18"/>
          <w:lang w:eastAsia="en-GB"/>
        </w:rPr>
      </w:pPr>
      <w:r>
        <w:rPr>
          <w:rStyle w:val="FootnoteReference"/>
          <w:rFonts w:ascii="Times New Roman" w:hAnsi="Times New Roman"/>
          <w:sz w:val="18"/>
        </w:rPr>
        <w:footnoteRef/>
      </w:r>
      <w:r>
        <w:rPr>
          <w:rFonts w:ascii="Times New Roman" w:hAnsi="Times New Roman"/>
          <w:sz w:val="18"/>
        </w:rPr>
        <w:t xml:space="preserve"> </w:t>
      </w:r>
      <w:hyperlink r:id="rId5">
        <w:r>
          <w:rPr>
            <w:rStyle w:val="Hyperlink"/>
            <w:rFonts w:ascii="Times New Roman" w:hAnsi="Times New Roman"/>
            <w:sz w:val="18"/>
          </w:rPr>
          <w:t>http://ec.europa.eu/eurostat/cache/metadata/en/gov_cl_esms.htm</w:t>
        </w:r>
      </w:hyperlink>
      <w:r>
        <w:rPr>
          <w:rFonts w:ascii="Times New Roman" w:hAnsi="Times New Roman"/>
          <w:sz w:val="18"/>
        </w:rPr>
        <w:t xml:space="preserve"> a </w:t>
      </w:r>
      <w:r>
        <w:t xml:space="preserve"> </w:t>
      </w:r>
      <w:hyperlink r:id="rId6">
        <w:r>
          <w:rPr>
            <w:rStyle w:val="Hyperlink"/>
            <w:rFonts w:ascii="Times New Roman" w:hAnsi="Times New Roman"/>
            <w:sz w:val="18"/>
          </w:rPr>
          <w:t>https://ec.europa.eu/eurostat/documents/1015035/6611302/Contingent-Liabilities-Footnotes.pdf</w:t>
        </w:r>
      </w:hyperlink>
    </w:p>
    <w:p>
      <w:pPr>
        <w:pStyle w:val="PlainText"/>
        <w:rPr>
          <w:rFonts w:ascii="Times New Roman" w:hAnsi="Times New Roman"/>
          <w:sz w:val="18"/>
          <w:szCs w:val="18"/>
        </w:rPr>
      </w:pPr>
    </w:p>
  </w:footnote>
  <w:footnote w:id="14">
    <w:p>
      <w:pPr>
        <w:spacing w:after="0" w:line="240" w:lineRule="auto"/>
        <w:rPr>
          <w:rFonts w:ascii="Times New Roman" w:eastAsia="Times New Roman" w:hAnsi="Times New Roman"/>
          <w:sz w:val="18"/>
          <w:szCs w:val="18"/>
          <w:lang w:eastAsia="en-GB"/>
        </w:rPr>
      </w:pPr>
      <w:r>
        <w:rPr>
          <w:rStyle w:val="FootnoteReference"/>
          <w:rFonts w:ascii="Times New Roman" w:hAnsi="Times New Roman"/>
          <w:sz w:val="18"/>
        </w:rPr>
        <w:footnoteRef/>
      </w:r>
      <w:r>
        <w:rPr>
          <w:rFonts w:ascii="Times New Roman" w:hAnsi="Times New Roman"/>
          <w:sz w:val="18"/>
        </w:rPr>
        <w:t xml:space="preserve"> </w:t>
      </w:r>
      <w:r>
        <w:t xml:space="preserve"> </w:t>
      </w:r>
      <w:hyperlink r:id="rId7">
        <w:r>
          <w:rPr>
            <w:rStyle w:val="Hyperlink"/>
            <w:rFonts w:ascii="Times New Roman" w:hAnsi="Times New Roman"/>
            <w:sz w:val="18"/>
          </w:rPr>
          <w:t>https://ec.europa.eu/eurostat/documents/2995521/8624398/2-29012018-AP-EN.pdf/ee504046-6ccc-4b79-8dfb-7a5e1d38328f</w:t>
        </w:r>
      </w:hyperlink>
    </w:p>
    <w:p>
      <w:pPr>
        <w:spacing w:after="0" w:line="240" w:lineRule="auto"/>
        <w:rPr>
          <w:rFonts w:ascii="Times New Roman" w:eastAsia="Times New Roman" w:hAnsi="Times New Roman"/>
          <w:sz w:val="18"/>
          <w:szCs w:val="18"/>
          <w:lang w:eastAsia="en-GB"/>
        </w:rPr>
      </w:pPr>
    </w:p>
    <w:p>
      <w:pPr>
        <w:pStyle w:val="FootnoteText"/>
        <w:spacing w:after="0" w:line="240" w:lineRule="auto"/>
        <w:rPr>
          <w:rFonts w:ascii="Times New Roman" w:hAnsi="Times New Roman"/>
          <w:sz w:val="18"/>
          <w:szCs w:val="18"/>
        </w:rPr>
      </w:pPr>
    </w:p>
  </w:footnote>
  <w:footnote w:id="15">
    <w:p>
      <w:pPr>
        <w:pStyle w:val="FootnoteText"/>
        <w:spacing w:after="0" w:line="240" w:lineRule="auto"/>
        <w:rPr>
          <w:rFonts w:ascii="Times New Roman" w:hAnsi="Times New Roman"/>
          <w:sz w:val="18"/>
          <w:szCs w:val="18"/>
        </w:rPr>
      </w:pPr>
      <w:r>
        <w:rPr>
          <w:rStyle w:val="FootnoteReference"/>
          <w:rFonts w:ascii="Times New Roman" w:hAnsi="Times New Roman"/>
          <w:sz w:val="18"/>
        </w:rPr>
        <w:footnoteRef/>
      </w:r>
      <w:r>
        <w:rPr>
          <w:rFonts w:ascii="Times New Roman" w:hAnsi="Times New Roman"/>
          <w:sz w:val="18"/>
        </w:rPr>
        <w:t xml:space="preserve">  </w:t>
      </w:r>
      <w:hyperlink r:id="rId8">
        <w:r>
          <w:rPr>
            <w:rStyle w:val="Hyperlink"/>
            <w:rFonts w:ascii="Times New Roman" w:hAnsi="Times New Roman"/>
            <w:sz w:val="18"/>
          </w:rPr>
          <w:t>http://ec.europa.eu/eurostat/web/government-finance-statistics/excessive-deficit-procedure/edp-notification-tables</w:t>
        </w:r>
      </w:hyperlink>
      <w:r>
        <w:rPr>
          <w:rFonts w:ascii="Times New Roman" w:hAnsi="Times New Roman"/>
          <w:sz w:val="18"/>
        </w:rPr>
        <w:t xml:space="preserve"> </w:t>
      </w:r>
    </w:p>
  </w:footnote>
  <w:footnote w:id="16">
    <w:p>
      <w:pPr>
        <w:pStyle w:val="FootnoteText"/>
        <w:spacing w:after="0" w:line="240" w:lineRule="auto"/>
        <w:rPr>
          <w:rFonts w:ascii="Times New Roman" w:hAnsi="Times New Roman"/>
          <w:sz w:val="18"/>
          <w:szCs w:val="18"/>
        </w:rPr>
      </w:pPr>
      <w:r>
        <w:rPr>
          <w:rStyle w:val="FootnoteReference"/>
          <w:rFonts w:ascii="Times New Roman" w:hAnsi="Times New Roman"/>
          <w:sz w:val="18"/>
        </w:rPr>
        <w:footnoteRef/>
      </w:r>
      <w:r>
        <w:rPr>
          <w:rFonts w:ascii="Times New Roman" w:hAnsi="Times New Roman"/>
          <w:sz w:val="18"/>
        </w:rPr>
        <w:t xml:space="preserve"> Údaje se pomocí „doplňkové tabulky“ shromažďují podle rozhodnutí Eurostatu ze dne 15. července 2009 o statistické evidenci veřejných intervencí na podporu finančních institucí a finančních trhů během finanční krize. Další informace viz „Eurostat supplementary table for reporting government interventions to support financial institutions : Background note (April 2018)“ (Doplňková tabulka Eurostatu pro vykazování vládních intervencí na podporu finančních institucí: Základní informace (duben 2018))</w:t>
      </w:r>
      <w:r>
        <w:rPr>
          <w:rStyle w:val="Hyperlink"/>
        </w:rPr>
        <w:t xml:space="preserve"> </w:t>
      </w:r>
      <w:r>
        <w:rPr>
          <w:rStyle w:val="Hyperlink"/>
          <w:rFonts w:ascii="Times New Roman" w:hAnsi="Times New Roman"/>
          <w:sz w:val="18"/>
        </w:rPr>
        <w:t>https://ec.europa.eu/eurostat/documents/1015035/8441002/Background-note-on-gov-interventions-Apr-2018.pdf/54c5e531-688b-427b-80a1-46e471f3a54b</w:t>
      </w:r>
    </w:p>
    <w:p>
      <w:pPr>
        <w:pStyle w:val="FootnoteText"/>
        <w:spacing w:after="0" w:line="240" w:lineRule="auto"/>
        <w:rPr>
          <w:rFonts w:ascii="Times New Roman" w:hAnsi="Times New Roman"/>
          <w:sz w:val="18"/>
          <w:szCs w:val="18"/>
        </w:rPr>
      </w:pPr>
    </w:p>
    <w:p>
      <w:pPr>
        <w:pStyle w:val="FootnoteText"/>
        <w:tabs>
          <w:tab w:val="left" w:pos="1710"/>
        </w:tabs>
        <w:spacing w:after="0" w:line="240" w:lineRule="auto"/>
        <w:rPr>
          <w:rFonts w:ascii="Times New Roman" w:hAnsi="Times New Roman"/>
          <w:sz w:val="18"/>
          <w:szCs w:val="18"/>
        </w:rPr>
      </w:pPr>
    </w:p>
  </w:footnote>
  <w:footnote w:id="17">
    <w:p>
      <w:pPr>
        <w:spacing w:after="0" w:line="240" w:lineRule="auto"/>
        <w:rPr>
          <w:rFonts w:ascii="Times New Roman" w:hAnsi="Times New Roman"/>
          <w:sz w:val="18"/>
          <w:szCs w:val="18"/>
        </w:rPr>
      </w:pPr>
      <w:r>
        <w:rPr>
          <w:rStyle w:val="FootnoteReference"/>
          <w:rFonts w:ascii="Times New Roman" w:hAnsi="Times New Roman"/>
          <w:sz w:val="18"/>
        </w:rPr>
        <w:footnoteRef/>
      </w:r>
      <w:hyperlink r:id="rId9">
        <w:r>
          <w:rPr>
            <w:rStyle w:val="Hyperlink"/>
            <w:rFonts w:ascii="Times New Roman" w:hAnsi="Times New Roman"/>
            <w:sz w:val="18"/>
          </w:rPr>
          <w:t>http://ec.europa.eu/eurostat/web/government-finance-statistics/excessive-deficit/supplemtary-tables-financial-crisis</w:t>
        </w:r>
      </w:hyperlink>
      <w:r>
        <w:rPr>
          <w:rFonts w:ascii="Times New Roman" w:hAnsi="Times New Roman"/>
          <w:sz w:val="18"/>
        </w:rPr>
        <w:t xml:space="preserve"> </w:t>
      </w:r>
    </w:p>
  </w:footnote>
  <w:footnote w:id="18">
    <w:p>
      <w:pPr>
        <w:pStyle w:val="FootnoteText"/>
        <w:spacing w:after="0" w:line="240" w:lineRule="auto"/>
        <w:rPr>
          <w:rFonts w:ascii="Times New Roman" w:hAnsi="Times New Roman"/>
          <w:sz w:val="18"/>
          <w:szCs w:val="18"/>
        </w:rPr>
      </w:pPr>
      <w:r>
        <w:rPr>
          <w:rStyle w:val="FootnoteReference"/>
          <w:rFonts w:ascii="Times New Roman" w:hAnsi="Times New Roman"/>
          <w:sz w:val="18"/>
        </w:rPr>
        <w:footnoteRef/>
      </w:r>
      <w:r>
        <w:rPr>
          <w:rFonts w:ascii="Times New Roman" w:hAnsi="Times New Roman"/>
          <w:sz w:val="18"/>
        </w:rPr>
        <w:t xml:space="preserve"> Viz </w:t>
      </w:r>
      <w:hyperlink r:id="rId10">
        <w:r>
          <w:rPr>
            <w:rStyle w:val="Hyperlink"/>
            <w:rFonts w:ascii="Times New Roman" w:hAnsi="Times New Roman"/>
            <w:sz w:val="18"/>
          </w:rPr>
          <w:t>http://ec.europa.eu/eurostat/data/database</w:t>
        </w:r>
      </w:hyperlink>
      <w:r>
        <w:rPr>
          <w:rFonts w:ascii="Times New Roman" w:hAnsi="Times New Roman"/>
          <w:sz w:val="18"/>
        </w:rPr>
        <w:t xml:space="preserve">, soubor gov_dd_sgd.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2F7993D8-7F26-4042-9429-05DB9EC09683"/>
    <w:docVar w:name="LW_COVERPAGE_TYPE" w:val="1"/>
    <w:docVar w:name="LW_CROSSREFERENCE" w:val="&lt;UNUSED&gt;"/>
    <w:docVar w:name="LW_DocType" w:val="NORMAL"/>
    <w:docVar w:name="LW_EMISSION" w:val="13.2.2019"/>
    <w:docVar w:name="LW_EMISSION_ISODATE" w:val="2019-02-13"/>
    <w:docVar w:name="LW_EMISSION_LOCATION" w:val="BRX"/>
    <w:docVar w:name="LW_EMISSION_PREFIX" w:val="V Bruselu dne "/>
    <w:docVar w:name="LW_EMISSION_SUFFIX" w:val=" "/>
    <w:docVar w:name="LW_ID_DOCTYPE_NONLW" w:val="CP-006"/>
    <w:docVar w:name="LW_LANGUE" w:val="CS"/>
    <w:docVar w:name="LW_LEVEL_OF_SENSITIVITY" w:val="Standard treatment"/>
    <w:docVar w:name="LW_NOM.INST" w:val="EVROPSKÁ KOMISE"/>
    <w:docVar w:name="LW_NOM.INST_JOINTDOC" w:val="&lt;EMPTY&gt;"/>
    <w:docVar w:name="LW_PART_NBR" w:val="1"/>
    <w:docVar w:name="LW_PART_NBR_TOTAL" w:val="1"/>
    <w:docVar w:name="LW_REF.INST.NEW" w:val="COM"/>
    <w:docVar w:name="LW_REF.INST.NEW_ADOPTED" w:val="final"/>
    <w:docVar w:name="LW_REF.INST.NEW_TEXT" w:val="(2019) 81"/>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UPERTITRE" w:val="&lt;UNUSED&gt;"/>
    <w:docVar w:name="LW_TITRE.OBJ.CP" w:val="o implicitních závazcích s mo\u382?ným dopadem na ve\u345?ejné rozpo\u269?ty"/>
    <w:docVar w:name="LW_TYPE.DOC.CP" w:val="ZPRÁVA KOMISE EVROPSKÉMU PARLAMENTU A RAD\u282?"/>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cs-CZ" w:bidi="cs-CZ"/>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360" w:after="120" w:line="240" w:lineRule="auto"/>
      <w:jc w:val="both"/>
      <w:outlineLvl w:val="0"/>
    </w:pPr>
    <w:rPr>
      <w:rFonts w:ascii="Times New Roman" w:eastAsia="Times New Roman" w:hAnsi="Times New Roman" w:cs="Times New Roman"/>
      <w:b/>
      <w:bCs/>
      <w:smallCaps/>
      <w:sz w:val="24"/>
      <w:szCs w:val="28"/>
    </w:rPr>
  </w:style>
  <w:style w:type="paragraph" w:styleId="Heading2">
    <w:name w:val="heading 2"/>
    <w:basedOn w:val="Normal"/>
    <w:next w:val="Normal"/>
    <w:link w:val="Heading2Char"/>
    <w:uiPriority w:val="9"/>
    <w:unhideWhenUsed/>
    <w:qFormat/>
    <w:pPr>
      <w:keepNext/>
      <w:numPr>
        <w:ilvl w:val="1"/>
        <w:numId w:val="1"/>
      </w:numPr>
      <w:spacing w:before="120" w:after="120" w:line="240" w:lineRule="auto"/>
      <w:jc w:val="both"/>
      <w:outlineLvl w:val="1"/>
    </w:pPr>
    <w:rPr>
      <w:rFonts w:ascii="Times New Roman" w:eastAsia="Times New Roman" w:hAnsi="Times New Roman" w:cs="Times New Roman"/>
      <w:b/>
      <w:bCs/>
      <w:sz w:val="24"/>
      <w:szCs w:val="26"/>
    </w:rPr>
  </w:style>
  <w:style w:type="paragraph" w:styleId="Heading3">
    <w:name w:val="heading 3"/>
    <w:basedOn w:val="Normal"/>
    <w:next w:val="Normal"/>
    <w:link w:val="Heading3Char"/>
    <w:uiPriority w:val="9"/>
    <w:unhideWhenUsed/>
    <w:qFormat/>
    <w:pPr>
      <w:keepNext/>
      <w:numPr>
        <w:ilvl w:val="2"/>
        <w:numId w:val="1"/>
      </w:numPr>
      <w:spacing w:before="120" w:after="120" w:line="240" w:lineRule="auto"/>
      <w:jc w:val="both"/>
      <w:outlineLvl w:val="2"/>
    </w:pPr>
    <w:rPr>
      <w:rFonts w:ascii="Times New Roman" w:eastAsia="Times New Roman" w:hAnsi="Times New Roman" w:cs="Times New Roman"/>
      <w:bCs/>
      <w:i/>
      <w:sz w:val="24"/>
    </w:rPr>
  </w:style>
  <w:style w:type="paragraph" w:styleId="Heading4">
    <w:name w:val="heading 4"/>
    <w:basedOn w:val="Normal"/>
    <w:next w:val="Normal"/>
    <w:link w:val="Heading4Char"/>
    <w:uiPriority w:val="9"/>
    <w:semiHidden/>
    <w:unhideWhenUsed/>
    <w:qFormat/>
    <w:pPr>
      <w:keepNext/>
      <w:numPr>
        <w:ilvl w:val="3"/>
        <w:numId w:val="1"/>
      </w:numPr>
      <w:spacing w:before="120" w:after="120" w:line="240" w:lineRule="auto"/>
      <w:jc w:val="both"/>
      <w:outlineLvl w:val="3"/>
    </w:pPr>
    <w:rPr>
      <w:rFonts w:ascii="Times New Roman" w:eastAsia="Times New Roman" w:hAnsi="Times New Roman" w:cs="Times New Roman"/>
      <w:bCs/>
      <w:iCs/>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character" w:customStyle="1" w:styleId="Heading1Char">
    <w:name w:val="Heading 1 Char"/>
    <w:basedOn w:val="DefaultParagraphFont"/>
    <w:link w:val="Heading1"/>
    <w:uiPriority w:val="9"/>
    <w:rPr>
      <w:rFonts w:ascii="Times New Roman" w:eastAsia="Times New Roman" w:hAnsi="Times New Roman" w:cs="Times New Roman"/>
      <w:b/>
      <w:bCs/>
      <w:smallCaps/>
      <w:sz w:val="24"/>
      <w:szCs w:val="28"/>
      <w:lang w:eastAsia="cs-CZ"/>
    </w:rPr>
  </w:style>
  <w:style w:type="character" w:customStyle="1" w:styleId="Heading2Char">
    <w:name w:val="Heading 2 Char"/>
    <w:basedOn w:val="DefaultParagraphFont"/>
    <w:link w:val="Heading2"/>
    <w:uiPriority w:val="9"/>
    <w:rPr>
      <w:rFonts w:ascii="Times New Roman" w:eastAsia="Times New Roman" w:hAnsi="Times New Roman" w:cs="Times New Roman"/>
      <w:b/>
      <w:bCs/>
      <w:sz w:val="24"/>
      <w:szCs w:val="26"/>
      <w:lang w:eastAsia="cs-CZ"/>
    </w:rPr>
  </w:style>
  <w:style w:type="character" w:customStyle="1" w:styleId="Heading3Char">
    <w:name w:val="Heading 3 Char"/>
    <w:basedOn w:val="DefaultParagraphFont"/>
    <w:link w:val="Heading3"/>
    <w:uiPriority w:val="9"/>
    <w:rPr>
      <w:rFonts w:ascii="Times New Roman" w:eastAsia="Times New Roman" w:hAnsi="Times New Roman" w:cs="Times New Roman"/>
      <w:bCs/>
      <w:i/>
      <w:sz w:val="24"/>
      <w:lang w:eastAsia="cs-CZ"/>
    </w:rPr>
  </w:style>
  <w:style w:type="character" w:customStyle="1" w:styleId="Heading4Char">
    <w:name w:val="Heading 4 Char"/>
    <w:basedOn w:val="DefaultParagraphFont"/>
    <w:link w:val="Heading4"/>
    <w:uiPriority w:val="9"/>
    <w:semiHidden/>
    <w:rPr>
      <w:rFonts w:ascii="Times New Roman" w:eastAsia="Times New Roman" w:hAnsi="Times New Roman" w:cs="Times New Roman"/>
      <w:bCs/>
      <w:iCs/>
      <w:sz w:val="24"/>
      <w:lang w:eastAsia="cs-CZ"/>
    </w:rPr>
  </w:style>
  <w:style w:type="paragraph" w:styleId="FootnoteText">
    <w:name w:val="footnote text"/>
    <w:basedOn w:val="Normal"/>
    <w:link w:val="FootnoteTextChar"/>
    <w:uiPriority w:val="99"/>
    <w:unhideWhenUsed/>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Pr>
      <w:rFonts w:ascii="Calibri" w:eastAsia="Calibri" w:hAnsi="Calibri" w:cs="Times New Roman"/>
      <w:sz w:val="20"/>
      <w:szCs w:val="20"/>
    </w:rPr>
  </w:style>
  <w:style w:type="character" w:styleId="Hyperlink">
    <w:name w:val="Hyperlink"/>
    <w:uiPriority w:val="99"/>
    <w:rPr>
      <w:rFonts w:cs="Times New Roman"/>
      <w:color w:val="0000FF"/>
      <w:u w:val="single"/>
      <w:shd w:val="clear" w:color="auto" w:fill="auto"/>
    </w:rPr>
  </w:style>
  <w:style w:type="character" w:styleId="FootnoteReference">
    <w:name w:val="footnote reference"/>
    <w:uiPriority w:val="99"/>
    <w:unhideWhenUsed/>
    <w:rPr>
      <w:shd w:val="clear" w:color="auto" w:fill="auto"/>
      <w:vertAlign w:val="superscript"/>
    </w:rPr>
  </w:style>
  <w:style w:type="paragraph" w:styleId="PlainText">
    <w:name w:val="Plain Text"/>
    <w:basedOn w:val="Normal"/>
    <w:link w:val="PlainTextChar"/>
    <w:uiPriority w:val="99"/>
    <w:unhideWhenUsed/>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Pr>
      <w:rFonts w:ascii="Calibri" w:eastAsia="Calibri" w:hAnsi="Calibri" w:cs="Times New Roman"/>
      <w:szCs w:val="21"/>
    </w:rPr>
  </w:style>
  <w:style w:type="paragraph" w:styleId="TOC1">
    <w:name w:val="toc 1"/>
    <w:basedOn w:val="Normal"/>
    <w:next w:val="Normal"/>
    <w:autoRedefine/>
    <w:uiPriority w:val="39"/>
    <w:unhideWhenUsed/>
    <w:rPr>
      <w:rFonts w:ascii="Calibri" w:eastAsia="Calibri" w:hAnsi="Calibri" w:cs="Times New Roman"/>
    </w:rPr>
  </w:style>
  <w:style w:type="paragraph" w:styleId="TOC2">
    <w:name w:val="toc 2"/>
    <w:basedOn w:val="Normal"/>
    <w:next w:val="Normal"/>
    <w:autoRedefine/>
    <w:uiPriority w:val="39"/>
    <w:unhideWhenUsed/>
    <w:pPr>
      <w:tabs>
        <w:tab w:val="left" w:pos="880"/>
        <w:tab w:val="right" w:leader="dot" w:pos="9016"/>
      </w:tabs>
      <w:ind w:left="220"/>
    </w:pPr>
    <w:rPr>
      <w:rFonts w:ascii="Times New Roman" w:eastAsia="Calibri" w:hAnsi="Times New Roman" w:cs="Times New Roman"/>
      <w:noProof/>
    </w:rPr>
  </w:style>
  <w:style w:type="paragraph" w:styleId="TOC3">
    <w:name w:val="toc 3"/>
    <w:basedOn w:val="Normal"/>
    <w:next w:val="Normal"/>
    <w:autoRedefine/>
    <w:uiPriority w:val="39"/>
    <w:unhideWhenUsed/>
    <w:pPr>
      <w:ind w:left="440"/>
    </w:pPr>
    <w:rPr>
      <w:rFonts w:ascii="Calibri" w:eastAsia="Calibri" w:hAnsi="Calibri" w:cs="Times New Roman"/>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Calibri" w:eastAsia="Calibri" w:hAnsi="Calibri" w:cs="Times New Roman"/>
      <w:sz w:val="20"/>
      <w:szCs w:val="20"/>
    </w:rPr>
  </w:style>
  <w:style w:type="paragraph" w:styleId="ListParagraph">
    <w:name w:val="List Paragraph"/>
    <w:basedOn w:val="Normal"/>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cs-CZ" w:bidi="cs-CZ"/>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360" w:after="120" w:line="240" w:lineRule="auto"/>
      <w:jc w:val="both"/>
      <w:outlineLvl w:val="0"/>
    </w:pPr>
    <w:rPr>
      <w:rFonts w:ascii="Times New Roman" w:eastAsia="Times New Roman" w:hAnsi="Times New Roman" w:cs="Times New Roman"/>
      <w:b/>
      <w:bCs/>
      <w:smallCaps/>
      <w:sz w:val="24"/>
      <w:szCs w:val="28"/>
    </w:rPr>
  </w:style>
  <w:style w:type="paragraph" w:styleId="Heading2">
    <w:name w:val="heading 2"/>
    <w:basedOn w:val="Normal"/>
    <w:next w:val="Normal"/>
    <w:link w:val="Heading2Char"/>
    <w:uiPriority w:val="9"/>
    <w:unhideWhenUsed/>
    <w:qFormat/>
    <w:pPr>
      <w:keepNext/>
      <w:numPr>
        <w:ilvl w:val="1"/>
        <w:numId w:val="1"/>
      </w:numPr>
      <w:spacing w:before="120" w:after="120" w:line="240" w:lineRule="auto"/>
      <w:jc w:val="both"/>
      <w:outlineLvl w:val="1"/>
    </w:pPr>
    <w:rPr>
      <w:rFonts w:ascii="Times New Roman" w:eastAsia="Times New Roman" w:hAnsi="Times New Roman" w:cs="Times New Roman"/>
      <w:b/>
      <w:bCs/>
      <w:sz w:val="24"/>
      <w:szCs w:val="26"/>
    </w:rPr>
  </w:style>
  <w:style w:type="paragraph" w:styleId="Heading3">
    <w:name w:val="heading 3"/>
    <w:basedOn w:val="Normal"/>
    <w:next w:val="Normal"/>
    <w:link w:val="Heading3Char"/>
    <w:uiPriority w:val="9"/>
    <w:unhideWhenUsed/>
    <w:qFormat/>
    <w:pPr>
      <w:keepNext/>
      <w:numPr>
        <w:ilvl w:val="2"/>
        <w:numId w:val="1"/>
      </w:numPr>
      <w:spacing w:before="120" w:after="120" w:line="240" w:lineRule="auto"/>
      <w:jc w:val="both"/>
      <w:outlineLvl w:val="2"/>
    </w:pPr>
    <w:rPr>
      <w:rFonts w:ascii="Times New Roman" w:eastAsia="Times New Roman" w:hAnsi="Times New Roman" w:cs="Times New Roman"/>
      <w:bCs/>
      <w:i/>
      <w:sz w:val="24"/>
    </w:rPr>
  </w:style>
  <w:style w:type="paragraph" w:styleId="Heading4">
    <w:name w:val="heading 4"/>
    <w:basedOn w:val="Normal"/>
    <w:next w:val="Normal"/>
    <w:link w:val="Heading4Char"/>
    <w:uiPriority w:val="9"/>
    <w:semiHidden/>
    <w:unhideWhenUsed/>
    <w:qFormat/>
    <w:pPr>
      <w:keepNext/>
      <w:numPr>
        <w:ilvl w:val="3"/>
        <w:numId w:val="1"/>
      </w:numPr>
      <w:spacing w:before="120" w:after="120" w:line="240" w:lineRule="auto"/>
      <w:jc w:val="both"/>
      <w:outlineLvl w:val="3"/>
    </w:pPr>
    <w:rPr>
      <w:rFonts w:ascii="Times New Roman" w:eastAsia="Times New Roman" w:hAnsi="Times New Roman" w:cs="Times New Roman"/>
      <w:bCs/>
      <w:iCs/>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character" w:customStyle="1" w:styleId="Heading1Char">
    <w:name w:val="Heading 1 Char"/>
    <w:basedOn w:val="DefaultParagraphFont"/>
    <w:link w:val="Heading1"/>
    <w:uiPriority w:val="9"/>
    <w:rPr>
      <w:rFonts w:ascii="Times New Roman" w:eastAsia="Times New Roman" w:hAnsi="Times New Roman" w:cs="Times New Roman"/>
      <w:b/>
      <w:bCs/>
      <w:smallCaps/>
      <w:sz w:val="24"/>
      <w:szCs w:val="28"/>
      <w:lang w:eastAsia="cs-CZ"/>
    </w:rPr>
  </w:style>
  <w:style w:type="character" w:customStyle="1" w:styleId="Heading2Char">
    <w:name w:val="Heading 2 Char"/>
    <w:basedOn w:val="DefaultParagraphFont"/>
    <w:link w:val="Heading2"/>
    <w:uiPriority w:val="9"/>
    <w:rPr>
      <w:rFonts w:ascii="Times New Roman" w:eastAsia="Times New Roman" w:hAnsi="Times New Roman" w:cs="Times New Roman"/>
      <w:b/>
      <w:bCs/>
      <w:sz w:val="24"/>
      <w:szCs w:val="26"/>
      <w:lang w:eastAsia="cs-CZ"/>
    </w:rPr>
  </w:style>
  <w:style w:type="character" w:customStyle="1" w:styleId="Heading3Char">
    <w:name w:val="Heading 3 Char"/>
    <w:basedOn w:val="DefaultParagraphFont"/>
    <w:link w:val="Heading3"/>
    <w:uiPriority w:val="9"/>
    <w:rPr>
      <w:rFonts w:ascii="Times New Roman" w:eastAsia="Times New Roman" w:hAnsi="Times New Roman" w:cs="Times New Roman"/>
      <w:bCs/>
      <w:i/>
      <w:sz w:val="24"/>
      <w:lang w:eastAsia="cs-CZ"/>
    </w:rPr>
  </w:style>
  <w:style w:type="character" w:customStyle="1" w:styleId="Heading4Char">
    <w:name w:val="Heading 4 Char"/>
    <w:basedOn w:val="DefaultParagraphFont"/>
    <w:link w:val="Heading4"/>
    <w:uiPriority w:val="9"/>
    <w:semiHidden/>
    <w:rPr>
      <w:rFonts w:ascii="Times New Roman" w:eastAsia="Times New Roman" w:hAnsi="Times New Roman" w:cs="Times New Roman"/>
      <w:bCs/>
      <w:iCs/>
      <w:sz w:val="24"/>
      <w:lang w:eastAsia="cs-CZ"/>
    </w:rPr>
  </w:style>
  <w:style w:type="paragraph" w:styleId="FootnoteText">
    <w:name w:val="footnote text"/>
    <w:basedOn w:val="Normal"/>
    <w:link w:val="FootnoteTextChar"/>
    <w:uiPriority w:val="99"/>
    <w:unhideWhenUsed/>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Pr>
      <w:rFonts w:ascii="Calibri" w:eastAsia="Calibri" w:hAnsi="Calibri" w:cs="Times New Roman"/>
      <w:sz w:val="20"/>
      <w:szCs w:val="20"/>
    </w:rPr>
  </w:style>
  <w:style w:type="character" w:styleId="Hyperlink">
    <w:name w:val="Hyperlink"/>
    <w:uiPriority w:val="99"/>
    <w:rPr>
      <w:rFonts w:cs="Times New Roman"/>
      <w:color w:val="0000FF"/>
      <w:u w:val="single"/>
      <w:shd w:val="clear" w:color="auto" w:fill="auto"/>
    </w:rPr>
  </w:style>
  <w:style w:type="character" w:styleId="FootnoteReference">
    <w:name w:val="footnote reference"/>
    <w:uiPriority w:val="99"/>
    <w:unhideWhenUsed/>
    <w:rPr>
      <w:shd w:val="clear" w:color="auto" w:fill="auto"/>
      <w:vertAlign w:val="superscript"/>
    </w:rPr>
  </w:style>
  <w:style w:type="paragraph" w:styleId="PlainText">
    <w:name w:val="Plain Text"/>
    <w:basedOn w:val="Normal"/>
    <w:link w:val="PlainTextChar"/>
    <w:uiPriority w:val="99"/>
    <w:unhideWhenUsed/>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Pr>
      <w:rFonts w:ascii="Calibri" w:eastAsia="Calibri" w:hAnsi="Calibri" w:cs="Times New Roman"/>
      <w:szCs w:val="21"/>
    </w:rPr>
  </w:style>
  <w:style w:type="paragraph" w:styleId="TOC1">
    <w:name w:val="toc 1"/>
    <w:basedOn w:val="Normal"/>
    <w:next w:val="Normal"/>
    <w:autoRedefine/>
    <w:uiPriority w:val="39"/>
    <w:unhideWhenUsed/>
    <w:rPr>
      <w:rFonts w:ascii="Calibri" w:eastAsia="Calibri" w:hAnsi="Calibri" w:cs="Times New Roman"/>
    </w:rPr>
  </w:style>
  <w:style w:type="paragraph" w:styleId="TOC2">
    <w:name w:val="toc 2"/>
    <w:basedOn w:val="Normal"/>
    <w:next w:val="Normal"/>
    <w:autoRedefine/>
    <w:uiPriority w:val="39"/>
    <w:unhideWhenUsed/>
    <w:pPr>
      <w:tabs>
        <w:tab w:val="left" w:pos="880"/>
        <w:tab w:val="right" w:leader="dot" w:pos="9016"/>
      </w:tabs>
      <w:ind w:left="220"/>
    </w:pPr>
    <w:rPr>
      <w:rFonts w:ascii="Times New Roman" w:eastAsia="Calibri" w:hAnsi="Times New Roman" w:cs="Times New Roman"/>
      <w:noProof/>
    </w:rPr>
  </w:style>
  <w:style w:type="paragraph" w:styleId="TOC3">
    <w:name w:val="toc 3"/>
    <w:basedOn w:val="Normal"/>
    <w:next w:val="Normal"/>
    <w:autoRedefine/>
    <w:uiPriority w:val="39"/>
    <w:unhideWhenUsed/>
    <w:pPr>
      <w:ind w:left="440"/>
    </w:pPr>
    <w:rPr>
      <w:rFonts w:ascii="Calibri" w:eastAsia="Calibri" w:hAnsi="Calibri" w:cs="Times New Roman"/>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Calibri" w:eastAsia="Calibri" w:hAnsi="Calibri" w:cs="Times New Roman"/>
      <w:sz w:val="20"/>
      <w:szCs w:val="20"/>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809577">
      <w:bodyDiv w:val="1"/>
      <w:marLeft w:val="0"/>
      <w:marRight w:val="0"/>
      <w:marTop w:val="0"/>
      <w:marBottom w:val="0"/>
      <w:divBdr>
        <w:top w:val="none" w:sz="0" w:space="0" w:color="auto"/>
        <w:left w:val="none" w:sz="0" w:space="0" w:color="auto"/>
        <w:bottom w:val="none" w:sz="0" w:space="0" w:color="auto"/>
        <w:right w:val="none" w:sz="0" w:space="0" w:color="auto"/>
      </w:divBdr>
    </w:div>
    <w:div w:id="155458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s>
</file>

<file path=word/_rels/footnotes.xml.rels><?xml version='1.0' encoding='UTF-8' standalone='yes'?>
<Relationships xmlns="http://schemas.openxmlformats.org/package/2006/relationships"><Relationship Id="rId8" Type="http://schemas.openxmlformats.org/officeDocument/2006/relationships/hyperlink" Target="http://ec.europa.eu/eurostat/web/government-finance-statistics/excessive-deficit-procedure/edp-notification-tables" TargetMode="External"/><Relationship Id="rId3" Type="http://schemas.openxmlformats.org/officeDocument/2006/relationships/hyperlink" Target="http://ec.europa.eu/eurostat/web/products-manuals-and-guidelines/-/KS-GQ-14-010" TargetMode="External"/><Relationship Id="rId7" Type="http://schemas.openxmlformats.org/officeDocument/2006/relationships/hyperlink" Target="https://ec.europa.eu/eurostat/documents/2995521/8624398/2-29012018-AP-EN.pdf/ee504046-6ccc-4b79-8dfb-7a5e1d38328f" TargetMode="External"/><Relationship Id="rId2" Type="http://schemas.openxmlformats.org/officeDocument/2006/relationships/hyperlink" Target="http://ec.europa.eu/eurostat/documents/1015035/2041337/ESTAT-decision-Suppl-on-conting-liab-EDP-Q.pdf/0b35165a-ee53-470a-a15a-7beaa98aac8b" TargetMode="External"/><Relationship Id="rId1" Type="http://schemas.openxmlformats.org/officeDocument/2006/relationships/hyperlink" Target="http://eur-lex.europa.eu/legal-content/CS/TXT/?qid=1435910317596&amp;uri=CELEX:52015DC0314" TargetMode="External"/><Relationship Id="rId6" Type="http://schemas.openxmlformats.org/officeDocument/2006/relationships/hyperlink" Target="https://ec.europa.eu/eurostat/documents/1015035/6611302/Contingent-Liabilities-Footnotes.pdf" TargetMode="External"/><Relationship Id="rId5" Type="http://schemas.openxmlformats.org/officeDocument/2006/relationships/hyperlink" Target="http://ec.europa.eu/eurostat/cache/metadata/en/gov_cl_esms.htm" TargetMode="External"/><Relationship Id="rId10" Type="http://schemas.openxmlformats.org/officeDocument/2006/relationships/hyperlink" Target="http://ec.europa.eu/eurostat/data/database" TargetMode="External"/><Relationship Id="rId4" Type="http://schemas.openxmlformats.org/officeDocument/2006/relationships/hyperlink" Target="http://ec.europa.eu/eurostat/web/government-finance-statistics/data/database" TargetMode="External"/><Relationship Id="rId9" Type="http://schemas.openxmlformats.org/officeDocument/2006/relationships/hyperlink" Target="http://ec.europa.eu/eurostat/web/government-finance-statistics/excessive-deficit/supplemtary-tables-financial-cris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D6513-B709-42E8-B0D7-FF96C63ED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3683</Words>
  <Characters>22175</Characters>
  <Application>Microsoft Office Word</Application>
  <DocSecurity>0</DocSecurity>
  <Lines>652</Lines>
  <Paragraphs>423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16</cp:revision>
  <dcterms:created xsi:type="dcterms:W3CDTF">2019-01-25T08:53:00Z</dcterms:created>
  <dcterms:modified xsi:type="dcterms:W3CDTF">2019-02-06T12:08:00Z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reated using">
    <vt:lpwstr>LW 6.0.1, Build 20180503</vt:lpwstr>
  </property>
  <property fmtid="{D5CDD505-2E9C-101B-9397-08002B2CF9AE}" pid="7" name="Last edited using">
    <vt:lpwstr>LW 6.0.1, Build 20180503</vt:lpwstr>
  </property>
  <property name="OP_sanitized" fmtid="{D5CDD505-2E9C-101B-9397-08002B2CF9AE}" pid="8">
    <vt:lpwstr>True</vt:lpwstr>
  </property>
</Properties>
</file>