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BE5579D7-AA5D-489A-9EDD-692F5515E60F" style="width:450.8pt;height:365.9pt">
            <v:imagedata r:id="rId13" o:title=""/>
          </v:shape>
        </w:pict>
      </w:r>
    </w:p>
    <w:p>
      <w:pPr>
        <w:rPr>
          <w:noProof/>
        </w:rPr>
        <w:sectPr>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DŮVODOVÁ ZPRÁVA</w:t>
      </w:r>
    </w:p>
    <w:p>
      <w:pPr>
        <w:pStyle w:val="ManualHeading1"/>
        <w:rPr>
          <w:noProof/>
        </w:rPr>
      </w:pPr>
      <w:r>
        <w:rPr>
          <w:noProof/>
        </w:rPr>
        <w:t>1.</w:t>
      </w:r>
      <w:r>
        <w:rPr>
          <w:noProof/>
        </w:rPr>
        <w:tab/>
        <w:t>SOUVISLOSTI NÁVRHU</w:t>
      </w:r>
    </w:p>
    <w:p>
      <w:pPr>
        <w:pStyle w:val="ManualHeading2"/>
        <w:rPr>
          <w:rFonts w:eastAsia="Arial Unicode MS"/>
          <w:noProof/>
        </w:rPr>
      </w:pPr>
      <w:r>
        <w:rPr>
          <w:noProof/>
          <w:color w:val="000000"/>
          <w:u w:color="000000"/>
          <w:bdr w:val="nil"/>
        </w:rPr>
        <w:t>•</w:t>
      </w:r>
      <w:r>
        <w:rPr>
          <w:noProof/>
        </w:rPr>
        <w:tab/>
        <w:t>Odůvodnění a cíle návrhu</w:t>
      </w:r>
    </w:p>
    <w:p>
      <w:pPr>
        <w:pBdr>
          <w:top w:val="nil"/>
          <w:left w:val="nil"/>
          <w:bottom w:val="nil"/>
          <w:right w:val="nil"/>
          <w:between w:val="nil"/>
          <w:bar w:val="nil"/>
        </w:pBdr>
        <w:spacing w:before="0" w:after="240"/>
        <w:rPr>
          <w:noProof/>
        </w:rPr>
      </w:pPr>
      <w:r>
        <w:rPr>
          <w:noProof/>
        </w:rPr>
        <w:t>Dne 29. března 2017 oznámilo Spojené království svůj záměr vystoupit z Unie podle článku 50 Smlouvy o Evropské unii. To znamená, že pokud nebude ratifikována dohoda o vystoupení</w:t>
      </w:r>
      <w:r>
        <w:rPr>
          <w:rStyle w:val="FootnoteReference"/>
          <w:noProof/>
        </w:rPr>
        <w:footnoteReference w:id="1"/>
      </w:r>
      <w:r>
        <w:rPr>
          <w:noProof/>
        </w:rPr>
        <w:t>, přestane se na Spojené království ode dne 30. března 2019 (dále jen „datum vystoupení“) vztahovat primární a sekundární právo Unie. Spojené království se v tom okamžiku stane třetí zemí.</w:t>
      </w:r>
    </w:p>
    <w:p>
      <w:pPr>
        <w:pBdr>
          <w:top w:val="nil"/>
          <w:left w:val="nil"/>
          <w:bottom w:val="nil"/>
          <w:right w:val="nil"/>
          <w:between w:val="nil"/>
          <w:bar w:val="nil"/>
        </w:pBdr>
        <w:spacing w:before="0" w:after="240"/>
        <w:rPr>
          <w:noProof/>
        </w:rPr>
      </w:pPr>
      <w:r>
        <w:rPr>
          <w:noProof/>
        </w:rPr>
        <w:t>Ve sdělení Komise s názvem „Příprava na vystoupení Spojeného království z Evropské unie dne 30. března 2019: alternativní akční plán“</w:t>
      </w:r>
      <w:r>
        <w:rPr>
          <w:rStyle w:val="FootnoteReference"/>
          <w:noProof/>
        </w:rPr>
        <w:footnoteReference w:id="2"/>
      </w:r>
      <w:r>
        <w:rPr>
          <w:noProof/>
        </w:rPr>
        <w:t xml:space="preserve"> se uvádí, že „Komise je rovněž odhodlána zajistit pokračování stávajících programů PEACE a INTERREG mezi pohraničními hrabstvími Irska a Severního Irska, jichž je Spojené království partnerem“.</w:t>
      </w:r>
    </w:p>
    <w:p>
      <w:pPr>
        <w:pBdr>
          <w:top w:val="nil"/>
          <w:left w:val="nil"/>
          <w:bottom w:val="nil"/>
          <w:right w:val="nil"/>
          <w:between w:val="nil"/>
          <w:bar w:val="nil"/>
        </w:pBdr>
        <w:spacing w:before="0" w:after="240"/>
        <w:rPr>
          <w:noProof/>
        </w:rPr>
      </w:pPr>
      <w:r>
        <w:rPr>
          <w:noProof/>
        </w:rPr>
        <w:t>Evropská rada (článek 50) zopakovala dne 13. prosince 2018 svou výzvu, aby se na všech úrovních zintenzivnila práce zajišťující připravenost na důsledky vystoupení Spojeného království, a to při zohlednění veškerých možných vyústění. Tento akt je součástí balíčku opatření, který Komise přijímá v reakci na tuto výzvu.</w:t>
      </w:r>
    </w:p>
    <w:p>
      <w:pPr>
        <w:pBdr>
          <w:top w:val="nil"/>
          <w:left w:val="nil"/>
          <w:bottom w:val="nil"/>
          <w:right w:val="nil"/>
          <w:between w:val="nil"/>
          <w:bar w:val="nil"/>
        </w:pBdr>
        <w:spacing w:before="0" w:after="240"/>
        <w:rPr>
          <w:noProof/>
        </w:rPr>
      </w:pPr>
      <w:r>
        <w:rPr>
          <w:noProof/>
        </w:rPr>
        <w:t>Cílem tohoto návrhu je zajistit pokračování dvou dvoustranných programů spolupráce zahrnujících Irsko, konkrétně programu PEACE IV (Irsko-Spojené království) a programu Spojené království-Irsko (Irsko-Severní Irsko-Skotsko).</w:t>
      </w:r>
    </w:p>
    <w:p>
      <w:pPr>
        <w:pStyle w:val="ManualHeading2"/>
        <w:rPr>
          <w:rFonts w:eastAsia="Arial Unicode MS"/>
          <w:noProof/>
          <w:color w:val="000000"/>
          <w:u w:color="000000"/>
          <w:bdr w:val="nil"/>
        </w:rPr>
      </w:pPr>
      <w:r>
        <w:rPr>
          <w:noProof/>
          <w:color w:val="000000"/>
          <w:u w:color="000000"/>
          <w:bdr w:val="nil"/>
        </w:rPr>
        <w:t>•</w:t>
      </w:r>
      <w:r>
        <w:rPr>
          <w:noProof/>
        </w:rPr>
        <w:tab/>
        <w:t>Soulad s platnými předpisy v této oblasti politiky</w:t>
      </w:r>
    </w:p>
    <w:p>
      <w:pPr>
        <w:pBdr>
          <w:top w:val="nil"/>
          <w:left w:val="nil"/>
          <w:bottom w:val="nil"/>
          <w:right w:val="nil"/>
          <w:between w:val="nil"/>
          <w:bar w:val="nil"/>
        </w:pBdr>
        <w:spacing w:before="0" w:after="240"/>
        <w:rPr>
          <w:noProof/>
        </w:rPr>
      </w:pPr>
      <w:r>
        <w:rPr>
          <w:noProof/>
        </w:rPr>
        <w:t>Cílem tohoto návrhu je zajistit pokračování stávajících programů.</w:t>
      </w:r>
    </w:p>
    <w:p>
      <w:pPr>
        <w:pStyle w:val="ManualHeading2"/>
        <w:rPr>
          <w:rFonts w:eastAsia="Arial Unicode MS"/>
          <w:noProof/>
        </w:rPr>
      </w:pPr>
      <w:r>
        <w:rPr>
          <w:noProof/>
          <w:color w:val="000000"/>
          <w:u w:color="000000"/>
          <w:bdr w:val="nil"/>
        </w:rPr>
        <w:t>•</w:t>
      </w:r>
      <w:r>
        <w:rPr>
          <w:noProof/>
        </w:rPr>
        <w:tab/>
        <w:t>Soulad s ostatními politikami Unie</w:t>
      </w:r>
    </w:p>
    <w:p>
      <w:pPr>
        <w:pBdr>
          <w:top w:val="nil"/>
          <w:left w:val="nil"/>
          <w:bottom w:val="nil"/>
          <w:right w:val="nil"/>
          <w:between w:val="nil"/>
          <w:bar w:val="nil"/>
        </w:pBdr>
        <w:spacing w:before="0" w:after="240"/>
        <w:rPr>
          <w:rFonts w:eastAsia="Arial Unicode MS"/>
          <w:noProof/>
        </w:rPr>
      </w:pPr>
      <w:r>
        <w:rPr>
          <w:noProof/>
        </w:rPr>
        <w:t>Tento návrh je plně v souladu se zmocněním Rady k jednání se Spojeným královstvím o jeho vystoupení z Unie</w:t>
      </w:r>
      <w:r>
        <w:rPr>
          <w:rStyle w:val="FootnoteReference"/>
          <w:noProof/>
        </w:rPr>
        <w:footnoteReference w:id="3"/>
      </w:r>
      <w:r>
        <w:rPr>
          <w:noProof/>
        </w:rPr>
        <w:t>.</w:t>
      </w:r>
      <w:r>
        <w:rPr>
          <w:rStyle w:val="CommentReference"/>
          <w:rFonts w:asciiTheme="minorHAnsi" w:hAnsiTheme="minorHAnsi" w:cstheme="minorBidi"/>
          <w:noProof/>
        </w:rPr>
        <w:t xml:space="preserve"> </w:t>
      </w:r>
    </w:p>
    <w:p>
      <w:pPr>
        <w:pStyle w:val="ManualHeading1"/>
        <w:rPr>
          <w:noProof/>
        </w:rPr>
      </w:pPr>
      <w:r>
        <w:rPr>
          <w:noProof/>
        </w:rPr>
        <w:t>2.</w:t>
      </w:r>
      <w:r>
        <w:rPr>
          <w:noProof/>
        </w:rPr>
        <w:tab/>
        <w:t>PRÁVNÍ ZÁKLAD, SUBSIDIARITA A PROPORCIONALITA</w:t>
      </w:r>
    </w:p>
    <w:p>
      <w:pPr>
        <w:pStyle w:val="ManualHeading2"/>
        <w:rPr>
          <w:rFonts w:eastAsia="Arial Unicode MS"/>
          <w:noProof/>
          <w:u w:color="000000"/>
          <w:bdr w:val="nil"/>
        </w:rPr>
      </w:pPr>
      <w:r>
        <w:rPr>
          <w:noProof/>
        </w:rPr>
        <w:t>•</w:t>
      </w:r>
      <w:r>
        <w:rPr>
          <w:noProof/>
        </w:rPr>
        <w:tab/>
        <w:t>Právní základ</w:t>
      </w:r>
    </w:p>
    <w:p>
      <w:pPr>
        <w:pStyle w:val="ManualHeading2"/>
        <w:rPr>
          <w:rFonts w:eastAsia="Arial Unicode MS"/>
          <w:noProof/>
          <w:u w:color="000000"/>
          <w:bdr w:val="nil"/>
        </w:rPr>
      </w:pPr>
      <w:r>
        <w:rPr>
          <w:noProof/>
        </w:rPr>
        <w:t>Článek 178 SFEU.•</w:t>
      </w:r>
      <w:r>
        <w:rPr>
          <w:noProof/>
        </w:rPr>
        <w:tab/>
        <w:t xml:space="preserve">Subsidiarita (v případě nevýlučné pravomoci) </w:t>
      </w:r>
    </w:p>
    <w:p>
      <w:pPr>
        <w:pBdr>
          <w:top w:val="nil"/>
          <w:left w:val="nil"/>
          <w:bottom w:val="nil"/>
          <w:right w:val="nil"/>
          <w:between w:val="nil"/>
          <w:bar w:val="nil"/>
        </w:pBdr>
        <w:spacing w:before="0" w:after="240"/>
        <w:rPr>
          <w:rFonts w:eastAsia="Arial Unicode MS"/>
          <w:noProof/>
        </w:rPr>
      </w:pPr>
      <w:r>
        <w:rPr>
          <w:noProof/>
        </w:rPr>
        <w:t>Vzhledem k tomu, že cílem navrhovaného aktu je zajistit pokračování dvou programů spolupráce, které se řídí nařízením (EU) č. 1299/2013, dodržování zásady subsidiarity u uvedených programů již bylo přezkoumáno v době jejich přijetí.</w:t>
      </w:r>
    </w:p>
    <w:p>
      <w:pPr>
        <w:pStyle w:val="ManualHeading2"/>
        <w:rPr>
          <w:rFonts w:eastAsia="Arial Unicode MS"/>
          <w:noProof/>
          <w:u w:color="000000"/>
          <w:bdr w:val="nil"/>
        </w:rPr>
      </w:pPr>
      <w:r>
        <w:rPr>
          <w:noProof/>
        </w:rPr>
        <w:t>•</w:t>
      </w:r>
      <w:r>
        <w:rPr>
          <w:noProof/>
        </w:rPr>
        <w:tab/>
        <w:t>Proporcionalita</w:t>
      </w:r>
    </w:p>
    <w:p>
      <w:pPr>
        <w:pBdr>
          <w:top w:val="nil"/>
          <w:left w:val="nil"/>
          <w:bottom w:val="nil"/>
          <w:right w:val="nil"/>
          <w:between w:val="nil"/>
          <w:bar w:val="nil"/>
        </w:pBdr>
        <w:spacing w:before="0" w:after="240"/>
        <w:rPr>
          <w:rFonts w:eastAsia="Arial Unicode MS"/>
          <w:noProof/>
        </w:rPr>
      </w:pPr>
      <w:r>
        <w:rPr>
          <w:noProof/>
        </w:rPr>
        <w:t xml:space="preserve">Návrh je považován za přiměřený, neboť umožňuje nezbytné změny právních předpisů a zároveň nepřekračuje rámec toho, co je nezbytné pro zajištění řádného pokračování dvou programů spolupráce mezi severem a jihem, které zahrnují území Severního Irska. </w:t>
      </w:r>
    </w:p>
    <w:p>
      <w:pPr>
        <w:pStyle w:val="ManualHeading2"/>
        <w:rPr>
          <w:rFonts w:eastAsia="Arial Unicode MS"/>
          <w:noProof/>
          <w:u w:color="000000"/>
          <w:bdr w:val="nil"/>
        </w:rPr>
      </w:pPr>
      <w:r>
        <w:rPr>
          <w:noProof/>
        </w:rPr>
        <w:lastRenderedPageBreak/>
        <w:t>•</w:t>
      </w:r>
      <w:r>
        <w:rPr>
          <w:noProof/>
        </w:rPr>
        <w:tab/>
        <w:t>Volba nástroje</w:t>
      </w:r>
    </w:p>
    <w:p>
      <w:pPr>
        <w:pBdr>
          <w:top w:val="nil"/>
          <w:left w:val="nil"/>
          <w:bottom w:val="nil"/>
          <w:right w:val="nil"/>
          <w:between w:val="nil"/>
          <w:bar w:val="nil"/>
        </w:pBdr>
        <w:spacing w:before="0" w:after="240"/>
        <w:rPr>
          <w:noProof/>
        </w:rPr>
      </w:pPr>
      <w:r>
        <w:rPr>
          <w:noProof/>
        </w:rPr>
        <w:t>Vzhledem k tomu, že akt vychází z nařízení (EU) č. 1299/2013, je jedinou vhodnou formou předložení návrhu nařízení.</w:t>
      </w:r>
    </w:p>
    <w:p>
      <w:pPr>
        <w:pBdr>
          <w:top w:val="nil"/>
          <w:left w:val="nil"/>
          <w:bottom w:val="nil"/>
          <w:right w:val="nil"/>
          <w:between w:val="nil"/>
          <w:bar w:val="nil"/>
        </w:pBdr>
        <w:spacing w:before="0" w:after="240"/>
        <w:rPr>
          <w:noProof/>
        </w:rPr>
      </w:pPr>
      <w:r>
        <w:rPr>
          <w:noProof/>
        </w:rPr>
        <w:t xml:space="preserve">Vzhledem k tomu, že toto nařízení, které vstoupí v platnost prvním dnem po vyhlášení v </w:t>
      </w:r>
      <w:r>
        <w:rPr>
          <w:i/>
          <w:noProof/>
        </w:rPr>
        <w:t>Úředním věstníku Evropské unie</w:t>
      </w:r>
      <w:r>
        <w:rPr>
          <w:noProof/>
        </w:rPr>
        <w:t xml:space="preserve">, se použije pouze tehdy, pokud ke dni, kdy pro Spojené království a ve Spojeném království přestanou platit Smlouvy, nevstoupí v platnost dohoda o vystoupení uzavřená se Spojeným královstvím podle čl. 50 odst. 2 Smlouvy o Evropské unii, je navrhovaný akt </w:t>
      </w:r>
      <w:r>
        <w:rPr>
          <w:i/>
          <w:noProof/>
        </w:rPr>
        <w:t>ad hoc</w:t>
      </w:r>
      <w:r>
        <w:rPr>
          <w:noProof/>
        </w:rPr>
        <w:t xml:space="preserve"> vhodnější než nařízení ve formě pozměňujícího aktu.</w:t>
      </w:r>
    </w:p>
    <w:p>
      <w:pPr>
        <w:pStyle w:val="ManualHeading1"/>
        <w:rPr>
          <w:noProof/>
        </w:rPr>
      </w:pPr>
      <w:r>
        <w:rPr>
          <w:noProof/>
        </w:rPr>
        <w:t>3.</w:t>
      </w:r>
      <w:r>
        <w:rPr>
          <w:noProof/>
        </w:rPr>
        <w:tab/>
        <w:t xml:space="preserve">VÝSLEDKY HODNOCENÍ </w:t>
      </w:r>
      <w:r>
        <w:rPr>
          <w:i/>
          <w:noProof/>
        </w:rPr>
        <w:t>EX POST</w:t>
      </w:r>
      <w:r>
        <w:rPr>
          <w:noProof/>
        </w:rPr>
        <w:t>, KONZULTACÍ SE ZÚČASTNĚNÝMI STRANAMI A POSOUZENÍ DOPADŮ</w:t>
      </w:r>
    </w:p>
    <w:p>
      <w:pPr>
        <w:pStyle w:val="ManualHeading2"/>
        <w:rPr>
          <w:rFonts w:eastAsia="Arial Unicode MS"/>
          <w:noProof/>
          <w:u w:color="000000"/>
          <w:bdr w:val="nil"/>
        </w:rPr>
      </w:pPr>
      <w:r>
        <w:rPr>
          <w:noProof/>
        </w:rPr>
        <w:t>•</w:t>
      </w:r>
      <w:r>
        <w:rPr>
          <w:noProof/>
        </w:rPr>
        <w:tab/>
        <w:t>Konzultace se zúčastněnými stranami</w:t>
      </w:r>
    </w:p>
    <w:p>
      <w:pPr>
        <w:pBdr>
          <w:top w:val="nil"/>
          <w:left w:val="nil"/>
          <w:bottom w:val="nil"/>
          <w:right w:val="nil"/>
          <w:between w:val="nil"/>
          <w:bar w:val="nil"/>
        </w:pBdr>
        <w:spacing w:before="0" w:after="240"/>
        <w:rPr>
          <w:noProof/>
          <w:color w:val="000000" w:themeColor="text1"/>
        </w:rPr>
      </w:pPr>
      <w:r>
        <w:rPr>
          <w:noProof/>
          <w:color w:val="000000" w:themeColor="text1"/>
        </w:rPr>
        <w:t xml:space="preserve">Vzhledem k tomu, že je naléhavě nutné připravit návrh tak, aby jej spolunormotvůrci mohli včas přijmout, nebylo možné provést konzultaci se zúčastněnými stranami. </w:t>
      </w:r>
    </w:p>
    <w:p>
      <w:pPr>
        <w:pStyle w:val="ManualHeading2"/>
        <w:rPr>
          <w:rFonts w:eastAsia="Arial Unicode MS"/>
          <w:noProof/>
          <w:u w:color="000000"/>
          <w:bdr w:val="nil"/>
        </w:rPr>
      </w:pPr>
      <w:r>
        <w:rPr>
          <w:noProof/>
        </w:rPr>
        <w:t>•</w:t>
      </w:r>
      <w:r>
        <w:rPr>
          <w:noProof/>
        </w:rPr>
        <w:tab/>
        <w:t>Posouzení dopadů</w:t>
      </w:r>
    </w:p>
    <w:p>
      <w:pPr>
        <w:pBdr>
          <w:top w:val="nil"/>
          <w:left w:val="nil"/>
          <w:bottom w:val="nil"/>
          <w:right w:val="nil"/>
          <w:between w:val="nil"/>
          <w:bar w:val="nil"/>
        </w:pBdr>
        <w:spacing w:before="0" w:after="240"/>
        <w:rPr>
          <w:rFonts w:eastAsia="Arial Unicode MS"/>
          <w:noProof/>
        </w:rPr>
      </w:pPr>
      <w:r>
        <w:rPr>
          <w:noProof/>
          <w:color w:val="000000" w:themeColor="text1"/>
        </w:rPr>
        <w:t xml:space="preserve">Vzhledem k povaze navrhovaného opatření nebylo v souladu s pokyny ke zlepšování právní úpravy provedeno žádné posouzení dopadů. K dispozici nejsou žádné jiné podstatně odlišné možnosti politiky. </w:t>
      </w:r>
      <w:r>
        <w:rPr>
          <w:noProof/>
        </w:rPr>
        <w:t>Plánované opatření představuje jedinou schůdnou politickou možnost, jak po vystoupení Spojeného království z Unie zajistit řádné pokračování dvou dvoustranných programů spolupráce zahrnujících Irsko, konkrétně programů PEACE IV (Irsko-Spojené království) a Spojené království-Irsko (Irsko-Severní Irsko-Skotsko).</w:t>
      </w:r>
    </w:p>
    <w:p>
      <w:pPr>
        <w:pStyle w:val="ManualHeading1"/>
        <w:rPr>
          <w:noProof/>
        </w:rPr>
      </w:pPr>
      <w:r>
        <w:rPr>
          <w:noProof/>
        </w:rPr>
        <w:t>4.</w:t>
      </w:r>
      <w:r>
        <w:rPr>
          <w:noProof/>
        </w:rPr>
        <w:tab/>
        <w:t>ROZPOČTOVÉ DŮSLEDKY</w:t>
      </w:r>
    </w:p>
    <w:p>
      <w:pPr>
        <w:pBdr>
          <w:top w:val="nil"/>
          <w:left w:val="nil"/>
          <w:bottom w:val="nil"/>
          <w:right w:val="nil"/>
          <w:between w:val="nil"/>
          <w:bar w:val="nil"/>
        </w:pBdr>
        <w:spacing w:before="0" w:after="240"/>
        <w:rPr>
          <w:noProof/>
          <w:color w:val="000000" w:themeColor="text1"/>
        </w:rPr>
      </w:pPr>
      <w:r>
        <w:rPr>
          <w:noProof/>
        </w:rPr>
        <w:t>Cílem tohoto návrhu je zajistit, aby v případě, že nebude ratifikována dohoda o vystoupení, pokračovaly dva dvoustranné programy spolupráce zahrnující Irsko, konkrétně program PEACE IV (Irsko-Spojené království) a program Spojené království-Irsko (Irsko-Severní Irsko-Skotsko), aniž by se změnily částky, které jim byly přiděleny, a jejich financování.</w:t>
      </w:r>
      <w:r>
        <w:rPr>
          <w:noProof/>
          <w:color w:val="000000" w:themeColor="text1"/>
        </w:rPr>
        <w:t xml:space="preserve"> Oba programy budou nadále financovány z rozpočtu Unie. Možnost provádět nezbytné kontroly a audity ve všech zúčastněných regionech bude muset být potvrzena dohodou mezi Komisí a orgány Spojeného království a bude představovat podmínku pro financování. </w:t>
      </w:r>
    </w:p>
    <w:p>
      <w:pPr>
        <w:rPr>
          <w:noProof/>
        </w:rPr>
        <w:sectPr>
          <w:footerReference w:type="default" r:id="rId20"/>
          <w:footerReference w:type="first" r:id="rId21"/>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2018/0432 (COD)</w:t>
      </w:r>
    </w:p>
    <w:p>
      <w:pPr>
        <w:pStyle w:val="Statut"/>
        <w:rPr>
          <w:noProof/>
        </w:rPr>
      </w:pPr>
      <w:r>
        <w:rPr>
          <w:noProof/>
        </w:rPr>
        <w:t>Návrh</w:t>
      </w:r>
    </w:p>
    <w:p>
      <w:pPr>
        <w:pStyle w:val="Typedudocument"/>
        <w:rPr>
          <w:noProof/>
        </w:rPr>
      </w:pPr>
      <w:r>
        <w:rPr>
          <w:noProof/>
        </w:rPr>
        <w:t>NAŘÍZENÍ EVROPSKÉHO PARLAMENTU A RADY</w:t>
      </w:r>
    </w:p>
    <w:p>
      <w:pPr>
        <w:pStyle w:val="Titreobjet"/>
        <w:rPr>
          <w:noProof/>
        </w:rPr>
      </w:pPr>
      <w:r>
        <w:rPr>
          <w:noProof/>
        </w:rPr>
        <w:t>s cílem umožnit pokračování programů územní spolupráce PEACE IV (Irsko-Spojené království) a Spojené království-Irsko (Irsko-Severní Irsko-Skotsko) v souvislosti s vystoupením Spojeného království z Evropské unie</w:t>
      </w:r>
    </w:p>
    <w:p>
      <w:pPr>
        <w:pStyle w:val="Institutionquiagit"/>
        <w:rPr>
          <w:noProof/>
        </w:rPr>
      </w:pPr>
      <w:r>
        <w:rPr>
          <w:noProof/>
        </w:rPr>
        <w:t>EVROPSKÝ PARLAMENT A RADA EVROPSKÉ UNIE,</w:t>
      </w:r>
    </w:p>
    <w:p>
      <w:pPr>
        <w:rPr>
          <w:noProof/>
        </w:rPr>
      </w:pPr>
      <w:r>
        <w:rPr>
          <w:noProof/>
        </w:rPr>
        <w:t>s ohledem na Smlouvu o fungování Evropské unie, a zejména na článek 178 této smlouvy,</w:t>
      </w:r>
    </w:p>
    <w:p>
      <w:pPr>
        <w:rPr>
          <w:noProof/>
          <w:szCs w:val="24"/>
        </w:rPr>
      </w:pPr>
      <w:r>
        <w:rPr>
          <w:noProof/>
        </w:rPr>
        <w:t xml:space="preserve">s ohledem na návrh Evropské komise, </w:t>
      </w:r>
    </w:p>
    <w:p>
      <w:pPr>
        <w:rPr>
          <w:noProof/>
        </w:rPr>
      </w:pPr>
      <w:r>
        <w:rPr>
          <w:noProof/>
        </w:rPr>
        <w:t>po postoupení návrhu legislativního aktu vnitrostátním parlamentům,</w:t>
      </w:r>
    </w:p>
    <w:p>
      <w:pPr>
        <w:rPr>
          <w:noProof/>
        </w:rPr>
      </w:pPr>
      <w:r>
        <w:rPr>
          <w:noProof/>
        </w:rPr>
        <w:t>s ohledem na stanovisko Evropského hospodářského a sociálního výboru</w:t>
      </w:r>
      <w:r>
        <w:rPr>
          <w:rStyle w:val="FootnoteReference"/>
          <w:noProof/>
        </w:rPr>
        <w:footnoteReference w:id="4"/>
      </w:r>
      <w:r>
        <w:rPr>
          <w:noProof/>
        </w:rPr>
        <w:t xml:space="preserve">, </w:t>
      </w:r>
    </w:p>
    <w:p>
      <w:pPr>
        <w:rPr>
          <w:noProof/>
        </w:rPr>
      </w:pPr>
      <w:r>
        <w:rPr>
          <w:noProof/>
        </w:rPr>
        <w:t>s ohledem na stanovisko Výboru regionů</w:t>
      </w:r>
      <w:r>
        <w:rPr>
          <w:rStyle w:val="FootnoteReference"/>
          <w:noProof/>
        </w:rPr>
        <w:footnoteReference w:id="5"/>
      </w:r>
      <w:r>
        <w:rPr>
          <w:noProof/>
        </w:rPr>
        <w:t>,</w:t>
      </w:r>
    </w:p>
    <w:p>
      <w:pPr>
        <w:rPr>
          <w:noProof/>
        </w:rPr>
      </w:pPr>
      <w:r>
        <w:rPr>
          <w:noProof/>
        </w:rPr>
        <w:t>v souladu s řádným legislativním postupem,</w:t>
      </w:r>
    </w:p>
    <w:p>
      <w:pPr>
        <w:rPr>
          <w:noProof/>
        </w:rPr>
      </w:pPr>
      <w:r>
        <w:rPr>
          <w:noProof/>
        </w:rPr>
        <w:t>vzhledem k těmto důvodům:</w:t>
      </w:r>
    </w:p>
    <w:p>
      <w:pPr>
        <w:pStyle w:val="ManualConsidrant"/>
        <w:rPr>
          <w:noProof/>
        </w:rPr>
      </w:pPr>
      <w:r>
        <w:t>(1)</w:t>
      </w:r>
      <w:r>
        <w:tab/>
      </w:r>
      <w:r>
        <w:rPr>
          <w:noProof/>
        </w:rPr>
        <w:t>Spojené království dne 29. března 2017 oznámilo svůj záměr vystoupit z Unie na základě článku 50 Smlouvy o Evropské unii. Ode dne vstupu dohody o vystoupení v platnost, nebo v případě, že nebude uzavřena, dva roky po uvedeném oznámení, tj. počínaje 30. březnem 2019, se přestanou na Spojené království vztahovat Smlouvy, nerozhodne-li Evropská rada jednomyslně po dohodě se Spojeným královstvím o prodloužení této lhůty.</w:t>
      </w:r>
      <w:r>
        <w:rPr>
          <w:noProof/>
          <w:sz w:val="23"/>
        </w:rPr>
        <w:t xml:space="preserve"> </w:t>
      </w:r>
    </w:p>
    <w:p>
      <w:pPr>
        <w:pStyle w:val="ManualConsidrant"/>
        <w:rPr>
          <w:noProof/>
        </w:rPr>
      </w:pPr>
      <w:r>
        <w:t>(2)</w:t>
      </w:r>
      <w:r>
        <w:tab/>
      </w:r>
      <w:r>
        <w:rPr>
          <w:noProof/>
        </w:rPr>
        <w:t xml:space="preserve">K vystoupení dojde v průběhu programového období 2014–2020, v němž se Spojené království účastní patnácti programů v rámci cíle Evropská územní spolupráce (dále jen „programy spolupráce“). Dva z uvedených programů jsou programy, které zahrnují Severní Irsko a podporují mír a usmíření a spolupráci mezi severem a jihem podle „Velkopáteční dohody“, a Unie hodlá zajistit jejich pokračování i v případě, že Spojené království vystoupí z Unie, aniž by ke dni, kdy pro Spojené království a ve Spojeném království přestanou platit Smlouvy, vstoupila v platnost dohoda o vystoupení podle čl. 50 odst. 3 Smlouvy o Evropské unii. Toto nařízení by se proto mělo omezit na uvedené dva programy spolupráce. </w:t>
      </w:r>
    </w:p>
    <w:p>
      <w:pPr>
        <w:pStyle w:val="ManualConsidrant"/>
        <w:rPr>
          <w:noProof/>
        </w:rPr>
      </w:pPr>
      <w:r>
        <w:t>(3)</w:t>
      </w:r>
      <w:r>
        <w:tab/>
      </w:r>
      <w:r>
        <w:rPr>
          <w:noProof/>
        </w:rPr>
        <w:t>Dva dotčené programy spolupráce se řídí konkrétně nařízením Evropského parlamentu a Rady (EU) č. 1299/2013</w:t>
      </w:r>
      <w:r>
        <w:rPr>
          <w:rStyle w:val="FootnoteReference"/>
          <w:noProof/>
        </w:rPr>
        <w:footnoteReference w:id="6"/>
      </w:r>
      <w:r>
        <w:rPr>
          <w:noProof/>
        </w:rPr>
        <w:t>, nařízením Evropského parlamentu a Rady (EU) č. 1303/2013</w:t>
      </w:r>
      <w:r>
        <w:rPr>
          <w:rStyle w:val="FootnoteReference"/>
          <w:noProof/>
        </w:rPr>
        <w:footnoteReference w:id="7"/>
      </w:r>
      <w:r>
        <w:rPr>
          <w:noProof/>
        </w:rPr>
        <w:t xml:space="preserve"> a nařízením Evropského parlamentu a Rady (EU, Euratom) 2018/1046</w:t>
      </w:r>
      <w:r>
        <w:rPr>
          <w:rStyle w:val="FootnoteReference"/>
          <w:noProof/>
        </w:rPr>
        <w:footnoteReference w:id="8"/>
      </w:r>
      <w:r>
        <w:rPr>
          <w:noProof/>
        </w:rPr>
        <w:t xml:space="preserve">. </w:t>
      </w:r>
      <w:r>
        <w:rPr>
          <w:noProof/>
        </w:rPr>
        <w:lastRenderedPageBreak/>
        <w:t>Toto nařízení by mělo stanovit ustanovení, která umožní pokračování uvedených dvou programů spolupráce po vystoupení Spojeného království z Unie v souladu s uvedenými nařízeními.</w:t>
      </w:r>
    </w:p>
    <w:p>
      <w:pPr>
        <w:pStyle w:val="ManualConsidrant"/>
        <w:rPr>
          <w:noProof/>
        </w:rPr>
      </w:pPr>
      <w:r>
        <w:t>(4)</w:t>
      </w:r>
      <w:r>
        <w:tab/>
      </w:r>
      <w:r>
        <w:rPr>
          <w:noProof/>
        </w:rPr>
        <w:t xml:space="preserve">Pokud jde o programy dvoustranné spolupráce PEACE IV (Irsko-Spojené království) a Spojené království-Irsko (Irsko-Severní Irsko-Skotsko), řídicí orgán působí v Úřadu pro zvláštní programy EU (dále jen „SEUPB“) zřízeném podle „Dohody mezi vládou Irska a vládou Spojeného království Velké Británie a Severního Irska o zřízení prováděcích subjektů“ podepsané dne 8. března 1999 (britsko-irská dohoda ze dne 8. března 1999). Vzhledem k tomu, že uvedené dva programy spolupráce zahrnují Severní Irsko, měly by pokračovat a být doplněny o nezbytná ustanovení. </w:t>
      </w:r>
    </w:p>
    <w:p>
      <w:pPr>
        <w:pStyle w:val="ManualConsidrant"/>
        <w:rPr>
          <w:noProof/>
        </w:rPr>
      </w:pPr>
      <w:r>
        <w:t>(5)</w:t>
      </w:r>
      <w:r>
        <w:tab/>
      </w:r>
      <w:r>
        <w:rPr>
          <w:noProof/>
        </w:rPr>
        <w:t>Pro účely pokračování uvedených programů by mělo být objasněno, že aniž je dotčen čl. 20 odst. 2 a 3 nařízení (EU) č. 1299/2013, mohou dotčené programy spolupráce zahrnovat zúčastněné regiony ve Spojeném království, které by měly odpovídat regionům úrovně NUTS 3.</w:t>
      </w:r>
    </w:p>
    <w:p>
      <w:pPr>
        <w:pStyle w:val="ManualConsidrant"/>
        <w:rPr>
          <w:noProof/>
        </w:rPr>
      </w:pPr>
      <w:r>
        <w:t>(6)</w:t>
      </w:r>
      <w:r>
        <w:tab/>
      </w:r>
      <w:r>
        <w:rPr>
          <w:noProof/>
        </w:rPr>
        <w:t xml:space="preserve">Pro účely pokračování uvedených programů s financováním ze souhrnného rozpočtu EU by měla být ode dne, kdy pro Spojené království a ve Spojeném království přestanou platit Smlouvy, uzavřena správní dohoda mezi Komisí a orgány Spojeného království, aby bylo možné provádět kontroly a audity příslušných programů. Pokud nelze provést nezbytné kontroly a audity, měla by mít Komise možnost přerušit běh platebních lhůt, pozastavit platby a uplatnit finanční opravy stanovené v článcích 83, 142, 144 a 145 nařízení (EU) č. 1303/2013. </w:t>
      </w:r>
    </w:p>
    <w:p>
      <w:pPr>
        <w:pStyle w:val="ManualConsidrant"/>
        <w:rPr>
          <w:noProof/>
        </w:rPr>
      </w:pPr>
      <w:r>
        <w:t>(7)</w:t>
      </w:r>
      <w:r>
        <w:tab/>
      </w:r>
      <w:r>
        <w:rPr>
          <w:noProof/>
        </w:rPr>
        <w:t>V souladu s článkem 76 nařízení (EU) č. 1303/2013 mají rozhodnutí Komise o schválení programu PEACE IV (Irsko-Spojené království), tj. C(2015) 8564 ze dne 30. listopadu 2015, ve znění rozhodnutí C(2018) 5126 ze dne 26. července 2018, a programu Interreg VA, tj. C(2015) 890 ze dne 12. února 2015, ve znění rozhodnutí C(2016) 1547 ze dne 10. března 2016, nadále představovat rozhodnutí o financování ve smyslu finančního nařízení, a tím i právní závazek ve smyslu uvedeného nařízení. Spojené království zůstává odpovědné za své finanční závazky, které přijalo jakožto členský stát a které se vztahují k těmto právním závazkům Unie.</w:t>
      </w:r>
    </w:p>
    <w:p>
      <w:pPr>
        <w:pStyle w:val="ManualConsidrant"/>
        <w:rPr>
          <w:noProof/>
        </w:rPr>
      </w:pPr>
      <w:r>
        <w:t>(8)</w:t>
      </w:r>
      <w:r>
        <w:tab/>
      </w:r>
      <w:r>
        <w:rPr>
          <w:noProof/>
        </w:rPr>
        <w:t>Spojené království přestane ode dne, kdy přestanou platit Smlouvy, být součástí „unijní části programové oblasti“ ve smyslu čl. 20 odst. 1 nařízení (EU) č. 1299/2013. Proto by měla být upravena ustanovení o způsobilosti operací v závislosti na lokalitě.</w:t>
      </w:r>
    </w:p>
    <w:p>
      <w:pPr>
        <w:pStyle w:val="ManualConsidrant"/>
        <w:rPr>
          <w:noProof/>
        </w:rPr>
      </w:pPr>
      <w:r>
        <w:t>(9)</w:t>
      </w:r>
      <w:r>
        <w:tab/>
      </w:r>
      <w:r>
        <w:rPr>
          <w:noProof/>
        </w:rPr>
        <w:t>S cílem umožnit co nejrychlejší uplatňování opatření stanovených tímto nařízením by toto nařízení mělo vstoupit v platnost prvním dnem po vyhlášení v </w:t>
      </w:r>
      <w:r>
        <w:rPr>
          <w:i/>
          <w:noProof/>
        </w:rPr>
        <w:t>Úředním věstníku Evropské unie</w:t>
      </w:r>
      <w:r>
        <w:rPr>
          <w:noProof/>
        </w:rPr>
        <w:t>. Toto nařízení by se mělo použít pouze tehdy, pokud ke dni, kdy pro Spojené království a ve Spojeném království přestanou platit Smlouvy podle čl. 50 odst. 3 Smlouvy o Evropské unii, nevstoupí v platnost dohoda o vystoupení uzavřená se Spojeným královstvím podle čl. 50 odst. 2 Smlouvy o Evropské unii,</w:t>
      </w:r>
    </w:p>
    <w:p>
      <w:pPr>
        <w:pStyle w:val="Formuledadoption"/>
        <w:rPr>
          <w:noProof/>
        </w:rPr>
      </w:pPr>
      <w:r>
        <w:rPr>
          <w:noProof/>
        </w:rPr>
        <w:lastRenderedPageBreak/>
        <w:t>PŘIJALY TOTO NAŘÍZENÍ:</w:t>
      </w:r>
    </w:p>
    <w:p>
      <w:pPr>
        <w:pStyle w:val="Titrearticle"/>
        <w:rPr>
          <w:noProof/>
        </w:rPr>
      </w:pPr>
      <w:r>
        <w:rPr>
          <w:noProof/>
        </w:rPr>
        <w:t>Článek 1</w:t>
      </w:r>
      <w:r>
        <w:rPr>
          <w:noProof/>
        </w:rPr>
        <w:br/>
      </w:r>
      <w:r>
        <w:rPr>
          <w:b/>
          <w:noProof/>
        </w:rPr>
        <w:t>Předmět a oblast působnosti</w:t>
      </w:r>
    </w:p>
    <w:p>
      <w:pPr>
        <w:rPr>
          <w:noProof/>
        </w:rPr>
      </w:pPr>
      <w:r>
        <w:rPr>
          <w:noProof/>
        </w:rPr>
        <w:t xml:space="preserve">Toto nařízení stanoví ustanovení pro řešení důsledků vystoupení Spojeného království z Unie v situaci, kdy do data, k němuž pro Spojené království a ve Spojeném království přestanou platit Smlouvy podle čl. 50 odst. 3 Smlouvy o Evropské unii, nevstoupí v platnost dohoda o vystoupení uzavřená se Spojeným královstvím podle čl. 50 odst. 2 Smlouvy o Evropské unii, a s ohledem na pokračování následujících dvou programů spolupráce, na něž se vztahuje nařízení (EU) č. 1299/2013, s účastí Spojeného království (dále jen „programy spolupráce“): </w:t>
      </w:r>
    </w:p>
    <w:p>
      <w:pPr>
        <w:pStyle w:val="Point0"/>
        <w:rPr>
          <w:noProof/>
        </w:rPr>
      </w:pPr>
      <w:r>
        <w:rPr>
          <w:noProof/>
        </w:rPr>
        <w:t>1)</w:t>
      </w:r>
      <w:r>
        <w:rPr>
          <w:noProof/>
        </w:rPr>
        <w:tab/>
        <w:t xml:space="preserve">PEACE IV (Irsko-Spojené království); </w:t>
      </w:r>
    </w:p>
    <w:p>
      <w:pPr>
        <w:pStyle w:val="Point0"/>
        <w:rPr>
          <w:noProof/>
        </w:rPr>
      </w:pPr>
      <w:r>
        <w:rPr>
          <w:noProof/>
        </w:rPr>
        <w:t>2)</w:t>
      </w:r>
      <w:r>
        <w:rPr>
          <w:noProof/>
        </w:rPr>
        <w:tab/>
        <w:t>Spojené království-Irsko (Irsko-Severní Irsko-Skotsko).</w:t>
      </w:r>
    </w:p>
    <w:p>
      <w:pPr>
        <w:rPr>
          <w:noProof/>
        </w:rPr>
      </w:pPr>
      <w:r>
        <w:rPr>
          <w:noProof/>
        </w:rPr>
        <w:t xml:space="preserve">Nařízení (EU) č. 1299/2013 se nadále použije na programy spolupráce, na něž se vztahují ustanovení tohoto nařízení. </w:t>
      </w:r>
    </w:p>
    <w:p>
      <w:pPr>
        <w:pStyle w:val="Titrearticle"/>
        <w:ind w:left="1080"/>
        <w:rPr>
          <w:noProof/>
        </w:rPr>
      </w:pPr>
      <w:r>
        <w:rPr>
          <w:noProof/>
        </w:rPr>
        <w:t xml:space="preserve">Článek 2 </w:t>
      </w:r>
      <w:r>
        <w:rPr>
          <w:noProof/>
        </w:rPr>
        <w:br/>
      </w:r>
      <w:r>
        <w:rPr>
          <w:b/>
          <w:noProof/>
        </w:rPr>
        <w:t>Zeměpisné pokrytí</w:t>
      </w:r>
    </w:p>
    <w:p>
      <w:pPr>
        <w:rPr>
          <w:noProof/>
        </w:rPr>
      </w:pPr>
      <w:r>
        <w:rPr>
          <w:noProof/>
        </w:rPr>
        <w:t>Aniž je dotčen čl. 20 odst. 2 a 3 nařízení (EU) č. 1299/2013, mohou uvedené programy spolupráce zahrnovat zúčastněné regiony ve Spojeném království, které odpovídají regionům úrovně NUTS 3.</w:t>
      </w:r>
    </w:p>
    <w:p>
      <w:pPr>
        <w:pStyle w:val="Titrearticle"/>
        <w:rPr>
          <w:noProof/>
        </w:rPr>
      </w:pPr>
      <w:r>
        <w:rPr>
          <w:noProof/>
        </w:rPr>
        <w:t>Článek 3</w:t>
      </w:r>
      <w:r>
        <w:rPr>
          <w:noProof/>
        </w:rPr>
        <w:br/>
      </w:r>
      <w:r>
        <w:rPr>
          <w:b/>
          <w:noProof/>
        </w:rPr>
        <w:t>Orgány odpovědné za programy</w:t>
      </w:r>
    </w:p>
    <w:p>
      <w:pPr>
        <w:rPr>
          <w:noProof/>
        </w:rPr>
      </w:pPr>
      <w:r>
        <w:rPr>
          <w:noProof/>
        </w:rPr>
        <w:t>Odchylně od čl. 21 odst. 1 nařízení (EU) č. 1299/2013 platí, že:</w:t>
      </w:r>
    </w:p>
    <w:p>
      <w:pPr>
        <w:pStyle w:val="ListDash"/>
        <w:rPr>
          <w:noProof/>
        </w:rPr>
      </w:pPr>
      <w:r>
        <w:rPr>
          <w:noProof/>
        </w:rPr>
        <w:t>Úřad pro zvláštní programy EU (dále jen „SEUPB“), v němž působí řídicí orgán a certifikační orgán programu PEACE IV (Irsko-Spojené království) a programu Spojené království-Irsko (Irsko-Severní Irsko-Skotsko), nadále plní své funkce,</w:t>
      </w:r>
    </w:p>
    <w:p>
      <w:pPr>
        <w:pStyle w:val="ListDash"/>
        <w:spacing w:before="0" w:after="200" w:line="276" w:lineRule="auto"/>
        <w:jc w:val="left"/>
        <w:rPr>
          <w:i/>
          <w:noProof/>
        </w:rPr>
      </w:pPr>
      <w:r>
        <w:rPr>
          <w:noProof/>
        </w:rPr>
        <w:t xml:space="preserve">auditním orgánem těchto programů zůstává ministerstvo financí Severního Irska. </w:t>
      </w:r>
      <w:r>
        <w:rPr>
          <w:noProof/>
        </w:rPr>
        <w:br w:type="page"/>
      </w:r>
    </w:p>
    <w:p>
      <w:pPr>
        <w:pStyle w:val="Titrearticle"/>
        <w:rPr>
          <w:b/>
          <w:i w:val="0"/>
          <w:noProof/>
          <w:szCs w:val="24"/>
        </w:rPr>
      </w:pPr>
      <w:r>
        <w:rPr>
          <w:noProof/>
        </w:rPr>
        <w:lastRenderedPageBreak/>
        <w:t>Článek 4</w:t>
      </w:r>
      <w:r>
        <w:rPr>
          <w:noProof/>
        </w:rPr>
        <w:br/>
      </w:r>
      <w:r>
        <w:rPr>
          <w:b/>
          <w:noProof/>
        </w:rPr>
        <w:t>Pravomoci Komise v oblasti kontrol</w:t>
      </w:r>
    </w:p>
    <w:p>
      <w:pPr>
        <w:rPr>
          <w:noProof/>
        </w:rPr>
      </w:pPr>
      <w:r>
        <w:rPr>
          <w:noProof/>
        </w:rPr>
        <w:t>Komise a orgány Spojeného království se dohodnou na uplatňování pravidel týkajících se kontrol a auditu příslušných programů. Kontroly a audity se týkají celého období programů spolupráce.</w:t>
      </w:r>
    </w:p>
    <w:p>
      <w:pPr>
        <w:rPr>
          <w:noProof/>
        </w:rPr>
      </w:pPr>
      <w:r>
        <w:rPr>
          <w:noProof/>
        </w:rPr>
        <w:t>Pokud nelze nezbytné kontroly a audit programů provádět ve všech dotčených regionech, představuje to závažný nedostatek v řídicím a kontrolním systému pro účely opatření stanovených v článcích 83, 142, 144 a 145 nařízení (EU) č. 1303/2013.</w:t>
      </w:r>
    </w:p>
    <w:p>
      <w:pPr>
        <w:pStyle w:val="Titrearticle"/>
        <w:rPr>
          <w:noProof/>
        </w:rPr>
      </w:pPr>
      <w:r>
        <w:rPr>
          <w:noProof/>
        </w:rPr>
        <w:t>Článek 5</w:t>
      </w:r>
      <w:r>
        <w:rPr>
          <w:noProof/>
        </w:rPr>
        <w:br/>
      </w:r>
      <w:r>
        <w:rPr>
          <w:b/>
          <w:noProof/>
        </w:rPr>
        <w:t>Způsobilost operací v závislosti na lokalitě</w:t>
      </w:r>
    </w:p>
    <w:p>
      <w:pPr>
        <w:rPr>
          <w:noProof/>
        </w:rPr>
      </w:pPr>
      <w:r>
        <w:rPr>
          <w:noProof/>
        </w:rPr>
        <w:t>Na programy spolupráce se nevztahuje strop stanovený v čl. 20 odst. 2 písm. b) nařízení (EU) č. 1299/2013.</w:t>
      </w:r>
    </w:p>
    <w:p>
      <w:pPr>
        <w:pStyle w:val="Titrearticle"/>
        <w:rPr>
          <w:noProof/>
        </w:rPr>
      </w:pPr>
      <w:r>
        <w:rPr>
          <w:noProof/>
        </w:rPr>
        <w:t>Článek 6</w:t>
      </w:r>
      <w:r>
        <w:br/>
      </w:r>
      <w:r>
        <w:rPr>
          <w:b/>
          <w:noProof/>
        </w:rPr>
        <w:t>Vstup v platnost a použitelnost</w:t>
      </w:r>
    </w:p>
    <w:p>
      <w:pPr>
        <w:rPr>
          <w:noProof/>
        </w:rPr>
      </w:pPr>
      <w:r>
        <w:rPr>
          <w:noProof/>
        </w:rPr>
        <w:t xml:space="preserve">Toto nařízení vstupuje v platnost prvním dnem po vyhlášení v </w:t>
      </w:r>
      <w:r>
        <w:rPr>
          <w:i/>
          <w:noProof/>
        </w:rPr>
        <w:t>Úředním věstníku Evropské unie</w:t>
      </w:r>
      <w:r>
        <w:rPr>
          <w:noProof/>
        </w:rPr>
        <w:t xml:space="preserve">. </w:t>
      </w:r>
    </w:p>
    <w:p>
      <w:pPr>
        <w:keepNext/>
        <w:rPr>
          <w:noProof/>
        </w:rPr>
      </w:pPr>
      <w:r>
        <w:rPr>
          <w:noProof/>
        </w:rPr>
        <w:t>Použije se ode dne následujícího po dni, kdy pro Spojené království a ve Spojeném království přestanou platit Smlouvy podle čl. 50 odst. 3 Smlouvy o Evropské unii.</w:t>
      </w:r>
    </w:p>
    <w:p>
      <w:pPr>
        <w:keepNext/>
        <w:rPr>
          <w:noProof/>
        </w:rPr>
      </w:pPr>
      <w:r>
        <w:rPr>
          <w:noProof/>
        </w:rPr>
        <w:t>Toto nařízení se však nepoužije, pokud k uvedenému dni vstoupí v platnost dohoda o vystoupení uzavřená se Spojeným královstvím podle čl. 50 odst. 2 Smlouvy o Evropské unii.</w:t>
      </w:r>
    </w:p>
    <w:p>
      <w:pPr>
        <w:pStyle w:val="Applicationdirecte"/>
        <w:rPr>
          <w:noProof/>
        </w:rPr>
      </w:pPr>
      <w:r>
        <w:rPr>
          <w:noProof/>
        </w:rPr>
        <w:t>Toto nařízení je závazné v celém rozsahu a přímo použitelné ve všech členských státech.</w:t>
      </w:r>
    </w:p>
    <w:p>
      <w:pPr>
        <w:pStyle w:val="Fait"/>
        <w:rPr>
          <w:noProof/>
        </w:rPr>
      </w:pPr>
      <w:r>
        <w:t>V Bruselu dne</w:t>
      </w:r>
    </w:p>
    <w:p>
      <w:pPr>
        <w:pStyle w:val="Institutionquisigne"/>
        <w:rPr>
          <w:noProof/>
        </w:rPr>
      </w:pPr>
      <w:r>
        <w:rPr>
          <w:noProof/>
        </w:rPr>
        <w:t>Za Evropský parlament</w:t>
      </w:r>
      <w:r>
        <w:rPr>
          <w:noProof/>
        </w:rPr>
        <w:tab/>
        <w:t>Za Radu</w:t>
      </w:r>
    </w:p>
    <w:p>
      <w:pPr>
        <w:pStyle w:val="Personnequisigne"/>
        <w:rPr>
          <w:i w:val="0"/>
          <w:noProof/>
        </w:rPr>
      </w:pPr>
      <w:r>
        <w:rPr>
          <w:noProof/>
        </w:rPr>
        <w:t>předseda/předsedkyně</w:t>
      </w:r>
      <w:r>
        <w:rPr>
          <w:noProof/>
        </w:rPr>
        <w:tab/>
        <w:t>předseda/předsedkyně</w:t>
      </w:r>
    </w:p>
    <w:p>
      <w:pPr>
        <w:pStyle w:val="Personnequisigne"/>
        <w:rPr>
          <w:noProof/>
        </w:rPr>
        <w:sectPr>
          <w:pgSz w:w="11907" w:h="16839"/>
          <w:pgMar w:top="1134" w:right="1417" w:bottom="1134" w:left="1417" w:header="709" w:footer="709" w:gutter="0"/>
          <w:cols w:space="708"/>
          <w:docGrid w:linePitch="360"/>
        </w:sectPr>
      </w:pPr>
    </w:p>
    <w:p>
      <w:pPr>
        <w:pStyle w:val="Fichefinanciretitre"/>
        <w:rPr>
          <w:noProof/>
        </w:rPr>
      </w:pPr>
      <w:r>
        <w:rPr>
          <w:noProof/>
        </w:rPr>
        <w:lastRenderedPageBreak/>
        <w:t>LEGISLATIVNÍ FINANČNÍ VÝKAZ</w:t>
      </w:r>
    </w:p>
    <w:p>
      <w:pPr>
        <w:pStyle w:val="ManualHeading1"/>
        <w:rPr>
          <w:noProof/>
        </w:rPr>
      </w:pPr>
      <w:bookmarkStart w:id="1" w:name="_Toc514938007"/>
      <w:bookmarkStart w:id="2" w:name="_Toc520485025"/>
      <w:r>
        <w:t>1.</w:t>
      </w:r>
      <w:r>
        <w:tab/>
      </w:r>
      <w:r>
        <w:rPr>
          <w:noProof/>
        </w:rPr>
        <w:t>RÁMEC NÁVRHU/PODNĚTU</w:t>
      </w:r>
      <w:bookmarkEnd w:id="1"/>
      <w:bookmarkEnd w:id="2"/>
      <w:r>
        <w:rPr>
          <w:noProof/>
        </w:rPr>
        <w:t xml:space="preserve"> </w:t>
      </w:r>
    </w:p>
    <w:p>
      <w:pPr>
        <w:pStyle w:val="ManualHeading2"/>
        <w:rPr>
          <w:noProof/>
        </w:rPr>
      </w:pPr>
      <w:bookmarkStart w:id="3" w:name="_Toc514938008"/>
      <w:bookmarkStart w:id="4" w:name="_Toc520485026"/>
      <w:r>
        <w:t>1.1.</w:t>
      </w:r>
      <w:r>
        <w:tab/>
      </w:r>
      <w:r>
        <w:rPr>
          <w:noProof/>
        </w:rPr>
        <w:t>Název návrhu/podnětu</w:t>
      </w:r>
      <w:bookmarkEnd w:id="3"/>
      <w:bookmarkEnd w:id="4"/>
    </w:p>
    <w:p>
      <w:pPr>
        <w:pStyle w:val="ManualHeading2"/>
        <w:rPr>
          <w:noProof/>
        </w:rPr>
      </w:pPr>
      <w:bookmarkStart w:id="5" w:name="_Toc514938011"/>
      <w:bookmarkStart w:id="6" w:name="_Toc520485027"/>
      <w:r>
        <w:t>1.2.</w:t>
      </w:r>
      <w:r>
        <w:tab/>
      </w:r>
      <w:r>
        <w:rPr>
          <w:noProof/>
        </w:rPr>
        <w:t>Příslušné oblasti politik</w:t>
      </w:r>
      <w:bookmarkEnd w:id="5"/>
      <w:bookmarkEnd w:id="6"/>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Návrh nařízení Evropského parlamentu a Rady o zvláštních ustanoveních pro řízení programů Evropské územní spolupráce v souvislosti s vystoupením Spojeného království z Evropské unie</w:t>
      </w:r>
    </w:p>
    <w:p>
      <w:pPr>
        <w:pStyle w:val="ManualHeading2"/>
        <w:rPr>
          <w:bCs/>
          <w:noProof/>
          <w:szCs w:val="24"/>
        </w:rPr>
      </w:pPr>
      <w:bookmarkStart w:id="7" w:name="_Toc514938025"/>
      <w:bookmarkStart w:id="8" w:name="_Toc520485034"/>
      <w:r>
        <w:t>1.3.</w:t>
      </w:r>
      <w:r>
        <w:tab/>
      </w:r>
      <w:r>
        <w:rPr>
          <w:noProof/>
        </w:rPr>
        <w:t>Odůvodnění návrhu/podnětu</w:t>
      </w:r>
      <w:bookmarkEnd w:id="7"/>
      <w:bookmarkEnd w:id="8"/>
      <w:r>
        <w:rPr>
          <w:noProof/>
        </w:rPr>
        <w:t xml:space="preserve"> </w:t>
      </w:r>
    </w:p>
    <w:p>
      <w:pPr>
        <w:pStyle w:val="ManualHeading3"/>
        <w:rPr>
          <w:noProof/>
        </w:rPr>
      </w:pPr>
      <w:bookmarkStart w:id="9" w:name="_Toc514938026"/>
      <w:bookmarkStart w:id="10" w:name="_Toc520485035"/>
      <w:r>
        <w:t>1.3.1.</w:t>
      </w:r>
      <w:r>
        <w:tab/>
      </w:r>
      <w:r>
        <w:rPr>
          <w:noProof/>
        </w:rPr>
        <w:t>Potřeby, které mají být uspokojeny v krátkodobém nebo dlouhodobém horizontu, včetně podrobného harmonogramu pro zahajovací fázi provádění podnětu</w:t>
      </w:r>
      <w:bookmarkEnd w:id="9"/>
      <w:bookmarkEnd w:id="10"/>
    </w:p>
    <w:p>
      <w:pPr>
        <w:pStyle w:val="Text1"/>
        <w:pBdr>
          <w:top w:val="single" w:sz="4" w:space="1" w:color="auto"/>
          <w:left w:val="single" w:sz="4" w:space="4" w:color="auto"/>
          <w:bottom w:val="single" w:sz="4" w:space="1" w:color="auto"/>
          <w:right w:val="single" w:sz="4" w:space="4" w:color="auto"/>
        </w:pBdr>
        <w:rPr>
          <w:noProof/>
        </w:rPr>
      </w:pPr>
      <w:r>
        <w:rPr>
          <w:noProof/>
        </w:rPr>
        <w:t xml:space="preserve">Toto nařízení vstupuje v platnost prvním dnem po vyhlášení v </w:t>
      </w:r>
      <w:r>
        <w:rPr>
          <w:i/>
          <w:noProof/>
        </w:rPr>
        <w:t>Úředním věstníku Evropské unie</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Použije se ode dne následujícího po dni, kdy pro Spojené království a ve Spojeném království přestanou platit Smlouvy podle čl. 50 odst. 3 Smlouvy o Evropské unii.</w:t>
      </w:r>
    </w:p>
    <w:p>
      <w:pPr>
        <w:pStyle w:val="Text1"/>
        <w:pBdr>
          <w:top w:val="single" w:sz="4" w:space="1" w:color="auto"/>
          <w:left w:val="single" w:sz="4" w:space="4" w:color="auto"/>
          <w:bottom w:val="single" w:sz="4" w:space="1" w:color="auto"/>
          <w:right w:val="single" w:sz="4" w:space="4" w:color="auto"/>
        </w:pBdr>
        <w:rPr>
          <w:noProof/>
        </w:rPr>
      </w:pPr>
      <w:r>
        <w:rPr>
          <w:noProof/>
        </w:rPr>
        <w:t>Toto nařízení se nepoužije, pokud k uvedenému dni vstoupí v platnost dohoda o vystoupení uzavřená se Spojeným královstvím podle čl. 50 odst. 2 Smlouvy o Evropské unii.</w:t>
      </w:r>
    </w:p>
    <w:p>
      <w:pPr>
        <w:pStyle w:val="ManualHeading3"/>
        <w:rPr>
          <w:bCs/>
          <w:noProof/>
          <w:szCs w:val="24"/>
        </w:rPr>
      </w:pPr>
      <w:bookmarkStart w:id="11" w:name="_Toc514938029"/>
      <w:bookmarkStart w:id="12" w:name="_Toc520485036"/>
      <w:r>
        <w:t>1.3.2.</w:t>
      </w:r>
      <w:r>
        <w:tab/>
      </w:r>
      <w:r>
        <w:rPr>
          <w:noProof/>
        </w:rPr>
        <w:t>Přidaná hodnota ze zapojení Unie (může být důsledkem různých faktorů, např. přínosů z koordinace, právní jistoty, vyšší účinnosti nebo doplňkovosti). Pro účely tohoto bodu se „přidanou hodnotou ze zapojení Unie“ rozumí hodnota plynoucí ze zásahu Unie, jež doplňuje hodnotu, která by jinak vznikla činností samotných členských států.</w:t>
      </w:r>
      <w:bookmarkEnd w:id="11"/>
      <w:bookmarkEnd w:id="12"/>
    </w:p>
    <w:p>
      <w:pPr>
        <w:pStyle w:val="Text1"/>
        <w:pBdr>
          <w:top w:val="single" w:sz="4" w:space="1" w:color="auto"/>
          <w:left w:val="single" w:sz="4" w:space="4" w:color="auto"/>
          <w:bottom w:val="single" w:sz="4" w:space="1" w:color="auto"/>
          <w:right w:val="single" w:sz="4" w:space="4" w:color="auto"/>
        </w:pBdr>
        <w:rPr>
          <w:noProof/>
        </w:rPr>
      </w:pPr>
      <w:r>
        <w:t>Nepoužije se</w:t>
      </w:r>
    </w:p>
    <w:p>
      <w:pPr>
        <w:pStyle w:val="ManualHeading3"/>
        <w:rPr>
          <w:noProof/>
        </w:rPr>
      </w:pPr>
      <w:bookmarkStart w:id="13" w:name="_Toc514938030"/>
      <w:bookmarkStart w:id="14" w:name="_Toc520485037"/>
      <w:r>
        <w:t>1.3.3.</w:t>
      </w:r>
      <w:r>
        <w:tab/>
      </w:r>
      <w:r>
        <w:rPr>
          <w:noProof/>
        </w:rPr>
        <w:t>Závěry vyvozené z podobných zkušeností v minulosti</w:t>
      </w:r>
      <w:bookmarkEnd w:id="13"/>
      <w:bookmarkEnd w:id="14"/>
    </w:p>
    <w:p>
      <w:pPr>
        <w:pStyle w:val="Text1"/>
        <w:pBdr>
          <w:top w:val="single" w:sz="4" w:space="1" w:color="auto"/>
          <w:left w:val="single" w:sz="4" w:space="4" w:color="auto"/>
          <w:bottom w:val="single" w:sz="4" w:space="1" w:color="auto"/>
          <w:right w:val="single" w:sz="4" w:space="4" w:color="auto"/>
        </w:pBdr>
        <w:rPr>
          <w:noProof/>
        </w:rPr>
      </w:pPr>
      <w:r>
        <w:t>Nepoužije se</w:t>
      </w:r>
    </w:p>
    <w:p>
      <w:pPr>
        <w:pStyle w:val="ManualHeading3"/>
        <w:rPr>
          <w:noProof/>
        </w:rPr>
      </w:pPr>
      <w:bookmarkStart w:id="15" w:name="_Toc514938033"/>
      <w:bookmarkStart w:id="16" w:name="_Toc520485038"/>
      <w:r>
        <w:t>1.3.4.</w:t>
      </w:r>
      <w:r>
        <w:tab/>
      </w:r>
      <w:r>
        <w:rPr>
          <w:noProof/>
        </w:rPr>
        <w:t>Slučitelnost s víceletým finančním rámcem a možné synergie s dalšími vhodnými nástroji</w:t>
      </w:r>
      <w:bookmarkEnd w:id="15"/>
      <w:bookmarkEnd w:id="16"/>
    </w:p>
    <w:p>
      <w:pPr>
        <w:pStyle w:val="Text1"/>
        <w:pBdr>
          <w:top w:val="single" w:sz="4" w:space="1" w:color="auto"/>
          <w:left w:val="single" w:sz="4" w:space="4" w:color="auto"/>
          <w:bottom w:val="single" w:sz="4" w:space="1" w:color="auto"/>
          <w:right w:val="single" w:sz="4" w:space="4" w:color="auto"/>
        </w:pBdr>
        <w:rPr>
          <w:noProof/>
        </w:rPr>
      </w:pPr>
      <w:r>
        <w:rPr>
          <w:noProof/>
        </w:rPr>
        <w:t>Toto nařízení je slučitelné s víceletým finančním rámcem. Nemá žádný finanční dopad.</w:t>
      </w:r>
    </w:p>
    <w:p>
      <w:pPr>
        <w:pStyle w:val="ManualHeading3"/>
        <w:rPr>
          <w:noProof/>
        </w:rPr>
      </w:pPr>
      <w:bookmarkStart w:id="17" w:name="_Toc514938036"/>
      <w:bookmarkStart w:id="18" w:name="_Toc520485039"/>
      <w:r>
        <w:t>1.3.5.</w:t>
      </w:r>
      <w:r>
        <w:tab/>
      </w:r>
      <w:r>
        <w:rPr>
          <w:noProof/>
        </w:rPr>
        <w:t>Posouzení různých dostupných možností financování, včetně prostoru pro přerozdělení prostředků</w:t>
      </w:r>
      <w:bookmarkEnd w:id="17"/>
      <w:bookmarkEnd w:id="18"/>
    </w:p>
    <w:p>
      <w:pPr>
        <w:pStyle w:val="Text1"/>
        <w:pBdr>
          <w:top w:val="single" w:sz="4" w:space="1" w:color="auto"/>
          <w:left w:val="single" w:sz="4" w:space="4" w:color="auto"/>
          <w:bottom w:val="single" w:sz="4" w:space="0" w:color="auto"/>
          <w:right w:val="single" w:sz="4" w:space="4" w:color="auto"/>
        </w:pBdr>
        <w:rPr>
          <w:noProof/>
        </w:rPr>
      </w:pPr>
      <w:r>
        <w:rPr>
          <w:noProof/>
        </w:rPr>
        <w:t>Toto nařízení nemá žádný finanční dopad. Příspěvek Unie na programy bude financován ze souhrnného rozpočtu Unie.</w:t>
      </w:r>
    </w:p>
    <w:p>
      <w:pPr>
        <w:pStyle w:val="Text1"/>
        <w:rPr>
          <w:noProof/>
        </w:rPr>
      </w:pPr>
    </w:p>
    <w:p>
      <w:pPr>
        <w:pStyle w:val="ManualHeading2"/>
        <w:rPr>
          <w:bCs/>
          <w:noProof/>
          <w:szCs w:val="24"/>
        </w:rPr>
      </w:pPr>
      <w:r>
        <w:rPr>
          <w:noProof/>
        </w:rPr>
        <w:br w:type="page"/>
      </w:r>
      <w:bookmarkStart w:id="19" w:name="_Toc514938039"/>
      <w:bookmarkStart w:id="20" w:name="_Toc520485040"/>
      <w:r>
        <w:lastRenderedPageBreak/>
        <w:t>1.4.</w:t>
      </w:r>
      <w:r>
        <w:tab/>
      </w:r>
      <w:r>
        <w:rPr>
          <w:noProof/>
        </w:rPr>
        <w:t>Doba trvání a finanční dopad návrhu/podnětu</w:t>
      </w:r>
      <w:bookmarkEnd w:id="19"/>
      <w:bookmarkEnd w:id="20"/>
    </w:p>
    <w:p>
      <w:pPr>
        <w:pStyle w:val="ListDash1"/>
        <w:rPr>
          <w:noProof/>
        </w:rPr>
      </w:pPr>
      <w:r>
        <w:rPr>
          <w:b/>
          <w:noProof/>
        </w:rPr>
        <w:t>X</w:t>
      </w:r>
      <w:r>
        <w:rPr>
          <w:noProof/>
        </w:rPr>
        <w:t xml:space="preserve"> žádný finanční dopad</w:t>
      </w:r>
    </w:p>
    <w:p>
      <w:pPr>
        <w:pStyle w:val="ManualHeading2"/>
        <w:rPr>
          <w:bCs/>
          <w:noProof/>
          <w:szCs w:val="24"/>
        </w:rPr>
      </w:pPr>
      <w:bookmarkStart w:id="21" w:name="_Toc514938040"/>
      <w:bookmarkStart w:id="22" w:name="_Toc520485041"/>
      <w:r>
        <w:t>1.5.</w:t>
      </w:r>
      <w:r>
        <w:tab/>
      </w:r>
      <w:r>
        <w:rPr>
          <w:noProof/>
        </w:rPr>
        <w:t>Předpokládaný způsob řízení</w:t>
      </w:r>
      <w:r>
        <w:rPr>
          <w:rStyle w:val="FootnoteReference"/>
          <w:noProof/>
        </w:rPr>
        <w:footnoteReference w:id="9"/>
      </w:r>
      <w:bookmarkEnd w:id="21"/>
      <w:bookmarkEnd w:id="22"/>
      <w:r>
        <w:rPr>
          <w:rStyle w:val="FootnoteReference"/>
          <w:noProof/>
        </w:rPr>
        <w:t xml:space="preserve"> </w:t>
      </w:r>
    </w:p>
    <w:p>
      <w:pPr>
        <w:pStyle w:val="Text1"/>
        <w:rPr>
          <w:noProof/>
        </w:rPr>
      </w:pPr>
      <w:r>
        <w:rPr>
          <w:noProof/>
        </w:rPr>
        <w:sym w:font="Wingdings" w:char="F0A8"/>
      </w:r>
      <w:r>
        <w:rPr>
          <w:i/>
          <w:noProof/>
        </w:rPr>
        <w:t xml:space="preserve"> </w:t>
      </w:r>
      <w:r>
        <w:rPr>
          <w:b/>
          <w:noProof/>
        </w:rPr>
        <w:t>Přímé řízení</w:t>
      </w:r>
      <w:r>
        <w:rPr>
          <w:noProof/>
        </w:rPr>
        <w:t xml:space="preserve"> Komisí</w:t>
      </w:r>
    </w:p>
    <w:p>
      <w:pPr>
        <w:pStyle w:val="ListDash2"/>
        <w:rPr>
          <w:rFonts w:cs="EUAlbertina"/>
          <w:noProof/>
        </w:rPr>
      </w:pPr>
      <w:r>
        <w:rPr>
          <w:noProof/>
        </w:rPr>
        <w:sym w:font="Wingdings" w:char="F0A8"/>
      </w:r>
      <w:r>
        <w:rPr>
          <w:noProof/>
        </w:rPr>
        <w:t xml:space="preserve"> prostřednictvím jejích útvarů, včetně jejích zaměstnanců v delegacích Unie, </w:t>
      </w:r>
    </w:p>
    <w:p>
      <w:pPr>
        <w:pStyle w:val="ListDash2"/>
        <w:rPr>
          <w:noProof/>
        </w:rPr>
      </w:pPr>
      <w:r>
        <w:rPr>
          <w:noProof/>
        </w:rPr>
        <w:sym w:font="Wingdings" w:char="F0A8"/>
      </w:r>
      <w:r>
        <w:rPr>
          <w:noProof/>
        </w:rPr>
        <w:tab/>
        <w:t xml:space="preserve">prostřednictvím výkonných agentur. </w:t>
      </w:r>
    </w:p>
    <w:p>
      <w:pPr>
        <w:pStyle w:val="Text1"/>
        <w:rPr>
          <w:noProof/>
        </w:rPr>
      </w:pPr>
      <w:r>
        <w:rPr>
          <w:b/>
          <w:noProof/>
        </w:rPr>
        <w:t>X</w:t>
      </w:r>
      <w:r>
        <w:rPr>
          <w:b/>
          <w:i/>
          <w:noProof/>
        </w:rPr>
        <w:t xml:space="preserve"> </w:t>
      </w:r>
      <w:r>
        <w:rPr>
          <w:b/>
          <w:noProof/>
        </w:rPr>
        <w:t>Sdílené řízení</w:t>
      </w:r>
      <w:r>
        <w:rPr>
          <w:noProof/>
        </w:rPr>
        <w:t xml:space="preserve"> s členskými státy </w:t>
      </w:r>
    </w:p>
    <w:p>
      <w:pPr>
        <w:pStyle w:val="Text1"/>
        <w:rPr>
          <w:noProof/>
        </w:rPr>
      </w:pPr>
      <w:r>
        <w:rPr>
          <w:noProof/>
        </w:rPr>
        <w:sym w:font="Wingdings" w:char="F0A8"/>
      </w:r>
      <w:r>
        <w:rPr>
          <w:i/>
          <w:noProof/>
        </w:rPr>
        <w:t xml:space="preserve"> </w:t>
      </w:r>
      <w:r>
        <w:rPr>
          <w:b/>
          <w:noProof/>
        </w:rPr>
        <w:t>Nepřímé řízení</w:t>
      </w:r>
      <w:r>
        <w:rPr>
          <w:noProof/>
        </w:rPr>
        <w:t>, při kterém jsou úkoly souvisejícími s plněním rozpočtu pověřeny:</w:t>
      </w:r>
    </w:p>
    <w:p>
      <w:pPr>
        <w:pStyle w:val="ListDash2"/>
        <w:rPr>
          <w:noProof/>
        </w:rPr>
      </w:pPr>
      <w:r>
        <w:rPr>
          <w:noProof/>
        </w:rPr>
        <w:sym w:font="Wingdings" w:char="F0A8"/>
      </w:r>
      <w:r>
        <w:rPr>
          <w:noProof/>
        </w:rPr>
        <w:t xml:space="preserve"> třetí země nebo subjekty určené těmito zeměmi,</w:t>
      </w:r>
    </w:p>
    <w:p>
      <w:pPr>
        <w:pStyle w:val="ListDash2"/>
        <w:rPr>
          <w:noProof/>
        </w:rPr>
      </w:pPr>
      <w:r>
        <w:rPr>
          <w:noProof/>
        </w:rPr>
        <w:sym w:font="Wingdings" w:char="F0A8"/>
      </w:r>
      <w:r>
        <w:rPr>
          <w:noProof/>
        </w:rPr>
        <w:t xml:space="preserve"> mezinárodní organizace a jejich agentury (upřesněte),</w:t>
      </w:r>
    </w:p>
    <w:p>
      <w:pPr>
        <w:pStyle w:val="ListDash2"/>
        <w:rPr>
          <w:noProof/>
        </w:rPr>
      </w:pPr>
      <w:r>
        <w:rPr>
          <w:noProof/>
        </w:rPr>
        <w:sym w:font="Wingdings" w:char="F0A8"/>
      </w:r>
      <w:r>
        <w:rPr>
          <w:noProof/>
        </w:rPr>
        <w:t xml:space="preserve"> EIB a Evropský investiční fond,</w:t>
      </w:r>
    </w:p>
    <w:p>
      <w:pPr>
        <w:pStyle w:val="ListDash2"/>
        <w:rPr>
          <w:noProof/>
        </w:rPr>
      </w:pPr>
      <w:r>
        <w:rPr>
          <w:noProof/>
        </w:rPr>
        <w:sym w:font="Wingdings" w:char="F0A8"/>
      </w:r>
      <w:r>
        <w:rPr>
          <w:noProof/>
        </w:rPr>
        <w:t xml:space="preserve"> subjekty uvedené v článcích 70 a 71 finančního nařízení,</w:t>
      </w:r>
    </w:p>
    <w:p>
      <w:pPr>
        <w:pStyle w:val="ListDash2"/>
        <w:rPr>
          <w:noProof/>
        </w:rPr>
      </w:pPr>
      <w:r>
        <w:rPr>
          <w:noProof/>
        </w:rPr>
        <w:sym w:font="Wingdings" w:char="F0A8"/>
      </w:r>
      <w:r>
        <w:rPr>
          <w:noProof/>
        </w:rPr>
        <w:t xml:space="preserve"> veřejnoprávní subjekty,</w:t>
      </w:r>
    </w:p>
    <w:p>
      <w:pPr>
        <w:pStyle w:val="ListDash2"/>
        <w:rPr>
          <w:noProof/>
        </w:rPr>
      </w:pPr>
      <w:r>
        <w:rPr>
          <w:noProof/>
        </w:rPr>
        <w:sym w:font="Wingdings" w:char="F0A8"/>
      </w:r>
      <w:r>
        <w:rPr>
          <w:noProof/>
        </w:rPr>
        <w:t xml:space="preserve"> soukromoprávní subjekty pověřené výkonem veřejné služby v rozsahu, v jakém poskytují dostatečné finanční záruky,</w:t>
      </w:r>
    </w:p>
    <w:p>
      <w:pPr>
        <w:pStyle w:val="ListDash2"/>
        <w:rPr>
          <w:noProof/>
        </w:rPr>
      </w:pPr>
      <w:r>
        <w:rPr>
          <w:noProof/>
        </w:rPr>
        <w:sym w:font="Wingdings" w:char="F0A8"/>
      </w:r>
      <w:r>
        <w:rPr>
          <w:noProof/>
        </w:rPr>
        <w:t xml:space="preserve"> soukromoprávní subjekty členského státu pověřené uskutečňováním partnerství soukromého a veřejného sektoru a poskytující dostatečné finanční záruky,</w:t>
      </w:r>
    </w:p>
    <w:p>
      <w:pPr>
        <w:pStyle w:val="ListDash2"/>
        <w:rPr>
          <w:noProof/>
        </w:rPr>
      </w:pPr>
      <w:r>
        <w:rPr>
          <w:noProof/>
        </w:rPr>
        <w:sym w:font="Wingdings" w:char="F0A8"/>
      </w:r>
      <w:r>
        <w:rPr>
          <w:noProof/>
        </w:rPr>
        <w:t xml:space="preserve"> osoby pověřené prováděním specifických akcí v rámci společné zahraniční a bezpečnostní politiky podle hlavy V Smlouvy o EU a určené v příslušném základním právním aktu.</w:t>
      </w:r>
    </w:p>
    <w:p>
      <w:pPr>
        <w:pStyle w:val="ListDash2"/>
        <w:rPr>
          <w:i/>
          <w:noProof/>
          <w:sz w:val="18"/>
          <w:u w:val="single"/>
        </w:rPr>
      </w:pPr>
      <w:r>
        <w:rPr>
          <w:i/>
          <w:noProof/>
          <w:sz w:val="18"/>
        </w:rPr>
        <w:t>Pokud vyberete více způsobů řízení, upřesněte je v části „Poznámky“.</w:t>
      </w:r>
    </w:p>
    <w:p>
      <w:pPr>
        <w:rPr>
          <w:noProof/>
        </w:rPr>
      </w:pPr>
      <w:r>
        <w:rPr>
          <w:noProof/>
        </w:rPr>
        <w:t xml:space="preserve">Poznámky </w:t>
      </w:r>
    </w:p>
    <w:p>
      <w:pPr>
        <w:pBdr>
          <w:top w:val="single" w:sz="4" w:space="1" w:color="auto"/>
          <w:left w:val="single" w:sz="4" w:space="4" w:color="auto"/>
          <w:bottom w:val="single" w:sz="4" w:space="1" w:color="auto"/>
          <w:right w:val="single" w:sz="4" w:space="4" w:color="auto"/>
        </w:pBdr>
        <w:jc w:val="left"/>
        <w:rPr>
          <w:noProof/>
        </w:rPr>
        <w:sectPr>
          <w:pgSz w:w="11907" w:h="16840" w:code="9"/>
          <w:pgMar w:top="1134" w:right="1418" w:bottom="1134" w:left="1418" w:header="709" w:footer="709" w:gutter="0"/>
          <w:cols w:space="708"/>
          <w:docGrid w:linePitch="360"/>
        </w:sectPr>
      </w:pPr>
      <w:r>
        <w:t>Nepoužije se</w:t>
      </w:r>
    </w:p>
    <w:p>
      <w:pPr>
        <w:pStyle w:val="ManualHeading1"/>
        <w:rPr>
          <w:bCs/>
          <w:noProof/>
          <w:szCs w:val="24"/>
        </w:rPr>
      </w:pPr>
      <w:bookmarkStart w:id="23" w:name="_Toc514938041"/>
      <w:bookmarkStart w:id="24" w:name="_Toc520485042"/>
      <w:r>
        <w:lastRenderedPageBreak/>
        <w:t>2.</w:t>
      </w:r>
      <w:r>
        <w:tab/>
      </w:r>
      <w:r>
        <w:rPr>
          <w:noProof/>
        </w:rPr>
        <w:t>SPRÁVNÍ OPATŘENÍ</w:t>
      </w:r>
      <w:bookmarkEnd w:id="23"/>
      <w:bookmarkEnd w:id="24"/>
      <w:r>
        <w:rPr>
          <w:noProof/>
        </w:rPr>
        <w:t xml:space="preserve"> </w:t>
      </w:r>
    </w:p>
    <w:p>
      <w:pPr>
        <w:pStyle w:val="ManualHeading2"/>
        <w:rPr>
          <w:noProof/>
        </w:rPr>
      </w:pPr>
      <w:bookmarkStart w:id="25" w:name="_Toc514938042"/>
      <w:bookmarkStart w:id="26" w:name="_Toc520485043"/>
      <w:r>
        <w:t>2.1.</w:t>
      </w:r>
      <w:r>
        <w:tab/>
      </w:r>
      <w:r>
        <w:rPr>
          <w:noProof/>
        </w:rPr>
        <w:t>Pravidla pro sledování a podávání zpráv</w:t>
      </w:r>
      <w:bookmarkEnd w:id="25"/>
      <w:bookmarkEnd w:id="26"/>
      <w:r>
        <w:rPr>
          <w:noProof/>
        </w:rPr>
        <w:t xml:space="preserve"> </w:t>
      </w:r>
    </w:p>
    <w:p>
      <w:pPr>
        <w:pStyle w:val="Text1"/>
        <w:rPr>
          <w:i/>
          <w:noProof/>
          <w:sz w:val="20"/>
        </w:rPr>
      </w:pPr>
      <w:r>
        <w:rPr>
          <w:i/>
          <w:noProof/>
          <w:sz w:val="20"/>
        </w:rPr>
        <w:t>Upřesněte četnost a podmínky.</w:t>
      </w:r>
    </w:p>
    <w:p>
      <w:pPr>
        <w:pStyle w:val="Text1"/>
        <w:pBdr>
          <w:top w:val="single" w:sz="4" w:space="1" w:color="auto"/>
          <w:left w:val="single" w:sz="4" w:space="4" w:color="auto"/>
          <w:bottom w:val="single" w:sz="4" w:space="1" w:color="auto"/>
          <w:right w:val="single" w:sz="4" w:space="4" w:color="auto"/>
        </w:pBdr>
        <w:rPr>
          <w:noProof/>
        </w:rPr>
      </w:pPr>
      <w:r>
        <w:t>Nepoužije se</w:t>
      </w:r>
    </w:p>
    <w:p>
      <w:pPr>
        <w:pStyle w:val="ManualHeading2"/>
        <w:rPr>
          <w:bCs/>
          <w:noProof/>
          <w:szCs w:val="24"/>
        </w:rPr>
      </w:pPr>
      <w:bookmarkStart w:id="27" w:name="_Toc514938045"/>
      <w:bookmarkStart w:id="28" w:name="_Toc520485044"/>
      <w:r>
        <w:t>2.2.</w:t>
      </w:r>
      <w:r>
        <w:tab/>
      </w:r>
      <w:r>
        <w:rPr>
          <w:noProof/>
        </w:rPr>
        <w:t>Systémy řízení a kontroly</w:t>
      </w:r>
      <w:bookmarkEnd w:id="27"/>
      <w:bookmarkEnd w:id="28"/>
      <w:r>
        <w:rPr>
          <w:noProof/>
        </w:rPr>
        <w:t xml:space="preserve"> </w:t>
      </w:r>
    </w:p>
    <w:p>
      <w:pPr>
        <w:pStyle w:val="ManualHeading3"/>
        <w:rPr>
          <w:noProof/>
        </w:rPr>
      </w:pPr>
      <w:bookmarkStart w:id="29" w:name="_Toc514938046"/>
      <w:bookmarkStart w:id="30" w:name="_Toc520485045"/>
      <w:r>
        <w:t>2.2.1.</w:t>
      </w:r>
      <w:r>
        <w:tab/>
      </w:r>
      <w:r>
        <w:rPr>
          <w:noProof/>
        </w:rPr>
        <w:t>Odůvodnění navrhovaných způsobů řízení, mechanismů provádění financování, způsobů plateb a kontrolní strategie</w:t>
      </w:r>
      <w:bookmarkEnd w:id="29"/>
      <w:bookmarkEnd w:id="30"/>
    </w:p>
    <w:p>
      <w:pPr>
        <w:pStyle w:val="Text1"/>
        <w:pBdr>
          <w:top w:val="single" w:sz="4" w:space="1" w:color="auto"/>
          <w:left w:val="single" w:sz="4" w:space="4" w:color="auto"/>
          <w:bottom w:val="single" w:sz="4" w:space="1" w:color="auto"/>
          <w:right w:val="single" w:sz="4" w:space="4" w:color="auto"/>
        </w:pBdr>
        <w:rPr>
          <w:noProof/>
        </w:rPr>
      </w:pPr>
      <w:r>
        <w:t>Nepoužije se</w:t>
      </w:r>
    </w:p>
    <w:p>
      <w:pPr>
        <w:pStyle w:val="ManualHeading3"/>
        <w:rPr>
          <w:bCs/>
          <w:noProof/>
          <w:szCs w:val="24"/>
        </w:rPr>
      </w:pPr>
      <w:bookmarkStart w:id="31" w:name="_Toc514938047"/>
      <w:bookmarkStart w:id="32" w:name="_Toc520485046"/>
      <w:r>
        <w:t>2.2.2.</w:t>
      </w:r>
      <w:r>
        <w:tab/>
      </w:r>
      <w:r>
        <w:rPr>
          <w:noProof/>
        </w:rPr>
        <w:t>Informace o zjištěných rizicích a systémech vnitřní kontroly zřízených k jejich zmírnění</w:t>
      </w:r>
      <w:bookmarkEnd w:id="31"/>
      <w:bookmarkEnd w:id="32"/>
    </w:p>
    <w:p>
      <w:pPr>
        <w:pStyle w:val="Text1"/>
        <w:pBdr>
          <w:top w:val="single" w:sz="4" w:space="1" w:color="auto"/>
          <w:left w:val="single" w:sz="4" w:space="4" w:color="auto"/>
          <w:bottom w:val="single" w:sz="4" w:space="1" w:color="auto"/>
          <w:right w:val="single" w:sz="4" w:space="4" w:color="auto"/>
        </w:pBdr>
        <w:rPr>
          <w:noProof/>
        </w:rPr>
      </w:pPr>
      <w:r>
        <w:t>Nepoužije se</w:t>
      </w:r>
    </w:p>
    <w:p>
      <w:pPr>
        <w:pStyle w:val="ManualHeading3"/>
        <w:rPr>
          <w:noProof/>
        </w:rPr>
      </w:pPr>
      <w:bookmarkStart w:id="33" w:name="_Toc514938048"/>
      <w:bookmarkStart w:id="34" w:name="_Toc520485047"/>
      <w:r>
        <w:t>2.2.3.</w:t>
      </w:r>
      <w:r>
        <w:tab/>
      </w:r>
      <w:r>
        <w:rPr>
          <w:noProof/>
        </w:rPr>
        <w:t>Odhad a odůvodnění nákladové efektivnosti kontrol (poměr „náklady na kontroly ÷ hodnota souvisejících spravovaných finančních prostředků“) a posouzení očekávané míry rizika výskytu chyb (při platbě a při uzávěrce)</w:t>
      </w:r>
      <w:bookmarkEnd w:id="33"/>
      <w:bookmarkEnd w:id="34"/>
      <w:r>
        <w:rPr>
          <w:noProof/>
        </w:rPr>
        <w:t xml:space="preserve"> </w:t>
      </w:r>
    </w:p>
    <w:p>
      <w:pPr>
        <w:pStyle w:val="Text1"/>
        <w:pBdr>
          <w:top w:val="single" w:sz="4" w:space="1" w:color="auto"/>
          <w:left w:val="single" w:sz="4" w:space="4" w:color="auto"/>
          <w:bottom w:val="single" w:sz="4" w:space="1" w:color="auto"/>
          <w:right w:val="single" w:sz="4" w:space="4" w:color="auto"/>
        </w:pBdr>
      </w:pPr>
      <w:r>
        <w:t>Nepoužije se</w:t>
      </w:r>
    </w:p>
    <w:p>
      <w:pPr>
        <w:pStyle w:val="ManualHeading2"/>
        <w:rPr>
          <w:bCs/>
          <w:noProof/>
          <w:szCs w:val="24"/>
        </w:rPr>
      </w:pPr>
      <w:bookmarkStart w:id="35" w:name="_Toc514938049"/>
      <w:bookmarkStart w:id="36" w:name="_Toc520485048"/>
      <w:r>
        <w:t>2.3.</w:t>
      </w:r>
      <w:r>
        <w:tab/>
      </w:r>
      <w:r>
        <w:rPr>
          <w:noProof/>
        </w:rPr>
        <w:t>Opatření k zamezení podvodů a nesrovnalostí</w:t>
      </w:r>
      <w:bookmarkEnd w:id="35"/>
      <w:bookmarkEnd w:id="36"/>
      <w:r>
        <w:rPr>
          <w:noProof/>
        </w:rPr>
        <w:t xml:space="preserve"> </w:t>
      </w:r>
    </w:p>
    <w:p>
      <w:pPr>
        <w:pStyle w:val="Text1"/>
        <w:rPr>
          <w:i/>
          <w:noProof/>
          <w:sz w:val="20"/>
        </w:rPr>
      </w:pPr>
      <w:r>
        <w:rPr>
          <w:i/>
          <w:noProof/>
          <w:sz w:val="20"/>
        </w:rPr>
        <w:t>Upřesněte stávající či předpokládaná preventivní a ochranná opatření, např. opatření uvedená ve strategii pro boj proti podvodům.</w:t>
      </w:r>
    </w:p>
    <w:p>
      <w:pPr>
        <w:pStyle w:val="Text1"/>
        <w:pBdr>
          <w:top w:val="single" w:sz="4" w:space="1" w:color="auto"/>
          <w:left w:val="single" w:sz="4" w:space="4" w:color="auto"/>
          <w:bottom w:val="single" w:sz="4" w:space="1" w:color="auto"/>
          <w:right w:val="single" w:sz="4" w:space="4" w:color="auto"/>
        </w:pBdr>
        <w:jc w:val="left"/>
        <w:rPr>
          <w:noProof/>
        </w:rPr>
        <w:sectPr>
          <w:pgSz w:w="11907" w:h="16840" w:code="9"/>
          <w:pgMar w:top="1134" w:right="1418" w:bottom="1134" w:left="1418" w:header="709" w:footer="709" w:gutter="0"/>
          <w:cols w:space="708"/>
          <w:docGrid w:linePitch="360"/>
        </w:sectPr>
      </w:pPr>
      <w:r>
        <w:t>Nepoužije se</w:t>
      </w:r>
    </w:p>
    <w:p>
      <w:pPr>
        <w:pStyle w:val="ManualHeading1"/>
        <w:rPr>
          <w:bCs/>
          <w:noProof/>
          <w:szCs w:val="24"/>
        </w:rPr>
      </w:pPr>
      <w:bookmarkStart w:id="37" w:name="_Toc514938050"/>
      <w:bookmarkStart w:id="38" w:name="_Toc520485049"/>
      <w:r>
        <w:lastRenderedPageBreak/>
        <w:t>3.</w:t>
      </w:r>
      <w:r>
        <w:tab/>
      </w:r>
      <w:r>
        <w:rPr>
          <w:noProof/>
        </w:rPr>
        <w:t>ODHADOVANÝ FINANČNÍ DOPAD NÁVRHU/PODNĚTU</w:t>
      </w:r>
      <w:bookmarkEnd w:id="37"/>
      <w:bookmarkEnd w:id="38"/>
      <w:r>
        <w:rPr>
          <w:noProof/>
        </w:rPr>
        <w:t xml:space="preserve"> </w:t>
      </w:r>
    </w:p>
    <w:p>
      <w:pPr>
        <w:pStyle w:val="ManualHeading2"/>
        <w:rPr>
          <w:noProof/>
        </w:rPr>
      </w:pPr>
      <w:bookmarkStart w:id="39" w:name="_Toc514938051"/>
      <w:bookmarkStart w:id="40" w:name="_Toc520485050"/>
      <w:r>
        <w:t>3.1.</w:t>
      </w:r>
      <w:r>
        <w:tab/>
      </w:r>
      <w:r>
        <w:rPr>
          <w:noProof/>
        </w:rPr>
        <w:t>Okruhy víceletého finančního rámce a dotčené výdajové rozpočtové položky</w:t>
      </w:r>
      <w:bookmarkEnd w:id="39"/>
      <w:bookmarkEnd w:id="40"/>
      <w:r>
        <w:rPr>
          <w:noProof/>
        </w:rPr>
        <w:t xml:space="preserve"> </w:t>
      </w:r>
    </w:p>
    <w:p>
      <w:pPr>
        <w:pStyle w:val="ListBullet1"/>
        <w:rPr>
          <w:noProof/>
        </w:rPr>
      </w:pPr>
      <w:r>
        <w:rPr>
          <w:noProof/>
        </w:rPr>
        <w:t xml:space="preserve">Stávající rozpočtové položky </w:t>
      </w:r>
    </w:p>
    <w:p>
      <w:pPr>
        <w:pStyle w:val="Text1"/>
        <w:rPr>
          <w:i/>
          <w:noProof/>
        </w:rPr>
      </w:pPr>
      <w:r>
        <w:rPr>
          <w:i/>
          <w:noProof/>
          <w:u w:val="single"/>
        </w:rPr>
        <w:t>V pořadí</w:t>
      </w:r>
      <w:r>
        <w:rPr>
          <w:noProof/>
        </w:rPr>
        <w:t xml:space="preserve"> </w:t>
      </w:r>
      <w:r>
        <w:rPr>
          <w:i/>
          <w:noProof/>
        </w:rPr>
        <w:t>okruhů víceletého finančního rámce a rozpočtových položek.</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rPr>
            </w:pPr>
            <w:r>
              <w:rPr>
                <w:noProof/>
                <w:sz w:val="18"/>
              </w:rPr>
              <w:t>Okruh víceletého finančního rámce</w:t>
            </w:r>
          </w:p>
        </w:tc>
        <w:tc>
          <w:tcPr>
            <w:tcW w:w="3960" w:type="dxa"/>
            <w:vAlign w:val="center"/>
          </w:tcPr>
          <w:p>
            <w:pPr>
              <w:spacing w:before="60" w:after="60"/>
              <w:jc w:val="center"/>
              <w:rPr>
                <w:noProof/>
              </w:rPr>
            </w:pPr>
            <w:r>
              <w:rPr>
                <w:noProof/>
                <w:sz w:val="20"/>
              </w:rPr>
              <w:t>Rozpočtová položka</w:t>
            </w:r>
          </w:p>
        </w:tc>
        <w:tc>
          <w:tcPr>
            <w:tcW w:w="1080" w:type="dxa"/>
            <w:vAlign w:val="center"/>
          </w:tcPr>
          <w:p>
            <w:pPr>
              <w:spacing w:before="60" w:after="60"/>
              <w:jc w:val="center"/>
              <w:rPr>
                <w:noProof/>
              </w:rPr>
            </w:pPr>
            <w:r>
              <w:rPr>
                <w:noProof/>
                <w:sz w:val="18"/>
              </w:rPr>
              <w:t xml:space="preserve">Druh </w:t>
            </w:r>
            <w:r>
              <w:rPr>
                <w:noProof/>
                <w:sz w:val="22"/>
              </w:rPr>
              <w:br/>
            </w:r>
            <w:r>
              <w:rPr>
                <w:noProof/>
                <w:sz w:val="18"/>
              </w:rPr>
              <w:t>výdaje</w:t>
            </w:r>
          </w:p>
        </w:tc>
        <w:tc>
          <w:tcPr>
            <w:tcW w:w="4440" w:type="dxa"/>
            <w:gridSpan w:val="4"/>
            <w:vAlign w:val="center"/>
          </w:tcPr>
          <w:p>
            <w:pPr>
              <w:spacing w:before="60" w:after="60"/>
              <w:jc w:val="center"/>
              <w:rPr>
                <w:noProof/>
              </w:rPr>
            </w:pPr>
            <w:r>
              <w:rPr>
                <w:noProof/>
                <w:sz w:val="20"/>
              </w:rPr>
              <w:t xml:space="preserve">Příspěvek </w:t>
            </w:r>
          </w:p>
        </w:tc>
      </w:tr>
      <w:tr>
        <w:tc>
          <w:tcPr>
            <w:tcW w:w="1080" w:type="dxa"/>
            <w:vMerge/>
            <w:vAlign w:val="center"/>
          </w:tcPr>
          <w:p>
            <w:pPr>
              <w:jc w:val="center"/>
              <w:rPr>
                <w:noProof/>
              </w:rPr>
            </w:pPr>
          </w:p>
        </w:tc>
        <w:tc>
          <w:tcPr>
            <w:tcW w:w="3960" w:type="dxa"/>
            <w:vAlign w:val="center"/>
          </w:tcPr>
          <w:p>
            <w:pPr>
              <w:rPr>
                <w:noProof/>
              </w:rPr>
            </w:pPr>
            <w:r>
              <w:rPr>
                <w:noProof/>
                <w:sz w:val="20"/>
              </w:rPr>
              <w:t xml:space="preserve">Číslo </w:t>
            </w:r>
            <w:r>
              <w:rPr>
                <w:noProof/>
                <w:sz w:val="22"/>
              </w:rPr>
              <w:br/>
            </w:r>
          </w:p>
        </w:tc>
        <w:tc>
          <w:tcPr>
            <w:tcW w:w="1080" w:type="dxa"/>
            <w:vAlign w:val="center"/>
          </w:tcPr>
          <w:p>
            <w:pPr>
              <w:jc w:val="center"/>
              <w:rPr>
                <w:noProof/>
              </w:rPr>
            </w:pPr>
            <w:r>
              <w:rPr>
                <w:noProof/>
                <w:sz w:val="18"/>
              </w:rPr>
              <w:t>RP/NRP</w:t>
            </w:r>
            <w:r>
              <w:rPr>
                <w:rStyle w:val="FootnoteReference"/>
                <w:noProof/>
                <w:sz w:val="18"/>
              </w:rPr>
              <w:footnoteReference w:id="10"/>
            </w:r>
          </w:p>
        </w:tc>
        <w:tc>
          <w:tcPr>
            <w:tcW w:w="956" w:type="dxa"/>
            <w:vAlign w:val="center"/>
          </w:tcPr>
          <w:p>
            <w:pPr>
              <w:jc w:val="center"/>
              <w:rPr>
                <w:noProof/>
              </w:rPr>
            </w:pPr>
            <w:r>
              <w:rPr>
                <w:noProof/>
                <w:sz w:val="18"/>
              </w:rPr>
              <w:t>zemí ESVO</w:t>
            </w:r>
            <w:r>
              <w:rPr>
                <w:rStyle w:val="FootnoteReference"/>
                <w:noProof/>
                <w:sz w:val="18"/>
              </w:rPr>
              <w:footnoteReference w:id="11"/>
            </w:r>
          </w:p>
          <w:p>
            <w:pPr>
              <w:spacing w:before="0" w:after="0"/>
              <w:jc w:val="center"/>
              <w:rPr>
                <w:b/>
                <w:noProof/>
                <w:sz w:val="18"/>
              </w:rPr>
            </w:pPr>
          </w:p>
        </w:tc>
        <w:tc>
          <w:tcPr>
            <w:tcW w:w="1080" w:type="dxa"/>
            <w:vAlign w:val="center"/>
          </w:tcPr>
          <w:p>
            <w:pPr>
              <w:jc w:val="center"/>
              <w:rPr>
                <w:noProof/>
              </w:rPr>
            </w:pPr>
            <w:r>
              <w:rPr>
                <w:noProof/>
                <w:sz w:val="18"/>
              </w:rPr>
              <w:t>kandidátských zemí</w:t>
            </w:r>
            <w:r>
              <w:rPr>
                <w:rStyle w:val="FootnoteReference"/>
                <w:noProof/>
                <w:sz w:val="18"/>
              </w:rPr>
              <w:footnoteReference w:id="12"/>
            </w:r>
          </w:p>
          <w:p>
            <w:pPr>
              <w:spacing w:before="0" w:after="0"/>
              <w:jc w:val="center"/>
              <w:rPr>
                <w:noProof/>
                <w:sz w:val="18"/>
              </w:rPr>
            </w:pPr>
          </w:p>
        </w:tc>
        <w:tc>
          <w:tcPr>
            <w:tcW w:w="956" w:type="dxa"/>
            <w:vAlign w:val="center"/>
          </w:tcPr>
          <w:p>
            <w:pPr>
              <w:jc w:val="center"/>
              <w:rPr>
                <w:noProof/>
                <w:sz w:val="18"/>
              </w:rPr>
            </w:pPr>
            <w:r>
              <w:rPr>
                <w:noProof/>
                <w:sz w:val="18"/>
              </w:rPr>
              <w:t>třetích zemí</w:t>
            </w:r>
          </w:p>
        </w:tc>
        <w:tc>
          <w:tcPr>
            <w:tcW w:w="1448" w:type="dxa"/>
            <w:vAlign w:val="center"/>
          </w:tcPr>
          <w:p>
            <w:pPr>
              <w:jc w:val="center"/>
              <w:rPr>
                <w:noProof/>
              </w:rPr>
            </w:pPr>
            <w:r>
              <w:rPr>
                <w:noProof/>
                <w:sz w:val="16"/>
              </w:rPr>
              <w:t xml:space="preserve">ve smyslu čl. 21 odst. 2 písm. b) finančního nařízení </w:t>
            </w:r>
          </w:p>
        </w:tc>
      </w:tr>
      <w:tr>
        <w:tc>
          <w:tcPr>
            <w:tcW w:w="1080" w:type="dxa"/>
            <w:vAlign w:val="center"/>
          </w:tcPr>
          <w:p>
            <w:pPr>
              <w:jc w:val="center"/>
              <w:rPr>
                <w:noProof/>
                <w:color w:val="0000FF"/>
              </w:rPr>
            </w:pPr>
            <w:r>
              <w:rPr>
                <w:noProof/>
                <w:color w:val="0000FF"/>
              </w:rPr>
              <w:t>13</w:t>
            </w:r>
          </w:p>
        </w:tc>
        <w:tc>
          <w:tcPr>
            <w:tcW w:w="3960" w:type="dxa"/>
            <w:vAlign w:val="center"/>
          </w:tcPr>
          <w:p>
            <w:pPr>
              <w:spacing w:before="60"/>
              <w:rPr>
                <w:noProof/>
                <w:sz w:val="22"/>
              </w:rPr>
            </w:pPr>
          </w:p>
          <w:p>
            <w:pPr>
              <w:spacing w:before="60"/>
              <w:rPr>
                <w:noProof/>
              </w:rPr>
            </w:pPr>
            <w:r>
              <w:rPr>
                <w:noProof/>
                <w:sz w:val="22"/>
              </w:rPr>
              <w:t>13.03.64.01 – Evropský fond pro regionální rozvoj (EFRR) – Evropská územní spolupráce (EÚS)</w:t>
            </w:r>
          </w:p>
          <w:p>
            <w:pPr>
              <w:spacing w:after="60"/>
              <w:rPr>
                <w:noProof/>
              </w:rPr>
            </w:pPr>
          </w:p>
        </w:tc>
        <w:tc>
          <w:tcPr>
            <w:tcW w:w="1080" w:type="dxa"/>
            <w:vAlign w:val="center"/>
          </w:tcPr>
          <w:p>
            <w:pPr>
              <w:jc w:val="center"/>
              <w:rPr>
                <w:noProof/>
                <w:color w:val="0000FF"/>
              </w:rPr>
            </w:pPr>
            <w:r>
              <w:rPr>
                <w:noProof/>
                <w:sz w:val="22"/>
              </w:rPr>
              <w:t>Rozl.</w:t>
            </w:r>
          </w:p>
        </w:tc>
        <w:tc>
          <w:tcPr>
            <w:tcW w:w="956" w:type="dxa"/>
            <w:vAlign w:val="center"/>
          </w:tcPr>
          <w:p>
            <w:pPr>
              <w:jc w:val="center"/>
              <w:rPr>
                <w:noProof/>
                <w:sz w:val="20"/>
                <w:szCs w:val="20"/>
              </w:rPr>
            </w:pPr>
            <w:r>
              <w:rPr>
                <w:noProof/>
                <w:sz w:val="20"/>
              </w:rPr>
              <w:t>NE</w:t>
            </w:r>
          </w:p>
        </w:tc>
        <w:tc>
          <w:tcPr>
            <w:tcW w:w="1080" w:type="dxa"/>
            <w:vAlign w:val="center"/>
          </w:tcPr>
          <w:p>
            <w:pPr>
              <w:jc w:val="center"/>
              <w:rPr>
                <w:noProof/>
                <w:sz w:val="20"/>
                <w:szCs w:val="20"/>
              </w:rPr>
            </w:pPr>
            <w:r>
              <w:rPr>
                <w:noProof/>
                <w:sz w:val="20"/>
              </w:rPr>
              <w:t>NE</w:t>
            </w:r>
          </w:p>
        </w:tc>
        <w:tc>
          <w:tcPr>
            <w:tcW w:w="956" w:type="dxa"/>
            <w:vAlign w:val="center"/>
          </w:tcPr>
          <w:p>
            <w:pPr>
              <w:jc w:val="center"/>
              <w:rPr>
                <w:noProof/>
                <w:sz w:val="20"/>
                <w:szCs w:val="20"/>
              </w:rPr>
            </w:pPr>
            <w:r>
              <w:rPr>
                <w:noProof/>
                <w:sz w:val="20"/>
              </w:rPr>
              <w:t>NE</w:t>
            </w:r>
          </w:p>
        </w:tc>
        <w:tc>
          <w:tcPr>
            <w:tcW w:w="1448" w:type="dxa"/>
            <w:vAlign w:val="center"/>
          </w:tcPr>
          <w:p>
            <w:pPr>
              <w:rPr>
                <w:noProof/>
                <w:sz w:val="20"/>
                <w:szCs w:val="20"/>
              </w:rPr>
            </w:pPr>
            <w:r>
              <w:rPr>
                <w:noProof/>
                <w:sz w:val="20"/>
              </w:rPr>
              <w:t xml:space="preserve">      NE</w:t>
            </w:r>
          </w:p>
        </w:tc>
      </w:tr>
    </w:tbl>
    <w:p>
      <w:pPr>
        <w:pStyle w:val="ManualHeading2"/>
        <w:rPr>
          <w:bCs/>
          <w:noProof/>
          <w:szCs w:val="24"/>
        </w:rPr>
      </w:pPr>
      <w:bookmarkStart w:id="41" w:name="_Toc514938052"/>
      <w:bookmarkStart w:id="42" w:name="_Toc520485051"/>
      <w:r>
        <w:t>3.2.</w:t>
      </w:r>
      <w:r>
        <w:tab/>
      </w:r>
      <w:r>
        <w:rPr>
          <w:noProof/>
        </w:rPr>
        <w:t>Odhadovaný finanční dopad návrhu na prostředky</w:t>
      </w:r>
      <w:bookmarkEnd w:id="41"/>
      <w:bookmarkEnd w:id="42"/>
      <w:r>
        <w:rPr>
          <w:noProof/>
        </w:rPr>
        <w:t xml:space="preserve"> </w:t>
      </w:r>
    </w:p>
    <w:p>
      <w:pPr>
        <w:pStyle w:val="ManualHeading3"/>
        <w:rPr>
          <w:noProof/>
        </w:rPr>
      </w:pPr>
      <w:bookmarkStart w:id="43" w:name="_Toc514938053"/>
      <w:bookmarkStart w:id="44" w:name="_Toc520485052"/>
      <w:r>
        <w:t>3.2.1.</w:t>
      </w:r>
      <w:r>
        <w:tab/>
      </w:r>
      <w:r>
        <w:rPr>
          <w:noProof/>
        </w:rPr>
        <w:t>Odhadovaný souhrnný dopad na operační prostředky</w:t>
      </w:r>
      <w:bookmarkEnd w:id="43"/>
      <w:bookmarkEnd w:id="44"/>
      <w:r>
        <w:rPr>
          <w:noProof/>
        </w:rPr>
        <w:t xml:space="preserve"> </w:t>
      </w:r>
    </w:p>
    <w:p>
      <w:pPr>
        <w:pStyle w:val="ListDash1"/>
        <w:rPr>
          <w:b/>
          <w:noProof/>
        </w:rPr>
      </w:pPr>
      <w:r>
        <w:rPr>
          <w:b/>
          <w:noProof/>
        </w:rPr>
        <w:t>X</w:t>
      </w:r>
      <w:r>
        <w:rPr>
          <w:noProof/>
        </w:rPr>
        <w:tab/>
      </w:r>
      <w:r>
        <w:rPr>
          <w:b/>
          <w:noProof/>
        </w:rPr>
        <w:t>Toto nařízení nemá žádný finanční dopad.</w:t>
      </w:r>
    </w:p>
    <w:p>
      <w:pPr>
        <w:pStyle w:val="Text1"/>
        <w:rPr>
          <w:noProof/>
        </w:rPr>
      </w:pPr>
      <w:r>
        <w:rPr>
          <w:noProof/>
        </w:rPr>
        <w:sym w:font="Wingdings" w:char="F0A8"/>
      </w:r>
      <w:r>
        <w:rPr>
          <w:noProof/>
        </w:rPr>
        <w:tab/>
        <w:t>Návrh/podnět vyžaduje využití operačních prostředků, jak je vysvětleno dále:</w:t>
      </w:r>
    </w:p>
    <w:p>
      <w:pPr>
        <w:jc w:val="right"/>
        <w:rPr>
          <w:noProof/>
          <w:sz w:val="18"/>
          <w:szCs w:val="18"/>
        </w:rPr>
      </w:pPr>
      <w:r>
        <w:rPr>
          <w:noProof/>
          <w:sz w:val="18"/>
        </w:rPr>
        <w:t xml:space="preserve">v EUR </w:t>
      </w:r>
    </w:p>
    <w:p>
      <w:pPr>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lastRenderedPageBreak/>
              <w:t>Okruh víceletého finančního</w:t>
            </w:r>
            <w:r>
              <w:rPr>
                <w:noProof/>
                <w:sz w:val="22"/>
              </w:rPr>
              <w:br/>
            </w:r>
            <w:r>
              <w:rPr>
                <w:b/>
                <w:noProof/>
                <w:sz w:val="22"/>
              </w:rPr>
              <w:t xml:space="preserve">rámce </w:t>
            </w:r>
          </w:p>
        </w:tc>
        <w:tc>
          <w:tcPr>
            <w:tcW w:w="1080" w:type="dxa"/>
            <w:vAlign w:val="center"/>
          </w:tcPr>
          <w:p>
            <w:pPr>
              <w:spacing w:before="60" w:after="60"/>
              <w:jc w:val="center"/>
              <w:rPr>
                <w:noProof/>
              </w:rPr>
            </w:pPr>
            <w:r>
              <w:rPr>
                <w:noProof/>
                <w:sz w:val="22"/>
              </w:rPr>
              <w:t>13</w:t>
            </w:r>
          </w:p>
        </w:tc>
        <w:tc>
          <w:tcPr>
            <w:tcW w:w="7817" w:type="dxa"/>
            <w:vAlign w:val="center"/>
          </w:tcPr>
          <w:p>
            <w:pPr>
              <w:spacing w:before="60" w:after="60"/>
              <w:rPr>
                <w:noProof/>
              </w:rPr>
            </w:pPr>
          </w:p>
        </w:tc>
      </w:tr>
    </w:tbl>
    <w:p>
      <w:pPr>
        <w:rPr>
          <w:noProof/>
          <w:sz w:val="16"/>
        </w:rPr>
      </w:pPr>
    </w:p>
    <w:tbl>
      <w:tblPr>
        <w:tblW w:w="15952" w:type="dxa"/>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1252"/>
        <w:gridCol w:w="1116"/>
        <w:gridCol w:w="1010"/>
        <w:gridCol w:w="1134"/>
        <w:gridCol w:w="1418"/>
        <w:gridCol w:w="1559"/>
        <w:gridCol w:w="2409"/>
      </w:tblGrid>
      <w:tr>
        <w:trPr>
          <w:trHeight w:val="1068"/>
        </w:trPr>
        <w:tc>
          <w:tcPr>
            <w:tcW w:w="3960" w:type="dxa"/>
            <w:vAlign w:val="center"/>
          </w:tcPr>
          <w:p>
            <w:pPr>
              <w:rPr>
                <w:noProof/>
              </w:rPr>
            </w:pPr>
          </w:p>
        </w:tc>
        <w:tc>
          <w:tcPr>
            <w:tcW w:w="1560" w:type="dxa"/>
            <w:gridSpan w:val="2"/>
          </w:tcPr>
          <w:p>
            <w:pPr>
              <w:rPr>
                <w:noProof/>
                <w:sz w:val="20"/>
              </w:rPr>
            </w:pPr>
          </w:p>
        </w:tc>
        <w:tc>
          <w:tcPr>
            <w:tcW w:w="534" w:type="dxa"/>
          </w:tcPr>
          <w:p>
            <w:pPr>
              <w:jc w:val="center"/>
              <w:rPr>
                <w:noProof/>
                <w:sz w:val="20"/>
              </w:rPr>
            </w:pPr>
          </w:p>
        </w:tc>
        <w:tc>
          <w:tcPr>
            <w:tcW w:w="1252" w:type="dxa"/>
            <w:vAlign w:val="center"/>
          </w:tcPr>
          <w:p>
            <w:pPr>
              <w:jc w:val="center"/>
              <w:rPr>
                <w:noProof/>
                <w:sz w:val="20"/>
              </w:rPr>
            </w:pPr>
            <w:r>
              <w:rPr>
                <w:noProof/>
                <w:sz w:val="20"/>
              </w:rPr>
              <w:t>2019</w:t>
            </w:r>
          </w:p>
        </w:tc>
        <w:tc>
          <w:tcPr>
            <w:tcW w:w="1116" w:type="dxa"/>
            <w:vAlign w:val="center"/>
          </w:tcPr>
          <w:p>
            <w:pPr>
              <w:jc w:val="center"/>
              <w:rPr>
                <w:noProof/>
                <w:sz w:val="20"/>
              </w:rPr>
            </w:pPr>
            <w:r>
              <w:rPr>
                <w:noProof/>
                <w:sz w:val="20"/>
              </w:rPr>
              <w:t>2020</w:t>
            </w:r>
          </w:p>
        </w:tc>
        <w:tc>
          <w:tcPr>
            <w:tcW w:w="1010" w:type="dxa"/>
            <w:vAlign w:val="center"/>
          </w:tcPr>
          <w:p>
            <w:pPr>
              <w:jc w:val="center"/>
              <w:rPr>
                <w:noProof/>
                <w:sz w:val="20"/>
              </w:rPr>
            </w:pPr>
            <w:r>
              <w:rPr>
                <w:noProof/>
                <w:sz w:val="20"/>
              </w:rPr>
              <w:t>2021</w:t>
            </w:r>
          </w:p>
        </w:tc>
        <w:tc>
          <w:tcPr>
            <w:tcW w:w="1134" w:type="dxa"/>
            <w:vAlign w:val="center"/>
          </w:tcPr>
          <w:p>
            <w:pPr>
              <w:jc w:val="center"/>
              <w:rPr>
                <w:noProof/>
                <w:sz w:val="20"/>
              </w:rPr>
            </w:pPr>
            <w:r>
              <w:rPr>
                <w:noProof/>
                <w:sz w:val="20"/>
              </w:rPr>
              <w:t>2022</w:t>
            </w:r>
          </w:p>
        </w:tc>
        <w:tc>
          <w:tcPr>
            <w:tcW w:w="1418" w:type="dxa"/>
          </w:tcPr>
          <w:p>
            <w:pPr>
              <w:rPr>
                <w:noProof/>
                <w:sz w:val="20"/>
              </w:rPr>
            </w:pPr>
            <w:r>
              <w:rPr>
                <w:noProof/>
                <w:sz w:val="20"/>
              </w:rPr>
              <w:t xml:space="preserve">   </w:t>
            </w:r>
          </w:p>
          <w:p>
            <w:pPr>
              <w:rPr>
                <w:noProof/>
                <w:sz w:val="20"/>
              </w:rPr>
            </w:pPr>
            <w:r>
              <w:rPr>
                <w:noProof/>
                <w:sz w:val="20"/>
              </w:rPr>
              <w:t xml:space="preserve">      2023</w:t>
            </w:r>
          </w:p>
        </w:tc>
        <w:tc>
          <w:tcPr>
            <w:tcW w:w="1559" w:type="dxa"/>
          </w:tcPr>
          <w:p>
            <w:pPr>
              <w:jc w:val="center"/>
              <w:rPr>
                <w:noProof/>
                <w:sz w:val="20"/>
              </w:rPr>
            </w:pPr>
          </w:p>
          <w:p>
            <w:pPr>
              <w:jc w:val="center"/>
              <w:rPr>
                <w:noProof/>
                <w:sz w:val="20"/>
              </w:rPr>
            </w:pPr>
            <w:r>
              <w:rPr>
                <w:noProof/>
                <w:sz w:val="20"/>
              </w:rPr>
              <w:t>Následující roky</w:t>
            </w:r>
          </w:p>
        </w:tc>
        <w:tc>
          <w:tcPr>
            <w:tcW w:w="2409" w:type="dxa"/>
            <w:vAlign w:val="center"/>
          </w:tcPr>
          <w:p>
            <w:pPr>
              <w:jc w:val="center"/>
              <w:rPr>
                <w:b/>
                <w:noProof/>
                <w:sz w:val="20"/>
              </w:rPr>
            </w:pPr>
            <w:r>
              <w:rPr>
                <w:b/>
                <w:noProof/>
                <w:sz w:val="20"/>
              </w:rPr>
              <w:t>CELKEM</w:t>
            </w:r>
          </w:p>
        </w:tc>
      </w:tr>
      <w:tr>
        <w:trPr>
          <w:trHeight w:val="213"/>
        </w:trPr>
        <w:tc>
          <w:tcPr>
            <w:tcW w:w="6054" w:type="dxa"/>
            <w:gridSpan w:val="4"/>
            <w:vAlign w:val="center"/>
          </w:tcPr>
          <w:p>
            <w:pPr>
              <w:spacing w:before="20" w:after="20"/>
              <w:rPr>
                <w:b/>
                <w:noProof/>
                <w:szCs w:val="24"/>
              </w:rPr>
            </w:pPr>
            <w:r>
              <w:rPr>
                <w:noProof/>
                <w:sz w:val="21"/>
              </w:rPr>
              <w:sym w:font="Wingdings" w:char="F09F"/>
            </w:r>
            <w:r>
              <w:rPr>
                <w:noProof/>
                <w:sz w:val="21"/>
              </w:rPr>
              <w:t xml:space="preserve"> </w:t>
            </w:r>
            <w:r>
              <w:rPr>
                <w:b/>
                <w:noProof/>
              </w:rPr>
              <w:t>Zrušení operačních prostředků</w:t>
            </w:r>
          </w:p>
        </w:tc>
        <w:tc>
          <w:tcPr>
            <w:tcW w:w="1252" w:type="dxa"/>
            <w:vAlign w:val="center"/>
          </w:tcPr>
          <w:p>
            <w:pPr>
              <w:rPr>
                <w:noProof/>
                <w:sz w:val="20"/>
              </w:rPr>
            </w:pPr>
          </w:p>
        </w:tc>
        <w:tc>
          <w:tcPr>
            <w:tcW w:w="1116" w:type="dxa"/>
            <w:vAlign w:val="center"/>
          </w:tcPr>
          <w:p>
            <w:pPr>
              <w:rPr>
                <w:noProof/>
                <w:sz w:val="20"/>
              </w:rPr>
            </w:pPr>
          </w:p>
        </w:tc>
        <w:tc>
          <w:tcPr>
            <w:tcW w:w="1010" w:type="dxa"/>
            <w:vAlign w:val="center"/>
          </w:tcPr>
          <w:p>
            <w:pPr>
              <w:rPr>
                <w:noProof/>
                <w:sz w:val="20"/>
              </w:rPr>
            </w:pPr>
          </w:p>
        </w:tc>
        <w:tc>
          <w:tcPr>
            <w:tcW w:w="1134" w:type="dxa"/>
            <w:vAlign w:val="center"/>
          </w:tcPr>
          <w:p>
            <w:pPr>
              <w:rPr>
                <w:noProof/>
                <w:sz w:val="20"/>
              </w:rPr>
            </w:pPr>
          </w:p>
        </w:tc>
        <w:tc>
          <w:tcPr>
            <w:tcW w:w="1418" w:type="dxa"/>
          </w:tcPr>
          <w:p>
            <w:pPr>
              <w:rPr>
                <w:b/>
                <w:noProof/>
                <w:sz w:val="20"/>
              </w:rPr>
            </w:pPr>
          </w:p>
        </w:tc>
        <w:tc>
          <w:tcPr>
            <w:tcW w:w="1559" w:type="dxa"/>
          </w:tcPr>
          <w:p>
            <w:pPr>
              <w:rPr>
                <w:b/>
                <w:noProof/>
                <w:sz w:val="20"/>
              </w:rPr>
            </w:pPr>
          </w:p>
        </w:tc>
        <w:tc>
          <w:tcPr>
            <w:tcW w:w="2409" w:type="dxa"/>
            <w:vAlign w:val="center"/>
          </w:tcPr>
          <w:p>
            <w:pPr>
              <w:rPr>
                <w:b/>
                <w:noProof/>
                <w:sz w:val="20"/>
              </w:rPr>
            </w:pPr>
          </w:p>
        </w:tc>
      </w:tr>
      <w:tr>
        <w:trPr>
          <w:trHeight w:val="509"/>
        </w:trPr>
        <w:tc>
          <w:tcPr>
            <w:tcW w:w="3960" w:type="dxa"/>
            <w:vMerge w:val="restart"/>
            <w:vAlign w:val="center"/>
          </w:tcPr>
          <w:p>
            <w:pPr>
              <w:rPr>
                <w:noProof/>
                <w:sz w:val="20"/>
              </w:rPr>
            </w:pPr>
            <w:r>
              <w:rPr>
                <w:noProof/>
                <w:sz w:val="20"/>
              </w:rPr>
              <w:t>13.03.64.01 – Evropský fond pro regionální rozvoj (EFRR) – Evropská územní spolupráce (EÚS)</w:t>
            </w:r>
          </w:p>
        </w:tc>
        <w:tc>
          <w:tcPr>
            <w:tcW w:w="1440" w:type="dxa"/>
            <w:vAlign w:val="center"/>
          </w:tcPr>
          <w:p>
            <w:pPr>
              <w:spacing w:before="20" w:after="20"/>
              <w:rPr>
                <w:noProof/>
                <w:sz w:val="18"/>
              </w:rPr>
            </w:pPr>
            <w:r>
              <w:rPr>
                <w:noProof/>
                <w:sz w:val="18"/>
              </w:rPr>
              <w:t>Závazky</w:t>
            </w:r>
          </w:p>
        </w:tc>
        <w:tc>
          <w:tcPr>
            <w:tcW w:w="654" w:type="dxa"/>
            <w:gridSpan w:val="2"/>
            <w:vAlign w:val="center"/>
          </w:tcPr>
          <w:p>
            <w:pPr>
              <w:spacing w:before="20" w:after="20"/>
              <w:jc w:val="center"/>
              <w:rPr>
                <w:noProof/>
                <w:sz w:val="14"/>
              </w:rPr>
            </w:pPr>
            <w:r>
              <w:rPr>
                <w:noProof/>
                <w:sz w:val="14"/>
              </w:rPr>
              <w:t>(1a)</w:t>
            </w:r>
          </w:p>
        </w:tc>
        <w:tc>
          <w:tcPr>
            <w:tcW w:w="1252" w:type="dxa"/>
            <w:vAlign w:val="center"/>
          </w:tcPr>
          <w:p>
            <w:pPr>
              <w:spacing w:before="20" w:after="20"/>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418" w:type="dxa"/>
          </w:tcPr>
          <w:p>
            <w:pPr>
              <w:spacing w:before="20" w:after="20"/>
              <w:jc w:val="right"/>
              <w:rPr>
                <w:b/>
                <w:noProof/>
                <w:sz w:val="20"/>
              </w:rPr>
            </w:pPr>
          </w:p>
        </w:tc>
        <w:tc>
          <w:tcPr>
            <w:tcW w:w="1559" w:type="dxa"/>
          </w:tcPr>
          <w:p>
            <w:pPr>
              <w:spacing w:before="20" w:after="20"/>
              <w:jc w:val="right"/>
              <w:rPr>
                <w:b/>
                <w:noProof/>
                <w:sz w:val="20"/>
              </w:rPr>
            </w:pPr>
          </w:p>
        </w:tc>
        <w:tc>
          <w:tcPr>
            <w:tcW w:w="2409" w:type="dxa"/>
            <w:vAlign w:val="center"/>
          </w:tcPr>
          <w:p>
            <w:pPr>
              <w:spacing w:before="20" w:after="20"/>
              <w:jc w:val="right"/>
              <w:rPr>
                <w:noProof/>
                <w:sz w:val="18"/>
                <w:szCs w:val="18"/>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Platby</w:t>
            </w:r>
          </w:p>
        </w:tc>
        <w:tc>
          <w:tcPr>
            <w:tcW w:w="654" w:type="dxa"/>
            <w:gridSpan w:val="2"/>
            <w:vAlign w:val="center"/>
          </w:tcPr>
          <w:p>
            <w:pPr>
              <w:spacing w:before="20" w:after="20"/>
              <w:jc w:val="center"/>
              <w:rPr>
                <w:noProof/>
                <w:sz w:val="14"/>
              </w:rPr>
            </w:pPr>
            <w:r>
              <w:rPr>
                <w:noProof/>
                <w:sz w:val="14"/>
              </w:rPr>
              <w:t>(2a)</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18"/>
                <w:szCs w:val="18"/>
                <w:highlight w:val="yellow"/>
              </w:rPr>
            </w:pPr>
          </w:p>
        </w:tc>
        <w:tc>
          <w:tcPr>
            <w:tcW w:w="1134" w:type="dxa"/>
            <w:vAlign w:val="center"/>
          </w:tcPr>
          <w:p>
            <w:pPr>
              <w:spacing w:before="20" w:after="20"/>
              <w:jc w:val="right"/>
              <w:rPr>
                <w:noProof/>
                <w:sz w:val="18"/>
                <w:szCs w:val="18"/>
              </w:rPr>
            </w:pPr>
          </w:p>
        </w:tc>
        <w:tc>
          <w:tcPr>
            <w:tcW w:w="1418" w:type="dxa"/>
          </w:tcPr>
          <w:p>
            <w:pPr>
              <w:spacing w:before="20" w:after="20"/>
              <w:jc w:val="right"/>
              <w:rPr>
                <w:noProof/>
                <w:sz w:val="18"/>
                <w:szCs w:val="18"/>
              </w:rPr>
            </w:pPr>
          </w:p>
        </w:tc>
        <w:tc>
          <w:tcPr>
            <w:tcW w:w="1559" w:type="dxa"/>
          </w:tcPr>
          <w:p>
            <w:pPr>
              <w:spacing w:before="20" w:after="20"/>
              <w:jc w:val="right"/>
              <w:rPr>
                <w:noProof/>
                <w:sz w:val="18"/>
                <w:szCs w:val="18"/>
              </w:rPr>
            </w:pPr>
          </w:p>
        </w:tc>
        <w:tc>
          <w:tcPr>
            <w:tcW w:w="2409" w:type="dxa"/>
            <w:vAlign w:val="center"/>
          </w:tcPr>
          <w:p>
            <w:pPr>
              <w:spacing w:before="20" w:after="20"/>
              <w:jc w:val="right"/>
              <w:rPr>
                <w:noProof/>
                <w:sz w:val="18"/>
                <w:szCs w:val="18"/>
              </w:rPr>
            </w:pPr>
          </w:p>
        </w:tc>
      </w:tr>
      <w:tr>
        <w:tc>
          <w:tcPr>
            <w:tcW w:w="3960" w:type="dxa"/>
            <w:vMerge w:val="restart"/>
            <w:vAlign w:val="center"/>
          </w:tcPr>
          <w:p>
            <w:pPr>
              <w:jc w:val="center"/>
              <w:rPr>
                <w:b/>
                <w:noProof/>
              </w:rPr>
            </w:pPr>
            <w:r>
              <w:rPr>
                <w:b/>
                <w:noProof/>
                <w:sz w:val="22"/>
              </w:rPr>
              <w:t>Prostředky CELKEM</w:t>
            </w:r>
            <w:r>
              <w:rPr>
                <w:noProof/>
                <w:sz w:val="22"/>
              </w:rPr>
              <w:br/>
            </w:r>
          </w:p>
        </w:tc>
        <w:tc>
          <w:tcPr>
            <w:tcW w:w="1440" w:type="dxa"/>
            <w:vAlign w:val="center"/>
          </w:tcPr>
          <w:p>
            <w:pPr>
              <w:rPr>
                <w:noProof/>
                <w:sz w:val="18"/>
              </w:rPr>
            </w:pPr>
            <w:r>
              <w:rPr>
                <w:noProof/>
                <w:sz w:val="18"/>
              </w:rPr>
              <w:t>Závazky</w:t>
            </w:r>
          </w:p>
        </w:tc>
        <w:tc>
          <w:tcPr>
            <w:tcW w:w="654" w:type="dxa"/>
            <w:gridSpan w:val="2"/>
            <w:vAlign w:val="center"/>
          </w:tcPr>
          <w:p>
            <w:pPr>
              <w:jc w:val="center"/>
              <w:rPr>
                <w:noProof/>
                <w:sz w:val="14"/>
              </w:rPr>
            </w:pPr>
            <w:r>
              <w:rPr>
                <w:noProof/>
                <w:sz w:val="14"/>
              </w:rPr>
              <w:t>=1a+1b +3</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418" w:type="dxa"/>
          </w:tcPr>
          <w:p>
            <w:pPr>
              <w:spacing w:before="20" w:after="20"/>
              <w:jc w:val="right"/>
              <w:rPr>
                <w:b/>
                <w:noProof/>
                <w:sz w:val="18"/>
                <w:szCs w:val="18"/>
              </w:rPr>
            </w:pPr>
          </w:p>
        </w:tc>
        <w:tc>
          <w:tcPr>
            <w:tcW w:w="1559" w:type="dxa"/>
          </w:tcPr>
          <w:p>
            <w:pPr>
              <w:spacing w:before="20" w:after="20"/>
              <w:jc w:val="right"/>
              <w:rPr>
                <w:b/>
                <w:noProof/>
                <w:sz w:val="18"/>
                <w:szCs w:val="18"/>
              </w:rPr>
            </w:pPr>
          </w:p>
        </w:tc>
        <w:tc>
          <w:tcPr>
            <w:tcW w:w="2409" w:type="dxa"/>
            <w:vAlign w:val="center"/>
          </w:tcPr>
          <w:p>
            <w:pPr>
              <w:spacing w:before="20" w:after="20"/>
              <w:jc w:val="right"/>
              <w:rPr>
                <w:b/>
                <w:noProof/>
                <w:sz w:val="18"/>
                <w:szCs w:val="18"/>
              </w:rPr>
            </w:pPr>
          </w:p>
        </w:tc>
      </w:tr>
      <w:tr>
        <w:tc>
          <w:tcPr>
            <w:tcW w:w="3960" w:type="dxa"/>
            <w:vMerge/>
          </w:tcPr>
          <w:p>
            <w:pPr>
              <w:rPr>
                <w:noProof/>
                <w:sz w:val="20"/>
              </w:rPr>
            </w:pPr>
          </w:p>
        </w:tc>
        <w:tc>
          <w:tcPr>
            <w:tcW w:w="1440" w:type="dxa"/>
            <w:vAlign w:val="center"/>
          </w:tcPr>
          <w:p>
            <w:pPr>
              <w:rPr>
                <w:noProof/>
                <w:sz w:val="18"/>
              </w:rPr>
            </w:pPr>
            <w:r>
              <w:rPr>
                <w:noProof/>
                <w:sz w:val="18"/>
              </w:rPr>
              <w:t>Platby</w:t>
            </w:r>
          </w:p>
        </w:tc>
        <w:tc>
          <w:tcPr>
            <w:tcW w:w="654" w:type="dxa"/>
            <w:gridSpan w:val="2"/>
            <w:vAlign w:val="center"/>
          </w:tcPr>
          <w:p>
            <w:pPr>
              <w:jc w:val="center"/>
              <w:rPr>
                <w:noProof/>
                <w:sz w:val="14"/>
              </w:rPr>
            </w:pPr>
            <w:r>
              <w:rPr>
                <w:noProof/>
                <w:sz w:val="14"/>
              </w:rPr>
              <w:t>=2a+2b</w:t>
            </w:r>
          </w:p>
          <w:p>
            <w:pPr>
              <w:jc w:val="center"/>
              <w:rPr>
                <w:noProof/>
                <w:sz w:val="14"/>
              </w:rPr>
            </w:pPr>
            <w:r>
              <w:rPr>
                <w:noProof/>
                <w:sz w:val="14"/>
              </w:rPr>
              <w:t>+3</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418" w:type="dxa"/>
          </w:tcPr>
          <w:p>
            <w:pPr>
              <w:spacing w:before="20" w:after="20"/>
              <w:jc w:val="right"/>
              <w:rPr>
                <w:b/>
                <w:noProof/>
                <w:sz w:val="18"/>
                <w:szCs w:val="18"/>
              </w:rPr>
            </w:pPr>
          </w:p>
        </w:tc>
        <w:tc>
          <w:tcPr>
            <w:tcW w:w="1559" w:type="dxa"/>
          </w:tcPr>
          <w:p>
            <w:pPr>
              <w:spacing w:before="20" w:after="20"/>
              <w:jc w:val="right"/>
              <w:rPr>
                <w:b/>
                <w:noProof/>
                <w:sz w:val="18"/>
                <w:szCs w:val="18"/>
              </w:rPr>
            </w:pPr>
          </w:p>
        </w:tc>
        <w:tc>
          <w:tcPr>
            <w:tcW w:w="2409" w:type="dxa"/>
            <w:vAlign w:val="center"/>
          </w:tcPr>
          <w:p>
            <w:pPr>
              <w:spacing w:before="20" w:after="20"/>
              <w:jc w:val="right"/>
              <w:rPr>
                <w:b/>
                <w:noProof/>
                <w:sz w:val="18"/>
                <w:szCs w:val="18"/>
              </w:rPr>
            </w:pPr>
          </w:p>
        </w:tc>
      </w:tr>
    </w:tbl>
    <w:p>
      <w:pPr>
        <w:rPr>
          <w:noProof/>
        </w:rPr>
      </w:pPr>
      <w:r>
        <w:rPr>
          <w:noProof/>
        </w:rPr>
        <w:br/>
      </w:r>
    </w:p>
    <w:tbl>
      <w:tblPr>
        <w:tblW w:w="1439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1252"/>
        <w:gridCol w:w="1116"/>
        <w:gridCol w:w="1152"/>
        <w:gridCol w:w="1134"/>
        <w:gridCol w:w="1134"/>
        <w:gridCol w:w="1134"/>
        <w:gridCol w:w="1418"/>
      </w:tblGrid>
      <w:tr>
        <w:trPr>
          <w:trHeight w:val="277"/>
        </w:trPr>
        <w:tc>
          <w:tcPr>
            <w:tcW w:w="3960" w:type="dxa"/>
            <w:vMerge w:val="restart"/>
            <w:vAlign w:val="center"/>
          </w:tcPr>
          <w:p>
            <w:pPr>
              <w:spacing w:before="20" w:after="20"/>
              <w:rPr>
                <w:noProof/>
              </w:rPr>
            </w:pPr>
            <w:r>
              <w:rPr>
                <w:noProof/>
              </w:rPr>
              <w:br w:type="page"/>
            </w:r>
            <w:r>
              <w:rPr>
                <w:noProof/>
                <w:sz w:val="21"/>
              </w:rPr>
              <w:sym w:font="Wingdings" w:char="F09F"/>
            </w:r>
            <w:r>
              <w:rPr>
                <w:noProof/>
                <w:sz w:val="21"/>
              </w:rPr>
              <w:t xml:space="preserve"> Operační prostředky CELKEM</w:t>
            </w:r>
          </w:p>
        </w:tc>
        <w:tc>
          <w:tcPr>
            <w:tcW w:w="1440" w:type="dxa"/>
            <w:vAlign w:val="center"/>
          </w:tcPr>
          <w:p>
            <w:pPr>
              <w:spacing w:beforeLines="20" w:before="48" w:afterLines="20" w:after="48"/>
              <w:rPr>
                <w:noProof/>
                <w:sz w:val="18"/>
              </w:rPr>
            </w:pPr>
            <w:r>
              <w:rPr>
                <w:noProof/>
                <w:sz w:val="18"/>
              </w:rPr>
              <w:t>Závazky</w:t>
            </w:r>
          </w:p>
        </w:tc>
        <w:tc>
          <w:tcPr>
            <w:tcW w:w="654" w:type="dxa"/>
            <w:vAlign w:val="center"/>
          </w:tcPr>
          <w:p>
            <w:pPr>
              <w:spacing w:beforeLines="20" w:before="48" w:afterLines="20" w:after="48"/>
              <w:jc w:val="center"/>
              <w:rPr>
                <w:noProof/>
                <w:sz w:val="14"/>
              </w:rPr>
            </w:pPr>
            <w:r>
              <w:rPr>
                <w:noProof/>
                <w:sz w:val="14"/>
              </w:rPr>
              <w:t>(4)</w:t>
            </w:r>
          </w:p>
        </w:tc>
        <w:tc>
          <w:tcPr>
            <w:tcW w:w="1252" w:type="dxa"/>
            <w:vAlign w:val="center"/>
          </w:tcPr>
          <w:p>
            <w:pPr>
              <w:spacing w:before="20" w:after="20"/>
              <w:jc w:val="right"/>
              <w:rPr>
                <w:noProof/>
                <w:sz w:val="20"/>
              </w:rPr>
            </w:pPr>
          </w:p>
        </w:tc>
        <w:tc>
          <w:tcPr>
            <w:tcW w:w="1116" w:type="dxa"/>
            <w:vAlign w:val="center"/>
          </w:tcPr>
          <w:p>
            <w:pPr>
              <w:spacing w:before="20" w:after="20"/>
              <w:jc w:val="right"/>
              <w:rPr>
                <w:noProof/>
                <w:sz w:val="20"/>
              </w:rPr>
            </w:pPr>
          </w:p>
        </w:tc>
        <w:tc>
          <w:tcPr>
            <w:tcW w:w="1152"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418"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Platby</w:t>
            </w:r>
          </w:p>
        </w:tc>
        <w:tc>
          <w:tcPr>
            <w:tcW w:w="654" w:type="dxa"/>
            <w:vAlign w:val="center"/>
          </w:tcPr>
          <w:p>
            <w:pPr>
              <w:spacing w:beforeLines="20" w:before="48" w:afterLines="20" w:after="48"/>
              <w:jc w:val="center"/>
              <w:rPr>
                <w:noProof/>
                <w:sz w:val="14"/>
              </w:rPr>
            </w:pPr>
            <w:r>
              <w:rPr>
                <w:noProof/>
                <w:sz w:val="14"/>
              </w:rPr>
              <w:t>(5)</w:t>
            </w:r>
          </w:p>
        </w:tc>
        <w:tc>
          <w:tcPr>
            <w:tcW w:w="1252" w:type="dxa"/>
            <w:vAlign w:val="center"/>
          </w:tcPr>
          <w:p>
            <w:pPr>
              <w:spacing w:before="20" w:after="20"/>
              <w:jc w:val="right"/>
              <w:rPr>
                <w:noProof/>
                <w:sz w:val="20"/>
              </w:rPr>
            </w:pPr>
          </w:p>
        </w:tc>
        <w:tc>
          <w:tcPr>
            <w:tcW w:w="1116" w:type="dxa"/>
            <w:vAlign w:val="center"/>
          </w:tcPr>
          <w:p>
            <w:pPr>
              <w:spacing w:before="20" w:after="20"/>
              <w:jc w:val="right"/>
              <w:rPr>
                <w:noProof/>
                <w:sz w:val="20"/>
              </w:rPr>
            </w:pPr>
          </w:p>
        </w:tc>
        <w:tc>
          <w:tcPr>
            <w:tcW w:w="1152"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418" w:type="dxa"/>
            <w:vAlign w:val="center"/>
          </w:tcPr>
          <w:p>
            <w:pPr>
              <w:spacing w:before="20" w:after="20"/>
              <w:jc w:val="right"/>
              <w:rPr>
                <w:b/>
                <w:noProof/>
                <w:sz w:val="20"/>
              </w:rPr>
            </w:pPr>
          </w:p>
        </w:tc>
      </w:tr>
      <w:tr>
        <w:trPr>
          <w:trHeight w:val="533"/>
        </w:trPr>
        <w:tc>
          <w:tcPr>
            <w:tcW w:w="5400" w:type="dxa"/>
            <w:gridSpan w:val="2"/>
            <w:vAlign w:val="center"/>
          </w:tcPr>
          <w:p>
            <w:pPr>
              <w:spacing w:beforeLines="20" w:before="48" w:afterLines="20" w:after="48"/>
              <w:rPr>
                <w:noProof/>
              </w:rPr>
            </w:pPr>
            <w:r>
              <w:rPr>
                <w:noProof/>
                <w:sz w:val="21"/>
              </w:rPr>
              <w:sym w:font="Wingdings" w:char="F09F"/>
            </w:r>
            <w:r>
              <w:rPr>
                <w:noProof/>
                <w:sz w:val="21"/>
              </w:rPr>
              <w:t xml:space="preserve"> Prostředky správní povahy financované z rámce na zvláštní programy CELKEM</w:t>
            </w:r>
          </w:p>
        </w:tc>
        <w:tc>
          <w:tcPr>
            <w:tcW w:w="654" w:type="dxa"/>
            <w:vAlign w:val="center"/>
          </w:tcPr>
          <w:p>
            <w:pPr>
              <w:spacing w:beforeLines="20" w:before="48" w:afterLines="20" w:after="48"/>
              <w:jc w:val="center"/>
              <w:rPr>
                <w:noProof/>
                <w:sz w:val="14"/>
              </w:rPr>
            </w:pPr>
            <w:r>
              <w:rPr>
                <w:noProof/>
                <w:sz w:val="14"/>
              </w:rPr>
              <w:t>(6)</w:t>
            </w:r>
          </w:p>
        </w:tc>
        <w:tc>
          <w:tcPr>
            <w:tcW w:w="1252" w:type="dxa"/>
            <w:vAlign w:val="center"/>
          </w:tcPr>
          <w:p>
            <w:pPr>
              <w:spacing w:before="20" w:after="20"/>
              <w:jc w:val="right"/>
              <w:rPr>
                <w:b/>
                <w:noProof/>
                <w:sz w:val="20"/>
              </w:rPr>
            </w:pPr>
          </w:p>
        </w:tc>
        <w:tc>
          <w:tcPr>
            <w:tcW w:w="1116" w:type="dxa"/>
            <w:vAlign w:val="center"/>
          </w:tcPr>
          <w:p>
            <w:pPr>
              <w:spacing w:before="20" w:after="20"/>
              <w:jc w:val="right"/>
              <w:rPr>
                <w:b/>
                <w:noProof/>
                <w:sz w:val="20"/>
              </w:rPr>
            </w:pPr>
          </w:p>
        </w:tc>
        <w:tc>
          <w:tcPr>
            <w:tcW w:w="1152" w:type="dxa"/>
            <w:vAlign w:val="center"/>
          </w:tcPr>
          <w:p>
            <w:pPr>
              <w:spacing w:before="20" w:after="20"/>
              <w:jc w:val="right"/>
              <w:rPr>
                <w:b/>
                <w:noProof/>
                <w:sz w:val="20"/>
              </w:rPr>
            </w:pPr>
          </w:p>
        </w:tc>
        <w:tc>
          <w:tcPr>
            <w:tcW w:w="1134" w:type="dxa"/>
            <w:vAlign w:val="center"/>
          </w:tcPr>
          <w:p>
            <w:pPr>
              <w:spacing w:before="20" w:after="20"/>
              <w:jc w:val="right"/>
              <w:rPr>
                <w:b/>
                <w:noProof/>
                <w:sz w:val="20"/>
              </w:rPr>
            </w:pPr>
          </w:p>
        </w:tc>
        <w:tc>
          <w:tcPr>
            <w:tcW w:w="1134" w:type="dxa"/>
            <w:vAlign w:val="center"/>
          </w:tcPr>
          <w:p>
            <w:pPr>
              <w:spacing w:before="20" w:after="20"/>
              <w:jc w:val="right"/>
              <w:rPr>
                <w:b/>
                <w:noProof/>
                <w:sz w:val="20"/>
              </w:rPr>
            </w:pPr>
          </w:p>
        </w:tc>
        <w:tc>
          <w:tcPr>
            <w:tcW w:w="1134" w:type="dxa"/>
            <w:vAlign w:val="center"/>
          </w:tcPr>
          <w:p>
            <w:pPr>
              <w:spacing w:before="20" w:after="20"/>
              <w:jc w:val="right"/>
              <w:rPr>
                <w:b/>
                <w:noProof/>
                <w:sz w:val="20"/>
              </w:rPr>
            </w:pPr>
          </w:p>
        </w:tc>
        <w:tc>
          <w:tcPr>
            <w:tcW w:w="1418"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rPr>
            </w:pPr>
            <w:r>
              <w:rPr>
                <w:b/>
                <w:noProof/>
              </w:rPr>
              <w:t>Prostředky z OKRUHU 13</w:t>
            </w:r>
            <w:r>
              <w:rPr>
                <w:noProof/>
              </w:rPr>
              <w:t xml:space="preserve"> víceletého finančního rámce </w:t>
            </w:r>
            <w:r>
              <w:rPr>
                <w:b/>
                <w:noProof/>
              </w:rPr>
              <w:t>CELKEM</w:t>
            </w:r>
          </w:p>
        </w:tc>
        <w:tc>
          <w:tcPr>
            <w:tcW w:w="1440" w:type="dxa"/>
            <w:vAlign w:val="center"/>
          </w:tcPr>
          <w:p>
            <w:pPr>
              <w:rPr>
                <w:noProof/>
                <w:sz w:val="18"/>
              </w:rPr>
            </w:pPr>
            <w:r>
              <w:rPr>
                <w:noProof/>
                <w:sz w:val="18"/>
              </w:rPr>
              <w:t>Závazky</w:t>
            </w:r>
          </w:p>
        </w:tc>
        <w:tc>
          <w:tcPr>
            <w:tcW w:w="654" w:type="dxa"/>
            <w:vAlign w:val="center"/>
          </w:tcPr>
          <w:p>
            <w:pPr>
              <w:jc w:val="center"/>
              <w:rPr>
                <w:noProof/>
                <w:sz w:val="14"/>
              </w:rPr>
            </w:pPr>
            <w:r>
              <w:rPr>
                <w:noProof/>
                <w:sz w:val="14"/>
              </w:rPr>
              <w:t>=4+6</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152"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134" w:type="dxa"/>
          </w:tcPr>
          <w:p>
            <w:pPr>
              <w:spacing w:before="20" w:after="20"/>
              <w:jc w:val="right"/>
              <w:rPr>
                <w:noProof/>
                <w:sz w:val="18"/>
                <w:szCs w:val="18"/>
              </w:rPr>
            </w:pPr>
          </w:p>
        </w:tc>
        <w:tc>
          <w:tcPr>
            <w:tcW w:w="1134" w:type="dxa"/>
          </w:tcPr>
          <w:p>
            <w:pPr>
              <w:spacing w:before="20" w:after="20"/>
              <w:jc w:val="right"/>
              <w:rPr>
                <w:noProof/>
                <w:sz w:val="18"/>
                <w:szCs w:val="18"/>
              </w:rPr>
            </w:pPr>
          </w:p>
        </w:tc>
        <w:tc>
          <w:tcPr>
            <w:tcW w:w="1418" w:type="dxa"/>
            <w:vAlign w:val="center"/>
          </w:tcPr>
          <w:p>
            <w:pPr>
              <w:spacing w:before="20" w:after="20"/>
              <w:jc w:val="right"/>
              <w:rPr>
                <w:b/>
                <w:noProof/>
                <w:sz w:val="18"/>
                <w:szCs w:val="18"/>
              </w:rPr>
            </w:pP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Platby</w:t>
            </w:r>
          </w:p>
        </w:tc>
        <w:tc>
          <w:tcPr>
            <w:tcW w:w="654" w:type="dxa"/>
            <w:vAlign w:val="center"/>
          </w:tcPr>
          <w:p>
            <w:pPr>
              <w:jc w:val="center"/>
              <w:rPr>
                <w:noProof/>
                <w:sz w:val="14"/>
              </w:rPr>
            </w:pPr>
            <w:r>
              <w:rPr>
                <w:noProof/>
                <w:sz w:val="14"/>
              </w:rPr>
              <w:t>=5+6</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152"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134" w:type="dxa"/>
          </w:tcPr>
          <w:p>
            <w:pPr>
              <w:spacing w:before="20" w:after="20"/>
              <w:jc w:val="right"/>
              <w:rPr>
                <w:noProof/>
                <w:sz w:val="18"/>
                <w:szCs w:val="18"/>
              </w:rPr>
            </w:pPr>
          </w:p>
        </w:tc>
        <w:tc>
          <w:tcPr>
            <w:tcW w:w="1134" w:type="dxa"/>
          </w:tcPr>
          <w:p>
            <w:pPr>
              <w:spacing w:before="20" w:after="20"/>
              <w:jc w:val="right"/>
              <w:rPr>
                <w:noProof/>
                <w:sz w:val="18"/>
                <w:szCs w:val="18"/>
              </w:rPr>
            </w:pPr>
          </w:p>
        </w:tc>
        <w:tc>
          <w:tcPr>
            <w:tcW w:w="1418" w:type="dxa"/>
            <w:vAlign w:val="center"/>
          </w:tcPr>
          <w:p>
            <w:pPr>
              <w:spacing w:before="20" w:after="20"/>
              <w:jc w:val="right"/>
              <w:rPr>
                <w:b/>
                <w:noProof/>
                <w:sz w:val="18"/>
                <w:szCs w:val="18"/>
              </w:rPr>
            </w:pPr>
          </w:p>
        </w:tc>
      </w:tr>
    </w:tbl>
    <w:p>
      <w:pPr>
        <w:spacing w:after="40"/>
        <w:rPr>
          <w:b/>
          <w:noProof/>
          <w:sz w:val="22"/>
          <w:u w:val="single"/>
        </w:rPr>
      </w:pPr>
    </w:p>
    <w:p>
      <w:pPr>
        <w:spacing w:after="40"/>
        <w:rPr>
          <w:b/>
          <w:noProof/>
          <w:sz w:val="22"/>
          <w:u w:val="single"/>
        </w:rPr>
      </w:pPr>
      <w:r>
        <w:rPr>
          <w:b/>
          <w:noProof/>
          <w:sz w:val="22"/>
          <w:u w:val="single"/>
        </w:rPr>
        <w:t>Pokud je návrhem/podnětem dotčen více než jeden operační okruh, zopakuje se výše uvedený oddíl:</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auto"/>
              <w:left w:val="single" w:sz="4" w:space="0" w:color="auto"/>
              <w:bottom w:val="single" w:sz="4" w:space="0" w:color="FF0000"/>
            </w:tcBorders>
            <w:vAlign w:val="center"/>
          </w:tcPr>
          <w:p>
            <w:pPr>
              <w:spacing w:before="20" w:after="20"/>
              <w:rPr>
                <w:noProof/>
              </w:rPr>
            </w:pPr>
            <w:r>
              <w:rPr>
                <w:noProof/>
                <w:sz w:val="21"/>
              </w:rPr>
              <w:sym w:font="Wingdings" w:char="F09F"/>
            </w:r>
            <w:r>
              <w:rPr>
                <w:noProof/>
                <w:sz w:val="21"/>
              </w:rPr>
              <w:t xml:space="preserve"> Operační prostředky CELKEM (všechny </w:t>
            </w:r>
            <w:r>
              <w:rPr>
                <w:noProof/>
                <w:sz w:val="21"/>
              </w:rPr>
              <w:lastRenderedPageBreak/>
              <w:t>operační okruhy)</w:t>
            </w:r>
          </w:p>
        </w:tc>
        <w:tc>
          <w:tcPr>
            <w:tcW w:w="1440" w:type="dxa"/>
            <w:tcBorders>
              <w:top w:val="single" w:sz="4" w:space="0" w:color="auto"/>
            </w:tcBorders>
            <w:vAlign w:val="center"/>
          </w:tcPr>
          <w:p>
            <w:pPr>
              <w:spacing w:beforeLines="20" w:before="48" w:afterLines="20" w:after="48"/>
              <w:rPr>
                <w:noProof/>
                <w:sz w:val="18"/>
              </w:rPr>
            </w:pPr>
            <w:r>
              <w:rPr>
                <w:noProof/>
                <w:sz w:val="18"/>
              </w:rPr>
              <w:lastRenderedPageBreak/>
              <w:t>Závazky</w:t>
            </w:r>
          </w:p>
        </w:tc>
        <w:tc>
          <w:tcPr>
            <w:tcW w:w="654" w:type="dxa"/>
            <w:tcBorders>
              <w:top w:val="single" w:sz="4" w:space="0" w:color="auto"/>
            </w:tcBorders>
            <w:vAlign w:val="center"/>
          </w:tcPr>
          <w:p>
            <w:pPr>
              <w:spacing w:beforeLines="20" w:before="48" w:afterLines="20" w:after="48"/>
              <w:jc w:val="center"/>
              <w:rPr>
                <w:noProof/>
                <w:sz w:val="14"/>
              </w:rPr>
            </w:pPr>
            <w:r>
              <w:rPr>
                <w:noProof/>
                <w:sz w:val="14"/>
              </w:rPr>
              <w:t>(4)</w:t>
            </w: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b/>
                <w:noProof/>
                <w:sz w:val="20"/>
              </w:rPr>
            </w:pPr>
          </w:p>
        </w:tc>
        <w:tc>
          <w:tcPr>
            <w:tcW w:w="1777" w:type="dxa"/>
            <w:tcBorders>
              <w:top w:val="single" w:sz="4" w:space="0" w:color="auto"/>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FF0000"/>
            </w:tcBorders>
          </w:tcPr>
          <w:p>
            <w:pPr>
              <w:jc w:val="center"/>
              <w:rPr>
                <w:noProof/>
                <w:sz w:val="20"/>
              </w:rPr>
            </w:pPr>
          </w:p>
        </w:tc>
        <w:tc>
          <w:tcPr>
            <w:tcW w:w="1440" w:type="dxa"/>
            <w:vAlign w:val="center"/>
          </w:tcPr>
          <w:p>
            <w:pPr>
              <w:spacing w:beforeLines="20" w:before="48" w:afterLines="20" w:after="48"/>
              <w:rPr>
                <w:noProof/>
                <w:sz w:val="18"/>
              </w:rPr>
            </w:pPr>
            <w:r>
              <w:rPr>
                <w:noProof/>
                <w:sz w:val="18"/>
              </w:rPr>
              <w:t>Platby</w:t>
            </w:r>
          </w:p>
        </w:tc>
        <w:tc>
          <w:tcPr>
            <w:tcW w:w="654" w:type="dxa"/>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Borders>
              <w:right w:val="single" w:sz="4" w:space="0" w:color="auto"/>
            </w:tcBorders>
            <w:vAlign w:val="center"/>
          </w:tcPr>
          <w:p>
            <w:pPr>
              <w:spacing w:before="20" w:after="20"/>
              <w:jc w:val="right"/>
              <w:rPr>
                <w:b/>
                <w:noProof/>
                <w:sz w:val="20"/>
              </w:rPr>
            </w:pPr>
          </w:p>
        </w:tc>
      </w:tr>
      <w:tr>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pPr>
              <w:spacing w:beforeLines="20" w:before="48" w:afterLines="20" w:after="48"/>
              <w:rPr>
                <w:noProof/>
              </w:rPr>
            </w:pPr>
            <w:r>
              <w:rPr>
                <w:noProof/>
                <w:sz w:val="21"/>
              </w:rPr>
              <w:lastRenderedPageBreak/>
              <w:t xml:space="preserve"> Prostředky správní povahy financované z rámce na zvláštní programy (všechny operační okruhy) CELKEM</w:t>
            </w:r>
          </w:p>
        </w:tc>
        <w:tc>
          <w:tcPr>
            <w:tcW w:w="654" w:type="dxa"/>
            <w:vAlign w:val="center"/>
          </w:tcPr>
          <w:p>
            <w:pPr>
              <w:rPr>
                <w:noProof/>
              </w:rPr>
            </w:pPr>
          </w:p>
          <w:p>
            <w:pPr>
              <w:spacing w:beforeLines="20" w:before="48" w:afterLines="20" w:after="48"/>
              <w:jc w:val="center"/>
              <w:rPr>
                <w:noProof/>
                <w:sz w:val="14"/>
              </w:rPr>
            </w:pPr>
            <w:r>
              <w:rPr>
                <w:noProof/>
                <w:sz w:val="14"/>
              </w:rPr>
              <w:t>(6)</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b/>
                <w:noProof/>
              </w:rPr>
            </w:pPr>
            <w:r>
              <w:rPr>
                <w:b/>
                <w:noProof/>
              </w:rPr>
              <w:t>Prostředky z OKRUHŮ 1 až 4</w:t>
            </w:r>
            <w:r>
              <w:rPr>
                <w:noProof/>
              </w:rPr>
              <w:t xml:space="preserve"> víceletého finančního rámce </w:t>
            </w:r>
            <w:r>
              <w:rPr>
                <w:b/>
                <w:noProof/>
              </w:rPr>
              <w:t>CELKEM</w:t>
            </w:r>
            <w:r>
              <w:rPr>
                <w:noProof/>
                <w:sz w:val="22"/>
              </w:rPr>
              <w:br/>
            </w:r>
            <w:r>
              <w:rPr>
                <w:noProof/>
                <w:sz w:val="20"/>
              </w:rPr>
              <w:t>(referenční částka)</w:t>
            </w:r>
          </w:p>
        </w:tc>
        <w:tc>
          <w:tcPr>
            <w:tcW w:w="1440" w:type="dxa"/>
            <w:vAlign w:val="center"/>
          </w:tcPr>
          <w:p>
            <w:pPr>
              <w:rPr>
                <w:noProof/>
                <w:sz w:val="18"/>
              </w:rPr>
            </w:pPr>
            <w:r>
              <w:rPr>
                <w:noProof/>
                <w:sz w:val="18"/>
              </w:rPr>
              <w:t>Závazky</w:t>
            </w:r>
          </w:p>
        </w:tc>
        <w:tc>
          <w:tcPr>
            <w:tcW w:w="654" w:type="dxa"/>
            <w:vAlign w:val="center"/>
          </w:tcPr>
          <w:p>
            <w:pPr>
              <w:jc w:val="center"/>
              <w:rPr>
                <w:noProof/>
                <w:sz w:val="14"/>
              </w:rPr>
            </w:pPr>
            <w:r>
              <w:rPr>
                <w:noProof/>
                <w:sz w:val="14"/>
              </w:rPr>
              <w:t>=4+6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Borders>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auto"/>
            </w:tcBorders>
            <w:shd w:val="thinDiagStripe" w:color="C0C0C0" w:fill="auto"/>
          </w:tcPr>
          <w:p>
            <w:pPr>
              <w:rPr>
                <w:noProof/>
                <w:sz w:val="20"/>
              </w:rPr>
            </w:pPr>
          </w:p>
        </w:tc>
        <w:tc>
          <w:tcPr>
            <w:tcW w:w="1440" w:type="dxa"/>
            <w:tcBorders>
              <w:bottom w:val="single" w:sz="4" w:space="0" w:color="auto"/>
            </w:tcBorders>
            <w:vAlign w:val="center"/>
          </w:tcPr>
          <w:p>
            <w:pPr>
              <w:rPr>
                <w:noProof/>
                <w:sz w:val="18"/>
              </w:rPr>
            </w:pPr>
            <w:r>
              <w:rPr>
                <w:noProof/>
                <w:sz w:val="18"/>
              </w:rPr>
              <w:t>Platby</w:t>
            </w:r>
          </w:p>
        </w:tc>
        <w:tc>
          <w:tcPr>
            <w:tcW w:w="654" w:type="dxa"/>
            <w:tcBorders>
              <w:bottom w:val="single" w:sz="4" w:space="0" w:color="auto"/>
            </w:tcBorders>
            <w:vAlign w:val="center"/>
          </w:tcPr>
          <w:p>
            <w:pPr>
              <w:jc w:val="center"/>
              <w:rPr>
                <w:noProof/>
                <w:sz w:val="14"/>
              </w:rPr>
            </w:pPr>
            <w:r>
              <w:rPr>
                <w:noProof/>
                <w:sz w:val="14"/>
              </w:rPr>
              <w:t>=5+6</w:t>
            </w: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b/>
                <w:noProof/>
                <w:sz w:val="20"/>
              </w:rPr>
            </w:pPr>
          </w:p>
        </w:tc>
        <w:tc>
          <w:tcPr>
            <w:tcW w:w="1777" w:type="dxa"/>
            <w:tcBorders>
              <w:bottom w:val="single" w:sz="4" w:space="0" w:color="auto"/>
              <w:right w:val="single" w:sz="4" w:space="0" w:color="auto"/>
            </w:tcBorders>
            <w:vAlign w:val="center"/>
          </w:tcPr>
          <w:p>
            <w:pPr>
              <w:spacing w:before="20" w:after="20"/>
              <w:jc w:val="right"/>
              <w:rPr>
                <w:b/>
                <w:noProof/>
                <w:sz w:val="20"/>
              </w:rPr>
            </w:pPr>
          </w:p>
        </w:tc>
      </w:tr>
    </w:tbl>
    <w:p>
      <w:pPr>
        <w:rPr>
          <w:noProof/>
        </w:rPr>
      </w:pPr>
    </w:p>
    <w:p>
      <w:pPr>
        <w:spacing w:before="0" w:after="0"/>
        <w:jc w:val="left"/>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rPr>
              <w:lastRenderedPageBreak/>
              <w:br w:type="page"/>
            </w:r>
            <w:r>
              <w:rPr>
                <w:b/>
                <w:noProof/>
                <w:sz w:val="22"/>
              </w:rPr>
              <w:t>Okruh víceletého finančního</w:t>
            </w:r>
            <w:r>
              <w:rPr>
                <w:noProof/>
                <w:sz w:val="22"/>
              </w:rPr>
              <w:br/>
            </w:r>
            <w:r>
              <w:rPr>
                <w:b/>
                <w:noProof/>
                <w:sz w:val="22"/>
              </w:rPr>
              <w:t xml:space="preserve">rámce </w:t>
            </w:r>
          </w:p>
        </w:tc>
        <w:tc>
          <w:tcPr>
            <w:tcW w:w="1080" w:type="dxa"/>
            <w:shd w:val="thinDiagStripe" w:color="C0C0C0" w:fill="auto"/>
            <w:vAlign w:val="center"/>
          </w:tcPr>
          <w:p>
            <w:pPr>
              <w:spacing w:before="60" w:after="60"/>
              <w:jc w:val="center"/>
              <w:rPr>
                <w:noProof/>
              </w:rPr>
            </w:pPr>
            <w:r>
              <w:rPr>
                <w:b/>
                <w:noProof/>
                <w:sz w:val="22"/>
              </w:rPr>
              <w:t>5</w:t>
            </w:r>
          </w:p>
        </w:tc>
        <w:tc>
          <w:tcPr>
            <w:tcW w:w="7817" w:type="dxa"/>
            <w:vAlign w:val="center"/>
          </w:tcPr>
          <w:p>
            <w:pPr>
              <w:spacing w:before="60" w:after="60"/>
              <w:rPr>
                <w:noProof/>
              </w:rPr>
            </w:pPr>
            <w:r>
              <w:rPr>
                <w:noProof/>
                <w:sz w:val="22"/>
              </w:rPr>
              <w:t>Správní výdaje</w:t>
            </w:r>
          </w:p>
        </w:tc>
      </w:tr>
    </w:tbl>
    <w:p>
      <w:pPr>
        <w:jc w:val="left"/>
        <w:rPr>
          <w:noProof/>
          <w:sz w:val="20"/>
        </w:rPr>
      </w:pPr>
      <w:r>
        <w:rPr>
          <w:noProof/>
        </w:rPr>
        <w:t xml:space="preserve">Tento oddíl se vyplní pomocí „rozpočtových údajů správní povahy“, jež se nejprve uvedou v </w:t>
      </w:r>
      <w:hyperlink r:id="rId22">
        <w:r>
          <w:rPr>
            <w:rStyle w:val="Hyperlink"/>
            <w:noProof/>
          </w:rPr>
          <w:t>příloze legislativního finančního výkazu</w:t>
        </w:r>
      </w:hyperlink>
      <w:r>
        <w:rPr>
          <w:noProof/>
        </w:rPr>
        <w:t xml:space="preserve"> (příloha V interních pravidel), která se pro účely konzultace mezi útvary vloží do aplikace DECIDE.</w:t>
      </w:r>
    </w:p>
    <w:p>
      <w:pPr>
        <w:jc w:val="right"/>
        <w:rPr>
          <w:noProof/>
          <w:sz w:val="20"/>
        </w:rPr>
      </w:pPr>
      <w:r>
        <w:rPr>
          <w:noProof/>
          <w:sz w:val="20"/>
        </w:rPr>
        <w:t>v milionech EUR (zaokrouhleno na tři desetinná místa)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Rok</w:t>
            </w:r>
            <w:r>
              <w:rPr>
                <w:noProof/>
                <w:sz w:val="22"/>
              </w:rPr>
              <w:br/>
            </w:r>
            <w:r>
              <w:rPr>
                <w:b/>
                <w:noProof/>
                <w:sz w:val="20"/>
              </w:rPr>
              <w:t>N</w:t>
            </w:r>
          </w:p>
        </w:tc>
        <w:tc>
          <w:tcPr>
            <w:tcW w:w="868" w:type="dxa"/>
            <w:vAlign w:val="center"/>
          </w:tcPr>
          <w:p>
            <w:pPr>
              <w:jc w:val="center"/>
              <w:rPr>
                <w:noProof/>
                <w:sz w:val="20"/>
              </w:rPr>
            </w:pPr>
            <w:r>
              <w:rPr>
                <w:noProof/>
                <w:sz w:val="20"/>
              </w:rPr>
              <w:t>Rok</w:t>
            </w:r>
            <w:r>
              <w:rPr>
                <w:noProof/>
                <w:sz w:val="22"/>
              </w:rPr>
              <w:br/>
            </w:r>
            <w:r>
              <w:rPr>
                <w:b/>
                <w:noProof/>
                <w:sz w:val="20"/>
              </w:rPr>
              <w:t>N+1</w:t>
            </w:r>
          </w:p>
        </w:tc>
        <w:tc>
          <w:tcPr>
            <w:tcW w:w="868" w:type="dxa"/>
            <w:vAlign w:val="center"/>
          </w:tcPr>
          <w:p>
            <w:pPr>
              <w:jc w:val="center"/>
              <w:rPr>
                <w:noProof/>
                <w:sz w:val="20"/>
              </w:rPr>
            </w:pPr>
            <w:r>
              <w:rPr>
                <w:noProof/>
                <w:sz w:val="20"/>
              </w:rPr>
              <w:t>Rok</w:t>
            </w:r>
            <w:r>
              <w:rPr>
                <w:noProof/>
                <w:sz w:val="22"/>
              </w:rPr>
              <w:br/>
            </w:r>
            <w:r>
              <w:rPr>
                <w:b/>
                <w:noProof/>
                <w:sz w:val="20"/>
              </w:rPr>
              <w:t>N+2</w:t>
            </w:r>
          </w:p>
        </w:tc>
        <w:tc>
          <w:tcPr>
            <w:tcW w:w="868" w:type="dxa"/>
            <w:vAlign w:val="center"/>
          </w:tcPr>
          <w:p>
            <w:pPr>
              <w:jc w:val="center"/>
              <w:rPr>
                <w:noProof/>
                <w:sz w:val="20"/>
              </w:rPr>
            </w:pPr>
            <w:r>
              <w:rPr>
                <w:noProof/>
                <w:sz w:val="20"/>
              </w:rPr>
              <w:t>Rok</w:t>
            </w:r>
            <w:r>
              <w:rPr>
                <w:noProof/>
                <w:sz w:val="22"/>
              </w:rPr>
              <w:br/>
            </w:r>
            <w:r>
              <w:rPr>
                <w:b/>
                <w:noProof/>
                <w:sz w:val="20"/>
              </w:rPr>
              <w:t>N+3</w:t>
            </w:r>
          </w:p>
        </w:tc>
        <w:tc>
          <w:tcPr>
            <w:tcW w:w="2604" w:type="dxa"/>
            <w:gridSpan w:val="3"/>
            <w:vAlign w:val="center"/>
          </w:tcPr>
          <w:p>
            <w:pPr>
              <w:jc w:val="center"/>
              <w:rPr>
                <w:b/>
                <w:noProof/>
                <w:sz w:val="18"/>
              </w:rPr>
            </w:pPr>
            <w:r>
              <w:rPr>
                <w:noProof/>
                <w:sz w:val="18"/>
              </w:rPr>
              <w:t xml:space="preserve">Vložit počet let podle trvání finančního dopadu (viz bod 1.6) </w:t>
            </w:r>
          </w:p>
        </w:tc>
        <w:tc>
          <w:tcPr>
            <w:tcW w:w="1777" w:type="dxa"/>
            <w:vAlign w:val="center"/>
          </w:tcPr>
          <w:p>
            <w:pPr>
              <w:jc w:val="center"/>
              <w:rPr>
                <w:b/>
                <w:noProof/>
                <w:sz w:val="20"/>
              </w:rPr>
            </w:pPr>
            <w:r>
              <w:rPr>
                <w:b/>
                <w:noProof/>
                <w:sz w:val="20"/>
              </w:rPr>
              <w:t>CELKEM</w:t>
            </w:r>
          </w:p>
        </w:tc>
      </w:tr>
      <w:tr>
        <w:trPr>
          <w:gridAfter w:val="10"/>
          <w:wAfter w:w="9947" w:type="dxa"/>
        </w:trPr>
        <w:tc>
          <w:tcPr>
            <w:tcW w:w="3960" w:type="dxa"/>
            <w:vAlign w:val="center"/>
          </w:tcPr>
          <w:p>
            <w:pPr>
              <w:spacing w:before="60" w:after="60"/>
              <w:jc w:val="center"/>
              <w:rPr>
                <w:noProof/>
              </w:rPr>
            </w:pPr>
            <w:r>
              <w:rPr>
                <w:noProof/>
                <w:sz w:val="22"/>
              </w:rPr>
              <w:t>GŘ: &lt;…….&gt;</w:t>
            </w:r>
          </w:p>
        </w:tc>
      </w:tr>
      <w:tr>
        <w:trPr>
          <w:trHeight w:val="313"/>
        </w:trPr>
        <w:tc>
          <w:tcPr>
            <w:tcW w:w="6054" w:type="dxa"/>
            <w:gridSpan w:val="3"/>
            <w:vAlign w:val="center"/>
          </w:tcPr>
          <w:p>
            <w:pPr>
              <w:spacing w:before="20" w:after="20"/>
              <w:rPr>
                <w:noProof/>
              </w:rPr>
            </w:pPr>
            <w:r>
              <w:rPr>
                <w:noProof/>
                <w:sz w:val="22"/>
              </w:rPr>
              <w:sym w:font="Wingdings" w:char="F09F"/>
            </w:r>
            <w:r>
              <w:rPr>
                <w:noProof/>
                <w:sz w:val="22"/>
              </w:rPr>
              <w:t xml:space="preserve"> Lidské zdroje</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51"/>
        </w:trPr>
        <w:tc>
          <w:tcPr>
            <w:tcW w:w="6054" w:type="dxa"/>
            <w:gridSpan w:val="3"/>
            <w:vAlign w:val="center"/>
          </w:tcPr>
          <w:p>
            <w:pPr>
              <w:spacing w:before="20" w:after="20"/>
              <w:rPr>
                <w:noProof/>
              </w:rPr>
            </w:pPr>
            <w:r>
              <w:rPr>
                <w:noProof/>
                <w:sz w:val="22"/>
              </w:rPr>
              <w:sym w:font="Wingdings" w:char="F09F"/>
            </w:r>
            <w:r>
              <w:rPr>
                <w:noProof/>
                <w:sz w:val="22"/>
              </w:rPr>
              <w:t xml:space="preserve"> Ostatní správní výdaje</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Align w:val="center"/>
          </w:tcPr>
          <w:p>
            <w:pPr>
              <w:jc w:val="center"/>
              <w:rPr>
                <w:b/>
                <w:noProof/>
              </w:rPr>
            </w:pPr>
            <w:r>
              <w:rPr>
                <w:b/>
                <w:noProof/>
                <w:sz w:val="22"/>
              </w:rPr>
              <w:t xml:space="preserve">GŘ </w:t>
            </w:r>
            <w:r>
              <w:rPr>
                <w:noProof/>
                <w:sz w:val="22"/>
              </w:rPr>
              <w:t>&lt;…….&gt;</w:t>
            </w:r>
            <w:r>
              <w:rPr>
                <w:noProof/>
              </w:rPr>
              <w:t xml:space="preserve"> </w:t>
            </w:r>
            <w:r>
              <w:rPr>
                <w:b/>
                <w:noProof/>
                <w:sz w:val="22"/>
              </w:rPr>
              <w:t>CELKEM</w:t>
            </w:r>
          </w:p>
        </w:tc>
        <w:tc>
          <w:tcPr>
            <w:tcW w:w="2094" w:type="dxa"/>
            <w:gridSpan w:val="2"/>
            <w:vAlign w:val="center"/>
          </w:tcPr>
          <w:p>
            <w:pPr>
              <w:rPr>
                <w:noProof/>
                <w:sz w:val="14"/>
              </w:rPr>
            </w:pPr>
            <w:r>
              <w:rPr>
                <w:noProof/>
                <w:sz w:val="18"/>
              </w:rPr>
              <w:t xml:space="preserve">Prostředky </w:t>
            </w:r>
          </w:p>
        </w:tc>
        <w:tc>
          <w:tcPr>
            <w:tcW w:w="868" w:type="dxa"/>
            <w:vAlign w:val="center"/>
          </w:tcPr>
          <w:p>
            <w:pPr>
              <w:spacing w:before="60" w:after="6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rPr>
            </w:pPr>
            <w:r>
              <w:rPr>
                <w:b/>
                <w:noProof/>
              </w:rPr>
              <w:t>Prostředky z OKRUHU 5</w:t>
            </w:r>
            <w:r>
              <w:rPr>
                <w:noProof/>
              </w:rPr>
              <w:t xml:space="preserve"> </w:t>
            </w:r>
            <w:r>
              <w:rPr>
                <w:noProof/>
              </w:rPr>
              <w:br/>
              <w:t xml:space="preserve">víceletého finančního rámce </w:t>
            </w:r>
            <w:r>
              <w:rPr>
                <w:b/>
                <w:noProof/>
              </w:rPr>
              <w:t>CELKEM</w:t>
            </w:r>
            <w:r>
              <w:rPr>
                <w:b/>
                <w:noProof/>
                <w:sz w:val="22"/>
              </w:rPr>
              <w:t xml:space="preserve"> </w:t>
            </w:r>
          </w:p>
        </w:tc>
        <w:tc>
          <w:tcPr>
            <w:tcW w:w="2094" w:type="dxa"/>
            <w:vAlign w:val="center"/>
          </w:tcPr>
          <w:p>
            <w:pPr>
              <w:spacing w:before="40" w:after="40"/>
              <w:rPr>
                <w:noProof/>
              </w:rPr>
            </w:pPr>
            <w:r>
              <w:rPr>
                <w:noProof/>
                <w:sz w:val="18"/>
              </w:rPr>
              <w:t>(Závazky celkem = platby celkem)</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bl>
    <w:p>
      <w:pPr>
        <w:jc w:val="right"/>
        <w:rPr>
          <w:noProof/>
          <w:sz w:val="20"/>
        </w:rPr>
      </w:pPr>
      <w:r>
        <w:rPr>
          <w:noProof/>
          <w:sz w:val="20"/>
        </w:rPr>
        <w:t>v milionech EUR (zaokrouhleno na tři desetinná místa)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Rok</w:t>
            </w:r>
            <w:r>
              <w:rPr>
                <w:noProof/>
                <w:sz w:val="22"/>
              </w:rPr>
              <w:br/>
            </w:r>
            <w:r>
              <w:rPr>
                <w:b/>
                <w:noProof/>
                <w:sz w:val="20"/>
              </w:rPr>
              <w:t>N</w:t>
            </w:r>
            <w:r>
              <w:rPr>
                <w:rStyle w:val="FootnoteReference"/>
                <w:b/>
                <w:noProof/>
                <w:sz w:val="20"/>
              </w:rPr>
              <w:footnoteReference w:id="13"/>
            </w:r>
          </w:p>
        </w:tc>
        <w:tc>
          <w:tcPr>
            <w:tcW w:w="868" w:type="dxa"/>
            <w:vAlign w:val="center"/>
          </w:tcPr>
          <w:p>
            <w:pPr>
              <w:jc w:val="center"/>
              <w:rPr>
                <w:noProof/>
                <w:sz w:val="20"/>
              </w:rPr>
            </w:pPr>
            <w:r>
              <w:rPr>
                <w:noProof/>
                <w:sz w:val="20"/>
              </w:rPr>
              <w:t>Rok</w:t>
            </w:r>
            <w:r>
              <w:rPr>
                <w:noProof/>
                <w:sz w:val="22"/>
              </w:rPr>
              <w:br/>
            </w:r>
            <w:r>
              <w:rPr>
                <w:b/>
                <w:noProof/>
                <w:sz w:val="20"/>
              </w:rPr>
              <w:t>N+1</w:t>
            </w:r>
          </w:p>
        </w:tc>
        <w:tc>
          <w:tcPr>
            <w:tcW w:w="868" w:type="dxa"/>
            <w:vAlign w:val="center"/>
          </w:tcPr>
          <w:p>
            <w:pPr>
              <w:jc w:val="center"/>
              <w:rPr>
                <w:noProof/>
                <w:sz w:val="20"/>
              </w:rPr>
            </w:pPr>
            <w:r>
              <w:rPr>
                <w:noProof/>
                <w:sz w:val="20"/>
              </w:rPr>
              <w:t>Rok</w:t>
            </w:r>
            <w:r>
              <w:rPr>
                <w:noProof/>
                <w:sz w:val="22"/>
              </w:rPr>
              <w:br/>
            </w:r>
            <w:r>
              <w:rPr>
                <w:b/>
                <w:noProof/>
                <w:sz w:val="20"/>
              </w:rPr>
              <w:t>N+2</w:t>
            </w:r>
          </w:p>
        </w:tc>
        <w:tc>
          <w:tcPr>
            <w:tcW w:w="868" w:type="dxa"/>
            <w:vAlign w:val="center"/>
          </w:tcPr>
          <w:p>
            <w:pPr>
              <w:jc w:val="center"/>
              <w:rPr>
                <w:noProof/>
                <w:sz w:val="20"/>
              </w:rPr>
            </w:pPr>
            <w:r>
              <w:rPr>
                <w:noProof/>
                <w:sz w:val="20"/>
              </w:rPr>
              <w:t>Rok</w:t>
            </w:r>
            <w:r>
              <w:rPr>
                <w:noProof/>
                <w:sz w:val="22"/>
              </w:rPr>
              <w:br/>
            </w:r>
            <w:r>
              <w:rPr>
                <w:b/>
                <w:noProof/>
                <w:sz w:val="20"/>
              </w:rPr>
              <w:t>N+3</w:t>
            </w:r>
          </w:p>
        </w:tc>
        <w:tc>
          <w:tcPr>
            <w:tcW w:w="2604" w:type="dxa"/>
            <w:gridSpan w:val="3"/>
            <w:vAlign w:val="center"/>
          </w:tcPr>
          <w:p>
            <w:pPr>
              <w:jc w:val="center"/>
              <w:rPr>
                <w:b/>
                <w:noProof/>
                <w:sz w:val="18"/>
              </w:rPr>
            </w:pPr>
            <w:r>
              <w:rPr>
                <w:noProof/>
                <w:sz w:val="18"/>
              </w:rPr>
              <w:t>Vložit počet let podle trvání finančního dopadu (viz bod 1.6)</w:t>
            </w:r>
          </w:p>
        </w:tc>
        <w:tc>
          <w:tcPr>
            <w:tcW w:w="1777" w:type="dxa"/>
            <w:vAlign w:val="center"/>
          </w:tcPr>
          <w:p>
            <w:pPr>
              <w:jc w:val="center"/>
              <w:rPr>
                <w:b/>
                <w:noProof/>
                <w:sz w:val="20"/>
              </w:rPr>
            </w:pPr>
            <w:r>
              <w:rPr>
                <w:b/>
                <w:noProof/>
                <w:sz w:val="20"/>
              </w:rPr>
              <w:t>CELKEM</w:t>
            </w:r>
          </w:p>
        </w:tc>
      </w:tr>
      <w:tr>
        <w:tc>
          <w:tcPr>
            <w:tcW w:w="3960" w:type="dxa"/>
            <w:vMerge w:val="restart"/>
            <w:shd w:val="clear" w:color="auto" w:fill="C0C0C0"/>
            <w:vAlign w:val="center"/>
          </w:tcPr>
          <w:p>
            <w:pPr>
              <w:jc w:val="center"/>
              <w:rPr>
                <w:b/>
                <w:noProof/>
              </w:rPr>
            </w:pPr>
            <w:r>
              <w:rPr>
                <w:b/>
                <w:noProof/>
              </w:rPr>
              <w:t>Prostředky z OKRUHŮ 1 až 5</w:t>
            </w:r>
            <w:r>
              <w:rPr>
                <w:noProof/>
              </w:rPr>
              <w:t xml:space="preserve"> víceletého finančního rámce </w:t>
            </w:r>
            <w:r>
              <w:rPr>
                <w:b/>
                <w:noProof/>
              </w:rPr>
              <w:t>CELKEM</w:t>
            </w:r>
            <w:r>
              <w:rPr>
                <w:b/>
                <w:noProof/>
                <w:sz w:val="22"/>
              </w:rPr>
              <w:t xml:space="preserve"> </w:t>
            </w:r>
          </w:p>
        </w:tc>
        <w:tc>
          <w:tcPr>
            <w:tcW w:w="2094" w:type="dxa"/>
            <w:gridSpan w:val="2"/>
            <w:vAlign w:val="center"/>
          </w:tcPr>
          <w:p>
            <w:pPr>
              <w:rPr>
                <w:noProof/>
                <w:sz w:val="14"/>
              </w:rPr>
            </w:pPr>
            <w:r>
              <w:rPr>
                <w:noProof/>
                <w:sz w:val="18"/>
              </w:rPr>
              <w:t>Závazky</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Platby</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p>
        </w:tc>
      </w:tr>
    </w:tbl>
    <w:p>
      <w:pPr>
        <w:rPr>
          <w:noProof/>
        </w:rPr>
      </w:pPr>
    </w:p>
    <w:p>
      <w:pPr>
        <w:pStyle w:val="ManualHeading3"/>
        <w:rPr>
          <w:bCs/>
          <w:noProof/>
          <w:szCs w:val="24"/>
        </w:rPr>
      </w:pPr>
      <w:bookmarkStart w:id="45" w:name="_Toc514938054"/>
      <w:bookmarkStart w:id="46" w:name="_Toc520485053"/>
      <w:r>
        <w:lastRenderedPageBreak/>
        <w:t>3.2.2.</w:t>
      </w:r>
      <w:r>
        <w:tab/>
      </w:r>
      <w:r>
        <w:rPr>
          <w:noProof/>
        </w:rPr>
        <w:t>Odhadovaný výstup financovaný z operačních prostředků</w:t>
      </w:r>
      <w:bookmarkEnd w:id="45"/>
      <w:bookmarkEnd w:id="46"/>
      <w:r>
        <w:rPr>
          <w:noProof/>
        </w:rPr>
        <w:t xml:space="preserve"> </w:t>
      </w:r>
    </w:p>
    <w:p>
      <w:pPr>
        <w:jc w:val="right"/>
        <w:rPr>
          <w:noProof/>
          <w:sz w:val="20"/>
        </w:rPr>
      </w:pPr>
      <w:r>
        <w:rPr>
          <w:noProof/>
          <w:sz w:val="20"/>
        </w:rPr>
        <w:t>Prostředky na závazky v milionech EUR (zaokrouhleno na tři desetinná místa)</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Uveďte cíle a výstupy </w:t>
            </w:r>
          </w:p>
          <w:p>
            <w:pPr>
              <w:ind w:right="-29"/>
              <w:jc w:val="center"/>
              <w:rPr>
                <w:b/>
                <w:noProof/>
                <w:sz w:val="18"/>
                <w:szCs w:val="18"/>
              </w:rPr>
            </w:pPr>
          </w:p>
          <w:p>
            <w:pPr>
              <w:ind w:right="-29"/>
              <w:jc w:val="center"/>
              <w:rPr>
                <w:noProof/>
                <w:sz w:val="18"/>
                <w:szCs w:val="18"/>
              </w:rPr>
            </w:pPr>
            <w:r>
              <w:rPr>
                <w:noProof/>
                <w:sz w:val="18"/>
              </w:rPr>
              <w:sym w:font="Wingdings" w:char="F0F2"/>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Rok</w:t>
            </w:r>
            <w:r>
              <w:rPr>
                <w:noProof/>
                <w:sz w:val="22"/>
              </w:rPr>
              <w:br/>
            </w:r>
            <w:r>
              <w:rPr>
                <w:b/>
                <w:noProof/>
                <w:sz w:val="18"/>
              </w:rPr>
              <w:t>N</w:t>
            </w:r>
          </w:p>
        </w:tc>
        <w:tc>
          <w:tcPr>
            <w:tcW w:w="1260" w:type="dxa"/>
            <w:gridSpan w:val="2"/>
            <w:vAlign w:val="center"/>
          </w:tcPr>
          <w:p>
            <w:pPr>
              <w:ind w:right="-29"/>
              <w:jc w:val="center"/>
              <w:rPr>
                <w:noProof/>
                <w:sz w:val="18"/>
                <w:szCs w:val="18"/>
              </w:rPr>
            </w:pPr>
            <w:r>
              <w:rPr>
                <w:noProof/>
                <w:sz w:val="18"/>
              </w:rPr>
              <w:t>Rok</w:t>
            </w:r>
            <w:r>
              <w:rPr>
                <w:noProof/>
                <w:sz w:val="22"/>
              </w:rPr>
              <w:br/>
            </w:r>
            <w:r>
              <w:rPr>
                <w:b/>
                <w:noProof/>
                <w:sz w:val="18"/>
              </w:rPr>
              <w:t>N+1</w:t>
            </w:r>
          </w:p>
        </w:tc>
        <w:tc>
          <w:tcPr>
            <w:tcW w:w="1440" w:type="dxa"/>
            <w:gridSpan w:val="2"/>
            <w:vAlign w:val="center"/>
          </w:tcPr>
          <w:p>
            <w:pPr>
              <w:ind w:right="-29"/>
              <w:jc w:val="center"/>
              <w:rPr>
                <w:noProof/>
                <w:sz w:val="18"/>
                <w:szCs w:val="18"/>
              </w:rPr>
            </w:pPr>
            <w:r>
              <w:rPr>
                <w:noProof/>
                <w:sz w:val="18"/>
              </w:rPr>
              <w:t>Rok</w:t>
            </w:r>
            <w:r>
              <w:rPr>
                <w:noProof/>
                <w:sz w:val="22"/>
              </w:rPr>
              <w:br/>
            </w:r>
            <w:r>
              <w:rPr>
                <w:b/>
                <w:noProof/>
                <w:sz w:val="18"/>
              </w:rPr>
              <w:t>N+2</w:t>
            </w:r>
          </w:p>
        </w:tc>
        <w:tc>
          <w:tcPr>
            <w:tcW w:w="1620" w:type="dxa"/>
            <w:gridSpan w:val="3"/>
            <w:vAlign w:val="center"/>
          </w:tcPr>
          <w:p>
            <w:pPr>
              <w:ind w:right="-29"/>
              <w:jc w:val="center"/>
              <w:rPr>
                <w:noProof/>
                <w:sz w:val="18"/>
                <w:szCs w:val="18"/>
              </w:rPr>
            </w:pPr>
            <w:r>
              <w:rPr>
                <w:noProof/>
                <w:sz w:val="18"/>
              </w:rPr>
              <w:t>Rok</w:t>
            </w:r>
            <w:r>
              <w:rPr>
                <w:noProof/>
                <w:sz w:val="22"/>
              </w:rPr>
              <w:br/>
            </w:r>
            <w:r>
              <w:rPr>
                <w:b/>
                <w:noProof/>
                <w:sz w:val="18"/>
              </w:rPr>
              <w:t>N+3</w:t>
            </w:r>
          </w:p>
        </w:tc>
        <w:tc>
          <w:tcPr>
            <w:tcW w:w="3600" w:type="dxa"/>
            <w:gridSpan w:val="6"/>
            <w:vAlign w:val="center"/>
          </w:tcPr>
          <w:p>
            <w:pPr>
              <w:jc w:val="center"/>
              <w:rPr>
                <w:noProof/>
                <w:sz w:val="18"/>
                <w:szCs w:val="18"/>
              </w:rPr>
            </w:pPr>
            <w:r>
              <w:rPr>
                <w:noProof/>
                <w:sz w:val="18"/>
              </w:rPr>
              <w:t>Vložit počet let podle trvání finančního dopadu (viz bod 1.6)</w:t>
            </w:r>
          </w:p>
        </w:tc>
        <w:tc>
          <w:tcPr>
            <w:tcW w:w="1620" w:type="dxa"/>
            <w:gridSpan w:val="2"/>
            <w:tcBorders>
              <w:left w:val="nil"/>
              <w:bottom w:val="nil"/>
            </w:tcBorders>
            <w:vAlign w:val="center"/>
          </w:tcPr>
          <w:p>
            <w:pPr>
              <w:ind w:right="-29"/>
              <w:jc w:val="center"/>
              <w:rPr>
                <w:noProof/>
                <w:sz w:val="18"/>
                <w:szCs w:val="18"/>
              </w:rPr>
            </w:pPr>
            <w:r>
              <w:rPr>
                <w:b/>
                <w:noProof/>
                <w:sz w:val="18"/>
              </w:rPr>
              <w:t>CELKEM</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VÝSTUPY</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Druh</w:t>
            </w:r>
            <w:r>
              <w:rPr>
                <w:rStyle w:val="FootnoteReference"/>
                <w:noProof/>
                <w:sz w:val="18"/>
              </w:rPr>
              <w:footnoteReference w:id="14"/>
            </w:r>
          </w:p>
          <w:p>
            <w:pPr>
              <w:spacing w:before="0" w:after="0"/>
              <w:jc w:val="center"/>
              <w:rPr>
                <w:noProof/>
                <w:sz w:val="18"/>
                <w:szCs w:val="18"/>
              </w:rPr>
            </w:pPr>
          </w:p>
        </w:tc>
        <w:tc>
          <w:tcPr>
            <w:tcW w:w="701" w:type="dxa"/>
            <w:vAlign w:val="center"/>
          </w:tcPr>
          <w:p>
            <w:pPr>
              <w:jc w:val="center"/>
              <w:rPr>
                <w:noProof/>
                <w:sz w:val="18"/>
                <w:szCs w:val="18"/>
              </w:rPr>
            </w:pPr>
            <w:r>
              <w:rPr>
                <w:noProof/>
                <w:sz w:val="18"/>
              </w:rPr>
              <w:t>Průměrné náklady</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720"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720"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720"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720" w:type="dxa"/>
            <w:gridSpan w:val="2"/>
            <w:tcBorders>
              <w:left w:val="dashSmallGap" w:sz="4" w:space="0" w:color="auto"/>
            </w:tcBorders>
            <w:shd w:val="pct10" w:color="auto" w:fill="auto"/>
            <w:vAlign w:val="center"/>
          </w:tcPr>
          <w:p>
            <w:pPr>
              <w:jc w:val="center"/>
              <w:rPr>
                <w:noProof/>
                <w:sz w:val="18"/>
                <w:szCs w:val="18"/>
              </w:rPr>
            </w:pPr>
            <w:r>
              <w:rPr>
                <w:noProof/>
                <w:sz w:val="18"/>
              </w:rPr>
              <w:t>Náklady</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648"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720"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720"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Celkový počet</w:t>
            </w:r>
          </w:p>
        </w:tc>
        <w:tc>
          <w:tcPr>
            <w:tcW w:w="900" w:type="dxa"/>
            <w:tcBorders>
              <w:left w:val="dashSmallGap" w:sz="4" w:space="0" w:color="auto"/>
            </w:tcBorders>
            <w:shd w:val="pct10" w:color="auto" w:fill="auto"/>
            <w:vAlign w:val="center"/>
          </w:tcPr>
          <w:p>
            <w:pPr>
              <w:jc w:val="center"/>
              <w:rPr>
                <w:noProof/>
                <w:sz w:val="18"/>
                <w:szCs w:val="18"/>
              </w:rPr>
            </w:pPr>
            <w:r>
              <w:rPr>
                <w:noProof/>
                <w:sz w:val="18"/>
              </w:rPr>
              <w:t>Náklady celkem</w:t>
            </w:r>
          </w:p>
        </w:tc>
      </w:tr>
      <w:tr>
        <w:trPr>
          <w:jc w:val="center"/>
        </w:trPr>
        <w:tc>
          <w:tcPr>
            <w:tcW w:w="2844" w:type="dxa"/>
            <w:gridSpan w:val="3"/>
            <w:vAlign w:val="center"/>
          </w:tcPr>
          <w:p>
            <w:pPr>
              <w:spacing w:before="60" w:after="60"/>
              <w:ind w:right="-29"/>
              <w:jc w:val="center"/>
              <w:rPr>
                <w:noProof/>
                <w:sz w:val="18"/>
                <w:szCs w:val="18"/>
              </w:rPr>
            </w:pPr>
            <w:r>
              <w:rPr>
                <w:noProof/>
                <w:sz w:val="18"/>
              </w:rPr>
              <w:t>SPECIFICKÝ CÍL č. 1</w:t>
            </w:r>
            <w:r>
              <w:rPr>
                <w:rStyle w:val="FootnoteReference"/>
                <w:noProof/>
                <w:sz w:val="18"/>
              </w:rPr>
              <w:footnoteReference w:id="15"/>
            </w:r>
            <w:r>
              <w:rPr>
                <w:noProof/>
                <w:sz w:val="18"/>
              </w:rPr>
              <w:t xml:space="preserve">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Výstup</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Výstup</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Výstup</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Mezisoučet za specifický cíl č.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SPECIFICKÝ CÍL č. 2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Výstup</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Mezisoučet za specifický cíl č.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51" w:type="dxa"/>
            <w:gridSpan w:val="2"/>
            <w:tcBorders>
              <w:bottom w:val="single" w:sz="12" w:space="0" w:color="auto"/>
            </w:tcBorders>
          </w:tcPr>
          <w:p>
            <w:pPr>
              <w:ind w:right="-29"/>
              <w:jc w:val="center"/>
              <w:rPr>
                <w:noProof/>
                <w:sz w:val="18"/>
                <w:szCs w:val="18"/>
              </w:rPr>
            </w:pPr>
          </w:p>
        </w:tc>
        <w:tc>
          <w:tcPr>
            <w:tcW w:w="669"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CELKEM</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23"/>
          <w:footerReference w:type="default" r:id="rId24"/>
          <w:headerReference w:type="first" r:id="rId25"/>
          <w:footerReference w:type="first" r:id="rId26"/>
          <w:pgSz w:w="16840" w:h="11907" w:orient="landscape" w:code="9"/>
          <w:pgMar w:top="1134" w:right="1418" w:bottom="567" w:left="1418" w:header="709" w:footer="709" w:gutter="0"/>
          <w:cols w:space="708"/>
          <w:docGrid w:linePitch="360"/>
        </w:sectPr>
      </w:pPr>
    </w:p>
    <w:p>
      <w:pPr>
        <w:pStyle w:val="ManualHeading3"/>
        <w:rPr>
          <w:bCs/>
          <w:noProof/>
          <w:szCs w:val="24"/>
        </w:rPr>
      </w:pPr>
      <w:bookmarkStart w:id="47" w:name="_Toc514938055"/>
      <w:bookmarkStart w:id="48" w:name="_Toc520485054"/>
      <w:r>
        <w:lastRenderedPageBreak/>
        <w:t>3.2.3.</w:t>
      </w:r>
      <w:r>
        <w:tab/>
      </w:r>
      <w:r>
        <w:rPr>
          <w:noProof/>
        </w:rPr>
        <w:t>Odhadovaný souhrnný dopad na správní prostředky</w:t>
      </w:r>
      <w:bookmarkEnd w:id="47"/>
      <w:bookmarkEnd w:id="48"/>
      <w:r>
        <w:rPr>
          <w:noProof/>
        </w:rPr>
        <w:t xml:space="preserve"> </w:t>
      </w:r>
    </w:p>
    <w:p>
      <w:pPr>
        <w:pStyle w:val="ListDash1"/>
        <w:rPr>
          <w:noProof/>
        </w:rPr>
      </w:pPr>
      <w:r>
        <w:rPr>
          <w:noProof/>
        </w:rPr>
        <w:sym w:font="Wingdings" w:char="F0A8"/>
      </w:r>
      <w:r>
        <w:rPr>
          <w:noProof/>
        </w:rPr>
        <w:tab/>
        <w:t xml:space="preserve">Návrh/podnět nevyžaduje využití prostředků správní povahy. </w:t>
      </w:r>
    </w:p>
    <w:p>
      <w:pPr>
        <w:pStyle w:val="ListDash1"/>
        <w:rPr>
          <w:noProof/>
        </w:rPr>
      </w:pPr>
      <w:r>
        <w:rPr>
          <w:noProof/>
        </w:rPr>
        <w:sym w:font="Wingdings" w:char="F0A8"/>
      </w:r>
      <w:r>
        <w:rPr>
          <w:noProof/>
        </w:rPr>
        <w:tab/>
        <w:t>Návrh/podnět vyžaduje využití prostředků správní povahy, jak je vysvětleno dále:</w:t>
      </w:r>
    </w:p>
    <w:p>
      <w:pPr>
        <w:jc w:val="right"/>
        <w:rPr>
          <w:noProof/>
          <w:sz w:val="20"/>
        </w:rPr>
      </w:pPr>
      <w:r>
        <w:rPr>
          <w:noProof/>
          <w:sz w:val="20"/>
        </w:rPr>
        <w:t>v milionech EUR (zaokrouhleno na tři desetinná místa)</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rPr>
              <w:t>Rok</w:t>
            </w:r>
            <w:r>
              <w:rPr>
                <w:noProof/>
                <w:sz w:val="22"/>
              </w:rPr>
              <w:br/>
            </w:r>
            <w:r>
              <w:rPr>
                <w:b/>
                <w:noProof/>
                <w:sz w:val="16"/>
              </w:rPr>
              <w:t>N</w:t>
            </w:r>
            <w:r>
              <w:rPr>
                <w:rStyle w:val="FootnoteReference"/>
                <w:b/>
                <w:noProof/>
                <w:sz w:val="16"/>
              </w:rPr>
              <w:footnoteReference w:id="16"/>
            </w:r>
          </w:p>
        </w:tc>
        <w:tc>
          <w:tcPr>
            <w:tcW w:w="1080" w:type="dxa"/>
            <w:vAlign w:val="center"/>
          </w:tcPr>
          <w:p>
            <w:pPr>
              <w:spacing w:before="60" w:after="60" w:line="200" w:lineRule="exact"/>
              <w:jc w:val="center"/>
              <w:rPr>
                <w:noProof/>
                <w:sz w:val="16"/>
                <w:szCs w:val="16"/>
              </w:rPr>
            </w:pPr>
            <w:r>
              <w:rPr>
                <w:noProof/>
                <w:sz w:val="16"/>
              </w:rPr>
              <w:t>Rok</w:t>
            </w:r>
            <w:r>
              <w:rPr>
                <w:noProof/>
                <w:sz w:val="22"/>
              </w:rPr>
              <w:br/>
            </w:r>
            <w:r>
              <w:rPr>
                <w:b/>
                <w:noProof/>
                <w:sz w:val="16"/>
              </w:rPr>
              <w:t>N+1</w:t>
            </w:r>
          </w:p>
        </w:tc>
        <w:tc>
          <w:tcPr>
            <w:tcW w:w="1080" w:type="dxa"/>
            <w:vAlign w:val="center"/>
          </w:tcPr>
          <w:p>
            <w:pPr>
              <w:spacing w:before="60" w:after="60" w:line="200" w:lineRule="exact"/>
              <w:jc w:val="center"/>
              <w:rPr>
                <w:noProof/>
                <w:sz w:val="16"/>
                <w:szCs w:val="16"/>
              </w:rPr>
            </w:pPr>
            <w:r>
              <w:rPr>
                <w:noProof/>
                <w:sz w:val="16"/>
              </w:rPr>
              <w:t>Rok</w:t>
            </w:r>
            <w:r>
              <w:rPr>
                <w:noProof/>
                <w:sz w:val="22"/>
              </w:rPr>
              <w:br/>
            </w:r>
            <w:r>
              <w:rPr>
                <w:b/>
                <w:noProof/>
                <w:sz w:val="16"/>
              </w:rPr>
              <w:t>N+2</w:t>
            </w:r>
          </w:p>
        </w:tc>
        <w:tc>
          <w:tcPr>
            <w:tcW w:w="1080" w:type="dxa"/>
            <w:vAlign w:val="center"/>
          </w:tcPr>
          <w:p>
            <w:pPr>
              <w:spacing w:before="60" w:after="60" w:line="200" w:lineRule="exact"/>
              <w:jc w:val="center"/>
              <w:rPr>
                <w:noProof/>
                <w:sz w:val="16"/>
                <w:szCs w:val="16"/>
              </w:rPr>
            </w:pPr>
            <w:r>
              <w:rPr>
                <w:noProof/>
                <w:sz w:val="16"/>
              </w:rPr>
              <w:t>Rok</w:t>
            </w:r>
            <w:r>
              <w:rPr>
                <w:noProof/>
                <w:sz w:val="22"/>
              </w:rPr>
              <w:br/>
            </w:r>
            <w:r>
              <w:rPr>
                <w:b/>
                <w:noProof/>
                <w:sz w:val="16"/>
              </w:rPr>
              <w:t>N+3</w:t>
            </w:r>
          </w:p>
        </w:tc>
        <w:tc>
          <w:tcPr>
            <w:tcW w:w="3240" w:type="dxa"/>
            <w:vAlign w:val="center"/>
          </w:tcPr>
          <w:p>
            <w:pPr>
              <w:spacing w:line="200" w:lineRule="exact"/>
              <w:jc w:val="center"/>
              <w:rPr>
                <w:b/>
                <w:noProof/>
                <w:sz w:val="16"/>
                <w:szCs w:val="16"/>
              </w:rPr>
            </w:pPr>
            <w:r>
              <w:rPr>
                <w:noProof/>
                <w:sz w:val="16"/>
              </w:rPr>
              <w:t>Vložit počet let podle trvání finančního dopadu (viz bod 1.6)</w:t>
            </w:r>
          </w:p>
        </w:tc>
        <w:tc>
          <w:tcPr>
            <w:tcW w:w="1080" w:type="dxa"/>
            <w:vAlign w:val="center"/>
          </w:tcPr>
          <w:p>
            <w:pPr>
              <w:spacing w:before="60" w:after="60" w:line="200" w:lineRule="exact"/>
              <w:jc w:val="center"/>
              <w:rPr>
                <w:b/>
                <w:noProof/>
                <w:sz w:val="16"/>
                <w:szCs w:val="16"/>
              </w:rPr>
            </w:pPr>
            <w:r>
              <w:rPr>
                <w:b/>
                <w:noProof/>
                <w:sz w:val="16"/>
              </w:rPr>
              <w:t>CELKEM</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OKRUH 5 </w:t>
            </w:r>
            <w:r>
              <w:rPr>
                <w:b/>
                <w:noProof/>
                <w:sz w:val="16"/>
              </w:rPr>
              <w:br/>
              <w:t>víceletého finančního rámce</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Lidské zdroje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Ostatní správní výdaje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Mezisoučet za OKRUH 5 víceletého finančního rámce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Mimo OKRUH 5</w:t>
            </w:r>
            <w:r>
              <w:rPr>
                <w:rStyle w:val="FootnoteReference"/>
                <w:b/>
                <w:noProof/>
                <w:sz w:val="16"/>
              </w:rPr>
              <w:footnoteReference w:id="17"/>
            </w:r>
            <w:r>
              <w:rPr>
                <w:b/>
                <w:noProof/>
                <w:sz w:val="16"/>
              </w:rPr>
              <w:t xml:space="preserve"> víceletého finančního rámce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Lidské zdroje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Ostatní výdajesprávní povahy</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Mezisoučet </w:t>
            </w:r>
            <w:r>
              <w:rPr>
                <w:b/>
                <w:noProof/>
                <w:sz w:val="16"/>
              </w:rPr>
              <w:br/>
              <w:t xml:space="preserve">mimo OKRUH 5 víceletého finančního rámce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CELKEM</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p>
        </w:tc>
      </w:tr>
    </w:tbl>
    <w:p>
      <w:pPr>
        <w:rPr>
          <w:noProof/>
          <w:sz w:val="18"/>
        </w:rPr>
      </w:pPr>
      <w:r>
        <w:rPr>
          <w:noProof/>
          <w:sz w:val="18"/>
        </w:rPr>
        <w:t>Potřebné prostředky na oblast lidských zdrojů a na ostatní výdaje správní povahy budou pokryty z prostředků GŘ, které jsou již vyčleněny na řízení akce a/nebo byly vnitřně přerozděleny v rámci GŘ a případně doplněny z dodatečného přídělu, který lze řídícímu GŘ poskytnout v rámci ročního přidělování a s ohledem na rozpočtová omezení.</w:t>
      </w:r>
    </w:p>
    <w:p>
      <w:pPr>
        <w:rPr>
          <w:noProof/>
          <w:sz w:val="18"/>
        </w:rPr>
        <w:sectPr>
          <w:headerReference w:type="default" r:id="rId27"/>
          <w:footerReference w:type="default" r:id="rId28"/>
          <w:headerReference w:type="first" r:id="rId29"/>
          <w:footerReference w:type="first" r:id="rId30"/>
          <w:pgSz w:w="11907" w:h="16840"/>
          <w:pgMar w:top="1134" w:right="1418" w:bottom="1134" w:left="1418" w:header="709" w:footer="709" w:gutter="0"/>
          <w:cols w:space="708"/>
          <w:docGrid w:linePitch="360"/>
        </w:sectPr>
      </w:pPr>
    </w:p>
    <w:p>
      <w:pPr>
        <w:pStyle w:val="ManualHeading4"/>
        <w:rPr>
          <w:bCs/>
          <w:noProof/>
          <w:szCs w:val="24"/>
        </w:rPr>
      </w:pPr>
      <w:r>
        <w:lastRenderedPageBreak/>
        <w:t>3.2.3.1.</w:t>
      </w:r>
      <w:r>
        <w:tab/>
      </w:r>
      <w:r>
        <w:rPr>
          <w:noProof/>
        </w:rPr>
        <w:t xml:space="preserve">Odhadované potřeby v oblasti lidských zdrojů </w:t>
      </w:r>
    </w:p>
    <w:p>
      <w:pPr>
        <w:pStyle w:val="ListDash1"/>
        <w:rPr>
          <w:noProof/>
        </w:rPr>
      </w:pPr>
      <w:r>
        <w:rPr>
          <w:noProof/>
        </w:rPr>
        <w:sym w:font="Wingdings" w:char="F0A8"/>
      </w:r>
      <w:r>
        <w:rPr>
          <w:noProof/>
        </w:rPr>
        <w:tab/>
        <w:t xml:space="preserve">Návrh/podnět nevyžaduje využití lidských zdrojů. </w:t>
      </w:r>
    </w:p>
    <w:p>
      <w:pPr>
        <w:pStyle w:val="ListDash1"/>
        <w:rPr>
          <w:noProof/>
        </w:rPr>
      </w:pPr>
      <w:r>
        <w:rPr>
          <w:noProof/>
        </w:rPr>
        <w:sym w:font="Wingdings" w:char="F0A8"/>
      </w:r>
      <w:r>
        <w:rPr>
          <w:noProof/>
        </w:rPr>
        <w:tab/>
        <w:t>Návrh/podnět vyžaduje využití lidských zdrojů, jak je vysvětleno dále:</w:t>
      </w:r>
    </w:p>
    <w:p>
      <w:pPr>
        <w:spacing w:after="60"/>
        <w:jc w:val="right"/>
        <w:rPr>
          <w:i/>
          <w:noProof/>
          <w:sz w:val="20"/>
        </w:rPr>
      </w:pPr>
      <w:r>
        <w:rPr>
          <w:i/>
          <w:noProof/>
          <w:sz w:val="20"/>
        </w:rPr>
        <w:t>Odhad vyjádřete v přepočtu na plné pracovní úvazky</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trPr>
          <w:gridBefore w:val="1"/>
          <w:wBefore w:w="13" w:type="dxa"/>
          <w:trHeight w:val="289"/>
          <w:jc w:val="center"/>
        </w:trPr>
        <w:tc>
          <w:tcPr>
            <w:tcW w:w="3906" w:type="dxa"/>
            <w:gridSpan w:val="2"/>
            <w:shd w:val="clear" w:color="auto" w:fill="auto"/>
          </w:tcPr>
          <w:p>
            <w:pPr>
              <w:pStyle w:val="Text1"/>
              <w:spacing w:before="40" w:after="40"/>
              <w:ind w:left="0"/>
              <w:jc w:val="center"/>
              <w:rPr>
                <w:i/>
                <w:noProof/>
                <w:sz w:val="16"/>
                <w:szCs w:val="16"/>
              </w:rPr>
            </w:pPr>
          </w:p>
        </w:tc>
        <w:tc>
          <w:tcPr>
            <w:tcW w:w="600" w:type="dxa"/>
            <w:shd w:val="clear" w:color="auto" w:fill="auto"/>
            <w:vAlign w:val="center"/>
          </w:tcPr>
          <w:p>
            <w:pPr>
              <w:spacing w:before="20" w:after="20"/>
              <w:jc w:val="center"/>
              <w:rPr>
                <w:noProof/>
                <w:sz w:val="16"/>
                <w:szCs w:val="16"/>
              </w:rPr>
            </w:pPr>
            <w:r>
              <w:rPr>
                <w:noProof/>
                <w:sz w:val="16"/>
              </w:rPr>
              <w:t>Rok</w:t>
            </w:r>
            <w:r>
              <w:rPr>
                <w:noProof/>
                <w:sz w:val="22"/>
              </w:rPr>
              <w:br/>
            </w:r>
            <w:r>
              <w:rPr>
                <w:b/>
                <w:noProof/>
                <w:sz w:val="16"/>
              </w:rPr>
              <w:t>N</w:t>
            </w:r>
          </w:p>
        </w:tc>
        <w:tc>
          <w:tcPr>
            <w:tcW w:w="600" w:type="dxa"/>
            <w:shd w:val="clear" w:color="auto" w:fill="auto"/>
            <w:vAlign w:val="center"/>
          </w:tcPr>
          <w:p>
            <w:pPr>
              <w:spacing w:before="20" w:after="20"/>
              <w:jc w:val="center"/>
              <w:rPr>
                <w:noProof/>
                <w:sz w:val="16"/>
                <w:szCs w:val="16"/>
              </w:rPr>
            </w:pPr>
            <w:r>
              <w:rPr>
                <w:noProof/>
                <w:sz w:val="16"/>
              </w:rPr>
              <w:t>Rok</w:t>
            </w:r>
            <w:r>
              <w:rPr>
                <w:noProof/>
                <w:sz w:val="22"/>
              </w:rPr>
              <w:br/>
            </w:r>
            <w:r>
              <w:rPr>
                <w:b/>
                <w:noProof/>
                <w:sz w:val="16"/>
              </w:rPr>
              <w:t>N+1</w:t>
            </w:r>
          </w:p>
        </w:tc>
        <w:tc>
          <w:tcPr>
            <w:tcW w:w="600" w:type="dxa"/>
            <w:shd w:val="clear" w:color="auto" w:fill="auto"/>
            <w:vAlign w:val="center"/>
          </w:tcPr>
          <w:p>
            <w:pPr>
              <w:spacing w:before="20" w:after="20"/>
              <w:jc w:val="center"/>
              <w:rPr>
                <w:noProof/>
                <w:sz w:val="16"/>
                <w:szCs w:val="16"/>
              </w:rPr>
            </w:pPr>
            <w:r>
              <w:rPr>
                <w:noProof/>
                <w:sz w:val="16"/>
              </w:rPr>
              <w:t xml:space="preserve">Rok </w:t>
            </w:r>
            <w:r>
              <w:rPr>
                <w:b/>
                <w:noProof/>
                <w:sz w:val="16"/>
              </w:rPr>
              <w:t>N+2</w:t>
            </w:r>
          </w:p>
        </w:tc>
        <w:tc>
          <w:tcPr>
            <w:tcW w:w="600" w:type="dxa"/>
            <w:shd w:val="clear" w:color="auto" w:fill="auto"/>
            <w:vAlign w:val="center"/>
          </w:tcPr>
          <w:p>
            <w:pPr>
              <w:spacing w:before="20" w:after="20"/>
              <w:jc w:val="center"/>
              <w:rPr>
                <w:noProof/>
                <w:sz w:val="16"/>
                <w:szCs w:val="16"/>
              </w:rPr>
            </w:pPr>
            <w:r>
              <w:rPr>
                <w:noProof/>
                <w:sz w:val="16"/>
              </w:rPr>
              <w:t xml:space="preserve">Rok </w:t>
            </w:r>
            <w:r>
              <w:rPr>
                <w:b/>
                <w:noProof/>
                <w:sz w:val="16"/>
              </w:rPr>
              <w:t>N+3</w:t>
            </w:r>
          </w:p>
        </w:tc>
        <w:tc>
          <w:tcPr>
            <w:tcW w:w="600" w:type="dxa"/>
            <w:gridSpan w:val="3"/>
            <w:shd w:val="clear" w:color="auto" w:fill="auto"/>
            <w:vAlign w:val="center"/>
          </w:tcPr>
          <w:p>
            <w:pPr>
              <w:jc w:val="center"/>
              <w:rPr>
                <w:b/>
                <w:noProof/>
                <w:sz w:val="16"/>
                <w:szCs w:val="16"/>
              </w:rPr>
            </w:pPr>
            <w:r>
              <w:rPr>
                <w:noProof/>
                <w:sz w:val="16"/>
              </w:rPr>
              <w:t>Vložit počet let podle trvání finančního dopadu (viz bod 1.6)</w:t>
            </w:r>
          </w:p>
        </w:tc>
      </w:tr>
      <w:tr>
        <w:trPr>
          <w:gridBefore w:val="1"/>
          <w:wBefore w:w="13" w:type="dxa"/>
          <w:trHeight w:val="289"/>
          <w:jc w:val="center"/>
        </w:trPr>
        <w:tc>
          <w:tcPr>
            <w:tcW w:w="600" w:type="dxa"/>
            <w:gridSpan w:val="9"/>
            <w:shd w:val="clear" w:color="auto" w:fill="auto"/>
          </w:tcPr>
          <w:p>
            <w:pPr>
              <w:jc w:val="left"/>
              <w:rPr>
                <w:noProof/>
                <w:sz w:val="16"/>
                <w:szCs w:val="16"/>
              </w:rPr>
            </w:pPr>
            <w:r>
              <w:rPr>
                <w:b/>
                <w:noProof/>
                <w:sz w:val="16"/>
              </w:rPr>
              <w:sym w:font="Wingdings" w:char="F09F"/>
            </w:r>
            <w:r>
              <w:rPr>
                <w:b/>
                <w:noProof/>
                <w:sz w:val="16"/>
              </w:rPr>
              <w:t xml:space="preserve"> Pracovní místa podle plánu pracovních míst (místa úředníků a dočasných zaměstnanců)</w:t>
            </w: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b/>
                <w:noProof/>
                <w:sz w:val="16"/>
                <w:szCs w:val="16"/>
              </w:rPr>
            </w:pPr>
            <w:r>
              <w:rPr>
                <w:noProof/>
                <w:sz w:val="16"/>
              </w:rPr>
              <w:t>XX 01 01 01 (v ústředí a v zastoupeních Komise)</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XX 01 01 02 (při delegacích)</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XX 01 05 01/11/21 (v nepřímém výzkumu)</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10 01 05 01/11 (v přímém výzkumu)</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trHeight w:val="248"/>
          <w:jc w:val="center"/>
        </w:trPr>
        <w:tc>
          <w:tcPr>
            <w:tcW w:w="600" w:type="dxa"/>
            <w:gridSpan w:val="10"/>
            <w:shd w:val="clear" w:color="auto" w:fill="auto"/>
            <w:vAlign w:val="center"/>
          </w:tcPr>
          <w:p>
            <w:pPr>
              <w:pStyle w:val="Text1"/>
              <w:spacing w:before="60" w:after="60"/>
              <w:ind w:left="0"/>
              <w:jc w:val="left"/>
              <w:rPr>
                <w:b/>
                <w:noProof/>
                <w:sz w:val="16"/>
                <w:szCs w:val="16"/>
              </w:rPr>
            </w:pPr>
            <w:r>
              <w:rPr>
                <w:b/>
                <w:noProof/>
                <w:sz w:val="16"/>
              </w:rPr>
              <w:sym w:font="Wingdings" w:char="F09F"/>
            </w:r>
            <w:r>
              <w:rPr>
                <w:b/>
                <w:noProof/>
                <w:sz w:val="16"/>
              </w:rPr>
              <w:t xml:space="preserve"> Externí zaměstnanci (v přepočtu na plné pracovní úvazky: FTE)</w:t>
            </w:r>
            <w:r>
              <w:rPr>
                <w:rStyle w:val="FootnoteReference"/>
                <w:b/>
                <w:noProof/>
                <w:sz w:val="16"/>
              </w:rPr>
              <w:footnoteReference w:id="18"/>
            </w:r>
          </w:p>
          <w:p>
            <w:pPr>
              <w:pStyle w:val="Text1"/>
              <w:spacing w:before="0" w:after="0"/>
              <w:ind w:left="0"/>
              <w:jc w:val="left"/>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b/>
                <w:noProof/>
                <w:sz w:val="16"/>
                <w:szCs w:val="16"/>
              </w:rPr>
            </w:pPr>
            <w:r>
              <w:rPr>
                <w:noProof/>
                <w:sz w:val="16"/>
              </w:rPr>
              <w:t>XX 01 02 01 (SZ, VNO, ZAP z celkového rámce)</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noProof/>
                <w:sz w:val="16"/>
                <w:szCs w:val="16"/>
              </w:rPr>
            </w:pPr>
            <w:r>
              <w:rPr>
                <w:noProof/>
                <w:sz w:val="16"/>
              </w:rPr>
              <w:t>XX 01 02 02 (SZ, MZ, VNO, ZAP a MOD při delegacích)</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1952" w:type="dxa"/>
            <w:vMerge w:val="restart"/>
            <w:shd w:val="clear" w:color="auto" w:fill="auto"/>
            <w:vAlign w:val="center"/>
          </w:tcPr>
          <w:p>
            <w:pPr>
              <w:pStyle w:val="Text1"/>
              <w:spacing w:beforeLines="20" w:before="48" w:afterLines="20" w:after="48"/>
              <w:ind w:left="136"/>
              <w:jc w:val="left"/>
              <w:rPr>
                <w:b/>
                <w:noProof/>
                <w:sz w:val="16"/>
                <w:szCs w:val="16"/>
              </w:rPr>
            </w:pPr>
            <w:r>
              <w:rPr>
                <w:b/>
                <w:noProof/>
                <w:sz w:val="16"/>
              </w:rPr>
              <w:t>XX</w:t>
            </w:r>
            <w:r>
              <w:rPr>
                <w:noProof/>
              </w:rPr>
              <w:t xml:space="preserve"> </w:t>
            </w:r>
            <w:r>
              <w:rPr>
                <w:noProof/>
                <w:sz w:val="16"/>
              </w:rPr>
              <w:t xml:space="preserve">01 04 </w:t>
            </w:r>
            <w:r>
              <w:rPr>
                <w:b/>
                <w:noProof/>
                <w:sz w:val="16"/>
              </w:rPr>
              <w:t>yy</w:t>
            </w:r>
            <w:r>
              <w:rPr>
                <w:b/>
                <w:i/>
                <w:noProof/>
                <w:sz w:val="16"/>
              </w:rPr>
              <w:t xml:space="preserve"> </w:t>
            </w:r>
            <w:r>
              <w:rPr>
                <w:rStyle w:val="FootnoteReference"/>
                <w:b/>
                <w:i/>
                <w:noProof/>
                <w:sz w:val="16"/>
              </w:rPr>
              <w:footnoteReference w:id="19"/>
            </w:r>
          </w:p>
          <w:p>
            <w:pPr>
              <w:pStyle w:val="Text1"/>
              <w:spacing w:beforeLines="20" w:before="48" w:afterLines="20" w:after="48"/>
              <w:ind w:left="136"/>
              <w:jc w:val="left"/>
              <w:rPr>
                <w:b/>
                <w:noProof/>
                <w:sz w:val="16"/>
                <w:szCs w:val="16"/>
              </w:rPr>
            </w:pPr>
          </w:p>
        </w:tc>
        <w:tc>
          <w:tcPr>
            <w:tcW w:w="1954" w:type="dxa"/>
            <w:shd w:val="clear" w:color="auto" w:fill="auto"/>
            <w:vAlign w:val="center"/>
          </w:tcPr>
          <w:p>
            <w:pPr>
              <w:pStyle w:val="Text1"/>
              <w:spacing w:beforeLines="20" w:before="48" w:afterLines="20" w:after="48"/>
              <w:ind w:left="136"/>
              <w:jc w:val="left"/>
              <w:rPr>
                <w:b/>
                <w:noProof/>
                <w:sz w:val="16"/>
                <w:szCs w:val="16"/>
              </w:rPr>
            </w:pPr>
            <w:r>
              <w:rPr>
                <w:noProof/>
                <w:sz w:val="16"/>
              </w:rPr>
              <w:t>– v ústředí</w:t>
            </w:r>
          </w:p>
          <w:p>
            <w:pPr>
              <w:pStyle w:val="Text1"/>
              <w:spacing w:beforeLines="20" w:before="48" w:afterLines="20" w:after="48"/>
              <w:ind w:left="136"/>
              <w:jc w:val="left"/>
              <w:rPr>
                <w:b/>
                <w:noProof/>
                <w:sz w:val="16"/>
                <w:szCs w:val="16"/>
              </w:rPr>
            </w:pPr>
          </w:p>
        </w:tc>
        <w:tc>
          <w:tcPr>
            <w:tcW w:w="600" w:type="dxa"/>
            <w:shd w:val="clear" w:color="auto" w:fill="auto"/>
            <w:vAlign w:val="center"/>
          </w:tcPr>
          <w:p>
            <w:pPr>
              <w:pStyle w:val="Text1"/>
              <w:spacing w:beforeLines="20" w:before="48" w:afterLines="20" w:after="48"/>
              <w:ind w:left="0"/>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1952" w:type="dxa"/>
            <w:vMerge/>
            <w:shd w:val="clear" w:color="auto" w:fill="auto"/>
            <w:vAlign w:val="center"/>
          </w:tcPr>
          <w:p>
            <w:pPr>
              <w:pStyle w:val="Text1"/>
              <w:spacing w:beforeLines="20" w:before="48" w:afterLines="20" w:after="48"/>
              <w:ind w:left="136"/>
              <w:jc w:val="left"/>
              <w:rPr>
                <w:b/>
                <w:noProof/>
                <w:sz w:val="16"/>
                <w:szCs w:val="16"/>
              </w:rPr>
            </w:pPr>
          </w:p>
        </w:tc>
        <w:tc>
          <w:tcPr>
            <w:tcW w:w="1954" w:type="dxa"/>
            <w:shd w:val="clear" w:color="auto" w:fill="auto"/>
            <w:vAlign w:val="center"/>
          </w:tcPr>
          <w:p>
            <w:pPr>
              <w:pStyle w:val="Text1"/>
              <w:spacing w:beforeLines="20" w:before="48" w:afterLines="20" w:after="48"/>
              <w:ind w:left="136"/>
              <w:jc w:val="left"/>
              <w:rPr>
                <w:b/>
                <w:noProof/>
                <w:sz w:val="16"/>
                <w:szCs w:val="16"/>
              </w:rPr>
            </w:pPr>
            <w:r>
              <w:rPr>
                <w:noProof/>
                <w:sz w:val="16"/>
              </w:rPr>
              <w:t xml:space="preserve">– při delegacích </w:t>
            </w:r>
          </w:p>
        </w:tc>
        <w:tc>
          <w:tcPr>
            <w:tcW w:w="600" w:type="dxa"/>
            <w:shd w:val="clear" w:color="auto" w:fill="auto"/>
            <w:vAlign w:val="center"/>
          </w:tcPr>
          <w:p>
            <w:pPr>
              <w:pStyle w:val="Text1"/>
              <w:spacing w:beforeLines="20" w:before="48" w:afterLines="20" w:after="48"/>
              <w:ind w:left="0"/>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noProof/>
                <w:sz w:val="16"/>
                <w:szCs w:val="16"/>
              </w:rPr>
            </w:pPr>
            <w:r>
              <w:rPr>
                <w:b/>
                <w:noProof/>
                <w:sz w:val="16"/>
              </w:rPr>
              <w:t>XX</w:t>
            </w:r>
            <w:r>
              <w:rPr>
                <w:noProof/>
                <w:sz w:val="16"/>
              </w:rPr>
              <w:t xml:space="preserve"> 01 05 02/12/22 (SZ, VNO, ZAP v nepřímém výzkumu)</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noProof/>
                <w:sz w:val="16"/>
                <w:szCs w:val="16"/>
              </w:rPr>
            </w:pPr>
            <w:r>
              <w:rPr>
                <w:noProof/>
                <w:sz w:val="16"/>
              </w:rPr>
              <w:t>10 01 05 02/12 (SZ, VNO, ZAP v přímém výzkumu)</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tcBorders>
              <w:bottom w:val="double" w:sz="4" w:space="0" w:color="auto"/>
            </w:tcBorders>
            <w:shd w:val="clear" w:color="auto" w:fill="auto"/>
            <w:vAlign w:val="center"/>
          </w:tcPr>
          <w:p>
            <w:pPr>
              <w:pStyle w:val="Text1"/>
              <w:spacing w:beforeLines="20" w:before="48" w:afterLines="20" w:after="48"/>
              <w:ind w:left="134"/>
              <w:jc w:val="left"/>
              <w:rPr>
                <w:noProof/>
                <w:sz w:val="16"/>
                <w:szCs w:val="16"/>
              </w:rPr>
            </w:pPr>
            <w:r>
              <w:rPr>
                <w:noProof/>
                <w:sz w:val="16"/>
              </w:rPr>
              <w:t>Jiné rozpočtové položky (upřesněte)</w:t>
            </w: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tcBorders>
              <w:top w:val="double" w:sz="4" w:space="0" w:color="auto"/>
            </w:tcBorders>
            <w:shd w:val="clear" w:color="auto" w:fill="auto"/>
            <w:vAlign w:val="center"/>
          </w:tcPr>
          <w:p>
            <w:pPr>
              <w:pStyle w:val="Text1"/>
              <w:spacing w:beforeLines="20" w:before="48" w:afterLines="20" w:after="48"/>
              <w:ind w:left="136"/>
              <w:jc w:val="left"/>
              <w:rPr>
                <w:noProof/>
                <w:sz w:val="16"/>
                <w:szCs w:val="16"/>
              </w:rPr>
            </w:pPr>
            <w:r>
              <w:rPr>
                <w:b/>
                <w:noProof/>
                <w:sz w:val="16"/>
              </w:rPr>
              <w:t>CELKEM</w:t>
            </w: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pStyle w:val="Text1"/>
        <w:spacing w:before="60" w:after="60"/>
        <w:ind w:left="851"/>
        <w:rPr>
          <w:noProof/>
          <w:sz w:val="18"/>
          <w:szCs w:val="18"/>
        </w:rPr>
      </w:pPr>
      <w:r>
        <w:rPr>
          <w:b/>
          <w:noProof/>
          <w:sz w:val="18"/>
        </w:rPr>
        <w:t>XX</w:t>
      </w:r>
      <w:r>
        <w:rPr>
          <w:noProof/>
          <w:sz w:val="18"/>
        </w:rPr>
        <w:t xml:space="preserve"> je oblast politiky nebo dotčená hlava rozpočtu.</w:t>
      </w:r>
    </w:p>
    <w:p>
      <w:pPr>
        <w:pStyle w:val="Text1"/>
        <w:rPr>
          <w:noProof/>
          <w:sz w:val="18"/>
          <w:szCs w:val="18"/>
        </w:rPr>
      </w:pPr>
      <w:r>
        <w:rPr>
          <w:noProof/>
          <w:sz w:val="18"/>
        </w:rPr>
        <w:t>Potřeby v oblasti lidských zdrojů budou pokryty ze zdrojů GŘ, které jsou již vyčleněny na řízení akce a/nebo byly vnitřně přeobsazeny v rámci GŘ, a případně doplněny z dodatečného přídělu, který lze řídícímu GŘ poskytnout v rámci ročního přidělování a s ohledem na rozpočtová omezení.</w:t>
      </w:r>
    </w:p>
    <w:p>
      <w:pPr>
        <w:rPr>
          <w:noProof/>
          <w:sz w:val="20"/>
        </w:rPr>
      </w:pPr>
      <w:r>
        <w:rPr>
          <w:noProof/>
          <w:sz w:val="20"/>
        </w:rPr>
        <w:t>Popis úkolů:</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Úředníci a dočasní zaměstnanci</w:t>
            </w:r>
          </w:p>
        </w:tc>
        <w:tc>
          <w:tcPr>
            <w:tcW w:w="7200" w:type="dxa"/>
          </w:tcPr>
          <w:p>
            <w:pPr>
              <w:rPr>
                <w:noProof/>
                <w:sz w:val="20"/>
              </w:rPr>
            </w:pPr>
          </w:p>
        </w:tc>
      </w:tr>
      <w:tr>
        <w:tc>
          <w:tcPr>
            <w:tcW w:w="3240" w:type="dxa"/>
          </w:tcPr>
          <w:p>
            <w:pPr>
              <w:spacing w:before="60" w:after="60"/>
              <w:rPr>
                <w:noProof/>
                <w:sz w:val="20"/>
              </w:rPr>
            </w:pPr>
            <w:r>
              <w:rPr>
                <w:noProof/>
                <w:sz w:val="20"/>
              </w:rPr>
              <w:t>Externí zaměstnanci</w:t>
            </w:r>
          </w:p>
        </w:tc>
        <w:tc>
          <w:tcPr>
            <w:tcW w:w="7200" w:type="dxa"/>
          </w:tcPr>
          <w:p>
            <w:pPr>
              <w:rPr>
                <w:noProof/>
                <w:sz w:val="20"/>
              </w:rPr>
            </w:pPr>
          </w:p>
        </w:tc>
      </w:tr>
    </w:tbl>
    <w:p>
      <w:pPr>
        <w:rPr>
          <w:noProof/>
        </w:rPr>
        <w:sectPr>
          <w:pgSz w:w="11907" w:h="16840"/>
          <w:pgMar w:top="1134" w:right="1418" w:bottom="1134" w:left="1418" w:header="709" w:footer="709" w:gutter="0"/>
          <w:cols w:space="708"/>
          <w:docGrid w:linePitch="360"/>
        </w:sectPr>
      </w:pPr>
    </w:p>
    <w:p>
      <w:pPr>
        <w:pStyle w:val="ManualHeading3"/>
        <w:rPr>
          <w:noProof/>
        </w:rPr>
      </w:pPr>
      <w:bookmarkStart w:id="49" w:name="_Toc514938056"/>
      <w:bookmarkStart w:id="50" w:name="_Toc520485055"/>
      <w:r>
        <w:lastRenderedPageBreak/>
        <w:t>3.2.4.</w:t>
      </w:r>
      <w:r>
        <w:tab/>
      </w:r>
      <w:r>
        <w:rPr>
          <w:noProof/>
        </w:rPr>
        <w:t>Slučitelnost se stávajícím víceletým finančním rámcem</w:t>
      </w:r>
      <w:bookmarkEnd w:id="49"/>
      <w:bookmarkEnd w:id="50"/>
      <w:r>
        <w:rPr>
          <w:noProof/>
        </w:rPr>
        <w:t xml:space="preserve"> </w:t>
      </w:r>
    </w:p>
    <w:p>
      <w:pPr>
        <w:pStyle w:val="Text1"/>
        <w:rPr>
          <w:noProof/>
        </w:rPr>
      </w:pPr>
      <w:r>
        <w:rPr>
          <w:noProof/>
        </w:rPr>
        <w:t>Návrh/podnět:</w:t>
      </w:r>
    </w:p>
    <w:p>
      <w:pPr>
        <w:pStyle w:val="ListDash1"/>
        <w:rPr>
          <w:noProof/>
        </w:rPr>
      </w:pPr>
      <w:r>
        <w:rPr>
          <w:b/>
          <w:noProof/>
        </w:rPr>
        <w:t>X</w:t>
      </w:r>
      <w:r>
        <w:rPr>
          <w:noProof/>
        </w:rPr>
        <w:tab/>
        <w:t>může být v plném rozsahu financován v rámci příslušného okruhu víceletého finančního rámce (VFR).</w:t>
      </w:r>
    </w:p>
    <w:p>
      <w:pPr>
        <w:pStyle w:val="ListDash1"/>
        <w:rPr>
          <w:noProof/>
        </w:rPr>
      </w:pPr>
      <w:r>
        <w:rPr>
          <w:noProof/>
        </w:rPr>
        <w:sym w:font="Wingdings" w:char="F0A8"/>
      </w:r>
      <w:r>
        <w:rPr>
          <w:noProof/>
        </w:rPr>
        <w:tab/>
        <w:t>vyžaduje použití nepřiděleného rozpětí v rámci příslušného okruhu VFR a/nebo použití zvláštních nástrojů definovaných v nařízení o VFR.</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Upřesněte, co se požaduje, příslušné okruhy a rozpočtové položky, odpovídající částky a navrhované nástroje, které mají být použity.</w:t>
      </w:r>
    </w:p>
    <w:p>
      <w:pPr>
        <w:pStyle w:val="ListDash1"/>
        <w:rPr>
          <w:noProof/>
        </w:rPr>
      </w:pPr>
      <w:r>
        <w:rPr>
          <w:noProof/>
        </w:rPr>
        <w:sym w:font="Wingdings" w:char="F0A8"/>
      </w:r>
      <w:r>
        <w:rPr>
          <w:noProof/>
        </w:rPr>
        <w:tab/>
        <w:t>vyžaduje revizi VFR.</w:t>
      </w:r>
    </w:p>
    <w:p>
      <w:pPr>
        <w:pStyle w:val="Text1"/>
        <w:pBdr>
          <w:top w:val="single" w:sz="4" w:space="1" w:color="auto"/>
          <w:left w:val="single" w:sz="4" w:space="4" w:color="auto"/>
          <w:bottom w:val="single" w:sz="4" w:space="3" w:color="auto"/>
          <w:right w:val="single" w:sz="4" w:space="4" w:color="auto"/>
        </w:pBdr>
        <w:rPr>
          <w:noProof/>
          <w:sz w:val="20"/>
        </w:rPr>
      </w:pPr>
      <w:r>
        <w:rPr>
          <w:noProof/>
          <w:sz w:val="20"/>
        </w:rPr>
        <w:t>Upřesněte, co se požaduje, příslušné okruhy a rozpočtové položky a odpovídající částky.</w:t>
      </w:r>
    </w:p>
    <w:p>
      <w:pPr>
        <w:pStyle w:val="ManualHeading3"/>
        <w:rPr>
          <w:bCs/>
          <w:noProof/>
          <w:szCs w:val="24"/>
        </w:rPr>
      </w:pPr>
      <w:bookmarkStart w:id="51" w:name="_Toc514938058"/>
      <w:bookmarkStart w:id="52" w:name="_Toc520485056"/>
      <w:r>
        <w:t>3.2.5.</w:t>
      </w:r>
      <w:r>
        <w:tab/>
      </w:r>
      <w:r>
        <w:rPr>
          <w:noProof/>
        </w:rPr>
        <w:t>Příspěvky třetích stran</w:t>
      </w:r>
      <w:bookmarkEnd w:id="51"/>
      <w:bookmarkEnd w:id="52"/>
      <w:r>
        <w:rPr>
          <w:noProof/>
        </w:rPr>
        <w:t xml:space="preserve"> </w:t>
      </w:r>
    </w:p>
    <w:p>
      <w:pPr>
        <w:pStyle w:val="Text1"/>
        <w:rPr>
          <w:noProof/>
        </w:rPr>
      </w:pPr>
      <w:r>
        <w:rPr>
          <w:noProof/>
        </w:rPr>
        <w:t>Návrh/podnět:</w:t>
      </w:r>
    </w:p>
    <w:p>
      <w:pPr>
        <w:pStyle w:val="ListDash1"/>
        <w:rPr>
          <w:noProof/>
        </w:rPr>
      </w:pPr>
      <w:r>
        <w:rPr>
          <w:b/>
          <w:noProof/>
        </w:rPr>
        <w:t>X</w:t>
      </w:r>
      <w:r>
        <w:rPr>
          <w:noProof/>
        </w:rPr>
        <w:t xml:space="preserve"> nepočítá se spolufinancováním od třetích stran.</w:t>
      </w:r>
    </w:p>
    <w:p>
      <w:pPr>
        <w:pStyle w:val="ListDash1"/>
        <w:rPr>
          <w:noProof/>
        </w:rPr>
      </w:pPr>
      <w:r>
        <w:rPr>
          <w:noProof/>
        </w:rPr>
        <w:tab/>
        <w:t>počítá se spolufinancováním od třetích stran podle následujícího odhadu:</w:t>
      </w:r>
    </w:p>
    <w:p>
      <w:pPr>
        <w:jc w:val="right"/>
        <w:rPr>
          <w:noProof/>
          <w:sz w:val="20"/>
        </w:rPr>
      </w:pPr>
      <w:r>
        <w:rPr>
          <w:noProof/>
          <w:sz w:val="20"/>
        </w:rPr>
        <w:t xml:space="preserve">prostředky v EUR </w:t>
      </w:r>
    </w:p>
    <w:p>
      <w:pPr>
        <w:jc w:val="right"/>
        <w:rPr>
          <w:noProof/>
          <w:sz w:val="20"/>
        </w:rPr>
      </w:pPr>
    </w:p>
    <w:p>
      <w:pPr>
        <w:rPr>
          <w:noProof/>
        </w:rPr>
      </w:pPr>
      <w:r>
        <w:rPr>
          <w:noProof/>
        </w:rPr>
        <w:br/>
      </w:r>
    </w:p>
    <w:p>
      <w:pPr>
        <w:pStyle w:val="ManualHeading2"/>
        <w:rPr>
          <w:bCs/>
          <w:noProof/>
          <w:szCs w:val="24"/>
        </w:rPr>
      </w:pPr>
      <w:r>
        <w:rPr>
          <w:noProof/>
        </w:rPr>
        <w:br w:type="page"/>
      </w:r>
      <w:bookmarkStart w:id="53" w:name="_Toc514938059"/>
      <w:bookmarkStart w:id="54" w:name="_Toc520485057"/>
      <w:r>
        <w:lastRenderedPageBreak/>
        <w:t>3.3.</w:t>
      </w:r>
      <w:r>
        <w:tab/>
      </w:r>
      <w:r>
        <w:rPr>
          <w:noProof/>
        </w:rPr>
        <w:t>Odhadovaný dopad na příjmy</w:t>
      </w:r>
      <w:bookmarkEnd w:id="53"/>
      <w:bookmarkEnd w:id="54"/>
      <w:r>
        <w:rPr>
          <w:noProof/>
        </w:rPr>
        <w:t xml:space="preserve"> </w:t>
      </w:r>
    </w:p>
    <w:p>
      <w:pPr>
        <w:pStyle w:val="ListDash1"/>
        <w:rPr>
          <w:noProof/>
        </w:rPr>
      </w:pPr>
      <w:r>
        <w:rPr>
          <w:b/>
          <w:noProof/>
        </w:rPr>
        <w:t>X</w:t>
      </w:r>
      <w:r>
        <w:rPr>
          <w:noProof/>
        </w:rPr>
        <w:tab/>
        <w:t xml:space="preserve">Návrh/podnět nemá žádný finanční dopad na příjmy. </w:t>
      </w:r>
    </w:p>
    <w:p>
      <w:pPr>
        <w:pStyle w:val="ListDash1"/>
        <w:rPr>
          <w:noProof/>
        </w:rPr>
      </w:pPr>
      <w:r>
        <w:rPr>
          <w:noProof/>
        </w:rPr>
        <w:tab/>
        <w:t>Návrh/podnět má tento finanční dopad:</w:t>
      </w:r>
    </w:p>
    <w:p>
      <w:pPr>
        <w:pStyle w:val="Tiret2"/>
        <w:numPr>
          <w:ilvl w:val="0"/>
          <w:numId w:val="15"/>
        </w:numPr>
        <w:rPr>
          <w:noProof/>
        </w:rPr>
      </w:pPr>
      <w:r>
        <w:rPr>
          <w:noProof/>
        </w:rPr>
        <w:sym w:font="Wingdings" w:char="F0A8"/>
      </w:r>
      <w:r>
        <w:rPr>
          <w:noProof/>
        </w:rPr>
        <w:tab/>
        <w:t xml:space="preserve">na vlastní zdroje </w:t>
      </w:r>
    </w:p>
    <w:p>
      <w:pPr>
        <w:pStyle w:val="Tiret2"/>
        <w:rPr>
          <w:noProof/>
        </w:rPr>
      </w:pPr>
      <w:r>
        <w:rPr>
          <w:noProof/>
        </w:rPr>
        <w:sym w:font="Wingdings" w:char="F0A8"/>
      </w:r>
      <w:r>
        <w:rPr>
          <w:noProof/>
        </w:rPr>
        <w:tab/>
        <w:t>na jiné příjmy</w:t>
      </w:r>
    </w:p>
    <w:p>
      <w:pPr>
        <w:pStyle w:val="Tiret2"/>
        <w:rPr>
          <w:noProof/>
        </w:rPr>
      </w:pPr>
      <w:r>
        <w:rPr>
          <w:noProof/>
        </w:rPr>
        <w:t>uveďte, zda je příjem účelově vázán na výdajové položky X</w:t>
      </w:r>
      <w:r>
        <w:rPr>
          <w:noProof/>
        </w:rPr>
        <w:tab/>
      </w:r>
    </w:p>
    <w:p>
      <w:pPr>
        <w:pStyle w:val="ListNumberLevel3"/>
        <w:tabs>
          <w:tab w:val="clear" w:pos="2126"/>
        </w:tabs>
        <w:ind w:firstLine="0"/>
        <w:rPr>
          <w:noProof/>
        </w:rPr>
      </w:pPr>
    </w:p>
    <w:p>
      <w:pPr>
        <w:ind w:left="4320"/>
        <w:rPr>
          <w:i/>
          <w:noProof/>
          <w:sz w:val="20"/>
        </w:rPr>
      </w:pPr>
      <w:r>
        <w:rPr>
          <w:noProof/>
        </w:rPr>
        <w:t xml:space="preserve">     v EUR </w:t>
      </w:r>
    </w:p>
    <w:p>
      <w:pPr>
        <w:pStyle w:val="Text1"/>
        <w:rPr>
          <w:noProof/>
          <w:sz w:val="20"/>
        </w:rPr>
      </w:pPr>
      <w:r>
        <w:rPr>
          <w:noProof/>
        </w:rPr>
        <w:br/>
      </w:r>
    </w:p>
    <w:p>
      <w:pPr>
        <w:pStyle w:val="Text1"/>
        <w:rPr>
          <w:noProof/>
          <w:sz w:val="20"/>
        </w:rPr>
      </w:pPr>
      <w:r>
        <w:rPr>
          <w:noProof/>
          <w:sz w:val="20"/>
        </w:rPr>
        <w:t>U účelově vázaných příjmů upřesněte dotčené výdajové rozpočtové položky.</w:t>
      </w:r>
    </w:p>
    <w:p>
      <w:pPr>
        <w:pStyle w:val="Text1"/>
        <w:pBdr>
          <w:top w:val="single" w:sz="4" w:space="1" w:color="auto"/>
          <w:left w:val="single" w:sz="4" w:space="4" w:color="auto"/>
          <w:bottom w:val="single" w:sz="4" w:space="1" w:color="auto"/>
          <w:right w:val="single" w:sz="4" w:space="4" w:color="auto"/>
        </w:pBdr>
        <w:rPr>
          <w:noProof/>
        </w:rPr>
      </w:pPr>
      <w:r>
        <w:t>Nepoužije se</w:t>
      </w:r>
    </w:p>
    <w:p>
      <w:pPr>
        <w:pStyle w:val="Text1"/>
        <w:rPr>
          <w:noProof/>
        </w:rPr>
      </w:pPr>
      <w:r>
        <w:rPr>
          <w:noProof/>
          <w:sz w:val="20"/>
        </w:rPr>
        <w:t>Jiné poznámky (např. způsob/vzorec výpočtu dopadu na příjmy nebo jiné údaje).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tab/>
    </w:r>
    <w:r>
      <w:rPr>
        <w:rFonts w:ascii="Arial" w:hAnsi="Arial" w:cs="Arial"/>
        <w:b/>
        <w:sz w:val="48"/>
      </w:rPr>
      <w:t>CS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tab/>
    </w:r>
    <w:r>
      <w:rPr>
        <w:rFonts w:ascii="Arial" w:hAnsi="Arial" w:cs="Arial"/>
        <w:b/>
        <w:sz w:val="48"/>
      </w:rPr>
      <w:t>CS</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Pr>
        <w:noProof/>
      </w:rPr>
      <w:t>18</w:t>
    </w:r>
    <w:r>
      <w:fldChar w:fldCharType="end"/>
    </w:r>
    <w:r>
      <w:tab/>
    </w:r>
    <w:r>
      <w:tab/>
    </w:r>
    <w:r>
      <w:rPr>
        <w:rFonts w:ascii="Arial" w:hAnsi="Arial" w:cs="Arial"/>
        <w:b/>
        <w:sz w:val="48"/>
      </w:rPr>
      <w:t>CS</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tab/>
      </w:r>
      <w:hyperlink r:id="rId1">
        <w:r>
          <w:rPr>
            <w:rStyle w:val="Hyperlink"/>
          </w:rPr>
          <w:t>https://ec.europa.eu/commission/sites/beta-political/files/draft_withdrawal_agreement_0.pdf</w:t>
        </w:r>
      </w:hyperlink>
      <w:r>
        <w:t>.</w:t>
      </w:r>
    </w:p>
  </w:footnote>
  <w:footnote w:id="2">
    <w:p>
      <w:pPr>
        <w:pStyle w:val="FootnoteText"/>
        <w:rPr>
          <w:lang w:val="fr-BE"/>
        </w:rPr>
      </w:pPr>
      <w:r>
        <w:rPr>
          <w:rStyle w:val="FootnoteReference"/>
        </w:rPr>
        <w:footnoteRef/>
      </w:r>
      <w:r>
        <w:rPr>
          <w:lang w:val="fr-BE"/>
        </w:rPr>
        <w:tab/>
        <w:t>COM(2018) 880 final, 13.11.2018.</w:t>
      </w:r>
    </w:p>
  </w:footnote>
  <w:footnote w:id="3">
    <w:p>
      <w:pPr>
        <w:pStyle w:val="FootnoteText"/>
        <w:rPr>
          <w:lang w:val="fr-BE"/>
        </w:rPr>
      </w:pPr>
      <w:r>
        <w:rPr>
          <w:rStyle w:val="FootnoteReference"/>
        </w:rPr>
        <w:footnoteRef/>
      </w:r>
      <w:r>
        <w:rPr>
          <w:lang w:val="fr-BE"/>
        </w:rPr>
        <w:tab/>
        <w:t>Inspirováno návrhem nařízení Evropského parlamentu a Rady, kterým se mění nařízení (EU) č. 1316/2013 s ohledem na vystoupení Spojeného království z Unie, COM(2018) 568, 1. 8. 2018.</w:t>
      </w:r>
    </w:p>
  </w:footnote>
  <w:footnote w:id="4">
    <w:p>
      <w:pPr>
        <w:pStyle w:val="FootnoteText"/>
        <w:rPr>
          <w:lang w:val="fr-BE"/>
        </w:rPr>
      </w:pPr>
      <w:r>
        <w:rPr>
          <w:rStyle w:val="FootnoteReference"/>
        </w:rPr>
        <w:footnoteRef/>
      </w:r>
      <w:r>
        <w:rPr>
          <w:lang w:val="fr-BE"/>
        </w:rPr>
        <w:tab/>
        <w:t>Úř. věst. C , , s. .</w:t>
      </w:r>
    </w:p>
  </w:footnote>
  <w:footnote w:id="5">
    <w:p>
      <w:pPr>
        <w:pStyle w:val="FootnoteText"/>
        <w:rPr>
          <w:lang w:val="fr-BE"/>
        </w:rPr>
      </w:pPr>
      <w:r>
        <w:rPr>
          <w:rStyle w:val="FootnoteReference"/>
        </w:rPr>
        <w:footnoteRef/>
      </w:r>
      <w:r>
        <w:rPr>
          <w:lang w:val="fr-BE"/>
        </w:rPr>
        <w:tab/>
        <w:t>Úř. věst. C , , s. .</w:t>
      </w:r>
    </w:p>
  </w:footnote>
  <w:footnote w:id="6">
    <w:p>
      <w:pPr>
        <w:pStyle w:val="FootnoteText"/>
        <w:rPr>
          <w:lang w:val="fr-BE"/>
        </w:rPr>
      </w:pPr>
      <w:r>
        <w:rPr>
          <w:rStyle w:val="FootnoteReference"/>
        </w:rPr>
        <w:footnoteRef/>
      </w:r>
      <w:r>
        <w:rPr>
          <w:lang w:val="fr-BE"/>
        </w:rPr>
        <w:tab/>
        <w:t>Nařízení Evropského parlamentu a Rady (EU) č. 1299/2013 ze dne 17. prosince 2013 o zvláštních ustanoveních týkajících se podpory z Evropského fondu pro regionální rozvoj pro cíl Evropská územní spolupráce (Úř. věst. L 347, 20.12.2013, s. 259).</w:t>
      </w:r>
    </w:p>
  </w:footnote>
  <w:footnote w:id="7">
    <w:p>
      <w:pPr>
        <w:pStyle w:val="FootnoteText"/>
        <w:rPr>
          <w:lang w:val="fr-BE"/>
        </w:rPr>
      </w:pPr>
      <w:r>
        <w:rPr>
          <w:rStyle w:val="FootnoteReference"/>
        </w:rPr>
        <w:footnoteRef/>
      </w:r>
      <w:r>
        <w:rPr>
          <w:lang w:val="fr-BE"/>
        </w:rPr>
        <w:tab/>
        <w:t>Nařízení Evropského parlamentu a Rady (EU) č. 1303/2013 ze dne 17. prosince 2013 o společných ustanoveních o Evropském fondu pro regionální rozvoj, Evropském sociálním fondu, Fondu soudržnosti, Evropském zemědělském fondu pro rozvoj venkova a Evropském námořním a rybářském fondu, o obecných ustanoveních o Evropském fondu pro regionální rozvoj, Evropském sociálním fondu, Fondu soudržnosti a Evropském námořním a rybářském fondu a o zrušení nařízení Rady (ES) č. 1083/2006 (Úř. věst. L 347, 20.12.2013, s. 320).</w:t>
      </w:r>
    </w:p>
  </w:footnote>
  <w:footnote w:id="8">
    <w:p>
      <w:pPr>
        <w:pStyle w:val="FootnoteText"/>
        <w:rPr>
          <w:lang w:val="fr-BE"/>
        </w:rPr>
      </w:pPr>
      <w:r>
        <w:rPr>
          <w:rStyle w:val="FootnoteReference"/>
        </w:rPr>
        <w:footnoteRef/>
      </w:r>
      <w:r>
        <w:rPr>
          <w:lang w:val="fr-BE"/>
        </w:rPr>
        <w:tab/>
        <w:t>Nařízení Evropského parlamentu a Rady (EU, Euratom) 2018/1046 ze dne 18. července 2018, kterým se stanoví finanční pravidla pro souhrnný rozpočet Unie, mění nařízení (EU) č. 1296/2013, (EU) č. 1301/2013, (EU) č. 1303/2013, (EU) č. 1304/2013, (EU) č. 1309/2013, (EU) č. 1316/2013, (EU) č. 223/2014 a (EU) č. 283/2014 a rozhodnutí č. 541/2014/EU a zrušuje nařízení (EU, Euratom) č. 966/2012 (Úř. věst. L 193, 30.7.2018, s. 1).</w:t>
      </w:r>
    </w:p>
  </w:footnote>
  <w:footnote w:id="9">
    <w:p>
      <w:pPr>
        <w:pStyle w:val="FootnoteText"/>
        <w:jc w:val="left"/>
        <w:rPr>
          <w:szCs w:val="24"/>
          <w:lang w:val="fr-BE"/>
        </w:rPr>
      </w:pPr>
      <w:r>
        <w:rPr>
          <w:rStyle w:val="FootnoteReference"/>
        </w:rPr>
        <w:footnoteRef/>
      </w:r>
      <w:r>
        <w:rPr>
          <w:lang w:val="fr-BE"/>
        </w:rPr>
        <w:tab/>
        <w:t xml:space="preserve">Vysvětlení způsobů řízení spolu s odkazem na finanční nařízení jsou k dispozici na stránkách BudgWeb: </w:t>
      </w:r>
      <w:hyperlink r:id="rId2">
        <w:r>
          <w:rPr>
            <w:rStyle w:val="Hyperlink"/>
            <w:lang w:val="fr-BE"/>
          </w:rPr>
          <w:t>https://myintracomm.ec.europa.eu/budgweb/EN/man/budgmanag/Pages/budgmanag.aspx</w:t>
        </w:r>
      </w:hyperlink>
      <w:r>
        <w:rPr>
          <w:lang w:val="fr-BE"/>
        </w:rPr>
        <w:t xml:space="preserve"> </w:t>
      </w:r>
    </w:p>
  </w:footnote>
  <w:footnote w:id="10">
    <w:p>
      <w:pPr>
        <w:pStyle w:val="FootnoteText"/>
        <w:rPr>
          <w:szCs w:val="24"/>
          <w:lang w:val="fr-BE"/>
        </w:rPr>
      </w:pPr>
      <w:r>
        <w:rPr>
          <w:rStyle w:val="FootnoteReference"/>
        </w:rPr>
        <w:footnoteRef/>
      </w:r>
      <w:r>
        <w:rPr>
          <w:lang w:val="fr-BE"/>
        </w:rPr>
        <w:tab/>
        <w:t>RP = rozlišené prostředky / NRP = nerozlišené prostředky.</w:t>
      </w:r>
    </w:p>
  </w:footnote>
  <w:footnote w:id="11">
    <w:p>
      <w:pPr>
        <w:pStyle w:val="FootnoteText"/>
        <w:rPr>
          <w:szCs w:val="24"/>
          <w:lang w:val="fr-BE"/>
        </w:rPr>
      </w:pPr>
      <w:r>
        <w:rPr>
          <w:rStyle w:val="FootnoteReference"/>
        </w:rPr>
        <w:footnoteRef/>
      </w:r>
      <w:r>
        <w:rPr>
          <w:lang w:val="fr-BE"/>
        </w:rPr>
        <w:tab/>
        <w:t xml:space="preserve">ESVO: Evropské sdružení volného obchodu. </w:t>
      </w:r>
    </w:p>
  </w:footnote>
  <w:footnote w:id="12">
    <w:p>
      <w:pPr>
        <w:pStyle w:val="FootnoteText"/>
        <w:rPr>
          <w:szCs w:val="24"/>
          <w:lang w:val="fr-BE"/>
        </w:rPr>
      </w:pPr>
      <w:r>
        <w:rPr>
          <w:rStyle w:val="FootnoteReference"/>
        </w:rPr>
        <w:footnoteRef/>
      </w:r>
      <w:r>
        <w:rPr>
          <w:lang w:val="fr-BE"/>
        </w:rPr>
        <w:tab/>
        <w:t>Kandidátské země a případně potenciální kandidáti ze západního Balkánu.</w:t>
      </w:r>
    </w:p>
  </w:footnote>
  <w:footnote w:id="13">
    <w:p>
      <w:pPr>
        <w:pStyle w:val="FootnoteText"/>
        <w:rPr>
          <w:szCs w:val="24"/>
          <w:lang w:val="fr-BE"/>
        </w:rPr>
      </w:pPr>
      <w:r>
        <w:rPr>
          <w:rStyle w:val="FootnoteReference"/>
        </w:rPr>
        <w:footnoteRef/>
      </w:r>
      <w:r>
        <w:rPr>
          <w:lang w:val="fr-BE"/>
        </w:rPr>
        <w:tab/>
      </w:r>
      <w:r>
        <w:rPr>
          <w:sz w:val="18"/>
          <w:lang w:val="fr-BE"/>
        </w:rPr>
        <w:t>Rokem N se rozumí rok, kdy se návrh/podnět začíná provádět. Výraz „N“ nahraďte předpokládaným prvním rokem provádění (například 2021). Totéž proveďte u let následujících.</w:t>
      </w:r>
    </w:p>
  </w:footnote>
  <w:footnote w:id="14">
    <w:p>
      <w:pPr>
        <w:pStyle w:val="FootnoteText"/>
        <w:rPr>
          <w:szCs w:val="24"/>
          <w:lang w:val="fr-BE"/>
        </w:rPr>
      </w:pPr>
      <w:r>
        <w:rPr>
          <w:rStyle w:val="FootnoteReference"/>
        </w:rPr>
        <w:footnoteRef/>
      </w:r>
      <w:r>
        <w:rPr>
          <w:lang w:val="fr-BE"/>
        </w:rPr>
        <w:tab/>
        <w:t>Výstupy se rozumí produkty a služby, které mají být dodány (např. počet financovaných studentských výměn, počet vybudovaných kilometrů silnic atd.).</w:t>
      </w:r>
    </w:p>
  </w:footnote>
  <w:footnote w:id="15">
    <w:p>
      <w:pPr>
        <w:pStyle w:val="FootnoteText"/>
        <w:rPr>
          <w:szCs w:val="24"/>
          <w:lang w:val="fr-BE"/>
        </w:rPr>
      </w:pPr>
      <w:r>
        <w:rPr>
          <w:rStyle w:val="FootnoteReference"/>
        </w:rPr>
        <w:footnoteRef/>
      </w:r>
      <w:r>
        <w:rPr>
          <w:lang w:val="fr-BE"/>
        </w:rPr>
        <w:tab/>
        <w:t xml:space="preserve">Popsaný v bodě 1.4.2. „Specifické cíle…“. </w:t>
      </w:r>
    </w:p>
  </w:footnote>
  <w:footnote w:id="16">
    <w:p>
      <w:pPr>
        <w:pStyle w:val="FootnoteText"/>
        <w:rPr>
          <w:sz w:val="18"/>
          <w:szCs w:val="18"/>
          <w:lang w:val="fr-BE"/>
        </w:rPr>
      </w:pPr>
      <w:r>
        <w:rPr>
          <w:rStyle w:val="FootnoteReference"/>
        </w:rPr>
        <w:footnoteRef/>
      </w:r>
      <w:r>
        <w:rPr>
          <w:lang w:val="fr-BE"/>
        </w:rPr>
        <w:tab/>
      </w:r>
      <w:r>
        <w:rPr>
          <w:sz w:val="18"/>
          <w:lang w:val="fr-BE"/>
        </w:rPr>
        <w:t>Rokem N se rozumí rok, kdy se návrh/podnět začíná provádět. Výraz „N“ nahraďte předpokládaným prvním rokem provádění (například 2021). Totéž proveďte u let následujících.</w:t>
      </w:r>
    </w:p>
  </w:footnote>
  <w:footnote w:id="17">
    <w:p>
      <w:pPr>
        <w:pStyle w:val="FootnoteText"/>
        <w:rPr>
          <w:szCs w:val="24"/>
          <w:lang w:val="fr-BE"/>
        </w:rPr>
      </w:pPr>
      <w:r>
        <w:rPr>
          <w:rStyle w:val="FootnoteReference"/>
        </w:rPr>
        <w:footnoteRef/>
      </w:r>
      <w:r>
        <w:rPr>
          <w:lang w:val="fr-BE"/>
        </w:rPr>
        <w:tab/>
      </w:r>
      <w:r>
        <w:rPr>
          <w:sz w:val="18"/>
          <w:lang w:val="fr-BE"/>
        </w:rPr>
        <w:t>Technická a/nebo administrativní pomoc a výdaje na podporu provádění programů a/nebo akcí EU (bývalé položky „BA“), nepřímý výzkum, přímý výzkum.</w:t>
      </w:r>
    </w:p>
  </w:footnote>
  <w:footnote w:id="18">
    <w:p>
      <w:pPr>
        <w:pStyle w:val="FootnoteText"/>
        <w:rPr>
          <w:szCs w:val="24"/>
          <w:lang w:val="fr-BE"/>
        </w:rPr>
      </w:pPr>
      <w:r>
        <w:rPr>
          <w:rStyle w:val="FootnoteReference"/>
        </w:rPr>
        <w:footnoteRef/>
      </w:r>
      <w:r>
        <w:rPr>
          <w:lang w:val="fr-BE"/>
        </w:rPr>
        <w:tab/>
        <w:t xml:space="preserve">SZ = smluvní zaměstnanec; MZ = místní zaměstnanec; VNO = vyslaný národní odborník; ZAP = zaměstnanec agentury práce; MOD = mladý odborník při delegaci. </w:t>
      </w:r>
    </w:p>
  </w:footnote>
  <w:footnote w:id="19">
    <w:p>
      <w:pPr>
        <w:pStyle w:val="FootnoteText"/>
        <w:rPr>
          <w:szCs w:val="24"/>
          <w:lang w:val="fr-BE"/>
        </w:rPr>
      </w:pPr>
      <w:r>
        <w:rPr>
          <w:rStyle w:val="FootnoteReference"/>
        </w:rPr>
        <w:footnoteRef/>
      </w:r>
      <w:r>
        <w:rPr>
          <w:lang w:val="fr-BE"/>
        </w:rPr>
        <w:tab/>
        <w:t>Dílčí strop na externí zaměstnance financované z operačních prostředků (bývalé položky „BA“).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F40EEB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E426808"/>
    <w:lvl w:ilvl="0">
      <w:start w:val="1"/>
      <w:numFmt w:val="decimal"/>
      <w:pStyle w:val="ListNumber3"/>
      <w:lvlText w:val="%1."/>
      <w:lvlJc w:val="left"/>
      <w:pPr>
        <w:tabs>
          <w:tab w:val="num" w:pos="926"/>
        </w:tabs>
        <w:ind w:left="926" w:hanging="360"/>
      </w:pPr>
    </w:lvl>
  </w:abstractNum>
  <w:abstractNum w:abstractNumId="2">
    <w:nsid w:val="FFFFFF7F"/>
    <w:multiLevelType w:val="singleLevel"/>
    <w:tmpl w:val="AD16A6D0"/>
    <w:lvl w:ilvl="0">
      <w:start w:val="1"/>
      <w:numFmt w:val="decimal"/>
      <w:pStyle w:val="ListNumber2"/>
      <w:lvlText w:val="%1."/>
      <w:lvlJc w:val="left"/>
      <w:pPr>
        <w:tabs>
          <w:tab w:val="num" w:pos="643"/>
        </w:tabs>
        <w:ind w:left="643" w:hanging="360"/>
      </w:pPr>
    </w:lvl>
  </w:abstractNum>
  <w:abstractNum w:abstractNumId="3">
    <w:nsid w:val="FFFFFF81"/>
    <w:multiLevelType w:val="singleLevel"/>
    <w:tmpl w:val="1804D4C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B8633F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8BC462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78C8196"/>
    <w:lvl w:ilvl="0">
      <w:start w:val="1"/>
      <w:numFmt w:val="decimal"/>
      <w:pStyle w:val="ListNumber"/>
      <w:lvlText w:val="%1."/>
      <w:lvlJc w:val="left"/>
      <w:pPr>
        <w:tabs>
          <w:tab w:val="num" w:pos="360"/>
        </w:tabs>
        <w:ind w:left="360" w:hanging="360"/>
      </w:pPr>
    </w:lvl>
  </w:abstractNum>
  <w:abstractNum w:abstractNumId="7">
    <w:nsid w:val="FFFFFF89"/>
    <w:multiLevelType w:val="singleLevel"/>
    <w:tmpl w:val="50345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8">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5"/>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8"/>
  </w:num>
  <w:num w:numId="11">
    <w:abstractNumId w:val="13"/>
  </w:num>
  <w:num w:numId="12">
    <w:abstractNumId w:val="18"/>
  </w:num>
  <w:num w:numId="13">
    <w:abstractNumId w:val="17"/>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num>
  <w:num w:numId="16">
    <w:abstractNumId w:val="22"/>
  </w:num>
  <w:num w:numId="17">
    <w:abstractNumId w:val="14"/>
  </w:num>
  <w:num w:numId="18">
    <w:abstractNumId w:val="24"/>
  </w:num>
  <w:num w:numId="19">
    <w:abstractNumId w:val="12"/>
  </w:num>
  <w:num w:numId="20">
    <w:abstractNumId w:val="15"/>
  </w:num>
  <w:num w:numId="21">
    <w:abstractNumId w:val="10"/>
  </w:num>
  <w:num w:numId="22">
    <w:abstractNumId w:val="23"/>
  </w:num>
  <w:num w:numId="23">
    <w:abstractNumId w:val="9"/>
  </w:num>
  <w:num w:numId="24">
    <w:abstractNumId w:val="16"/>
  </w:num>
  <w:num w:numId="25">
    <w:abstractNumId w:val="20"/>
  </w:num>
  <w:num w:numId="26">
    <w:abstractNumId w:val="21"/>
  </w:num>
  <w:num w:numId="27">
    <w:abstractNumId w:val="11"/>
  </w:num>
  <w:num w:numId="28">
    <w:abstractNumId w:val="19"/>
  </w:num>
  <w:num w:numId="29">
    <w:abstractNumId w:val="25"/>
  </w:num>
  <w:num w:numId="30">
    <w:abstractNumId w:val="22"/>
  </w:num>
  <w:num w:numId="31">
    <w:abstractNumId w:val="14"/>
  </w:num>
  <w:num w:numId="32">
    <w:abstractNumId w:val="24"/>
  </w:num>
  <w:num w:numId="33">
    <w:abstractNumId w:val="12"/>
  </w:num>
  <w:num w:numId="34">
    <w:abstractNumId w:val="15"/>
  </w:num>
  <w:num w:numId="35">
    <w:abstractNumId w:val="10"/>
  </w:num>
  <w:num w:numId="36">
    <w:abstractNumId w:val="23"/>
  </w:num>
  <w:num w:numId="37">
    <w:abstractNumId w:val="9"/>
  </w:num>
  <w:num w:numId="38">
    <w:abstractNumId w:val="16"/>
  </w:num>
  <w:num w:numId="39">
    <w:abstractNumId w:val="20"/>
  </w:num>
  <w:num w:numId="40">
    <w:abstractNumId w:val="21"/>
  </w:num>
  <w:num w:numId="41">
    <w:abstractNumId w:val="11"/>
  </w:num>
  <w:num w:numId="42">
    <w:abstractNumId w:val="19"/>
  </w:num>
  <w:num w:numId="43">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2-21 10:17:20"/>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7"/>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BE5579D7-AA5D-489A-9EDD-692F5515E60F"/>
    <w:docVar w:name="LW_COVERPAGE_TYPE" w:val="1"/>
    <w:docVar w:name="LW_CROSSREFERENCE" w:val="&lt;UNUSED&gt;"/>
    <w:docVar w:name="LW_DocType" w:val="COM"/>
    <w:docVar w:name="LW_EMISSION" w:val="19.12.2018"/>
    <w:docVar w:name="LW_EMISSION_ISODATE" w:val="2018-12-19"/>
    <w:docVar w:name="LW_EMISSION_LOCATION" w:val="BRX"/>
    <w:docVar w:name="LW_EMISSION_PREFIX" w:val="V Bruselu dne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CS"/>
    <w:docVar w:name="LW_LEVEL_OF_SENSITIVITY" w:val="Standard treatment"/>
    <w:docVar w:name="LW_NOM.INST" w:val="EVROPSKÁ KOMISE"/>
    <w:docVar w:name="LW_NOM.INST_JOINTDOC" w:val="&lt;EMPTY&gt;"/>
    <w:docVar w:name="LW_PART_NBR" w:val="1"/>
    <w:docVar w:name="LW_PART_NBR_TOTAL" w:val="1"/>
    <w:docVar w:name="LW_REF.II.NEW.CP" w:val="COD"/>
    <w:docVar w:name="LW_REF.II.NEW.CP_NUMBER" w:val="0432"/>
    <w:docVar w:name="LW_REF.II.NEW.CP_YEAR" w:val="2018"/>
    <w:docVar w:name="LW_REF.INST.NEW" w:val="COM"/>
    <w:docVar w:name="LW_REF.INST.NEW_ADOPTED" w:val="final"/>
    <w:docVar w:name="LW_REF.INST.NEW_TEXT" w:val="(2018) 8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Návrh"/>
    <w:docVar w:name="LW_SUPERTITRE" w:val="&lt;UNUSED&gt;"/>
    <w:docVar w:name="LW_TITRE.OBJ.CP" w:val="s cílem umo\u382?nit pokra\u269?ování program\u367? územní spolupráce PEACE IV (Irsko-Spojené království) a Spojené království-Irsko (Irsko-Severní Irsko-Skotsko) v souvislosti s vystoupením Spojeného království z Evropské unie"/>
    <w:docVar w:name="LW_TYPE.DOC.CP" w:val="NA\u344?ÍZENÍ EVROPSKÉHO PARLAMENTU A RADY"/>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cs-CZ"/>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rPr>
      <w:sz w:val="20"/>
      <w:szCs w:val="20"/>
      <w:lang w:val="cs-CZ"/>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cs-CZ"/>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nhideWhenUsed/>
    <w:pPr>
      <w:numPr>
        <w:numId w:val="7"/>
      </w:numPr>
      <w:contextualSpacing/>
    </w:pPr>
  </w:style>
  <w:style w:type="paragraph" w:styleId="ListNumber3">
    <w:name w:val="List Number 3"/>
    <w:basedOn w:val="Normal"/>
    <w:unhideWhenUsed/>
    <w:pPr>
      <w:numPr>
        <w:numId w:val="8"/>
      </w:numPr>
      <w:contextualSpacing/>
    </w:pPr>
  </w:style>
  <w:style w:type="paragraph" w:styleId="ListNumber4">
    <w:name w:val="List Number 4"/>
    <w:basedOn w:val="Normal"/>
    <w:unhideWhenUsed/>
    <w:pPr>
      <w:numPr>
        <w:numId w:val="9"/>
      </w:numPr>
      <w:contextualSpacing/>
    </w:pPr>
  </w:style>
  <w:style w:type="paragraph" w:styleId="CommentSubject">
    <w:name w:val="annotation subject"/>
    <w:basedOn w:val="CommentText"/>
    <w:next w:val="CommentText"/>
    <w:link w:val="CommentSubjectChar"/>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cs-CZ"/>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istBullet1">
    <w:name w:val="List Bullet 1"/>
    <w:basedOn w:val="Normal"/>
    <w:pPr>
      <w:numPr>
        <w:numId w:val="10"/>
      </w:numPr>
    </w:pPr>
  </w:style>
  <w:style w:type="paragraph" w:customStyle="1" w:styleId="ListDash">
    <w:name w:val="List Dash"/>
    <w:basedOn w:val="Normal"/>
    <w:pPr>
      <w:numPr>
        <w:numId w:val="11"/>
      </w:numPr>
    </w:pPr>
  </w:style>
  <w:style w:type="paragraph" w:customStyle="1" w:styleId="ListDash1">
    <w:name w:val="List Dash 1"/>
    <w:basedOn w:val="Normal"/>
    <w:pPr>
      <w:numPr>
        <w:numId w:val="12"/>
      </w:numPr>
    </w:pPr>
  </w:style>
  <w:style w:type="paragraph" w:customStyle="1" w:styleId="ListDash2">
    <w:name w:val="List Dash 2"/>
    <w:basedOn w:val="Normal"/>
    <w:pPr>
      <w:numPr>
        <w:numId w:val="13"/>
      </w:numPr>
    </w:pPr>
  </w:style>
  <w:style w:type="paragraph" w:customStyle="1" w:styleId="ListNumberLevel2">
    <w:name w:val="List Number (Level 2)"/>
    <w:basedOn w:val="Normal"/>
    <w:pPr>
      <w:tabs>
        <w:tab w:val="num" w:pos="1417"/>
      </w:tabs>
      <w:ind w:left="1417" w:hanging="708"/>
    </w:pPr>
  </w:style>
  <w:style w:type="paragraph" w:customStyle="1" w:styleId="ListNumberLevel3">
    <w:name w:val="List Number (Level 3)"/>
    <w:basedOn w:val="Normal"/>
    <w:pPr>
      <w:tabs>
        <w:tab w:val="num" w:pos="2126"/>
      </w:tabs>
      <w:ind w:left="2126" w:hanging="709"/>
    </w:pPr>
  </w:style>
  <w:style w:type="paragraph" w:customStyle="1" w:styleId="ListNumberLevel4">
    <w:name w:val="List Number (Level 4)"/>
    <w:basedOn w:val="Normal"/>
    <w:pPr>
      <w:tabs>
        <w:tab w:val="num" w:pos="2835"/>
      </w:tabs>
      <w:ind w:left="2835" w:hanging="709"/>
    </w:p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Pr>
      <w:rFonts w:ascii="Times New Roman" w:hAnsi="Times New Roman" w:cs="Times New Roman"/>
      <w:b/>
      <w:sz w:val="28"/>
      <w:lang w:val="cs-CZ"/>
    </w:rPr>
  </w:style>
  <w:style w:type="character" w:customStyle="1" w:styleId="FooterCoverPageChar">
    <w:name w:val="Footer Cover Page Char"/>
    <w:basedOn w:val="TOCHeadingChar"/>
    <w:link w:val="FooterCoverPage"/>
    <w:rPr>
      <w:rFonts w:ascii="Times New Roman" w:hAnsi="Times New Roman" w:cs="Times New Roman"/>
      <w:b w:val="0"/>
      <w:sz w:val="24"/>
      <w:lang w:val="cs-CZ"/>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OCHeadingChar"/>
    <w:link w:val="HeaderCoverPage"/>
    <w:rPr>
      <w:rFonts w:ascii="Times New Roman" w:hAnsi="Times New Roman" w:cs="Times New Roman"/>
      <w:b w:val="0"/>
      <w:sz w:val="24"/>
      <w:lang w:val="cs-CZ" w:eastAsia="cs-CZ"/>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cs-CZ"/>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cs-CZ"/>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cs-CZ"/>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rPr>
      <w:sz w:val="20"/>
      <w:szCs w:val="20"/>
      <w:lang w:val="cs-CZ"/>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cs-CZ"/>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nhideWhenUsed/>
    <w:pPr>
      <w:numPr>
        <w:numId w:val="7"/>
      </w:numPr>
      <w:contextualSpacing/>
    </w:pPr>
  </w:style>
  <w:style w:type="paragraph" w:styleId="ListNumber3">
    <w:name w:val="List Number 3"/>
    <w:basedOn w:val="Normal"/>
    <w:unhideWhenUsed/>
    <w:pPr>
      <w:numPr>
        <w:numId w:val="8"/>
      </w:numPr>
      <w:contextualSpacing/>
    </w:pPr>
  </w:style>
  <w:style w:type="paragraph" w:styleId="ListNumber4">
    <w:name w:val="List Number 4"/>
    <w:basedOn w:val="Normal"/>
    <w:unhideWhenUsed/>
    <w:pPr>
      <w:numPr>
        <w:numId w:val="9"/>
      </w:numPr>
      <w:contextualSpacing/>
    </w:pPr>
  </w:style>
  <w:style w:type="paragraph" w:styleId="CommentSubject">
    <w:name w:val="annotation subject"/>
    <w:basedOn w:val="CommentText"/>
    <w:next w:val="CommentText"/>
    <w:link w:val="CommentSubjectChar"/>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cs-CZ"/>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istBullet1">
    <w:name w:val="List Bullet 1"/>
    <w:basedOn w:val="Normal"/>
    <w:pPr>
      <w:numPr>
        <w:numId w:val="10"/>
      </w:numPr>
    </w:pPr>
  </w:style>
  <w:style w:type="paragraph" w:customStyle="1" w:styleId="ListDash">
    <w:name w:val="List Dash"/>
    <w:basedOn w:val="Normal"/>
    <w:pPr>
      <w:numPr>
        <w:numId w:val="11"/>
      </w:numPr>
    </w:pPr>
  </w:style>
  <w:style w:type="paragraph" w:customStyle="1" w:styleId="ListDash1">
    <w:name w:val="List Dash 1"/>
    <w:basedOn w:val="Normal"/>
    <w:pPr>
      <w:numPr>
        <w:numId w:val="12"/>
      </w:numPr>
    </w:pPr>
  </w:style>
  <w:style w:type="paragraph" w:customStyle="1" w:styleId="ListDash2">
    <w:name w:val="List Dash 2"/>
    <w:basedOn w:val="Normal"/>
    <w:pPr>
      <w:numPr>
        <w:numId w:val="13"/>
      </w:numPr>
    </w:pPr>
  </w:style>
  <w:style w:type="paragraph" w:customStyle="1" w:styleId="ListNumberLevel2">
    <w:name w:val="List Number (Level 2)"/>
    <w:basedOn w:val="Normal"/>
    <w:pPr>
      <w:tabs>
        <w:tab w:val="num" w:pos="1417"/>
      </w:tabs>
      <w:ind w:left="1417" w:hanging="708"/>
    </w:pPr>
  </w:style>
  <w:style w:type="paragraph" w:customStyle="1" w:styleId="ListNumberLevel3">
    <w:name w:val="List Number (Level 3)"/>
    <w:basedOn w:val="Normal"/>
    <w:pPr>
      <w:tabs>
        <w:tab w:val="num" w:pos="2126"/>
      </w:tabs>
      <w:ind w:left="2126" w:hanging="709"/>
    </w:pPr>
  </w:style>
  <w:style w:type="paragraph" w:customStyle="1" w:styleId="ListNumberLevel4">
    <w:name w:val="List Number (Level 4)"/>
    <w:basedOn w:val="Normal"/>
    <w:pPr>
      <w:tabs>
        <w:tab w:val="num" w:pos="2835"/>
      </w:tabs>
      <w:ind w:left="2835" w:hanging="709"/>
    </w:p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Pr>
      <w:rFonts w:ascii="Times New Roman" w:hAnsi="Times New Roman" w:cs="Times New Roman"/>
      <w:b/>
      <w:sz w:val="28"/>
      <w:lang w:val="cs-CZ"/>
    </w:rPr>
  </w:style>
  <w:style w:type="character" w:customStyle="1" w:styleId="FooterCoverPageChar">
    <w:name w:val="Footer Cover Page Char"/>
    <w:basedOn w:val="TOCHeadingChar"/>
    <w:link w:val="FooterCoverPage"/>
    <w:rPr>
      <w:rFonts w:ascii="Times New Roman" w:hAnsi="Times New Roman" w:cs="Times New Roman"/>
      <w:b w:val="0"/>
      <w:sz w:val="24"/>
      <w:lang w:val="cs-CZ"/>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OCHeadingChar"/>
    <w:link w:val="HeaderCoverPage"/>
    <w:rPr>
      <w:rFonts w:ascii="Times New Roman" w:hAnsi="Times New Roman" w:cs="Times New Roman"/>
      <w:b w:val="0"/>
      <w:sz w:val="24"/>
      <w:lang w:val="cs-CZ" w:eastAsia="cs-CZ"/>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cs-CZ"/>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cs-CZ"/>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835442">
      <w:bodyDiv w:val="1"/>
      <w:marLeft w:val="0"/>
      <w:marRight w:val="0"/>
      <w:marTop w:val="0"/>
      <w:marBottom w:val="0"/>
      <w:divBdr>
        <w:top w:val="none" w:sz="0" w:space="0" w:color="auto"/>
        <w:left w:val="none" w:sz="0" w:space="0" w:color="auto"/>
        <w:bottom w:val="none" w:sz="0" w:space="0" w:color="auto"/>
        <w:right w:val="none" w:sz="0" w:space="0" w:color="auto"/>
      </w:divBdr>
    </w:div>
    <w:div w:id="909922137">
      <w:bodyDiv w:val="1"/>
      <w:marLeft w:val="0"/>
      <w:marRight w:val="0"/>
      <w:marTop w:val="0"/>
      <w:marBottom w:val="0"/>
      <w:divBdr>
        <w:top w:val="none" w:sz="0" w:space="0" w:color="auto"/>
        <w:left w:val="none" w:sz="0" w:space="0" w:color="auto"/>
        <w:bottom w:val="none" w:sz="0" w:space="0" w:color="auto"/>
        <w:right w:val="none" w:sz="0" w:space="0" w:color="auto"/>
      </w:divBdr>
    </w:div>
    <w:div w:id="1107970632">
      <w:bodyDiv w:val="1"/>
      <w:marLeft w:val="0"/>
      <w:marRight w:val="0"/>
      <w:marTop w:val="0"/>
      <w:marBottom w:val="0"/>
      <w:divBdr>
        <w:top w:val="none" w:sz="0" w:space="0" w:color="auto"/>
        <w:left w:val="none" w:sz="0" w:space="0" w:color="auto"/>
        <w:bottom w:val="none" w:sz="0" w:space="0" w:color="auto"/>
        <w:right w:val="none" w:sz="0" w:space="0" w:color="auto"/>
      </w:divBdr>
    </w:div>
    <w:div w:id="1344938254">
      <w:bodyDiv w:val="1"/>
      <w:marLeft w:val="0"/>
      <w:marRight w:val="0"/>
      <w:marTop w:val="0"/>
      <w:marBottom w:val="0"/>
      <w:divBdr>
        <w:top w:val="none" w:sz="0" w:space="0" w:color="auto"/>
        <w:left w:val="none" w:sz="0" w:space="0" w:color="auto"/>
        <w:bottom w:val="none" w:sz="0" w:space="0" w:color="auto"/>
        <w:right w:val="none" w:sz="0" w:space="0" w:color="auto"/>
      </w:divBdr>
    </w:div>
    <w:div w:id="1599363576">
      <w:bodyDiv w:val="1"/>
      <w:marLeft w:val="0"/>
      <w:marRight w:val="0"/>
      <w:marTop w:val="0"/>
      <w:marBottom w:val="0"/>
      <w:divBdr>
        <w:top w:val="none" w:sz="0" w:space="0" w:color="auto"/>
        <w:left w:val="none" w:sz="0" w:space="0" w:color="auto"/>
        <w:bottom w:val="none" w:sz="0" w:space="0" w:color="auto"/>
        <w:right w:val="none" w:sz="0" w:space="0" w:color="auto"/>
      </w:divBdr>
    </w:div>
    <w:div w:id="1819226502">
      <w:bodyDiv w:val="1"/>
      <w:marLeft w:val="0"/>
      <w:marRight w:val="0"/>
      <w:marTop w:val="0"/>
      <w:marBottom w:val="0"/>
      <w:divBdr>
        <w:top w:val="none" w:sz="0" w:space="0" w:color="auto"/>
        <w:left w:val="none" w:sz="0" w:space="0" w:color="auto"/>
        <w:bottom w:val="none" w:sz="0" w:space="0" w:color="auto"/>
        <w:right w:val="none" w:sz="0" w:space="0" w:color="auto"/>
      </w:divBdr>
    </w:div>
    <w:div w:id="204088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8.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myintracomm.ec.europa.eu/budgweb/EN/leg/internal/Documents/2016-5-legislative-financial-statement-ann-en.docx" TargetMode="External"/><Relationship Id="rId27" Type="http://schemas.openxmlformats.org/officeDocument/2006/relationships/header" Target="header6.xml"/><Relationship Id="rId30" Type="http://schemas.openxmlformats.org/officeDocument/2006/relationships/footer" Target="footer9.xml"/></Relationships>
</file>

<file path=word/_rels/footnotes.xml.rels><?xml version="1.0" encoding="UTF-8" standalone="yes"?>
<Relationships xmlns="http://schemas.openxmlformats.org/package/2006/relationships"><Relationship Id="rId2" Type="http://schemas.openxmlformats.org/officeDocument/2006/relationships/hyperlink" Target="https://myintracomm.ec.europa.eu/budgweb/EN/man/budgmanag/Pages/budgmanag.aspx" TargetMode="External"/><Relationship Id="rId1" Type="http://schemas.openxmlformats.org/officeDocument/2006/relationships/hyperlink" Target="https://ec.europa.eu/commission/sites/beta-political/files/draft_withdrawal_agreement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F0D82-652B-49F8-AE82-E378CACF6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7B865B-36F0-4138-B199-ECE1D0A637C6}">
  <ds:schemaRefs>
    <ds:schemaRef ds:uri="http://schemas.openxmlformats.org/package/2006/metadata/core-properties"/>
    <ds:schemaRef ds:uri="25173920-bf43-43cc-9123-1897e847dfc2"/>
    <ds:schemaRef ds:uri="http://purl.org/dc/terms/"/>
    <ds:schemaRef ds:uri="http://schemas.microsoft.com/office/infopath/2007/PartnerControls"/>
    <ds:schemaRef ds:uri="http://schemas.microsoft.com/office/2006/documentManagement/types"/>
    <ds:schemaRef ds:uri="http://schemas.microsoft.com/sharepoint/v3/fields"/>
    <ds:schemaRef ds:uri="http://purl.org/dc/elements/1.1/"/>
    <ds:schemaRef ds:uri="http://www.w3.org/XML/1998/namespace"/>
    <ds:schemaRef ds:uri="http://schemas.microsoft.com/sharepoint/v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030B0AC-03B6-4A47-A2F9-041C46CC9DCE}">
  <ds:schemaRefs>
    <ds:schemaRef ds:uri="http://schemas.microsoft.com/sharepoint/v3/contenttype/forms"/>
  </ds:schemaRefs>
</ds:datastoreItem>
</file>

<file path=customXml/itemProps4.xml><?xml version="1.0" encoding="utf-8"?>
<ds:datastoreItem xmlns:ds="http://schemas.openxmlformats.org/officeDocument/2006/customXml" ds:itemID="{C9EAE0B0-F058-49FE-8663-1102E71390BC}">
  <ds:schemaRefs>
    <ds:schemaRef ds:uri="office.server.policy"/>
  </ds:schemaRefs>
</ds:datastoreItem>
</file>

<file path=customXml/itemProps5.xml><?xml version="1.0" encoding="utf-8"?>
<ds:datastoreItem xmlns:ds="http://schemas.openxmlformats.org/officeDocument/2006/customXml" ds:itemID="{501B36AB-698B-4BDF-9BDF-92E7C4BA6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19</Pages>
  <Words>3306</Words>
  <Characters>19512</Characters>
  <Application>Microsoft Office Word</Application>
  <DocSecurity>0</DocSecurity>
  <Lines>1147</Lines>
  <Paragraphs>400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2018-12-19T09:27:00Z</dcterms:created>
  <dcterms:modified xsi:type="dcterms:W3CDTF">2018-12-21T09:17:00Z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ContentTypeId">
    <vt:lpwstr>0x010100258AA79CEB83498886A3A0868112325000D33D44CF0C8FEB45875F235DEEF2E1B9</vt:lpwstr>
  </property>
  <property fmtid="{D5CDD505-2E9C-101B-9397-08002B2CF9AE}" pid="9" name="DQCStatus">
    <vt:lpwstr>Green (DQC version 03)</vt:lpwstr>
  </property>
</Properties>
</file>