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Extended.xml" ContentType="application/vnd.openxmlformats-officedocument.wordprocessingml.commentsExtended+xml"/>
  <Override PartName="/word/commentsIds.xml" ContentType="application/vnd.openxmlformats-officedocument.wordprocessingml.commentsId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A1028CFE-BCF5-42A6-920B-F2013AB9D09F" style="width:450.35pt;height:334.2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pStyle w:val="Heading1"/>
        <w:spacing w:before="200" w:after="240"/>
        <w:jc w:val="both"/>
        <w:rPr>
          <w:rFonts w:ascii="Times New Roman" w:hAnsi="Times New Roman" w:cs="Times New Roman"/>
          <w:noProof/>
          <w:color w:val="auto"/>
        </w:rPr>
      </w:pPr>
      <w:bookmarkStart w:id="1" w:name="_GoBack"/>
      <w:bookmarkEnd w:id="1"/>
      <w:r>
        <w:rPr>
          <w:rFonts w:ascii="Times New Roman" w:hAnsi="Times New Roman"/>
          <w:noProof/>
          <w:color w:val="auto"/>
        </w:rPr>
        <w:lastRenderedPageBreak/>
        <w:t xml:space="preserve">1. Úvod </w:t>
      </w:r>
    </w:p>
    <w:p>
      <w:pPr>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Evropská komise v únoru 2016 přijala sdělení nazvané „Akční plán EU pro boj proti nezákonnému obchodu s volně žijícími a planě rostoucími druhy“</w:t>
      </w:r>
      <w:r>
        <w:rPr>
          <w:rStyle w:val="FootnoteReference"/>
          <w:rFonts w:ascii="Times New Roman" w:hAnsi="Times New Roman"/>
          <w:noProof/>
          <w:color w:val="000000"/>
          <w:sz w:val="24"/>
        </w:rPr>
        <w:footnoteReference w:id="2"/>
      </w:r>
      <w:r>
        <w:rPr>
          <w:rFonts w:ascii="Times New Roman" w:hAnsi="Times New Roman"/>
          <w:noProof/>
          <w:color w:val="000000"/>
          <w:sz w:val="24"/>
        </w:rPr>
        <w:t>, které obsahuje komplexní strategii pro boj proti trestné činnosti v oblasti obchodu s druhy volně žijících živočichů a planě rostoucích rostlin uvnitř Evropské unie (EU) a pro posilování úlohy EU v celosvětovém boji proti těmto nezákonným činnostem. Akční plán obsahuje 32 opatření soustředěných kolem tří priorit: i) </w:t>
      </w:r>
      <w:r>
        <w:rPr>
          <w:rFonts w:ascii="Times New Roman" w:hAnsi="Times New Roman"/>
          <w:b/>
          <w:noProof/>
          <w:color w:val="000000"/>
          <w:sz w:val="24"/>
        </w:rPr>
        <w:t>zamezení</w:t>
      </w:r>
      <w:r>
        <w:rPr>
          <w:rFonts w:ascii="Times New Roman" w:hAnsi="Times New Roman"/>
          <w:noProof/>
          <w:color w:val="000000"/>
          <w:sz w:val="24"/>
        </w:rPr>
        <w:t xml:space="preserve"> nezákonnému obchodu s volně žijícími a planě rostoucími druhy a řešení jeho hlavních příčin; ii) účinnější uplatňování a </w:t>
      </w:r>
      <w:r>
        <w:rPr>
          <w:rFonts w:ascii="Times New Roman" w:hAnsi="Times New Roman"/>
          <w:b/>
          <w:noProof/>
          <w:color w:val="000000"/>
          <w:sz w:val="24"/>
        </w:rPr>
        <w:t>prosazování</w:t>
      </w:r>
      <w:r>
        <w:rPr>
          <w:rFonts w:ascii="Times New Roman" w:hAnsi="Times New Roman"/>
          <w:noProof/>
          <w:color w:val="000000"/>
          <w:sz w:val="24"/>
        </w:rPr>
        <w:t xml:space="preserve"> stávajících pravidel a boj proti organizované trestné činnosti v oblasti obchodu s druhy volně žijících živočichů a planě rostoucích rostlin; a iii) posilování </w:t>
      </w:r>
      <w:r>
        <w:rPr>
          <w:rFonts w:ascii="Times New Roman" w:hAnsi="Times New Roman"/>
          <w:b/>
          <w:noProof/>
          <w:color w:val="000000"/>
          <w:sz w:val="24"/>
        </w:rPr>
        <w:t>globálního partnerství</w:t>
      </w:r>
      <w:r>
        <w:rPr>
          <w:rFonts w:ascii="Times New Roman" w:hAnsi="Times New Roman"/>
          <w:noProof/>
          <w:color w:val="000000"/>
          <w:sz w:val="24"/>
        </w:rPr>
        <w:t xml:space="preserve"> zemí původu, zemí spotřeby a tranzitních zemí v oblasti boje proti nezákonnému obchodu s volně žijícími a planě rostoucími druhy.</w:t>
      </w:r>
    </w:p>
    <w:p>
      <w:pPr>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Dne 20. června 2016 přijala Rada EU závěry</w:t>
      </w:r>
      <w:r>
        <w:rPr>
          <w:rStyle w:val="FootnoteReference"/>
          <w:rFonts w:ascii="Times New Roman" w:hAnsi="Times New Roman"/>
          <w:noProof/>
          <w:color w:val="000000"/>
          <w:sz w:val="24"/>
        </w:rPr>
        <w:footnoteReference w:id="3"/>
      </w:r>
      <w:r>
        <w:rPr>
          <w:rFonts w:ascii="Times New Roman" w:hAnsi="Times New Roman"/>
          <w:noProof/>
          <w:color w:val="000000"/>
          <w:sz w:val="20"/>
        </w:rPr>
        <w:t xml:space="preserve"> </w:t>
      </w:r>
      <w:r>
        <w:rPr>
          <w:rFonts w:ascii="Times New Roman" w:hAnsi="Times New Roman"/>
          <w:noProof/>
          <w:color w:val="000000"/>
          <w:sz w:val="24"/>
        </w:rPr>
        <w:t>týkající se akčního plánu, které schvalují tři priority tohoto plánu a vyzývají k jeho včasnému provádění. Evropský parlament akční plán rovněž uvítal, a to v usnesení z listopadu 2016</w:t>
      </w:r>
      <w:r>
        <w:rPr>
          <w:rStyle w:val="FootnoteReference"/>
          <w:rFonts w:ascii="Times New Roman" w:hAnsi="Times New Roman"/>
          <w:noProof/>
          <w:color w:val="000000"/>
          <w:sz w:val="24"/>
        </w:rPr>
        <w:footnoteReference w:id="4"/>
      </w:r>
      <w:r>
        <w:rPr>
          <w:rFonts w:ascii="Times New Roman" w:hAnsi="Times New Roman"/>
          <w:noProof/>
          <w:color w:val="000000"/>
          <w:sz w:val="24"/>
        </w:rPr>
        <w:t>.</w:t>
      </w:r>
    </w:p>
    <w:p>
      <w:pPr>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Akční plán pokrývá pětileté období od roku 2016 do roku 2020. Z akčního plánu i ze závěrů Rady vyplývá, že Evropská komise by měla do července 2018 předložit zprávu o průběhu provádění akčního plánu a o tom, zda jsou jeho priority a cíle i nadále přiměřené a vhodné.</w:t>
      </w:r>
    </w:p>
    <w:p>
      <w:pPr>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Tato zpráva představuje přehled, jakého pokroku všichni příslušní aktéři dosáhli při provádění akčního plánu, který je založen především na informacích předložených 25 členskými státy EU, Evropskou službou pro vnější činnost, agenturou Europol, agenturou Eurojust a evropskými sítěmi specializujícími se na prosazování právních předpisů EU v oblasti životního prostředí.</w:t>
      </w:r>
    </w:p>
    <w:p>
      <w:pPr>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Více informací o opatřeních přijatých za účelem provádění akčního plánu lze nalézt v pracovním dokumentu útvarů Komise připojeném k této zprávě. Příspěvky od členských států jsou zpřístupněny na webových stránkách Komise</w:t>
      </w:r>
      <w:r>
        <w:rPr>
          <w:rStyle w:val="FootnoteReference"/>
          <w:rFonts w:ascii="Times New Roman" w:hAnsi="Times New Roman"/>
          <w:noProof/>
          <w:color w:val="000000"/>
          <w:sz w:val="24"/>
        </w:rPr>
        <w:footnoteReference w:id="5"/>
      </w:r>
      <w:r>
        <w:rPr>
          <w:rFonts w:ascii="Times New Roman" w:hAnsi="Times New Roman"/>
          <w:noProof/>
          <w:color w:val="000000"/>
          <w:sz w:val="24"/>
        </w:rPr>
        <w:t>.</w:t>
      </w:r>
    </w:p>
    <w:p>
      <w:pPr>
        <w:pStyle w:val="Heading1"/>
        <w:spacing w:before="200" w:after="240"/>
        <w:rPr>
          <w:rFonts w:ascii="Times New Roman" w:hAnsi="Times New Roman" w:cs="Times New Roman"/>
          <w:noProof/>
          <w:color w:val="auto"/>
        </w:rPr>
      </w:pPr>
      <w:r>
        <w:rPr>
          <w:rFonts w:ascii="Times New Roman" w:hAnsi="Times New Roman"/>
          <w:noProof/>
          <w:color w:val="auto"/>
        </w:rPr>
        <w:t>2. Klíčové kroky učiněné od přijetí akčního plánu v roce 2016</w:t>
      </w:r>
    </w:p>
    <w:p>
      <w:pPr>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Tento oddíl shrnuje nejdůležitější kroky učiněné od roku 2016 za účelem sledování tří priorit akčního plánu, jakož i případná dodatečná opatření plánovaná pro dosažení jeho cílů.</w:t>
      </w:r>
    </w:p>
    <w:p>
      <w:pPr>
        <w:rPr>
          <w:rFonts w:ascii="Times New Roman" w:hAnsi="Times New Roman" w:cs="Times New Roman"/>
          <w:noProof/>
          <w:color w:val="000000"/>
          <w:sz w:val="24"/>
          <w:szCs w:val="24"/>
        </w:rPr>
      </w:pPr>
      <w:r>
        <w:rPr>
          <w:noProof/>
        </w:rPr>
        <w:br w:type="page"/>
      </w:r>
    </w:p>
    <w:p>
      <w:pPr>
        <w:pStyle w:val="Heading2"/>
        <w:spacing w:after="240"/>
        <w:rPr>
          <w:rFonts w:ascii="Times New Roman" w:hAnsi="Times New Roman" w:cs="Times New Roman"/>
          <w:noProof/>
          <w:color w:val="auto"/>
        </w:rPr>
      </w:pPr>
      <w:r>
        <w:rPr>
          <w:rFonts w:ascii="Times New Roman" w:hAnsi="Times New Roman"/>
          <w:noProof/>
          <w:color w:val="auto"/>
        </w:rPr>
        <w:lastRenderedPageBreak/>
        <w:t xml:space="preserve">Priorita 1 – Zamezení nezákonnému obchodu s volně žijícími a planě rostoucími druhy a řešení jeho hlavních příčin </w:t>
      </w:r>
    </w:p>
    <w:p>
      <w:pPr>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První prioritou akčního plánu je, aby EU a její členské státy potíraly mnohonásobné hlavní příčiny nezákonného obchodu s volně žijícími a planě rostoucími druhy. Boj proti nezákonnému obchodu s volně žijícími a planě rostoucími druhy může být úspěšný pouze tehdy, budou-li řešeny strukturální faktory.</w:t>
      </w:r>
    </w:p>
    <w:p>
      <w:pPr>
        <w:spacing w:after="240" w:line="240" w:lineRule="auto"/>
        <w:jc w:val="both"/>
        <w:rPr>
          <w:rFonts w:ascii="Times New Roman" w:hAnsi="Times New Roman" w:cs="Times New Roman"/>
          <w:noProof/>
          <w:color w:val="000000"/>
          <w:sz w:val="24"/>
          <w:szCs w:val="24"/>
        </w:rPr>
      </w:pPr>
      <w:r>
        <w:rPr>
          <w:rFonts w:ascii="Times New Roman" w:hAnsi="Times New Roman"/>
          <w:b/>
          <w:noProof/>
          <w:color w:val="000000"/>
          <w:sz w:val="24"/>
        </w:rPr>
        <w:t>Snížení poptávky</w:t>
      </w:r>
      <w:r>
        <w:rPr>
          <w:rFonts w:ascii="Times New Roman" w:hAnsi="Times New Roman"/>
          <w:noProof/>
          <w:color w:val="000000"/>
          <w:sz w:val="24"/>
        </w:rPr>
        <w:t xml:space="preserve"> po nelegálních produktech z volně žijících živočichů a planě rostoucích rostlin je klíčovým prvkem strategie EU pro boj proti nezákonnému obchodu s volně žijícími a planě rostoucími druhy a byla zahájena řada iniciativ s tímto cílem. EU a některé členské státy podporují veřejné orgány a organizace občanské společnosti v Asii v jejich úsilí potlačit poptávku po nelegálních produktech z volně žijících živočichů a planě rostoucích rostlin, zejména z nosorožců, slonů a luskounů. Vzhledem k tomu, že EU je rovněž důležitým trhem pro produkty z volně žijících živočichů a planě rostoucích rostlin, bylo vynaloženo bezprecedentní úsilí za účelem zvýšení povědomí podniků, spotřebitelů a široké veřejnosti o prvcích a rozsahu nezákonného obchodu s volně žijícími a planě rostoucími druhy v EU. Mnoho členských států provedlo informační kampaně o nezákonném obchodu s volně žijícími a planě rostoucími druhy, které byly v některých případech zaměřeny na konkrétní odvětví se zvláštním významem (např. exotická zvířata v zájmovém chovu, hudební nástroje, letecká doprava nebo obchodování na internetu). Podobné úsilí bylo vyvinuto rovněž na úrovni EU, a to prostřednictvím workshopů týkajících se úlohy obchodního odvětví EU v boji proti nezákonnému obchodu s volně žijícími a planě rostoucími druhy a prostřednictvím přímých kontaktů s obchodními zástupci.</w:t>
      </w:r>
    </w:p>
    <w:p>
      <w:pPr>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Ačkoliv v mnoha příslušných odvětvích bylo dosaženo značného pokroku, Komise a členské státy musí učinit víc. Zvláštní důraz by měl být kladen na obchodování na internetu a na kurýrní společnosti, jelikož významný objem obchodu s produkty z volně žijících živočichů a planě rostoucích rostlin (legálními i nelegálními) je prováděn prostřednictvím webových stránek, přičemž doprava je často zajišťována pomocí kurýrních nebo poštovních společností. Komise bude vycházet rovněž ze stávající spolupráce s aktéry, jako jsou například obchodní sdružení zabývající se okrasnými rybami a exotickými zvířaty v zájmovém chovu, aby byly potvrzeny závazky a získány konkrétní výsledky boje proti nezákonnému obchodu s druhy volně žijících živočichů a planě rostoucích rostlin a aby došlo k podpoře získávání produktů z volně žijících živočichů a planě rostoucích rostlin udržitelným způsobem.</w:t>
      </w:r>
    </w:p>
    <w:p>
      <w:pPr>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 xml:space="preserve">EU a její členské státy byly velmi aktivní ve svém úsilí zajistit, že </w:t>
      </w:r>
      <w:r>
        <w:rPr>
          <w:rFonts w:ascii="Times New Roman" w:hAnsi="Times New Roman"/>
          <w:b/>
          <w:noProof/>
          <w:color w:val="000000"/>
          <w:sz w:val="24"/>
        </w:rPr>
        <w:t>obchod s předměty ze slonoviny uvnitř EU a jejich</w:t>
      </w:r>
      <w:r>
        <w:rPr>
          <w:rFonts w:ascii="Times New Roman" w:hAnsi="Times New Roman"/>
          <w:noProof/>
          <w:color w:val="000000"/>
          <w:sz w:val="24"/>
        </w:rPr>
        <w:t xml:space="preserve"> </w:t>
      </w:r>
      <w:r>
        <w:rPr>
          <w:rFonts w:ascii="Times New Roman" w:hAnsi="Times New Roman"/>
          <w:b/>
          <w:noProof/>
          <w:color w:val="000000"/>
          <w:sz w:val="24"/>
        </w:rPr>
        <w:t>vývoz</w:t>
      </w:r>
      <w:r>
        <w:rPr>
          <w:rFonts w:ascii="Times New Roman" w:hAnsi="Times New Roman"/>
          <w:noProof/>
          <w:color w:val="000000"/>
          <w:sz w:val="24"/>
        </w:rPr>
        <w:t xml:space="preserve"> nepřispívá k nezákonnému lovu slonů a nezákonnému obchodu se slonovinou. V souladu s opatřením 2 akčního plánu Komise v květnu 2017 přijala pokyny</w:t>
      </w:r>
      <w:r>
        <w:rPr>
          <w:rFonts w:ascii="Times New Roman" w:hAnsi="Times New Roman"/>
          <w:noProof/>
          <w:color w:val="000000"/>
          <w:sz w:val="24"/>
          <w:vertAlign w:val="superscript"/>
        </w:rPr>
        <w:footnoteReference w:id="6"/>
      </w:r>
      <w:r>
        <w:rPr>
          <w:rFonts w:ascii="Times New Roman" w:hAnsi="Times New Roman"/>
          <w:noProof/>
          <w:color w:val="000000"/>
          <w:sz w:val="24"/>
        </w:rPr>
        <w:t xml:space="preserve"> doporučující, aby členské státy EU od 1. července 2017 přestaly vydávat doklady pro vývoz surové slonoviny. V praxi to znamená, že členské státy EU přestaly vyvážet surovou slonovinu s výjimkou velmi specifických situací, jako jsou například vědecké nebo vzdělávací účely či účely prosazování práva.</w:t>
      </w:r>
    </w:p>
    <w:p>
      <w:pPr>
        <w:spacing w:line="240" w:lineRule="auto"/>
        <w:jc w:val="both"/>
        <w:rPr>
          <w:noProof/>
          <w:sz w:val="24"/>
          <w:szCs w:val="24"/>
        </w:rPr>
      </w:pPr>
      <w:r>
        <w:rPr>
          <w:rFonts w:ascii="Times New Roman" w:hAnsi="Times New Roman"/>
          <w:noProof/>
          <w:sz w:val="24"/>
        </w:rPr>
        <w:t>Kromě toho Komise v období od 15. září do 8. prosince 2017 zorganizovala veřejnou konzultaci za účelem shromáždění informací a názorů ohledně rozsahu, struktury a hlavních prvků zákonného a nezákonného obchodu se slonovinou směřujícího do EU a z ní, jakož i ohledně priorit, které by měla EU ve svém přístupu k nezákonnému obchodování se slonovinou prosazovat</w:t>
      </w:r>
      <w:r>
        <w:rPr>
          <w:rFonts w:ascii="Times New Roman" w:hAnsi="Times New Roman"/>
          <w:noProof/>
          <w:sz w:val="24"/>
          <w:vertAlign w:val="superscript"/>
        </w:rPr>
        <w:footnoteReference w:id="7"/>
      </w:r>
      <w:r>
        <w:rPr>
          <w:rFonts w:ascii="Times New Roman" w:hAnsi="Times New Roman"/>
          <w:noProof/>
          <w:sz w:val="24"/>
        </w:rPr>
        <w:t>. Výsledky této konzultace ukazují, že téměř 90 000 respondentů významně podporuje zpřísnění stávajících pravidel EU týkajících se obchodu se slonovinou. Velká většina respondentů toto vnímá jako nezbytný krok k tomu, aby se předešlo smíšení předmětů ze slonoviny zákonného a nezákonného původu a tomu, že budou předměty ze slonoviny zakoupeny v EU a následně dopraveny do třetích zemí, kde by podněcovaly poptávku po nezákonných předmětech ze slonoviny, a aby se napomohlo práci donucovacích orgánů bojujících proti obchodování se slonovinou. Jiní respondenti se stavěli proti dalším omezením týkajícím se obchodování se slonovinou mířící do EU a z ní, zejména u starožitností.</w:t>
      </w:r>
    </w:p>
    <w:p>
      <w:pPr>
        <w:spacing w:after="240" w:line="240" w:lineRule="auto"/>
        <w:jc w:val="both"/>
        <w:rPr>
          <w:rFonts w:ascii="Times New Roman" w:hAnsi="Times New Roman" w:cs="Times New Roman"/>
          <w:noProof/>
          <w:color w:val="000000"/>
          <w:sz w:val="24"/>
          <w:szCs w:val="24"/>
        </w:rPr>
      </w:pPr>
      <w:r>
        <w:rPr>
          <w:rFonts w:ascii="Times New Roman" w:hAnsi="Times New Roman"/>
          <w:b/>
          <w:noProof/>
          <w:color w:val="000000"/>
          <w:sz w:val="24"/>
        </w:rPr>
        <w:t>Trh EU by neměl podněcovat poptávku po druzích, které byly uloveny či sklizeny nezákonným nebo neudržitelným způsobem</w:t>
      </w:r>
      <w:r>
        <w:rPr>
          <w:rFonts w:ascii="Times New Roman" w:hAnsi="Times New Roman"/>
          <w:noProof/>
          <w:color w:val="000000"/>
          <w:sz w:val="24"/>
        </w:rPr>
        <w:t xml:space="preserve">. Z tohoto důvodu EU v úzké spolupráci se státy, v nichž se tyto druhy vyskytují, hraje aktivní úlohu při rozšiřování rozsahu působnosti Úmluvy o mezinárodním obchodu ohroženými druhy volně žijících živočichů a planě rostoucích rostlin (CITES) na nové druhy ohrožené mezinárodním obchodem, čímž jim poskytuje mezinárodní ochranu. To platí zejména pro exotická zvířata v zájmovém chovu, pro něž EU představuje významný trh, a pro tropické dřevo a ohrožené mořské druhy. EU byla klíčovým hráčem v této otázce na 17. konferenci stran úmluvy CITES (CoP17) v roce 2016 a aktivně pracuje na přípravách na konferenci CoP18, která se bude konat v roce 2019. </w:t>
      </w:r>
    </w:p>
    <w:p>
      <w:pPr>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 xml:space="preserve">Podpora úlohy </w:t>
      </w:r>
      <w:r>
        <w:rPr>
          <w:rFonts w:ascii="Times New Roman" w:hAnsi="Times New Roman"/>
          <w:b/>
          <w:noProof/>
          <w:color w:val="000000"/>
          <w:sz w:val="24"/>
        </w:rPr>
        <w:t>místních komunit</w:t>
      </w:r>
      <w:r>
        <w:rPr>
          <w:rFonts w:ascii="Times New Roman" w:hAnsi="Times New Roman"/>
          <w:noProof/>
          <w:color w:val="000000"/>
          <w:sz w:val="24"/>
        </w:rPr>
        <w:t xml:space="preserve"> při ochraně volně žijících a planě rostoucích druhů představuje pro EU a její členské státy rovněž prioritu. Jedná se o ústřední prvek programů financovaných EU, zaměřených na ochranu biologické rozmanitosti a na boj proti nezákonnému obchodu s volně žijícími a planě rostoucími druhy (viz priorita 3). </w:t>
      </w:r>
    </w:p>
    <w:p>
      <w:pPr>
        <w:spacing w:after="240" w:line="240" w:lineRule="auto"/>
        <w:jc w:val="both"/>
        <w:rPr>
          <w:rFonts w:ascii="Times New Roman" w:hAnsi="Times New Roman" w:cs="Times New Roman"/>
          <w:noProof/>
          <w:color w:val="000000"/>
          <w:sz w:val="24"/>
          <w:szCs w:val="24"/>
        </w:rPr>
      </w:pPr>
      <w:r>
        <w:rPr>
          <w:rFonts w:ascii="Times New Roman" w:hAnsi="Times New Roman"/>
          <w:noProof/>
          <w:color w:val="000000"/>
          <w:sz w:val="24"/>
        </w:rPr>
        <w:t xml:space="preserve">EU a její členské státy hrají klíčovou úlohu při zajišťování toho, že </w:t>
      </w:r>
      <w:r>
        <w:rPr>
          <w:rFonts w:ascii="Times New Roman" w:hAnsi="Times New Roman"/>
          <w:b/>
          <w:noProof/>
          <w:color w:val="000000"/>
          <w:sz w:val="24"/>
        </w:rPr>
        <w:t>korupce</w:t>
      </w:r>
      <w:r>
        <w:rPr>
          <w:rFonts w:ascii="Times New Roman" w:hAnsi="Times New Roman"/>
          <w:noProof/>
          <w:color w:val="000000"/>
          <w:sz w:val="24"/>
        </w:rPr>
        <w:t xml:space="preserve"> je na mezinárodní úrovni uznávána jako hlavní činitel umožňující nezákonný obchod s volně žijícími a planě rostoucími druhy. Na základě návrhu EU bylo na konferenci CoP17 přijato usnesení CITES týkající se této problematiky. Na základě iniciativy Německa byly významné zásady týkající se boje proti korupci související s nezákonným obchodem s volně žijícími a planě rostoucími druhy v červenci 2017 podpořeny rovněž skupinou G20. Od té doby EU, zejména prostřednictvím svých delegací ve třetích zemích, prosazuje konkrétní opatření proti korupci související s nezákonným obchodem s volně žijícími a planě rostoucími druhy. </w:t>
      </w:r>
    </w:p>
    <w:p>
      <w:pPr>
        <w:pStyle w:val="Heading2"/>
        <w:spacing w:after="240"/>
        <w:rPr>
          <w:rFonts w:ascii="Times New Roman" w:hAnsi="Times New Roman" w:cs="Times New Roman"/>
          <w:noProof/>
          <w:color w:val="auto"/>
        </w:rPr>
      </w:pPr>
      <w:r>
        <w:rPr>
          <w:rFonts w:ascii="Times New Roman" w:hAnsi="Times New Roman"/>
          <w:noProof/>
          <w:color w:val="auto"/>
        </w:rPr>
        <w:t xml:space="preserve">Priorita 2 – Účinnější uplatňování a prosazování stávajících pravidel a boj proti organizované trestné činnosti v oblasti obchodu s druhy volně žijících živočichů a planě rostoucích rostlin </w:t>
      </w:r>
    </w:p>
    <w:p>
      <w:pPr>
        <w:spacing w:after="240" w:line="240" w:lineRule="auto"/>
        <w:jc w:val="both"/>
        <w:rPr>
          <w:rFonts w:ascii="Times New Roman" w:hAnsi="Times New Roman"/>
          <w:noProof/>
          <w:sz w:val="24"/>
          <w:szCs w:val="24"/>
        </w:rPr>
      </w:pPr>
      <w:r>
        <w:rPr>
          <w:rFonts w:ascii="Times New Roman" w:hAnsi="Times New Roman"/>
          <w:noProof/>
          <w:sz w:val="24"/>
        </w:rPr>
        <w:t xml:space="preserve">Druhou prioritou akčního plánu je účinnější prosazování pravidel EU pro boj proti nezákonnému obchodu s volně žijícími a planě rostoucími druhy na úrovni EU a na úrovni členských států. </w:t>
      </w:r>
    </w:p>
    <w:p>
      <w:pPr>
        <w:spacing w:after="240" w:line="240" w:lineRule="auto"/>
        <w:jc w:val="both"/>
        <w:rPr>
          <w:rFonts w:ascii="Times New Roman" w:hAnsi="Times New Roman"/>
          <w:noProof/>
          <w:sz w:val="24"/>
          <w:szCs w:val="24"/>
        </w:rPr>
      </w:pPr>
      <w:r>
        <w:rPr>
          <w:rFonts w:ascii="Times New Roman" w:hAnsi="Times New Roman"/>
          <w:noProof/>
          <w:sz w:val="24"/>
        </w:rPr>
        <w:t xml:space="preserve">Je významné, že v květnu 2017 Rada zahrnula </w:t>
      </w:r>
      <w:r>
        <w:rPr>
          <w:rFonts w:ascii="Times New Roman" w:hAnsi="Times New Roman"/>
          <w:b/>
          <w:noProof/>
          <w:sz w:val="24"/>
        </w:rPr>
        <w:t>trestnou činnost proti životnímu prostředí jako prioritu pro politický cyklus EU pro boj proti organizované trestné činnosti</w:t>
      </w:r>
      <w:r>
        <w:rPr>
          <w:rFonts w:ascii="Times New Roman" w:hAnsi="Times New Roman"/>
          <w:noProof/>
          <w:sz w:val="24"/>
        </w:rPr>
        <w:t xml:space="preserve"> na období let 2018–2021. Rada jako prioritu stanovila narušení skupin organizované trestné činnosti zapojených do trestné činnosti proti životnímu prostředí, a zejména do nezákonného obchodování s volně žijícími a planě rostoucími druhy a s nedovoleným odpadem. V souvislosti s politickým cyklem EU pro období let 2018–2021 byl v září 2017 přijat víceletý strategický plán (dále jen „MASP“) týkající se trestné činnosti proti životnímu prostředí schválený Komisí a členskými státy. Tento plán popisuje rozsah problému, uvádí stávající činnosti a politiky v oblasti trestné činnosti proti životnímu prostředí a identifikuje stávající a potenciální zranitelná místa. Stanoví rovněž sedm strategických cílů, v jejichž rámci jsou uvedeni aktéři, druhy opatření a přínosy těchto opatření. Tyto cíle jsou následující:</w:t>
      </w:r>
    </w:p>
    <w:p>
      <w:pPr>
        <w:pStyle w:val="ListParagraph"/>
        <w:numPr>
          <w:ilvl w:val="0"/>
          <w:numId w:val="11"/>
        </w:numPr>
        <w:spacing w:after="240" w:line="240" w:lineRule="auto"/>
        <w:jc w:val="both"/>
        <w:rPr>
          <w:rFonts w:ascii="Times New Roman" w:hAnsi="Times New Roman"/>
          <w:noProof/>
          <w:sz w:val="24"/>
          <w:szCs w:val="24"/>
        </w:rPr>
      </w:pPr>
      <w:r>
        <w:rPr>
          <w:rFonts w:ascii="Times New Roman" w:hAnsi="Times New Roman"/>
          <w:noProof/>
          <w:sz w:val="24"/>
        </w:rPr>
        <w:t>vytvoření zpravodajského obrazu,</w:t>
      </w:r>
    </w:p>
    <w:p>
      <w:pPr>
        <w:pStyle w:val="ListParagraph"/>
        <w:numPr>
          <w:ilvl w:val="0"/>
          <w:numId w:val="11"/>
        </w:numPr>
        <w:spacing w:after="240" w:line="240" w:lineRule="auto"/>
        <w:jc w:val="both"/>
        <w:rPr>
          <w:rFonts w:ascii="Times New Roman" w:hAnsi="Times New Roman"/>
          <w:noProof/>
          <w:sz w:val="24"/>
          <w:szCs w:val="24"/>
        </w:rPr>
      </w:pPr>
      <w:r>
        <w:rPr>
          <w:rFonts w:ascii="Times New Roman" w:hAnsi="Times New Roman"/>
          <w:noProof/>
          <w:sz w:val="24"/>
        </w:rPr>
        <w:t>operační činnosti,</w:t>
      </w:r>
    </w:p>
    <w:p>
      <w:pPr>
        <w:pStyle w:val="ListParagraph"/>
        <w:numPr>
          <w:ilvl w:val="0"/>
          <w:numId w:val="11"/>
        </w:numPr>
        <w:spacing w:after="240" w:line="240" w:lineRule="auto"/>
        <w:jc w:val="both"/>
        <w:rPr>
          <w:rFonts w:ascii="Times New Roman" w:hAnsi="Times New Roman"/>
          <w:noProof/>
          <w:sz w:val="24"/>
          <w:szCs w:val="24"/>
        </w:rPr>
      </w:pPr>
      <w:r>
        <w:rPr>
          <w:rFonts w:ascii="Times New Roman" w:hAnsi="Times New Roman"/>
          <w:noProof/>
          <w:sz w:val="24"/>
        </w:rPr>
        <w:t>prevence a budování kapacit,</w:t>
      </w:r>
    </w:p>
    <w:p>
      <w:pPr>
        <w:pStyle w:val="ListParagraph"/>
        <w:numPr>
          <w:ilvl w:val="0"/>
          <w:numId w:val="11"/>
        </w:numPr>
        <w:spacing w:after="240" w:line="240" w:lineRule="auto"/>
        <w:jc w:val="both"/>
        <w:rPr>
          <w:rFonts w:ascii="Times New Roman" w:hAnsi="Times New Roman"/>
          <w:noProof/>
          <w:sz w:val="24"/>
          <w:szCs w:val="24"/>
        </w:rPr>
      </w:pPr>
      <w:r>
        <w:rPr>
          <w:rFonts w:ascii="Times New Roman" w:hAnsi="Times New Roman"/>
          <w:noProof/>
          <w:sz w:val="24"/>
        </w:rPr>
        <w:t>spolupráce s partnery mimo EU,</w:t>
      </w:r>
    </w:p>
    <w:p>
      <w:pPr>
        <w:pStyle w:val="ListParagraph"/>
        <w:numPr>
          <w:ilvl w:val="0"/>
          <w:numId w:val="11"/>
        </w:numPr>
        <w:spacing w:after="240" w:line="240" w:lineRule="auto"/>
        <w:jc w:val="both"/>
        <w:rPr>
          <w:rFonts w:ascii="Times New Roman" w:hAnsi="Times New Roman"/>
          <w:noProof/>
          <w:sz w:val="24"/>
          <w:szCs w:val="24"/>
        </w:rPr>
      </w:pPr>
      <w:r>
        <w:rPr>
          <w:rFonts w:ascii="Times New Roman" w:hAnsi="Times New Roman"/>
          <w:noProof/>
          <w:sz w:val="24"/>
        </w:rPr>
        <w:t>boj proti podvodům s doklady,</w:t>
      </w:r>
    </w:p>
    <w:p>
      <w:pPr>
        <w:pStyle w:val="ListParagraph"/>
        <w:numPr>
          <w:ilvl w:val="0"/>
          <w:numId w:val="11"/>
        </w:numPr>
        <w:spacing w:after="240" w:line="240" w:lineRule="auto"/>
        <w:jc w:val="both"/>
        <w:rPr>
          <w:rFonts w:ascii="Times New Roman" w:hAnsi="Times New Roman"/>
          <w:noProof/>
          <w:sz w:val="24"/>
          <w:szCs w:val="24"/>
        </w:rPr>
      </w:pPr>
      <w:r>
        <w:rPr>
          <w:rFonts w:ascii="Times New Roman" w:hAnsi="Times New Roman"/>
          <w:noProof/>
          <w:sz w:val="24"/>
        </w:rPr>
        <w:t>finanční vyšetřování, a</w:t>
      </w:r>
    </w:p>
    <w:p>
      <w:pPr>
        <w:pStyle w:val="ListParagraph"/>
        <w:numPr>
          <w:ilvl w:val="0"/>
          <w:numId w:val="11"/>
        </w:numPr>
        <w:spacing w:after="240" w:line="240" w:lineRule="auto"/>
        <w:jc w:val="both"/>
        <w:rPr>
          <w:rFonts w:ascii="Times New Roman" w:hAnsi="Times New Roman"/>
          <w:noProof/>
          <w:sz w:val="24"/>
          <w:szCs w:val="24"/>
        </w:rPr>
      </w:pPr>
      <w:r>
        <w:rPr>
          <w:rFonts w:ascii="Times New Roman" w:hAnsi="Times New Roman"/>
          <w:noProof/>
          <w:sz w:val="24"/>
        </w:rPr>
        <w:t>obchodování na internetu s (ne)zákonným zbožím a službami.</w:t>
      </w:r>
    </w:p>
    <w:p>
      <w:pPr>
        <w:spacing w:after="240" w:line="240" w:lineRule="auto"/>
        <w:jc w:val="both"/>
        <w:rPr>
          <w:rFonts w:ascii="Times New Roman" w:hAnsi="Times New Roman"/>
          <w:noProof/>
          <w:sz w:val="24"/>
          <w:szCs w:val="24"/>
        </w:rPr>
      </w:pPr>
      <w:r>
        <w:rPr>
          <w:rFonts w:ascii="Times New Roman" w:hAnsi="Times New Roman"/>
          <w:noProof/>
          <w:sz w:val="24"/>
        </w:rPr>
        <w:t>Plán MASP se provádí prostřednictvím ročních operačních akčních plánů. Na základě toho by se měly zvýšit mobilizační a provozní kapacity agentury Europol a donucovacích orgánů členských států EU v boji s trestnou činností proti životnímu prostředí, a zejména v boji proti nezákonnému obchodu s volně žijícími a planě rostoucími druhy. V lednu 2018 Komise rovněž přijala sdělení nazvané „Opatření EU ke zlepšení dodržování právních předpisů v oblasti životního prostředí a správy věcí veřejných v této oblasti“</w:t>
      </w:r>
      <w:r>
        <w:rPr>
          <w:rStyle w:val="FootnoteReference"/>
          <w:rFonts w:ascii="Times New Roman" w:hAnsi="Times New Roman"/>
          <w:noProof/>
          <w:sz w:val="24"/>
        </w:rPr>
        <w:footnoteReference w:id="8"/>
      </w:r>
      <w:r>
        <w:rPr>
          <w:rFonts w:ascii="Times New Roman" w:hAnsi="Times New Roman"/>
          <w:noProof/>
          <w:sz w:val="24"/>
        </w:rPr>
        <w:t>. Jedno z těchto opatření se zaměřuje na přípravu dokumentu o osvědčených postupech v oblasti potírání trestné činnosti proti životnímu prostředí se zvláštním důrazem na nakládání s odpady a trestnou činnost poškozující volně žijící a planě rostoucí druhy. Významná jsou rovněž opatření související s odbornou přípravou a lepším využíváním odborných znalostí v oblasti zajištění dodržování environmentálních předpisů</w:t>
      </w:r>
      <w:r>
        <w:rPr>
          <w:rStyle w:val="FootnoteReference"/>
          <w:rFonts w:ascii="Times New Roman" w:hAnsi="Times New Roman"/>
          <w:noProof/>
          <w:sz w:val="24"/>
        </w:rPr>
        <w:footnoteReference w:id="9"/>
      </w:r>
      <w:r>
        <w:rPr>
          <w:rFonts w:ascii="Times New Roman" w:hAnsi="Times New Roman"/>
          <w:noProof/>
          <w:sz w:val="24"/>
        </w:rPr>
        <w:t xml:space="preserve">. </w:t>
      </w:r>
    </w:p>
    <w:p>
      <w:pPr>
        <w:spacing w:after="240" w:line="240" w:lineRule="auto"/>
        <w:jc w:val="both"/>
        <w:rPr>
          <w:rFonts w:ascii="Times New Roman" w:hAnsi="Times New Roman"/>
          <w:noProof/>
          <w:sz w:val="24"/>
          <w:szCs w:val="24"/>
        </w:rPr>
      </w:pPr>
      <w:r>
        <w:rPr>
          <w:rFonts w:ascii="Times New Roman" w:hAnsi="Times New Roman"/>
          <w:b/>
          <w:noProof/>
          <w:sz w:val="24"/>
        </w:rPr>
        <w:t>Strategické priority v oblasti prosazování práva</w:t>
      </w:r>
      <w:r>
        <w:rPr>
          <w:rFonts w:ascii="Times New Roman" w:hAnsi="Times New Roman"/>
          <w:noProof/>
          <w:sz w:val="24"/>
        </w:rPr>
        <w:t xml:space="preserve"> byly definovány na úrovni EU a prováděny jak vnitrostátně, tak prostřednictvím přeshraničních společných opatření, a to zejména v boji proti nezákonnému obchodu se slonovinou, úhoři, plazy a ptáky. V celé EU byla provedena významná přeshraniční vyšetřování a zabavení, a to s aktivním zapojením agentur Europol a Eurojust a řady donucovacích orgánů z různých členských států (viz rámeček 1). </w:t>
      </w:r>
      <w:r>
        <w:rPr>
          <w:rFonts w:ascii="Times New Roman" w:hAnsi="Times New Roman"/>
          <w:b/>
          <w:noProof/>
          <w:sz w:val="24"/>
        </w:rPr>
        <w:t>Mobilizace donucovacích orgánů</w:t>
      </w:r>
      <w:r>
        <w:rPr>
          <w:rFonts w:ascii="Times New Roman" w:hAnsi="Times New Roman"/>
          <w:noProof/>
          <w:sz w:val="24"/>
        </w:rPr>
        <w:t xml:space="preserve"> v boji proti nezákonnému obchodu s volně žijícími a planě rostoucími druhy se v některých členských státech podstatně zvýšila. Nyní by mělo být prioritou zajištění rovných podmínek napříč celou EU a rozhodná reakce donucovacích orgánů všech členských států v boji proti nezákonnému obchodu s volně žijícími a planě rostoucími druhy. Hlášené případy úspěšného stíhání a sankcí souvisejících s bojem proti nezákonném obchodu s volně žijícími a planě rostoucími druhy zahrnovaly podvody s doklady, praní peněz nebo organizovanou trestnou činnost, jakož i vymáhání majetku z trestné činnosti. Je však důležité zlepšit povědomí soudnictví o nezákonném obchodu s volně žijícími a planě rostoucími druhy, jelikož informace o stíhání a sankcích v této oblasti zůstávají omezené. Malý pokrok byl zaznamenán ve vyšetřováních týkajících se praní peněz souvisejícího s nezákonným obchodem s volně žijícími a planě rostoucími druhy. Mnoho členských států a zúčastněných stran zaznamenalo potřebu dalšího vyšetřování týkajícího se internetového rozměru nezákonného obchodu s volně žijícími a planě rostoucími druhy.</w:t>
      </w:r>
    </w:p>
    <w:tbl>
      <w:tblPr>
        <w:tblStyle w:val="TableGrid"/>
        <w:tblW w:w="0" w:type="auto"/>
        <w:tblInd w:w="108" w:type="dxa"/>
        <w:tblLook w:val="04A0" w:firstRow="1" w:lastRow="0" w:firstColumn="1" w:lastColumn="0" w:noHBand="0" w:noVBand="1"/>
      </w:tblPr>
      <w:tblGrid>
        <w:gridCol w:w="9072"/>
      </w:tblGrid>
      <w:tr>
        <w:tc>
          <w:tcPr>
            <w:tcW w:w="9072" w:type="dxa"/>
          </w:tcPr>
          <w:p>
            <w:pPr>
              <w:spacing w:before="240" w:afterLines="60" w:after="144"/>
              <w:rPr>
                <w:rFonts w:ascii="Times New Roman" w:hAnsi="Times New Roman"/>
                <w:b/>
                <w:noProof/>
                <w:sz w:val="24"/>
                <w:szCs w:val="24"/>
              </w:rPr>
            </w:pPr>
            <w:r>
              <w:rPr>
                <w:rFonts w:ascii="Times New Roman" w:hAnsi="Times New Roman"/>
                <w:b/>
                <w:noProof/>
                <w:sz w:val="24"/>
              </w:rPr>
              <w:t>Rámeček 1 – Zabavení produktů z volně žijících živočichů a planě rostoucích rostlin v EU v roce 2016</w:t>
            </w:r>
          </w:p>
          <w:p>
            <w:pPr>
              <w:spacing w:afterLines="60" w:after="144"/>
              <w:jc w:val="both"/>
              <w:rPr>
                <w:rFonts w:ascii="Times New Roman" w:hAnsi="Times New Roman"/>
                <w:noProof/>
                <w:sz w:val="24"/>
                <w:szCs w:val="24"/>
              </w:rPr>
            </w:pPr>
            <w:r>
              <w:rPr>
                <w:rFonts w:ascii="Times New Roman" w:hAnsi="Times New Roman"/>
                <w:noProof/>
                <w:sz w:val="24"/>
              </w:rPr>
              <w:t xml:space="preserve">V roce 2016 příslušné orgány 24 členských států EU Evropské komisi nahlásily celkem 2 268 významných zabavení komodit z volně žijících živočichů a planě rostoucích rostlin, přičemž 63 % těchto komodit bylo zabaveno na </w:t>
            </w:r>
            <w:r>
              <w:rPr>
                <w:rFonts w:ascii="Times New Roman" w:hAnsi="Times New Roman"/>
                <w:b/>
                <w:noProof/>
                <w:sz w:val="24"/>
              </w:rPr>
              <w:t>vnějších hranicích EU</w:t>
            </w:r>
            <w:r>
              <w:rPr>
                <w:rFonts w:ascii="Times New Roman" w:hAnsi="Times New Roman"/>
                <w:noProof/>
                <w:sz w:val="24"/>
              </w:rPr>
              <w:t>. Hlavními skupinami komodit zabavených na hranicích EU byly léčivé přípravky (42 %), slonovina (14 %), koráli (10 %), části a deriváty z plazů (7 %), živí plazi (5 %), kaviár (4 %) a rostliny. Komodity zabavené při dovozu pocházely převážně z Číny, USA, Švýcarska a Thajska, zatímco většina komodit zabavených při vývozu byla určena pro Čínu (včetně zvláštní administrativní oblasti Hongkong), USA a Vietnam. K většině zabavení došlo na letištích, přičemž prostřednictvím poštovních nebo rychlých balíkových zásilek bylo přepravováno více zabavených komodit než v předchozích letech.</w:t>
            </w:r>
          </w:p>
          <w:p>
            <w:pPr>
              <w:autoSpaceDE w:val="0"/>
              <w:autoSpaceDN w:val="0"/>
              <w:adjustRightInd w:val="0"/>
              <w:spacing w:afterLines="60" w:after="144"/>
              <w:jc w:val="both"/>
              <w:rPr>
                <w:rFonts w:ascii="Times New Roman" w:hAnsi="Times New Roman" w:cs="Times New Roman"/>
                <w:noProof/>
                <w:sz w:val="24"/>
                <w:szCs w:val="24"/>
              </w:rPr>
            </w:pPr>
            <w:r>
              <w:rPr>
                <w:rFonts w:ascii="Times New Roman" w:hAnsi="Times New Roman"/>
                <w:noProof/>
                <w:sz w:val="24"/>
              </w:rPr>
              <w:t xml:space="preserve">V roce 2016 byly zabaveny více než dvě tuny </w:t>
            </w:r>
            <w:r>
              <w:rPr>
                <w:rFonts w:ascii="Times New Roman" w:hAnsi="Times New Roman"/>
                <w:b/>
                <w:noProof/>
                <w:sz w:val="24"/>
              </w:rPr>
              <w:t>slonoviny</w:t>
            </w:r>
            <w:r>
              <w:rPr>
                <w:rFonts w:ascii="Times New Roman" w:hAnsi="Times New Roman"/>
                <w:noProof/>
                <w:sz w:val="24"/>
              </w:rPr>
              <w:t xml:space="preserve">. Většina této slonoviny nebyla určena pro trh EU a sestávala z předmětů, které byly buď přepravovány přes evropská letiště nebo poštovní střediska z Afriky do Asie, nebo měly být bez požadované dokumentace zpětně vyvezeny do Asie (většinou staré předměty ze slonoviny). </w:t>
            </w:r>
          </w:p>
          <w:p>
            <w:pPr>
              <w:autoSpaceDE w:val="0"/>
              <w:autoSpaceDN w:val="0"/>
              <w:adjustRightInd w:val="0"/>
              <w:spacing w:before="240" w:afterLines="60" w:after="144"/>
              <w:jc w:val="both"/>
              <w:rPr>
                <w:rFonts w:ascii="Times New Roman" w:hAnsi="Times New Roman"/>
                <w:noProof/>
                <w:sz w:val="24"/>
                <w:szCs w:val="24"/>
              </w:rPr>
            </w:pPr>
            <w:r>
              <w:rPr>
                <w:rFonts w:ascii="Times New Roman" w:hAnsi="Times New Roman"/>
                <w:noProof/>
                <w:sz w:val="24"/>
              </w:rPr>
              <w:t>Jeden z největších problémů, s nimiž se musí EU a její členské státy ve svém boji proti nezákonnému obchodu s volně žijícími a planě rostoucími druhy v současné době vypořádat, představuje nezákonné obchodování s</w:t>
            </w:r>
            <w:r>
              <w:rPr>
                <w:noProof/>
              </w:rPr>
              <w:t xml:space="preserve"> </w:t>
            </w:r>
            <w:r>
              <w:rPr>
                <w:rFonts w:ascii="Times New Roman" w:hAnsi="Times New Roman"/>
                <w:b/>
                <w:noProof/>
                <w:sz w:val="24"/>
              </w:rPr>
              <w:t>úhoři</w:t>
            </w:r>
            <w:r>
              <w:rPr>
                <w:noProof/>
              </w:rPr>
              <w:t>.</w:t>
            </w:r>
            <w:r>
              <w:rPr>
                <w:rFonts w:ascii="Times New Roman" w:hAnsi="Times New Roman"/>
                <w:noProof/>
                <w:sz w:val="24"/>
              </w:rPr>
              <w:t xml:space="preserve"> Během rybolovné sezóny 2016–17 bylo zatčeno 48 osob a zabaveny 4 tuny živých mladých úhořů (úhoř skleněný), přičemž úhoři byli zadrženi během vývozu do Asie a jejich celková hodnota činila přibližně 4 miliony EUR</w:t>
            </w:r>
            <w:r>
              <w:rPr>
                <w:rStyle w:val="FootnoteReference"/>
                <w:rFonts w:ascii="Times New Roman" w:hAnsi="Times New Roman"/>
                <w:noProof/>
                <w:sz w:val="24"/>
              </w:rPr>
              <w:footnoteReference w:id="10"/>
            </w:r>
            <w:r>
              <w:rPr>
                <w:rFonts w:ascii="Times New Roman" w:hAnsi="Times New Roman"/>
                <w:noProof/>
                <w:sz w:val="24"/>
              </w:rPr>
              <w:t>. Šetření agentury Europol a některých členských států ukazují, že do pašování úhořů z Evropy jsou zapojeny nadnárodní sítě organizované trestné činnosti.</w:t>
            </w:r>
          </w:p>
        </w:tc>
      </w:tr>
    </w:tbl>
    <w:p>
      <w:pPr>
        <w:spacing w:before="240" w:after="240" w:line="240" w:lineRule="auto"/>
        <w:jc w:val="both"/>
        <w:rPr>
          <w:rFonts w:ascii="Times New Roman" w:hAnsi="Times New Roman"/>
          <w:noProof/>
          <w:sz w:val="24"/>
          <w:szCs w:val="24"/>
        </w:rPr>
      </w:pPr>
      <w:r>
        <w:rPr>
          <w:rFonts w:ascii="Times New Roman" w:hAnsi="Times New Roman"/>
          <w:noProof/>
          <w:sz w:val="24"/>
        </w:rPr>
        <w:t xml:space="preserve">Většina členských států uvedla, že jejich orgány provedly </w:t>
      </w:r>
      <w:r>
        <w:rPr>
          <w:rFonts w:ascii="Times New Roman" w:hAnsi="Times New Roman"/>
          <w:b/>
          <w:noProof/>
          <w:sz w:val="24"/>
        </w:rPr>
        <w:t>školicí kurzy</w:t>
      </w:r>
      <w:r>
        <w:rPr>
          <w:rFonts w:ascii="Times New Roman" w:hAnsi="Times New Roman"/>
          <w:noProof/>
          <w:sz w:val="24"/>
        </w:rPr>
        <w:t xml:space="preserve"> na vnitrostátní úrovni, přičemž rostoucí počet kurzů byl zorganizován společně s různými agenturami (celní správa, policie, inspekční služby, řídicí orgány CITES atd.). Řada školicích činností byla zorganizována rovněž na úrovni EU, pod dohledem agentury CEPOL</w:t>
      </w:r>
      <w:r>
        <w:rPr>
          <w:rStyle w:val="FootnoteReference"/>
          <w:rFonts w:ascii="Times New Roman" w:hAnsi="Times New Roman"/>
          <w:noProof/>
          <w:sz w:val="24"/>
        </w:rPr>
        <w:footnoteReference w:id="11"/>
      </w:r>
      <w:r>
        <w:rPr>
          <w:rFonts w:ascii="Times New Roman" w:hAnsi="Times New Roman"/>
          <w:noProof/>
          <w:sz w:val="24"/>
        </w:rPr>
        <w:t xml:space="preserve"> nebo sítí odborníků z praxe pracujících na trestné činnosti proti životnímu prostředí. K podpoře školení úředníků donucovacích orgánů v boji proti trestné činnosti v oblasti obchodu s druhy volně žijících živočichů a planě rostoucích rostlin byly použity rovněž programy v oblasti životního prostředí a policejní spolupráce financované EU (viz rámeček 2). </w:t>
      </w:r>
    </w:p>
    <w:tbl>
      <w:tblPr>
        <w:tblStyle w:val="TableGrid"/>
        <w:tblW w:w="0" w:type="auto"/>
        <w:tblInd w:w="108" w:type="dxa"/>
        <w:tblLook w:val="04A0" w:firstRow="1" w:lastRow="0" w:firstColumn="1" w:lastColumn="0" w:noHBand="0" w:noVBand="1"/>
      </w:tblPr>
      <w:tblGrid>
        <w:gridCol w:w="9072"/>
      </w:tblGrid>
      <w:tr>
        <w:tc>
          <w:tcPr>
            <w:tcW w:w="9072" w:type="dxa"/>
          </w:tcPr>
          <w:p>
            <w:pPr>
              <w:spacing w:before="240" w:after="60"/>
              <w:rPr>
                <w:rFonts w:ascii="Times New Roman" w:hAnsi="Times New Roman"/>
                <w:b/>
                <w:noProof/>
                <w:sz w:val="24"/>
                <w:szCs w:val="24"/>
              </w:rPr>
            </w:pPr>
            <w:r>
              <w:rPr>
                <w:rFonts w:ascii="Times New Roman" w:hAnsi="Times New Roman"/>
                <w:b/>
                <w:noProof/>
                <w:sz w:val="24"/>
              </w:rPr>
              <w:t>Rámeček 2 – Finanční podpora pro boj proti trestné činnosti v oblasti obchodu s druhy volně žijících živočichů a planě rostoucích rostlin v EU</w:t>
            </w:r>
          </w:p>
          <w:p>
            <w:pPr>
              <w:spacing w:before="240" w:after="60"/>
              <w:jc w:val="both"/>
              <w:rPr>
                <w:rFonts w:ascii="Times New Roman" w:hAnsi="Times New Roman"/>
                <w:noProof/>
                <w:sz w:val="24"/>
                <w:szCs w:val="24"/>
              </w:rPr>
            </w:pPr>
            <w:r>
              <w:rPr>
                <w:rFonts w:ascii="Times New Roman" w:hAnsi="Times New Roman"/>
                <w:noProof/>
                <w:sz w:val="24"/>
              </w:rPr>
              <w:t xml:space="preserve">EU financuje řadu konkrétních projektů a iniciativ zaměřených na boj proti trestné činnosti v oblasti obchodu s druhy volně žijících živočichů a planě rostoucích rostlin, a to zejména z programu </w:t>
            </w:r>
            <w:r>
              <w:rPr>
                <w:rFonts w:ascii="Times New Roman" w:hAnsi="Times New Roman"/>
                <w:b/>
                <w:noProof/>
                <w:sz w:val="24"/>
              </w:rPr>
              <w:t xml:space="preserve">LIFE </w:t>
            </w:r>
            <w:r>
              <w:rPr>
                <w:rStyle w:val="FootnoteReference"/>
                <w:rFonts w:ascii="Times New Roman" w:hAnsi="Times New Roman"/>
                <w:noProof/>
                <w:sz w:val="24"/>
              </w:rPr>
              <w:footnoteReference w:id="12"/>
            </w:r>
            <w:r>
              <w:rPr>
                <w:rFonts w:ascii="Times New Roman" w:hAnsi="Times New Roman"/>
                <w:noProof/>
                <w:sz w:val="24"/>
              </w:rPr>
              <w:t>. Program LIFE poskytuje 1,1 milionu EUR na projekt „LIFE for Danube Sturgeons“ (LIFE pro dunajské jesetery)</w:t>
            </w:r>
            <w:r>
              <w:rPr>
                <w:rStyle w:val="FootnoteReference"/>
                <w:rFonts w:ascii="Times New Roman" w:hAnsi="Times New Roman"/>
                <w:noProof/>
                <w:sz w:val="24"/>
              </w:rPr>
              <w:footnoteReference w:id="13"/>
            </w:r>
            <w:r>
              <w:rPr>
                <w:rFonts w:ascii="Times New Roman" w:hAnsi="Times New Roman"/>
                <w:noProof/>
                <w:sz w:val="24"/>
              </w:rPr>
              <w:t xml:space="preserve"> (2016–2020), jehož cílem je zlepšit prosazování zákonů a nařízení týkajících se boje proti nezákonnému lovu jeseterů a nezákonnému obchodu s kaviárem v Bulharsku, Rumunsku, Srbsku a na Ukrajině. Program LIFE rovněž podporuje činnosti provozované Evropskou sítí státních zástupců pro životní prostředí (ENPE), a to včetně vývoje nových vzdělávacích nástrojů týkajících se trestné činnosti proti životnímu prostředí pro státní zástupce a soudce a včetně vytvoření databáze osvědčených postupů (645 000 EUR pro období let 2015–2020). Program LIFE dále poskytuje podporu projektům bojujícím proti nezákonnému usmrcování ptactva v celé EU, a to primárně za účelem podpory uplatňování plánu EU pro vymýcení nedovoleného zabíjení a chytání volně žijících ptáků a obchodu s nimi</w:t>
            </w:r>
            <w:r>
              <w:rPr>
                <w:rStyle w:val="FootnoteReference"/>
                <w:rFonts w:ascii="Times New Roman" w:hAnsi="Times New Roman"/>
                <w:noProof/>
                <w:sz w:val="24"/>
              </w:rPr>
              <w:footnoteReference w:id="14"/>
            </w:r>
            <w:r>
              <w:rPr>
                <w:rFonts w:ascii="Times New Roman" w:hAnsi="Times New Roman"/>
                <w:noProof/>
                <w:sz w:val="24"/>
              </w:rPr>
              <w:t xml:space="preserve">. Nedávno publikovaná brožura </w:t>
            </w:r>
            <w:r>
              <w:rPr>
                <w:rFonts w:ascii="Times New Roman" w:hAnsi="Times New Roman"/>
                <w:i/>
                <w:noProof/>
                <w:sz w:val="24"/>
              </w:rPr>
              <w:t>LIFE &amp; Wildlife Crime</w:t>
            </w:r>
            <w:r>
              <w:rPr>
                <w:rStyle w:val="FootnoteReference"/>
                <w:rFonts w:ascii="Times New Roman" w:hAnsi="Times New Roman"/>
                <w:noProof/>
                <w:sz w:val="24"/>
              </w:rPr>
              <w:footnoteReference w:id="15"/>
            </w:r>
            <w:r>
              <w:rPr>
                <w:rFonts w:ascii="Times New Roman" w:hAnsi="Times New Roman"/>
                <w:i/>
                <w:noProof/>
                <w:sz w:val="24"/>
              </w:rPr>
              <w:t xml:space="preserve"> </w:t>
            </w:r>
            <w:r>
              <w:rPr>
                <w:rFonts w:ascii="Times New Roman" w:hAnsi="Times New Roman"/>
                <w:noProof/>
                <w:sz w:val="24"/>
              </w:rPr>
              <w:t>obsahuje komplexní informace o iniciativách zaměřených na boj proti trestné činnosti v oblasti obchodu s druhy volně žijících živočichů a planě rostoucích rostlin podporovaných z programu LIFE.</w:t>
            </w:r>
          </w:p>
          <w:p>
            <w:pPr>
              <w:spacing w:afterLines="60" w:after="144"/>
              <w:jc w:val="both"/>
              <w:rPr>
                <w:rFonts w:ascii="Times New Roman" w:hAnsi="Times New Roman"/>
                <w:noProof/>
                <w:sz w:val="24"/>
                <w:szCs w:val="24"/>
              </w:rPr>
            </w:pPr>
            <w:r>
              <w:rPr>
                <w:rFonts w:ascii="Times New Roman" w:hAnsi="Times New Roman"/>
                <w:noProof/>
                <w:sz w:val="24"/>
              </w:rPr>
              <w:t>V listopadu 2017 byla zahájena první cílená výzva k předkládání návrhů</w:t>
            </w:r>
            <w:r>
              <w:rPr>
                <w:rStyle w:val="FootnoteReference"/>
                <w:rFonts w:ascii="Times New Roman" w:hAnsi="Times New Roman"/>
                <w:noProof/>
                <w:sz w:val="24"/>
              </w:rPr>
              <w:footnoteReference w:id="16"/>
            </w:r>
            <w:r>
              <w:rPr>
                <w:rFonts w:ascii="Times New Roman" w:hAnsi="Times New Roman"/>
                <w:noProof/>
                <w:sz w:val="24"/>
              </w:rPr>
              <w:t xml:space="preserve"> na projekty, jejichž cílem je posílit operační činnosti členských států v oblasti trestné činnosti proti životnímu prostředí, mj. prostřednictvím školení a činností na budování kapacit určených příslušným orgánům, a to v rámci programu EU s názvem </w:t>
            </w:r>
            <w:r>
              <w:rPr>
                <w:rFonts w:ascii="Times New Roman" w:hAnsi="Times New Roman"/>
                <w:b/>
                <w:noProof/>
                <w:sz w:val="24"/>
              </w:rPr>
              <w:t>Fond pro vnitřní bezpečnost – Policie</w:t>
            </w:r>
            <w:r>
              <w:rPr>
                <w:rStyle w:val="FootnoteReference"/>
                <w:rFonts w:ascii="Times New Roman" w:hAnsi="Times New Roman"/>
                <w:noProof/>
                <w:sz w:val="24"/>
              </w:rPr>
              <w:footnoteReference w:id="17"/>
            </w:r>
            <w:r>
              <w:rPr>
                <w:rFonts w:ascii="Times New Roman" w:hAnsi="Times New Roman"/>
                <w:noProof/>
                <w:sz w:val="24"/>
              </w:rPr>
              <w:t>, přičemž celkový rozpočet činí 2,5 milionu EUR. Boj proti nezákonnému obchodu s volně žijícími a planě rostoucími druhy je v rámci této výzvy výslovně uveden jako jedna z priorit.</w:t>
            </w:r>
          </w:p>
        </w:tc>
      </w:tr>
    </w:tbl>
    <w:p>
      <w:pPr>
        <w:spacing w:before="240" w:after="240" w:line="240" w:lineRule="auto"/>
        <w:jc w:val="both"/>
        <w:rPr>
          <w:rFonts w:ascii="Times New Roman" w:hAnsi="Times New Roman"/>
          <w:noProof/>
          <w:sz w:val="24"/>
          <w:szCs w:val="24"/>
        </w:rPr>
      </w:pPr>
      <w:r>
        <w:rPr>
          <w:rFonts w:ascii="Times New Roman" w:hAnsi="Times New Roman"/>
          <w:noProof/>
          <w:sz w:val="24"/>
        </w:rPr>
        <w:t xml:space="preserve">Mnoho členských států zavedlo platformy pro </w:t>
      </w:r>
      <w:r>
        <w:rPr>
          <w:rFonts w:ascii="Times New Roman" w:hAnsi="Times New Roman"/>
          <w:b/>
          <w:noProof/>
          <w:sz w:val="24"/>
        </w:rPr>
        <w:t>spolupráci mezi agenturami</w:t>
      </w:r>
      <w:r>
        <w:rPr>
          <w:rFonts w:ascii="Times New Roman" w:hAnsi="Times New Roman"/>
          <w:noProof/>
          <w:sz w:val="24"/>
        </w:rPr>
        <w:t xml:space="preserve"> nebo pracovní skupiny zabývající se bojem proti nezákonnému obchodu s volně žijícími a planě rostoucími druhy. </w:t>
      </w:r>
      <w:r>
        <w:rPr>
          <w:rFonts w:ascii="Times New Roman" w:hAnsi="Times New Roman"/>
          <w:noProof/>
          <w:color w:val="000000"/>
          <w:sz w:val="24"/>
        </w:rPr>
        <w:t xml:space="preserve">Španělsko přijalo národní akční plán pro boj proti nezákonnému obchodu s volně žijícími a planě rostoucími druhy, který je vytvořený podle modelu akčního plánu EU a stanoví komplexní strategii pro řešení tohoto problému. Česká republika rovněž plánuje přijetí podobného národního akčního plánu, a to do konce roku 2018. </w:t>
      </w:r>
      <w:r>
        <w:rPr>
          <w:rFonts w:ascii="Times New Roman" w:hAnsi="Times New Roman"/>
          <w:noProof/>
          <w:sz w:val="24"/>
        </w:rPr>
        <w:t>I přes určitý pokrok však spolupráce a výměna informací mezi donucovacími orgány zůstává v některých členských státech i nadále problémem. Obdobně ne všechny členské státy si vyměňují informace s jinými členskými státy nebo prostřednictvím agentury Europol. Mnoho členských států považuje EU-TWIX (viz rámeček 3) za praktický a účinný nástroj pro výměnu informací o nezákonném obchodu s volně žijícími a planě rostoucími druhy (s výjimkou osobních údajů) napříč celou EU. Naproti tomu využívání platformy SIENA</w:t>
      </w:r>
      <w:r>
        <w:rPr>
          <w:rStyle w:val="FootnoteReference"/>
          <w:rFonts w:ascii="Times New Roman" w:hAnsi="Times New Roman"/>
          <w:noProof/>
          <w:sz w:val="24"/>
        </w:rPr>
        <w:footnoteReference w:id="18"/>
      </w:r>
      <w:r>
        <w:rPr>
          <w:rFonts w:ascii="Times New Roman" w:hAnsi="Times New Roman"/>
          <w:noProof/>
          <w:sz w:val="24"/>
        </w:rPr>
        <w:t xml:space="preserve"> pro výměnu zpráv o nezákonném obchodu s volně žijícími a planě rostoucími druhy členskými státy se velmi liší v závislosti na dotčených orgánech. To brání účinné spolupráci a připravuje agenturu Europol o cenné informace potřebné pro vytvoření komplexního zpravodajského obrazu o nezákonném obchodu s volně žijícími a planě rostoucími druhy v EU. </w:t>
      </w:r>
    </w:p>
    <w:tbl>
      <w:tblPr>
        <w:tblStyle w:val="TableGrid"/>
        <w:tblW w:w="0" w:type="auto"/>
        <w:tblInd w:w="108" w:type="dxa"/>
        <w:tblLook w:val="04A0" w:firstRow="1" w:lastRow="0" w:firstColumn="1" w:lastColumn="0" w:noHBand="0" w:noVBand="1"/>
      </w:tblPr>
      <w:tblGrid>
        <w:gridCol w:w="9072"/>
      </w:tblGrid>
      <w:tr>
        <w:tc>
          <w:tcPr>
            <w:tcW w:w="9072" w:type="dxa"/>
          </w:tcPr>
          <w:p>
            <w:pPr>
              <w:spacing w:before="240" w:afterLines="60" w:after="144"/>
              <w:rPr>
                <w:rFonts w:ascii="Times New Roman" w:hAnsi="Times New Roman"/>
                <w:b/>
                <w:noProof/>
                <w:sz w:val="24"/>
                <w:szCs w:val="24"/>
              </w:rPr>
            </w:pPr>
            <w:r>
              <w:rPr>
                <w:rFonts w:ascii="Times New Roman" w:hAnsi="Times New Roman"/>
                <w:b/>
                <w:noProof/>
                <w:sz w:val="24"/>
              </w:rPr>
              <w:t>Rámeček 3 – EU-TWIX: úspěšný nástroj pro spolupráci donucovacích orgánů v EU</w:t>
            </w:r>
          </w:p>
          <w:p>
            <w:pPr>
              <w:spacing w:afterLines="60" w:after="144"/>
              <w:jc w:val="both"/>
              <w:rPr>
                <w:rFonts w:ascii="Times New Roman" w:hAnsi="Times New Roman"/>
                <w:noProof/>
                <w:sz w:val="24"/>
                <w:szCs w:val="24"/>
              </w:rPr>
            </w:pPr>
            <w:r>
              <w:rPr>
                <w:rFonts w:ascii="Times New Roman" w:hAnsi="Times New Roman"/>
                <w:noProof/>
                <w:sz w:val="24"/>
              </w:rPr>
              <w:t>EU-TWIX je evropský systém podpory pro donucovací orgány navržený tak, aby usnadňoval výměnu informací a mezinárodní spolupráci mezi donucovacími orgány a řídícími pracovníky v oblasti nezákonného obchodu s volně žijícími a planě rostoucími druhy. Byl vytvořen v roce 2005 na základě iniciativy belgických orgánů a organizace TRAFFIC</w:t>
            </w:r>
            <w:r>
              <w:rPr>
                <w:rStyle w:val="FootnoteReference"/>
                <w:rFonts w:ascii="Times New Roman" w:hAnsi="Times New Roman"/>
                <w:noProof/>
                <w:sz w:val="24"/>
              </w:rPr>
              <w:footnoteReference w:id="19"/>
            </w:r>
            <w:r>
              <w:rPr>
                <w:rFonts w:ascii="Times New Roman" w:hAnsi="Times New Roman"/>
                <w:noProof/>
                <w:sz w:val="24"/>
              </w:rPr>
              <w:t xml:space="preserve"> a nyní propojuje více než 1 000 úředníků (např. z řídicích orgánů CITES, celní správy, inspekčních služeb pro oblast životního prostředí, policie a soudnictví) ze 37 evropských zemí a 10 mezinárodních/regionálních organizací, přičemž získává finanční podporu od Evropské komise a mnoha členských států.</w:t>
            </w:r>
          </w:p>
          <w:p>
            <w:pPr>
              <w:spacing w:afterLines="60" w:after="144"/>
              <w:jc w:val="both"/>
              <w:rPr>
                <w:rFonts w:ascii="Times New Roman" w:hAnsi="Times New Roman"/>
                <w:noProof/>
                <w:sz w:val="24"/>
                <w:szCs w:val="24"/>
              </w:rPr>
            </w:pPr>
            <w:r>
              <w:rPr>
                <w:rFonts w:ascii="Times New Roman" w:hAnsi="Times New Roman"/>
                <w:noProof/>
                <w:sz w:val="24"/>
              </w:rPr>
              <w:t xml:space="preserve">Komunikace prostřednictvím e-mailového seznamu nástroje EU-TWIX podnítila několik přeshraničních vyšetřování, a to včetně rozsáhlého vyšetřování případu zahrnujícího nezákonný obchod s ptactvem v Nizozemsku s vazbami na několik dalších evropských a neevropských zemí. Bylo zabaveno přibližně 500 exemplářů ptáků, jakož i peníze a majetek. Tři osoby byly odsouzeny k odnětí svobody. </w:t>
            </w:r>
          </w:p>
          <w:p>
            <w:pPr>
              <w:spacing w:afterLines="60" w:after="144"/>
              <w:jc w:val="both"/>
              <w:rPr>
                <w:rFonts w:ascii="Times New Roman" w:hAnsi="Times New Roman"/>
                <w:noProof/>
                <w:sz w:val="24"/>
                <w:szCs w:val="24"/>
              </w:rPr>
            </w:pPr>
            <w:r>
              <w:rPr>
                <w:rFonts w:ascii="Times New Roman" w:hAnsi="Times New Roman"/>
                <w:noProof/>
                <w:sz w:val="24"/>
              </w:rPr>
              <w:t xml:space="preserve">Databáze EU-TWIX v současné době obsahuje více než 55 000 záznamů o zabaveních souvisejících s volně žijícími a planě rostoucími druhy z 28 členských států EU, a to od roku 2000 dále. To představuje jedinečnou příležitost sledovat trendy v oblasti nezákonného obchodu s volně žijícími a planě rostoucími druhy na vnitrostátní úrovni a na úrovni EU. </w:t>
            </w:r>
          </w:p>
          <w:p>
            <w:pPr>
              <w:spacing w:afterLines="60" w:after="144"/>
              <w:jc w:val="both"/>
              <w:rPr>
                <w:rFonts w:cstheme="minorHAnsi"/>
                <w:b/>
                <w:noProof/>
              </w:rPr>
            </w:pPr>
            <w:r>
              <w:rPr>
                <w:rFonts w:ascii="Times New Roman" w:hAnsi="Times New Roman"/>
                <w:noProof/>
                <w:sz w:val="24"/>
              </w:rPr>
              <w:t>Nástroj EU-TWIX rovněž inspiroval několik podobných systémů po celém světě, jak je podrobněji uvedeno v příloze této zprávy.</w:t>
            </w:r>
          </w:p>
        </w:tc>
      </w:tr>
    </w:tbl>
    <w:p>
      <w:pPr>
        <w:pStyle w:val="Heading2"/>
        <w:spacing w:after="240"/>
        <w:jc w:val="both"/>
        <w:rPr>
          <w:rFonts w:ascii="Times New Roman" w:hAnsi="Times New Roman" w:cs="Times New Roman"/>
          <w:noProof/>
        </w:rPr>
      </w:pPr>
      <w:r>
        <w:rPr>
          <w:rFonts w:ascii="Times New Roman" w:hAnsi="Times New Roman"/>
          <w:noProof/>
          <w:color w:val="auto"/>
        </w:rPr>
        <w:t xml:space="preserve">Priorita 3 – Posilování globálního partnerství zemí původu, zemí spotřeby a tranzitních zemí v oblasti boje proti nezákonnému obchodu s volně žijícími a planě rostoucími druhy </w:t>
      </w:r>
    </w:p>
    <w:p>
      <w:pPr>
        <w:spacing w:line="240" w:lineRule="auto"/>
        <w:jc w:val="both"/>
        <w:rPr>
          <w:noProof/>
        </w:rPr>
      </w:pPr>
      <w:r>
        <w:rPr>
          <w:rFonts w:ascii="Times New Roman" w:hAnsi="Times New Roman"/>
          <w:noProof/>
          <w:sz w:val="24"/>
        </w:rPr>
        <w:t>Od přijetí akčního plánu potvrdily EU a její členské státy své postavení největšího poskytovatele pomoci v boji proti nezákonnému obchodu s volně žijícími a planě rostoucími druhy (první dárce).</w:t>
      </w:r>
      <w:r>
        <w:rPr>
          <w:noProof/>
        </w:rPr>
        <w:t xml:space="preserve"> </w:t>
      </w:r>
      <w:r>
        <w:rPr>
          <w:rFonts w:ascii="Times New Roman" w:hAnsi="Times New Roman"/>
          <w:noProof/>
          <w:sz w:val="24"/>
        </w:rPr>
        <w:t>Řada projektů usiluje o provádění akčního plánu tím, že řeší klíčové faktory a určující prvky nezákonného obchodu, zejména v oblastech, jako je trestná činnost proti životnímu prostředí, korupce a právní stát, nejistota způsobená ozbrojenými konflikty, ekosystémové služby a živobytí okolo chráněných oblastí, řízení přírodních zdrojů a odolnost místních komunit.</w:t>
      </w:r>
    </w:p>
    <w:p>
      <w:pPr>
        <w:spacing w:line="240" w:lineRule="auto"/>
        <w:jc w:val="both"/>
        <w:rPr>
          <w:rFonts w:ascii="Times New Roman" w:hAnsi="Times New Roman" w:cs="Times New Roman"/>
          <w:noProof/>
          <w:sz w:val="24"/>
          <w:szCs w:val="24"/>
        </w:rPr>
      </w:pPr>
      <w:r>
        <w:rPr>
          <w:rFonts w:ascii="Times New Roman" w:hAnsi="Times New Roman"/>
          <w:noProof/>
          <w:sz w:val="24"/>
        </w:rPr>
        <w:t xml:space="preserve">EU a mnoho členských států vytvořily dlouhodobá partnerství se třetími zeměmi za účelem zachování biologické rozmanitosti a boje proti nezákonnému obchodu s volně žijícími a planě rostoucími druhy, uznávajíce tím trvalou spojitost mezi nedovoleným využíváním přírodních zdrojů a destabilizačními činnostmi ozbrojených skupin, zejména ve střední Africe. Akční plán v této oblasti přinesl významnou podporu. Kromě již dříve existující finanční podpory a probíhajících činností </w:t>
      </w:r>
      <w:r>
        <w:rPr>
          <w:rFonts w:ascii="Times New Roman" w:hAnsi="Times New Roman"/>
          <w:b/>
          <w:noProof/>
          <w:sz w:val="24"/>
        </w:rPr>
        <w:t xml:space="preserve">byly v letech 2016 a 2017 v rámci politiky EU v oblasti rozvoje a spolupráce uvolněny další významné finanční prostředky EU </w:t>
      </w:r>
      <w:r>
        <w:rPr>
          <w:rFonts w:ascii="Times New Roman" w:hAnsi="Times New Roman"/>
          <w:noProof/>
          <w:sz w:val="24"/>
        </w:rPr>
        <w:t>(přibližně</w:t>
      </w:r>
      <w:r>
        <w:rPr>
          <w:rFonts w:ascii="Times New Roman" w:hAnsi="Times New Roman"/>
          <w:b/>
          <w:noProof/>
          <w:sz w:val="24"/>
        </w:rPr>
        <w:t xml:space="preserve"> 340 milionů EUR</w:t>
      </w:r>
      <w:r>
        <w:rPr>
          <w:rFonts w:ascii="Times New Roman" w:hAnsi="Times New Roman"/>
          <w:noProof/>
          <w:sz w:val="24"/>
        </w:rPr>
        <w:t xml:space="preserve"> v Africe, Asii a Tichomoří a v Jižní Americe a Karibiku)</w:t>
      </w:r>
      <w:r>
        <w:rPr>
          <w:rStyle w:val="CommentReference"/>
          <w:noProof/>
        </w:rPr>
        <w:t>.</w:t>
      </w:r>
      <w:r>
        <w:rPr>
          <w:rFonts w:ascii="Times New Roman" w:hAnsi="Times New Roman"/>
          <w:noProof/>
          <w:sz w:val="24"/>
        </w:rPr>
        <w:t xml:space="preserve"> </w:t>
      </w:r>
    </w:p>
    <w:p>
      <w:pPr>
        <w:spacing w:line="240" w:lineRule="auto"/>
        <w:jc w:val="both"/>
        <w:rPr>
          <w:rFonts w:ascii="Times New Roman" w:hAnsi="Times New Roman" w:cs="Times New Roman"/>
          <w:noProof/>
          <w:sz w:val="24"/>
          <w:szCs w:val="24"/>
        </w:rPr>
      </w:pPr>
      <w:r>
        <w:rPr>
          <w:rFonts w:ascii="Times New Roman" w:hAnsi="Times New Roman"/>
          <w:noProof/>
          <w:sz w:val="24"/>
        </w:rPr>
        <w:t>To zahrnuje regionální programy zaměřené na boj proti trestné činnosti v oblasti obchodu s druhy volně žijících živočichů a planě rostoucích rostlin ve střední a východní Africe, jakož i podporu jejich ochrany v afrických, karibských a tichomořských zemích (AKT) a v dalších konkrétních zemích (například v Guineji). V rámci programu partnerství pro biologickou rozmanitost a řízení chráněných oblastí (BIOPAMA) zahrnovaly regionální priority v zemích AKT rovněž budování kapacit na boj proti trestné činnosti v oblasti obchodu s druhy volně žijících živočichů a planě rostoucích rostlin.</w:t>
      </w:r>
    </w:p>
    <w:tbl>
      <w:tblPr>
        <w:tblStyle w:val="TableGrid"/>
        <w:tblW w:w="0" w:type="auto"/>
        <w:tblInd w:w="108" w:type="dxa"/>
        <w:tblLook w:val="04A0" w:firstRow="1" w:lastRow="0" w:firstColumn="1" w:lastColumn="0" w:noHBand="0" w:noVBand="1"/>
      </w:tblPr>
      <w:tblGrid>
        <w:gridCol w:w="9072"/>
      </w:tblGrid>
      <w:tr>
        <w:tc>
          <w:tcPr>
            <w:tcW w:w="9072" w:type="dxa"/>
          </w:tcPr>
          <w:p>
            <w:pPr>
              <w:spacing w:before="240" w:after="60"/>
              <w:rPr>
                <w:rFonts w:ascii="Times New Roman" w:hAnsi="Times New Roman" w:cs="Times New Roman"/>
                <w:b/>
                <w:noProof/>
                <w:sz w:val="24"/>
                <w:szCs w:val="24"/>
              </w:rPr>
            </w:pPr>
            <w:r>
              <w:rPr>
                <w:rFonts w:ascii="Times New Roman" w:hAnsi="Times New Roman"/>
                <w:b/>
                <w:noProof/>
                <w:sz w:val="24"/>
              </w:rPr>
              <w:t>Rámeček 4 – Nový globální program EU pro boj proti trestné činnosti poškozující volně žijící a planě rostoucí druhy a lesy</w:t>
            </w:r>
          </w:p>
          <w:p>
            <w:pPr>
              <w:jc w:val="both"/>
              <w:rPr>
                <w:rFonts w:ascii="Times New Roman" w:hAnsi="Times New Roman" w:cs="Times New Roman"/>
                <w:noProof/>
                <w:sz w:val="24"/>
                <w:szCs w:val="24"/>
              </w:rPr>
            </w:pPr>
            <w:r>
              <w:rPr>
                <w:rFonts w:ascii="Times New Roman" w:hAnsi="Times New Roman"/>
                <w:noProof/>
                <w:sz w:val="24"/>
              </w:rPr>
              <w:t>Opatření EU nazvané „Prosazování práva a boj proti trestné činnosti poškozující volně žijící a planě rostoucí druhy a lesy“, jež bylo přijato v roce 2017, zajistí 43,5 milionu EUR na:</w:t>
            </w:r>
          </w:p>
          <w:p>
            <w:pPr>
              <w:ind w:left="360" w:hanging="360"/>
              <w:jc w:val="both"/>
              <w:rPr>
                <w:rFonts w:ascii="Times New Roman" w:hAnsi="Times New Roman" w:cs="Times New Roman"/>
                <w:noProof/>
                <w:sz w:val="24"/>
                <w:szCs w:val="24"/>
              </w:rPr>
            </w:pPr>
            <w:r>
              <w:rPr>
                <w:rFonts w:ascii="Times New Roman" w:hAnsi="Times New Roman"/>
                <w:noProof/>
                <w:sz w:val="24"/>
              </w:rPr>
              <w:t>–</w:t>
            </w:r>
            <w:r>
              <w:rPr>
                <w:noProof/>
              </w:rPr>
              <w:tab/>
            </w:r>
            <w:r>
              <w:rPr>
                <w:rFonts w:ascii="Times New Roman" w:hAnsi="Times New Roman"/>
                <w:noProof/>
                <w:sz w:val="24"/>
              </w:rPr>
              <w:t xml:space="preserve">podporu provozní kapacity Mezinárodního sdružení pro boj proti trestné činnosti poškozující volně žijící a planě rostoucí druhy (ICCWC) za účelem zlepšení prosazování práva v oblasti volně žijících a planě rostoucích druhů a lesů v cílových zemích a na podporu mezinárodní koordinace (13,5 milionu EUR), </w:t>
            </w:r>
          </w:p>
          <w:p>
            <w:pPr>
              <w:ind w:left="360" w:hanging="360"/>
              <w:jc w:val="both"/>
              <w:rPr>
                <w:rFonts w:ascii="Times New Roman" w:hAnsi="Times New Roman" w:cs="Times New Roman"/>
                <w:noProof/>
                <w:sz w:val="24"/>
                <w:szCs w:val="24"/>
              </w:rPr>
            </w:pPr>
            <w:r>
              <w:rPr>
                <w:rFonts w:ascii="Times New Roman" w:hAnsi="Times New Roman"/>
                <w:noProof/>
                <w:sz w:val="24"/>
              </w:rPr>
              <w:t>–</w:t>
            </w:r>
            <w:r>
              <w:rPr>
                <w:noProof/>
              </w:rPr>
              <w:tab/>
            </w:r>
            <w:r>
              <w:rPr>
                <w:rFonts w:ascii="Times New Roman" w:hAnsi="Times New Roman"/>
                <w:noProof/>
                <w:sz w:val="24"/>
              </w:rPr>
              <w:t>podporu organizací občanské společnosti a místních komunit v předcházení a boji proti nezákonnému obchodu s volně žijícími a planě rostoucími druhy v Asii, Africe a Latinské Americe.</w:t>
            </w:r>
          </w:p>
          <w:p>
            <w:pPr>
              <w:jc w:val="both"/>
              <w:rPr>
                <w:rFonts w:ascii="Times New Roman" w:hAnsi="Times New Roman" w:cs="Times New Roman"/>
                <w:noProof/>
                <w:sz w:val="24"/>
                <w:szCs w:val="24"/>
                <w:highlight w:val="yellow"/>
              </w:rPr>
            </w:pPr>
            <w:r>
              <w:rPr>
                <w:rFonts w:ascii="Times New Roman" w:hAnsi="Times New Roman"/>
                <w:noProof/>
                <w:sz w:val="24"/>
              </w:rPr>
              <w:t>Toto doplňuje stávající regionální programy se členy sdružení ICCWC, zejména ve střední Africe (UNODC), východní/jižní Africe (UNODC, CITES), Asii (UNODC) a prostřednictvím globálního programu MIKE</w:t>
            </w:r>
            <w:r>
              <w:rPr>
                <w:rStyle w:val="FootnoteReference"/>
                <w:rFonts w:ascii="Times New Roman" w:hAnsi="Times New Roman"/>
                <w:noProof/>
                <w:sz w:val="24"/>
              </w:rPr>
              <w:footnoteReference w:id="20"/>
            </w:r>
            <w:r>
              <w:rPr>
                <w:rFonts w:ascii="Times New Roman" w:hAnsi="Times New Roman"/>
                <w:noProof/>
                <w:sz w:val="24"/>
              </w:rPr>
              <w:t xml:space="preserve"> (CITES), a to v celkové výši přes 40 milionů EUR.</w:t>
            </w:r>
          </w:p>
        </w:tc>
      </w:tr>
    </w:tbl>
    <w:p>
      <w:pPr>
        <w:spacing w:before="240" w:line="240" w:lineRule="auto"/>
        <w:jc w:val="both"/>
        <w:rPr>
          <w:rFonts w:ascii="Times New Roman" w:hAnsi="Times New Roman" w:cs="Times New Roman"/>
          <w:noProof/>
          <w:sz w:val="24"/>
          <w:szCs w:val="24"/>
        </w:rPr>
      </w:pPr>
      <w:r>
        <w:rPr>
          <w:rFonts w:ascii="Times New Roman" w:hAnsi="Times New Roman"/>
          <w:noProof/>
          <w:sz w:val="24"/>
        </w:rPr>
        <w:t>Členské státy (zejména Francie, Německo a Spojené království) prostřednictvím svých politik rozvojové spolupráce rovněž poskytují značnou finanční podporu vnitrostátním a regionálním programům boje proti nezákonnému obchodu s volně žijícími a planě rostoucími druhy. Belgie, Francie, Německo, Nizozemsko a EU přispívají do fondu African Elephant Fund (fond slona afrického)</w:t>
      </w:r>
      <w:r>
        <w:rPr>
          <w:rStyle w:val="FootnoteReference"/>
          <w:rFonts w:ascii="Times New Roman" w:hAnsi="Times New Roman"/>
          <w:noProof/>
          <w:sz w:val="24"/>
        </w:rPr>
        <w:footnoteReference w:id="21"/>
      </w:r>
      <w:r>
        <w:rPr>
          <w:rFonts w:ascii="Times New Roman" w:hAnsi="Times New Roman"/>
          <w:noProof/>
          <w:sz w:val="24"/>
        </w:rPr>
        <w:t>.</w:t>
      </w:r>
    </w:p>
    <w:p>
      <w:pPr>
        <w:spacing w:line="240" w:lineRule="auto"/>
        <w:jc w:val="both"/>
        <w:rPr>
          <w:rFonts w:ascii="Times New Roman" w:hAnsi="Times New Roman" w:cs="Times New Roman"/>
          <w:noProof/>
          <w:sz w:val="24"/>
          <w:szCs w:val="24"/>
        </w:rPr>
      </w:pPr>
      <w:r>
        <w:rPr>
          <w:rFonts w:ascii="Times New Roman" w:hAnsi="Times New Roman"/>
          <w:noProof/>
          <w:sz w:val="24"/>
        </w:rPr>
        <w:t xml:space="preserve">Kromě poskytování finanční podpory je EU aktivně zapojena do </w:t>
      </w:r>
      <w:r>
        <w:rPr>
          <w:rFonts w:ascii="Times New Roman" w:hAnsi="Times New Roman"/>
          <w:b/>
          <w:noProof/>
          <w:sz w:val="24"/>
        </w:rPr>
        <w:t xml:space="preserve">dvoustranných dialogů o nezákonném obchodu s volně žijícími a planě rostoucími druhy </w:t>
      </w:r>
      <w:r>
        <w:rPr>
          <w:rFonts w:ascii="Times New Roman" w:hAnsi="Times New Roman"/>
          <w:noProof/>
          <w:sz w:val="24"/>
        </w:rPr>
        <w:t>s řadou příslušných zemí původu, tranzitních zemí a zemí představujících hlavní trhy. Delegace EU aktivně podporují provádění úmluvy CITES a nařízení EU týkajících se obchodu s volně žijícími a planě rostoucími druhy ve třetích zemích a poskytují technickou podporu. EU rovněž využívá své nástroje obchodní politiky, aby tlačila na opatření proti nezákonnému obchodu s volně žijícími a planě rostoucími druhy, např. tak, že do budoucích dohod o volném obchodu začleňuje zvláštní ustanovení (zejména v případě Vietnamu), nebo prostřednictvím systému GSP+</w:t>
      </w:r>
      <w:r>
        <w:rPr>
          <w:rStyle w:val="FootnoteReference"/>
          <w:rFonts w:ascii="Times New Roman" w:hAnsi="Times New Roman"/>
          <w:noProof/>
          <w:sz w:val="24"/>
        </w:rPr>
        <w:footnoteReference w:id="22"/>
      </w:r>
      <w:r>
        <w:rPr>
          <w:rFonts w:ascii="Times New Roman" w:hAnsi="Times New Roman"/>
          <w:noProof/>
          <w:sz w:val="24"/>
        </w:rPr>
        <w:t>. A konečně, EU podpořila dialog s regionálními organizacemi, jako jsou například ASEAN</w:t>
      </w:r>
      <w:r>
        <w:rPr>
          <w:rStyle w:val="FootnoteReference"/>
          <w:rFonts w:ascii="Times New Roman" w:hAnsi="Times New Roman"/>
          <w:noProof/>
          <w:sz w:val="24"/>
        </w:rPr>
        <w:footnoteReference w:id="23"/>
      </w:r>
      <w:r>
        <w:rPr>
          <w:rFonts w:ascii="Times New Roman" w:hAnsi="Times New Roman"/>
          <w:noProof/>
          <w:sz w:val="24"/>
        </w:rPr>
        <w:t xml:space="preserve"> a Africká unie, a to za účelem lepšího řešení nezákonného obchodu s volně žijícími a planě rostoucími druhy.</w:t>
      </w:r>
    </w:p>
    <w:p>
      <w:pPr>
        <w:spacing w:line="240" w:lineRule="auto"/>
        <w:jc w:val="both"/>
        <w:rPr>
          <w:rFonts w:ascii="Times New Roman" w:hAnsi="Times New Roman" w:cs="Times New Roman"/>
          <w:noProof/>
          <w:sz w:val="24"/>
          <w:szCs w:val="24"/>
        </w:rPr>
      </w:pPr>
      <w:r>
        <w:rPr>
          <w:rFonts w:ascii="Times New Roman" w:hAnsi="Times New Roman"/>
          <w:noProof/>
          <w:sz w:val="24"/>
        </w:rPr>
        <w:t>Řada členských států mobilizuje své diplomatické sítě v boji proti nezákonnému obchodu s volně žijícími a planě rostoucími druhy a Spojené království na říjen 2018 plánuje konferenci na vysoké úrovni věnovanou nezákonnému obchodu s volně žijícími a planě rostoucími druhy</w:t>
      </w:r>
      <w:r>
        <w:rPr>
          <w:rStyle w:val="FootnoteReference"/>
          <w:rFonts w:ascii="Times New Roman" w:hAnsi="Times New Roman"/>
          <w:noProof/>
          <w:sz w:val="24"/>
        </w:rPr>
        <w:footnoteReference w:id="24"/>
      </w:r>
      <w:r>
        <w:rPr>
          <w:rFonts w:ascii="Times New Roman" w:hAnsi="Times New Roman"/>
          <w:noProof/>
          <w:sz w:val="24"/>
        </w:rPr>
        <w:t xml:space="preserve">. </w:t>
      </w:r>
    </w:p>
    <w:p>
      <w:pPr>
        <w:spacing w:line="240" w:lineRule="auto"/>
        <w:jc w:val="both"/>
        <w:rPr>
          <w:rFonts w:ascii="Times New Roman" w:hAnsi="Times New Roman" w:cs="Times New Roman"/>
          <w:noProof/>
          <w:sz w:val="24"/>
          <w:szCs w:val="24"/>
        </w:rPr>
      </w:pPr>
      <w:r>
        <w:rPr>
          <w:rFonts w:ascii="Times New Roman" w:hAnsi="Times New Roman"/>
          <w:b/>
          <w:noProof/>
          <w:sz w:val="24"/>
        </w:rPr>
        <w:t>EU je stejně aktivní na vícestranné úrovni</w:t>
      </w:r>
      <w:r>
        <w:rPr>
          <w:rFonts w:ascii="Times New Roman" w:hAnsi="Times New Roman"/>
          <w:noProof/>
          <w:sz w:val="24"/>
        </w:rPr>
        <w:t xml:space="preserve">, zejména v kontextu úmluvy CITES, která je hlavním mnohostranným nástrojem pro boj proti nezákonnému obchodu s volně žijícími a planě rostoucími druhy a kterou EU podporuje rovněž finančně. Na konferenci CoP17 a na zasedání stálého výboru v roce 2017 EU aktivně prosazovala cílená doporučení a sankce, které by pomohly v potírání nezákonného obchodu se slonovinou, rohy nosorožců, palisandrovým dřevem a tygry. </w:t>
      </w:r>
    </w:p>
    <w:p>
      <w:pPr>
        <w:spacing w:line="240" w:lineRule="auto"/>
        <w:jc w:val="both"/>
        <w:rPr>
          <w:rFonts w:ascii="Times New Roman" w:hAnsi="Times New Roman" w:cs="Times New Roman"/>
          <w:noProof/>
          <w:sz w:val="24"/>
          <w:szCs w:val="24"/>
        </w:rPr>
      </w:pPr>
      <w:r>
        <w:rPr>
          <w:rFonts w:ascii="Times New Roman" w:hAnsi="Times New Roman"/>
          <w:noProof/>
          <w:sz w:val="24"/>
        </w:rPr>
        <w:t>Obdobně jsou EU a řada členských států aktivními hráči při diskuzích o zabíjení a chytání volně žijících ptáků a obchodu s nimi, například jako součást specializované skupiny odborníků zřízené v rámci Úmluvy o ochraně evropských planě rostoucích rostlin, volně žijících živočichů a přírodních stanovišť (Bernská úmluva). Rovněž podporovaly zahrnutí nezákonného obchodu s volně žijícími a planě rostoucími druhy do agend Organizace spojených národů, skupiny G20, skupiny G7 a dalších mezinárodních subjektů. K prosazení nezákonného obchodu s volně žijícími a planě rostoucími druhy do agend dalších příslušných mezinárodních subjektů a fór, jako jsou například Úmluva OSN proti korupci, Úmluva OSN proti nadnárodnímu organizovanému zločinu a Finanční akční výbor, je třeba další pokrok.</w:t>
      </w:r>
    </w:p>
    <w:p>
      <w:pPr>
        <w:pStyle w:val="Heading1"/>
        <w:spacing w:before="200" w:after="240"/>
        <w:rPr>
          <w:rFonts w:ascii="Times New Roman" w:hAnsi="Times New Roman" w:cs="Times New Roman"/>
          <w:noProof/>
          <w:color w:val="auto"/>
        </w:rPr>
      </w:pPr>
      <w:r>
        <w:rPr>
          <w:rFonts w:ascii="Times New Roman" w:hAnsi="Times New Roman"/>
          <w:noProof/>
          <w:color w:val="auto"/>
        </w:rPr>
        <w:t>3. Závěr</w:t>
      </w:r>
    </w:p>
    <w:p>
      <w:pPr>
        <w:spacing w:after="240" w:line="240" w:lineRule="auto"/>
        <w:jc w:val="both"/>
        <w:rPr>
          <w:rFonts w:ascii="Times New Roman" w:hAnsi="Times New Roman" w:cs="Times New Roman"/>
          <w:noProof/>
          <w:sz w:val="24"/>
          <w:szCs w:val="24"/>
        </w:rPr>
      </w:pPr>
      <w:r>
        <w:rPr>
          <w:rFonts w:ascii="Times New Roman" w:hAnsi="Times New Roman"/>
          <w:noProof/>
          <w:sz w:val="24"/>
        </w:rPr>
        <w:t>Akční plán přinesl značnou politickou pozornost a podporu na úrovni EU. Jedním z jeho prvních pozitivních účinků je, že mezi širokou škálou tvůrců politik, donucovacích orgánů a zúčastněných stran v EU došlo ke zvýšení povědomí o nezákonném obchodu s volně žijícími a planě rostoucími druhy jakožto o prioritním tématu. To vedlo k přijetí četných iniciativ na úrovni EU a vnitrostátní úrovni za účelem splnění cílů akčního plánu. Akční plán měl rovněž řadu dalších pozitivních výsledků: více donucovacích opatření v EU, závazky od aktérů v soukromém sektoru pomoci v boji proti nezákonnému obchodu s volně žijícími a planě rostoucími druhy, zákaz vývozu surové slonoviny, důrazné návrhy ze strany EU</w:t>
      </w:r>
      <w:r>
        <w:rPr>
          <w:noProof/>
        </w:rPr>
        <w:t xml:space="preserve"> </w:t>
      </w:r>
      <w:r>
        <w:rPr>
          <w:rFonts w:ascii="Times New Roman" w:hAnsi="Times New Roman"/>
          <w:noProof/>
          <w:sz w:val="24"/>
        </w:rPr>
        <w:t xml:space="preserve">týkající se boje proti nezákonnému obchodu s volně žijícími a planě rostoucími druhy v rámci vícestranných fór (zejména v rámci úmluvy CITES), nárůst financí z EU určených k budování kapacit a na mezinárodní činnosti v boji proti nezákonnému obchodu s volně žijícími a planě rostoucími druhy a mobilizaci diplomatických sítí EU a členských států v mnoha třetích zemích, aby se zaměřily na boj proti tomuto problému. </w:t>
      </w:r>
    </w:p>
    <w:p>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Celkově bylo u většiny z 32 opatření uvedených v akčním plánu dosaženo dobrého pokroku. Nejlepšími ukazateli pro posuzování jeho dopadu jsou v konečném důsledku úrovně nezákonného lovu a obchodování. Navzdory některým povzbudivým signálům (zejména snížení úrovně nezákonného lovu slonů a nosorožců v posledních letech) nezákonný obchod s volně žijícími a planě rostoucími druhy nadále vzkvétá a představuje vážné ohrožení biologické rozmanitosti, právního státu a udržitelného rozvoje. Není proto pochyb o tom, že priority a cíle stanovené v akčním plánu jsou i nadále přiměřené a vhodné. </w:t>
      </w:r>
    </w:p>
    <w:p>
      <w:pPr>
        <w:spacing w:after="240" w:line="240" w:lineRule="auto"/>
        <w:jc w:val="both"/>
        <w:rPr>
          <w:rFonts w:ascii="Times New Roman" w:hAnsi="Times New Roman" w:cs="Times New Roman"/>
          <w:noProof/>
          <w:sz w:val="24"/>
          <w:szCs w:val="24"/>
        </w:rPr>
      </w:pPr>
      <w:r>
        <w:rPr>
          <w:rFonts w:ascii="Times New Roman" w:hAnsi="Times New Roman"/>
          <w:noProof/>
          <w:sz w:val="24"/>
        </w:rPr>
        <w:t>EU a její členské státy by měly dále zesilovat své úsilí o dosažení cílů akčního plánu do roku 2020, kdy bude posouzena potřeba dalších opatření. Toto je důležité rovněž vzhledem ke splnění cíle č. 15.7 v rámci cíle udržitelného rozvoje č. 15, který uvádí, že je nutné „</w:t>
      </w:r>
      <w:r>
        <w:rPr>
          <w:rFonts w:ascii="Times New Roman" w:hAnsi="Times New Roman" w:cs="Times New Roman"/>
          <w:noProof/>
          <w:sz w:val="24"/>
          <w:szCs w:val="24"/>
        </w:rPr>
        <w:t>přijmout neodkladná opatření k ukončení nezákonného lovu a obchodu s chráněnými druhy rostlin a živočichů a snížit poptávku po nelegálních produktech z volně žijících živočichů a planě rostoucích rostlin a jejich nabídku</w:t>
      </w:r>
      <w:r>
        <w:rPr>
          <w:rFonts w:ascii="Times New Roman" w:hAnsi="Times New Roman"/>
          <w:noProof/>
          <w:sz w:val="24"/>
        </w:rPr>
        <w:t>“</w:t>
      </w:r>
      <w:r>
        <w:rPr>
          <w:rStyle w:val="FootnoteReference"/>
          <w:rFonts w:ascii="Times New Roman" w:hAnsi="Times New Roman"/>
          <w:noProof/>
          <w:sz w:val="24"/>
        </w:rPr>
        <w:footnoteReference w:id="25"/>
      </w:r>
      <w:r>
        <w:rPr>
          <w:rFonts w:ascii="Times New Roman" w:hAnsi="Times New Roman"/>
          <w:noProof/>
          <w:sz w:val="24"/>
        </w:rPr>
        <w:t>.</w:t>
      </w:r>
    </w:p>
    <w:sectPr>
      <w:headerReference w:type="even" r:id="rId16"/>
      <w:headerReference w:type="default" r:id="rId17"/>
      <w:footerReference w:type="even" r:id="rId18"/>
      <w:footerReference w:type="default" r:id="rId19"/>
      <w:headerReference w:type="first" r:id="rId20"/>
      <w:footerReference w:type="first" r:id="rId21"/>
      <w:pgSz w:w="11906" w:h="16838"/>
      <w:pgMar w:top="1418" w:right="1416" w:bottom="1134" w:left="1440" w:header="709" w:footer="709"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3BE2DB10" w15:done="0"/>
  <w15:commentEx w15:paraId="49888ADC" w15:done="0"/>
  <w15:commentEx w15:paraId="2F12F31E" w15:done="0"/>
  <w15:commentEx w15:paraId="6C8CA6A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3368C54" w16cid:durableId="1ED3D1B0"/>
  <w16cid:commentId w16cid:paraId="37BB785D" w16cid:durableId="1ED3D1B4"/>
  <w16cid:commentId w16cid:paraId="25BAC929" w16cid:durableId="1ED3D1B5"/>
  <w16cid:commentId w16cid:paraId="49888ADC" w16cid:durableId="1ED3D1B7"/>
  <w16cid:commentId w16cid:paraId="2F12F31E" w16cid:durableId="1ED3D1BF"/>
  <w16cid:commentId w16cid:paraId="6C8CA6A6" w16cid:durableId="1ED3D1C0"/>
  <w16cid:commentId w16cid:paraId="05855E58" w16cid:durableId="1ED3EC08"/>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CS</w:t>
    </w:r>
    <w:r>
      <w:rPr>
        <w:rFonts w:ascii="Arial" w:hAnsi="Arial" w:cs="Arial"/>
        <w:b/>
        <w:sz w:val="48"/>
      </w:rPr>
      <w:tab/>
    </w:r>
    <w:r>
      <w:rPr>
        <w:rFonts w:ascii="Arial" w:hAnsi="Arial" w:cs="Arial"/>
        <w:b/>
        <w:sz w:val="48"/>
      </w:rPr>
      <w:tab/>
    </w:r>
    <w:r>
      <w:tab/>
    </w:r>
    <w:r>
      <w:rPr>
        <w:rFonts w:ascii="Arial" w:hAnsi="Arial" w:cs="Arial"/>
        <w:b/>
        <w:sz w:val="48"/>
      </w:rPr>
      <w:t>CS</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48543649"/>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240"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tabs>
          <w:tab w:val="left" w:pos="284"/>
        </w:tabs>
        <w:ind w:left="284" w:hanging="284"/>
        <w:rPr>
          <w:rFonts w:ascii="Times New Roman" w:hAnsi="Times New Roman" w:cs="Times New Roman"/>
          <w:lang w:val="fr-BE"/>
        </w:rPr>
      </w:pPr>
      <w:r>
        <w:rPr>
          <w:rStyle w:val="FootnoteReference"/>
          <w:rFonts w:ascii="Times New Roman" w:hAnsi="Times New Roman"/>
        </w:rPr>
        <w:footnoteRef/>
      </w:r>
      <w:r>
        <w:rPr>
          <w:rFonts w:ascii="Times New Roman" w:hAnsi="Times New Roman"/>
        </w:rPr>
        <w:t xml:space="preserve"> </w:t>
      </w:r>
      <w:r>
        <w:tab/>
      </w:r>
      <w:hyperlink r:id="rId1">
        <w:r>
          <w:rPr>
            <w:rStyle w:val="Hyperlink"/>
            <w:rFonts w:ascii="Times New Roman" w:hAnsi="Times New Roman"/>
          </w:rPr>
          <w:t>http://eur-lex.europa.eu/legal-content/CS/TXT/?uri=COM:2016:87:FIN</w:t>
        </w:r>
      </w:hyperlink>
      <w:r>
        <w:rPr>
          <w:rFonts w:ascii="Times New Roman" w:hAnsi="Times New Roman"/>
        </w:rPr>
        <w:t xml:space="preserve"> </w:t>
      </w:r>
    </w:p>
  </w:footnote>
  <w:footnote w:id="3">
    <w:p>
      <w:pPr>
        <w:pStyle w:val="FootnoteText"/>
        <w:tabs>
          <w:tab w:val="left" w:pos="284"/>
        </w:tabs>
        <w:ind w:left="284" w:hanging="284"/>
        <w:rPr>
          <w:rFonts w:ascii="Times New Roman" w:hAnsi="Times New Roman" w:cs="Times New Roman"/>
          <w:lang w:val="fr-BE"/>
        </w:rPr>
      </w:pPr>
      <w:r>
        <w:rPr>
          <w:rStyle w:val="FootnoteReference"/>
          <w:rFonts w:ascii="Times New Roman" w:hAnsi="Times New Roman"/>
        </w:rPr>
        <w:footnoteRef/>
      </w:r>
      <w:r>
        <w:rPr>
          <w:rFonts w:ascii="Times New Roman" w:hAnsi="Times New Roman"/>
        </w:rPr>
        <w:t xml:space="preserve"> </w:t>
      </w:r>
      <w:r>
        <w:tab/>
      </w:r>
      <w:hyperlink r:id="rId2">
        <w:r>
          <w:rPr>
            <w:rStyle w:val="Hyperlink"/>
            <w:rFonts w:ascii="Times New Roman" w:hAnsi="Times New Roman"/>
          </w:rPr>
          <w:t>http://data.consilium.europa.eu/doc/document/ST-10512-2016-INIT/cs/pdf</w:t>
        </w:r>
      </w:hyperlink>
      <w:r>
        <w:rPr>
          <w:rFonts w:ascii="Times New Roman" w:hAnsi="Times New Roman"/>
        </w:rPr>
        <w:t xml:space="preserve"> </w:t>
      </w:r>
    </w:p>
  </w:footnote>
  <w:footnote w:id="4">
    <w:p>
      <w:pPr>
        <w:pStyle w:val="FootnoteText"/>
        <w:tabs>
          <w:tab w:val="left" w:pos="284"/>
        </w:tabs>
        <w:ind w:left="284" w:hanging="284"/>
        <w:rPr>
          <w:rFonts w:ascii="Times New Roman" w:hAnsi="Times New Roman" w:cs="Times New Roman"/>
          <w:lang w:val="fr-BE"/>
        </w:rPr>
      </w:pPr>
      <w:r>
        <w:rPr>
          <w:rStyle w:val="FootnoteReference"/>
          <w:rFonts w:ascii="Times New Roman" w:hAnsi="Times New Roman"/>
        </w:rPr>
        <w:footnoteRef/>
      </w:r>
      <w:r>
        <w:rPr>
          <w:rFonts w:ascii="Times New Roman" w:hAnsi="Times New Roman"/>
        </w:rPr>
        <w:t xml:space="preserve"> </w:t>
      </w:r>
      <w:r>
        <w:tab/>
      </w:r>
      <w:hyperlink r:id="rId3">
        <w:r>
          <w:rPr>
            <w:rStyle w:val="Hyperlink"/>
            <w:rFonts w:ascii="Times New Roman" w:hAnsi="Times New Roman"/>
          </w:rPr>
          <w:t>http://www.europarl.europa.eu/sides/getDoc.do?pubRef=-//EP//TEXT+TA+P8-TA-2016-0454+0+DOC+XML+V0//CS</w:t>
        </w:r>
      </w:hyperlink>
      <w:r>
        <w:rPr>
          <w:rFonts w:ascii="Times New Roman" w:hAnsi="Times New Roman"/>
        </w:rPr>
        <w:t xml:space="preserve"> </w:t>
      </w:r>
    </w:p>
  </w:footnote>
  <w:footnote w:id="5">
    <w:p>
      <w:pPr>
        <w:pStyle w:val="FootnoteText"/>
        <w:tabs>
          <w:tab w:val="left" w:pos="284"/>
        </w:tabs>
        <w:ind w:left="284" w:hanging="284"/>
        <w:rPr>
          <w:rFonts w:ascii="Times New Roman" w:hAnsi="Times New Roman" w:cs="Times New Roman"/>
          <w:lang w:val="fr-BE"/>
        </w:rPr>
      </w:pPr>
      <w:r>
        <w:rPr>
          <w:rStyle w:val="FootnoteReference"/>
          <w:rFonts w:ascii="Times New Roman" w:hAnsi="Times New Roman"/>
        </w:rPr>
        <w:footnoteRef/>
      </w:r>
      <w:r>
        <w:rPr>
          <w:rFonts w:ascii="Times New Roman" w:hAnsi="Times New Roman"/>
        </w:rPr>
        <w:t xml:space="preserve"> </w:t>
      </w:r>
      <w:r>
        <w:tab/>
      </w:r>
      <w:hyperlink r:id="rId4">
        <w:r>
          <w:rPr>
            <w:rStyle w:val="Hyperlink"/>
            <w:rFonts w:ascii="Times New Roman" w:hAnsi="Times New Roman"/>
          </w:rPr>
          <w:t>http://ec.europa.eu/environment/cites/trafficking_en.htm</w:t>
        </w:r>
      </w:hyperlink>
      <w:r>
        <w:rPr>
          <w:rFonts w:ascii="Times New Roman" w:hAnsi="Times New Roman"/>
        </w:rPr>
        <w:t xml:space="preserve"> </w:t>
      </w:r>
    </w:p>
  </w:footnote>
  <w:footnote w:id="6">
    <w:p>
      <w:pPr>
        <w:pStyle w:val="FootnoteText"/>
        <w:tabs>
          <w:tab w:val="left" w:pos="284"/>
        </w:tabs>
        <w:rPr>
          <w:rFonts w:ascii="Times New Roman" w:hAnsi="Times New Roman" w:cs="Times New Roman"/>
          <w:lang w:val="fr-BE"/>
        </w:rPr>
      </w:pPr>
      <w:r>
        <w:rPr>
          <w:rStyle w:val="FootnoteReference"/>
          <w:rFonts w:ascii="Times New Roman" w:hAnsi="Times New Roman"/>
        </w:rPr>
        <w:footnoteRef/>
      </w:r>
      <w:r>
        <w:rPr>
          <w:rFonts w:ascii="Times New Roman" w:hAnsi="Times New Roman"/>
        </w:rPr>
        <w:t xml:space="preserve"> </w:t>
      </w:r>
      <w:r>
        <w:tab/>
      </w:r>
      <w:hyperlink r:id="rId5">
        <w:r>
          <w:rPr>
            <w:rStyle w:val="Hyperlink"/>
            <w:rFonts w:ascii="Times New Roman" w:hAnsi="Times New Roman"/>
          </w:rPr>
          <w:t>https://eur-lex.europa.eu/legal-content/CS/TXT/PDF/?uri=CELEX:52017XC0517(01)&amp;qid=1533729076325&amp;from=EN</w:t>
        </w:r>
      </w:hyperlink>
    </w:p>
  </w:footnote>
  <w:footnote w:id="7">
    <w:p>
      <w:pPr>
        <w:pStyle w:val="FootnoteText"/>
        <w:tabs>
          <w:tab w:val="left" w:pos="284"/>
        </w:tabs>
        <w:ind w:left="284" w:hanging="284"/>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Viz odkaz na konzultaci a analýzu získaných odpovědí: </w:t>
      </w:r>
      <w:hyperlink r:id="rId6">
        <w:r>
          <w:rPr>
            <w:rStyle w:val="Hyperlink"/>
            <w:rFonts w:ascii="Times New Roman" w:hAnsi="Times New Roman"/>
          </w:rPr>
          <w:t>https://ec.europa.eu/info/consultations/public-consultation-ivory-trade-eu_en</w:t>
        </w:r>
      </w:hyperlink>
      <w:r>
        <w:rPr>
          <w:rFonts w:ascii="Times New Roman" w:hAnsi="Times New Roman"/>
        </w:rPr>
        <w:t xml:space="preserve"> </w:t>
      </w:r>
    </w:p>
  </w:footnote>
  <w:footnote w:id="8">
    <w:p>
      <w:pPr>
        <w:pStyle w:val="FootnoteText"/>
        <w:tabs>
          <w:tab w:val="left" w:pos="284"/>
        </w:tabs>
        <w:ind w:left="284" w:hanging="284"/>
        <w:rPr>
          <w:rFonts w:ascii="Times New Roman" w:hAnsi="Times New Roman" w:cs="Times New Roman"/>
        </w:rPr>
      </w:pPr>
      <w:r>
        <w:rPr>
          <w:rStyle w:val="FootnoteReference"/>
          <w:rFonts w:ascii="Times New Roman" w:hAnsi="Times New Roman"/>
        </w:rPr>
        <w:footnoteRef/>
      </w:r>
      <w:r>
        <w:tab/>
      </w:r>
      <w:hyperlink r:id="rId7">
        <w:r>
          <w:rPr>
            <w:rStyle w:val="Hyperlink"/>
            <w:rFonts w:ascii="Times New Roman" w:hAnsi="Times New Roman"/>
          </w:rPr>
          <w:t>https://eur-lex.europa.eu/legal-content/CS/TXT/PDF/?uri=CELEX:52018DC0010&amp;from=EN</w:t>
        </w:r>
      </w:hyperlink>
      <w:r>
        <w:rPr>
          <w:rFonts w:ascii="Times New Roman" w:hAnsi="Times New Roman"/>
        </w:rPr>
        <w:t xml:space="preserve"> </w:t>
      </w:r>
    </w:p>
  </w:footnote>
  <w:footnote w:id="9">
    <w:p>
      <w:pPr>
        <w:pStyle w:val="FootnoteText"/>
        <w:tabs>
          <w:tab w:val="left" w:pos="284"/>
        </w:tabs>
        <w:ind w:left="284" w:hanging="284"/>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Podrobnosti o jednotlivých opatřeních v rámci akčního plánu týkajícího se dodržování právních předpisů v oblasti životního prostředí a správy v této oblasti viz příloha 1 pracovního dokumentu útvarů Komise SWD(2018) 10 final. </w:t>
      </w:r>
    </w:p>
  </w:footnote>
  <w:footnote w:id="10">
    <w:p>
      <w:pPr>
        <w:pStyle w:val="FootnoteText"/>
        <w:ind w:left="284" w:hanging="284"/>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hyperlink r:id="rId8">
        <w:r>
          <w:rPr>
            <w:rStyle w:val="Hyperlink"/>
            <w:rFonts w:ascii="Times New Roman" w:hAnsi="Times New Roman"/>
          </w:rPr>
          <w:t>https://www.europol.europa.eu/newsroom/news/eu-law-enforcement-step-efforts-to-protect-environment-%E2%80%93-48-arrested-for-trafficking-endangered-species</w:t>
        </w:r>
      </w:hyperlink>
      <w:r>
        <w:rPr>
          <w:rFonts w:ascii="Times New Roman" w:hAnsi="Times New Roman"/>
        </w:rPr>
        <w:t xml:space="preserve"> </w:t>
      </w:r>
    </w:p>
  </w:footnote>
  <w:footnote w:id="11">
    <w:p>
      <w:pPr>
        <w:pStyle w:val="FootnoteText"/>
        <w:tabs>
          <w:tab w:val="left" w:pos="284"/>
        </w:tabs>
        <w:ind w:left="284" w:hanging="284"/>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Agentura Evropské unie pro vzdělávání a výcvik v oblasti prosazování práva – </w:t>
      </w:r>
      <w:hyperlink r:id="rId9">
        <w:r>
          <w:rPr>
            <w:rStyle w:val="Hyperlink"/>
            <w:rFonts w:ascii="Times New Roman" w:hAnsi="Times New Roman"/>
          </w:rPr>
          <w:t>https://www.cepol.europa.eu/</w:t>
        </w:r>
      </w:hyperlink>
      <w:r>
        <w:rPr>
          <w:rFonts w:ascii="Times New Roman" w:hAnsi="Times New Roman"/>
        </w:rPr>
        <w:t xml:space="preserve"> </w:t>
      </w:r>
    </w:p>
  </w:footnote>
  <w:footnote w:id="12">
    <w:p>
      <w:pPr>
        <w:pStyle w:val="FootnoteText"/>
        <w:tabs>
          <w:tab w:val="left" w:pos="284"/>
        </w:tabs>
        <w:ind w:left="284" w:hanging="284"/>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hyperlink r:id="rId10">
        <w:r>
          <w:rPr>
            <w:rStyle w:val="Hyperlink"/>
            <w:rFonts w:ascii="Times New Roman" w:hAnsi="Times New Roman"/>
          </w:rPr>
          <w:t>http://ec.europa.eu/environment/life/</w:t>
        </w:r>
      </w:hyperlink>
      <w:r>
        <w:rPr>
          <w:rFonts w:ascii="Times New Roman" w:hAnsi="Times New Roman"/>
        </w:rPr>
        <w:t xml:space="preserve"> </w:t>
      </w:r>
    </w:p>
  </w:footnote>
  <w:footnote w:id="13">
    <w:p>
      <w:pPr>
        <w:pStyle w:val="FootnoteText"/>
        <w:tabs>
          <w:tab w:val="left" w:pos="284"/>
        </w:tabs>
        <w:ind w:left="284" w:hanging="284"/>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hyperlink r:id="rId11">
        <w:r>
          <w:rPr>
            <w:rStyle w:val="Hyperlink"/>
            <w:rFonts w:ascii="Times New Roman" w:hAnsi="Times New Roman"/>
          </w:rPr>
          <w:t>https://danube-sturgeons.org/the-project/</w:t>
        </w:r>
      </w:hyperlink>
      <w:r>
        <w:rPr>
          <w:rFonts w:ascii="Times New Roman" w:hAnsi="Times New Roman"/>
        </w:rPr>
        <w:t xml:space="preserve"> </w:t>
      </w:r>
    </w:p>
  </w:footnote>
  <w:footnote w:id="14">
    <w:p>
      <w:pPr>
        <w:pStyle w:val="FootnoteText"/>
        <w:tabs>
          <w:tab w:val="left" w:pos="284"/>
        </w:tabs>
        <w:ind w:left="284" w:hanging="284"/>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hyperlink r:id="rId12">
        <w:r>
          <w:rPr>
            <w:rStyle w:val="Hyperlink"/>
            <w:rFonts w:ascii="Times New Roman" w:hAnsi="Times New Roman"/>
          </w:rPr>
          <w:t>http://ec.europa.eu/environment/nature/conservation/wildbirds/docs/Roadmap%20illegal%20killing.pdf</w:t>
        </w:r>
      </w:hyperlink>
    </w:p>
  </w:footnote>
  <w:footnote w:id="15">
    <w:p>
      <w:pPr>
        <w:pStyle w:val="FootnoteText"/>
        <w:tabs>
          <w:tab w:val="left" w:pos="284"/>
        </w:tabs>
        <w:ind w:left="284" w:hanging="284"/>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hyperlink r:id="rId13" w:anchor="wildlife">
        <w:r>
          <w:rPr>
            <w:rStyle w:val="Hyperlink"/>
            <w:rFonts w:ascii="Times New Roman" w:hAnsi="Times New Roman"/>
          </w:rPr>
          <w:t>http://ec.europa.eu/environment/life/publications/lifepublications/lifefocus/nat.htm#wildlife</w:t>
        </w:r>
      </w:hyperlink>
      <w:r>
        <w:rPr>
          <w:rFonts w:ascii="Times New Roman" w:hAnsi="Times New Roman"/>
        </w:rPr>
        <w:t xml:space="preserve"> </w:t>
      </w:r>
    </w:p>
  </w:footnote>
  <w:footnote w:id="16">
    <w:p>
      <w:pPr>
        <w:pStyle w:val="FootnoteText"/>
        <w:tabs>
          <w:tab w:val="left" w:pos="284"/>
        </w:tabs>
        <w:ind w:left="284" w:hanging="284"/>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hyperlink r:id="rId14">
        <w:r>
          <w:rPr>
            <w:rStyle w:val="Hyperlink"/>
            <w:rFonts w:ascii="Times New Roman" w:hAnsi="Times New Roman"/>
          </w:rPr>
          <w:t>http://ec.europa.eu/research/participants/portal/desktop/en/opportunities/isfp/topics/isfp-2017-ag-env.html</w:t>
        </w:r>
      </w:hyperlink>
      <w:r>
        <w:rPr>
          <w:rFonts w:ascii="Times New Roman" w:hAnsi="Times New Roman"/>
        </w:rPr>
        <w:t xml:space="preserve"> </w:t>
      </w:r>
    </w:p>
  </w:footnote>
  <w:footnote w:id="17">
    <w:p>
      <w:pPr>
        <w:pStyle w:val="FootnoteText"/>
        <w:tabs>
          <w:tab w:val="left" w:pos="284"/>
        </w:tabs>
        <w:ind w:left="284" w:hanging="284"/>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hyperlink r:id="rId15">
        <w:r>
          <w:rPr>
            <w:rStyle w:val="Hyperlink"/>
            <w:rFonts w:ascii="Times New Roman" w:hAnsi="Times New Roman"/>
          </w:rPr>
          <w:t>https://ec.europa.eu/home-affairs/financing/fundings/security-and-safeguarding-liberties/internal-security-fund-police_en</w:t>
        </w:r>
      </w:hyperlink>
      <w:r>
        <w:rPr>
          <w:rFonts w:ascii="Times New Roman" w:hAnsi="Times New Roman"/>
        </w:rPr>
        <w:t xml:space="preserve"> </w:t>
      </w:r>
    </w:p>
  </w:footnote>
  <w:footnote w:id="18">
    <w:p>
      <w:pPr>
        <w:pStyle w:val="FootnoteText"/>
        <w:ind w:left="284" w:hanging="284"/>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Aplikace sítě pro bezpečnou výměnu informací (SIENA) je komunikační platforma pro donucovací orgány spravovaná agenturou Europol. </w:t>
      </w:r>
      <w:hyperlink r:id="rId16">
        <w:r>
          <w:rPr>
            <w:rStyle w:val="Hyperlink"/>
            <w:rFonts w:ascii="Times New Roman" w:hAnsi="Times New Roman"/>
          </w:rPr>
          <w:t>https://www.europol.europa.eu/activities-services/services-support/information-exchange/secure-information-exchange-network-application-siena</w:t>
        </w:r>
      </w:hyperlink>
      <w:r>
        <w:rPr>
          <w:rFonts w:ascii="Times New Roman" w:hAnsi="Times New Roman"/>
        </w:rPr>
        <w:t xml:space="preserve"> </w:t>
      </w:r>
    </w:p>
  </w:footnote>
  <w:footnote w:id="19">
    <w:p>
      <w:pPr>
        <w:pStyle w:val="FootnoteText"/>
        <w:ind w:left="284" w:hanging="284"/>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TRAFFIC je organizace občanské společnosti zabývající se otázkami souvisejícími s obchodem s volně žijícími a planě rostoucími druhy.</w:t>
      </w:r>
    </w:p>
  </w:footnote>
  <w:footnote w:id="20">
    <w:p>
      <w:pPr>
        <w:pStyle w:val="FootnoteText"/>
        <w:tabs>
          <w:tab w:val="left" w:pos="284"/>
        </w:tabs>
        <w:ind w:left="284" w:hanging="284"/>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Monitoring the Illegal Killing of Elephants (Sledování nezákonného zabíjení slonů). Viz: </w:t>
      </w:r>
      <w:hyperlink r:id="rId17">
        <w:r>
          <w:rPr>
            <w:rStyle w:val="Hyperlink"/>
            <w:rFonts w:ascii="Times New Roman" w:hAnsi="Times New Roman"/>
          </w:rPr>
          <w:t>https://cites.org/eng/prog/mike/index.php</w:t>
        </w:r>
      </w:hyperlink>
      <w:r>
        <w:rPr>
          <w:rFonts w:ascii="Times New Roman" w:hAnsi="Times New Roman"/>
        </w:rPr>
        <w:t xml:space="preserve"> </w:t>
      </w:r>
    </w:p>
  </w:footnote>
  <w:footnote w:id="21">
    <w:p>
      <w:pPr>
        <w:pStyle w:val="FootnoteText"/>
        <w:tabs>
          <w:tab w:val="left" w:pos="284"/>
        </w:tabs>
        <w:ind w:left="284" w:right="-164" w:hanging="284"/>
        <w:rPr>
          <w:rFonts w:ascii="Times New Roman" w:hAnsi="Times New Roman" w:cs="Times New Roman"/>
        </w:rPr>
      </w:pPr>
      <w:r>
        <w:rPr>
          <w:rStyle w:val="FootnoteReference"/>
          <w:rFonts w:ascii="Times New Roman" w:hAnsi="Times New Roman"/>
        </w:rPr>
        <w:footnoteRef/>
      </w:r>
      <w:r>
        <w:tab/>
      </w:r>
      <w:hyperlink r:id="rId18">
        <w:r>
          <w:rPr>
            <w:rStyle w:val="Hyperlink"/>
            <w:rFonts w:ascii="Times New Roman" w:hAnsi="Times New Roman"/>
          </w:rPr>
          <w:t>http://www.africanelephantfund.org/</w:t>
        </w:r>
      </w:hyperlink>
    </w:p>
  </w:footnote>
  <w:footnote w:id="22">
    <w:p>
      <w:pPr>
        <w:pStyle w:val="FootnoteText"/>
        <w:tabs>
          <w:tab w:val="left" w:pos="284"/>
        </w:tabs>
        <w:ind w:left="284" w:hanging="284"/>
        <w:rPr>
          <w:rFonts w:ascii="Times New Roman" w:hAnsi="Times New Roman" w:cs="Times New Roman"/>
          <w:lang w:val="pt-PT"/>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Všeobecný systém preferencí – </w:t>
      </w:r>
      <w:hyperlink r:id="rId19">
        <w:r>
          <w:rPr>
            <w:rStyle w:val="Hyperlink"/>
            <w:rFonts w:ascii="Times New Roman" w:hAnsi="Times New Roman"/>
          </w:rPr>
          <w:t>http://ec.europa.eu/trade/policy/countries-and-regions/development/generalised-scheme-of-preferences/index_en.htm</w:t>
        </w:r>
      </w:hyperlink>
    </w:p>
  </w:footnote>
  <w:footnote w:id="23">
    <w:p>
      <w:pPr>
        <w:pStyle w:val="FootnoteText"/>
        <w:tabs>
          <w:tab w:val="left" w:pos="284"/>
        </w:tabs>
        <w:ind w:left="284" w:hanging="284"/>
        <w:rPr>
          <w:rFonts w:ascii="Times New Roman" w:hAnsi="Times New Roman" w:cs="Times New Roman"/>
          <w:lang w:val="pt-PT"/>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Sdružení národů jihovýchodní Asie.</w:t>
      </w:r>
    </w:p>
  </w:footnote>
  <w:footnote w:id="24">
    <w:p>
      <w:pPr>
        <w:pStyle w:val="FootnoteText"/>
        <w:tabs>
          <w:tab w:val="left" w:pos="142"/>
          <w:tab w:val="left" w:pos="284"/>
        </w:tabs>
        <w:ind w:left="284" w:right="-448" w:hanging="284"/>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hyperlink r:id="rId20">
        <w:r>
          <w:rPr>
            <w:rStyle w:val="Hyperlink"/>
            <w:rFonts w:ascii="Times New Roman" w:hAnsi="Times New Roman"/>
          </w:rPr>
          <w:t>http://www.illegalwildlifetrade.net/2017/11/24/london-2018-illegal-wildlife-trade-conference-oct-10-11-2018/</w:t>
        </w:r>
      </w:hyperlink>
      <w:r>
        <w:rPr>
          <w:rFonts w:ascii="Times New Roman" w:hAnsi="Times New Roman"/>
        </w:rPr>
        <w:t xml:space="preserve"> </w:t>
      </w:r>
    </w:p>
  </w:footnote>
  <w:footnote w:id="25">
    <w:p>
      <w:pPr>
        <w:pStyle w:val="FootnoteText"/>
        <w:ind w:left="284" w:hanging="284"/>
        <w:rPr>
          <w:rFonts w:ascii="Times New Roman" w:hAnsi="Times New Roman" w:cs="Times New Roman"/>
          <w:lang w:val="fr-BE"/>
        </w:rPr>
      </w:pPr>
      <w:r>
        <w:rPr>
          <w:rStyle w:val="FootnoteReference"/>
          <w:rFonts w:ascii="Times New Roman" w:hAnsi="Times New Roman"/>
        </w:rPr>
        <w:footnoteRef/>
      </w:r>
      <w:r>
        <w:tab/>
      </w:r>
      <w:r>
        <w:rPr>
          <w:rFonts w:ascii="Times New Roman" w:hAnsi="Times New Roman"/>
        </w:rPr>
        <w:t xml:space="preserve"> </w:t>
      </w:r>
      <w:hyperlink r:id="rId21">
        <w:r>
          <w:rPr>
            <w:rStyle w:val="Hyperlink"/>
            <w:rFonts w:ascii="Times New Roman" w:hAnsi="Times New Roman"/>
          </w:rPr>
          <w:t>https://sustainabledevelopment.un.org/sdg15</w:t>
        </w:r>
      </w:hyperlink>
      <w:r>
        <w:rPr>
          <w:rFonts w:ascii="Times New Roman" w:hAnsi="Times New Roman"/>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D2707F"/>
    <w:multiLevelType w:val="hybridMultilevel"/>
    <w:tmpl w:val="F60850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BC6068A"/>
    <w:multiLevelType w:val="hybridMultilevel"/>
    <w:tmpl w:val="1B6EB12A"/>
    <w:lvl w:ilvl="0" w:tplc="31C84D26">
      <w:numFmt w:val="bullet"/>
      <w:lvlText w:val="-"/>
      <w:lvlJc w:val="left"/>
      <w:pPr>
        <w:ind w:left="720" w:hanging="36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nsid w:val="3C664E28"/>
    <w:multiLevelType w:val="hybridMultilevel"/>
    <w:tmpl w:val="14906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6277E0B"/>
    <w:multiLevelType w:val="hybridMultilevel"/>
    <w:tmpl w:val="922063D0"/>
    <w:lvl w:ilvl="0" w:tplc="FBA6AF8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7456F6D"/>
    <w:multiLevelType w:val="hybridMultilevel"/>
    <w:tmpl w:val="935A4FA8"/>
    <w:lvl w:ilvl="0" w:tplc="13F29A44">
      <w:start w:val="4"/>
      <w:numFmt w:val="bullet"/>
      <w:lvlText w:val="-"/>
      <w:lvlJc w:val="left"/>
      <w:pPr>
        <w:ind w:left="720" w:hanging="360"/>
      </w:pPr>
      <w:rPr>
        <w:rFonts w:ascii="Arial" w:eastAsiaTheme="minorHAns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5">
    <w:nsid w:val="4EA731E8"/>
    <w:multiLevelType w:val="hybridMultilevel"/>
    <w:tmpl w:val="BF825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F2B5D3F"/>
    <w:multiLevelType w:val="hybridMultilevel"/>
    <w:tmpl w:val="5382F250"/>
    <w:lvl w:ilvl="0" w:tplc="08090001">
      <w:start w:val="1"/>
      <w:numFmt w:val="bullet"/>
      <w:lvlText w:val=""/>
      <w:lvlJc w:val="left"/>
      <w:pPr>
        <w:ind w:left="784" w:hanging="360"/>
      </w:pPr>
      <w:rPr>
        <w:rFonts w:ascii="Symbol" w:hAnsi="Symbol" w:hint="default"/>
      </w:rPr>
    </w:lvl>
    <w:lvl w:ilvl="1" w:tplc="08090003" w:tentative="1">
      <w:start w:val="1"/>
      <w:numFmt w:val="bullet"/>
      <w:lvlText w:val="o"/>
      <w:lvlJc w:val="left"/>
      <w:pPr>
        <w:ind w:left="1504" w:hanging="360"/>
      </w:pPr>
      <w:rPr>
        <w:rFonts w:ascii="Courier New" w:hAnsi="Courier New" w:cs="Courier New" w:hint="default"/>
      </w:rPr>
    </w:lvl>
    <w:lvl w:ilvl="2" w:tplc="08090005" w:tentative="1">
      <w:start w:val="1"/>
      <w:numFmt w:val="bullet"/>
      <w:lvlText w:val=""/>
      <w:lvlJc w:val="left"/>
      <w:pPr>
        <w:ind w:left="2224" w:hanging="360"/>
      </w:pPr>
      <w:rPr>
        <w:rFonts w:ascii="Wingdings" w:hAnsi="Wingdings" w:hint="default"/>
      </w:rPr>
    </w:lvl>
    <w:lvl w:ilvl="3" w:tplc="08090001" w:tentative="1">
      <w:start w:val="1"/>
      <w:numFmt w:val="bullet"/>
      <w:lvlText w:val=""/>
      <w:lvlJc w:val="left"/>
      <w:pPr>
        <w:ind w:left="2944" w:hanging="360"/>
      </w:pPr>
      <w:rPr>
        <w:rFonts w:ascii="Symbol" w:hAnsi="Symbol" w:hint="default"/>
      </w:rPr>
    </w:lvl>
    <w:lvl w:ilvl="4" w:tplc="08090003" w:tentative="1">
      <w:start w:val="1"/>
      <w:numFmt w:val="bullet"/>
      <w:lvlText w:val="o"/>
      <w:lvlJc w:val="left"/>
      <w:pPr>
        <w:ind w:left="3664" w:hanging="360"/>
      </w:pPr>
      <w:rPr>
        <w:rFonts w:ascii="Courier New" w:hAnsi="Courier New" w:cs="Courier New" w:hint="default"/>
      </w:rPr>
    </w:lvl>
    <w:lvl w:ilvl="5" w:tplc="08090005" w:tentative="1">
      <w:start w:val="1"/>
      <w:numFmt w:val="bullet"/>
      <w:lvlText w:val=""/>
      <w:lvlJc w:val="left"/>
      <w:pPr>
        <w:ind w:left="4384" w:hanging="360"/>
      </w:pPr>
      <w:rPr>
        <w:rFonts w:ascii="Wingdings" w:hAnsi="Wingdings" w:hint="default"/>
      </w:rPr>
    </w:lvl>
    <w:lvl w:ilvl="6" w:tplc="08090001" w:tentative="1">
      <w:start w:val="1"/>
      <w:numFmt w:val="bullet"/>
      <w:lvlText w:val=""/>
      <w:lvlJc w:val="left"/>
      <w:pPr>
        <w:ind w:left="5104" w:hanging="360"/>
      </w:pPr>
      <w:rPr>
        <w:rFonts w:ascii="Symbol" w:hAnsi="Symbol" w:hint="default"/>
      </w:rPr>
    </w:lvl>
    <w:lvl w:ilvl="7" w:tplc="08090003" w:tentative="1">
      <w:start w:val="1"/>
      <w:numFmt w:val="bullet"/>
      <w:lvlText w:val="o"/>
      <w:lvlJc w:val="left"/>
      <w:pPr>
        <w:ind w:left="5824" w:hanging="360"/>
      </w:pPr>
      <w:rPr>
        <w:rFonts w:ascii="Courier New" w:hAnsi="Courier New" w:cs="Courier New" w:hint="default"/>
      </w:rPr>
    </w:lvl>
    <w:lvl w:ilvl="8" w:tplc="08090005" w:tentative="1">
      <w:start w:val="1"/>
      <w:numFmt w:val="bullet"/>
      <w:lvlText w:val=""/>
      <w:lvlJc w:val="left"/>
      <w:pPr>
        <w:ind w:left="6544" w:hanging="360"/>
      </w:pPr>
      <w:rPr>
        <w:rFonts w:ascii="Wingdings" w:hAnsi="Wingdings" w:hint="default"/>
      </w:rPr>
    </w:lvl>
  </w:abstractNum>
  <w:abstractNum w:abstractNumId="7">
    <w:nsid w:val="624B34C2"/>
    <w:multiLevelType w:val="hybridMultilevel"/>
    <w:tmpl w:val="3934F26E"/>
    <w:lvl w:ilvl="0" w:tplc="08090001">
      <w:start w:val="1"/>
      <w:numFmt w:val="bullet"/>
      <w:lvlText w:val=""/>
      <w:lvlJc w:val="left"/>
      <w:pPr>
        <w:ind w:left="789" w:hanging="360"/>
      </w:pPr>
      <w:rPr>
        <w:rFonts w:ascii="Symbol" w:hAnsi="Symbol"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8">
    <w:nsid w:val="6E05164B"/>
    <w:multiLevelType w:val="hybridMultilevel"/>
    <w:tmpl w:val="5C349A6E"/>
    <w:lvl w:ilvl="0" w:tplc="721643CC">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715C23A0"/>
    <w:multiLevelType w:val="hybridMultilevel"/>
    <w:tmpl w:val="CF8253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nsid w:val="7DA90B60"/>
    <w:multiLevelType w:val="hybridMultilevel"/>
    <w:tmpl w:val="0C64A6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4"/>
  </w:num>
  <w:num w:numId="2">
    <w:abstractNumId w:val="5"/>
  </w:num>
  <w:num w:numId="3">
    <w:abstractNumId w:val="2"/>
  </w:num>
  <w:num w:numId="4">
    <w:abstractNumId w:val="8"/>
  </w:num>
  <w:num w:numId="5">
    <w:abstractNumId w:val="10"/>
  </w:num>
  <w:num w:numId="6">
    <w:abstractNumId w:val="9"/>
  </w:num>
  <w:num w:numId="7">
    <w:abstractNumId w:val="1"/>
  </w:num>
  <w:num w:numId="8">
    <w:abstractNumId w:val="6"/>
  </w:num>
  <w:num w:numId="9">
    <w:abstractNumId w:val="7"/>
  </w:num>
  <w:num w:numId="10">
    <w:abstractNumId w:val="0"/>
  </w:num>
  <w:num w:numId="11">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Leo">
    <w15:presenceInfo w15:providerId="None" w15:userId="Leo"/>
  </w15:person>
  <w15:person w15:author="FEEHAN Elena">
    <w15:presenceInfo w15:providerId="None" w15:userId="FEEHAN Elen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hideGrammaticalErrors/>
  <w:revisionView w:markup="0"/>
  <w:doNotTrackFormatting/>
  <w:defaultTabStop w:val="720"/>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A1028CFE-BCF5-42A6-920B-F2013AB9D09F"/>
    <w:docVar w:name="LW_COVERPAGE_TYPE" w:val="1"/>
    <w:docVar w:name="LW_CROSSREFERENCE" w:val="{SWD(2018) 452 final}"/>
    <w:docVar w:name="LW_DocType" w:val="NORMAL"/>
    <w:docVar w:name="LW_EMISSION" w:val="24.10.2018"/>
    <w:docVar w:name="LW_EMISSION_ISODATE" w:val="2018-10-24"/>
    <w:docVar w:name="LW_EMISSION_LOCATION" w:val="BRX"/>
    <w:docVar w:name="LW_EMISSION_PREFIX" w:val="V Bruselu dne "/>
    <w:docVar w:name="LW_EMISSION_SUFFIX" w:val=" "/>
    <w:docVar w:name="LW_ID_DOCTYPE_NONLW" w:val="CP-005"/>
    <w:docVar w:name="LW_LANGUE" w:val="CS"/>
    <w:docVar w:name="LW_LEVEL_OF_SENSITIVITY" w:val="Standard treatment"/>
    <w:docVar w:name="LW_NOM.INST" w:val="EVROPSKÁ KOMISE"/>
    <w:docVar w:name="LW_NOM.INST_JOINTDOC" w:val="&lt;EMPTY&gt;"/>
    <w:docVar w:name="LW_PART_NBR" w:val="1"/>
    <w:docVar w:name="LW_PART_NBR_TOTAL" w:val="1"/>
    <w:docVar w:name="LW_REF.INST.NEW" w:val="COM"/>
    <w:docVar w:name="LW_REF.INST.NEW_ADOPTED" w:val="final"/>
    <w:docVar w:name="LW_REF.INST.NEW_TEXT" w:val="(2018) 71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OUS.TITRE.OBJ.CP" w:val="&lt;UNUSED&gt;"/>
    <w:docVar w:name="LW_SUPERTITRE" w:val="&lt;UNUSED&gt;"/>
    <w:docVar w:name="LW_TITRE.OBJ.CP" w:val="Zpráva o pokroku v provád\u283?ní _x000d__x000d__x000b_ak\u269?ního plánu EU pro boj proti nezákonnému obchodu s voln\u283? \u382?ijícími a plan\u283? rostoucími druhy"/>
    <w:docVar w:name="LW_TYPE.DOC.CP" w:val="ZPRÁVA KOMISE RAD\u282? A EVROPSKÉMU PARLAMENTU"/>
  </w:docVar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4"/>
        <w:szCs w:val="24"/>
        <w:lang w:val="cs-CZ" w:eastAsia="cs-CZ" w:bidi="cs-CZ"/>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heme="minorHAnsi" w:eastAsiaTheme="minorHAnsi" w:hAnsiTheme="minorHAnsi" w:cstheme="minorBidi"/>
      <w:sz w:val="22"/>
      <w:szCs w:val="22"/>
    </w:rPr>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535"/>
        <w:tab w:val="right" w:pos="9071"/>
      </w:tabs>
      <w:spacing w:after="120" w:line="240" w:lineRule="auto"/>
      <w:jc w:val="both"/>
    </w:pPr>
    <w:rPr>
      <w:rFonts w:ascii="Times New Roman" w:hAnsi="Times New Roman" w:cs="Times New Roman"/>
      <w:sz w:val="24"/>
    </w:rPr>
  </w:style>
  <w:style w:type="character" w:customStyle="1" w:styleId="HeaderChar">
    <w:name w:val="Header Char"/>
    <w:basedOn w:val="DefaultParagraphFont"/>
    <w:link w:val="Header"/>
    <w:uiPriority w:val="99"/>
    <w:rPr>
      <w:rFonts w:eastAsiaTheme="minorHAnsi"/>
      <w:szCs w:val="22"/>
    </w:rPr>
  </w:style>
  <w:style w:type="paragraph" w:styleId="Footer">
    <w:name w:val="footer"/>
    <w:basedOn w:val="Normal"/>
    <w:link w:val="FooterChar"/>
    <w:uiPriority w:val="99"/>
    <w:unhideWhenUse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har">
    <w:name w:val="Footer Char"/>
    <w:basedOn w:val="DefaultParagraphFont"/>
    <w:link w:val="Footer"/>
    <w:uiPriority w:val="99"/>
    <w:rPr>
      <w:rFonts w:eastAsiaTheme="minorHAnsi"/>
      <w:szCs w:val="22"/>
    </w:rPr>
  </w:style>
  <w:style w:type="paragraph" w:customStyle="1" w:styleId="Typedudocument">
    <w:name w:val="Type du document"/>
    <w:basedOn w:val="Normal"/>
    <w:next w:val="Normal"/>
    <w:link w:val="TypedudocumentChar"/>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sz w:val="24"/>
    </w:rPr>
  </w:style>
  <w:style w:type="character" w:customStyle="1" w:styleId="TypedudocumentChar">
    <w:name w:val="Type du document Char"/>
    <w:basedOn w:val="DefaultParagraphFont"/>
    <w:link w:val="Typedudocument"/>
    <w:rPr>
      <w:rFonts w:eastAsiaTheme="minorHAnsi"/>
      <w:b/>
      <w:szCs w:val="22"/>
    </w:rPr>
  </w:style>
  <w:style w:type="paragraph" w:styleId="ListParagraph">
    <w:name w:val="List Paragraph"/>
    <w:basedOn w:val="Normal"/>
    <w:uiPriority w:val="34"/>
    <w:qFormat/>
    <w:pPr>
      <w:ind w:left="720"/>
    </w:pPr>
    <w:rPr>
      <w:rFonts w:ascii="Calibri" w:hAnsi="Calibri" w:cs="Times New Roman"/>
    </w:rPr>
  </w:style>
  <w:style w:type="table" w:styleId="TableGrid">
    <w:name w:val="Table Grid"/>
    <w:basedOn w:val="TableNormal"/>
    <w:uiPriority w:val="59"/>
    <w:pPr>
      <w:spacing w:after="0" w:line="240" w:lineRule="auto"/>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pPr>
      <w:spacing w:after="160" w:line="240" w:lineRule="auto"/>
    </w:pPr>
    <w:rPr>
      <w:sz w:val="20"/>
      <w:szCs w:val="20"/>
    </w:rPr>
  </w:style>
  <w:style w:type="character" w:customStyle="1" w:styleId="CommentTextChar">
    <w:name w:val="Comment Text Char"/>
    <w:basedOn w:val="DefaultParagraphFont"/>
    <w:link w:val="CommentText"/>
    <w:uiPriority w:val="99"/>
    <w:semiHidden/>
    <w:rPr>
      <w:rFonts w:asciiTheme="minorHAnsi" w:eastAsiaTheme="minorHAnsi" w:hAnsiTheme="minorHAnsi" w:cstheme="minorBidi"/>
      <w:sz w:val="20"/>
      <w:szCs w:val="20"/>
    </w:rPr>
  </w:style>
  <w:style w:type="character" w:styleId="CommentReference">
    <w:name w:val="annotation reference"/>
    <w:basedOn w:val="DefaultParagraphFont"/>
    <w:uiPriority w:val="99"/>
    <w:semiHidden/>
    <w:unhideWhenUsed/>
    <w:rPr>
      <w:sz w:val="16"/>
      <w:szCs w:val="16"/>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rFonts w:asciiTheme="minorHAnsi" w:eastAsiaTheme="minorHAnsi" w:hAnsiTheme="minorHAnsi" w:cstheme="minorBidi"/>
      <w:sz w:val="20"/>
      <w:szCs w:val="20"/>
    </w:rPr>
  </w:style>
  <w:style w:type="character" w:styleId="FootnoteReference">
    <w:name w:val="footnote reference"/>
    <w:basedOn w:val="DefaultParagraphFont"/>
    <w:uiPriority w:val="99"/>
    <w:semiHidden/>
    <w:unhideWhenUsed/>
    <w:rPr>
      <w:vertAlign w:val="superscript"/>
    </w:rPr>
  </w:style>
  <w:style w:type="paragraph" w:styleId="Revision">
    <w:name w:val="Revision"/>
    <w:hidden/>
    <w:uiPriority w:val="99"/>
    <w:semiHidden/>
    <w:pPr>
      <w:spacing w:after="0" w:line="240" w:lineRule="auto"/>
    </w:pPr>
    <w:rPr>
      <w:rFonts w:asciiTheme="minorHAnsi" w:eastAsiaTheme="minorHAnsi" w:hAnsiTheme="minorHAnsi" w:cstheme="minorBidi"/>
      <w:sz w:val="22"/>
      <w:szCs w:val="22"/>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heme="minorHAnsi" w:hAnsi="Tahoma" w:cs="Tahoma"/>
      <w:sz w:val="16"/>
      <w:szCs w:val="16"/>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TypedudocumentChar"/>
    <w:link w:val="FooterCoverPage"/>
    <w:rPr>
      <w:rFonts w:eastAsiaTheme="minorHAnsi"/>
      <w:b w:val="0"/>
      <w:szCs w:val="2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TypedudocumentChar"/>
    <w:link w:val="HeaderCoverPage"/>
    <w:rPr>
      <w:rFonts w:eastAsiaTheme="minorHAnsi"/>
      <w:b w:val="0"/>
      <w:szCs w:val="22"/>
    </w:rPr>
  </w:style>
  <w:style w:type="paragraph" w:styleId="CommentSubject">
    <w:name w:val="annotation subject"/>
    <w:basedOn w:val="CommentText"/>
    <w:next w:val="CommentText"/>
    <w:link w:val="CommentSubjectChar"/>
    <w:uiPriority w:val="99"/>
    <w:semiHidden/>
    <w:unhideWhenUsed/>
    <w:pPr>
      <w:spacing w:after="200"/>
    </w:pPr>
    <w:rPr>
      <w:b/>
      <w:bCs/>
    </w:rPr>
  </w:style>
  <w:style w:type="character" w:customStyle="1" w:styleId="CommentSubjectChar">
    <w:name w:val="Comment Subject Char"/>
    <w:basedOn w:val="CommentTextChar"/>
    <w:link w:val="CommentSubject"/>
    <w:uiPriority w:val="99"/>
    <w:semiHidden/>
    <w:rPr>
      <w:rFonts w:asciiTheme="minorHAnsi" w:eastAsiaTheme="minorHAnsi" w:hAnsiTheme="minorHAnsi" w:cstheme="minorBidi"/>
      <w:b/>
      <w:bCs/>
      <w:sz w:val="20"/>
      <w:szCs w:val="20"/>
    </w:rPr>
  </w:style>
  <w:style w:type="paragraph" w:customStyle="1" w:styleId="Default">
    <w:name w:val="Default"/>
    <w:pPr>
      <w:autoSpaceDE w:val="0"/>
      <w:autoSpaceDN w:val="0"/>
      <w:adjustRightInd w:val="0"/>
      <w:spacing w:after="0" w:line="240" w:lineRule="auto"/>
    </w:pPr>
    <w:rPr>
      <w:rFonts w:ascii="Arial" w:hAnsi="Arial" w:cs="Arial"/>
      <w:color w:val="000000"/>
    </w:rPr>
  </w:style>
  <w:style w:type="character" w:styleId="Hyperlink">
    <w:name w:val="Hyperlink"/>
    <w:basedOn w:val="DefaultParagraphFont"/>
    <w:uiPriority w:val="99"/>
    <w:unhideWhenUsed/>
    <w:rPr>
      <w:color w:val="0000FF" w:themeColor="hyperlink"/>
      <w:u w:val="single"/>
    </w:rPr>
  </w:style>
  <w:style w:type="character" w:styleId="Emphasis">
    <w:name w:val="Emphasis"/>
    <w:basedOn w:val="DefaultParagraphFont"/>
    <w:uiPriority w:val="20"/>
    <w:qFormat/>
    <w:rPr>
      <w:b/>
      <w:bCs/>
      <w:i w:val="0"/>
      <w:iCs w:val="0"/>
    </w:rPr>
  </w:style>
  <w:style w:type="paragraph" w:customStyle="1" w:styleId="Declassification">
    <w:name w:val="Declassification"/>
    <w:basedOn w:val="Normal"/>
    <w:next w:val="Normal"/>
    <w:pPr>
      <w:spacing w:after="0" w:line="240" w:lineRule="auto"/>
      <w:jc w:val="both"/>
    </w:pPr>
    <w:rPr>
      <w:rFonts w:ascii="Times New Roman" w:hAnsi="Times New Roman" w:cs="Times New Roman"/>
      <w:sz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hAnsi="Times New Roman" w:cs="Times New Roman"/>
      <w:sz w:val="24"/>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styleId="FollowedHyperlink">
    <w:name w:val="FollowedHyperlink"/>
    <w:basedOn w:val="DefaultParagraphFont"/>
    <w:uiPriority w:val="99"/>
    <w:semiHidden/>
    <w:unhideWhenUsed/>
    <w:rPr>
      <w:color w:val="800080" w:themeColor="followedHyperlink"/>
      <w:u w:val="single"/>
    </w:rPr>
  </w:style>
  <w:style w:type="paragraph" w:styleId="BodyTextIndent">
    <w:name w:val="Body Text Indent"/>
    <w:basedOn w:val="Normal"/>
    <w:link w:val="BodyTextIndentChar"/>
    <w:pPr>
      <w:spacing w:after="120" w:line="240" w:lineRule="auto"/>
      <w:ind w:left="283"/>
      <w:jc w:val="both"/>
    </w:pPr>
    <w:rPr>
      <w:rFonts w:ascii="Times New Roman" w:eastAsia="Times New Roman" w:hAnsi="Times New Roman" w:cs="Times New Roman"/>
      <w:sz w:val="24"/>
      <w:szCs w:val="20"/>
    </w:rPr>
  </w:style>
  <w:style w:type="character" w:customStyle="1" w:styleId="BodyTextIndentChar">
    <w:name w:val="Body Text Indent Char"/>
    <w:basedOn w:val="DefaultParagraphFont"/>
    <w:link w:val="BodyTextIndent"/>
    <w:rPr>
      <w:rFonts w:eastAsia="Times New Roman"/>
      <w:szCs w:val="20"/>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character" w:styleId="Strong">
    <w:name w:val="Strong"/>
    <w:basedOn w:val="DefaultParagraphFont"/>
    <w:uiPriority w:val="22"/>
    <w:qFormat/>
    <w:rPr>
      <w:b/>
      <w:bCs/>
    </w:rPr>
  </w:style>
  <w:style w:type="character" w:customStyle="1" w:styleId="Mentionnonrsolue1">
    <w:name w:val="Mention non résolue1"/>
    <w:basedOn w:val="DefaultParagraphFont"/>
    <w:uiPriority w:val="99"/>
    <w:semiHidden/>
    <w:unhideWhenUsed/>
    <w:rPr>
      <w:color w:val="808080"/>
      <w:shd w:val="clear" w:color="auto" w:fill="E6E6E6"/>
    </w:rPr>
  </w:style>
  <w:style w:type="character" w:customStyle="1" w:styleId="y0nh2b">
    <w:name w:val="y0nh2b"/>
  </w:style>
  <w:style w:type="character" w:customStyle="1" w:styleId="NichtaufgelsteErwhnung1">
    <w:name w:val="Nicht aufgelöste Erwähnung1"/>
    <w:basedOn w:val="DefaultParagraphFont"/>
    <w:uiPriority w:val="99"/>
    <w:semiHidden/>
    <w:unhideWhenUsed/>
    <w:rPr>
      <w:color w:val="808080"/>
      <w:shd w:val="clear" w:color="auto" w:fill="E6E6E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4"/>
        <w:szCs w:val="24"/>
        <w:lang w:val="cs-CZ" w:eastAsia="cs-CZ" w:bidi="cs-CZ"/>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heme="minorHAnsi" w:eastAsiaTheme="minorHAnsi" w:hAnsiTheme="minorHAnsi" w:cstheme="minorBidi"/>
      <w:sz w:val="22"/>
      <w:szCs w:val="22"/>
    </w:rPr>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535"/>
        <w:tab w:val="right" w:pos="9071"/>
      </w:tabs>
      <w:spacing w:after="120" w:line="240" w:lineRule="auto"/>
      <w:jc w:val="both"/>
    </w:pPr>
    <w:rPr>
      <w:rFonts w:ascii="Times New Roman" w:hAnsi="Times New Roman" w:cs="Times New Roman"/>
      <w:sz w:val="24"/>
    </w:rPr>
  </w:style>
  <w:style w:type="character" w:customStyle="1" w:styleId="HeaderChar">
    <w:name w:val="Header Char"/>
    <w:basedOn w:val="DefaultParagraphFont"/>
    <w:link w:val="Header"/>
    <w:uiPriority w:val="99"/>
    <w:rPr>
      <w:rFonts w:eastAsiaTheme="minorHAnsi"/>
      <w:szCs w:val="22"/>
    </w:rPr>
  </w:style>
  <w:style w:type="paragraph" w:styleId="Footer">
    <w:name w:val="footer"/>
    <w:basedOn w:val="Normal"/>
    <w:link w:val="FooterChar"/>
    <w:uiPriority w:val="99"/>
    <w:unhideWhenUse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har">
    <w:name w:val="Footer Char"/>
    <w:basedOn w:val="DefaultParagraphFont"/>
    <w:link w:val="Footer"/>
    <w:uiPriority w:val="99"/>
    <w:rPr>
      <w:rFonts w:eastAsiaTheme="minorHAnsi"/>
      <w:szCs w:val="22"/>
    </w:rPr>
  </w:style>
  <w:style w:type="paragraph" w:customStyle="1" w:styleId="Typedudocument">
    <w:name w:val="Type du document"/>
    <w:basedOn w:val="Normal"/>
    <w:next w:val="Normal"/>
    <w:link w:val="TypedudocumentChar"/>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sz w:val="24"/>
    </w:rPr>
  </w:style>
  <w:style w:type="character" w:customStyle="1" w:styleId="TypedudocumentChar">
    <w:name w:val="Type du document Char"/>
    <w:basedOn w:val="DefaultParagraphFont"/>
    <w:link w:val="Typedudocument"/>
    <w:rPr>
      <w:rFonts w:eastAsiaTheme="minorHAnsi"/>
      <w:b/>
      <w:szCs w:val="22"/>
    </w:rPr>
  </w:style>
  <w:style w:type="paragraph" w:styleId="ListParagraph">
    <w:name w:val="List Paragraph"/>
    <w:basedOn w:val="Normal"/>
    <w:uiPriority w:val="34"/>
    <w:qFormat/>
    <w:pPr>
      <w:ind w:left="720"/>
    </w:pPr>
    <w:rPr>
      <w:rFonts w:ascii="Calibri" w:hAnsi="Calibri" w:cs="Times New Roman"/>
    </w:rPr>
  </w:style>
  <w:style w:type="table" w:styleId="TableGrid">
    <w:name w:val="Table Grid"/>
    <w:basedOn w:val="TableNormal"/>
    <w:uiPriority w:val="59"/>
    <w:pPr>
      <w:spacing w:after="0" w:line="240" w:lineRule="auto"/>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pPr>
      <w:spacing w:after="160" w:line="240" w:lineRule="auto"/>
    </w:pPr>
    <w:rPr>
      <w:sz w:val="20"/>
      <w:szCs w:val="20"/>
    </w:rPr>
  </w:style>
  <w:style w:type="character" w:customStyle="1" w:styleId="CommentTextChar">
    <w:name w:val="Comment Text Char"/>
    <w:basedOn w:val="DefaultParagraphFont"/>
    <w:link w:val="CommentText"/>
    <w:uiPriority w:val="99"/>
    <w:semiHidden/>
    <w:rPr>
      <w:rFonts w:asciiTheme="minorHAnsi" w:eastAsiaTheme="minorHAnsi" w:hAnsiTheme="minorHAnsi" w:cstheme="minorBidi"/>
      <w:sz w:val="20"/>
      <w:szCs w:val="20"/>
    </w:rPr>
  </w:style>
  <w:style w:type="character" w:styleId="CommentReference">
    <w:name w:val="annotation reference"/>
    <w:basedOn w:val="DefaultParagraphFont"/>
    <w:uiPriority w:val="99"/>
    <w:semiHidden/>
    <w:unhideWhenUsed/>
    <w:rPr>
      <w:sz w:val="16"/>
      <w:szCs w:val="16"/>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rFonts w:asciiTheme="minorHAnsi" w:eastAsiaTheme="minorHAnsi" w:hAnsiTheme="minorHAnsi" w:cstheme="minorBidi"/>
      <w:sz w:val="20"/>
      <w:szCs w:val="20"/>
    </w:rPr>
  </w:style>
  <w:style w:type="character" w:styleId="FootnoteReference">
    <w:name w:val="footnote reference"/>
    <w:basedOn w:val="DefaultParagraphFont"/>
    <w:uiPriority w:val="99"/>
    <w:semiHidden/>
    <w:unhideWhenUsed/>
    <w:rPr>
      <w:vertAlign w:val="superscript"/>
    </w:rPr>
  </w:style>
  <w:style w:type="paragraph" w:styleId="Revision">
    <w:name w:val="Revision"/>
    <w:hidden/>
    <w:uiPriority w:val="99"/>
    <w:semiHidden/>
    <w:pPr>
      <w:spacing w:after="0" w:line="240" w:lineRule="auto"/>
    </w:pPr>
    <w:rPr>
      <w:rFonts w:asciiTheme="minorHAnsi" w:eastAsiaTheme="minorHAnsi" w:hAnsiTheme="minorHAnsi" w:cstheme="minorBidi"/>
      <w:sz w:val="22"/>
      <w:szCs w:val="22"/>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heme="minorHAnsi" w:hAnsi="Tahoma" w:cs="Tahoma"/>
      <w:sz w:val="16"/>
      <w:szCs w:val="16"/>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TypedudocumentChar"/>
    <w:link w:val="FooterCoverPage"/>
    <w:rPr>
      <w:rFonts w:eastAsiaTheme="minorHAnsi"/>
      <w:b w:val="0"/>
      <w:szCs w:val="2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TypedudocumentChar"/>
    <w:link w:val="HeaderCoverPage"/>
    <w:rPr>
      <w:rFonts w:eastAsiaTheme="minorHAnsi"/>
      <w:b w:val="0"/>
      <w:szCs w:val="22"/>
    </w:rPr>
  </w:style>
  <w:style w:type="paragraph" w:styleId="CommentSubject">
    <w:name w:val="annotation subject"/>
    <w:basedOn w:val="CommentText"/>
    <w:next w:val="CommentText"/>
    <w:link w:val="CommentSubjectChar"/>
    <w:uiPriority w:val="99"/>
    <w:semiHidden/>
    <w:unhideWhenUsed/>
    <w:pPr>
      <w:spacing w:after="200"/>
    </w:pPr>
    <w:rPr>
      <w:b/>
      <w:bCs/>
    </w:rPr>
  </w:style>
  <w:style w:type="character" w:customStyle="1" w:styleId="CommentSubjectChar">
    <w:name w:val="Comment Subject Char"/>
    <w:basedOn w:val="CommentTextChar"/>
    <w:link w:val="CommentSubject"/>
    <w:uiPriority w:val="99"/>
    <w:semiHidden/>
    <w:rPr>
      <w:rFonts w:asciiTheme="minorHAnsi" w:eastAsiaTheme="minorHAnsi" w:hAnsiTheme="minorHAnsi" w:cstheme="minorBidi"/>
      <w:b/>
      <w:bCs/>
      <w:sz w:val="20"/>
      <w:szCs w:val="20"/>
    </w:rPr>
  </w:style>
  <w:style w:type="paragraph" w:customStyle="1" w:styleId="Default">
    <w:name w:val="Default"/>
    <w:pPr>
      <w:autoSpaceDE w:val="0"/>
      <w:autoSpaceDN w:val="0"/>
      <w:adjustRightInd w:val="0"/>
      <w:spacing w:after="0" w:line="240" w:lineRule="auto"/>
    </w:pPr>
    <w:rPr>
      <w:rFonts w:ascii="Arial" w:hAnsi="Arial" w:cs="Arial"/>
      <w:color w:val="000000"/>
    </w:rPr>
  </w:style>
  <w:style w:type="character" w:styleId="Hyperlink">
    <w:name w:val="Hyperlink"/>
    <w:basedOn w:val="DefaultParagraphFont"/>
    <w:uiPriority w:val="99"/>
    <w:unhideWhenUsed/>
    <w:rPr>
      <w:color w:val="0000FF" w:themeColor="hyperlink"/>
      <w:u w:val="single"/>
    </w:rPr>
  </w:style>
  <w:style w:type="character" w:styleId="Emphasis">
    <w:name w:val="Emphasis"/>
    <w:basedOn w:val="DefaultParagraphFont"/>
    <w:uiPriority w:val="20"/>
    <w:qFormat/>
    <w:rPr>
      <w:b/>
      <w:bCs/>
      <w:i w:val="0"/>
      <w:iCs w:val="0"/>
    </w:rPr>
  </w:style>
  <w:style w:type="paragraph" w:customStyle="1" w:styleId="Declassification">
    <w:name w:val="Declassification"/>
    <w:basedOn w:val="Normal"/>
    <w:next w:val="Normal"/>
    <w:pPr>
      <w:spacing w:after="0" w:line="240" w:lineRule="auto"/>
      <w:jc w:val="both"/>
    </w:pPr>
    <w:rPr>
      <w:rFonts w:ascii="Times New Roman" w:hAnsi="Times New Roman" w:cs="Times New Roman"/>
      <w:sz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hAnsi="Times New Roman" w:cs="Times New Roman"/>
      <w:sz w:val="24"/>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styleId="FollowedHyperlink">
    <w:name w:val="FollowedHyperlink"/>
    <w:basedOn w:val="DefaultParagraphFont"/>
    <w:uiPriority w:val="99"/>
    <w:semiHidden/>
    <w:unhideWhenUsed/>
    <w:rPr>
      <w:color w:val="800080" w:themeColor="followedHyperlink"/>
      <w:u w:val="single"/>
    </w:rPr>
  </w:style>
  <w:style w:type="paragraph" w:styleId="BodyTextIndent">
    <w:name w:val="Body Text Indent"/>
    <w:basedOn w:val="Normal"/>
    <w:link w:val="BodyTextIndentChar"/>
    <w:pPr>
      <w:spacing w:after="120" w:line="240" w:lineRule="auto"/>
      <w:ind w:left="283"/>
      <w:jc w:val="both"/>
    </w:pPr>
    <w:rPr>
      <w:rFonts w:ascii="Times New Roman" w:eastAsia="Times New Roman" w:hAnsi="Times New Roman" w:cs="Times New Roman"/>
      <w:sz w:val="24"/>
      <w:szCs w:val="20"/>
    </w:rPr>
  </w:style>
  <w:style w:type="character" w:customStyle="1" w:styleId="BodyTextIndentChar">
    <w:name w:val="Body Text Indent Char"/>
    <w:basedOn w:val="DefaultParagraphFont"/>
    <w:link w:val="BodyTextIndent"/>
    <w:rPr>
      <w:rFonts w:eastAsia="Times New Roman"/>
      <w:szCs w:val="20"/>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character" w:styleId="Strong">
    <w:name w:val="Strong"/>
    <w:basedOn w:val="DefaultParagraphFont"/>
    <w:uiPriority w:val="22"/>
    <w:qFormat/>
    <w:rPr>
      <w:b/>
      <w:bCs/>
    </w:rPr>
  </w:style>
  <w:style w:type="character" w:customStyle="1" w:styleId="Mentionnonrsolue1">
    <w:name w:val="Mention non résolue1"/>
    <w:basedOn w:val="DefaultParagraphFont"/>
    <w:uiPriority w:val="99"/>
    <w:semiHidden/>
    <w:unhideWhenUsed/>
    <w:rPr>
      <w:color w:val="808080"/>
      <w:shd w:val="clear" w:color="auto" w:fill="E6E6E6"/>
    </w:rPr>
  </w:style>
  <w:style w:type="character" w:customStyle="1" w:styleId="y0nh2b">
    <w:name w:val="y0nh2b"/>
  </w:style>
  <w:style w:type="character" w:customStyle="1" w:styleId="NichtaufgelsteErwhnung1">
    <w:name w:val="Nicht aufgelöste Erwähnung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428541">
      <w:bodyDiv w:val="1"/>
      <w:marLeft w:val="0"/>
      <w:marRight w:val="0"/>
      <w:marTop w:val="0"/>
      <w:marBottom w:val="0"/>
      <w:divBdr>
        <w:top w:val="none" w:sz="0" w:space="0" w:color="auto"/>
        <w:left w:val="none" w:sz="0" w:space="0" w:color="auto"/>
        <w:bottom w:val="none" w:sz="0" w:space="0" w:color="auto"/>
        <w:right w:val="none" w:sz="0" w:space="0" w:color="auto"/>
      </w:divBdr>
    </w:div>
    <w:div w:id="39014085">
      <w:bodyDiv w:val="1"/>
      <w:marLeft w:val="0"/>
      <w:marRight w:val="0"/>
      <w:marTop w:val="0"/>
      <w:marBottom w:val="0"/>
      <w:divBdr>
        <w:top w:val="none" w:sz="0" w:space="0" w:color="auto"/>
        <w:left w:val="none" w:sz="0" w:space="0" w:color="auto"/>
        <w:bottom w:val="none" w:sz="0" w:space="0" w:color="auto"/>
        <w:right w:val="none" w:sz="0" w:space="0" w:color="auto"/>
      </w:divBdr>
    </w:div>
    <w:div w:id="115294992">
      <w:bodyDiv w:val="1"/>
      <w:marLeft w:val="0"/>
      <w:marRight w:val="0"/>
      <w:marTop w:val="0"/>
      <w:marBottom w:val="0"/>
      <w:divBdr>
        <w:top w:val="none" w:sz="0" w:space="0" w:color="auto"/>
        <w:left w:val="none" w:sz="0" w:space="0" w:color="auto"/>
        <w:bottom w:val="none" w:sz="0" w:space="0" w:color="auto"/>
        <w:right w:val="none" w:sz="0" w:space="0" w:color="auto"/>
      </w:divBdr>
    </w:div>
    <w:div w:id="119424649">
      <w:bodyDiv w:val="1"/>
      <w:marLeft w:val="0"/>
      <w:marRight w:val="0"/>
      <w:marTop w:val="0"/>
      <w:marBottom w:val="0"/>
      <w:divBdr>
        <w:top w:val="none" w:sz="0" w:space="0" w:color="auto"/>
        <w:left w:val="none" w:sz="0" w:space="0" w:color="auto"/>
        <w:bottom w:val="none" w:sz="0" w:space="0" w:color="auto"/>
        <w:right w:val="none" w:sz="0" w:space="0" w:color="auto"/>
      </w:divBdr>
    </w:div>
    <w:div w:id="188761767">
      <w:bodyDiv w:val="1"/>
      <w:marLeft w:val="0"/>
      <w:marRight w:val="0"/>
      <w:marTop w:val="0"/>
      <w:marBottom w:val="0"/>
      <w:divBdr>
        <w:top w:val="none" w:sz="0" w:space="0" w:color="auto"/>
        <w:left w:val="none" w:sz="0" w:space="0" w:color="auto"/>
        <w:bottom w:val="none" w:sz="0" w:space="0" w:color="auto"/>
        <w:right w:val="none" w:sz="0" w:space="0" w:color="auto"/>
      </w:divBdr>
    </w:div>
    <w:div w:id="263657795">
      <w:bodyDiv w:val="1"/>
      <w:marLeft w:val="0"/>
      <w:marRight w:val="0"/>
      <w:marTop w:val="0"/>
      <w:marBottom w:val="0"/>
      <w:divBdr>
        <w:top w:val="none" w:sz="0" w:space="0" w:color="auto"/>
        <w:left w:val="none" w:sz="0" w:space="0" w:color="auto"/>
        <w:bottom w:val="none" w:sz="0" w:space="0" w:color="auto"/>
        <w:right w:val="none" w:sz="0" w:space="0" w:color="auto"/>
      </w:divBdr>
      <w:divsChild>
        <w:div w:id="1636254605">
          <w:marLeft w:val="0"/>
          <w:marRight w:val="0"/>
          <w:marTop w:val="0"/>
          <w:marBottom w:val="0"/>
          <w:divBdr>
            <w:top w:val="none" w:sz="0" w:space="0" w:color="auto"/>
            <w:left w:val="none" w:sz="0" w:space="0" w:color="auto"/>
            <w:bottom w:val="none" w:sz="0" w:space="0" w:color="auto"/>
            <w:right w:val="none" w:sz="0" w:space="0" w:color="auto"/>
          </w:divBdr>
          <w:divsChild>
            <w:div w:id="129326242">
              <w:marLeft w:val="0"/>
              <w:marRight w:val="0"/>
              <w:marTop w:val="0"/>
              <w:marBottom w:val="0"/>
              <w:divBdr>
                <w:top w:val="none" w:sz="0" w:space="0" w:color="auto"/>
                <w:left w:val="none" w:sz="0" w:space="0" w:color="auto"/>
                <w:bottom w:val="none" w:sz="0" w:space="0" w:color="auto"/>
                <w:right w:val="none" w:sz="0" w:space="0" w:color="auto"/>
              </w:divBdr>
              <w:divsChild>
                <w:div w:id="582641081">
                  <w:marLeft w:val="0"/>
                  <w:marRight w:val="0"/>
                  <w:marTop w:val="0"/>
                  <w:marBottom w:val="0"/>
                  <w:divBdr>
                    <w:top w:val="none" w:sz="0" w:space="0" w:color="auto"/>
                    <w:left w:val="none" w:sz="0" w:space="0" w:color="auto"/>
                    <w:bottom w:val="none" w:sz="0" w:space="0" w:color="auto"/>
                    <w:right w:val="none" w:sz="0" w:space="0" w:color="auto"/>
                  </w:divBdr>
                  <w:divsChild>
                    <w:div w:id="963729301">
                      <w:marLeft w:val="1"/>
                      <w:marRight w:val="1"/>
                      <w:marTop w:val="0"/>
                      <w:marBottom w:val="0"/>
                      <w:divBdr>
                        <w:top w:val="none" w:sz="0" w:space="0" w:color="auto"/>
                        <w:left w:val="none" w:sz="0" w:space="0" w:color="auto"/>
                        <w:bottom w:val="none" w:sz="0" w:space="0" w:color="auto"/>
                        <w:right w:val="none" w:sz="0" w:space="0" w:color="auto"/>
                      </w:divBdr>
                      <w:divsChild>
                        <w:div w:id="485248227">
                          <w:marLeft w:val="0"/>
                          <w:marRight w:val="0"/>
                          <w:marTop w:val="0"/>
                          <w:marBottom w:val="0"/>
                          <w:divBdr>
                            <w:top w:val="none" w:sz="0" w:space="0" w:color="auto"/>
                            <w:left w:val="none" w:sz="0" w:space="0" w:color="auto"/>
                            <w:bottom w:val="none" w:sz="0" w:space="0" w:color="auto"/>
                            <w:right w:val="none" w:sz="0" w:space="0" w:color="auto"/>
                          </w:divBdr>
                          <w:divsChild>
                            <w:div w:id="1150363791">
                              <w:marLeft w:val="0"/>
                              <w:marRight w:val="0"/>
                              <w:marTop w:val="0"/>
                              <w:marBottom w:val="360"/>
                              <w:divBdr>
                                <w:top w:val="none" w:sz="0" w:space="0" w:color="auto"/>
                                <w:left w:val="none" w:sz="0" w:space="0" w:color="auto"/>
                                <w:bottom w:val="none" w:sz="0" w:space="0" w:color="auto"/>
                                <w:right w:val="none" w:sz="0" w:space="0" w:color="auto"/>
                              </w:divBdr>
                              <w:divsChild>
                                <w:div w:id="934754483">
                                  <w:marLeft w:val="0"/>
                                  <w:marRight w:val="0"/>
                                  <w:marTop w:val="0"/>
                                  <w:marBottom w:val="0"/>
                                  <w:divBdr>
                                    <w:top w:val="none" w:sz="0" w:space="0" w:color="auto"/>
                                    <w:left w:val="none" w:sz="0" w:space="0" w:color="auto"/>
                                    <w:bottom w:val="none" w:sz="0" w:space="0" w:color="auto"/>
                                    <w:right w:val="none" w:sz="0" w:space="0" w:color="auto"/>
                                  </w:divBdr>
                                  <w:divsChild>
                                    <w:div w:id="1068068706">
                                      <w:marLeft w:val="0"/>
                                      <w:marRight w:val="0"/>
                                      <w:marTop w:val="0"/>
                                      <w:marBottom w:val="0"/>
                                      <w:divBdr>
                                        <w:top w:val="none" w:sz="0" w:space="0" w:color="auto"/>
                                        <w:left w:val="none" w:sz="0" w:space="0" w:color="auto"/>
                                        <w:bottom w:val="none" w:sz="0" w:space="0" w:color="auto"/>
                                        <w:right w:val="none" w:sz="0" w:space="0" w:color="auto"/>
                                      </w:divBdr>
                                      <w:divsChild>
                                        <w:div w:id="1571689508">
                                          <w:marLeft w:val="0"/>
                                          <w:marRight w:val="0"/>
                                          <w:marTop w:val="0"/>
                                          <w:marBottom w:val="0"/>
                                          <w:divBdr>
                                            <w:top w:val="none" w:sz="0" w:space="0" w:color="auto"/>
                                            <w:left w:val="none" w:sz="0" w:space="0" w:color="auto"/>
                                            <w:bottom w:val="none" w:sz="0" w:space="0" w:color="auto"/>
                                            <w:right w:val="none" w:sz="0" w:space="0" w:color="auto"/>
                                          </w:divBdr>
                                          <w:divsChild>
                                            <w:div w:id="462968837">
                                              <w:marLeft w:val="0"/>
                                              <w:marRight w:val="0"/>
                                              <w:marTop w:val="0"/>
                                              <w:marBottom w:val="0"/>
                                              <w:divBdr>
                                                <w:top w:val="none" w:sz="0" w:space="0" w:color="auto"/>
                                                <w:left w:val="none" w:sz="0" w:space="0" w:color="auto"/>
                                                <w:bottom w:val="none" w:sz="0" w:space="0" w:color="auto"/>
                                                <w:right w:val="none" w:sz="0" w:space="0" w:color="auto"/>
                                              </w:divBdr>
                                              <w:divsChild>
                                                <w:div w:id="613515057">
                                                  <w:marLeft w:val="0"/>
                                                  <w:marRight w:val="0"/>
                                                  <w:marTop w:val="0"/>
                                                  <w:marBottom w:val="0"/>
                                                  <w:divBdr>
                                                    <w:top w:val="none" w:sz="0" w:space="0" w:color="auto"/>
                                                    <w:left w:val="none" w:sz="0" w:space="0" w:color="auto"/>
                                                    <w:bottom w:val="none" w:sz="0" w:space="0" w:color="auto"/>
                                                    <w:right w:val="none" w:sz="0" w:space="0" w:color="auto"/>
                                                  </w:divBdr>
                                                  <w:divsChild>
                                                    <w:div w:id="387805890">
                                                      <w:marLeft w:val="0"/>
                                                      <w:marRight w:val="0"/>
                                                      <w:marTop w:val="0"/>
                                                      <w:marBottom w:val="0"/>
                                                      <w:divBdr>
                                                        <w:top w:val="none" w:sz="0" w:space="0" w:color="auto"/>
                                                        <w:left w:val="none" w:sz="0" w:space="0" w:color="auto"/>
                                                        <w:bottom w:val="none" w:sz="0" w:space="0" w:color="auto"/>
                                                        <w:right w:val="none" w:sz="0" w:space="0" w:color="auto"/>
                                                      </w:divBdr>
                                                      <w:divsChild>
                                                        <w:div w:id="721952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29421541">
      <w:bodyDiv w:val="1"/>
      <w:marLeft w:val="0"/>
      <w:marRight w:val="0"/>
      <w:marTop w:val="0"/>
      <w:marBottom w:val="0"/>
      <w:divBdr>
        <w:top w:val="none" w:sz="0" w:space="0" w:color="auto"/>
        <w:left w:val="none" w:sz="0" w:space="0" w:color="auto"/>
        <w:bottom w:val="none" w:sz="0" w:space="0" w:color="auto"/>
        <w:right w:val="none" w:sz="0" w:space="0" w:color="auto"/>
      </w:divBdr>
    </w:div>
    <w:div w:id="597063438">
      <w:bodyDiv w:val="1"/>
      <w:marLeft w:val="0"/>
      <w:marRight w:val="0"/>
      <w:marTop w:val="0"/>
      <w:marBottom w:val="0"/>
      <w:divBdr>
        <w:top w:val="none" w:sz="0" w:space="0" w:color="auto"/>
        <w:left w:val="none" w:sz="0" w:space="0" w:color="auto"/>
        <w:bottom w:val="none" w:sz="0" w:space="0" w:color="auto"/>
        <w:right w:val="none" w:sz="0" w:space="0" w:color="auto"/>
      </w:divBdr>
    </w:div>
    <w:div w:id="620068186">
      <w:bodyDiv w:val="1"/>
      <w:marLeft w:val="0"/>
      <w:marRight w:val="0"/>
      <w:marTop w:val="0"/>
      <w:marBottom w:val="0"/>
      <w:divBdr>
        <w:top w:val="none" w:sz="0" w:space="0" w:color="auto"/>
        <w:left w:val="none" w:sz="0" w:space="0" w:color="auto"/>
        <w:bottom w:val="none" w:sz="0" w:space="0" w:color="auto"/>
        <w:right w:val="none" w:sz="0" w:space="0" w:color="auto"/>
      </w:divBdr>
    </w:div>
    <w:div w:id="675351889">
      <w:bodyDiv w:val="1"/>
      <w:marLeft w:val="0"/>
      <w:marRight w:val="0"/>
      <w:marTop w:val="0"/>
      <w:marBottom w:val="0"/>
      <w:divBdr>
        <w:top w:val="none" w:sz="0" w:space="0" w:color="auto"/>
        <w:left w:val="none" w:sz="0" w:space="0" w:color="auto"/>
        <w:bottom w:val="none" w:sz="0" w:space="0" w:color="auto"/>
        <w:right w:val="none" w:sz="0" w:space="0" w:color="auto"/>
      </w:divBdr>
    </w:div>
    <w:div w:id="789519293">
      <w:bodyDiv w:val="1"/>
      <w:marLeft w:val="0"/>
      <w:marRight w:val="0"/>
      <w:marTop w:val="0"/>
      <w:marBottom w:val="0"/>
      <w:divBdr>
        <w:top w:val="none" w:sz="0" w:space="0" w:color="auto"/>
        <w:left w:val="none" w:sz="0" w:space="0" w:color="auto"/>
        <w:bottom w:val="none" w:sz="0" w:space="0" w:color="auto"/>
        <w:right w:val="none" w:sz="0" w:space="0" w:color="auto"/>
      </w:divBdr>
    </w:div>
    <w:div w:id="877468985">
      <w:bodyDiv w:val="1"/>
      <w:marLeft w:val="0"/>
      <w:marRight w:val="0"/>
      <w:marTop w:val="0"/>
      <w:marBottom w:val="0"/>
      <w:divBdr>
        <w:top w:val="none" w:sz="0" w:space="0" w:color="auto"/>
        <w:left w:val="none" w:sz="0" w:space="0" w:color="auto"/>
        <w:bottom w:val="none" w:sz="0" w:space="0" w:color="auto"/>
        <w:right w:val="none" w:sz="0" w:space="0" w:color="auto"/>
      </w:divBdr>
    </w:div>
    <w:div w:id="1097018684">
      <w:bodyDiv w:val="1"/>
      <w:marLeft w:val="0"/>
      <w:marRight w:val="0"/>
      <w:marTop w:val="0"/>
      <w:marBottom w:val="0"/>
      <w:divBdr>
        <w:top w:val="none" w:sz="0" w:space="0" w:color="auto"/>
        <w:left w:val="none" w:sz="0" w:space="0" w:color="auto"/>
        <w:bottom w:val="none" w:sz="0" w:space="0" w:color="auto"/>
        <w:right w:val="none" w:sz="0" w:space="0" w:color="auto"/>
      </w:divBdr>
    </w:div>
    <w:div w:id="1187250859">
      <w:bodyDiv w:val="1"/>
      <w:marLeft w:val="0"/>
      <w:marRight w:val="0"/>
      <w:marTop w:val="0"/>
      <w:marBottom w:val="0"/>
      <w:divBdr>
        <w:top w:val="none" w:sz="0" w:space="0" w:color="auto"/>
        <w:left w:val="none" w:sz="0" w:space="0" w:color="auto"/>
        <w:bottom w:val="none" w:sz="0" w:space="0" w:color="auto"/>
        <w:right w:val="none" w:sz="0" w:space="0" w:color="auto"/>
      </w:divBdr>
    </w:div>
    <w:div w:id="1268076028">
      <w:bodyDiv w:val="1"/>
      <w:marLeft w:val="0"/>
      <w:marRight w:val="0"/>
      <w:marTop w:val="0"/>
      <w:marBottom w:val="0"/>
      <w:divBdr>
        <w:top w:val="none" w:sz="0" w:space="0" w:color="auto"/>
        <w:left w:val="none" w:sz="0" w:space="0" w:color="auto"/>
        <w:bottom w:val="none" w:sz="0" w:space="0" w:color="auto"/>
        <w:right w:val="none" w:sz="0" w:space="0" w:color="auto"/>
      </w:divBdr>
    </w:div>
    <w:div w:id="1288782015">
      <w:bodyDiv w:val="1"/>
      <w:marLeft w:val="0"/>
      <w:marRight w:val="0"/>
      <w:marTop w:val="0"/>
      <w:marBottom w:val="0"/>
      <w:divBdr>
        <w:top w:val="none" w:sz="0" w:space="0" w:color="auto"/>
        <w:left w:val="none" w:sz="0" w:space="0" w:color="auto"/>
        <w:bottom w:val="none" w:sz="0" w:space="0" w:color="auto"/>
        <w:right w:val="none" w:sz="0" w:space="0" w:color="auto"/>
      </w:divBdr>
    </w:div>
    <w:div w:id="1336689269">
      <w:bodyDiv w:val="1"/>
      <w:marLeft w:val="0"/>
      <w:marRight w:val="0"/>
      <w:marTop w:val="0"/>
      <w:marBottom w:val="0"/>
      <w:divBdr>
        <w:top w:val="none" w:sz="0" w:space="0" w:color="auto"/>
        <w:left w:val="none" w:sz="0" w:space="0" w:color="auto"/>
        <w:bottom w:val="none" w:sz="0" w:space="0" w:color="auto"/>
        <w:right w:val="none" w:sz="0" w:space="0" w:color="auto"/>
      </w:divBdr>
    </w:div>
    <w:div w:id="1343705623">
      <w:bodyDiv w:val="1"/>
      <w:marLeft w:val="0"/>
      <w:marRight w:val="0"/>
      <w:marTop w:val="0"/>
      <w:marBottom w:val="0"/>
      <w:divBdr>
        <w:top w:val="none" w:sz="0" w:space="0" w:color="auto"/>
        <w:left w:val="none" w:sz="0" w:space="0" w:color="auto"/>
        <w:bottom w:val="none" w:sz="0" w:space="0" w:color="auto"/>
        <w:right w:val="none" w:sz="0" w:space="0" w:color="auto"/>
      </w:divBdr>
    </w:div>
    <w:div w:id="1392658797">
      <w:bodyDiv w:val="1"/>
      <w:marLeft w:val="0"/>
      <w:marRight w:val="0"/>
      <w:marTop w:val="0"/>
      <w:marBottom w:val="0"/>
      <w:divBdr>
        <w:top w:val="none" w:sz="0" w:space="0" w:color="auto"/>
        <w:left w:val="none" w:sz="0" w:space="0" w:color="auto"/>
        <w:bottom w:val="none" w:sz="0" w:space="0" w:color="auto"/>
        <w:right w:val="none" w:sz="0" w:space="0" w:color="auto"/>
      </w:divBdr>
    </w:div>
    <w:div w:id="1430731138">
      <w:bodyDiv w:val="1"/>
      <w:marLeft w:val="0"/>
      <w:marRight w:val="0"/>
      <w:marTop w:val="0"/>
      <w:marBottom w:val="0"/>
      <w:divBdr>
        <w:top w:val="none" w:sz="0" w:space="0" w:color="auto"/>
        <w:left w:val="none" w:sz="0" w:space="0" w:color="auto"/>
        <w:bottom w:val="none" w:sz="0" w:space="0" w:color="auto"/>
        <w:right w:val="none" w:sz="0" w:space="0" w:color="auto"/>
      </w:divBdr>
    </w:div>
    <w:div w:id="1573926003">
      <w:bodyDiv w:val="1"/>
      <w:marLeft w:val="0"/>
      <w:marRight w:val="0"/>
      <w:marTop w:val="0"/>
      <w:marBottom w:val="0"/>
      <w:divBdr>
        <w:top w:val="none" w:sz="0" w:space="0" w:color="auto"/>
        <w:left w:val="none" w:sz="0" w:space="0" w:color="auto"/>
        <w:bottom w:val="none" w:sz="0" w:space="0" w:color="auto"/>
        <w:right w:val="none" w:sz="0" w:space="0" w:color="auto"/>
      </w:divBdr>
    </w:div>
    <w:div w:id="1714112030">
      <w:bodyDiv w:val="1"/>
      <w:marLeft w:val="0"/>
      <w:marRight w:val="0"/>
      <w:marTop w:val="0"/>
      <w:marBottom w:val="0"/>
      <w:divBdr>
        <w:top w:val="none" w:sz="0" w:space="0" w:color="auto"/>
        <w:left w:val="none" w:sz="0" w:space="0" w:color="auto"/>
        <w:bottom w:val="none" w:sz="0" w:space="0" w:color="auto"/>
        <w:right w:val="none" w:sz="0" w:space="0" w:color="auto"/>
      </w:divBdr>
    </w:div>
    <w:div w:id="1795443209">
      <w:bodyDiv w:val="1"/>
      <w:marLeft w:val="0"/>
      <w:marRight w:val="0"/>
      <w:marTop w:val="0"/>
      <w:marBottom w:val="0"/>
      <w:divBdr>
        <w:top w:val="none" w:sz="0" w:space="0" w:color="auto"/>
        <w:left w:val="none" w:sz="0" w:space="0" w:color="auto"/>
        <w:bottom w:val="none" w:sz="0" w:space="0" w:color="auto"/>
        <w:right w:val="none" w:sz="0" w:space="0" w:color="auto"/>
      </w:divBdr>
    </w:div>
    <w:div w:id="1830628945">
      <w:bodyDiv w:val="1"/>
      <w:marLeft w:val="0"/>
      <w:marRight w:val="0"/>
      <w:marTop w:val="0"/>
      <w:marBottom w:val="0"/>
      <w:divBdr>
        <w:top w:val="none" w:sz="0" w:space="0" w:color="auto"/>
        <w:left w:val="none" w:sz="0" w:space="0" w:color="auto"/>
        <w:bottom w:val="none" w:sz="0" w:space="0" w:color="auto"/>
        <w:right w:val="none" w:sz="0" w:space="0" w:color="auto"/>
      </w:divBdr>
    </w:div>
    <w:div w:id="1867907613">
      <w:bodyDiv w:val="1"/>
      <w:marLeft w:val="0"/>
      <w:marRight w:val="0"/>
      <w:marTop w:val="0"/>
      <w:marBottom w:val="0"/>
      <w:divBdr>
        <w:top w:val="none" w:sz="0" w:space="0" w:color="auto"/>
        <w:left w:val="none" w:sz="0" w:space="0" w:color="auto"/>
        <w:bottom w:val="none" w:sz="0" w:space="0" w:color="auto"/>
        <w:right w:val="none" w:sz="0" w:space="0" w:color="auto"/>
      </w:divBdr>
    </w:div>
    <w:div w:id="1890606059">
      <w:bodyDiv w:val="1"/>
      <w:marLeft w:val="0"/>
      <w:marRight w:val="0"/>
      <w:marTop w:val="0"/>
      <w:marBottom w:val="0"/>
      <w:divBdr>
        <w:top w:val="none" w:sz="0" w:space="0" w:color="auto"/>
        <w:left w:val="none" w:sz="0" w:space="0" w:color="auto"/>
        <w:bottom w:val="none" w:sz="0" w:space="0" w:color="auto"/>
        <w:right w:val="none" w:sz="0" w:space="0" w:color="auto"/>
      </w:divBdr>
    </w:div>
    <w:div w:id="1924602786">
      <w:bodyDiv w:val="1"/>
      <w:marLeft w:val="0"/>
      <w:marRight w:val="0"/>
      <w:marTop w:val="0"/>
      <w:marBottom w:val="0"/>
      <w:divBdr>
        <w:top w:val="none" w:sz="0" w:space="0" w:color="auto"/>
        <w:left w:val="none" w:sz="0" w:space="0" w:color="auto"/>
        <w:bottom w:val="none" w:sz="0" w:space="0" w:color="auto"/>
        <w:right w:val="none" w:sz="0" w:space="0" w:color="auto"/>
      </w:divBdr>
      <w:divsChild>
        <w:div w:id="1144467739">
          <w:marLeft w:val="0"/>
          <w:marRight w:val="0"/>
          <w:marTop w:val="0"/>
          <w:marBottom w:val="0"/>
          <w:divBdr>
            <w:top w:val="none" w:sz="0" w:space="0" w:color="auto"/>
            <w:left w:val="none" w:sz="0" w:space="0" w:color="auto"/>
            <w:bottom w:val="none" w:sz="0" w:space="0" w:color="auto"/>
            <w:right w:val="none" w:sz="0" w:space="0" w:color="auto"/>
          </w:divBdr>
          <w:divsChild>
            <w:div w:id="141654733">
              <w:marLeft w:val="0"/>
              <w:marRight w:val="0"/>
              <w:marTop w:val="0"/>
              <w:marBottom w:val="0"/>
              <w:divBdr>
                <w:top w:val="none" w:sz="0" w:space="0" w:color="auto"/>
                <w:left w:val="none" w:sz="0" w:space="0" w:color="auto"/>
                <w:bottom w:val="none" w:sz="0" w:space="0" w:color="auto"/>
                <w:right w:val="none" w:sz="0" w:space="0" w:color="auto"/>
              </w:divBdr>
              <w:divsChild>
                <w:div w:id="640429933">
                  <w:marLeft w:val="0"/>
                  <w:marRight w:val="0"/>
                  <w:marTop w:val="0"/>
                  <w:marBottom w:val="0"/>
                  <w:divBdr>
                    <w:top w:val="none" w:sz="0" w:space="0" w:color="auto"/>
                    <w:left w:val="none" w:sz="0" w:space="0" w:color="auto"/>
                    <w:bottom w:val="none" w:sz="0" w:space="0" w:color="auto"/>
                    <w:right w:val="none" w:sz="0" w:space="0" w:color="auto"/>
                  </w:divBdr>
                  <w:divsChild>
                    <w:div w:id="1698038615">
                      <w:marLeft w:val="1"/>
                      <w:marRight w:val="1"/>
                      <w:marTop w:val="0"/>
                      <w:marBottom w:val="0"/>
                      <w:divBdr>
                        <w:top w:val="none" w:sz="0" w:space="0" w:color="auto"/>
                        <w:left w:val="none" w:sz="0" w:space="0" w:color="auto"/>
                        <w:bottom w:val="none" w:sz="0" w:space="0" w:color="auto"/>
                        <w:right w:val="none" w:sz="0" w:space="0" w:color="auto"/>
                      </w:divBdr>
                      <w:divsChild>
                        <w:div w:id="100612239">
                          <w:marLeft w:val="0"/>
                          <w:marRight w:val="0"/>
                          <w:marTop w:val="0"/>
                          <w:marBottom w:val="0"/>
                          <w:divBdr>
                            <w:top w:val="none" w:sz="0" w:space="0" w:color="auto"/>
                            <w:left w:val="none" w:sz="0" w:space="0" w:color="auto"/>
                            <w:bottom w:val="none" w:sz="0" w:space="0" w:color="auto"/>
                            <w:right w:val="none" w:sz="0" w:space="0" w:color="auto"/>
                          </w:divBdr>
                          <w:divsChild>
                            <w:div w:id="695081148">
                              <w:marLeft w:val="0"/>
                              <w:marRight w:val="0"/>
                              <w:marTop w:val="0"/>
                              <w:marBottom w:val="360"/>
                              <w:divBdr>
                                <w:top w:val="none" w:sz="0" w:space="0" w:color="auto"/>
                                <w:left w:val="none" w:sz="0" w:space="0" w:color="auto"/>
                                <w:bottom w:val="none" w:sz="0" w:space="0" w:color="auto"/>
                                <w:right w:val="none" w:sz="0" w:space="0" w:color="auto"/>
                              </w:divBdr>
                              <w:divsChild>
                                <w:div w:id="1624118515">
                                  <w:marLeft w:val="0"/>
                                  <w:marRight w:val="0"/>
                                  <w:marTop w:val="0"/>
                                  <w:marBottom w:val="0"/>
                                  <w:divBdr>
                                    <w:top w:val="none" w:sz="0" w:space="0" w:color="auto"/>
                                    <w:left w:val="none" w:sz="0" w:space="0" w:color="auto"/>
                                    <w:bottom w:val="none" w:sz="0" w:space="0" w:color="auto"/>
                                    <w:right w:val="none" w:sz="0" w:space="0" w:color="auto"/>
                                  </w:divBdr>
                                  <w:divsChild>
                                    <w:div w:id="330064325">
                                      <w:marLeft w:val="0"/>
                                      <w:marRight w:val="0"/>
                                      <w:marTop w:val="0"/>
                                      <w:marBottom w:val="0"/>
                                      <w:divBdr>
                                        <w:top w:val="none" w:sz="0" w:space="0" w:color="auto"/>
                                        <w:left w:val="none" w:sz="0" w:space="0" w:color="auto"/>
                                        <w:bottom w:val="none" w:sz="0" w:space="0" w:color="auto"/>
                                        <w:right w:val="none" w:sz="0" w:space="0" w:color="auto"/>
                                      </w:divBdr>
                                      <w:divsChild>
                                        <w:div w:id="228618825">
                                          <w:marLeft w:val="0"/>
                                          <w:marRight w:val="0"/>
                                          <w:marTop w:val="0"/>
                                          <w:marBottom w:val="0"/>
                                          <w:divBdr>
                                            <w:top w:val="none" w:sz="0" w:space="0" w:color="auto"/>
                                            <w:left w:val="none" w:sz="0" w:space="0" w:color="auto"/>
                                            <w:bottom w:val="none" w:sz="0" w:space="0" w:color="auto"/>
                                            <w:right w:val="none" w:sz="0" w:space="0" w:color="auto"/>
                                          </w:divBdr>
                                          <w:divsChild>
                                            <w:div w:id="793406999">
                                              <w:marLeft w:val="0"/>
                                              <w:marRight w:val="0"/>
                                              <w:marTop w:val="0"/>
                                              <w:marBottom w:val="0"/>
                                              <w:divBdr>
                                                <w:top w:val="none" w:sz="0" w:space="0" w:color="auto"/>
                                                <w:left w:val="none" w:sz="0" w:space="0" w:color="auto"/>
                                                <w:bottom w:val="none" w:sz="0" w:space="0" w:color="auto"/>
                                                <w:right w:val="none" w:sz="0" w:space="0" w:color="auto"/>
                                              </w:divBdr>
                                              <w:divsChild>
                                                <w:div w:id="1763523980">
                                                  <w:marLeft w:val="0"/>
                                                  <w:marRight w:val="0"/>
                                                  <w:marTop w:val="0"/>
                                                  <w:marBottom w:val="0"/>
                                                  <w:divBdr>
                                                    <w:top w:val="none" w:sz="0" w:space="0" w:color="auto"/>
                                                    <w:left w:val="none" w:sz="0" w:space="0" w:color="auto"/>
                                                    <w:bottom w:val="none" w:sz="0" w:space="0" w:color="auto"/>
                                                    <w:right w:val="none" w:sz="0" w:space="0" w:color="auto"/>
                                                  </w:divBdr>
                                                  <w:divsChild>
                                                    <w:div w:id="91363429">
                                                      <w:marLeft w:val="0"/>
                                                      <w:marRight w:val="0"/>
                                                      <w:marTop w:val="0"/>
                                                      <w:marBottom w:val="0"/>
                                                      <w:divBdr>
                                                        <w:top w:val="none" w:sz="0" w:space="0" w:color="auto"/>
                                                        <w:left w:val="none" w:sz="0" w:space="0" w:color="auto"/>
                                                        <w:bottom w:val="none" w:sz="0" w:space="0" w:color="auto"/>
                                                        <w:right w:val="none" w:sz="0" w:space="0" w:color="auto"/>
                                                      </w:divBdr>
                                                      <w:divsChild>
                                                        <w:div w:id="14366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27182808">
      <w:bodyDiv w:val="1"/>
      <w:marLeft w:val="0"/>
      <w:marRight w:val="0"/>
      <w:marTop w:val="0"/>
      <w:marBottom w:val="0"/>
      <w:divBdr>
        <w:top w:val="none" w:sz="0" w:space="0" w:color="auto"/>
        <w:left w:val="none" w:sz="0" w:space="0" w:color="auto"/>
        <w:bottom w:val="none" w:sz="0" w:space="0" w:color="auto"/>
        <w:right w:val="none" w:sz="0" w:space="0" w:color="auto"/>
      </w:divBdr>
    </w:div>
    <w:div w:id="2004778404">
      <w:bodyDiv w:val="1"/>
      <w:marLeft w:val="0"/>
      <w:marRight w:val="0"/>
      <w:marTop w:val="0"/>
      <w:marBottom w:val="0"/>
      <w:divBdr>
        <w:top w:val="none" w:sz="0" w:space="0" w:color="auto"/>
        <w:left w:val="none" w:sz="0" w:space="0" w:color="auto"/>
        <w:bottom w:val="none" w:sz="0" w:space="0" w:color="auto"/>
        <w:right w:val="none" w:sz="0" w:space="0" w:color="auto"/>
      </w:divBdr>
    </w:div>
    <w:div w:id="2068137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microsoft.com/office/2016/09/relationships/commentsIds" Target="commentsIds.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28" Type="http://schemas.microsoft.com/office/2011/relationships/commentsExtended" Target="commentsExtended.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 Id="rId27" Type="http://schemas.microsoft.com/office/2011/relationships/people" Target="people.xml"/></Relationships>
</file>

<file path=word/_rels/footnotes.xml.rels><?xml version='1.0' encoding='UTF-8' standalone='yes'?>
<Relationships xmlns="http://schemas.openxmlformats.org/package/2006/relationships"><Relationship Id="rId8" Type="http://schemas.openxmlformats.org/officeDocument/2006/relationships/hyperlink" Target="https://www.europol.europa.eu/newsroom/news/eu-law-enforcement-step-efforts-to-protect-environment-%E2%80%93-48-arrested-for-trafficking-endangered-species" TargetMode="External"/><Relationship Id="rId13" Type="http://schemas.openxmlformats.org/officeDocument/2006/relationships/hyperlink" Target="http://ec.europa.eu/environment/life/publications/lifepublications/lifefocus/nat.htm" TargetMode="External"/><Relationship Id="rId18" Type="http://schemas.openxmlformats.org/officeDocument/2006/relationships/hyperlink" Target="http://www.africanelephantfund.org/" TargetMode="External"/><Relationship Id="rId3" Type="http://schemas.openxmlformats.org/officeDocument/2006/relationships/hyperlink" Target="http://www.europarl.europa.eu/sides/getDoc.do?pubRef=-//EP//TEXT+TA+P8-TA-2016-0454+0+DOC+XML+V0//CS" TargetMode="External"/><Relationship Id="rId21" Type="http://schemas.openxmlformats.org/officeDocument/2006/relationships/hyperlink" Target="https://sustainabledevelopment.un.org/sdg15" TargetMode="External"/><Relationship Id="rId7" Type="http://schemas.openxmlformats.org/officeDocument/2006/relationships/hyperlink" Target="https://eur-lex.europa.eu/legal-content/CS/TXT/PDF/?uri=CELEX:52018DC0010&amp;from=EN" TargetMode="External"/><Relationship Id="rId12" Type="http://schemas.openxmlformats.org/officeDocument/2006/relationships/hyperlink" Target="http://ec.europa.eu/environment/nature/conservation/wildbirds/docs/Roadmap%20illegal%20killing.pdf" TargetMode="External"/><Relationship Id="rId17" Type="http://schemas.openxmlformats.org/officeDocument/2006/relationships/hyperlink" Target="https://cites.org/eng/prog/mike/index.php" TargetMode="External"/><Relationship Id="rId2" Type="http://schemas.openxmlformats.org/officeDocument/2006/relationships/hyperlink" Target="http://data.consilium.europa.eu/doc/document/ST-10512-2016-INIT/cs/pdf" TargetMode="External"/><Relationship Id="rId16" Type="http://schemas.openxmlformats.org/officeDocument/2006/relationships/hyperlink" Target="https://www.europol.europa.eu/activities-services/services-support/information-exchange/secure-information-exchange-network-application-siena" TargetMode="External"/><Relationship Id="rId20" Type="http://schemas.openxmlformats.org/officeDocument/2006/relationships/hyperlink" Target="http://www.illegalwildlifetrade.net/2017/11/24/london-2018-illegal-wildlife-trade-conference-oct-10-11-2018/" TargetMode="External"/><Relationship Id="rId1" Type="http://schemas.openxmlformats.org/officeDocument/2006/relationships/hyperlink" Target="http://eur-lex.europa.eu/legal-content/CS/TXT/?uri=COM:2016:87:FIN" TargetMode="External"/><Relationship Id="rId6" Type="http://schemas.openxmlformats.org/officeDocument/2006/relationships/hyperlink" Target="https://ec.europa.eu/info/consultations/public-consultation-ivory-trade-eu_en" TargetMode="External"/><Relationship Id="rId11" Type="http://schemas.openxmlformats.org/officeDocument/2006/relationships/hyperlink" Target="https://danube-sturgeons.org/the-project/" TargetMode="External"/><Relationship Id="rId5" Type="http://schemas.openxmlformats.org/officeDocument/2006/relationships/hyperlink" Target="https://eur-lex.europa.eu/legal-content/CS/TXT/PDF/?uri=CELEX:52017XC0517(01)&amp;qid=1533729076325&amp;from=EN" TargetMode="External"/><Relationship Id="rId15" Type="http://schemas.openxmlformats.org/officeDocument/2006/relationships/hyperlink" Target="https://ec.europa.eu/home-affairs/financing/fundings/security-and-safeguarding-liberties/internal-security-fund-police_en" TargetMode="External"/><Relationship Id="rId10" Type="http://schemas.openxmlformats.org/officeDocument/2006/relationships/hyperlink" Target="http://ec.europa.eu/environment/life/" TargetMode="External"/><Relationship Id="rId19" Type="http://schemas.openxmlformats.org/officeDocument/2006/relationships/hyperlink" Target="http://ec.europa.eu/trade/policy/countries-and-regions/development/generalised-scheme-of-preferences/index_en.htm" TargetMode="External"/><Relationship Id="rId4" Type="http://schemas.openxmlformats.org/officeDocument/2006/relationships/hyperlink" Target="http://ec.europa.eu/environment/cites/trafficking_en.htm" TargetMode="External"/><Relationship Id="rId9" Type="http://schemas.openxmlformats.org/officeDocument/2006/relationships/hyperlink" Target="https://www.cepol.europa.eu/" TargetMode="External"/><Relationship Id="rId14" Type="http://schemas.openxmlformats.org/officeDocument/2006/relationships/hyperlink" Target="http://ec.europa.eu/research/participants/portal/desktop/en/opportunities/isfp/topics/isfp-2017-ag-env.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47E6D8-6247-4F07-8F33-6AC479D536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11</Pages>
  <Words>4126</Words>
  <Characters>23853</Characters>
  <Application>Microsoft Office Word</Application>
  <DocSecurity>0</DocSecurity>
  <Lines>361</Lines>
  <Paragraphs>71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Manager/>
  <Company/>
  <LinksUpToDate>false</LinksUpToDate>
  <CharactersWithSpaces>27908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29</cp:revision>
  <cp:lastPrinted>2018-05-04T07:42:00Z</cp:lastPrinted>
  <dcterms:created xsi:type="dcterms:W3CDTF">2018-07-26T14:39:00Z</dcterms:created>
  <dcterms:modified xsi:type="dcterms:W3CDTF">2018-10-17T09:41:00Z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6.0.1, Build 20180503</vt:lpwstr>
  </property>
  <property fmtid="{D5CDD505-2E9C-101B-9397-08002B2CF9AE}" pid="4" name="Level of sensitivity">
    <vt:lpwstr>Standard treatment</vt:lpwstr>
  </property>
  <property fmtid="{D5CDD505-2E9C-101B-9397-08002B2CF9AE}" pid="5" name="Part">
    <vt:lpwstr>1</vt:lpwstr>
  </property>
  <property fmtid="{D5CDD505-2E9C-101B-9397-08002B2CF9AE}" pid="6" name="Total parts">
    <vt:lpwstr>1</vt:lpwstr>
  </property>
  <property fmtid="{D5CDD505-2E9C-101B-9397-08002B2CF9AE}" pid="7" name="Created using">
    <vt:lpwstr>LW 6.0.1, Build 20180503</vt:lpwstr>
  </property>
  <property name="OP_sanitized" fmtid="{D5CDD505-2E9C-101B-9397-08002B2CF9AE}" pid="8">
    <vt:lpwstr>True</vt:lpwstr>
  </property>
</Properties>
</file>