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8A9D024-D909-4113-BA30-42C39A0EFA3E" style="width:450.45pt;height:334.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0"/>
          <w:cols w:space="720"/>
          <w:docGrid w:linePitch="326"/>
        </w:sectPr>
      </w:pPr>
    </w:p>
    <w:p>
      <w:pPr>
        <w:pStyle w:val="Heading1"/>
        <w:numPr>
          <w:ilvl w:val="0"/>
          <w:numId w:val="0"/>
        </w:numPr>
        <w:ind w:left="482"/>
        <w:rPr>
          <w:noProof/>
        </w:rPr>
      </w:pPr>
      <w:bookmarkStart w:id="1" w:name="_Toc497835095"/>
      <w:bookmarkStart w:id="2" w:name="_GoBack"/>
      <w:bookmarkEnd w:id="2"/>
      <w:r>
        <w:rPr>
          <w:noProof/>
        </w:rPr>
        <w:lastRenderedPageBreak/>
        <w:t>Použité zkratky</w:t>
      </w:r>
    </w:p>
    <w:p>
      <w:pPr>
        <w:pStyle w:val="MBT"/>
        <w:rPr>
          <w:noProof/>
        </w:rPr>
      </w:pPr>
    </w:p>
    <w:p>
      <w:pPr>
        <w:pStyle w:val="MBT"/>
        <w:rPr>
          <w:noProof/>
        </w:rPr>
      </w:pPr>
      <w:r>
        <w:rPr>
          <w:noProof/>
        </w:rPr>
        <w:t>KN</w:t>
      </w:r>
      <w:r>
        <w:rPr>
          <w:noProof/>
        </w:rPr>
        <w:tab/>
      </w:r>
      <w:r>
        <w:rPr>
          <w:noProof/>
        </w:rPr>
        <w:tab/>
        <w:t>Kombinovaná nomenklatura</w:t>
      </w:r>
    </w:p>
    <w:p>
      <w:pPr>
        <w:pStyle w:val="MBT"/>
        <w:rPr>
          <w:noProof/>
        </w:rPr>
      </w:pPr>
      <w:r>
        <w:rPr>
          <w:noProof/>
        </w:rPr>
        <w:t>CUS</w:t>
      </w:r>
      <w:r>
        <w:rPr>
          <w:noProof/>
        </w:rPr>
        <w:tab/>
      </w:r>
      <w:r>
        <w:rPr>
          <w:noProof/>
        </w:rPr>
        <w:tab/>
        <w:t>Statistické číslo celní unie</w:t>
      </w:r>
    </w:p>
    <w:p>
      <w:pPr>
        <w:pStyle w:val="MBT"/>
        <w:rPr>
          <w:noProof/>
        </w:rPr>
      </w:pPr>
      <w:r>
        <w:rPr>
          <w:noProof/>
        </w:rPr>
        <w:t>ECHA</w:t>
      </w:r>
      <w:r>
        <w:rPr>
          <w:noProof/>
        </w:rPr>
        <w:tab/>
      </w:r>
      <w:r>
        <w:rPr>
          <w:noProof/>
        </w:rPr>
        <w:tab/>
        <w:t>Evropská agentura pro chemické látky</w:t>
      </w:r>
    </w:p>
    <w:p>
      <w:pPr>
        <w:pStyle w:val="MBT"/>
        <w:rPr>
          <w:noProof/>
        </w:rPr>
      </w:pPr>
      <w:r>
        <w:rPr>
          <w:noProof/>
        </w:rPr>
        <w:t>ePIC</w:t>
      </w:r>
      <w:r>
        <w:rPr>
          <w:noProof/>
        </w:rPr>
        <w:tab/>
      </w:r>
      <w:r>
        <w:rPr>
          <w:noProof/>
        </w:rPr>
        <w:tab/>
        <w:t>Softwarová aplikace pro provádění nařízení (EU) č. 649/2012</w:t>
      </w:r>
    </w:p>
    <w:p>
      <w:pPr>
        <w:pStyle w:val="MBT"/>
        <w:rPr>
          <w:noProof/>
        </w:rPr>
      </w:pPr>
      <w:r>
        <w:rPr>
          <w:noProof/>
        </w:rPr>
        <w:t>EU</w:t>
      </w:r>
      <w:r>
        <w:rPr>
          <w:noProof/>
        </w:rPr>
        <w:tab/>
      </w:r>
      <w:r>
        <w:rPr>
          <w:noProof/>
        </w:rPr>
        <w:tab/>
        <w:t>Evropská unie</w:t>
      </w:r>
    </w:p>
    <w:p>
      <w:pPr>
        <w:pStyle w:val="MBT"/>
        <w:rPr>
          <w:noProof/>
        </w:rPr>
      </w:pPr>
      <w:r>
        <w:rPr>
          <w:noProof/>
        </w:rPr>
        <w:t>OECD</w:t>
      </w:r>
      <w:r>
        <w:rPr>
          <w:noProof/>
        </w:rPr>
        <w:tab/>
      </w:r>
      <w:r>
        <w:rPr>
          <w:noProof/>
        </w:rPr>
        <w:tab/>
        <w:t>Organizace pro hospodářskou spolupráci a rozvoj</w:t>
      </w:r>
    </w:p>
    <w:p>
      <w:pPr>
        <w:pStyle w:val="MBT"/>
        <w:rPr>
          <w:noProof/>
        </w:rPr>
      </w:pPr>
      <w:r>
        <w:rPr>
          <w:noProof/>
        </w:rPr>
        <w:t>PIC</w:t>
      </w:r>
      <w:r>
        <w:rPr>
          <w:noProof/>
        </w:rPr>
        <w:tab/>
      </w:r>
      <w:r>
        <w:rPr>
          <w:noProof/>
        </w:rPr>
        <w:tab/>
        <w:t>Předchozí souhlas</w:t>
      </w:r>
    </w:p>
    <w:p>
      <w:pPr>
        <w:pStyle w:val="MBT"/>
        <w:rPr>
          <w:noProof/>
        </w:rPr>
      </w:pPr>
      <w:r>
        <w:rPr>
          <w:noProof/>
        </w:rPr>
        <w:t>PPPR</w:t>
      </w:r>
      <w:r>
        <w:rPr>
          <w:noProof/>
        </w:rPr>
        <w:tab/>
      </w:r>
      <w:r>
        <w:rPr>
          <w:noProof/>
        </w:rPr>
        <w:tab/>
        <w:t>Nařízení o přípravcích na ochranu rostlin</w:t>
      </w:r>
    </w:p>
    <w:p>
      <w:pPr>
        <w:pStyle w:val="MBT"/>
        <w:rPr>
          <w:noProof/>
        </w:rPr>
      </w:pPr>
      <w:r>
        <w:rPr>
          <w:noProof/>
        </w:rPr>
        <w:t>RC</w:t>
      </w:r>
      <w:r>
        <w:rPr>
          <w:noProof/>
        </w:rPr>
        <w:tab/>
      </w:r>
      <w:r>
        <w:rPr>
          <w:noProof/>
        </w:rPr>
        <w:tab/>
        <w:t>Rotterdamská úmluva</w:t>
      </w:r>
    </w:p>
    <w:p>
      <w:pPr>
        <w:pStyle w:val="MBT"/>
        <w:ind w:left="1440" w:hanging="1440"/>
        <w:rPr>
          <w:noProof/>
        </w:rPr>
      </w:pPr>
      <w:r>
        <w:rPr>
          <w:noProof/>
        </w:rPr>
        <w:t>REACH</w:t>
      </w:r>
      <w:r>
        <w:rPr>
          <w:noProof/>
        </w:rPr>
        <w:tab/>
        <w:t>Nařízení o registraci, hodnocení, povolování a omezování chemických látek</w:t>
      </w:r>
    </w:p>
    <w:p>
      <w:pPr>
        <w:pStyle w:val="Text1"/>
        <w:rPr>
          <w:noProof/>
        </w:rPr>
      </w:pPr>
      <w:r>
        <w:rPr>
          <w:noProof/>
        </w:rPr>
        <w:br w:type="page"/>
      </w:r>
    </w:p>
    <w:p>
      <w:pPr>
        <w:pStyle w:val="Heading1"/>
        <w:rPr>
          <w:noProof/>
        </w:rPr>
      </w:pPr>
      <w:r>
        <w:rPr>
          <w:noProof/>
        </w:rPr>
        <w:lastRenderedPageBreak/>
        <w:t>Úvod</w:t>
      </w:r>
      <w:bookmarkEnd w:id="1"/>
    </w:p>
    <w:p>
      <w:pPr>
        <w:pStyle w:val="Heading2"/>
        <w:spacing w:after="240"/>
        <w:ind w:left="1202"/>
        <w:rPr>
          <w:noProof/>
        </w:rPr>
      </w:pPr>
      <w:bookmarkStart w:id="3" w:name="_Toc497750118"/>
      <w:r>
        <w:rPr>
          <w:noProof/>
        </w:rPr>
        <w:t>Nařízení PIC</w:t>
      </w:r>
      <w:bookmarkEnd w:id="3"/>
    </w:p>
    <w:p>
      <w:pPr>
        <w:pStyle w:val="MBT"/>
        <w:rPr>
          <w:noProof/>
          <w:szCs w:val="20"/>
        </w:rPr>
      </w:pPr>
    </w:p>
    <w:p>
      <w:pPr>
        <w:pStyle w:val="MBT"/>
        <w:rPr>
          <w:noProof/>
        </w:rPr>
      </w:pPr>
      <w:r>
        <w:rPr>
          <w:noProof/>
        </w:rPr>
        <w:t>Nařízení (EU) č. 649/2012</w:t>
      </w:r>
      <w:r>
        <w:rPr>
          <w:rStyle w:val="FootnoteReference"/>
          <w:noProof/>
        </w:rPr>
        <w:footnoteReference w:id="1"/>
      </w:r>
      <w:r>
        <w:rPr>
          <w:noProof/>
        </w:rPr>
        <w:t xml:space="preserve"> (dále jen „nařízení PIC“) provádí Rotterdamskou úmluvu o postupu předchozího souhlasu (PIC) pro určité nebezpečné chemické látky a pesticidy v mezinárodním obchodu, která byla přijata v roce 1998 a kterou Unie ratifikovala v roce 2002. Cílem nařízení je podporovat sdílenou odpovědnost a spolupráci v mezinárodní přepravě nebezpečných chemických látek s cílem ochrany zdraví člověka a životního prostředí před potenciálním narušením, a to usnadněním výměny informací o vlastnostech nebezpečných chemických látek, zavedením rozhodovacího procesu v rámci Unie o jejich dovozu a vývozu a rozšiřováním rozhodnutí smluvním stranám a jiným zemím (článek 1).</w:t>
      </w:r>
    </w:p>
    <w:p>
      <w:pPr>
        <w:pStyle w:val="MBT"/>
        <w:rPr>
          <w:noProof/>
        </w:rPr>
      </w:pPr>
    </w:p>
    <w:p>
      <w:pPr>
        <w:pStyle w:val="MBT"/>
        <w:rPr>
          <w:noProof/>
        </w:rPr>
      </w:pPr>
      <w:r>
        <w:rPr>
          <w:noProof/>
        </w:rPr>
        <w:t>Nařízení PIC se použije na chemické látky, na které se vztahuje postup PIC podle Rotterdamské úmluvy, a na průmyslové chemické látky (pro profesionální použití a pro použití spotřebiteli) a pesticidy (včetně biocidů), které jsou právními předpisy Unie zakázány nebo přísně omezeny z důvodů ochrany zdraví nebo životního prostředí. Nařízení ukládá povinnosti společnostem, které mají v úmyslu vyvážet takovéto chemické látky do třetích zemí, bez ohledu na to, zda tyto země jsou či nejsou smluvními stranami Rotterdamské úmluvy. Vývoz podléhá různým požadavkům v závislosti na uvedení chemických látek v příloze I nařízení: na chemické látky uvedené v části 1 přílohy I se vztahuje oznámení o vývozu orgánu dovážející země; chemické látky uvedené v částech 2 a 3 přílohy 1 podléhají oznámení o vývozu a výslovnému souhlasu orgánu dovážející země, ledaže se na ně vztahuje postup PIC podle úmluvy a jsou vyváženy do země, která je smluvní stranou, jež poskytla kladnou odpověď o dovozu, nebo do země, která se vzdala svého práva na oznámení. Tyto povinnosti se vztahují i na směsi obsahující látky uvedené v příloze I nařízení v koncentraci, v jejímž důsledku se uplatňují povinnosti označování podle nařízení (ES) č. 1272/2008</w:t>
      </w:r>
      <w:r>
        <w:rPr>
          <w:rStyle w:val="FootnoteReference"/>
          <w:noProof/>
        </w:rPr>
        <w:footnoteReference w:id="2"/>
      </w:r>
      <w:r>
        <w:rPr>
          <w:noProof/>
        </w:rPr>
        <w:t xml:space="preserve"> o klasifikaci, označování a balení, a na určité výrobky.</w:t>
      </w:r>
    </w:p>
    <w:p>
      <w:pPr>
        <w:pStyle w:val="MBT"/>
        <w:rPr>
          <w:noProof/>
        </w:rPr>
      </w:pPr>
    </w:p>
    <w:p>
      <w:pPr>
        <w:pStyle w:val="MBT"/>
        <w:rPr>
          <w:noProof/>
        </w:rPr>
      </w:pPr>
      <w:r>
        <w:rPr>
          <w:noProof/>
        </w:rPr>
        <w:t>Nařízení PIC ukládá povinnosti rovněž Komisi, a sice oznámit sekretariátu úmluvy konečná regulační opatření, která v Unii zakazují nebo přísně omezují použití chemické látky v jedné kategorii použití podle úmluvy (průmyslové chemické látky nebo pesticidy). Chemické látky, pro něž je toto oznámení zapotřebí, jsou uvedeny v části 2 přílohy I nařízení PIC. Oznámení konečného regulačního opatření má informovat ostatní smluvní strany o možných rizicích vyplývajících z použití těchto látek a představuje základ pro uvedení chemických látek v příloze III úmluvy.</w:t>
      </w:r>
    </w:p>
    <w:p>
      <w:pPr>
        <w:pStyle w:val="MBT"/>
        <w:rPr>
          <w:noProof/>
        </w:rPr>
      </w:pPr>
    </w:p>
    <w:p>
      <w:pPr>
        <w:pStyle w:val="MBT"/>
        <w:rPr>
          <w:noProof/>
        </w:rPr>
      </w:pPr>
      <w:r>
        <w:rPr>
          <w:noProof/>
        </w:rPr>
        <w:t>U chemických látek, jež jsou uvedeny v části 3 přílohy I (která zohledňuje přílohu III úmluvy), přijme Komise v úzké spolupráci s členskými státy a na základě právních předpisů Unie rozhodnutí o dovozu, které udává, zda a za jakých podmínek lze chemickou látku dovézt do Unie. Toto oznámení se rovněž zasílá sekretariátu úmluvy.</w:t>
      </w:r>
    </w:p>
    <w:p>
      <w:pPr>
        <w:pStyle w:val="MBT"/>
        <w:rPr>
          <w:noProof/>
          <w:szCs w:val="20"/>
        </w:rPr>
      </w:pPr>
    </w:p>
    <w:p>
      <w:pPr>
        <w:pStyle w:val="Heading2"/>
        <w:spacing w:after="240"/>
        <w:ind w:left="1202"/>
        <w:rPr>
          <w:noProof/>
        </w:rPr>
      </w:pPr>
      <w:r>
        <w:rPr>
          <w:noProof/>
        </w:rPr>
        <w:lastRenderedPageBreak/>
        <w:t>Podávání zpráv</w:t>
      </w:r>
    </w:p>
    <w:p>
      <w:pPr>
        <w:pStyle w:val="MBT"/>
        <w:rPr>
          <w:noProof/>
          <w:szCs w:val="20"/>
        </w:rPr>
      </w:pPr>
    </w:p>
    <w:p>
      <w:pPr>
        <w:pStyle w:val="MBT"/>
        <w:rPr>
          <w:noProof/>
          <w:szCs w:val="20"/>
        </w:rPr>
      </w:pPr>
      <w:r>
        <w:rPr>
          <w:noProof/>
        </w:rPr>
        <w:t>Podle článku 22 nařízení PIC musí Komise podat každé tři roky zprávu o provádění činností uvedených v nařízení a vypracovat souhrnnou zprávu o provádění nařízení PIC, do níž začlení:</w:t>
      </w:r>
    </w:p>
    <w:p>
      <w:pPr>
        <w:pStyle w:val="MBT"/>
        <w:numPr>
          <w:ilvl w:val="0"/>
          <w:numId w:val="30"/>
        </w:numPr>
        <w:rPr>
          <w:noProof/>
          <w:szCs w:val="20"/>
        </w:rPr>
      </w:pPr>
      <w:r>
        <w:rPr>
          <w:noProof/>
        </w:rPr>
        <w:t>informace poskytnuté členskými státy podle čl. 22 odst. 1 o fungování postupů uvedených v tomto nařízení, včetně případných celních kontrol, protiprávních jednání, sankcí a nápravných opatření,</w:t>
      </w:r>
    </w:p>
    <w:p>
      <w:pPr>
        <w:pStyle w:val="MBT"/>
        <w:numPr>
          <w:ilvl w:val="0"/>
          <w:numId w:val="30"/>
        </w:numPr>
        <w:rPr>
          <w:noProof/>
          <w:szCs w:val="20"/>
        </w:rPr>
      </w:pPr>
      <w:r>
        <w:rPr>
          <w:noProof/>
        </w:rPr>
        <w:t>informace předložené Evropskou agenturou pro chemické látky (ECHA) podle čl. 22 odst. 1 týkající se fungování postupů uvedených v nařízení PIC.</w:t>
      </w:r>
    </w:p>
    <w:p>
      <w:pPr>
        <w:pStyle w:val="MBT"/>
        <w:rPr>
          <w:noProof/>
          <w:szCs w:val="20"/>
        </w:rPr>
      </w:pPr>
    </w:p>
    <w:p>
      <w:pPr>
        <w:pStyle w:val="MBT"/>
        <w:rPr>
          <w:noProof/>
        </w:rPr>
      </w:pPr>
      <w:r>
        <w:rPr>
          <w:noProof/>
        </w:rPr>
        <w:t xml:space="preserve">Tato zpráva je první zprávou podle nařízení PIC a </w:t>
      </w:r>
      <w:bookmarkStart w:id="4" w:name="_Hlk495932568"/>
      <w:r>
        <w:rPr>
          <w:noProof/>
        </w:rPr>
        <w:t>vztahuje se na tříleté období provádění ode dne použitelnosti nařízení (2014</w:t>
      </w:r>
      <w:r>
        <w:rPr>
          <w:rStyle w:val="FootnoteReference"/>
          <w:noProof/>
        </w:rPr>
        <w:footnoteReference w:id="3"/>
      </w:r>
      <w:r>
        <w:rPr>
          <w:noProof/>
        </w:rPr>
        <w:t xml:space="preserve">–2016). </w:t>
      </w:r>
      <w:bookmarkStart w:id="5" w:name="_Hlk495932502"/>
      <w:bookmarkEnd w:id="4"/>
      <w:r>
        <w:rPr>
          <w:noProof/>
        </w:rPr>
        <w:t>Společný formát pro předkládání informací byl pro určené vnitrostátní orgány stanoven prováděcím rozhodnutím Komise (EU) 2016/770 ze dne 14. dubna 2016</w:t>
      </w:r>
      <w:r>
        <w:rPr>
          <w:rStyle w:val="FootnoteReference"/>
          <w:noProof/>
        </w:rPr>
        <w:footnoteReference w:id="4"/>
      </w:r>
      <w:r>
        <w:rPr>
          <w:noProof/>
        </w:rPr>
        <w:t xml:space="preserve"> s cílem získat ve všech členských státech jednotné informace. </w:t>
      </w:r>
      <w:bookmarkEnd w:id="5"/>
      <w:r>
        <w:rPr>
          <w:noProof/>
        </w:rPr>
        <w:t>Formát pro předkládání zpráv agenturou byl obdobně přijat prováděcím rozhodnutím Komise (EU) 2016/1115 ze dne 7. července 2016</w:t>
      </w:r>
      <w:r>
        <w:rPr>
          <w:rStyle w:val="FootnoteReference"/>
          <w:noProof/>
        </w:rPr>
        <w:t xml:space="preserve"> </w:t>
      </w:r>
      <w:r>
        <w:rPr>
          <w:rStyle w:val="FootnoteReference"/>
          <w:noProof/>
        </w:rPr>
        <w:footnoteReference w:id="5"/>
      </w:r>
      <w:r>
        <w:rPr>
          <w:noProof/>
        </w:rPr>
        <w:t>.</w:t>
      </w:r>
    </w:p>
    <w:p>
      <w:pPr>
        <w:pStyle w:val="MBT"/>
        <w:rPr>
          <w:noProof/>
        </w:rPr>
      </w:pPr>
    </w:p>
    <w:p>
      <w:pPr>
        <w:pStyle w:val="MBT"/>
        <w:rPr>
          <w:noProof/>
        </w:rPr>
      </w:pPr>
      <w:bookmarkStart w:id="6" w:name="_Hlk495932603"/>
      <w:r>
        <w:rPr>
          <w:noProof/>
        </w:rPr>
        <w:t xml:space="preserve">Členské státy a agentura měly podat zprávu do 31. května 2017, v procesu podávání zpráv však došlo k určitým prodlevám. </w:t>
      </w:r>
      <w:bookmarkEnd w:id="6"/>
      <w:r>
        <w:rPr>
          <w:noProof/>
        </w:rPr>
        <w:t xml:space="preserve">Zpráva od agentury byla obdržena dne 18. července 2017, zatímco zprávy členských států byly </w:t>
      </w:r>
      <w:bookmarkStart w:id="7" w:name="_Hlk495932618"/>
      <w:r>
        <w:rPr>
          <w:noProof/>
        </w:rPr>
        <w:t>dokončeny dne 5. října 2017 po poskytnutí konečného dotazníku pro předkládání zpráv.</w:t>
      </w:r>
      <w:bookmarkEnd w:id="7"/>
    </w:p>
    <w:p>
      <w:pPr>
        <w:pStyle w:val="MBT"/>
        <w:rPr>
          <w:noProof/>
        </w:rPr>
      </w:pPr>
    </w:p>
    <w:p>
      <w:pPr>
        <w:pStyle w:val="MBT"/>
        <w:rPr>
          <w:noProof/>
        </w:rPr>
      </w:pPr>
      <w:r>
        <w:rPr>
          <w:noProof/>
        </w:rPr>
        <w:t>Tato zpráva představuje shrnutí souhrnné zprávy podle článku 22 nařízení PIC a obsahuje zjištění uvedená ve zprávách Komise, agentury a členských států. Podává přehled o provádění nařízení PIC v období 2014–2016.</w:t>
      </w:r>
    </w:p>
    <w:p>
      <w:pPr>
        <w:pStyle w:val="MBT"/>
        <w:rPr>
          <w:noProof/>
        </w:rPr>
      </w:pPr>
    </w:p>
    <w:p>
      <w:pPr>
        <w:pStyle w:val="Heading1"/>
        <w:rPr>
          <w:noProof/>
        </w:rPr>
      </w:pPr>
      <w:r>
        <w:rPr>
          <w:noProof/>
        </w:rPr>
        <w:t>Správa nařízení PIC</w:t>
      </w:r>
    </w:p>
    <w:p>
      <w:pPr>
        <w:pStyle w:val="Heading2"/>
        <w:rPr>
          <w:noProof/>
        </w:rPr>
      </w:pPr>
      <w:r>
        <w:rPr>
          <w:noProof/>
        </w:rPr>
        <w:t>Všechny členské státy určily příslušný vnitrostátní orgán</w:t>
      </w:r>
    </w:p>
    <w:p>
      <w:pPr>
        <w:pStyle w:val="MBT"/>
        <w:rPr>
          <w:noProof/>
        </w:rPr>
      </w:pPr>
    </w:p>
    <w:p>
      <w:pPr>
        <w:pStyle w:val="MBT"/>
        <w:rPr>
          <w:noProof/>
        </w:rPr>
      </w:pPr>
      <w:r>
        <w:rPr>
          <w:noProof/>
        </w:rPr>
        <w:t xml:space="preserve">Podle článku 4 nařízení PIC musí členské státy určit jeden nebo více orgánů (dále jen „určené vnitrostátní orgány“), které vykonávají správní funkce požadované nařízením PIC. Určené vnitrostátní orgány hrají v postupu oznámení o vývozu důležitou úlohu: ověřování souladu oznámení o vývozu a jejich předávání agentuře; vyřizování žádostí o výslovný souhlas a rozhodování o upuštění od požadavku oznamování; vyřizování žádostí o zvláštní referenční identifikační číslo a informování Komise o rozhodnutích o zákazu nebo přísném omezení určité chemické látky na vnitrostátní úrovni. Podle článku 10 mají určené vnitrostátní orgány rovněž povinnosti týkající se podávání zpráv, například poskytování informací o obchodování s chemickými látkami uvedenými v příloze I agentuře. Odpovídají také za poskytování informací dovážejícím zemím na </w:t>
      </w:r>
      <w:r>
        <w:rPr>
          <w:noProof/>
        </w:rPr>
        <w:lastRenderedPageBreak/>
        <w:t>žádost, za usnadňování výměny informací o chemických látkách a za spolupráci při podpoře technické pomoci.</w:t>
      </w:r>
    </w:p>
    <w:p>
      <w:pPr>
        <w:pStyle w:val="MBT"/>
        <w:rPr>
          <w:noProof/>
        </w:rPr>
      </w:pPr>
    </w:p>
    <w:p>
      <w:pPr>
        <w:pStyle w:val="MBT"/>
        <w:rPr>
          <w:noProof/>
        </w:rPr>
      </w:pPr>
      <w:r>
        <w:rPr>
          <w:noProof/>
        </w:rPr>
        <w:t>Členské státy určily třicet pět takovýchto orgánů. Většina členských států (22) má pouze jeden určený vnitrostátní orgán, zatímco šest členských států má dva či tři orgány. Určenými vnitrostátními orgány jsou většinou ministerstva nebo úřady příslušné pro životní prostředí, chemické látky a zdraví nebo bezpečnost a ochranu zdraví při práci. Členské státy s více než jedním určeným vnitrostátním orgánem obvykle jejich povinnosti rozdělují, přičemž jeden určený vnitrostátní orgán dohlíží na průmyslové chemické látky, zatímco druhý se zabývá pesticidy.</w:t>
      </w:r>
    </w:p>
    <w:p>
      <w:pPr>
        <w:pStyle w:val="MBT"/>
        <w:rPr>
          <w:noProof/>
        </w:rPr>
      </w:pPr>
    </w:p>
    <w:p>
      <w:pPr>
        <w:pStyle w:val="MBT"/>
        <w:rPr>
          <w:noProof/>
        </w:rPr>
      </w:pPr>
      <w:r>
        <w:rPr>
          <w:noProof/>
        </w:rPr>
        <w:t>Zdroje potřebné pro provádění nařízení PIC v členských státech, zejména lidské zdroje, závisejí na počtu oznámení o vývozu a žádostí o výslovný souhlas, které jsou vyřizovány. Údaje, jež členské státy poskytly s ohledem na lidské zdroje v určených vnitrostátních orgánech zabývající se PIC, kolísají od 0,1 ekvivalentu plného pracovního úvazku v případě členských států, které zpracovávají několik málo oznámení o vývozu, do 2 ekvivalentů plného pracovního úvazku u členských států s nejvyššími počty oznámení o vývozu.</w:t>
      </w:r>
    </w:p>
    <w:p>
      <w:pPr>
        <w:pStyle w:val="Body"/>
        <w:spacing w:after="360"/>
        <w:rPr>
          <w:noProof/>
        </w:rPr>
      </w:pPr>
    </w:p>
    <w:p>
      <w:pPr>
        <w:pStyle w:val="Heading2"/>
        <w:rPr>
          <w:noProof/>
        </w:rPr>
      </w:pPr>
      <w:r>
        <w:rPr>
          <w:noProof/>
        </w:rPr>
        <w:t>Pracovní zátěž agentury byla vyšší, než se před vstupem nařízení v platnost očekávalo</w:t>
      </w:r>
    </w:p>
    <w:p>
      <w:pPr>
        <w:pStyle w:val="MBT"/>
        <w:rPr>
          <w:noProof/>
        </w:rPr>
      </w:pPr>
    </w:p>
    <w:p>
      <w:pPr>
        <w:pStyle w:val="MBT"/>
        <w:rPr>
          <w:noProof/>
        </w:rPr>
      </w:pPr>
      <w:r>
        <w:rPr>
          <w:noProof/>
        </w:rPr>
        <w:t>Agentura hraje při zajišťování řádného fungování postupu oznámení o vývozu hlavní roli, a to:</w:t>
      </w:r>
    </w:p>
    <w:p>
      <w:pPr>
        <w:pStyle w:val="MBT"/>
        <w:numPr>
          <w:ilvl w:val="0"/>
          <w:numId w:val="36"/>
        </w:numPr>
        <w:rPr>
          <w:noProof/>
        </w:rPr>
      </w:pPr>
      <w:r>
        <w:rPr>
          <w:noProof/>
        </w:rPr>
        <w:t>zaregistrováním oznámení o vývozu, ověřením jejich úplnosti a jejich předáním určenému vnitrostátnímu orgánu dovážející země (čl. 8 odst. 2),</w:t>
      </w:r>
    </w:p>
    <w:p>
      <w:pPr>
        <w:pStyle w:val="MBT"/>
        <w:numPr>
          <w:ilvl w:val="0"/>
          <w:numId w:val="36"/>
        </w:numPr>
        <w:rPr>
          <w:noProof/>
        </w:rPr>
      </w:pPr>
      <w:r>
        <w:rPr>
          <w:noProof/>
        </w:rPr>
        <w:t>zasláním druhého oznámení o vývozu, pokud od orgánu třetí země neobdrží potvrzení o přijetí do 30 dní po odeslání prvního oznámení (čl. 8 odst. 3),</w:t>
      </w:r>
    </w:p>
    <w:p>
      <w:pPr>
        <w:pStyle w:val="MBT"/>
        <w:numPr>
          <w:ilvl w:val="0"/>
          <w:numId w:val="36"/>
        </w:numPr>
        <w:rPr>
          <w:noProof/>
        </w:rPr>
      </w:pPr>
      <w:r>
        <w:rPr>
          <w:noProof/>
        </w:rPr>
        <w:t>zpřístupněním oznámení o vývozu obdržených od určených vnitrostátních orgánů třetích zemí všem určeným vnitrostátním orgánům v EU (čl. 9 odst. 1),</w:t>
      </w:r>
    </w:p>
    <w:p>
      <w:pPr>
        <w:pStyle w:val="MBT"/>
        <w:numPr>
          <w:ilvl w:val="0"/>
          <w:numId w:val="36"/>
        </w:numPr>
        <w:rPr>
          <w:noProof/>
        </w:rPr>
      </w:pPr>
      <w:r>
        <w:rPr>
          <w:noProof/>
        </w:rPr>
        <w:t>potvrzením o přijetí oznámení o vývozu, která byla obdržena od třetích zemí (čl. 9 odst. 1),</w:t>
      </w:r>
    </w:p>
    <w:p>
      <w:pPr>
        <w:pStyle w:val="MBT"/>
        <w:numPr>
          <w:ilvl w:val="0"/>
          <w:numId w:val="36"/>
        </w:numPr>
        <w:rPr>
          <w:noProof/>
        </w:rPr>
      </w:pPr>
      <w:r>
        <w:rPr>
          <w:noProof/>
        </w:rPr>
        <w:t>zasláním upomínky s ohledem na žádost o výslovný souhlas, pokud od orgánů ve třetí zemi neobdržela odpověď do 30 dní od odeslání původní žádosti; zasláním druhé upomínky po uplynutí dalších 30 dní, pokud dosud neobdržela odpověď (čl. 14 odst. 6),</w:t>
      </w:r>
    </w:p>
    <w:p>
      <w:pPr>
        <w:pStyle w:val="MBT"/>
        <w:numPr>
          <w:ilvl w:val="0"/>
          <w:numId w:val="36"/>
        </w:numPr>
        <w:rPr>
          <w:noProof/>
        </w:rPr>
      </w:pPr>
      <w:r>
        <w:rPr>
          <w:noProof/>
        </w:rPr>
        <w:t>podporou určených vnitrostátních orgánů v EU a Komise při posuzování upuštění od požadavku oznamování podle čl. 14 odst. 6 a 7,</w:t>
      </w:r>
    </w:p>
    <w:p>
      <w:pPr>
        <w:pStyle w:val="MBT"/>
        <w:numPr>
          <w:ilvl w:val="0"/>
          <w:numId w:val="36"/>
        </w:numPr>
        <w:rPr>
          <w:noProof/>
        </w:rPr>
      </w:pPr>
      <w:r>
        <w:rPr>
          <w:noProof/>
        </w:rPr>
        <w:t>shromažďováním, shrnováním a zveřejňováním údajů o množství vyvezených a dovezených chemických látek, které každý rok obdrží od určených vnitrostátních orgánů (čl. 10 odst. 3).</w:t>
      </w:r>
    </w:p>
    <w:p>
      <w:pPr>
        <w:spacing w:after="0"/>
        <w:rPr>
          <w:noProof/>
        </w:rPr>
      </w:pPr>
    </w:p>
    <w:p>
      <w:pPr>
        <w:pStyle w:val="MBT"/>
        <w:rPr>
          <w:noProof/>
        </w:rPr>
      </w:pPr>
      <w:r>
        <w:rPr>
          <w:noProof/>
        </w:rPr>
        <w:t>Agentura odpovídá za vývoj a fungování aplikace pro zpracovávání oznámení o vývozu a výslovných souhlasů udělených dovážejícími zeměmi (ePIC). Agentura mimoto poskytuje odvětví, určeným vnitrostátním orgánům z členských států EU a třetích zemí a Evropské komisi pomoc a technické a vědecké pokyny (článek 6).</w:t>
      </w:r>
    </w:p>
    <w:p>
      <w:pPr>
        <w:pStyle w:val="Body"/>
        <w:rPr>
          <w:noProof/>
        </w:rPr>
      </w:pPr>
    </w:p>
    <w:p>
      <w:pPr>
        <w:spacing w:after="120"/>
        <w:rPr>
          <w:rFonts w:ascii="Verdana" w:hAnsi="Verdana"/>
          <w:noProof/>
          <w:sz w:val="20"/>
        </w:rPr>
      </w:pPr>
      <w:r>
        <w:rPr>
          <w:rFonts w:ascii="Verdana" w:hAnsi="Verdana"/>
          <w:noProof/>
          <w:sz w:val="20"/>
        </w:rPr>
        <w:t xml:space="preserve">Jak je zdůrazněno ve zprávě agentury, počet oznámení o vývozu je vyšší než předpokládaný 10% roční nárůst, což má za následek dodatečnou pracovní zátěž oproti očekáváním a rovněž delší dobu vynakládanou na podporu určených vnitrostátních orgánů (z EU a třetích zemí). Úsilí o podporu určených vnitrostátních orgánů z EU a třetích zemí zabere 30 % až 40 % pracovní doby zaměstnanců. Vyšší počet oznámení o vývozu si vyžádal rovněž zdokonalení aplikace PIC, například větší automatizaci </w:t>
      </w:r>
      <w:r>
        <w:rPr>
          <w:rFonts w:ascii="Verdana" w:hAnsi="Verdana"/>
          <w:noProof/>
          <w:sz w:val="20"/>
        </w:rPr>
        <w:lastRenderedPageBreak/>
        <w:t>určitých procesů k snížení pracovní zátěže u uživatelů z odvětví a orgánů, což jim má tudíž pomoci dodržet zákonné lhůty.</w:t>
      </w:r>
    </w:p>
    <w:p>
      <w:pPr>
        <w:pStyle w:val="Caption"/>
        <w:rPr>
          <w:noProof/>
        </w:rPr>
      </w:pPr>
      <w:r>
        <w:rPr>
          <w:noProof/>
        </w:rPr>
        <w:t>Tabulka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Počet předpokládaných oznámení v porovnání s počtem oznámení zpracovaných agenturou</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21"/>
        <w:gridCol w:w="1822"/>
        <w:gridCol w:w="1822"/>
        <w:gridCol w:w="1822"/>
      </w:tblGrid>
      <w:tr>
        <w:tc>
          <w:tcPr>
            <w:tcW w:w="2057" w:type="pct"/>
            <w:shd w:val="clear" w:color="auto" w:fill="000099"/>
          </w:tcPr>
          <w:p>
            <w:pPr>
              <w:pStyle w:val="MBT"/>
              <w:rPr>
                <w:noProof/>
                <w:color w:val="FFFFFF"/>
              </w:rPr>
            </w:pPr>
          </w:p>
        </w:tc>
        <w:tc>
          <w:tcPr>
            <w:tcW w:w="981" w:type="pct"/>
            <w:shd w:val="clear" w:color="auto" w:fill="000099"/>
          </w:tcPr>
          <w:p>
            <w:pPr>
              <w:pStyle w:val="MBT"/>
              <w:rPr>
                <w:noProof/>
                <w:color w:val="FFFFFF"/>
              </w:rPr>
            </w:pPr>
            <w:r>
              <w:rPr>
                <w:noProof/>
                <w:color w:val="FFFFFF"/>
              </w:rPr>
              <w:t>2014</w:t>
            </w:r>
          </w:p>
        </w:tc>
        <w:tc>
          <w:tcPr>
            <w:tcW w:w="981" w:type="pct"/>
            <w:shd w:val="clear" w:color="auto" w:fill="000099"/>
          </w:tcPr>
          <w:p>
            <w:pPr>
              <w:pStyle w:val="MBT"/>
              <w:rPr>
                <w:noProof/>
                <w:color w:val="FFFFFF"/>
              </w:rPr>
            </w:pPr>
            <w:r>
              <w:rPr>
                <w:noProof/>
                <w:color w:val="FFFFFF"/>
              </w:rPr>
              <w:t>2015</w:t>
            </w:r>
          </w:p>
        </w:tc>
        <w:tc>
          <w:tcPr>
            <w:tcW w:w="981" w:type="pct"/>
            <w:shd w:val="clear" w:color="auto" w:fill="000099"/>
          </w:tcPr>
          <w:p>
            <w:pPr>
              <w:pStyle w:val="MBT"/>
              <w:rPr>
                <w:noProof/>
                <w:color w:val="FFFFFF"/>
              </w:rPr>
            </w:pPr>
            <w:r>
              <w:rPr>
                <w:noProof/>
                <w:color w:val="FFFFFF"/>
              </w:rPr>
              <w:t>2016</w:t>
            </w:r>
          </w:p>
        </w:tc>
      </w:tr>
      <w:tr>
        <w:tc>
          <w:tcPr>
            <w:tcW w:w="2057" w:type="pct"/>
            <w:shd w:val="clear" w:color="auto" w:fill="F2F2F2"/>
          </w:tcPr>
          <w:p>
            <w:pPr>
              <w:pStyle w:val="MBT"/>
              <w:rPr>
                <w:noProof/>
                <w:sz w:val="18"/>
              </w:rPr>
            </w:pPr>
            <w:r>
              <w:rPr>
                <w:noProof/>
                <w:sz w:val="18"/>
              </w:rPr>
              <w:t>Odhadovaný počet oznámení</w:t>
            </w:r>
          </w:p>
        </w:tc>
        <w:tc>
          <w:tcPr>
            <w:tcW w:w="981" w:type="pct"/>
            <w:shd w:val="clear" w:color="auto" w:fill="F2F2F2"/>
          </w:tcPr>
          <w:p>
            <w:pPr>
              <w:pStyle w:val="MBT"/>
              <w:rPr>
                <w:noProof/>
                <w:sz w:val="18"/>
              </w:rPr>
            </w:pPr>
            <w:r>
              <w:rPr>
                <w:noProof/>
                <w:sz w:val="18"/>
              </w:rPr>
              <w:t>4 000</w:t>
            </w:r>
          </w:p>
        </w:tc>
        <w:tc>
          <w:tcPr>
            <w:tcW w:w="981" w:type="pct"/>
            <w:shd w:val="clear" w:color="auto" w:fill="F2F2F2"/>
          </w:tcPr>
          <w:p>
            <w:pPr>
              <w:pStyle w:val="MBT"/>
              <w:rPr>
                <w:noProof/>
                <w:sz w:val="18"/>
              </w:rPr>
            </w:pPr>
            <w:r>
              <w:rPr>
                <w:noProof/>
                <w:sz w:val="18"/>
              </w:rPr>
              <w:t>4 300</w:t>
            </w:r>
          </w:p>
        </w:tc>
        <w:tc>
          <w:tcPr>
            <w:tcW w:w="981" w:type="pct"/>
            <w:shd w:val="clear" w:color="auto" w:fill="F2F2F2"/>
          </w:tcPr>
          <w:p>
            <w:pPr>
              <w:pStyle w:val="MBT"/>
              <w:rPr>
                <w:noProof/>
                <w:sz w:val="18"/>
              </w:rPr>
            </w:pPr>
            <w:r>
              <w:rPr>
                <w:noProof/>
                <w:sz w:val="18"/>
              </w:rPr>
              <w:t>6 300</w:t>
            </w:r>
          </w:p>
        </w:tc>
      </w:tr>
      <w:tr>
        <w:tc>
          <w:tcPr>
            <w:tcW w:w="2057" w:type="pct"/>
            <w:shd w:val="clear" w:color="auto" w:fill="F2F2F2"/>
          </w:tcPr>
          <w:p>
            <w:pPr>
              <w:pStyle w:val="MBT"/>
              <w:rPr>
                <w:noProof/>
                <w:sz w:val="18"/>
              </w:rPr>
            </w:pPr>
            <w:r>
              <w:rPr>
                <w:noProof/>
                <w:sz w:val="18"/>
              </w:rPr>
              <w:t>Skutečný počet oznámení</w:t>
            </w:r>
          </w:p>
        </w:tc>
        <w:tc>
          <w:tcPr>
            <w:tcW w:w="981" w:type="pct"/>
            <w:shd w:val="clear" w:color="auto" w:fill="F2F2F2"/>
          </w:tcPr>
          <w:p>
            <w:pPr>
              <w:pStyle w:val="MBT"/>
              <w:rPr>
                <w:noProof/>
                <w:sz w:val="18"/>
              </w:rPr>
            </w:pPr>
            <w:r>
              <w:rPr>
                <w:noProof/>
                <w:sz w:val="18"/>
              </w:rPr>
              <w:t>4 575</w:t>
            </w:r>
          </w:p>
        </w:tc>
        <w:tc>
          <w:tcPr>
            <w:tcW w:w="981" w:type="pct"/>
            <w:shd w:val="clear" w:color="auto" w:fill="F2F2F2"/>
          </w:tcPr>
          <w:p>
            <w:pPr>
              <w:pStyle w:val="MBT"/>
              <w:rPr>
                <w:noProof/>
                <w:sz w:val="18"/>
              </w:rPr>
            </w:pPr>
            <w:r>
              <w:rPr>
                <w:noProof/>
                <w:sz w:val="18"/>
              </w:rPr>
              <w:t>5 460</w:t>
            </w:r>
          </w:p>
        </w:tc>
        <w:tc>
          <w:tcPr>
            <w:tcW w:w="981" w:type="pct"/>
            <w:shd w:val="clear" w:color="auto" w:fill="F2F2F2"/>
          </w:tcPr>
          <w:p>
            <w:pPr>
              <w:pStyle w:val="MBT"/>
              <w:rPr>
                <w:noProof/>
                <w:sz w:val="18"/>
              </w:rPr>
            </w:pPr>
            <w:r>
              <w:rPr>
                <w:noProof/>
                <w:sz w:val="18"/>
              </w:rPr>
              <w:t>7 967</w:t>
            </w:r>
          </w:p>
        </w:tc>
      </w:tr>
    </w:tbl>
    <w:p>
      <w:pPr>
        <w:pStyle w:val="MBT"/>
        <w:rPr>
          <w:noProof/>
        </w:rPr>
      </w:pPr>
    </w:p>
    <w:p>
      <w:pPr>
        <w:pStyle w:val="Body"/>
        <w:jc w:val="both"/>
        <w:rPr>
          <w:noProof/>
        </w:rPr>
      </w:pPr>
      <w:r>
        <w:rPr>
          <w:noProof/>
        </w:rPr>
        <w:t>Agentura uvedla, že stávající pracovní zátěž tento trend potvrzuje a že provádění této dodatečné práce bude vyžadovat další lidské a finanční zdroje.</w:t>
      </w:r>
    </w:p>
    <w:p>
      <w:pPr>
        <w:pStyle w:val="Body"/>
        <w:rPr>
          <w:noProof/>
        </w:rPr>
      </w:pPr>
    </w:p>
    <w:p>
      <w:pPr>
        <w:pStyle w:val="Heading2"/>
        <w:rPr>
          <w:noProof/>
        </w:rPr>
      </w:pPr>
      <w:bookmarkStart w:id="8" w:name="_Toc495401093"/>
      <w:bookmarkStart w:id="9" w:name="_Toc497750130"/>
      <w:r>
        <w:rPr>
          <w:noProof/>
        </w:rPr>
        <w:t xml:space="preserve">Komise, agentura a určené vnitrostátní orgány </w:t>
      </w:r>
      <w:bookmarkEnd w:id="8"/>
      <w:bookmarkEnd w:id="9"/>
      <w:r>
        <w:rPr>
          <w:noProof/>
        </w:rPr>
        <w:t>pokládají koordinaci mezi orgány EU a vnitrostátními orgány za účinnou</w:t>
      </w:r>
    </w:p>
    <w:p>
      <w:pPr>
        <w:pStyle w:val="MBT"/>
        <w:tabs>
          <w:tab w:val="right" w:pos="9070"/>
        </w:tabs>
        <w:rPr>
          <w:noProof/>
        </w:rPr>
      </w:pPr>
      <w:bookmarkStart w:id="10" w:name="_Toc497750138"/>
    </w:p>
    <w:p>
      <w:pPr>
        <w:pStyle w:val="MBT"/>
        <w:tabs>
          <w:tab w:val="right" w:pos="9070"/>
        </w:tabs>
        <w:rPr>
          <w:noProof/>
        </w:rPr>
      </w:pPr>
      <w:r>
        <w:rPr>
          <w:noProof/>
        </w:rPr>
        <w:t>Členské státy se obecně domnívaly, že koordinace mezi určenými vnitrostátními orgány a Komisí a mezi těmito orgány a agenturou je uspokojivá. Řada určených vnitrostátních orgánů ocenila rychlost a kvalitu podpory, kterou Komise a agentura poskytují. Agentura hodnotí podobně jako účinnou i spolupráci s určenými vnitrostátními orgány, včetně při řešení neshod. Také Komise považovala spolupráci s určenými vnitrostátními orgány za účinnou, zejména prostřednictvím diskusí na zasedáních určených vnitrostátních orgánů pro PIC, která se konají dvakrát ročně.</w:t>
      </w:r>
    </w:p>
    <w:p>
      <w:pPr>
        <w:pStyle w:val="Body"/>
        <w:jc w:val="both"/>
        <w:rPr>
          <w:noProof/>
        </w:rPr>
      </w:pPr>
    </w:p>
    <w:p>
      <w:pPr>
        <w:pStyle w:val="Body"/>
        <w:jc w:val="both"/>
        <w:rPr>
          <w:noProof/>
        </w:rPr>
      </w:pPr>
      <w:r>
        <w:rPr>
          <w:noProof/>
        </w:rPr>
        <w:t>Agentura pokládala spolupráci s Komisí za uspokojivou a poukázala na řadu oblastí ke zlepšení, například vypracování oznámení o konečném regulačním opatření, přípravu zasedání, provádění ustanovení čl. 14 odst. 6 a 7 a postup aktualizace příloh. Komise rovněž považovala spolupráci s agenturou za uspokojivou a vyzdvihla pravidelné výměny ohledně vědeckých, technických a právních otázek, které se vyskytnou při provádění, zejména v souvislosti s právním výkladem ustanovení a jejich prováděním v praxi.</w:t>
      </w:r>
    </w:p>
    <w:p>
      <w:pPr>
        <w:pStyle w:val="Body"/>
        <w:jc w:val="both"/>
        <w:rPr>
          <w:noProof/>
        </w:rPr>
      </w:pPr>
    </w:p>
    <w:p>
      <w:pPr>
        <w:pStyle w:val="Heading1"/>
        <w:rPr>
          <w:noProof/>
        </w:rPr>
      </w:pPr>
      <w:r>
        <w:rPr>
          <w:noProof/>
        </w:rPr>
        <w:t>Aktualizace přílohy I nařízení PIC</w:t>
      </w:r>
      <w:bookmarkEnd w:id="10"/>
    </w:p>
    <w:p>
      <w:pPr>
        <w:pStyle w:val="Body"/>
        <w:jc w:val="both"/>
        <w:rPr>
          <w:noProof/>
        </w:rPr>
      </w:pPr>
      <w:r>
        <w:rPr>
          <w:noProof/>
        </w:rPr>
        <w:t>Podle článku 23 by Komise měla nejméně jednou za rok přezkoumat seznam chemických látek v příloze I, a to na základě vývoje právních předpisů EU – zejména nařízení REACH</w:t>
      </w:r>
      <w:r>
        <w:rPr>
          <w:rStyle w:val="FootnoteReference"/>
          <w:noProof/>
        </w:rPr>
        <w:footnoteReference w:id="6"/>
      </w:r>
      <w:r>
        <w:rPr>
          <w:noProof/>
        </w:rPr>
        <w:t>, nařízení o biocidních přípravcích</w:t>
      </w:r>
      <w:r>
        <w:rPr>
          <w:rStyle w:val="FootnoteReference"/>
          <w:noProof/>
        </w:rPr>
        <w:footnoteReference w:id="7"/>
      </w:r>
      <w:r>
        <w:rPr>
          <w:noProof/>
        </w:rPr>
        <w:t xml:space="preserve"> a nařízení o přípravcích na ochranu rostlin</w:t>
      </w:r>
      <w:r>
        <w:rPr>
          <w:rStyle w:val="FootnoteReference"/>
          <w:noProof/>
        </w:rPr>
        <w:footnoteReference w:id="8"/>
      </w:r>
      <w:r>
        <w:rPr>
          <w:noProof/>
        </w:rPr>
        <w:t xml:space="preserve"> – a úmluvy. Přílohy nařízení PIC jsou pozměňovány akty v přenesené pravomoci, které přijímá Komise.</w:t>
      </w:r>
    </w:p>
    <w:p>
      <w:pPr>
        <w:pStyle w:val="Body"/>
        <w:jc w:val="both"/>
        <w:rPr>
          <w:noProof/>
        </w:rPr>
      </w:pPr>
    </w:p>
    <w:p>
      <w:pPr>
        <w:pStyle w:val="Body"/>
        <w:jc w:val="both"/>
        <w:rPr>
          <w:noProof/>
        </w:rPr>
      </w:pPr>
      <w:r>
        <w:rPr>
          <w:noProof/>
        </w:rPr>
        <w:t xml:space="preserve">Během sledovaného období bylo 21 látek zařazeno do části 1 a 10 látek do části 2 přílohy I. Dvanáct těchto látek bylo zařazeno po zákazu jejich používání jako pesticidů </w:t>
      </w:r>
      <w:r>
        <w:rPr>
          <w:noProof/>
        </w:rPr>
        <w:lastRenderedPageBreak/>
        <w:t>podle nařízení o přípravcích na ochranu rostlin a devět po zařazení do přílohy XVII nařízení REACH. Sedm látek bylo zařazeno do části 3 přílohy I po jejich zahrnutí do přílohy III Rotterdamské úmluvy.</w:t>
      </w:r>
    </w:p>
    <w:p>
      <w:pPr>
        <w:pStyle w:val="Body"/>
        <w:spacing w:after="240"/>
        <w:jc w:val="both"/>
        <w:rPr>
          <w:noProof/>
        </w:rPr>
      </w:pPr>
    </w:p>
    <w:p>
      <w:pPr>
        <w:pStyle w:val="Caption"/>
        <w:rPr>
          <w:noProof/>
        </w:rPr>
      </w:pPr>
      <w:r>
        <w:rPr>
          <w:noProof/>
        </w:rPr>
        <w:t>Tabulka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Pr>
          <w:noProof/>
        </w:rPr>
        <w:t>: Látky přidané do přílohy I během sledovaného období</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91"/>
        <w:gridCol w:w="3658"/>
        <w:gridCol w:w="1679"/>
        <w:gridCol w:w="1859"/>
      </w:tblGrid>
      <w:tr>
        <w:trPr>
          <w:tblHeader/>
        </w:trPr>
        <w:tc>
          <w:tcPr>
            <w:tcW w:w="1125" w:type="pct"/>
            <w:tcBorders>
              <w:top w:val="single" w:sz="4" w:space="0" w:color="FFFFFF"/>
              <w:left w:val="single" w:sz="4" w:space="0" w:color="FFFFFF"/>
              <w:bottom w:val="single" w:sz="4" w:space="0" w:color="FFFFFF"/>
              <w:right w:val="single" w:sz="4" w:space="0" w:color="FFFFFF"/>
            </w:tcBorders>
            <w:shd w:val="clear" w:color="auto" w:fill="000099"/>
            <w:hideMark/>
          </w:tcPr>
          <w:p>
            <w:pPr>
              <w:pStyle w:val="MBT"/>
              <w:rPr>
                <w:noProof/>
                <w:color w:val="FFFFFF"/>
              </w:rPr>
            </w:pPr>
            <w:r>
              <w:rPr>
                <w:noProof/>
                <w:color w:val="FFFFFF"/>
              </w:rPr>
              <w:t>Akt v přenesené pravomoci</w:t>
            </w:r>
          </w:p>
        </w:tc>
        <w:tc>
          <w:tcPr>
            <w:tcW w:w="1969" w:type="pct"/>
            <w:tcBorders>
              <w:top w:val="single" w:sz="4" w:space="0" w:color="FFFFFF"/>
              <w:left w:val="single" w:sz="4" w:space="0" w:color="FFFFFF"/>
              <w:bottom w:val="single" w:sz="4" w:space="0" w:color="FFFFFF"/>
              <w:right w:val="single" w:sz="4" w:space="0" w:color="FFFFFF"/>
            </w:tcBorders>
            <w:shd w:val="clear" w:color="auto" w:fill="000099"/>
            <w:hideMark/>
          </w:tcPr>
          <w:p>
            <w:pPr>
              <w:pStyle w:val="MBT"/>
              <w:rPr>
                <w:noProof/>
                <w:color w:val="FFFFFF"/>
              </w:rPr>
            </w:pPr>
            <w:r>
              <w:rPr>
                <w:noProof/>
                <w:color w:val="FFFFFF"/>
              </w:rPr>
              <w:t>Chemická látka</w:t>
            </w:r>
          </w:p>
        </w:tc>
        <w:tc>
          <w:tcPr>
            <w:tcW w:w="904" w:type="pct"/>
            <w:tcBorders>
              <w:top w:val="single" w:sz="4" w:space="0" w:color="FFFFFF"/>
              <w:left w:val="single" w:sz="4" w:space="0" w:color="FFFFFF"/>
              <w:bottom w:val="single" w:sz="4" w:space="0" w:color="FFFFFF"/>
              <w:right w:val="single" w:sz="4" w:space="0" w:color="FFFFFF"/>
            </w:tcBorders>
            <w:shd w:val="clear" w:color="auto" w:fill="000099"/>
            <w:hideMark/>
          </w:tcPr>
          <w:p>
            <w:pPr>
              <w:pStyle w:val="MBT"/>
              <w:jc w:val="left"/>
              <w:rPr>
                <w:noProof/>
                <w:color w:val="FFFFFF"/>
              </w:rPr>
            </w:pPr>
            <w:r>
              <w:rPr>
                <w:noProof/>
                <w:color w:val="FFFFFF"/>
              </w:rPr>
              <w:t>Změna přílohy I</w:t>
            </w:r>
          </w:p>
        </w:tc>
        <w:tc>
          <w:tcPr>
            <w:tcW w:w="1001" w:type="pct"/>
            <w:tcBorders>
              <w:top w:val="single" w:sz="4" w:space="0" w:color="FFFFFF"/>
              <w:left w:val="single" w:sz="4" w:space="0" w:color="FFFFFF"/>
              <w:bottom w:val="single" w:sz="4" w:space="0" w:color="FFFFFF"/>
              <w:right w:val="single" w:sz="4" w:space="0" w:color="FFFFFF"/>
            </w:tcBorders>
            <w:shd w:val="clear" w:color="auto" w:fill="000099"/>
            <w:hideMark/>
          </w:tcPr>
          <w:p>
            <w:pPr>
              <w:pStyle w:val="MBT"/>
              <w:jc w:val="left"/>
              <w:rPr>
                <w:noProof/>
                <w:color w:val="FFFFFF"/>
              </w:rPr>
            </w:pPr>
            <w:r>
              <w:rPr>
                <w:noProof/>
                <w:color w:val="FFFFFF"/>
              </w:rPr>
              <w:t>Základ pro zařazení</w:t>
            </w:r>
          </w:p>
        </w:tc>
      </w:tr>
      <w:tr>
        <w:tc>
          <w:tcPr>
            <w:tcW w:w="1125" w:type="pct"/>
            <w:vMerge w:val="restar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Nařízení Komise v přenesené pravomoci (EU) č. 1078/2014 ze dne 7. srpna 2014, kterým se mění příloha I nařízení (EU) č. 649/2012</w:t>
            </w: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Azocyklotin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Bitertanol</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Cinidon-ethyl</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Cyklanilid</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Cyfluthrin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 xml:space="preserve">Část 1 a 2 </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Cyhexatin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Ethoxysulfuron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Didecyldimethylamonium-chlorid</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Oxadiargyl</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Rotenon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Warfarin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Azinfos-methyl</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3</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Příloha III RC</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Perfluoroktansulfonová kyselina</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3</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Příloha III RC</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Perfluoroktansulfonáty</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3</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Příloha III RC</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Perfluoroktansulfonamidy</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3</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Příloha III RC</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Perfluoroktansulfonyly</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3</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Příloha III RC</w:t>
            </w:r>
          </w:p>
        </w:tc>
      </w:tr>
      <w:tr>
        <w:tc>
          <w:tcPr>
            <w:tcW w:w="1125" w:type="pct"/>
            <w:vMerge w:val="restar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Nařízení Komise v přenesené pravomoci (EU) 2015/2229 ze dne 29. září 2015, kterým se mění příloha I nařízení (EU) č. 649/2012</w:t>
            </w: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1,1-Dichloroethen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1,1,2-trichlorethan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1,1,1,2-tetrachlorethan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1,1,2,2-tetrachlorethan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Sloučeniny dibutylcínu</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Sloučeniny dioktylcínu</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Fenbutatinoxid</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 a 2</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PPPR</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Sloučeniny olova</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Pentachlorethan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Trichlorobenzen</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1</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REACH</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Komerční pentabromdifenylether, včetně tetrabromdifenyletheru a pentabromdifenyletheru</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3</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Příloha III RC</w:t>
            </w:r>
          </w:p>
        </w:tc>
      </w:tr>
      <w:tr>
        <w:tc>
          <w:tcPr>
            <w:tcW w:w="1125" w:type="pct"/>
            <w:vMerge/>
            <w:tcBorders>
              <w:top w:val="single" w:sz="4" w:space="0" w:color="FFFFFF"/>
              <w:left w:val="single" w:sz="4" w:space="0" w:color="FFFFFF"/>
              <w:bottom w:val="single" w:sz="4" w:space="0" w:color="FFFFFF"/>
              <w:right w:val="single" w:sz="4" w:space="0" w:color="FFFFFF"/>
            </w:tcBorders>
            <w:shd w:val="clear" w:color="auto" w:fill="F2F2F2"/>
            <w:vAlign w:val="center"/>
            <w:hideMark/>
          </w:tcPr>
          <w:p>
            <w:pPr>
              <w:spacing w:after="0"/>
              <w:jc w:val="left"/>
              <w:rPr>
                <w:rFonts w:ascii="Verdana" w:hAnsi="Verdana"/>
                <w:bCs/>
                <w:noProof/>
                <w:sz w:val="20"/>
                <w:szCs w:val="22"/>
              </w:rPr>
            </w:pPr>
          </w:p>
        </w:tc>
        <w:tc>
          <w:tcPr>
            <w:tcW w:w="1969"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Komerční oktabromdifenylether včetně hexabromdifenyletheru a heptabromdifenyletheru</w:t>
            </w:r>
          </w:p>
        </w:tc>
        <w:tc>
          <w:tcPr>
            <w:tcW w:w="904"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rPr>
                <w:noProof/>
              </w:rPr>
            </w:pPr>
            <w:r>
              <w:rPr>
                <w:noProof/>
              </w:rPr>
              <w:t>Část 3</w:t>
            </w:r>
          </w:p>
        </w:tc>
        <w:tc>
          <w:tcPr>
            <w:tcW w:w="1001" w:type="pct"/>
            <w:tcBorders>
              <w:top w:val="single" w:sz="4" w:space="0" w:color="FFFFFF"/>
              <w:left w:val="single" w:sz="4" w:space="0" w:color="FFFFFF"/>
              <w:bottom w:val="single" w:sz="4" w:space="0" w:color="FFFFFF"/>
              <w:right w:val="single" w:sz="4" w:space="0" w:color="FFFFFF"/>
            </w:tcBorders>
            <w:shd w:val="clear" w:color="auto" w:fill="F2F2F2"/>
            <w:hideMark/>
          </w:tcPr>
          <w:p>
            <w:pPr>
              <w:pStyle w:val="MBT"/>
              <w:jc w:val="left"/>
              <w:rPr>
                <w:noProof/>
              </w:rPr>
            </w:pPr>
            <w:r>
              <w:rPr>
                <w:noProof/>
              </w:rPr>
              <w:t>Příloha III RC</w:t>
            </w:r>
          </w:p>
        </w:tc>
      </w:tr>
    </w:tbl>
    <w:p>
      <w:pPr>
        <w:pStyle w:val="MBT"/>
        <w:rPr>
          <w:noProof/>
        </w:rPr>
      </w:pPr>
    </w:p>
    <w:p>
      <w:pPr>
        <w:pStyle w:val="MBT"/>
        <w:rPr>
          <w:noProof/>
        </w:rPr>
      </w:pPr>
      <w:r>
        <w:rPr>
          <w:noProof/>
        </w:rPr>
        <w:t>Podle článku 11 nařízení PIC musí Komise sekretariátu Rotterdamské úmluvy písemně oznámit chemické látky, jejichž seznam je uveden v části 2 přílohy I, které jsou způsobilé pro oznámení v rámci PIC. Během sledovaného období byla sekretariátu předložena tři oznámení:</w:t>
      </w:r>
    </w:p>
    <w:p>
      <w:pPr>
        <w:spacing w:after="0"/>
        <w:jc w:val="left"/>
        <w:rPr>
          <w:rFonts w:ascii="Verdana" w:hAnsi="Verdana"/>
          <w:bCs/>
          <w:noProof/>
          <w:sz w:val="20"/>
          <w:szCs w:val="22"/>
        </w:rPr>
      </w:pPr>
      <w:r>
        <w:rPr>
          <w:noProof/>
        </w:rPr>
        <w:br w:type="page"/>
      </w:r>
    </w:p>
    <w:p>
      <w:pPr>
        <w:pStyle w:val="Caption"/>
        <w:rPr>
          <w:noProof/>
        </w:rPr>
      </w:pPr>
      <w:r>
        <w:rPr>
          <w:noProof/>
        </w:rPr>
        <w:lastRenderedPageBreak/>
        <w:t>Tabulka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rPr>
          <w:noProof/>
        </w:rPr>
        <w:t>: Oznámení v rámci PIC, která byla zaslána sekretariátu během sledovaného období</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87"/>
        <w:gridCol w:w="2350"/>
        <w:gridCol w:w="2350"/>
      </w:tblGrid>
      <w:tr>
        <w:trPr>
          <w:tblHeader/>
        </w:trPr>
        <w:tc>
          <w:tcPr>
            <w:tcW w:w="2470" w:type="pct"/>
            <w:shd w:val="clear" w:color="auto" w:fill="000099"/>
          </w:tcPr>
          <w:p>
            <w:pPr>
              <w:pStyle w:val="MBT"/>
              <w:rPr>
                <w:noProof/>
                <w:color w:val="FFFFFF"/>
              </w:rPr>
            </w:pPr>
            <w:r>
              <w:rPr>
                <w:noProof/>
                <w:color w:val="FFFFFF"/>
              </w:rPr>
              <w:t>Základ pro oznámení</w:t>
            </w:r>
          </w:p>
        </w:tc>
        <w:tc>
          <w:tcPr>
            <w:tcW w:w="1265" w:type="pct"/>
            <w:shd w:val="clear" w:color="auto" w:fill="000099"/>
          </w:tcPr>
          <w:p>
            <w:pPr>
              <w:pStyle w:val="MBT"/>
              <w:rPr>
                <w:noProof/>
                <w:color w:val="FFFFFF"/>
              </w:rPr>
            </w:pPr>
            <w:r>
              <w:rPr>
                <w:noProof/>
                <w:color w:val="FFFFFF"/>
              </w:rPr>
              <w:t>Oznámené chemické látky</w:t>
            </w:r>
          </w:p>
        </w:tc>
        <w:tc>
          <w:tcPr>
            <w:tcW w:w="1265" w:type="pct"/>
            <w:shd w:val="clear" w:color="auto" w:fill="000099"/>
          </w:tcPr>
          <w:p>
            <w:pPr>
              <w:pStyle w:val="MBT"/>
              <w:rPr>
                <w:noProof/>
                <w:color w:val="FFFFFF"/>
              </w:rPr>
            </w:pPr>
            <w:r>
              <w:rPr>
                <w:noProof/>
                <w:color w:val="FFFFFF"/>
              </w:rPr>
              <w:t>Datum oznámení</w:t>
            </w:r>
          </w:p>
        </w:tc>
      </w:tr>
      <w:tr>
        <w:tc>
          <w:tcPr>
            <w:tcW w:w="2470" w:type="pct"/>
            <w:shd w:val="clear" w:color="auto" w:fill="F2F2F2"/>
          </w:tcPr>
          <w:p>
            <w:pPr>
              <w:pStyle w:val="MBT"/>
              <w:rPr>
                <w:noProof/>
              </w:rPr>
            </w:pPr>
            <w:r>
              <w:rPr>
                <w:noProof/>
              </w:rPr>
              <w:t>Nařízení Komise (ES) č. 73/2013 (2014)</w:t>
            </w:r>
          </w:p>
        </w:tc>
        <w:tc>
          <w:tcPr>
            <w:tcW w:w="1265" w:type="pct"/>
            <w:shd w:val="clear" w:color="auto" w:fill="F2F2F2"/>
          </w:tcPr>
          <w:p>
            <w:pPr>
              <w:pStyle w:val="MBT"/>
              <w:rPr>
                <w:noProof/>
              </w:rPr>
            </w:pPr>
            <w:r>
              <w:rPr>
                <w:noProof/>
              </w:rPr>
              <w:t>Naled</w:t>
            </w:r>
          </w:p>
          <w:p>
            <w:pPr>
              <w:pStyle w:val="MBT"/>
              <w:rPr>
                <w:noProof/>
              </w:rPr>
            </w:pPr>
          </w:p>
        </w:tc>
        <w:tc>
          <w:tcPr>
            <w:tcW w:w="1265" w:type="pct"/>
            <w:shd w:val="clear" w:color="auto" w:fill="F2F2F2"/>
          </w:tcPr>
          <w:p>
            <w:pPr>
              <w:pStyle w:val="MBT"/>
              <w:rPr>
                <w:noProof/>
              </w:rPr>
            </w:pPr>
            <w:r>
              <w:rPr>
                <w:noProof/>
              </w:rPr>
              <w:t>Duben 2014</w:t>
            </w:r>
          </w:p>
        </w:tc>
      </w:tr>
      <w:tr>
        <w:tc>
          <w:tcPr>
            <w:tcW w:w="2470" w:type="pct"/>
            <w:shd w:val="clear" w:color="auto" w:fill="F2F2F2"/>
          </w:tcPr>
          <w:p>
            <w:pPr>
              <w:pStyle w:val="MBT"/>
              <w:rPr>
                <w:noProof/>
              </w:rPr>
            </w:pPr>
            <w:r>
              <w:rPr>
                <w:noProof/>
              </w:rPr>
              <w:t>Nařízení Komise v přenesené pravomoci (EU) č. 1078/2014</w:t>
            </w:r>
          </w:p>
        </w:tc>
        <w:tc>
          <w:tcPr>
            <w:tcW w:w="1265" w:type="pct"/>
            <w:shd w:val="clear" w:color="auto" w:fill="F2F2F2"/>
          </w:tcPr>
          <w:p>
            <w:pPr>
              <w:pStyle w:val="MBT"/>
              <w:rPr>
                <w:noProof/>
              </w:rPr>
            </w:pPr>
            <w:r>
              <w:rPr>
                <w:noProof/>
              </w:rPr>
              <w:t>Bitertanol</w:t>
            </w:r>
          </w:p>
        </w:tc>
        <w:tc>
          <w:tcPr>
            <w:tcW w:w="1265" w:type="pct"/>
            <w:shd w:val="clear" w:color="auto" w:fill="F2F2F2"/>
          </w:tcPr>
          <w:p>
            <w:pPr>
              <w:pStyle w:val="MBT"/>
              <w:rPr>
                <w:noProof/>
              </w:rPr>
            </w:pPr>
            <w:r>
              <w:rPr>
                <w:noProof/>
              </w:rPr>
              <w:t>Říjen 2016</w:t>
            </w:r>
          </w:p>
        </w:tc>
      </w:tr>
      <w:tr>
        <w:tc>
          <w:tcPr>
            <w:tcW w:w="2470" w:type="pct"/>
            <w:shd w:val="clear" w:color="auto" w:fill="F2F2F2"/>
          </w:tcPr>
          <w:p>
            <w:pPr>
              <w:pStyle w:val="MBT"/>
              <w:rPr>
                <w:noProof/>
              </w:rPr>
            </w:pPr>
            <w:r>
              <w:rPr>
                <w:noProof/>
              </w:rPr>
              <w:t>Nařízení Komise v přenesené pravomoci (EU) 2015/2229</w:t>
            </w:r>
          </w:p>
        </w:tc>
        <w:tc>
          <w:tcPr>
            <w:tcW w:w="1265" w:type="pct"/>
            <w:shd w:val="clear" w:color="auto" w:fill="F2F2F2"/>
          </w:tcPr>
          <w:p>
            <w:pPr>
              <w:pStyle w:val="MBT"/>
              <w:rPr>
                <w:noProof/>
              </w:rPr>
            </w:pPr>
            <w:r>
              <w:rPr>
                <w:noProof/>
              </w:rPr>
              <w:t>Fenbutatinoxid</w:t>
            </w:r>
          </w:p>
        </w:tc>
        <w:tc>
          <w:tcPr>
            <w:tcW w:w="1265" w:type="pct"/>
            <w:shd w:val="clear" w:color="auto" w:fill="F2F2F2"/>
          </w:tcPr>
          <w:p>
            <w:pPr>
              <w:pStyle w:val="MBT"/>
              <w:rPr>
                <w:noProof/>
              </w:rPr>
            </w:pPr>
            <w:r>
              <w:rPr>
                <w:noProof/>
              </w:rPr>
              <w:t>Říjen 2016</w:t>
            </w:r>
          </w:p>
        </w:tc>
      </w:tr>
    </w:tbl>
    <w:p>
      <w:pPr>
        <w:pStyle w:val="MBT"/>
        <w:rPr>
          <w:noProof/>
        </w:rPr>
      </w:pPr>
    </w:p>
    <w:p>
      <w:pPr>
        <w:pStyle w:val="Heading1"/>
        <w:rPr>
          <w:noProof/>
        </w:rPr>
      </w:pPr>
      <w:r>
        <w:rPr>
          <w:noProof/>
        </w:rPr>
        <w:t>Fungování nařízení PIC</w:t>
      </w:r>
    </w:p>
    <w:p>
      <w:pPr>
        <w:pStyle w:val="Heading2"/>
        <w:rPr>
          <w:noProof/>
        </w:rPr>
      </w:pPr>
      <w:r>
        <w:rPr>
          <w:noProof/>
        </w:rPr>
        <w:t>Osvětové činnosti a podpora, kterou určené vnitrostátní orgány a agentura poskytují vývozcům, zlepšily soulad s nařízením PIC</w:t>
      </w:r>
    </w:p>
    <w:p>
      <w:pPr>
        <w:pStyle w:val="Body"/>
        <w:jc w:val="both"/>
        <w:rPr>
          <w:noProof/>
        </w:rPr>
      </w:pPr>
    </w:p>
    <w:p>
      <w:pPr>
        <w:pStyle w:val="Body"/>
        <w:jc w:val="both"/>
        <w:rPr>
          <w:noProof/>
        </w:rPr>
      </w:pPr>
      <w:r>
        <w:rPr>
          <w:noProof/>
        </w:rPr>
        <w:t>Agentura musí vývozcům a dovozcům poskytovat pomoc a technické a vědecké pokyny a nástroje (čl. 6 odst. 1). Ačkoliv se nejedná o právní povinnost, většina určených vnitrostátních orgánů poskytovala ve sledovaném období podporu a prováděla osvětové činnosti zaměřené na domácí vývozce a dovozce.</w:t>
      </w:r>
    </w:p>
    <w:p>
      <w:pPr>
        <w:pStyle w:val="Body"/>
        <w:rPr>
          <w:noProof/>
        </w:rPr>
      </w:pPr>
    </w:p>
    <w:p>
      <w:pPr>
        <w:pStyle w:val="MBT"/>
        <w:rPr>
          <w:noProof/>
        </w:rPr>
      </w:pPr>
      <w:r>
        <w:rPr>
          <w:noProof/>
        </w:rPr>
        <w:t>Ve sledovaném období uskutečnilo osvětové a informační činnosti zaměřené na vývozce a dovozce dvacet pět členských států. Většina vytvořila zvláštní internetové stránky poskytující informace o nařízení PIC a odkazy na internetové stránky agentury týkající se nařízení PIC a aplikace ePIC. Deset členských států zřídilo rovněž národní kontaktní místo. Téměř všechny členské státy uvedly, že tyto činnosti zlepšily dodržování nařízení PIC ze strany vývozců a dovozců. Některé určené vnitrostátní orgány například zaznamenaly vyšší počet oznámení o vývozu, která obdržely určené vnitrostátní orgány, zvýšení počtu společností zaregistrovaných v aplikaci ePIC a lepší plnění povinností týkajících se podávání zpráv, které jsou stanoveny v článku 10.</w:t>
      </w:r>
    </w:p>
    <w:p>
      <w:pPr>
        <w:pStyle w:val="Body"/>
        <w:rPr>
          <w:noProof/>
        </w:rPr>
      </w:pPr>
    </w:p>
    <w:p>
      <w:pPr>
        <w:pStyle w:val="Body"/>
        <w:jc w:val="both"/>
        <w:rPr>
          <w:noProof/>
        </w:rPr>
      </w:pPr>
      <w:r>
        <w:rPr>
          <w:noProof/>
        </w:rPr>
        <w:t xml:space="preserve">Během sledovaného období zveřejnila agentura </w:t>
      </w:r>
      <w:r>
        <w:rPr>
          <w:i/>
          <w:noProof/>
        </w:rPr>
        <w:t>Pokyny k provádění nařízení (EU) č. 649/2012 o vývozu a dovozu nebezpečných chemických látek</w:t>
      </w:r>
      <w:r>
        <w:rPr>
          <w:noProof/>
        </w:rPr>
        <w:t xml:space="preserve"> a rovněž několik uživatelských příruček k aplikaci ePIC (pro různé skupiny uživatelů). Vývozcům a dovozcům poskytovala informace prostřednictvím svých internetových stránek, týdenních elektronických informačních bulletinů nebo zpravodajů a uspořádala řadu pracovních setkání věnovaných nařízení PIC, zejména v souvislosti s počátečním vývojem aplikace ePIC. Vyšší počet oznámení o vývozu zaslaných vývozci v EU a počet společností provádějících nařízení PIC podle agentury naznačuje, že se informovanost o nařízení PIC a dodržování tohoto nařízení ve sledovaném období významně zlepšily, částečně v důsledku jejích vlastních osvětových činností a osvětových činností určených vnitrostátních orgánů.</w:t>
      </w:r>
    </w:p>
    <w:p>
      <w:pPr>
        <w:pStyle w:val="Body"/>
        <w:jc w:val="both"/>
        <w:rPr>
          <w:noProof/>
        </w:rPr>
      </w:pPr>
    </w:p>
    <w:p>
      <w:pPr>
        <w:pStyle w:val="Heading2"/>
        <w:rPr>
          <w:noProof/>
        </w:rPr>
      </w:pPr>
      <w:r>
        <w:rPr>
          <w:noProof/>
        </w:rPr>
        <w:t>Pracovní zátěž v souvislosti s prováděním nařízení PIC je mezi členskými státy rozložena nerovnoměrně</w:t>
      </w:r>
    </w:p>
    <w:p>
      <w:pPr>
        <w:pStyle w:val="MBT"/>
        <w:rPr>
          <w:noProof/>
        </w:rPr>
      </w:pPr>
    </w:p>
    <w:p>
      <w:pPr>
        <w:pStyle w:val="MBT"/>
        <w:rPr>
          <w:noProof/>
        </w:rPr>
      </w:pPr>
      <w:r>
        <w:rPr>
          <w:noProof/>
        </w:rPr>
        <w:t xml:space="preserve">Oznámení o vývozu je nástroj nařízení PIC, jehož prostřednictvím si země vyměňují informace o zakázaných nebo přísně omezených chemických látkách. Všichni vývozci se sídlem v EU musí svým určeným vnitrostátním orgánům předložit oznámení o vývozu, pokud hodlají vyvážet chemické látky uvedené v části 1 přílohy I nařízení PIC do třetí země. Jakmile určený vnitrostátní orgán oznámení ověřil a přijal (v případě potřeby po jeho opětovném předložení), je toto oznámení předáno agentuře, která rovněž ověří </w:t>
      </w:r>
      <w:r>
        <w:rPr>
          <w:noProof/>
        </w:rPr>
        <w:lastRenderedPageBreak/>
        <w:t>soulad oznámení a předá je určenému vnitrostátnímu orgánu dovážející země. Není-li obdrženo potvrzení o přijetí, zašle agentura oznámení znovu. Celý postup se provádí prostřednictvím aplikace ePIC a vývozci musí používat vzor oznámení poskytnutý systémem.</w:t>
      </w:r>
    </w:p>
    <w:p>
      <w:pPr>
        <w:pStyle w:val="MBT"/>
        <w:rPr>
          <w:noProof/>
        </w:rPr>
      </w:pPr>
    </w:p>
    <w:p>
      <w:pPr>
        <w:pStyle w:val="MBT"/>
        <w:rPr>
          <w:noProof/>
        </w:rPr>
      </w:pPr>
      <w:r>
        <w:rPr>
          <w:noProof/>
        </w:rPr>
        <w:t xml:space="preserve">Během sledovaného období členské státy přijaly a předaly agentuře 15 771 oznámení o vývozu a 1 214 členských států oznámení zamítlo. Počet zpracovaných oznámení o vývozu se mezi jednotlivými členskými státy značně lišil. Tři členské státy nezpracovaly během sledovaného období žádné oznámení o vývozu a pět členských států mělo méně než deset oznámení. </w:t>
      </w:r>
      <w:bookmarkStart w:id="11" w:name="_Hlk515292435"/>
      <w:r>
        <w:rPr>
          <w:noProof/>
        </w:rPr>
        <w:t xml:space="preserve">Nejvyšší počet oznámení o vývozu zpracovaly Německo (5 196 oznámení), Francie (3 358), Spojené království (1 829), Itálie (1 321) a Španělsko (1 265). </w:t>
      </w:r>
      <w:bookmarkEnd w:id="11"/>
      <w:r>
        <w:rPr>
          <w:noProof/>
        </w:rPr>
        <w:t>Dovážejícími zeměmi, které obdržely nejvyšší počty oznámení o dovozu z Unie, byly Švýcarsko (1 044 oznámení), Turecko (984), Rusko (890), USA (754) a Čína (601).</w:t>
      </w:r>
    </w:p>
    <w:p>
      <w:pPr>
        <w:pStyle w:val="MBT"/>
        <w:rPr>
          <w:noProof/>
        </w:rPr>
      </w:pPr>
    </w:p>
    <w:p>
      <w:pPr>
        <w:pStyle w:val="MBT"/>
        <w:rPr>
          <w:noProof/>
        </w:rPr>
      </w:pPr>
      <w:r>
        <w:rPr>
          <w:noProof/>
        </w:rPr>
        <w:t>U určitého vývozu, který je z oblasti působnosti nařízení EU nebo z požadavku na oznámení o vývozu vyňat, musí vývozci požádat svůj určený vnitrostátní orgán o zvláštní referenční identifikační číslo a toto číslo použít v celním prohlášení k usnadnění celního řízení.</w:t>
      </w:r>
    </w:p>
    <w:p>
      <w:pPr>
        <w:pStyle w:val="MBT"/>
        <w:rPr>
          <w:noProof/>
        </w:rPr>
      </w:pPr>
    </w:p>
    <w:p>
      <w:pPr>
        <w:pStyle w:val="MBT"/>
        <w:rPr>
          <w:noProof/>
        </w:rPr>
      </w:pPr>
      <w:r>
        <w:rPr>
          <w:noProof/>
        </w:rPr>
        <w:t>Ve sledovaném období přijalo sedmnáct členských států 7 072 žádostí o zvláštní referenční identifikační číslo, a to především v souvislosti s vývozem, který je z oblasti působnosti nařízení vyňat, jelikož je určen pro výzkumné nebo analytické účely. Jedenáct členských států v posledních třech letech nevyřídilo žádnou takovouto žádost. Nejvyšší počet žádostí o zvláštní referenční identifikační číslo přijaly Německo, Spojené království a Belgie (viz obrázek 1).</w:t>
      </w:r>
    </w:p>
    <w:p>
      <w:pPr>
        <w:pStyle w:val="MBT"/>
        <w:rPr>
          <w:noProof/>
        </w:rPr>
      </w:pPr>
    </w:p>
    <w:p>
      <w:pPr>
        <w:pStyle w:val="Caption"/>
        <w:rPr>
          <w:noProof/>
        </w:rPr>
      </w:pPr>
      <w:r>
        <w:rPr>
          <w:noProof/>
        </w:rPr>
        <w:t>Obrázek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Celkový počet oznámení o vývozu a žádostí o zvláštní referenční identifikační číslo, jež určené vnitrostátní orgány přijaly během sledovaného období</w:t>
      </w:r>
    </w:p>
    <w:p>
      <w:pPr>
        <w:pStyle w:val="MBT"/>
        <w:rPr>
          <w:noProof/>
        </w:rPr>
      </w:pPr>
      <w:r>
        <w:rPr>
          <w:noProof/>
          <w:lang w:val="en-US" w:eastAsia="en-US" w:bidi="ar-SA"/>
        </w:rPr>
        <w:drawing>
          <wp:inline distT="0" distB="0" distL="0" distR="0">
            <wp:extent cx="5757545" cy="3573145"/>
            <wp:effectExtent l="0" t="0" r="0" b="825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MBT"/>
        <w:rPr>
          <w:noProof/>
        </w:rPr>
      </w:pPr>
    </w:p>
    <w:p>
      <w:pPr>
        <w:pStyle w:val="Heading2"/>
        <w:rPr>
          <w:noProof/>
        </w:rPr>
      </w:pPr>
      <w:r>
        <w:rPr>
          <w:noProof/>
        </w:rPr>
        <w:lastRenderedPageBreak/>
        <w:t>Při vyplňování formuláře oznámení o vývozu čelili vývozci problémům</w:t>
      </w:r>
    </w:p>
    <w:p>
      <w:pPr>
        <w:pStyle w:val="MBT"/>
        <w:rPr>
          <w:noProof/>
        </w:rPr>
      </w:pPr>
    </w:p>
    <w:p>
      <w:pPr>
        <w:pStyle w:val="MBT"/>
        <w:rPr>
          <w:noProof/>
        </w:rPr>
      </w:pPr>
      <w:r>
        <w:rPr>
          <w:noProof/>
        </w:rPr>
        <w:t>Podle agentury a určených vnitrostátních orgánů se vývozci při poskytování informací o vývozu (např. kontaktních údajů dovozců) a předpokládaném použití chemické látky v dovážející zemi setkávali s problémy. Problémem pro vývozce byly zejména předpokládané použití a kategorie použití při vývozu biocidů. Dvanáct určených vnitrostátních orgánů rovněž uvedlo, že vývozci měli problémy s dostupností kódů kombinované nomenklatury (KN) nebo statistického čísla celní unie (CUS). Rovněž agentura informovala o problémech v souvislosti s oddílem 6.1 formuláře týkajícím se shrnutí a důvodů konečného regulačního opatření a data vstupu v platnost, jelikož někteří vývozci zadali nesprávné údaje. Řada určených vnitrostátních orgánů a agentura mimoto vyzdvihly rovněž problémy s poskytnutím bezpečnostního listu ve správném jazyce, vývozem směsí a záznamy chemických skupin v aplikaci ePIC, jež nejsou nutně úplné a u vývozců vyvolávají nedorozumění, pokud jde o to, zda se na určitou chemickou látku vztahuje nařízení PIC, či nikoli.</w:t>
      </w:r>
    </w:p>
    <w:p>
      <w:pPr>
        <w:pStyle w:val="MBT"/>
        <w:rPr>
          <w:noProof/>
        </w:rPr>
      </w:pPr>
    </w:p>
    <w:p>
      <w:pPr>
        <w:pStyle w:val="Heading2"/>
        <w:rPr>
          <w:noProof/>
        </w:rPr>
      </w:pPr>
      <w:r>
        <w:rPr>
          <w:noProof/>
        </w:rPr>
        <w:t>Počet žádostí o opětovné předložení byl ve tříletém období poměrně vysoký</w:t>
      </w:r>
    </w:p>
    <w:p>
      <w:pPr>
        <w:pStyle w:val="MBT"/>
        <w:rPr>
          <w:noProof/>
        </w:rPr>
      </w:pPr>
    </w:p>
    <w:p>
      <w:pPr>
        <w:pStyle w:val="MBT"/>
        <w:rPr>
          <w:noProof/>
        </w:rPr>
      </w:pPr>
      <w:r>
        <w:rPr>
          <w:noProof/>
        </w:rPr>
        <w:t>V poměrně vysokém počtu případů požádaly určené vnitrostátní orgány nebo agentura o opětovné předložení oznámení. V období 2015–2016 požádaly o opětovné předložení celkem 2 503 oznámení o vývozu, z toho o 566 opětovných předložení oznámení o vývozu požádala agentura (334 v roce 2015 a 232 v roce 2016). Hlavní důvody pro opětovné předložení souvisely s oddílem 6 formuláře oznámení (shrnutí a důvody konečného regulačního opatření a datum vstupu v platnost) a bezpečnostním listem (např. jazyk nebo bezpečnostní list neodpovídající oznámení).</w:t>
      </w:r>
    </w:p>
    <w:p>
      <w:pPr>
        <w:pStyle w:val="Body"/>
        <w:jc w:val="both"/>
        <w:rPr>
          <w:noProof/>
        </w:rPr>
      </w:pPr>
    </w:p>
    <w:p>
      <w:pPr>
        <w:pStyle w:val="Heading2"/>
        <w:rPr>
          <w:noProof/>
        </w:rPr>
      </w:pPr>
      <w:r>
        <w:rPr>
          <w:noProof/>
        </w:rPr>
        <w:t>V postupu oznámení o vývozu nebyly zaznamenány významné prodlevy</w:t>
      </w:r>
    </w:p>
    <w:p>
      <w:pPr>
        <w:pStyle w:val="MBT"/>
        <w:rPr>
          <w:noProof/>
        </w:rPr>
      </w:pPr>
    </w:p>
    <w:p>
      <w:pPr>
        <w:pStyle w:val="MBT"/>
        <w:rPr>
          <w:noProof/>
        </w:rPr>
      </w:pPr>
      <w:r>
        <w:rPr>
          <w:noProof/>
        </w:rPr>
        <w:t>Ačkoliv některé určené vnitrostátní orgány a agentura nahlásily problémy při dodržování lhůt stanovených pro postup oznámení, počet oznámení, která byla zpracována pozdě, je nízký. Počet oznámení, která agentura obdržela méně než 25 dní před vývozem (což je lhůta stanovená v nařízení), představoval 4,9 % celkového počtu oznámení o vývozu. Agentura zaslala dovážejícím zemím pozdě 171 oznámení, tj. 1,2 % celkového počtu oznámení předaných dovážejícím zemím během sledovaného období. Důvody prodlev obvykle souvisely s problémy při zpracovávání oznámení o vývozu během vrcholné zimní sezony, s nedodržením lhůt pro opětovné předložení ze strany společností a na straně agentury s průtahy při přijímání oznámení od určených vnitrostátních orgánů.</w:t>
      </w:r>
    </w:p>
    <w:p>
      <w:pPr>
        <w:pStyle w:val="MBT"/>
        <w:rPr>
          <w:noProof/>
        </w:rPr>
      </w:pPr>
    </w:p>
    <w:p>
      <w:pPr>
        <w:pStyle w:val="Heading2"/>
        <w:rPr>
          <w:noProof/>
        </w:rPr>
      </w:pPr>
      <w:r>
        <w:rPr>
          <w:noProof/>
        </w:rPr>
        <w:t>Počet oznámení o vývozu obdržených od třetích zemí se mezi roky 2014 a 2016 téměř zdvojnásobil</w:t>
      </w:r>
    </w:p>
    <w:p>
      <w:pPr>
        <w:pStyle w:val="MBT"/>
        <w:rPr>
          <w:noProof/>
        </w:rPr>
      </w:pPr>
    </w:p>
    <w:p>
      <w:pPr>
        <w:pStyle w:val="MBT"/>
        <w:rPr>
          <w:noProof/>
        </w:rPr>
      </w:pPr>
      <w:r>
        <w:rPr>
          <w:noProof/>
        </w:rPr>
        <w:t>Podle článku 9 musí agentura zpřístupnit oznámení o vývozu, která obdrží od třetích zemí, prostřednictvím své databáze, potvrdit přijetí oznámení určenému vnitrostátnímu orgánu vyvážející země a poskytnout kopii určenému vnitrostátnímu orgánu členského státu nebo členských států přijímajících vývoz.</w:t>
      </w:r>
    </w:p>
    <w:p>
      <w:pPr>
        <w:pStyle w:val="MBT"/>
        <w:rPr>
          <w:noProof/>
        </w:rPr>
      </w:pPr>
    </w:p>
    <w:p>
      <w:pPr>
        <w:pStyle w:val="MBT"/>
        <w:rPr>
          <w:noProof/>
        </w:rPr>
      </w:pPr>
      <w:r>
        <w:rPr>
          <w:noProof/>
        </w:rPr>
        <w:t>Ve sledovaném období obdržela agentura od třetích zemí 1 105 oznámení o vývozu, především z USA a Švýcarska. Počet oznámení se mezi roky 2014 a 2016 téměř zdvojnásobil.</w:t>
      </w:r>
    </w:p>
    <w:p>
      <w:pPr>
        <w:pStyle w:val="MBT"/>
        <w:rPr>
          <w:noProof/>
        </w:rPr>
      </w:pPr>
    </w:p>
    <w:p>
      <w:pPr>
        <w:pStyle w:val="Caption"/>
        <w:rPr>
          <w:noProof/>
        </w:rPr>
      </w:pPr>
      <w:r>
        <w:rPr>
          <w:noProof/>
        </w:rPr>
        <w:t>Tabulka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rPr>
          <w:noProof/>
        </w:rPr>
        <w:t>: Oznámení o vývozu obdržená od třetích zemí a potvrzení o přijetí zaslaná agenturou ve sledovaném období</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950"/>
        <w:gridCol w:w="1291"/>
        <w:gridCol w:w="1293"/>
        <w:gridCol w:w="1293"/>
        <w:gridCol w:w="1460"/>
      </w:tblGrid>
      <w:tr>
        <w:tc>
          <w:tcPr>
            <w:tcW w:w="2127" w:type="pct"/>
            <w:shd w:val="clear" w:color="auto" w:fill="000099"/>
          </w:tcPr>
          <w:p>
            <w:pPr>
              <w:pStyle w:val="MBT"/>
              <w:rPr>
                <w:noProof/>
                <w:color w:val="FFFFFF"/>
              </w:rPr>
            </w:pPr>
          </w:p>
        </w:tc>
        <w:tc>
          <w:tcPr>
            <w:tcW w:w="695" w:type="pct"/>
            <w:shd w:val="clear" w:color="auto" w:fill="000099"/>
          </w:tcPr>
          <w:p>
            <w:pPr>
              <w:pStyle w:val="MBT"/>
              <w:rPr>
                <w:noProof/>
                <w:color w:val="FFFFFF"/>
              </w:rPr>
            </w:pPr>
            <w:r>
              <w:rPr>
                <w:noProof/>
                <w:color w:val="FFFFFF"/>
              </w:rPr>
              <w:t>2014</w:t>
            </w:r>
          </w:p>
        </w:tc>
        <w:tc>
          <w:tcPr>
            <w:tcW w:w="696" w:type="pct"/>
            <w:shd w:val="clear" w:color="auto" w:fill="000099"/>
          </w:tcPr>
          <w:p>
            <w:pPr>
              <w:pStyle w:val="MBT"/>
              <w:rPr>
                <w:noProof/>
                <w:color w:val="FFFFFF"/>
              </w:rPr>
            </w:pPr>
            <w:r>
              <w:rPr>
                <w:noProof/>
                <w:color w:val="FFFFFF"/>
              </w:rPr>
              <w:t>2015</w:t>
            </w:r>
          </w:p>
        </w:tc>
        <w:tc>
          <w:tcPr>
            <w:tcW w:w="696" w:type="pct"/>
            <w:shd w:val="clear" w:color="auto" w:fill="000099"/>
          </w:tcPr>
          <w:p>
            <w:pPr>
              <w:pStyle w:val="MBT"/>
              <w:rPr>
                <w:noProof/>
                <w:color w:val="FFFFFF"/>
              </w:rPr>
            </w:pPr>
            <w:r>
              <w:rPr>
                <w:noProof/>
                <w:color w:val="FFFFFF"/>
              </w:rPr>
              <w:t>2016</w:t>
            </w:r>
          </w:p>
        </w:tc>
        <w:tc>
          <w:tcPr>
            <w:tcW w:w="786" w:type="pct"/>
            <w:shd w:val="clear" w:color="auto" w:fill="000099"/>
          </w:tcPr>
          <w:p>
            <w:pPr>
              <w:pStyle w:val="MBT"/>
              <w:rPr>
                <w:noProof/>
                <w:color w:val="FFFFFF"/>
              </w:rPr>
            </w:pPr>
            <w:r>
              <w:rPr>
                <w:noProof/>
                <w:color w:val="FFFFFF"/>
              </w:rPr>
              <w:t>Celkem</w:t>
            </w:r>
          </w:p>
        </w:tc>
      </w:tr>
      <w:tr>
        <w:tc>
          <w:tcPr>
            <w:tcW w:w="2127" w:type="pct"/>
            <w:shd w:val="clear" w:color="auto" w:fill="F2F2F2"/>
          </w:tcPr>
          <w:p>
            <w:pPr>
              <w:pStyle w:val="MBT"/>
              <w:rPr>
                <w:noProof/>
              </w:rPr>
            </w:pPr>
            <w:r>
              <w:rPr>
                <w:noProof/>
              </w:rPr>
              <w:t>Obdržená oznámení o vývozu</w:t>
            </w:r>
          </w:p>
        </w:tc>
        <w:tc>
          <w:tcPr>
            <w:tcW w:w="695" w:type="pct"/>
            <w:shd w:val="clear" w:color="auto" w:fill="F2F2F2"/>
          </w:tcPr>
          <w:p>
            <w:pPr>
              <w:pStyle w:val="MBT"/>
              <w:rPr>
                <w:noProof/>
              </w:rPr>
            </w:pPr>
            <w:r>
              <w:rPr>
                <w:noProof/>
              </w:rPr>
              <w:t>209</w:t>
            </w:r>
          </w:p>
        </w:tc>
        <w:tc>
          <w:tcPr>
            <w:tcW w:w="696" w:type="pct"/>
            <w:shd w:val="clear" w:color="auto" w:fill="F2F2F2"/>
          </w:tcPr>
          <w:p>
            <w:pPr>
              <w:pStyle w:val="MBT"/>
              <w:rPr>
                <w:noProof/>
              </w:rPr>
            </w:pPr>
            <w:r>
              <w:rPr>
                <w:noProof/>
              </w:rPr>
              <w:t>486</w:t>
            </w:r>
          </w:p>
        </w:tc>
        <w:tc>
          <w:tcPr>
            <w:tcW w:w="696" w:type="pct"/>
            <w:shd w:val="clear" w:color="auto" w:fill="F2F2F2"/>
          </w:tcPr>
          <w:p>
            <w:pPr>
              <w:pStyle w:val="MBT"/>
              <w:rPr>
                <w:noProof/>
              </w:rPr>
            </w:pPr>
            <w:r>
              <w:rPr>
                <w:noProof/>
              </w:rPr>
              <w:t>410</w:t>
            </w:r>
          </w:p>
        </w:tc>
        <w:tc>
          <w:tcPr>
            <w:tcW w:w="786" w:type="pct"/>
            <w:shd w:val="clear" w:color="auto" w:fill="F2F2F2"/>
          </w:tcPr>
          <w:p>
            <w:pPr>
              <w:pStyle w:val="MBT"/>
              <w:rPr>
                <w:noProof/>
              </w:rPr>
            </w:pPr>
            <w:r>
              <w:rPr>
                <w:noProof/>
              </w:rPr>
              <w:t>1 105</w:t>
            </w:r>
          </w:p>
        </w:tc>
      </w:tr>
    </w:tbl>
    <w:p>
      <w:pPr>
        <w:pStyle w:val="Heading2"/>
        <w:rPr>
          <w:noProof/>
        </w:rPr>
      </w:pPr>
      <w:r>
        <w:rPr>
          <w:noProof/>
        </w:rPr>
        <w:t>Poskytování informací podle článku 10 fungovalo účinně</w:t>
      </w:r>
    </w:p>
    <w:p>
      <w:pPr>
        <w:pStyle w:val="MBT"/>
        <w:rPr>
          <w:noProof/>
        </w:rPr>
      </w:pPr>
    </w:p>
    <w:p>
      <w:pPr>
        <w:pStyle w:val="MBT"/>
        <w:rPr>
          <w:noProof/>
        </w:rPr>
      </w:pPr>
      <w:r>
        <w:rPr>
          <w:noProof/>
        </w:rPr>
        <w:t>Článek 10 ukládá vývozcům a dovozcům povinnost informovat určený vnitrostátní orgán během prvního čtvrtletí každého roku o množství chemických látek uvedených v příloze I nařízení PIC, které byly během předcházejícího roku vyvezeny do třetích zemí nebo dovezeny ze třetích zemí. Vývozci musí určenému vnitrostátnímu orgánu poskytnout rovněž jména a adresy všech dovozců. Určené vnitrostátní orgány musí zase tyto informace předat každý rok agentuře, která poté údaje shrne na úrovni EU a zpřístupní je prostřednictvím své databáze</w:t>
      </w:r>
      <w:r>
        <w:rPr>
          <w:rStyle w:val="FootnoteReference"/>
          <w:noProof/>
        </w:rPr>
        <w:footnoteReference w:id="9"/>
      </w:r>
      <w:r>
        <w:rPr>
          <w:noProof/>
        </w:rPr>
        <w:t>.</w:t>
      </w:r>
    </w:p>
    <w:p>
      <w:pPr>
        <w:pStyle w:val="MBT"/>
        <w:rPr>
          <w:noProof/>
        </w:rPr>
      </w:pPr>
    </w:p>
    <w:p>
      <w:pPr>
        <w:pStyle w:val="MBT"/>
        <w:rPr>
          <w:noProof/>
        </w:rPr>
      </w:pPr>
      <w:r>
        <w:rPr>
          <w:noProof/>
        </w:rPr>
        <w:t>Informace, které poskytly agentura a určené vnitrostátní orgány, naznačují, že se v procesu podávání zpráv podle článku 10 vyskytlo jen málo problémů. Přibližně jedna třetina určených vnitrostátních orgánů uvedla, že se setkala s prodlevami při předkládání informací ze strany vývozců nebo dovozců, ačkoliv tyto prodlevy neovlivnily dokončení procesu podávání zpráv podle článku 10. Obdobně se i agentura setkala při shromažďování informací členských států s několika málo komplikacemi, kdy určené vnitrostátní orgány zahrnuly údaje o vývozu chemických látek uvedených v příloze I, které byly vyvezeny pro výzkumné nebo analytické účely, a nespadaly tudíž do oblasti působnosti nařízení PIC a nevztahovala se na ně výsledná povinnost týkající se podávání zpráv.</w:t>
      </w:r>
    </w:p>
    <w:p>
      <w:pPr>
        <w:pStyle w:val="MBT"/>
        <w:rPr>
          <w:noProof/>
        </w:rPr>
      </w:pPr>
    </w:p>
    <w:p>
      <w:pPr>
        <w:pStyle w:val="MBT"/>
        <w:rPr>
          <w:noProof/>
        </w:rPr>
      </w:pPr>
      <w:r>
        <w:rPr>
          <w:noProof/>
        </w:rPr>
        <w:t>Údaje shromážděné za účelem podávání zpráv podle článku 10 používají určené vnitrostátní orgány, celní orgány nebo jiné donucovací orgány v šestnácti členských státech. Osm určených vnitrostátních orgánů uvedlo, že se údaje používají při donucovacích činnostech, šest dalších upřesnilo, že se používají při donucovacích činnostech v souvislosti s nařízením REACH (např. křížové kontroly dodržení registračních požadavků nebo ověření souladu s omezeními).</w:t>
      </w:r>
    </w:p>
    <w:p>
      <w:pPr>
        <w:pStyle w:val="Body"/>
        <w:jc w:val="both"/>
        <w:rPr>
          <w:noProof/>
        </w:rPr>
      </w:pPr>
    </w:p>
    <w:p>
      <w:pPr>
        <w:pStyle w:val="Heading2"/>
        <w:rPr>
          <w:noProof/>
        </w:rPr>
      </w:pPr>
      <w:r>
        <w:rPr>
          <w:noProof/>
        </w:rPr>
        <w:t>Rozhodnutí EU o dovozu byla přijata pro sedm látek uvedených v příloze III Rotterdamské úmluvy</w:t>
      </w:r>
    </w:p>
    <w:p>
      <w:pPr>
        <w:pStyle w:val="Body"/>
        <w:jc w:val="both"/>
        <w:rPr>
          <w:noProof/>
        </w:rPr>
      </w:pPr>
    </w:p>
    <w:p>
      <w:pPr>
        <w:pStyle w:val="MBT"/>
        <w:rPr>
          <w:noProof/>
        </w:rPr>
      </w:pPr>
      <w:r>
        <w:rPr>
          <w:noProof/>
        </w:rPr>
        <w:t>Podle článku 10 úmluvy musí smluvní strany přijmout rozhodnutí o dovozu pro každou novou chemickou látku uvedenou v příloze III a předat je sekretariátu. Podle článku 13 nařízení PIC je rozhodnutí Unie o dovozu přijato prostřednictvím prováděcího aktu, který vypracuje Komise a který je předložen Výboru REACH za účelem vydání stanoviska a přijme se poradním postupem.</w:t>
      </w:r>
    </w:p>
    <w:p>
      <w:pPr>
        <w:pStyle w:val="Body"/>
        <w:jc w:val="both"/>
        <w:rPr>
          <w:noProof/>
        </w:rPr>
      </w:pPr>
    </w:p>
    <w:p>
      <w:pPr>
        <w:pStyle w:val="Body"/>
        <w:jc w:val="both"/>
        <w:rPr>
          <w:noProof/>
        </w:rPr>
      </w:pPr>
      <w:r>
        <w:rPr>
          <w:noProof/>
        </w:rPr>
        <w:t>Rozhodnutí o dovozu byla přijata prostřednictvím dvou prováděcích rozhodnutí, která Komise přijala ve sledovaném období.</w:t>
      </w:r>
    </w:p>
    <w:p>
      <w:pPr>
        <w:pStyle w:val="Body"/>
        <w:spacing w:after="120"/>
        <w:jc w:val="both"/>
        <w:rPr>
          <w:noProof/>
        </w:rPr>
      </w:pPr>
    </w:p>
    <w:p>
      <w:pPr>
        <w:pStyle w:val="Caption"/>
        <w:rPr>
          <w:noProof/>
        </w:rPr>
      </w:pPr>
      <w:r>
        <w:rPr>
          <w:noProof/>
        </w:rPr>
        <w:t>Tabulka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rPr>
          <w:noProof/>
        </w:rPr>
        <w:t>: Rozhodnutí Unie o dovozu přijatá ve sledovaném období</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34"/>
        <w:gridCol w:w="2644"/>
        <w:gridCol w:w="1363"/>
        <w:gridCol w:w="1220"/>
        <w:gridCol w:w="1279"/>
        <w:gridCol w:w="1547"/>
      </w:tblGrid>
      <w:tr>
        <w:trPr>
          <w:tblHeader/>
        </w:trPr>
        <w:tc>
          <w:tcPr>
            <w:tcW w:w="904" w:type="pct"/>
            <w:shd w:val="clear" w:color="auto" w:fill="000099"/>
          </w:tcPr>
          <w:p>
            <w:pPr>
              <w:pStyle w:val="MBT"/>
              <w:rPr>
                <w:noProof/>
                <w:color w:val="FFFFFF"/>
              </w:rPr>
            </w:pPr>
            <w:r>
              <w:rPr>
                <w:noProof/>
                <w:color w:val="FFFFFF"/>
              </w:rPr>
              <w:t>Prováděcí akt</w:t>
            </w:r>
          </w:p>
        </w:tc>
        <w:tc>
          <w:tcPr>
            <w:tcW w:w="1075" w:type="pct"/>
            <w:shd w:val="clear" w:color="auto" w:fill="000099"/>
          </w:tcPr>
          <w:p>
            <w:pPr>
              <w:pStyle w:val="MBT"/>
              <w:rPr>
                <w:noProof/>
                <w:color w:val="FFFFFF"/>
              </w:rPr>
            </w:pPr>
            <w:r>
              <w:rPr>
                <w:noProof/>
                <w:color w:val="FFFFFF"/>
              </w:rPr>
              <w:t>Chemické látky</w:t>
            </w:r>
          </w:p>
        </w:tc>
        <w:tc>
          <w:tcPr>
            <w:tcW w:w="1201" w:type="pct"/>
            <w:gridSpan w:val="2"/>
            <w:shd w:val="clear" w:color="auto" w:fill="000099"/>
          </w:tcPr>
          <w:p>
            <w:pPr>
              <w:pStyle w:val="MBT"/>
              <w:jc w:val="left"/>
              <w:rPr>
                <w:noProof/>
                <w:color w:val="FFFFFF"/>
              </w:rPr>
            </w:pPr>
            <w:r>
              <w:rPr>
                <w:noProof/>
                <w:color w:val="FFFFFF"/>
              </w:rPr>
              <w:t>Povaha/status rozhodnutí</w:t>
            </w:r>
          </w:p>
        </w:tc>
        <w:tc>
          <w:tcPr>
            <w:tcW w:w="845" w:type="pct"/>
            <w:shd w:val="clear" w:color="auto" w:fill="000099"/>
          </w:tcPr>
          <w:p>
            <w:pPr>
              <w:pStyle w:val="MBT"/>
              <w:rPr>
                <w:noProof/>
                <w:color w:val="FFFFFF"/>
              </w:rPr>
            </w:pPr>
            <w:r>
              <w:rPr>
                <w:noProof/>
                <w:color w:val="FFFFFF"/>
              </w:rPr>
              <w:t>Rozhodnutí o dovozu</w:t>
            </w:r>
          </w:p>
        </w:tc>
        <w:tc>
          <w:tcPr>
            <w:tcW w:w="975" w:type="pct"/>
            <w:shd w:val="clear" w:color="auto" w:fill="000099"/>
          </w:tcPr>
          <w:p>
            <w:pPr>
              <w:pStyle w:val="MBT"/>
              <w:jc w:val="left"/>
              <w:rPr>
                <w:noProof/>
                <w:color w:val="FFFFFF"/>
              </w:rPr>
            </w:pPr>
            <w:r>
              <w:rPr>
                <w:noProof/>
                <w:color w:val="FFFFFF"/>
              </w:rPr>
              <w:t>Důvody rozhodnutí</w:t>
            </w:r>
          </w:p>
        </w:tc>
      </w:tr>
      <w:tr>
        <w:tc>
          <w:tcPr>
            <w:tcW w:w="904" w:type="pct"/>
            <w:vMerge w:val="restart"/>
            <w:shd w:val="clear" w:color="auto" w:fill="F2F2F2"/>
          </w:tcPr>
          <w:p>
            <w:pPr>
              <w:pStyle w:val="MBT"/>
              <w:jc w:val="left"/>
              <w:rPr>
                <w:noProof/>
              </w:rPr>
            </w:pPr>
            <w:r>
              <w:rPr>
                <w:noProof/>
              </w:rPr>
              <w:t>Prováděcí rozhodnutí Komise ze dne 15. května 2014</w:t>
            </w:r>
          </w:p>
        </w:tc>
        <w:tc>
          <w:tcPr>
            <w:tcW w:w="1075" w:type="pct"/>
            <w:shd w:val="clear" w:color="auto" w:fill="F2F2F2"/>
          </w:tcPr>
          <w:p>
            <w:pPr>
              <w:pStyle w:val="MBT"/>
              <w:jc w:val="left"/>
              <w:rPr>
                <w:noProof/>
              </w:rPr>
            </w:pPr>
            <w:r>
              <w:rPr>
                <w:noProof/>
              </w:rPr>
              <w:t>Azinfos-methyl</w:t>
            </w:r>
          </w:p>
        </w:tc>
        <w:tc>
          <w:tcPr>
            <w:tcW w:w="681" w:type="pct"/>
            <w:shd w:val="clear" w:color="auto" w:fill="F2F2F2"/>
          </w:tcPr>
          <w:p>
            <w:pPr>
              <w:pStyle w:val="MBT"/>
              <w:rPr>
                <w:noProof/>
              </w:rPr>
            </w:pPr>
            <w:r>
              <w:rPr>
                <w:noProof/>
              </w:rPr>
              <w:t>Nové rozhodnutí</w:t>
            </w:r>
          </w:p>
        </w:tc>
        <w:tc>
          <w:tcPr>
            <w:tcW w:w="520" w:type="pct"/>
            <w:shd w:val="clear" w:color="auto" w:fill="F2F2F2"/>
          </w:tcPr>
          <w:p>
            <w:pPr>
              <w:pStyle w:val="MBT"/>
              <w:rPr>
                <w:noProof/>
              </w:rPr>
            </w:pPr>
            <w:r>
              <w:rPr>
                <w:noProof/>
              </w:rPr>
              <w:t>Konečné</w:t>
            </w:r>
          </w:p>
        </w:tc>
        <w:tc>
          <w:tcPr>
            <w:tcW w:w="845" w:type="pct"/>
            <w:shd w:val="clear" w:color="auto" w:fill="F2F2F2"/>
          </w:tcPr>
          <w:p>
            <w:pPr>
              <w:pStyle w:val="MBT"/>
              <w:jc w:val="left"/>
              <w:rPr>
                <w:noProof/>
              </w:rPr>
            </w:pPr>
            <w:r>
              <w:rPr>
                <w:noProof/>
              </w:rPr>
              <w:t>Nesouhlas s dovozem</w:t>
            </w:r>
          </w:p>
        </w:tc>
        <w:tc>
          <w:tcPr>
            <w:tcW w:w="975" w:type="pct"/>
            <w:shd w:val="clear" w:color="auto" w:fill="F2F2F2"/>
          </w:tcPr>
          <w:p>
            <w:pPr>
              <w:pStyle w:val="MBT"/>
              <w:jc w:val="left"/>
              <w:rPr>
                <w:noProof/>
              </w:rPr>
            </w:pPr>
            <w:r>
              <w:rPr>
                <w:noProof/>
              </w:rPr>
              <w:t>Zákaz používání podle nařízení o přípravcích na ochranu rostlin</w:t>
            </w:r>
          </w:p>
        </w:tc>
      </w:tr>
      <w:tr>
        <w:tc>
          <w:tcPr>
            <w:tcW w:w="904" w:type="pct"/>
            <w:vMerge/>
            <w:shd w:val="clear" w:color="auto" w:fill="F2F2F2"/>
          </w:tcPr>
          <w:p>
            <w:pPr>
              <w:pStyle w:val="MBT"/>
              <w:rPr>
                <w:noProof/>
              </w:rPr>
            </w:pPr>
          </w:p>
        </w:tc>
        <w:tc>
          <w:tcPr>
            <w:tcW w:w="1075" w:type="pct"/>
            <w:shd w:val="clear" w:color="auto" w:fill="F2F2F2"/>
          </w:tcPr>
          <w:p>
            <w:pPr>
              <w:pStyle w:val="MBT"/>
              <w:jc w:val="left"/>
              <w:rPr>
                <w:noProof/>
              </w:rPr>
            </w:pPr>
            <w:r>
              <w:rPr>
                <w:noProof/>
              </w:rPr>
              <w:t>Komerční pentabromdifenylether</w:t>
            </w:r>
          </w:p>
        </w:tc>
        <w:tc>
          <w:tcPr>
            <w:tcW w:w="681" w:type="pct"/>
            <w:shd w:val="clear" w:color="auto" w:fill="F2F2F2"/>
          </w:tcPr>
          <w:p>
            <w:pPr>
              <w:pStyle w:val="MBT"/>
              <w:rPr>
                <w:noProof/>
              </w:rPr>
            </w:pPr>
            <w:r>
              <w:rPr>
                <w:noProof/>
              </w:rPr>
              <w:t>Nové rozhodnutí</w:t>
            </w:r>
          </w:p>
        </w:tc>
        <w:tc>
          <w:tcPr>
            <w:tcW w:w="520" w:type="pct"/>
            <w:shd w:val="clear" w:color="auto" w:fill="F2F2F2"/>
          </w:tcPr>
          <w:p>
            <w:pPr>
              <w:pStyle w:val="MBT"/>
              <w:rPr>
                <w:noProof/>
              </w:rPr>
            </w:pPr>
            <w:r>
              <w:rPr>
                <w:noProof/>
              </w:rPr>
              <w:t>Konečné</w:t>
            </w:r>
          </w:p>
        </w:tc>
        <w:tc>
          <w:tcPr>
            <w:tcW w:w="845" w:type="pct"/>
            <w:shd w:val="clear" w:color="auto" w:fill="F2F2F2"/>
          </w:tcPr>
          <w:p>
            <w:pPr>
              <w:pStyle w:val="MBT"/>
              <w:jc w:val="left"/>
              <w:rPr>
                <w:noProof/>
              </w:rPr>
            </w:pPr>
            <w:r>
              <w:rPr>
                <w:noProof/>
              </w:rPr>
              <w:t>Souhlas s dovozem pouze za určitých podmínek</w:t>
            </w:r>
          </w:p>
        </w:tc>
        <w:tc>
          <w:tcPr>
            <w:tcW w:w="975" w:type="pct"/>
            <w:shd w:val="clear" w:color="auto" w:fill="F2F2F2"/>
          </w:tcPr>
          <w:p>
            <w:pPr>
              <w:pStyle w:val="MBT"/>
              <w:jc w:val="left"/>
              <w:rPr>
                <w:noProof/>
              </w:rPr>
            </w:pPr>
            <w:r>
              <w:rPr>
                <w:noProof/>
              </w:rPr>
              <w:t>Zákaz používání s výhradou zvláštních výjimek podle nařízení o perzistentních organických znečišťujících látkách</w:t>
            </w:r>
          </w:p>
        </w:tc>
      </w:tr>
      <w:tr>
        <w:tc>
          <w:tcPr>
            <w:tcW w:w="904" w:type="pct"/>
            <w:vMerge/>
            <w:shd w:val="clear" w:color="auto" w:fill="F2F2F2"/>
          </w:tcPr>
          <w:p>
            <w:pPr>
              <w:pStyle w:val="MBT"/>
              <w:rPr>
                <w:noProof/>
              </w:rPr>
            </w:pPr>
          </w:p>
        </w:tc>
        <w:tc>
          <w:tcPr>
            <w:tcW w:w="1075" w:type="pct"/>
            <w:shd w:val="clear" w:color="auto" w:fill="F2F2F2"/>
          </w:tcPr>
          <w:p>
            <w:pPr>
              <w:pStyle w:val="MBT"/>
              <w:jc w:val="left"/>
              <w:rPr>
                <w:noProof/>
              </w:rPr>
            </w:pPr>
            <w:r>
              <w:rPr>
                <w:noProof/>
              </w:rPr>
              <w:t>Komerční oktabromdifenylether</w:t>
            </w:r>
          </w:p>
        </w:tc>
        <w:tc>
          <w:tcPr>
            <w:tcW w:w="681" w:type="pct"/>
            <w:shd w:val="clear" w:color="auto" w:fill="F2F2F2"/>
          </w:tcPr>
          <w:p>
            <w:pPr>
              <w:pStyle w:val="MBT"/>
              <w:rPr>
                <w:noProof/>
              </w:rPr>
            </w:pPr>
            <w:r>
              <w:rPr>
                <w:noProof/>
              </w:rPr>
              <w:t>Nové rozhodnutí</w:t>
            </w:r>
          </w:p>
        </w:tc>
        <w:tc>
          <w:tcPr>
            <w:tcW w:w="520" w:type="pct"/>
            <w:shd w:val="clear" w:color="auto" w:fill="F2F2F2"/>
          </w:tcPr>
          <w:p>
            <w:pPr>
              <w:pStyle w:val="MBT"/>
              <w:rPr>
                <w:noProof/>
              </w:rPr>
            </w:pPr>
            <w:r>
              <w:rPr>
                <w:noProof/>
              </w:rPr>
              <w:t>Konečné</w:t>
            </w:r>
          </w:p>
        </w:tc>
        <w:tc>
          <w:tcPr>
            <w:tcW w:w="845" w:type="pct"/>
            <w:shd w:val="clear" w:color="auto" w:fill="F2F2F2"/>
          </w:tcPr>
          <w:p>
            <w:pPr>
              <w:pStyle w:val="MBT"/>
              <w:jc w:val="left"/>
              <w:rPr>
                <w:noProof/>
              </w:rPr>
            </w:pPr>
            <w:r>
              <w:rPr>
                <w:noProof/>
              </w:rPr>
              <w:t>Souhlas s dovozem pouze za určitých podmínek</w:t>
            </w:r>
          </w:p>
        </w:tc>
        <w:tc>
          <w:tcPr>
            <w:tcW w:w="975" w:type="pct"/>
            <w:shd w:val="clear" w:color="auto" w:fill="F2F2F2"/>
          </w:tcPr>
          <w:p>
            <w:pPr>
              <w:pStyle w:val="MBT"/>
              <w:jc w:val="left"/>
              <w:rPr>
                <w:noProof/>
              </w:rPr>
            </w:pPr>
            <w:r>
              <w:rPr>
                <w:noProof/>
              </w:rPr>
              <w:t>Zákaz používání s výhradou zvláštních výjimek podle nařízení o perzistentních organických znečišťujících látkách</w:t>
            </w:r>
          </w:p>
        </w:tc>
      </w:tr>
      <w:tr>
        <w:tc>
          <w:tcPr>
            <w:tcW w:w="904" w:type="pct"/>
            <w:vMerge/>
            <w:shd w:val="clear" w:color="auto" w:fill="F2F2F2"/>
          </w:tcPr>
          <w:p>
            <w:pPr>
              <w:pStyle w:val="MBT"/>
              <w:rPr>
                <w:noProof/>
              </w:rPr>
            </w:pPr>
          </w:p>
        </w:tc>
        <w:tc>
          <w:tcPr>
            <w:tcW w:w="1075" w:type="pct"/>
            <w:shd w:val="clear" w:color="auto" w:fill="F2F2F2"/>
          </w:tcPr>
          <w:p>
            <w:pPr>
              <w:pStyle w:val="MBT"/>
              <w:jc w:val="left"/>
              <w:rPr>
                <w:noProof/>
              </w:rPr>
            </w:pPr>
            <w:r>
              <w:rPr>
                <w:noProof/>
              </w:rPr>
              <w:t>Perfluoroktansulfonová kyselina, perfluoroktansulfonáty, perfluoroktansulfonamidy a perfluoroktansulfonyly</w:t>
            </w:r>
          </w:p>
        </w:tc>
        <w:tc>
          <w:tcPr>
            <w:tcW w:w="681" w:type="pct"/>
            <w:shd w:val="clear" w:color="auto" w:fill="F2F2F2"/>
          </w:tcPr>
          <w:p>
            <w:pPr>
              <w:pStyle w:val="MBT"/>
              <w:rPr>
                <w:noProof/>
              </w:rPr>
            </w:pPr>
            <w:r>
              <w:rPr>
                <w:noProof/>
              </w:rPr>
              <w:t>Nové rozhodnutí</w:t>
            </w:r>
          </w:p>
        </w:tc>
        <w:tc>
          <w:tcPr>
            <w:tcW w:w="520" w:type="pct"/>
            <w:shd w:val="clear" w:color="auto" w:fill="F2F2F2"/>
          </w:tcPr>
          <w:p>
            <w:pPr>
              <w:pStyle w:val="MBT"/>
              <w:rPr>
                <w:noProof/>
              </w:rPr>
            </w:pPr>
            <w:r>
              <w:rPr>
                <w:noProof/>
              </w:rPr>
              <w:t>Konečné</w:t>
            </w:r>
          </w:p>
        </w:tc>
        <w:tc>
          <w:tcPr>
            <w:tcW w:w="845" w:type="pct"/>
            <w:shd w:val="clear" w:color="auto" w:fill="F2F2F2"/>
          </w:tcPr>
          <w:p>
            <w:pPr>
              <w:pStyle w:val="MBT"/>
              <w:jc w:val="left"/>
              <w:rPr>
                <w:noProof/>
              </w:rPr>
            </w:pPr>
            <w:r>
              <w:rPr>
                <w:noProof/>
              </w:rPr>
              <w:t>Nesouhlas s dovozem</w:t>
            </w:r>
          </w:p>
        </w:tc>
        <w:tc>
          <w:tcPr>
            <w:tcW w:w="975" w:type="pct"/>
            <w:shd w:val="clear" w:color="auto" w:fill="F2F2F2"/>
          </w:tcPr>
          <w:p>
            <w:pPr>
              <w:pStyle w:val="MBT"/>
              <w:jc w:val="left"/>
              <w:rPr>
                <w:noProof/>
              </w:rPr>
            </w:pPr>
            <w:r>
              <w:rPr>
                <w:noProof/>
              </w:rPr>
              <w:t>Zákaz používání s výhradou zvláštních výjimek podle nařízení o perzistentních organických znečišťujících látkách</w:t>
            </w:r>
          </w:p>
        </w:tc>
      </w:tr>
      <w:tr>
        <w:tc>
          <w:tcPr>
            <w:tcW w:w="904" w:type="pct"/>
            <w:vMerge w:val="restart"/>
            <w:shd w:val="clear" w:color="auto" w:fill="F2F2F2"/>
          </w:tcPr>
          <w:p>
            <w:pPr>
              <w:pStyle w:val="MBT"/>
              <w:jc w:val="left"/>
              <w:rPr>
                <w:noProof/>
              </w:rPr>
            </w:pPr>
            <w:r>
              <w:rPr>
                <w:noProof/>
              </w:rPr>
              <w:t>Prováděcí rozhodnutí Komise ze dne 11. února 2016</w:t>
            </w:r>
          </w:p>
        </w:tc>
        <w:tc>
          <w:tcPr>
            <w:tcW w:w="1075" w:type="pct"/>
            <w:shd w:val="clear" w:color="auto" w:fill="F2F2F2"/>
          </w:tcPr>
          <w:p>
            <w:pPr>
              <w:pStyle w:val="MBT"/>
              <w:jc w:val="left"/>
              <w:rPr>
                <w:noProof/>
              </w:rPr>
            </w:pPr>
            <w:r>
              <w:rPr>
                <w:noProof/>
              </w:rPr>
              <w:t>Methamidofos</w:t>
            </w:r>
          </w:p>
        </w:tc>
        <w:tc>
          <w:tcPr>
            <w:tcW w:w="681" w:type="pct"/>
            <w:shd w:val="clear" w:color="auto" w:fill="F2F2F2"/>
          </w:tcPr>
          <w:p>
            <w:pPr>
              <w:pStyle w:val="MBT"/>
              <w:rPr>
                <w:noProof/>
              </w:rPr>
            </w:pPr>
            <w:r>
              <w:rPr>
                <w:noProof/>
              </w:rPr>
              <w:t>Nové rozhodnutí</w:t>
            </w:r>
          </w:p>
        </w:tc>
        <w:tc>
          <w:tcPr>
            <w:tcW w:w="520" w:type="pct"/>
            <w:shd w:val="clear" w:color="auto" w:fill="F2F2F2"/>
          </w:tcPr>
          <w:p>
            <w:pPr>
              <w:pStyle w:val="MBT"/>
              <w:rPr>
                <w:noProof/>
              </w:rPr>
            </w:pPr>
            <w:r>
              <w:rPr>
                <w:noProof/>
              </w:rPr>
              <w:t>Konečné</w:t>
            </w:r>
          </w:p>
        </w:tc>
        <w:tc>
          <w:tcPr>
            <w:tcW w:w="845" w:type="pct"/>
            <w:shd w:val="clear" w:color="auto" w:fill="F2F2F2"/>
          </w:tcPr>
          <w:p>
            <w:pPr>
              <w:pStyle w:val="MBT"/>
              <w:jc w:val="left"/>
              <w:rPr>
                <w:noProof/>
              </w:rPr>
            </w:pPr>
            <w:r>
              <w:rPr>
                <w:noProof/>
              </w:rPr>
              <w:t>Nesouhlas s dovozem</w:t>
            </w:r>
          </w:p>
        </w:tc>
        <w:tc>
          <w:tcPr>
            <w:tcW w:w="975" w:type="pct"/>
            <w:shd w:val="clear" w:color="auto" w:fill="F2F2F2"/>
          </w:tcPr>
          <w:p>
            <w:pPr>
              <w:pStyle w:val="MBT"/>
              <w:jc w:val="left"/>
              <w:rPr>
                <w:noProof/>
              </w:rPr>
            </w:pPr>
            <w:r>
              <w:rPr>
                <w:noProof/>
              </w:rPr>
              <w:t>Zákaz používání podle nařízení o přípravcích na ochranu rostlin</w:t>
            </w:r>
          </w:p>
        </w:tc>
      </w:tr>
      <w:tr>
        <w:tc>
          <w:tcPr>
            <w:tcW w:w="904" w:type="pct"/>
            <w:vMerge/>
            <w:shd w:val="clear" w:color="auto" w:fill="F2F2F2"/>
          </w:tcPr>
          <w:p>
            <w:pPr>
              <w:pStyle w:val="MBT"/>
              <w:rPr>
                <w:noProof/>
              </w:rPr>
            </w:pPr>
          </w:p>
        </w:tc>
        <w:tc>
          <w:tcPr>
            <w:tcW w:w="1075" w:type="pct"/>
            <w:shd w:val="clear" w:color="auto" w:fill="F2F2F2"/>
          </w:tcPr>
          <w:p>
            <w:pPr>
              <w:pStyle w:val="MBT"/>
              <w:jc w:val="left"/>
              <w:rPr>
                <w:noProof/>
              </w:rPr>
            </w:pPr>
            <w:r>
              <w:rPr>
                <w:noProof/>
              </w:rPr>
              <w:t>Ethylenoxid</w:t>
            </w:r>
          </w:p>
        </w:tc>
        <w:tc>
          <w:tcPr>
            <w:tcW w:w="681" w:type="pct"/>
            <w:shd w:val="clear" w:color="auto" w:fill="F2F2F2"/>
          </w:tcPr>
          <w:p>
            <w:pPr>
              <w:pStyle w:val="MBT"/>
              <w:rPr>
                <w:noProof/>
              </w:rPr>
            </w:pPr>
            <w:r>
              <w:rPr>
                <w:noProof/>
              </w:rPr>
              <w:t>Pozměnění předchozího rozhodnutí</w:t>
            </w:r>
          </w:p>
        </w:tc>
        <w:tc>
          <w:tcPr>
            <w:tcW w:w="520" w:type="pct"/>
            <w:shd w:val="clear" w:color="auto" w:fill="F2F2F2"/>
          </w:tcPr>
          <w:p>
            <w:pPr>
              <w:pStyle w:val="MBT"/>
              <w:rPr>
                <w:noProof/>
              </w:rPr>
            </w:pPr>
            <w:r>
              <w:rPr>
                <w:noProof/>
              </w:rPr>
              <w:t>Prozatímní</w:t>
            </w:r>
          </w:p>
        </w:tc>
        <w:tc>
          <w:tcPr>
            <w:tcW w:w="845" w:type="pct"/>
            <w:shd w:val="clear" w:color="auto" w:fill="F2F2F2"/>
          </w:tcPr>
          <w:p>
            <w:pPr>
              <w:pStyle w:val="MBT"/>
              <w:jc w:val="left"/>
              <w:rPr>
                <w:noProof/>
              </w:rPr>
            </w:pPr>
            <w:r>
              <w:rPr>
                <w:noProof/>
              </w:rPr>
              <w:t>Souhlas s dovozem pouze za určitých podmínek</w:t>
            </w:r>
          </w:p>
        </w:tc>
        <w:tc>
          <w:tcPr>
            <w:tcW w:w="975" w:type="pct"/>
            <w:shd w:val="clear" w:color="auto" w:fill="F2F2F2"/>
          </w:tcPr>
          <w:p>
            <w:pPr>
              <w:pStyle w:val="MBT"/>
              <w:jc w:val="left"/>
              <w:rPr>
                <w:noProof/>
              </w:rPr>
            </w:pPr>
            <w:r>
              <w:rPr>
                <w:noProof/>
              </w:rPr>
              <w:t>Zákaz používání podle nařízení o přípravcích na ochranu rostlin a omezení podle nařízení o biocidních přípravcích</w:t>
            </w:r>
          </w:p>
        </w:tc>
      </w:tr>
      <w:tr>
        <w:tc>
          <w:tcPr>
            <w:tcW w:w="904" w:type="pct"/>
            <w:vMerge/>
            <w:shd w:val="clear" w:color="auto" w:fill="F2F2F2"/>
          </w:tcPr>
          <w:p>
            <w:pPr>
              <w:pStyle w:val="MBT"/>
              <w:rPr>
                <w:noProof/>
              </w:rPr>
            </w:pPr>
          </w:p>
        </w:tc>
        <w:tc>
          <w:tcPr>
            <w:tcW w:w="1075" w:type="pct"/>
            <w:shd w:val="clear" w:color="auto" w:fill="F2F2F2"/>
          </w:tcPr>
          <w:p>
            <w:pPr>
              <w:pStyle w:val="MBT"/>
              <w:jc w:val="left"/>
              <w:rPr>
                <w:noProof/>
              </w:rPr>
            </w:pPr>
            <w:r>
              <w:rPr>
                <w:noProof/>
              </w:rPr>
              <w:t>DDT</w:t>
            </w:r>
          </w:p>
        </w:tc>
        <w:tc>
          <w:tcPr>
            <w:tcW w:w="681" w:type="pct"/>
            <w:shd w:val="clear" w:color="auto" w:fill="F2F2F2"/>
          </w:tcPr>
          <w:p>
            <w:pPr>
              <w:pStyle w:val="MBT"/>
              <w:rPr>
                <w:noProof/>
              </w:rPr>
            </w:pPr>
            <w:r>
              <w:rPr>
                <w:noProof/>
              </w:rPr>
              <w:t>Pozměnění předchozího rozhodnutí</w:t>
            </w:r>
          </w:p>
        </w:tc>
        <w:tc>
          <w:tcPr>
            <w:tcW w:w="520" w:type="pct"/>
            <w:shd w:val="clear" w:color="auto" w:fill="F2F2F2"/>
          </w:tcPr>
          <w:p>
            <w:pPr>
              <w:pStyle w:val="MBT"/>
              <w:rPr>
                <w:noProof/>
              </w:rPr>
            </w:pPr>
            <w:r>
              <w:rPr>
                <w:noProof/>
              </w:rPr>
              <w:t>Konečné</w:t>
            </w:r>
          </w:p>
        </w:tc>
        <w:tc>
          <w:tcPr>
            <w:tcW w:w="845" w:type="pct"/>
            <w:shd w:val="clear" w:color="auto" w:fill="F2F2F2"/>
          </w:tcPr>
          <w:p>
            <w:pPr>
              <w:pStyle w:val="MBT"/>
              <w:jc w:val="left"/>
              <w:rPr>
                <w:noProof/>
              </w:rPr>
            </w:pPr>
            <w:r>
              <w:rPr>
                <w:noProof/>
              </w:rPr>
              <w:t>Nesouhlas s dovozem</w:t>
            </w:r>
          </w:p>
        </w:tc>
        <w:tc>
          <w:tcPr>
            <w:tcW w:w="975" w:type="pct"/>
            <w:shd w:val="clear" w:color="auto" w:fill="F2F2F2"/>
          </w:tcPr>
          <w:p>
            <w:pPr>
              <w:pStyle w:val="MBT"/>
              <w:jc w:val="left"/>
              <w:rPr>
                <w:noProof/>
              </w:rPr>
            </w:pPr>
            <w:r>
              <w:rPr>
                <w:noProof/>
              </w:rPr>
              <w:t>Zákaz používání podle nařízení o perzistentních organických znečišťujících látkách</w:t>
            </w:r>
          </w:p>
        </w:tc>
      </w:tr>
    </w:tbl>
    <w:p>
      <w:pPr>
        <w:pStyle w:val="Body"/>
        <w:jc w:val="both"/>
        <w:rPr>
          <w:noProof/>
        </w:rPr>
      </w:pPr>
    </w:p>
    <w:p>
      <w:pPr>
        <w:pStyle w:val="Heading2"/>
        <w:rPr>
          <w:noProof/>
        </w:rPr>
      </w:pPr>
      <w:r>
        <w:rPr>
          <w:noProof/>
        </w:rPr>
        <w:t>Řada určených vnitrostátních orgánů ze třetích zemí se setkala s potížemi při vyřizování žádostí o výslovný souhlas</w:t>
      </w:r>
    </w:p>
    <w:p>
      <w:pPr>
        <w:pStyle w:val="MBT"/>
        <w:rPr>
          <w:noProof/>
        </w:rPr>
      </w:pPr>
    </w:p>
    <w:p>
      <w:pPr>
        <w:pStyle w:val="MBT"/>
        <w:rPr>
          <w:noProof/>
        </w:rPr>
      </w:pPr>
      <w:r>
        <w:rPr>
          <w:noProof/>
        </w:rPr>
        <w:t>V článku 14 se vyžaduje souhlas dovážející země předtím, než se může uskutečnit vývoz chemických látek uvedených v částech 2 nebo 3 přílohy I.</w:t>
      </w:r>
      <w:bookmarkStart w:id="12" w:name="_Hlk504126679"/>
      <w:r>
        <w:rPr>
          <w:noProof/>
        </w:rPr>
        <w:t xml:space="preserve"> </w:t>
      </w:r>
      <w:bookmarkEnd w:id="12"/>
      <w:r>
        <w:rPr>
          <w:noProof/>
        </w:rPr>
        <w:t>Určený vnitrostátní orgán vývozce však může případ od případu po konzultaci s Komisí rozhodnout, že od požadavku na výslovný souhlas upustí, je-li chemická látka způsobilá pro oznámení v rámci PIC vyvážena do země OECD (čl. 14 odst. 6) nebo nebyla-li od dovážející země obdržena odpověď do 60 dní, a pokud jsou splněny určité podmínky (čl. 14 odst. 7).</w:t>
      </w:r>
    </w:p>
    <w:p>
      <w:pPr>
        <w:pStyle w:val="Body"/>
        <w:jc w:val="both"/>
        <w:rPr>
          <w:noProof/>
        </w:rPr>
      </w:pPr>
    </w:p>
    <w:p>
      <w:pPr>
        <w:pStyle w:val="MBT"/>
        <w:rPr>
          <w:noProof/>
        </w:rPr>
      </w:pPr>
      <w:r>
        <w:rPr>
          <w:noProof/>
        </w:rPr>
        <w:t>Ve sledovaném období uplatnilo postup výslovného souhlasu podle článku 14 devatenáct členských států. Tyto členské státy uvedly, že hlavním problémem byly potíže řady dovážejících zemí při vyřizování žádostí o výslovný souhlas, a to z toho důvodu, že určené vnitrostátní orgány odpověděly po uplynutí 60denní čekací lhůty, nebo neodpověděly vůbec. Z celkem 3 362 žádostí o výslovný souhlas, které zpracovaly určené vnitrostátní orgány, bylo zodpovězeno 56 %. Ve sledovaném období se tento podíl snižoval (61 % v roce 2014, 58 % v roce 2015 a 51 % v roce 2016), zatímco počet vzrostl. To vysvětluje, proč agentura musela zaslat značný počet upomínek. První upomínka byla zaslána u 65 % žádostí a druhá upomínka u 42 % žádostí.</w:t>
      </w:r>
    </w:p>
    <w:p>
      <w:pPr>
        <w:pStyle w:val="MBT"/>
        <w:rPr>
          <w:noProof/>
        </w:rPr>
      </w:pPr>
    </w:p>
    <w:p>
      <w:pPr>
        <w:pStyle w:val="Body"/>
        <w:jc w:val="both"/>
        <w:rPr>
          <w:noProof/>
        </w:rPr>
      </w:pPr>
      <w:r>
        <w:rPr>
          <w:noProof/>
        </w:rPr>
        <w:t>Několik málo členských států muselo rozhodnout, zda by se od požadavku na výslovný souhlas mělo upustit, či nikoli (např. šest v případě vývozu do země OECD a jedenáct v případě neobdržení odpovědi od příslušného orgánu dovážející země), a z informací poskytnutých určenými vnitrostátními orgány vyplývá, že při provádění se vyskytlo jen málo problémů. Ačkoliv agentura uvedla, že zpočátku byl výklad případů, na něž se vztahují ustanovení čl. 14 odst. 8, problematický, počet problematických případů se snížil na velmi nízkou úroveň.</w:t>
      </w:r>
    </w:p>
    <w:p>
      <w:pPr>
        <w:pStyle w:val="Heading2"/>
        <w:rPr>
          <w:noProof/>
        </w:rPr>
      </w:pPr>
      <w:r>
        <w:rPr>
          <w:noProof/>
        </w:rPr>
        <w:t>Nedodržování požadavků na informace, které musí být přiloženy k vyváženým chemickým látkám, souviselo především s balením a bezpečnostním listem</w:t>
      </w:r>
    </w:p>
    <w:p>
      <w:pPr>
        <w:pStyle w:val="Body"/>
        <w:rPr>
          <w:noProof/>
        </w:rPr>
      </w:pPr>
    </w:p>
    <w:p>
      <w:pPr>
        <w:pStyle w:val="Body"/>
        <w:jc w:val="both"/>
        <w:rPr>
          <w:noProof/>
        </w:rPr>
      </w:pPr>
      <w:r>
        <w:rPr>
          <w:noProof/>
        </w:rPr>
        <w:t>V článku 17 se uvádí, že vyvážené chemické látky musí být zabaleny a označeny v souladu s příslušnými ustanoveními Unie, nevyžaduje-li dovážející země jinak. Každému dovozci musí být spolu s chemickou látkou zaslán bezpečnostní list, který je v souladu s přílohou II nařízení REACH.</w:t>
      </w:r>
    </w:p>
    <w:p>
      <w:pPr>
        <w:pStyle w:val="Body"/>
        <w:rPr>
          <w:noProof/>
        </w:rPr>
      </w:pPr>
    </w:p>
    <w:p>
      <w:pPr>
        <w:pStyle w:val="MBT"/>
        <w:rPr>
          <w:noProof/>
        </w:rPr>
      </w:pPr>
      <w:r>
        <w:rPr>
          <w:noProof/>
        </w:rPr>
        <w:t>Vnitrostátní donucovací orgány v osmi členských státech se při dodržování požadavku na informace, které musí být přiloženy k vyváženým chemickým látkám, setkaly s problémy. Šest členských států uvedlo, že tyto problémy se zajištěním souladu souvisely s požadavky na balení podle nařízení o klasifikaci, označování a balení, zatímco dalších šest uvedlo, že zjistily problémy s dodržováním v souvislosti s uplatňováním požadavků na bezpečnostní list podle nařízení REACH.</w:t>
      </w:r>
    </w:p>
    <w:p>
      <w:pPr>
        <w:pStyle w:val="Body"/>
        <w:rPr>
          <w:noProof/>
        </w:rPr>
      </w:pPr>
    </w:p>
    <w:p>
      <w:pPr>
        <w:pStyle w:val="Heading2"/>
        <w:rPr>
          <w:noProof/>
        </w:rPr>
      </w:pPr>
      <w:r>
        <w:rPr>
          <w:noProof/>
        </w:rPr>
        <w:t>Všechny členské státy zavedly systém pro kontrolu vývozu a dovozu chemických látek, na něž se vztahuje nařízení PIC</w:t>
      </w:r>
    </w:p>
    <w:p>
      <w:pPr>
        <w:pStyle w:val="Body"/>
        <w:rPr>
          <w:noProof/>
        </w:rPr>
      </w:pPr>
    </w:p>
    <w:p>
      <w:pPr>
        <w:pStyle w:val="MBT"/>
        <w:rPr>
          <w:noProof/>
        </w:rPr>
      </w:pPr>
      <w:r>
        <w:rPr>
          <w:noProof/>
        </w:rPr>
        <w:t>Podle článku 18 nařízení PIC musí členské státy určit orgány, jako např. celní orgány, odpovědné za kontrolu dovozu a vývozu chemických látek uvedených v příloze I. Tyto orgány jmenovaly všechny členské státy. Celní orgány se na provádění nařízení PIC podílejí ve všech členských státech s výjimkou Malty a Spojeného království. Ve čtyřech zemích je jediným vnitrostátním donucovacím orgánem celní správa (Španělsko, Chorvatsko, Itálie a Slovensko). Dalšími donucovacími orgány jsou obvykle inspekční služby příslušné pro životní prostředí, chemické látky a/nebo zdraví. V devíti členských státech je vnitrostátní donucovací orgán součástí stejné instituce jako určený vnitrostátní orgán.</w:t>
      </w:r>
    </w:p>
    <w:p>
      <w:pPr>
        <w:pStyle w:val="MBT"/>
        <w:rPr>
          <w:noProof/>
        </w:rPr>
      </w:pPr>
    </w:p>
    <w:p>
      <w:pPr>
        <w:pStyle w:val="MBT"/>
        <w:rPr>
          <w:noProof/>
        </w:rPr>
      </w:pPr>
      <w:r>
        <w:rPr>
          <w:noProof/>
        </w:rPr>
        <w:t>Téměř ve všech členských státech se vnitrostátní donucovací orgány, které se podílejí na prosazování nařízení PIC, účastní také prosazování ostatních právních předpisů týkajících se chemických látek, například nařízení o klasifikaci, označování a balení (27 členských států), nařízení REACH (25 členských států) a nařízení o biocidních přípravcích (22 členských států).</w:t>
      </w:r>
    </w:p>
    <w:p>
      <w:pPr>
        <w:pStyle w:val="MBT"/>
        <w:rPr>
          <w:noProof/>
        </w:rPr>
      </w:pPr>
    </w:p>
    <w:p>
      <w:pPr>
        <w:pStyle w:val="MBT"/>
        <w:rPr>
          <w:noProof/>
        </w:rPr>
      </w:pPr>
      <w:r>
        <w:rPr>
          <w:noProof/>
        </w:rPr>
        <w:t>Většina členských států (18) uvedla, že vnitrostátní donucovací orgány mají dostatečné zdroje pro plnění svých povinností podle nařízení PIC. Členské státy, které upozornily na problémy se zdroji v rámci vnitrostátních donucovacích orgánů, obvykle poukazovaly na nedostatek lidských zdrojů.</w:t>
      </w:r>
    </w:p>
    <w:p>
      <w:pPr>
        <w:pStyle w:val="MBT"/>
        <w:rPr>
          <w:noProof/>
        </w:rPr>
      </w:pPr>
    </w:p>
    <w:p>
      <w:pPr>
        <w:pStyle w:val="MBT"/>
        <w:rPr>
          <w:noProof/>
        </w:rPr>
      </w:pPr>
      <w:r>
        <w:rPr>
          <w:noProof/>
        </w:rPr>
        <w:t>Šestnáct členských států má určitý druh strategie v oblasti prosazování práva (včetně jednacích řádů, písemných pokynů atd.) a patnáct členských států zavedlo pravidelné školení pro inspektory. Většina členských států rovněž popsala systém použitelných sankcí za porušení nařízení PIC. Určené vnitrostátní orgány obvykle popsaly kombinaci donucovacích opatření, jako je zabavení a zajištění zboží, stažení z trhu, pozastavení činnosti atd. Deset členských států uvedlo, že by vnitrostátní donucovací orgány mohly vydávat výzvy s žádostí o zajištění souladu v určité lhůtě. Co se týká sankcí za porušení, 23 členských států uvedlo, že za porušení určitých ustanovení ukládají pokuty, přičemž výše pokut často závisí na závažnosti protiprávního jednání. V sedmi členských státech lze za nejzávažnější porušení uložit trest odnětí svobody.</w:t>
      </w:r>
    </w:p>
    <w:p>
      <w:pPr>
        <w:pStyle w:val="Body"/>
        <w:rPr>
          <w:noProof/>
        </w:rPr>
      </w:pPr>
    </w:p>
    <w:p>
      <w:pPr>
        <w:pStyle w:val="Body"/>
        <w:rPr>
          <w:noProof/>
        </w:rPr>
      </w:pPr>
    </w:p>
    <w:p>
      <w:pPr>
        <w:pStyle w:val="Heading2"/>
        <w:rPr>
          <w:noProof/>
        </w:rPr>
      </w:pPr>
      <w:r>
        <w:rPr>
          <w:noProof/>
        </w:rPr>
        <w:t>Téměř všechny členské státy prováděly donucovací činnosti a zjistily vysokou úroveň shody</w:t>
      </w:r>
    </w:p>
    <w:p>
      <w:pPr>
        <w:pStyle w:val="Body"/>
        <w:rPr>
          <w:noProof/>
        </w:rPr>
      </w:pPr>
    </w:p>
    <w:p>
      <w:pPr>
        <w:pStyle w:val="MBT"/>
        <w:rPr>
          <w:noProof/>
        </w:rPr>
      </w:pPr>
      <w:r>
        <w:rPr>
          <w:noProof/>
        </w:rPr>
        <w:t>Ve sledovaném období provádělo osmnáct členských států kontroly shody, zatímco patnáct členských států uskutečnilo návštěvy na místě, jež se týkaly nařízení PIC.</w:t>
      </w:r>
    </w:p>
    <w:p>
      <w:pPr>
        <w:pStyle w:val="MBT"/>
        <w:rPr>
          <w:noProof/>
        </w:rPr>
      </w:pPr>
    </w:p>
    <w:p>
      <w:pPr>
        <w:pStyle w:val="Caption"/>
        <w:rPr>
          <w:noProof/>
        </w:rPr>
      </w:pPr>
      <w:r>
        <w:rPr>
          <w:noProof/>
        </w:rPr>
        <w:t>Obrázek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Donucovací činnosti provedené členskými státy</w:t>
      </w:r>
    </w:p>
    <w:p>
      <w:pPr>
        <w:pStyle w:val="Body"/>
        <w:jc w:val="both"/>
        <w:rPr>
          <w:noProof/>
        </w:rPr>
      </w:pPr>
    </w:p>
    <w:p>
      <w:pPr>
        <w:pStyle w:val="Body"/>
        <w:jc w:val="both"/>
        <w:rPr>
          <w:noProof/>
        </w:rPr>
      </w:pPr>
      <w:r>
        <w:rPr>
          <w:noProof/>
          <w:lang w:val="en-US" w:eastAsia="en-US" w:bidi="ar-SA"/>
        </w:rPr>
        <w:drawing>
          <wp:inline distT="0" distB="0" distL="0" distR="0">
            <wp:extent cx="5760085" cy="2913380"/>
            <wp:effectExtent l="0" t="0" r="0"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085" cy="2913380"/>
                    </a:xfrm>
                    <a:prstGeom prst="rect">
                      <a:avLst/>
                    </a:prstGeom>
                  </pic:spPr>
                </pic:pic>
              </a:graphicData>
            </a:graphic>
          </wp:inline>
        </w:drawing>
      </w:r>
    </w:p>
    <w:p>
      <w:pPr>
        <w:pStyle w:val="Body"/>
        <w:jc w:val="both"/>
        <w:rPr>
          <w:noProof/>
        </w:rPr>
      </w:pPr>
      <w:r>
        <w:rPr>
          <w:noProof/>
          <w:lang w:val="en-US" w:eastAsia="en-US" w:bidi="ar-SA"/>
        </w:rPr>
        <mc:AlternateContent>
          <mc:Choice Requires="wps">
            <w:drawing>
              <wp:anchor distT="45720" distB="45720" distL="114300" distR="114300" simplePos="0" relativeHeight="251659264" behindDoc="0" locked="0" layoutInCell="1" allowOverlap="1">
                <wp:simplePos x="0" y="0"/>
                <wp:positionH relativeFrom="column">
                  <wp:posOffset>2086610</wp:posOffset>
                </wp:positionH>
                <wp:positionV relativeFrom="paragraph">
                  <wp:posOffset>90170</wp:posOffset>
                </wp:positionV>
                <wp:extent cx="1249680" cy="236220"/>
                <wp:effectExtent l="0" t="0" r="7620" b="0"/>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36220"/>
                        </a:xfrm>
                        <a:prstGeom prst="rect">
                          <a:avLst/>
                        </a:prstGeom>
                        <a:solidFill>
                          <a:srgbClr val="FFFFFF"/>
                        </a:solidFill>
                        <a:ln w="9525">
                          <a:noFill/>
                          <a:miter lim="800000"/>
                          <a:headEnd/>
                          <a:tailEnd/>
                        </a:ln>
                      </wps:spPr>
                      <wps:txbx>
                        <w:txbxContent>
                          <w:p>
                            <w:pPr>
                              <w:rPr>
                                <w:rFonts w:asciiTheme="minorHAnsi" w:hAnsiTheme="minorHAnsi" w:cstheme="minorHAnsi"/>
                                <w:sz w:val="20"/>
                              </w:rPr>
                            </w:pPr>
                            <w:r>
                              <w:rPr>
                                <w:rFonts w:asciiTheme="minorHAnsi" w:hAnsiTheme="minorHAnsi" w:cstheme="minorHAnsi"/>
                                <w:sz w:val="20"/>
                              </w:rPr>
                              <w:t>Počet členských států</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64.3pt;margin-top:7.1pt;width:98.4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BcIQIAABQEAAAOAAAAZHJzL2Uyb0RvYy54bWysU11u2zAMfh+wOwh6X5x4a9YacYouXYYB&#10;3Q/Q7gCKLMfCJFGjlNjZjXaOXWyUnKRF9zbMDwJlkR/Jjx8X14M1bK8waHA1n02mnCknodFuW/Nv&#10;D+tXl5yFKFwjDDhV84MK/Hr58sWi95UqoQPTKGQE4kLV+5p3MfqqKILslBVhAl45emwBrYh0xW3R&#10;oOgJ3ZqinE7nRQ/YeASpQqC/t+MjX2b8tlUyfmnboCIzNafaYj4xn5t0FsuFqLYofKflsQzxD1VY&#10;oR0lPUPdiijYDvVfUFZLhABtnEiwBbStlir3QN3Mps+6ue+EV7kXIif4M03h/8HKz/uvyHRT83L2&#10;ljMnLA3pQQ0R9r9/MQ9GsTKR1PtQke+9J+84vIOBhp0bDv4O5PfAHKw64bbqBhH6TomGipylyOJJ&#10;6IgTEsim/wQN5RK7CBloaNEmBokTRug0rMN5QFQPkyll+eZqfklPkt7K1/OyzBMsRHWK9hjiBwWW&#10;JaPmSALI6GJ/F2KqRlQnl5QsgNHNWhuTL7jdrAyyvSCxrPOXG3jmZhzra351UV5kZAcpPuvI6khi&#10;NtrW/HKavlFeiY33rskuUWgz2lSJcUd6EiMjN3HYDOSYONtAcyCiEEbR0pKR0QH+5KwnwdY8/NgJ&#10;VJyZj47ITuo+GXgyNidDOEmhNZcRORsvq5j3IHXu4IbG0OrM0GPuY3UkvUzccU2Stp/es9fjMi//&#10;AAAA//8DAFBLAwQUAAYACAAAACEABRn9r94AAAAJAQAADwAAAGRycy9kb3ducmV2LnhtbEyPwU7D&#10;MAyG70i8Q2Qkbixd13VT13RCEyBx4MDgAdzGTas1SdVkW+HpMSe42fo//f5c7mc7iAtNofdOwXKR&#10;gCDXeN07o+Dz4/lhCyJEdBoH70jBFwXYV7c3JRbaX907XY7RCC5xoUAFXYxjIWVoOrIYFn4kx1nr&#10;J4uR18lIPeGVy+0g0yTJpcXe8YUORzp01JyOZ6vg8N2iSerx7SVvVuY10uapbzdK3d/NjzsQkeb4&#10;B8OvPqtDxU61PzsdxKBglW5zRjnIUhAMrNN1BqLmYZmBrEr5/4PqBwAA//8DAFBLAQItABQABgAI&#10;AAAAIQC2gziS/gAAAOEBAAATAAAAAAAAAAAAAAAAAAAAAABbQ29udGVudF9UeXBlc10ueG1sUEsB&#10;Ai0AFAAGAAgAAAAhADj9If/WAAAAlAEAAAsAAAAAAAAAAAAAAAAALwEAAF9yZWxzLy5yZWxzUEsB&#10;Ai0AFAAGAAgAAAAhACcQgFwhAgAAFAQAAA4AAAAAAAAAAAAAAAAALgIAAGRycy9lMm9Eb2MueG1s&#10;UEsBAi0AFAAGAAgAAAAhAAUZ/a/eAAAACQEAAA8AAAAAAAAAAAAAAAAAewQAAGRycy9kb3ducmV2&#10;LnhtbFBLBQYAAAAABAAEAPMAAACGBQAAAAA=&#10;" stroked="f">
                <v:textbox inset="0,0,0,0">
                  <w:txbxContent>
                    <w:p>
                      <w:pPr>
                        <w:rPr>
                          <w:rFonts w:asciiTheme="minorHAnsi" w:hAnsiTheme="minorHAnsi" w:cstheme="minorHAnsi"/>
                          <w:sz w:val="20"/>
                        </w:rPr>
                      </w:pPr>
                      <w:r>
                        <w:rPr>
                          <w:rFonts w:asciiTheme="minorHAnsi" w:hAnsiTheme="minorHAnsi" w:cstheme="minorHAnsi"/>
                          <w:sz w:val="20"/>
                        </w:rPr>
                        <w:t>Počet členských států</w:t>
                      </w:r>
                    </w:p>
                  </w:txbxContent>
                </v:textbox>
                <w10:wrap type="topAndBottom"/>
              </v:shape>
            </w:pict>
          </mc:Fallback>
        </mc:AlternateContent>
      </w:r>
    </w:p>
    <w:p>
      <w:pPr>
        <w:pStyle w:val="MBT"/>
        <w:rPr>
          <w:noProof/>
        </w:rPr>
      </w:pPr>
      <w:r>
        <w:rPr>
          <w:noProof/>
        </w:rPr>
        <w:t>Podle údajů, které poskytly určené vnitrostátní orgány, prováděly celní orgány a ostatní donucovací orgány kontroly při vývozu chemických látek v sedmnácti členských státech a při dovozu chemických látek, na něž se vztahuje nařízení PIC, v jedenácti členských státech</w:t>
      </w:r>
      <w:r>
        <w:rPr>
          <w:rStyle w:val="FootnoteReference"/>
          <w:noProof/>
        </w:rPr>
        <w:footnoteReference w:id="10"/>
      </w:r>
      <w:r>
        <w:rPr>
          <w:noProof/>
        </w:rPr>
        <w:t>. Počet provedených kontrol se mezi jednotlivými členskými státy značně lišil, což může být způsobeno počtem případů vývozu a dovozu chemických látek, na něž se vztahuje nařízení PIC, v dané zemi, kontrolní strategií nebo druhy prováděných kontrol (např. následné kontroly v porovnání s pravidelným sledováním). Tři členské státy oznámily protiprávní jednání zjištěné při celních kontrolách s velmi nízkým počtem případů porušení předpisů. Devět členských států nahlásilo případy zjištěné při kontrolách, které provedli inspektoři, přičemž míra porušování předpisů mezi těmito členskými státy se značně lišila. V některých případech to mohlo souviset s druhem prováděných kontrol (např. při následných kontrolách je s větší pravděpodobností zjištěno porušení předpisů). Ve čtyřech členských státech vedlo třináct případů porušení předpisů k sankcím.</w:t>
      </w:r>
    </w:p>
    <w:p>
      <w:pPr>
        <w:pStyle w:val="MBT"/>
        <w:rPr>
          <w:noProof/>
        </w:rPr>
      </w:pPr>
    </w:p>
    <w:p>
      <w:pPr>
        <w:pStyle w:val="Caption"/>
        <w:rPr>
          <w:noProof/>
        </w:rPr>
      </w:pPr>
      <w:r>
        <w:rPr>
          <w:noProof/>
        </w:rPr>
        <w:t>Tabulka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Pr>
          <w:noProof/>
        </w:rPr>
        <w:t>: Počet provedených kontrol a počet porušení předpisů zjištěných celními orgány a inspektory ve sledovaném období</w:t>
      </w:r>
      <w:r>
        <w:rPr>
          <w:rStyle w:val="FootnoteReference"/>
          <w:noProof/>
        </w:rPr>
        <w:footnoteReference w:id="11"/>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28"/>
        <w:gridCol w:w="1589"/>
        <w:gridCol w:w="1890"/>
        <w:gridCol w:w="1589"/>
        <w:gridCol w:w="1891"/>
      </w:tblGrid>
      <w:tr>
        <w:tc>
          <w:tcPr>
            <w:tcW w:w="1318" w:type="pct"/>
            <w:shd w:val="clear" w:color="auto" w:fill="000099"/>
          </w:tcPr>
          <w:p>
            <w:pPr>
              <w:pStyle w:val="MBT"/>
              <w:rPr>
                <w:noProof/>
                <w:color w:val="FFFFFF"/>
              </w:rPr>
            </w:pPr>
            <w:r>
              <w:rPr>
                <w:noProof/>
                <w:color w:val="FFFFFF"/>
              </w:rPr>
              <w:t>Členský stát</w:t>
            </w:r>
          </w:p>
        </w:tc>
        <w:tc>
          <w:tcPr>
            <w:tcW w:w="696" w:type="pct"/>
            <w:shd w:val="clear" w:color="auto" w:fill="000099"/>
          </w:tcPr>
          <w:p>
            <w:pPr>
              <w:pStyle w:val="MBT"/>
              <w:jc w:val="left"/>
              <w:rPr>
                <w:noProof/>
                <w:color w:val="FFFFFF"/>
              </w:rPr>
            </w:pPr>
            <w:r>
              <w:rPr>
                <w:noProof/>
                <w:color w:val="FFFFFF"/>
              </w:rPr>
              <w:t>Kontroly při vývozu a dovozu provedené celními orgány</w:t>
            </w:r>
          </w:p>
        </w:tc>
        <w:tc>
          <w:tcPr>
            <w:tcW w:w="1082" w:type="pct"/>
            <w:shd w:val="clear" w:color="auto" w:fill="000099"/>
          </w:tcPr>
          <w:p>
            <w:pPr>
              <w:pStyle w:val="MBT"/>
              <w:jc w:val="left"/>
              <w:rPr>
                <w:noProof/>
                <w:color w:val="FFFFFF"/>
              </w:rPr>
            </w:pPr>
            <w:r>
              <w:rPr>
                <w:noProof/>
                <w:color w:val="FFFFFF"/>
              </w:rPr>
              <w:t>Porušení předpisů zjištěná celními orgány</w:t>
            </w:r>
          </w:p>
        </w:tc>
        <w:tc>
          <w:tcPr>
            <w:tcW w:w="822" w:type="pct"/>
            <w:shd w:val="clear" w:color="auto" w:fill="000099"/>
          </w:tcPr>
          <w:p>
            <w:pPr>
              <w:pStyle w:val="MBT"/>
              <w:jc w:val="left"/>
              <w:rPr>
                <w:noProof/>
                <w:color w:val="FFFFFF"/>
              </w:rPr>
            </w:pPr>
            <w:r>
              <w:rPr>
                <w:noProof/>
                <w:color w:val="FFFFFF"/>
              </w:rPr>
              <w:t>Kontroly při vývozu a dovozu provedené inspektory</w:t>
            </w:r>
          </w:p>
        </w:tc>
        <w:tc>
          <w:tcPr>
            <w:tcW w:w="1082" w:type="pct"/>
            <w:shd w:val="clear" w:color="auto" w:fill="000099"/>
          </w:tcPr>
          <w:p>
            <w:pPr>
              <w:pStyle w:val="MBT"/>
              <w:jc w:val="left"/>
              <w:rPr>
                <w:noProof/>
                <w:color w:val="FFFFFF"/>
              </w:rPr>
            </w:pPr>
            <w:r>
              <w:rPr>
                <w:noProof/>
                <w:color w:val="FFFFFF"/>
              </w:rPr>
              <w:t>Porušení předpisů zjištěná inspektory</w:t>
            </w:r>
          </w:p>
        </w:tc>
      </w:tr>
      <w:tr>
        <w:tc>
          <w:tcPr>
            <w:tcW w:w="1318" w:type="pct"/>
            <w:shd w:val="clear" w:color="auto" w:fill="F2F2F2"/>
          </w:tcPr>
          <w:p>
            <w:pPr>
              <w:pStyle w:val="MBT"/>
              <w:rPr>
                <w:noProof/>
              </w:rPr>
            </w:pPr>
            <w:r>
              <w:rPr>
                <w:noProof/>
              </w:rPr>
              <w:t>Rakousko</w:t>
            </w:r>
          </w:p>
        </w:tc>
        <w:tc>
          <w:tcPr>
            <w:tcW w:w="696" w:type="pct"/>
            <w:shd w:val="clear" w:color="auto" w:fill="F2F2F2"/>
          </w:tcPr>
          <w:p>
            <w:pPr>
              <w:pStyle w:val="MBT"/>
              <w:rPr>
                <w:noProof/>
              </w:rPr>
            </w:pPr>
            <w:r>
              <w:rPr>
                <w:noProof/>
              </w:rPr>
              <w:t>561</w:t>
            </w:r>
          </w:p>
        </w:tc>
        <w:tc>
          <w:tcPr>
            <w:tcW w:w="1082" w:type="pct"/>
            <w:shd w:val="clear" w:color="auto" w:fill="F2F2F2"/>
          </w:tcPr>
          <w:p>
            <w:pPr>
              <w:pStyle w:val="MBT"/>
              <w:rPr>
                <w:noProof/>
              </w:rPr>
            </w:pPr>
            <w:r>
              <w:rPr>
                <w:noProof/>
              </w:rPr>
              <w:t>0</w:t>
            </w:r>
          </w:p>
        </w:tc>
        <w:tc>
          <w:tcPr>
            <w:tcW w:w="822" w:type="pct"/>
            <w:shd w:val="clear" w:color="auto" w:fill="F2F2F2"/>
          </w:tcPr>
          <w:p>
            <w:pPr>
              <w:pStyle w:val="MBT"/>
              <w:rPr>
                <w:noProof/>
              </w:rPr>
            </w:pPr>
            <w:r>
              <w:rPr>
                <w:noProof/>
              </w:rPr>
              <w:t>16</w:t>
            </w:r>
          </w:p>
        </w:tc>
        <w:tc>
          <w:tcPr>
            <w:tcW w:w="1082" w:type="pct"/>
            <w:shd w:val="clear" w:color="auto" w:fill="F2F2F2"/>
          </w:tcPr>
          <w:p>
            <w:pPr>
              <w:pStyle w:val="MBT"/>
              <w:rPr>
                <w:noProof/>
              </w:rPr>
            </w:pPr>
            <w:r>
              <w:rPr>
                <w:noProof/>
              </w:rPr>
              <w:t>8</w:t>
            </w:r>
          </w:p>
        </w:tc>
      </w:tr>
      <w:tr>
        <w:tc>
          <w:tcPr>
            <w:tcW w:w="1318" w:type="pct"/>
            <w:shd w:val="clear" w:color="auto" w:fill="F2F2F2"/>
          </w:tcPr>
          <w:p>
            <w:pPr>
              <w:pStyle w:val="MBT"/>
              <w:rPr>
                <w:noProof/>
              </w:rPr>
            </w:pPr>
            <w:r>
              <w:rPr>
                <w:noProof/>
              </w:rPr>
              <w:t>Belgie</w:t>
            </w:r>
          </w:p>
        </w:tc>
        <w:tc>
          <w:tcPr>
            <w:tcW w:w="696" w:type="pct"/>
            <w:shd w:val="clear" w:color="auto" w:fill="F2F2F2"/>
          </w:tcPr>
          <w:p>
            <w:pPr>
              <w:pStyle w:val="MBT"/>
              <w:rPr>
                <w:noProof/>
              </w:rPr>
            </w:pPr>
            <w:r>
              <w:rPr>
                <w:noProof/>
              </w:rPr>
              <w:t>Nepoužitelné.</w:t>
            </w:r>
          </w:p>
        </w:tc>
        <w:tc>
          <w:tcPr>
            <w:tcW w:w="1082" w:type="pct"/>
            <w:shd w:val="clear" w:color="auto" w:fill="F2F2F2"/>
          </w:tcPr>
          <w:p>
            <w:pPr>
              <w:pStyle w:val="MBT"/>
              <w:rPr>
                <w:noProof/>
              </w:rPr>
            </w:pPr>
            <w:r>
              <w:rPr>
                <w:noProof/>
              </w:rPr>
              <w:t>Nepoužitelné.</w:t>
            </w:r>
          </w:p>
        </w:tc>
        <w:tc>
          <w:tcPr>
            <w:tcW w:w="822" w:type="pct"/>
            <w:shd w:val="clear" w:color="auto" w:fill="F2F2F2"/>
          </w:tcPr>
          <w:p>
            <w:pPr>
              <w:pStyle w:val="MBT"/>
              <w:rPr>
                <w:noProof/>
              </w:rPr>
            </w:pPr>
            <w:r>
              <w:rPr>
                <w:noProof/>
              </w:rPr>
              <w:t>29</w:t>
            </w:r>
          </w:p>
        </w:tc>
        <w:tc>
          <w:tcPr>
            <w:tcW w:w="1082" w:type="pct"/>
            <w:shd w:val="clear" w:color="auto" w:fill="F2F2F2"/>
          </w:tcPr>
          <w:p>
            <w:pPr>
              <w:pStyle w:val="MBT"/>
              <w:rPr>
                <w:noProof/>
              </w:rPr>
            </w:pPr>
            <w:r>
              <w:rPr>
                <w:noProof/>
              </w:rPr>
              <w:t>10</w:t>
            </w:r>
          </w:p>
        </w:tc>
      </w:tr>
      <w:tr>
        <w:tc>
          <w:tcPr>
            <w:tcW w:w="1318" w:type="pct"/>
            <w:shd w:val="clear" w:color="auto" w:fill="F2F2F2"/>
          </w:tcPr>
          <w:p>
            <w:pPr>
              <w:pStyle w:val="MBT"/>
              <w:rPr>
                <w:noProof/>
              </w:rPr>
            </w:pPr>
            <w:r>
              <w:rPr>
                <w:noProof/>
              </w:rPr>
              <w:t>Bulharsko</w:t>
            </w:r>
          </w:p>
        </w:tc>
        <w:tc>
          <w:tcPr>
            <w:tcW w:w="696" w:type="pct"/>
            <w:shd w:val="clear" w:color="auto" w:fill="F2F2F2"/>
          </w:tcPr>
          <w:p>
            <w:pPr>
              <w:pStyle w:val="MBT"/>
              <w:rPr>
                <w:noProof/>
              </w:rPr>
            </w:pPr>
            <w:r>
              <w:rPr>
                <w:noProof/>
              </w:rPr>
              <w:t>463</w:t>
            </w:r>
          </w:p>
        </w:tc>
        <w:tc>
          <w:tcPr>
            <w:tcW w:w="1082" w:type="pct"/>
            <w:shd w:val="clear" w:color="auto" w:fill="F2F2F2"/>
          </w:tcPr>
          <w:p>
            <w:pPr>
              <w:pStyle w:val="MBT"/>
              <w:rPr>
                <w:noProof/>
              </w:rPr>
            </w:pPr>
            <w:r>
              <w:rPr>
                <w:noProof/>
              </w:rPr>
              <w:t>0</w:t>
            </w:r>
          </w:p>
        </w:tc>
        <w:tc>
          <w:tcPr>
            <w:tcW w:w="822" w:type="pct"/>
            <w:shd w:val="clear" w:color="auto" w:fill="F2F2F2"/>
          </w:tcPr>
          <w:p>
            <w:pPr>
              <w:pStyle w:val="MBT"/>
              <w:rPr>
                <w:noProof/>
              </w:rPr>
            </w:pPr>
            <w:r>
              <w:rPr>
                <w:noProof/>
              </w:rPr>
              <w:t>40</w:t>
            </w:r>
          </w:p>
        </w:tc>
        <w:tc>
          <w:tcPr>
            <w:tcW w:w="1082" w:type="pct"/>
            <w:shd w:val="clear" w:color="auto" w:fill="F2F2F2"/>
          </w:tcPr>
          <w:p>
            <w:pPr>
              <w:pStyle w:val="MBT"/>
              <w:rPr>
                <w:noProof/>
              </w:rPr>
            </w:pPr>
            <w:r>
              <w:rPr>
                <w:noProof/>
              </w:rPr>
              <w:t>7</w:t>
            </w:r>
          </w:p>
        </w:tc>
      </w:tr>
      <w:tr>
        <w:tc>
          <w:tcPr>
            <w:tcW w:w="1318" w:type="pct"/>
            <w:shd w:val="clear" w:color="auto" w:fill="F2F2F2"/>
          </w:tcPr>
          <w:p>
            <w:pPr>
              <w:pStyle w:val="MBT"/>
              <w:rPr>
                <w:noProof/>
              </w:rPr>
            </w:pPr>
            <w:r>
              <w:rPr>
                <w:noProof/>
              </w:rPr>
              <w:t>Finsko</w:t>
            </w:r>
          </w:p>
        </w:tc>
        <w:tc>
          <w:tcPr>
            <w:tcW w:w="696" w:type="pct"/>
            <w:shd w:val="clear" w:color="auto" w:fill="F2F2F2"/>
          </w:tcPr>
          <w:p>
            <w:pPr>
              <w:pStyle w:val="MBT"/>
              <w:rPr>
                <w:noProof/>
              </w:rPr>
            </w:pPr>
            <w:r>
              <w:rPr>
                <w:noProof/>
              </w:rPr>
              <w:t>3 633</w:t>
            </w:r>
          </w:p>
        </w:tc>
        <w:tc>
          <w:tcPr>
            <w:tcW w:w="1082" w:type="pct"/>
            <w:shd w:val="clear" w:color="auto" w:fill="F2F2F2"/>
          </w:tcPr>
          <w:p>
            <w:pPr>
              <w:pStyle w:val="MBT"/>
              <w:rPr>
                <w:noProof/>
              </w:rPr>
            </w:pPr>
            <w:r>
              <w:rPr>
                <w:noProof/>
              </w:rPr>
              <w:t>Nepoužitelné.</w:t>
            </w:r>
          </w:p>
        </w:tc>
        <w:tc>
          <w:tcPr>
            <w:tcW w:w="822" w:type="pct"/>
            <w:shd w:val="clear" w:color="auto" w:fill="F2F2F2"/>
          </w:tcPr>
          <w:p>
            <w:pPr>
              <w:pStyle w:val="MBT"/>
              <w:rPr>
                <w:noProof/>
              </w:rPr>
            </w:pPr>
            <w:r>
              <w:rPr>
                <w:noProof/>
              </w:rPr>
              <w:t>1</w:t>
            </w:r>
          </w:p>
        </w:tc>
        <w:tc>
          <w:tcPr>
            <w:tcW w:w="1082" w:type="pct"/>
            <w:shd w:val="clear" w:color="auto" w:fill="F2F2F2"/>
          </w:tcPr>
          <w:p>
            <w:pPr>
              <w:pStyle w:val="MBT"/>
              <w:rPr>
                <w:noProof/>
              </w:rPr>
            </w:pPr>
            <w:r>
              <w:rPr>
                <w:noProof/>
              </w:rPr>
              <w:t>1</w:t>
            </w:r>
          </w:p>
        </w:tc>
      </w:tr>
      <w:tr>
        <w:tc>
          <w:tcPr>
            <w:tcW w:w="1318" w:type="pct"/>
            <w:shd w:val="clear" w:color="auto" w:fill="F2F2F2"/>
          </w:tcPr>
          <w:p>
            <w:pPr>
              <w:pStyle w:val="MBT"/>
              <w:rPr>
                <w:noProof/>
              </w:rPr>
            </w:pPr>
            <w:r>
              <w:rPr>
                <w:noProof/>
              </w:rPr>
              <w:t>Francie</w:t>
            </w:r>
          </w:p>
        </w:tc>
        <w:tc>
          <w:tcPr>
            <w:tcW w:w="696" w:type="pct"/>
            <w:shd w:val="clear" w:color="auto" w:fill="F2F2F2"/>
          </w:tcPr>
          <w:p>
            <w:pPr>
              <w:pStyle w:val="MBT"/>
              <w:rPr>
                <w:noProof/>
              </w:rPr>
            </w:pPr>
            <w:r>
              <w:rPr>
                <w:noProof/>
              </w:rPr>
              <w:t>123</w:t>
            </w:r>
          </w:p>
        </w:tc>
        <w:tc>
          <w:tcPr>
            <w:tcW w:w="1082" w:type="pct"/>
            <w:shd w:val="clear" w:color="auto" w:fill="F2F2F2"/>
          </w:tcPr>
          <w:p>
            <w:pPr>
              <w:pStyle w:val="MBT"/>
              <w:rPr>
                <w:noProof/>
              </w:rPr>
            </w:pPr>
            <w:r>
              <w:rPr>
                <w:noProof/>
              </w:rPr>
              <w:t>3</w:t>
            </w:r>
          </w:p>
        </w:tc>
        <w:tc>
          <w:tcPr>
            <w:tcW w:w="822" w:type="pct"/>
            <w:shd w:val="clear" w:color="auto" w:fill="F2F2F2"/>
          </w:tcPr>
          <w:p>
            <w:pPr>
              <w:pStyle w:val="MBT"/>
              <w:rPr>
                <w:noProof/>
              </w:rPr>
            </w:pPr>
            <w:r>
              <w:rPr>
                <w:noProof/>
              </w:rPr>
              <w:t>Nepoužitelné.</w:t>
            </w:r>
          </w:p>
        </w:tc>
        <w:tc>
          <w:tcPr>
            <w:tcW w:w="1082" w:type="pct"/>
            <w:shd w:val="clear" w:color="auto" w:fill="F2F2F2"/>
          </w:tcPr>
          <w:p>
            <w:pPr>
              <w:pStyle w:val="MBT"/>
              <w:rPr>
                <w:noProof/>
              </w:rPr>
            </w:pPr>
            <w:r>
              <w:rPr>
                <w:noProof/>
              </w:rPr>
              <w:t>Nepoužitelné.</w:t>
            </w:r>
          </w:p>
        </w:tc>
      </w:tr>
      <w:tr>
        <w:tc>
          <w:tcPr>
            <w:tcW w:w="1318" w:type="pct"/>
            <w:shd w:val="clear" w:color="auto" w:fill="F2F2F2"/>
          </w:tcPr>
          <w:p>
            <w:pPr>
              <w:pStyle w:val="MBT"/>
              <w:rPr>
                <w:noProof/>
              </w:rPr>
            </w:pPr>
            <w:r>
              <w:rPr>
                <w:noProof/>
              </w:rPr>
              <w:t>Německo</w:t>
            </w:r>
          </w:p>
        </w:tc>
        <w:tc>
          <w:tcPr>
            <w:tcW w:w="696" w:type="pct"/>
            <w:shd w:val="clear" w:color="auto" w:fill="F2F2F2"/>
          </w:tcPr>
          <w:p>
            <w:pPr>
              <w:pStyle w:val="MBT"/>
              <w:rPr>
                <w:noProof/>
              </w:rPr>
            </w:pPr>
            <w:r>
              <w:rPr>
                <w:noProof/>
              </w:rPr>
              <w:t>1</w:t>
            </w:r>
            <w:r>
              <w:rPr>
                <w:rStyle w:val="FootnoteReference"/>
                <w:noProof/>
              </w:rPr>
              <w:footnoteReference w:id="12"/>
            </w:r>
          </w:p>
        </w:tc>
        <w:tc>
          <w:tcPr>
            <w:tcW w:w="1082" w:type="pct"/>
            <w:shd w:val="clear" w:color="auto" w:fill="F2F2F2"/>
          </w:tcPr>
          <w:p>
            <w:pPr>
              <w:pStyle w:val="MBT"/>
              <w:rPr>
                <w:noProof/>
              </w:rPr>
            </w:pPr>
            <w:r>
              <w:rPr>
                <w:noProof/>
              </w:rPr>
              <w:t>1</w:t>
            </w:r>
          </w:p>
        </w:tc>
        <w:tc>
          <w:tcPr>
            <w:tcW w:w="822" w:type="pct"/>
            <w:shd w:val="clear" w:color="auto" w:fill="F2F2F2"/>
          </w:tcPr>
          <w:p>
            <w:pPr>
              <w:pStyle w:val="MBT"/>
              <w:rPr>
                <w:noProof/>
              </w:rPr>
            </w:pPr>
            <w:r>
              <w:rPr>
                <w:noProof/>
              </w:rPr>
              <w:t>49</w:t>
            </w:r>
          </w:p>
        </w:tc>
        <w:tc>
          <w:tcPr>
            <w:tcW w:w="1082" w:type="pct"/>
            <w:shd w:val="clear" w:color="auto" w:fill="F2F2F2"/>
          </w:tcPr>
          <w:p>
            <w:pPr>
              <w:pStyle w:val="MBT"/>
              <w:rPr>
                <w:noProof/>
              </w:rPr>
            </w:pPr>
            <w:r>
              <w:rPr>
                <w:noProof/>
              </w:rPr>
              <w:t>21</w:t>
            </w:r>
          </w:p>
        </w:tc>
      </w:tr>
      <w:tr>
        <w:tc>
          <w:tcPr>
            <w:tcW w:w="1318" w:type="pct"/>
            <w:shd w:val="clear" w:color="auto" w:fill="F2F2F2"/>
          </w:tcPr>
          <w:p>
            <w:pPr>
              <w:pStyle w:val="MBT"/>
              <w:rPr>
                <w:noProof/>
              </w:rPr>
            </w:pPr>
            <w:r>
              <w:rPr>
                <w:noProof/>
              </w:rPr>
              <w:t>Maďarsko</w:t>
            </w:r>
          </w:p>
        </w:tc>
        <w:tc>
          <w:tcPr>
            <w:tcW w:w="696" w:type="pct"/>
            <w:shd w:val="clear" w:color="auto" w:fill="F2F2F2"/>
          </w:tcPr>
          <w:p>
            <w:pPr>
              <w:pStyle w:val="MBT"/>
              <w:rPr>
                <w:noProof/>
              </w:rPr>
            </w:pPr>
            <w:r>
              <w:rPr>
                <w:noProof/>
              </w:rPr>
              <w:t>35</w:t>
            </w:r>
          </w:p>
        </w:tc>
        <w:tc>
          <w:tcPr>
            <w:tcW w:w="1082" w:type="pct"/>
            <w:shd w:val="clear" w:color="auto" w:fill="F2F2F2"/>
          </w:tcPr>
          <w:p>
            <w:pPr>
              <w:pStyle w:val="MBT"/>
              <w:rPr>
                <w:noProof/>
              </w:rPr>
            </w:pPr>
            <w:r>
              <w:rPr>
                <w:noProof/>
              </w:rPr>
              <w:t>0</w:t>
            </w:r>
          </w:p>
        </w:tc>
        <w:tc>
          <w:tcPr>
            <w:tcW w:w="822" w:type="pct"/>
            <w:shd w:val="clear" w:color="auto" w:fill="F2F2F2"/>
          </w:tcPr>
          <w:p>
            <w:pPr>
              <w:pStyle w:val="MBT"/>
              <w:rPr>
                <w:noProof/>
              </w:rPr>
            </w:pPr>
            <w:r>
              <w:rPr>
                <w:noProof/>
              </w:rPr>
              <w:t>93</w:t>
            </w:r>
          </w:p>
        </w:tc>
        <w:tc>
          <w:tcPr>
            <w:tcW w:w="1082" w:type="pct"/>
            <w:shd w:val="clear" w:color="auto" w:fill="F2F2F2"/>
          </w:tcPr>
          <w:p>
            <w:pPr>
              <w:pStyle w:val="MBT"/>
              <w:rPr>
                <w:noProof/>
              </w:rPr>
            </w:pPr>
            <w:r>
              <w:rPr>
                <w:noProof/>
              </w:rPr>
              <w:t>2</w:t>
            </w:r>
          </w:p>
        </w:tc>
      </w:tr>
      <w:tr>
        <w:tc>
          <w:tcPr>
            <w:tcW w:w="1318" w:type="pct"/>
            <w:shd w:val="clear" w:color="auto" w:fill="F2F2F2"/>
          </w:tcPr>
          <w:p>
            <w:pPr>
              <w:pStyle w:val="MBT"/>
              <w:rPr>
                <w:noProof/>
              </w:rPr>
            </w:pPr>
            <w:r>
              <w:rPr>
                <w:noProof/>
              </w:rPr>
              <w:t>Itálie</w:t>
            </w:r>
          </w:p>
        </w:tc>
        <w:tc>
          <w:tcPr>
            <w:tcW w:w="696" w:type="pct"/>
            <w:shd w:val="clear" w:color="auto" w:fill="F2F2F2"/>
          </w:tcPr>
          <w:p>
            <w:pPr>
              <w:pStyle w:val="MBT"/>
              <w:rPr>
                <w:noProof/>
              </w:rPr>
            </w:pPr>
            <w:r>
              <w:rPr>
                <w:noProof/>
              </w:rPr>
              <w:t>1 205</w:t>
            </w:r>
          </w:p>
        </w:tc>
        <w:tc>
          <w:tcPr>
            <w:tcW w:w="1082" w:type="pct"/>
            <w:shd w:val="clear" w:color="auto" w:fill="F2F2F2"/>
          </w:tcPr>
          <w:p>
            <w:pPr>
              <w:pStyle w:val="MBT"/>
              <w:rPr>
                <w:noProof/>
              </w:rPr>
            </w:pPr>
            <w:r>
              <w:rPr>
                <w:noProof/>
              </w:rPr>
              <w:t>9</w:t>
            </w:r>
          </w:p>
        </w:tc>
        <w:tc>
          <w:tcPr>
            <w:tcW w:w="822" w:type="pct"/>
            <w:shd w:val="clear" w:color="auto" w:fill="F2F2F2"/>
          </w:tcPr>
          <w:p>
            <w:pPr>
              <w:pStyle w:val="MBT"/>
              <w:rPr>
                <w:noProof/>
              </w:rPr>
            </w:pPr>
            <w:r>
              <w:rPr>
                <w:noProof/>
              </w:rPr>
              <w:t>Nepoužitelné.</w:t>
            </w:r>
          </w:p>
        </w:tc>
        <w:tc>
          <w:tcPr>
            <w:tcW w:w="1082" w:type="pct"/>
            <w:shd w:val="clear" w:color="auto" w:fill="F2F2F2"/>
          </w:tcPr>
          <w:p>
            <w:pPr>
              <w:pStyle w:val="MBT"/>
              <w:rPr>
                <w:noProof/>
              </w:rPr>
            </w:pPr>
            <w:r>
              <w:rPr>
                <w:noProof/>
              </w:rPr>
              <w:t>Nepoužitelné.</w:t>
            </w:r>
          </w:p>
        </w:tc>
      </w:tr>
      <w:tr>
        <w:tc>
          <w:tcPr>
            <w:tcW w:w="1318" w:type="pct"/>
            <w:shd w:val="clear" w:color="auto" w:fill="F2F2F2"/>
          </w:tcPr>
          <w:p>
            <w:pPr>
              <w:pStyle w:val="MBT"/>
              <w:rPr>
                <w:noProof/>
              </w:rPr>
            </w:pPr>
            <w:r>
              <w:rPr>
                <w:noProof/>
              </w:rPr>
              <w:t>Litva</w:t>
            </w:r>
          </w:p>
        </w:tc>
        <w:tc>
          <w:tcPr>
            <w:tcW w:w="696" w:type="pct"/>
            <w:shd w:val="clear" w:color="auto" w:fill="F2F2F2"/>
          </w:tcPr>
          <w:p>
            <w:pPr>
              <w:pStyle w:val="MBT"/>
              <w:rPr>
                <w:noProof/>
              </w:rPr>
            </w:pPr>
            <w:r>
              <w:rPr>
                <w:noProof/>
              </w:rPr>
              <w:t>0</w:t>
            </w:r>
          </w:p>
        </w:tc>
        <w:tc>
          <w:tcPr>
            <w:tcW w:w="1082" w:type="pct"/>
            <w:shd w:val="clear" w:color="auto" w:fill="F2F2F2"/>
          </w:tcPr>
          <w:p>
            <w:pPr>
              <w:pStyle w:val="MBT"/>
              <w:rPr>
                <w:noProof/>
              </w:rPr>
            </w:pPr>
            <w:r>
              <w:rPr>
                <w:noProof/>
              </w:rPr>
              <w:t>0</w:t>
            </w:r>
          </w:p>
        </w:tc>
        <w:tc>
          <w:tcPr>
            <w:tcW w:w="822" w:type="pct"/>
            <w:shd w:val="clear" w:color="auto" w:fill="F2F2F2"/>
          </w:tcPr>
          <w:p>
            <w:pPr>
              <w:pStyle w:val="MBT"/>
              <w:rPr>
                <w:noProof/>
              </w:rPr>
            </w:pPr>
            <w:r>
              <w:rPr>
                <w:noProof/>
              </w:rPr>
              <w:t>2</w:t>
            </w:r>
          </w:p>
        </w:tc>
        <w:tc>
          <w:tcPr>
            <w:tcW w:w="1082" w:type="pct"/>
            <w:shd w:val="clear" w:color="auto" w:fill="F2F2F2"/>
          </w:tcPr>
          <w:p>
            <w:pPr>
              <w:pStyle w:val="MBT"/>
              <w:rPr>
                <w:noProof/>
              </w:rPr>
            </w:pPr>
            <w:r>
              <w:rPr>
                <w:noProof/>
              </w:rPr>
              <w:t>1</w:t>
            </w:r>
          </w:p>
        </w:tc>
      </w:tr>
      <w:tr>
        <w:tc>
          <w:tcPr>
            <w:tcW w:w="1318" w:type="pct"/>
            <w:shd w:val="clear" w:color="auto" w:fill="F2F2F2"/>
          </w:tcPr>
          <w:p>
            <w:pPr>
              <w:pStyle w:val="MBT"/>
              <w:rPr>
                <w:noProof/>
              </w:rPr>
            </w:pPr>
            <w:r>
              <w:rPr>
                <w:noProof/>
              </w:rPr>
              <w:t>Nizozemsko</w:t>
            </w:r>
          </w:p>
        </w:tc>
        <w:tc>
          <w:tcPr>
            <w:tcW w:w="696" w:type="pct"/>
            <w:shd w:val="clear" w:color="auto" w:fill="F2F2F2"/>
          </w:tcPr>
          <w:p>
            <w:pPr>
              <w:pStyle w:val="MBT"/>
              <w:rPr>
                <w:noProof/>
              </w:rPr>
            </w:pPr>
            <w:r>
              <w:rPr>
                <w:noProof/>
              </w:rPr>
              <w:t>275</w:t>
            </w:r>
          </w:p>
        </w:tc>
        <w:tc>
          <w:tcPr>
            <w:tcW w:w="1082" w:type="pct"/>
            <w:shd w:val="clear" w:color="auto" w:fill="F2F2F2"/>
          </w:tcPr>
          <w:p>
            <w:pPr>
              <w:pStyle w:val="MBT"/>
              <w:rPr>
                <w:noProof/>
              </w:rPr>
            </w:pPr>
            <w:r>
              <w:rPr>
                <w:noProof/>
              </w:rPr>
              <w:t>0</w:t>
            </w:r>
          </w:p>
        </w:tc>
        <w:tc>
          <w:tcPr>
            <w:tcW w:w="822" w:type="pct"/>
            <w:shd w:val="clear" w:color="auto" w:fill="F2F2F2"/>
          </w:tcPr>
          <w:p>
            <w:pPr>
              <w:pStyle w:val="MBT"/>
              <w:rPr>
                <w:noProof/>
              </w:rPr>
            </w:pPr>
            <w:r>
              <w:rPr>
                <w:noProof/>
              </w:rPr>
              <w:t>661</w:t>
            </w:r>
          </w:p>
        </w:tc>
        <w:tc>
          <w:tcPr>
            <w:tcW w:w="1082" w:type="pct"/>
            <w:shd w:val="clear" w:color="auto" w:fill="F2F2F2"/>
          </w:tcPr>
          <w:p>
            <w:pPr>
              <w:pStyle w:val="MBT"/>
              <w:rPr>
                <w:noProof/>
              </w:rPr>
            </w:pPr>
            <w:r>
              <w:rPr>
                <w:noProof/>
              </w:rPr>
              <w:t>2</w:t>
            </w:r>
          </w:p>
        </w:tc>
      </w:tr>
      <w:tr>
        <w:tc>
          <w:tcPr>
            <w:tcW w:w="1318" w:type="pct"/>
            <w:shd w:val="clear" w:color="auto" w:fill="F2F2F2"/>
          </w:tcPr>
          <w:p>
            <w:pPr>
              <w:pStyle w:val="MBT"/>
              <w:rPr>
                <w:noProof/>
              </w:rPr>
            </w:pPr>
            <w:r>
              <w:rPr>
                <w:noProof/>
              </w:rPr>
              <w:t>Spojené království</w:t>
            </w:r>
          </w:p>
        </w:tc>
        <w:tc>
          <w:tcPr>
            <w:tcW w:w="696" w:type="pct"/>
            <w:shd w:val="clear" w:color="auto" w:fill="F2F2F2"/>
          </w:tcPr>
          <w:p>
            <w:pPr>
              <w:pStyle w:val="MBT"/>
              <w:rPr>
                <w:noProof/>
              </w:rPr>
            </w:pPr>
            <w:r>
              <w:rPr>
                <w:noProof/>
              </w:rPr>
              <w:t>0</w:t>
            </w:r>
          </w:p>
        </w:tc>
        <w:tc>
          <w:tcPr>
            <w:tcW w:w="1082" w:type="pct"/>
            <w:shd w:val="clear" w:color="auto" w:fill="F2F2F2"/>
          </w:tcPr>
          <w:p>
            <w:pPr>
              <w:pStyle w:val="MBT"/>
              <w:rPr>
                <w:noProof/>
              </w:rPr>
            </w:pPr>
            <w:r>
              <w:rPr>
                <w:noProof/>
              </w:rPr>
              <w:t>0</w:t>
            </w:r>
          </w:p>
        </w:tc>
        <w:tc>
          <w:tcPr>
            <w:tcW w:w="822" w:type="pct"/>
            <w:shd w:val="clear" w:color="auto" w:fill="F2F2F2"/>
          </w:tcPr>
          <w:p>
            <w:pPr>
              <w:pStyle w:val="MBT"/>
              <w:rPr>
                <w:noProof/>
              </w:rPr>
            </w:pPr>
            <w:r>
              <w:rPr>
                <w:noProof/>
              </w:rPr>
              <w:t>1</w:t>
            </w:r>
          </w:p>
        </w:tc>
        <w:tc>
          <w:tcPr>
            <w:tcW w:w="1082" w:type="pct"/>
            <w:shd w:val="clear" w:color="auto" w:fill="F2F2F2"/>
          </w:tcPr>
          <w:p>
            <w:pPr>
              <w:pStyle w:val="MBT"/>
              <w:rPr>
                <w:noProof/>
              </w:rPr>
            </w:pPr>
            <w:r>
              <w:rPr>
                <w:noProof/>
              </w:rPr>
              <w:t>1</w:t>
            </w:r>
          </w:p>
        </w:tc>
      </w:tr>
    </w:tbl>
    <w:p>
      <w:pPr>
        <w:pStyle w:val="Body"/>
        <w:rPr>
          <w:noProof/>
        </w:rPr>
      </w:pPr>
    </w:p>
    <w:p>
      <w:pPr>
        <w:pStyle w:val="MBT"/>
        <w:rPr>
          <w:noProof/>
        </w:rPr>
      </w:pPr>
      <w:r>
        <w:rPr>
          <w:noProof/>
        </w:rPr>
        <w:t>Hlavní kategorií porušení předpisů, která byla zjištěna při inspekcích, byla neshoda chemické látky s oznámením o vývozu. Zjištěna byla také porušení předpisů v souvislosti s požadavky na bezpečnostní list a označování.</w:t>
      </w:r>
    </w:p>
    <w:p>
      <w:pPr>
        <w:pStyle w:val="MBT"/>
        <w:rPr>
          <w:noProof/>
        </w:rPr>
      </w:pPr>
    </w:p>
    <w:p>
      <w:pPr>
        <w:pStyle w:val="MBT"/>
        <w:rPr>
          <w:noProof/>
        </w:rPr>
      </w:pPr>
      <w:r>
        <w:rPr>
          <w:noProof/>
        </w:rPr>
        <w:t>Koordinace donucovacích činností se uskutečňuje prostřednictvím fóra pro výměnu informací, přičemž agentura i určené vnitrostátní orgány poskytly s ohledem na činnost fóra pozitivní zpětnou vazbu. Některé určené vnitrostátní orgány uvítaly zahájení pilotního projektu věnovaného prosazování nařízení PIC.</w:t>
      </w:r>
    </w:p>
    <w:p>
      <w:pPr>
        <w:pStyle w:val="Body"/>
        <w:rPr>
          <w:noProof/>
        </w:rPr>
      </w:pPr>
    </w:p>
    <w:p>
      <w:pPr>
        <w:pStyle w:val="Heading2"/>
        <w:rPr>
          <w:noProof/>
        </w:rPr>
      </w:pPr>
      <w:r>
        <w:rPr>
          <w:noProof/>
        </w:rPr>
        <w:t>Byla zveřejněna první zpráva podle článku 20</w:t>
      </w:r>
    </w:p>
    <w:p>
      <w:pPr>
        <w:pStyle w:val="Body"/>
        <w:rPr>
          <w:noProof/>
        </w:rPr>
      </w:pPr>
    </w:p>
    <w:p>
      <w:pPr>
        <w:pStyle w:val="MBT"/>
        <w:rPr>
          <w:noProof/>
        </w:rPr>
      </w:pPr>
      <w:r>
        <w:rPr>
          <w:noProof/>
        </w:rPr>
        <w:t>Podle článku 20 musí Komise, jíž je nápomocna agentura, a členské státy usnadnit poskytování vědeckých, technických, ekonomických a právních informací o chemických látkách v oblasti působnosti tohoto nařízení ostatním zemím. Agentura musí proto každé dva roky vyhotovit zprávu o všech předaných informacích.</w:t>
      </w:r>
    </w:p>
    <w:p>
      <w:pPr>
        <w:pStyle w:val="Body"/>
        <w:jc w:val="both"/>
        <w:rPr>
          <w:noProof/>
        </w:rPr>
      </w:pPr>
    </w:p>
    <w:p>
      <w:pPr>
        <w:pStyle w:val="Body"/>
        <w:jc w:val="both"/>
        <w:rPr>
          <w:noProof/>
        </w:rPr>
      </w:pPr>
      <w:r>
        <w:rPr>
          <w:noProof/>
        </w:rPr>
        <w:t>Agentura zveřejnila v listopadu 2016 první shrnutí informací předaných třetím zemím</w:t>
      </w:r>
      <w:r>
        <w:rPr>
          <w:noProof/>
          <w:vertAlign w:val="superscript"/>
        </w:rPr>
        <w:footnoteReference w:id="13"/>
      </w:r>
      <w:r>
        <w:rPr>
          <w:noProof/>
        </w:rPr>
        <w:t>, přičemž toto shrnutí se týkalo prvních dvou let provádění nařízení PIC (2014–2015). Při shromažďování předaných informací od Komise a členských států se agentura nesetkala s potížemi. Jediným problémem bylo upřesnění rozsahu zprávy s Komisí a členskými státy, jelikož se jednalo o první zprávu tohoto druhu. V období 2014–2015 Komise obdržela a odpověděla na dvě žádosti o informace a v roce 2016 na čtyři žádosti.</w:t>
      </w:r>
    </w:p>
    <w:p>
      <w:pPr>
        <w:pStyle w:val="Body"/>
        <w:rPr>
          <w:noProof/>
        </w:rPr>
      </w:pPr>
    </w:p>
    <w:p>
      <w:pPr>
        <w:pStyle w:val="Heading2"/>
        <w:rPr>
          <w:noProof/>
        </w:rPr>
      </w:pPr>
      <w:r>
        <w:rPr>
          <w:noProof/>
        </w:rPr>
        <w:t>Řada určených vnitrostátních orgánů a agentura se zúčastnily činností v rámci technické pomoci</w:t>
      </w:r>
    </w:p>
    <w:p>
      <w:pPr>
        <w:pStyle w:val="Body"/>
        <w:rPr>
          <w:noProof/>
        </w:rPr>
      </w:pPr>
    </w:p>
    <w:p>
      <w:pPr>
        <w:pStyle w:val="MBT"/>
        <w:rPr>
          <w:noProof/>
        </w:rPr>
      </w:pPr>
      <w:r>
        <w:rPr>
          <w:noProof/>
        </w:rPr>
        <w:t>Podle článku 21 musí Komise, určené vnitrostátní orgány a agentura spolupracovat na podpoře technické pomoci, zejména s cílem pomoci rozvojovým zemím a zemím v procesu hospodářské transformace provést úmluvu a rozvíjet infrastrukturu, kapacity a odborné znalosti nezbytné pro správné nakládání s chemickými látkami během celé doby jejich životnosti.</w:t>
      </w:r>
    </w:p>
    <w:p>
      <w:pPr>
        <w:pStyle w:val="MBT"/>
        <w:rPr>
          <w:noProof/>
        </w:rPr>
      </w:pPr>
    </w:p>
    <w:p>
      <w:pPr>
        <w:pStyle w:val="MBT"/>
        <w:rPr>
          <w:noProof/>
        </w:rPr>
      </w:pPr>
      <w:r>
        <w:rPr>
          <w:noProof/>
        </w:rPr>
        <w:t>Činností v rámci spolupráce se zúčastnilo pět členských států a šest se podílelo na projektech nebo mezinárodních činnostech souvisejících s budováním kapacit v oblasti nakládání s chemickými látkami. Činnosti určených vnitrostátních orgánů spočívaly v poskytování odborných technických znalostí nebo technických informací prostřednictvím vzdělávacích seminářů, návštěv, twinningových projektů atd. Agentura uspořádala nebo se zúčastnila řady činností k budování kapacit a byla nápomocna kandidátským zemím EU nebo objasňovala konkrétní ustanovení nařízení PIC a rozdíly oproti ustanovením úmluvy orgánům ve třetích zemích.</w:t>
      </w:r>
    </w:p>
    <w:p>
      <w:pPr>
        <w:pStyle w:val="MBT"/>
        <w:rPr>
          <w:noProof/>
        </w:rPr>
      </w:pPr>
    </w:p>
    <w:p>
      <w:pPr>
        <w:pStyle w:val="Heading2"/>
        <w:rPr>
          <w:noProof/>
        </w:rPr>
      </w:pPr>
      <w:r>
        <w:rPr>
          <w:noProof/>
        </w:rPr>
        <w:t>Uživatelé aplikace ePIC obecně považují tento nástroj IT za uživatelsky přívětivý a vhodný pro podporu jejich činnosti</w:t>
      </w:r>
    </w:p>
    <w:p>
      <w:pPr>
        <w:pStyle w:val="Body"/>
        <w:jc w:val="both"/>
        <w:rPr>
          <w:noProof/>
        </w:rPr>
      </w:pPr>
    </w:p>
    <w:p>
      <w:pPr>
        <w:pStyle w:val="Body"/>
        <w:jc w:val="both"/>
        <w:rPr>
          <w:noProof/>
        </w:rPr>
      </w:pPr>
      <w:r>
        <w:rPr>
          <w:noProof/>
        </w:rPr>
        <w:t>Jak se vyžaduje v nařízení (EU) č. 649/2012, agentura vyvinula a udržuje nástroj IT (aplikaci ePIC) na podporu provádění nařízení PIC. Aplikace ePIC byla spuštěna v září 2014, krátce po vstupu nařízení v platnost, a nahradila dřívější databázi EDEXIM. Přístup k aplikaci ePIC mají Komise, určené vnitrostátní orgány, donucovací orgány, agentura, vývozci a dovozci a celní úředníci.</w:t>
      </w:r>
    </w:p>
    <w:p>
      <w:pPr>
        <w:pStyle w:val="Body"/>
        <w:jc w:val="both"/>
        <w:rPr>
          <w:noProof/>
        </w:rPr>
      </w:pPr>
    </w:p>
    <w:p>
      <w:pPr>
        <w:pStyle w:val="Body"/>
        <w:jc w:val="both"/>
        <w:rPr>
          <w:noProof/>
        </w:rPr>
      </w:pPr>
      <w:r>
        <w:rPr>
          <w:noProof/>
        </w:rPr>
        <w:t>Určené vnitrostátní orgány považují aplikaci ePIC celkově za uživatelsky přívětivou a při jejím používání se nesetkaly s většími problémy. Zpětná vazba od uživatelů z odvětví poskytnutá agentuře a určeným vnitrostátním orgánům byla rovněž celkově pozitivní stejně jako zpětná vazba od celních orgánů a donucovacích orgánů.</w:t>
      </w:r>
    </w:p>
    <w:p>
      <w:pPr>
        <w:pStyle w:val="Body"/>
        <w:rPr>
          <w:noProof/>
        </w:rPr>
      </w:pPr>
    </w:p>
    <w:p>
      <w:pPr>
        <w:pStyle w:val="Heading2"/>
        <w:rPr>
          <w:noProof/>
        </w:rPr>
      </w:pPr>
      <w:r>
        <w:rPr>
          <w:noProof/>
        </w:rPr>
        <w:t>Příslušné informace a údaje jsou zveřejňovány</w:t>
      </w:r>
    </w:p>
    <w:p>
      <w:pPr>
        <w:pStyle w:val="Body"/>
        <w:rPr>
          <w:noProof/>
        </w:rPr>
      </w:pPr>
    </w:p>
    <w:p>
      <w:pPr>
        <w:pStyle w:val="Body"/>
        <w:jc w:val="both"/>
        <w:rPr>
          <w:noProof/>
        </w:rPr>
      </w:pPr>
      <w:r>
        <w:rPr>
          <w:noProof/>
        </w:rPr>
        <w:t>Nařízení PIC obsahuje řadu požadavků na zveřejňování informací a údajů a tyto požadavky agentura náležitě plní.</w:t>
      </w:r>
    </w:p>
    <w:p>
      <w:pPr>
        <w:pStyle w:val="Body"/>
        <w:rPr>
          <w:noProof/>
        </w:rPr>
      </w:pPr>
    </w:p>
    <w:p>
      <w:pPr>
        <w:pStyle w:val="MBT"/>
        <w:rPr>
          <w:noProof/>
        </w:rPr>
      </w:pPr>
      <w:r>
        <w:rPr>
          <w:noProof/>
        </w:rPr>
        <w:t>Agentura má zvláštní internetové stránky věnované nařízení PIC, na nichž je vysvětlen obsah právních předpisů a jednotlivé postupy. Tyto internetové stránky obsahují rovněž:</w:t>
      </w:r>
    </w:p>
    <w:p>
      <w:pPr>
        <w:pStyle w:val="MBT"/>
        <w:numPr>
          <w:ilvl w:val="0"/>
          <w:numId w:val="32"/>
        </w:numPr>
        <w:rPr>
          <w:noProof/>
        </w:rPr>
      </w:pPr>
      <w:r>
        <w:rPr>
          <w:noProof/>
        </w:rPr>
        <w:t>odkaz na právní text a jeho změny</w:t>
      </w:r>
      <w:r>
        <w:rPr>
          <w:rStyle w:val="FootnoteReference"/>
          <w:noProof/>
        </w:rPr>
        <w:footnoteReference w:id="14"/>
      </w:r>
      <w:r>
        <w:rPr>
          <w:noProof/>
        </w:rPr>
        <w:t>,</w:t>
      </w:r>
    </w:p>
    <w:p>
      <w:pPr>
        <w:pStyle w:val="MBT"/>
        <w:numPr>
          <w:ilvl w:val="0"/>
          <w:numId w:val="32"/>
        </w:numPr>
        <w:rPr>
          <w:noProof/>
        </w:rPr>
      </w:pPr>
      <w:r>
        <w:rPr>
          <w:noProof/>
        </w:rPr>
        <w:t>zprávy podle článku 10 o skutečném množství vyvezených a dovezených chemických látek podléhajících PIC</w:t>
      </w:r>
      <w:r>
        <w:rPr>
          <w:rStyle w:val="FootnoteReference"/>
          <w:noProof/>
        </w:rPr>
        <w:footnoteReference w:id="15"/>
      </w:r>
      <w:r>
        <w:rPr>
          <w:noProof/>
        </w:rPr>
        <w:t>,</w:t>
      </w:r>
    </w:p>
    <w:p>
      <w:pPr>
        <w:pStyle w:val="MBT"/>
        <w:numPr>
          <w:ilvl w:val="0"/>
          <w:numId w:val="32"/>
        </w:numPr>
        <w:rPr>
          <w:noProof/>
        </w:rPr>
      </w:pPr>
      <w:r>
        <w:rPr>
          <w:noProof/>
        </w:rPr>
        <w:t>zprávy podle článku 20 o výměně informací</w:t>
      </w:r>
      <w:r>
        <w:rPr>
          <w:rStyle w:val="FootnoteReference"/>
          <w:noProof/>
        </w:rPr>
        <w:footnoteReference w:id="16"/>
      </w:r>
      <w:r>
        <w:rPr>
          <w:noProof/>
        </w:rPr>
        <w:t>.</w:t>
      </w:r>
    </w:p>
    <w:p>
      <w:pPr>
        <w:pStyle w:val="Body"/>
        <w:rPr>
          <w:noProof/>
        </w:rPr>
      </w:pPr>
    </w:p>
    <w:p>
      <w:pPr>
        <w:pStyle w:val="MBT"/>
        <w:rPr>
          <w:noProof/>
        </w:rPr>
      </w:pPr>
      <w:r>
        <w:rPr>
          <w:noProof/>
        </w:rPr>
        <w:t>Jak vyžaduje nařízení PIC, agentura zřídila rovněž databázi, která obsahuje:</w:t>
      </w:r>
    </w:p>
    <w:p>
      <w:pPr>
        <w:pStyle w:val="MBT"/>
        <w:numPr>
          <w:ilvl w:val="0"/>
          <w:numId w:val="33"/>
        </w:numPr>
        <w:rPr>
          <w:noProof/>
        </w:rPr>
      </w:pPr>
      <w:r>
        <w:rPr>
          <w:noProof/>
        </w:rPr>
        <w:t>seznam chemických látek, na které se vztahuje postup PIC</w:t>
      </w:r>
      <w:r>
        <w:rPr>
          <w:rStyle w:val="FootnoteReference"/>
          <w:noProof/>
        </w:rPr>
        <w:footnoteReference w:id="17"/>
      </w:r>
      <w:r>
        <w:rPr>
          <w:noProof/>
        </w:rPr>
        <w:t>,</w:t>
      </w:r>
    </w:p>
    <w:p>
      <w:pPr>
        <w:pStyle w:val="MBT"/>
        <w:numPr>
          <w:ilvl w:val="0"/>
          <w:numId w:val="33"/>
        </w:numPr>
        <w:rPr>
          <w:noProof/>
        </w:rPr>
      </w:pPr>
      <w:r>
        <w:rPr>
          <w:noProof/>
        </w:rPr>
        <w:t>informace a statistiky na vysoké úrovni týkající se oznámení o vývozu</w:t>
      </w:r>
      <w:r>
        <w:rPr>
          <w:rStyle w:val="FootnoteReference"/>
          <w:noProof/>
        </w:rPr>
        <w:footnoteReference w:id="18"/>
      </w:r>
      <w:r>
        <w:rPr>
          <w:noProof/>
        </w:rPr>
        <w:t>,</w:t>
      </w:r>
    </w:p>
    <w:p>
      <w:pPr>
        <w:pStyle w:val="MBT"/>
        <w:numPr>
          <w:ilvl w:val="0"/>
          <w:numId w:val="33"/>
        </w:numPr>
        <w:rPr>
          <w:noProof/>
        </w:rPr>
      </w:pPr>
      <w:r>
        <w:rPr>
          <w:noProof/>
        </w:rPr>
        <w:t>informace a statistiky na vysoké úrovni týkající se oznámení o dovozu</w:t>
      </w:r>
      <w:r>
        <w:rPr>
          <w:rStyle w:val="FootnoteReference"/>
          <w:noProof/>
        </w:rPr>
        <w:footnoteReference w:id="19"/>
      </w:r>
      <w:r>
        <w:rPr>
          <w:noProof/>
        </w:rPr>
        <w:t>,</w:t>
      </w:r>
    </w:p>
    <w:p>
      <w:pPr>
        <w:pStyle w:val="MBT"/>
        <w:numPr>
          <w:ilvl w:val="0"/>
          <w:numId w:val="33"/>
        </w:numPr>
        <w:rPr>
          <w:noProof/>
        </w:rPr>
      </w:pPr>
      <w:r>
        <w:rPr>
          <w:noProof/>
        </w:rPr>
        <w:t>údaje o výslovných souhlasech obdržených od třetích zemí, které nemají důvěrnou povahu</w:t>
      </w:r>
      <w:r>
        <w:rPr>
          <w:rStyle w:val="FootnoteReference"/>
          <w:noProof/>
        </w:rPr>
        <w:footnoteReference w:id="20"/>
      </w:r>
      <w:r>
        <w:rPr>
          <w:noProof/>
        </w:rPr>
        <w:t>,</w:t>
      </w:r>
    </w:p>
    <w:p>
      <w:pPr>
        <w:pStyle w:val="MBT"/>
        <w:numPr>
          <w:ilvl w:val="0"/>
          <w:numId w:val="33"/>
        </w:numPr>
        <w:rPr>
          <w:noProof/>
        </w:rPr>
      </w:pPr>
      <w:r>
        <w:rPr>
          <w:noProof/>
        </w:rPr>
        <w:t>kontaktní údaje určených vnitrostátních orgánů v EU a ve třetích zemích</w:t>
      </w:r>
      <w:r>
        <w:rPr>
          <w:rStyle w:val="FootnoteReference"/>
          <w:noProof/>
        </w:rPr>
        <w:footnoteReference w:id="21"/>
      </w:r>
      <w:r>
        <w:rPr>
          <w:noProof/>
        </w:rPr>
        <w:t>.</w:t>
      </w:r>
    </w:p>
    <w:p>
      <w:pPr>
        <w:pStyle w:val="MBT"/>
        <w:rPr>
          <w:noProof/>
        </w:rPr>
      </w:pPr>
    </w:p>
    <w:p>
      <w:pPr>
        <w:pStyle w:val="MBT"/>
        <w:rPr>
          <w:noProof/>
        </w:rPr>
      </w:pPr>
      <w:r>
        <w:rPr>
          <w:noProof/>
        </w:rPr>
        <w:t>Informace o látkách spadajících do oblasti působnosti nařízení PIC jsou zpřístupněny rovněž na internetových stránkách agentury „Informace o chemických látkách“, které pro každou látku poskytují informační kartu s podrobnějším profilem u některých látek.</w:t>
      </w:r>
    </w:p>
    <w:p>
      <w:pPr>
        <w:pStyle w:val="MBT"/>
        <w:rPr>
          <w:noProof/>
        </w:rPr>
      </w:pPr>
    </w:p>
    <w:p>
      <w:pPr>
        <w:pStyle w:val="Heading1"/>
        <w:rPr>
          <w:noProof/>
        </w:rPr>
      </w:pPr>
      <w:r>
        <w:rPr>
          <w:noProof/>
        </w:rPr>
        <w:t>Závěry</w:t>
      </w:r>
    </w:p>
    <w:p>
      <w:pPr>
        <w:pStyle w:val="MBT"/>
        <w:rPr>
          <w:noProof/>
        </w:rPr>
      </w:pPr>
      <w:r>
        <w:rPr>
          <w:noProof/>
        </w:rPr>
        <w:t>Nařízení (EU) č. 649/2012 provádí Rotterdamskou úmluvu v EU a má stejné cíle, tj. podporovat sdílenou odpovědnost a spolupráci v mezinárodní přepravě nebezpečných chemických látek a chránit zdraví člověka a životní prostředí před potenciálním narušením, a to usnadněním výměny informací o chemických látkách a obchodu s nimi. Nařízení (EU) č. 649/2012 jde nad rámec požadavků úmluvy s cílem zajistit vyšší úroveň ochrany, zejména v případě rozvojových zemí a zemí v procesu hospodářské transformace.</w:t>
      </w:r>
    </w:p>
    <w:p>
      <w:pPr>
        <w:pStyle w:val="MBT"/>
        <w:rPr>
          <w:noProof/>
        </w:rPr>
      </w:pPr>
    </w:p>
    <w:p>
      <w:pPr>
        <w:pStyle w:val="MBT"/>
        <w:rPr>
          <w:noProof/>
        </w:rPr>
      </w:pPr>
      <w:r>
        <w:rPr>
          <w:noProof/>
        </w:rPr>
        <w:t xml:space="preserve">Tato zpráva prokazuje, že postupy zavedené nařízením (EU) č. 649/2012 fungují dobře a přispívají k dosažení jeho cílů. Základem úspěšného provádění byla náležitá spolupráce mezi všemi zúčastněnými stranami. Postup oznámení o vývozu fungoval náležitě a poskytl dovážejícím zemím důležité informace o mnoha chemických látkách a jejich vývozu. S téměř 8 000 oznámeními o vývozu v roce 2016 </w:t>
      </w:r>
      <w:bookmarkStart w:id="13" w:name="_Hlk515297225"/>
      <w:r>
        <w:rPr>
          <w:noProof/>
        </w:rPr>
        <w:t xml:space="preserve">a jejich stoupající tendencí </w:t>
      </w:r>
      <w:bookmarkEnd w:id="13"/>
      <w:r>
        <w:rPr>
          <w:noProof/>
        </w:rPr>
        <w:t xml:space="preserve">je jasně viditelný rozsah výměny informací </w:t>
      </w:r>
      <w:bookmarkStart w:id="14" w:name="_Hlk515297244"/>
      <w:r>
        <w:rPr>
          <w:noProof/>
        </w:rPr>
        <w:t xml:space="preserve">a jeho možné další zvýšení. Související pracovní zátěž </w:t>
      </w:r>
      <w:bookmarkEnd w:id="14"/>
      <w:r>
        <w:rPr>
          <w:noProof/>
        </w:rPr>
        <w:t>lze zvládnout pouze s přiměřenými lidskými zdroji vzhledem k nutnosti zachovat potřebné kapacity pro zpracovávání a podporu a současně zajistit fungování aplikace IT „ePIC“, kterou vyvinula a udržuje agentura.</w:t>
      </w:r>
    </w:p>
    <w:p>
      <w:pPr>
        <w:pStyle w:val="MBT"/>
        <w:rPr>
          <w:noProof/>
        </w:rPr>
      </w:pPr>
    </w:p>
    <w:p>
      <w:pPr>
        <w:pStyle w:val="MBT"/>
        <w:rPr>
          <w:noProof/>
        </w:rPr>
      </w:pPr>
      <w:r>
        <w:rPr>
          <w:noProof/>
        </w:rPr>
        <w:t>Postup výslovného souhlasu, který jde nad rámec úmluvy jako standardní postup při vývozu určitých chemických látek, vedl k vysokému počtu 3 362 žádostí o výslovný souhlas, které byly ve sledovaném období zaslány dovážejícím zemím. Zkušenosti ukazují, že tyto žádosti představují pro mnoho dovážejících zemí problém, především kvůli skutečnosti, že podle úmluvy se tento postup používá ojediněle a mnoho smluvních stran o jeho existenci neví. To mohlo vést v vysokému počtu případů, kdy se kvůli nezodpovězeným žádostem o souhlas nemohl vývoz uskutečnit. Možnost požádat za určitých podmínek o upuštění od tohoto požadavku zajistila, aby byl počet případů, kdy je vývoz zablokován z tohoto důvodu, omezen na minimum.</w:t>
      </w:r>
    </w:p>
    <w:p>
      <w:pPr>
        <w:pStyle w:val="MBT"/>
        <w:rPr>
          <w:noProof/>
        </w:rPr>
      </w:pPr>
    </w:p>
    <w:p>
      <w:pPr>
        <w:pStyle w:val="MBT"/>
        <w:rPr>
          <w:noProof/>
        </w:rPr>
      </w:pPr>
      <w:r>
        <w:rPr>
          <w:noProof/>
        </w:rPr>
        <w:t>Vývozci chemických látek, na něž se nařízení vztahuje, si byli obecně vědomi svých povinností a byli schopni je plnit. Pokud se objevily problémy, určené vnitrostátní orgány a agentura poskytly potřebnou pomoc a to mohlo přispět k nízkému počtu případů porušení předpisů. Hlavní kategorií porušení předpisů, která byla zjištěna při inspekcích, byla neshoda chemické látky s oznámením o vývozu. Zjištěna byla také porušení předpisů v souvislosti s požadavky na bezpečnostní list a označování.</w:t>
      </w:r>
    </w:p>
    <w:p>
      <w:pPr>
        <w:pStyle w:val="MBT"/>
        <w:rPr>
          <w:noProof/>
        </w:rPr>
      </w:pPr>
    </w:p>
    <w:p>
      <w:pPr>
        <w:pStyle w:val="MBT"/>
        <w:rPr>
          <w:noProof/>
        </w:rPr>
      </w:pPr>
      <w:r>
        <w:rPr>
          <w:noProof/>
        </w:rPr>
        <w:t>Členské státy obecně plnily své povinnosti, ačkoliv vysoká pracovní zátěž na konci každého roku – způsobená vysokým počtem oznámení o vývozu – představovala pro některé členské státy výzvu a někdy vedla k problémům s dodržováním lhůt. Příspěvek agentury k provádění byl zcela v souladu s požadavky stanovenými v nařízení a její spolehlivý výkon byl základem účinného fungování příslušných postupů. Komise plnila své povinnosti podle nařízení. Ve sledovaném období byla přijata dvě nařízení Komise v přenesené pravomoci ke změně přílohy I a dvě prováděcí rozhodnutí Komise o přijetí rozhodnutí Unie o dovozu. Komise mimoto koordinovala přispění Unie k mezinárodní činnosti a zastupovala Unii u úmluvy.</w:t>
      </w:r>
    </w:p>
    <w:p>
      <w:pPr>
        <w:pStyle w:val="MBT"/>
        <w:rPr>
          <w:noProof/>
        </w:rPr>
      </w:pPr>
    </w:p>
    <w:sectPr>
      <w:headerReference w:type="even" r:id="rId21"/>
      <w:headerReference w:type="default" r:id="rId22"/>
      <w:footerReference w:type="even" r:id="rId23"/>
      <w:footerReference w:type="default" r:id="rId24"/>
      <w:headerReference w:type="first" r:id="rId25"/>
      <w:footerReference w:type="first" r:id="rId26"/>
      <w:pgSz w:w="11907" w:h="16839" w:code="9"/>
      <w:pgMar w:top="2136" w:right="1418" w:bottom="737" w:left="1418" w:header="240" w:footer="2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3</w:t>
    </w:r>
    <w:r>
      <w:rPr>
        <w:noProof/>
      </w:rP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after="120"/>
      </w:pPr>
      <w:r>
        <w:rPr>
          <w:rStyle w:val="FootnoteReference"/>
        </w:rPr>
        <w:footnoteRef/>
      </w:r>
      <w:r>
        <w:tab/>
        <w:t>Nařízení Evropského parlamentu a Rady (EU) č. 649/2012 ze dne 4. července 2012 o vývozu a dovozu nebezpečných chemických látek, Úř. věst. L 201, 27.7.2012, s. 60.</w:t>
      </w:r>
    </w:p>
  </w:footnote>
  <w:footnote w:id="2">
    <w:p>
      <w:pPr>
        <w:pStyle w:val="FootnoteText"/>
        <w:spacing w:after="120"/>
        <w:rPr>
          <w:lang w:val="en-US"/>
        </w:rPr>
      </w:pPr>
      <w:r>
        <w:rPr>
          <w:rStyle w:val="FootnoteReference"/>
        </w:rPr>
        <w:footnoteRef/>
      </w:r>
      <w:r>
        <w:tab/>
        <w:t>Nařízení Evropského parlamentu a Rady (ES) č. 1272/2008 ze dne 16. prosince 2008 o klasifikaci, označování a balení látek a směsí, o změně a zrušení směrnic 67/548/EHS a 1999/45/ES a o změně nařízení (ES) č. 1907/2006, Úř. věst. L 353, 31.12.2008, s. 1.</w:t>
      </w:r>
    </w:p>
  </w:footnote>
  <w:footnote w:id="3">
    <w:p>
      <w:pPr>
        <w:pStyle w:val="FootnoteText"/>
        <w:spacing w:after="120"/>
        <w:rPr>
          <w:lang w:val="en-US"/>
        </w:rPr>
      </w:pPr>
      <w:r>
        <w:rPr>
          <w:rStyle w:val="FootnoteReference"/>
        </w:rPr>
        <w:footnoteRef/>
      </w:r>
      <w:r>
        <w:tab/>
        <w:t>Nařízení č. 649/2012 se používá od 1. března 2014.</w:t>
      </w:r>
    </w:p>
  </w:footnote>
  <w:footnote w:id="4">
    <w:p>
      <w:pPr>
        <w:pStyle w:val="FootnoteText"/>
        <w:spacing w:after="120"/>
      </w:pPr>
      <w:r>
        <w:rPr>
          <w:rStyle w:val="FootnoteReference"/>
        </w:rPr>
        <w:footnoteRef/>
      </w:r>
      <w:r>
        <w:tab/>
        <w:t>Prováděcí rozhodnutí Komise (EU) 2016/770 ze dne 14. dubna 2016, kterým se zavádí společný formát pro předkládání informací týkajících se fungování postupů podle nařízení Evropského parlamentu a Rady (EU) č. 649/2012 o vývozu a dovozu nebezpečných chemických látek, C/2016/2068, Úř. věst. L 127, 18.5.2016, s. 32.</w:t>
      </w:r>
    </w:p>
  </w:footnote>
  <w:footnote w:id="5">
    <w:p>
      <w:pPr>
        <w:pStyle w:val="FootnoteText"/>
        <w:spacing w:after="120"/>
      </w:pPr>
      <w:r>
        <w:rPr>
          <w:rStyle w:val="FootnoteReference"/>
        </w:rPr>
        <w:footnoteRef/>
      </w:r>
      <w:r>
        <w:tab/>
        <w:t>Prováděcí rozhodnutí Komise (EU) 2016/1115 ze dne 7. července 2016, kterým se zavádí forma pro předkládání informací Evropskou agenturou pro chemické látky, jež se týkají fungování postupů podle nařízení Evropského parlamentu a Rady (EU) č. 649/2012 o vývozu a dovozu nebezpečných chemických látek, C/2016/4141, Úř. věst. L 186, 9.7.2016, s. 13.</w:t>
      </w:r>
    </w:p>
  </w:footnote>
  <w:footnote w:id="6">
    <w:p>
      <w:pPr>
        <w:pStyle w:val="FootnoteText"/>
        <w:spacing w:after="120"/>
      </w:pPr>
      <w:r>
        <w:rPr>
          <w:rStyle w:val="FootnoteReference"/>
        </w:rPr>
        <w:footnoteRef/>
      </w:r>
      <w:r>
        <w:tab/>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Úř. věst. L 396, 30.12.2006, s. 1.</w:t>
      </w:r>
    </w:p>
  </w:footnote>
  <w:footnote w:id="7">
    <w:p>
      <w:pPr>
        <w:pStyle w:val="FootnoteText"/>
        <w:spacing w:after="120"/>
      </w:pPr>
      <w:r>
        <w:rPr>
          <w:rStyle w:val="FootnoteReference"/>
        </w:rPr>
        <w:footnoteRef/>
      </w:r>
      <w:r>
        <w:tab/>
        <w:t>Nařízení Evropského parlamentu a Rady (EU) č. 528/2012 ze dne 22. května 2012 o dodávání biocidních přípravků na trh a jejich používání, Úř. věst. L 167, 27.6.2012, s. 1–123.</w:t>
      </w:r>
    </w:p>
  </w:footnote>
  <w:footnote w:id="8">
    <w:p>
      <w:pPr>
        <w:pStyle w:val="FootnoteText"/>
        <w:spacing w:after="120"/>
      </w:pPr>
      <w:r>
        <w:rPr>
          <w:rStyle w:val="FootnoteReference"/>
        </w:rPr>
        <w:footnoteRef/>
      </w:r>
      <w:r>
        <w:tab/>
        <w:t>Nařízení Evropského parlamentu a Rady (ES) č. 1107/2009 ze dne 21. října 2009 o uvádění přípravků na ochranu rostlin na trh a o zrušení směrnic Rady 79/117/EHS a 91/414/EHS, Úř. věst. L 309, 24.11.2009, s. 1.</w:t>
      </w:r>
    </w:p>
  </w:footnote>
  <w:footnote w:id="9">
    <w:p>
      <w:pPr>
        <w:pStyle w:val="FootnoteText"/>
        <w:spacing w:after="120"/>
      </w:pPr>
      <w:r>
        <w:rPr>
          <w:rStyle w:val="FootnoteReference"/>
        </w:rPr>
        <w:footnoteRef/>
      </w:r>
      <w:r>
        <w:tab/>
        <w:t xml:space="preserve">ECHA, Každoroční podávání zpráv o vývozu a dovozu látek, na které se vztahuje postup PIC: </w:t>
      </w:r>
      <w:hyperlink r:id="rId1">
        <w:r>
          <w:rPr>
            <w:rStyle w:val="Hyperlink"/>
          </w:rPr>
          <w:t>https://echa.europa.eu/regulations/prior-informed-consent/annual-reporting-on-pic-exports-and-imports</w:t>
        </w:r>
      </w:hyperlink>
    </w:p>
  </w:footnote>
  <w:footnote w:id="10">
    <w:p>
      <w:pPr>
        <w:pStyle w:val="FootnoteText"/>
      </w:pPr>
      <w:r>
        <w:rPr>
          <w:rStyle w:val="FootnoteReference"/>
        </w:rPr>
        <w:footnoteRef/>
      </w:r>
      <w:r>
        <w:tab/>
        <w:t>Jeden určený vnitrostátní orgán neposkytl informace o vývozu, šest určených vnitrostátních orgánů neposkytlo informace o celních kontrolách při vývozu. Pět určených vnitrostátních orgánů neposkytlo informace o dovozu; osm určených vnitrostátních orgánů neposkytlo informace o celních kontrolách při dovozu. Při porovnávání údajů mezi členskými státy je třeba postupovat obezřetně, jelikož v jejich parametrech pro zaznamenávání donucovacích činností mohou existovat rozdíly.</w:t>
      </w:r>
    </w:p>
  </w:footnote>
  <w:footnote w:id="11">
    <w:p>
      <w:pPr>
        <w:pStyle w:val="FootnoteText"/>
        <w:spacing w:after="120"/>
      </w:pPr>
      <w:r>
        <w:rPr>
          <w:rStyle w:val="FootnoteReference"/>
        </w:rPr>
        <w:footnoteRef/>
      </w:r>
      <w:r>
        <w:tab/>
        <w:t>Tabulka uvádí pouze členské státy, v nichž bylo zjištěno porušení předpisů.</w:t>
      </w:r>
    </w:p>
  </w:footnote>
  <w:footnote w:id="12">
    <w:p>
      <w:pPr>
        <w:pStyle w:val="FootnoteText"/>
        <w:spacing w:after="120"/>
      </w:pPr>
      <w:r>
        <w:rPr>
          <w:rStyle w:val="FootnoteReference"/>
        </w:rPr>
        <w:footnoteRef/>
      </w:r>
      <w:r>
        <w:tab/>
        <w:t>Německo oznámilo jedno porušení předpisů v případě jedné kontroly, uvedlo však, že záznamy o celních kontrolách nejsou uchovávány.</w:t>
      </w:r>
    </w:p>
  </w:footnote>
  <w:footnote w:id="13">
    <w:p>
      <w:pPr>
        <w:pStyle w:val="FootnoteText"/>
        <w:spacing w:after="120"/>
        <w:rPr>
          <w:lang w:val="en-US"/>
        </w:rPr>
      </w:pPr>
      <w:r>
        <w:rPr>
          <w:rStyle w:val="FootnoteReference"/>
        </w:rPr>
        <w:footnoteRef/>
      </w:r>
      <w:r>
        <w:t xml:space="preserve"> </w:t>
      </w:r>
      <w:r>
        <w:tab/>
        <w:t xml:space="preserve">ECHA, </w:t>
      </w:r>
      <w:r>
        <w:rPr>
          <w:i/>
        </w:rPr>
        <w:t>Overview on the exchange of information under Article 20 of the PIC Regulation – Compilation of the information collected by the European Commission, assisted by the Member States and the European Chemicals Agency (ECHA),</w:t>
      </w:r>
      <w:r>
        <w:t xml:space="preserve"> 2016, k dispozici na adrese: </w:t>
      </w:r>
      <w:hyperlink r:id="rId2">
        <w:r>
          <w:rPr>
            <w:rStyle w:val="Hyperlink"/>
          </w:rPr>
          <w:t>https://echa.europa.eu/regulations/prior-informed-consent-regulation/reporting-on-information-exchange</w:t>
        </w:r>
      </w:hyperlink>
    </w:p>
  </w:footnote>
  <w:footnote w:id="14">
    <w:p>
      <w:pPr>
        <w:pStyle w:val="FootnoteText"/>
        <w:spacing w:after="120"/>
        <w:rPr>
          <w:lang w:val="pl-PL"/>
        </w:rPr>
      </w:pPr>
      <w:r>
        <w:rPr>
          <w:rStyle w:val="FootnoteReference"/>
        </w:rPr>
        <w:footnoteRef/>
      </w:r>
      <w:r>
        <w:tab/>
        <w:t xml:space="preserve">Právní předpisy PIC: </w:t>
      </w:r>
      <w:hyperlink r:id="rId3">
        <w:r>
          <w:rPr>
            <w:rStyle w:val="Hyperlink"/>
          </w:rPr>
          <w:t>https://echa.europa.eu/regulations/prior-informed-consent/legislation</w:t>
        </w:r>
      </w:hyperlink>
    </w:p>
  </w:footnote>
  <w:footnote w:id="15">
    <w:p>
      <w:pPr>
        <w:pStyle w:val="FootnoteText"/>
        <w:spacing w:after="120"/>
        <w:rPr>
          <w:lang w:val="pl-PL"/>
        </w:rPr>
      </w:pPr>
      <w:r>
        <w:rPr>
          <w:rStyle w:val="FootnoteReference"/>
        </w:rPr>
        <w:footnoteRef/>
      </w:r>
      <w:r>
        <w:tab/>
        <w:t xml:space="preserve">Výroční zprávy o vývozu a dovozu chemických látek podléhajících PIC: </w:t>
      </w:r>
      <w:hyperlink r:id="rId4">
        <w:r>
          <w:rPr>
            <w:rStyle w:val="Hyperlink"/>
          </w:rPr>
          <w:t>https://echa.europa.eu/regulations/prior-informed-consent/annual-reporting-on-pic-exports-and-imports</w:t>
        </w:r>
      </w:hyperlink>
    </w:p>
  </w:footnote>
  <w:footnote w:id="16">
    <w:p>
      <w:pPr>
        <w:pStyle w:val="FootnoteText"/>
        <w:spacing w:after="120"/>
        <w:jc w:val="left"/>
        <w:rPr>
          <w:lang w:val="pl-PL"/>
        </w:rPr>
      </w:pPr>
      <w:r>
        <w:rPr>
          <w:rStyle w:val="FootnoteReference"/>
        </w:rPr>
        <w:footnoteRef/>
      </w:r>
      <w:r>
        <w:tab/>
        <w:t xml:space="preserve">Podávání zpráv o výměně informací: </w:t>
      </w:r>
      <w:hyperlink r:id="rId5">
        <w:r>
          <w:rPr>
            <w:rStyle w:val="Hyperlink"/>
          </w:rPr>
          <w:t>https://echa.europa.eu/regulations/prior-informed-consent-regulation/reporting-on-information-exchange</w:t>
        </w:r>
      </w:hyperlink>
    </w:p>
  </w:footnote>
  <w:footnote w:id="17">
    <w:p>
      <w:pPr>
        <w:pStyle w:val="FootnoteText"/>
        <w:spacing w:after="120"/>
        <w:rPr>
          <w:lang w:val="pl-PL"/>
        </w:rPr>
      </w:pPr>
      <w:r>
        <w:rPr>
          <w:rStyle w:val="FootnoteReference"/>
        </w:rPr>
        <w:footnoteRef/>
      </w:r>
      <w:r>
        <w:tab/>
        <w:t xml:space="preserve">Chemické látky podléhající PIC: </w:t>
      </w:r>
      <w:hyperlink r:id="rId6">
        <w:r>
          <w:rPr>
            <w:rStyle w:val="Hyperlink"/>
          </w:rPr>
          <w:t>https://echa.europa.eu/information-on-chemicals/pic/chemicals</w:t>
        </w:r>
      </w:hyperlink>
    </w:p>
  </w:footnote>
  <w:footnote w:id="18">
    <w:p>
      <w:pPr>
        <w:pStyle w:val="FootnoteText"/>
        <w:spacing w:after="120"/>
        <w:rPr>
          <w:lang w:val="pt-PT"/>
        </w:rPr>
      </w:pPr>
      <w:r>
        <w:rPr>
          <w:rStyle w:val="FootnoteReference"/>
        </w:rPr>
        <w:footnoteRef/>
      </w:r>
      <w:r>
        <w:tab/>
        <w:t xml:space="preserve">Oznámení o vývozu: </w:t>
      </w:r>
      <w:hyperlink r:id="rId7">
        <w:r>
          <w:rPr>
            <w:rStyle w:val="Hyperlink"/>
          </w:rPr>
          <w:t>https://echa.europa.eu/information-on-chemicals/pic/export-notifications</w:t>
        </w:r>
      </w:hyperlink>
    </w:p>
  </w:footnote>
  <w:footnote w:id="19">
    <w:p>
      <w:pPr>
        <w:pStyle w:val="FootnoteText"/>
        <w:spacing w:after="120"/>
        <w:rPr>
          <w:lang w:val="pt-PT"/>
        </w:rPr>
      </w:pPr>
      <w:r>
        <w:rPr>
          <w:rStyle w:val="FootnoteReference"/>
        </w:rPr>
        <w:footnoteRef/>
      </w:r>
      <w:r>
        <w:tab/>
        <w:t xml:space="preserve">Oznámení o dovozu: </w:t>
      </w:r>
      <w:hyperlink r:id="rId8">
        <w:r>
          <w:t>https://echa.europa.eu/information-on-chemicals/pic/import-notifications</w:t>
        </w:r>
      </w:hyperlink>
    </w:p>
  </w:footnote>
  <w:footnote w:id="20">
    <w:p>
      <w:pPr>
        <w:pStyle w:val="FootnoteText"/>
        <w:spacing w:after="120"/>
        <w:rPr>
          <w:lang w:val="pt-PT"/>
        </w:rPr>
      </w:pPr>
      <w:r>
        <w:rPr>
          <w:rStyle w:val="FootnoteReference"/>
        </w:rPr>
        <w:footnoteRef/>
      </w:r>
      <w:r>
        <w:tab/>
        <w:t xml:space="preserve">Výslovné souhlasy: </w:t>
      </w:r>
      <w:hyperlink r:id="rId9">
        <w:r>
          <w:t>https://echa.europa.eu/information-on-chemicals/pic/explicit-consents</w:t>
        </w:r>
      </w:hyperlink>
    </w:p>
  </w:footnote>
  <w:footnote w:id="21">
    <w:p>
      <w:pPr>
        <w:pStyle w:val="FootnoteText"/>
        <w:spacing w:after="120"/>
        <w:rPr>
          <w:lang w:val="pt-PT"/>
        </w:rPr>
      </w:pPr>
      <w:r>
        <w:rPr>
          <w:rStyle w:val="FootnoteReference"/>
        </w:rPr>
        <w:footnoteRef/>
      </w:r>
      <w:r>
        <w:tab/>
        <w:t xml:space="preserve">Určené vnitrostátní orgány: </w:t>
      </w:r>
      <w:hyperlink r:id="rId10">
        <w:r>
          <w:rPr>
            <w:rStyle w:val="Hyperlink"/>
          </w:rPr>
          <w:t>https://echa.europa.eu/information-on-chemicals/pic/designated-national-authority</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7513"/>
      </w:tabs>
      <w:spacing w:after="0"/>
      <w:ind w:left="4153" w:hanging="4153"/>
      <w:jc w:val="center"/>
    </w:pPr>
    <w:r>
      <w:rPr>
        <w:rFonts w:ascii="Verdana" w:hAnsi="Verdana"/>
        <w:color w:val="808080"/>
        <w:sz w:val="20"/>
      </w:rPr>
      <w:t xml:space="preserve">Shrnutí souhrnné zprávy o fungování nařízení PIC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7513"/>
      </w:tabs>
      <w:spacing w:after="0"/>
      <w:jc w:val="center"/>
      <w:rPr>
        <w:noProof/>
      </w:rPr>
    </w:pPr>
    <w:r>
      <w:rPr>
        <w:noProof/>
        <w:lang w:val="en-US" w:eastAsia="en-US" w:bidi="ar-SA"/>
      </w:rPr>
      <mc:AlternateContent>
        <mc:Choice Requires="wps">
          <w:drawing>
            <wp:anchor distT="0" distB="0" distL="114300" distR="114300" simplePos="0" relativeHeight="251657728" behindDoc="0" locked="0" layoutInCell="1" allowOverlap="1">
              <wp:simplePos x="0" y="0"/>
              <wp:positionH relativeFrom="margin">
                <wp:posOffset>5830570</wp:posOffset>
              </wp:positionH>
              <wp:positionV relativeFrom="page">
                <wp:posOffset>138430</wp:posOffset>
              </wp:positionV>
              <wp:extent cx="622300" cy="1229360"/>
              <wp:effectExtent l="0" t="0" r="0" b="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22936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Verdana" w:hAnsi="Verdana"/>
                              <w:color w:val="FFFFFF"/>
                              <w:sz w:val="16"/>
                            </w:rPr>
                          </w:pPr>
                          <w:r>
                            <w:rPr>
                              <w:rFonts w:ascii="Verdana" w:hAnsi="Verdana"/>
                              <w:color w:val="FFFFFF"/>
                              <w:sz w:val="16"/>
                            </w:rPr>
                            <w:t>[Katalogové číslo]</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7" type="#_x0000_t202" style="position:absolute;left:0;text-align:left;margin-left:459.1pt;margin-top:10.9pt;width:49pt;height:96.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EqqAIAAKoFAAAOAAAAZHJzL2Uyb0RvYy54bWysVNuOmzAQfa/Uf7D8znJZQgIKWWVDqCpt&#10;L9JuP8ABE6yCTW0nsKr67x2bkGS3L6u2PFiDxz5zOcezvBvaBh2pVEzwFPs3HkaUF6JkfJ/ib0+5&#10;s8BIacJL0ghOU/xMFb5bvX+37LuEBqIWTUklAhCukr5Lca11l7iuKmraEnUjOsrBWQnZEg2/cu+W&#10;kvSA3jZu4HmR2wtZdlIUVCnYzUYnXln8qqKF/lJVimrUpBhy03aVdt2Z1V0tSbKXpKtZcUqD/EUW&#10;LWEcgp6hMqIJOkj2B1TLCimUqPRNIVpXVBUrqK0BqvG9V9U81qSjthZojurObVL/D7b4fPwqEStT&#10;HGPESQsUPdFBo3sxoHlg2tN3KoFTjx2c0wPsA822VNU9iOK7QlxsasL3dC2l6GtKSkjPNzfdq6sj&#10;jjIgu/6TKCEOOWhhgYZKtqZ30A0E6EDT85kak0sBm1EQ3HrgKcDlB0F8G1nuXJJMtzup9AcqWmSM&#10;FEug3qKT44PSJhuSTEdMMC5y1jSW/oa/2ICD4w7EhqvGZ7KwbP6MvXi72C5CJwyirRN6Weas803o&#10;RLk/n2W32WaT+b9MXD9MalaWlJswk7L88G3MnTQ+auKsLSUaVho4k5KS+92mkehIjLLtZ3sOnssx&#10;92UatglQy6uS/CD07oPYyaPF3AnzcObEc2/heH58H0deGIdZ/rKkB8bpv5eEehDdLJiNYrok/cba&#10;SNIyDbOjYW2KF+cGkMRIcMtLS60mrBntq1aY9C+tALonoq1gjUZHtephNwCKUfFOlM8gXSlAWaBC&#10;GHhgmBWjHoZHitWPA5EUo+YjB/mbSTMZcjJ2k0F4UQuYQXB5NDd6nEiHTrJ9DcjjA+NiDU+kYla9&#10;lyxODwsGgi3iNLzMxLn+t6cuI3b1GwAA//8DAFBLAwQUAAYACAAAACEAfyC9fN0AAAALAQAADwAA&#10;AGRycy9kb3ducmV2LnhtbEyPwU7DMBBE70j8g7VIXBB14kKVhjgVQlRwbcoHuPGSRMTrKHba9O/Z&#10;nOC4s29nZ4rd7HpxxjF0njSkqwQEUu1tR42Gr+P+MQMRoiFrek+o4YoBduXtTWFy6y90wHMVG8Em&#10;FHKjoY1xyKUMdYvOhJUfkHj37UdnIo9jI+1oLmzueqmSZCOd6Yg/tGbAtxbrn2pyHOOqjuv1R7//&#10;3KqID7ZS2fTutL6/m19fQESc4x8MS3y+gZIznfxENohewzbNFKMaVMoVFiBJN6ycFuX5CWRZyP8d&#10;yl8AAAD//wMAUEsBAi0AFAAGAAgAAAAhALaDOJL+AAAA4QEAABMAAAAAAAAAAAAAAAAAAAAAAFtD&#10;b250ZW50X1R5cGVzXS54bWxQSwECLQAUAAYACAAAACEAOP0h/9YAAACUAQAACwAAAAAAAAAAAAAA&#10;AAAvAQAAX3JlbHMvLnJlbHNQSwECLQAUAAYACAAAACEAZHDRKqgCAACqBQAADgAAAAAAAAAAAAAA&#10;AAAuAgAAZHJzL2Uyb0RvYy54bWxQSwECLQAUAAYACAAAACEAfyC9fN0AAAALAQAADwAAAAAAAAAA&#10;AAAAAAACBQAAZHJzL2Rvd25yZXYueG1sUEsFBgAAAAAEAAQA8wAAAAwGAAAAAA==&#10;" filled="f" fillcolor="black" stroked="f">
              <v:textbox style="layout-flow:vertical" inset="0,0,0,0">
                <w:txbxContent>
                  <w:p>
                    <w:pPr>
                      <w:rPr>
                        <w:rFonts w:ascii="Verdana" w:hAnsi="Verdana"/>
                        <w:color w:val="FFFFFF"/>
                        <w:sz w:val="16"/>
                      </w:rPr>
                    </w:pPr>
                    <w:r>
                      <w:rPr>
                        <w:rFonts w:ascii="Verdana" w:hAnsi="Verdana"/>
                        <w:color w:val="FFFFFF"/>
                        <w:sz w:val="16"/>
                      </w:rPr>
                      <w:t>[Katalogové číslo]</w:t>
                    </w:r>
                  </w:p>
                </w:txbxContent>
              </v:textbox>
              <w10:wrap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1A77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2">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1048426E"/>
    <w:multiLevelType w:val="hybridMultilevel"/>
    <w:tmpl w:val="F76EC6AC"/>
    <w:lvl w:ilvl="0" w:tplc="1DBAE22A">
      <w:start w:val="1"/>
      <w:numFmt w:val="bullet"/>
      <w:pStyle w:val="Bulletpoint1"/>
      <w:lvlText w:val=""/>
      <w:lvlJc w:val="left"/>
      <w:pPr>
        <w:ind w:left="717" w:hanging="360"/>
      </w:pPr>
      <w:rPr>
        <w:rFonts w:ascii="Symbol" w:hAnsi="Symbol" w:hint="default"/>
        <w:color w:val="00AE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003C2"/>
    <w:multiLevelType w:val="hybridMultilevel"/>
    <w:tmpl w:val="8EF604EE"/>
    <w:lvl w:ilvl="0" w:tplc="B9B620D2">
      <w:start w:val="1"/>
      <w:numFmt w:val="decimal"/>
      <w:lvlText w:val="%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D573EC6"/>
    <w:multiLevelType w:val="hybridMultilevel"/>
    <w:tmpl w:val="9814C59E"/>
    <w:lvl w:ilvl="0" w:tplc="D5B053BE">
      <w:start w:val="1"/>
      <w:numFmt w:val="bullet"/>
      <w:lvlText w:val=""/>
      <w:lvlJc w:val="left"/>
      <w:pPr>
        <w:ind w:left="1080" w:hanging="360"/>
      </w:pPr>
      <w:rPr>
        <w:rFonts w:ascii="Symbol" w:hAnsi="Symbol" w:hint="default"/>
        <w:color w:val="0023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7829D4"/>
    <w:multiLevelType w:val="hybridMultilevel"/>
    <w:tmpl w:val="E0D62A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DFF3D39"/>
    <w:multiLevelType w:val="hybridMultilevel"/>
    <w:tmpl w:val="3F5C0CC6"/>
    <w:lvl w:ilvl="0" w:tplc="0A36323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6144BD4"/>
    <w:multiLevelType w:val="hybridMultilevel"/>
    <w:tmpl w:val="1D38769C"/>
    <w:lvl w:ilvl="0" w:tplc="D5B053BE">
      <w:start w:val="1"/>
      <w:numFmt w:val="bullet"/>
      <w:lvlText w:val=""/>
      <w:lvlJc w:val="left"/>
      <w:pPr>
        <w:ind w:left="720" w:hanging="360"/>
      </w:pPr>
      <w:rPr>
        <w:rFonts w:ascii="Symbol" w:hAnsi="Symbol" w:hint="default"/>
        <w:color w:val="002395"/>
      </w:rPr>
    </w:lvl>
    <w:lvl w:ilvl="1" w:tplc="E5CA32C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3D802212"/>
    <w:multiLevelType w:val="hybridMultilevel"/>
    <w:tmpl w:val="90F0B8C8"/>
    <w:lvl w:ilvl="0" w:tplc="3CE0ABEA">
      <w:start w:val="1"/>
      <w:numFmt w:val="bullet"/>
      <w:lvlText w:val=""/>
      <w:lvlJc w:val="left"/>
      <w:pPr>
        <w:ind w:left="720" w:hanging="360"/>
      </w:pPr>
      <w:rPr>
        <w:rFonts w:ascii="Symbol" w:hAnsi="Symbol" w:hint="default"/>
        <w:color w:val="auto"/>
        <w:sz w:val="28"/>
        <w:u w:color="1F497D"/>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nsid w:val="4B4A1CE1"/>
    <w:multiLevelType w:val="hybridMultilevel"/>
    <w:tmpl w:val="2EEA4DF0"/>
    <w:lvl w:ilvl="0" w:tplc="508EE518">
      <w:start w:val="1"/>
      <w:numFmt w:val="bullet"/>
      <w:pStyle w:val="BulletPoint2"/>
      <w:lvlText w:val=""/>
      <w:lvlJc w:val="left"/>
      <w:pPr>
        <w:ind w:left="1080" w:hanging="360"/>
      </w:pPr>
      <w:rPr>
        <w:rFonts w:ascii="Symbol" w:hAnsi="Symbol" w:hint="default"/>
        <w:color w:val="7F7F7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8D3084"/>
    <w:multiLevelType w:val="hybridMultilevel"/>
    <w:tmpl w:val="D8B4EFBA"/>
    <w:lvl w:ilvl="0" w:tplc="E83E1136">
      <w:start w:val="1"/>
      <w:numFmt w:val="decimal"/>
      <w:pStyle w:val="Title2"/>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2">
    <w:nsid w:val="4FE66402"/>
    <w:multiLevelType w:val="hybridMultilevel"/>
    <w:tmpl w:val="FC001F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74663E3"/>
    <w:multiLevelType w:val="hybridMultilevel"/>
    <w:tmpl w:val="6BDC7006"/>
    <w:lvl w:ilvl="0" w:tplc="0813000F">
      <w:start w:val="1"/>
      <w:numFmt w:val="decimal"/>
      <w:lvlText w:val="%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25">
    <w:nsid w:val="5C741BEE"/>
    <w:multiLevelType w:val="hybridMultilevel"/>
    <w:tmpl w:val="59EC30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40A63F0"/>
    <w:multiLevelType w:val="hybridMultilevel"/>
    <w:tmpl w:val="FFB0B7A8"/>
    <w:lvl w:ilvl="0" w:tplc="1E88AA48">
      <w:start w:val="1"/>
      <w:numFmt w:val="decimal"/>
      <w:lvlText w:val="1.%1"/>
      <w:lvlJc w:val="left"/>
      <w:pPr>
        <w:ind w:left="1202" w:hanging="360"/>
      </w:pPr>
      <w:rPr>
        <w:rFonts w:hint="default"/>
      </w:rPr>
    </w:lvl>
    <w:lvl w:ilvl="1" w:tplc="08130019" w:tentative="1">
      <w:start w:val="1"/>
      <w:numFmt w:val="lowerLetter"/>
      <w:lvlText w:val="%2."/>
      <w:lvlJc w:val="left"/>
      <w:pPr>
        <w:ind w:left="1922" w:hanging="360"/>
      </w:pPr>
    </w:lvl>
    <w:lvl w:ilvl="2" w:tplc="0813001B" w:tentative="1">
      <w:start w:val="1"/>
      <w:numFmt w:val="lowerRoman"/>
      <w:lvlText w:val="%3."/>
      <w:lvlJc w:val="right"/>
      <w:pPr>
        <w:ind w:left="2642" w:hanging="180"/>
      </w:pPr>
    </w:lvl>
    <w:lvl w:ilvl="3" w:tplc="0813000F" w:tentative="1">
      <w:start w:val="1"/>
      <w:numFmt w:val="decimal"/>
      <w:lvlText w:val="%4."/>
      <w:lvlJc w:val="left"/>
      <w:pPr>
        <w:ind w:left="3362" w:hanging="360"/>
      </w:pPr>
    </w:lvl>
    <w:lvl w:ilvl="4" w:tplc="08130019" w:tentative="1">
      <w:start w:val="1"/>
      <w:numFmt w:val="lowerLetter"/>
      <w:lvlText w:val="%5."/>
      <w:lvlJc w:val="left"/>
      <w:pPr>
        <w:ind w:left="4082" w:hanging="360"/>
      </w:pPr>
    </w:lvl>
    <w:lvl w:ilvl="5" w:tplc="0813001B" w:tentative="1">
      <w:start w:val="1"/>
      <w:numFmt w:val="lowerRoman"/>
      <w:lvlText w:val="%6."/>
      <w:lvlJc w:val="right"/>
      <w:pPr>
        <w:ind w:left="4802" w:hanging="180"/>
      </w:pPr>
    </w:lvl>
    <w:lvl w:ilvl="6" w:tplc="0813000F" w:tentative="1">
      <w:start w:val="1"/>
      <w:numFmt w:val="decimal"/>
      <w:lvlText w:val="%7."/>
      <w:lvlJc w:val="left"/>
      <w:pPr>
        <w:ind w:left="5522" w:hanging="360"/>
      </w:pPr>
    </w:lvl>
    <w:lvl w:ilvl="7" w:tplc="08130019" w:tentative="1">
      <w:start w:val="1"/>
      <w:numFmt w:val="lowerLetter"/>
      <w:lvlText w:val="%8."/>
      <w:lvlJc w:val="left"/>
      <w:pPr>
        <w:ind w:left="6242" w:hanging="360"/>
      </w:pPr>
    </w:lvl>
    <w:lvl w:ilvl="8" w:tplc="0813001B" w:tentative="1">
      <w:start w:val="1"/>
      <w:numFmt w:val="lowerRoman"/>
      <w:lvlText w:val="%9."/>
      <w:lvlJc w:val="right"/>
      <w:pPr>
        <w:ind w:left="6962" w:hanging="180"/>
      </w:pPr>
    </w:lvl>
  </w:abstractNum>
  <w:abstractNum w:abstractNumId="32">
    <w:nsid w:val="75E81AD8"/>
    <w:multiLevelType w:val="hybridMultilevel"/>
    <w:tmpl w:val="95E4CFDC"/>
    <w:lvl w:ilvl="0" w:tplc="3CE0ABEA">
      <w:start w:val="1"/>
      <w:numFmt w:val="bullet"/>
      <w:lvlText w:val=""/>
      <w:lvlJc w:val="left"/>
      <w:pPr>
        <w:ind w:left="720" w:hanging="360"/>
      </w:pPr>
      <w:rPr>
        <w:rFonts w:ascii="Symbol" w:hAnsi="Symbol" w:hint="default"/>
        <w:color w:val="auto"/>
        <w:sz w:val="28"/>
        <w:u w:color="1F497D"/>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7D8A6EBF"/>
    <w:multiLevelType w:val="multilevel"/>
    <w:tmpl w:val="15BE5A18"/>
    <w:lvl w:ilvl="0">
      <w:start w:val="1"/>
      <w:numFmt w:val="bullet"/>
      <w:lvlText w:val=""/>
      <w:lvlJc w:val="left"/>
      <w:pPr>
        <w:ind w:left="717" w:hanging="360"/>
      </w:pPr>
      <w:rPr>
        <w:rFonts w:ascii="Symbol" w:hAnsi="Symbol" w:hint="default"/>
        <w:color w:val="38D4D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7"/>
  </w:num>
  <w:num w:numId="5">
    <w:abstractNumId w:val="10"/>
  </w:num>
  <w:num w:numId="6">
    <w:abstractNumId w:val="16"/>
  </w:num>
  <w:num w:numId="7">
    <w:abstractNumId w:val="28"/>
  </w:num>
  <w:num w:numId="8">
    <w:abstractNumId w:val="29"/>
  </w:num>
  <w:num w:numId="9">
    <w:abstractNumId w:val="13"/>
  </w:num>
  <w:num w:numId="10">
    <w:abstractNumId w:val="27"/>
  </w:num>
  <w:num w:numId="11">
    <w:abstractNumId w:val="26"/>
  </w:num>
  <w:num w:numId="12">
    <w:abstractNumId w:val="19"/>
  </w:num>
  <w:num w:numId="13">
    <w:abstractNumId w:val="23"/>
  </w:num>
  <w:num w:numId="14">
    <w:abstractNumId w:val="9"/>
  </w:num>
  <w:num w:numId="15">
    <w:abstractNumId w:val="14"/>
  </w:num>
  <w:num w:numId="16">
    <w:abstractNumId w:val="5"/>
  </w:num>
  <w:num w:numId="17">
    <w:abstractNumId w:val="11"/>
  </w:num>
  <w:num w:numId="18">
    <w:abstractNumId w:val="30"/>
  </w:num>
  <w:num w:numId="19">
    <w:abstractNumId w:val="20"/>
  </w:num>
  <w:num w:numId="20">
    <w:abstractNumId w:val="3"/>
  </w:num>
  <w:num w:numId="21">
    <w:abstractNumId w:val="33"/>
  </w:num>
  <w:num w:numId="22">
    <w:abstractNumId w:val="0"/>
  </w:num>
  <w:num w:numId="23">
    <w:abstractNumId w:val="12"/>
  </w:num>
  <w:num w:numId="24">
    <w:abstractNumId w:val="4"/>
  </w:num>
  <w:num w:numId="25">
    <w:abstractNumId w:val="21"/>
  </w:num>
  <w:num w:numId="26">
    <w:abstractNumId w:val="24"/>
  </w:num>
  <w:num w:numId="27">
    <w:abstractNumId w:val="31"/>
  </w:num>
  <w:num w:numId="28">
    <w:abstractNumId w:val="6"/>
  </w:num>
  <w:num w:numId="29">
    <w:abstractNumId w:val="15"/>
  </w:num>
  <w:num w:numId="30">
    <w:abstractNumId w:val="1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5"/>
  </w:num>
  <w:num w:numId="34">
    <w:abstractNumId w:val="8"/>
  </w:num>
  <w:num w:numId="35">
    <w:abstractNumId w:val="32"/>
  </w:num>
  <w:num w:numId="3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4097" style="mso-position-vertical-relative:margin" fillcolor="#002395" stroke="f">
      <v:fill color="#002395"/>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8A9D024-D909-4113-BA30-42C39A0EFA3E"/>
    <w:docVar w:name="LW_COVERPAGE_TYPE" w:val="1"/>
    <w:docVar w:name="LW_CROSSREFERENCE" w:val="{SWD(2018) 438 final}"/>
    <w:docVar w:name="LW_DocType" w:val="REP"/>
    <w:docVar w:name="LW_EMISSION" w:val="17.10.2018"/>
    <w:docVar w:name="LW_EMISSION_ISODATE" w:val="2018-10-17"/>
    <w:docVar w:name="LW_EMISSION_LOCATION" w:val="BRX"/>
    <w:docVar w:name="LW_EMISSION_PREFIX" w:val="V Bruselu dne "/>
    <w:docVar w:name="LW_EMISSION_SUFFIX" w:val=" "/>
    <w:docVar w:name="LW_ID_DOCTYPE_NONLW" w:val="CP-008"/>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8) 6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hrnutí souhrnné zprávy o provád\u283?ní na\u345?ízení (EU) \u269?. 649/2012 o vývozu a dovozu nebezpe\u269?ných chemických látek"/>
    <w:docVar w:name="LW_TYPE.DOC.CP" w:val="ZPRÁVA KOMISE EVROPSKÉMU PARLAMENTU, RAD\u282?, EVROPSKÉMU HOSPODÁ\u344?SKÉMU A SOCIÁLNÍMU VÝBORU A VÝBORU REGION\u366?"/>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vertical-relative:margin" fillcolor="#002395" stroke="f">
      <v:fill color="#00239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cs-CZ"/>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qFormat="1"/>
    <w:lsdException w:name="heading 4" w:qFormat="1"/>
    <w:lsdException w:name="toc 1" w:uiPriority="39"/>
    <w:lsdException w:name="toc 2" w:uiPriority="39"/>
    <w:lsdException w:name="toc 3" w:uiPriority="39" w:qFormat="1"/>
    <w:lsdException w:name="footnote text" w:uiPriority="99" w:qFormat="1"/>
    <w:lsdException w:name="annotation text"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rFonts w:ascii="Verdana" w:hAnsi="Verdana"/>
      <w:b/>
      <w:smallCaps/>
      <w:sz w:val="28"/>
    </w:rPr>
  </w:style>
  <w:style w:type="paragraph" w:styleId="Heading2">
    <w:name w:val="heading 2"/>
    <w:basedOn w:val="Normal"/>
    <w:next w:val="Text2"/>
    <w:qFormat/>
    <w:pPr>
      <w:keepNext/>
      <w:numPr>
        <w:ilvl w:val="1"/>
        <w:numId w:val="3"/>
      </w:numPr>
      <w:spacing w:before="240" w:after="60"/>
      <w:outlineLvl w:val="1"/>
    </w:pPr>
    <w:rPr>
      <w:rFonts w:ascii="Verdana" w:hAnsi="Verdana"/>
      <w:b/>
      <w:sz w:val="22"/>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aliases w:val="M Caption"/>
    <w:basedOn w:val="Normal"/>
    <w:next w:val="Normal"/>
    <w:qFormat/>
    <w:pPr>
      <w:spacing w:before="120" w:after="120"/>
    </w:pPr>
    <w:rPr>
      <w:rFonts w:ascii="Verdana" w:hAnsi="Verdana"/>
      <w:b/>
      <w:sz w:val="1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qFormat/>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rFonts w:ascii="Verdana" w:hAnsi="Verdana"/>
      <w:caps/>
      <w:sz w:val="18"/>
    </w:rPr>
  </w:style>
  <w:style w:type="paragraph" w:styleId="TOC2">
    <w:name w:val="toc 2"/>
    <w:basedOn w:val="Normal"/>
    <w:next w:val="Normal"/>
    <w:uiPriority w:val="39"/>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semiHidden/>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qFormat/>
    <w:pPr>
      <w:jc w:val="center"/>
    </w:pPr>
    <w:rPr>
      <w:rFonts w:ascii="Verdana" w:hAnsi="Verdana"/>
      <w:b/>
      <w:sz w:val="52"/>
    </w:rPr>
  </w:style>
  <w:style w:type="paragraph" w:customStyle="1" w:styleId="Footerapproval">
    <w:name w:val="Footer approval"/>
    <w:basedOn w:val="Footer"/>
    <w:qFormat/>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cs-CZ" w:eastAsia="cs-CZ"/>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ascii="Arial" w:hAnsi="Arial"/>
      <w:sz w:val="16"/>
      <w:lang w:val="cs-CZ"/>
    </w:rPr>
  </w:style>
  <w:style w:type="character" w:customStyle="1" w:styleId="ApprovalfooterChar">
    <w:name w:val="Approval_footer Char"/>
    <w:rPr>
      <w:rFonts w:ascii="Arial" w:hAnsi="Arial"/>
      <w:sz w:val="16"/>
      <w:lang w:val="cs-CZ"/>
    </w:rPr>
  </w:style>
  <w:style w:type="paragraph" w:customStyle="1" w:styleId="PageNumber1">
    <w:name w:val="Page Number1"/>
    <w:basedOn w:val="Foote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cs-CZ"/>
    </w:rPr>
  </w:style>
  <w:style w:type="character" w:customStyle="1" w:styleId="HeaderChar">
    <w:name w:val="Header Char"/>
    <w:link w:val="Header"/>
    <w:uiPriority w:val="99"/>
    <w:rPr>
      <w:sz w:val="24"/>
      <w:lang w:val="cs-CZ"/>
    </w:rPr>
  </w:style>
  <w:style w:type="character" w:customStyle="1" w:styleId="PagenumberChar">
    <w:name w:val="Page number Char"/>
    <w:rPr>
      <w:rFonts w:ascii="Verdana" w:hAnsi="Verdana"/>
      <w:sz w:val="16"/>
      <w:lang w:val="cs-CZ"/>
    </w:rPr>
  </w:style>
  <w:style w:type="paragraph" w:customStyle="1" w:styleId="DocumentSubtitle">
    <w:name w:val="Document Subtitle"/>
    <w:basedOn w:val="DocumentTitle"/>
    <w:link w:val="DocumentSubtitleChar"/>
    <w:qFormat/>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cs-CZ" w:eastAsia="cs-CZ"/>
    </w:rPr>
  </w:style>
  <w:style w:type="paragraph" w:customStyle="1" w:styleId="Bulletpoint1">
    <w:name w:val="Bullet point1"/>
    <w:basedOn w:val="NormalIndent"/>
    <w:link w:val="Bulletpoint1Char"/>
    <w:qFormat/>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cs-CZ"/>
    </w:rPr>
  </w:style>
  <w:style w:type="paragraph" w:customStyle="1" w:styleId="Heading">
    <w:name w:val="Heading"/>
    <w:basedOn w:val="TOC1"/>
    <w:link w:val="HeadingChar"/>
    <w:qFormat/>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Pr>
      <w:sz w:val="24"/>
      <w:lang w:val="cs-CZ"/>
    </w:rPr>
  </w:style>
  <w:style w:type="character" w:customStyle="1" w:styleId="Bulletpoint1Char">
    <w:name w:val="Bullet point1 Char"/>
    <w:link w:val="Bulletpoint1"/>
    <w:rPr>
      <w:rFonts w:ascii="Verdana" w:hAnsi="Verdana"/>
      <w:sz w:val="18"/>
      <w:lang w:val="cs-CZ" w:eastAsia="cs-CZ"/>
    </w:rPr>
  </w:style>
  <w:style w:type="paragraph" w:customStyle="1" w:styleId="BulletPoint2">
    <w:name w:val="Bullet Point 2"/>
    <w:basedOn w:val="NormalIndent"/>
    <w:link w:val="BulletPoint2Char"/>
    <w:qFormat/>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cs-CZ"/>
    </w:rPr>
  </w:style>
  <w:style w:type="paragraph" w:customStyle="1" w:styleId="Body">
    <w:name w:val="Body"/>
    <w:basedOn w:val="Normal"/>
    <w:link w:val="BodyChar"/>
    <w:qFormat/>
    <w:pPr>
      <w:spacing w:after="40"/>
      <w:jc w:val="left"/>
    </w:pPr>
    <w:rPr>
      <w:rFonts w:ascii="Verdana" w:hAnsi="Verdana"/>
      <w:sz w:val="20"/>
    </w:rPr>
  </w:style>
  <w:style w:type="character" w:customStyle="1" w:styleId="BulletPoint2Char">
    <w:name w:val="Bullet Point 2 Char"/>
    <w:link w:val="BulletPoint2"/>
    <w:rPr>
      <w:rFonts w:ascii="Verdana" w:hAnsi="Verdana"/>
      <w:sz w:val="18"/>
      <w:lang w:val="cs-CZ"/>
    </w:rPr>
  </w:style>
  <w:style w:type="paragraph" w:customStyle="1" w:styleId="Heading20">
    <w:name w:val="Heading2"/>
    <w:basedOn w:val="Title2"/>
    <w:link w:val="Heading2Char"/>
    <w:qFormat/>
    <w:pPr>
      <w:numPr>
        <w:numId w:val="0"/>
      </w:numPr>
    </w:pPr>
    <w:rPr>
      <w:rFonts w:ascii="Verdana" w:hAnsi="Verdana"/>
      <w:b/>
      <w:i/>
    </w:rPr>
  </w:style>
  <w:style w:type="character" w:customStyle="1" w:styleId="BodyChar">
    <w:name w:val="Body Char"/>
    <w:link w:val="Body"/>
    <w:rPr>
      <w:rFonts w:ascii="Verdana" w:hAnsi="Verdana"/>
      <w:lang w:val="cs-CZ" w:eastAsia="cs-CZ"/>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cs-CZ" w:eastAsia="cs-CZ"/>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cs-CZ" w:eastAsia="cs-CZ"/>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szCs w:val="28"/>
    </w:rPr>
  </w:style>
  <w:style w:type="paragraph" w:customStyle="1" w:styleId="Title2">
    <w:name w:val="Title 2"/>
    <w:basedOn w:val="Normal"/>
    <w:pPr>
      <w:numPr>
        <w:numId w:val="25"/>
      </w:numPr>
    </w:pPr>
  </w:style>
  <w:style w:type="paragraph" w:customStyle="1" w:styleId="Subtitle0">
    <w:name w:val="Subtitle_"/>
    <w:basedOn w:val="TOC2"/>
    <w:link w:val="SubtitleChar"/>
    <w:qFormat/>
    <w:pPr>
      <w:ind w:left="0" w:firstLine="0"/>
    </w:pPr>
    <w:rPr>
      <w:b/>
      <w:i/>
      <w:sz w:val="20"/>
    </w:rPr>
  </w:style>
  <w:style w:type="character" w:customStyle="1" w:styleId="SubtitleChar">
    <w:name w:val="Subtitle_ Char"/>
    <w:link w:val="Subtitle0"/>
    <w:rPr>
      <w:rFonts w:ascii="Verdana" w:hAnsi="Verdana"/>
      <w:b/>
      <w:i/>
      <w:sz w:val="24"/>
      <w:lang w:val="cs-CZ" w:eastAsia="cs-CZ"/>
    </w:rPr>
  </w:style>
  <w:style w:type="paragraph" w:customStyle="1" w:styleId="HeadingBody">
    <w:name w:val="Heading Body"/>
    <w:basedOn w:val="Normal"/>
    <w:link w:val="HeadingBodyChar"/>
    <w:qFormat/>
    <w:pPr>
      <w:spacing w:after="120"/>
    </w:pPr>
    <w:rPr>
      <w:rFonts w:ascii="Verdana" w:hAnsi="Verdana"/>
      <w:b/>
      <w:sz w:val="20"/>
      <w:szCs w:val="18"/>
    </w:rPr>
  </w:style>
  <w:style w:type="paragraph" w:customStyle="1" w:styleId="Titlepublication">
    <w:name w:val="Title publication"/>
    <w:basedOn w:val="Normal"/>
    <w:link w:val="TitlepublicationChar"/>
    <w:qFormat/>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cs-CZ" w:eastAsia="cs-CZ"/>
    </w:rPr>
  </w:style>
  <w:style w:type="paragraph" w:customStyle="1" w:styleId="Subtitlepublication">
    <w:name w:val="Subtitle publication"/>
    <w:basedOn w:val="Normal"/>
    <w:link w:val="SubtitlepublicationChar"/>
    <w:qFormat/>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cs-CZ" w:eastAsia="cs-CZ"/>
    </w:rPr>
  </w:style>
  <w:style w:type="paragraph" w:customStyle="1" w:styleId="Editorname">
    <w:name w:val="Editor name"/>
    <w:basedOn w:val="Normal"/>
    <w:link w:val="EditornameChar"/>
    <w:qFormat/>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cs-CZ" w:eastAsia="cs-CZ"/>
    </w:rPr>
  </w:style>
  <w:style w:type="paragraph" w:customStyle="1" w:styleId="Backcoversummary">
    <w:name w:val="Backcover_summary"/>
    <w:basedOn w:val="Normal"/>
    <w:link w:val="BackcoversummaryChar"/>
    <w:qFormat/>
    <w:rPr>
      <w:rFonts w:ascii="Verdana" w:hAnsi="Verdana"/>
      <w:color w:val="FF0000"/>
    </w:rPr>
  </w:style>
  <w:style w:type="character" w:customStyle="1" w:styleId="EditornameChar">
    <w:name w:val="Editor name Char"/>
    <w:link w:val="Editorname"/>
    <w:rPr>
      <w:rFonts w:ascii="Verdana" w:hAnsi="Verdana"/>
      <w:color w:val="FF0000"/>
      <w:sz w:val="24"/>
      <w:lang w:val="cs-CZ" w:eastAsia="cs-CZ"/>
    </w:rPr>
  </w:style>
  <w:style w:type="paragraph" w:customStyle="1" w:styleId="Backcovercategory">
    <w:name w:val="Backcover_category"/>
    <w:basedOn w:val="Normal"/>
    <w:link w:val="BackcovercategoryChar"/>
    <w:qFormat/>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cs-CZ" w:eastAsia="cs-CZ"/>
    </w:rPr>
  </w:style>
  <w:style w:type="character" w:customStyle="1" w:styleId="BackcovercategoryChar">
    <w:name w:val="Backcover_category Char"/>
    <w:link w:val="Backcovercategory"/>
    <w:rPr>
      <w:rFonts w:ascii="Verdana" w:hAnsi="Verdana"/>
      <w:i/>
      <w:color w:val="FF0000"/>
      <w:sz w:val="18"/>
      <w:lang w:val="cs-CZ" w:eastAsia="cs-CZ"/>
    </w:rPr>
  </w:style>
  <w:style w:type="paragraph" w:customStyle="1" w:styleId="MBT">
    <w:name w:val="M BT"/>
    <w:basedOn w:val="Normal"/>
    <w:link w:val="MBTChar"/>
    <w:qFormat/>
    <w:pPr>
      <w:widowControl w:val="0"/>
      <w:spacing w:after="0"/>
    </w:pPr>
    <w:rPr>
      <w:rFonts w:ascii="Verdana" w:hAnsi="Verdana"/>
      <w:bCs/>
      <w:sz w:val="20"/>
      <w:szCs w:val="22"/>
    </w:rPr>
  </w:style>
  <w:style w:type="character" w:customStyle="1" w:styleId="MBTChar">
    <w:name w:val="M BT Char"/>
    <w:link w:val="MBT"/>
    <w:rPr>
      <w:rFonts w:ascii="Verdana" w:hAnsi="Verdana"/>
      <w:bCs/>
      <w:szCs w:val="22"/>
      <w:lang w:val="cs-CZ" w:eastAsia="cs-CZ"/>
    </w:rPr>
  </w:style>
  <w:style w:type="character" w:styleId="CommentReference">
    <w:name w:val="annotation reference"/>
    <w:unhideWhenUsed/>
    <w:rPr>
      <w:sz w:val="16"/>
      <w:szCs w:val="16"/>
    </w:rPr>
  </w:style>
  <w:style w:type="character" w:customStyle="1" w:styleId="CommentTextChar">
    <w:name w:val="Comment Text Char"/>
    <w:link w:val="CommentText"/>
    <w:rPr>
      <w:lang w:val="cs-CZ" w:eastAsia="cs-CZ"/>
    </w:rPr>
  </w:style>
  <w:style w:type="character" w:customStyle="1" w:styleId="FootnoteTextChar">
    <w:name w:val="Footnote Text Char"/>
    <w:link w:val="FootnoteText"/>
    <w:uiPriority w:val="99"/>
    <w:rPr>
      <w:lang w:val="cs-CZ" w:eastAsia="cs-CZ"/>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b/>
      <w:bCs/>
      <w:lang w:val="cs-CZ" w:eastAsia="cs-CZ"/>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link w:val="HeaderSensitivity"/>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Calibri"/>
      <w:szCs w:val="22"/>
    </w:rPr>
  </w:style>
  <w:style w:type="character" w:customStyle="1" w:styleId="Heading1Char">
    <w:name w:val="Heading 1 Char"/>
    <w:link w:val="Heading1"/>
    <w:uiPriority w:val="9"/>
    <w:rPr>
      <w:rFonts w:ascii="Verdana" w:hAnsi="Verdana"/>
      <w:b/>
      <w:smallCaps/>
      <w:sz w:val="28"/>
      <w:lang w:val="cs-CZ" w:eastAsia="cs-CZ"/>
    </w:rPr>
  </w:style>
  <w:style w:type="character" w:customStyle="1" w:styleId="UnresolvedMention1">
    <w:name w:val="Unresolved Mention1"/>
    <w:uiPriority w:val="99"/>
    <w:semiHidden/>
    <w:unhideWhenUse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cs-CZ"/>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qFormat="1"/>
    <w:lsdException w:name="heading 4" w:qFormat="1"/>
    <w:lsdException w:name="toc 1" w:uiPriority="39"/>
    <w:lsdException w:name="toc 2" w:uiPriority="39"/>
    <w:lsdException w:name="toc 3" w:uiPriority="39" w:qFormat="1"/>
    <w:lsdException w:name="footnote text" w:uiPriority="99" w:qFormat="1"/>
    <w:lsdException w:name="annotation text"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pPr>
      <w:spacing w:after="240"/>
      <w:jc w:val="both"/>
    </w:pPr>
    <w:rPr>
      <w:sz w:val="24"/>
    </w:rPr>
  </w:style>
  <w:style w:type="paragraph" w:styleId="Heading1">
    <w:name w:val="heading 1"/>
    <w:basedOn w:val="Normal"/>
    <w:next w:val="Text1"/>
    <w:link w:val="Heading1Char"/>
    <w:uiPriority w:val="9"/>
    <w:qFormat/>
    <w:pPr>
      <w:keepNext/>
      <w:numPr>
        <w:numId w:val="3"/>
      </w:numPr>
      <w:spacing w:before="240"/>
      <w:outlineLvl w:val="0"/>
    </w:pPr>
    <w:rPr>
      <w:rFonts w:ascii="Verdana" w:hAnsi="Verdana"/>
      <w:b/>
      <w:smallCaps/>
      <w:sz w:val="28"/>
    </w:rPr>
  </w:style>
  <w:style w:type="paragraph" w:styleId="Heading2">
    <w:name w:val="heading 2"/>
    <w:basedOn w:val="Normal"/>
    <w:next w:val="Text2"/>
    <w:qFormat/>
    <w:pPr>
      <w:keepNext/>
      <w:numPr>
        <w:ilvl w:val="1"/>
        <w:numId w:val="3"/>
      </w:numPr>
      <w:spacing w:before="240" w:after="60"/>
      <w:outlineLvl w:val="1"/>
    </w:pPr>
    <w:rPr>
      <w:rFonts w:ascii="Verdana" w:hAnsi="Verdana"/>
      <w:b/>
      <w:sz w:val="22"/>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aliases w:val="M Caption"/>
    <w:basedOn w:val="Normal"/>
    <w:next w:val="Normal"/>
    <w:qFormat/>
    <w:pPr>
      <w:spacing w:before="120" w:after="120"/>
    </w:pPr>
    <w:rPr>
      <w:rFonts w:ascii="Verdana" w:hAnsi="Verdana"/>
      <w:b/>
      <w:sz w:val="1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qFormat/>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rFonts w:ascii="Verdana" w:hAnsi="Verdana"/>
      <w:caps/>
      <w:sz w:val="18"/>
    </w:rPr>
  </w:style>
  <w:style w:type="paragraph" w:styleId="TOC2">
    <w:name w:val="toc 2"/>
    <w:basedOn w:val="Normal"/>
    <w:next w:val="Normal"/>
    <w:uiPriority w:val="39"/>
    <w:pPr>
      <w:tabs>
        <w:tab w:val="right" w:leader="dot" w:pos="8640"/>
      </w:tabs>
      <w:spacing w:before="60" w:after="60"/>
      <w:ind w:left="1077" w:right="720" w:hanging="595"/>
    </w:pPr>
    <w:rPr>
      <w:rFonts w:ascii="Verdana" w:hAnsi="Verdana"/>
      <w:sz w:val="18"/>
    </w:rPr>
  </w:style>
  <w:style w:type="paragraph" w:styleId="TOC3">
    <w:name w:val="toc 3"/>
    <w:basedOn w:val="Normal"/>
    <w:next w:val="Normal"/>
    <w:uiPriority w:val="39"/>
    <w:semiHidden/>
    <w:qFormat/>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autoSpaceDN w:val="0"/>
      <w:spacing w:after="0"/>
      <w:ind w:right="85"/>
    </w:pPr>
    <w:rPr>
      <w:rFonts w:ascii="Arial" w:hAnsi="Arial" w:cs="Arial"/>
      <w:szCs w:val="24"/>
    </w:rPr>
  </w:style>
  <w:style w:type="paragraph" w:customStyle="1" w:styleId="ZDGName">
    <w:name w:val="Z_DGName"/>
    <w:basedOn w:val="Normal"/>
    <w:pPr>
      <w:widowControl w:val="0"/>
      <w:autoSpaceDE w:val="0"/>
      <w:autoSpaceDN w:val="0"/>
      <w:spacing w:after="0"/>
      <w:ind w:right="85"/>
      <w:jc w:val="left"/>
    </w:pPr>
    <w:rPr>
      <w:rFonts w:ascii="Arial" w:hAnsi="Arial" w:cs="Arial"/>
      <w:sz w:val="16"/>
      <w:szCs w:val="16"/>
    </w:rPr>
  </w:style>
  <w:style w:type="character" w:styleId="Hyperlink">
    <w:name w:val="Hyperlink"/>
    <w:uiPriority w:val="99"/>
    <w:rPr>
      <w:color w:val="0000FF"/>
      <w:u w:val="single"/>
    </w:rPr>
  </w:style>
  <w:style w:type="character" w:styleId="FootnoteReference">
    <w:name w:val="footnote reference"/>
    <w:rPr>
      <w:vertAlign w:val="superscript"/>
    </w:rPr>
  </w:style>
  <w:style w:type="table" w:styleId="ColorfulGrid-Accent3">
    <w:name w:val="Colorful Grid Accent 3"/>
    <w:basedOn w:val="TableNormal"/>
    <w:uiPriority w:val="69"/>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Tms Rmn" w:hAnsi="Tms Rmn"/>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semiHidden/>
    <w:rPr>
      <w:rFonts w:ascii="Tahoma" w:hAnsi="Tahoma" w:cs="Tahoma"/>
      <w:sz w:val="16"/>
      <w:szCs w:val="16"/>
    </w:rPr>
  </w:style>
  <w:style w:type="paragraph" w:customStyle="1" w:styleId="DocumentTitle">
    <w:name w:val="Document Title"/>
    <w:basedOn w:val="Normal"/>
    <w:link w:val="DocumentTitleChar"/>
    <w:qFormat/>
    <w:pPr>
      <w:jc w:val="center"/>
    </w:pPr>
    <w:rPr>
      <w:rFonts w:ascii="Verdana" w:hAnsi="Verdana"/>
      <w:b/>
      <w:sz w:val="52"/>
    </w:rPr>
  </w:style>
  <w:style w:type="paragraph" w:customStyle="1" w:styleId="Footerapproval">
    <w:name w:val="Footer approval"/>
    <w:basedOn w:val="Footer"/>
    <w:qFormat/>
    <w:pPr>
      <w:tabs>
        <w:tab w:val="left" w:pos="6804"/>
      </w:tabs>
    </w:pPr>
    <w:rPr>
      <w:rFonts w:ascii="Verdana" w:hAnsi="Verdana"/>
      <w:sz w:val="13"/>
    </w:rPr>
  </w:style>
  <w:style w:type="character" w:customStyle="1" w:styleId="DocumentTitleChar">
    <w:name w:val="Document Title Char"/>
    <w:link w:val="DocumentTitle"/>
    <w:rPr>
      <w:rFonts w:ascii="Verdana" w:hAnsi="Verdana"/>
      <w:b/>
      <w:sz w:val="52"/>
      <w:lang w:val="cs-CZ" w:eastAsia="cs-CZ"/>
    </w:rPr>
  </w:style>
  <w:style w:type="paragraph" w:customStyle="1" w:styleId="FooterDate">
    <w:name w:val="Footer Date"/>
    <w:basedOn w:val="Footer"/>
    <w:link w:val="FooterDateChar"/>
    <w:pPr>
      <w:tabs>
        <w:tab w:val="right" w:pos="9240"/>
      </w:tabs>
    </w:pPr>
    <w:rPr>
      <w:rFonts w:ascii="Verdana" w:hAnsi="Verdana"/>
    </w:rPr>
  </w:style>
  <w:style w:type="character" w:customStyle="1" w:styleId="FooterChar">
    <w:name w:val="Footer Char"/>
    <w:link w:val="Footer"/>
    <w:uiPriority w:val="99"/>
    <w:rPr>
      <w:rFonts w:ascii="Arial" w:hAnsi="Arial"/>
      <w:sz w:val="16"/>
      <w:lang w:val="cs-CZ"/>
    </w:rPr>
  </w:style>
  <w:style w:type="character" w:customStyle="1" w:styleId="ApprovalfooterChar">
    <w:name w:val="Approval_footer Char"/>
    <w:rPr>
      <w:rFonts w:ascii="Arial" w:hAnsi="Arial"/>
      <w:sz w:val="16"/>
      <w:lang w:val="cs-CZ"/>
    </w:rPr>
  </w:style>
  <w:style w:type="paragraph" w:customStyle="1" w:styleId="PageNumber1">
    <w:name w:val="Page Number1"/>
    <w:basedOn w:val="Footer"/>
    <w:pPr>
      <w:tabs>
        <w:tab w:val="right" w:pos="9240"/>
      </w:tabs>
      <w:ind w:right="-622"/>
    </w:pPr>
    <w:rPr>
      <w:rFonts w:ascii="Verdana" w:hAnsi="Verdana"/>
    </w:rPr>
  </w:style>
  <w:style w:type="character" w:customStyle="1" w:styleId="FooterDateChar">
    <w:name w:val="Footer Date Char"/>
    <w:link w:val="FooterDate"/>
    <w:rPr>
      <w:rFonts w:ascii="Verdana" w:hAnsi="Verdana"/>
      <w:sz w:val="16"/>
      <w:lang w:val="cs-CZ"/>
    </w:rPr>
  </w:style>
  <w:style w:type="character" w:customStyle="1" w:styleId="HeaderChar">
    <w:name w:val="Header Char"/>
    <w:link w:val="Header"/>
    <w:uiPriority w:val="99"/>
    <w:rPr>
      <w:sz w:val="24"/>
      <w:lang w:val="cs-CZ"/>
    </w:rPr>
  </w:style>
  <w:style w:type="character" w:customStyle="1" w:styleId="PagenumberChar">
    <w:name w:val="Page number Char"/>
    <w:rPr>
      <w:rFonts w:ascii="Verdana" w:hAnsi="Verdana"/>
      <w:sz w:val="16"/>
      <w:lang w:val="cs-CZ"/>
    </w:rPr>
  </w:style>
  <w:style w:type="paragraph" w:customStyle="1" w:styleId="DocumentSubtitle">
    <w:name w:val="Document Subtitle"/>
    <w:basedOn w:val="DocumentTitle"/>
    <w:link w:val="DocumentSubtitleChar"/>
    <w:qFormat/>
    <w:rPr>
      <w:b w:val="0"/>
      <w:sz w:val="32"/>
      <w:szCs w:val="36"/>
    </w:rPr>
  </w:style>
  <w:style w:type="paragraph" w:customStyle="1" w:styleId="HeaderTitle">
    <w:name w:val="Header Title"/>
    <w:basedOn w:val="Normal"/>
    <w:link w:val="HeaderTitleChar"/>
    <w:pPr>
      <w:jc w:val="center"/>
    </w:pPr>
    <w:rPr>
      <w:rFonts w:ascii="Verdana" w:hAnsi="Verdana"/>
      <w:b/>
      <w:color w:val="808080"/>
      <w:sz w:val="18"/>
      <w:szCs w:val="18"/>
    </w:rPr>
  </w:style>
  <w:style w:type="character" w:customStyle="1" w:styleId="DocumentSubtitleChar">
    <w:name w:val="Document Subtitle Char"/>
    <w:link w:val="DocumentSubtitle"/>
    <w:rPr>
      <w:rFonts w:ascii="Verdana" w:hAnsi="Verdana"/>
      <w:sz w:val="32"/>
      <w:szCs w:val="36"/>
      <w:lang w:val="cs-CZ" w:eastAsia="cs-CZ"/>
    </w:rPr>
  </w:style>
  <w:style w:type="paragraph" w:customStyle="1" w:styleId="Bulletpoint1">
    <w:name w:val="Bullet point1"/>
    <w:basedOn w:val="NormalIndent"/>
    <w:link w:val="Bulletpoint1Char"/>
    <w:qFormat/>
    <w:pPr>
      <w:numPr>
        <w:numId w:val="20"/>
      </w:numPr>
      <w:spacing w:after="120"/>
      <w:jc w:val="left"/>
    </w:pPr>
    <w:rPr>
      <w:rFonts w:ascii="Verdana" w:hAnsi="Verdana"/>
      <w:sz w:val="18"/>
    </w:rPr>
  </w:style>
  <w:style w:type="character" w:customStyle="1" w:styleId="HeaderTitleChar">
    <w:name w:val="Header Title Char"/>
    <w:link w:val="HeaderTitle"/>
    <w:rPr>
      <w:rFonts w:ascii="Verdana" w:hAnsi="Verdana"/>
      <w:b/>
      <w:color w:val="808080"/>
      <w:sz w:val="18"/>
      <w:szCs w:val="18"/>
      <w:lang w:val="cs-CZ"/>
    </w:rPr>
  </w:style>
  <w:style w:type="paragraph" w:customStyle="1" w:styleId="Heading">
    <w:name w:val="Heading"/>
    <w:basedOn w:val="TOC1"/>
    <w:link w:val="HeadingChar"/>
    <w:qFormat/>
    <w:pPr>
      <w:widowControl w:val="0"/>
      <w:autoSpaceDE w:val="0"/>
      <w:autoSpaceDN w:val="0"/>
      <w:adjustRightInd w:val="0"/>
      <w:spacing w:after="0"/>
      <w:ind w:left="0" w:firstLine="0"/>
      <w:jc w:val="left"/>
    </w:pPr>
    <w:rPr>
      <w:b/>
      <w:sz w:val="20"/>
      <w:u w:val="single"/>
    </w:rPr>
  </w:style>
  <w:style w:type="character" w:customStyle="1" w:styleId="NormalIndentChar">
    <w:name w:val="Normal Indent Char"/>
    <w:link w:val="NormalIndent"/>
    <w:rPr>
      <w:sz w:val="24"/>
      <w:lang w:val="cs-CZ"/>
    </w:rPr>
  </w:style>
  <w:style w:type="character" w:customStyle="1" w:styleId="Bulletpoint1Char">
    <w:name w:val="Bullet point1 Char"/>
    <w:link w:val="Bulletpoint1"/>
    <w:rPr>
      <w:rFonts w:ascii="Verdana" w:hAnsi="Verdana"/>
      <w:sz w:val="18"/>
      <w:lang w:val="cs-CZ" w:eastAsia="cs-CZ"/>
    </w:rPr>
  </w:style>
  <w:style w:type="paragraph" w:customStyle="1" w:styleId="BulletPoint2">
    <w:name w:val="Bullet Point 2"/>
    <w:basedOn w:val="NormalIndent"/>
    <w:link w:val="BulletPoint2Char"/>
    <w:qFormat/>
    <w:pPr>
      <w:numPr>
        <w:numId w:val="19"/>
      </w:numPr>
      <w:spacing w:after="120"/>
      <w:ind w:left="1077" w:hanging="357"/>
      <w:jc w:val="left"/>
    </w:pPr>
    <w:rPr>
      <w:rFonts w:ascii="Verdana" w:hAnsi="Verdana"/>
      <w:sz w:val="18"/>
    </w:rPr>
  </w:style>
  <w:style w:type="character" w:customStyle="1" w:styleId="HeadingChar">
    <w:name w:val="Heading Char"/>
    <w:link w:val="Heading"/>
    <w:rPr>
      <w:rFonts w:ascii="Verdana" w:hAnsi="Verdana"/>
      <w:b/>
      <w:caps/>
      <w:u w:val="single"/>
      <w:lang w:val="cs-CZ"/>
    </w:rPr>
  </w:style>
  <w:style w:type="paragraph" w:customStyle="1" w:styleId="Body">
    <w:name w:val="Body"/>
    <w:basedOn w:val="Normal"/>
    <w:link w:val="BodyChar"/>
    <w:qFormat/>
    <w:pPr>
      <w:spacing w:after="40"/>
      <w:jc w:val="left"/>
    </w:pPr>
    <w:rPr>
      <w:rFonts w:ascii="Verdana" w:hAnsi="Verdana"/>
      <w:sz w:val="20"/>
    </w:rPr>
  </w:style>
  <w:style w:type="character" w:customStyle="1" w:styleId="BulletPoint2Char">
    <w:name w:val="Bullet Point 2 Char"/>
    <w:link w:val="BulletPoint2"/>
    <w:rPr>
      <w:rFonts w:ascii="Verdana" w:hAnsi="Verdana"/>
      <w:sz w:val="18"/>
      <w:lang w:val="cs-CZ"/>
    </w:rPr>
  </w:style>
  <w:style w:type="paragraph" w:customStyle="1" w:styleId="Heading20">
    <w:name w:val="Heading2"/>
    <w:basedOn w:val="Title2"/>
    <w:link w:val="Heading2Char"/>
    <w:qFormat/>
    <w:pPr>
      <w:numPr>
        <w:numId w:val="0"/>
      </w:numPr>
    </w:pPr>
    <w:rPr>
      <w:rFonts w:ascii="Verdana" w:hAnsi="Verdana"/>
      <w:b/>
      <w:i/>
    </w:rPr>
  </w:style>
  <w:style w:type="character" w:customStyle="1" w:styleId="BodyChar">
    <w:name w:val="Body Char"/>
    <w:link w:val="Body"/>
    <w:rPr>
      <w:rFonts w:ascii="Verdana" w:hAnsi="Verdana"/>
      <w:lang w:val="cs-CZ" w:eastAsia="cs-CZ"/>
    </w:rPr>
  </w:style>
  <w:style w:type="table" w:styleId="TableGrid">
    <w:name w:val="Table Grid"/>
    <w:aliases w:val="Document Table"/>
    <w:basedOn w:val="TableNormal"/>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rPr>
        <w:color w:val="FFFFFF"/>
      </w:rPr>
      <w:tblPr/>
      <w:tcPr>
        <w:shd w:val="clear" w:color="auto" w:fill="00AEF0"/>
      </w:tcPr>
    </w:tblStylePr>
  </w:style>
  <w:style w:type="character" w:customStyle="1" w:styleId="Heading2Char">
    <w:name w:val="Heading2 Char"/>
    <w:link w:val="Heading20"/>
    <w:rPr>
      <w:rFonts w:ascii="Verdana" w:hAnsi="Verdana"/>
      <w:b/>
      <w:i/>
      <w:sz w:val="24"/>
      <w:lang w:val="cs-CZ" w:eastAsia="cs-CZ"/>
    </w:rPr>
  </w:style>
  <w:style w:type="table" w:customStyle="1" w:styleId="Style1">
    <w:name w:val="Style1"/>
    <w:basedOn w:val="TableNormal"/>
    <w:tblPr>
      <w:tblInd w:w="0" w:type="dxa"/>
      <w:tblCellMar>
        <w:top w:w="0" w:type="dxa"/>
        <w:left w:w="108" w:type="dxa"/>
        <w:bottom w:w="0" w:type="dxa"/>
        <w:right w:w="108" w:type="dxa"/>
      </w:tblCellMar>
    </w:tblPr>
  </w:style>
  <w:style w:type="table" w:styleId="TableElegant">
    <w:name w:val="Table Elegant"/>
    <w:basedOn w:val="TableNormal"/>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oterDocument">
    <w:name w:val="Footer Document"/>
    <w:basedOn w:val="Body"/>
    <w:link w:val="FooterDocumentChar"/>
    <w:pPr>
      <w:spacing w:after="0"/>
    </w:pPr>
    <w:rPr>
      <w:i/>
      <w:noProof/>
      <w:sz w:val="13"/>
    </w:rPr>
  </w:style>
  <w:style w:type="character" w:customStyle="1" w:styleId="FooterDocumentChar">
    <w:name w:val="Footer Document Char"/>
    <w:link w:val="FooterDocument"/>
    <w:rPr>
      <w:rFonts w:ascii="Verdana" w:hAnsi="Verdana"/>
      <w:i/>
      <w:noProof/>
      <w:sz w:val="13"/>
      <w:lang w:val="cs-CZ" w:eastAsia="cs-CZ"/>
    </w:rPr>
  </w:style>
  <w:style w:type="paragraph" w:styleId="TOCHeading">
    <w:name w:val="TOC Heading"/>
    <w:basedOn w:val="Heading1"/>
    <w:next w:val="Normal"/>
    <w:uiPriority w:val="39"/>
    <w:unhideWhenUsed/>
    <w:qFormat/>
    <w:pPr>
      <w:keepLines/>
      <w:numPr>
        <w:numId w:val="0"/>
      </w:numPr>
      <w:spacing w:before="480" w:after="0" w:line="276" w:lineRule="auto"/>
      <w:jc w:val="left"/>
      <w:outlineLvl w:val="9"/>
    </w:pPr>
    <w:rPr>
      <w:rFonts w:ascii="Cambria" w:eastAsia="MS Gothic" w:hAnsi="Cambria"/>
      <w:bCs/>
      <w:smallCaps w:val="0"/>
      <w:szCs w:val="28"/>
    </w:rPr>
  </w:style>
  <w:style w:type="paragraph" w:customStyle="1" w:styleId="Title2">
    <w:name w:val="Title 2"/>
    <w:basedOn w:val="Normal"/>
    <w:pPr>
      <w:numPr>
        <w:numId w:val="25"/>
      </w:numPr>
    </w:pPr>
  </w:style>
  <w:style w:type="paragraph" w:customStyle="1" w:styleId="Subtitle0">
    <w:name w:val="Subtitle_"/>
    <w:basedOn w:val="TOC2"/>
    <w:link w:val="SubtitleChar"/>
    <w:qFormat/>
    <w:pPr>
      <w:ind w:left="0" w:firstLine="0"/>
    </w:pPr>
    <w:rPr>
      <w:b/>
      <w:i/>
      <w:sz w:val="20"/>
    </w:rPr>
  </w:style>
  <w:style w:type="character" w:customStyle="1" w:styleId="SubtitleChar">
    <w:name w:val="Subtitle_ Char"/>
    <w:link w:val="Subtitle0"/>
    <w:rPr>
      <w:rFonts w:ascii="Verdana" w:hAnsi="Verdana"/>
      <w:b/>
      <w:i/>
      <w:sz w:val="24"/>
      <w:lang w:val="cs-CZ" w:eastAsia="cs-CZ"/>
    </w:rPr>
  </w:style>
  <w:style w:type="paragraph" w:customStyle="1" w:styleId="HeadingBody">
    <w:name w:val="Heading Body"/>
    <w:basedOn w:val="Normal"/>
    <w:link w:val="HeadingBodyChar"/>
    <w:qFormat/>
    <w:pPr>
      <w:spacing w:after="120"/>
    </w:pPr>
    <w:rPr>
      <w:rFonts w:ascii="Verdana" w:hAnsi="Verdana"/>
      <w:b/>
      <w:sz w:val="20"/>
      <w:szCs w:val="18"/>
    </w:rPr>
  </w:style>
  <w:style w:type="paragraph" w:customStyle="1" w:styleId="Titlepublication">
    <w:name w:val="Title publication"/>
    <w:basedOn w:val="Normal"/>
    <w:link w:val="TitlepublicationChar"/>
    <w:qFormat/>
    <w:pPr>
      <w:jc w:val="center"/>
    </w:pPr>
    <w:rPr>
      <w:rFonts w:ascii="Verdana" w:hAnsi="Verdana"/>
      <w:b/>
      <w:color w:val="FF0000"/>
      <w:sz w:val="52"/>
      <w:szCs w:val="52"/>
    </w:rPr>
  </w:style>
  <w:style w:type="character" w:customStyle="1" w:styleId="HeadingBodyChar">
    <w:name w:val="Heading Body Char"/>
    <w:link w:val="HeadingBody"/>
    <w:rPr>
      <w:rFonts w:ascii="Verdana" w:hAnsi="Verdana"/>
      <w:b/>
      <w:szCs w:val="18"/>
      <w:lang w:val="cs-CZ" w:eastAsia="cs-CZ"/>
    </w:rPr>
  </w:style>
  <w:style w:type="paragraph" w:customStyle="1" w:styleId="Subtitlepublication">
    <w:name w:val="Subtitle publication"/>
    <w:basedOn w:val="Normal"/>
    <w:link w:val="SubtitlepublicationChar"/>
    <w:qFormat/>
    <w:pPr>
      <w:jc w:val="center"/>
    </w:pPr>
    <w:rPr>
      <w:rFonts w:ascii="Verdana" w:hAnsi="Verdana"/>
      <w:b/>
      <w:i/>
      <w:color w:val="FF0000"/>
      <w:sz w:val="32"/>
    </w:rPr>
  </w:style>
  <w:style w:type="character" w:customStyle="1" w:styleId="TitlepublicationChar">
    <w:name w:val="Title publication Char"/>
    <w:link w:val="Titlepublication"/>
    <w:rPr>
      <w:rFonts w:ascii="Verdana" w:hAnsi="Verdana"/>
      <w:b/>
      <w:color w:val="FF0000"/>
      <w:sz w:val="52"/>
      <w:szCs w:val="52"/>
      <w:lang w:val="cs-CZ" w:eastAsia="cs-CZ"/>
    </w:rPr>
  </w:style>
  <w:style w:type="paragraph" w:customStyle="1" w:styleId="Editorname">
    <w:name w:val="Editor name"/>
    <w:basedOn w:val="Normal"/>
    <w:link w:val="EditornameChar"/>
    <w:qFormat/>
    <w:pPr>
      <w:jc w:val="center"/>
    </w:pPr>
    <w:rPr>
      <w:rFonts w:ascii="Verdana" w:hAnsi="Verdana"/>
      <w:color w:val="FF0000"/>
    </w:rPr>
  </w:style>
  <w:style w:type="character" w:customStyle="1" w:styleId="SubtitlepublicationChar">
    <w:name w:val="Subtitle publication Char"/>
    <w:link w:val="Subtitlepublication"/>
    <w:rPr>
      <w:rFonts w:ascii="Verdana" w:hAnsi="Verdana"/>
      <w:b/>
      <w:i/>
      <w:color w:val="FF0000"/>
      <w:sz w:val="32"/>
      <w:lang w:val="cs-CZ" w:eastAsia="cs-CZ"/>
    </w:rPr>
  </w:style>
  <w:style w:type="paragraph" w:customStyle="1" w:styleId="Backcoversummary">
    <w:name w:val="Backcover_summary"/>
    <w:basedOn w:val="Normal"/>
    <w:link w:val="BackcoversummaryChar"/>
    <w:qFormat/>
    <w:rPr>
      <w:rFonts w:ascii="Verdana" w:hAnsi="Verdana"/>
      <w:color w:val="FF0000"/>
    </w:rPr>
  </w:style>
  <w:style w:type="character" w:customStyle="1" w:styleId="EditornameChar">
    <w:name w:val="Editor name Char"/>
    <w:link w:val="Editorname"/>
    <w:rPr>
      <w:rFonts w:ascii="Verdana" w:hAnsi="Verdana"/>
      <w:color w:val="FF0000"/>
      <w:sz w:val="24"/>
      <w:lang w:val="cs-CZ" w:eastAsia="cs-CZ"/>
    </w:rPr>
  </w:style>
  <w:style w:type="paragraph" w:customStyle="1" w:styleId="Backcovercategory">
    <w:name w:val="Backcover_category"/>
    <w:basedOn w:val="Normal"/>
    <w:link w:val="BackcovercategoryChar"/>
    <w:qFormat/>
    <w:pPr>
      <w:ind w:right="28"/>
    </w:pPr>
    <w:rPr>
      <w:rFonts w:ascii="Verdana" w:hAnsi="Verdana"/>
      <w:i/>
      <w:color w:val="FF0000"/>
      <w:sz w:val="18"/>
    </w:rPr>
  </w:style>
  <w:style w:type="character" w:customStyle="1" w:styleId="BackcoversummaryChar">
    <w:name w:val="Backcover_summary Char"/>
    <w:link w:val="Backcoversummary"/>
    <w:rPr>
      <w:rFonts w:ascii="Verdana" w:hAnsi="Verdana"/>
      <w:color w:val="FF0000"/>
      <w:sz w:val="24"/>
      <w:lang w:val="cs-CZ" w:eastAsia="cs-CZ"/>
    </w:rPr>
  </w:style>
  <w:style w:type="character" w:customStyle="1" w:styleId="BackcovercategoryChar">
    <w:name w:val="Backcover_category Char"/>
    <w:link w:val="Backcovercategory"/>
    <w:rPr>
      <w:rFonts w:ascii="Verdana" w:hAnsi="Verdana"/>
      <w:i/>
      <w:color w:val="FF0000"/>
      <w:sz w:val="18"/>
      <w:lang w:val="cs-CZ" w:eastAsia="cs-CZ"/>
    </w:rPr>
  </w:style>
  <w:style w:type="paragraph" w:customStyle="1" w:styleId="MBT">
    <w:name w:val="M BT"/>
    <w:basedOn w:val="Normal"/>
    <w:link w:val="MBTChar"/>
    <w:qFormat/>
    <w:pPr>
      <w:widowControl w:val="0"/>
      <w:spacing w:after="0"/>
    </w:pPr>
    <w:rPr>
      <w:rFonts w:ascii="Verdana" w:hAnsi="Verdana"/>
      <w:bCs/>
      <w:sz w:val="20"/>
      <w:szCs w:val="22"/>
    </w:rPr>
  </w:style>
  <w:style w:type="character" w:customStyle="1" w:styleId="MBTChar">
    <w:name w:val="M BT Char"/>
    <w:link w:val="MBT"/>
    <w:rPr>
      <w:rFonts w:ascii="Verdana" w:hAnsi="Verdana"/>
      <w:bCs/>
      <w:szCs w:val="22"/>
      <w:lang w:val="cs-CZ" w:eastAsia="cs-CZ"/>
    </w:rPr>
  </w:style>
  <w:style w:type="character" w:styleId="CommentReference">
    <w:name w:val="annotation reference"/>
    <w:unhideWhenUsed/>
    <w:rPr>
      <w:sz w:val="16"/>
      <w:szCs w:val="16"/>
    </w:rPr>
  </w:style>
  <w:style w:type="character" w:customStyle="1" w:styleId="CommentTextChar">
    <w:name w:val="Comment Text Char"/>
    <w:link w:val="CommentText"/>
    <w:rPr>
      <w:lang w:val="cs-CZ" w:eastAsia="cs-CZ"/>
    </w:rPr>
  </w:style>
  <w:style w:type="character" w:customStyle="1" w:styleId="FootnoteTextChar">
    <w:name w:val="Footnote Text Char"/>
    <w:link w:val="FootnoteText"/>
    <w:uiPriority w:val="99"/>
    <w:rPr>
      <w:lang w:val="cs-CZ" w:eastAsia="cs-CZ"/>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b/>
      <w:bCs/>
      <w:lang w:val="cs-CZ" w:eastAsia="cs-CZ"/>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pPr>
    <w:rPr>
      <w:rFonts w:eastAsia="Calibr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link w:val="HeaderSensitivity"/>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Calibri"/>
      <w:szCs w:val="22"/>
    </w:rPr>
  </w:style>
  <w:style w:type="character" w:customStyle="1" w:styleId="Heading1Char">
    <w:name w:val="Heading 1 Char"/>
    <w:link w:val="Heading1"/>
    <w:uiPriority w:val="9"/>
    <w:rPr>
      <w:rFonts w:ascii="Verdana" w:hAnsi="Verdana"/>
      <w:b/>
      <w:smallCaps/>
      <w:sz w:val="28"/>
      <w:lang w:val="cs-CZ" w:eastAsia="cs-CZ"/>
    </w:rPr>
  </w:style>
  <w:style w:type="character" w:customStyle="1" w:styleId="UnresolvedMention1">
    <w:name w:val="Unresolved Mention1"/>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information-on-chemicals/pic/import-notifications" TargetMode="External"/><Relationship Id="rId3" Type="http://schemas.openxmlformats.org/officeDocument/2006/relationships/hyperlink" Target="https://echa.europa.eu/regulations/prior-informed-consent/legislation" TargetMode="External"/><Relationship Id="rId7" Type="http://schemas.openxmlformats.org/officeDocument/2006/relationships/hyperlink" Target="https://echa.europa.eu/information-on-chemicals/pic/export-notifications" TargetMode="External"/><Relationship Id="rId2" Type="http://schemas.openxmlformats.org/officeDocument/2006/relationships/hyperlink" Target="https://echa.europa.eu/regulations/prior-informed-consent-regulation/reporting-on-information-exchange" TargetMode="External"/><Relationship Id="rId1" Type="http://schemas.openxmlformats.org/officeDocument/2006/relationships/hyperlink" Target="https://echa.europa.eu/regulations/prior-informed-consent/annual-reporting-on-pic-exports-and-imports" TargetMode="External"/><Relationship Id="rId6" Type="http://schemas.openxmlformats.org/officeDocument/2006/relationships/hyperlink" Target="https://echa.europa.eu/information-on-chemicals/pic/chemicals" TargetMode="External"/><Relationship Id="rId5" Type="http://schemas.openxmlformats.org/officeDocument/2006/relationships/hyperlink" Target="https://echa.europa.eu/regulations/prior-informed-consent-regulation/reporting-on-information-exchange" TargetMode="External"/><Relationship Id="rId10" Type="http://schemas.openxmlformats.org/officeDocument/2006/relationships/hyperlink" Target="https://echa.europa.eu/information-on-chemicals/pic/designated-national-authority" TargetMode="External"/><Relationship Id="rId4" Type="http://schemas.openxmlformats.org/officeDocument/2006/relationships/hyperlink" Target="https://echa.europa.eu/regulations/prior-informed-consent/annual-reporting-on-pic-exports-and-imports" TargetMode="External"/><Relationship Id="rId9" Type="http://schemas.openxmlformats.org/officeDocument/2006/relationships/hyperlink" Target="https://echa.europa.eu/information-on-chemicals/pic/explicit-consent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milieu-srv\data\Projects\1898.16%20(1784.15)%20DG%20ENV%20MS%20Art.22%20of%20the%20PIC%20Regulation\Working%20docs\Member%20States%20reporting\Data%20provided%20by%20ECHA\ECH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76227877657055"/>
          <c:y val="3.6348602087924071E-2"/>
          <c:w val="0.83782747011428382"/>
          <c:h val="0.90254437612711247"/>
        </c:manualLayout>
      </c:layout>
      <c:scatterChart>
        <c:scatterStyle val="lineMarker"/>
        <c:varyColors val="0"/>
        <c:ser>
          <c:idx val="0"/>
          <c:order val="0"/>
          <c:tx>
            <c:strRef>
              <c:f>'graph summary'!$D$1</c:f>
              <c:strCache>
                <c:ptCount val="1"/>
                <c:pt idx="0">
                  <c:v>Total </c:v>
                </c:pt>
              </c:strCache>
            </c:strRef>
          </c:tx>
          <c:spPr>
            <a:ln w="19050" cap="rnd">
              <a:noFill/>
              <a:round/>
            </a:ln>
            <a:effectLst/>
          </c:spPr>
          <c:marker>
            <c:symbol val="circle"/>
            <c:size val="5"/>
            <c:spPr>
              <a:solidFill>
                <a:srgbClr val="000099"/>
              </a:solidFill>
              <a:ln w="9525">
                <a:solidFill>
                  <a:schemeClr val="accent1"/>
                </a:solidFill>
              </a:ln>
              <a:effectLst/>
            </c:spPr>
          </c:marker>
          <c:dLbls>
            <c:dLbl>
              <c:idx val="2"/>
              <c:layout>
                <c:manualLayout>
                  <c:x val="-7.4171575759256324E-3"/>
                  <c:y val="-3.3956431908274638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0-DF42-44A7-8517-73A5022E3EE4}"/>
                </c:ext>
                <c:ext xmlns:c15="http://schemas.microsoft.com/office/drawing/2012/chart" uri="{CE6537A1-D6FC-4f65-9D91-7224C49458BB}"/>
              </c:extLst>
            </c:dLbl>
            <c:dLbl>
              <c:idx val="3"/>
              <c:layout>
                <c:manualLayout>
                  <c:x val="-1.6590384417587895E-2"/>
                  <c:y val="3.3956431908274583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1-DF42-44A7-8517-73A5022E3EE4}"/>
                </c:ext>
                <c:ext xmlns:c15="http://schemas.microsoft.com/office/drawing/2012/chart" uri="{CE6537A1-D6FC-4f65-9D91-7224C49458BB}"/>
              </c:extLst>
            </c:dLbl>
            <c:dLbl>
              <c:idx val="5"/>
              <c:layout>
                <c:manualLayout>
                  <c:x val="-2.3015088088076483E-3"/>
                  <c:y val="2.4455981378269712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2-DF42-44A7-8517-73A5022E3EE4}"/>
                </c:ext>
                <c:ext xmlns:c15="http://schemas.microsoft.com/office/drawing/2012/chart" uri="{CE6537A1-D6FC-4f65-9D91-7224C49458BB}"/>
              </c:extLst>
            </c:dLbl>
            <c:dLbl>
              <c:idx val="6"/>
              <c:layout>
                <c:manualLayout>
                  <c:x val="-1.0647765589254074E-2"/>
                  <c:y val="-3.2007064690364351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3-DF42-44A7-8517-73A5022E3EE4}"/>
                </c:ext>
                <c:ext xmlns:c15="http://schemas.microsoft.com/office/drawing/2012/chart" uri="{CE6537A1-D6FC-4f65-9D91-7224C49458BB}"/>
              </c:extLst>
            </c:dLbl>
            <c:dLbl>
              <c:idx val="7"/>
              <c:layout>
                <c:manualLayout>
                  <c:x val="0"/>
                  <c:y val="-1.6522091858147424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4-DF42-44A7-8517-73A5022E3EE4}"/>
                </c:ext>
                <c:ext xmlns:c15="http://schemas.microsoft.com/office/drawing/2012/chart" uri="{CE6537A1-D6FC-4f65-9D91-7224C49458BB}"/>
              </c:extLst>
            </c:dLbl>
            <c:dLbl>
              <c:idx val="8"/>
              <c:layout>
                <c:manualLayout>
                  <c:x val="4.2564896405444331E-3"/>
                  <c:y val="-1.5802405148231845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5-DF42-44A7-8517-73A5022E3EE4}"/>
                </c:ext>
                <c:ext xmlns:c15="http://schemas.microsoft.com/office/drawing/2012/chart" uri="{CE6537A1-D6FC-4f65-9D91-7224C49458BB}"/>
              </c:extLst>
            </c:dLbl>
            <c:dLbl>
              <c:idx val="9"/>
              <c:layout>
                <c:manualLayout>
                  <c:x val="-7.638799391728106E-17"/>
                  <c:y val="-6.7255140318318203E-3"/>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6-DF42-44A7-8517-73A5022E3EE4}"/>
                </c:ext>
                <c:ext xmlns:c15="http://schemas.microsoft.com/office/drawing/2012/chart" uri="{CE6537A1-D6FC-4f65-9D91-7224C49458BB}"/>
              </c:extLst>
            </c:dLbl>
            <c:dLbl>
              <c:idx val="10"/>
              <c:layout>
                <c:manualLayout>
                  <c:x val="-9.8162713555985316E-4"/>
                  <c:y val="4.538398051401462E-3"/>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7-DF42-44A7-8517-73A5022E3EE4}"/>
                </c:ext>
                <c:ext xmlns:c15="http://schemas.microsoft.com/office/drawing/2012/chart" uri="{CE6537A1-D6FC-4f65-9D91-7224C49458BB}"/>
              </c:extLst>
            </c:dLbl>
            <c:dLbl>
              <c:idx val="11"/>
              <c:layout>
                <c:manualLayout>
                  <c:x val="-2.0512813886432771E-3"/>
                  <c:y val="-1.9826510229776887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8-DF42-44A7-8517-73A5022E3EE4}"/>
                </c:ext>
                <c:ext xmlns:c15="http://schemas.microsoft.com/office/drawing/2012/chart" uri="{CE6537A1-D6FC-4f65-9D91-7224C49458BB}"/>
              </c:extLst>
            </c:dLbl>
            <c:dLbl>
              <c:idx val="12"/>
              <c:layout>
                <c:manualLayout>
                  <c:x val="-5.2001303805560397E-4"/>
                  <c:y val="0"/>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9-DF42-44A7-8517-73A5022E3EE4}"/>
                </c:ext>
                <c:ext xmlns:c15="http://schemas.microsoft.com/office/drawing/2012/chart" uri="{CE6537A1-D6FC-4f65-9D91-7224C49458BB}"/>
              </c:extLst>
            </c:dLbl>
            <c:dLbl>
              <c:idx val="16"/>
              <c:layout>
                <c:manualLayout>
                  <c:x val="-7.3080696673121697E-4"/>
                  <c:y val="3.1037982472885547E-3"/>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A-DF42-44A7-8517-73A5022E3EE4}"/>
                </c:ext>
                <c:ext xmlns:c15="http://schemas.microsoft.com/office/drawing/2012/chart" uri="{CE6537A1-D6FC-4f65-9D91-7224C49458BB}"/>
              </c:extLst>
            </c:dLbl>
            <c:dLbl>
              <c:idx val="19"/>
              <c:layout>
                <c:manualLayout>
                  <c:x val="-3.1933767192806883E-3"/>
                  <c:y val="-2.1838562770549255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B-DF42-44A7-8517-73A5022E3EE4}"/>
                </c:ext>
                <c:ext xmlns:c15="http://schemas.microsoft.com/office/drawing/2012/chart" uri="{CE6537A1-D6FC-4f65-9D91-7224C49458BB}"/>
              </c:extLst>
            </c:dLbl>
            <c:dLbl>
              <c:idx val="24"/>
              <c:layout>
                <c:manualLayout>
                  <c:x val="-1.4944223270304581E-3"/>
                  <c:y val="1.0088271047747708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C-DF42-44A7-8517-73A5022E3EE4}"/>
                </c:ext>
                <c:ext xmlns:c15="http://schemas.microsoft.com/office/drawing/2012/chart" uri="{CE6537A1-D6FC-4f65-9D91-7224C49458BB}"/>
              </c:extLst>
            </c:dLbl>
            <c:dLbl>
              <c:idx val="25"/>
              <c:layout>
                <c:manualLayout>
                  <c:x val="1.7749237149448933E-3"/>
                  <c:y val="7.2983413641107379E-3"/>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D-DF42-44A7-8517-73A5022E3EE4}"/>
                </c:ext>
                <c:ext xmlns:c15="http://schemas.microsoft.com/office/drawing/2012/chart" uri="{CE6537A1-D6FC-4f65-9D91-7224C49458BB}"/>
              </c:extLst>
            </c:dLbl>
            <c:dLbl>
              <c:idx val="26"/>
              <c:layout>
                <c:manualLayout>
                  <c:x val="-1.5277598783456212E-16"/>
                  <c:y val="-2.6801438200867362E-3"/>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E-DF42-44A7-8517-73A5022E3EE4}"/>
                </c:ext>
                <c:ext xmlns:c15="http://schemas.microsoft.com/office/drawing/2012/chart" uri="{CE6537A1-D6FC-4f65-9D91-7224C49458BB}"/>
              </c:extLst>
            </c:dLbl>
            <c:dLbl>
              <c:idx val="27"/>
              <c:layout>
                <c:manualLayout>
                  <c:x val="-1.0908790861418822E-4"/>
                  <c:y val="-3.7483619798748258E-2"/>
                </c:manualLayout>
              </c:layout>
              <c:showLegendKey val="0"/>
              <c:showVal val="1"/>
              <c:showCatName val="1"/>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0F-DF42-44A7-8517-73A5022E3EE4}"/>
                </c:ext>
                <c:ext xmlns:c15="http://schemas.microsoft.com/office/drawing/2012/chart" uri="{CE6537A1-D6FC-4f65-9D91-7224C49458BB}"/>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5="http://schemas.microsoft.com/office/drawing/2012/chart" uri="{CE6537A1-D6FC-4f65-9D91-7224C49458BB}">
                <c15:spPr xmlns:c15="http://schemas.microsoft.com/office/drawing/2012/chart">
                  <a:prstGeom prst="wedgeRectCallout">
                    <a:avLst/>
                  </a:prstGeom>
                </c15:spPr>
                <c15:showLeaderLines val="0"/>
              </c:ext>
            </c:extLst>
          </c:dLbls>
          <c:xVal>
            <c:strRef>
              <c:f>'graph summary'!$A$2:$A$29</c:f>
              <c:strCache>
                <c:ptCount val="28"/>
                <c:pt idx="0">
                  <c:v>AT</c:v>
                </c:pt>
                <c:pt idx="1">
                  <c:v>BE</c:v>
                </c:pt>
                <c:pt idx="2">
                  <c:v>BG</c:v>
                </c:pt>
                <c:pt idx="3">
                  <c:v>HR</c:v>
                </c:pt>
                <c:pt idx="4">
                  <c:v>CY</c:v>
                </c:pt>
                <c:pt idx="5">
                  <c:v>CZ</c:v>
                </c:pt>
                <c:pt idx="6">
                  <c:v>DK</c:v>
                </c:pt>
                <c:pt idx="7">
                  <c:v>EE</c:v>
                </c:pt>
                <c:pt idx="8">
                  <c:v>FI</c:v>
                </c:pt>
                <c:pt idx="9">
                  <c:v>FR</c:v>
                </c:pt>
                <c:pt idx="10">
                  <c:v>DE</c:v>
                </c:pt>
                <c:pt idx="11">
                  <c:v>EL</c:v>
                </c:pt>
                <c:pt idx="12">
                  <c:v>HU</c:v>
                </c:pt>
                <c:pt idx="13">
                  <c:v>IE</c:v>
                </c:pt>
                <c:pt idx="14">
                  <c:v>IT</c:v>
                </c:pt>
                <c:pt idx="15">
                  <c:v>LV</c:v>
                </c:pt>
                <c:pt idx="16">
                  <c:v>LT</c:v>
                </c:pt>
                <c:pt idx="17">
                  <c:v>LU</c:v>
                </c:pt>
                <c:pt idx="18">
                  <c:v>MT</c:v>
                </c:pt>
                <c:pt idx="19">
                  <c:v>NL</c:v>
                </c:pt>
                <c:pt idx="20">
                  <c:v>PL</c:v>
                </c:pt>
                <c:pt idx="21">
                  <c:v>PT</c:v>
                </c:pt>
                <c:pt idx="22">
                  <c:v>RO</c:v>
                </c:pt>
                <c:pt idx="23">
                  <c:v>SK</c:v>
                </c:pt>
                <c:pt idx="24">
                  <c:v>SI</c:v>
                </c:pt>
                <c:pt idx="25">
                  <c:v>ES</c:v>
                </c:pt>
                <c:pt idx="26">
                  <c:v>SE</c:v>
                </c:pt>
                <c:pt idx="27">
                  <c:v>UK</c:v>
                </c:pt>
              </c:strCache>
            </c:strRef>
          </c:xVal>
          <c:yVal>
            <c:numRef>
              <c:f>'graph summary'!$D$2:$D$29</c:f>
              <c:numCache>
                <c:formatCode>General</c:formatCode>
                <c:ptCount val="28"/>
                <c:pt idx="0">
                  <c:v>526</c:v>
                </c:pt>
                <c:pt idx="1">
                  <c:v>1922</c:v>
                </c:pt>
                <c:pt idx="2">
                  <c:v>107</c:v>
                </c:pt>
                <c:pt idx="3">
                  <c:v>80</c:v>
                </c:pt>
                <c:pt idx="4">
                  <c:v>4</c:v>
                </c:pt>
                <c:pt idx="5">
                  <c:v>99</c:v>
                </c:pt>
                <c:pt idx="6">
                  <c:v>128</c:v>
                </c:pt>
                <c:pt idx="7">
                  <c:v>1</c:v>
                </c:pt>
                <c:pt idx="8">
                  <c:v>98</c:v>
                </c:pt>
                <c:pt idx="9">
                  <c:v>3935</c:v>
                </c:pt>
                <c:pt idx="10">
                  <c:v>8317</c:v>
                </c:pt>
                <c:pt idx="11">
                  <c:v>1</c:v>
                </c:pt>
                <c:pt idx="12">
                  <c:v>29</c:v>
                </c:pt>
                <c:pt idx="13">
                  <c:v>59</c:v>
                </c:pt>
                <c:pt idx="14">
                  <c:v>1367</c:v>
                </c:pt>
                <c:pt idx="15">
                  <c:v>0</c:v>
                </c:pt>
                <c:pt idx="16">
                  <c:v>0</c:v>
                </c:pt>
                <c:pt idx="17">
                  <c:v>0</c:v>
                </c:pt>
                <c:pt idx="18">
                  <c:v>8</c:v>
                </c:pt>
                <c:pt idx="19">
                  <c:v>655</c:v>
                </c:pt>
                <c:pt idx="20">
                  <c:v>458</c:v>
                </c:pt>
                <c:pt idx="21">
                  <c:v>61</c:v>
                </c:pt>
                <c:pt idx="22">
                  <c:v>7</c:v>
                </c:pt>
                <c:pt idx="23">
                  <c:v>0</c:v>
                </c:pt>
                <c:pt idx="24">
                  <c:v>210</c:v>
                </c:pt>
                <c:pt idx="25">
                  <c:v>1820</c:v>
                </c:pt>
                <c:pt idx="26">
                  <c:v>300</c:v>
                </c:pt>
                <c:pt idx="27">
                  <c:v>2651</c:v>
                </c:pt>
              </c:numCache>
            </c:numRef>
          </c:yVal>
          <c:smooth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xmlns:c16r2="http://schemas.microsoft.com/office/drawing/2015/06/chart">
            <c:ext xmlns:c16="http://schemas.microsoft.com/office/drawing/2014/chart" uri="{C3380CC4-5D6E-409C-BE32-E72D297353CC}">
              <c16:uniqueId val="{00000010-DF42-44A7-8517-73A5022E3EE4}"/>
            </c:ext>
          </c:extLst>
        </c:ser>
        <c:dLbls>
          <c:showLegendKey val="0"/>
          <c:showVal val="0"/>
          <c:showCatName val="0"/>
          <c:showSerName val="0"/>
          <c:showPercent val="0"/>
          <c:showBubbleSize val="0"/>
        </c:dLbls>
        <c:axId val="32317824"/>
        <c:axId val="32319744"/>
      </c:scatterChart>
      <c:valAx>
        <c:axId val="32317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Členské státy </a:t>
                </a:r>
              </a:p>
            </c:rich>
          </c:tx>
          <c:layout>
            <c:manualLayout>
              <c:xMode val="edge"/>
              <c:yMode val="edge"/>
              <c:x val="0.42721956722162174"/>
              <c:y val="0.94880623332992498"/>
            </c:manualLayout>
          </c:layout>
          <c:overlay val="0"/>
          <c:spPr>
            <a:noFill/>
            <a:ln>
              <a:noFill/>
            </a:ln>
            <a:effectLst/>
          </c:spPr>
        </c:title>
        <c:majorTickMark val="none"/>
        <c:minorTickMark val="none"/>
        <c:tickLblPos val="none"/>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19744"/>
        <c:crosses val="autoZero"/>
        <c:crossBetween val="midCat"/>
      </c:valAx>
      <c:valAx>
        <c:axId val="32319744"/>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Celkový počet oznámení o vývozu a žádostí o zvláštní referenční identifikační číslo, jež přijaly určené vnitrostátní orgány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178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Procedure/management</Category>
    <PublishingStartDate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CE74-0E47-469C-AB29-A312EADD2D9E}">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2.xml><?xml version="1.0" encoding="utf-8"?>
<ds:datastoreItem xmlns:ds="http://schemas.openxmlformats.org/officeDocument/2006/customXml" ds:itemID="{D535CDC4-13F9-4318-8328-1A8BB0A81085}">
  <ds:schemaRefs>
    <ds:schemaRef ds:uri="http://schemas.microsoft.com/sharepoint/v3/contenttype/forms"/>
  </ds:schemaRefs>
</ds:datastoreItem>
</file>

<file path=customXml/itemProps3.xml><?xml version="1.0" encoding="utf-8"?>
<ds:datastoreItem xmlns:ds="http://schemas.openxmlformats.org/officeDocument/2006/customXml" ds:itemID="{1EAA10B2-8F97-4246-916A-0F08FDFBB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736D0-B899-4799-A9C9-AF8ABF79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5806</Words>
  <Characters>34490</Characters>
  <Application>Microsoft Office Word</Application>
  <DocSecurity>0</DocSecurity>
  <PresentationFormat>Microsoft Word 11.0</PresentationFormat>
  <Lines>1045</Lines>
  <Paragraphs>411</Paragraphs>
  <ScaleCrop>false</ScaleCrop>
  <HeadingPairs>
    <vt:vector size="6" baseType="variant">
      <vt:variant>
        <vt:lpstr>Title</vt:lpstr>
      </vt:variant>
      <vt:variant>
        <vt:i4>1</vt:i4>
      </vt:variant>
      <vt:variant>
        <vt:lpstr>Název</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39885</CharactersWithSpaces>
  <SharedDoc>false</SharedDoc>
  <HyperlinkBase/>
  <HLinks>
    <vt:vector size="60" baseType="variant">
      <vt:variant>
        <vt:i4>4522056</vt:i4>
      </vt:variant>
      <vt:variant>
        <vt:i4>27</vt:i4>
      </vt:variant>
      <vt:variant>
        <vt:i4>0</vt:i4>
      </vt:variant>
      <vt:variant>
        <vt:i4>5</vt:i4>
      </vt:variant>
      <vt:variant>
        <vt:lpwstr>https://echa.europa.eu/information-on-chemicals/pic/designated-national-authority</vt:lpwstr>
      </vt:variant>
      <vt:variant>
        <vt:lpwstr/>
      </vt:variant>
      <vt:variant>
        <vt:i4>655426</vt:i4>
      </vt:variant>
      <vt:variant>
        <vt:i4>24</vt:i4>
      </vt:variant>
      <vt:variant>
        <vt:i4>0</vt:i4>
      </vt:variant>
      <vt:variant>
        <vt:i4>5</vt:i4>
      </vt:variant>
      <vt:variant>
        <vt:lpwstr>https://echa.europa.eu/information-on-chemicals/pic/explicit-consents</vt:lpwstr>
      </vt:variant>
      <vt:variant>
        <vt:lpwstr/>
      </vt:variant>
      <vt:variant>
        <vt:i4>1310791</vt:i4>
      </vt:variant>
      <vt:variant>
        <vt:i4>21</vt:i4>
      </vt:variant>
      <vt:variant>
        <vt:i4>0</vt:i4>
      </vt:variant>
      <vt:variant>
        <vt:i4>5</vt:i4>
      </vt:variant>
      <vt:variant>
        <vt:lpwstr>https://echa.europa.eu/information-on-chemicals/pic/import-notifications</vt:lpwstr>
      </vt:variant>
      <vt:variant>
        <vt:lpwstr/>
      </vt:variant>
      <vt:variant>
        <vt:i4>65611</vt:i4>
      </vt:variant>
      <vt:variant>
        <vt:i4>18</vt:i4>
      </vt:variant>
      <vt:variant>
        <vt:i4>0</vt:i4>
      </vt:variant>
      <vt:variant>
        <vt:i4>5</vt:i4>
      </vt:variant>
      <vt:variant>
        <vt:lpwstr>https://echa.europa.eu/information-on-chemicals/pic/export-notifications</vt:lpwstr>
      </vt:variant>
      <vt:variant>
        <vt:lpwstr/>
      </vt:variant>
      <vt:variant>
        <vt:i4>2031622</vt:i4>
      </vt:variant>
      <vt:variant>
        <vt:i4>15</vt:i4>
      </vt:variant>
      <vt:variant>
        <vt:i4>0</vt:i4>
      </vt:variant>
      <vt:variant>
        <vt:i4>5</vt:i4>
      </vt:variant>
      <vt:variant>
        <vt:lpwstr>https://echa.europa.eu/information-on-chemicals/pic/chemicals</vt:lpwstr>
      </vt:variant>
      <vt:variant>
        <vt:lpwstr/>
      </vt:variant>
      <vt:variant>
        <vt:i4>3407914</vt:i4>
      </vt:variant>
      <vt:variant>
        <vt:i4>12</vt:i4>
      </vt:variant>
      <vt:variant>
        <vt:i4>0</vt:i4>
      </vt:variant>
      <vt:variant>
        <vt:i4>5</vt:i4>
      </vt:variant>
      <vt:variant>
        <vt:lpwstr>https://echa.europa.eu/regulations/prior-informed-consent-regulation/reporting-on-information-exchange</vt:lpwstr>
      </vt:variant>
      <vt:variant>
        <vt:lpwstr/>
      </vt:variant>
      <vt:variant>
        <vt:i4>4784214</vt:i4>
      </vt:variant>
      <vt:variant>
        <vt:i4>9</vt:i4>
      </vt:variant>
      <vt:variant>
        <vt:i4>0</vt:i4>
      </vt:variant>
      <vt:variant>
        <vt:i4>5</vt:i4>
      </vt:variant>
      <vt:variant>
        <vt:lpwstr>https://echa.europa.eu/regulations/prior-informed-consent/annual-reporting-on-pic-exports-and-imports</vt:lpwstr>
      </vt:variant>
      <vt:variant>
        <vt:lpwstr/>
      </vt:variant>
      <vt:variant>
        <vt:i4>4587615</vt:i4>
      </vt:variant>
      <vt:variant>
        <vt:i4>6</vt:i4>
      </vt:variant>
      <vt:variant>
        <vt:i4>0</vt:i4>
      </vt:variant>
      <vt:variant>
        <vt:i4>5</vt:i4>
      </vt:variant>
      <vt:variant>
        <vt:lpwstr>https://echa.europa.eu/regulations/prior-informed-consent/legislation</vt:lpwstr>
      </vt:variant>
      <vt:variant>
        <vt:lpwstr/>
      </vt:variant>
      <vt:variant>
        <vt:i4>3407914</vt:i4>
      </vt:variant>
      <vt:variant>
        <vt:i4>3</vt:i4>
      </vt:variant>
      <vt:variant>
        <vt:i4>0</vt:i4>
      </vt:variant>
      <vt:variant>
        <vt:i4>5</vt:i4>
      </vt:variant>
      <vt:variant>
        <vt:lpwstr>https://echa.europa.eu/regulations/prior-informed-consent-regulation/reporting-on-information-exchange</vt:lpwstr>
      </vt:variant>
      <vt:variant>
        <vt:lpwstr/>
      </vt:variant>
      <vt:variant>
        <vt:i4>4784214</vt:i4>
      </vt:variant>
      <vt:variant>
        <vt:i4>0</vt:i4>
      </vt:variant>
      <vt:variant>
        <vt:i4>0</vt:i4>
      </vt:variant>
      <vt:variant>
        <vt:i4>5</vt:i4>
      </vt:variant>
      <vt:variant>
        <vt:lpwstr>https://echa.europa.eu/regulations/prior-informed-consent/annual-reporting-on-pic-exports-and-imports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2012-07-25T11:39:00Z</cp:lastPrinted>
  <dcterms:created xsi:type="dcterms:W3CDTF">2018-09-20T12:15:00Z</dcterms:created>
  <dcterms:modified xsi:type="dcterms:W3CDTF">2018-10-08T12:31:00Z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LW 6.0.1, Build 20180503</vt:lpwstr>
  </property>
  <property fmtid="{D5CDD505-2E9C-101B-9397-08002B2CF9AE}" pid="6" name="Formatting">
    <vt:lpwstr>4.1</vt:lpwstr>
  </property>
  <property fmtid="{D5CDD505-2E9C-101B-9397-08002B2CF9AE}" pid="7" name="Last edited using">
    <vt:lpwstr>LW 6.0.1, Build 20180503</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ContentTypeId">
    <vt:lpwstr>0x0101007DEA25F43B16034A890773D71A710A1D</vt:lpwstr>
  </property>
  <property fmtid="{D5CDD505-2E9C-101B-9397-08002B2CF9AE}" pid="14" name="Level of sensitivity">
    <vt:lpwstr>Standard treatment</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name="OP_sanitized" fmtid="{D5CDD505-2E9C-101B-9397-08002B2CF9AE}" pid="18">
    <vt:lpwstr>True</vt:lpwstr>
  </property>
</Properties>
</file>