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BA4FA83E-AB26-4789-93C6-B310E36FC45B" style="width:450.75pt;height:321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pStyle w:val="ManualHeading1"/>
        <w:rPr>
          <w:noProof/>
        </w:rPr>
      </w:pPr>
      <w:bookmarkStart w:id="1" w:name="_GoBack"/>
      <w:bookmarkEnd w:id="1"/>
      <w:r>
        <w:lastRenderedPageBreak/>
        <w:t>1.</w:t>
      </w:r>
      <w:r>
        <w:tab/>
      </w:r>
      <w:r>
        <w:rPr>
          <w:noProof/>
        </w:rPr>
        <w:t>Předmluva</w:t>
      </w:r>
    </w:p>
    <w:p>
      <w:pPr>
        <w:pStyle w:val="Text1"/>
        <w:rPr>
          <w:noProof/>
        </w:rPr>
      </w:pPr>
      <w:r>
        <w:rPr>
          <w:noProof/>
        </w:rPr>
        <w:t>V souladu s čl. 7 odst. 1 vnitřní dohody o 11. ERF</w:t>
      </w:r>
      <w:r>
        <w:rPr>
          <w:rStyle w:val="FootnoteReference"/>
          <w:noProof/>
        </w:rPr>
        <w:footnoteReference w:id="1"/>
      </w:r>
      <w:r>
        <w:rPr>
          <w:noProof/>
        </w:rPr>
        <w:t xml:space="preserve"> a čl. 21 odst. 2 nařízení Rady (EU) 2015/323</w:t>
      </w:r>
      <w:r>
        <w:rPr>
          <w:rStyle w:val="FootnoteReference"/>
          <w:noProof/>
        </w:rPr>
        <w:footnoteReference w:id="2"/>
      </w:r>
      <w:r>
        <w:rPr>
          <w:noProof/>
        </w:rPr>
        <w:t xml:space="preserve"> o finančním nařízení pro 11. Evropský rozvojový fond (dále jen „finanční nařízení pro 11. ERF“) Komise v tomto dokumentu předkládá odhady závazků, plateb a příspěvků na roky 2018 až 2020, s přihlédnutím k prognózám Evropské investiční banky (EIB). </w:t>
      </w:r>
    </w:p>
    <w:p>
      <w:pPr>
        <w:pStyle w:val="Text1"/>
        <w:rPr>
          <w:noProof/>
        </w:rPr>
      </w:pPr>
      <w:r>
        <w:rPr>
          <w:noProof/>
        </w:rPr>
        <w:t>Tento dokument poskytuje prognózy finančního provádění evropských rozvojových fondů (8. až 11. ERF) na roky 2018 až 2020. Dále tento dokument provádí nezávazný odhad příspěvků členských států do ERF na roky 2021 a 2022.</w:t>
      </w:r>
    </w:p>
    <w:p>
      <w:pPr>
        <w:pStyle w:val="Text1"/>
        <w:rPr>
          <w:noProof/>
        </w:rPr>
      </w:pPr>
      <w:r>
        <w:rPr>
          <w:noProof/>
        </w:rPr>
        <w:t xml:space="preserve">Pokud jde o nástroje, které v rámci 9., 10. a 11. ERF spravuje Evropská investiční banka (EIB) (investiční facilita a subvence úrokových sazeb), členské státy převádějí příspěvky přímo EIB. </w:t>
      </w:r>
    </w:p>
    <w:p>
      <w:pPr>
        <w:pStyle w:val="ManualHeading1"/>
        <w:rPr>
          <w:noProof/>
        </w:rPr>
      </w:pPr>
      <w:r>
        <w:t>2.</w:t>
      </w:r>
      <w:r>
        <w:tab/>
      </w:r>
      <w:r>
        <w:rPr>
          <w:noProof/>
        </w:rPr>
        <w:t>Úvod</w:t>
      </w:r>
    </w:p>
    <w:p>
      <w:pPr>
        <w:pStyle w:val="Text1"/>
        <w:rPr>
          <w:noProof/>
        </w:rPr>
      </w:pPr>
      <w:r>
        <w:rPr>
          <w:noProof/>
        </w:rPr>
        <w:t>Komise a EIB aktualizovaly své prognózy závazků a plateb na roky 2018, 2019 a 2020 pro každou ze zemí AKT</w:t>
      </w:r>
      <w:r>
        <w:rPr>
          <w:rStyle w:val="FootnoteReference"/>
          <w:noProof/>
        </w:rPr>
        <w:footnoteReference w:id="3"/>
      </w:r>
      <w:r>
        <w:rPr>
          <w:noProof/>
        </w:rPr>
        <w:t xml:space="preserve"> a pro zámořské země a území</w:t>
      </w:r>
      <w:r>
        <w:rPr>
          <w:rStyle w:val="FootnoteReference"/>
          <w:noProof/>
        </w:rPr>
        <w:footnoteReference w:id="4"/>
      </w:r>
      <w:r>
        <w:rPr>
          <w:noProof/>
        </w:rPr>
        <w:t>. Prognózy plateb byly vypracovány tak, aby členským státům pomohly co nejpřesněji určit, jaké částky mají vyčlenit ve svých státních rozpočtech, a aby byly zároveň zajištěny dostatečné finanční zdroje pro ERF s cílem předejít problémům s likviditou.</w:t>
      </w:r>
    </w:p>
    <w:p>
      <w:pPr>
        <w:pStyle w:val="Text1"/>
        <w:rPr>
          <w:noProof/>
        </w:rPr>
      </w:pPr>
      <w:r>
        <w:rPr>
          <w:noProof/>
        </w:rPr>
        <w:t>Odhady závazků a plateb byly v souladu s článkem 7 vnitřní dohody o 11. ERF</w:t>
      </w:r>
      <w:r>
        <w:rPr>
          <w:rStyle w:val="FootnoteReference"/>
          <w:noProof/>
        </w:rPr>
        <w:footnoteReference w:id="5"/>
      </w:r>
      <w:r>
        <w:rPr>
          <w:noProof/>
        </w:rPr>
        <w:t xml:space="preserve"> a čl. 21 odst. 2 finančního nařízení pro 11. ERF</w:t>
      </w:r>
      <w:r>
        <w:rPr>
          <w:rStyle w:val="FootnoteReference"/>
          <w:noProof/>
        </w:rPr>
        <w:footnoteReference w:id="6"/>
      </w:r>
      <w:r>
        <w:rPr>
          <w:noProof/>
        </w:rPr>
        <w:t xml:space="preserve"> aktualizovány podle posledních prognóz.</w:t>
      </w:r>
    </w:p>
    <w:p>
      <w:pPr>
        <w:pStyle w:val="Text1"/>
        <w:rPr>
          <w:noProof/>
        </w:rPr>
      </w:pPr>
      <w:r>
        <w:rPr>
          <w:noProof/>
        </w:rPr>
        <w:t>Následující graf ukazuje celkový trend vývoje hrubých závazků a plateb od roku 1999 do roku 2017 a jejich projekci na období 2018–2020 (kumulované částky pro Komisi a EIB).</w:t>
      </w:r>
    </w:p>
    <w:p>
      <w:pPr>
        <w:pStyle w:val="Text1"/>
        <w:ind w:left="0"/>
        <w:rPr>
          <w:noProof/>
        </w:rPr>
      </w:pPr>
    </w:p>
    <w:p>
      <w:pPr>
        <w:rPr>
          <w:rFonts w:ascii="Times New Roman" w:hAnsi="Times New Roman" w:cs="Times New Roman"/>
          <w:b/>
          <w:noProof/>
          <w:sz w:val="24"/>
          <w:szCs w:val="24"/>
        </w:rPr>
      </w:pPr>
      <w:r>
        <w:rPr>
          <w:noProof/>
        </w:rPr>
        <w:br w:type="page"/>
      </w:r>
    </w:p>
    <w:p>
      <w:pPr>
        <w:rPr>
          <w:rFonts w:ascii="Times New Roman" w:hAnsi="Times New Roman" w:cs="Times New Roman"/>
          <w:b/>
          <w:noProof/>
          <w:sz w:val="24"/>
          <w:szCs w:val="24"/>
        </w:rPr>
      </w:pPr>
      <w:r>
        <w:rPr>
          <w:rFonts w:ascii="Times New Roman" w:hAnsi="Times New Roman"/>
          <w:b/>
          <w:noProof/>
          <w:sz w:val="24"/>
        </w:rPr>
        <w:lastRenderedPageBreak/>
        <w:t>Hrubé závazky a platby: trend 1999–2020 (v milionech EUR)</w:t>
      </w:r>
    </w:p>
    <w:p>
      <w:pPr>
        <w:pStyle w:val="Text1"/>
        <w:ind w:left="0"/>
        <w:rPr>
          <w:noProof/>
        </w:rPr>
      </w:pPr>
      <w:r>
        <w:rPr>
          <w:noProof/>
          <w:lang w:val="en-US" w:eastAsia="en-US" w:bidi="ar-SA"/>
        </w:rPr>
        <w:drawing>
          <wp:inline distT="0" distB="0" distL="0" distR="0">
            <wp:extent cx="5761355" cy="277716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1355" cy="2777162"/>
                    </a:xfrm>
                    <a:prstGeom prst="rect">
                      <a:avLst/>
                    </a:prstGeom>
                  </pic:spPr>
                </pic:pic>
              </a:graphicData>
            </a:graphic>
          </wp:inline>
        </w:drawing>
      </w:r>
    </w:p>
    <w:p>
      <w:pPr>
        <w:pStyle w:val="Text1"/>
        <w:ind w:left="0"/>
        <w:rPr>
          <w:noProof/>
        </w:rPr>
      </w:pPr>
      <w:r>
        <w:rPr>
          <w:noProof/>
        </w:rPr>
        <w:t>Pozn.: Stav provádění evropských rozvojových fondů do 31. prosince 2017 (závazky a platby) a prognózy na roky 2018–2020.</w:t>
      </w:r>
    </w:p>
    <w:p>
      <w:pPr>
        <w:pStyle w:val="ManualHeading1"/>
        <w:rPr>
          <w:noProof/>
        </w:rPr>
      </w:pPr>
      <w:r>
        <w:t>3.</w:t>
      </w:r>
      <w:r>
        <w:tab/>
      </w:r>
      <w:r>
        <w:rPr>
          <w:noProof/>
        </w:rPr>
        <w:t>Finanční prognózy na roky 2018–2020 (v milionech EUR)</w:t>
      </w:r>
    </w:p>
    <w:p>
      <w:pPr>
        <w:pStyle w:val="Text1"/>
        <w:rPr>
          <w:noProof/>
        </w:rPr>
      </w:pPr>
      <w:r>
        <w:rPr>
          <w:noProof/>
        </w:rPr>
        <w:t>V následující tabulce jsou uvedeny aktualizované údaje o závazcích, platbách a příspěvcích na základě nejnovějších prognóz Komise.</w:t>
      </w:r>
    </w:p>
    <w:tbl>
      <w:tblPr>
        <w:tblW w:w="5000" w:type="pct"/>
        <w:tblLook w:val="04A0" w:firstRow="1" w:lastRow="0" w:firstColumn="1" w:lastColumn="0" w:noHBand="0" w:noVBand="1"/>
      </w:tblPr>
      <w:tblGrid>
        <w:gridCol w:w="1621"/>
        <w:gridCol w:w="1320"/>
        <w:gridCol w:w="2116"/>
        <w:gridCol w:w="2116"/>
        <w:gridCol w:w="2116"/>
      </w:tblGrid>
      <w:tr>
        <w:trPr>
          <w:trHeight w:val="240"/>
        </w:trPr>
        <w:tc>
          <w:tcPr>
            <w:tcW w:w="2902"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Prognózy 2018–2020 (*)</w:t>
            </w:r>
          </w:p>
        </w:tc>
        <w:tc>
          <w:tcPr>
            <w:tcW w:w="699" w:type="pct"/>
            <w:tcBorders>
              <w:top w:val="single" w:sz="8" w:space="0" w:color="auto"/>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 </w:t>
            </w:r>
          </w:p>
        </w:tc>
        <w:tc>
          <w:tcPr>
            <w:tcW w:w="699" w:type="pct"/>
            <w:tcBorders>
              <w:top w:val="single" w:sz="8" w:space="0" w:color="auto"/>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 </w:t>
            </w:r>
          </w:p>
        </w:tc>
        <w:tc>
          <w:tcPr>
            <w:tcW w:w="699" w:type="pct"/>
            <w:tcBorders>
              <w:top w:val="single" w:sz="8" w:space="0" w:color="auto"/>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 </w:t>
            </w:r>
          </w:p>
        </w:tc>
      </w:tr>
      <w:tr>
        <w:trPr>
          <w:trHeight w:val="240"/>
        </w:trPr>
        <w:tc>
          <w:tcPr>
            <w:tcW w:w="2902" w:type="pct"/>
            <w:gridSpan w:val="2"/>
            <w:vMerge/>
            <w:tcBorders>
              <w:top w:val="single" w:sz="8" w:space="0" w:color="auto"/>
              <w:left w:val="single" w:sz="8" w:space="0" w:color="auto"/>
              <w:bottom w:val="single" w:sz="8" w:space="0" w:color="000000"/>
              <w:right w:val="single" w:sz="8" w:space="0" w:color="000000"/>
            </w:tcBorders>
            <w:vAlign w:val="center"/>
            <w:hideMark/>
          </w:tcPr>
          <w:p>
            <w:pPr>
              <w:spacing w:after="0" w:line="240" w:lineRule="auto"/>
              <w:rPr>
                <w:rFonts w:ascii="Times New Roman" w:eastAsia="Times New Roman" w:hAnsi="Times New Roman" w:cs="Times New Roman"/>
                <w:b/>
                <w:bCs/>
                <w:noProof/>
                <w:sz w:val="24"/>
                <w:szCs w:val="24"/>
              </w:rPr>
            </w:pP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2018</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2019</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2020</w:t>
            </w:r>
          </w:p>
        </w:tc>
      </w:tr>
      <w:tr>
        <w:trPr>
          <w:trHeight w:val="240"/>
        </w:trPr>
        <w:tc>
          <w:tcPr>
            <w:tcW w:w="2902" w:type="pct"/>
            <w:gridSpan w:val="2"/>
            <w:vMerge/>
            <w:tcBorders>
              <w:top w:val="single" w:sz="8" w:space="0" w:color="auto"/>
              <w:left w:val="single" w:sz="8" w:space="0" w:color="auto"/>
              <w:bottom w:val="single" w:sz="8" w:space="0" w:color="000000"/>
              <w:right w:val="single" w:sz="8" w:space="0" w:color="000000"/>
            </w:tcBorders>
            <w:vAlign w:val="center"/>
            <w:hideMark/>
          </w:tcPr>
          <w:p>
            <w:pPr>
              <w:spacing w:after="0" w:line="240" w:lineRule="auto"/>
              <w:rPr>
                <w:rFonts w:ascii="Times New Roman" w:eastAsia="Times New Roman" w:hAnsi="Times New Roman" w:cs="Times New Roman"/>
                <w:b/>
                <w:bCs/>
                <w:noProof/>
                <w:sz w:val="24"/>
                <w:szCs w:val="24"/>
              </w:rPr>
            </w:pPr>
          </w:p>
        </w:tc>
        <w:tc>
          <w:tcPr>
            <w:tcW w:w="699" w:type="pct"/>
            <w:tcBorders>
              <w:top w:val="nil"/>
              <w:left w:val="nil"/>
              <w:bottom w:val="single" w:sz="8" w:space="0" w:color="auto"/>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bCs/>
                <w:noProof/>
                <w:sz w:val="24"/>
                <w:szCs w:val="24"/>
              </w:rPr>
            </w:pPr>
            <w:r>
              <w:rPr>
                <w:rFonts w:ascii="Times New Roman" w:hAnsi="Times New Roman"/>
                <w:b/>
                <w:noProof/>
                <w:sz w:val="24"/>
              </w:rPr>
              <w:t> </w:t>
            </w:r>
            <w:r>
              <w:rPr>
                <w:rFonts w:ascii="Times New Roman" w:hAnsi="Times New Roman"/>
                <w:noProof/>
                <w:sz w:val="24"/>
              </w:rPr>
              <w:t>(v milionech EUR)</w:t>
            </w:r>
          </w:p>
        </w:tc>
        <w:tc>
          <w:tcPr>
            <w:tcW w:w="699" w:type="pct"/>
            <w:tcBorders>
              <w:top w:val="nil"/>
              <w:left w:val="nil"/>
              <w:bottom w:val="single" w:sz="8" w:space="0" w:color="auto"/>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 </w:t>
            </w:r>
            <w:r>
              <w:rPr>
                <w:rFonts w:ascii="Times New Roman" w:hAnsi="Times New Roman"/>
                <w:noProof/>
                <w:sz w:val="24"/>
              </w:rPr>
              <w:t>(v milionech EUR)</w:t>
            </w:r>
          </w:p>
        </w:tc>
        <w:tc>
          <w:tcPr>
            <w:tcW w:w="699" w:type="pct"/>
            <w:tcBorders>
              <w:top w:val="nil"/>
              <w:left w:val="nil"/>
              <w:bottom w:val="single" w:sz="8" w:space="0" w:color="auto"/>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 </w:t>
            </w:r>
            <w:r>
              <w:rPr>
                <w:rFonts w:ascii="Times New Roman" w:hAnsi="Times New Roman"/>
                <w:noProof/>
                <w:sz w:val="24"/>
              </w:rPr>
              <w:t>(v milionech EUR)</w:t>
            </w:r>
          </w:p>
        </w:tc>
      </w:tr>
      <w:tr>
        <w:trPr>
          <w:trHeight w:val="240"/>
        </w:trPr>
        <w:tc>
          <w:tcPr>
            <w:tcW w:w="1532" w:type="pct"/>
            <w:tcBorders>
              <w:top w:val="nil"/>
              <w:left w:val="single" w:sz="8" w:space="0" w:color="auto"/>
              <w:bottom w:val="nil"/>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1370"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699" w:type="pct"/>
            <w:tcBorders>
              <w:top w:val="nil"/>
              <w:left w:val="single" w:sz="8" w:space="0" w:color="auto"/>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w:t>
            </w:r>
          </w:p>
        </w:tc>
      </w:tr>
      <w:tr>
        <w:trPr>
          <w:trHeight w:val="240"/>
        </w:trPr>
        <w:tc>
          <w:tcPr>
            <w:tcW w:w="1532" w:type="pct"/>
            <w:tcBorders>
              <w:top w:val="nil"/>
              <w:left w:val="single" w:sz="8" w:space="0" w:color="auto"/>
              <w:bottom w:val="nil"/>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Závazky</w:t>
            </w:r>
          </w:p>
        </w:tc>
        <w:tc>
          <w:tcPr>
            <w:tcW w:w="1370"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Komise</w:t>
            </w:r>
          </w:p>
        </w:tc>
        <w:tc>
          <w:tcPr>
            <w:tcW w:w="699" w:type="pct"/>
            <w:tcBorders>
              <w:top w:val="nil"/>
              <w:left w:val="single" w:sz="8" w:space="0" w:color="auto"/>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4 537</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4 057</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3 823</w:t>
            </w:r>
          </w:p>
        </w:tc>
      </w:tr>
      <w:tr>
        <w:trPr>
          <w:trHeight w:val="240"/>
        </w:trPr>
        <w:tc>
          <w:tcPr>
            <w:tcW w:w="1532" w:type="pct"/>
            <w:tcBorders>
              <w:top w:val="nil"/>
              <w:left w:val="single" w:sz="8" w:space="0" w:color="auto"/>
              <w:bottom w:val="nil"/>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1370"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EIB</w:t>
            </w:r>
          </w:p>
        </w:tc>
        <w:tc>
          <w:tcPr>
            <w:tcW w:w="699" w:type="pct"/>
            <w:tcBorders>
              <w:top w:val="nil"/>
              <w:left w:val="single" w:sz="8" w:space="0" w:color="auto"/>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880</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930</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930</w:t>
            </w:r>
          </w:p>
        </w:tc>
      </w:tr>
      <w:tr>
        <w:trPr>
          <w:trHeight w:val="330"/>
        </w:trPr>
        <w:tc>
          <w:tcPr>
            <w:tcW w:w="1532" w:type="pct"/>
            <w:tcBorders>
              <w:top w:val="nil"/>
              <w:left w:val="single" w:sz="8" w:space="0" w:color="auto"/>
              <w:bottom w:val="single" w:sz="8"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1370" w:type="pct"/>
            <w:tcBorders>
              <w:top w:val="nil"/>
              <w:left w:val="nil"/>
              <w:bottom w:val="single" w:sz="8" w:space="0" w:color="auto"/>
              <w:right w:val="nil"/>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Celkem</w:t>
            </w:r>
          </w:p>
        </w:tc>
        <w:tc>
          <w:tcPr>
            <w:tcW w:w="699" w:type="pct"/>
            <w:tcBorders>
              <w:top w:val="nil"/>
              <w:left w:val="single" w:sz="8" w:space="0" w:color="auto"/>
              <w:bottom w:val="single" w:sz="8" w:space="0" w:color="auto"/>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5 417</w:t>
            </w:r>
          </w:p>
        </w:tc>
        <w:tc>
          <w:tcPr>
            <w:tcW w:w="699" w:type="pct"/>
            <w:tcBorders>
              <w:top w:val="nil"/>
              <w:left w:val="nil"/>
              <w:bottom w:val="single" w:sz="8" w:space="0" w:color="auto"/>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4 987</w:t>
            </w:r>
          </w:p>
        </w:tc>
        <w:tc>
          <w:tcPr>
            <w:tcW w:w="699" w:type="pct"/>
            <w:tcBorders>
              <w:top w:val="nil"/>
              <w:left w:val="nil"/>
              <w:bottom w:val="single" w:sz="8" w:space="0" w:color="auto"/>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4 753</w:t>
            </w:r>
          </w:p>
        </w:tc>
      </w:tr>
      <w:tr>
        <w:trPr>
          <w:trHeight w:val="240"/>
        </w:trPr>
        <w:tc>
          <w:tcPr>
            <w:tcW w:w="1532" w:type="pct"/>
            <w:tcBorders>
              <w:top w:val="nil"/>
              <w:left w:val="single" w:sz="8" w:space="0" w:color="auto"/>
              <w:bottom w:val="nil"/>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1370"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699" w:type="pct"/>
            <w:tcBorders>
              <w:top w:val="nil"/>
              <w:left w:val="single" w:sz="8" w:space="0" w:color="auto"/>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w:t>
            </w:r>
          </w:p>
        </w:tc>
      </w:tr>
      <w:tr>
        <w:trPr>
          <w:trHeight w:val="240"/>
        </w:trPr>
        <w:tc>
          <w:tcPr>
            <w:tcW w:w="1532" w:type="pct"/>
            <w:tcBorders>
              <w:top w:val="nil"/>
              <w:left w:val="single" w:sz="8" w:space="0" w:color="auto"/>
              <w:bottom w:val="nil"/>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Platby</w:t>
            </w:r>
          </w:p>
        </w:tc>
        <w:tc>
          <w:tcPr>
            <w:tcW w:w="1370"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Komise</w:t>
            </w:r>
          </w:p>
        </w:tc>
        <w:tc>
          <w:tcPr>
            <w:tcW w:w="699" w:type="pct"/>
            <w:tcBorders>
              <w:top w:val="nil"/>
              <w:left w:val="single" w:sz="8" w:space="0" w:color="auto"/>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4 200</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4 400</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4 600</w:t>
            </w:r>
          </w:p>
        </w:tc>
      </w:tr>
      <w:tr>
        <w:trPr>
          <w:trHeight w:val="240"/>
        </w:trPr>
        <w:tc>
          <w:tcPr>
            <w:tcW w:w="1532" w:type="pct"/>
            <w:tcBorders>
              <w:top w:val="nil"/>
              <w:left w:val="single" w:sz="8" w:space="0" w:color="auto"/>
              <w:bottom w:val="nil"/>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1370"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EIB</w:t>
            </w:r>
          </w:p>
        </w:tc>
        <w:tc>
          <w:tcPr>
            <w:tcW w:w="699" w:type="pct"/>
            <w:tcBorders>
              <w:top w:val="nil"/>
              <w:left w:val="single" w:sz="8" w:space="0" w:color="auto"/>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555</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580</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605</w:t>
            </w:r>
          </w:p>
        </w:tc>
      </w:tr>
      <w:tr>
        <w:trPr>
          <w:trHeight w:val="330"/>
        </w:trPr>
        <w:tc>
          <w:tcPr>
            <w:tcW w:w="1532" w:type="pct"/>
            <w:tcBorders>
              <w:top w:val="nil"/>
              <w:left w:val="single" w:sz="8" w:space="0" w:color="auto"/>
              <w:bottom w:val="single" w:sz="8"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1370" w:type="pct"/>
            <w:tcBorders>
              <w:top w:val="nil"/>
              <w:left w:val="nil"/>
              <w:bottom w:val="single" w:sz="8" w:space="0" w:color="auto"/>
              <w:right w:val="nil"/>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Celkem</w:t>
            </w:r>
          </w:p>
        </w:tc>
        <w:tc>
          <w:tcPr>
            <w:tcW w:w="699" w:type="pct"/>
            <w:tcBorders>
              <w:top w:val="nil"/>
              <w:left w:val="single" w:sz="8" w:space="0" w:color="auto"/>
              <w:bottom w:val="single" w:sz="8" w:space="0" w:color="auto"/>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4 755</w:t>
            </w:r>
          </w:p>
        </w:tc>
        <w:tc>
          <w:tcPr>
            <w:tcW w:w="699" w:type="pct"/>
            <w:tcBorders>
              <w:top w:val="nil"/>
              <w:left w:val="nil"/>
              <w:bottom w:val="single" w:sz="8" w:space="0" w:color="auto"/>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4 980</w:t>
            </w:r>
          </w:p>
        </w:tc>
        <w:tc>
          <w:tcPr>
            <w:tcW w:w="699" w:type="pct"/>
            <w:tcBorders>
              <w:top w:val="nil"/>
              <w:left w:val="nil"/>
              <w:bottom w:val="single" w:sz="8" w:space="0" w:color="auto"/>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5 205</w:t>
            </w:r>
          </w:p>
        </w:tc>
      </w:tr>
      <w:tr>
        <w:trPr>
          <w:trHeight w:val="240"/>
        </w:trPr>
        <w:tc>
          <w:tcPr>
            <w:tcW w:w="1532" w:type="pct"/>
            <w:tcBorders>
              <w:top w:val="nil"/>
              <w:left w:val="single" w:sz="8" w:space="0" w:color="auto"/>
              <w:bottom w:val="nil"/>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1370"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699" w:type="pct"/>
            <w:tcBorders>
              <w:top w:val="nil"/>
              <w:left w:val="single" w:sz="8" w:space="0" w:color="auto"/>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w:t>
            </w:r>
          </w:p>
        </w:tc>
      </w:tr>
      <w:tr>
        <w:trPr>
          <w:trHeight w:val="240"/>
        </w:trPr>
        <w:tc>
          <w:tcPr>
            <w:tcW w:w="1532" w:type="pct"/>
            <w:tcBorders>
              <w:top w:val="nil"/>
              <w:left w:val="single" w:sz="8" w:space="0" w:color="auto"/>
              <w:bottom w:val="nil"/>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color w:val="FF0000"/>
                <w:sz w:val="24"/>
                <w:szCs w:val="24"/>
              </w:rPr>
            </w:pPr>
            <w:r>
              <w:rPr>
                <w:rFonts w:ascii="Times New Roman" w:hAnsi="Times New Roman"/>
                <w:noProof/>
                <w:color w:val="FF0000"/>
                <w:sz w:val="24"/>
              </w:rPr>
              <w:t>Příspěvky</w:t>
            </w:r>
          </w:p>
        </w:tc>
        <w:tc>
          <w:tcPr>
            <w:tcW w:w="1370"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Komise</w:t>
            </w:r>
          </w:p>
        </w:tc>
        <w:tc>
          <w:tcPr>
            <w:tcW w:w="699" w:type="pct"/>
            <w:tcBorders>
              <w:top w:val="nil"/>
              <w:left w:val="single" w:sz="8" w:space="0" w:color="auto"/>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4 250</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4 400</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4 600</w:t>
            </w:r>
          </w:p>
        </w:tc>
      </w:tr>
      <w:tr>
        <w:trPr>
          <w:trHeight w:val="240"/>
        </w:trPr>
        <w:tc>
          <w:tcPr>
            <w:tcW w:w="1532" w:type="pct"/>
            <w:tcBorders>
              <w:top w:val="nil"/>
              <w:left w:val="single" w:sz="8" w:space="0" w:color="auto"/>
              <w:bottom w:val="nil"/>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1370"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EIB</w:t>
            </w:r>
          </w:p>
        </w:tc>
        <w:tc>
          <w:tcPr>
            <w:tcW w:w="699" w:type="pct"/>
            <w:tcBorders>
              <w:top w:val="nil"/>
              <w:left w:val="single" w:sz="8" w:space="0" w:color="auto"/>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250**</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300</w:t>
            </w:r>
          </w:p>
        </w:tc>
        <w:tc>
          <w:tcPr>
            <w:tcW w:w="699"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300</w:t>
            </w:r>
          </w:p>
        </w:tc>
      </w:tr>
      <w:tr>
        <w:trPr>
          <w:trHeight w:val="330"/>
        </w:trPr>
        <w:tc>
          <w:tcPr>
            <w:tcW w:w="1532" w:type="pct"/>
            <w:tcBorders>
              <w:top w:val="nil"/>
              <w:left w:val="single" w:sz="8" w:space="0" w:color="auto"/>
              <w:bottom w:val="single" w:sz="8"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1370" w:type="pct"/>
            <w:tcBorders>
              <w:top w:val="nil"/>
              <w:left w:val="nil"/>
              <w:bottom w:val="single" w:sz="8" w:space="0" w:color="auto"/>
              <w:right w:val="nil"/>
            </w:tcBorders>
            <w:shd w:val="clear" w:color="auto" w:fill="auto"/>
            <w:noWrap/>
            <w:vAlign w:val="bottom"/>
            <w:hideMark/>
          </w:tcPr>
          <w:p>
            <w:pPr>
              <w:spacing w:after="0" w:line="240" w:lineRule="auto"/>
              <w:rPr>
                <w:rFonts w:ascii="Times New Roman" w:eastAsia="Times New Roman" w:hAnsi="Times New Roman" w:cs="Times New Roman"/>
                <w:noProof/>
                <w:color w:val="FF0000"/>
                <w:sz w:val="24"/>
                <w:szCs w:val="24"/>
              </w:rPr>
            </w:pPr>
            <w:r>
              <w:rPr>
                <w:rFonts w:ascii="Times New Roman" w:hAnsi="Times New Roman"/>
                <w:noProof/>
                <w:color w:val="FF0000"/>
                <w:sz w:val="24"/>
              </w:rPr>
              <w:t>Celkem</w:t>
            </w:r>
          </w:p>
        </w:tc>
        <w:tc>
          <w:tcPr>
            <w:tcW w:w="699" w:type="pct"/>
            <w:tcBorders>
              <w:top w:val="nil"/>
              <w:left w:val="single" w:sz="8" w:space="0" w:color="auto"/>
              <w:bottom w:val="single" w:sz="8" w:space="0" w:color="auto"/>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color w:val="FF0000"/>
                <w:sz w:val="24"/>
                <w:szCs w:val="24"/>
              </w:rPr>
            </w:pPr>
            <w:r>
              <w:rPr>
                <w:rFonts w:ascii="Times New Roman" w:hAnsi="Times New Roman"/>
                <w:noProof/>
                <w:color w:val="FF0000"/>
                <w:sz w:val="24"/>
              </w:rPr>
              <w:t>4 500</w:t>
            </w:r>
          </w:p>
        </w:tc>
        <w:tc>
          <w:tcPr>
            <w:tcW w:w="699" w:type="pct"/>
            <w:tcBorders>
              <w:top w:val="nil"/>
              <w:left w:val="nil"/>
              <w:bottom w:val="single" w:sz="8" w:space="0" w:color="auto"/>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color w:val="FF0000"/>
                <w:sz w:val="24"/>
                <w:szCs w:val="24"/>
              </w:rPr>
            </w:pPr>
            <w:r>
              <w:rPr>
                <w:rFonts w:ascii="Times New Roman" w:hAnsi="Times New Roman"/>
                <w:noProof/>
                <w:color w:val="FF0000"/>
                <w:sz w:val="24"/>
              </w:rPr>
              <w:t>4 700</w:t>
            </w:r>
          </w:p>
        </w:tc>
        <w:tc>
          <w:tcPr>
            <w:tcW w:w="699" w:type="pct"/>
            <w:tcBorders>
              <w:top w:val="nil"/>
              <w:left w:val="nil"/>
              <w:bottom w:val="single" w:sz="8" w:space="0" w:color="auto"/>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color w:val="FF0000"/>
                <w:sz w:val="24"/>
                <w:szCs w:val="24"/>
              </w:rPr>
            </w:pPr>
            <w:r>
              <w:rPr>
                <w:rFonts w:ascii="Times New Roman" w:hAnsi="Times New Roman"/>
                <w:noProof/>
                <w:color w:val="FF0000"/>
                <w:sz w:val="24"/>
              </w:rPr>
              <w:t>4 900</w:t>
            </w:r>
          </w:p>
        </w:tc>
      </w:tr>
    </w:tbl>
    <w:p>
      <w:pPr>
        <w:pStyle w:val="Text1"/>
        <w:ind w:left="0"/>
        <w:jc w:val="left"/>
        <w:rPr>
          <w:noProof/>
          <w:sz w:val="20"/>
          <w:szCs w:val="20"/>
        </w:rPr>
      </w:pPr>
      <w:r>
        <w:rPr>
          <w:noProof/>
          <w:sz w:val="20"/>
        </w:rPr>
        <w:t>* Hrubé částky, tj. bez odečtení zrušených závazků, zpětně získaných částek a prostředků získaných z dřívějších operací. Tento přístup je v souladu s metodou používanou pro souhrnný rozpočet Unie.</w:t>
      </w:r>
      <w:r>
        <w:rPr>
          <w:noProof/>
          <w:sz w:val="20"/>
          <w:szCs w:val="20"/>
        </w:rPr>
        <w:br/>
      </w:r>
      <w:r>
        <w:rPr>
          <w:noProof/>
          <w:sz w:val="20"/>
        </w:rPr>
        <w:t>** Vysvětlivka EIB k informacím ze dne 17. listopadu 2015, dokument pro zasedání č. 151/15 ADD 1 ACP.</w:t>
      </w:r>
    </w:p>
    <w:p>
      <w:pPr>
        <w:pStyle w:val="ManualHeading1"/>
        <w:rPr>
          <w:noProof/>
        </w:rPr>
      </w:pPr>
      <w:r>
        <w:rPr>
          <w:noProof/>
        </w:rPr>
        <w:br w:type="page"/>
      </w:r>
      <w:r>
        <w:t>4.</w:t>
      </w:r>
      <w:r>
        <w:tab/>
      </w:r>
      <w:r>
        <w:rPr>
          <w:noProof/>
        </w:rPr>
        <w:t>Nezávazné odhady příspěvků na roky 2021–2022 (v milionech EUR)</w:t>
      </w:r>
    </w:p>
    <w:tbl>
      <w:tblPr>
        <w:tblW w:w="5000" w:type="pct"/>
        <w:tblLook w:val="04A0" w:firstRow="1" w:lastRow="0" w:firstColumn="1" w:lastColumn="0" w:noHBand="0" w:noVBand="1"/>
      </w:tblPr>
      <w:tblGrid>
        <w:gridCol w:w="2528"/>
        <w:gridCol w:w="2529"/>
        <w:gridCol w:w="2116"/>
        <w:gridCol w:w="2116"/>
      </w:tblGrid>
      <w:tr>
        <w:trPr>
          <w:trHeight w:val="315"/>
        </w:trPr>
        <w:tc>
          <w:tcPr>
            <w:tcW w:w="1365" w:type="pct"/>
            <w:tcBorders>
              <w:top w:val="single" w:sz="8" w:space="0" w:color="auto"/>
              <w:left w:val="single" w:sz="8" w:space="0" w:color="auto"/>
              <w:bottom w:val="nil"/>
              <w:right w:val="nil"/>
            </w:tcBorders>
            <w:shd w:val="clear" w:color="auto" w:fill="auto"/>
            <w:noWrap/>
            <w:vAlign w:val="bottom"/>
            <w:hideMark/>
          </w:tcPr>
          <w:p>
            <w:pPr>
              <w:spacing w:after="0" w:line="240" w:lineRule="auto"/>
              <w:rPr>
                <w:rFonts w:ascii="Times New Roman" w:eastAsia="Times New Roman" w:hAnsi="Times New Roman" w:cs="Times New Roman"/>
                <w:b/>
                <w:bCs/>
                <w:noProof/>
                <w:sz w:val="24"/>
                <w:szCs w:val="24"/>
              </w:rPr>
            </w:pPr>
            <w:r>
              <w:rPr>
                <w:rFonts w:ascii="Times New Roman" w:hAnsi="Times New Roman"/>
                <w:b/>
                <w:noProof/>
                <w:sz w:val="24"/>
              </w:rPr>
              <w:t> </w:t>
            </w:r>
          </w:p>
        </w:tc>
        <w:tc>
          <w:tcPr>
            <w:tcW w:w="1365" w:type="pct"/>
            <w:tcBorders>
              <w:top w:val="single" w:sz="8" w:space="0" w:color="auto"/>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b/>
                <w:bCs/>
                <w:noProof/>
                <w:sz w:val="24"/>
                <w:szCs w:val="24"/>
              </w:rPr>
            </w:pPr>
            <w:r>
              <w:rPr>
                <w:rFonts w:ascii="Times New Roman" w:hAnsi="Times New Roman"/>
                <w:b/>
                <w:noProof/>
                <w:sz w:val="24"/>
              </w:rPr>
              <w:t> </w:t>
            </w:r>
          </w:p>
        </w:tc>
        <w:tc>
          <w:tcPr>
            <w:tcW w:w="1135" w:type="pct"/>
            <w:tcBorders>
              <w:top w:val="single" w:sz="8" w:space="0" w:color="auto"/>
              <w:left w:val="single" w:sz="4" w:space="0" w:color="auto"/>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 </w:t>
            </w:r>
          </w:p>
        </w:tc>
        <w:tc>
          <w:tcPr>
            <w:tcW w:w="1135" w:type="pct"/>
            <w:tcBorders>
              <w:top w:val="single" w:sz="8" w:space="0" w:color="auto"/>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 </w:t>
            </w:r>
          </w:p>
        </w:tc>
      </w:tr>
      <w:tr>
        <w:trPr>
          <w:trHeight w:val="315"/>
        </w:trPr>
        <w:tc>
          <w:tcPr>
            <w:tcW w:w="2730" w:type="pct"/>
            <w:gridSpan w:val="2"/>
            <w:tcBorders>
              <w:top w:val="nil"/>
              <w:left w:val="single" w:sz="8" w:space="0" w:color="auto"/>
              <w:bottom w:val="nil"/>
              <w:right w:val="single" w:sz="4" w:space="0" w:color="000000"/>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Prognózy 2020–2021 (*)</w:t>
            </w:r>
          </w:p>
        </w:tc>
        <w:tc>
          <w:tcPr>
            <w:tcW w:w="1135" w:type="pct"/>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2021</w:t>
            </w:r>
          </w:p>
        </w:tc>
        <w:tc>
          <w:tcPr>
            <w:tcW w:w="1135"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2022</w:t>
            </w:r>
          </w:p>
        </w:tc>
      </w:tr>
      <w:tr>
        <w:trPr>
          <w:trHeight w:val="330"/>
        </w:trPr>
        <w:tc>
          <w:tcPr>
            <w:tcW w:w="1365" w:type="pct"/>
            <w:tcBorders>
              <w:top w:val="nil"/>
              <w:left w:val="single" w:sz="8" w:space="0" w:color="auto"/>
              <w:bottom w:val="single" w:sz="8" w:space="0" w:color="auto"/>
              <w:right w:val="nil"/>
            </w:tcBorders>
            <w:shd w:val="clear" w:color="auto" w:fill="auto"/>
            <w:noWrap/>
            <w:vAlign w:val="bottom"/>
            <w:hideMark/>
          </w:tcPr>
          <w:p>
            <w:pPr>
              <w:spacing w:after="0" w:line="240" w:lineRule="auto"/>
              <w:rPr>
                <w:rFonts w:ascii="Times New Roman" w:eastAsia="Times New Roman" w:hAnsi="Times New Roman" w:cs="Times New Roman"/>
                <w:b/>
                <w:bCs/>
                <w:noProof/>
                <w:sz w:val="24"/>
                <w:szCs w:val="24"/>
              </w:rPr>
            </w:pPr>
            <w:r>
              <w:rPr>
                <w:rFonts w:ascii="Times New Roman" w:hAnsi="Times New Roman"/>
                <w:b/>
                <w:noProof/>
                <w:sz w:val="24"/>
              </w:rPr>
              <w:t> </w:t>
            </w:r>
          </w:p>
        </w:tc>
        <w:tc>
          <w:tcPr>
            <w:tcW w:w="1365" w:type="pct"/>
            <w:tcBorders>
              <w:top w:val="nil"/>
              <w:left w:val="nil"/>
              <w:bottom w:val="single" w:sz="8" w:space="0" w:color="auto"/>
              <w:right w:val="nil"/>
            </w:tcBorders>
            <w:shd w:val="clear" w:color="auto" w:fill="auto"/>
            <w:noWrap/>
            <w:vAlign w:val="bottom"/>
            <w:hideMark/>
          </w:tcPr>
          <w:p>
            <w:pPr>
              <w:spacing w:after="0" w:line="240" w:lineRule="auto"/>
              <w:rPr>
                <w:rFonts w:ascii="Times New Roman" w:eastAsia="Times New Roman" w:hAnsi="Times New Roman" w:cs="Times New Roman"/>
                <w:b/>
                <w:bCs/>
                <w:noProof/>
                <w:sz w:val="24"/>
                <w:szCs w:val="24"/>
              </w:rPr>
            </w:pPr>
            <w:r>
              <w:rPr>
                <w:rFonts w:ascii="Times New Roman" w:hAnsi="Times New Roman"/>
                <w:b/>
                <w:noProof/>
                <w:sz w:val="24"/>
              </w:rPr>
              <w:t> </w:t>
            </w:r>
          </w:p>
        </w:tc>
        <w:tc>
          <w:tcPr>
            <w:tcW w:w="1135" w:type="pct"/>
            <w:tcBorders>
              <w:top w:val="nil"/>
              <w:left w:val="single" w:sz="4" w:space="0" w:color="auto"/>
              <w:bottom w:val="single" w:sz="8"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 </w:t>
            </w:r>
            <w:r>
              <w:rPr>
                <w:rFonts w:ascii="Times New Roman" w:hAnsi="Times New Roman"/>
                <w:noProof/>
                <w:sz w:val="24"/>
              </w:rPr>
              <w:t>(v milionech EUR)</w:t>
            </w:r>
          </w:p>
        </w:tc>
        <w:tc>
          <w:tcPr>
            <w:tcW w:w="1135" w:type="pct"/>
            <w:tcBorders>
              <w:top w:val="nil"/>
              <w:left w:val="nil"/>
              <w:bottom w:val="single" w:sz="8" w:space="0" w:color="auto"/>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 </w:t>
            </w:r>
            <w:r>
              <w:rPr>
                <w:rFonts w:ascii="Times New Roman" w:hAnsi="Times New Roman"/>
                <w:noProof/>
                <w:sz w:val="24"/>
              </w:rPr>
              <w:t>(v milionech EUR)</w:t>
            </w:r>
          </w:p>
        </w:tc>
      </w:tr>
      <w:tr>
        <w:trPr>
          <w:trHeight w:val="315"/>
        </w:trPr>
        <w:tc>
          <w:tcPr>
            <w:tcW w:w="1365" w:type="pct"/>
            <w:tcBorders>
              <w:top w:val="nil"/>
              <w:left w:val="single" w:sz="8" w:space="0" w:color="auto"/>
              <w:bottom w:val="nil"/>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1365"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1135" w:type="pct"/>
            <w:tcBorders>
              <w:top w:val="nil"/>
              <w:left w:val="single" w:sz="4" w:space="0" w:color="auto"/>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w:t>
            </w:r>
          </w:p>
        </w:tc>
        <w:tc>
          <w:tcPr>
            <w:tcW w:w="1135"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w:t>
            </w:r>
          </w:p>
        </w:tc>
      </w:tr>
      <w:tr>
        <w:trPr>
          <w:trHeight w:val="315"/>
        </w:trPr>
        <w:tc>
          <w:tcPr>
            <w:tcW w:w="1365" w:type="pct"/>
            <w:tcBorders>
              <w:top w:val="nil"/>
              <w:left w:val="single" w:sz="8" w:space="0" w:color="auto"/>
              <w:bottom w:val="nil"/>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color w:val="FF0000"/>
                <w:sz w:val="24"/>
                <w:szCs w:val="24"/>
              </w:rPr>
            </w:pPr>
            <w:r>
              <w:rPr>
                <w:rFonts w:ascii="Times New Roman" w:hAnsi="Times New Roman"/>
                <w:noProof/>
                <w:color w:val="FF0000"/>
                <w:sz w:val="24"/>
              </w:rPr>
              <w:t>Příspěvky</w:t>
            </w:r>
          </w:p>
        </w:tc>
        <w:tc>
          <w:tcPr>
            <w:tcW w:w="1365"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Komise</w:t>
            </w:r>
          </w:p>
        </w:tc>
        <w:tc>
          <w:tcPr>
            <w:tcW w:w="1135" w:type="pct"/>
            <w:tcBorders>
              <w:top w:val="nil"/>
              <w:left w:val="single" w:sz="4" w:space="0" w:color="auto"/>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4 000</w:t>
            </w:r>
          </w:p>
        </w:tc>
        <w:tc>
          <w:tcPr>
            <w:tcW w:w="1135"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3 500</w:t>
            </w:r>
          </w:p>
        </w:tc>
      </w:tr>
      <w:tr>
        <w:trPr>
          <w:trHeight w:val="315"/>
        </w:trPr>
        <w:tc>
          <w:tcPr>
            <w:tcW w:w="1365" w:type="pct"/>
            <w:tcBorders>
              <w:top w:val="nil"/>
              <w:left w:val="single" w:sz="8" w:space="0" w:color="auto"/>
              <w:bottom w:val="nil"/>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1365"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EIB</w:t>
            </w:r>
          </w:p>
        </w:tc>
        <w:tc>
          <w:tcPr>
            <w:tcW w:w="1135" w:type="pct"/>
            <w:tcBorders>
              <w:top w:val="nil"/>
              <w:left w:val="single" w:sz="4" w:space="0" w:color="auto"/>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300</w:t>
            </w:r>
          </w:p>
        </w:tc>
        <w:tc>
          <w:tcPr>
            <w:tcW w:w="1135" w:type="pct"/>
            <w:tcBorders>
              <w:top w:val="nil"/>
              <w:left w:val="nil"/>
              <w:bottom w:val="nil"/>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400</w:t>
            </w:r>
          </w:p>
        </w:tc>
      </w:tr>
      <w:tr>
        <w:trPr>
          <w:trHeight w:val="330"/>
        </w:trPr>
        <w:tc>
          <w:tcPr>
            <w:tcW w:w="1365" w:type="pct"/>
            <w:tcBorders>
              <w:top w:val="nil"/>
              <w:left w:val="single" w:sz="8" w:space="0" w:color="auto"/>
              <w:bottom w:val="single" w:sz="8"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sz w:val="24"/>
                <w:szCs w:val="24"/>
              </w:rPr>
            </w:pPr>
            <w:r>
              <w:rPr>
                <w:rFonts w:ascii="Times New Roman" w:hAnsi="Times New Roman"/>
                <w:noProof/>
                <w:sz w:val="24"/>
              </w:rPr>
              <w:t> </w:t>
            </w:r>
          </w:p>
        </w:tc>
        <w:tc>
          <w:tcPr>
            <w:tcW w:w="1365" w:type="pct"/>
            <w:tcBorders>
              <w:top w:val="nil"/>
              <w:left w:val="nil"/>
              <w:bottom w:val="single" w:sz="8" w:space="0" w:color="auto"/>
              <w:right w:val="nil"/>
            </w:tcBorders>
            <w:shd w:val="clear" w:color="auto" w:fill="auto"/>
            <w:noWrap/>
            <w:vAlign w:val="bottom"/>
            <w:hideMark/>
          </w:tcPr>
          <w:p>
            <w:pPr>
              <w:spacing w:after="0" w:line="240" w:lineRule="auto"/>
              <w:rPr>
                <w:rFonts w:ascii="Times New Roman" w:eastAsia="Times New Roman" w:hAnsi="Times New Roman" w:cs="Times New Roman"/>
                <w:noProof/>
                <w:color w:val="FF0000"/>
                <w:sz w:val="24"/>
                <w:szCs w:val="24"/>
              </w:rPr>
            </w:pPr>
            <w:r>
              <w:rPr>
                <w:rFonts w:ascii="Times New Roman" w:hAnsi="Times New Roman"/>
                <w:noProof/>
                <w:color w:val="FF0000"/>
                <w:sz w:val="24"/>
              </w:rPr>
              <w:t>Celkem</w:t>
            </w:r>
          </w:p>
        </w:tc>
        <w:tc>
          <w:tcPr>
            <w:tcW w:w="1135" w:type="pct"/>
            <w:tcBorders>
              <w:top w:val="nil"/>
              <w:left w:val="single" w:sz="4" w:space="0" w:color="auto"/>
              <w:bottom w:val="single" w:sz="8"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color w:val="FF0000"/>
                <w:sz w:val="24"/>
                <w:szCs w:val="24"/>
              </w:rPr>
            </w:pPr>
            <w:r>
              <w:rPr>
                <w:rFonts w:ascii="Times New Roman" w:hAnsi="Times New Roman"/>
                <w:noProof/>
                <w:color w:val="FF0000"/>
                <w:sz w:val="24"/>
              </w:rPr>
              <w:t>4 300</w:t>
            </w:r>
          </w:p>
        </w:tc>
        <w:tc>
          <w:tcPr>
            <w:tcW w:w="1135" w:type="pct"/>
            <w:tcBorders>
              <w:top w:val="nil"/>
              <w:left w:val="nil"/>
              <w:bottom w:val="single" w:sz="8" w:space="0" w:color="auto"/>
              <w:right w:val="single" w:sz="8"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color w:val="FF0000"/>
                <w:sz w:val="24"/>
                <w:szCs w:val="24"/>
              </w:rPr>
            </w:pPr>
            <w:r>
              <w:rPr>
                <w:rFonts w:ascii="Times New Roman" w:hAnsi="Times New Roman"/>
                <w:noProof/>
                <w:color w:val="FF0000"/>
                <w:sz w:val="24"/>
              </w:rPr>
              <w:t>3 900</w:t>
            </w:r>
          </w:p>
        </w:tc>
      </w:tr>
    </w:tbl>
    <w:p>
      <w:pPr>
        <w:pStyle w:val="Text1"/>
        <w:ind w:left="0"/>
        <w:rPr>
          <w:noProof/>
          <w:sz w:val="20"/>
          <w:szCs w:val="20"/>
        </w:rPr>
      </w:pPr>
      <w:r>
        <w:rPr>
          <w:noProof/>
          <w:sz w:val="20"/>
        </w:rPr>
        <w:t>* Ustanovení čl. 21 odst. 2 finančního nařízení pro 11. ERF (nařízení (EU) 2015/323): orientační nezávazná prognóza očekávaných ročních objemů příspěvků na roky n+3 a n+4, založená na statistickém přístupu.</w:t>
      </w:r>
    </w:p>
    <w:p>
      <w:pPr>
        <w:pStyle w:val="ManualHeading1"/>
        <w:rPr>
          <w:noProof/>
        </w:rPr>
      </w:pPr>
      <w:r>
        <w:t>5.</w:t>
      </w:r>
      <w:r>
        <w:tab/>
      </w:r>
      <w:r>
        <w:rPr>
          <w:noProof/>
        </w:rPr>
        <w:t>Prognózy finančního plnění na roky 2018, 2019 a 2020</w:t>
      </w:r>
    </w:p>
    <w:p>
      <w:pPr>
        <w:pStyle w:val="Text1"/>
        <w:rPr>
          <w:noProof/>
        </w:rPr>
      </w:pPr>
      <w:r>
        <w:rPr>
          <w:noProof/>
        </w:rPr>
        <w:t>Aktualizované prognózy jsou uvedeny v přílohách 1 až 3.</w:t>
      </w:r>
    </w:p>
    <w:p>
      <w:pPr>
        <w:pStyle w:val="Text1"/>
        <w:rPr>
          <w:noProof/>
        </w:rPr>
      </w:pPr>
      <w:r>
        <w:rPr>
          <w:noProof/>
        </w:rPr>
        <w:t>Pro rok 2018 byly odhady závazků uvedené ve sdělení z června 2018 revidovány směrem nahoru v návaznosti na rozhodnutí</w:t>
      </w:r>
      <w:r>
        <w:rPr>
          <w:rStyle w:val="FootnoteReference"/>
          <w:noProof/>
        </w:rPr>
        <w:footnoteReference w:id="7"/>
      </w:r>
      <w:r>
        <w:rPr>
          <w:noProof/>
        </w:rPr>
        <w:t xml:space="preserve"> Komise navýšit finanční prostředky z ERF do nouzového svěřenského fondu EU pro Afriku o 650 milionů EUR. Úroveň plateb ERF zůstává nezměněna a měla by se ustálit na současné rekordní úrovni 4,2 miliardy EUR.</w:t>
      </w:r>
    </w:p>
    <w:p>
      <w:pPr>
        <w:pStyle w:val="Text1"/>
        <w:rPr>
          <w:noProof/>
        </w:rPr>
      </w:pPr>
    </w:p>
    <w:p>
      <w:pPr>
        <w:pStyle w:val="Text1"/>
        <w:ind w:left="0"/>
        <w:rPr>
          <w:noProof/>
        </w:rPr>
      </w:pPr>
      <w:r>
        <w:rPr>
          <w:noProof/>
        </w:rPr>
        <w:t>Přílohy 1, 2 a 3 uvádějí prognózy závazků, prognózy plateb a finanční situaci ve srovnání s předchozími prognózami na období 2018–2020.</w:t>
      </w:r>
    </w:p>
    <w:p>
      <w:pPr>
        <w:pStyle w:val="Text1"/>
        <w:ind w:left="0"/>
        <w:rPr>
          <w:noProof/>
        </w:rPr>
      </w:pPr>
      <w:r>
        <w:rPr>
          <w:noProof/>
        </w:rPr>
        <w:t>Přílohy 4 a 5 uvádějí příspěvky pro rok 2019, resp. 2020, podle splátek pro každý členský stát.</w:t>
      </w:r>
    </w:p>
    <w:p>
      <w:pPr>
        <w:pStyle w:val="Text1"/>
        <w:ind w:left="0"/>
        <w:rPr>
          <w:noProof/>
        </w:rPr>
      </w:pPr>
      <w:r>
        <w:rPr>
          <w:noProof/>
        </w:rPr>
        <w:t>Příloha 6 uvádí roční příspěvky na období 2018–2022 podle jednotlivých členských států.</w:t>
      </w:r>
    </w:p>
    <w:p>
      <w:pPr>
        <w:spacing w:after="0"/>
        <w:rPr>
          <w:b/>
          <w:bCs/>
          <w:noProof/>
          <w:szCs w:val="26"/>
        </w:rPr>
        <w:sectPr>
          <w:headerReference w:type="even" r:id="rId17"/>
          <w:headerReference w:type="default" r:id="rId18"/>
          <w:footerReference w:type="even" r:id="rId19"/>
          <w:footerReference w:type="default" r:id="rId20"/>
          <w:headerReference w:type="first" r:id="rId21"/>
          <w:footerReference w:type="first" r:id="rId22"/>
          <w:pgSz w:w="11907" w:h="16839"/>
          <w:pgMar w:top="1134" w:right="1417" w:bottom="1134" w:left="1417" w:header="709" w:footer="709" w:gutter="0"/>
          <w:pgNumType w:start="1"/>
          <w:cols w:space="720"/>
          <w:docGrid w:linePitch="299"/>
        </w:sectPr>
      </w:pPr>
    </w:p>
    <w:p>
      <w:pPr>
        <w:pStyle w:val="ManualHeading2"/>
        <w:rPr>
          <w:noProof/>
        </w:rPr>
      </w:pPr>
      <w:r>
        <w:t>5.1</w:t>
      </w:r>
      <w:r>
        <w:tab/>
      </w:r>
      <w:r>
        <w:rPr>
          <w:noProof/>
        </w:rPr>
        <w:t>Příloha 1: Prognózy závazků</w:t>
      </w:r>
      <w:r>
        <w:rPr>
          <w:rStyle w:val="FootnoteReference"/>
          <w:noProof/>
        </w:rPr>
        <w:footnoteReference w:id="8"/>
      </w:r>
      <w:r>
        <w:rPr>
          <w:noProof/>
        </w:rPr>
        <w:t xml:space="preserve"> na roky 2018, 2019 a 2020 (v milionech EUR)</w:t>
      </w:r>
    </w:p>
    <w:tbl>
      <w:tblPr>
        <w:tblW w:w="13060" w:type="dxa"/>
        <w:tblInd w:w="93" w:type="dxa"/>
        <w:tblLook w:val="04A0" w:firstRow="1" w:lastRow="0" w:firstColumn="1" w:lastColumn="0" w:noHBand="0" w:noVBand="1"/>
      </w:tblPr>
      <w:tblGrid>
        <w:gridCol w:w="3280"/>
        <w:gridCol w:w="1600"/>
        <w:gridCol w:w="1600"/>
        <w:gridCol w:w="1600"/>
        <w:gridCol w:w="1600"/>
        <w:gridCol w:w="1600"/>
        <w:gridCol w:w="1780"/>
      </w:tblGrid>
      <w:tr>
        <w:trPr>
          <w:trHeight w:val="255"/>
        </w:trPr>
        <w:tc>
          <w:tcPr>
            <w:tcW w:w="3280" w:type="dxa"/>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noProof/>
                <w:sz w:val="20"/>
                <w:szCs w:val="20"/>
              </w:rPr>
            </w:pPr>
          </w:p>
        </w:tc>
        <w:tc>
          <w:tcPr>
            <w:tcW w:w="320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2018</w:t>
            </w:r>
          </w:p>
        </w:tc>
        <w:tc>
          <w:tcPr>
            <w:tcW w:w="3200" w:type="dxa"/>
            <w:gridSpan w:val="2"/>
            <w:tcBorders>
              <w:top w:val="single" w:sz="4" w:space="0" w:color="auto"/>
              <w:left w:val="nil"/>
              <w:bottom w:val="single" w:sz="4" w:space="0" w:color="auto"/>
              <w:right w:val="single" w:sz="4" w:space="0" w:color="000000"/>
            </w:tcBorders>
            <w:shd w:val="clear" w:color="auto" w:fill="auto"/>
            <w:noWrap/>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2019</w:t>
            </w:r>
          </w:p>
        </w:tc>
        <w:tc>
          <w:tcPr>
            <w:tcW w:w="3380" w:type="dxa"/>
            <w:gridSpan w:val="2"/>
            <w:tcBorders>
              <w:top w:val="single" w:sz="4" w:space="0" w:color="auto"/>
              <w:left w:val="nil"/>
              <w:bottom w:val="single" w:sz="4" w:space="0" w:color="auto"/>
              <w:right w:val="single" w:sz="4" w:space="0" w:color="000000"/>
            </w:tcBorders>
            <w:shd w:val="clear" w:color="auto" w:fill="auto"/>
            <w:noWrap/>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2020</w:t>
            </w:r>
          </w:p>
        </w:tc>
      </w:tr>
      <w:tr>
        <w:trPr>
          <w:trHeight w:val="510"/>
        </w:trPr>
        <w:tc>
          <w:tcPr>
            <w:tcW w:w="3280"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cs="Times New Roman"/>
                <w:b/>
                <w:bCs/>
                <w:noProof/>
                <w:sz w:val="20"/>
                <w:szCs w:val="20"/>
              </w:rPr>
            </w:pPr>
            <w:r>
              <w:rPr>
                <w:rFonts w:ascii="Times New Roman" w:hAnsi="Times New Roman"/>
                <w:b/>
                <w:noProof/>
                <w:sz w:val="20"/>
              </w:rPr>
              <w:t xml:space="preserve">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Sdělení z června 2018</w:t>
            </w:r>
          </w:p>
        </w:tc>
        <w:tc>
          <w:tcPr>
            <w:tcW w:w="1600" w:type="dxa"/>
            <w:tcBorders>
              <w:top w:val="nil"/>
              <w:left w:val="nil"/>
              <w:bottom w:val="single" w:sz="4" w:space="0" w:color="auto"/>
              <w:right w:val="single" w:sz="4" w:space="0" w:color="auto"/>
            </w:tcBorders>
            <w:shd w:val="clear" w:color="000000" w:fill="B7DEE8"/>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Sdělení z října 2018</w:t>
            </w:r>
          </w:p>
        </w:tc>
        <w:tc>
          <w:tcPr>
            <w:tcW w:w="1600"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Sdělení z června 2018</w:t>
            </w:r>
          </w:p>
        </w:tc>
        <w:tc>
          <w:tcPr>
            <w:tcW w:w="1600" w:type="dxa"/>
            <w:tcBorders>
              <w:top w:val="nil"/>
              <w:left w:val="nil"/>
              <w:bottom w:val="single" w:sz="4" w:space="0" w:color="auto"/>
              <w:right w:val="single" w:sz="4" w:space="0" w:color="auto"/>
            </w:tcBorders>
            <w:shd w:val="clear" w:color="000000" w:fill="B7DEE8"/>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Sdělení z října 2018</w:t>
            </w:r>
          </w:p>
        </w:tc>
        <w:tc>
          <w:tcPr>
            <w:tcW w:w="1600"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Sdělení z června 2018</w:t>
            </w:r>
          </w:p>
        </w:tc>
        <w:tc>
          <w:tcPr>
            <w:tcW w:w="1780" w:type="dxa"/>
            <w:tcBorders>
              <w:top w:val="nil"/>
              <w:left w:val="nil"/>
              <w:bottom w:val="single" w:sz="4" w:space="0" w:color="auto"/>
              <w:right w:val="single" w:sz="4" w:space="0" w:color="auto"/>
            </w:tcBorders>
            <w:shd w:val="clear" w:color="000000" w:fill="B7DEE8"/>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Sdělení z října 2018</w:t>
            </w:r>
          </w:p>
        </w:tc>
      </w:tr>
      <w:tr>
        <w:trPr>
          <w:trHeight w:val="255"/>
        </w:trPr>
        <w:tc>
          <w:tcPr>
            <w:tcW w:w="3280" w:type="dxa"/>
            <w:tcBorders>
              <w:top w:val="single" w:sz="4" w:space="0" w:color="auto"/>
              <w:left w:val="single" w:sz="4" w:space="0" w:color="auto"/>
              <w:bottom w:val="nil"/>
              <w:right w:val="nil"/>
            </w:tcBorders>
            <w:shd w:val="clear" w:color="auto" w:fill="auto"/>
            <w:noWrap/>
            <w:vAlign w:val="center"/>
            <w:hideMark/>
          </w:tcPr>
          <w:p>
            <w:pPr>
              <w:spacing w:after="0" w:line="240" w:lineRule="auto"/>
              <w:ind w:firstLineChars="100" w:firstLine="200"/>
              <w:rPr>
                <w:rFonts w:ascii="Times New Roman" w:eastAsia="Times New Roman" w:hAnsi="Times New Roman" w:cs="Times New Roman"/>
                <w:noProof/>
                <w:sz w:val="20"/>
                <w:szCs w:val="20"/>
              </w:rPr>
            </w:pPr>
            <w:r>
              <w:rPr>
                <w:rFonts w:ascii="Times New Roman" w:hAnsi="Times New Roman"/>
                <w:noProof/>
                <w:sz w:val="20"/>
              </w:rPr>
              <w:t>Oblasti</w:t>
            </w:r>
          </w:p>
        </w:tc>
        <w:tc>
          <w:tcPr>
            <w:tcW w:w="1600" w:type="dxa"/>
            <w:tcBorders>
              <w:top w:val="nil"/>
              <w:left w:val="single" w:sz="4" w:space="0" w:color="auto"/>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78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28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Východní a jižní Afrika</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1 070</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1 070</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986</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78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28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Západní a střední Afrika</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1 355</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1 355</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1 071</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78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28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Latinská Amerika a Karibik</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208</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208</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240</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78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28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Tichomoří</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231</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231</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216</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78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28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2"/>
              <w:rPr>
                <w:rFonts w:ascii="Times New Roman" w:eastAsia="Times New Roman" w:hAnsi="Times New Roman" w:cs="Times New Roman"/>
                <w:b/>
                <w:bCs/>
                <w:noProof/>
                <w:sz w:val="20"/>
                <w:szCs w:val="20"/>
              </w:rPr>
            </w:pPr>
            <w:r>
              <w:rPr>
                <w:rFonts w:ascii="Times New Roman" w:hAnsi="Times New Roman"/>
                <w:b/>
                <w:noProof/>
                <w:sz w:val="20"/>
              </w:rPr>
              <w:t>Mezisoučet*</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2 864</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2 864</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2 512</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c>
          <w:tcPr>
            <w:tcW w:w="178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r>
      <w:tr>
        <w:trPr>
          <w:trHeight w:val="255"/>
        </w:trPr>
        <w:tc>
          <w:tcPr>
            <w:tcW w:w="3280" w:type="dxa"/>
            <w:tcBorders>
              <w:top w:val="nil"/>
              <w:left w:val="single" w:sz="4" w:space="0" w:color="auto"/>
              <w:bottom w:val="nil"/>
              <w:right w:val="nil"/>
            </w:tcBorders>
            <w:shd w:val="clear" w:color="auto" w:fill="auto"/>
            <w:noWrap/>
            <w:vAlign w:val="center"/>
            <w:hideMark/>
          </w:tcPr>
          <w:p>
            <w:pPr>
              <w:spacing w:after="0" w:line="240" w:lineRule="auto"/>
              <w:ind w:firstLineChars="100" w:firstLine="200"/>
              <w:rPr>
                <w:rFonts w:ascii="Times New Roman" w:eastAsia="Times New Roman" w:hAnsi="Times New Roman" w:cs="Times New Roman"/>
                <w:noProof/>
                <w:sz w:val="20"/>
                <w:szCs w:val="20"/>
              </w:rPr>
            </w:pPr>
            <w:r>
              <w:rPr>
                <w:rFonts w:ascii="Times New Roman" w:hAnsi="Times New Roman"/>
                <w:noProof/>
                <w:sz w:val="20"/>
              </w:rPr>
              <w:t>Ostatní</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78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28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Mírový projekt, lidská práva</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359</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359</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340</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78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28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EU-Afrika, africký mírový projekt</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201</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201</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700</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78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280" w:type="dxa"/>
            <w:tcBorders>
              <w:top w:val="nil"/>
              <w:left w:val="single" w:sz="4" w:space="0" w:color="auto"/>
              <w:bottom w:val="nil"/>
              <w:right w:val="nil"/>
            </w:tcBorders>
            <w:shd w:val="clear" w:color="auto" w:fill="auto"/>
            <w:noWrap/>
            <w:vAlign w:val="bottom"/>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Planeta a prosperita</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236</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236</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287</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78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280" w:type="dxa"/>
            <w:tcBorders>
              <w:top w:val="nil"/>
              <w:left w:val="single" w:sz="4" w:space="0" w:color="auto"/>
              <w:bottom w:val="nil"/>
              <w:right w:val="nil"/>
            </w:tcBorders>
            <w:shd w:val="clear" w:color="auto" w:fill="auto"/>
            <w:noWrap/>
            <w:vAlign w:val="bottom"/>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svěřenský fond EU pro Afriku</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0</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650</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0</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78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280" w:type="dxa"/>
            <w:tcBorders>
              <w:top w:val="nil"/>
              <w:left w:val="single" w:sz="4" w:space="0" w:color="auto"/>
              <w:bottom w:val="nil"/>
              <w:right w:val="nil"/>
            </w:tcBorders>
            <w:shd w:val="clear" w:color="auto" w:fill="auto"/>
            <w:noWrap/>
            <w:vAlign w:val="bottom"/>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Zdroje, hodnocení, proces</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211</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211</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199</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78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280" w:type="dxa"/>
            <w:tcBorders>
              <w:top w:val="nil"/>
              <w:left w:val="single" w:sz="4" w:space="0" w:color="auto"/>
              <w:bottom w:val="nil"/>
              <w:right w:val="nil"/>
            </w:tcBorders>
            <w:shd w:val="clear" w:color="auto" w:fill="auto"/>
            <w:noWrap/>
            <w:vAlign w:val="bottom"/>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GŘ ECHO, EACEA, GŘ EAC</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16</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16</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19</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78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28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2"/>
              <w:rPr>
                <w:rFonts w:ascii="Times New Roman" w:eastAsia="Times New Roman" w:hAnsi="Times New Roman" w:cs="Times New Roman"/>
                <w:b/>
                <w:bCs/>
                <w:noProof/>
                <w:sz w:val="20"/>
                <w:szCs w:val="20"/>
              </w:rPr>
            </w:pPr>
            <w:r>
              <w:rPr>
                <w:rFonts w:ascii="Times New Roman" w:hAnsi="Times New Roman"/>
                <w:b/>
                <w:noProof/>
                <w:sz w:val="20"/>
              </w:rPr>
              <w:t>Mezisoučet*</w:t>
            </w:r>
          </w:p>
        </w:tc>
        <w:tc>
          <w:tcPr>
            <w:tcW w:w="1600" w:type="dxa"/>
            <w:tcBorders>
              <w:top w:val="nil"/>
              <w:left w:val="single" w:sz="4" w:space="0" w:color="auto"/>
              <w:bottom w:val="dotted"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1 023</w:t>
            </w:r>
          </w:p>
        </w:tc>
        <w:tc>
          <w:tcPr>
            <w:tcW w:w="1600" w:type="dxa"/>
            <w:tcBorders>
              <w:top w:val="nil"/>
              <w:left w:val="nil"/>
              <w:bottom w:val="dotted"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1 673</w:t>
            </w:r>
          </w:p>
        </w:tc>
        <w:tc>
          <w:tcPr>
            <w:tcW w:w="1600" w:type="dxa"/>
            <w:tcBorders>
              <w:top w:val="nil"/>
              <w:left w:val="nil"/>
              <w:bottom w:val="dotted"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c>
          <w:tcPr>
            <w:tcW w:w="1600" w:type="dxa"/>
            <w:tcBorders>
              <w:top w:val="nil"/>
              <w:left w:val="nil"/>
              <w:bottom w:val="dotted"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1 544</w:t>
            </w:r>
          </w:p>
        </w:tc>
        <w:tc>
          <w:tcPr>
            <w:tcW w:w="1600" w:type="dxa"/>
            <w:tcBorders>
              <w:top w:val="nil"/>
              <w:left w:val="nil"/>
              <w:bottom w:val="dotted"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c>
          <w:tcPr>
            <w:tcW w:w="1780" w:type="dxa"/>
            <w:tcBorders>
              <w:top w:val="nil"/>
              <w:left w:val="nil"/>
              <w:bottom w:val="dotted"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r>
      <w:tr>
        <w:trPr>
          <w:trHeight w:val="255"/>
        </w:trPr>
        <w:tc>
          <w:tcPr>
            <w:tcW w:w="3280" w:type="dxa"/>
            <w:tcBorders>
              <w:top w:val="nil"/>
              <w:left w:val="single" w:sz="4" w:space="0" w:color="auto"/>
              <w:bottom w:val="single" w:sz="4" w:space="0" w:color="auto"/>
              <w:right w:val="nil"/>
            </w:tcBorders>
            <w:shd w:val="clear" w:color="auto" w:fill="auto"/>
            <w:noWrap/>
            <w:vAlign w:val="bottom"/>
            <w:hideMark/>
          </w:tcPr>
          <w:p>
            <w:pPr>
              <w:spacing w:after="0" w:line="240" w:lineRule="auto"/>
              <w:rPr>
                <w:rFonts w:ascii="Times New Roman" w:eastAsia="Times New Roman" w:hAnsi="Times New Roman" w:cs="Times New Roman"/>
                <w:b/>
                <w:bCs/>
                <w:noProof/>
                <w:sz w:val="20"/>
                <w:szCs w:val="20"/>
              </w:rPr>
            </w:pPr>
            <w:r>
              <w:rPr>
                <w:rFonts w:ascii="Times New Roman" w:hAnsi="Times New Roman"/>
                <w:b/>
                <w:noProof/>
                <w:sz w:val="20"/>
              </w:rPr>
              <w:t>Evropská komise celkem*</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3 887</w:t>
            </w:r>
          </w:p>
        </w:tc>
        <w:tc>
          <w:tcPr>
            <w:tcW w:w="160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4 537</w:t>
            </w:r>
          </w:p>
        </w:tc>
        <w:tc>
          <w:tcPr>
            <w:tcW w:w="1600" w:type="dxa"/>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3 857</w:t>
            </w:r>
          </w:p>
        </w:tc>
        <w:tc>
          <w:tcPr>
            <w:tcW w:w="160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4 057</w:t>
            </w:r>
          </w:p>
        </w:tc>
        <w:tc>
          <w:tcPr>
            <w:tcW w:w="1600" w:type="dxa"/>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c>
          <w:tcPr>
            <w:tcW w:w="178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3 823</w:t>
            </w:r>
          </w:p>
        </w:tc>
      </w:tr>
      <w:tr>
        <w:trPr>
          <w:trHeight w:val="255"/>
        </w:trPr>
        <w:tc>
          <w:tcPr>
            <w:tcW w:w="3280" w:type="dxa"/>
            <w:tcBorders>
              <w:top w:val="nil"/>
              <w:left w:val="single" w:sz="4" w:space="0" w:color="auto"/>
              <w:bottom w:val="nil"/>
              <w:right w:val="nil"/>
            </w:tcBorders>
            <w:shd w:val="clear" w:color="auto" w:fill="auto"/>
            <w:noWrap/>
            <w:vAlign w:val="bottom"/>
            <w:hideMark/>
          </w:tcPr>
          <w:p>
            <w:pPr>
              <w:spacing w:after="0" w:line="240" w:lineRule="auto"/>
              <w:ind w:firstLineChars="100" w:firstLine="200"/>
              <w:rPr>
                <w:rFonts w:ascii="Times New Roman" w:eastAsia="Times New Roman" w:hAnsi="Times New Roman" w:cs="Times New Roman"/>
                <w:noProof/>
                <w:sz w:val="20"/>
                <w:szCs w:val="20"/>
              </w:rPr>
            </w:pPr>
            <w:r>
              <w:rPr>
                <w:rFonts w:ascii="Times New Roman" w:hAnsi="Times New Roman"/>
                <w:noProof/>
                <w:sz w:val="20"/>
              </w:rPr>
              <w:t>Investiční facilita</w:t>
            </w:r>
          </w:p>
        </w:tc>
        <w:tc>
          <w:tcPr>
            <w:tcW w:w="1600" w:type="dxa"/>
            <w:tcBorders>
              <w:top w:val="nil"/>
              <w:left w:val="single" w:sz="4" w:space="0" w:color="auto"/>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800</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800</w:t>
            </w:r>
          </w:p>
        </w:tc>
        <w:tc>
          <w:tcPr>
            <w:tcW w:w="1600" w:type="dxa"/>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850</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850</w:t>
            </w:r>
          </w:p>
        </w:tc>
        <w:tc>
          <w:tcPr>
            <w:tcW w:w="1600" w:type="dxa"/>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78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850</w:t>
            </w:r>
          </w:p>
        </w:tc>
      </w:tr>
      <w:tr>
        <w:trPr>
          <w:trHeight w:val="255"/>
        </w:trPr>
        <w:tc>
          <w:tcPr>
            <w:tcW w:w="3280" w:type="dxa"/>
            <w:tcBorders>
              <w:top w:val="nil"/>
              <w:left w:val="single" w:sz="4" w:space="0" w:color="auto"/>
              <w:bottom w:val="nil"/>
              <w:right w:val="nil"/>
            </w:tcBorders>
            <w:shd w:val="clear" w:color="auto" w:fill="auto"/>
            <w:noWrap/>
            <w:vAlign w:val="bottom"/>
            <w:hideMark/>
          </w:tcPr>
          <w:p>
            <w:pPr>
              <w:spacing w:after="0" w:line="240" w:lineRule="auto"/>
              <w:ind w:firstLineChars="100" w:firstLine="200"/>
              <w:rPr>
                <w:rFonts w:ascii="Times New Roman" w:eastAsia="Times New Roman" w:hAnsi="Times New Roman" w:cs="Times New Roman"/>
                <w:noProof/>
                <w:sz w:val="20"/>
                <w:szCs w:val="20"/>
              </w:rPr>
            </w:pPr>
            <w:r>
              <w:rPr>
                <w:rFonts w:ascii="Times New Roman" w:hAnsi="Times New Roman"/>
                <w:noProof/>
                <w:sz w:val="20"/>
              </w:rPr>
              <w:t>Subvence úrokových sazeb (**)</w:t>
            </w:r>
          </w:p>
        </w:tc>
        <w:tc>
          <w:tcPr>
            <w:tcW w:w="1600" w:type="dxa"/>
            <w:tcBorders>
              <w:top w:val="nil"/>
              <w:left w:val="single" w:sz="4" w:space="0" w:color="auto"/>
              <w:bottom w:val="dotted"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80</w:t>
            </w:r>
          </w:p>
        </w:tc>
        <w:tc>
          <w:tcPr>
            <w:tcW w:w="1600" w:type="dxa"/>
            <w:tcBorders>
              <w:top w:val="nil"/>
              <w:left w:val="nil"/>
              <w:bottom w:val="dotted"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80</w:t>
            </w:r>
          </w:p>
        </w:tc>
        <w:tc>
          <w:tcPr>
            <w:tcW w:w="1600" w:type="dxa"/>
            <w:tcBorders>
              <w:top w:val="nil"/>
              <w:left w:val="nil"/>
              <w:bottom w:val="dotted"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80</w:t>
            </w:r>
          </w:p>
        </w:tc>
        <w:tc>
          <w:tcPr>
            <w:tcW w:w="1600" w:type="dxa"/>
            <w:tcBorders>
              <w:top w:val="nil"/>
              <w:left w:val="nil"/>
              <w:bottom w:val="dotted"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80</w:t>
            </w:r>
          </w:p>
        </w:tc>
        <w:tc>
          <w:tcPr>
            <w:tcW w:w="1600" w:type="dxa"/>
            <w:tcBorders>
              <w:top w:val="nil"/>
              <w:left w:val="nil"/>
              <w:bottom w:val="dotted"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780" w:type="dxa"/>
            <w:tcBorders>
              <w:top w:val="nil"/>
              <w:left w:val="nil"/>
              <w:bottom w:val="dotted"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80</w:t>
            </w:r>
          </w:p>
        </w:tc>
      </w:tr>
      <w:tr>
        <w:trPr>
          <w:trHeight w:val="255"/>
        </w:trPr>
        <w:tc>
          <w:tcPr>
            <w:tcW w:w="3280" w:type="dxa"/>
            <w:tcBorders>
              <w:top w:val="nil"/>
              <w:left w:val="single" w:sz="4" w:space="0" w:color="auto"/>
              <w:bottom w:val="single" w:sz="4" w:space="0" w:color="auto"/>
              <w:right w:val="nil"/>
            </w:tcBorders>
            <w:shd w:val="clear" w:color="auto" w:fill="auto"/>
            <w:noWrap/>
            <w:vAlign w:val="bottom"/>
            <w:hideMark/>
          </w:tcPr>
          <w:p>
            <w:pPr>
              <w:spacing w:after="0" w:line="240" w:lineRule="auto"/>
              <w:rPr>
                <w:rFonts w:ascii="Times New Roman" w:eastAsia="Times New Roman" w:hAnsi="Times New Roman" w:cs="Times New Roman"/>
                <w:b/>
                <w:bCs/>
                <w:noProof/>
                <w:sz w:val="20"/>
                <w:szCs w:val="20"/>
              </w:rPr>
            </w:pPr>
            <w:r>
              <w:rPr>
                <w:rFonts w:ascii="Times New Roman" w:hAnsi="Times New Roman"/>
                <w:b/>
                <w:noProof/>
                <w:sz w:val="20"/>
              </w:rPr>
              <w:t>EIB celkem*</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880</w:t>
            </w:r>
          </w:p>
        </w:tc>
        <w:tc>
          <w:tcPr>
            <w:tcW w:w="160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880</w:t>
            </w:r>
          </w:p>
        </w:tc>
        <w:tc>
          <w:tcPr>
            <w:tcW w:w="1600" w:type="dxa"/>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930</w:t>
            </w:r>
          </w:p>
        </w:tc>
        <w:tc>
          <w:tcPr>
            <w:tcW w:w="160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930</w:t>
            </w:r>
          </w:p>
        </w:tc>
        <w:tc>
          <w:tcPr>
            <w:tcW w:w="1600" w:type="dxa"/>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c>
          <w:tcPr>
            <w:tcW w:w="178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930</w:t>
            </w:r>
          </w:p>
        </w:tc>
      </w:tr>
      <w:tr>
        <w:trPr>
          <w:trHeight w:val="255"/>
        </w:trPr>
        <w:tc>
          <w:tcPr>
            <w:tcW w:w="3280" w:type="dxa"/>
            <w:tcBorders>
              <w:top w:val="nil"/>
              <w:left w:val="single" w:sz="4" w:space="0" w:color="auto"/>
              <w:bottom w:val="single" w:sz="4" w:space="0" w:color="auto"/>
              <w:right w:val="nil"/>
            </w:tcBorders>
            <w:shd w:val="clear" w:color="auto" w:fill="auto"/>
            <w:noWrap/>
            <w:vAlign w:val="center"/>
            <w:hideMark/>
          </w:tcPr>
          <w:p>
            <w:pPr>
              <w:spacing w:after="0" w:line="240" w:lineRule="auto"/>
              <w:rPr>
                <w:rFonts w:ascii="Times New Roman" w:eastAsia="Times New Roman" w:hAnsi="Times New Roman" w:cs="Times New Roman"/>
                <w:b/>
                <w:bCs/>
                <w:noProof/>
                <w:sz w:val="20"/>
                <w:szCs w:val="20"/>
              </w:rPr>
            </w:pPr>
            <w:r>
              <w:rPr>
                <w:rFonts w:ascii="Times New Roman" w:hAnsi="Times New Roman"/>
                <w:b/>
                <w:noProof/>
                <w:sz w:val="20"/>
              </w:rPr>
              <w:t>EK + EIB CELKEM*</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4 767</w:t>
            </w:r>
          </w:p>
        </w:tc>
        <w:tc>
          <w:tcPr>
            <w:tcW w:w="160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5 417</w:t>
            </w:r>
          </w:p>
        </w:tc>
        <w:tc>
          <w:tcPr>
            <w:tcW w:w="1600" w:type="dxa"/>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4 787</w:t>
            </w:r>
          </w:p>
        </w:tc>
        <w:tc>
          <w:tcPr>
            <w:tcW w:w="160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4 987</w:t>
            </w:r>
          </w:p>
        </w:tc>
        <w:tc>
          <w:tcPr>
            <w:tcW w:w="1600" w:type="dxa"/>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c>
          <w:tcPr>
            <w:tcW w:w="178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4 753</w:t>
            </w:r>
          </w:p>
        </w:tc>
      </w:tr>
    </w:tbl>
    <w:p>
      <w:pPr>
        <w:spacing w:after="0"/>
        <w:rPr>
          <w:rFonts w:ascii="Times New Roman" w:hAnsi="Times New Roman" w:cs="Times New Roman"/>
          <w:noProof/>
          <w:sz w:val="20"/>
          <w:szCs w:val="20"/>
        </w:rPr>
      </w:pPr>
    </w:p>
    <w:p>
      <w:pPr>
        <w:spacing w:after="0"/>
        <w:rPr>
          <w:rFonts w:ascii="Times New Roman" w:hAnsi="Times New Roman" w:cs="Times New Roman"/>
          <w:noProof/>
          <w:sz w:val="20"/>
          <w:szCs w:val="20"/>
        </w:rPr>
      </w:pPr>
      <w:r>
        <w:rPr>
          <w:rFonts w:ascii="Times New Roman" w:hAnsi="Times New Roman"/>
          <w:noProof/>
          <w:sz w:val="20"/>
        </w:rPr>
        <w:t>* Vzhledem k zaokrouhlení se může součet uvedených individuálních zaokrouhlených částek mírně lišit od odpovídajících celkových částek.</w:t>
      </w:r>
    </w:p>
    <w:p>
      <w:pPr>
        <w:spacing w:after="0"/>
        <w:rPr>
          <w:rFonts w:ascii="Times New Roman" w:hAnsi="Times New Roman" w:cs="Times New Roman"/>
          <w:noProof/>
          <w:sz w:val="20"/>
          <w:szCs w:val="20"/>
        </w:rPr>
      </w:pPr>
      <w:r>
        <w:rPr>
          <w:rFonts w:ascii="Times New Roman" w:hAnsi="Times New Roman"/>
          <w:noProof/>
          <w:sz w:val="20"/>
        </w:rPr>
        <w:t>** Včetně subvencí úrokových sazeb v rámci dřívějších ERF.</w:t>
      </w:r>
    </w:p>
    <w:p>
      <w:pPr>
        <w:pStyle w:val="Text1"/>
        <w:ind w:left="0"/>
        <w:jc w:val="left"/>
        <w:rPr>
          <w:noProof/>
          <w:sz w:val="20"/>
          <w:szCs w:val="20"/>
        </w:rPr>
        <w:sectPr>
          <w:headerReference w:type="even" r:id="rId23"/>
          <w:headerReference w:type="default" r:id="rId24"/>
          <w:footerReference w:type="even" r:id="rId25"/>
          <w:footerReference w:type="default" r:id="rId26"/>
          <w:headerReference w:type="first" r:id="rId27"/>
          <w:footerReference w:type="first" r:id="rId28"/>
          <w:pgSz w:w="16838" w:h="11906" w:orient="landscape"/>
          <w:pgMar w:top="1418" w:right="1418" w:bottom="1418" w:left="1418" w:header="709" w:footer="709" w:gutter="0"/>
          <w:cols w:space="720"/>
          <w:docGrid w:linePitch="360"/>
        </w:sectPr>
      </w:pPr>
    </w:p>
    <w:p>
      <w:pPr>
        <w:pStyle w:val="ManualHeading2"/>
        <w:rPr>
          <w:noProof/>
        </w:rPr>
      </w:pPr>
      <w:r>
        <w:t>5.2</w:t>
      </w:r>
      <w:r>
        <w:tab/>
      </w:r>
      <w:r>
        <w:rPr>
          <w:noProof/>
        </w:rPr>
        <w:t>Příloha 2: Prognózy plateb</w:t>
      </w:r>
      <w:r>
        <w:rPr>
          <w:rStyle w:val="FootnoteReference"/>
          <w:noProof/>
        </w:rPr>
        <w:footnoteReference w:id="9"/>
      </w:r>
      <w:r>
        <w:rPr>
          <w:noProof/>
        </w:rPr>
        <w:t xml:space="preserve"> na roky 2018, 2019 a 2020 (v milionech EUR)</w:t>
      </w:r>
    </w:p>
    <w:tbl>
      <w:tblPr>
        <w:tblW w:w="12880" w:type="dxa"/>
        <w:tblInd w:w="108" w:type="dxa"/>
        <w:tblLook w:val="04A0" w:firstRow="1" w:lastRow="0" w:firstColumn="1" w:lastColumn="0" w:noHBand="0" w:noVBand="1"/>
      </w:tblPr>
      <w:tblGrid>
        <w:gridCol w:w="3340"/>
        <w:gridCol w:w="1600"/>
        <w:gridCol w:w="1600"/>
        <w:gridCol w:w="1600"/>
        <w:gridCol w:w="1600"/>
        <w:gridCol w:w="1600"/>
        <w:gridCol w:w="1540"/>
      </w:tblGrid>
      <w:tr>
        <w:trPr>
          <w:trHeight w:val="255"/>
        </w:trPr>
        <w:tc>
          <w:tcPr>
            <w:tcW w:w="3340" w:type="dxa"/>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noProof/>
                <w:sz w:val="20"/>
                <w:szCs w:val="20"/>
              </w:rPr>
            </w:pPr>
          </w:p>
        </w:tc>
        <w:tc>
          <w:tcPr>
            <w:tcW w:w="320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2018</w:t>
            </w:r>
          </w:p>
        </w:tc>
        <w:tc>
          <w:tcPr>
            <w:tcW w:w="3200" w:type="dxa"/>
            <w:gridSpan w:val="2"/>
            <w:tcBorders>
              <w:top w:val="single" w:sz="4" w:space="0" w:color="auto"/>
              <w:left w:val="nil"/>
              <w:bottom w:val="single" w:sz="4" w:space="0" w:color="auto"/>
              <w:right w:val="single" w:sz="4" w:space="0" w:color="000000"/>
            </w:tcBorders>
            <w:shd w:val="clear" w:color="auto" w:fill="auto"/>
            <w:noWrap/>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2019</w:t>
            </w:r>
          </w:p>
        </w:tc>
        <w:tc>
          <w:tcPr>
            <w:tcW w:w="3140" w:type="dxa"/>
            <w:gridSpan w:val="2"/>
            <w:tcBorders>
              <w:top w:val="single" w:sz="4" w:space="0" w:color="auto"/>
              <w:left w:val="nil"/>
              <w:bottom w:val="single" w:sz="4" w:space="0" w:color="auto"/>
              <w:right w:val="single" w:sz="4" w:space="0" w:color="000000"/>
            </w:tcBorders>
            <w:shd w:val="clear" w:color="auto" w:fill="auto"/>
            <w:noWrap/>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2020</w:t>
            </w:r>
          </w:p>
        </w:tc>
      </w:tr>
      <w:tr>
        <w:trPr>
          <w:trHeight w:val="510"/>
        </w:trPr>
        <w:tc>
          <w:tcPr>
            <w:tcW w:w="3340"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cs="Times New Roman"/>
                <w:b/>
                <w:bCs/>
                <w:noProof/>
                <w:sz w:val="20"/>
                <w:szCs w:val="20"/>
              </w:rPr>
            </w:pPr>
            <w:r>
              <w:rPr>
                <w:rFonts w:ascii="Times New Roman" w:hAnsi="Times New Roman"/>
                <w:b/>
                <w:noProof/>
                <w:sz w:val="20"/>
              </w:rPr>
              <w:t xml:space="preserve">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Sdělení z června 2018</w:t>
            </w:r>
          </w:p>
        </w:tc>
        <w:tc>
          <w:tcPr>
            <w:tcW w:w="1600" w:type="dxa"/>
            <w:tcBorders>
              <w:top w:val="nil"/>
              <w:left w:val="nil"/>
              <w:bottom w:val="single" w:sz="4" w:space="0" w:color="auto"/>
              <w:right w:val="single" w:sz="4" w:space="0" w:color="auto"/>
            </w:tcBorders>
            <w:shd w:val="clear" w:color="000000" w:fill="B7DEE8"/>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Sdělení z října 2018</w:t>
            </w:r>
          </w:p>
        </w:tc>
        <w:tc>
          <w:tcPr>
            <w:tcW w:w="1600"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Sdělení z června 2018</w:t>
            </w:r>
          </w:p>
        </w:tc>
        <w:tc>
          <w:tcPr>
            <w:tcW w:w="1600" w:type="dxa"/>
            <w:tcBorders>
              <w:top w:val="nil"/>
              <w:left w:val="nil"/>
              <w:bottom w:val="single" w:sz="4" w:space="0" w:color="auto"/>
              <w:right w:val="single" w:sz="4" w:space="0" w:color="auto"/>
            </w:tcBorders>
            <w:shd w:val="clear" w:color="000000" w:fill="B7DEE8"/>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Sdělení z října 2018</w:t>
            </w:r>
          </w:p>
        </w:tc>
        <w:tc>
          <w:tcPr>
            <w:tcW w:w="1600"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Sdělení z června 2018</w:t>
            </w:r>
          </w:p>
        </w:tc>
        <w:tc>
          <w:tcPr>
            <w:tcW w:w="1540" w:type="dxa"/>
            <w:tcBorders>
              <w:top w:val="nil"/>
              <w:left w:val="nil"/>
              <w:bottom w:val="single" w:sz="4" w:space="0" w:color="auto"/>
              <w:right w:val="single" w:sz="4" w:space="0" w:color="auto"/>
            </w:tcBorders>
            <w:shd w:val="clear" w:color="000000" w:fill="B7DEE8"/>
            <w:vAlign w:val="center"/>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Sdělení z října 2018</w:t>
            </w:r>
          </w:p>
        </w:tc>
      </w:tr>
      <w:tr>
        <w:trPr>
          <w:trHeight w:val="255"/>
        </w:trPr>
        <w:tc>
          <w:tcPr>
            <w:tcW w:w="3340" w:type="dxa"/>
            <w:tcBorders>
              <w:top w:val="single" w:sz="4" w:space="0" w:color="auto"/>
              <w:left w:val="single" w:sz="4" w:space="0" w:color="auto"/>
              <w:bottom w:val="nil"/>
              <w:right w:val="nil"/>
            </w:tcBorders>
            <w:shd w:val="clear" w:color="auto" w:fill="auto"/>
            <w:noWrap/>
            <w:vAlign w:val="center"/>
            <w:hideMark/>
          </w:tcPr>
          <w:p>
            <w:pPr>
              <w:spacing w:after="0" w:line="240" w:lineRule="auto"/>
              <w:ind w:firstLineChars="100" w:firstLine="200"/>
              <w:rPr>
                <w:rFonts w:ascii="Times New Roman" w:eastAsia="Times New Roman" w:hAnsi="Times New Roman" w:cs="Times New Roman"/>
                <w:noProof/>
                <w:sz w:val="20"/>
                <w:szCs w:val="20"/>
              </w:rPr>
            </w:pPr>
            <w:r>
              <w:rPr>
                <w:rFonts w:ascii="Times New Roman" w:hAnsi="Times New Roman"/>
                <w:noProof/>
                <w:sz w:val="20"/>
              </w:rPr>
              <w:t>Oblasti</w:t>
            </w:r>
          </w:p>
        </w:tc>
        <w:tc>
          <w:tcPr>
            <w:tcW w:w="1600" w:type="dxa"/>
            <w:tcBorders>
              <w:top w:val="nil"/>
              <w:left w:val="single" w:sz="4" w:space="0" w:color="auto"/>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54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34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Východní a jižní Afrika</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827</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827</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936</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54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34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Západní a střední Afrika</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1 770</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1 770</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1 893</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54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34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Latinská Amerika a Karibik</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157</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157</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223</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54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34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Tichomoří</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97</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97</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96</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54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34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2"/>
              <w:rPr>
                <w:rFonts w:ascii="Times New Roman" w:eastAsia="Times New Roman" w:hAnsi="Times New Roman" w:cs="Times New Roman"/>
                <w:b/>
                <w:bCs/>
                <w:noProof/>
                <w:sz w:val="20"/>
                <w:szCs w:val="20"/>
              </w:rPr>
            </w:pPr>
            <w:r>
              <w:rPr>
                <w:rFonts w:ascii="Times New Roman" w:hAnsi="Times New Roman"/>
                <w:b/>
                <w:noProof/>
                <w:sz w:val="20"/>
              </w:rPr>
              <w:t>Mezisoučet*</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2 851</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2 851</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3 148</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c>
          <w:tcPr>
            <w:tcW w:w="154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r>
      <w:tr>
        <w:trPr>
          <w:trHeight w:val="255"/>
        </w:trPr>
        <w:tc>
          <w:tcPr>
            <w:tcW w:w="3340" w:type="dxa"/>
            <w:tcBorders>
              <w:top w:val="nil"/>
              <w:left w:val="single" w:sz="4" w:space="0" w:color="auto"/>
              <w:bottom w:val="nil"/>
              <w:right w:val="nil"/>
            </w:tcBorders>
            <w:shd w:val="clear" w:color="auto" w:fill="auto"/>
            <w:noWrap/>
            <w:vAlign w:val="center"/>
            <w:hideMark/>
          </w:tcPr>
          <w:p>
            <w:pPr>
              <w:spacing w:after="0" w:line="240" w:lineRule="auto"/>
              <w:ind w:firstLineChars="100" w:firstLine="200"/>
              <w:rPr>
                <w:rFonts w:ascii="Times New Roman" w:eastAsia="Times New Roman" w:hAnsi="Times New Roman" w:cs="Times New Roman"/>
                <w:noProof/>
                <w:sz w:val="20"/>
                <w:szCs w:val="20"/>
              </w:rPr>
            </w:pPr>
            <w:r>
              <w:rPr>
                <w:rFonts w:ascii="Times New Roman" w:hAnsi="Times New Roman"/>
                <w:noProof/>
                <w:sz w:val="20"/>
              </w:rPr>
              <w:t xml:space="preserve">Ostatní </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54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34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Mírový projekt, lidská práva</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227</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227</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240</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54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34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EU-Afrika, africký mírový projekt</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371</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371</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400</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54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340" w:type="dxa"/>
            <w:tcBorders>
              <w:top w:val="nil"/>
              <w:left w:val="single" w:sz="4" w:space="0" w:color="auto"/>
              <w:bottom w:val="nil"/>
              <w:right w:val="nil"/>
            </w:tcBorders>
            <w:shd w:val="clear" w:color="auto" w:fill="auto"/>
            <w:noWrap/>
            <w:vAlign w:val="bottom"/>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Planeta a prosperita</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405</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405</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375</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54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340" w:type="dxa"/>
            <w:tcBorders>
              <w:top w:val="nil"/>
              <w:left w:val="single" w:sz="4" w:space="0" w:color="auto"/>
              <w:bottom w:val="nil"/>
              <w:right w:val="nil"/>
            </w:tcBorders>
            <w:shd w:val="clear" w:color="auto" w:fill="auto"/>
            <w:noWrap/>
            <w:vAlign w:val="bottom"/>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Zdroje, hodnocení, proces</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158</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158</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159</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54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340" w:type="dxa"/>
            <w:tcBorders>
              <w:top w:val="nil"/>
              <w:left w:val="single" w:sz="4" w:space="0" w:color="auto"/>
              <w:bottom w:val="nil"/>
              <w:right w:val="nil"/>
            </w:tcBorders>
            <w:shd w:val="clear" w:color="auto" w:fill="auto"/>
            <w:noWrap/>
            <w:vAlign w:val="bottom"/>
            <w:hideMark/>
          </w:tcPr>
          <w:p>
            <w:pPr>
              <w:spacing w:after="0" w:line="240" w:lineRule="auto"/>
              <w:ind w:firstLineChars="200" w:firstLine="400"/>
              <w:rPr>
                <w:rFonts w:ascii="Times New Roman" w:eastAsia="Times New Roman" w:hAnsi="Times New Roman" w:cs="Times New Roman"/>
                <w:noProof/>
                <w:sz w:val="20"/>
                <w:szCs w:val="20"/>
              </w:rPr>
            </w:pPr>
            <w:r>
              <w:rPr>
                <w:rFonts w:ascii="Times New Roman" w:hAnsi="Times New Roman"/>
                <w:noProof/>
                <w:sz w:val="20"/>
              </w:rPr>
              <w:t>GŘ ECHO, EACEA, GŘ EAC</w:t>
            </w:r>
          </w:p>
        </w:tc>
        <w:tc>
          <w:tcPr>
            <w:tcW w:w="1600" w:type="dxa"/>
            <w:tcBorders>
              <w:top w:val="nil"/>
              <w:left w:val="single" w:sz="4" w:space="0" w:color="auto"/>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187</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187</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78</w:t>
            </w:r>
          </w:p>
        </w:tc>
        <w:tc>
          <w:tcPr>
            <w:tcW w:w="1600" w:type="dxa"/>
            <w:tcBorders>
              <w:top w:val="nil"/>
              <w:left w:val="nil"/>
              <w:bottom w:val="nil"/>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54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r>
      <w:tr>
        <w:trPr>
          <w:trHeight w:val="255"/>
        </w:trPr>
        <w:tc>
          <w:tcPr>
            <w:tcW w:w="3340" w:type="dxa"/>
            <w:tcBorders>
              <w:top w:val="nil"/>
              <w:left w:val="single" w:sz="4" w:space="0" w:color="auto"/>
              <w:bottom w:val="nil"/>
              <w:right w:val="nil"/>
            </w:tcBorders>
            <w:shd w:val="clear" w:color="auto" w:fill="auto"/>
            <w:noWrap/>
            <w:vAlign w:val="center"/>
            <w:hideMark/>
          </w:tcPr>
          <w:p>
            <w:pPr>
              <w:spacing w:after="0" w:line="240" w:lineRule="auto"/>
              <w:ind w:firstLineChars="200" w:firstLine="402"/>
              <w:rPr>
                <w:rFonts w:ascii="Times New Roman" w:eastAsia="Times New Roman" w:hAnsi="Times New Roman" w:cs="Times New Roman"/>
                <w:b/>
                <w:bCs/>
                <w:noProof/>
                <w:sz w:val="20"/>
                <w:szCs w:val="20"/>
              </w:rPr>
            </w:pPr>
            <w:r>
              <w:rPr>
                <w:rFonts w:ascii="Times New Roman" w:hAnsi="Times New Roman"/>
                <w:b/>
                <w:noProof/>
                <w:sz w:val="20"/>
              </w:rPr>
              <w:t>Mezisoučet*</w:t>
            </w:r>
          </w:p>
        </w:tc>
        <w:tc>
          <w:tcPr>
            <w:tcW w:w="1600" w:type="dxa"/>
            <w:tcBorders>
              <w:top w:val="nil"/>
              <w:left w:val="single" w:sz="4" w:space="0" w:color="auto"/>
              <w:bottom w:val="dotted"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1 348</w:t>
            </w:r>
          </w:p>
        </w:tc>
        <w:tc>
          <w:tcPr>
            <w:tcW w:w="1600" w:type="dxa"/>
            <w:tcBorders>
              <w:top w:val="nil"/>
              <w:left w:val="nil"/>
              <w:bottom w:val="dotted"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1 348</w:t>
            </w:r>
          </w:p>
        </w:tc>
        <w:tc>
          <w:tcPr>
            <w:tcW w:w="1600" w:type="dxa"/>
            <w:tcBorders>
              <w:top w:val="nil"/>
              <w:left w:val="nil"/>
              <w:bottom w:val="dotted"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c>
          <w:tcPr>
            <w:tcW w:w="1600" w:type="dxa"/>
            <w:tcBorders>
              <w:top w:val="nil"/>
              <w:left w:val="nil"/>
              <w:bottom w:val="dotted"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1 252</w:t>
            </w:r>
          </w:p>
        </w:tc>
        <w:tc>
          <w:tcPr>
            <w:tcW w:w="1600" w:type="dxa"/>
            <w:tcBorders>
              <w:top w:val="nil"/>
              <w:left w:val="nil"/>
              <w:bottom w:val="dotted"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c>
          <w:tcPr>
            <w:tcW w:w="1540" w:type="dxa"/>
            <w:tcBorders>
              <w:top w:val="nil"/>
              <w:left w:val="nil"/>
              <w:bottom w:val="dotted"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r>
      <w:tr>
        <w:trPr>
          <w:trHeight w:val="255"/>
        </w:trPr>
        <w:tc>
          <w:tcPr>
            <w:tcW w:w="3340" w:type="dxa"/>
            <w:tcBorders>
              <w:top w:val="nil"/>
              <w:left w:val="single" w:sz="4" w:space="0" w:color="auto"/>
              <w:bottom w:val="single" w:sz="4" w:space="0" w:color="auto"/>
              <w:right w:val="nil"/>
            </w:tcBorders>
            <w:shd w:val="clear" w:color="auto" w:fill="auto"/>
            <w:noWrap/>
            <w:vAlign w:val="bottom"/>
            <w:hideMark/>
          </w:tcPr>
          <w:p>
            <w:pPr>
              <w:spacing w:after="0" w:line="240" w:lineRule="auto"/>
              <w:rPr>
                <w:rFonts w:ascii="Times New Roman" w:eastAsia="Times New Roman" w:hAnsi="Times New Roman" w:cs="Times New Roman"/>
                <w:b/>
                <w:bCs/>
                <w:noProof/>
                <w:sz w:val="20"/>
                <w:szCs w:val="20"/>
              </w:rPr>
            </w:pPr>
            <w:r>
              <w:rPr>
                <w:rFonts w:ascii="Times New Roman" w:hAnsi="Times New Roman"/>
                <w:b/>
                <w:noProof/>
                <w:sz w:val="20"/>
              </w:rPr>
              <w:t>Evropská komise celkem*</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4 200</w:t>
            </w:r>
          </w:p>
        </w:tc>
        <w:tc>
          <w:tcPr>
            <w:tcW w:w="160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4 200</w:t>
            </w:r>
          </w:p>
        </w:tc>
        <w:tc>
          <w:tcPr>
            <w:tcW w:w="1600" w:type="dxa"/>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4 600</w:t>
            </w:r>
          </w:p>
        </w:tc>
        <w:tc>
          <w:tcPr>
            <w:tcW w:w="160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4 400</w:t>
            </w:r>
          </w:p>
        </w:tc>
        <w:tc>
          <w:tcPr>
            <w:tcW w:w="1600" w:type="dxa"/>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c>
          <w:tcPr>
            <w:tcW w:w="154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4 600</w:t>
            </w:r>
          </w:p>
        </w:tc>
      </w:tr>
      <w:tr>
        <w:trPr>
          <w:trHeight w:val="255"/>
        </w:trPr>
        <w:tc>
          <w:tcPr>
            <w:tcW w:w="3340" w:type="dxa"/>
            <w:tcBorders>
              <w:top w:val="nil"/>
              <w:left w:val="single" w:sz="4" w:space="0" w:color="auto"/>
              <w:bottom w:val="nil"/>
              <w:right w:val="nil"/>
            </w:tcBorders>
            <w:shd w:val="clear" w:color="auto" w:fill="auto"/>
            <w:noWrap/>
            <w:vAlign w:val="bottom"/>
            <w:hideMark/>
          </w:tcPr>
          <w:p>
            <w:pPr>
              <w:spacing w:after="0" w:line="240" w:lineRule="auto"/>
              <w:ind w:firstLineChars="100" w:firstLine="200"/>
              <w:rPr>
                <w:rFonts w:ascii="Times New Roman" w:eastAsia="Times New Roman" w:hAnsi="Times New Roman" w:cs="Times New Roman"/>
                <w:noProof/>
                <w:sz w:val="20"/>
                <w:szCs w:val="20"/>
              </w:rPr>
            </w:pPr>
            <w:r>
              <w:rPr>
                <w:rFonts w:ascii="Times New Roman" w:hAnsi="Times New Roman"/>
                <w:noProof/>
                <w:sz w:val="20"/>
              </w:rPr>
              <w:t>Investiční facilita</w:t>
            </w:r>
          </w:p>
        </w:tc>
        <w:tc>
          <w:tcPr>
            <w:tcW w:w="1600" w:type="dxa"/>
            <w:tcBorders>
              <w:top w:val="nil"/>
              <w:left w:val="single" w:sz="4" w:space="0" w:color="auto"/>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525</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525</w:t>
            </w:r>
          </w:p>
        </w:tc>
        <w:tc>
          <w:tcPr>
            <w:tcW w:w="1600" w:type="dxa"/>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550</w:t>
            </w:r>
          </w:p>
        </w:tc>
        <w:tc>
          <w:tcPr>
            <w:tcW w:w="160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550</w:t>
            </w:r>
          </w:p>
        </w:tc>
        <w:tc>
          <w:tcPr>
            <w:tcW w:w="1600" w:type="dxa"/>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540" w:type="dxa"/>
            <w:tcBorders>
              <w:top w:val="nil"/>
              <w:left w:val="nil"/>
              <w:bottom w:val="nil"/>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575</w:t>
            </w:r>
          </w:p>
        </w:tc>
      </w:tr>
      <w:tr>
        <w:trPr>
          <w:trHeight w:val="255"/>
        </w:trPr>
        <w:tc>
          <w:tcPr>
            <w:tcW w:w="3340" w:type="dxa"/>
            <w:tcBorders>
              <w:top w:val="nil"/>
              <w:left w:val="single" w:sz="4" w:space="0" w:color="auto"/>
              <w:bottom w:val="nil"/>
              <w:right w:val="nil"/>
            </w:tcBorders>
            <w:shd w:val="clear" w:color="auto" w:fill="auto"/>
            <w:noWrap/>
            <w:vAlign w:val="bottom"/>
            <w:hideMark/>
          </w:tcPr>
          <w:p>
            <w:pPr>
              <w:spacing w:after="0" w:line="240" w:lineRule="auto"/>
              <w:ind w:firstLineChars="100" w:firstLine="200"/>
              <w:rPr>
                <w:rFonts w:ascii="Times New Roman" w:eastAsia="Times New Roman" w:hAnsi="Times New Roman" w:cs="Times New Roman"/>
                <w:noProof/>
                <w:sz w:val="20"/>
                <w:szCs w:val="20"/>
              </w:rPr>
            </w:pPr>
            <w:r>
              <w:rPr>
                <w:rFonts w:ascii="Times New Roman" w:hAnsi="Times New Roman"/>
                <w:noProof/>
                <w:sz w:val="20"/>
              </w:rPr>
              <w:t>Subvence úrokových sazeb (**)</w:t>
            </w:r>
          </w:p>
        </w:tc>
        <w:tc>
          <w:tcPr>
            <w:tcW w:w="1600" w:type="dxa"/>
            <w:tcBorders>
              <w:top w:val="nil"/>
              <w:left w:val="single" w:sz="4" w:space="0" w:color="auto"/>
              <w:bottom w:val="dotted"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30</w:t>
            </w:r>
          </w:p>
        </w:tc>
        <w:tc>
          <w:tcPr>
            <w:tcW w:w="1600" w:type="dxa"/>
            <w:tcBorders>
              <w:top w:val="nil"/>
              <w:left w:val="nil"/>
              <w:bottom w:val="dotted"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30</w:t>
            </w:r>
          </w:p>
        </w:tc>
        <w:tc>
          <w:tcPr>
            <w:tcW w:w="1600" w:type="dxa"/>
            <w:tcBorders>
              <w:top w:val="nil"/>
              <w:left w:val="nil"/>
              <w:bottom w:val="dotted"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30</w:t>
            </w:r>
          </w:p>
        </w:tc>
        <w:tc>
          <w:tcPr>
            <w:tcW w:w="1600" w:type="dxa"/>
            <w:tcBorders>
              <w:top w:val="nil"/>
              <w:left w:val="nil"/>
              <w:bottom w:val="dotted"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30</w:t>
            </w:r>
          </w:p>
        </w:tc>
        <w:tc>
          <w:tcPr>
            <w:tcW w:w="1600" w:type="dxa"/>
            <w:tcBorders>
              <w:top w:val="nil"/>
              <w:left w:val="nil"/>
              <w:bottom w:val="dotted"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 </w:t>
            </w:r>
          </w:p>
        </w:tc>
        <w:tc>
          <w:tcPr>
            <w:tcW w:w="1540" w:type="dxa"/>
            <w:tcBorders>
              <w:top w:val="nil"/>
              <w:left w:val="nil"/>
              <w:bottom w:val="dotted"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noProof/>
                <w:sz w:val="20"/>
                <w:szCs w:val="20"/>
              </w:rPr>
            </w:pPr>
            <w:r>
              <w:rPr>
                <w:rFonts w:ascii="Times New Roman" w:hAnsi="Times New Roman"/>
                <w:noProof/>
                <w:sz w:val="20"/>
              </w:rPr>
              <w:t>30</w:t>
            </w:r>
          </w:p>
        </w:tc>
      </w:tr>
      <w:tr>
        <w:trPr>
          <w:trHeight w:val="255"/>
        </w:trPr>
        <w:tc>
          <w:tcPr>
            <w:tcW w:w="3340" w:type="dxa"/>
            <w:tcBorders>
              <w:top w:val="nil"/>
              <w:left w:val="single" w:sz="4" w:space="0" w:color="auto"/>
              <w:bottom w:val="single" w:sz="4" w:space="0" w:color="auto"/>
              <w:right w:val="nil"/>
            </w:tcBorders>
            <w:shd w:val="clear" w:color="auto" w:fill="auto"/>
            <w:noWrap/>
            <w:vAlign w:val="bottom"/>
            <w:hideMark/>
          </w:tcPr>
          <w:p>
            <w:pPr>
              <w:spacing w:after="0" w:line="240" w:lineRule="auto"/>
              <w:rPr>
                <w:rFonts w:ascii="Times New Roman" w:eastAsia="Times New Roman" w:hAnsi="Times New Roman" w:cs="Times New Roman"/>
                <w:b/>
                <w:bCs/>
                <w:noProof/>
                <w:sz w:val="20"/>
                <w:szCs w:val="20"/>
              </w:rPr>
            </w:pPr>
            <w:r>
              <w:rPr>
                <w:rFonts w:ascii="Times New Roman" w:hAnsi="Times New Roman"/>
                <w:b/>
                <w:noProof/>
                <w:sz w:val="20"/>
              </w:rPr>
              <w:t>EIB celkem*</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555</w:t>
            </w:r>
          </w:p>
        </w:tc>
        <w:tc>
          <w:tcPr>
            <w:tcW w:w="160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555</w:t>
            </w:r>
          </w:p>
        </w:tc>
        <w:tc>
          <w:tcPr>
            <w:tcW w:w="1600" w:type="dxa"/>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580</w:t>
            </w:r>
          </w:p>
        </w:tc>
        <w:tc>
          <w:tcPr>
            <w:tcW w:w="160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580</w:t>
            </w:r>
          </w:p>
        </w:tc>
        <w:tc>
          <w:tcPr>
            <w:tcW w:w="1600" w:type="dxa"/>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c>
          <w:tcPr>
            <w:tcW w:w="154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605</w:t>
            </w:r>
          </w:p>
        </w:tc>
      </w:tr>
      <w:tr>
        <w:trPr>
          <w:trHeight w:val="255"/>
        </w:trPr>
        <w:tc>
          <w:tcPr>
            <w:tcW w:w="3340" w:type="dxa"/>
            <w:tcBorders>
              <w:top w:val="nil"/>
              <w:left w:val="single" w:sz="4" w:space="0" w:color="auto"/>
              <w:bottom w:val="single" w:sz="4" w:space="0" w:color="auto"/>
              <w:right w:val="nil"/>
            </w:tcBorders>
            <w:shd w:val="clear" w:color="auto" w:fill="auto"/>
            <w:vAlign w:val="center"/>
            <w:hideMark/>
          </w:tcPr>
          <w:p>
            <w:pPr>
              <w:spacing w:after="0" w:line="240" w:lineRule="auto"/>
              <w:rPr>
                <w:rFonts w:ascii="Times New Roman" w:eastAsia="Times New Roman" w:hAnsi="Times New Roman" w:cs="Times New Roman"/>
                <w:b/>
                <w:bCs/>
                <w:noProof/>
                <w:sz w:val="20"/>
                <w:szCs w:val="20"/>
              </w:rPr>
            </w:pPr>
            <w:r>
              <w:rPr>
                <w:rFonts w:ascii="Times New Roman" w:hAnsi="Times New Roman"/>
                <w:b/>
                <w:noProof/>
                <w:sz w:val="20"/>
              </w:rPr>
              <w:t>Evropská komise + EIB CELKEM*</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4 755</w:t>
            </w:r>
          </w:p>
        </w:tc>
        <w:tc>
          <w:tcPr>
            <w:tcW w:w="160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4 755</w:t>
            </w:r>
          </w:p>
        </w:tc>
        <w:tc>
          <w:tcPr>
            <w:tcW w:w="1600" w:type="dxa"/>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5 180</w:t>
            </w:r>
          </w:p>
        </w:tc>
        <w:tc>
          <w:tcPr>
            <w:tcW w:w="160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4 980</w:t>
            </w:r>
          </w:p>
        </w:tc>
        <w:tc>
          <w:tcPr>
            <w:tcW w:w="1600" w:type="dxa"/>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 </w:t>
            </w:r>
          </w:p>
        </w:tc>
        <w:tc>
          <w:tcPr>
            <w:tcW w:w="1540" w:type="dxa"/>
            <w:tcBorders>
              <w:top w:val="nil"/>
              <w:left w:val="nil"/>
              <w:bottom w:val="single" w:sz="4" w:space="0" w:color="auto"/>
              <w:right w:val="single" w:sz="4" w:space="0" w:color="auto"/>
            </w:tcBorders>
            <w:shd w:val="clear" w:color="000000" w:fill="B7DEE8"/>
            <w:noWrap/>
            <w:vAlign w:val="bottom"/>
            <w:hideMark/>
          </w:tcPr>
          <w:p>
            <w:pPr>
              <w:spacing w:after="0" w:line="240" w:lineRule="auto"/>
              <w:jc w:val="center"/>
              <w:rPr>
                <w:rFonts w:ascii="Times New Roman" w:eastAsia="Times New Roman" w:hAnsi="Times New Roman" w:cs="Times New Roman"/>
                <w:b/>
                <w:bCs/>
                <w:noProof/>
                <w:sz w:val="20"/>
                <w:szCs w:val="20"/>
              </w:rPr>
            </w:pPr>
            <w:r>
              <w:rPr>
                <w:rFonts w:ascii="Times New Roman" w:hAnsi="Times New Roman"/>
                <w:b/>
                <w:noProof/>
                <w:sz w:val="20"/>
              </w:rPr>
              <w:t>5 205</w:t>
            </w:r>
          </w:p>
        </w:tc>
      </w:tr>
    </w:tbl>
    <w:p>
      <w:pPr>
        <w:spacing w:after="0"/>
        <w:rPr>
          <w:rFonts w:ascii="Times New Roman" w:hAnsi="Times New Roman" w:cs="Times New Roman"/>
          <w:noProof/>
          <w:sz w:val="20"/>
          <w:szCs w:val="20"/>
        </w:rPr>
      </w:pPr>
    </w:p>
    <w:p>
      <w:pPr>
        <w:spacing w:after="0"/>
        <w:rPr>
          <w:rFonts w:ascii="Times New Roman" w:hAnsi="Times New Roman" w:cs="Times New Roman"/>
          <w:noProof/>
          <w:sz w:val="20"/>
          <w:szCs w:val="20"/>
        </w:rPr>
      </w:pPr>
      <w:r>
        <w:rPr>
          <w:rFonts w:ascii="Times New Roman" w:hAnsi="Times New Roman"/>
          <w:noProof/>
          <w:sz w:val="20"/>
        </w:rPr>
        <w:t>* Vzhledem k zaokrouhlení se může součet uvedených individuálních zaokrouhlených částek mírně lišit od odpovídajících celkových částek.</w:t>
      </w:r>
    </w:p>
    <w:p>
      <w:pPr>
        <w:spacing w:after="0"/>
        <w:rPr>
          <w:rFonts w:ascii="Times New Roman" w:hAnsi="Times New Roman" w:cs="Times New Roman"/>
          <w:noProof/>
          <w:sz w:val="20"/>
          <w:szCs w:val="20"/>
        </w:rPr>
      </w:pPr>
      <w:r>
        <w:rPr>
          <w:rFonts w:ascii="Times New Roman" w:hAnsi="Times New Roman"/>
          <w:noProof/>
          <w:sz w:val="20"/>
        </w:rPr>
        <w:t>** Včetně subvencí úrokových sazeb v rámci dřívějších ERF.</w:t>
      </w:r>
    </w:p>
    <w:p>
      <w:pPr>
        <w:pStyle w:val="Text1"/>
        <w:ind w:left="0"/>
        <w:jc w:val="left"/>
        <w:rPr>
          <w:noProof/>
          <w:sz w:val="20"/>
          <w:szCs w:val="20"/>
        </w:rPr>
        <w:sectPr>
          <w:headerReference w:type="even" r:id="rId29"/>
          <w:headerReference w:type="default" r:id="rId30"/>
          <w:footerReference w:type="even" r:id="rId31"/>
          <w:footerReference w:type="default" r:id="rId32"/>
          <w:headerReference w:type="first" r:id="rId33"/>
          <w:footerReference w:type="first" r:id="rId34"/>
          <w:pgSz w:w="16838" w:h="11906" w:orient="landscape"/>
          <w:pgMar w:top="425" w:right="964" w:bottom="964" w:left="964" w:header="709" w:footer="709" w:gutter="0"/>
          <w:cols w:space="720"/>
          <w:docGrid w:linePitch="360"/>
        </w:sectPr>
      </w:pPr>
    </w:p>
    <w:p>
      <w:pPr>
        <w:pStyle w:val="ManualHeading2"/>
        <w:rPr>
          <w:noProof/>
        </w:rPr>
      </w:pPr>
      <w:r>
        <w:t>5.3</w:t>
      </w:r>
      <w:r>
        <w:tab/>
      </w:r>
      <w:r>
        <w:rPr>
          <w:noProof/>
        </w:rPr>
        <w:t>Příloha 3: Finanční situace, prognózy na roky 2018–2020 a nezávazné odhady na roky 2021–2022 (v milionech EUR):</w:t>
      </w:r>
    </w:p>
    <w:tbl>
      <w:tblPr>
        <w:tblW w:w="5000" w:type="pct"/>
        <w:tblLook w:val="04A0" w:firstRow="1" w:lastRow="0" w:firstColumn="1" w:lastColumn="0" w:noHBand="0" w:noVBand="1"/>
      </w:tblPr>
      <w:tblGrid>
        <w:gridCol w:w="834"/>
        <w:gridCol w:w="4730"/>
        <w:gridCol w:w="1873"/>
        <w:gridCol w:w="1325"/>
        <w:gridCol w:w="1428"/>
        <w:gridCol w:w="1873"/>
        <w:gridCol w:w="1325"/>
        <w:gridCol w:w="1428"/>
      </w:tblGrid>
      <w:tr>
        <w:trPr>
          <w:trHeight w:val="390"/>
        </w:trPr>
        <w:tc>
          <w:tcPr>
            <w:tcW w:w="281" w:type="pct"/>
            <w:tcBorders>
              <w:top w:val="nil"/>
              <w:left w:val="nil"/>
              <w:bottom w:val="nil"/>
              <w:right w:val="nil"/>
            </w:tcBorders>
            <w:shd w:val="clear" w:color="auto" w:fill="auto"/>
            <w:noWrap/>
            <w:vAlign w:val="bottom"/>
            <w:hideMark/>
          </w:tcPr>
          <w:p>
            <w:pPr>
              <w:spacing w:after="0" w:line="240" w:lineRule="auto"/>
              <w:rPr>
                <w:rFonts w:ascii="Arial" w:eastAsia="Times New Roman" w:hAnsi="Arial" w:cs="Arial"/>
                <w:noProof/>
                <w:sz w:val="18"/>
                <w:szCs w:val="18"/>
              </w:rPr>
            </w:pPr>
          </w:p>
        </w:tc>
        <w:tc>
          <w:tcPr>
            <w:tcW w:w="1596" w:type="pct"/>
            <w:tcBorders>
              <w:top w:val="nil"/>
              <w:left w:val="nil"/>
              <w:bottom w:val="nil"/>
              <w:right w:val="nil"/>
            </w:tcBorders>
            <w:shd w:val="clear" w:color="auto" w:fill="auto"/>
            <w:noWrap/>
            <w:vAlign w:val="bottom"/>
            <w:hideMark/>
          </w:tcPr>
          <w:p>
            <w:pPr>
              <w:spacing w:after="0" w:line="240" w:lineRule="auto"/>
              <w:rPr>
                <w:rFonts w:ascii="Arial" w:eastAsia="Times New Roman" w:hAnsi="Arial" w:cs="Arial"/>
                <w:noProof/>
                <w:sz w:val="18"/>
                <w:szCs w:val="18"/>
              </w:rPr>
            </w:pPr>
          </w:p>
        </w:tc>
        <w:tc>
          <w:tcPr>
            <w:tcW w:w="1561"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Sdělení z června 2018</w:t>
            </w:r>
            <w:r>
              <w:rPr>
                <w:rFonts w:ascii="Arial" w:hAnsi="Arial"/>
                <w:b/>
                <w:noProof/>
                <w:sz w:val="18"/>
                <w:vertAlign w:val="superscript"/>
              </w:rPr>
              <w:t>1</w:t>
            </w:r>
          </w:p>
        </w:tc>
        <w:tc>
          <w:tcPr>
            <w:tcW w:w="1561" w:type="pct"/>
            <w:gridSpan w:val="3"/>
            <w:tcBorders>
              <w:top w:val="single" w:sz="4" w:space="0" w:color="auto"/>
              <w:left w:val="nil"/>
              <w:bottom w:val="single" w:sz="4" w:space="0" w:color="auto"/>
              <w:right w:val="single" w:sz="4" w:space="0" w:color="000000"/>
            </w:tcBorders>
            <w:shd w:val="clear" w:color="auto" w:fill="auto"/>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Sdělení z října 2018</w:t>
            </w:r>
            <w:r>
              <w:rPr>
                <w:rFonts w:ascii="Arial" w:hAnsi="Arial"/>
                <w:b/>
                <w:noProof/>
                <w:sz w:val="18"/>
                <w:vertAlign w:val="superscript"/>
              </w:rPr>
              <w:t>1</w:t>
            </w:r>
          </w:p>
        </w:tc>
      </w:tr>
      <w:tr>
        <w:trPr>
          <w:trHeight w:val="199"/>
        </w:trPr>
        <w:tc>
          <w:tcPr>
            <w:tcW w:w="281" w:type="pct"/>
            <w:tcBorders>
              <w:top w:val="nil"/>
              <w:left w:val="nil"/>
              <w:bottom w:val="nil"/>
              <w:right w:val="nil"/>
            </w:tcBorders>
            <w:shd w:val="clear" w:color="auto" w:fill="auto"/>
            <w:noWrap/>
            <w:vAlign w:val="bottom"/>
            <w:hideMark/>
          </w:tcPr>
          <w:p>
            <w:pPr>
              <w:spacing w:after="0" w:line="240" w:lineRule="auto"/>
              <w:rPr>
                <w:rFonts w:ascii="Arial" w:eastAsia="Times New Roman" w:hAnsi="Arial" w:cs="Arial"/>
                <w:noProof/>
                <w:sz w:val="18"/>
                <w:szCs w:val="18"/>
              </w:rPr>
            </w:pPr>
          </w:p>
        </w:tc>
        <w:tc>
          <w:tcPr>
            <w:tcW w:w="1596" w:type="pct"/>
            <w:tcBorders>
              <w:top w:val="nil"/>
              <w:left w:val="nil"/>
              <w:bottom w:val="nil"/>
              <w:right w:val="nil"/>
            </w:tcBorders>
            <w:shd w:val="clear" w:color="auto" w:fill="auto"/>
            <w:noWrap/>
            <w:vAlign w:val="center"/>
            <w:hideMark/>
          </w:tcPr>
          <w:p>
            <w:pPr>
              <w:spacing w:after="0" w:line="240" w:lineRule="auto"/>
              <w:jc w:val="center"/>
              <w:rPr>
                <w:rFonts w:ascii="Arial" w:eastAsia="Times New Roman" w:hAnsi="Arial" w:cs="Arial"/>
                <w:b/>
                <w:bCs/>
                <w:noProof/>
                <w:sz w:val="18"/>
                <w:szCs w:val="18"/>
              </w:rPr>
            </w:pPr>
          </w:p>
        </w:tc>
        <w:tc>
          <w:tcPr>
            <w:tcW w:w="632" w:type="pct"/>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Komise</w:t>
            </w:r>
          </w:p>
        </w:tc>
        <w:tc>
          <w:tcPr>
            <w:tcW w:w="447" w:type="pct"/>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EIB</w:t>
            </w:r>
            <w:r>
              <w:rPr>
                <w:rFonts w:ascii="Arial" w:hAnsi="Arial"/>
                <w:b/>
                <w:noProof/>
                <w:sz w:val="18"/>
                <w:vertAlign w:val="superscript"/>
              </w:rPr>
              <w:t>6</w:t>
            </w:r>
          </w:p>
        </w:tc>
        <w:tc>
          <w:tcPr>
            <w:tcW w:w="482" w:type="pct"/>
            <w:tcBorders>
              <w:top w:val="nil"/>
              <w:left w:val="nil"/>
              <w:bottom w:val="nil"/>
              <w:right w:val="single" w:sz="4" w:space="0" w:color="auto"/>
            </w:tcBorders>
            <w:shd w:val="clear" w:color="auto" w:fill="auto"/>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CELKEM</w:t>
            </w:r>
          </w:p>
        </w:tc>
        <w:tc>
          <w:tcPr>
            <w:tcW w:w="632" w:type="pct"/>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Komise</w:t>
            </w:r>
          </w:p>
        </w:tc>
        <w:tc>
          <w:tcPr>
            <w:tcW w:w="447" w:type="pct"/>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EIB</w:t>
            </w:r>
            <w:r>
              <w:rPr>
                <w:rFonts w:ascii="Arial" w:hAnsi="Arial"/>
                <w:b/>
                <w:noProof/>
                <w:sz w:val="18"/>
                <w:vertAlign w:val="superscript"/>
              </w:rPr>
              <w:t>6</w:t>
            </w:r>
          </w:p>
        </w:tc>
        <w:tc>
          <w:tcPr>
            <w:tcW w:w="482" w:type="pct"/>
            <w:tcBorders>
              <w:top w:val="nil"/>
              <w:left w:val="nil"/>
              <w:bottom w:val="nil"/>
              <w:right w:val="single" w:sz="4" w:space="0" w:color="auto"/>
            </w:tcBorders>
            <w:shd w:val="clear" w:color="auto" w:fill="auto"/>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CELKEM</w:t>
            </w:r>
          </w:p>
        </w:tc>
      </w:tr>
      <w:tr>
        <w:trPr>
          <w:trHeight w:val="199"/>
        </w:trPr>
        <w:tc>
          <w:tcPr>
            <w:tcW w:w="2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 </w:t>
            </w:r>
          </w:p>
        </w:tc>
        <w:tc>
          <w:tcPr>
            <w:tcW w:w="1596" w:type="pct"/>
            <w:tcBorders>
              <w:top w:val="single" w:sz="4" w:space="0" w:color="auto"/>
              <w:left w:val="nil"/>
              <w:bottom w:val="single" w:sz="4" w:space="0" w:color="auto"/>
              <w:right w:val="single" w:sz="4" w:space="0" w:color="auto"/>
            </w:tcBorders>
            <w:shd w:val="clear" w:color="auto" w:fill="auto"/>
            <w:noWrap/>
            <w:vAlign w:val="bottom"/>
            <w:hideMark/>
          </w:tcPr>
          <w:p>
            <w:pPr>
              <w:spacing w:after="0" w:line="240" w:lineRule="auto"/>
              <w:rPr>
                <w:rFonts w:ascii="Arial" w:eastAsia="Times New Roman" w:hAnsi="Arial" w:cs="Arial"/>
                <w:b/>
                <w:bCs/>
                <w:noProof/>
                <w:sz w:val="18"/>
                <w:szCs w:val="18"/>
              </w:rPr>
            </w:pPr>
            <w:r>
              <w:rPr>
                <w:rFonts w:ascii="Arial" w:hAnsi="Arial"/>
                <w:b/>
                <w:noProof/>
                <w:sz w:val="18"/>
              </w:rPr>
              <w:t>Zůstatek k 31. 12. 2017</w:t>
            </w:r>
            <w:r>
              <w:rPr>
                <w:rFonts w:ascii="Arial" w:hAnsi="Arial"/>
                <w:b/>
                <w:noProof/>
                <w:sz w:val="18"/>
                <w:vertAlign w:val="superscript"/>
              </w:rPr>
              <w:t>4</w:t>
            </w:r>
          </w:p>
        </w:tc>
        <w:tc>
          <w:tcPr>
            <w:tcW w:w="632" w:type="pct"/>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284</w:t>
            </w:r>
          </w:p>
        </w:tc>
        <w:tc>
          <w:tcPr>
            <w:tcW w:w="447"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52</w:t>
            </w:r>
          </w:p>
        </w:tc>
        <w:tc>
          <w:tcPr>
            <w:tcW w:w="482"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336</w:t>
            </w:r>
          </w:p>
        </w:tc>
        <w:tc>
          <w:tcPr>
            <w:tcW w:w="632" w:type="pct"/>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284</w:t>
            </w:r>
          </w:p>
        </w:tc>
        <w:tc>
          <w:tcPr>
            <w:tcW w:w="447"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52</w:t>
            </w:r>
          </w:p>
        </w:tc>
        <w:tc>
          <w:tcPr>
            <w:tcW w:w="482"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336</w:t>
            </w:r>
          </w:p>
        </w:tc>
      </w:tr>
      <w:tr>
        <w:trPr>
          <w:trHeight w:val="199"/>
        </w:trPr>
        <w:tc>
          <w:tcPr>
            <w:tcW w:w="281"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2018</w:t>
            </w:r>
          </w:p>
        </w:tc>
        <w:tc>
          <w:tcPr>
            <w:tcW w:w="1596" w:type="pct"/>
            <w:tcBorders>
              <w:top w:val="nil"/>
              <w:left w:val="nil"/>
              <w:bottom w:val="nil"/>
              <w:right w:val="nil"/>
            </w:tcBorders>
            <w:shd w:val="clear" w:color="auto" w:fill="auto"/>
            <w:noWrap/>
            <w:vAlign w:val="bottom"/>
            <w:hideMark/>
          </w:tcPr>
          <w:p>
            <w:pPr>
              <w:spacing w:after="0" w:line="240" w:lineRule="auto"/>
              <w:rPr>
                <w:rFonts w:ascii="Arial" w:eastAsia="Times New Roman" w:hAnsi="Arial" w:cs="Arial"/>
                <w:noProof/>
                <w:color w:val="FF0000"/>
                <w:sz w:val="18"/>
                <w:szCs w:val="18"/>
              </w:rPr>
            </w:pPr>
            <w:r>
              <w:rPr>
                <w:rFonts w:ascii="Arial" w:hAnsi="Arial"/>
                <w:noProof/>
                <w:color w:val="FF0000"/>
                <w:sz w:val="18"/>
              </w:rPr>
              <w:t>Příspěvky členských států na rok 2018:</w:t>
            </w:r>
          </w:p>
        </w:tc>
        <w:tc>
          <w:tcPr>
            <w:tcW w:w="632" w:type="pct"/>
            <w:tcBorders>
              <w:top w:val="nil"/>
              <w:left w:val="single" w:sz="4" w:space="0" w:color="auto"/>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4 250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250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4 500</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4 250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250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4 500</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single" w:sz="4" w:space="0" w:color="auto"/>
            </w:tcBorders>
            <w:shd w:val="clear" w:color="auto" w:fill="auto"/>
            <w:vAlign w:val="bottom"/>
            <w:hideMark/>
          </w:tcPr>
          <w:p>
            <w:pPr>
              <w:spacing w:after="0" w:line="240" w:lineRule="auto"/>
              <w:rPr>
                <w:rFonts w:ascii="Arial" w:eastAsia="Times New Roman" w:hAnsi="Arial" w:cs="Arial"/>
                <w:i/>
                <w:iCs/>
                <w:noProof/>
                <w:sz w:val="18"/>
                <w:szCs w:val="18"/>
              </w:rPr>
            </w:pPr>
            <w:r>
              <w:rPr>
                <w:rFonts w:ascii="Arial" w:hAnsi="Arial"/>
                <w:i/>
                <w:noProof/>
                <w:sz w:val="18"/>
              </w:rPr>
              <w:t xml:space="preserve">     1. splátka</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2 050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150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2 200</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2 050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150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2 200</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single" w:sz="4" w:space="0" w:color="auto"/>
            </w:tcBorders>
            <w:shd w:val="clear" w:color="auto" w:fill="auto"/>
            <w:vAlign w:val="bottom"/>
            <w:hideMark/>
          </w:tcPr>
          <w:p>
            <w:pPr>
              <w:spacing w:after="0" w:line="240" w:lineRule="auto"/>
              <w:rPr>
                <w:rFonts w:ascii="Arial" w:eastAsia="Times New Roman" w:hAnsi="Arial" w:cs="Arial"/>
                <w:i/>
                <w:iCs/>
                <w:noProof/>
                <w:sz w:val="18"/>
                <w:szCs w:val="18"/>
              </w:rPr>
            </w:pPr>
            <w:r>
              <w:rPr>
                <w:rFonts w:ascii="Arial" w:hAnsi="Arial"/>
                <w:i/>
                <w:noProof/>
                <w:sz w:val="18"/>
              </w:rPr>
              <w:t xml:space="preserve">     2. splátka</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1 300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100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1 400</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1 300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100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1 400</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single" w:sz="4" w:space="0" w:color="auto"/>
            </w:tcBorders>
            <w:shd w:val="clear" w:color="auto" w:fill="auto"/>
            <w:vAlign w:val="bottom"/>
            <w:hideMark/>
          </w:tcPr>
          <w:p>
            <w:pPr>
              <w:spacing w:after="0" w:line="240" w:lineRule="auto"/>
              <w:rPr>
                <w:rFonts w:ascii="Arial" w:eastAsia="Times New Roman" w:hAnsi="Arial" w:cs="Arial"/>
                <w:i/>
                <w:iCs/>
                <w:noProof/>
                <w:sz w:val="18"/>
                <w:szCs w:val="18"/>
              </w:rPr>
            </w:pPr>
            <w:r>
              <w:rPr>
                <w:rFonts w:ascii="Arial" w:hAnsi="Arial"/>
                <w:i/>
                <w:noProof/>
                <w:sz w:val="18"/>
              </w:rPr>
              <w:t xml:space="preserve">     3. splátka</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900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900</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900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900</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single" w:sz="4" w:space="0" w:color="auto"/>
            </w:tcBorders>
            <w:shd w:val="clear" w:color="auto" w:fill="auto"/>
            <w:noWrap/>
            <w:vAlign w:val="bottom"/>
            <w:hideMark/>
          </w:tcPr>
          <w:p>
            <w:pPr>
              <w:spacing w:after="0" w:line="240" w:lineRule="auto"/>
              <w:rPr>
                <w:rFonts w:ascii="Arial" w:eastAsia="Times New Roman" w:hAnsi="Arial" w:cs="Arial"/>
                <w:noProof/>
                <w:sz w:val="18"/>
                <w:szCs w:val="18"/>
              </w:rPr>
            </w:pPr>
            <w:r>
              <w:rPr>
                <w:rFonts w:ascii="Arial" w:hAnsi="Arial"/>
                <w:noProof/>
                <w:sz w:val="18"/>
              </w:rPr>
              <w:t>Prostředky získané z dřívějších operací</w:t>
            </w:r>
            <w:r>
              <w:rPr>
                <w:rFonts w:ascii="Arial" w:hAnsi="Arial"/>
                <w:noProof/>
                <w:sz w:val="18"/>
                <w:vertAlign w:val="superscript"/>
              </w:rPr>
              <w:t>2</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300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300</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330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330</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single" w:sz="4" w:space="0" w:color="auto"/>
            </w:tcBorders>
            <w:shd w:val="clear" w:color="auto" w:fill="auto"/>
            <w:noWrap/>
            <w:vAlign w:val="bottom"/>
            <w:hideMark/>
          </w:tcPr>
          <w:p>
            <w:pPr>
              <w:spacing w:after="0" w:line="240" w:lineRule="auto"/>
              <w:rPr>
                <w:rFonts w:ascii="Arial" w:eastAsia="Times New Roman" w:hAnsi="Arial" w:cs="Arial"/>
                <w:noProof/>
                <w:sz w:val="18"/>
                <w:szCs w:val="18"/>
              </w:rPr>
            </w:pPr>
            <w:r>
              <w:rPr>
                <w:rFonts w:ascii="Arial" w:hAnsi="Arial"/>
                <w:noProof/>
                <w:sz w:val="18"/>
              </w:rPr>
              <w:t>Příspěvky &amp; úpravy za rok 2018 přijaté v roce 2017</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–173</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–173</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–173</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–173</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single" w:sz="4" w:space="0" w:color="auto"/>
            </w:tcBorders>
            <w:shd w:val="clear" w:color="auto" w:fill="auto"/>
            <w:noWrap/>
            <w:vAlign w:val="bottom"/>
            <w:hideMark/>
          </w:tcPr>
          <w:p>
            <w:pPr>
              <w:spacing w:after="0" w:line="240" w:lineRule="auto"/>
              <w:rPr>
                <w:rFonts w:ascii="Arial" w:eastAsia="Times New Roman" w:hAnsi="Arial" w:cs="Arial"/>
                <w:noProof/>
                <w:sz w:val="18"/>
                <w:szCs w:val="18"/>
              </w:rPr>
            </w:pPr>
            <w:r>
              <w:rPr>
                <w:rFonts w:ascii="Arial" w:hAnsi="Arial"/>
                <w:noProof/>
                <w:sz w:val="18"/>
              </w:rPr>
              <w:t>Příspěvky &amp; úpravy za rok 2019 přijaté v roce 2018</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0</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0</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nil"/>
            </w:tcBorders>
            <w:shd w:val="clear" w:color="auto" w:fill="auto"/>
            <w:noWrap/>
            <w:vAlign w:val="bottom"/>
            <w:hideMark/>
          </w:tcPr>
          <w:p>
            <w:pPr>
              <w:spacing w:after="0" w:line="240" w:lineRule="auto"/>
              <w:rPr>
                <w:rFonts w:ascii="Arial" w:eastAsia="Times New Roman" w:hAnsi="Arial" w:cs="Arial"/>
                <w:noProof/>
                <w:sz w:val="18"/>
                <w:szCs w:val="18"/>
              </w:rPr>
            </w:pPr>
            <w:r>
              <w:rPr>
                <w:rFonts w:ascii="Arial" w:hAnsi="Arial"/>
                <w:noProof/>
                <w:sz w:val="18"/>
              </w:rPr>
              <w:t>Zpětně získané částky, úroky a ostatní příjmy</w:t>
            </w:r>
          </w:p>
        </w:tc>
        <w:tc>
          <w:tcPr>
            <w:tcW w:w="632" w:type="pct"/>
            <w:tcBorders>
              <w:top w:val="nil"/>
              <w:left w:val="single" w:sz="4" w:space="0" w:color="auto"/>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80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80</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68</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68</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single" w:sz="4" w:space="0" w:color="auto"/>
            </w:tcBorders>
            <w:shd w:val="clear" w:color="auto" w:fill="auto"/>
            <w:vAlign w:val="bottom"/>
            <w:hideMark/>
          </w:tcPr>
          <w:p>
            <w:pPr>
              <w:spacing w:after="0" w:line="240" w:lineRule="auto"/>
              <w:rPr>
                <w:rFonts w:ascii="Arial" w:eastAsia="Times New Roman" w:hAnsi="Arial" w:cs="Arial"/>
                <w:noProof/>
                <w:sz w:val="18"/>
                <w:szCs w:val="18"/>
              </w:rPr>
            </w:pPr>
            <w:r>
              <w:rPr>
                <w:rFonts w:ascii="Arial" w:hAnsi="Arial"/>
                <w:noProof/>
                <w:sz w:val="18"/>
              </w:rPr>
              <w:t>Platby celkem</w:t>
            </w:r>
            <w:r>
              <w:rPr>
                <w:rFonts w:ascii="Arial" w:hAnsi="Arial"/>
                <w:noProof/>
                <w:sz w:val="18"/>
                <w:vertAlign w:val="superscript"/>
              </w:rPr>
              <w:t>3</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–4 200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–555</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–4 755</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–4 200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–555</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–4 755</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single" w:sz="4" w:space="0" w:color="auto"/>
              <w:left w:val="nil"/>
              <w:bottom w:val="single" w:sz="4" w:space="0" w:color="auto"/>
              <w:right w:val="nil"/>
            </w:tcBorders>
            <w:shd w:val="clear" w:color="auto" w:fill="auto"/>
            <w:noWrap/>
            <w:vAlign w:val="bottom"/>
            <w:hideMark/>
          </w:tcPr>
          <w:p>
            <w:pPr>
              <w:spacing w:after="0" w:line="240" w:lineRule="auto"/>
              <w:rPr>
                <w:rFonts w:ascii="Arial" w:eastAsia="Times New Roman" w:hAnsi="Arial" w:cs="Arial"/>
                <w:b/>
                <w:bCs/>
                <w:noProof/>
                <w:sz w:val="18"/>
                <w:szCs w:val="18"/>
              </w:rPr>
            </w:pPr>
            <w:r>
              <w:rPr>
                <w:rFonts w:ascii="Arial" w:hAnsi="Arial"/>
                <w:b/>
                <w:noProof/>
                <w:sz w:val="18"/>
              </w:rPr>
              <w:t>Zůstatek k 31. 12. 2018</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241</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47</w:t>
            </w:r>
          </w:p>
        </w:tc>
        <w:tc>
          <w:tcPr>
            <w:tcW w:w="482"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288</w:t>
            </w:r>
          </w:p>
        </w:tc>
        <w:tc>
          <w:tcPr>
            <w:tcW w:w="632"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229</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77</w:t>
            </w:r>
          </w:p>
        </w:tc>
        <w:tc>
          <w:tcPr>
            <w:tcW w:w="482"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306</w:t>
            </w:r>
          </w:p>
        </w:tc>
      </w:tr>
      <w:tr>
        <w:trPr>
          <w:trHeight w:val="199"/>
        </w:trPr>
        <w:tc>
          <w:tcPr>
            <w:tcW w:w="281"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2019</w:t>
            </w:r>
          </w:p>
        </w:tc>
        <w:tc>
          <w:tcPr>
            <w:tcW w:w="1596" w:type="pct"/>
            <w:tcBorders>
              <w:top w:val="nil"/>
              <w:left w:val="nil"/>
              <w:bottom w:val="nil"/>
              <w:right w:val="nil"/>
            </w:tcBorders>
            <w:shd w:val="clear" w:color="auto" w:fill="auto"/>
            <w:noWrap/>
            <w:vAlign w:val="bottom"/>
            <w:hideMark/>
          </w:tcPr>
          <w:p>
            <w:pPr>
              <w:spacing w:after="0" w:line="240" w:lineRule="auto"/>
              <w:rPr>
                <w:rFonts w:ascii="Arial" w:eastAsia="Times New Roman" w:hAnsi="Arial" w:cs="Arial"/>
                <w:noProof/>
                <w:color w:val="FF0000"/>
                <w:sz w:val="18"/>
                <w:szCs w:val="18"/>
              </w:rPr>
            </w:pPr>
            <w:r>
              <w:rPr>
                <w:rFonts w:ascii="Arial" w:hAnsi="Arial"/>
                <w:noProof/>
                <w:color w:val="FF0000"/>
                <w:sz w:val="18"/>
              </w:rPr>
              <w:t>Příspěvky členských států na rok 2019:</w:t>
            </w:r>
          </w:p>
        </w:tc>
        <w:tc>
          <w:tcPr>
            <w:tcW w:w="632" w:type="pct"/>
            <w:tcBorders>
              <w:top w:val="nil"/>
              <w:left w:val="single" w:sz="4" w:space="0" w:color="auto"/>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4 600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300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4 900</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4 400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300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4 700</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single" w:sz="4" w:space="0" w:color="auto"/>
            </w:tcBorders>
            <w:shd w:val="clear" w:color="auto" w:fill="auto"/>
            <w:vAlign w:val="bottom"/>
            <w:hideMark/>
          </w:tcPr>
          <w:p>
            <w:pPr>
              <w:spacing w:after="0" w:line="240" w:lineRule="auto"/>
              <w:rPr>
                <w:rFonts w:ascii="Arial" w:eastAsia="Times New Roman" w:hAnsi="Arial" w:cs="Arial"/>
                <w:i/>
                <w:iCs/>
                <w:noProof/>
                <w:sz w:val="18"/>
                <w:szCs w:val="18"/>
              </w:rPr>
            </w:pPr>
            <w:r>
              <w:rPr>
                <w:rFonts w:ascii="Arial" w:hAnsi="Arial"/>
                <w:i/>
                <w:noProof/>
                <w:sz w:val="18"/>
              </w:rPr>
              <w:t xml:space="preserve">     1. splátka</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2 000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100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2 100</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single" w:sz="4" w:space="0" w:color="auto"/>
            </w:tcBorders>
            <w:shd w:val="clear" w:color="auto" w:fill="auto"/>
            <w:vAlign w:val="bottom"/>
            <w:hideMark/>
          </w:tcPr>
          <w:p>
            <w:pPr>
              <w:spacing w:after="0" w:line="240" w:lineRule="auto"/>
              <w:rPr>
                <w:rFonts w:ascii="Arial" w:eastAsia="Times New Roman" w:hAnsi="Arial" w:cs="Arial"/>
                <w:i/>
                <w:iCs/>
                <w:noProof/>
                <w:sz w:val="18"/>
                <w:szCs w:val="18"/>
              </w:rPr>
            </w:pPr>
            <w:r>
              <w:rPr>
                <w:rFonts w:ascii="Arial" w:hAnsi="Arial"/>
                <w:i/>
                <w:noProof/>
                <w:sz w:val="18"/>
              </w:rPr>
              <w:t xml:space="preserve">     2. splátka</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1 500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100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1 600</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single" w:sz="4" w:space="0" w:color="auto"/>
            </w:tcBorders>
            <w:shd w:val="clear" w:color="auto" w:fill="auto"/>
            <w:vAlign w:val="bottom"/>
            <w:hideMark/>
          </w:tcPr>
          <w:p>
            <w:pPr>
              <w:spacing w:after="0" w:line="240" w:lineRule="auto"/>
              <w:rPr>
                <w:rFonts w:ascii="Arial" w:eastAsia="Times New Roman" w:hAnsi="Arial" w:cs="Arial"/>
                <w:i/>
                <w:iCs/>
                <w:noProof/>
                <w:sz w:val="18"/>
                <w:szCs w:val="18"/>
              </w:rPr>
            </w:pPr>
            <w:r>
              <w:rPr>
                <w:rFonts w:ascii="Arial" w:hAnsi="Arial"/>
                <w:i/>
                <w:noProof/>
                <w:sz w:val="18"/>
              </w:rPr>
              <w:t xml:space="preserve">     3. splátka</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900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100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1 000</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single" w:sz="4" w:space="0" w:color="auto"/>
            </w:tcBorders>
            <w:shd w:val="clear" w:color="auto" w:fill="auto"/>
            <w:noWrap/>
            <w:vAlign w:val="bottom"/>
            <w:hideMark/>
          </w:tcPr>
          <w:p>
            <w:pPr>
              <w:spacing w:after="0" w:line="240" w:lineRule="auto"/>
              <w:rPr>
                <w:rFonts w:ascii="Arial" w:eastAsia="Times New Roman" w:hAnsi="Arial" w:cs="Arial"/>
                <w:noProof/>
                <w:sz w:val="18"/>
                <w:szCs w:val="18"/>
              </w:rPr>
            </w:pPr>
            <w:r>
              <w:rPr>
                <w:rFonts w:ascii="Arial" w:hAnsi="Arial"/>
                <w:noProof/>
                <w:sz w:val="18"/>
              </w:rPr>
              <w:t>Prostředky získané z dřívějších operací</w:t>
            </w:r>
            <w:r>
              <w:rPr>
                <w:rFonts w:ascii="Arial" w:hAnsi="Arial"/>
                <w:noProof/>
                <w:sz w:val="18"/>
                <w:vertAlign w:val="superscript"/>
              </w:rPr>
              <w:t>2</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300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300</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320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320</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single" w:sz="4" w:space="0" w:color="auto"/>
            </w:tcBorders>
            <w:shd w:val="clear" w:color="auto" w:fill="auto"/>
            <w:noWrap/>
            <w:vAlign w:val="bottom"/>
            <w:hideMark/>
          </w:tcPr>
          <w:p>
            <w:pPr>
              <w:spacing w:after="0" w:line="240" w:lineRule="auto"/>
              <w:rPr>
                <w:rFonts w:ascii="Arial" w:eastAsia="Times New Roman" w:hAnsi="Arial" w:cs="Arial"/>
                <w:noProof/>
                <w:sz w:val="18"/>
                <w:szCs w:val="18"/>
              </w:rPr>
            </w:pPr>
            <w:r>
              <w:rPr>
                <w:rFonts w:ascii="Arial" w:hAnsi="Arial"/>
                <w:noProof/>
                <w:sz w:val="18"/>
              </w:rPr>
              <w:t>Příspěvky &amp; úpravy za rok 2019 přijaté v roce 2018</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nil"/>
            </w:tcBorders>
            <w:shd w:val="clear" w:color="auto" w:fill="auto"/>
            <w:noWrap/>
            <w:vAlign w:val="bottom"/>
            <w:hideMark/>
          </w:tcPr>
          <w:p>
            <w:pPr>
              <w:spacing w:after="0" w:line="240" w:lineRule="auto"/>
              <w:rPr>
                <w:rFonts w:ascii="Arial" w:eastAsia="Times New Roman" w:hAnsi="Arial" w:cs="Arial"/>
                <w:noProof/>
                <w:sz w:val="18"/>
                <w:szCs w:val="18"/>
              </w:rPr>
            </w:pPr>
            <w:r>
              <w:rPr>
                <w:rFonts w:ascii="Arial" w:hAnsi="Arial"/>
                <w:noProof/>
                <w:sz w:val="18"/>
              </w:rPr>
              <w:t>Zpětně získané částky, úroky a ostatní příjmy</w:t>
            </w:r>
          </w:p>
        </w:tc>
        <w:tc>
          <w:tcPr>
            <w:tcW w:w="632" w:type="pct"/>
            <w:tcBorders>
              <w:top w:val="nil"/>
              <w:left w:val="single" w:sz="4" w:space="0" w:color="auto"/>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80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80</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65</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65</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single" w:sz="4" w:space="0" w:color="auto"/>
            </w:tcBorders>
            <w:shd w:val="clear" w:color="auto" w:fill="auto"/>
            <w:vAlign w:val="bottom"/>
            <w:hideMark/>
          </w:tcPr>
          <w:p>
            <w:pPr>
              <w:spacing w:after="0" w:line="240" w:lineRule="auto"/>
              <w:rPr>
                <w:rFonts w:ascii="Arial" w:eastAsia="Times New Roman" w:hAnsi="Arial" w:cs="Arial"/>
                <w:noProof/>
                <w:sz w:val="18"/>
                <w:szCs w:val="18"/>
              </w:rPr>
            </w:pPr>
            <w:r>
              <w:rPr>
                <w:rFonts w:ascii="Arial" w:hAnsi="Arial"/>
                <w:noProof/>
                <w:sz w:val="18"/>
              </w:rPr>
              <w:t>Platby celkem</w:t>
            </w:r>
            <w:r>
              <w:rPr>
                <w:rFonts w:ascii="Arial" w:hAnsi="Arial"/>
                <w:noProof/>
                <w:sz w:val="18"/>
                <w:vertAlign w:val="superscript"/>
              </w:rPr>
              <w:t>3</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–4 600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–580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–5 180</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–4 400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–580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–4 980</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single" w:sz="4" w:space="0" w:color="auto"/>
              <w:left w:val="nil"/>
              <w:bottom w:val="single" w:sz="4" w:space="0" w:color="auto"/>
              <w:right w:val="nil"/>
            </w:tcBorders>
            <w:shd w:val="clear" w:color="auto" w:fill="auto"/>
            <w:noWrap/>
            <w:vAlign w:val="bottom"/>
            <w:hideMark/>
          </w:tcPr>
          <w:p>
            <w:pPr>
              <w:spacing w:after="0" w:line="240" w:lineRule="auto"/>
              <w:rPr>
                <w:rFonts w:ascii="Arial" w:eastAsia="Times New Roman" w:hAnsi="Arial" w:cs="Arial"/>
                <w:b/>
                <w:bCs/>
                <w:noProof/>
                <w:sz w:val="18"/>
                <w:szCs w:val="18"/>
              </w:rPr>
            </w:pPr>
            <w:r>
              <w:rPr>
                <w:rFonts w:ascii="Arial" w:hAnsi="Arial"/>
                <w:b/>
                <w:noProof/>
                <w:sz w:val="18"/>
              </w:rPr>
              <w:t>Zůstatek k 31. 12. 2019</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321</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67</w:t>
            </w:r>
          </w:p>
        </w:tc>
        <w:tc>
          <w:tcPr>
            <w:tcW w:w="482"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388</w:t>
            </w:r>
          </w:p>
        </w:tc>
        <w:tc>
          <w:tcPr>
            <w:tcW w:w="632"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294</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117</w:t>
            </w:r>
          </w:p>
        </w:tc>
        <w:tc>
          <w:tcPr>
            <w:tcW w:w="482"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411</w:t>
            </w:r>
          </w:p>
        </w:tc>
      </w:tr>
      <w:tr>
        <w:trPr>
          <w:trHeight w:val="199"/>
        </w:trPr>
        <w:tc>
          <w:tcPr>
            <w:tcW w:w="281"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2020</w:t>
            </w:r>
          </w:p>
        </w:tc>
        <w:tc>
          <w:tcPr>
            <w:tcW w:w="1596" w:type="pct"/>
            <w:tcBorders>
              <w:top w:val="nil"/>
              <w:left w:val="nil"/>
              <w:bottom w:val="nil"/>
              <w:right w:val="nil"/>
            </w:tcBorders>
            <w:shd w:val="clear" w:color="auto" w:fill="auto"/>
            <w:noWrap/>
            <w:vAlign w:val="bottom"/>
            <w:hideMark/>
          </w:tcPr>
          <w:p>
            <w:pPr>
              <w:spacing w:after="0" w:line="240" w:lineRule="auto"/>
              <w:rPr>
                <w:rFonts w:ascii="Arial" w:eastAsia="Times New Roman" w:hAnsi="Arial" w:cs="Arial"/>
                <w:noProof/>
                <w:color w:val="FF0000"/>
                <w:sz w:val="18"/>
                <w:szCs w:val="18"/>
              </w:rPr>
            </w:pPr>
            <w:r>
              <w:rPr>
                <w:rFonts w:ascii="Arial" w:hAnsi="Arial"/>
                <w:noProof/>
                <w:color w:val="FF0000"/>
                <w:sz w:val="18"/>
              </w:rPr>
              <w:t>Příspěvky členských států na rok 2020:</w:t>
            </w:r>
          </w:p>
        </w:tc>
        <w:tc>
          <w:tcPr>
            <w:tcW w:w="632" w:type="pct"/>
            <w:tcBorders>
              <w:top w:val="nil"/>
              <w:left w:val="single" w:sz="4" w:space="0" w:color="auto"/>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4 600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300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4 900</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4 600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300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4 900</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single" w:sz="4" w:space="0" w:color="auto"/>
            </w:tcBorders>
            <w:shd w:val="clear" w:color="auto" w:fill="auto"/>
            <w:noWrap/>
            <w:vAlign w:val="bottom"/>
            <w:hideMark/>
          </w:tcPr>
          <w:p>
            <w:pPr>
              <w:spacing w:after="0" w:line="240" w:lineRule="auto"/>
              <w:rPr>
                <w:rFonts w:ascii="Arial" w:eastAsia="Times New Roman" w:hAnsi="Arial" w:cs="Arial"/>
                <w:noProof/>
                <w:sz w:val="18"/>
                <w:szCs w:val="18"/>
              </w:rPr>
            </w:pPr>
            <w:r>
              <w:rPr>
                <w:rFonts w:ascii="Arial" w:hAnsi="Arial"/>
                <w:noProof/>
                <w:sz w:val="18"/>
              </w:rPr>
              <w:t>Prostředky získané z dřívějších operací</w:t>
            </w:r>
            <w:r>
              <w:rPr>
                <w:rFonts w:ascii="Arial" w:hAnsi="Arial"/>
                <w:noProof/>
                <w:sz w:val="18"/>
                <w:vertAlign w:val="superscript"/>
              </w:rPr>
              <w:t>2</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330</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330</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nil"/>
            </w:tcBorders>
            <w:shd w:val="clear" w:color="auto" w:fill="auto"/>
            <w:noWrap/>
            <w:vAlign w:val="bottom"/>
            <w:hideMark/>
          </w:tcPr>
          <w:p>
            <w:pPr>
              <w:spacing w:after="0" w:line="240" w:lineRule="auto"/>
              <w:rPr>
                <w:rFonts w:ascii="Arial" w:eastAsia="Times New Roman" w:hAnsi="Arial" w:cs="Arial"/>
                <w:noProof/>
                <w:sz w:val="18"/>
                <w:szCs w:val="18"/>
              </w:rPr>
            </w:pPr>
            <w:r>
              <w:rPr>
                <w:rFonts w:ascii="Arial" w:hAnsi="Arial"/>
                <w:noProof/>
                <w:sz w:val="18"/>
              </w:rPr>
              <w:t>Zpětně získané částky, úroky a ostatní příjmy</w:t>
            </w:r>
          </w:p>
        </w:tc>
        <w:tc>
          <w:tcPr>
            <w:tcW w:w="632" w:type="pct"/>
            <w:tcBorders>
              <w:top w:val="nil"/>
              <w:left w:val="single" w:sz="4" w:space="0" w:color="auto"/>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65</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65</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nil"/>
              <w:left w:val="nil"/>
              <w:bottom w:val="nil"/>
              <w:right w:val="single" w:sz="4" w:space="0" w:color="auto"/>
            </w:tcBorders>
            <w:shd w:val="clear" w:color="auto" w:fill="auto"/>
            <w:vAlign w:val="bottom"/>
            <w:hideMark/>
          </w:tcPr>
          <w:p>
            <w:pPr>
              <w:spacing w:after="0" w:line="240" w:lineRule="auto"/>
              <w:rPr>
                <w:rFonts w:ascii="Arial" w:eastAsia="Times New Roman" w:hAnsi="Arial" w:cs="Arial"/>
                <w:noProof/>
                <w:sz w:val="18"/>
                <w:szCs w:val="18"/>
              </w:rPr>
            </w:pPr>
            <w:r>
              <w:rPr>
                <w:rFonts w:ascii="Arial" w:hAnsi="Arial"/>
                <w:noProof/>
                <w:sz w:val="18"/>
              </w:rPr>
              <w:t>Platby celkem</w:t>
            </w:r>
            <w:r>
              <w:rPr>
                <w:rFonts w:ascii="Arial" w:hAnsi="Arial"/>
                <w:noProof/>
                <w:sz w:val="18"/>
                <w:vertAlign w:val="superscript"/>
              </w:rPr>
              <w:t>3</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 </w:t>
            </w:r>
          </w:p>
        </w:tc>
        <w:tc>
          <w:tcPr>
            <w:tcW w:w="63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–4 600</w:t>
            </w:r>
          </w:p>
        </w:tc>
        <w:tc>
          <w:tcPr>
            <w:tcW w:w="447"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–605</w:t>
            </w:r>
          </w:p>
        </w:tc>
        <w:tc>
          <w:tcPr>
            <w:tcW w:w="482" w:type="pct"/>
            <w:tcBorders>
              <w:top w:val="nil"/>
              <w:left w:val="nil"/>
              <w:bottom w:val="nil"/>
              <w:right w:val="single" w:sz="4" w:space="0" w:color="auto"/>
            </w:tcBorders>
            <w:shd w:val="clear" w:color="auto" w:fill="auto"/>
            <w:noWrap/>
            <w:vAlign w:val="center"/>
            <w:hideMark/>
          </w:tcPr>
          <w:p>
            <w:pPr>
              <w:spacing w:after="0" w:line="240" w:lineRule="auto"/>
              <w:jc w:val="center"/>
              <w:rPr>
                <w:rFonts w:ascii="Arial" w:eastAsia="Times New Roman" w:hAnsi="Arial" w:cs="Arial"/>
                <w:noProof/>
                <w:sz w:val="18"/>
                <w:szCs w:val="18"/>
              </w:rPr>
            </w:pPr>
            <w:r>
              <w:rPr>
                <w:rFonts w:ascii="Arial" w:hAnsi="Arial"/>
                <w:noProof/>
                <w:sz w:val="18"/>
              </w:rPr>
              <w:t>–5 205</w:t>
            </w:r>
          </w:p>
        </w:tc>
      </w:tr>
      <w:tr>
        <w:trPr>
          <w:trHeight w:val="199"/>
        </w:trPr>
        <w:tc>
          <w:tcPr>
            <w:tcW w:w="281" w:type="pct"/>
            <w:vMerge/>
            <w:tcBorders>
              <w:top w:val="nil"/>
              <w:left w:val="single" w:sz="4" w:space="0" w:color="auto"/>
              <w:bottom w:val="single" w:sz="4" w:space="0" w:color="000000"/>
              <w:right w:val="single" w:sz="4" w:space="0" w:color="auto"/>
            </w:tcBorders>
            <w:vAlign w:val="center"/>
            <w:hideMark/>
          </w:tcPr>
          <w:p>
            <w:pPr>
              <w:spacing w:after="0" w:line="240" w:lineRule="auto"/>
              <w:rPr>
                <w:rFonts w:ascii="Arial" w:eastAsia="Times New Roman" w:hAnsi="Arial" w:cs="Arial"/>
                <w:b/>
                <w:bCs/>
                <w:noProof/>
                <w:sz w:val="18"/>
                <w:szCs w:val="18"/>
              </w:rPr>
            </w:pPr>
          </w:p>
        </w:tc>
        <w:tc>
          <w:tcPr>
            <w:tcW w:w="1596" w:type="pct"/>
            <w:tcBorders>
              <w:top w:val="single" w:sz="4" w:space="0" w:color="auto"/>
              <w:left w:val="nil"/>
              <w:bottom w:val="single" w:sz="4" w:space="0" w:color="auto"/>
              <w:right w:val="nil"/>
            </w:tcBorders>
            <w:shd w:val="clear" w:color="auto" w:fill="auto"/>
            <w:noWrap/>
            <w:vAlign w:val="bottom"/>
            <w:hideMark/>
          </w:tcPr>
          <w:p>
            <w:pPr>
              <w:spacing w:after="0" w:line="240" w:lineRule="auto"/>
              <w:rPr>
                <w:rFonts w:ascii="Arial" w:eastAsia="Times New Roman" w:hAnsi="Arial" w:cs="Arial"/>
                <w:b/>
                <w:bCs/>
                <w:noProof/>
                <w:sz w:val="18"/>
                <w:szCs w:val="18"/>
              </w:rPr>
            </w:pPr>
            <w:r>
              <w:rPr>
                <w:rFonts w:ascii="Arial" w:hAnsi="Arial"/>
                <w:b/>
                <w:noProof/>
                <w:sz w:val="18"/>
              </w:rPr>
              <w:t>Zůstatek k 31. 12. 2020</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 </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 </w:t>
            </w:r>
          </w:p>
        </w:tc>
        <w:tc>
          <w:tcPr>
            <w:tcW w:w="482"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 </w:t>
            </w:r>
          </w:p>
        </w:tc>
        <w:tc>
          <w:tcPr>
            <w:tcW w:w="632"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359</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142</w:t>
            </w:r>
          </w:p>
        </w:tc>
        <w:tc>
          <w:tcPr>
            <w:tcW w:w="482"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501</w:t>
            </w:r>
          </w:p>
        </w:tc>
      </w:tr>
      <w:tr>
        <w:trPr>
          <w:trHeight w:val="199"/>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2021</w:t>
            </w:r>
          </w:p>
        </w:tc>
        <w:tc>
          <w:tcPr>
            <w:tcW w:w="1596" w:type="pct"/>
            <w:tcBorders>
              <w:top w:val="nil"/>
              <w:left w:val="nil"/>
              <w:bottom w:val="single" w:sz="4" w:space="0" w:color="auto"/>
              <w:right w:val="single" w:sz="4" w:space="0" w:color="auto"/>
            </w:tcBorders>
            <w:shd w:val="clear" w:color="auto" w:fill="auto"/>
            <w:vAlign w:val="bottom"/>
            <w:hideMark/>
          </w:tcPr>
          <w:p>
            <w:pPr>
              <w:spacing w:after="0" w:line="240" w:lineRule="auto"/>
              <w:rPr>
                <w:rFonts w:ascii="Arial" w:eastAsia="Times New Roman" w:hAnsi="Arial" w:cs="Arial"/>
                <w:noProof/>
                <w:color w:val="FF0000"/>
                <w:sz w:val="18"/>
                <w:szCs w:val="18"/>
              </w:rPr>
            </w:pPr>
            <w:r>
              <w:rPr>
                <w:rFonts w:ascii="Arial" w:hAnsi="Arial"/>
                <w:noProof/>
                <w:color w:val="FF0000"/>
                <w:sz w:val="18"/>
              </w:rPr>
              <w:t>Příspěvky členských států na rok 2021</w:t>
            </w:r>
            <w:r>
              <w:rPr>
                <w:rFonts w:ascii="Arial" w:hAnsi="Arial"/>
                <w:noProof/>
                <w:color w:val="FF0000"/>
                <w:sz w:val="18"/>
                <w:vertAlign w:val="superscript"/>
              </w:rPr>
              <w:t>5</w:t>
            </w:r>
          </w:p>
        </w:tc>
        <w:tc>
          <w:tcPr>
            <w:tcW w:w="632" w:type="pct"/>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4 700</w:t>
            </w:r>
          </w:p>
        </w:tc>
        <w:tc>
          <w:tcPr>
            <w:tcW w:w="447" w:type="pct"/>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300</w:t>
            </w:r>
          </w:p>
        </w:tc>
        <w:tc>
          <w:tcPr>
            <w:tcW w:w="482" w:type="pct"/>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5 000</w:t>
            </w:r>
          </w:p>
        </w:tc>
        <w:tc>
          <w:tcPr>
            <w:tcW w:w="632" w:type="pct"/>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4 000</w:t>
            </w:r>
          </w:p>
        </w:tc>
        <w:tc>
          <w:tcPr>
            <w:tcW w:w="447" w:type="pct"/>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300</w:t>
            </w:r>
          </w:p>
        </w:tc>
        <w:tc>
          <w:tcPr>
            <w:tcW w:w="482" w:type="pct"/>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4 300</w:t>
            </w:r>
          </w:p>
        </w:tc>
      </w:tr>
      <w:tr>
        <w:trPr>
          <w:trHeight w:val="199"/>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2022</w:t>
            </w:r>
          </w:p>
        </w:tc>
        <w:tc>
          <w:tcPr>
            <w:tcW w:w="1596" w:type="pct"/>
            <w:tcBorders>
              <w:top w:val="nil"/>
              <w:left w:val="nil"/>
              <w:bottom w:val="single" w:sz="4" w:space="0" w:color="auto"/>
              <w:right w:val="single" w:sz="4" w:space="0" w:color="auto"/>
            </w:tcBorders>
            <w:shd w:val="clear" w:color="auto" w:fill="auto"/>
            <w:vAlign w:val="bottom"/>
            <w:hideMark/>
          </w:tcPr>
          <w:p>
            <w:pPr>
              <w:spacing w:after="0" w:line="240" w:lineRule="auto"/>
              <w:rPr>
                <w:rFonts w:ascii="Arial" w:eastAsia="Times New Roman" w:hAnsi="Arial" w:cs="Arial"/>
                <w:noProof/>
                <w:color w:val="FF0000"/>
                <w:sz w:val="18"/>
                <w:szCs w:val="18"/>
              </w:rPr>
            </w:pPr>
            <w:r>
              <w:rPr>
                <w:rFonts w:ascii="Arial" w:hAnsi="Arial"/>
                <w:noProof/>
                <w:color w:val="FF0000"/>
                <w:sz w:val="18"/>
              </w:rPr>
              <w:t>Příspěvky členských států na rok 2022</w:t>
            </w:r>
            <w:r>
              <w:rPr>
                <w:rFonts w:ascii="Arial" w:hAnsi="Arial"/>
                <w:noProof/>
                <w:color w:val="FF0000"/>
                <w:sz w:val="18"/>
                <w:vertAlign w:val="superscript"/>
              </w:rPr>
              <w:t>5</w:t>
            </w:r>
          </w:p>
        </w:tc>
        <w:tc>
          <w:tcPr>
            <w:tcW w:w="632" w:type="pct"/>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 </w:t>
            </w:r>
          </w:p>
        </w:tc>
        <w:tc>
          <w:tcPr>
            <w:tcW w:w="447" w:type="pct"/>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 </w:t>
            </w:r>
          </w:p>
        </w:tc>
        <w:tc>
          <w:tcPr>
            <w:tcW w:w="482" w:type="pct"/>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 </w:t>
            </w:r>
          </w:p>
        </w:tc>
        <w:tc>
          <w:tcPr>
            <w:tcW w:w="632" w:type="pct"/>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3 500</w:t>
            </w:r>
          </w:p>
        </w:tc>
        <w:tc>
          <w:tcPr>
            <w:tcW w:w="447" w:type="pct"/>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400</w:t>
            </w:r>
          </w:p>
        </w:tc>
        <w:tc>
          <w:tcPr>
            <w:tcW w:w="482" w:type="pct"/>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Arial" w:eastAsia="Times New Roman" w:hAnsi="Arial" w:cs="Arial"/>
                <w:b/>
                <w:bCs/>
                <w:noProof/>
                <w:sz w:val="18"/>
                <w:szCs w:val="18"/>
              </w:rPr>
            </w:pPr>
            <w:r>
              <w:rPr>
                <w:rFonts w:ascii="Arial" w:hAnsi="Arial"/>
                <w:b/>
                <w:noProof/>
                <w:sz w:val="18"/>
              </w:rPr>
              <w:t>3 900</w:t>
            </w:r>
          </w:p>
        </w:tc>
      </w:tr>
    </w:tbl>
    <w:p>
      <w:pPr>
        <w:pStyle w:val="Text1"/>
        <w:spacing w:before="0" w:after="0"/>
        <w:ind w:left="851"/>
        <w:jc w:val="left"/>
        <w:rPr>
          <w:noProof/>
          <w:sz w:val="14"/>
          <w:szCs w:val="14"/>
        </w:rPr>
      </w:pPr>
    </w:p>
    <w:p>
      <w:pPr>
        <w:pStyle w:val="Text1"/>
        <w:spacing w:before="0" w:after="0"/>
        <w:ind w:left="851"/>
        <w:jc w:val="left"/>
        <w:rPr>
          <w:noProof/>
          <w:sz w:val="14"/>
          <w:szCs w:val="14"/>
        </w:rPr>
      </w:pPr>
      <w:r>
        <w:rPr>
          <w:noProof/>
          <w:sz w:val="14"/>
        </w:rPr>
        <w:t>1</w:t>
      </w:r>
      <w:r>
        <w:rPr>
          <w:noProof/>
        </w:rPr>
        <w:tab/>
      </w:r>
      <w:r>
        <w:rPr>
          <w:noProof/>
          <w:sz w:val="14"/>
        </w:rPr>
        <w:t>Prostředky, které jsou k dispozici na operace, podle sdělení Komise Radě.</w:t>
      </w:r>
      <w:r>
        <w:rPr>
          <w:noProof/>
          <w:sz w:val="14"/>
          <w:szCs w:val="14"/>
        </w:rPr>
        <w:br/>
      </w:r>
      <w:r>
        <w:rPr>
          <w:noProof/>
          <w:sz w:val="14"/>
        </w:rPr>
        <w:t>2</w:t>
      </w:r>
      <w:r>
        <w:rPr>
          <w:noProof/>
        </w:rPr>
        <w:tab/>
      </w:r>
      <w:r>
        <w:rPr>
          <w:noProof/>
          <w:sz w:val="14"/>
        </w:rPr>
        <w:t>Bez poplatků EIB za správu.</w:t>
      </w:r>
      <w:r>
        <w:rPr>
          <w:noProof/>
          <w:sz w:val="14"/>
          <w:szCs w:val="14"/>
        </w:rPr>
        <w:br/>
      </w:r>
      <w:r>
        <w:rPr>
          <w:noProof/>
          <w:sz w:val="14"/>
        </w:rPr>
        <w:t>3</w:t>
      </w:r>
      <w:r>
        <w:rPr>
          <w:noProof/>
        </w:rPr>
        <w:tab/>
      </w:r>
      <w:r>
        <w:rPr>
          <w:noProof/>
          <w:sz w:val="14"/>
        </w:rPr>
        <w:t>Včetně subvencí úrokových sazeb v rámci dřívějších ERF.</w:t>
      </w:r>
      <w:r>
        <w:rPr>
          <w:noProof/>
          <w:sz w:val="14"/>
          <w:szCs w:val="14"/>
        </w:rPr>
        <w:br/>
      </w:r>
      <w:r>
        <w:rPr>
          <w:noProof/>
          <w:sz w:val="14"/>
        </w:rPr>
        <w:t>4</w:t>
      </w:r>
      <w:r>
        <w:rPr>
          <w:noProof/>
        </w:rPr>
        <w:tab/>
      </w:r>
      <w:r>
        <w:rPr>
          <w:noProof/>
          <w:sz w:val="14"/>
        </w:rPr>
        <w:t>Ustanovení čl. 21 odst. 2 písm. d) finančního nařízení: nezávazná prognóza očekávaných ročních příspěvků na roky n+3 a n+4, založená na statistickém přístupu.</w:t>
      </w:r>
      <w:r>
        <w:rPr>
          <w:noProof/>
          <w:sz w:val="14"/>
          <w:szCs w:val="14"/>
        </w:rPr>
        <w:br/>
      </w:r>
      <w:r>
        <w:rPr>
          <w:noProof/>
          <w:sz w:val="14"/>
        </w:rPr>
        <w:t>5</w:t>
      </w:r>
      <w:r>
        <w:rPr>
          <w:noProof/>
        </w:rPr>
        <w:tab/>
      </w:r>
      <w:r>
        <w:rPr>
          <w:noProof/>
          <w:sz w:val="14"/>
        </w:rPr>
        <w:t>Ustanovení čl. 21 odst. 1, výzvy k poskytnutí příspěvků využijí nejdříve částky vyčleněné na předchozí ERF, a to v postupném pořadí. Výzvy v rámci 11. ERF na financování IFE jsou proto dále odloženy.</w:t>
      </w:r>
    </w:p>
    <w:p>
      <w:pPr>
        <w:pStyle w:val="Text1"/>
        <w:spacing w:before="0" w:after="0"/>
        <w:ind w:left="851"/>
        <w:jc w:val="left"/>
        <w:rPr>
          <w:noProof/>
          <w:sz w:val="14"/>
          <w:szCs w:val="14"/>
        </w:rPr>
      </w:pPr>
      <w:r>
        <w:rPr>
          <w:noProof/>
          <w:sz w:val="14"/>
        </w:rPr>
        <w:t>6–7</w:t>
      </w:r>
      <w:r>
        <w:rPr>
          <w:noProof/>
        </w:rPr>
        <w:tab/>
      </w:r>
      <w:r>
        <w:rPr>
          <w:noProof/>
          <w:sz w:val="14"/>
        </w:rPr>
        <w:t>Pokladní zůstatek ERF nemůže být záporný. Všechny záporné částky v tabulce označují nedostatek prostředků na platby.</w:t>
      </w:r>
    </w:p>
    <w:p>
      <w:pPr>
        <w:pStyle w:val="Text1"/>
        <w:spacing w:before="0" w:after="0"/>
        <w:ind w:left="851"/>
        <w:jc w:val="left"/>
        <w:rPr>
          <w:noProof/>
          <w:sz w:val="14"/>
          <w:szCs w:val="14"/>
        </w:rPr>
      </w:pPr>
    </w:p>
    <w:p>
      <w:pPr>
        <w:rPr>
          <w:noProof/>
        </w:rPr>
        <w:sectPr>
          <w:headerReference w:type="even" r:id="rId35"/>
          <w:headerReference w:type="default" r:id="rId36"/>
          <w:footerReference w:type="even" r:id="rId37"/>
          <w:footerReference w:type="default" r:id="rId38"/>
          <w:headerReference w:type="first" r:id="rId39"/>
          <w:footerReference w:type="first" r:id="rId40"/>
          <w:pgSz w:w="16838" w:h="11906" w:orient="landscape"/>
          <w:pgMar w:top="1418" w:right="820" w:bottom="1418" w:left="1418" w:header="709" w:footer="709" w:gutter="0"/>
          <w:cols w:space="720"/>
          <w:docGrid w:linePitch="360"/>
        </w:sectPr>
      </w:pPr>
    </w:p>
    <w:p>
      <w:pPr>
        <w:pStyle w:val="ManualHeading2"/>
        <w:rPr>
          <w:noProof/>
        </w:rPr>
      </w:pPr>
      <w:r>
        <w:t>5.4</w:t>
      </w:r>
      <w:r>
        <w:tab/>
      </w:r>
      <w:r>
        <w:rPr>
          <w:noProof/>
        </w:rPr>
        <w:t>Příloha 4: Příspěvky členských států na rok 2019 (v EUR)</w:t>
      </w:r>
    </w:p>
    <w:tbl>
      <w:tblPr>
        <w:tblW w:w="5000" w:type="pct"/>
        <w:tblLook w:val="04A0" w:firstRow="1" w:lastRow="0" w:firstColumn="1" w:lastColumn="0" w:noHBand="0" w:noVBand="1"/>
      </w:tblPr>
      <w:tblGrid>
        <w:gridCol w:w="1823"/>
        <w:gridCol w:w="834"/>
        <w:gridCol w:w="942"/>
        <w:gridCol w:w="1121"/>
        <w:gridCol w:w="1252"/>
        <w:gridCol w:w="1121"/>
        <w:gridCol w:w="1252"/>
        <w:gridCol w:w="1116"/>
        <w:gridCol w:w="1117"/>
        <w:gridCol w:w="1105"/>
        <w:gridCol w:w="1270"/>
        <w:gridCol w:w="1267"/>
      </w:tblGrid>
      <w:tr>
        <w:trPr>
          <w:trHeight w:val="282"/>
        </w:trPr>
        <w:tc>
          <w:tcPr>
            <w:tcW w:w="56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pPr>
              <w:spacing w:after="0" w:line="240" w:lineRule="auto"/>
              <w:rPr>
                <w:rFonts w:ascii="Times New Roman" w:eastAsia="Times New Roman" w:hAnsi="Times New Roman" w:cs="Times New Roman"/>
                <w:b/>
                <w:bCs/>
                <w:noProof/>
                <w:sz w:val="16"/>
                <w:szCs w:val="16"/>
              </w:rPr>
            </w:pPr>
            <w:r>
              <w:rPr>
                <w:rFonts w:ascii="Times New Roman" w:hAnsi="Times New Roman"/>
                <w:b/>
                <w:noProof/>
                <w:sz w:val="16"/>
              </w:rPr>
              <w:t>ČLENSKÉ STÁTY</w:t>
            </w:r>
          </w:p>
        </w:tc>
        <w:tc>
          <w:tcPr>
            <w:tcW w:w="300" w:type="pct"/>
            <w:vMerge w:val="restart"/>
            <w:tcBorders>
              <w:top w:val="single" w:sz="4" w:space="0" w:color="auto"/>
              <w:left w:val="single" w:sz="4" w:space="0" w:color="auto"/>
              <w:bottom w:val="single" w:sz="4" w:space="0" w:color="000000"/>
              <w:right w:val="single" w:sz="4" w:space="0" w:color="auto"/>
            </w:tcBorders>
            <w:shd w:val="clear" w:color="000000" w:fill="C0C0C0"/>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Klíč pro 10. ERF (v %)</w:t>
            </w:r>
          </w:p>
        </w:tc>
        <w:tc>
          <w:tcPr>
            <w:tcW w:w="338" w:type="pct"/>
            <w:vMerge w:val="restart"/>
            <w:tcBorders>
              <w:top w:val="single" w:sz="4" w:space="0" w:color="auto"/>
              <w:left w:val="single" w:sz="4" w:space="0" w:color="auto"/>
              <w:bottom w:val="single" w:sz="4" w:space="0" w:color="000000"/>
              <w:right w:val="single" w:sz="4" w:space="0" w:color="auto"/>
            </w:tcBorders>
            <w:shd w:val="clear" w:color="000000" w:fill="C0C0C0"/>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Klíč pro 11. ERF (v %)</w:t>
            </w:r>
          </w:p>
        </w:tc>
        <w:tc>
          <w:tcPr>
            <w:tcW w:w="848" w:type="pct"/>
            <w:gridSpan w:val="2"/>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 splátka</w:t>
            </w:r>
          </w:p>
        </w:tc>
        <w:tc>
          <w:tcPr>
            <w:tcW w:w="848" w:type="pct"/>
            <w:gridSpan w:val="2"/>
            <w:tcBorders>
              <w:top w:val="single" w:sz="4" w:space="0" w:color="auto"/>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2. splátka</w:t>
            </w:r>
          </w:p>
        </w:tc>
        <w:tc>
          <w:tcPr>
            <w:tcW w:w="797" w:type="pct"/>
            <w:gridSpan w:val="2"/>
            <w:tcBorders>
              <w:top w:val="single" w:sz="4" w:space="0" w:color="auto"/>
              <w:left w:val="nil"/>
              <w:bottom w:val="single" w:sz="4" w:space="0" w:color="auto"/>
              <w:right w:val="single" w:sz="4" w:space="0" w:color="000000"/>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 xml:space="preserve"> 3. splátka</w:t>
            </w:r>
          </w:p>
        </w:tc>
        <w:tc>
          <w:tcPr>
            <w:tcW w:w="395" w:type="pct"/>
            <w:vMerge w:val="restart"/>
            <w:tcBorders>
              <w:top w:val="single" w:sz="4" w:space="0" w:color="auto"/>
              <w:left w:val="nil"/>
              <w:bottom w:val="single" w:sz="4" w:space="0" w:color="auto"/>
              <w:right w:val="nil"/>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EIB celkem</w:t>
            </w: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Celkem</w:t>
            </w:r>
            <w:r>
              <w:rPr>
                <w:rFonts w:ascii="Times New Roman" w:eastAsia="Times New Roman" w:hAnsi="Times New Roman" w:cs="Times New Roman"/>
                <w:b/>
                <w:bCs/>
                <w:noProof/>
                <w:sz w:val="16"/>
                <w:szCs w:val="16"/>
              </w:rPr>
              <w:br/>
            </w:r>
            <w:r>
              <w:rPr>
                <w:rFonts w:ascii="Times New Roman" w:hAnsi="Times New Roman"/>
                <w:b/>
                <w:noProof/>
                <w:sz w:val="16"/>
              </w:rPr>
              <w:t>Komise</w:t>
            </w:r>
          </w:p>
        </w:tc>
        <w:tc>
          <w:tcPr>
            <w:tcW w:w="4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Za rok 2019 celkem</w:t>
            </w:r>
          </w:p>
        </w:tc>
      </w:tr>
      <w:tr>
        <w:trPr>
          <w:trHeight w:val="225"/>
        </w:trPr>
        <w:tc>
          <w:tcPr>
            <w:tcW w:w="568"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300"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338"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EIB</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Komise</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EIB</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Komise</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EIB</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Komise</w:t>
            </w:r>
          </w:p>
        </w:tc>
        <w:tc>
          <w:tcPr>
            <w:tcW w:w="395" w:type="pct"/>
            <w:vMerge/>
            <w:tcBorders>
              <w:top w:val="single" w:sz="4" w:space="0" w:color="auto"/>
              <w:left w:val="nil"/>
              <w:bottom w:val="single" w:sz="4" w:space="0" w:color="auto"/>
              <w:right w:val="nil"/>
            </w:tcBorders>
            <w:vAlign w:val="center"/>
            <w:hideMark/>
          </w:tcPr>
          <w:p>
            <w:pPr>
              <w:spacing w:after="0" w:line="240" w:lineRule="auto"/>
              <w:rPr>
                <w:rFonts w:ascii="Times New Roman" w:eastAsia="Times New Roman" w:hAnsi="Times New Roman" w:cs="Times New Roman"/>
                <w:b/>
                <w:bCs/>
                <w:noProof/>
                <w:sz w:val="16"/>
                <w:szCs w:val="16"/>
              </w:rPr>
            </w:pPr>
          </w:p>
        </w:tc>
        <w:tc>
          <w:tcPr>
            <w:tcW w:w="453" w:type="pct"/>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453"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r>
      <w:tr>
        <w:trPr>
          <w:trHeight w:val="225"/>
        </w:trPr>
        <w:tc>
          <w:tcPr>
            <w:tcW w:w="568"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300"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338"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401" w:type="pct"/>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10. ERF</w:t>
            </w:r>
          </w:p>
        </w:tc>
        <w:tc>
          <w:tcPr>
            <w:tcW w:w="447" w:type="pct"/>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11. ERF</w:t>
            </w:r>
          </w:p>
        </w:tc>
        <w:tc>
          <w:tcPr>
            <w:tcW w:w="401" w:type="pct"/>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10. ERF</w:t>
            </w:r>
          </w:p>
        </w:tc>
        <w:tc>
          <w:tcPr>
            <w:tcW w:w="447" w:type="pct"/>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11. ERF</w:t>
            </w:r>
          </w:p>
        </w:tc>
        <w:tc>
          <w:tcPr>
            <w:tcW w:w="399" w:type="pct"/>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10. ERF</w:t>
            </w:r>
          </w:p>
        </w:tc>
        <w:tc>
          <w:tcPr>
            <w:tcW w:w="399" w:type="pct"/>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11. ERF</w:t>
            </w:r>
          </w:p>
        </w:tc>
        <w:tc>
          <w:tcPr>
            <w:tcW w:w="395" w:type="pct"/>
            <w:vMerge/>
            <w:tcBorders>
              <w:top w:val="single" w:sz="4" w:space="0" w:color="auto"/>
              <w:left w:val="nil"/>
              <w:bottom w:val="single" w:sz="4" w:space="0" w:color="auto"/>
              <w:right w:val="nil"/>
            </w:tcBorders>
            <w:vAlign w:val="center"/>
            <w:hideMark/>
          </w:tcPr>
          <w:p>
            <w:pPr>
              <w:spacing w:after="0" w:line="240" w:lineRule="auto"/>
              <w:rPr>
                <w:rFonts w:ascii="Times New Roman" w:eastAsia="Times New Roman" w:hAnsi="Times New Roman" w:cs="Times New Roman"/>
                <w:b/>
                <w:bCs/>
                <w:noProof/>
                <w:sz w:val="16"/>
                <w:szCs w:val="16"/>
              </w:rPr>
            </w:pPr>
          </w:p>
        </w:tc>
        <w:tc>
          <w:tcPr>
            <w:tcW w:w="453" w:type="pct"/>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453"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BELGIE</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3,53</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3,24927</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3 530 000,00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64 985 400,00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3 530 000,00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48 739 050,00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3 530 000,00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29 243 430,00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10 590 000,00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142 967 880,00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153 557 880,00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BULHARSKO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0,14</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0,21853</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4 370 600,00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3 277 950,00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1 966 770,00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420 000,00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9 615 320,00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10 035 320,00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ČESKÁ REPUBLIKA</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0,51</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0,79745</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510 000,00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15 949 000,00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510 000,00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11 961 750,00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510 000,00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7 177 050,00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1 530 000,00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35 087 800,00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36 617 800,00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DÁNSKO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2,00</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1,98045</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2 000 000,00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39 609 000,00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2 000 000,00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29 706 750,00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2 000 000,00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17 824 050,00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6 000 000,00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87 139 800,00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93 139 800,00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NĚMECKO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20,50</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20,57980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20 500 000,00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411 596 000,00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20 500 000,00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308 697 000,00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20 500 000,00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185 218 200,00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61 500 000,00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905 511 200,00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967 011 200,00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ESTONSKO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0,05</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0,08635</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1 727 000,00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1 295 250,00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777 150,00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150 000,00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3 799 400,00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3 949 400,00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IRSKO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0,91</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0,94006</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910 000,00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18 801 200,00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910 000,00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14 100 900,00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910 000,00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8 460 540,00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2 730 000,00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41 362 640,00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44 092 640,00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ŘECKO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1,47</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1,50735</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1 470 000,00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30 147 000,00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1 470 000,00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22 610 250,00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1 470 000,00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13 566 150,00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4 410 000,00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66 323 400,00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70 733 400,00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ŠPANĚLSKO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7,85</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7,93248</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7 850 000,00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158 649 600,00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7 850 000,00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118 987 200,00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7 850 000,00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71 392 320,00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23 550 000,00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349 029 120,00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372 579 120,00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FRANCIE</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19,55</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17,81269</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19 550 000,00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356 253 800,00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19 550 000,00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267 190 350,00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19 550 000,00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160 314 210,00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58 650 000,00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783 758 360,00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842 408 360,00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CHORVATSKO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0,00</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0,22518</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4 503 600,00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3 377 700,00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2 026 620,00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9 907 920,00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9 907 920,00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ITÁLIE</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12,86</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12,53009</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12 860 000,00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250 601 800,00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12 860 000,00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187 951 350,00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12 860 000,00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112 770 810,00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38 580 000,00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551 323 960,00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589 903 960,00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KYPR</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0,09</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0,11162</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2 232 400,00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1 674 300,00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1 004 580,00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270 000,00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4 911 280,00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5 181 280,00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LOTYŠSKO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0,07</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0,11612</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2 322 400,00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1 741 800,00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1 045 080,00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5 109 280,00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5 319 280,00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LITVA</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0,12</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0,18077</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3 615 400,00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2 711 550,00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1 626 930,00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360 000,00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7 953 880,00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8 313 880,00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LUCEMBURSKO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0,27</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0,25509</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270 000,00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5 101 800,00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270 000,00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3 826 350,00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270 000,00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2 295 810,00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810 000,00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11 223 960,00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12 033 960,00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MAĎARSKO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0,55</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0,61456</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550 000,00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12 291 200,00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550 000,00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9 218 400,00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550 000,00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5 531 040,00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1 650 000,00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27 040 640,00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28 690 640,00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MALTA</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0,03</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0,03801</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760 200,00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570 150,00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342 090,00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1 672 440,00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1 762 440,00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NIZOZEMSKO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4,85</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4,77678</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4 850 000,00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95 535 600,00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4 850 000,00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71 651 700,00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4 850 000,00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42 991 020,00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14 550 000,00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210 178 320,00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224 728 320,00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RAKOUSKO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2,41</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2,39757</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2 410 000,00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47 951 400,00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2 410 000,00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35 963 550,00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2 410 000,00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21 578 130,00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7 230 000,00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105 493 080,00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112 723 080,00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POLSKO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1,30</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2,00734</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1 300 000,00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40 146 800,00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1 300 000,00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30 110 100,00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1 300 000,00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18 066 060,00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3 900 000,00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88 322 960,00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92 222 960,00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PORTUGALSKO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1,15</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1,19679</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1 150 000,00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23 935 800,00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1 150 000,00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17 951 850,00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1 150 000,00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10 771 110,00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3 450 000,00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52 658 760,00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56 108 760,00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RUMUNSKO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0,37</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0,71815</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370 000,00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14 363 000,00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370 000,00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10 772 250,00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370 000,00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6 463 350,00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1 110 000,00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31 598 600,00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32 708 600,00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SLOVINSKO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0,18</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0,22452</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180 000,00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4 490 400,00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180 000,00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3 367 800,00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180 000,00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2 020 680,00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540 000,00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9 878 880,00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10 418 880,00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SLOVENSKO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0,21</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0,37616</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7 523 200,00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5 642 400,00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3 385 440,00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630 000,00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16 551 040,00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17 181 040,00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FINSKO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1,47</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1,50909</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1 470 000,00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30 181 800,00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1 470 000,00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22 636 350,00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1 470 000,00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13 581 810,00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4 410 000,00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66 399 960,00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70 809 960,00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ŠVÉDSKO</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2,74</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2,93911</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2 740 000,00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58 782 200,00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2 740 000,00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44 086 650,00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2 740 000,00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26 451 990,00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8 220 000,00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129 320 840,00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137 540 840,00</w:t>
            </w:r>
          </w:p>
        </w:tc>
      </w:tr>
      <w:tr>
        <w:trPr>
          <w:trHeight w:val="240"/>
        </w:trPr>
        <w:tc>
          <w:tcPr>
            <w:tcW w:w="568"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SPOJENÉ KRÁLOVSTVÍ</w:t>
            </w:r>
          </w:p>
        </w:tc>
        <w:tc>
          <w:tcPr>
            <w:tcW w:w="300"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14,82</w:t>
            </w:r>
          </w:p>
        </w:tc>
        <w:tc>
          <w:tcPr>
            <w:tcW w:w="33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14,67862</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14 820 000,00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293 572 400,00</w:t>
            </w:r>
          </w:p>
        </w:tc>
        <w:tc>
          <w:tcPr>
            <w:tcW w:w="401"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14 820 000,00</w:t>
            </w:r>
          </w:p>
        </w:tc>
        <w:tc>
          <w:tcPr>
            <w:tcW w:w="447"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220 179 300,00</w:t>
            </w:r>
          </w:p>
        </w:tc>
        <w:tc>
          <w:tcPr>
            <w:tcW w:w="39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14 820 000,00</w:t>
            </w:r>
          </w:p>
        </w:tc>
        <w:tc>
          <w:tcPr>
            <w:tcW w:w="399"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132 107 580,00</w:t>
            </w:r>
          </w:p>
        </w:tc>
        <w:tc>
          <w:tcPr>
            <w:tcW w:w="395"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44 460 000,00</w:t>
            </w:r>
          </w:p>
        </w:tc>
        <w:tc>
          <w:tcPr>
            <w:tcW w:w="453"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645 859 280,00</w:t>
            </w:r>
          </w:p>
        </w:tc>
        <w:tc>
          <w:tcPr>
            <w:tcW w:w="453"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690 319 280,00</w:t>
            </w:r>
          </w:p>
        </w:tc>
      </w:tr>
      <w:tr>
        <w:trPr>
          <w:trHeight w:val="282"/>
        </w:trPr>
        <w:tc>
          <w:tcPr>
            <w:tcW w:w="5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6"/>
                <w:szCs w:val="16"/>
              </w:rPr>
            </w:pPr>
            <w:r>
              <w:rPr>
                <w:rFonts w:ascii="Times New Roman" w:hAnsi="Times New Roman"/>
                <w:b/>
                <w:noProof/>
                <w:sz w:val="16"/>
              </w:rPr>
              <w:t>EU-28 CELKEM</w:t>
            </w:r>
          </w:p>
        </w:tc>
        <w:tc>
          <w:tcPr>
            <w:tcW w:w="300" w:type="pct"/>
            <w:tcBorders>
              <w:top w:val="single" w:sz="4" w:space="0" w:color="auto"/>
              <w:left w:val="nil"/>
              <w:bottom w:val="single" w:sz="4" w:space="0" w:color="auto"/>
              <w:right w:val="single" w:sz="4" w:space="0" w:color="auto"/>
            </w:tcBorders>
            <w:shd w:val="clear" w:color="000000" w:fill="C0C0C0"/>
            <w:noWrap/>
            <w:vAlign w:val="center"/>
            <w:hideMark/>
          </w:tcPr>
          <w:p>
            <w:pPr>
              <w:spacing w:after="0" w:line="240" w:lineRule="auto"/>
              <w:jc w:val="center"/>
              <w:rPr>
                <w:rFonts w:ascii="Times New Roman" w:eastAsia="Times New Roman" w:hAnsi="Times New Roman" w:cs="Times New Roman"/>
                <w:b/>
                <w:bCs/>
                <w:noProof/>
                <w:sz w:val="14"/>
                <w:szCs w:val="14"/>
              </w:rPr>
            </w:pPr>
            <w:r>
              <w:rPr>
                <w:rFonts w:ascii="Times New Roman" w:hAnsi="Times New Roman"/>
                <w:b/>
                <w:noProof/>
                <w:sz w:val="14"/>
              </w:rPr>
              <w:t>100,00</w:t>
            </w:r>
          </w:p>
        </w:tc>
        <w:tc>
          <w:tcPr>
            <w:tcW w:w="338" w:type="pct"/>
            <w:tcBorders>
              <w:top w:val="single" w:sz="4" w:space="0" w:color="auto"/>
              <w:left w:val="nil"/>
              <w:bottom w:val="single" w:sz="4" w:space="0" w:color="auto"/>
              <w:right w:val="single" w:sz="4" w:space="0" w:color="auto"/>
            </w:tcBorders>
            <w:shd w:val="clear" w:color="000000" w:fill="C0C0C0"/>
            <w:noWrap/>
            <w:vAlign w:val="center"/>
            <w:hideMark/>
          </w:tcPr>
          <w:p>
            <w:pPr>
              <w:spacing w:after="0" w:line="240" w:lineRule="auto"/>
              <w:jc w:val="center"/>
              <w:rPr>
                <w:rFonts w:ascii="Times New Roman" w:eastAsia="Times New Roman" w:hAnsi="Times New Roman" w:cs="Times New Roman"/>
                <w:b/>
                <w:bCs/>
                <w:noProof/>
                <w:sz w:val="14"/>
                <w:szCs w:val="14"/>
              </w:rPr>
            </w:pPr>
            <w:r>
              <w:rPr>
                <w:rFonts w:ascii="Times New Roman" w:hAnsi="Times New Roman"/>
                <w:b/>
                <w:noProof/>
                <w:sz w:val="14"/>
              </w:rPr>
              <w:t>100,00</w:t>
            </w: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100 000 000,00</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2 000 000 000,00</w:t>
            </w: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100 000 000,00</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1 500 000 000,00</w:t>
            </w:r>
          </w:p>
        </w:tc>
        <w:tc>
          <w:tcPr>
            <w:tcW w:w="399"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100 000 000,00</w:t>
            </w:r>
          </w:p>
        </w:tc>
        <w:tc>
          <w:tcPr>
            <w:tcW w:w="399"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900 000 000,00</w:t>
            </w:r>
          </w:p>
        </w:tc>
        <w:tc>
          <w:tcPr>
            <w:tcW w:w="395" w:type="pct"/>
            <w:tcBorders>
              <w:top w:val="single" w:sz="4" w:space="0" w:color="auto"/>
              <w:left w:val="nil"/>
              <w:bottom w:val="single" w:sz="4" w:space="0" w:color="auto"/>
              <w:right w:val="nil"/>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300 000 000,00</w:t>
            </w:r>
          </w:p>
        </w:tc>
        <w:tc>
          <w:tcPr>
            <w:tcW w:w="453" w:type="pct"/>
            <w:tcBorders>
              <w:top w:val="single" w:sz="4" w:space="0" w:color="auto"/>
              <w:left w:val="single" w:sz="4" w:space="0" w:color="auto"/>
              <w:bottom w:val="single" w:sz="4" w:space="0" w:color="auto"/>
              <w:right w:val="nil"/>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4 400 000 000,00</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4 700 000 000,00</w:t>
            </w:r>
          </w:p>
        </w:tc>
      </w:tr>
    </w:tbl>
    <w:p>
      <w:pPr>
        <w:pStyle w:val="ManualHeading2"/>
        <w:rPr>
          <w:noProof/>
        </w:rPr>
      </w:pPr>
      <w:r>
        <w:t>5.5</w:t>
      </w:r>
      <w:r>
        <w:tab/>
      </w:r>
      <w:r>
        <w:rPr>
          <w:noProof/>
        </w:rPr>
        <w:t>Příloha 5: Příspěvky členských států na rok 2020 (v EUR)</w:t>
      </w:r>
    </w:p>
    <w:tbl>
      <w:tblPr>
        <w:tblW w:w="5000" w:type="pct"/>
        <w:tblLook w:val="04A0" w:firstRow="1" w:lastRow="0" w:firstColumn="1" w:lastColumn="0" w:noHBand="0" w:noVBand="1"/>
      </w:tblPr>
      <w:tblGrid>
        <w:gridCol w:w="1823"/>
        <w:gridCol w:w="827"/>
        <w:gridCol w:w="936"/>
        <w:gridCol w:w="1112"/>
        <w:gridCol w:w="1246"/>
        <w:gridCol w:w="1112"/>
        <w:gridCol w:w="1246"/>
        <w:gridCol w:w="1091"/>
        <w:gridCol w:w="1212"/>
        <w:gridCol w:w="1098"/>
        <w:gridCol w:w="1260"/>
        <w:gridCol w:w="1257"/>
      </w:tblGrid>
      <w:tr>
        <w:trPr>
          <w:trHeight w:val="282"/>
        </w:trPr>
        <w:tc>
          <w:tcPr>
            <w:tcW w:w="56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pPr>
              <w:spacing w:after="0" w:line="240" w:lineRule="auto"/>
              <w:rPr>
                <w:rFonts w:ascii="Times New Roman" w:eastAsia="Times New Roman" w:hAnsi="Times New Roman" w:cs="Times New Roman"/>
                <w:b/>
                <w:bCs/>
                <w:noProof/>
                <w:sz w:val="16"/>
                <w:szCs w:val="16"/>
              </w:rPr>
            </w:pPr>
            <w:r>
              <w:rPr>
                <w:rFonts w:ascii="Times New Roman" w:hAnsi="Times New Roman"/>
                <w:b/>
                <w:noProof/>
                <w:sz w:val="16"/>
              </w:rPr>
              <w:t>ČLENSKÉ STÁTY</w:t>
            </w:r>
          </w:p>
        </w:tc>
        <w:tc>
          <w:tcPr>
            <w:tcW w:w="298" w:type="pct"/>
            <w:vMerge w:val="restart"/>
            <w:tcBorders>
              <w:top w:val="single" w:sz="4" w:space="0" w:color="auto"/>
              <w:left w:val="single" w:sz="4" w:space="0" w:color="auto"/>
              <w:bottom w:val="single" w:sz="4" w:space="0" w:color="000000"/>
              <w:right w:val="single" w:sz="4" w:space="0" w:color="auto"/>
            </w:tcBorders>
            <w:shd w:val="clear" w:color="000000" w:fill="C0C0C0"/>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Klíč pro 10. ERF (v %)</w:t>
            </w:r>
          </w:p>
        </w:tc>
        <w:tc>
          <w:tcPr>
            <w:tcW w:w="336" w:type="pct"/>
            <w:vMerge w:val="restart"/>
            <w:tcBorders>
              <w:top w:val="single" w:sz="4" w:space="0" w:color="auto"/>
              <w:left w:val="single" w:sz="4" w:space="0" w:color="auto"/>
              <w:bottom w:val="single" w:sz="4" w:space="0" w:color="000000"/>
              <w:right w:val="single" w:sz="4" w:space="0" w:color="auto"/>
            </w:tcBorders>
            <w:shd w:val="clear" w:color="000000" w:fill="C0C0C0"/>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Klíč pro 11. ERF (v %)</w:t>
            </w:r>
          </w:p>
        </w:tc>
        <w:tc>
          <w:tcPr>
            <w:tcW w:w="843" w:type="pct"/>
            <w:gridSpan w:val="2"/>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 splátka</w:t>
            </w:r>
          </w:p>
        </w:tc>
        <w:tc>
          <w:tcPr>
            <w:tcW w:w="843" w:type="pct"/>
            <w:gridSpan w:val="2"/>
            <w:tcBorders>
              <w:top w:val="single" w:sz="4" w:space="0" w:color="auto"/>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2. splátka</w:t>
            </w:r>
          </w:p>
        </w:tc>
        <w:tc>
          <w:tcPr>
            <w:tcW w:w="824" w:type="pct"/>
            <w:gridSpan w:val="2"/>
            <w:tcBorders>
              <w:top w:val="single" w:sz="4" w:space="0" w:color="auto"/>
              <w:left w:val="nil"/>
              <w:bottom w:val="single" w:sz="4" w:space="0" w:color="auto"/>
              <w:right w:val="single" w:sz="4" w:space="0" w:color="000000"/>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 xml:space="preserve"> 3. splátka</w:t>
            </w:r>
          </w:p>
        </w:tc>
        <w:tc>
          <w:tcPr>
            <w:tcW w:w="393" w:type="pct"/>
            <w:vMerge w:val="restart"/>
            <w:tcBorders>
              <w:top w:val="single" w:sz="4" w:space="0" w:color="auto"/>
              <w:left w:val="nil"/>
              <w:bottom w:val="single" w:sz="4" w:space="0" w:color="auto"/>
              <w:right w:val="nil"/>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EIB celkem</w:t>
            </w:r>
          </w:p>
        </w:tc>
        <w:tc>
          <w:tcPr>
            <w:tcW w:w="4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Celkem</w:t>
            </w:r>
            <w:r>
              <w:rPr>
                <w:rFonts w:ascii="Times New Roman" w:eastAsia="Times New Roman" w:hAnsi="Times New Roman" w:cs="Times New Roman"/>
                <w:b/>
                <w:bCs/>
                <w:noProof/>
                <w:sz w:val="16"/>
                <w:szCs w:val="16"/>
              </w:rPr>
              <w:br/>
            </w:r>
            <w:r>
              <w:rPr>
                <w:rFonts w:ascii="Times New Roman" w:hAnsi="Times New Roman"/>
                <w:b/>
                <w:noProof/>
                <w:sz w:val="16"/>
              </w:rPr>
              <w:t>Komise</w:t>
            </w:r>
          </w:p>
        </w:tc>
        <w:tc>
          <w:tcPr>
            <w:tcW w:w="45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Za rok 2020 celkem</w:t>
            </w:r>
          </w:p>
        </w:tc>
      </w:tr>
      <w:tr>
        <w:trPr>
          <w:trHeight w:val="225"/>
        </w:trPr>
        <w:tc>
          <w:tcPr>
            <w:tcW w:w="564"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298"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336"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EIB</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Komise</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EIB</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Komise</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EIB</w:t>
            </w:r>
          </w:p>
        </w:tc>
        <w:tc>
          <w:tcPr>
            <w:tcW w:w="434" w:type="pct"/>
            <w:tcBorders>
              <w:top w:val="nil"/>
              <w:left w:val="nil"/>
              <w:bottom w:val="nil"/>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Komise</w:t>
            </w:r>
          </w:p>
        </w:tc>
        <w:tc>
          <w:tcPr>
            <w:tcW w:w="393" w:type="pct"/>
            <w:vMerge/>
            <w:tcBorders>
              <w:top w:val="single" w:sz="4" w:space="0" w:color="auto"/>
              <w:left w:val="nil"/>
              <w:bottom w:val="single" w:sz="4" w:space="0" w:color="auto"/>
              <w:right w:val="nil"/>
            </w:tcBorders>
            <w:vAlign w:val="center"/>
            <w:hideMark/>
          </w:tcPr>
          <w:p>
            <w:pPr>
              <w:spacing w:after="0" w:line="240" w:lineRule="auto"/>
              <w:rPr>
                <w:rFonts w:ascii="Times New Roman" w:eastAsia="Times New Roman" w:hAnsi="Times New Roman" w:cs="Times New Roman"/>
                <w:b/>
                <w:bCs/>
                <w:noProof/>
                <w:sz w:val="16"/>
                <w:szCs w:val="16"/>
              </w:rPr>
            </w:pPr>
          </w:p>
        </w:tc>
        <w:tc>
          <w:tcPr>
            <w:tcW w:w="450" w:type="pct"/>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450"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r>
      <w:tr>
        <w:trPr>
          <w:trHeight w:val="225"/>
        </w:trPr>
        <w:tc>
          <w:tcPr>
            <w:tcW w:w="564"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298"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336"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398" w:type="pct"/>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10. ERF</w:t>
            </w:r>
          </w:p>
        </w:tc>
        <w:tc>
          <w:tcPr>
            <w:tcW w:w="445" w:type="pct"/>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11. ERF</w:t>
            </w:r>
          </w:p>
        </w:tc>
        <w:tc>
          <w:tcPr>
            <w:tcW w:w="398" w:type="pct"/>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10. ERF</w:t>
            </w:r>
          </w:p>
        </w:tc>
        <w:tc>
          <w:tcPr>
            <w:tcW w:w="445" w:type="pct"/>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11. ERF</w:t>
            </w:r>
          </w:p>
        </w:tc>
        <w:tc>
          <w:tcPr>
            <w:tcW w:w="389" w:type="pct"/>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10. ERF</w:t>
            </w:r>
          </w:p>
        </w:tc>
        <w:tc>
          <w:tcPr>
            <w:tcW w:w="434" w:type="pct"/>
            <w:tcBorders>
              <w:top w:val="nil"/>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11. ERF</w:t>
            </w:r>
          </w:p>
        </w:tc>
        <w:tc>
          <w:tcPr>
            <w:tcW w:w="393" w:type="pct"/>
            <w:vMerge/>
            <w:tcBorders>
              <w:top w:val="single" w:sz="4" w:space="0" w:color="auto"/>
              <w:left w:val="nil"/>
              <w:bottom w:val="single" w:sz="4" w:space="0" w:color="auto"/>
              <w:right w:val="nil"/>
            </w:tcBorders>
            <w:vAlign w:val="center"/>
            <w:hideMark/>
          </w:tcPr>
          <w:p>
            <w:pPr>
              <w:spacing w:after="0" w:line="240" w:lineRule="auto"/>
              <w:rPr>
                <w:rFonts w:ascii="Times New Roman" w:eastAsia="Times New Roman" w:hAnsi="Times New Roman" w:cs="Times New Roman"/>
                <w:b/>
                <w:bCs/>
                <w:noProof/>
                <w:sz w:val="16"/>
                <w:szCs w:val="16"/>
              </w:rPr>
            </w:pPr>
          </w:p>
        </w:tc>
        <w:tc>
          <w:tcPr>
            <w:tcW w:w="450" w:type="pct"/>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450" w:type="pct"/>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cs="Times New Roman"/>
                <w:b/>
                <w:bCs/>
                <w:noProof/>
                <w:sz w:val="16"/>
                <w:szCs w:val="16"/>
              </w:rPr>
            </w:pP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BELGIE</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3,53</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3,24927</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3 530 000,00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64 985 400,00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3 530 000,00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51 988 320,00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3 530 000,00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32 492 700,00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10 590 000,00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149 466 420,00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160 056 420,00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BULHARSKO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0,14</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0,21853</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4 370 600,00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3 496 480,00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2 185 300,00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420 000,00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10 052 380,00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10 472 380,00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ČESKÁ REPUBLIKA</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0,51</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0,79745</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510 000,00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15 949 000,00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510 000,00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12 759 200,00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510 000,00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7 974 500,00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1 530 000,00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36 682 700,00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38 212 700,00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DÁNSKO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2,00</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1,98045</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2 000 000,00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39 609 000,00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2 000 000,00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31 687 200,00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2 000 000,00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19 804 500,00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6 000 000,00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91 100 700,00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97 100 700,00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NĚMECKO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20,50</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20,57980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20 500 000,00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411 596 000,00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20 500 000,00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329 276 800,00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20 500 000,00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205 798 000,00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61 500 000,00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946 670 800,00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1 008 170 800,00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ESTONSKO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0,05</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0,08635</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1 727 000,00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1 381 600,00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863 500,00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150 000,00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3 972 100,00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4 122 100,00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IRSKO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0,91</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0,94006</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910 000,00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18 801 200,00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910 000,00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15 040 960,00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910 000,00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9 400 600,00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2 730 000,00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43 242 760,00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45 972 760,00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ŘECKO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1,47</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1,50735</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1 470 000,00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30 147 000,00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1 470 000,00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24 117 600,00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1 470 000,00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15 073 500,00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4 410 000,00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69 338 100,00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73 748 100,00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ŠPANĚLSKO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7,85</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7,93248</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7 850 000,00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158 649 600,00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7 850 000,00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126 919 680,00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7 850 000,00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79 324 800,00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23 550 000,00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364 894 080,00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388 444 080,00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FRANCIE</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19,55</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17,81269</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19 550 000,00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356 253 800,00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19 550 000,00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285 003 040,00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19 550 000,00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178 126 900,00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58 650 000,00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819 383 740,00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878 033 740,00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CHORVATSKO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0,00</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0,22518</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4 503 600,00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3 602 880,00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2 251 800,00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10 358 280,00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10 358 280,00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ITÁLIE</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12,86</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12,53009</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12 860 000,00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250 601 800,00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12 860 000,00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200 481 440,00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12 860 000,00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125 300 900,00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38 580 000,00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576 384 140,00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614 964 140,00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KYPR</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0,09</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0,11162</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2 232 400,00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1 785 920,00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1 116 200,00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270 000,00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5 134 520,00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5 404 520,00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LOTYŠSKO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0,07</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0,11612</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2 322 400,00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1 857 920,00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1 161 200,00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5 341 520,00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5 551 520,00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LITVA</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0,12</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0,18077</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3 615 400,00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2 892 320,00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1 807 700,00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360 000,00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8 315 420,00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8 675 420,00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LUCEMBURSKO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0,27</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0,25509</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270 000,00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5 101 800,00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270 000,00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4 081 440,00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270 000,00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2 550 900,00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810 000,00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11 734 140,00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12 544 140,00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MAĎARSKO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0,55</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0,61456</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550 000,00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12 291 200,00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550 000,00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9 832 960,00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550 000,00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6 145 600,00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1 650 000,00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28 269 760,00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29 919 760,00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MALTA</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0,03</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0,03801</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760 200,00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608 160,00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380 100,00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1 748 460,00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1 838 460,00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NIZOZEMSKO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4,85</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4,77678</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4 850 000,00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95 535 600,00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4 850 000,00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76 428 480,00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4 850 000,00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47 767 800,00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14 550 000,00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219 731 880,00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234 281 880,00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RAKOUSKO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2,41</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2,39757</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2 410 000,00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47 951 400,00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2 410 000,00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38 361 120,00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2 410 000,00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23 975 700,00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7 230 000,00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110 288 220,00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117 518 220,00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POLSKO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1,30</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2,00734</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1 300 000,00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40 146 800,00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1 300 000,00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32 117 440,00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1 300 000,00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20 073 400,00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3 900 000,00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92 337 640,00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96 237 640,00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PORTUGALSKO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1,15</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1,19679</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1 150 000,00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23 935 800,00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1 150 000,00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19 148 640,00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1 150 000,00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11 967 900,00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3 450 000,00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55 052 340,00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58 502 340,00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RUMUNSKO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0,37</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0,71815</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370 000,00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14 363 000,00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370 000,00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11 490 400,00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370 000,00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7 181 500,00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1 110 000,00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33 034 900,00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34 144 900,00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SLOVINSKO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0,18</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0,22452</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180 000,00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4 490 400,00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180 000,00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3 592 320,00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180 000,00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2 245 200,00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540 000,00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10 327 920,00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10 867 920,00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SLOVENSKO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0,21</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0,37616</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7 523 200,00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6 018 560,00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3 761 600,00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630 000,00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17 303 360,00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17 933 360,00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FINSKO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1,47</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1,50909</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1 470 000,00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30 181 800,00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1 470 000,00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24 145 440,00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1 470 000,00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15 090 900,00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4 410 000,00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69 418 140,00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73 828 140,00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ŠVÉDSKO</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2,74</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2,93911</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2 740 000,00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58 782 200,00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2 740 000,00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47 025 760,00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2 740 000,00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29 391 100,00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8 220 000,00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135 199 060,00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143 419 060,00</w:t>
            </w:r>
          </w:p>
        </w:tc>
      </w:tr>
      <w:tr>
        <w:trPr>
          <w:trHeight w:val="240"/>
        </w:trPr>
        <w:tc>
          <w:tcPr>
            <w:tcW w:w="564" w:type="pct"/>
            <w:tcBorders>
              <w:top w:val="nil"/>
              <w:left w:val="single" w:sz="4" w:space="0" w:color="auto"/>
              <w:bottom w:val="nil"/>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4"/>
                <w:szCs w:val="14"/>
              </w:rPr>
            </w:pPr>
            <w:r>
              <w:rPr>
                <w:rFonts w:ascii="Times New Roman" w:hAnsi="Times New Roman"/>
                <w:b/>
                <w:noProof/>
                <w:sz w:val="14"/>
              </w:rPr>
              <w:t>SPOJENÉ KRÁLOVSTVÍ</w:t>
            </w:r>
          </w:p>
        </w:tc>
        <w:tc>
          <w:tcPr>
            <w:tcW w:w="298"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14,82</w:t>
            </w:r>
          </w:p>
        </w:tc>
        <w:tc>
          <w:tcPr>
            <w:tcW w:w="336" w:type="pct"/>
            <w:tcBorders>
              <w:top w:val="nil"/>
              <w:left w:val="nil"/>
              <w:bottom w:val="nil"/>
              <w:right w:val="single" w:sz="4" w:space="0" w:color="auto"/>
            </w:tcBorders>
            <w:shd w:val="clear" w:color="000000" w:fill="C0C0C0"/>
            <w:noWrap/>
            <w:vAlign w:val="center"/>
            <w:hideMark/>
          </w:tcPr>
          <w:p>
            <w:pPr>
              <w:spacing w:after="0" w:line="240" w:lineRule="auto"/>
              <w:ind w:firstLineChars="100" w:firstLine="140"/>
              <w:jc w:val="right"/>
              <w:rPr>
                <w:rFonts w:ascii="Times New Roman" w:eastAsia="Times New Roman" w:hAnsi="Times New Roman" w:cs="Times New Roman"/>
                <w:noProof/>
                <w:sz w:val="14"/>
                <w:szCs w:val="14"/>
              </w:rPr>
            </w:pPr>
            <w:r>
              <w:rPr>
                <w:rFonts w:ascii="Times New Roman" w:hAnsi="Times New Roman"/>
                <w:noProof/>
                <w:sz w:val="14"/>
              </w:rPr>
              <w:t>14,67862</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14 820 000,00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293 572 400,00</w:t>
            </w:r>
          </w:p>
        </w:tc>
        <w:tc>
          <w:tcPr>
            <w:tcW w:w="398"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14 820 000,00</w:t>
            </w:r>
          </w:p>
        </w:tc>
        <w:tc>
          <w:tcPr>
            <w:tcW w:w="445"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234 857 920,00</w:t>
            </w:r>
          </w:p>
        </w:tc>
        <w:tc>
          <w:tcPr>
            <w:tcW w:w="389"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14 820 000,00</w:t>
            </w:r>
          </w:p>
        </w:tc>
        <w:tc>
          <w:tcPr>
            <w:tcW w:w="434" w:type="pct"/>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146 786 200,00</w:t>
            </w:r>
          </w:p>
        </w:tc>
        <w:tc>
          <w:tcPr>
            <w:tcW w:w="393" w:type="pct"/>
            <w:tcBorders>
              <w:top w:val="nil"/>
              <w:left w:val="single" w:sz="4" w:space="0" w:color="auto"/>
              <w:bottom w:val="nil"/>
              <w:right w:val="nil"/>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44 460 000,00</w:t>
            </w:r>
          </w:p>
        </w:tc>
        <w:tc>
          <w:tcPr>
            <w:tcW w:w="450" w:type="pct"/>
            <w:tcBorders>
              <w:top w:val="nil"/>
              <w:left w:val="single" w:sz="4" w:space="0" w:color="auto"/>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675 216 520,00</w:t>
            </w:r>
          </w:p>
        </w:tc>
        <w:tc>
          <w:tcPr>
            <w:tcW w:w="450" w:type="pct"/>
            <w:tcBorders>
              <w:top w:val="nil"/>
              <w:left w:val="nil"/>
              <w:bottom w:val="nil"/>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719 676 520,00</w:t>
            </w:r>
          </w:p>
        </w:tc>
      </w:tr>
      <w:tr>
        <w:trPr>
          <w:trHeight w:val="282"/>
        </w:trPr>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noProof/>
                <w:sz w:val="16"/>
                <w:szCs w:val="16"/>
              </w:rPr>
            </w:pPr>
            <w:r>
              <w:rPr>
                <w:rFonts w:ascii="Times New Roman" w:hAnsi="Times New Roman"/>
                <w:b/>
                <w:noProof/>
                <w:sz w:val="16"/>
              </w:rPr>
              <w:t>EU-28 CELKEM</w:t>
            </w:r>
          </w:p>
        </w:tc>
        <w:tc>
          <w:tcPr>
            <w:tcW w:w="298" w:type="pct"/>
            <w:tcBorders>
              <w:top w:val="single" w:sz="4" w:space="0" w:color="auto"/>
              <w:left w:val="nil"/>
              <w:bottom w:val="single" w:sz="4" w:space="0" w:color="auto"/>
              <w:right w:val="single" w:sz="4" w:space="0" w:color="auto"/>
            </w:tcBorders>
            <w:shd w:val="clear" w:color="000000" w:fill="C0C0C0"/>
            <w:noWrap/>
            <w:vAlign w:val="center"/>
            <w:hideMark/>
          </w:tcPr>
          <w:p>
            <w:pPr>
              <w:spacing w:after="0" w:line="240" w:lineRule="auto"/>
              <w:jc w:val="center"/>
              <w:rPr>
                <w:rFonts w:ascii="Times New Roman" w:eastAsia="Times New Roman" w:hAnsi="Times New Roman" w:cs="Times New Roman"/>
                <w:b/>
                <w:bCs/>
                <w:noProof/>
                <w:sz w:val="14"/>
                <w:szCs w:val="14"/>
              </w:rPr>
            </w:pPr>
            <w:r>
              <w:rPr>
                <w:rFonts w:ascii="Times New Roman" w:hAnsi="Times New Roman"/>
                <w:b/>
                <w:noProof/>
                <w:sz w:val="14"/>
              </w:rPr>
              <w:t>100,00</w:t>
            </w:r>
          </w:p>
        </w:tc>
        <w:tc>
          <w:tcPr>
            <w:tcW w:w="336" w:type="pct"/>
            <w:tcBorders>
              <w:top w:val="single" w:sz="4" w:space="0" w:color="auto"/>
              <w:left w:val="nil"/>
              <w:bottom w:val="single" w:sz="4" w:space="0" w:color="auto"/>
              <w:right w:val="single" w:sz="4" w:space="0" w:color="auto"/>
            </w:tcBorders>
            <w:shd w:val="clear" w:color="000000" w:fill="C0C0C0"/>
            <w:noWrap/>
            <w:vAlign w:val="center"/>
            <w:hideMark/>
          </w:tcPr>
          <w:p>
            <w:pPr>
              <w:spacing w:after="0" w:line="240" w:lineRule="auto"/>
              <w:jc w:val="center"/>
              <w:rPr>
                <w:rFonts w:ascii="Times New Roman" w:eastAsia="Times New Roman" w:hAnsi="Times New Roman" w:cs="Times New Roman"/>
                <w:b/>
                <w:bCs/>
                <w:noProof/>
                <w:sz w:val="14"/>
                <w:szCs w:val="14"/>
              </w:rPr>
            </w:pPr>
            <w:r>
              <w:rPr>
                <w:rFonts w:ascii="Times New Roman" w:hAnsi="Times New Roman"/>
                <w:b/>
                <w:noProof/>
                <w:sz w:val="14"/>
              </w:rPr>
              <w:t>100,00</w:t>
            </w:r>
          </w:p>
        </w:tc>
        <w:tc>
          <w:tcPr>
            <w:tcW w:w="398"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100 000 000,00</w:t>
            </w:r>
          </w:p>
        </w:tc>
        <w:tc>
          <w:tcPr>
            <w:tcW w:w="445"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2 000 000 000,00</w:t>
            </w:r>
          </w:p>
        </w:tc>
        <w:tc>
          <w:tcPr>
            <w:tcW w:w="398"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100 000 000,00</w:t>
            </w:r>
          </w:p>
        </w:tc>
        <w:tc>
          <w:tcPr>
            <w:tcW w:w="445"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1 600 000 000,00</w:t>
            </w:r>
          </w:p>
        </w:tc>
        <w:tc>
          <w:tcPr>
            <w:tcW w:w="389"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100 000 000,00</w:t>
            </w:r>
          </w:p>
        </w:tc>
        <w:tc>
          <w:tcPr>
            <w:tcW w:w="434" w:type="pct"/>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1 000 000 000,00</w:t>
            </w:r>
          </w:p>
        </w:tc>
        <w:tc>
          <w:tcPr>
            <w:tcW w:w="393" w:type="pct"/>
            <w:tcBorders>
              <w:top w:val="single" w:sz="4" w:space="0" w:color="auto"/>
              <w:left w:val="nil"/>
              <w:bottom w:val="single" w:sz="4" w:space="0" w:color="auto"/>
              <w:right w:val="nil"/>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300 000 000,00</w:t>
            </w:r>
          </w:p>
        </w:tc>
        <w:tc>
          <w:tcPr>
            <w:tcW w:w="450" w:type="pct"/>
            <w:tcBorders>
              <w:top w:val="single" w:sz="4" w:space="0" w:color="auto"/>
              <w:left w:val="single" w:sz="4" w:space="0" w:color="auto"/>
              <w:bottom w:val="single" w:sz="4" w:space="0" w:color="auto"/>
              <w:right w:val="nil"/>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4 600 000 000,00</w:t>
            </w:r>
          </w:p>
        </w:tc>
        <w:tc>
          <w:tcPr>
            <w:tcW w:w="4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4 900 000 000,00</w:t>
            </w:r>
          </w:p>
        </w:tc>
      </w:tr>
    </w:tbl>
    <w:p>
      <w:pPr>
        <w:pStyle w:val="ManualHeading2"/>
        <w:rPr>
          <w:noProof/>
        </w:rPr>
      </w:pPr>
      <w:r>
        <w:t>5.6</w:t>
      </w:r>
      <w:r>
        <w:tab/>
      </w:r>
      <w:r>
        <w:rPr>
          <w:noProof/>
        </w:rPr>
        <w:t>Příloha 6: Příspěvky členských států na roky 2018–2022 (v EUR)</w:t>
      </w:r>
    </w:p>
    <w:tbl>
      <w:tblPr>
        <w:tblW w:w="5000" w:type="pct"/>
        <w:tblLook w:val="04A0" w:firstRow="1" w:lastRow="0" w:firstColumn="1" w:lastColumn="0" w:noHBand="0" w:noVBand="1"/>
      </w:tblPr>
      <w:tblGrid>
        <w:gridCol w:w="1742"/>
        <w:gridCol w:w="601"/>
        <w:gridCol w:w="741"/>
        <w:gridCol w:w="1021"/>
        <w:gridCol w:w="1017"/>
        <w:gridCol w:w="1021"/>
        <w:gridCol w:w="1017"/>
        <w:gridCol w:w="1021"/>
        <w:gridCol w:w="1017"/>
        <w:gridCol w:w="1021"/>
        <w:gridCol w:w="974"/>
        <w:gridCol w:w="997"/>
        <w:gridCol w:w="1021"/>
        <w:gridCol w:w="1009"/>
      </w:tblGrid>
      <w:tr>
        <w:trPr>
          <w:trHeight w:val="252"/>
        </w:trPr>
        <w:tc>
          <w:tcPr>
            <w:tcW w:w="633"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ČLENSKÉ STÁTY</w:t>
            </w:r>
          </w:p>
        </w:tc>
        <w:tc>
          <w:tcPr>
            <w:tcW w:w="197" w:type="pct"/>
            <w:tcBorders>
              <w:top w:val="single" w:sz="8" w:space="0" w:color="auto"/>
              <w:left w:val="nil"/>
              <w:bottom w:val="nil"/>
              <w:right w:val="single" w:sz="8" w:space="0" w:color="auto"/>
            </w:tcBorders>
            <w:shd w:val="clear" w:color="000000" w:fill="BFBFBF"/>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10.</w:t>
            </w:r>
          </w:p>
        </w:tc>
        <w:tc>
          <w:tcPr>
            <w:tcW w:w="228" w:type="pct"/>
            <w:tcBorders>
              <w:top w:val="single" w:sz="8" w:space="0" w:color="auto"/>
              <w:left w:val="nil"/>
              <w:bottom w:val="nil"/>
              <w:right w:val="single" w:sz="8" w:space="0" w:color="auto"/>
            </w:tcBorders>
            <w:shd w:val="clear" w:color="000000" w:fill="BFBFBF"/>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11.</w:t>
            </w:r>
          </w:p>
        </w:tc>
        <w:tc>
          <w:tcPr>
            <w:tcW w:w="719" w:type="pct"/>
            <w:gridSpan w:val="2"/>
            <w:tcBorders>
              <w:top w:val="single" w:sz="8" w:space="0" w:color="auto"/>
              <w:left w:val="nil"/>
              <w:bottom w:val="single" w:sz="8" w:space="0" w:color="auto"/>
              <w:right w:val="single" w:sz="8" w:space="0" w:color="000000"/>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2018</w:t>
            </w:r>
          </w:p>
        </w:tc>
        <w:tc>
          <w:tcPr>
            <w:tcW w:w="719" w:type="pct"/>
            <w:gridSpan w:val="2"/>
            <w:tcBorders>
              <w:top w:val="single" w:sz="8" w:space="0" w:color="auto"/>
              <w:left w:val="nil"/>
              <w:bottom w:val="single" w:sz="8" w:space="0" w:color="auto"/>
              <w:right w:val="single" w:sz="8" w:space="0" w:color="000000"/>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2019</w:t>
            </w:r>
          </w:p>
        </w:tc>
        <w:tc>
          <w:tcPr>
            <w:tcW w:w="719" w:type="pct"/>
            <w:gridSpan w:val="2"/>
            <w:tcBorders>
              <w:top w:val="single" w:sz="8" w:space="0" w:color="auto"/>
              <w:left w:val="nil"/>
              <w:bottom w:val="single" w:sz="8" w:space="0" w:color="auto"/>
              <w:right w:val="single" w:sz="8" w:space="0" w:color="000000"/>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2020</w:t>
            </w:r>
          </w:p>
        </w:tc>
        <w:tc>
          <w:tcPr>
            <w:tcW w:w="1069" w:type="pct"/>
            <w:gridSpan w:val="3"/>
            <w:tcBorders>
              <w:top w:val="single" w:sz="8" w:space="0" w:color="auto"/>
              <w:left w:val="nil"/>
              <w:bottom w:val="single" w:sz="8" w:space="0" w:color="auto"/>
              <w:right w:val="single" w:sz="8" w:space="0" w:color="000000"/>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2021</w:t>
            </w:r>
          </w:p>
        </w:tc>
        <w:tc>
          <w:tcPr>
            <w:tcW w:w="719" w:type="pct"/>
            <w:gridSpan w:val="2"/>
            <w:tcBorders>
              <w:top w:val="single" w:sz="8" w:space="0" w:color="auto"/>
              <w:left w:val="nil"/>
              <w:bottom w:val="single" w:sz="8" w:space="0" w:color="auto"/>
              <w:right w:val="single" w:sz="8" w:space="0" w:color="000000"/>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2022</w:t>
            </w:r>
          </w:p>
        </w:tc>
      </w:tr>
      <w:tr>
        <w:trPr>
          <w:trHeight w:val="252"/>
        </w:trPr>
        <w:tc>
          <w:tcPr>
            <w:tcW w:w="633" w:type="pct"/>
            <w:vMerge/>
            <w:tcBorders>
              <w:top w:val="single" w:sz="8" w:space="0" w:color="auto"/>
              <w:left w:val="single" w:sz="8" w:space="0" w:color="auto"/>
              <w:bottom w:val="single" w:sz="8" w:space="0" w:color="000000"/>
              <w:right w:val="single" w:sz="8" w:space="0" w:color="auto"/>
            </w:tcBorders>
            <w:vAlign w:val="center"/>
            <w:hideMark/>
          </w:tcPr>
          <w:p>
            <w:pPr>
              <w:spacing w:after="0" w:line="240" w:lineRule="auto"/>
              <w:rPr>
                <w:rFonts w:ascii="Times New Roman" w:eastAsia="Times New Roman" w:hAnsi="Times New Roman" w:cs="Times New Roman"/>
                <w:b/>
                <w:bCs/>
                <w:noProof/>
                <w:sz w:val="16"/>
                <w:szCs w:val="16"/>
              </w:rPr>
            </w:pPr>
          </w:p>
        </w:tc>
        <w:tc>
          <w:tcPr>
            <w:tcW w:w="197" w:type="pct"/>
            <w:tcBorders>
              <w:top w:val="dashed" w:sz="4" w:space="0" w:color="auto"/>
              <w:left w:val="nil"/>
              <w:bottom w:val="single" w:sz="8" w:space="0" w:color="auto"/>
              <w:right w:val="single" w:sz="8" w:space="0" w:color="auto"/>
            </w:tcBorders>
            <w:shd w:val="clear" w:color="000000" w:fill="BFBFBF"/>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ERF</w:t>
            </w:r>
          </w:p>
        </w:tc>
        <w:tc>
          <w:tcPr>
            <w:tcW w:w="228" w:type="pct"/>
            <w:tcBorders>
              <w:top w:val="dashed" w:sz="4" w:space="0" w:color="auto"/>
              <w:left w:val="nil"/>
              <w:bottom w:val="single" w:sz="8" w:space="0" w:color="auto"/>
              <w:right w:val="single" w:sz="8" w:space="0" w:color="auto"/>
            </w:tcBorders>
            <w:shd w:val="clear" w:color="000000" w:fill="BFBFBF"/>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ERF</w:t>
            </w:r>
          </w:p>
        </w:tc>
        <w:tc>
          <w:tcPr>
            <w:tcW w:w="341" w:type="pct"/>
            <w:tcBorders>
              <w:top w:val="nil"/>
              <w:left w:val="nil"/>
              <w:bottom w:val="single" w:sz="8" w:space="0" w:color="auto"/>
              <w:right w:val="single" w:sz="4" w:space="0" w:color="auto"/>
            </w:tcBorders>
            <w:shd w:val="clear" w:color="auto" w:fill="auto"/>
            <w:noWrap/>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Komise 11.</w:t>
            </w:r>
          </w:p>
        </w:tc>
        <w:tc>
          <w:tcPr>
            <w:tcW w:w="377" w:type="pct"/>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EIB 10.</w:t>
            </w:r>
          </w:p>
        </w:tc>
        <w:tc>
          <w:tcPr>
            <w:tcW w:w="341" w:type="pct"/>
            <w:tcBorders>
              <w:top w:val="nil"/>
              <w:left w:val="nil"/>
              <w:bottom w:val="single" w:sz="8" w:space="0" w:color="auto"/>
              <w:right w:val="single" w:sz="4" w:space="0" w:color="auto"/>
            </w:tcBorders>
            <w:shd w:val="clear" w:color="auto" w:fill="auto"/>
            <w:noWrap/>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Komise 11.</w:t>
            </w:r>
          </w:p>
        </w:tc>
        <w:tc>
          <w:tcPr>
            <w:tcW w:w="377" w:type="pct"/>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EIB 10.</w:t>
            </w:r>
          </w:p>
        </w:tc>
        <w:tc>
          <w:tcPr>
            <w:tcW w:w="341" w:type="pct"/>
            <w:tcBorders>
              <w:top w:val="nil"/>
              <w:left w:val="nil"/>
              <w:bottom w:val="single" w:sz="8" w:space="0" w:color="auto"/>
              <w:right w:val="single" w:sz="4" w:space="0" w:color="auto"/>
            </w:tcBorders>
            <w:shd w:val="clear" w:color="auto" w:fill="auto"/>
            <w:noWrap/>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Komise 11.</w:t>
            </w:r>
          </w:p>
        </w:tc>
        <w:tc>
          <w:tcPr>
            <w:tcW w:w="377" w:type="pct"/>
            <w:tcBorders>
              <w:top w:val="nil"/>
              <w:left w:val="nil"/>
              <w:bottom w:val="single" w:sz="8" w:space="0" w:color="auto"/>
              <w:right w:val="nil"/>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EIB 10.</w:t>
            </w:r>
          </w:p>
        </w:tc>
        <w:tc>
          <w:tcPr>
            <w:tcW w:w="335" w:type="pct"/>
            <w:tcBorders>
              <w:top w:val="nil"/>
              <w:left w:val="single" w:sz="8" w:space="0" w:color="auto"/>
              <w:bottom w:val="single" w:sz="8" w:space="0" w:color="auto"/>
              <w:right w:val="nil"/>
            </w:tcBorders>
            <w:shd w:val="clear" w:color="auto" w:fill="auto"/>
            <w:noWrap/>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Komise 11.</w:t>
            </w:r>
          </w:p>
        </w:tc>
        <w:tc>
          <w:tcPr>
            <w:tcW w:w="363" w:type="pct"/>
            <w:tcBorders>
              <w:top w:val="nil"/>
              <w:left w:val="single" w:sz="4" w:space="0" w:color="auto"/>
              <w:bottom w:val="single" w:sz="8"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EIB 10.</w:t>
            </w:r>
          </w:p>
        </w:tc>
        <w:tc>
          <w:tcPr>
            <w:tcW w:w="371" w:type="pct"/>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EIB 11.</w:t>
            </w:r>
          </w:p>
        </w:tc>
        <w:tc>
          <w:tcPr>
            <w:tcW w:w="341" w:type="pct"/>
            <w:tcBorders>
              <w:top w:val="nil"/>
              <w:left w:val="nil"/>
              <w:bottom w:val="single" w:sz="8" w:space="0" w:color="auto"/>
              <w:right w:val="single" w:sz="4" w:space="0" w:color="auto"/>
            </w:tcBorders>
            <w:shd w:val="clear" w:color="auto" w:fill="auto"/>
            <w:noWrap/>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Komise 11.</w:t>
            </w:r>
          </w:p>
        </w:tc>
        <w:tc>
          <w:tcPr>
            <w:tcW w:w="377" w:type="pct"/>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rPr>
              <w:t>EIB 11.</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BELGIE</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3,53</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3,24927</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138 093 975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8 825 000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142 967 880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10 590 000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149 466 420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10 590 000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129 970 800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2 471 000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7 473 321</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113 724 450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12 997 080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BULHARSKO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0,14</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0,21853</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9 287 525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350 000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9 615 320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420 000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10 052 380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420 000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8 741 200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98 000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502 619</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7 648 550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874 120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ČESKÁ REPUBLIKA</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0,51</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0,79745</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33 891 625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1 275 000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35 087 800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1 530 000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36 682 700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1 530 000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31 898 000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357 000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1 834 135</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27 910 750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3 189 800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DÁNSKO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2,00</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1,98045</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84 169 125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5 000 000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87 139 800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6 000 000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91 100 700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6 000 000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79 218 000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1 400 000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4 555 035</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69 315 750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7 921 800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NĚMECKO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20,50</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20,57980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874 641 500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51 250 000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905 511 200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61 500 000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946 670 800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61 500 000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823 192 000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14 350 000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47 333 540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720 293 000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82 319 200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ESTONSKO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0,05</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0,08635</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3 669 875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3 799 400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150 000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3 972 100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150 000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3 454 000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35 000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198 605</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3 022 250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345 400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IRSKO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0,91</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0,94006</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39 952 550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2 275 000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41 362 640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2 730 000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43 242 760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2 730 000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37 602 400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637 000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2 162 138</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32 902 100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3 760 240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ŘECKO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1,47</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1,50735</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64 062 375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3 675 000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66 323 400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4 410 000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69 338 100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4 410 000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60 294 000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1 029 000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3 466 905</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52 757 250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6 029 400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ŠPANĚLSKO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7,85</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7,93248</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337 130 400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19 625 000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349 029 120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23 550 000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364 894 080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23 550 000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317 299 200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5 495 000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18 244 704</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277 636 800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31 729 920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FRANCIE</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19,55</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17,81269</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757 039 325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48 875 000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783 758 360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58 650 000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819 383 740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58 650 000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712 507 600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13 685 000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40 969 187</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623 444 150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71 250 760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CHORVATSKO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0,00</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0,22518</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9 570 150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9 907 920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10 358 280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9 007 200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517 914</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7 881 300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900 720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ITÁLIE</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12,86</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12,53009</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532 528 825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32 150 000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551 323 960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38 580 000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576 384 140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38 580 000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501 203 600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9 002 000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28 819 207</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438 553 150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50 120 360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KYPR</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0,09</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0,11162</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4 743 850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225 000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4 911 280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270 000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5 134 520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270 000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4 464 800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63 000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256 726</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3 906 700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446 480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LOTYŠSKO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0,07</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0,11612</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4 935 100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175 000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5 109 280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5 341 520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4 644 800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49 000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267 076</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4 064 200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464 480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LITVA</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0,12</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0,18077</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7 682 725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300 000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7 953 880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360 000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8 315 420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360 000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7 230 800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84 000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415 771</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6 326 950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723 080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LUCEMBURSKO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0,27</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0,25509</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10 841 325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675 000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11 223 960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810 000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11 734 140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810 000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10 203 600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189 000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586 707</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8 928 150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1 020 360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MAĎARSKO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0,55</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0,61456</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26 118 800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1 375 000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27 040 640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1 650 000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28 269 760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1 650 000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24 582 400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385 000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1 413 488</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21 509 600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2 458 240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MALTA</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0,03</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0,03801</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1 615 425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1 672 440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1 748 460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1 520 400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87 423</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1 330 350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152 040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NIZOZEMSKO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4,85</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4,77678</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203 013 150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12 125 000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210 178 320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14 550 000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219 731 880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14 550 000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191 071 200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3 395 000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10 986 594</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167 187 300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19 107 120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RAKOUSKO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2,41</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2,39757</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101 896 725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6 025 000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105 493 080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7 230 000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110 288 220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7 230 000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95 902 800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1 687 000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5 514 411</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83 914 950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9 590 280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POLSKO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1,30</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2,00734</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85 311 950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3 250 000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88 322 960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3 900 000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92 337 640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3 900 000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80 293 600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910 000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4 616 882</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70 256 900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8 029 360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PORTUGALSKO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1,15</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1,19679</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50 863 575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2 875 000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52 658 760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3 450 000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55 052 340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3 450 000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47 871 600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805 000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2 752 617</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41 887 650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4 787 160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RUMUNSKO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0,37</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0,71815</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30 521 375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925 000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31 598 600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1 110 000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33 034 900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1 110 000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28 726 000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259 000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1 651 745</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25 135 250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2 872 600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SLOVINSKO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0,18</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0,22452</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9 542 100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450 000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9 878 880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540 000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10 327 920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540 000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8 980 800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126 000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516 396</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7 858 200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898 080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SLOVENSKO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0,21</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0,37616</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15 986 800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525 000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16 551 040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630 000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17 303 360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630 000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15 046 400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147 000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865 168</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13 165 600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1 504 640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FINSKO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1,47</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1,50909</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64 136 325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3 675 000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66 399 960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4 410 000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69 418 140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4 410 000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60 363 600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1 029 000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3 470 907</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52 818 150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6 036 360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ŠVÉDSKO</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2,74</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2,93911</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124 912 175</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6 850 000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129 320 840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8 220 000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135 199 060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8 220 000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117 564 400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1 918 000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6 759 953</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102 868 850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11 756 440</w:t>
            </w:r>
          </w:p>
        </w:tc>
      </w:tr>
      <w:tr>
        <w:trPr>
          <w:trHeight w:val="240"/>
        </w:trPr>
        <w:tc>
          <w:tcPr>
            <w:tcW w:w="633" w:type="pct"/>
            <w:tcBorders>
              <w:top w:val="nil"/>
              <w:left w:val="single" w:sz="8" w:space="0" w:color="auto"/>
              <w:bottom w:val="nil"/>
              <w:right w:val="single" w:sz="8" w:space="0" w:color="auto"/>
            </w:tcBorders>
            <w:shd w:val="clear" w:color="000000" w:fill="FFFFFF"/>
            <w:noWrap/>
            <w:vAlign w:val="center"/>
            <w:hideMark/>
          </w:tcPr>
          <w:p>
            <w:pPr>
              <w:spacing w:after="0" w:line="240" w:lineRule="auto"/>
              <w:ind w:firstLineChars="100" w:firstLine="140"/>
              <w:rPr>
                <w:rFonts w:ascii="Times New Roman" w:eastAsia="Times New Roman" w:hAnsi="Times New Roman" w:cs="Times New Roman"/>
                <w:noProof/>
                <w:sz w:val="14"/>
                <w:szCs w:val="14"/>
              </w:rPr>
            </w:pPr>
            <w:r>
              <w:rPr>
                <w:rFonts w:ascii="Times New Roman" w:hAnsi="Times New Roman"/>
                <w:noProof/>
                <w:sz w:val="14"/>
              </w:rPr>
              <w:t>SPOJENÉ KRÁLOVSTVÍ</w:t>
            </w:r>
          </w:p>
        </w:tc>
        <w:tc>
          <w:tcPr>
            <w:tcW w:w="197"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14,82</w:t>
            </w:r>
          </w:p>
        </w:tc>
        <w:tc>
          <w:tcPr>
            <w:tcW w:w="228" w:type="pct"/>
            <w:tcBorders>
              <w:top w:val="nil"/>
              <w:left w:val="nil"/>
              <w:bottom w:val="nil"/>
              <w:right w:val="single" w:sz="8" w:space="0" w:color="auto"/>
            </w:tcBorders>
            <w:shd w:val="clear" w:color="000000" w:fill="BFBFBF"/>
            <w:noWrap/>
            <w:vAlign w:val="bottom"/>
            <w:hideMark/>
          </w:tcPr>
          <w:p>
            <w:pPr>
              <w:spacing w:after="0" w:line="240" w:lineRule="auto"/>
              <w:jc w:val="center"/>
              <w:rPr>
                <w:rFonts w:ascii="Times New Roman" w:eastAsia="Times New Roman" w:hAnsi="Times New Roman" w:cs="Times New Roman"/>
                <w:noProof/>
                <w:sz w:val="14"/>
                <w:szCs w:val="14"/>
              </w:rPr>
            </w:pPr>
            <w:r>
              <w:rPr>
                <w:rFonts w:ascii="Times New Roman" w:hAnsi="Times New Roman"/>
                <w:noProof/>
                <w:sz w:val="14"/>
              </w:rPr>
              <w:t>14,67862</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623 841 350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37 050 000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645 859 280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44 460 000</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675 216 520</w:t>
            </w:r>
          </w:p>
        </w:tc>
        <w:tc>
          <w:tcPr>
            <w:tcW w:w="377" w:type="pct"/>
            <w:tcBorders>
              <w:top w:val="nil"/>
              <w:left w:val="nil"/>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44 460 000</w:t>
            </w:r>
          </w:p>
        </w:tc>
        <w:tc>
          <w:tcPr>
            <w:tcW w:w="335" w:type="pct"/>
            <w:tcBorders>
              <w:top w:val="nil"/>
              <w:left w:val="single" w:sz="8" w:space="0" w:color="auto"/>
              <w:bottom w:val="nil"/>
              <w:right w:val="nil"/>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587 144 800</w:t>
            </w:r>
          </w:p>
        </w:tc>
        <w:tc>
          <w:tcPr>
            <w:tcW w:w="363" w:type="pct"/>
            <w:tcBorders>
              <w:top w:val="nil"/>
              <w:left w:val="single" w:sz="4" w:space="0" w:color="auto"/>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10 374 000</w:t>
            </w:r>
          </w:p>
        </w:tc>
        <w:tc>
          <w:tcPr>
            <w:tcW w:w="371"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33 760 826</w:t>
            </w:r>
          </w:p>
        </w:tc>
        <w:tc>
          <w:tcPr>
            <w:tcW w:w="341" w:type="pct"/>
            <w:tcBorders>
              <w:top w:val="nil"/>
              <w:left w:val="nil"/>
              <w:bottom w:val="nil"/>
              <w:right w:val="single" w:sz="4"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513 751 700</w:t>
            </w:r>
          </w:p>
        </w:tc>
        <w:tc>
          <w:tcPr>
            <w:tcW w:w="377" w:type="pct"/>
            <w:tcBorders>
              <w:top w:val="nil"/>
              <w:left w:val="nil"/>
              <w:bottom w:val="nil"/>
              <w:right w:val="single" w:sz="8" w:space="0" w:color="auto"/>
            </w:tcBorders>
            <w:shd w:val="clear" w:color="000000" w:fill="FFFFFF"/>
            <w:noWrap/>
            <w:vAlign w:val="bottom"/>
            <w:hideMark/>
          </w:tcPr>
          <w:p>
            <w:pPr>
              <w:spacing w:after="0" w:line="240" w:lineRule="auto"/>
              <w:jc w:val="right"/>
              <w:rPr>
                <w:rFonts w:ascii="Times New Roman" w:eastAsia="Times New Roman" w:hAnsi="Times New Roman" w:cs="Times New Roman"/>
                <w:noProof/>
                <w:sz w:val="14"/>
                <w:szCs w:val="14"/>
              </w:rPr>
            </w:pPr>
            <w:r>
              <w:rPr>
                <w:rFonts w:ascii="Times New Roman" w:hAnsi="Times New Roman"/>
                <w:noProof/>
                <w:sz w:val="14"/>
              </w:rPr>
              <w:t>58 714 480</w:t>
            </w:r>
          </w:p>
        </w:tc>
      </w:tr>
      <w:tr>
        <w:trPr>
          <w:trHeight w:val="252"/>
        </w:trPr>
        <w:tc>
          <w:tcPr>
            <w:tcW w:w="633" w:type="pct"/>
            <w:tcBorders>
              <w:top w:val="single" w:sz="8" w:space="0" w:color="auto"/>
              <w:left w:val="single" w:sz="8" w:space="0" w:color="auto"/>
              <w:bottom w:val="single" w:sz="8" w:space="0" w:color="auto"/>
              <w:right w:val="single" w:sz="8" w:space="0" w:color="auto"/>
            </w:tcBorders>
            <w:shd w:val="clear" w:color="000000" w:fill="A6A6A6"/>
            <w:noWrap/>
            <w:vAlign w:val="center"/>
            <w:hideMark/>
          </w:tcPr>
          <w:p>
            <w:pPr>
              <w:spacing w:after="0" w:line="240" w:lineRule="auto"/>
              <w:rPr>
                <w:rFonts w:ascii="Times New Roman" w:eastAsia="Times New Roman" w:hAnsi="Times New Roman" w:cs="Times New Roman"/>
                <w:b/>
                <w:bCs/>
                <w:noProof/>
                <w:sz w:val="16"/>
                <w:szCs w:val="16"/>
              </w:rPr>
            </w:pPr>
            <w:r>
              <w:rPr>
                <w:rFonts w:ascii="Times New Roman" w:hAnsi="Times New Roman"/>
                <w:b/>
                <w:noProof/>
                <w:sz w:val="16"/>
              </w:rPr>
              <w:t>EU-28 CELKEM</w:t>
            </w:r>
          </w:p>
        </w:tc>
        <w:tc>
          <w:tcPr>
            <w:tcW w:w="197" w:type="pct"/>
            <w:tcBorders>
              <w:top w:val="single" w:sz="8" w:space="0" w:color="auto"/>
              <w:left w:val="nil"/>
              <w:bottom w:val="single" w:sz="8" w:space="0" w:color="auto"/>
              <w:right w:val="single" w:sz="8" w:space="0" w:color="auto"/>
            </w:tcBorders>
            <w:shd w:val="clear" w:color="000000" w:fill="A6A6A6"/>
            <w:noWrap/>
            <w:vAlign w:val="center"/>
            <w:hideMark/>
          </w:tcPr>
          <w:p>
            <w:pPr>
              <w:spacing w:after="0" w:line="240" w:lineRule="auto"/>
              <w:jc w:val="center"/>
              <w:rPr>
                <w:rFonts w:ascii="Times New Roman" w:eastAsia="Times New Roman" w:hAnsi="Times New Roman" w:cs="Times New Roman"/>
                <w:b/>
                <w:bCs/>
                <w:noProof/>
                <w:sz w:val="14"/>
                <w:szCs w:val="14"/>
              </w:rPr>
            </w:pPr>
            <w:r>
              <w:rPr>
                <w:rFonts w:ascii="Times New Roman" w:hAnsi="Times New Roman"/>
                <w:b/>
                <w:noProof/>
                <w:sz w:val="14"/>
              </w:rPr>
              <w:t>100,00</w:t>
            </w:r>
          </w:p>
        </w:tc>
        <w:tc>
          <w:tcPr>
            <w:tcW w:w="228" w:type="pct"/>
            <w:tcBorders>
              <w:top w:val="single" w:sz="8" w:space="0" w:color="auto"/>
              <w:left w:val="nil"/>
              <w:bottom w:val="single" w:sz="8" w:space="0" w:color="auto"/>
              <w:right w:val="single" w:sz="8" w:space="0" w:color="auto"/>
            </w:tcBorders>
            <w:shd w:val="clear" w:color="000000" w:fill="A6A6A6"/>
            <w:noWrap/>
            <w:vAlign w:val="center"/>
            <w:hideMark/>
          </w:tcPr>
          <w:p>
            <w:pPr>
              <w:spacing w:after="0" w:line="240" w:lineRule="auto"/>
              <w:jc w:val="center"/>
              <w:rPr>
                <w:rFonts w:ascii="Times New Roman" w:eastAsia="Times New Roman" w:hAnsi="Times New Roman" w:cs="Times New Roman"/>
                <w:b/>
                <w:bCs/>
                <w:noProof/>
                <w:sz w:val="14"/>
                <w:szCs w:val="14"/>
              </w:rPr>
            </w:pPr>
            <w:r>
              <w:rPr>
                <w:rFonts w:ascii="Times New Roman" w:hAnsi="Times New Roman"/>
                <w:b/>
                <w:noProof/>
                <w:sz w:val="14"/>
              </w:rPr>
              <w:t>100,00</w:t>
            </w:r>
          </w:p>
        </w:tc>
        <w:tc>
          <w:tcPr>
            <w:tcW w:w="341" w:type="pct"/>
            <w:tcBorders>
              <w:top w:val="single" w:sz="8" w:space="0" w:color="auto"/>
              <w:left w:val="nil"/>
              <w:bottom w:val="single" w:sz="8" w:space="0" w:color="auto"/>
              <w:right w:val="single" w:sz="4" w:space="0" w:color="auto"/>
            </w:tcBorders>
            <w:shd w:val="clear" w:color="000000" w:fill="A6A6A6"/>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4 250 000 000</w:t>
            </w:r>
          </w:p>
        </w:tc>
        <w:tc>
          <w:tcPr>
            <w:tcW w:w="377" w:type="pct"/>
            <w:tcBorders>
              <w:top w:val="single" w:sz="8" w:space="0" w:color="auto"/>
              <w:left w:val="nil"/>
              <w:bottom w:val="single" w:sz="8" w:space="0" w:color="auto"/>
              <w:right w:val="single" w:sz="8" w:space="0" w:color="auto"/>
            </w:tcBorders>
            <w:shd w:val="clear" w:color="000000" w:fill="A6A6A6"/>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250 000 000</w:t>
            </w:r>
          </w:p>
        </w:tc>
        <w:tc>
          <w:tcPr>
            <w:tcW w:w="341" w:type="pct"/>
            <w:tcBorders>
              <w:top w:val="single" w:sz="8" w:space="0" w:color="auto"/>
              <w:left w:val="nil"/>
              <w:bottom w:val="single" w:sz="8" w:space="0" w:color="auto"/>
              <w:right w:val="single" w:sz="4" w:space="0" w:color="auto"/>
            </w:tcBorders>
            <w:shd w:val="clear" w:color="000000" w:fill="A6A6A6"/>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4 400 000 000</w:t>
            </w:r>
          </w:p>
        </w:tc>
        <w:tc>
          <w:tcPr>
            <w:tcW w:w="377" w:type="pct"/>
            <w:tcBorders>
              <w:top w:val="single" w:sz="8" w:space="0" w:color="auto"/>
              <w:left w:val="nil"/>
              <w:bottom w:val="single" w:sz="8" w:space="0" w:color="auto"/>
              <w:right w:val="single" w:sz="8" w:space="0" w:color="auto"/>
            </w:tcBorders>
            <w:shd w:val="clear" w:color="000000" w:fill="A6A6A6"/>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300 000 000</w:t>
            </w:r>
          </w:p>
        </w:tc>
        <w:tc>
          <w:tcPr>
            <w:tcW w:w="341" w:type="pct"/>
            <w:tcBorders>
              <w:top w:val="single" w:sz="8" w:space="0" w:color="auto"/>
              <w:left w:val="nil"/>
              <w:bottom w:val="single" w:sz="8" w:space="0" w:color="auto"/>
              <w:right w:val="single" w:sz="4" w:space="0" w:color="auto"/>
            </w:tcBorders>
            <w:shd w:val="clear" w:color="000000" w:fill="A6A6A6"/>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4 600 000 000</w:t>
            </w:r>
          </w:p>
        </w:tc>
        <w:tc>
          <w:tcPr>
            <w:tcW w:w="377" w:type="pct"/>
            <w:tcBorders>
              <w:top w:val="single" w:sz="8" w:space="0" w:color="auto"/>
              <w:left w:val="nil"/>
              <w:bottom w:val="single" w:sz="8" w:space="0" w:color="auto"/>
              <w:right w:val="nil"/>
            </w:tcBorders>
            <w:shd w:val="clear" w:color="000000" w:fill="A6A6A6"/>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300 000 000</w:t>
            </w:r>
          </w:p>
        </w:tc>
        <w:tc>
          <w:tcPr>
            <w:tcW w:w="335" w:type="pct"/>
            <w:tcBorders>
              <w:top w:val="single" w:sz="8" w:space="0" w:color="auto"/>
              <w:left w:val="single" w:sz="8" w:space="0" w:color="auto"/>
              <w:bottom w:val="single" w:sz="8" w:space="0" w:color="auto"/>
              <w:right w:val="nil"/>
            </w:tcBorders>
            <w:shd w:val="clear" w:color="000000" w:fill="A6A6A6"/>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4 000 000 000</w:t>
            </w:r>
          </w:p>
        </w:tc>
        <w:tc>
          <w:tcPr>
            <w:tcW w:w="363" w:type="pct"/>
            <w:tcBorders>
              <w:top w:val="single" w:sz="8" w:space="0" w:color="auto"/>
              <w:left w:val="single" w:sz="4" w:space="0" w:color="auto"/>
              <w:bottom w:val="single" w:sz="8" w:space="0" w:color="auto"/>
              <w:right w:val="single" w:sz="4" w:space="0" w:color="auto"/>
            </w:tcBorders>
            <w:shd w:val="clear" w:color="000000" w:fill="A6A6A6"/>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70 000 000</w:t>
            </w:r>
          </w:p>
        </w:tc>
        <w:tc>
          <w:tcPr>
            <w:tcW w:w="371" w:type="pct"/>
            <w:tcBorders>
              <w:top w:val="single" w:sz="8" w:space="0" w:color="auto"/>
              <w:left w:val="nil"/>
              <w:bottom w:val="single" w:sz="8" w:space="0" w:color="auto"/>
              <w:right w:val="single" w:sz="8" w:space="0" w:color="auto"/>
            </w:tcBorders>
            <w:shd w:val="clear" w:color="000000" w:fill="A6A6A6"/>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230 000 000</w:t>
            </w:r>
          </w:p>
        </w:tc>
        <w:tc>
          <w:tcPr>
            <w:tcW w:w="341" w:type="pct"/>
            <w:tcBorders>
              <w:top w:val="single" w:sz="8" w:space="0" w:color="auto"/>
              <w:left w:val="nil"/>
              <w:bottom w:val="single" w:sz="8" w:space="0" w:color="auto"/>
              <w:right w:val="single" w:sz="4" w:space="0" w:color="auto"/>
            </w:tcBorders>
            <w:shd w:val="clear" w:color="000000" w:fill="A6A6A6"/>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3 500 000 000</w:t>
            </w:r>
          </w:p>
        </w:tc>
        <w:tc>
          <w:tcPr>
            <w:tcW w:w="377" w:type="pct"/>
            <w:tcBorders>
              <w:top w:val="single" w:sz="8" w:space="0" w:color="auto"/>
              <w:left w:val="nil"/>
              <w:bottom w:val="single" w:sz="8" w:space="0" w:color="auto"/>
              <w:right w:val="single" w:sz="8" w:space="0" w:color="auto"/>
            </w:tcBorders>
            <w:shd w:val="clear" w:color="000000" w:fill="A6A6A6"/>
            <w:noWrap/>
            <w:vAlign w:val="center"/>
            <w:hideMark/>
          </w:tcPr>
          <w:p>
            <w:pPr>
              <w:spacing w:after="0" w:line="240" w:lineRule="auto"/>
              <w:jc w:val="right"/>
              <w:rPr>
                <w:rFonts w:ascii="Times New Roman" w:eastAsia="Times New Roman" w:hAnsi="Times New Roman" w:cs="Times New Roman"/>
                <w:b/>
                <w:bCs/>
                <w:noProof/>
                <w:sz w:val="14"/>
                <w:szCs w:val="14"/>
              </w:rPr>
            </w:pPr>
            <w:r>
              <w:rPr>
                <w:rFonts w:ascii="Times New Roman" w:hAnsi="Times New Roman"/>
                <w:b/>
                <w:noProof/>
                <w:sz w:val="14"/>
              </w:rPr>
              <w:t>400 000 000</w:t>
            </w:r>
          </w:p>
        </w:tc>
      </w:tr>
      <w:tr>
        <w:trPr>
          <w:trHeight w:val="252"/>
        </w:trPr>
        <w:tc>
          <w:tcPr>
            <w:tcW w:w="633" w:type="pct"/>
            <w:tcBorders>
              <w:top w:val="nil"/>
              <w:left w:val="nil"/>
              <w:bottom w:val="nil"/>
              <w:right w:val="nil"/>
            </w:tcBorders>
            <w:shd w:val="clear" w:color="000000" w:fill="FFFFFF"/>
            <w:noWrap/>
            <w:vAlign w:val="center"/>
            <w:hideMark/>
          </w:tcPr>
          <w:p>
            <w:pPr>
              <w:spacing w:after="0" w:line="240" w:lineRule="auto"/>
              <w:rPr>
                <w:rFonts w:ascii="Times New Roman" w:eastAsia="Times New Roman" w:hAnsi="Times New Roman" w:cs="Times New Roman"/>
                <w:b/>
                <w:bCs/>
                <w:noProof/>
                <w:sz w:val="16"/>
                <w:szCs w:val="16"/>
              </w:rPr>
            </w:pPr>
            <w:r>
              <w:rPr>
                <w:rFonts w:ascii="Times New Roman" w:hAnsi="Times New Roman"/>
                <w:b/>
                <w:noProof/>
                <w:sz w:val="16"/>
              </w:rPr>
              <w:t> </w:t>
            </w:r>
          </w:p>
        </w:tc>
        <w:tc>
          <w:tcPr>
            <w:tcW w:w="197" w:type="pct"/>
            <w:tcBorders>
              <w:top w:val="nil"/>
              <w:left w:val="nil"/>
              <w:bottom w:val="nil"/>
              <w:right w:val="nil"/>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4"/>
                <w:szCs w:val="14"/>
              </w:rPr>
            </w:pPr>
            <w:r>
              <w:rPr>
                <w:rFonts w:ascii="Times New Roman" w:hAnsi="Times New Roman"/>
                <w:b/>
                <w:noProof/>
                <w:sz w:val="14"/>
              </w:rPr>
              <w:t> </w:t>
            </w:r>
          </w:p>
        </w:tc>
        <w:tc>
          <w:tcPr>
            <w:tcW w:w="228" w:type="pct"/>
            <w:tcBorders>
              <w:top w:val="nil"/>
              <w:left w:val="nil"/>
              <w:bottom w:val="nil"/>
              <w:right w:val="nil"/>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4"/>
                <w:szCs w:val="14"/>
              </w:rPr>
            </w:pPr>
            <w:r>
              <w:rPr>
                <w:rFonts w:ascii="Times New Roman" w:hAnsi="Times New Roman"/>
                <w:b/>
                <w:noProof/>
                <w:sz w:val="14"/>
              </w:rPr>
              <w:t> </w:t>
            </w:r>
          </w:p>
        </w:tc>
        <w:tc>
          <w:tcPr>
            <w:tcW w:w="719" w:type="pct"/>
            <w:gridSpan w:val="2"/>
            <w:tcBorders>
              <w:top w:val="single" w:sz="8" w:space="0" w:color="auto"/>
              <w:left w:val="single" w:sz="8" w:space="0" w:color="auto"/>
              <w:bottom w:val="single" w:sz="8" w:space="0" w:color="auto"/>
              <w:right w:val="single" w:sz="8" w:space="0" w:color="000000"/>
            </w:tcBorders>
            <w:shd w:val="clear" w:color="000000" w:fill="A6A6A6"/>
            <w:noWrap/>
            <w:vAlign w:val="center"/>
            <w:hideMark/>
          </w:tcPr>
          <w:p>
            <w:pPr>
              <w:spacing w:after="0" w:line="240" w:lineRule="auto"/>
              <w:jc w:val="center"/>
              <w:rPr>
                <w:rFonts w:ascii="Times New Roman" w:eastAsia="Times New Roman" w:hAnsi="Times New Roman" w:cs="Times New Roman"/>
                <w:b/>
                <w:bCs/>
                <w:noProof/>
                <w:sz w:val="14"/>
                <w:szCs w:val="14"/>
              </w:rPr>
            </w:pPr>
            <w:r>
              <w:rPr>
                <w:rFonts w:ascii="Times New Roman" w:hAnsi="Times New Roman"/>
                <w:b/>
                <w:noProof/>
                <w:sz w:val="14"/>
              </w:rPr>
              <w:t>4 500 000 000</w:t>
            </w:r>
          </w:p>
        </w:tc>
        <w:tc>
          <w:tcPr>
            <w:tcW w:w="719" w:type="pct"/>
            <w:gridSpan w:val="2"/>
            <w:tcBorders>
              <w:top w:val="single" w:sz="8" w:space="0" w:color="auto"/>
              <w:left w:val="nil"/>
              <w:bottom w:val="single" w:sz="8" w:space="0" w:color="auto"/>
              <w:right w:val="single" w:sz="8" w:space="0" w:color="000000"/>
            </w:tcBorders>
            <w:shd w:val="clear" w:color="000000" w:fill="A6A6A6"/>
            <w:noWrap/>
            <w:vAlign w:val="center"/>
            <w:hideMark/>
          </w:tcPr>
          <w:p>
            <w:pPr>
              <w:spacing w:after="0" w:line="240" w:lineRule="auto"/>
              <w:jc w:val="center"/>
              <w:rPr>
                <w:rFonts w:ascii="Times New Roman" w:eastAsia="Times New Roman" w:hAnsi="Times New Roman" w:cs="Times New Roman"/>
                <w:b/>
                <w:bCs/>
                <w:noProof/>
                <w:sz w:val="14"/>
                <w:szCs w:val="14"/>
              </w:rPr>
            </w:pPr>
            <w:r>
              <w:rPr>
                <w:rFonts w:ascii="Times New Roman" w:hAnsi="Times New Roman"/>
                <w:b/>
                <w:noProof/>
                <w:sz w:val="14"/>
              </w:rPr>
              <w:t>4 700 000 000</w:t>
            </w:r>
          </w:p>
        </w:tc>
        <w:tc>
          <w:tcPr>
            <w:tcW w:w="719" w:type="pct"/>
            <w:gridSpan w:val="2"/>
            <w:tcBorders>
              <w:top w:val="single" w:sz="8" w:space="0" w:color="auto"/>
              <w:left w:val="nil"/>
              <w:bottom w:val="single" w:sz="8" w:space="0" w:color="auto"/>
              <w:right w:val="single" w:sz="8" w:space="0" w:color="000000"/>
            </w:tcBorders>
            <w:shd w:val="clear" w:color="000000" w:fill="A6A6A6"/>
            <w:noWrap/>
            <w:vAlign w:val="center"/>
            <w:hideMark/>
          </w:tcPr>
          <w:p>
            <w:pPr>
              <w:spacing w:after="0" w:line="240" w:lineRule="auto"/>
              <w:jc w:val="center"/>
              <w:rPr>
                <w:rFonts w:ascii="Times New Roman" w:eastAsia="Times New Roman" w:hAnsi="Times New Roman" w:cs="Times New Roman"/>
                <w:b/>
                <w:bCs/>
                <w:noProof/>
                <w:sz w:val="14"/>
                <w:szCs w:val="14"/>
              </w:rPr>
            </w:pPr>
            <w:r>
              <w:rPr>
                <w:rFonts w:ascii="Times New Roman" w:hAnsi="Times New Roman"/>
                <w:b/>
                <w:noProof/>
                <w:sz w:val="14"/>
              </w:rPr>
              <w:t>4 900 000 000</w:t>
            </w:r>
          </w:p>
        </w:tc>
        <w:tc>
          <w:tcPr>
            <w:tcW w:w="1069" w:type="pct"/>
            <w:gridSpan w:val="3"/>
            <w:tcBorders>
              <w:top w:val="nil"/>
              <w:left w:val="nil"/>
              <w:bottom w:val="single" w:sz="8" w:space="0" w:color="auto"/>
              <w:right w:val="single" w:sz="8" w:space="0" w:color="000000"/>
            </w:tcBorders>
            <w:shd w:val="clear" w:color="000000" w:fill="A6A6A6"/>
            <w:noWrap/>
            <w:vAlign w:val="center"/>
            <w:hideMark/>
          </w:tcPr>
          <w:p>
            <w:pPr>
              <w:spacing w:after="0" w:line="240" w:lineRule="auto"/>
              <w:jc w:val="center"/>
              <w:rPr>
                <w:rFonts w:ascii="Times New Roman" w:eastAsia="Times New Roman" w:hAnsi="Times New Roman" w:cs="Times New Roman"/>
                <w:b/>
                <w:bCs/>
                <w:noProof/>
                <w:sz w:val="14"/>
                <w:szCs w:val="14"/>
              </w:rPr>
            </w:pPr>
            <w:r>
              <w:rPr>
                <w:rFonts w:ascii="Times New Roman" w:hAnsi="Times New Roman"/>
                <w:b/>
                <w:noProof/>
                <w:sz w:val="14"/>
              </w:rPr>
              <w:t>4 300 000 000</w:t>
            </w:r>
          </w:p>
        </w:tc>
        <w:tc>
          <w:tcPr>
            <w:tcW w:w="719" w:type="pct"/>
            <w:gridSpan w:val="2"/>
            <w:tcBorders>
              <w:top w:val="single" w:sz="8" w:space="0" w:color="auto"/>
              <w:left w:val="nil"/>
              <w:bottom w:val="single" w:sz="8" w:space="0" w:color="auto"/>
              <w:right w:val="single" w:sz="8" w:space="0" w:color="000000"/>
            </w:tcBorders>
            <w:shd w:val="clear" w:color="000000" w:fill="A6A6A6"/>
            <w:noWrap/>
            <w:vAlign w:val="center"/>
            <w:hideMark/>
          </w:tcPr>
          <w:p>
            <w:pPr>
              <w:spacing w:after="0" w:line="240" w:lineRule="auto"/>
              <w:jc w:val="center"/>
              <w:rPr>
                <w:rFonts w:ascii="Times New Roman" w:eastAsia="Times New Roman" w:hAnsi="Times New Roman" w:cs="Times New Roman"/>
                <w:b/>
                <w:bCs/>
                <w:noProof/>
                <w:sz w:val="14"/>
                <w:szCs w:val="14"/>
              </w:rPr>
            </w:pPr>
            <w:r>
              <w:rPr>
                <w:rFonts w:ascii="Times New Roman" w:hAnsi="Times New Roman"/>
                <w:b/>
                <w:noProof/>
                <w:sz w:val="14"/>
              </w:rPr>
              <w:t>3 900 000 000</w:t>
            </w:r>
          </w:p>
        </w:tc>
      </w:tr>
    </w:tbl>
    <w:p>
      <w:pPr>
        <w:rPr>
          <w:noProof/>
        </w:rPr>
      </w:pPr>
    </w:p>
    <w:sectPr>
      <w:headerReference w:type="even" r:id="rId41"/>
      <w:headerReference w:type="default" r:id="rId42"/>
      <w:footerReference w:type="even" r:id="rId43"/>
      <w:footerReference w:type="default" r:id="rId44"/>
      <w:headerReference w:type="first" r:id="rId45"/>
      <w:footerReference w:type="first" r:id="rId46"/>
      <w:pgSz w:w="16838" w:h="11906" w:orient="landscape"/>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6532415"/>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6585"/>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627888"/>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CS</w:t>
    </w:r>
    <w:r>
      <w:rPr>
        <w:rFonts w:ascii="Arial" w:hAnsi="Arial" w:cs="Arial"/>
        <w:b/>
        <w:sz w:val="48"/>
      </w:rPr>
      <w:tab/>
    </w:r>
    <w:r>
      <w:rPr>
        <w:rFonts w:ascii="Arial" w:hAnsi="Arial" w:cs="Arial"/>
        <w:b/>
        <w:sz w:val="48"/>
      </w:rPr>
      <w:tab/>
    </w:r>
    <w:r>
      <w:tab/>
    </w:r>
    <w:r>
      <w:rPr>
        <w:rFonts w:ascii="Arial" w:hAnsi="Arial" w:cs="Arial"/>
        <w:b/>
        <w:sz w:val="48"/>
      </w:rPr>
      <w:t>CS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763311"/>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pPr>
      <w:pStyle w:val="FooterCoverPage"/>
      <w:rPr>
        <w:rFonts w:ascii="Arial" w:hAnsi="Arial" w:cs="Arial"/>
        <w:b/>
        <w:sz w:val="4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727910"/>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pPr>
      <w:r>
        <w:rPr>
          <w:rStyle w:val="FootnoteReference"/>
        </w:rPr>
        <w:footnoteRef/>
      </w:r>
      <w:r>
        <w:tab/>
        <w:t>Vnitřní dohoda mezi zástupci vlád členských států Evropské unie zasedajícími v Radě o financování pomoci Evropské unie v rámci víceletého finančního rámce na období 2014–2020 podle dohody o partnerství AKT-EU a o přidělení finanční pomoci zámořským zemím a územím, na které se vztahuje čtvrtá část Smlouvy o fungování Evropské unie (Úř. věst. L 210, 6.8.2013, s. 1).</w:t>
      </w:r>
    </w:p>
  </w:footnote>
  <w:footnote w:id="2">
    <w:p>
      <w:pPr>
        <w:pStyle w:val="FootnoteText"/>
      </w:pPr>
      <w:r>
        <w:rPr>
          <w:rStyle w:val="FootnoteReference"/>
        </w:rPr>
        <w:footnoteRef/>
      </w:r>
      <w:r>
        <w:tab/>
        <w:t>Nařízení Rady (EU) 2015/323 ze dne 2. března 2015 o finančním nařízení pro 11. Evropský rozvojový fond (Úř. věst. L 58, 3.3.2015, s. 17).</w:t>
      </w:r>
    </w:p>
  </w:footnote>
  <w:footnote w:id="3">
    <w:p>
      <w:pPr>
        <w:pStyle w:val="FootnoteText"/>
      </w:pPr>
      <w:r>
        <w:rPr>
          <w:rStyle w:val="FootnoteReference"/>
        </w:rPr>
        <w:footnoteRef/>
      </w:r>
      <w:r>
        <w:tab/>
        <w:t>Africké, karibské a tichomořské státy.</w:t>
      </w:r>
    </w:p>
  </w:footnote>
  <w:footnote w:id="4">
    <w:p>
      <w:pPr>
        <w:pStyle w:val="FootnoteText"/>
      </w:pPr>
      <w:r>
        <w:rPr>
          <w:rStyle w:val="FootnoteReference"/>
        </w:rPr>
        <w:footnoteRef/>
      </w:r>
      <w:r>
        <w:tab/>
        <w:t>Zámořské země a území.</w:t>
      </w:r>
    </w:p>
  </w:footnote>
  <w:footnote w:id="5">
    <w:p>
      <w:pPr>
        <w:pStyle w:val="FootnoteText"/>
      </w:pPr>
      <w:r>
        <w:rPr>
          <w:rStyle w:val="FootnoteReference"/>
        </w:rPr>
        <w:footnoteRef/>
      </w:r>
      <w:r>
        <w:tab/>
        <w:t>Úř. věst. L 210, 6.8.2013.</w:t>
      </w:r>
    </w:p>
  </w:footnote>
  <w:footnote w:id="6">
    <w:p>
      <w:pPr>
        <w:pStyle w:val="FootnoteText"/>
      </w:pPr>
      <w:r>
        <w:rPr>
          <w:rStyle w:val="FootnoteReference"/>
        </w:rPr>
        <w:footnoteRef/>
      </w:r>
      <w:r>
        <w:tab/>
        <w:t>Úř. věst. L 58, 3.3.2015.</w:t>
      </w:r>
    </w:p>
  </w:footnote>
  <w:footnote w:id="7">
    <w:p>
      <w:pPr>
        <w:pStyle w:val="FootnoteText"/>
      </w:pPr>
      <w:r>
        <w:rPr>
          <w:rStyle w:val="FootnoteReference"/>
        </w:rPr>
        <w:footnoteRef/>
      </w:r>
      <w:r>
        <w:tab/>
        <w:t>C(2018) 4437 final, 6.7.2018. Rozhodnutí Komise o zvláštním opatření pro příspěvek do Nouzového svěřenského fondu EU pro stabilitu a řešení hlavních příčin nelegální migrace a vysídlených osob v Africe, které má být financováno z 11. Evropského rozvojového fondu.</w:t>
      </w:r>
    </w:p>
  </w:footnote>
  <w:footnote w:id="8">
    <w:p>
      <w:pPr>
        <w:pStyle w:val="FootnoteText"/>
      </w:pPr>
      <w:r>
        <w:rPr>
          <w:rStyle w:val="FootnoteReference"/>
        </w:rPr>
        <w:footnoteRef/>
      </w:r>
      <w:r>
        <w:tab/>
        <w:t>Hrubé závazky, tj. bez odpočtu zrušených závazků.</w:t>
      </w:r>
    </w:p>
  </w:footnote>
  <w:footnote w:id="9">
    <w:p>
      <w:pPr>
        <w:pStyle w:val="FootnoteText"/>
      </w:pPr>
      <w:r>
        <w:rPr>
          <w:rStyle w:val="FootnoteReference"/>
        </w:rPr>
        <w:footnoteRef/>
      </w:r>
      <w:r>
        <w:tab/>
        <w:t>Hrubé platby, tedy před odpočtem zpětně získaných částek.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A022DFC4"/>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BA0623B4"/>
    <w:lvl w:ilvl="0">
      <w:start w:val="1"/>
      <w:numFmt w:val="decimal"/>
      <w:pStyle w:val="ListNumber3"/>
      <w:lvlText w:val="%1."/>
      <w:lvlJc w:val="left"/>
      <w:pPr>
        <w:tabs>
          <w:tab w:val="num" w:pos="926"/>
        </w:tabs>
        <w:ind w:left="926" w:hanging="360"/>
      </w:pPr>
    </w:lvl>
  </w:abstractNum>
  <w:abstractNum w:abstractNumId="2">
    <w:nsid w:val="FFFFFF7F"/>
    <w:multiLevelType w:val="singleLevel"/>
    <w:tmpl w:val="268AEF7A"/>
    <w:lvl w:ilvl="0">
      <w:start w:val="1"/>
      <w:numFmt w:val="decimal"/>
      <w:pStyle w:val="ListNumber2"/>
      <w:lvlText w:val="%1."/>
      <w:lvlJc w:val="left"/>
      <w:pPr>
        <w:tabs>
          <w:tab w:val="num" w:pos="643"/>
        </w:tabs>
        <w:ind w:left="643" w:hanging="360"/>
      </w:pPr>
    </w:lvl>
  </w:abstractNum>
  <w:abstractNum w:abstractNumId="3">
    <w:nsid w:val="FFFFFF81"/>
    <w:multiLevelType w:val="singleLevel"/>
    <w:tmpl w:val="EE18D268"/>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45509B9C"/>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C2803CB8"/>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866AF1CC"/>
    <w:lvl w:ilvl="0">
      <w:start w:val="1"/>
      <w:numFmt w:val="decimal"/>
      <w:pStyle w:val="ListNumber"/>
      <w:lvlText w:val="%1."/>
      <w:lvlJc w:val="left"/>
      <w:pPr>
        <w:tabs>
          <w:tab w:val="num" w:pos="360"/>
        </w:tabs>
        <w:ind w:left="360" w:hanging="360"/>
      </w:pPr>
    </w:lvl>
  </w:abstractNum>
  <w:abstractNum w:abstractNumId="7">
    <w:nsid w:val="FFFFFF89"/>
    <w:multiLevelType w:val="singleLevel"/>
    <w:tmpl w:val="46743C36"/>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19">
    <w:nsid w:val="64A12FA4"/>
    <w:multiLevelType w:val="multilevel"/>
    <w:tmpl w:val="0D861DF2"/>
    <w:name w:val="Heading"/>
    <w:lvl w:ilvl="0">
      <w:start w:val="1"/>
      <w:numFmt w:val="decimal"/>
      <w:pStyle w:val="Heading1"/>
      <w:lvlText w:val="%1."/>
      <w:lvlJc w:val="left"/>
      <w:pPr>
        <w:tabs>
          <w:tab w:val="num" w:pos="850"/>
        </w:tabs>
        <w:ind w:left="850" w:hanging="850"/>
      </w:pPr>
      <w:rPr>
        <w:rFonts w:hint="default"/>
      </w:rPr>
    </w:lvl>
    <w:lvl w:ilvl="1">
      <w:start w:val="1"/>
      <w:numFmt w:val="decimal"/>
      <w:pStyle w:val="Heading2"/>
      <w:lvlText w:val="%1.%2"/>
      <w:lvlJc w:val="left"/>
      <w:pPr>
        <w:tabs>
          <w:tab w:val="num" w:pos="850"/>
        </w:tabs>
        <w:ind w:left="850" w:hanging="850"/>
      </w:pPr>
      <w:rPr>
        <w:rFonts w:hint="default"/>
      </w:rPr>
    </w:lvl>
    <w:lvl w:ilvl="2">
      <w:start w:val="1"/>
      <w:numFmt w:val="decimal"/>
      <w:pStyle w:val="Heading3"/>
      <w:lvlText w:val="%1.%2.%3."/>
      <w:lvlJc w:val="left"/>
      <w:pPr>
        <w:tabs>
          <w:tab w:val="num" w:pos="850"/>
        </w:tabs>
        <w:ind w:left="850" w:hanging="850"/>
      </w:pPr>
      <w:rPr>
        <w:rFonts w:hint="default"/>
      </w:rPr>
    </w:lvl>
    <w:lvl w:ilvl="3">
      <w:start w:val="1"/>
      <w:numFmt w:val="decimal"/>
      <w:pStyle w:val="Heading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19"/>
  </w:num>
  <w:num w:numId="2">
    <w:abstractNumId w:val="7"/>
  </w:num>
  <w:num w:numId="3">
    <w:abstractNumId w:val="6"/>
    <w:lvlOverride w:ilvl="0">
      <w:startOverride w:val="1"/>
    </w:lvlOverride>
  </w:num>
  <w:num w:numId="4">
    <w:abstractNumId w:val="5"/>
  </w:num>
  <w:num w:numId="5">
    <w:abstractNumId w:val="4"/>
  </w:num>
  <w:num w:numId="6">
    <w:abstractNumId w:val="3"/>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num>
  <w:num w:numId="11">
    <w:abstractNumId w:val="12"/>
  </w:num>
  <w:num w:numId="12">
    <w:abstractNumId w:val="20"/>
  </w:num>
  <w:num w:numId="13">
    <w:abstractNumId w:val="11"/>
  </w:num>
  <w:num w:numId="14">
    <w:abstractNumId w:val="13"/>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6"/>
  </w:num>
  <w:num w:numId="19">
    <w:abstractNumId w:val="17"/>
  </w:num>
  <w:num w:numId="20">
    <w:abstractNumId w:val="10"/>
  </w:num>
  <w:num w:numId="21">
    <w:abstractNumId w:val="15"/>
  </w:num>
  <w:num w:numId="22">
    <w:abstractNumId w:val="21"/>
    <w:lvlOverride w:ilvl="0">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BA4FA83E-AB26-4789-93C6-B310E36FC45B"/>
    <w:docVar w:name="LW_COVERPAGE_TYPE" w:val="1"/>
    <w:docVar w:name="LW_CROSSREFERENCE" w:val="&lt;UNUSED&gt;"/>
    <w:docVar w:name="LW_DocType" w:val="NORMAL"/>
    <w:docVar w:name="LW_EMISSION" w:val="16.10.2018"/>
    <w:docVar w:name="LW_EMISSION_ISODATE" w:val="2018-10-16"/>
    <w:docVar w:name="LW_EMISSION_LOCATION" w:val="BRX"/>
    <w:docVar w:name="LW_EMISSION_PREFIX" w:val="V Bruselu dne "/>
    <w:docVar w:name="LW_EMISSION_SUFFIX" w:val=" "/>
    <w:docVar w:name="LW_ID_DOCTYPE_NONLW" w:val="CP-010"/>
    <w:docVar w:name="LW_LANGUE" w:val="CS"/>
    <w:docVar w:name="LW_LEVEL_OF_SENSITIVITY" w:val="Standard treatment"/>
    <w:docVar w:name="LW_NOM.INST" w:val="EVROPSKÁ KOMISE"/>
    <w:docVar w:name="LW_NOM.INST_JOINTDOC" w:val="&lt;EMPTY&gt;"/>
    <w:docVar w:name="LW_PART_NBR" w:val="1"/>
    <w:docVar w:name="LW_PART_NBR_TOTAL" w:val="1"/>
    <w:docVar w:name="LW_REF.INST.NEW" w:val="COM"/>
    <w:docVar w:name="LW_REF.INST.NEW_ADOPTED" w:val="final"/>
    <w:docVar w:name="LW_REF.INST.NEW_TEXT" w:val="(2018) 68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Evropský rozvojový fond (EDF): prognózy závazk\u367?, plateb a p\u345?ísp\u283?vk\u367? \u269?lenských stát\u367? na období let 2018, 2019, 2020 a nezávazné prognózy na roky 2020&lt;FMT:Font=Arial&gt;\u8211?&lt;/FMT&gt;2021_x000d__x000b_"/>
    <w:docVar w:name="LW_TYPE.DOC.CP" w:val="SD\u282?LENÍ KOMISE RAD\u282?"/>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cs-CZ" w:bidi="cs-CZ"/>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able of figures"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Text1"/>
    <w:link w:val="Heading1Char"/>
    <w:uiPriority w:val="9"/>
    <w:qFormat/>
    <w:pPr>
      <w:keepNext/>
      <w:numPr>
        <w:numId w:val="1"/>
      </w:numPr>
      <w:spacing w:before="360" w:after="120" w:line="240" w:lineRule="auto"/>
      <w:jc w:val="both"/>
      <w:outlineLvl w:val="0"/>
    </w:pPr>
    <w:rPr>
      <w:rFonts w:ascii="Times New Roman" w:eastAsia="Times New Roman" w:hAnsi="Times New Roman" w:cs="Times New Roman"/>
      <w:b/>
      <w:bCs/>
      <w:smallCaps/>
      <w:sz w:val="24"/>
      <w:szCs w:val="28"/>
    </w:rPr>
  </w:style>
  <w:style w:type="paragraph" w:styleId="Heading2">
    <w:name w:val="heading 2"/>
    <w:basedOn w:val="Normal"/>
    <w:next w:val="Text1"/>
    <w:link w:val="Heading2Char"/>
    <w:uiPriority w:val="9"/>
    <w:unhideWhenUsed/>
    <w:qFormat/>
    <w:pPr>
      <w:keepNext/>
      <w:numPr>
        <w:ilvl w:val="1"/>
        <w:numId w:val="1"/>
      </w:numPr>
      <w:spacing w:before="120" w:after="120" w:line="240" w:lineRule="auto"/>
      <w:jc w:val="both"/>
      <w:outlineLvl w:val="1"/>
    </w:pPr>
    <w:rPr>
      <w:rFonts w:ascii="Times New Roman" w:eastAsia="Times New Roman" w:hAnsi="Times New Roman" w:cs="Times New Roman"/>
      <w:b/>
      <w:bCs/>
      <w:sz w:val="24"/>
      <w:szCs w:val="26"/>
    </w:rPr>
  </w:style>
  <w:style w:type="paragraph" w:styleId="Heading3">
    <w:name w:val="heading 3"/>
    <w:basedOn w:val="Normal"/>
    <w:next w:val="Text1"/>
    <w:link w:val="Heading3Char"/>
    <w:uiPriority w:val="9"/>
    <w:semiHidden/>
    <w:unhideWhenUsed/>
    <w:qFormat/>
    <w:pPr>
      <w:keepNext/>
      <w:numPr>
        <w:ilvl w:val="2"/>
        <w:numId w:val="1"/>
      </w:numPr>
      <w:spacing w:before="120" w:after="120" w:line="240" w:lineRule="auto"/>
      <w:jc w:val="both"/>
      <w:outlineLvl w:val="2"/>
    </w:pPr>
    <w:rPr>
      <w:rFonts w:ascii="Times New Roman" w:eastAsia="Times New Roman" w:hAnsi="Times New Roman" w:cs="Times New Roman"/>
      <w:bCs/>
      <w:i/>
      <w:sz w:val="24"/>
    </w:rPr>
  </w:style>
  <w:style w:type="paragraph" w:styleId="Heading4">
    <w:name w:val="heading 4"/>
    <w:basedOn w:val="Normal"/>
    <w:next w:val="Text1"/>
    <w:link w:val="Heading4Char"/>
    <w:uiPriority w:val="9"/>
    <w:semiHidden/>
    <w:unhideWhenUsed/>
    <w:qFormat/>
    <w:pPr>
      <w:keepNext/>
      <w:numPr>
        <w:ilvl w:val="3"/>
        <w:numId w:val="1"/>
      </w:numPr>
      <w:spacing w:before="120" w:after="120" w:line="240" w:lineRule="auto"/>
      <w:jc w:val="both"/>
      <w:outlineLvl w:val="3"/>
    </w:pPr>
    <w:rPr>
      <w:rFonts w:ascii="Times New Roman" w:eastAsia="Times New Roman" w:hAnsi="Times New Roman" w:cs="Times New Roman"/>
      <w:bCs/>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spacing w:before="120" w:after="120" w:line="240" w:lineRule="auto"/>
      <w:ind w:left="850"/>
      <w:jc w:val="both"/>
    </w:pPr>
    <w:rPr>
      <w:rFonts w:ascii="Times New Roman" w:eastAsia="Times New Roman" w:hAnsi="Times New Roman" w:cs="Times New Roman"/>
      <w:sz w:val="24"/>
    </w:rPr>
  </w:style>
  <w:style w:type="character" w:customStyle="1" w:styleId="Heading1Char">
    <w:name w:val="Heading 1 Char"/>
    <w:basedOn w:val="DefaultParagraphFont"/>
    <w:link w:val="Heading1"/>
    <w:uiPriority w:val="9"/>
    <w:rPr>
      <w:rFonts w:ascii="Times New Roman" w:eastAsia="Times New Roman" w:hAnsi="Times New Roman" w:cs="Times New Roman"/>
      <w:b/>
      <w:bCs/>
      <w:smallCaps/>
      <w:sz w:val="24"/>
      <w:szCs w:val="28"/>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24"/>
      <w:szCs w:val="26"/>
    </w:rPr>
  </w:style>
  <w:style w:type="character" w:customStyle="1" w:styleId="Heading3Char">
    <w:name w:val="Heading 3 Char"/>
    <w:basedOn w:val="DefaultParagraphFont"/>
    <w:link w:val="Heading3"/>
    <w:uiPriority w:val="9"/>
    <w:semiHidden/>
    <w:rPr>
      <w:rFonts w:ascii="Times New Roman" w:eastAsia="Times New Roman" w:hAnsi="Times New Roman" w:cs="Times New Roman"/>
      <w:bCs/>
      <w:i/>
      <w:sz w:val="24"/>
    </w:rPr>
  </w:style>
  <w:style w:type="character" w:customStyle="1" w:styleId="Heading4Char">
    <w:name w:val="Heading 4 Char"/>
    <w:basedOn w:val="DefaultParagraphFont"/>
    <w:link w:val="Heading4"/>
    <w:uiPriority w:val="9"/>
    <w:semiHidden/>
    <w:rPr>
      <w:rFonts w:ascii="Times New Roman" w:eastAsia="Times New Roman" w:hAnsi="Times New Roman" w:cs="Times New Roman"/>
      <w:bCs/>
      <w:iCs/>
      <w:sz w:val="24"/>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Typedudocument">
    <w:name w:val="Type du document"/>
    <w:basedOn w:val="Normal"/>
    <w:next w:val="Normal"/>
    <w:link w:val="TypedudocumentChar"/>
    <w:pPr>
      <w:spacing w:before="360" w:after="0" w:line="240" w:lineRule="auto"/>
      <w:jc w:val="center"/>
    </w:pPr>
    <w:rPr>
      <w:rFonts w:ascii="Times New Roman" w:hAnsi="Times New Roman" w:cs="Times New Roman"/>
      <w:b/>
      <w:sz w:val="24"/>
    </w:rPr>
  </w:style>
  <w:style w:type="character" w:customStyle="1" w:styleId="TypedudocumentChar">
    <w:name w:val="Type du document Char"/>
    <w:basedOn w:val="DefaultParagraphFont"/>
    <w:link w:val="Typedudocument"/>
    <w:rPr>
      <w:rFonts w:ascii="Times New Roman" w:hAnsi="Times New Roman" w:cs="Times New Roman"/>
      <w:b/>
      <w:sz w:val="24"/>
    </w:rPr>
  </w:style>
  <w:style w:type="paragraph" w:customStyle="1" w:styleId="Titreobjet">
    <w:name w:val="Titre objet"/>
    <w:basedOn w:val="Normal"/>
    <w:next w:val="IntrtEEE"/>
    <w:pPr>
      <w:spacing w:before="360" w:after="360" w:line="240" w:lineRule="auto"/>
      <w:jc w:val="center"/>
    </w:pPr>
    <w:rPr>
      <w:rFonts w:ascii="Times New Roman" w:hAnsi="Times New Roman" w:cs="Times New Roman"/>
      <w:b/>
      <w:sz w:val="24"/>
    </w:rPr>
  </w:style>
  <w:style w:type="paragraph" w:styleId="TOC1">
    <w:name w:val="toc 1"/>
    <w:basedOn w:val="Normal"/>
    <w:next w:val="Normal"/>
    <w:autoRedefine/>
    <w:uiPriority w:val="39"/>
    <w:semiHidden/>
    <w:unhideWhenUsed/>
    <w:pPr>
      <w:tabs>
        <w:tab w:val="right" w:leader="dot" w:pos="9071"/>
      </w:tabs>
      <w:spacing w:before="60" w:after="120" w:line="240" w:lineRule="auto"/>
      <w:ind w:left="850" w:hanging="850"/>
    </w:pPr>
    <w:rPr>
      <w:rFonts w:ascii="Times New Roman" w:eastAsia="Times New Roman" w:hAnsi="Times New Roman" w:cs="Times New Roman"/>
      <w:sz w:val="24"/>
    </w:rPr>
  </w:style>
  <w:style w:type="paragraph" w:styleId="FootnoteText">
    <w:name w:val="footnote text"/>
    <w:basedOn w:val="Normal"/>
    <w:link w:val="FootnoteTextChar"/>
    <w:uiPriority w:val="99"/>
    <w:semiHidden/>
    <w:unhideWhenUsed/>
    <w:pPr>
      <w:spacing w:after="0" w:line="240" w:lineRule="auto"/>
      <w:ind w:left="720" w:hanging="72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cs-CZ"/>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lang w:eastAsia="cs-CZ"/>
    </w:rPr>
  </w:style>
  <w:style w:type="paragraph" w:styleId="CommentText">
    <w:name w:val="annotation text"/>
    <w:basedOn w:val="Normal"/>
    <w:link w:val="CommentTextChar"/>
    <w:semiHidden/>
    <w:unhideWhenUsed/>
    <w:pPr>
      <w:spacing w:before="120" w:after="12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Pr>
      <w:rFonts w:ascii="Times New Roman" w:eastAsia="Times New Roman" w:hAnsi="Times New Roman" w:cs="Times New Roman"/>
      <w:sz w:val="20"/>
      <w:szCs w:val="20"/>
      <w:lang w:eastAsia="cs-CZ"/>
    </w:rPr>
  </w:style>
  <w:style w:type="paragraph" w:styleId="EndnoteText">
    <w:name w:val="endnote text"/>
    <w:basedOn w:val="Normal"/>
    <w:link w:val="EndnoteTextChar"/>
    <w:semiHidden/>
    <w:unhideWhenUsed/>
    <w:pPr>
      <w:spacing w:before="120" w:after="120" w:line="240" w:lineRule="auto"/>
      <w:jc w:val="both"/>
    </w:pPr>
    <w:rPr>
      <w:rFonts w:ascii="Times New Roman" w:eastAsia="Times New Roman" w:hAnsi="Times New Roman" w:cs="Times New Roman"/>
      <w:sz w:val="20"/>
      <w:szCs w:val="20"/>
    </w:rPr>
  </w:style>
  <w:style w:type="paragraph" w:styleId="ListBullet">
    <w:name w:val="List Bullet"/>
    <w:basedOn w:val="Normal"/>
    <w:semiHidden/>
    <w:unhideWhenUsed/>
    <w:pPr>
      <w:numPr>
        <w:numId w:val="2"/>
      </w:numPr>
      <w:spacing w:before="120" w:after="120" w:line="240" w:lineRule="auto"/>
      <w:contextualSpacing/>
      <w:jc w:val="both"/>
    </w:pPr>
    <w:rPr>
      <w:rFonts w:ascii="Times New Roman" w:eastAsia="Times New Roman" w:hAnsi="Times New Roman" w:cs="Times New Roman"/>
      <w:sz w:val="24"/>
    </w:rPr>
  </w:style>
  <w:style w:type="paragraph" w:styleId="ListNumber">
    <w:name w:val="List Number"/>
    <w:basedOn w:val="Normal"/>
    <w:semiHidden/>
    <w:unhideWhenUsed/>
    <w:pPr>
      <w:numPr>
        <w:numId w:val="3"/>
      </w:numPr>
      <w:spacing w:before="120" w:after="120" w:line="240" w:lineRule="auto"/>
      <w:contextualSpacing/>
      <w:jc w:val="both"/>
    </w:pPr>
    <w:rPr>
      <w:rFonts w:ascii="Times New Roman" w:eastAsia="Times New Roman" w:hAnsi="Times New Roman" w:cs="Times New Roman"/>
      <w:sz w:val="24"/>
    </w:rPr>
  </w:style>
  <w:style w:type="paragraph" w:styleId="ListBullet2">
    <w:name w:val="List Bullet 2"/>
    <w:basedOn w:val="Normal"/>
    <w:semiHidden/>
    <w:unhideWhenUsed/>
    <w:pPr>
      <w:numPr>
        <w:numId w:val="4"/>
      </w:numPr>
      <w:spacing w:before="120" w:after="120" w:line="240" w:lineRule="auto"/>
      <w:contextualSpacing/>
      <w:jc w:val="both"/>
    </w:pPr>
    <w:rPr>
      <w:rFonts w:ascii="Times New Roman" w:eastAsia="Times New Roman" w:hAnsi="Times New Roman" w:cs="Times New Roman"/>
      <w:sz w:val="24"/>
    </w:rPr>
  </w:style>
  <w:style w:type="paragraph" w:styleId="ListBullet3">
    <w:name w:val="List Bullet 3"/>
    <w:basedOn w:val="Normal"/>
    <w:semiHidden/>
    <w:unhideWhenUsed/>
    <w:pPr>
      <w:numPr>
        <w:numId w:val="5"/>
      </w:numPr>
      <w:spacing w:before="120" w:after="120" w:line="240" w:lineRule="auto"/>
      <w:contextualSpacing/>
      <w:jc w:val="both"/>
    </w:pPr>
    <w:rPr>
      <w:rFonts w:ascii="Times New Roman" w:eastAsia="Times New Roman" w:hAnsi="Times New Roman" w:cs="Times New Roman"/>
      <w:sz w:val="24"/>
    </w:rPr>
  </w:style>
  <w:style w:type="paragraph" w:styleId="ListBullet4">
    <w:name w:val="List Bullet 4"/>
    <w:basedOn w:val="Normal"/>
    <w:semiHidden/>
    <w:unhideWhenUsed/>
    <w:pPr>
      <w:numPr>
        <w:numId w:val="6"/>
      </w:numPr>
      <w:spacing w:before="120" w:after="120" w:line="240" w:lineRule="auto"/>
      <w:contextualSpacing/>
      <w:jc w:val="both"/>
    </w:pPr>
    <w:rPr>
      <w:rFonts w:ascii="Times New Roman" w:eastAsia="Times New Roman" w:hAnsi="Times New Roman" w:cs="Times New Roman"/>
      <w:sz w:val="24"/>
    </w:rPr>
  </w:style>
  <w:style w:type="paragraph" w:styleId="ListNumber2">
    <w:name w:val="List Number 2"/>
    <w:basedOn w:val="Normal"/>
    <w:semiHidden/>
    <w:unhideWhenUsed/>
    <w:pPr>
      <w:numPr>
        <w:numId w:val="7"/>
      </w:numPr>
      <w:spacing w:before="120" w:after="120" w:line="240" w:lineRule="auto"/>
      <w:contextualSpacing/>
      <w:jc w:val="both"/>
    </w:pPr>
    <w:rPr>
      <w:rFonts w:ascii="Times New Roman" w:eastAsia="Times New Roman" w:hAnsi="Times New Roman" w:cs="Times New Roman"/>
      <w:sz w:val="24"/>
    </w:rPr>
  </w:style>
  <w:style w:type="paragraph" w:styleId="ListNumber3">
    <w:name w:val="List Number 3"/>
    <w:basedOn w:val="Normal"/>
    <w:semiHidden/>
    <w:unhideWhenUsed/>
    <w:pPr>
      <w:numPr>
        <w:numId w:val="8"/>
      </w:numPr>
      <w:spacing w:before="120" w:after="120" w:line="240" w:lineRule="auto"/>
      <w:contextualSpacing/>
      <w:jc w:val="both"/>
    </w:pPr>
    <w:rPr>
      <w:rFonts w:ascii="Times New Roman" w:eastAsia="Times New Roman" w:hAnsi="Times New Roman" w:cs="Times New Roman"/>
      <w:sz w:val="24"/>
    </w:rPr>
  </w:style>
  <w:style w:type="paragraph" w:styleId="ListNumber4">
    <w:name w:val="List Number 4"/>
    <w:basedOn w:val="Normal"/>
    <w:semiHidden/>
    <w:unhideWhenUsed/>
    <w:pPr>
      <w:numPr>
        <w:numId w:val="9"/>
      </w:numPr>
      <w:spacing w:before="120" w:after="120" w:line="240" w:lineRule="auto"/>
      <w:contextualSpacing/>
      <w:jc w:val="both"/>
    </w:pPr>
    <w:rPr>
      <w:rFonts w:ascii="Times New Roman" w:eastAsia="Times New Roman" w:hAnsi="Times New Roman" w:cs="Times New Roman"/>
      <w:sz w:val="24"/>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lang w:eastAsia="cs-CZ"/>
    </w:rPr>
  </w:style>
  <w:style w:type="paragraph" w:styleId="CommentSubject">
    <w:name w:val="annotation subject"/>
    <w:basedOn w:val="CommentText"/>
    <w:next w:val="CommentText"/>
    <w:link w:val="CommentSubjectChar"/>
    <w:semiHidden/>
    <w:unhideWhenUsed/>
    <w:rPr>
      <w:b/>
      <w:bCs/>
    </w:rPr>
  </w:style>
  <w:style w:type="paragraph" w:styleId="BalloonText">
    <w:name w:val="Balloon Text"/>
    <w:basedOn w:val="Normal"/>
    <w:link w:val="BalloonTextChar"/>
    <w:semiHidden/>
    <w:unhideWhenUsed/>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lang w:eastAsia="cs-CZ"/>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Text2">
    <w:name w:val="Text 2"/>
    <w:basedOn w:val="Normal"/>
    <w:pPr>
      <w:spacing w:before="120" w:after="120" w:line="240" w:lineRule="auto"/>
      <w:ind w:left="1417"/>
      <w:jc w:val="both"/>
    </w:pPr>
    <w:rPr>
      <w:rFonts w:ascii="Times New Roman" w:eastAsia="Times New Roman" w:hAnsi="Times New Roman" w:cs="Times New Roman"/>
      <w:sz w:val="24"/>
    </w:rPr>
  </w:style>
  <w:style w:type="paragraph" w:customStyle="1" w:styleId="Text3">
    <w:name w:val="Text 3"/>
    <w:basedOn w:val="Normal"/>
    <w:pPr>
      <w:spacing w:before="120" w:after="120" w:line="240" w:lineRule="auto"/>
      <w:ind w:left="1984"/>
      <w:jc w:val="both"/>
    </w:pPr>
    <w:rPr>
      <w:rFonts w:ascii="Times New Roman" w:eastAsia="Times New Roman" w:hAnsi="Times New Roman" w:cs="Times New Roman"/>
      <w:sz w:val="24"/>
    </w:rPr>
  </w:style>
  <w:style w:type="paragraph" w:customStyle="1" w:styleId="Text4">
    <w:name w:val="Text 4"/>
    <w:basedOn w:val="Normal"/>
    <w:pPr>
      <w:spacing w:before="120" w:after="120" w:line="240" w:lineRule="auto"/>
      <w:ind w:left="2551"/>
      <w:jc w:val="both"/>
    </w:pPr>
    <w:rPr>
      <w:rFonts w:ascii="Times New Roman" w:eastAsia="Times New Roman" w:hAnsi="Times New Roman" w:cs="Times New Roman"/>
      <w:sz w:val="24"/>
    </w:rPr>
  </w:style>
  <w:style w:type="paragraph" w:customStyle="1" w:styleId="NormalCentered">
    <w:name w:val="Normal Centered"/>
    <w:basedOn w:val="Normal"/>
    <w:pPr>
      <w:spacing w:before="120" w:after="120" w:line="240" w:lineRule="auto"/>
      <w:jc w:val="center"/>
    </w:pPr>
    <w:rPr>
      <w:rFonts w:ascii="Times New Roman" w:eastAsia="Times New Roman" w:hAnsi="Times New Roman" w:cs="Times New Roman"/>
      <w:sz w:val="24"/>
    </w:rPr>
  </w:style>
  <w:style w:type="paragraph" w:customStyle="1" w:styleId="NormalLeft">
    <w:name w:val="Normal Left"/>
    <w:basedOn w:val="Normal"/>
    <w:pPr>
      <w:spacing w:before="120" w:after="120" w:line="240" w:lineRule="auto"/>
    </w:pPr>
    <w:rPr>
      <w:rFonts w:ascii="Times New Roman" w:eastAsia="Times New Roman" w:hAnsi="Times New Roman" w:cs="Times New Roman"/>
      <w:sz w:val="24"/>
    </w:rPr>
  </w:style>
  <w:style w:type="paragraph" w:customStyle="1" w:styleId="NormalRight">
    <w:name w:val="Normal Right"/>
    <w:basedOn w:val="Normal"/>
    <w:pPr>
      <w:spacing w:before="120" w:after="120" w:line="240" w:lineRule="auto"/>
      <w:jc w:val="right"/>
    </w:pPr>
    <w:rPr>
      <w:rFonts w:ascii="Times New Roman" w:eastAsia="Times New Roman" w:hAnsi="Times New Roman" w:cs="Times New Roman"/>
      <w:sz w:val="24"/>
    </w:rPr>
  </w:style>
  <w:style w:type="paragraph" w:customStyle="1" w:styleId="QuotedText">
    <w:name w:val="Quoted Text"/>
    <w:basedOn w:val="Normal"/>
    <w:pPr>
      <w:spacing w:before="120" w:after="120" w:line="240" w:lineRule="auto"/>
      <w:ind w:left="1417"/>
      <w:jc w:val="both"/>
    </w:pPr>
    <w:rPr>
      <w:rFonts w:ascii="Times New Roman" w:eastAsia="Times New Roman" w:hAnsi="Times New Roman" w:cs="Times New Roman"/>
      <w:sz w:val="24"/>
    </w:rPr>
  </w:style>
  <w:style w:type="paragraph" w:customStyle="1" w:styleId="Point0">
    <w:name w:val="Point 0"/>
    <w:basedOn w:val="Normal"/>
    <w:pPr>
      <w:spacing w:before="120" w:after="120" w:line="240" w:lineRule="auto"/>
      <w:ind w:left="850" w:hanging="850"/>
      <w:jc w:val="both"/>
    </w:pPr>
    <w:rPr>
      <w:rFonts w:ascii="Times New Roman" w:eastAsia="Times New Roman" w:hAnsi="Times New Roman" w:cs="Times New Roman"/>
      <w:sz w:val="24"/>
    </w:rPr>
  </w:style>
  <w:style w:type="paragraph" w:customStyle="1" w:styleId="Point1">
    <w:name w:val="Point 1"/>
    <w:basedOn w:val="Normal"/>
    <w:pPr>
      <w:spacing w:before="120" w:after="120" w:line="240" w:lineRule="auto"/>
      <w:ind w:left="1417" w:hanging="567"/>
      <w:jc w:val="both"/>
    </w:pPr>
    <w:rPr>
      <w:rFonts w:ascii="Times New Roman" w:eastAsia="Times New Roman" w:hAnsi="Times New Roman" w:cs="Times New Roman"/>
      <w:sz w:val="24"/>
    </w:rPr>
  </w:style>
  <w:style w:type="paragraph" w:customStyle="1" w:styleId="Point2">
    <w:name w:val="Point 2"/>
    <w:basedOn w:val="Normal"/>
    <w:pPr>
      <w:spacing w:before="120" w:after="120" w:line="240" w:lineRule="auto"/>
      <w:ind w:left="1984" w:hanging="567"/>
      <w:jc w:val="both"/>
    </w:pPr>
    <w:rPr>
      <w:rFonts w:ascii="Times New Roman" w:eastAsia="Times New Roman" w:hAnsi="Times New Roman" w:cs="Times New Roman"/>
      <w:sz w:val="24"/>
    </w:rPr>
  </w:style>
  <w:style w:type="paragraph" w:customStyle="1" w:styleId="Point3">
    <w:name w:val="Point 3"/>
    <w:basedOn w:val="Normal"/>
    <w:pPr>
      <w:spacing w:before="120" w:after="120" w:line="240" w:lineRule="auto"/>
      <w:ind w:left="2551" w:hanging="567"/>
      <w:jc w:val="both"/>
    </w:pPr>
    <w:rPr>
      <w:rFonts w:ascii="Times New Roman" w:eastAsia="Times New Roman" w:hAnsi="Times New Roman" w:cs="Times New Roman"/>
      <w:sz w:val="24"/>
    </w:rPr>
  </w:style>
  <w:style w:type="paragraph" w:customStyle="1" w:styleId="Point4">
    <w:name w:val="Point 4"/>
    <w:basedOn w:val="Normal"/>
    <w:pPr>
      <w:spacing w:before="120" w:after="120" w:line="240" w:lineRule="auto"/>
      <w:ind w:left="3118" w:hanging="567"/>
      <w:jc w:val="both"/>
    </w:pPr>
    <w:rPr>
      <w:rFonts w:ascii="Times New Roman" w:eastAsia="Times New Roman" w:hAnsi="Times New Roman" w:cs="Times New Roman"/>
      <w:sz w:val="24"/>
    </w:r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PointDouble0">
    <w:name w:val="PointDouble 0"/>
    <w:basedOn w:val="Normal"/>
    <w:pPr>
      <w:tabs>
        <w:tab w:val="left" w:pos="850"/>
      </w:tabs>
      <w:spacing w:before="120" w:after="120" w:line="240" w:lineRule="auto"/>
      <w:ind w:left="1417" w:hanging="1417"/>
      <w:jc w:val="both"/>
    </w:pPr>
    <w:rPr>
      <w:rFonts w:ascii="Times New Roman" w:eastAsia="Times New Roman" w:hAnsi="Times New Roman" w:cs="Times New Roman"/>
      <w:sz w:val="24"/>
    </w:rPr>
  </w:style>
  <w:style w:type="paragraph" w:customStyle="1" w:styleId="PointDouble1">
    <w:name w:val="PointDouble 1"/>
    <w:basedOn w:val="Normal"/>
    <w:pPr>
      <w:tabs>
        <w:tab w:val="left" w:pos="1417"/>
      </w:tabs>
      <w:spacing w:before="120" w:after="120" w:line="240" w:lineRule="auto"/>
      <w:ind w:left="1984" w:hanging="1134"/>
      <w:jc w:val="both"/>
    </w:pPr>
    <w:rPr>
      <w:rFonts w:ascii="Times New Roman" w:eastAsia="Times New Roman" w:hAnsi="Times New Roman" w:cs="Times New Roman"/>
      <w:sz w:val="24"/>
    </w:rPr>
  </w:style>
  <w:style w:type="paragraph" w:customStyle="1" w:styleId="PointDouble2">
    <w:name w:val="PointDouble 2"/>
    <w:basedOn w:val="Normal"/>
    <w:pPr>
      <w:tabs>
        <w:tab w:val="left" w:pos="1984"/>
      </w:tabs>
      <w:spacing w:before="120" w:after="120" w:line="240" w:lineRule="auto"/>
      <w:ind w:left="2551" w:hanging="1134"/>
      <w:jc w:val="both"/>
    </w:pPr>
    <w:rPr>
      <w:rFonts w:ascii="Times New Roman" w:eastAsia="Times New Roman" w:hAnsi="Times New Roman" w:cs="Times New Roman"/>
      <w:sz w:val="24"/>
    </w:rPr>
  </w:style>
  <w:style w:type="paragraph" w:customStyle="1" w:styleId="PointDouble3">
    <w:name w:val="PointDouble 3"/>
    <w:basedOn w:val="Normal"/>
    <w:pPr>
      <w:tabs>
        <w:tab w:val="left" w:pos="2551"/>
      </w:tabs>
      <w:spacing w:before="120" w:after="120" w:line="240" w:lineRule="auto"/>
      <w:ind w:left="3118" w:hanging="1134"/>
      <w:jc w:val="both"/>
    </w:pPr>
    <w:rPr>
      <w:rFonts w:ascii="Times New Roman" w:eastAsia="Times New Roman" w:hAnsi="Times New Roman" w:cs="Times New Roman"/>
      <w:sz w:val="24"/>
    </w:rPr>
  </w:style>
  <w:style w:type="paragraph" w:customStyle="1" w:styleId="PointDouble4">
    <w:name w:val="PointDouble 4"/>
    <w:basedOn w:val="Normal"/>
    <w:pPr>
      <w:tabs>
        <w:tab w:val="left" w:pos="3118"/>
      </w:tabs>
      <w:spacing w:before="120" w:after="120" w:line="240" w:lineRule="auto"/>
      <w:ind w:left="3685" w:hanging="1134"/>
      <w:jc w:val="both"/>
    </w:pPr>
    <w:rPr>
      <w:rFonts w:ascii="Times New Roman" w:eastAsia="Times New Roman" w:hAnsi="Times New Roman" w:cs="Times New Roman"/>
      <w:sz w:val="24"/>
    </w:rPr>
  </w:style>
  <w:style w:type="paragraph" w:customStyle="1" w:styleId="PointTriple0">
    <w:name w:val="PointTriple 0"/>
    <w:basedOn w:val="Normal"/>
    <w:pPr>
      <w:tabs>
        <w:tab w:val="left" w:pos="850"/>
        <w:tab w:val="left" w:pos="1417"/>
      </w:tabs>
      <w:spacing w:before="120" w:after="120" w:line="240" w:lineRule="auto"/>
      <w:ind w:left="1984" w:hanging="1984"/>
      <w:jc w:val="both"/>
    </w:pPr>
    <w:rPr>
      <w:rFonts w:ascii="Times New Roman" w:eastAsia="Times New Roman" w:hAnsi="Times New Roman" w:cs="Times New Roman"/>
      <w:sz w:val="24"/>
    </w:rPr>
  </w:style>
  <w:style w:type="paragraph" w:customStyle="1" w:styleId="PointTriple1">
    <w:name w:val="PointTriple 1"/>
    <w:basedOn w:val="Normal"/>
    <w:pPr>
      <w:tabs>
        <w:tab w:val="left" w:pos="1417"/>
        <w:tab w:val="left" w:pos="1984"/>
      </w:tabs>
      <w:spacing w:before="120" w:after="120" w:line="240" w:lineRule="auto"/>
      <w:ind w:left="2551" w:hanging="1701"/>
      <w:jc w:val="both"/>
    </w:pPr>
    <w:rPr>
      <w:rFonts w:ascii="Times New Roman" w:eastAsia="Times New Roman" w:hAnsi="Times New Roman" w:cs="Times New Roman"/>
      <w:sz w:val="24"/>
    </w:rPr>
  </w:style>
  <w:style w:type="paragraph" w:customStyle="1" w:styleId="PointTriple2">
    <w:name w:val="PointTriple 2"/>
    <w:basedOn w:val="Normal"/>
    <w:pPr>
      <w:tabs>
        <w:tab w:val="left" w:pos="1984"/>
        <w:tab w:val="left" w:pos="2551"/>
      </w:tabs>
      <w:spacing w:before="120" w:after="120" w:line="240" w:lineRule="auto"/>
      <w:ind w:left="3118" w:hanging="1701"/>
      <w:jc w:val="both"/>
    </w:pPr>
    <w:rPr>
      <w:rFonts w:ascii="Times New Roman" w:eastAsia="Times New Roman" w:hAnsi="Times New Roman" w:cs="Times New Roman"/>
      <w:sz w:val="24"/>
    </w:rPr>
  </w:style>
  <w:style w:type="paragraph" w:customStyle="1" w:styleId="PointTriple3">
    <w:name w:val="PointTriple 3"/>
    <w:basedOn w:val="Normal"/>
    <w:pPr>
      <w:tabs>
        <w:tab w:val="left" w:pos="2551"/>
        <w:tab w:val="left" w:pos="3118"/>
      </w:tabs>
      <w:spacing w:before="120" w:after="120" w:line="240" w:lineRule="auto"/>
      <w:ind w:left="3685" w:hanging="1701"/>
      <w:jc w:val="both"/>
    </w:pPr>
    <w:rPr>
      <w:rFonts w:ascii="Times New Roman" w:eastAsia="Times New Roman" w:hAnsi="Times New Roman" w:cs="Times New Roman"/>
      <w:sz w:val="24"/>
    </w:rPr>
  </w:style>
  <w:style w:type="paragraph" w:customStyle="1" w:styleId="PointTriple4">
    <w:name w:val="PointTriple 4"/>
    <w:basedOn w:val="Normal"/>
    <w:pPr>
      <w:tabs>
        <w:tab w:val="left" w:pos="3118"/>
        <w:tab w:val="left" w:pos="3685"/>
      </w:tabs>
      <w:spacing w:before="120" w:after="120" w:line="240" w:lineRule="auto"/>
      <w:ind w:left="4252" w:hanging="1701"/>
      <w:jc w:val="both"/>
    </w:pPr>
    <w:rPr>
      <w:rFonts w:ascii="Times New Roman" w:eastAsia="Times New Roman" w:hAnsi="Times New Roman" w:cs="Times New Roman"/>
      <w:sz w:val="24"/>
    </w:rPr>
  </w:style>
  <w:style w:type="paragraph" w:customStyle="1" w:styleId="NumPar1">
    <w:name w:val="NumPar 1"/>
    <w:basedOn w:val="Normal"/>
    <w:next w:val="Text1"/>
    <w:pPr>
      <w:tabs>
        <w:tab w:val="num" w:pos="850"/>
      </w:tabs>
      <w:spacing w:before="120" w:after="120" w:line="240" w:lineRule="auto"/>
      <w:ind w:left="850" w:hanging="850"/>
      <w:jc w:val="both"/>
    </w:pPr>
    <w:rPr>
      <w:rFonts w:ascii="Times New Roman" w:eastAsia="Times New Roman" w:hAnsi="Times New Roman" w:cs="Times New Roman"/>
      <w:sz w:val="24"/>
    </w:rPr>
  </w:style>
  <w:style w:type="paragraph" w:customStyle="1" w:styleId="NumPar2">
    <w:name w:val="NumPar 2"/>
    <w:basedOn w:val="Normal"/>
    <w:next w:val="Text1"/>
    <w:pPr>
      <w:tabs>
        <w:tab w:val="num" w:pos="850"/>
      </w:tabs>
      <w:spacing w:before="120" w:after="120" w:line="240" w:lineRule="auto"/>
      <w:ind w:left="850" w:hanging="850"/>
      <w:jc w:val="both"/>
    </w:pPr>
    <w:rPr>
      <w:rFonts w:ascii="Times New Roman" w:eastAsia="Times New Roman" w:hAnsi="Times New Roman" w:cs="Times New Roman"/>
      <w:sz w:val="24"/>
    </w:rPr>
  </w:style>
  <w:style w:type="paragraph" w:customStyle="1" w:styleId="NumPar3">
    <w:name w:val="NumPar 3"/>
    <w:basedOn w:val="Normal"/>
    <w:next w:val="Text1"/>
    <w:pPr>
      <w:numPr>
        <w:ilvl w:val="2"/>
        <w:numId w:val="15"/>
      </w:numPr>
      <w:spacing w:before="120" w:after="120" w:line="240" w:lineRule="auto"/>
      <w:jc w:val="both"/>
    </w:pPr>
    <w:rPr>
      <w:rFonts w:ascii="Times New Roman" w:eastAsia="Times New Roman" w:hAnsi="Times New Roman" w:cs="Times New Roman"/>
      <w:sz w:val="24"/>
    </w:rPr>
  </w:style>
  <w:style w:type="paragraph" w:customStyle="1" w:styleId="NumPar4">
    <w:name w:val="NumPar 4"/>
    <w:basedOn w:val="Normal"/>
    <w:next w:val="Text1"/>
    <w:pPr>
      <w:numPr>
        <w:ilvl w:val="3"/>
        <w:numId w:val="15"/>
      </w:numPr>
      <w:spacing w:before="120" w:after="120" w:line="240" w:lineRule="auto"/>
      <w:jc w:val="both"/>
    </w:pPr>
    <w:rPr>
      <w:rFonts w:ascii="Times New Roman" w:eastAsia="Times New Roman" w:hAnsi="Times New Roman" w:cs="Times New Roman"/>
      <w:sz w:val="24"/>
    </w:rPr>
  </w:style>
  <w:style w:type="paragraph" w:customStyle="1" w:styleId="ManualNumPar1">
    <w:name w:val="Manual NumPar 1"/>
    <w:basedOn w:val="Normal"/>
    <w:next w:val="Text1"/>
    <w:pPr>
      <w:spacing w:before="120" w:after="120" w:line="240" w:lineRule="auto"/>
      <w:ind w:left="850" w:hanging="850"/>
      <w:jc w:val="both"/>
    </w:pPr>
    <w:rPr>
      <w:rFonts w:ascii="Times New Roman" w:eastAsia="Times New Roman" w:hAnsi="Times New Roman" w:cs="Times New Roman"/>
      <w:sz w:val="24"/>
    </w:rPr>
  </w:style>
  <w:style w:type="paragraph" w:customStyle="1" w:styleId="ManualNumPar2">
    <w:name w:val="Manual NumPar 2"/>
    <w:basedOn w:val="Normal"/>
    <w:next w:val="Text1"/>
    <w:pPr>
      <w:spacing w:before="120" w:after="120" w:line="240" w:lineRule="auto"/>
      <w:ind w:left="850" w:hanging="850"/>
      <w:jc w:val="both"/>
    </w:pPr>
    <w:rPr>
      <w:rFonts w:ascii="Times New Roman" w:eastAsia="Times New Roman" w:hAnsi="Times New Roman" w:cs="Times New Roman"/>
      <w:sz w:val="24"/>
    </w:rPr>
  </w:style>
  <w:style w:type="paragraph" w:customStyle="1" w:styleId="ManualNumPar3">
    <w:name w:val="Manual NumPar 3"/>
    <w:basedOn w:val="Normal"/>
    <w:next w:val="Text1"/>
    <w:pPr>
      <w:spacing w:before="120" w:after="120" w:line="240" w:lineRule="auto"/>
      <w:ind w:left="850" w:hanging="850"/>
      <w:jc w:val="both"/>
    </w:pPr>
    <w:rPr>
      <w:rFonts w:ascii="Times New Roman" w:eastAsia="Times New Roman" w:hAnsi="Times New Roman" w:cs="Times New Roman"/>
      <w:sz w:val="24"/>
    </w:rPr>
  </w:style>
  <w:style w:type="paragraph" w:customStyle="1" w:styleId="ManualNumPar4">
    <w:name w:val="Manual NumPar 4"/>
    <w:basedOn w:val="Normal"/>
    <w:next w:val="Text1"/>
    <w:pPr>
      <w:spacing w:before="120" w:after="120" w:line="240" w:lineRule="auto"/>
      <w:ind w:left="850" w:hanging="850"/>
      <w:jc w:val="both"/>
    </w:pPr>
    <w:rPr>
      <w:rFonts w:ascii="Times New Roman" w:eastAsia="Times New Roman" w:hAnsi="Times New Roman" w:cs="Times New Roman"/>
      <w:sz w:val="24"/>
    </w:rPr>
  </w:style>
  <w:style w:type="paragraph" w:customStyle="1" w:styleId="QuotedNumPar">
    <w:name w:val="Quoted NumPar"/>
    <w:basedOn w:val="Normal"/>
    <w:pPr>
      <w:spacing w:before="120" w:after="120" w:line="240" w:lineRule="auto"/>
      <w:ind w:left="1417" w:hanging="567"/>
      <w:jc w:val="both"/>
    </w:pPr>
    <w:rPr>
      <w:rFonts w:ascii="Times New Roman" w:eastAsia="Times New Roman" w:hAnsi="Times New Roman" w:cs="Times New Roman"/>
      <w:sz w:val="24"/>
    </w:rPr>
  </w:style>
  <w:style w:type="paragraph" w:customStyle="1" w:styleId="ManualHeading1">
    <w:name w:val="Manual Heading 1"/>
    <w:basedOn w:val="Normal"/>
    <w:next w:val="Text1"/>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rPr>
  </w:style>
  <w:style w:type="paragraph" w:customStyle="1" w:styleId="ManualHeading2">
    <w:name w:val="Manual Heading 2"/>
    <w:basedOn w:val="Normal"/>
    <w:next w:val="Text1"/>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rPr>
  </w:style>
  <w:style w:type="paragraph" w:customStyle="1" w:styleId="ManualHeading3">
    <w:name w:val="Manual Heading 3"/>
    <w:basedOn w:val="Normal"/>
    <w:next w:val="Text1"/>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rPr>
  </w:style>
  <w:style w:type="paragraph" w:customStyle="1" w:styleId="ManualHeading4">
    <w:name w:val="Manual Heading 4"/>
    <w:basedOn w:val="Normal"/>
    <w:next w:val="Text1"/>
    <w:pPr>
      <w:keepNext/>
      <w:tabs>
        <w:tab w:val="left" w:pos="850"/>
      </w:tabs>
      <w:spacing w:before="120" w:after="120" w:line="240" w:lineRule="auto"/>
      <w:ind w:left="850" w:hanging="850"/>
      <w:jc w:val="both"/>
      <w:outlineLvl w:val="3"/>
    </w:pPr>
    <w:rPr>
      <w:rFonts w:ascii="Times New Roman" w:eastAsia="Times New Roman" w:hAnsi="Times New Roman" w:cs="Times New Roman"/>
      <w:sz w:val="24"/>
    </w:rPr>
  </w:style>
  <w:style w:type="paragraph" w:customStyle="1" w:styleId="ChapterTitle">
    <w:name w:val="ChapterTitle"/>
    <w:basedOn w:val="Normal"/>
    <w:next w:val="Normal"/>
    <w:pPr>
      <w:keepNext/>
      <w:spacing w:before="120" w:after="360" w:line="240" w:lineRule="auto"/>
      <w:jc w:val="center"/>
    </w:pPr>
    <w:rPr>
      <w:rFonts w:ascii="Times New Roman" w:eastAsia="Times New Roman" w:hAnsi="Times New Roman" w:cs="Times New Roman"/>
      <w:b/>
      <w:sz w:val="32"/>
    </w:rPr>
  </w:style>
  <w:style w:type="paragraph" w:customStyle="1" w:styleId="PartTitle">
    <w:name w:val="PartTitle"/>
    <w:basedOn w:val="Normal"/>
    <w:next w:val="ChapterTitle"/>
    <w:pPr>
      <w:keepNext/>
      <w:pageBreakBefore/>
      <w:spacing w:before="120" w:after="360" w:line="240" w:lineRule="auto"/>
      <w:jc w:val="center"/>
    </w:pPr>
    <w:rPr>
      <w:rFonts w:ascii="Times New Roman" w:eastAsia="Times New Roman" w:hAnsi="Times New Roman" w:cs="Times New Roman"/>
      <w:b/>
      <w:sz w:val="36"/>
    </w:rPr>
  </w:style>
  <w:style w:type="paragraph" w:customStyle="1" w:styleId="SectionTitle">
    <w:name w:val="SectionTitle"/>
    <w:basedOn w:val="Normal"/>
    <w:next w:val="Heading1"/>
    <w:pPr>
      <w:keepNext/>
      <w:spacing w:before="120" w:after="360" w:line="240" w:lineRule="auto"/>
      <w:jc w:val="center"/>
    </w:pPr>
    <w:rPr>
      <w:rFonts w:ascii="Times New Roman" w:eastAsia="Times New Roman" w:hAnsi="Times New Roman" w:cs="Times New Roman"/>
      <w:b/>
      <w:smallCaps/>
      <w:sz w:val="28"/>
    </w:rPr>
  </w:style>
  <w:style w:type="paragraph" w:customStyle="1" w:styleId="TableTitle">
    <w:name w:val="Table Title"/>
    <w:basedOn w:val="Normal"/>
    <w:next w:val="Normal"/>
    <w:pPr>
      <w:spacing w:before="120" w:after="120" w:line="240" w:lineRule="auto"/>
      <w:jc w:val="center"/>
    </w:pPr>
    <w:rPr>
      <w:rFonts w:ascii="Times New Roman" w:eastAsia="Times New Roman" w:hAnsi="Times New Roman" w:cs="Times New Roman"/>
      <w:b/>
      <w:sz w:val="24"/>
    </w:rPr>
  </w:style>
  <w:style w:type="paragraph" w:customStyle="1" w:styleId="Point0number">
    <w:name w:val="Point 0 (number)"/>
    <w:basedOn w:val="Normal"/>
    <w:pPr>
      <w:tabs>
        <w:tab w:val="num" w:pos="850"/>
      </w:tabs>
      <w:spacing w:before="120" w:after="120" w:line="240" w:lineRule="auto"/>
      <w:ind w:left="850" w:hanging="850"/>
      <w:jc w:val="both"/>
    </w:pPr>
    <w:rPr>
      <w:rFonts w:ascii="Times New Roman" w:eastAsia="Times New Roman" w:hAnsi="Times New Roman" w:cs="Times New Roman"/>
      <w:sz w:val="24"/>
    </w:rPr>
  </w:style>
  <w:style w:type="paragraph" w:customStyle="1" w:styleId="Point1number">
    <w:name w:val="Point 1 (number)"/>
    <w:basedOn w:val="Normal"/>
    <w:pPr>
      <w:tabs>
        <w:tab w:val="num" w:pos="1417"/>
      </w:tabs>
      <w:spacing w:before="120" w:after="120" w:line="240" w:lineRule="auto"/>
      <w:ind w:left="1417" w:hanging="567"/>
      <w:jc w:val="both"/>
    </w:pPr>
    <w:rPr>
      <w:rFonts w:ascii="Times New Roman" w:eastAsia="Times New Roman" w:hAnsi="Times New Roman" w:cs="Times New Roman"/>
      <w:sz w:val="24"/>
    </w:rPr>
  </w:style>
  <w:style w:type="paragraph" w:customStyle="1" w:styleId="Point2number">
    <w:name w:val="Point 2 (number)"/>
    <w:basedOn w:val="Normal"/>
    <w:pPr>
      <w:tabs>
        <w:tab w:val="num" w:pos="1984"/>
      </w:tabs>
      <w:spacing w:before="120" w:after="120" w:line="240" w:lineRule="auto"/>
      <w:ind w:left="1984" w:hanging="567"/>
      <w:jc w:val="both"/>
    </w:pPr>
    <w:rPr>
      <w:rFonts w:ascii="Times New Roman" w:eastAsia="Times New Roman" w:hAnsi="Times New Roman" w:cs="Times New Roman"/>
      <w:sz w:val="24"/>
    </w:rPr>
  </w:style>
  <w:style w:type="paragraph" w:customStyle="1" w:styleId="Point3number">
    <w:name w:val="Point 3 (number)"/>
    <w:basedOn w:val="Normal"/>
    <w:pPr>
      <w:tabs>
        <w:tab w:val="num" w:pos="2551"/>
      </w:tabs>
      <w:spacing w:before="120" w:after="120" w:line="240" w:lineRule="auto"/>
      <w:ind w:left="2551" w:hanging="567"/>
      <w:jc w:val="both"/>
    </w:pPr>
    <w:rPr>
      <w:rFonts w:ascii="Times New Roman" w:eastAsia="Times New Roman" w:hAnsi="Times New Roman" w:cs="Times New Roman"/>
      <w:sz w:val="24"/>
    </w:rPr>
  </w:style>
  <w:style w:type="paragraph" w:customStyle="1" w:styleId="Point0letter">
    <w:name w:val="Point 0 (letter)"/>
    <w:basedOn w:val="Normal"/>
    <w:pPr>
      <w:tabs>
        <w:tab w:val="num" w:pos="850"/>
      </w:tabs>
      <w:spacing w:before="120" w:after="120" w:line="240" w:lineRule="auto"/>
      <w:ind w:left="850" w:hanging="850"/>
      <w:jc w:val="both"/>
    </w:pPr>
    <w:rPr>
      <w:rFonts w:ascii="Times New Roman" w:eastAsia="Times New Roman" w:hAnsi="Times New Roman" w:cs="Times New Roman"/>
      <w:sz w:val="24"/>
    </w:rPr>
  </w:style>
  <w:style w:type="paragraph" w:customStyle="1" w:styleId="Point1letter">
    <w:name w:val="Point 1 (letter)"/>
    <w:basedOn w:val="Normal"/>
    <w:pPr>
      <w:tabs>
        <w:tab w:val="num" w:pos="1417"/>
      </w:tabs>
      <w:spacing w:before="120" w:after="120" w:line="240" w:lineRule="auto"/>
      <w:ind w:left="1417" w:hanging="567"/>
      <w:jc w:val="both"/>
    </w:pPr>
    <w:rPr>
      <w:rFonts w:ascii="Times New Roman" w:eastAsia="Times New Roman" w:hAnsi="Times New Roman" w:cs="Times New Roman"/>
      <w:sz w:val="24"/>
    </w:rPr>
  </w:style>
  <w:style w:type="paragraph" w:customStyle="1" w:styleId="Point2letter">
    <w:name w:val="Point 2 (letter)"/>
    <w:basedOn w:val="Normal"/>
    <w:pPr>
      <w:tabs>
        <w:tab w:val="num" w:pos="1984"/>
      </w:tabs>
      <w:spacing w:before="120" w:after="120" w:line="240" w:lineRule="auto"/>
      <w:ind w:left="1984" w:hanging="567"/>
      <w:jc w:val="both"/>
    </w:pPr>
    <w:rPr>
      <w:rFonts w:ascii="Times New Roman" w:eastAsia="Times New Roman" w:hAnsi="Times New Roman" w:cs="Times New Roman"/>
      <w:sz w:val="24"/>
    </w:rPr>
  </w:style>
  <w:style w:type="paragraph" w:customStyle="1" w:styleId="Point3letter">
    <w:name w:val="Point 3 (letter)"/>
    <w:basedOn w:val="Normal"/>
    <w:pPr>
      <w:numPr>
        <w:ilvl w:val="7"/>
        <w:numId w:val="16"/>
      </w:numPr>
      <w:spacing w:before="120" w:after="120" w:line="240" w:lineRule="auto"/>
      <w:jc w:val="both"/>
    </w:pPr>
    <w:rPr>
      <w:rFonts w:ascii="Times New Roman" w:eastAsia="Times New Roman" w:hAnsi="Times New Roman" w:cs="Times New Roman"/>
      <w:sz w:val="24"/>
    </w:rPr>
  </w:style>
  <w:style w:type="paragraph" w:customStyle="1" w:styleId="Point4letter">
    <w:name w:val="Point 4 (letter)"/>
    <w:basedOn w:val="Normal"/>
    <w:pPr>
      <w:numPr>
        <w:ilvl w:val="8"/>
        <w:numId w:val="16"/>
      </w:numPr>
      <w:spacing w:before="120" w:after="120" w:line="240" w:lineRule="auto"/>
      <w:jc w:val="both"/>
    </w:pPr>
    <w:rPr>
      <w:rFonts w:ascii="Times New Roman" w:eastAsia="Times New Roman" w:hAnsi="Times New Roman" w:cs="Times New Roman"/>
      <w:sz w:val="24"/>
    </w:rPr>
  </w:style>
  <w:style w:type="paragraph" w:customStyle="1" w:styleId="Bullet0">
    <w:name w:val="Bullet 0"/>
    <w:basedOn w:val="Normal"/>
    <w:pPr>
      <w:numPr>
        <w:numId w:val="17"/>
      </w:numPr>
      <w:spacing w:before="120" w:after="120" w:line="240" w:lineRule="auto"/>
      <w:jc w:val="both"/>
    </w:pPr>
    <w:rPr>
      <w:rFonts w:ascii="Times New Roman" w:eastAsia="Times New Roman" w:hAnsi="Times New Roman" w:cs="Times New Roman"/>
      <w:sz w:val="24"/>
    </w:rPr>
  </w:style>
  <w:style w:type="paragraph" w:customStyle="1" w:styleId="Bullet1">
    <w:name w:val="Bullet 1"/>
    <w:basedOn w:val="Normal"/>
    <w:pPr>
      <w:numPr>
        <w:numId w:val="18"/>
      </w:numPr>
      <w:spacing w:before="120" w:after="120" w:line="240" w:lineRule="auto"/>
      <w:jc w:val="both"/>
    </w:pPr>
    <w:rPr>
      <w:rFonts w:ascii="Times New Roman" w:eastAsia="Times New Roman" w:hAnsi="Times New Roman" w:cs="Times New Roman"/>
      <w:sz w:val="24"/>
    </w:rPr>
  </w:style>
  <w:style w:type="paragraph" w:customStyle="1" w:styleId="Bullet2">
    <w:name w:val="Bullet 2"/>
    <w:basedOn w:val="Normal"/>
    <w:pPr>
      <w:numPr>
        <w:numId w:val="19"/>
      </w:numPr>
      <w:spacing w:before="120" w:after="120" w:line="240" w:lineRule="auto"/>
      <w:jc w:val="both"/>
    </w:pPr>
    <w:rPr>
      <w:rFonts w:ascii="Times New Roman" w:eastAsia="Times New Roman" w:hAnsi="Times New Roman" w:cs="Times New Roman"/>
      <w:sz w:val="24"/>
    </w:rPr>
  </w:style>
  <w:style w:type="paragraph" w:customStyle="1" w:styleId="Bullet3">
    <w:name w:val="Bullet 3"/>
    <w:basedOn w:val="Normal"/>
    <w:pPr>
      <w:numPr>
        <w:numId w:val="20"/>
      </w:numPr>
      <w:spacing w:before="120" w:after="120" w:line="240" w:lineRule="auto"/>
      <w:jc w:val="both"/>
    </w:pPr>
    <w:rPr>
      <w:rFonts w:ascii="Times New Roman" w:eastAsia="Times New Roman" w:hAnsi="Times New Roman" w:cs="Times New Roman"/>
      <w:sz w:val="24"/>
    </w:rPr>
  </w:style>
  <w:style w:type="paragraph" w:customStyle="1" w:styleId="Bullet4">
    <w:name w:val="Bullet 4"/>
    <w:basedOn w:val="Normal"/>
    <w:pPr>
      <w:numPr>
        <w:numId w:val="21"/>
      </w:numPr>
      <w:spacing w:before="120" w:after="120" w:line="240" w:lineRule="auto"/>
      <w:jc w:val="both"/>
    </w:pPr>
    <w:rPr>
      <w:rFonts w:ascii="Times New Roman" w:eastAsia="Times New Roman" w:hAnsi="Times New Roman" w:cs="Times New Roman"/>
      <w:sz w:val="24"/>
    </w:rPr>
  </w:style>
  <w:style w:type="paragraph" w:customStyle="1" w:styleId="Annexetitreexpos">
    <w:name w:val="Annexe titre (exposé)"/>
    <w:basedOn w:val="Normal"/>
    <w:next w:val="Normal"/>
    <w:pPr>
      <w:spacing w:before="120" w:after="120" w:line="240" w:lineRule="auto"/>
      <w:jc w:val="center"/>
    </w:pPr>
    <w:rPr>
      <w:rFonts w:ascii="Times New Roman" w:eastAsia="Times New Roman" w:hAnsi="Times New Roman" w:cs="Times New Roman"/>
      <w:b/>
      <w:sz w:val="24"/>
      <w:u w:val="single"/>
    </w:rPr>
  </w:style>
  <w:style w:type="paragraph" w:customStyle="1" w:styleId="Annexetitre">
    <w:name w:val="Annexe titre"/>
    <w:basedOn w:val="Normal"/>
    <w:next w:val="Normal"/>
    <w:pPr>
      <w:spacing w:before="120" w:after="120" w:line="240" w:lineRule="auto"/>
      <w:jc w:val="center"/>
    </w:pPr>
    <w:rPr>
      <w:rFonts w:ascii="Times New Roman" w:eastAsia="Times New Roman" w:hAnsi="Times New Roman" w:cs="Times New Roman"/>
      <w:b/>
      <w:sz w:val="24"/>
      <w:u w:val="single"/>
    </w:rPr>
  </w:style>
  <w:style w:type="paragraph" w:customStyle="1" w:styleId="Annexetitrefichefinancire">
    <w:name w:val="Annexe titre (fiche financière)"/>
    <w:basedOn w:val="Normal"/>
    <w:next w:val="Normal"/>
    <w:pPr>
      <w:spacing w:before="120" w:after="120" w:line="240" w:lineRule="auto"/>
      <w:jc w:val="center"/>
    </w:pPr>
    <w:rPr>
      <w:rFonts w:ascii="Times New Roman" w:eastAsia="Times New Roman" w:hAnsi="Times New Roman" w:cs="Times New Roman"/>
      <w:b/>
      <w:sz w:val="24"/>
      <w:u w:val="single"/>
    </w:rPr>
  </w:style>
  <w:style w:type="paragraph" w:customStyle="1" w:styleId="Fait">
    <w:name w:val="Fait à"/>
    <w:basedOn w:val="Normal"/>
    <w:next w:val="Institutionquisigne"/>
    <w:pPr>
      <w:keepNext/>
      <w:spacing w:before="120" w:after="0" w:line="240" w:lineRule="auto"/>
      <w:jc w:val="both"/>
    </w:pPr>
    <w:rPr>
      <w:rFonts w:ascii="Times New Roman" w:eastAsia="Times New Roman" w:hAnsi="Times New Roman" w:cs="Times New Roman"/>
      <w:sz w:val="24"/>
    </w:rPr>
  </w:style>
  <w:style w:type="paragraph" w:customStyle="1" w:styleId="Institutionquisigne">
    <w:name w:val="Institution qui signe"/>
    <w:basedOn w:val="Normal"/>
    <w:next w:val="Personnequisigne"/>
    <w:pPr>
      <w:keepNext/>
      <w:tabs>
        <w:tab w:val="left" w:pos="4252"/>
      </w:tabs>
      <w:spacing w:before="720" w:after="0" w:line="240" w:lineRule="auto"/>
      <w:jc w:val="both"/>
    </w:pPr>
    <w:rPr>
      <w:rFonts w:ascii="Times New Roman" w:eastAsia="Times New Roman" w:hAnsi="Times New Roman" w:cs="Times New Roman"/>
      <w:i/>
      <w:sz w:val="24"/>
    </w:rPr>
  </w:style>
  <w:style w:type="paragraph" w:customStyle="1" w:styleId="Personnequisigne">
    <w:name w:val="Personne qui signe"/>
    <w:basedOn w:val="Normal"/>
    <w:next w:val="Institutionquisigne"/>
    <w:pPr>
      <w:tabs>
        <w:tab w:val="left" w:pos="4252"/>
      </w:tabs>
      <w:spacing w:after="0" w:line="240" w:lineRule="auto"/>
    </w:pPr>
    <w:rPr>
      <w:rFonts w:ascii="Times New Roman" w:eastAsia="Times New Roman" w:hAnsi="Times New Roman" w:cs="Times New Roman"/>
      <w:i/>
      <w:sz w:val="24"/>
    </w:rPr>
  </w:style>
  <w:style w:type="paragraph" w:customStyle="1" w:styleId="Applicationdirecte">
    <w:name w:val="Application directe"/>
    <w:basedOn w:val="Normal"/>
    <w:next w:val="Fait"/>
    <w:pPr>
      <w:spacing w:before="480" w:after="120" w:line="240" w:lineRule="auto"/>
      <w:jc w:val="both"/>
    </w:pPr>
    <w:rPr>
      <w:rFonts w:ascii="Times New Roman" w:eastAsia="Times New Roman" w:hAnsi="Times New Roman" w:cs="Times New Roman"/>
      <w:sz w:val="24"/>
    </w:rPr>
  </w:style>
  <w:style w:type="paragraph" w:customStyle="1" w:styleId="Avertissementtitre">
    <w:name w:val="Avertissement titre"/>
    <w:basedOn w:val="Normal"/>
    <w:next w:val="Normal"/>
    <w:pPr>
      <w:keepNext/>
      <w:spacing w:before="480" w:after="120" w:line="240" w:lineRule="auto"/>
      <w:jc w:val="both"/>
    </w:pPr>
    <w:rPr>
      <w:rFonts w:ascii="Times New Roman" w:eastAsia="Times New Roman" w:hAnsi="Times New Roman" w:cs="Times New Roman"/>
      <w:sz w:val="24"/>
      <w:u w:val="single"/>
    </w:rPr>
  </w:style>
  <w:style w:type="paragraph" w:customStyle="1" w:styleId="Confidence">
    <w:name w:val="Confidence"/>
    <w:basedOn w:val="Normal"/>
    <w:next w:val="Normal"/>
    <w:pPr>
      <w:spacing w:before="360" w:after="120" w:line="240" w:lineRule="auto"/>
      <w:jc w:val="center"/>
    </w:pPr>
    <w:rPr>
      <w:rFonts w:ascii="Times New Roman" w:eastAsia="Times New Roman" w:hAnsi="Times New Roman" w:cs="Times New Roman"/>
      <w:sz w:val="24"/>
    </w:rPr>
  </w:style>
  <w:style w:type="paragraph" w:customStyle="1" w:styleId="TypedudocumentPagedecouverture">
    <w:name w:val="Type du document (Page de couverture)"/>
    <w:basedOn w:val="Typedudocument"/>
    <w:next w:val="TitreobjetPagedecouverture"/>
    <w:rPr>
      <w:rFonts w:eastAsia="Times New Roman"/>
    </w:rPr>
  </w:style>
  <w:style w:type="paragraph" w:customStyle="1" w:styleId="TitreobjetPagedecouverture">
    <w:name w:val="Titre objet (Page de couverture)"/>
    <w:basedOn w:val="Titreobjet"/>
    <w:next w:val="IntrtEEEPagedecouverture"/>
  </w:style>
  <w:style w:type="paragraph" w:customStyle="1" w:styleId="Sous-titreobjetPagedecouverture">
    <w:name w:val="Sous-titre objet (Page de couverture)"/>
    <w:basedOn w:val="Sous-titreobjet"/>
  </w:style>
  <w:style w:type="paragraph" w:customStyle="1" w:styleId="Sous-titreobjet">
    <w:name w:val="Sous-titre objet"/>
    <w:basedOn w:val="Normal"/>
    <w:pPr>
      <w:spacing w:after="0" w:line="240" w:lineRule="auto"/>
      <w:jc w:val="center"/>
    </w:pPr>
    <w:rPr>
      <w:rFonts w:ascii="Times New Roman" w:eastAsia="Times New Roman" w:hAnsi="Times New Roman" w:cs="Times New Roman"/>
      <w:b/>
      <w:sz w:val="24"/>
    </w:rPr>
  </w:style>
  <w:style w:type="paragraph" w:customStyle="1" w:styleId="Confidentialit">
    <w:name w:val="Confidentialité"/>
    <w:basedOn w:val="Normal"/>
    <w:next w:val="TypedudocumentPagedecouverture"/>
    <w:pPr>
      <w:spacing w:before="240" w:after="240" w:line="240" w:lineRule="auto"/>
      <w:ind w:left="5103"/>
    </w:pPr>
    <w:rPr>
      <w:rFonts w:ascii="Times New Roman" w:eastAsia="Times New Roman" w:hAnsi="Times New Roman" w:cs="Times New Roman"/>
      <w:i/>
      <w:sz w:val="32"/>
    </w:rPr>
  </w:style>
  <w:style w:type="paragraph" w:customStyle="1" w:styleId="Considrant">
    <w:name w:val="Considérant"/>
    <w:basedOn w:val="Normal"/>
    <w:pPr>
      <w:numPr>
        <w:numId w:val="22"/>
      </w:numPr>
      <w:spacing w:before="120" w:after="120" w:line="240" w:lineRule="auto"/>
      <w:jc w:val="both"/>
    </w:pPr>
    <w:rPr>
      <w:rFonts w:ascii="Times New Roman" w:eastAsia="Times New Roman" w:hAnsi="Times New Roman" w:cs="Times New Roman"/>
      <w:sz w:val="24"/>
    </w:rPr>
  </w:style>
  <w:style w:type="paragraph" w:customStyle="1" w:styleId="Corrigendum">
    <w:name w:val="Corrigendum"/>
    <w:basedOn w:val="Normal"/>
    <w:next w:val="Normal"/>
    <w:pPr>
      <w:spacing w:after="240" w:line="240" w:lineRule="auto"/>
    </w:pPr>
    <w:rPr>
      <w:rFonts w:ascii="Times New Roman" w:eastAsia="Times New Roman" w:hAnsi="Times New Roman" w:cs="Times New Roman"/>
      <w:sz w:val="24"/>
    </w:rPr>
  </w:style>
  <w:style w:type="paragraph" w:customStyle="1" w:styleId="Datedadoption">
    <w:name w:val="Date d'adoption"/>
    <w:basedOn w:val="Normal"/>
    <w:next w:val="Titreobjet"/>
    <w:pPr>
      <w:spacing w:before="360" w:after="0" w:line="240" w:lineRule="auto"/>
      <w:jc w:val="center"/>
    </w:pPr>
    <w:rPr>
      <w:rFonts w:ascii="Times New Roman" w:eastAsia="Times New Roman" w:hAnsi="Times New Roman" w:cs="Times New Roman"/>
      <w:b/>
      <w:sz w:val="24"/>
    </w:rPr>
  </w:style>
  <w:style w:type="paragraph" w:customStyle="1" w:styleId="Rfrenceinstitutionnelle">
    <w:name w:val="Référence institutionnelle"/>
    <w:basedOn w:val="Normal"/>
    <w:next w:val="Confidentialit"/>
    <w:pPr>
      <w:spacing w:after="240" w:line="240" w:lineRule="auto"/>
      <w:ind w:left="5103"/>
    </w:pPr>
    <w:rPr>
      <w:rFonts w:ascii="Times New Roman" w:eastAsia="Times New Roman" w:hAnsi="Times New Roman" w:cs="Times New Roman"/>
      <w:sz w:val="24"/>
    </w:rPr>
  </w:style>
  <w:style w:type="paragraph" w:customStyle="1" w:styleId="Emission">
    <w:name w:val="Emission"/>
    <w:basedOn w:val="Normal"/>
    <w:next w:val="Rfrenceinstitutionnelle"/>
    <w:pPr>
      <w:spacing w:after="0" w:line="240" w:lineRule="auto"/>
      <w:ind w:left="5103"/>
    </w:pPr>
    <w:rPr>
      <w:rFonts w:ascii="Times New Roman" w:eastAsia="Times New Roman" w:hAnsi="Times New Roman" w:cs="Times New Roman"/>
      <w:sz w:val="24"/>
    </w:rPr>
  </w:style>
  <w:style w:type="paragraph" w:customStyle="1" w:styleId="Exposdesmotifstitre">
    <w:name w:val="Exposé des motifs titre"/>
    <w:basedOn w:val="Normal"/>
    <w:next w:val="Normal"/>
    <w:pPr>
      <w:spacing w:before="120" w:after="120" w:line="240" w:lineRule="auto"/>
      <w:jc w:val="center"/>
    </w:pPr>
    <w:rPr>
      <w:rFonts w:ascii="Times New Roman" w:eastAsia="Times New Roman" w:hAnsi="Times New Roman" w:cs="Times New Roman"/>
      <w:b/>
      <w:sz w:val="24"/>
      <w:u w:val="single"/>
    </w:rPr>
  </w:style>
  <w:style w:type="paragraph" w:customStyle="1" w:styleId="Titrearticle">
    <w:name w:val="Titre article"/>
    <w:basedOn w:val="Normal"/>
    <w:next w:val="Normal"/>
    <w:pPr>
      <w:keepNext/>
      <w:spacing w:before="360" w:after="120" w:line="240" w:lineRule="auto"/>
      <w:jc w:val="center"/>
    </w:pPr>
    <w:rPr>
      <w:rFonts w:ascii="Times New Roman" w:eastAsia="Times New Roman" w:hAnsi="Times New Roman" w:cs="Times New Roman"/>
      <w:i/>
      <w:sz w:val="24"/>
    </w:rPr>
  </w:style>
  <w:style w:type="paragraph" w:customStyle="1" w:styleId="Formuledadoption">
    <w:name w:val="Formule d'adoption"/>
    <w:basedOn w:val="Normal"/>
    <w:next w:val="Titrearticle"/>
    <w:pPr>
      <w:keepNext/>
      <w:spacing w:before="120" w:after="120" w:line="240" w:lineRule="auto"/>
      <w:jc w:val="both"/>
    </w:pPr>
    <w:rPr>
      <w:rFonts w:ascii="Times New Roman" w:eastAsia="Times New Roman" w:hAnsi="Times New Roman" w:cs="Times New Roman"/>
      <w:sz w:val="24"/>
    </w:rPr>
  </w:style>
  <w:style w:type="paragraph" w:customStyle="1" w:styleId="Institutionquiagit">
    <w:name w:val="Institution qui agit"/>
    <w:basedOn w:val="Normal"/>
    <w:next w:val="Normal"/>
    <w:pPr>
      <w:keepNext/>
      <w:spacing w:before="600" w:after="120" w:line="240" w:lineRule="auto"/>
      <w:jc w:val="both"/>
    </w:pPr>
    <w:rPr>
      <w:rFonts w:ascii="Times New Roman" w:eastAsia="Times New Roman" w:hAnsi="Times New Roman" w:cs="Times New Roman"/>
      <w:sz w:val="24"/>
    </w:rPr>
  </w:style>
  <w:style w:type="paragraph" w:customStyle="1" w:styleId="Rfrenceinterne">
    <w:name w:val="Référence interne"/>
    <w:basedOn w:val="Normal"/>
    <w:next w:val="Rfrenceinterinstitutionnelle"/>
    <w:pPr>
      <w:spacing w:after="0" w:line="240" w:lineRule="auto"/>
      <w:ind w:left="5103"/>
    </w:pPr>
    <w:rPr>
      <w:rFonts w:ascii="Times New Roman" w:eastAsia="Times New Roman" w:hAnsi="Times New Roman" w:cs="Times New Roman"/>
      <w:sz w:val="24"/>
    </w:rPr>
  </w:style>
  <w:style w:type="paragraph" w:customStyle="1" w:styleId="Rfrenceinterinstitutionnelle">
    <w:name w:val="Référence interinstitutionnelle"/>
    <w:basedOn w:val="Normal"/>
    <w:next w:val="Statut"/>
    <w:pPr>
      <w:spacing w:after="0" w:line="240" w:lineRule="auto"/>
      <w:ind w:left="5103"/>
    </w:pPr>
    <w:rPr>
      <w:rFonts w:ascii="Times New Roman" w:eastAsia="Times New Roman" w:hAnsi="Times New Roman" w:cs="Times New Roman"/>
      <w:sz w:val="24"/>
    </w:rPr>
  </w:style>
  <w:style w:type="paragraph" w:customStyle="1" w:styleId="Statut">
    <w:name w:val="Statut"/>
    <w:basedOn w:val="Normal"/>
    <w:next w:val="Typedudocument"/>
    <w:pPr>
      <w:spacing w:before="360" w:after="0" w:line="240" w:lineRule="auto"/>
      <w:jc w:val="center"/>
    </w:pPr>
    <w:rPr>
      <w:rFonts w:ascii="Times New Roman" w:eastAsia="Times New Roman" w:hAnsi="Times New Roman" w:cs="Times New Roman"/>
      <w:sz w:val="24"/>
    </w:rPr>
  </w:style>
  <w:style w:type="paragraph" w:customStyle="1" w:styleId="Langue">
    <w:name w:val="Langue"/>
    <w:basedOn w:val="Normal"/>
    <w:next w:val="Rfrenceinterne"/>
    <w:pPr>
      <w:framePr w:wrap="around" w:vAnchor="page" w:hAnchor="text" w:xAlign="center" w:y="14741"/>
      <w:spacing w:after="600" w:line="240" w:lineRule="auto"/>
      <w:jc w:val="center"/>
    </w:pPr>
    <w:rPr>
      <w:rFonts w:ascii="Times New Roman" w:eastAsia="Times New Roman" w:hAnsi="Times New Roman" w:cs="Times New Roman"/>
      <w:b/>
      <w:caps/>
      <w:sz w:val="24"/>
    </w:rPr>
  </w:style>
  <w:style w:type="paragraph" w:customStyle="1" w:styleId="ManualConsidrant">
    <w:name w:val="Manual Considérant"/>
    <w:basedOn w:val="Normal"/>
    <w:pPr>
      <w:spacing w:before="120" w:after="120" w:line="240" w:lineRule="auto"/>
      <w:ind w:left="709" w:hanging="709"/>
      <w:jc w:val="both"/>
    </w:pPr>
    <w:rPr>
      <w:rFonts w:ascii="Times New Roman" w:eastAsia="Times New Roman" w:hAnsi="Times New Roman" w:cs="Times New Roman"/>
      <w:sz w:val="24"/>
    </w:rPr>
  </w:style>
  <w:style w:type="paragraph" w:customStyle="1" w:styleId="Nomdelinstitution">
    <w:name w:val="Nom de l'institution"/>
    <w:basedOn w:val="Normal"/>
    <w:next w:val="Emission"/>
    <w:pPr>
      <w:spacing w:after="0" w:line="240" w:lineRule="auto"/>
    </w:pPr>
    <w:rPr>
      <w:rFonts w:ascii="Arial" w:eastAsia="Times New Roman" w:hAnsi="Arial" w:cs="Arial"/>
      <w:sz w:val="24"/>
    </w:rPr>
  </w:style>
  <w:style w:type="paragraph" w:customStyle="1" w:styleId="Address">
    <w:name w:val="Address"/>
    <w:basedOn w:val="Normal"/>
    <w:next w:val="Normal"/>
    <w:pPr>
      <w:keepLines/>
      <w:spacing w:before="120" w:after="120" w:line="360" w:lineRule="auto"/>
      <w:ind w:left="3402"/>
    </w:pPr>
    <w:rPr>
      <w:rFonts w:ascii="Times New Roman" w:eastAsia="Times New Roman" w:hAnsi="Times New Roman" w:cs="Times New Roman"/>
      <w:sz w:val="24"/>
    </w:rPr>
  </w:style>
  <w:style w:type="paragraph" w:customStyle="1" w:styleId="Objetexterne">
    <w:name w:val="Objet externe"/>
    <w:basedOn w:val="Normal"/>
    <w:next w:val="Normal"/>
    <w:pPr>
      <w:spacing w:before="120" w:after="120" w:line="240" w:lineRule="auto"/>
      <w:jc w:val="both"/>
    </w:pPr>
    <w:rPr>
      <w:rFonts w:ascii="Times New Roman" w:eastAsia="Times New Roman" w:hAnsi="Times New Roman" w:cs="Times New Roman"/>
      <w:i/>
      <w:caps/>
      <w:sz w:val="24"/>
    </w:rPr>
  </w:style>
  <w:style w:type="paragraph" w:customStyle="1" w:styleId="Supertitre">
    <w:name w:val="Supertitre"/>
    <w:basedOn w:val="Normal"/>
    <w:next w:val="Normal"/>
    <w:pPr>
      <w:spacing w:after="600" w:line="240" w:lineRule="auto"/>
      <w:jc w:val="center"/>
    </w:pPr>
    <w:rPr>
      <w:rFonts w:ascii="Times New Roman" w:eastAsia="Times New Roman" w:hAnsi="Times New Roman" w:cs="Times New Roman"/>
      <w:b/>
      <w:sz w:val="24"/>
    </w:rPr>
  </w:style>
  <w:style w:type="paragraph" w:customStyle="1" w:styleId="Languesfaisantfoi">
    <w:name w:val="Langues faisant foi"/>
    <w:basedOn w:val="Normal"/>
    <w:next w:val="Normal"/>
    <w:pPr>
      <w:spacing w:before="360" w:after="0" w:line="240" w:lineRule="auto"/>
      <w:jc w:val="center"/>
    </w:pPr>
    <w:rPr>
      <w:rFonts w:ascii="Times New Roman" w:eastAsia="Times New Roman" w:hAnsi="Times New Roman" w:cs="Times New Roman"/>
      <w:sz w:val="24"/>
    </w:rPr>
  </w:style>
  <w:style w:type="paragraph" w:customStyle="1" w:styleId="Rfrencecroise">
    <w:name w:val="Référence croisée"/>
    <w:basedOn w:val="Normal"/>
    <w:pPr>
      <w:spacing w:after="0" w:line="240" w:lineRule="auto"/>
      <w:jc w:val="center"/>
    </w:pPr>
    <w:rPr>
      <w:rFonts w:ascii="Times New Roman" w:eastAsia="Times New Roman" w:hAnsi="Times New Roman" w:cs="Times New Roman"/>
      <w:sz w:val="24"/>
    </w:rPr>
  </w:style>
  <w:style w:type="paragraph" w:customStyle="1" w:styleId="Fichefinanciretitre">
    <w:name w:val="Fiche financière titre"/>
    <w:basedOn w:val="Normal"/>
    <w:next w:val="Normal"/>
    <w:pPr>
      <w:spacing w:before="120" w:after="120" w:line="240" w:lineRule="auto"/>
      <w:jc w:val="center"/>
    </w:pPr>
    <w:rPr>
      <w:rFonts w:ascii="Times New Roman" w:eastAsia="Times New Roman" w:hAnsi="Times New Roman" w:cs="Times New Roman"/>
      <w:b/>
      <w:sz w:val="24"/>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Volume">
    <w:name w:val="Volume"/>
    <w:basedOn w:val="Normal"/>
    <w:next w:val="Confidentialit"/>
    <w:pPr>
      <w:spacing w:after="240" w:line="240" w:lineRule="auto"/>
      <w:ind w:left="5103"/>
    </w:pPr>
    <w:rPr>
      <w:rFonts w:ascii="Times New Roman" w:eastAsia="Times New Roman" w:hAnsi="Times New Roman" w:cs="Times New Roman"/>
      <w:sz w:val="24"/>
    </w:rPr>
  </w:style>
  <w:style w:type="paragraph" w:customStyle="1" w:styleId="IntrtEEE">
    <w:name w:val="Intérêt EEE"/>
    <w:basedOn w:val="Languesfaisantfoi"/>
    <w:next w:val="Normal"/>
    <w:pPr>
      <w:spacing w:after="240"/>
    </w:pPr>
  </w:style>
  <w:style w:type="paragraph" w:customStyle="1" w:styleId="Typeacteprincipal">
    <w:name w:val="Type acte principal"/>
    <w:basedOn w:val="Normal"/>
    <w:next w:val="Objetacteprincipal"/>
    <w:pPr>
      <w:spacing w:after="240" w:line="240" w:lineRule="auto"/>
      <w:jc w:val="center"/>
    </w:pPr>
    <w:rPr>
      <w:rFonts w:ascii="Times New Roman" w:eastAsia="Times New Roman" w:hAnsi="Times New Roman" w:cs="Times New Roman"/>
      <w:b/>
      <w:sz w:val="24"/>
    </w:rPr>
  </w:style>
  <w:style w:type="paragraph" w:customStyle="1" w:styleId="Objetacteprincipal">
    <w:name w:val="Objet acte principal"/>
    <w:basedOn w:val="Normal"/>
    <w:next w:val="Titrearticle"/>
    <w:pPr>
      <w:spacing w:after="360" w:line="240" w:lineRule="auto"/>
      <w:jc w:val="center"/>
    </w:pPr>
    <w:rPr>
      <w:rFonts w:ascii="Times New Roman" w:eastAsia="Times New Roman" w:hAnsi="Times New Roman" w:cs="Times New Roman"/>
      <w:b/>
      <w:sz w:val="24"/>
    </w:rPr>
  </w:style>
  <w:style w:type="paragraph" w:customStyle="1" w:styleId="Accompagnant">
    <w:name w:val="Accompagnant"/>
    <w:basedOn w:val="Normal"/>
    <w:next w:val="Typeacteprincipal"/>
    <w:pPr>
      <w:spacing w:after="240" w:line="240" w:lineRule="auto"/>
      <w:jc w:val="center"/>
    </w:pPr>
    <w:rPr>
      <w:rFonts w:ascii="Times New Roman" w:eastAsia="Times New Roman" w:hAnsi="Times New Roman" w:cs="Times New Roman"/>
      <w:b/>
      <w:i/>
      <w:sz w:val="24"/>
    </w:rPr>
  </w:style>
  <w:style w:type="paragraph" w:customStyle="1" w:styleId="IntrtEEEPagedecouverture">
    <w:name w:val="Intérêt EEE (Page de couverture)"/>
    <w:basedOn w:val="IntrtEEE"/>
    <w:next w:val="Rfrencecrois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AccompagnantPagedecouverture">
    <w:name w:val="Accompagnant (Page de couverture)"/>
    <w:basedOn w:val="Accompagnant"/>
    <w:next w:val="TypeacteprincipalPagedecouverture"/>
  </w:style>
  <w:style w:type="paragraph" w:customStyle="1" w:styleId="LanguesfaisantfoiPagedecouverture">
    <w:name w:val="Langues faisant foi (Page de couverture)"/>
    <w:basedOn w:val="Normal"/>
    <w:next w:val="Normal"/>
    <w:pPr>
      <w:spacing w:before="360" w:after="0" w:line="240" w:lineRule="auto"/>
      <w:jc w:val="center"/>
    </w:pPr>
    <w:rPr>
      <w:rFonts w:ascii="Times New Roman" w:eastAsia="Times New Roman" w:hAnsi="Times New Roman" w:cs="Times New Roman"/>
      <w:sz w:val="24"/>
    </w:rPr>
  </w:style>
  <w:style w:type="character" w:styleId="FootnoteReference">
    <w:name w:val="footnote reference"/>
    <w:uiPriority w:val="99"/>
    <w:semiHidden/>
    <w:unhideWhenUsed/>
    <w:rPr>
      <w:vertAlign w:val="superscript"/>
    </w:rPr>
  </w:style>
  <w:style w:type="character" w:customStyle="1" w:styleId="Marker1">
    <w:name w:val="Marker1"/>
    <w:rPr>
      <w:color w:val="008000"/>
    </w:rPr>
  </w:style>
  <w:style w:type="character" w:customStyle="1" w:styleId="Marker2">
    <w:name w:val="Marker2"/>
    <w:rPr>
      <w:color w:val="FF0000"/>
    </w:rPr>
  </w:style>
  <w:style w:type="character" w:customStyle="1" w:styleId="Added">
    <w:name w:val="Added"/>
    <w:rPr>
      <w:b/>
      <w:bCs w:val="0"/>
      <w:u w:val="single"/>
    </w:rPr>
  </w:style>
  <w:style w:type="character" w:customStyle="1" w:styleId="Deleted">
    <w:name w:val="Deleted"/>
    <w:rPr>
      <w:strike/>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cs-CZ" w:bidi="cs-CZ"/>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able of figures"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Text1"/>
    <w:link w:val="Heading1Char"/>
    <w:uiPriority w:val="9"/>
    <w:qFormat/>
    <w:pPr>
      <w:keepNext/>
      <w:numPr>
        <w:numId w:val="1"/>
      </w:numPr>
      <w:spacing w:before="360" w:after="120" w:line="240" w:lineRule="auto"/>
      <w:jc w:val="both"/>
      <w:outlineLvl w:val="0"/>
    </w:pPr>
    <w:rPr>
      <w:rFonts w:ascii="Times New Roman" w:eastAsia="Times New Roman" w:hAnsi="Times New Roman" w:cs="Times New Roman"/>
      <w:b/>
      <w:bCs/>
      <w:smallCaps/>
      <w:sz w:val="24"/>
      <w:szCs w:val="28"/>
    </w:rPr>
  </w:style>
  <w:style w:type="paragraph" w:styleId="Heading2">
    <w:name w:val="heading 2"/>
    <w:basedOn w:val="Normal"/>
    <w:next w:val="Text1"/>
    <w:link w:val="Heading2Char"/>
    <w:uiPriority w:val="9"/>
    <w:unhideWhenUsed/>
    <w:qFormat/>
    <w:pPr>
      <w:keepNext/>
      <w:numPr>
        <w:ilvl w:val="1"/>
        <w:numId w:val="1"/>
      </w:numPr>
      <w:spacing w:before="120" w:after="120" w:line="240" w:lineRule="auto"/>
      <w:jc w:val="both"/>
      <w:outlineLvl w:val="1"/>
    </w:pPr>
    <w:rPr>
      <w:rFonts w:ascii="Times New Roman" w:eastAsia="Times New Roman" w:hAnsi="Times New Roman" w:cs="Times New Roman"/>
      <w:b/>
      <w:bCs/>
      <w:sz w:val="24"/>
      <w:szCs w:val="26"/>
    </w:rPr>
  </w:style>
  <w:style w:type="paragraph" w:styleId="Heading3">
    <w:name w:val="heading 3"/>
    <w:basedOn w:val="Normal"/>
    <w:next w:val="Text1"/>
    <w:link w:val="Heading3Char"/>
    <w:uiPriority w:val="9"/>
    <w:semiHidden/>
    <w:unhideWhenUsed/>
    <w:qFormat/>
    <w:pPr>
      <w:keepNext/>
      <w:numPr>
        <w:ilvl w:val="2"/>
        <w:numId w:val="1"/>
      </w:numPr>
      <w:spacing w:before="120" w:after="120" w:line="240" w:lineRule="auto"/>
      <w:jc w:val="both"/>
      <w:outlineLvl w:val="2"/>
    </w:pPr>
    <w:rPr>
      <w:rFonts w:ascii="Times New Roman" w:eastAsia="Times New Roman" w:hAnsi="Times New Roman" w:cs="Times New Roman"/>
      <w:bCs/>
      <w:i/>
      <w:sz w:val="24"/>
    </w:rPr>
  </w:style>
  <w:style w:type="paragraph" w:styleId="Heading4">
    <w:name w:val="heading 4"/>
    <w:basedOn w:val="Normal"/>
    <w:next w:val="Text1"/>
    <w:link w:val="Heading4Char"/>
    <w:uiPriority w:val="9"/>
    <w:semiHidden/>
    <w:unhideWhenUsed/>
    <w:qFormat/>
    <w:pPr>
      <w:keepNext/>
      <w:numPr>
        <w:ilvl w:val="3"/>
        <w:numId w:val="1"/>
      </w:numPr>
      <w:spacing w:before="120" w:after="120" w:line="240" w:lineRule="auto"/>
      <w:jc w:val="both"/>
      <w:outlineLvl w:val="3"/>
    </w:pPr>
    <w:rPr>
      <w:rFonts w:ascii="Times New Roman" w:eastAsia="Times New Roman" w:hAnsi="Times New Roman" w:cs="Times New Roman"/>
      <w:bCs/>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spacing w:before="120" w:after="120" w:line="240" w:lineRule="auto"/>
      <w:ind w:left="850"/>
      <w:jc w:val="both"/>
    </w:pPr>
    <w:rPr>
      <w:rFonts w:ascii="Times New Roman" w:eastAsia="Times New Roman" w:hAnsi="Times New Roman" w:cs="Times New Roman"/>
      <w:sz w:val="24"/>
    </w:rPr>
  </w:style>
  <w:style w:type="character" w:customStyle="1" w:styleId="Heading1Char">
    <w:name w:val="Heading 1 Char"/>
    <w:basedOn w:val="DefaultParagraphFont"/>
    <w:link w:val="Heading1"/>
    <w:uiPriority w:val="9"/>
    <w:rPr>
      <w:rFonts w:ascii="Times New Roman" w:eastAsia="Times New Roman" w:hAnsi="Times New Roman" w:cs="Times New Roman"/>
      <w:b/>
      <w:bCs/>
      <w:smallCaps/>
      <w:sz w:val="24"/>
      <w:szCs w:val="28"/>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24"/>
      <w:szCs w:val="26"/>
    </w:rPr>
  </w:style>
  <w:style w:type="character" w:customStyle="1" w:styleId="Heading3Char">
    <w:name w:val="Heading 3 Char"/>
    <w:basedOn w:val="DefaultParagraphFont"/>
    <w:link w:val="Heading3"/>
    <w:uiPriority w:val="9"/>
    <w:semiHidden/>
    <w:rPr>
      <w:rFonts w:ascii="Times New Roman" w:eastAsia="Times New Roman" w:hAnsi="Times New Roman" w:cs="Times New Roman"/>
      <w:bCs/>
      <w:i/>
      <w:sz w:val="24"/>
    </w:rPr>
  </w:style>
  <w:style w:type="character" w:customStyle="1" w:styleId="Heading4Char">
    <w:name w:val="Heading 4 Char"/>
    <w:basedOn w:val="DefaultParagraphFont"/>
    <w:link w:val="Heading4"/>
    <w:uiPriority w:val="9"/>
    <w:semiHidden/>
    <w:rPr>
      <w:rFonts w:ascii="Times New Roman" w:eastAsia="Times New Roman" w:hAnsi="Times New Roman" w:cs="Times New Roman"/>
      <w:bCs/>
      <w:iCs/>
      <w:sz w:val="24"/>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Typedudocument">
    <w:name w:val="Type du document"/>
    <w:basedOn w:val="Normal"/>
    <w:next w:val="Normal"/>
    <w:link w:val="TypedudocumentChar"/>
    <w:pPr>
      <w:spacing w:before="360" w:after="0" w:line="240" w:lineRule="auto"/>
      <w:jc w:val="center"/>
    </w:pPr>
    <w:rPr>
      <w:rFonts w:ascii="Times New Roman" w:hAnsi="Times New Roman" w:cs="Times New Roman"/>
      <w:b/>
      <w:sz w:val="24"/>
    </w:rPr>
  </w:style>
  <w:style w:type="character" w:customStyle="1" w:styleId="TypedudocumentChar">
    <w:name w:val="Type du document Char"/>
    <w:basedOn w:val="DefaultParagraphFont"/>
    <w:link w:val="Typedudocument"/>
    <w:rPr>
      <w:rFonts w:ascii="Times New Roman" w:hAnsi="Times New Roman" w:cs="Times New Roman"/>
      <w:b/>
      <w:sz w:val="24"/>
    </w:rPr>
  </w:style>
  <w:style w:type="paragraph" w:customStyle="1" w:styleId="Titreobjet">
    <w:name w:val="Titre objet"/>
    <w:basedOn w:val="Normal"/>
    <w:next w:val="IntrtEEE"/>
    <w:pPr>
      <w:spacing w:before="360" w:after="360" w:line="240" w:lineRule="auto"/>
      <w:jc w:val="center"/>
    </w:pPr>
    <w:rPr>
      <w:rFonts w:ascii="Times New Roman" w:hAnsi="Times New Roman" w:cs="Times New Roman"/>
      <w:b/>
      <w:sz w:val="24"/>
    </w:rPr>
  </w:style>
  <w:style w:type="paragraph" w:styleId="TOC1">
    <w:name w:val="toc 1"/>
    <w:basedOn w:val="Normal"/>
    <w:next w:val="Normal"/>
    <w:autoRedefine/>
    <w:uiPriority w:val="39"/>
    <w:semiHidden/>
    <w:unhideWhenUsed/>
    <w:pPr>
      <w:tabs>
        <w:tab w:val="right" w:leader="dot" w:pos="9071"/>
      </w:tabs>
      <w:spacing w:before="60" w:after="120" w:line="240" w:lineRule="auto"/>
      <w:ind w:left="850" w:hanging="850"/>
    </w:pPr>
    <w:rPr>
      <w:rFonts w:ascii="Times New Roman" w:eastAsia="Times New Roman" w:hAnsi="Times New Roman" w:cs="Times New Roman"/>
      <w:sz w:val="24"/>
    </w:rPr>
  </w:style>
  <w:style w:type="paragraph" w:styleId="FootnoteText">
    <w:name w:val="footnote text"/>
    <w:basedOn w:val="Normal"/>
    <w:link w:val="FootnoteTextChar"/>
    <w:uiPriority w:val="99"/>
    <w:semiHidden/>
    <w:unhideWhenUsed/>
    <w:pPr>
      <w:spacing w:after="0" w:line="240" w:lineRule="auto"/>
      <w:ind w:left="720" w:hanging="72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cs-CZ"/>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lang w:eastAsia="cs-CZ"/>
    </w:rPr>
  </w:style>
  <w:style w:type="paragraph" w:styleId="CommentText">
    <w:name w:val="annotation text"/>
    <w:basedOn w:val="Normal"/>
    <w:link w:val="CommentTextChar"/>
    <w:semiHidden/>
    <w:unhideWhenUsed/>
    <w:pPr>
      <w:spacing w:before="120" w:after="12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Pr>
      <w:rFonts w:ascii="Times New Roman" w:eastAsia="Times New Roman" w:hAnsi="Times New Roman" w:cs="Times New Roman"/>
      <w:sz w:val="20"/>
      <w:szCs w:val="20"/>
      <w:lang w:eastAsia="cs-CZ"/>
    </w:rPr>
  </w:style>
  <w:style w:type="paragraph" w:styleId="EndnoteText">
    <w:name w:val="endnote text"/>
    <w:basedOn w:val="Normal"/>
    <w:link w:val="EndnoteTextChar"/>
    <w:semiHidden/>
    <w:unhideWhenUsed/>
    <w:pPr>
      <w:spacing w:before="120" w:after="120" w:line="240" w:lineRule="auto"/>
      <w:jc w:val="both"/>
    </w:pPr>
    <w:rPr>
      <w:rFonts w:ascii="Times New Roman" w:eastAsia="Times New Roman" w:hAnsi="Times New Roman" w:cs="Times New Roman"/>
      <w:sz w:val="20"/>
      <w:szCs w:val="20"/>
    </w:rPr>
  </w:style>
  <w:style w:type="paragraph" w:styleId="ListBullet">
    <w:name w:val="List Bullet"/>
    <w:basedOn w:val="Normal"/>
    <w:semiHidden/>
    <w:unhideWhenUsed/>
    <w:pPr>
      <w:numPr>
        <w:numId w:val="2"/>
      </w:numPr>
      <w:spacing w:before="120" w:after="120" w:line="240" w:lineRule="auto"/>
      <w:contextualSpacing/>
      <w:jc w:val="both"/>
    </w:pPr>
    <w:rPr>
      <w:rFonts w:ascii="Times New Roman" w:eastAsia="Times New Roman" w:hAnsi="Times New Roman" w:cs="Times New Roman"/>
      <w:sz w:val="24"/>
    </w:rPr>
  </w:style>
  <w:style w:type="paragraph" w:styleId="ListNumber">
    <w:name w:val="List Number"/>
    <w:basedOn w:val="Normal"/>
    <w:semiHidden/>
    <w:unhideWhenUsed/>
    <w:pPr>
      <w:numPr>
        <w:numId w:val="3"/>
      </w:numPr>
      <w:spacing w:before="120" w:after="120" w:line="240" w:lineRule="auto"/>
      <w:contextualSpacing/>
      <w:jc w:val="both"/>
    </w:pPr>
    <w:rPr>
      <w:rFonts w:ascii="Times New Roman" w:eastAsia="Times New Roman" w:hAnsi="Times New Roman" w:cs="Times New Roman"/>
      <w:sz w:val="24"/>
    </w:rPr>
  </w:style>
  <w:style w:type="paragraph" w:styleId="ListBullet2">
    <w:name w:val="List Bullet 2"/>
    <w:basedOn w:val="Normal"/>
    <w:semiHidden/>
    <w:unhideWhenUsed/>
    <w:pPr>
      <w:numPr>
        <w:numId w:val="4"/>
      </w:numPr>
      <w:spacing w:before="120" w:after="120" w:line="240" w:lineRule="auto"/>
      <w:contextualSpacing/>
      <w:jc w:val="both"/>
    </w:pPr>
    <w:rPr>
      <w:rFonts w:ascii="Times New Roman" w:eastAsia="Times New Roman" w:hAnsi="Times New Roman" w:cs="Times New Roman"/>
      <w:sz w:val="24"/>
    </w:rPr>
  </w:style>
  <w:style w:type="paragraph" w:styleId="ListBullet3">
    <w:name w:val="List Bullet 3"/>
    <w:basedOn w:val="Normal"/>
    <w:semiHidden/>
    <w:unhideWhenUsed/>
    <w:pPr>
      <w:numPr>
        <w:numId w:val="5"/>
      </w:numPr>
      <w:spacing w:before="120" w:after="120" w:line="240" w:lineRule="auto"/>
      <w:contextualSpacing/>
      <w:jc w:val="both"/>
    </w:pPr>
    <w:rPr>
      <w:rFonts w:ascii="Times New Roman" w:eastAsia="Times New Roman" w:hAnsi="Times New Roman" w:cs="Times New Roman"/>
      <w:sz w:val="24"/>
    </w:rPr>
  </w:style>
  <w:style w:type="paragraph" w:styleId="ListBullet4">
    <w:name w:val="List Bullet 4"/>
    <w:basedOn w:val="Normal"/>
    <w:semiHidden/>
    <w:unhideWhenUsed/>
    <w:pPr>
      <w:numPr>
        <w:numId w:val="6"/>
      </w:numPr>
      <w:spacing w:before="120" w:after="120" w:line="240" w:lineRule="auto"/>
      <w:contextualSpacing/>
      <w:jc w:val="both"/>
    </w:pPr>
    <w:rPr>
      <w:rFonts w:ascii="Times New Roman" w:eastAsia="Times New Roman" w:hAnsi="Times New Roman" w:cs="Times New Roman"/>
      <w:sz w:val="24"/>
    </w:rPr>
  </w:style>
  <w:style w:type="paragraph" w:styleId="ListNumber2">
    <w:name w:val="List Number 2"/>
    <w:basedOn w:val="Normal"/>
    <w:semiHidden/>
    <w:unhideWhenUsed/>
    <w:pPr>
      <w:numPr>
        <w:numId w:val="7"/>
      </w:numPr>
      <w:spacing w:before="120" w:after="120" w:line="240" w:lineRule="auto"/>
      <w:contextualSpacing/>
      <w:jc w:val="both"/>
    </w:pPr>
    <w:rPr>
      <w:rFonts w:ascii="Times New Roman" w:eastAsia="Times New Roman" w:hAnsi="Times New Roman" w:cs="Times New Roman"/>
      <w:sz w:val="24"/>
    </w:rPr>
  </w:style>
  <w:style w:type="paragraph" w:styleId="ListNumber3">
    <w:name w:val="List Number 3"/>
    <w:basedOn w:val="Normal"/>
    <w:semiHidden/>
    <w:unhideWhenUsed/>
    <w:pPr>
      <w:numPr>
        <w:numId w:val="8"/>
      </w:numPr>
      <w:spacing w:before="120" w:after="120" w:line="240" w:lineRule="auto"/>
      <w:contextualSpacing/>
      <w:jc w:val="both"/>
    </w:pPr>
    <w:rPr>
      <w:rFonts w:ascii="Times New Roman" w:eastAsia="Times New Roman" w:hAnsi="Times New Roman" w:cs="Times New Roman"/>
      <w:sz w:val="24"/>
    </w:rPr>
  </w:style>
  <w:style w:type="paragraph" w:styleId="ListNumber4">
    <w:name w:val="List Number 4"/>
    <w:basedOn w:val="Normal"/>
    <w:semiHidden/>
    <w:unhideWhenUsed/>
    <w:pPr>
      <w:numPr>
        <w:numId w:val="9"/>
      </w:numPr>
      <w:spacing w:before="120" w:after="120" w:line="240" w:lineRule="auto"/>
      <w:contextualSpacing/>
      <w:jc w:val="both"/>
    </w:pPr>
    <w:rPr>
      <w:rFonts w:ascii="Times New Roman" w:eastAsia="Times New Roman" w:hAnsi="Times New Roman" w:cs="Times New Roman"/>
      <w:sz w:val="24"/>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lang w:eastAsia="cs-CZ"/>
    </w:rPr>
  </w:style>
  <w:style w:type="paragraph" w:styleId="CommentSubject">
    <w:name w:val="annotation subject"/>
    <w:basedOn w:val="CommentText"/>
    <w:next w:val="CommentText"/>
    <w:link w:val="CommentSubjectChar"/>
    <w:semiHidden/>
    <w:unhideWhenUsed/>
    <w:rPr>
      <w:b/>
      <w:bCs/>
    </w:rPr>
  </w:style>
  <w:style w:type="paragraph" w:styleId="BalloonText">
    <w:name w:val="Balloon Text"/>
    <w:basedOn w:val="Normal"/>
    <w:link w:val="BalloonTextChar"/>
    <w:semiHidden/>
    <w:unhideWhenUsed/>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lang w:eastAsia="cs-CZ"/>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Text2">
    <w:name w:val="Text 2"/>
    <w:basedOn w:val="Normal"/>
    <w:pPr>
      <w:spacing w:before="120" w:after="120" w:line="240" w:lineRule="auto"/>
      <w:ind w:left="1417"/>
      <w:jc w:val="both"/>
    </w:pPr>
    <w:rPr>
      <w:rFonts w:ascii="Times New Roman" w:eastAsia="Times New Roman" w:hAnsi="Times New Roman" w:cs="Times New Roman"/>
      <w:sz w:val="24"/>
    </w:rPr>
  </w:style>
  <w:style w:type="paragraph" w:customStyle="1" w:styleId="Text3">
    <w:name w:val="Text 3"/>
    <w:basedOn w:val="Normal"/>
    <w:pPr>
      <w:spacing w:before="120" w:after="120" w:line="240" w:lineRule="auto"/>
      <w:ind w:left="1984"/>
      <w:jc w:val="both"/>
    </w:pPr>
    <w:rPr>
      <w:rFonts w:ascii="Times New Roman" w:eastAsia="Times New Roman" w:hAnsi="Times New Roman" w:cs="Times New Roman"/>
      <w:sz w:val="24"/>
    </w:rPr>
  </w:style>
  <w:style w:type="paragraph" w:customStyle="1" w:styleId="Text4">
    <w:name w:val="Text 4"/>
    <w:basedOn w:val="Normal"/>
    <w:pPr>
      <w:spacing w:before="120" w:after="120" w:line="240" w:lineRule="auto"/>
      <w:ind w:left="2551"/>
      <w:jc w:val="both"/>
    </w:pPr>
    <w:rPr>
      <w:rFonts w:ascii="Times New Roman" w:eastAsia="Times New Roman" w:hAnsi="Times New Roman" w:cs="Times New Roman"/>
      <w:sz w:val="24"/>
    </w:rPr>
  </w:style>
  <w:style w:type="paragraph" w:customStyle="1" w:styleId="NormalCentered">
    <w:name w:val="Normal Centered"/>
    <w:basedOn w:val="Normal"/>
    <w:pPr>
      <w:spacing w:before="120" w:after="120" w:line="240" w:lineRule="auto"/>
      <w:jc w:val="center"/>
    </w:pPr>
    <w:rPr>
      <w:rFonts w:ascii="Times New Roman" w:eastAsia="Times New Roman" w:hAnsi="Times New Roman" w:cs="Times New Roman"/>
      <w:sz w:val="24"/>
    </w:rPr>
  </w:style>
  <w:style w:type="paragraph" w:customStyle="1" w:styleId="NormalLeft">
    <w:name w:val="Normal Left"/>
    <w:basedOn w:val="Normal"/>
    <w:pPr>
      <w:spacing w:before="120" w:after="120" w:line="240" w:lineRule="auto"/>
    </w:pPr>
    <w:rPr>
      <w:rFonts w:ascii="Times New Roman" w:eastAsia="Times New Roman" w:hAnsi="Times New Roman" w:cs="Times New Roman"/>
      <w:sz w:val="24"/>
    </w:rPr>
  </w:style>
  <w:style w:type="paragraph" w:customStyle="1" w:styleId="NormalRight">
    <w:name w:val="Normal Right"/>
    <w:basedOn w:val="Normal"/>
    <w:pPr>
      <w:spacing w:before="120" w:after="120" w:line="240" w:lineRule="auto"/>
      <w:jc w:val="right"/>
    </w:pPr>
    <w:rPr>
      <w:rFonts w:ascii="Times New Roman" w:eastAsia="Times New Roman" w:hAnsi="Times New Roman" w:cs="Times New Roman"/>
      <w:sz w:val="24"/>
    </w:rPr>
  </w:style>
  <w:style w:type="paragraph" w:customStyle="1" w:styleId="QuotedText">
    <w:name w:val="Quoted Text"/>
    <w:basedOn w:val="Normal"/>
    <w:pPr>
      <w:spacing w:before="120" w:after="120" w:line="240" w:lineRule="auto"/>
      <w:ind w:left="1417"/>
      <w:jc w:val="both"/>
    </w:pPr>
    <w:rPr>
      <w:rFonts w:ascii="Times New Roman" w:eastAsia="Times New Roman" w:hAnsi="Times New Roman" w:cs="Times New Roman"/>
      <w:sz w:val="24"/>
    </w:rPr>
  </w:style>
  <w:style w:type="paragraph" w:customStyle="1" w:styleId="Point0">
    <w:name w:val="Point 0"/>
    <w:basedOn w:val="Normal"/>
    <w:pPr>
      <w:spacing w:before="120" w:after="120" w:line="240" w:lineRule="auto"/>
      <w:ind w:left="850" w:hanging="850"/>
      <w:jc w:val="both"/>
    </w:pPr>
    <w:rPr>
      <w:rFonts w:ascii="Times New Roman" w:eastAsia="Times New Roman" w:hAnsi="Times New Roman" w:cs="Times New Roman"/>
      <w:sz w:val="24"/>
    </w:rPr>
  </w:style>
  <w:style w:type="paragraph" w:customStyle="1" w:styleId="Point1">
    <w:name w:val="Point 1"/>
    <w:basedOn w:val="Normal"/>
    <w:pPr>
      <w:spacing w:before="120" w:after="120" w:line="240" w:lineRule="auto"/>
      <w:ind w:left="1417" w:hanging="567"/>
      <w:jc w:val="both"/>
    </w:pPr>
    <w:rPr>
      <w:rFonts w:ascii="Times New Roman" w:eastAsia="Times New Roman" w:hAnsi="Times New Roman" w:cs="Times New Roman"/>
      <w:sz w:val="24"/>
    </w:rPr>
  </w:style>
  <w:style w:type="paragraph" w:customStyle="1" w:styleId="Point2">
    <w:name w:val="Point 2"/>
    <w:basedOn w:val="Normal"/>
    <w:pPr>
      <w:spacing w:before="120" w:after="120" w:line="240" w:lineRule="auto"/>
      <w:ind w:left="1984" w:hanging="567"/>
      <w:jc w:val="both"/>
    </w:pPr>
    <w:rPr>
      <w:rFonts w:ascii="Times New Roman" w:eastAsia="Times New Roman" w:hAnsi="Times New Roman" w:cs="Times New Roman"/>
      <w:sz w:val="24"/>
    </w:rPr>
  </w:style>
  <w:style w:type="paragraph" w:customStyle="1" w:styleId="Point3">
    <w:name w:val="Point 3"/>
    <w:basedOn w:val="Normal"/>
    <w:pPr>
      <w:spacing w:before="120" w:after="120" w:line="240" w:lineRule="auto"/>
      <w:ind w:left="2551" w:hanging="567"/>
      <w:jc w:val="both"/>
    </w:pPr>
    <w:rPr>
      <w:rFonts w:ascii="Times New Roman" w:eastAsia="Times New Roman" w:hAnsi="Times New Roman" w:cs="Times New Roman"/>
      <w:sz w:val="24"/>
    </w:rPr>
  </w:style>
  <w:style w:type="paragraph" w:customStyle="1" w:styleId="Point4">
    <w:name w:val="Point 4"/>
    <w:basedOn w:val="Normal"/>
    <w:pPr>
      <w:spacing w:before="120" w:after="120" w:line="240" w:lineRule="auto"/>
      <w:ind w:left="3118" w:hanging="567"/>
      <w:jc w:val="both"/>
    </w:pPr>
    <w:rPr>
      <w:rFonts w:ascii="Times New Roman" w:eastAsia="Times New Roman" w:hAnsi="Times New Roman" w:cs="Times New Roman"/>
      <w:sz w:val="24"/>
    </w:r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PointDouble0">
    <w:name w:val="PointDouble 0"/>
    <w:basedOn w:val="Normal"/>
    <w:pPr>
      <w:tabs>
        <w:tab w:val="left" w:pos="850"/>
      </w:tabs>
      <w:spacing w:before="120" w:after="120" w:line="240" w:lineRule="auto"/>
      <w:ind w:left="1417" w:hanging="1417"/>
      <w:jc w:val="both"/>
    </w:pPr>
    <w:rPr>
      <w:rFonts w:ascii="Times New Roman" w:eastAsia="Times New Roman" w:hAnsi="Times New Roman" w:cs="Times New Roman"/>
      <w:sz w:val="24"/>
    </w:rPr>
  </w:style>
  <w:style w:type="paragraph" w:customStyle="1" w:styleId="PointDouble1">
    <w:name w:val="PointDouble 1"/>
    <w:basedOn w:val="Normal"/>
    <w:pPr>
      <w:tabs>
        <w:tab w:val="left" w:pos="1417"/>
      </w:tabs>
      <w:spacing w:before="120" w:after="120" w:line="240" w:lineRule="auto"/>
      <w:ind w:left="1984" w:hanging="1134"/>
      <w:jc w:val="both"/>
    </w:pPr>
    <w:rPr>
      <w:rFonts w:ascii="Times New Roman" w:eastAsia="Times New Roman" w:hAnsi="Times New Roman" w:cs="Times New Roman"/>
      <w:sz w:val="24"/>
    </w:rPr>
  </w:style>
  <w:style w:type="paragraph" w:customStyle="1" w:styleId="PointDouble2">
    <w:name w:val="PointDouble 2"/>
    <w:basedOn w:val="Normal"/>
    <w:pPr>
      <w:tabs>
        <w:tab w:val="left" w:pos="1984"/>
      </w:tabs>
      <w:spacing w:before="120" w:after="120" w:line="240" w:lineRule="auto"/>
      <w:ind w:left="2551" w:hanging="1134"/>
      <w:jc w:val="both"/>
    </w:pPr>
    <w:rPr>
      <w:rFonts w:ascii="Times New Roman" w:eastAsia="Times New Roman" w:hAnsi="Times New Roman" w:cs="Times New Roman"/>
      <w:sz w:val="24"/>
    </w:rPr>
  </w:style>
  <w:style w:type="paragraph" w:customStyle="1" w:styleId="PointDouble3">
    <w:name w:val="PointDouble 3"/>
    <w:basedOn w:val="Normal"/>
    <w:pPr>
      <w:tabs>
        <w:tab w:val="left" w:pos="2551"/>
      </w:tabs>
      <w:spacing w:before="120" w:after="120" w:line="240" w:lineRule="auto"/>
      <w:ind w:left="3118" w:hanging="1134"/>
      <w:jc w:val="both"/>
    </w:pPr>
    <w:rPr>
      <w:rFonts w:ascii="Times New Roman" w:eastAsia="Times New Roman" w:hAnsi="Times New Roman" w:cs="Times New Roman"/>
      <w:sz w:val="24"/>
    </w:rPr>
  </w:style>
  <w:style w:type="paragraph" w:customStyle="1" w:styleId="PointDouble4">
    <w:name w:val="PointDouble 4"/>
    <w:basedOn w:val="Normal"/>
    <w:pPr>
      <w:tabs>
        <w:tab w:val="left" w:pos="3118"/>
      </w:tabs>
      <w:spacing w:before="120" w:after="120" w:line="240" w:lineRule="auto"/>
      <w:ind w:left="3685" w:hanging="1134"/>
      <w:jc w:val="both"/>
    </w:pPr>
    <w:rPr>
      <w:rFonts w:ascii="Times New Roman" w:eastAsia="Times New Roman" w:hAnsi="Times New Roman" w:cs="Times New Roman"/>
      <w:sz w:val="24"/>
    </w:rPr>
  </w:style>
  <w:style w:type="paragraph" w:customStyle="1" w:styleId="PointTriple0">
    <w:name w:val="PointTriple 0"/>
    <w:basedOn w:val="Normal"/>
    <w:pPr>
      <w:tabs>
        <w:tab w:val="left" w:pos="850"/>
        <w:tab w:val="left" w:pos="1417"/>
      </w:tabs>
      <w:spacing w:before="120" w:after="120" w:line="240" w:lineRule="auto"/>
      <w:ind w:left="1984" w:hanging="1984"/>
      <w:jc w:val="both"/>
    </w:pPr>
    <w:rPr>
      <w:rFonts w:ascii="Times New Roman" w:eastAsia="Times New Roman" w:hAnsi="Times New Roman" w:cs="Times New Roman"/>
      <w:sz w:val="24"/>
    </w:rPr>
  </w:style>
  <w:style w:type="paragraph" w:customStyle="1" w:styleId="PointTriple1">
    <w:name w:val="PointTriple 1"/>
    <w:basedOn w:val="Normal"/>
    <w:pPr>
      <w:tabs>
        <w:tab w:val="left" w:pos="1417"/>
        <w:tab w:val="left" w:pos="1984"/>
      </w:tabs>
      <w:spacing w:before="120" w:after="120" w:line="240" w:lineRule="auto"/>
      <w:ind w:left="2551" w:hanging="1701"/>
      <w:jc w:val="both"/>
    </w:pPr>
    <w:rPr>
      <w:rFonts w:ascii="Times New Roman" w:eastAsia="Times New Roman" w:hAnsi="Times New Roman" w:cs="Times New Roman"/>
      <w:sz w:val="24"/>
    </w:rPr>
  </w:style>
  <w:style w:type="paragraph" w:customStyle="1" w:styleId="PointTriple2">
    <w:name w:val="PointTriple 2"/>
    <w:basedOn w:val="Normal"/>
    <w:pPr>
      <w:tabs>
        <w:tab w:val="left" w:pos="1984"/>
        <w:tab w:val="left" w:pos="2551"/>
      </w:tabs>
      <w:spacing w:before="120" w:after="120" w:line="240" w:lineRule="auto"/>
      <w:ind w:left="3118" w:hanging="1701"/>
      <w:jc w:val="both"/>
    </w:pPr>
    <w:rPr>
      <w:rFonts w:ascii="Times New Roman" w:eastAsia="Times New Roman" w:hAnsi="Times New Roman" w:cs="Times New Roman"/>
      <w:sz w:val="24"/>
    </w:rPr>
  </w:style>
  <w:style w:type="paragraph" w:customStyle="1" w:styleId="PointTriple3">
    <w:name w:val="PointTriple 3"/>
    <w:basedOn w:val="Normal"/>
    <w:pPr>
      <w:tabs>
        <w:tab w:val="left" w:pos="2551"/>
        <w:tab w:val="left" w:pos="3118"/>
      </w:tabs>
      <w:spacing w:before="120" w:after="120" w:line="240" w:lineRule="auto"/>
      <w:ind w:left="3685" w:hanging="1701"/>
      <w:jc w:val="both"/>
    </w:pPr>
    <w:rPr>
      <w:rFonts w:ascii="Times New Roman" w:eastAsia="Times New Roman" w:hAnsi="Times New Roman" w:cs="Times New Roman"/>
      <w:sz w:val="24"/>
    </w:rPr>
  </w:style>
  <w:style w:type="paragraph" w:customStyle="1" w:styleId="PointTriple4">
    <w:name w:val="PointTriple 4"/>
    <w:basedOn w:val="Normal"/>
    <w:pPr>
      <w:tabs>
        <w:tab w:val="left" w:pos="3118"/>
        <w:tab w:val="left" w:pos="3685"/>
      </w:tabs>
      <w:spacing w:before="120" w:after="120" w:line="240" w:lineRule="auto"/>
      <w:ind w:left="4252" w:hanging="1701"/>
      <w:jc w:val="both"/>
    </w:pPr>
    <w:rPr>
      <w:rFonts w:ascii="Times New Roman" w:eastAsia="Times New Roman" w:hAnsi="Times New Roman" w:cs="Times New Roman"/>
      <w:sz w:val="24"/>
    </w:rPr>
  </w:style>
  <w:style w:type="paragraph" w:customStyle="1" w:styleId="NumPar1">
    <w:name w:val="NumPar 1"/>
    <w:basedOn w:val="Normal"/>
    <w:next w:val="Text1"/>
    <w:pPr>
      <w:tabs>
        <w:tab w:val="num" w:pos="850"/>
      </w:tabs>
      <w:spacing w:before="120" w:after="120" w:line="240" w:lineRule="auto"/>
      <w:ind w:left="850" w:hanging="850"/>
      <w:jc w:val="both"/>
    </w:pPr>
    <w:rPr>
      <w:rFonts w:ascii="Times New Roman" w:eastAsia="Times New Roman" w:hAnsi="Times New Roman" w:cs="Times New Roman"/>
      <w:sz w:val="24"/>
    </w:rPr>
  </w:style>
  <w:style w:type="paragraph" w:customStyle="1" w:styleId="NumPar2">
    <w:name w:val="NumPar 2"/>
    <w:basedOn w:val="Normal"/>
    <w:next w:val="Text1"/>
    <w:pPr>
      <w:tabs>
        <w:tab w:val="num" w:pos="850"/>
      </w:tabs>
      <w:spacing w:before="120" w:after="120" w:line="240" w:lineRule="auto"/>
      <w:ind w:left="850" w:hanging="850"/>
      <w:jc w:val="both"/>
    </w:pPr>
    <w:rPr>
      <w:rFonts w:ascii="Times New Roman" w:eastAsia="Times New Roman" w:hAnsi="Times New Roman" w:cs="Times New Roman"/>
      <w:sz w:val="24"/>
    </w:rPr>
  </w:style>
  <w:style w:type="paragraph" w:customStyle="1" w:styleId="NumPar3">
    <w:name w:val="NumPar 3"/>
    <w:basedOn w:val="Normal"/>
    <w:next w:val="Text1"/>
    <w:pPr>
      <w:numPr>
        <w:ilvl w:val="2"/>
        <w:numId w:val="15"/>
      </w:numPr>
      <w:spacing w:before="120" w:after="120" w:line="240" w:lineRule="auto"/>
      <w:jc w:val="both"/>
    </w:pPr>
    <w:rPr>
      <w:rFonts w:ascii="Times New Roman" w:eastAsia="Times New Roman" w:hAnsi="Times New Roman" w:cs="Times New Roman"/>
      <w:sz w:val="24"/>
    </w:rPr>
  </w:style>
  <w:style w:type="paragraph" w:customStyle="1" w:styleId="NumPar4">
    <w:name w:val="NumPar 4"/>
    <w:basedOn w:val="Normal"/>
    <w:next w:val="Text1"/>
    <w:pPr>
      <w:numPr>
        <w:ilvl w:val="3"/>
        <w:numId w:val="15"/>
      </w:numPr>
      <w:spacing w:before="120" w:after="120" w:line="240" w:lineRule="auto"/>
      <w:jc w:val="both"/>
    </w:pPr>
    <w:rPr>
      <w:rFonts w:ascii="Times New Roman" w:eastAsia="Times New Roman" w:hAnsi="Times New Roman" w:cs="Times New Roman"/>
      <w:sz w:val="24"/>
    </w:rPr>
  </w:style>
  <w:style w:type="paragraph" w:customStyle="1" w:styleId="ManualNumPar1">
    <w:name w:val="Manual NumPar 1"/>
    <w:basedOn w:val="Normal"/>
    <w:next w:val="Text1"/>
    <w:pPr>
      <w:spacing w:before="120" w:after="120" w:line="240" w:lineRule="auto"/>
      <w:ind w:left="850" w:hanging="850"/>
      <w:jc w:val="both"/>
    </w:pPr>
    <w:rPr>
      <w:rFonts w:ascii="Times New Roman" w:eastAsia="Times New Roman" w:hAnsi="Times New Roman" w:cs="Times New Roman"/>
      <w:sz w:val="24"/>
    </w:rPr>
  </w:style>
  <w:style w:type="paragraph" w:customStyle="1" w:styleId="ManualNumPar2">
    <w:name w:val="Manual NumPar 2"/>
    <w:basedOn w:val="Normal"/>
    <w:next w:val="Text1"/>
    <w:pPr>
      <w:spacing w:before="120" w:after="120" w:line="240" w:lineRule="auto"/>
      <w:ind w:left="850" w:hanging="850"/>
      <w:jc w:val="both"/>
    </w:pPr>
    <w:rPr>
      <w:rFonts w:ascii="Times New Roman" w:eastAsia="Times New Roman" w:hAnsi="Times New Roman" w:cs="Times New Roman"/>
      <w:sz w:val="24"/>
    </w:rPr>
  </w:style>
  <w:style w:type="paragraph" w:customStyle="1" w:styleId="ManualNumPar3">
    <w:name w:val="Manual NumPar 3"/>
    <w:basedOn w:val="Normal"/>
    <w:next w:val="Text1"/>
    <w:pPr>
      <w:spacing w:before="120" w:after="120" w:line="240" w:lineRule="auto"/>
      <w:ind w:left="850" w:hanging="850"/>
      <w:jc w:val="both"/>
    </w:pPr>
    <w:rPr>
      <w:rFonts w:ascii="Times New Roman" w:eastAsia="Times New Roman" w:hAnsi="Times New Roman" w:cs="Times New Roman"/>
      <w:sz w:val="24"/>
    </w:rPr>
  </w:style>
  <w:style w:type="paragraph" w:customStyle="1" w:styleId="ManualNumPar4">
    <w:name w:val="Manual NumPar 4"/>
    <w:basedOn w:val="Normal"/>
    <w:next w:val="Text1"/>
    <w:pPr>
      <w:spacing w:before="120" w:after="120" w:line="240" w:lineRule="auto"/>
      <w:ind w:left="850" w:hanging="850"/>
      <w:jc w:val="both"/>
    </w:pPr>
    <w:rPr>
      <w:rFonts w:ascii="Times New Roman" w:eastAsia="Times New Roman" w:hAnsi="Times New Roman" w:cs="Times New Roman"/>
      <w:sz w:val="24"/>
    </w:rPr>
  </w:style>
  <w:style w:type="paragraph" w:customStyle="1" w:styleId="QuotedNumPar">
    <w:name w:val="Quoted NumPar"/>
    <w:basedOn w:val="Normal"/>
    <w:pPr>
      <w:spacing w:before="120" w:after="120" w:line="240" w:lineRule="auto"/>
      <w:ind w:left="1417" w:hanging="567"/>
      <w:jc w:val="both"/>
    </w:pPr>
    <w:rPr>
      <w:rFonts w:ascii="Times New Roman" w:eastAsia="Times New Roman" w:hAnsi="Times New Roman" w:cs="Times New Roman"/>
      <w:sz w:val="24"/>
    </w:rPr>
  </w:style>
  <w:style w:type="paragraph" w:customStyle="1" w:styleId="ManualHeading1">
    <w:name w:val="Manual Heading 1"/>
    <w:basedOn w:val="Normal"/>
    <w:next w:val="Text1"/>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rPr>
  </w:style>
  <w:style w:type="paragraph" w:customStyle="1" w:styleId="ManualHeading2">
    <w:name w:val="Manual Heading 2"/>
    <w:basedOn w:val="Normal"/>
    <w:next w:val="Text1"/>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rPr>
  </w:style>
  <w:style w:type="paragraph" w:customStyle="1" w:styleId="ManualHeading3">
    <w:name w:val="Manual Heading 3"/>
    <w:basedOn w:val="Normal"/>
    <w:next w:val="Text1"/>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rPr>
  </w:style>
  <w:style w:type="paragraph" w:customStyle="1" w:styleId="ManualHeading4">
    <w:name w:val="Manual Heading 4"/>
    <w:basedOn w:val="Normal"/>
    <w:next w:val="Text1"/>
    <w:pPr>
      <w:keepNext/>
      <w:tabs>
        <w:tab w:val="left" w:pos="850"/>
      </w:tabs>
      <w:spacing w:before="120" w:after="120" w:line="240" w:lineRule="auto"/>
      <w:ind w:left="850" w:hanging="850"/>
      <w:jc w:val="both"/>
      <w:outlineLvl w:val="3"/>
    </w:pPr>
    <w:rPr>
      <w:rFonts w:ascii="Times New Roman" w:eastAsia="Times New Roman" w:hAnsi="Times New Roman" w:cs="Times New Roman"/>
      <w:sz w:val="24"/>
    </w:rPr>
  </w:style>
  <w:style w:type="paragraph" w:customStyle="1" w:styleId="ChapterTitle">
    <w:name w:val="ChapterTitle"/>
    <w:basedOn w:val="Normal"/>
    <w:next w:val="Normal"/>
    <w:pPr>
      <w:keepNext/>
      <w:spacing w:before="120" w:after="360" w:line="240" w:lineRule="auto"/>
      <w:jc w:val="center"/>
    </w:pPr>
    <w:rPr>
      <w:rFonts w:ascii="Times New Roman" w:eastAsia="Times New Roman" w:hAnsi="Times New Roman" w:cs="Times New Roman"/>
      <w:b/>
      <w:sz w:val="32"/>
    </w:rPr>
  </w:style>
  <w:style w:type="paragraph" w:customStyle="1" w:styleId="PartTitle">
    <w:name w:val="PartTitle"/>
    <w:basedOn w:val="Normal"/>
    <w:next w:val="ChapterTitle"/>
    <w:pPr>
      <w:keepNext/>
      <w:pageBreakBefore/>
      <w:spacing w:before="120" w:after="360" w:line="240" w:lineRule="auto"/>
      <w:jc w:val="center"/>
    </w:pPr>
    <w:rPr>
      <w:rFonts w:ascii="Times New Roman" w:eastAsia="Times New Roman" w:hAnsi="Times New Roman" w:cs="Times New Roman"/>
      <w:b/>
      <w:sz w:val="36"/>
    </w:rPr>
  </w:style>
  <w:style w:type="paragraph" w:customStyle="1" w:styleId="SectionTitle">
    <w:name w:val="SectionTitle"/>
    <w:basedOn w:val="Normal"/>
    <w:next w:val="Heading1"/>
    <w:pPr>
      <w:keepNext/>
      <w:spacing w:before="120" w:after="360" w:line="240" w:lineRule="auto"/>
      <w:jc w:val="center"/>
    </w:pPr>
    <w:rPr>
      <w:rFonts w:ascii="Times New Roman" w:eastAsia="Times New Roman" w:hAnsi="Times New Roman" w:cs="Times New Roman"/>
      <w:b/>
      <w:smallCaps/>
      <w:sz w:val="28"/>
    </w:rPr>
  </w:style>
  <w:style w:type="paragraph" w:customStyle="1" w:styleId="TableTitle">
    <w:name w:val="Table Title"/>
    <w:basedOn w:val="Normal"/>
    <w:next w:val="Normal"/>
    <w:pPr>
      <w:spacing w:before="120" w:after="120" w:line="240" w:lineRule="auto"/>
      <w:jc w:val="center"/>
    </w:pPr>
    <w:rPr>
      <w:rFonts w:ascii="Times New Roman" w:eastAsia="Times New Roman" w:hAnsi="Times New Roman" w:cs="Times New Roman"/>
      <w:b/>
      <w:sz w:val="24"/>
    </w:rPr>
  </w:style>
  <w:style w:type="paragraph" w:customStyle="1" w:styleId="Point0number">
    <w:name w:val="Point 0 (number)"/>
    <w:basedOn w:val="Normal"/>
    <w:pPr>
      <w:tabs>
        <w:tab w:val="num" w:pos="850"/>
      </w:tabs>
      <w:spacing w:before="120" w:after="120" w:line="240" w:lineRule="auto"/>
      <w:ind w:left="850" w:hanging="850"/>
      <w:jc w:val="both"/>
    </w:pPr>
    <w:rPr>
      <w:rFonts w:ascii="Times New Roman" w:eastAsia="Times New Roman" w:hAnsi="Times New Roman" w:cs="Times New Roman"/>
      <w:sz w:val="24"/>
    </w:rPr>
  </w:style>
  <w:style w:type="paragraph" w:customStyle="1" w:styleId="Point1number">
    <w:name w:val="Point 1 (number)"/>
    <w:basedOn w:val="Normal"/>
    <w:pPr>
      <w:tabs>
        <w:tab w:val="num" w:pos="1417"/>
      </w:tabs>
      <w:spacing w:before="120" w:after="120" w:line="240" w:lineRule="auto"/>
      <w:ind w:left="1417" w:hanging="567"/>
      <w:jc w:val="both"/>
    </w:pPr>
    <w:rPr>
      <w:rFonts w:ascii="Times New Roman" w:eastAsia="Times New Roman" w:hAnsi="Times New Roman" w:cs="Times New Roman"/>
      <w:sz w:val="24"/>
    </w:rPr>
  </w:style>
  <w:style w:type="paragraph" w:customStyle="1" w:styleId="Point2number">
    <w:name w:val="Point 2 (number)"/>
    <w:basedOn w:val="Normal"/>
    <w:pPr>
      <w:tabs>
        <w:tab w:val="num" w:pos="1984"/>
      </w:tabs>
      <w:spacing w:before="120" w:after="120" w:line="240" w:lineRule="auto"/>
      <w:ind w:left="1984" w:hanging="567"/>
      <w:jc w:val="both"/>
    </w:pPr>
    <w:rPr>
      <w:rFonts w:ascii="Times New Roman" w:eastAsia="Times New Roman" w:hAnsi="Times New Roman" w:cs="Times New Roman"/>
      <w:sz w:val="24"/>
    </w:rPr>
  </w:style>
  <w:style w:type="paragraph" w:customStyle="1" w:styleId="Point3number">
    <w:name w:val="Point 3 (number)"/>
    <w:basedOn w:val="Normal"/>
    <w:pPr>
      <w:tabs>
        <w:tab w:val="num" w:pos="2551"/>
      </w:tabs>
      <w:spacing w:before="120" w:after="120" w:line="240" w:lineRule="auto"/>
      <w:ind w:left="2551" w:hanging="567"/>
      <w:jc w:val="both"/>
    </w:pPr>
    <w:rPr>
      <w:rFonts w:ascii="Times New Roman" w:eastAsia="Times New Roman" w:hAnsi="Times New Roman" w:cs="Times New Roman"/>
      <w:sz w:val="24"/>
    </w:rPr>
  </w:style>
  <w:style w:type="paragraph" w:customStyle="1" w:styleId="Point0letter">
    <w:name w:val="Point 0 (letter)"/>
    <w:basedOn w:val="Normal"/>
    <w:pPr>
      <w:tabs>
        <w:tab w:val="num" w:pos="850"/>
      </w:tabs>
      <w:spacing w:before="120" w:after="120" w:line="240" w:lineRule="auto"/>
      <w:ind w:left="850" w:hanging="850"/>
      <w:jc w:val="both"/>
    </w:pPr>
    <w:rPr>
      <w:rFonts w:ascii="Times New Roman" w:eastAsia="Times New Roman" w:hAnsi="Times New Roman" w:cs="Times New Roman"/>
      <w:sz w:val="24"/>
    </w:rPr>
  </w:style>
  <w:style w:type="paragraph" w:customStyle="1" w:styleId="Point1letter">
    <w:name w:val="Point 1 (letter)"/>
    <w:basedOn w:val="Normal"/>
    <w:pPr>
      <w:tabs>
        <w:tab w:val="num" w:pos="1417"/>
      </w:tabs>
      <w:spacing w:before="120" w:after="120" w:line="240" w:lineRule="auto"/>
      <w:ind w:left="1417" w:hanging="567"/>
      <w:jc w:val="both"/>
    </w:pPr>
    <w:rPr>
      <w:rFonts w:ascii="Times New Roman" w:eastAsia="Times New Roman" w:hAnsi="Times New Roman" w:cs="Times New Roman"/>
      <w:sz w:val="24"/>
    </w:rPr>
  </w:style>
  <w:style w:type="paragraph" w:customStyle="1" w:styleId="Point2letter">
    <w:name w:val="Point 2 (letter)"/>
    <w:basedOn w:val="Normal"/>
    <w:pPr>
      <w:tabs>
        <w:tab w:val="num" w:pos="1984"/>
      </w:tabs>
      <w:spacing w:before="120" w:after="120" w:line="240" w:lineRule="auto"/>
      <w:ind w:left="1984" w:hanging="567"/>
      <w:jc w:val="both"/>
    </w:pPr>
    <w:rPr>
      <w:rFonts w:ascii="Times New Roman" w:eastAsia="Times New Roman" w:hAnsi="Times New Roman" w:cs="Times New Roman"/>
      <w:sz w:val="24"/>
    </w:rPr>
  </w:style>
  <w:style w:type="paragraph" w:customStyle="1" w:styleId="Point3letter">
    <w:name w:val="Point 3 (letter)"/>
    <w:basedOn w:val="Normal"/>
    <w:pPr>
      <w:numPr>
        <w:ilvl w:val="7"/>
        <w:numId w:val="16"/>
      </w:numPr>
      <w:spacing w:before="120" w:after="120" w:line="240" w:lineRule="auto"/>
      <w:jc w:val="both"/>
    </w:pPr>
    <w:rPr>
      <w:rFonts w:ascii="Times New Roman" w:eastAsia="Times New Roman" w:hAnsi="Times New Roman" w:cs="Times New Roman"/>
      <w:sz w:val="24"/>
    </w:rPr>
  </w:style>
  <w:style w:type="paragraph" w:customStyle="1" w:styleId="Point4letter">
    <w:name w:val="Point 4 (letter)"/>
    <w:basedOn w:val="Normal"/>
    <w:pPr>
      <w:numPr>
        <w:ilvl w:val="8"/>
        <w:numId w:val="16"/>
      </w:numPr>
      <w:spacing w:before="120" w:after="120" w:line="240" w:lineRule="auto"/>
      <w:jc w:val="both"/>
    </w:pPr>
    <w:rPr>
      <w:rFonts w:ascii="Times New Roman" w:eastAsia="Times New Roman" w:hAnsi="Times New Roman" w:cs="Times New Roman"/>
      <w:sz w:val="24"/>
    </w:rPr>
  </w:style>
  <w:style w:type="paragraph" w:customStyle="1" w:styleId="Bullet0">
    <w:name w:val="Bullet 0"/>
    <w:basedOn w:val="Normal"/>
    <w:pPr>
      <w:numPr>
        <w:numId w:val="17"/>
      </w:numPr>
      <w:spacing w:before="120" w:after="120" w:line="240" w:lineRule="auto"/>
      <w:jc w:val="both"/>
    </w:pPr>
    <w:rPr>
      <w:rFonts w:ascii="Times New Roman" w:eastAsia="Times New Roman" w:hAnsi="Times New Roman" w:cs="Times New Roman"/>
      <w:sz w:val="24"/>
    </w:rPr>
  </w:style>
  <w:style w:type="paragraph" w:customStyle="1" w:styleId="Bullet1">
    <w:name w:val="Bullet 1"/>
    <w:basedOn w:val="Normal"/>
    <w:pPr>
      <w:numPr>
        <w:numId w:val="18"/>
      </w:numPr>
      <w:spacing w:before="120" w:after="120" w:line="240" w:lineRule="auto"/>
      <w:jc w:val="both"/>
    </w:pPr>
    <w:rPr>
      <w:rFonts w:ascii="Times New Roman" w:eastAsia="Times New Roman" w:hAnsi="Times New Roman" w:cs="Times New Roman"/>
      <w:sz w:val="24"/>
    </w:rPr>
  </w:style>
  <w:style w:type="paragraph" w:customStyle="1" w:styleId="Bullet2">
    <w:name w:val="Bullet 2"/>
    <w:basedOn w:val="Normal"/>
    <w:pPr>
      <w:numPr>
        <w:numId w:val="19"/>
      </w:numPr>
      <w:spacing w:before="120" w:after="120" w:line="240" w:lineRule="auto"/>
      <w:jc w:val="both"/>
    </w:pPr>
    <w:rPr>
      <w:rFonts w:ascii="Times New Roman" w:eastAsia="Times New Roman" w:hAnsi="Times New Roman" w:cs="Times New Roman"/>
      <w:sz w:val="24"/>
    </w:rPr>
  </w:style>
  <w:style w:type="paragraph" w:customStyle="1" w:styleId="Bullet3">
    <w:name w:val="Bullet 3"/>
    <w:basedOn w:val="Normal"/>
    <w:pPr>
      <w:numPr>
        <w:numId w:val="20"/>
      </w:numPr>
      <w:spacing w:before="120" w:after="120" w:line="240" w:lineRule="auto"/>
      <w:jc w:val="both"/>
    </w:pPr>
    <w:rPr>
      <w:rFonts w:ascii="Times New Roman" w:eastAsia="Times New Roman" w:hAnsi="Times New Roman" w:cs="Times New Roman"/>
      <w:sz w:val="24"/>
    </w:rPr>
  </w:style>
  <w:style w:type="paragraph" w:customStyle="1" w:styleId="Bullet4">
    <w:name w:val="Bullet 4"/>
    <w:basedOn w:val="Normal"/>
    <w:pPr>
      <w:numPr>
        <w:numId w:val="21"/>
      </w:numPr>
      <w:spacing w:before="120" w:after="120" w:line="240" w:lineRule="auto"/>
      <w:jc w:val="both"/>
    </w:pPr>
    <w:rPr>
      <w:rFonts w:ascii="Times New Roman" w:eastAsia="Times New Roman" w:hAnsi="Times New Roman" w:cs="Times New Roman"/>
      <w:sz w:val="24"/>
    </w:rPr>
  </w:style>
  <w:style w:type="paragraph" w:customStyle="1" w:styleId="Annexetitreexpos">
    <w:name w:val="Annexe titre (exposé)"/>
    <w:basedOn w:val="Normal"/>
    <w:next w:val="Normal"/>
    <w:pPr>
      <w:spacing w:before="120" w:after="120" w:line="240" w:lineRule="auto"/>
      <w:jc w:val="center"/>
    </w:pPr>
    <w:rPr>
      <w:rFonts w:ascii="Times New Roman" w:eastAsia="Times New Roman" w:hAnsi="Times New Roman" w:cs="Times New Roman"/>
      <w:b/>
      <w:sz w:val="24"/>
      <w:u w:val="single"/>
    </w:rPr>
  </w:style>
  <w:style w:type="paragraph" w:customStyle="1" w:styleId="Annexetitre">
    <w:name w:val="Annexe titre"/>
    <w:basedOn w:val="Normal"/>
    <w:next w:val="Normal"/>
    <w:pPr>
      <w:spacing w:before="120" w:after="120" w:line="240" w:lineRule="auto"/>
      <w:jc w:val="center"/>
    </w:pPr>
    <w:rPr>
      <w:rFonts w:ascii="Times New Roman" w:eastAsia="Times New Roman" w:hAnsi="Times New Roman" w:cs="Times New Roman"/>
      <w:b/>
      <w:sz w:val="24"/>
      <w:u w:val="single"/>
    </w:rPr>
  </w:style>
  <w:style w:type="paragraph" w:customStyle="1" w:styleId="Annexetitrefichefinancire">
    <w:name w:val="Annexe titre (fiche financière)"/>
    <w:basedOn w:val="Normal"/>
    <w:next w:val="Normal"/>
    <w:pPr>
      <w:spacing w:before="120" w:after="120" w:line="240" w:lineRule="auto"/>
      <w:jc w:val="center"/>
    </w:pPr>
    <w:rPr>
      <w:rFonts w:ascii="Times New Roman" w:eastAsia="Times New Roman" w:hAnsi="Times New Roman" w:cs="Times New Roman"/>
      <w:b/>
      <w:sz w:val="24"/>
      <w:u w:val="single"/>
    </w:rPr>
  </w:style>
  <w:style w:type="paragraph" w:customStyle="1" w:styleId="Fait">
    <w:name w:val="Fait à"/>
    <w:basedOn w:val="Normal"/>
    <w:next w:val="Institutionquisigne"/>
    <w:pPr>
      <w:keepNext/>
      <w:spacing w:before="120" w:after="0" w:line="240" w:lineRule="auto"/>
      <w:jc w:val="both"/>
    </w:pPr>
    <w:rPr>
      <w:rFonts w:ascii="Times New Roman" w:eastAsia="Times New Roman" w:hAnsi="Times New Roman" w:cs="Times New Roman"/>
      <w:sz w:val="24"/>
    </w:rPr>
  </w:style>
  <w:style w:type="paragraph" w:customStyle="1" w:styleId="Institutionquisigne">
    <w:name w:val="Institution qui signe"/>
    <w:basedOn w:val="Normal"/>
    <w:next w:val="Personnequisigne"/>
    <w:pPr>
      <w:keepNext/>
      <w:tabs>
        <w:tab w:val="left" w:pos="4252"/>
      </w:tabs>
      <w:spacing w:before="720" w:after="0" w:line="240" w:lineRule="auto"/>
      <w:jc w:val="both"/>
    </w:pPr>
    <w:rPr>
      <w:rFonts w:ascii="Times New Roman" w:eastAsia="Times New Roman" w:hAnsi="Times New Roman" w:cs="Times New Roman"/>
      <w:i/>
      <w:sz w:val="24"/>
    </w:rPr>
  </w:style>
  <w:style w:type="paragraph" w:customStyle="1" w:styleId="Personnequisigne">
    <w:name w:val="Personne qui signe"/>
    <w:basedOn w:val="Normal"/>
    <w:next w:val="Institutionquisigne"/>
    <w:pPr>
      <w:tabs>
        <w:tab w:val="left" w:pos="4252"/>
      </w:tabs>
      <w:spacing w:after="0" w:line="240" w:lineRule="auto"/>
    </w:pPr>
    <w:rPr>
      <w:rFonts w:ascii="Times New Roman" w:eastAsia="Times New Roman" w:hAnsi="Times New Roman" w:cs="Times New Roman"/>
      <w:i/>
      <w:sz w:val="24"/>
    </w:rPr>
  </w:style>
  <w:style w:type="paragraph" w:customStyle="1" w:styleId="Applicationdirecte">
    <w:name w:val="Application directe"/>
    <w:basedOn w:val="Normal"/>
    <w:next w:val="Fait"/>
    <w:pPr>
      <w:spacing w:before="480" w:after="120" w:line="240" w:lineRule="auto"/>
      <w:jc w:val="both"/>
    </w:pPr>
    <w:rPr>
      <w:rFonts w:ascii="Times New Roman" w:eastAsia="Times New Roman" w:hAnsi="Times New Roman" w:cs="Times New Roman"/>
      <w:sz w:val="24"/>
    </w:rPr>
  </w:style>
  <w:style w:type="paragraph" w:customStyle="1" w:styleId="Avertissementtitre">
    <w:name w:val="Avertissement titre"/>
    <w:basedOn w:val="Normal"/>
    <w:next w:val="Normal"/>
    <w:pPr>
      <w:keepNext/>
      <w:spacing w:before="480" w:after="120" w:line="240" w:lineRule="auto"/>
      <w:jc w:val="both"/>
    </w:pPr>
    <w:rPr>
      <w:rFonts w:ascii="Times New Roman" w:eastAsia="Times New Roman" w:hAnsi="Times New Roman" w:cs="Times New Roman"/>
      <w:sz w:val="24"/>
      <w:u w:val="single"/>
    </w:rPr>
  </w:style>
  <w:style w:type="paragraph" w:customStyle="1" w:styleId="Confidence">
    <w:name w:val="Confidence"/>
    <w:basedOn w:val="Normal"/>
    <w:next w:val="Normal"/>
    <w:pPr>
      <w:spacing w:before="360" w:after="120" w:line="240" w:lineRule="auto"/>
      <w:jc w:val="center"/>
    </w:pPr>
    <w:rPr>
      <w:rFonts w:ascii="Times New Roman" w:eastAsia="Times New Roman" w:hAnsi="Times New Roman" w:cs="Times New Roman"/>
      <w:sz w:val="24"/>
    </w:rPr>
  </w:style>
  <w:style w:type="paragraph" w:customStyle="1" w:styleId="TypedudocumentPagedecouverture">
    <w:name w:val="Type du document (Page de couverture)"/>
    <w:basedOn w:val="Typedudocument"/>
    <w:next w:val="TitreobjetPagedecouverture"/>
    <w:rPr>
      <w:rFonts w:eastAsia="Times New Roman"/>
    </w:rPr>
  </w:style>
  <w:style w:type="paragraph" w:customStyle="1" w:styleId="TitreobjetPagedecouverture">
    <w:name w:val="Titre objet (Page de couverture)"/>
    <w:basedOn w:val="Titreobjet"/>
    <w:next w:val="IntrtEEEPagedecouverture"/>
  </w:style>
  <w:style w:type="paragraph" w:customStyle="1" w:styleId="Sous-titreobjetPagedecouverture">
    <w:name w:val="Sous-titre objet (Page de couverture)"/>
    <w:basedOn w:val="Sous-titreobjet"/>
  </w:style>
  <w:style w:type="paragraph" w:customStyle="1" w:styleId="Sous-titreobjet">
    <w:name w:val="Sous-titre objet"/>
    <w:basedOn w:val="Normal"/>
    <w:pPr>
      <w:spacing w:after="0" w:line="240" w:lineRule="auto"/>
      <w:jc w:val="center"/>
    </w:pPr>
    <w:rPr>
      <w:rFonts w:ascii="Times New Roman" w:eastAsia="Times New Roman" w:hAnsi="Times New Roman" w:cs="Times New Roman"/>
      <w:b/>
      <w:sz w:val="24"/>
    </w:rPr>
  </w:style>
  <w:style w:type="paragraph" w:customStyle="1" w:styleId="Confidentialit">
    <w:name w:val="Confidentialité"/>
    <w:basedOn w:val="Normal"/>
    <w:next w:val="TypedudocumentPagedecouverture"/>
    <w:pPr>
      <w:spacing w:before="240" w:after="240" w:line="240" w:lineRule="auto"/>
      <w:ind w:left="5103"/>
    </w:pPr>
    <w:rPr>
      <w:rFonts w:ascii="Times New Roman" w:eastAsia="Times New Roman" w:hAnsi="Times New Roman" w:cs="Times New Roman"/>
      <w:i/>
      <w:sz w:val="32"/>
    </w:rPr>
  </w:style>
  <w:style w:type="paragraph" w:customStyle="1" w:styleId="Considrant">
    <w:name w:val="Considérant"/>
    <w:basedOn w:val="Normal"/>
    <w:pPr>
      <w:numPr>
        <w:numId w:val="22"/>
      </w:numPr>
      <w:spacing w:before="120" w:after="120" w:line="240" w:lineRule="auto"/>
      <w:jc w:val="both"/>
    </w:pPr>
    <w:rPr>
      <w:rFonts w:ascii="Times New Roman" w:eastAsia="Times New Roman" w:hAnsi="Times New Roman" w:cs="Times New Roman"/>
      <w:sz w:val="24"/>
    </w:rPr>
  </w:style>
  <w:style w:type="paragraph" w:customStyle="1" w:styleId="Corrigendum">
    <w:name w:val="Corrigendum"/>
    <w:basedOn w:val="Normal"/>
    <w:next w:val="Normal"/>
    <w:pPr>
      <w:spacing w:after="240" w:line="240" w:lineRule="auto"/>
    </w:pPr>
    <w:rPr>
      <w:rFonts w:ascii="Times New Roman" w:eastAsia="Times New Roman" w:hAnsi="Times New Roman" w:cs="Times New Roman"/>
      <w:sz w:val="24"/>
    </w:rPr>
  </w:style>
  <w:style w:type="paragraph" w:customStyle="1" w:styleId="Datedadoption">
    <w:name w:val="Date d'adoption"/>
    <w:basedOn w:val="Normal"/>
    <w:next w:val="Titreobjet"/>
    <w:pPr>
      <w:spacing w:before="360" w:after="0" w:line="240" w:lineRule="auto"/>
      <w:jc w:val="center"/>
    </w:pPr>
    <w:rPr>
      <w:rFonts w:ascii="Times New Roman" w:eastAsia="Times New Roman" w:hAnsi="Times New Roman" w:cs="Times New Roman"/>
      <w:b/>
      <w:sz w:val="24"/>
    </w:rPr>
  </w:style>
  <w:style w:type="paragraph" w:customStyle="1" w:styleId="Rfrenceinstitutionnelle">
    <w:name w:val="Référence institutionnelle"/>
    <w:basedOn w:val="Normal"/>
    <w:next w:val="Confidentialit"/>
    <w:pPr>
      <w:spacing w:after="240" w:line="240" w:lineRule="auto"/>
      <w:ind w:left="5103"/>
    </w:pPr>
    <w:rPr>
      <w:rFonts w:ascii="Times New Roman" w:eastAsia="Times New Roman" w:hAnsi="Times New Roman" w:cs="Times New Roman"/>
      <w:sz w:val="24"/>
    </w:rPr>
  </w:style>
  <w:style w:type="paragraph" w:customStyle="1" w:styleId="Emission">
    <w:name w:val="Emission"/>
    <w:basedOn w:val="Normal"/>
    <w:next w:val="Rfrenceinstitutionnelle"/>
    <w:pPr>
      <w:spacing w:after="0" w:line="240" w:lineRule="auto"/>
      <w:ind w:left="5103"/>
    </w:pPr>
    <w:rPr>
      <w:rFonts w:ascii="Times New Roman" w:eastAsia="Times New Roman" w:hAnsi="Times New Roman" w:cs="Times New Roman"/>
      <w:sz w:val="24"/>
    </w:rPr>
  </w:style>
  <w:style w:type="paragraph" w:customStyle="1" w:styleId="Exposdesmotifstitre">
    <w:name w:val="Exposé des motifs titre"/>
    <w:basedOn w:val="Normal"/>
    <w:next w:val="Normal"/>
    <w:pPr>
      <w:spacing w:before="120" w:after="120" w:line="240" w:lineRule="auto"/>
      <w:jc w:val="center"/>
    </w:pPr>
    <w:rPr>
      <w:rFonts w:ascii="Times New Roman" w:eastAsia="Times New Roman" w:hAnsi="Times New Roman" w:cs="Times New Roman"/>
      <w:b/>
      <w:sz w:val="24"/>
      <w:u w:val="single"/>
    </w:rPr>
  </w:style>
  <w:style w:type="paragraph" w:customStyle="1" w:styleId="Titrearticle">
    <w:name w:val="Titre article"/>
    <w:basedOn w:val="Normal"/>
    <w:next w:val="Normal"/>
    <w:pPr>
      <w:keepNext/>
      <w:spacing w:before="360" w:after="120" w:line="240" w:lineRule="auto"/>
      <w:jc w:val="center"/>
    </w:pPr>
    <w:rPr>
      <w:rFonts w:ascii="Times New Roman" w:eastAsia="Times New Roman" w:hAnsi="Times New Roman" w:cs="Times New Roman"/>
      <w:i/>
      <w:sz w:val="24"/>
    </w:rPr>
  </w:style>
  <w:style w:type="paragraph" w:customStyle="1" w:styleId="Formuledadoption">
    <w:name w:val="Formule d'adoption"/>
    <w:basedOn w:val="Normal"/>
    <w:next w:val="Titrearticle"/>
    <w:pPr>
      <w:keepNext/>
      <w:spacing w:before="120" w:after="120" w:line="240" w:lineRule="auto"/>
      <w:jc w:val="both"/>
    </w:pPr>
    <w:rPr>
      <w:rFonts w:ascii="Times New Roman" w:eastAsia="Times New Roman" w:hAnsi="Times New Roman" w:cs="Times New Roman"/>
      <w:sz w:val="24"/>
    </w:rPr>
  </w:style>
  <w:style w:type="paragraph" w:customStyle="1" w:styleId="Institutionquiagit">
    <w:name w:val="Institution qui agit"/>
    <w:basedOn w:val="Normal"/>
    <w:next w:val="Normal"/>
    <w:pPr>
      <w:keepNext/>
      <w:spacing w:before="600" w:after="120" w:line="240" w:lineRule="auto"/>
      <w:jc w:val="both"/>
    </w:pPr>
    <w:rPr>
      <w:rFonts w:ascii="Times New Roman" w:eastAsia="Times New Roman" w:hAnsi="Times New Roman" w:cs="Times New Roman"/>
      <w:sz w:val="24"/>
    </w:rPr>
  </w:style>
  <w:style w:type="paragraph" w:customStyle="1" w:styleId="Rfrenceinterne">
    <w:name w:val="Référence interne"/>
    <w:basedOn w:val="Normal"/>
    <w:next w:val="Rfrenceinterinstitutionnelle"/>
    <w:pPr>
      <w:spacing w:after="0" w:line="240" w:lineRule="auto"/>
      <w:ind w:left="5103"/>
    </w:pPr>
    <w:rPr>
      <w:rFonts w:ascii="Times New Roman" w:eastAsia="Times New Roman" w:hAnsi="Times New Roman" w:cs="Times New Roman"/>
      <w:sz w:val="24"/>
    </w:rPr>
  </w:style>
  <w:style w:type="paragraph" w:customStyle="1" w:styleId="Rfrenceinterinstitutionnelle">
    <w:name w:val="Référence interinstitutionnelle"/>
    <w:basedOn w:val="Normal"/>
    <w:next w:val="Statut"/>
    <w:pPr>
      <w:spacing w:after="0" w:line="240" w:lineRule="auto"/>
      <w:ind w:left="5103"/>
    </w:pPr>
    <w:rPr>
      <w:rFonts w:ascii="Times New Roman" w:eastAsia="Times New Roman" w:hAnsi="Times New Roman" w:cs="Times New Roman"/>
      <w:sz w:val="24"/>
    </w:rPr>
  </w:style>
  <w:style w:type="paragraph" w:customStyle="1" w:styleId="Statut">
    <w:name w:val="Statut"/>
    <w:basedOn w:val="Normal"/>
    <w:next w:val="Typedudocument"/>
    <w:pPr>
      <w:spacing w:before="360" w:after="0" w:line="240" w:lineRule="auto"/>
      <w:jc w:val="center"/>
    </w:pPr>
    <w:rPr>
      <w:rFonts w:ascii="Times New Roman" w:eastAsia="Times New Roman" w:hAnsi="Times New Roman" w:cs="Times New Roman"/>
      <w:sz w:val="24"/>
    </w:rPr>
  </w:style>
  <w:style w:type="paragraph" w:customStyle="1" w:styleId="Langue">
    <w:name w:val="Langue"/>
    <w:basedOn w:val="Normal"/>
    <w:next w:val="Rfrenceinterne"/>
    <w:pPr>
      <w:framePr w:wrap="around" w:vAnchor="page" w:hAnchor="text" w:xAlign="center" w:y="14741"/>
      <w:spacing w:after="600" w:line="240" w:lineRule="auto"/>
      <w:jc w:val="center"/>
    </w:pPr>
    <w:rPr>
      <w:rFonts w:ascii="Times New Roman" w:eastAsia="Times New Roman" w:hAnsi="Times New Roman" w:cs="Times New Roman"/>
      <w:b/>
      <w:caps/>
      <w:sz w:val="24"/>
    </w:rPr>
  </w:style>
  <w:style w:type="paragraph" w:customStyle="1" w:styleId="ManualConsidrant">
    <w:name w:val="Manual Considérant"/>
    <w:basedOn w:val="Normal"/>
    <w:pPr>
      <w:spacing w:before="120" w:after="120" w:line="240" w:lineRule="auto"/>
      <w:ind w:left="709" w:hanging="709"/>
      <w:jc w:val="both"/>
    </w:pPr>
    <w:rPr>
      <w:rFonts w:ascii="Times New Roman" w:eastAsia="Times New Roman" w:hAnsi="Times New Roman" w:cs="Times New Roman"/>
      <w:sz w:val="24"/>
    </w:rPr>
  </w:style>
  <w:style w:type="paragraph" w:customStyle="1" w:styleId="Nomdelinstitution">
    <w:name w:val="Nom de l'institution"/>
    <w:basedOn w:val="Normal"/>
    <w:next w:val="Emission"/>
    <w:pPr>
      <w:spacing w:after="0" w:line="240" w:lineRule="auto"/>
    </w:pPr>
    <w:rPr>
      <w:rFonts w:ascii="Arial" w:eastAsia="Times New Roman" w:hAnsi="Arial" w:cs="Arial"/>
      <w:sz w:val="24"/>
    </w:rPr>
  </w:style>
  <w:style w:type="paragraph" w:customStyle="1" w:styleId="Address">
    <w:name w:val="Address"/>
    <w:basedOn w:val="Normal"/>
    <w:next w:val="Normal"/>
    <w:pPr>
      <w:keepLines/>
      <w:spacing w:before="120" w:after="120" w:line="360" w:lineRule="auto"/>
      <w:ind w:left="3402"/>
    </w:pPr>
    <w:rPr>
      <w:rFonts w:ascii="Times New Roman" w:eastAsia="Times New Roman" w:hAnsi="Times New Roman" w:cs="Times New Roman"/>
      <w:sz w:val="24"/>
    </w:rPr>
  </w:style>
  <w:style w:type="paragraph" w:customStyle="1" w:styleId="Objetexterne">
    <w:name w:val="Objet externe"/>
    <w:basedOn w:val="Normal"/>
    <w:next w:val="Normal"/>
    <w:pPr>
      <w:spacing w:before="120" w:after="120" w:line="240" w:lineRule="auto"/>
      <w:jc w:val="both"/>
    </w:pPr>
    <w:rPr>
      <w:rFonts w:ascii="Times New Roman" w:eastAsia="Times New Roman" w:hAnsi="Times New Roman" w:cs="Times New Roman"/>
      <w:i/>
      <w:caps/>
      <w:sz w:val="24"/>
    </w:rPr>
  </w:style>
  <w:style w:type="paragraph" w:customStyle="1" w:styleId="Supertitre">
    <w:name w:val="Supertitre"/>
    <w:basedOn w:val="Normal"/>
    <w:next w:val="Normal"/>
    <w:pPr>
      <w:spacing w:after="600" w:line="240" w:lineRule="auto"/>
      <w:jc w:val="center"/>
    </w:pPr>
    <w:rPr>
      <w:rFonts w:ascii="Times New Roman" w:eastAsia="Times New Roman" w:hAnsi="Times New Roman" w:cs="Times New Roman"/>
      <w:b/>
      <w:sz w:val="24"/>
    </w:rPr>
  </w:style>
  <w:style w:type="paragraph" w:customStyle="1" w:styleId="Languesfaisantfoi">
    <w:name w:val="Langues faisant foi"/>
    <w:basedOn w:val="Normal"/>
    <w:next w:val="Normal"/>
    <w:pPr>
      <w:spacing w:before="360" w:after="0" w:line="240" w:lineRule="auto"/>
      <w:jc w:val="center"/>
    </w:pPr>
    <w:rPr>
      <w:rFonts w:ascii="Times New Roman" w:eastAsia="Times New Roman" w:hAnsi="Times New Roman" w:cs="Times New Roman"/>
      <w:sz w:val="24"/>
    </w:rPr>
  </w:style>
  <w:style w:type="paragraph" w:customStyle="1" w:styleId="Rfrencecroise">
    <w:name w:val="Référence croisée"/>
    <w:basedOn w:val="Normal"/>
    <w:pPr>
      <w:spacing w:after="0" w:line="240" w:lineRule="auto"/>
      <w:jc w:val="center"/>
    </w:pPr>
    <w:rPr>
      <w:rFonts w:ascii="Times New Roman" w:eastAsia="Times New Roman" w:hAnsi="Times New Roman" w:cs="Times New Roman"/>
      <w:sz w:val="24"/>
    </w:rPr>
  </w:style>
  <w:style w:type="paragraph" w:customStyle="1" w:styleId="Fichefinanciretitre">
    <w:name w:val="Fiche financière titre"/>
    <w:basedOn w:val="Normal"/>
    <w:next w:val="Normal"/>
    <w:pPr>
      <w:spacing w:before="120" w:after="120" w:line="240" w:lineRule="auto"/>
      <w:jc w:val="center"/>
    </w:pPr>
    <w:rPr>
      <w:rFonts w:ascii="Times New Roman" w:eastAsia="Times New Roman" w:hAnsi="Times New Roman" w:cs="Times New Roman"/>
      <w:b/>
      <w:sz w:val="24"/>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Volume">
    <w:name w:val="Volume"/>
    <w:basedOn w:val="Normal"/>
    <w:next w:val="Confidentialit"/>
    <w:pPr>
      <w:spacing w:after="240" w:line="240" w:lineRule="auto"/>
      <w:ind w:left="5103"/>
    </w:pPr>
    <w:rPr>
      <w:rFonts w:ascii="Times New Roman" w:eastAsia="Times New Roman" w:hAnsi="Times New Roman" w:cs="Times New Roman"/>
      <w:sz w:val="24"/>
    </w:rPr>
  </w:style>
  <w:style w:type="paragraph" w:customStyle="1" w:styleId="IntrtEEE">
    <w:name w:val="Intérêt EEE"/>
    <w:basedOn w:val="Languesfaisantfoi"/>
    <w:next w:val="Normal"/>
    <w:pPr>
      <w:spacing w:after="240"/>
    </w:pPr>
  </w:style>
  <w:style w:type="paragraph" w:customStyle="1" w:styleId="Typeacteprincipal">
    <w:name w:val="Type acte principal"/>
    <w:basedOn w:val="Normal"/>
    <w:next w:val="Objetacteprincipal"/>
    <w:pPr>
      <w:spacing w:after="240" w:line="240" w:lineRule="auto"/>
      <w:jc w:val="center"/>
    </w:pPr>
    <w:rPr>
      <w:rFonts w:ascii="Times New Roman" w:eastAsia="Times New Roman" w:hAnsi="Times New Roman" w:cs="Times New Roman"/>
      <w:b/>
      <w:sz w:val="24"/>
    </w:rPr>
  </w:style>
  <w:style w:type="paragraph" w:customStyle="1" w:styleId="Objetacteprincipal">
    <w:name w:val="Objet acte principal"/>
    <w:basedOn w:val="Normal"/>
    <w:next w:val="Titrearticle"/>
    <w:pPr>
      <w:spacing w:after="360" w:line="240" w:lineRule="auto"/>
      <w:jc w:val="center"/>
    </w:pPr>
    <w:rPr>
      <w:rFonts w:ascii="Times New Roman" w:eastAsia="Times New Roman" w:hAnsi="Times New Roman" w:cs="Times New Roman"/>
      <w:b/>
      <w:sz w:val="24"/>
    </w:rPr>
  </w:style>
  <w:style w:type="paragraph" w:customStyle="1" w:styleId="Accompagnant">
    <w:name w:val="Accompagnant"/>
    <w:basedOn w:val="Normal"/>
    <w:next w:val="Typeacteprincipal"/>
    <w:pPr>
      <w:spacing w:after="240" w:line="240" w:lineRule="auto"/>
      <w:jc w:val="center"/>
    </w:pPr>
    <w:rPr>
      <w:rFonts w:ascii="Times New Roman" w:eastAsia="Times New Roman" w:hAnsi="Times New Roman" w:cs="Times New Roman"/>
      <w:b/>
      <w:i/>
      <w:sz w:val="24"/>
    </w:rPr>
  </w:style>
  <w:style w:type="paragraph" w:customStyle="1" w:styleId="IntrtEEEPagedecouverture">
    <w:name w:val="Intérêt EEE (Page de couverture)"/>
    <w:basedOn w:val="IntrtEEE"/>
    <w:next w:val="Rfrencecrois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AccompagnantPagedecouverture">
    <w:name w:val="Accompagnant (Page de couverture)"/>
    <w:basedOn w:val="Accompagnant"/>
    <w:next w:val="TypeacteprincipalPagedecouverture"/>
  </w:style>
  <w:style w:type="paragraph" w:customStyle="1" w:styleId="LanguesfaisantfoiPagedecouverture">
    <w:name w:val="Langues faisant foi (Page de couverture)"/>
    <w:basedOn w:val="Normal"/>
    <w:next w:val="Normal"/>
    <w:pPr>
      <w:spacing w:before="360" w:after="0" w:line="240" w:lineRule="auto"/>
      <w:jc w:val="center"/>
    </w:pPr>
    <w:rPr>
      <w:rFonts w:ascii="Times New Roman" w:eastAsia="Times New Roman" w:hAnsi="Times New Roman" w:cs="Times New Roman"/>
      <w:sz w:val="24"/>
    </w:rPr>
  </w:style>
  <w:style w:type="character" w:styleId="FootnoteReference">
    <w:name w:val="footnote reference"/>
    <w:uiPriority w:val="99"/>
    <w:semiHidden/>
    <w:unhideWhenUsed/>
    <w:rPr>
      <w:vertAlign w:val="superscript"/>
    </w:rPr>
  </w:style>
  <w:style w:type="character" w:customStyle="1" w:styleId="Marker1">
    <w:name w:val="Marker1"/>
    <w:rPr>
      <w:color w:val="008000"/>
    </w:rPr>
  </w:style>
  <w:style w:type="character" w:customStyle="1" w:styleId="Marker2">
    <w:name w:val="Marker2"/>
    <w:rPr>
      <w:color w:val="FF0000"/>
    </w:rPr>
  </w:style>
  <w:style w:type="character" w:customStyle="1" w:styleId="Added">
    <w:name w:val="Added"/>
    <w:rPr>
      <w:b/>
      <w:bCs w:val="0"/>
      <w:u w:val="single"/>
    </w:rPr>
  </w:style>
  <w:style w:type="character" w:customStyle="1" w:styleId="Deleted">
    <w:name w:val="Deleted"/>
    <w:rPr>
      <w:strike/>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37633">
      <w:bodyDiv w:val="1"/>
      <w:marLeft w:val="0"/>
      <w:marRight w:val="0"/>
      <w:marTop w:val="0"/>
      <w:marBottom w:val="0"/>
      <w:divBdr>
        <w:top w:val="none" w:sz="0" w:space="0" w:color="auto"/>
        <w:left w:val="none" w:sz="0" w:space="0" w:color="auto"/>
        <w:bottom w:val="none" w:sz="0" w:space="0" w:color="auto"/>
        <w:right w:val="none" w:sz="0" w:space="0" w:color="auto"/>
      </w:divBdr>
    </w:div>
    <w:div w:id="184101029">
      <w:bodyDiv w:val="1"/>
      <w:marLeft w:val="0"/>
      <w:marRight w:val="0"/>
      <w:marTop w:val="0"/>
      <w:marBottom w:val="0"/>
      <w:divBdr>
        <w:top w:val="none" w:sz="0" w:space="0" w:color="auto"/>
        <w:left w:val="none" w:sz="0" w:space="0" w:color="auto"/>
        <w:bottom w:val="none" w:sz="0" w:space="0" w:color="auto"/>
        <w:right w:val="none" w:sz="0" w:space="0" w:color="auto"/>
      </w:divBdr>
    </w:div>
    <w:div w:id="189030781">
      <w:bodyDiv w:val="1"/>
      <w:marLeft w:val="0"/>
      <w:marRight w:val="0"/>
      <w:marTop w:val="0"/>
      <w:marBottom w:val="0"/>
      <w:divBdr>
        <w:top w:val="none" w:sz="0" w:space="0" w:color="auto"/>
        <w:left w:val="none" w:sz="0" w:space="0" w:color="auto"/>
        <w:bottom w:val="none" w:sz="0" w:space="0" w:color="auto"/>
        <w:right w:val="none" w:sz="0" w:space="0" w:color="auto"/>
      </w:divBdr>
    </w:div>
    <w:div w:id="216278746">
      <w:bodyDiv w:val="1"/>
      <w:marLeft w:val="0"/>
      <w:marRight w:val="0"/>
      <w:marTop w:val="0"/>
      <w:marBottom w:val="0"/>
      <w:divBdr>
        <w:top w:val="none" w:sz="0" w:space="0" w:color="auto"/>
        <w:left w:val="none" w:sz="0" w:space="0" w:color="auto"/>
        <w:bottom w:val="none" w:sz="0" w:space="0" w:color="auto"/>
        <w:right w:val="none" w:sz="0" w:space="0" w:color="auto"/>
      </w:divBdr>
    </w:div>
    <w:div w:id="226765388">
      <w:bodyDiv w:val="1"/>
      <w:marLeft w:val="0"/>
      <w:marRight w:val="0"/>
      <w:marTop w:val="0"/>
      <w:marBottom w:val="0"/>
      <w:divBdr>
        <w:top w:val="none" w:sz="0" w:space="0" w:color="auto"/>
        <w:left w:val="none" w:sz="0" w:space="0" w:color="auto"/>
        <w:bottom w:val="none" w:sz="0" w:space="0" w:color="auto"/>
        <w:right w:val="none" w:sz="0" w:space="0" w:color="auto"/>
      </w:divBdr>
    </w:div>
    <w:div w:id="230119978">
      <w:bodyDiv w:val="1"/>
      <w:marLeft w:val="0"/>
      <w:marRight w:val="0"/>
      <w:marTop w:val="0"/>
      <w:marBottom w:val="0"/>
      <w:divBdr>
        <w:top w:val="none" w:sz="0" w:space="0" w:color="auto"/>
        <w:left w:val="none" w:sz="0" w:space="0" w:color="auto"/>
        <w:bottom w:val="none" w:sz="0" w:space="0" w:color="auto"/>
        <w:right w:val="none" w:sz="0" w:space="0" w:color="auto"/>
      </w:divBdr>
    </w:div>
    <w:div w:id="312834898">
      <w:bodyDiv w:val="1"/>
      <w:marLeft w:val="0"/>
      <w:marRight w:val="0"/>
      <w:marTop w:val="0"/>
      <w:marBottom w:val="0"/>
      <w:divBdr>
        <w:top w:val="none" w:sz="0" w:space="0" w:color="auto"/>
        <w:left w:val="none" w:sz="0" w:space="0" w:color="auto"/>
        <w:bottom w:val="none" w:sz="0" w:space="0" w:color="auto"/>
        <w:right w:val="none" w:sz="0" w:space="0" w:color="auto"/>
      </w:divBdr>
    </w:div>
    <w:div w:id="332994480">
      <w:bodyDiv w:val="1"/>
      <w:marLeft w:val="0"/>
      <w:marRight w:val="0"/>
      <w:marTop w:val="0"/>
      <w:marBottom w:val="0"/>
      <w:divBdr>
        <w:top w:val="none" w:sz="0" w:space="0" w:color="auto"/>
        <w:left w:val="none" w:sz="0" w:space="0" w:color="auto"/>
        <w:bottom w:val="none" w:sz="0" w:space="0" w:color="auto"/>
        <w:right w:val="none" w:sz="0" w:space="0" w:color="auto"/>
      </w:divBdr>
    </w:div>
    <w:div w:id="397172431">
      <w:bodyDiv w:val="1"/>
      <w:marLeft w:val="0"/>
      <w:marRight w:val="0"/>
      <w:marTop w:val="0"/>
      <w:marBottom w:val="0"/>
      <w:divBdr>
        <w:top w:val="none" w:sz="0" w:space="0" w:color="auto"/>
        <w:left w:val="none" w:sz="0" w:space="0" w:color="auto"/>
        <w:bottom w:val="none" w:sz="0" w:space="0" w:color="auto"/>
        <w:right w:val="none" w:sz="0" w:space="0" w:color="auto"/>
      </w:divBdr>
    </w:div>
    <w:div w:id="484786591">
      <w:bodyDiv w:val="1"/>
      <w:marLeft w:val="0"/>
      <w:marRight w:val="0"/>
      <w:marTop w:val="0"/>
      <w:marBottom w:val="0"/>
      <w:divBdr>
        <w:top w:val="none" w:sz="0" w:space="0" w:color="auto"/>
        <w:left w:val="none" w:sz="0" w:space="0" w:color="auto"/>
        <w:bottom w:val="none" w:sz="0" w:space="0" w:color="auto"/>
        <w:right w:val="none" w:sz="0" w:space="0" w:color="auto"/>
      </w:divBdr>
    </w:div>
    <w:div w:id="570235698">
      <w:bodyDiv w:val="1"/>
      <w:marLeft w:val="0"/>
      <w:marRight w:val="0"/>
      <w:marTop w:val="0"/>
      <w:marBottom w:val="0"/>
      <w:divBdr>
        <w:top w:val="none" w:sz="0" w:space="0" w:color="auto"/>
        <w:left w:val="none" w:sz="0" w:space="0" w:color="auto"/>
        <w:bottom w:val="none" w:sz="0" w:space="0" w:color="auto"/>
        <w:right w:val="none" w:sz="0" w:space="0" w:color="auto"/>
      </w:divBdr>
    </w:div>
    <w:div w:id="622266931">
      <w:bodyDiv w:val="1"/>
      <w:marLeft w:val="0"/>
      <w:marRight w:val="0"/>
      <w:marTop w:val="0"/>
      <w:marBottom w:val="0"/>
      <w:divBdr>
        <w:top w:val="none" w:sz="0" w:space="0" w:color="auto"/>
        <w:left w:val="none" w:sz="0" w:space="0" w:color="auto"/>
        <w:bottom w:val="none" w:sz="0" w:space="0" w:color="auto"/>
        <w:right w:val="none" w:sz="0" w:space="0" w:color="auto"/>
      </w:divBdr>
    </w:div>
    <w:div w:id="646326384">
      <w:bodyDiv w:val="1"/>
      <w:marLeft w:val="0"/>
      <w:marRight w:val="0"/>
      <w:marTop w:val="0"/>
      <w:marBottom w:val="0"/>
      <w:divBdr>
        <w:top w:val="none" w:sz="0" w:space="0" w:color="auto"/>
        <w:left w:val="none" w:sz="0" w:space="0" w:color="auto"/>
        <w:bottom w:val="none" w:sz="0" w:space="0" w:color="auto"/>
        <w:right w:val="none" w:sz="0" w:space="0" w:color="auto"/>
      </w:divBdr>
    </w:div>
    <w:div w:id="676229291">
      <w:bodyDiv w:val="1"/>
      <w:marLeft w:val="0"/>
      <w:marRight w:val="0"/>
      <w:marTop w:val="0"/>
      <w:marBottom w:val="0"/>
      <w:divBdr>
        <w:top w:val="none" w:sz="0" w:space="0" w:color="auto"/>
        <w:left w:val="none" w:sz="0" w:space="0" w:color="auto"/>
        <w:bottom w:val="none" w:sz="0" w:space="0" w:color="auto"/>
        <w:right w:val="none" w:sz="0" w:space="0" w:color="auto"/>
      </w:divBdr>
    </w:div>
    <w:div w:id="713818356">
      <w:bodyDiv w:val="1"/>
      <w:marLeft w:val="0"/>
      <w:marRight w:val="0"/>
      <w:marTop w:val="0"/>
      <w:marBottom w:val="0"/>
      <w:divBdr>
        <w:top w:val="none" w:sz="0" w:space="0" w:color="auto"/>
        <w:left w:val="none" w:sz="0" w:space="0" w:color="auto"/>
        <w:bottom w:val="none" w:sz="0" w:space="0" w:color="auto"/>
        <w:right w:val="none" w:sz="0" w:space="0" w:color="auto"/>
      </w:divBdr>
    </w:div>
    <w:div w:id="772745175">
      <w:bodyDiv w:val="1"/>
      <w:marLeft w:val="0"/>
      <w:marRight w:val="0"/>
      <w:marTop w:val="0"/>
      <w:marBottom w:val="0"/>
      <w:divBdr>
        <w:top w:val="none" w:sz="0" w:space="0" w:color="auto"/>
        <w:left w:val="none" w:sz="0" w:space="0" w:color="auto"/>
        <w:bottom w:val="none" w:sz="0" w:space="0" w:color="auto"/>
        <w:right w:val="none" w:sz="0" w:space="0" w:color="auto"/>
      </w:divBdr>
    </w:div>
    <w:div w:id="792360114">
      <w:bodyDiv w:val="1"/>
      <w:marLeft w:val="0"/>
      <w:marRight w:val="0"/>
      <w:marTop w:val="0"/>
      <w:marBottom w:val="0"/>
      <w:divBdr>
        <w:top w:val="none" w:sz="0" w:space="0" w:color="auto"/>
        <w:left w:val="none" w:sz="0" w:space="0" w:color="auto"/>
        <w:bottom w:val="none" w:sz="0" w:space="0" w:color="auto"/>
        <w:right w:val="none" w:sz="0" w:space="0" w:color="auto"/>
      </w:divBdr>
    </w:div>
    <w:div w:id="816142492">
      <w:bodyDiv w:val="1"/>
      <w:marLeft w:val="0"/>
      <w:marRight w:val="0"/>
      <w:marTop w:val="0"/>
      <w:marBottom w:val="0"/>
      <w:divBdr>
        <w:top w:val="none" w:sz="0" w:space="0" w:color="auto"/>
        <w:left w:val="none" w:sz="0" w:space="0" w:color="auto"/>
        <w:bottom w:val="none" w:sz="0" w:space="0" w:color="auto"/>
        <w:right w:val="none" w:sz="0" w:space="0" w:color="auto"/>
      </w:divBdr>
    </w:div>
    <w:div w:id="866797903">
      <w:bodyDiv w:val="1"/>
      <w:marLeft w:val="0"/>
      <w:marRight w:val="0"/>
      <w:marTop w:val="0"/>
      <w:marBottom w:val="0"/>
      <w:divBdr>
        <w:top w:val="none" w:sz="0" w:space="0" w:color="auto"/>
        <w:left w:val="none" w:sz="0" w:space="0" w:color="auto"/>
        <w:bottom w:val="none" w:sz="0" w:space="0" w:color="auto"/>
        <w:right w:val="none" w:sz="0" w:space="0" w:color="auto"/>
      </w:divBdr>
    </w:div>
    <w:div w:id="901525006">
      <w:bodyDiv w:val="1"/>
      <w:marLeft w:val="0"/>
      <w:marRight w:val="0"/>
      <w:marTop w:val="0"/>
      <w:marBottom w:val="0"/>
      <w:divBdr>
        <w:top w:val="none" w:sz="0" w:space="0" w:color="auto"/>
        <w:left w:val="none" w:sz="0" w:space="0" w:color="auto"/>
        <w:bottom w:val="none" w:sz="0" w:space="0" w:color="auto"/>
        <w:right w:val="none" w:sz="0" w:space="0" w:color="auto"/>
      </w:divBdr>
    </w:div>
    <w:div w:id="962422037">
      <w:bodyDiv w:val="1"/>
      <w:marLeft w:val="0"/>
      <w:marRight w:val="0"/>
      <w:marTop w:val="0"/>
      <w:marBottom w:val="0"/>
      <w:divBdr>
        <w:top w:val="none" w:sz="0" w:space="0" w:color="auto"/>
        <w:left w:val="none" w:sz="0" w:space="0" w:color="auto"/>
        <w:bottom w:val="none" w:sz="0" w:space="0" w:color="auto"/>
        <w:right w:val="none" w:sz="0" w:space="0" w:color="auto"/>
      </w:divBdr>
    </w:div>
    <w:div w:id="1012338189">
      <w:bodyDiv w:val="1"/>
      <w:marLeft w:val="0"/>
      <w:marRight w:val="0"/>
      <w:marTop w:val="0"/>
      <w:marBottom w:val="0"/>
      <w:divBdr>
        <w:top w:val="none" w:sz="0" w:space="0" w:color="auto"/>
        <w:left w:val="none" w:sz="0" w:space="0" w:color="auto"/>
        <w:bottom w:val="none" w:sz="0" w:space="0" w:color="auto"/>
        <w:right w:val="none" w:sz="0" w:space="0" w:color="auto"/>
      </w:divBdr>
    </w:div>
    <w:div w:id="1067461374">
      <w:bodyDiv w:val="1"/>
      <w:marLeft w:val="0"/>
      <w:marRight w:val="0"/>
      <w:marTop w:val="0"/>
      <w:marBottom w:val="0"/>
      <w:divBdr>
        <w:top w:val="none" w:sz="0" w:space="0" w:color="auto"/>
        <w:left w:val="none" w:sz="0" w:space="0" w:color="auto"/>
        <w:bottom w:val="none" w:sz="0" w:space="0" w:color="auto"/>
        <w:right w:val="none" w:sz="0" w:space="0" w:color="auto"/>
      </w:divBdr>
    </w:div>
    <w:div w:id="1143429635">
      <w:bodyDiv w:val="1"/>
      <w:marLeft w:val="0"/>
      <w:marRight w:val="0"/>
      <w:marTop w:val="0"/>
      <w:marBottom w:val="0"/>
      <w:divBdr>
        <w:top w:val="none" w:sz="0" w:space="0" w:color="auto"/>
        <w:left w:val="none" w:sz="0" w:space="0" w:color="auto"/>
        <w:bottom w:val="none" w:sz="0" w:space="0" w:color="auto"/>
        <w:right w:val="none" w:sz="0" w:space="0" w:color="auto"/>
      </w:divBdr>
    </w:div>
    <w:div w:id="1205873151">
      <w:bodyDiv w:val="1"/>
      <w:marLeft w:val="0"/>
      <w:marRight w:val="0"/>
      <w:marTop w:val="0"/>
      <w:marBottom w:val="0"/>
      <w:divBdr>
        <w:top w:val="none" w:sz="0" w:space="0" w:color="auto"/>
        <w:left w:val="none" w:sz="0" w:space="0" w:color="auto"/>
        <w:bottom w:val="none" w:sz="0" w:space="0" w:color="auto"/>
        <w:right w:val="none" w:sz="0" w:space="0" w:color="auto"/>
      </w:divBdr>
    </w:div>
    <w:div w:id="1214393367">
      <w:bodyDiv w:val="1"/>
      <w:marLeft w:val="0"/>
      <w:marRight w:val="0"/>
      <w:marTop w:val="0"/>
      <w:marBottom w:val="0"/>
      <w:divBdr>
        <w:top w:val="none" w:sz="0" w:space="0" w:color="auto"/>
        <w:left w:val="none" w:sz="0" w:space="0" w:color="auto"/>
        <w:bottom w:val="none" w:sz="0" w:space="0" w:color="auto"/>
        <w:right w:val="none" w:sz="0" w:space="0" w:color="auto"/>
      </w:divBdr>
    </w:div>
    <w:div w:id="1243760242">
      <w:bodyDiv w:val="1"/>
      <w:marLeft w:val="0"/>
      <w:marRight w:val="0"/>
      <w:marTop w:val="0"/>
      <w:marBottom w:val="0"/>
      <w:divBdr>
        <w:top w:val="none" w:sz="0" w:space="0" w:color="auto"/>
        <w:left w:val="none" w:sz="0" w:space="0" w:color="auto"/>
        <w:bottom w:val="none" w:sz="0" w:space="0" w:color="auto"/>
        <w:right w:val="none" w:sz="0" w:space="0" w:color="auto"/>
      </w:divBdr>
    </w:div>
    <w:div w:id="1267732216">
      <w:bodyDiv w:val="1"/>
      <w:marLeft w:val="0"/>
      <w:marRight w:val="0"/>
      <w:marTop w:val="0"/>
      <w:marBottom w:val="0"/>
      <w:divBdr>
        <w:top w:val="none" w:sz="0" w:space="0" w:color="auto"/>
        <w:left w:val="none" w:sz="0" w:space="0" w:color="auto"/>
        <w:bottom w:val="none" w:sz="0" w:space="0" w:color="auto"/>
        <w:right w:val="none" w:sz="0" w:space="0" w:color="auto"/>
      </w:divBdr>
    </w:div>
    <w:div w:id="1270701472">
      <w:bodyDiv w:val="1"/>
      <w:marLeft w:val="0"/>
      <w:marRight w:val="0"/>
      <w:marTop w:val="0"/>
      <w:marBottom w:val="0"/>
      <w:divBdr>
        <w:top w:val="none" w:sz="0" w:space="0" w:color="auto"/>
        <w:left w:val="none" w:sz="0" w:space="0" w:color="auto"/>
        <w:bottom w:val="none" w:sz="0" w:space="0" w:color="auto"/>
        <w:right w:val="none" w:sz="0" w:space="0" w:color="auto"/>
      </w:divBdr>
    </w:div>
    <w:div w:id="1302465265">
      <w:bodyDiv w:val="1"/>
      <w:marLeft w:val="0"/>
      <w:marRight w:val="0"/>
      <w:marTop w:val="0"/>
      <w:marBottom w:val="0"/>
      <w:divBdr>
        <w:top w:val="none" w:sz="0" w:space="0" w:color="auto"/>
        <w:left w:val="none" w:sz="0" w:space="0" w:color="auto"/>
        <w:bottom w:val="none" w:sz="0" w:space="0" w:color="auto"/>
        <w:right w:val="none" w:sz="0" w:space="0" w:color="auto"/>
      </w:divBdr>
    </w:div>
    <w:div w:id="1346785384">
      <w:bodyDiv w:val="1"/>
      <w:marLeft w:val="0"/>
      <w:marRight w:val="0"/>
      <w:marTop w:val="0"/>
      <w:marBottom w:val="0"/>
      <w:divBdr>
        <w:top w:val="none" w:sz="0" w:space="0" w:color="auto"/>
        <w:left w:val="none" w:sz="0" w:space="0" w:color="auto"/>
        <w:bottom w:val="none" w:sz="0" w:space="0" w:color="auto"/>
        <w:right w:val="none" w:sz="0" w:space="0" w:color="auto"/>
      </w:divBdr>
    </w:div>
    <w:div w:id="1382099616">
      <w:bodyDiv w:val="1"/>
      <w:marLeft w:val="0"/>
      <w:marRight w:val="0"/>
      <w:marTop w:val="0"/>
      <w:marBottom w:val="0"/>
      <w:divBdr>
        <w:top w:val="none" w:sz="0" w:space="0" w:color="auto"/>
        <w:left w:val="none" w:sz="0" w:space="0" w:color="auto"/>
        <w:bottom w:val="none" w:sz="0" w:space="0" w:color="auto"/>
        <w:right w:val="none" w:sz="0" w:space="0" w:color="auto"/>
      </w:divBdr>
    </w:div>
    <w:div w:id="1458138386">
      <w:bodyDiv w:val="1"/>
      <w:marLeft w:val="0"/>
      <w:marRight w:val="0"/>
      <w:marTop w:val="0"/>
      <w:marBottom w:val="0"/>
      <w:divBdr>
        <w:top w:val="none" w:sz="0" w:space="0" w:color="auto"/>
        <w:left w:val="none" w:sz="0" w:space="0" w:color="auto"/>
        <w:bottom w:val="none" w:sz="0" w:space="0" w:color="auto"/>
        <w:right w:val="none" w:sz="0" w:space="0" w:color="auto"/>
      </w:divBdr>
    </w:div>
    <w:div w:id="1501970383">
      <w:bodyDiv w:val="1"/>
      <w:marLeft w:val="0"/>
      <w:marRight w:val="0"/>
      <w:marTop w:val="0"/>
      <w:marBottom w:val="0"/>
      <w:divBdr>
        <w:top w:val="none" w:sz="0" w:space="0" w:color="auto"/>
        <w:left w:val="none" w:sz="0" w:space="0" w:color="auto"/>
        <w:bottom w:val="none" w:sz="0" w:space="0" w:color="auto"/>
        <w:right w:val="none" w:sz="0" w:space="0" w:color="auto"/>
      </w:divBdr>
    </w:div>
    <w:div w:id="1509252373">
      <w:bodyDiv w:val="1"/>
      <w:marLeft w:val="0"/>
      <w:marRight w:val="0"/>
      <w:marTop w:val="0"/>
      <w:marBottom w:val="0"/>
      <w:divBdr>
        <w:top w:val="none" w:sz="0" w:space="0" w:color="auto"/>
        <w:left w:val="none" w:sz="0" w:space="0" w:color="auto"/>
        <w:bottom w:val="none" w:sz="0" w:space="0" w:color="auto"/>
        <w:right w:val="none" w:sz="0" w:space="0" w:color="auto"/>
      </w:divBdr>
    </w:div>
    <w:div w:id="1590187804">
      <w:bodyDiv w:val="1"/>
      <w:marLeft w:val="0"/>
      <w:marRight w:val="0"/>
      <w:marTop w:val="0"/>
      <w:marBottom w:val="0"/>
      <w:divBdr>
        <w:top w:val="none" w:sz="0" w:space="0" w:color="auto"/>
        <w:left w:val="none" w:sz="0" w:space="0" w:color="auto"/>
        <w:bottom w:val="none" w:sz="0" w:space="0" w:color="auto"/>
        <w:right w:val="none" w:sz="0" w:space="0" w:color="auto"/>
      </w:divBdr>
    </w:div>
    <w:div w:id="1722553970">
      <w:bodyDiv w:val="1"/>
      <w:marLeft w:val="0"/>
      <w:marRight w:val="0"/>
      <w:marTop w:val="0"/>
      <w:marBottom w:val="0"/>
      <w:divBdr>
        <w:top w:val="none" w:sz="0" w:space="0" w:color="auto"/>
        <w:left w:val="none" w:sz="0" w:space="0" w:color="auto"/>
        <w:bottom w:val="none" w:sz="0" w:space="0" w:color="auto"/>
        <w:right w:val="none" w:sz="0" w:space="0" w:color="auto"/>
      </w:divBdr>
    </w:div>
    <w:div w:id="1784955047">
      <w:bodyDiv w:val="1"/>
      <w:marLeft w:val="0"/>
      <w:marRight w:val="0"/>
      <w:marTop w:val="0"/>
      <w:marBottom w:val="0"/>
      <w:divBdr>
        <w:top w:val="none" w:sz="0" w:space="0" w:color="auto"/>
        <w:left w:val="none" w:sz="0" w:space="0" w:color="auto"/>
        <w:bottom w:val="none" w:sz="0" w:space="0" w:color="auto"/>
        <w:right w:val="none" w:sz="0" w:space="0" w:color="auto"/>
      </w:divBdr>
    </w:div>
    <w:div w:id="1815104038">
      <w:bodyDiv w:val="1"/>
      <w:marLeft w:val="0"/>
      <w:marRight w:val="0"/>
      <w:marTop w:val="0"/>
      <w:marBottom w:val="0"/>
      <w:divBdr>
        <w:top w:val="none" w:sz="0" w:space="0" w:color="auto"/>
        <w:left w:val="none" w:sz="0" w:space="0" w:color="auto"/>
        <w:bottom w:val="none" w:sz="0" w:space="0" w:color="auto"/>
        <w:right w:val="none" w:sz="0" w:space="0" w:color="auto"/>
      </w:divBdr>
    </w:div>
    <w:div w:id="1838959426">
      <w:bodyDiv w:val="1"/>
      <w:marLeft w:val="0"/>
      <w:marRight w:val="0"/>
      <w:marTop w:val="0"/>
      <w:marBottom w:val="0"/>
      <w:divBdr>
        <w:top w:val="none" w:sz="0" w:space="0" w:color="auto"/>
        <w:left w:val="none" w:sz="0" w:space="0" w:color="auto"/>
        <w:bottom w:val="none" w:sz="0" w:space="0" w:color="auto"/>
        <w:right w:val="none" w:sz="0" w:space="0" w:color="auto"/>
      </w:divBdr>
    </w:div>
    <w:div w:id="1854538562">
      <w:bodyDiv w:val="1"/>
      <w:marLeft w:val="0"/>
      <w:marRight w:val="0"/>
      <w:marTop w:val="0"/>
      <w:marBottom w:val="0"/>
      <w:divBdr>
        <w:top w:val="none" w:sz="0" w:space="0" w:color="auto"/>
        <w:left w:val="none" w:sz="0" w:space="0" w:color="auto"/>
        <w:bottom w:val="none" w:sz="0" w:space="0" w:color="auto"/>
        <w:right w:val="none" w:sz="0" w:space="0" w:color="auto"/>
      </w:divBdr>
    </w:div>
    <w:div w:id="1864705390">
      <w:bodyDiv w:val="1"/>
      <w:marLeft w:val="0"/>
      <w:marRight w:val="0"/>
      <w:marTop w:val="0"/>
      <w:marBottom w:val="0"/>
      <w:divBdr>
        <w:top w:val="none" w:sz="0" w:space="0" w:color="auto"/>
        <w:left w:val="none" w:sz="0" w:space="0" w:color="auto"/>
        <w:bottom w:val="none" w:sz="0" w:space="0" w:color="auto"/>
        <w:right w:val="none" w:sz="0" w:space="0" w:color="auto"/>
      </w:divBdr>
    </w:div>
    <w:div w:id="1881017569">
      <w:bodyDiv w:val="1"/>
      <w:marLeft w:val="0"/>
      <w:marRight w:val="0"/>
      <w:marTop w:val="0"/>
      <w:marBottom w:val="0"/>
      <w:divBdr>
        <w:top w:val="none" w:sz="0" w:space="0" w:color="auto"/>
        <w:left w:val="none" w:sz="0" w:space="0" w:color="auto"/>
        <w:bottom w:val="none" w:sz="0" w:space="0" w:color="auto"/>
        <w:right w:val="none" w:sz="0" w:space="0" w:color="auto"/>
      </w:divBdr>
    </w:div>
    <w:div w:id="2063550699">
      <w:bodyDiv w:val="1"/>
      <w:marLeft w:val="0"/>
      <w:marRight w:val="0"/>
      <w:marTop w:val="0"/>
      <w:marBottom w:val="0"/>
      <w:divBdr>
        <w:top w:val="none" w:sz="0" w:space="0" w:color="auto"/>
        <w:left w:val="none" w:sz="0" w:space="0" w:color="auto"/>
        <w:bottom w:val="none" w:sz="0" w:space="0" w:color="auto"/>
        <w:right w:val="none" w:sz="0" w:space="0" w:color="auto"/>
      </w:divBdr>
    </w:div>
    <w:div w:id="212993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2.xml"/><Relationship Id="rId42" Type="http://schemas.openxmlformats.org/officeDocument/2006/relationships/header" Target="header17.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footer" Target="footer14.xml"/><Relationship Id="rId46"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0.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footer" Target="footer17.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footer" Target="footer16.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3E063-9255-4095-B0F0-8529F9A2E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9</Pages>
  <Words>4385</Words>
  <Characters>17191</Characters>
  <Application>Microsoft Office Word</Application>
  <DocSecurity>0</DocSecurity>
  <Lines>2148</Lines>
  <Paragraphs>1961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34</cp:revision>
  <cp:lastPrinted>2017-09-04T17:00:00Z</cp:lastPrinted>
  <dcterms:created xsi:type="dcterms:W3CDTF">2017-10-17T12:14:00Z</dcterms:created>
  <dcterms:modified xsi:type="dcterms:W3CDTF">2018-10-09T08:26:00Z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fmtid="{D5CDD505-2E9C-101B-9397-08002B2CF9AE}" pid="6" name="Last edited using">
    <vt:lpwstr>LW 6.0.1, Build 20180503</vt:lpwstr>
  </property>
  <property fmtid="{D5CDD505-2E9C-101B-9397-08002B2CF9AE}" pid="7" name="Created using">
    <vt:lpwstr>LW 6.0.1, Build 20180503</vt:lpwstr>
  </property>
  <property name="OP_sanitized" fmtid="{D5CDD505-2E9C-101B-9397-08002B2CF9AE}" pid="8">
    <vt:lpwstr>True</vt:lpwstr>
  </property>
</Properties>
</file>