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E99E6C05-F941-4FAB-B03A-ED0A2B513D8D" style="width:450.75pt;height:351.7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p>
    <w:p>
      <w:pPr>
        <w:rPr>
          <w:noProof/>
        </w:rPr>
      </w:pPr>
    </w:p>
    <w:p>
      <w:pPr>
        <w:pStyle w:val="Statut"/>
        <w:rPr>
          <w:noProof/>
        </w:rPr>
      </w:pPr>
      <w:r>
        <w:rPr>
          <w:noProof/>
        </w:rPr>
        <w:t>Doporučení pro</w:t>
      </w:r>
    </w:p>
    <w:p>
      <w:pPr>
        <w:pStyle w:val="Typedudocument"/>
        <w:rPr>
          <w:noProof/>
        </w:rPr>
      </w:pPr>
      <w:r>
        <w:rPr>
          <w:noProof/>
        </w:rPr>
        <w:t>DOPORUČENÍ RADY</w:t>
      </w:r>
    </w:p>
    <w:p>
      <w:pPr>
        <w:pStyle w:val="Titreobjet"/>
        <w:rPr>
          <w:noProof/>
        </w:rPr>
      </w:pPr>
      <w:r>
        <w:rPr>
          <w:noProof/>
        </w:rPr>
        <w:t>k národnímu programu reforem Spojeného království na rok 2018</w:t>
      </w:r>
      <w:r>
        <w:rPr>
          <w:noProof/>
        </w:rPr>
        <w:br/>
      </w:r>
      <w:r>
        <w:rPr>
          <w:noProof/>
        </w:rPr>
        <w:br/>
        <w:t>a stanovisko Rady ke konvergenčnímu programu Spojeného království z roku 2018</w:t>
      </w:r>
    </w:p>
    <w:p>
      <w:pPr>
        <w:pStyle w:val="Institutionquiagit"/>
        <w:rPr>
          <w:noProof/>
        </w:rPr>
      </w:pPr>
      <w:r>
        <w:rPr>
          <w:noProof/>
        </w:rPr>
        <w:t>RADA EVROPSKÉ UNIE,</w:t>
      </w:r>
    </w:p>
    <w:p>
      <w:pPr>
        <w:rPr>
          <w:rFonts w:eastAsia="Calibri"/>
          <w:noProof/>
        </w:rPr>
      </w:pPr>
      <w:r>
        <w:rPr>
          <w:noProof/>
        </w:rPr>
        <w:t>s ohledem na Smlouvu o fungování Evropské unie, a zejména na čl. 121 odst. 2 a čl. 148 odst. 4 této smlouvy,</w:t>
      </w:r>
    </w:p>
    <w:p>
      <w:pPr>
        <w:rPr>
          <w:rFonts w:eastAsia="Calibri"/>
          <w:noProof/>
        </w:rPr>
      </w:pPr>
      <w:r>
        <w:rPr>
          <w:noProof/>
        </w:rPr>
        <w:t>s ohledem na nařízení Rady (ES) č. 1466/97 ze dne 7. července 1997 o posílení dohledu nad stavy rozpočtů a nad hospodářskými politikami a o posílení koordinace hospodářských politik</w:t>
      </w:r>
      <w:r>
        <w:rPr>
          <w:rStyle w:val="FootnoteReference"/>
          <w:noProof/>
        </w:rPr>
        <w:footnoteReference w:id="1"/>
      </w:r>
      <w:r>
        <w:rPr>
          <w:noProof/>
        </w:rPr>
        <w:t>, a zejména na čl. 9 odst. 2 uvedeného nařízení,</w:t>
      </w:r>
    </w:p>
    <w:p>
      <w:pPr>
        <w:rPr>
          <w:rFonts w:eastAsia="Calibri"/>
          <w:noProof/>
        </w:rPr>
      </w:pPr>
      <w:r>
        <w:rPr>
          <w:noProof/>
        </w:rPr>
        <w:t>s ohledem na doporučení Evropské komise</w:t>
      </w:r>
      <w:r>
        <w:rPr>
          <w:rStyle w:val="FootnoteReference"/>
          <w:noProof/>
        </w:rPr>
        <w:footnoteReference w:id="2"/>
      </w:r>
      <w:r>
        <w:rPr>
          <w:noProof/>
        </w:rPr>
        <w:t>,</w:t>
      </w:r>
    </w:p>
    <w:p>
      <w:pPr>
        <w:spacing w:before="0" w:after="0"/>
        <w:jc w:val="left"/>
        <w:rPr>
          <w:noProof/>
          <w:szCs w:val="24"/>
          <w:lang w:eastAsia="en-GB"/>
        </w:rPr>
      </w:pPr>
      <w:r>
        <w:rPr>
          <w:noProof/>
        </w:rPr>
        <w:t>s ohledem na usnesení Evropského parlamentu</w:t>
      </w:r>
      <w:r>
        <w:rPr>
          <w:rStyle w:val="FootnoteReference"/>
          <w:noProof/>
        </w:rPr>
        <w:footnoteReference w:id="3"/>
      </w:r>
      <w:r>
        <w:rPr>
          <w:noProof/>
        </w:rPr>
        <w:t>,</w:t>
      </w:r>
    </w:p>
    <w:p>
      <w:pPr>
        <w:outlineLvl w:val="0"/>
        <w:rPr>
          <w:rFonts w:eastAsia="Calibri"/>
          <w:noProof/>
        </w:rPr>
      </w:pPr>
      <w:r>
        <w:rPr>
          <w:noProof/>
        </w:rPr>
        <w:t>s ohledem na závěry Evropské rady,</w:t>
      </w:r>
    </w:p>
    <w:p>
      <w:pPr>
        <w:rPr>
          <w:rFonts w:eastAsia="Calibri"/>
          <w:noProof/>
        </w:rPr>
      </w:pPr>
      <w:r>
        <w:rPr>
          <w:noProof/>
        </w:rPr>
        <w:t>s ohledem na stanovisko Výboru pro zaměstnanost,</w:t>
      </w:r>
    </w:p>
    <w:p>
      <w:pPr>
        <w:rPr>
          <w:rFonts w:eastAsia="Calibri"/>
          <w:noProof/>
        </w:rPr>
      </w:pPr>
      <w:r>
        <w:rPr>
          <w:noProof/>
        </w:rPr>
        <w:t>s ohledem na stanovisko Hospodářského a finančního výboru,</w:t>
      </w:r>
    </w:p>
    <w:p>
      <w:pPr>
        <w:rPr>
          <w:rFonts w:eastAsia="Calibri"/>
          <w:noProof/>
        </w:rPr>
      </w:pPr>
      <w:r>
        <w:rPr>
          <w:noProof/>
        </w:rPr>
        <w:t>s ohledem na stanovisko Výboru pro sociální ochranu,</w:t>
      </w:r>
    </w:p>
    <w:p>
      <w:pPr>
        <w:rPr>
          <w:rFonts w:eastAsia="Calibri"/>
          <w:noProof/>
        </w:rPr>
      </w:pPr>
      <w:r>
        <w:rPr>
          <w:noProof/>
        </w:rPr>
        <w:t>s ohledem na stanovisko Výboru pro hospodářskou politiku,</w:t>
      </w:r>
    </w:p>
    <w:p>
      <w:pPr>
        <w:rPr>
          <w:rFonts w:eastAsia="Calibri"/>
          <w:noProof/>
        </w:rPr>
      </w:pPr>
      <w:r>
        <w:rPr>
          <w:noProof/>
        </w:rPr>
        <w:t>vzhledem k těmto důvodům:</w:t>
      </w:r>
    </w:p>
    <w:p>
      <w:pPr>
        <w:pStyle w:val="ManualConsidrant"/>
        <w:rPr>
          <w:noProof/>
        </w:rPr>
      </w:pPr>
      <w:r>
        <w:t>(1)</w:t>
      </w:r>
      <w:r>
        <w:tab/>
      </w:r>
      <w:r>
        <w:rPr>
          <w:noProof/>
        </w:rPr>
        <w:t>Dne 22. listopadu 2017 přijala Komise roční analýzu růstu, jež zahájila evropský semestr pro koordinaci hospodářských politik pro rok 2018. Náležitě zohlednila evropský pilíř sociálních práv, který byl vyhlášen Evropským parlamentem, Radou a Komisí dne 17. listopadu 2017. Priority této roční analýzy potvrdila dne 22. března 2018 Evropská rada. Dne 22. listopadu 2017 přijala Komise na základě nařízení (EU) č. 1176/2011 rovněž zprávu mechanismu varování, ve které není Spojené království uvedeno mezi členskými státy, u nichž bude proveden hloubkový přezkum.</w:t>
      </w:r>
    </w:p>
    <w:p>
      <w:pPr>
        <w:pStyle w:val="ManualConsidrant"/>
        <w:rPr>
          <w:noProof/>
        </w:rPr>
      </w:pPr>
      <w:r>
        <w:t>(2)</w:t>
      </w:r>
      <w:r>
        <w:tab/>
      </w:r>
      <w:r>
        <w:rPr>
          <w:noProof/>
        </w:rPr>
        <w:t>Dne 7. března 2018 byla zveřejněna zpráva o Spojeném království pro rok 2018</w:t>
      </w:r>
      <w:r>
        <w:rPr>
          <w:rStyle w:val="FootnoteReference"/>
          <w:noProof/>
        </w:rPr>
        <w:footnoteReference w:id="4"/>
      </w:r>
      <w:r>
        <w:rPr>
          <w:noProof/>
        </w:rPr>
        <w:t>. V této zprávě byl posouzen pokrok, jejž Spojené království učinilo v plnění jemu určených doporučení přijatých Radou dne 11. července 2017, v přijímání opatření v návaznosti na doporučení přijatá v předchozích letech a v plnění národních cílů v rámci strategie Evropa 2020.</w:t>
      </w:r>
    </w:p>
    <w:p>
      <w:pPr>
        <w:pStyle w:val="ManualConsidrant"/>
        <w:rPr>
          <w:noProof/>
        </w:rPr>
      </w:pPr>
      <w:r>
        <w:lastRenderedPageBreak/>
        <w:t>(3)</w:t>
      </w:r>
      <w:r>
        <w:tab/>
      </w:r>
      <w:r>
        <w:rPr>
          <w:noProof/>
        </w:rPr>
        <w:t>Dne 29. března 2017 Spojené království oznámilo Evropské radě svůj záměr vystoupit z Evropské unie. Pokud ratifikovaná dohoda o vystoupení nestanoví jiné datum, nebo pokud Evropská rada v souladu s čl. 50 odst. 3 Smlouvy o Evropské unii po dohodě se Spojeným královstvím jednomyslně nerozhodne, že Smlouvy přestanou platit v pozdější datum, veškeré primární i sekundární právo Unie přestane pro Spojené království platit dne 30. března 2019 v 00:00 hodin (SEČ). Spojené království se v tom okamžiku stane třetí zemí. Probíhají jednání, která mají zajistit spořádané vystoupení, včetně možnosti poskytnutí přechodného období do konce roku 2020, během kterého bude právo Unie pro Spojené království a na jeho území nadále platit. Za těchto okolností Komise nepředložila ani nevypracovala žádný scénář vycházející z možných ujednání mezi Evropskou unií a Spojeným královstvím po brexitu, neboť tyto záležitosti jsou stále předmětem jednání.</w:t>
      </w:r>
    </w:p>
    <w:p>
      <w:pPr>
        <w:pStyle w:val="ManualConsidrant"/>
        <w:rPr>
          <w:noProof/>
        </w:rPr>
      </w:pPr>
      <w:r>
        <w:t>(4)</w:t>
      </w:r>
      <w:r>
        <w:tab/>
      </w:r>
      <w:r>
        <w:rPr>
          <w:noProof/>
        </w:rPr>
        <w:t>Dne 30. dubna 2018 předložilo Spojené království svůj národní program reforem na rok 2018 a svůj konvergenční program z roku 2018. Vzhledem k jejich provázanosti byly oba programy posuzovány současně.</w:t>
      </w:r>
    </w:p>
    <w:p>
      <w:pPr>
        <w:pStyle w:val="ManualConsidrant"/>
        <w:rPr>
          <w:noProof/>
        </w:rPr>
      </w:pPr>
      <w:r>
        <w:t>(5)</w:t>
      </w:r>
      <w:r>
        <w:tab/>
      </w:r>
      <w:r>
        <w:rPr>
          <w:noProof/>
        </w:rPr>
        <w:t>Relevantní doporučení pro jednotlivé země byla zohledněna při programování evropských strukturálních a investičních fondů na období 2014–2020. V souladu s článkem 23 nařízení Evropského parlamentu a Rady (EU) č. 1303/2013</w:t>
      </w:r>
      <w:r>
        <w:rPr>
          <w:rStyle w:val="FootnoteReference"/>
          <w:noProof/>
        </w:rPr>
        <w:footnoteReference w:id="5"/>
      </w:r>
      <w:r>
        <w:rPr>
          <w:noProof/>
        </w:rPr>
        <w:t xml:space="preserve"> může Komise členský stát požádat, aby svou dohodu o partnerství a příslušné programy přezkoumal a navrhl změny, je-li to nezbytné, aby se podpořilo provádění příslušných doporučení Rady. Podrobnosti o tom, jak bude Komise uvedené ustanovení používat, byly uvedeny v pokynech k uplatňování opatření propojujících účinnost evropských strukturálních a investičních fondů s řádnou správou ekonomických záležitostí</w:t>
      </w:r>
      <w:r>
        <w:rPr>
          <w:rStyle w:val="FootnoteReference"/>
          <w:noProof/>
        </w:rPr>
        <w:footnoteReference w:id="6"/>
      </w:r>
      <w:r>
        <w:rPr>
          <w:noProof/>
        </w:rPr>
        <w:t xml:space="preserve">. </w:t>
      </w:r>
    </w:p>
    <w:p>
      <w:pPr>
        <w:pStyle w:val="ManualConsidrant"/>
        <w:rPr>
          <w:noProof/>
        </w:rPr>
      </w:pPr>
      <w:r>
        <w:t>(6)</w:t>
      </w:r>
      <w:r>
        <w:tab/>
      </w:r>
      <w:r>
        <w:rPr>
          <w:noProof/>
        </w:rPr>
        <w:t>Na Spojené království se v současné době vztahuje preventivní složka Paktu o stabilitě a růstu a přechodné pravidlo pro zadlužení. V konvergenčním programu z období 2017–2018 vláda předpokládá, že celkový schodek státního rozpočtu klesne z 2,2 % HDP v období 2017–2018 na 1,8 % HDP v období 2018–2019 a na 1,7 % HDP v období 2019–2020. Konvergenční program neobsahuje střednědobý rozpočtový cíl. Na základě konvergenčního programu se očekává, že poměr veřejného dluhu k HDP se v obdobích 2017–2018 až 2019–2020 celkově stabilizuje na úrovni kolem 85,5 % a poté v období 2021–2022 poklesne na 84,8 % HDP. Makroekonomický scénář, z něhož tyto rozpočtové projekce vycházejí, je příznivý. Opatření potřebná k dosažení plánovaných cílových schodků jsou sice obecně dobře specifikována, ale rostoucí tlaky na výdaje vládních institucí v řadě oblastí ohrožují dosažení plánovaného snížení schodku.</w:t>
      </w:r>
    </w:p>
    <w:p>
      <w:pPr>
        <w:pStyle w:val="ManualConsidrant"/>
        <w:rPr>
          <w:noProof/>
        </w:rPr>
      </w:pPr>
      <w:r>
        <w:t>(7)</w:t>
      </w:r>
      <w:r>
        <w:tab/>
      </w:r>
      <w:r>
        <w:rPr>
          <w:noProof/>
        </w:rPr>
        <w:t>Rada dne 11. července 2017 Spojenému království doporučila, aby zajistilo, že nominální míra růstu čistých primárních výdajů vládních institucí</w:t>
      </w:r>
      <w:r>
        <w:rPr>
          <w:rStyle w:val="FootnoteReference"/>
          <w:noProof/>
        </w:rPr>
        <w:footnoteReference w:id="7"/>
      </w:r>
      <w:r>
        <w:rPr>
          <w:noProof/>
        </w:rPr>
        <w:t xml:space="preserve"> nepřesáhne v období 2018–2019 hodnotu 1,8 %, což odpovídá roční strukturální korekci ve výši 0,6 % HDP. Rada zároveň uvedla, že by se mělo zohlednit dosažení orientace fiskální politiky, která přispěje jak k posílení probíhajícího oživení, tak k zajištění udržitelnosti veřejných financí Spojeného království. Na základě prognózy Komise z jara 2018 existuje riziko určitých odchylek od požadavků preventivní složky v letech 2018–2019.</w:t>
      </w:r>
    </w:p>
    <w:p>
      <w:pPr>
        <w:pStyle w:val="ManualConsidrant"/>
        <w:rPr>
          <w:noProof/>
        </w:rPr>
      </w:pPr>
      <w:r>
        <w:t>(8)</w:t>
      </w:r>
      <w:r>
        <w:tab/>
      </w:r>
      <w:r>
        <w:rPr>
          <w:noProof/>
        </w:rPr>
        <w:t xml:space="preserve">Vzhledem míře veřejného dluhu Spojeného království přesahující 60 % HDP a k předpokládané mezeře výstupu ve výši 0,4 % by nominální míra růstu čistých primárních výdajů vládních institucí v období 2019–2020 neměla přesáhnout 1,6 %, v souladu se strukturální korekcí ve výši 0,6 % HDP na základě matice požadavků Paktu o stabilitě a růstu. Při nezměněné politice se předpovídá, že Spojené království v období 2019–2020 tento požadavek dodrží. </w:t>
      </w:r>
      <w:r>
        <w:rPr>
          <w:i/>
          <w:noProof/>
        </w:rPr>
        <w:t>Prima facie</w:t>
      </w:r>
      <w:r>
        <w:rPr>
          <w:noProof/>
        </w:rPr>
        <w:t xml:space="preserve"> se předpokládá, že Spojené království v období 2018–2019 a v období 2019–2020 dodrží přechodné pravidlo pro zadlužení díky povolené roční odchylce ve výši 0,25 %. Obecně se Rada domnívá, že Spojené království musí být počínaje obdobím 2018–2019 připraveno pro splnění ustanovení Paktu o stabilitě a růstu přijmout další opatření. </w:t>
      </w:r>
    </w:p>
    <w:p>
      <w:pPr>
        <w:pStyle w:val="ManualConsidrant"/>
        <w:rPr>
          <w:noProof/>
        </w:rPr>
      </w:pPr>
      <w:r>
        <w:t>(9)</w:t>
      </w:r>
      <w:r>
        <w:tab/>
      </w:r>
      <w:r>
        <w:rPr>
          <w:noProof/>
        </w:rPr>
        <w:t>Díky řadě vládních iniciativ zaměřených na stimulaci trhu s bydlením a cyklického oživení roční čistá nabídka bydlení nadále roste. Zůstává však hluboko pod odhadovanou poptávkou a Spojené království se v poskytování dostatečné nabídky bydlení nadále potýká s velkými problémy. To souvisí s velmi přísnou a složitou regulací trhu s pozemky. Nedostatek bydlení a vysoké náklady na bydlení jsou obzvláště problematické v oblastech s vysokou a rostoucí poptávkou, jako jsou města a jejich okolí. Vláda si je problému vědoma a ke zvýšení nabídky v příštích letech stanovila ambiciózní cíle. Zároveň vláda opětovně potvrdila své odhodlání omezit bytovou výstavbu v okolí měst. Podíl mladších lidí, kteří bydlí ve vlastní nemovitosti, významně poklesl, což přispívá k mezigenerační nerovnosti. Produktivita práce je nízká a stagnuje. Pokud jde o hlavní faktory podněcující produktivitu, kterými jsou dovednosti, investice a účinné provozní postupy, dosahuje mnoho odvětví ekonomiky poměrně špatných výsledků. Silným a stále rostoucím tlakům na kapacitu jsou rovněž vystaveny silniční, železniční a letecké sítě Spojeného království.</w:t>
      </w:r>
    </w:p>
    <w:p>
      <w:pPr>
        <w:pStyle w:val="ManualConsidrant"/>
        <w:rPr>
          <w:noProof/>
        </w:rPr>
      </w:pPr>
      <w:r>
        <w:t>(10)</w:t>
      </w:r>
      <w:r>
        <w:tab/>
      </w:r>
      <w:r>
        <w:rPr>
          <w:noProof/>
        </w:rPr>
        <w:t xml:space="preserve">Ačkoli souhrnné údaje týkající se trhu práce jsou podle většiny měřítek nadále pozitivní, přetrvávají obavy, pokud jde o kvalitu některých zaměstnání. Tyto obavy souvisejí s problémy v oblasti rozvoje dovedností, atypických forem práce, výdělků, produktivity, účasti na trhu práce a chudoby v produktivním věku. U všech těchto problémů došlo k významným politickým prohlášením a politickému vývoji. V těchto souvisejících politikách je naprosto zásadní jejich soudržnost. Pokud jde o dovednosti, většina opatření se dosud zaměřovala na učňovskou přípravu a reformy technického vzdělávání. Zaměření na kvalitu by mohlo mít udržitelný multiplikační účinek pro obě tyto vzdělávací oblasti, pro společnost i ekonomiku. Spojené království patří k členským státům, které již splňují více než dvě třetiny navrhovaných kritérií Evropského rámce pro kvalitní a efektivní učňovskou přípravu, a proto je stanovení a sledování kvalitativních cílů, např. pomocí sledování uplatnění absolventů, proveditelné. Pro programy celoživotního učení určené zejména zaměstnancům, kteří „uvízli“ v nástupních pracovních pozicích, jsou zapotřebí prostředky srovnatelné s prostředky určenými na učňovskou přípravu a na nové technické vzdělávací programy s maturitou (tzv. „T-levels“). </w:t>
      </w:r>
    </w:p>
    <w:p>
      <w:pPr>
        <w:pStyle w:val="ManualConsidrant"/>
        <w:rPr>
          <w:noProof/>
        </w:rPr>
      </w:pPr>
      <w:r>
        <w:t>(11)</w:t>
      </w:r>
      <w:r>
        <w:tab/>
      </w:r>
      <w:r>
        <w:rPr>
          <w:noProof/>
        </w:rPr>
        <w:t>V budoucnu bude také třeba věnovat pozornost sociální ochraně a otázkám začleňování. Jsou prováděny reformy v oblasti zařízení péče o děti, bude však zapotřebí učinit více, zejména pro děti do tří let věku. Dopad některých reforem a škrtů v systému sociálního zabezpečení dosud není plně pociťován, zejména u pracujících rodin trpících chudobou.</w:t>
      </w:r>
    </w:p>
    <w:p>
      <w:pPr>
        <w:pStyle w:val="ManualConsidrant"/>
        <w:rPr>
          <w:noProof/>
        </w:rPr>
      </w:pPr>
      <w:r>
        <w:t>(12)</w:t>
      </w:r>
      <w:r>
        <w:tab/>
      </w:r>
      <w:r>
        <w:rPr>
          <w:noProof/>
        </w:rPr>
        <w:t xml:space="preserve">V kontextu evropského semestru 2018 provedla Komise komplexní analýzu hospodářské politiky Spojeného království, kterou zveřejnila ve své zprávě o Spojeném království pro rok 2018. Posoudila také konvergenční program z roku 2018 a národní program reforem na rok 2018, jakož i opatření přijatá v návaznosti na doporučení, která byla Spojenému království adresována v předchozích letech. Komise vzala v úvahu nejen jejich význam pro udržitelnou fiskální a sociálně-ekonomickou politiku ve Spojeném království, ale také míru jejich souladu s pravidly a pokyny Unie, neboť celkovou správu ekonomických záležitostí v Evropské unii je třeba posílit tím, že do rozhodování členských států v budoucnu budou zahrnuty vstupy na úrovni Unie. </w:t>
      </w:r>
    </w:p>
    <w:p>
      <w:pPr>
        <w:pStyle w:val="ManualConsidrant"/>
        <w:rPr>
          <w:noProof/>
        </w:rPr>
      </w:pPr>
      <w:r>
        <w:t>(13)</w:t>
      </w:r>
      <w:r>
        <w:tab/>
      </w:r>
      <w:r>
        <w:rPr>
          <w:noProof/>
        </w:rPr>
        <w:t>Na základě tohoto posouzení přezkoumala Rada konvergenční program z roku 2018, přičemž její stanovisko je promítnuto zejména do níže uvedeného doporučení č. 1,</w:t>
      </w:r>
    </w:p>
    <w:p>
      <w:pPr>
        <w:pStyle w:val="Formuledadoption"/>
        <w:rPr>
          <w:noProof/>
        </w:rPr>
      </w:pPr>
      <w:r>
        <w:rPr>
          <w:noProof/>
        </w:rPr>
        <w:t>DOPORUČUJE Spojenému království v období 2018 a 2019:</w:t>
      </w:r>
    </w:p>
    <w:p>
      <w:pPr>
        <w:pStyle w:val="ManualNumPar1"/>
        <w:rPr>
          <w:rFonts w:eastAsia="Calibri"/>
          <w:noProof/>
        </w:rPr>
      </w:pPr>
      <w:bookmarkStart w:id="1" w:name="_CopyToNewDocument_"/>
      <w:bookmarkEnd w:id="1"/>
      <w:r>
        <w:rPr>
          <w:noProof/>
        </w:rPr>
        <w:t>1.</w:t>
      </w:r>
      <w:r>
        <w:rPr>
          <w:noProof/>
        </w:rPr>
        <w:tab/>
        <w:t>zajistit, aby nominální míra růstu čistých primárních výdajů vládních institucí nepřesáhla v období 2019–2020 hodnotu 1,6 %, což odpovídá roční strukturální korekci ve výši 0,6 % HDP,</w:t>
      </w:r>
    </w:p>
    <w:p>
      <w:pPr>
        <w:pStyle w:val="ManualNumPar1"/>
        <w:rPr>
          <w:noProof/>
        </w:rPr>
      </w:pPr>
      <w:r>
        <w:rPr>
          <w:noProof/>
        </w:rPr>
        <w:t>2.</w:t>
      </w:r>
      <w:r>
        <w:rPr>
          <w:noProof/>
        </w:rPr>
        <w:tab/>
        <w:t>podpořit nabídku bydlení, zejména v oblastech s nejvyšší poptávkou, a to i prostřednictvím dalších reforem systému plánování,</w:t>
      </w:r>
    </w:p>
    <w:p>
      <w:pPr>
        <w:pStyle w:val="ManualNumPar1"/>
        <w:rPr>
          <w:noProof/>
        </w:rPr>
      </w:pPr>
      <w:r>
        <w:rPr>
          <w:noProof/>
        </w:rPr>
        <w:t>3.</w:t>
      </w:r>
      <w:r>
        <w:rPr>
          <w:noProof/>
        </w:rPr>
        <w:tab/>
        <w:t xml:space="preserve">řešit potřeby v oblasti dovedností a kariérního postupu stanovením výsledných cílů pro kvalitu a efektivnost učňovské přípravy a posílením investic do rozšiřování dovedností ekonomicky aktivního obyvatelstva. </w:t>
      </w:r>
    </w:p>
    <w:p>
      <w:pPr>
        <w:pStyle w:val="Fait"/>
        <w:rPr>
          <w:noProof/>
        </w:rPr>
      </w:pPr>
      <w:r>
        <w:t>V Bruselu dne</w:t>
      </w:r>
    </w:p>
    <w:p>
      <w:pPr>
        <w:pStyle w:val="Institutionquisigne"/>
        <w:rPr>
          <w:noProof/>
        </w:rPr>
      </w:pPr>
      <w:r>
        <w:rPr>
          <w:noProof/>
        </w:rPr>
        <w:tab/>
        <w:t>Za Radu</w:t>
      </w:r>
    </w:p>
    <w:p>
      <w:pPr>
        <w:pStyle w:val="Personnequisigne"/>
        <w:rPr>
          <w:noProof/>
        </w:rPr>
      </w:pPr>
      <w:r>
        <w:rPr>
          <w:noProof/>
        </w:rPr>
        <w:tab/>
        <w:t>předseda/předsedkyně</w:t>
      </w:r>
    </w:p>
    <w:sectPr>
      <w:footerReference w:type="default" r:id="rId16"/>
      <w:footerReference w:type="first" r:id="rId17"/>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CS</w:t>
    </w:r>
    <w:r>
      <w:rPr>
        <w:rFonts w:ascii="Arial" w:hAnsi="Arial" w:cs="Arial"/>
        <w:b/>
        <w:sz w:val="48"/>
      </w:rPr>
      <w:tab/>
    </w:r>
    <w:r>
      <w:rPr>
        <w:rFonts w:ascii="Arial" w:hAnsi="Arial" w:cs="Arial"/>
        <w:b/>
        <w:sz w:val="48"/>
      </w:rPr>
      <w:tab/>
    </w:r>
    <w:r>
      <w:tab/>
    </w:r>
    <w:r>
      <w:rPr>
        <w:rFonts w:ascii="Arial" w:hAnsi="Arial" w:cs="Arial"/>
        <w:b/>
        <w:sz w:val="48"/>
      </w:rPr>
      <w:t>CS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CS</w:t>
    </w:r>
    <w:r>
      <w:rPr>
        <w:rFonts w:ascii="Arial" w:hAnsi="Arial" w:cs="Arial"/>
        <w:b/>
        <w:sz w:val="48"/>
      </w:rPr>
      <w:tab/>
    </w:r>
    <w:r>
      <w:fldChar w:fldCharType="begin"/>
    </w:r>
    <w:r>
      <w:instrText xml:space="preserve"> PAGE  \* MERGEFORMAT </w:instrText>
    </w:r>
    <w:r>
      <w:fldChar w:fldCharType="separate"/>
    </w:r>
    <w:r>
      <w:rPr>
        <w:noProof/>
      </w:rPr>
      <w:t>4</w:t>
    </w:r>
    <w:r>
      <w:fldChar w:fldCharType="end"/>
    </w:r>
    <w:r>
      <w:tab/>
    </w:r>
    <w:r>
      <w:tab/>
    </w:r>
    <w:r>
      <w:rPr>
        <w:rFonts w:ascii="Arial" w:hAnsi="Arial" w:cs="Arial"/>
        <w:b/>
        <w:sz w:val="48"/>
      </w:rPr>
      <w:t>CS</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pt-PT"/>
        </w:rPr>
      </w:pPr>
      <w:r>
        <w:rPr>
          <w:rStyle w:val="FootnoteReference"/>
        </w:rPr>
        <w:footnoteRef/>
      </w:r>
      <w:r>
        <w:rPr>
          <w:lang w:val="pt-PT"/>
        </w:rPr>
        <w:tab/>
        <w:t>Úř. věst. L 209, 2.8.1997, s. 1.</w:t>
      </w:r>
    </w:p>
  </w:footnote>
  <w:footnote w:id="2">
    <w:p>
      <w:pPr>
        <w:pStyle w:val="FootnoteText"/>
        <w:rPr>
          <w:lang w:val="pt-PT"/>
        </w:rPr>
      </w:pPr>
      <w:r>
        <w:rPr>
          <w:rStyle w:val="FootnoteReference"/>
        </w:rPr>
        <w:footnoteRef/>
      </w:r>
      <w:r>
        <w:rPr>
          <w:lang w:val="pt-PT"/>
        </w:rPr>
        <w:tab/>
        <w:t>COM(2018) 427 final.</w:t>
      </w:r>
    </w:p>
  </w:footnote>
  <w:footnote w:id="3">
    <w:p>
      <w:pPr>
        <w:pStyle w:val="FootnoteText"/>
        <w:rPr>
          <w:lang w:eastAsia="en-US"/>
        </w:rPr>
      </w:pPr>
      <w:r>
        <w:rPr>
          <w:rStyle w:val="FootnoteReference"/>
        </w:rPr>
        <w:footnoteRef/>
      </w:r>
      <w:r>
        <w:tab/>
        <w:t>P8_TA(2018)0077 and P8_TA(2018)0078.</w:t>
      </w:r>
    </w:p>
  </w:footnote>
  <w:footnote w:id="4">
    <w:p>
      <w:pPr>
        <w:pStyle w:val="FootnoteText"/>
        <w:rPr>
          <w:lang w:val="pt-PT"/>
        </w:rPr>
      </w:pPr>
      <w:r>
        <w:rPr>
          <w:rStyle w:val="FootnoteReference"/>
        </w:rPr>
        <w:footnoteRef/>
      </w:r>
      <w:r>
        <w:rPr>
          <w:lang w:val="pt-PT"/>
        </w:rPr>
        <w:tab/>
        <w:t>SWD(2018) 226 final.</w:t>
      </w:r>
    </w:p>
  </w:footnote>
  <w:footnote w:id="5">
    <w:p>
      <w:pPr>
        <w:pStyle w:val="FootnoteText"/>
      </w:pPr>
      <w:r>
        <w:rPr>
          <w:rStyle w:val="FootnoteReference"/>
        </w:rPr>
        <w:footnoteRef/>
      </w:r>
      <w:r>
        <w:rPr>
          <w:lang w:val="pt-PT"/>
        </w:rPr>
        <w:tab/>
        <w:t xml:space="preserve">Nařízení 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 (Úř. věst. </w:t>
      </w:r>
      <w:r>
        <w:t>L 347, 20.12.2013, s. 320).</w:t>
      </w:r>
    </w:p>
  </w:footnote>
  <w:footnote w:id="6">
    <w:p>
      <w:pPr>
        <w:pStyle w:val="FootnoteText"/>
      </w:pPr>
      <w:r>
        <w:rPr>
          <w:rStyle w:val="FootnoteReference"/>
        </w:rPr>
        <w:footnoteRef/>
      </w:r>
      <w:r>
        <w:tab/>
        <w:t>COM(2014) 494 final.</w:t>
      </w:r>
    </w:p>
  </w:footnote>
  <w:footnote w:id="7">
    <w:p>
      <w:pPr>
        <w:pStyle w:val="FootnoteText"/>
      </w:pPr>
      <w:r>
        <w:rPr>
          <w:rStyle w:val="FootnoteReference"/>
        </w:rPr>
        <w:footnoteRef/>
      </w:r>
      <w:r>
        <w:tab/>
        <w:t>Čisté primární výdaje vládních institucí se skládají z celkových výdajů vládních institucí bez úrokových nákladů, výdajů na programy Unie, které jsou plně kompenzovány příjmy z prostředků Unie, a nediskrečních změn výdajů na podporu v nezaměstnanosti. Spojeným královstvím financovaná tvorba hrubého fixního kapitálu je rozložena do čtyřletého období. Zohledněna jsou diskreční opatření na straně příjmů nebo zvýšení příjmů stanovená právními předpisy. Jednorázová opatření jak na straně příjmů, tak na straně výdajů jsou kompenzována.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C9B6F07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F46680C4"/>
    <w:lvl w:ilvl="0">
      <w:start w:val="1"/>
      <w:numFmt w:val="decimal"/>
      <w:pStyle w:val="ListNumber3"/>
      <w:lvlText w:val="%1."/>
      <w:lvlJc w:val="left"/>
      <w:pPr>
        <w:tabs>
          <w:tab w:val="num" w:pos="926"/>
        </w:tabs>
        <w:ind w:left="926" w:hanging="360"/>
      </w:pPr>
    </w:lvl>
  </w:abstractNum>
  <w:abstractNum w:abstractNumId="2">
    <w:nsid w:val="FFFFFF7F"/>
    <w:multiLevelType w:val="singleLevel"/>
    <w:tmpl w:val="D766251E"/>
    <w:lvl w:ilvl="0">
      <w:start w:val="1"/>
      <w:numFmt w:val="decimal"/>
      <w:pStyle w:val="ListNumber2"/>
      <w:lvlText w:val="%1."/>
      <w:lvlJc w:val="left"/>
      <w:pPr>
        <w:tabs>
          <w:tab w:val="num" w:pos="643"/>
        </w:tabs>
        <w:ind w:left="643" w:hanging="360"/>
      </w:pPr>
    </w:lvl>
  </w:abstractNum>
  <w:abstractNum w:abstractNumId="3">
    <w:nsid w:val="FFFFFF81"/>
    <w:multiLevelType w:val="singleLevel"/>
    <w:tmpl w:val="D174CD9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B71E859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1E421FD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7EC276D0"/>
    <w:lvl w:ilvl="0">
      <w:start w:val="1"/>
      <w:numFmt w:val="decimal"/>
      <w:pStyle w:val="ListNumber"/>
      <w:lvlText w:val="%1."/>
      <w:lvlJc w:val="left"/>
      <w:pPr>
        <w:tabs>
          <w:tab w:val="num" w:pos="360"/>
        </w:tabs>
        <w:ind w:left="360" w:hanging="360"/>
      </w:pPr>
    </w:lvl>
  </w:abstractNum>
  <w:abstractNum w:abstractNumId="7">
    <w:nsid w:val="FFFFFF89"/>
    <w:multiLevelType w:val="singleLevel"/>
    <w:tmpl w:val="4406FE68"/>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1"/>
    <w:lvlOverride w:ilvl="0">
      <w:startOverride w:val="1"/>
    </w:lvlOverride>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hideSpellingErrors/>
  <w:hideGrammaticalErrors/>
  <w:attachedTemplate r:id="rId1"/>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revisionView w:markup="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5-29 15:34:03"/>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E99E6C05-F941-4FAB-B03A-ED0A2B513D8D"/>
    <w:docVar w:name="LW_COVERPAGE_TYPE" w:val="1"/>
    <w:docVar w:name="LW_CROSSREFERENCE" w:val="&lt;UNUSED&gt;"/>
    <w:docVar w:name="LW_DocType" w:val="COM"/>
    <w:docVar w:name="LW_EMISSION" w:val="23.5.2018"/>
    <w:docVar w:name="LW_EMISSION_ISODATE" w:val="2018-05-23"/>
    <w:docVar w:name="LW_EMISSION_LOCATION" w:val="BRX"/>
    <w:docVar w:name="LW_EMISSION_PREFIX" w:val="V Bruselu dne "/>
    <w:docVar w:name="LW_EMISSION_SUFFIX" w:val="&lt;EMPTY&gt;"/>
    <w:docVar w:name="LW_ID_DOCMODEL" w:val="SG-002"/>
    <w:docVar w:name="LW_ID_DOCSIGNATURE" w:val="SG-002"/>
    <w:docVar w:name="LW_ID_DOCSTRUCTURE" w:val="COM/PL/ORG"/>
    <w:docVar w:name="LW_ID_DOCTYPE" w:val="SG-002"/>
    <w:docVar w:name="LW_ID_EXP.MOTIFS.NEW" w:val="EM_PL_"/>
    <w:docVar w:name="LW_ID_STATUT" w:val="SG-002"/>
    <w:docVar w:name="LW_INTERETEEE.CP" w:val="&lt;UNUSED&gt;"/>
    <w:docVar w:name="LW_LANGUE" w:val="CS"/>
    <w:docVar w:name="LW_LEVEL_OF_SENSITIVITY" w:val="Standard treatment"/>
    <w:docVar w:name="LW_NOM.INST" w:val="EVROPSKÁ KOMISE"/>
    <w:docVar w:name="LW_NOM.INST_JOINTDOC" w:val="&lt;EMPTY&gt;"/>
    <w:docVar w:name="LW_PART_NBR" w:val="1"/>
    <w:docVar w:name="LW_PART_NBR_TOTAL" w:val="1"/>
    <w:docVar w:name="LW_REF.II.NEW.CP" w:val="&lt;UNUSED&gt;"/>
    <w:docVar w:name="LW_REF.II.NEW.CP_NUMBER" w:val="&lt;UNUSED&gt;"/>
    <w:docVar w:name="LW_REF.II.NEW.CP_YEAR" w:val="2018"/>
    <w:docVar w:name="LW_REF.INST.NEW" w:val="COM"/>
    <w:docVar w:name="LW_REF.INST.NEW_ADOPTED" w:val="final"/>
    <w:docVar w:name="LW_REF.INST.NEW_TEXT" w:val="(2018) 42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Doporu\u269?ení pro"/>
    <w:docVar w:name="LW_SUPERTITRE" w:val="&lt;UNUSED&gt;"/>
    <w:docVar w:name="LW_TITRE.OBJ.CP" w:val="k národnímu programu reforem Spojeného království na rok 2018_x000b__x000b_a stanovisko Rady ke konvergen\u269?nímu programu Spojeného království z roku 2018"/>
    <w:docVar w:name="LW_TYPE.DOC.CP" w:val="DOPORU\u268?ENÍ RADY"/>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cs-CZ" w:bidi="cs-CZ"/>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cs-CZ"/>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cs-CZ"/>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cs-CZ"/>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cs-CZ" w:bidi="cs-CZ"/>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cs-CZ"/>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cs-CZ"/>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cs-CZ"/>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26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ADE5B-A8DF-4174-9671-8BC247E26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5</Pages>
  <Words>1491</Words>
  <Characters>8668</Characters>
  <Application>Microsoft Office Word</Application>
  <DocSecurity>0</DocSecurity>
  <Lines>146</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19</cp:revision>
  <dcterms:created xsi:type="dcterms:W3CDTF">2018-05-29T10:35:00Z</dcterms:created>
  <dcterms:modified xsi:type="dcterms:W3CDTF">2018-05-29T13:34:00Z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SG-002</vt:lpwstr>
  </property>
  <property fmtid="{D5CDD505-2E9C-101B-9397-08002B2CF9AE}" pid="10" name="DQCStatus">
    <vt:lpwstr>Green (DQC version 03)</vt:lpwstr>
  </property>
  <property name="OP_sanitized" fmtid="{D5CDD505-2E9C-101B-9397-08002B2CF9AE}" pid="11">
    <vt:lpwstr>True</vt:lpwstr>
  </property>
</Properties>
</file>