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6B17EAEF-5ED4-4B00-803E-B1860128C4CF" style="width:450.35pt;height:307.7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keepNext/>
        <w:numPr>
          <w:ilvl w:val="0"/>
          <w:numId w:val="22"/>
        </w:numPr>
        <w:shd w:val="clear" w:color="auto" w:fill="FFFFFF"/>
        <w:spacing w:before="360" w:after="120"/>
        <w:jc w:val="both"/>
        <w:outlineLvl w:val="0"/>
        <w:rPr>
          <w:rStyle w:val="Heading1Char"/>
          <w:rFonts w:eastAsia="Calibri"/>
          <w:noProof/>
          <w:sz w:val="24"/>
          <w:szCs w:val="24"/>
        </w:rPr>
      </w:pPr>
      <w:bookmarkStart w:id="1" w:name="_Toc410373480"/>
      <w:bookmarkStart w:id="2" w:name="_Toc413919809"/>
      <w:bookmarkStart w:id="3" w:name="_Toc413920795"/>
      <w:bookmarkStart w:id="4" w:name="_Toc414992036"/>
      <w:bookmarkStart w:id="5" w:name="_Toc415146506"/>
      <w:bookmarkStart w:id="6" w:name="_GoBack"/>
      <w:bookmarkEnd w:id="6"/>
      <w:r>
        <w:rPr>
          <w:rStyle w:val="Heading1Char"/>
          <w:noProof/>
          <w:sz w:val="24"/>
        </w:rPr>
        <w:lastRenderedPageBreak/>
        <w:t>Souvislosti</w:t>
      </w:r>
      <w:bookmarkEnd w:id="1"/>
      <w:bookmarkEnd w:id="2"/>
      <w:bookmarkEnd w:id="3"/>
      <w:bookmarkEnd w:id="4"/>
      <w:bookmarkEnd w:id="5"/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Směrnice Rady č. 96/16/ES o statistických zjišťováních o mléku a mléčných výrobcích</w:t>
      </w:r>
      <w:r>
        <w:rPr>
          <w:rStyle w:val="FootnoteReference"/>
          <w:noProof/>
          <w:sz w:val="24"/>
        </w:rPr>
        <w:footnoteReference w:id="1"/>
      </w:r>
      <w:r>
        <w:rPr>
          <w:noProof/>
          <w:sz w:val="24"/>
        </w:rPr>
        <w:t xml:space="preserve"> byla přijata dne 19. března 1996. Byla změněna nařízením Evropského parlamentu a Rady (EU) č. 1350/2013 ze dne 11. prosince 2013, kterým se mění některé legislativní akty v oblasti zemědělské statistiky a statistiky rybolovu, a to za účelem uvedení prováděcích pravomoci uvést do souladu se Smlouvou o fungování Evropské unie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Ustanovení čl. 3 odst. 2 směrnice svěřuje Komisi pravomoc přijímat akty v přenesené pravomoci. Svěřuje se pravomoc „pokud jde o změny seznamu mléčných výrobků zahrnutých do zjišťování a stanovení standardních definic týkajících se sdělování výsledků za různé produkty“. Statistické akce stanovené v aktech v přenesené pravomoci musí být tam, kde je to vhodné, řádně odůvodněny informacemi odborníků o analýze efektivity nákladů. To by mělo zahrnovat hodnocení zatížení respondentů a nákladů na vypracování.</w:t>
      </w:r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Seznam mléčných výrobků a jejich standardní definice jsou uvedeny v příloze I rozhodnutí Komise 97/80/ES</w:t>
      </w:r>
      <w:r>
        <w:rPr>
          <w:noProof/>
        </w:rPr>
        <w:t xml:space="preserve"> </w:t>
      </w:r>
      <w:r>
        <w:rPr>
          <w:noProof/>
          <w:sz w:val="24"/>
        </w:rPr>
        <w:t>ze dne 18. prosince 1996, kterým se stanoví prováděcí pravidla ke směrnici Rady 96/16/ES o statistických zjišťováních o mléku a mléčných výrobcích</w:t>
      </w:r>
      <w:r>
        <w:rPr>
          <w:rStyle w:val="FootnoteReference"/>
          <w:noProof/>
          <w:sz w:val="24"/>
        </w:rPr>
        <w:footnoteReference w:id="3"/>
      </w:r>
      <w:r>
        <w:rPr>
          <w:noProof/>
        </w:rPr>
        <w:t>.</w:t>
      </w:r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Podle čl. 6a odst. 2 uvedené směrnice je pravomoc přijímat akty v přenesené pravomoci svěřena Komisi na dobu pěti let od 10. ledna 2014. Tato pravomoc se automaticky prodlužuje o dalších pět let, pokud Evropský parlament nebo Rada proti tomuto prodloužení nevysloví námitku.</w:t>
      </w:r>
      <w:r>
        <w:rPr>
          <w:noProof/>
          <w:color w:val="1F497D"/>
        </w:rPr>
        <w:t xml:space="preserve"> </w:t>
      </w:r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Komise musí vypracovat zprávu o přenesené pravomoci nejpozději devět měsíců před koncem tohoto pětiletého období. Tento požadavek je plněn touto zprávou.</w:t>
      </w:r>
    </w:p>
    <w:p>
      <w:pPr>
        <w:keepNext/>
        <w:numPr>
          <w:ilvl w:val="0"/>
          <w:numId w:val="22"/>
        </w:numPr>
        <w:shd w:val="clear" w:color="auto" w:fill="FFFFFF"/>
        <w:spacing w:before="360" w:after="120"/>
        <w:jc w:val="both"/>
        <w:outlineLvl w:val="0"/>
        <w:rPr>
          <w:rStyle w:val="Heading1Char"/>
          <w:rFonts w:eastAsia="Calibri"/>
          <w:noProof/>
          <w:sz w:val="24"/>
          <w:szCs w:val="24"/>
        </w:rPr>
      </w:pPr>
      <w:bookmarkStart w:id="7" w:name="_Toc413919810"/>
      <w:bookmarkStart w:id="8" w:name="_Toc413920796"/>
      <w:bookmarkStart w:id="9" w:name="_Toc414992037"/>
      <w:bookmarkStart w:id="10" w:name="_Toc415146507"/>
      <w:bookmarkStart w:id="11" w:name="_Toc342558478"/>
      <w:bookmarkStart w:id="12" w:name="_Toc410373481"/>
      <w:r>
        <w:rPr>
          <w:rStyle w:val="Heading1Char"/>
          <w:noProof/>
          <w:sz w:val="24"/>
        </w:rPr>
        <w:t xml:space="preserve">Výkon přenesených pravomocí Komisí podle </w:t>
      </w:r>
      <w:bookmarkEnd w:id="7"/>
      <w:bookmarkEnd w:id="8"/>
      <w:bookmarkEnd w:id="9"/>
      <w:bookmarkEnd w:id="10"/>
      <w:r>
        <w:rPr>
          <w:rStyle w:val="Heading1Char"/>
          <w:noProof/>
          <w:sz w:val="24"/>
        </w:rPr>
        <w:t>směrnice Rady 96/16/ES</w:t>
      </w:r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Komise dosud pravomoc přijímat akty v přenesené pravomoci jí svěřenou směrnicí 96/16/ES nevykonávala.</w:t>
      </w:r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Většina mléčných výrobků nebyla během dotčeného období změněna. Některé z nich byly změněny, tyto změny však byly natolik drobné, že nebylo možné odůvodnit úpravu Evropského statistického systému a vnitrostátních statistických systémů.</w:t>
      </w:r>
      <w:r>
        <w:rPr>
          <w:noProof/>
        </w:rPr>
        <w:br w:type="page"/>
      </w:r>
    </w:p>
    <w:p>
      <w:pPr>
        <w:keepNext/>
        <w:numPr>
          <w:ilvl w:val="0"/>
          <w:numId w:val="22"/>
        </w:numPr>
        <w:shd w:val="clear" w:color="auto" w:fill="FFFFFF"/>
        <w:spacing w:before="360" w:after="120"/>
        <w:jc w:val="both"/>
        <w:outlineLvl w:val="0"/>
        <w:rPr>
          <w:rStyle w:val="Heading1Char"/>
          <w:rFonts w:eastAsia="Calibri"/>
          <w:noProof/>
          <w:sz w:val="24"/>
          <w:szCs w:val="24"/>
        </w:rPr>
      </w:pPr>
      <w:r>
        <w:rPr>
          <w:rStyle w:val="Heading1Char"/>
          <w:noProof/>
          <w:sz w:val="24"/>
        </w:rPr>
        <w:t>Závěry</w:t>
      </w:r>
    </w:p>
    <w:bookmarkEnd w:id="11"/>
    <w:bookmarkEnd w:id="12"/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Komise dosud pravomoc přijímat akty v přenesené pravomoci jí svěřenou směrnicí Rady 96/16/ES nevykonávala.</w:t>
      </w:r>
    </w:p>
    <w:p>
      <w:pPr>
        <w:spacing w:before="120" w:after="120"/>
        <w:ind w:left="850"/>
        <w:jc w:val="both"/>
        <w:rPr>
          <w:noProof/>
          <w:sz w:val="24"/>
        </w:rPr>
      </w:pPr>
      <w:r>
        <w:rPr>
          <w:noProof/>
          <w:sz w:val="24"/>
        </w:rPr>
        <w:t>Komise se domnívá, že by měla mít i nadále tyto pravomoci, neboť je možné, že v budoucnu může být zapotřebí přijmout akt v přenesené pravomoci za účelem změny bodů uvedených v čl. 3 odst. 2 směrnice, aby byly uspokojeny potřeby uživatelů údajů v souvislosti s budoucí společnou zemědělskou politikou.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CS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06897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  <w:ind w:left="851" w:hanging="851"/>
        <w:rPr>
          <w:lang w:val="pl-PL"/>
        </w:rPr>
      </w:pPr>
      <w:r>
        <w:rPr>
          <w:rStyle w:val="FootnoteReference"/>
        </w:rPr>
        <w:footnoteRef/>
      </w:r>
      <w:r>
        <w:t xml:space="preserve"> </w:t>
      </w:r>
      <w:r>
        <w:tab/>
        <w:t>Úř. věst. L 78, 28.3.1996, s. 27.</w:t>
      </w:r>
    </w:p>
  </w:footnote>
  <w:footnote w:id="2">
    <w:p>
      <w:pPr>
        <w:pStyle w:val="FootnoteText"/>
        <w:ind w:left="851" w:hanging="851"/>
        <w:rPr>
          <w:lang w:val="pl-PL"/>
        </w:rPr>
      </w:pPr>
      <w:r>
        <w:rPr>
          <w:rStyle w:val="FootnoteReference"/>
        </w:rPr>
        <w:footnoteRef/>
      </w:r>
      <w:r>
        <w:t xml:space="preserve"> </w:t>
      </w:r>
      <w:r>
        <w:tab/>
        <w:t>Úř. věst. L 351, 21.12.2013, s. 1.</w:t>
      </w:r>
    </w:p>
  </w:footnote>
  <w:footnote w:id="3">
    <w:p>
      <w:pPr>
        <w:pStyle w:val="FootnoteText"/>
        <w:ind w:left="851" w:hanging="851"/>
        <w:rPr>
          <w:lang w:val="pl-PL"/>
        </w:rPr>
      </w:pPr>
      <w:r>
        <w:rPr>
          <w:rStyle w:val="FootnoteReference"/>
        </w:rPr>
        <w:footnoteRef/>
      </w:r>
      <w:r>
        <w:t xml:space="preserve"> </w:t>
      </w:r>
      <w:r>
        <w:tab/>
        <w:t>Úř. věst. L 24, 25.1.1997, s. 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8DE61A8"/>
    <w:multiLevelType w:val="hybridMultilevel"/>
    <w:tmpl w:val="686A40CA"/>
    <w:name w:val="LegalNumParListTemplate3"/>
    <w:lvl w:ilvl="0" w:tplc="A588FCC0">
      <w:start w:val="1"/>
      <w:numFmt w:val="decimal"/>
      <w:pStyle w:val="LegalNumPar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F734306"/>
    <w:multiLevelType w:val="multilevel"/>
    <w:tmpl w:val="D266108E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0930F61"/>
    <w:multiLevelType w:val="hybridMultilevel"/>
    <w:tmpl w:val="DD14C2FA"/>
    <w:name w:val="Annex"/>
    <w:lvl w:ilvl="0" w:tplc="3834758A">
      <w:start w:val="1"/>
      <w:numFmt w:val="upperRoman"/>
      <w:pStyle w:val="Annexheading"/>
      <w:lvlText w:val="ANNEX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7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17"/>
  </w:num>
  <w:num w:numId="7">
    <w:abstractNumId w:val="19"/>
  </w:num>
  <w:num w:numId="8">
    <w:abstractNumId w:val="1"/>
  </w:num>
  <w:num w:numId="9">
    <w:abstractNumId w:val="8"/>
  </w:num>
  <w:num w:numId="10">
    <w:abstractNumId w:val="16"/>
  </w:num>
  <w:num w:numId="11">
    <w:abstractNumId w:val="15"/>
  </w:num>
  <w:num w:numId="12">
    <w:abstractNumId w:val="13"/>
  </w:num>
  <w:num w:numId="13">
    <w:abstractNumId w:val="14"/>
  </w:num>
  <w:num w:numId="14">
    <w:abstractNumId w:val="5"/>
  </w:num>
  <w:num w:numId="15">
    <w:abstractNumId w:val="9"/>
  </w:num>
  <w:num w:numId="16">
    <w:abstractNumId w:val="3"/>
  </w:num>
  <w:num w:numId="17">
    <w:abstractNumId w:val="7"/>
  </w:num>
  <w:num w:numId="18">
    <w:abstractNumId w:val="20"/>
  </w:num>
  <w:num w:numId="19">
    <w:abstractNumId w:val="0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6B17EAEF-5ED4-4B00-803E-B1860128C4CF"/>
    <w:docVar w:name="LW_COVERPAGE_TYPE" w:val="1"/>
    <w:docVar w:name="LW_CROSSREFERENCE" w:val="&lt;UNUSED&gt;"/>
    <w:docVar w:name="LW_DocType" w:val="NORMAL"/>
    <w:docVar w:name="LW_EMISSION" w:val="12.1.2018"/>
    <w:docVar w:name="LW_EMISSION_ISODATE" w:val="2018-01-12"/>
    <w:docVar w:name="LW_EMISSION_LOCATION" w:val="BRX"/>
    <w:docVar w:name="LW_EMISSION_PREFIX" w:val="V Bruselu dne "/>
    <w:docVar w:name="LW_EMISSION_SUFFIX" w:val="&lt;EMPTY&gt;"/>
    <w:docVar w:name="LW_ID_DOCTYPE_NONLW" w:val="CP-006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1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o výkonu pravomoci p\u345?ijímat akty v p\u345?enesené pravomoci sv\u283?\u345?ené Komisi sm\u283?rnicí Rady 96/16/ES o statistických zji\u353?\u357?ováních o mléku a mlé\u269?ných výrobcích"/>
    <w:docVar w:name="LW_TYPE.DOC.CP" w:val="ZPRÁVA KOMISE EVROPSKÉMU PARLAMENTU A RAD\u282?"/>
    <w:docVar w:name="Stamp" w:val="\\dossiers.dgt.cec.eu.int\dossiers\ESTAT\ESTAT-2017-10255\ESTAT-2017-10255-00-00-EN-REV-00.201710301001569138329.DOCX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cs-CZ" w:bidi="cs-CZ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20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20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20"/>
      </w:num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20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0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0"/>
      </w:tabs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ing">
    <w:name w:val="Annex_heading"/>
    <w:basedOn w:val="Normal"/>
    <w:pPr>
      <w:pageBreakBefore/>
      <w:numPr>
        <w:numId w:val="1"/>
      </w:numPr>
      <w:spacing w:after="240"/>
      <w:jc w:val="both"/>
    </w:pPr>
    <w:rPr>
      <w:b/>
      <w:sz w:val="24"/>
    </w:r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Normal"/>
    <w:pPr>
      <w:keepNext/>
      <w:spacing w:after="480"/>
      <w:jc w:val="center"/>
    </w:pPr>
    <w:rPr>
      <w:b/>
      <w:sz w:val="32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ConfidentialUE">
    <w:name w:val="Confidential UE"/>
    <w:basedOn w:val="Normal"/>
    <w:pPr>
      <w:jc w:val="center"/>
    </w:pPr>
    <w:rPr>
      <w:b/>
      <w:caps/>
      <w:sz w:val="32"/>
      <w:bdr w:val="single" w:sz="18" w:space="0" w:color="auto"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</w:pPr>
  </w:style>
  <w:style w:type="paragraph" w:styleId="Date">
    <w:name w:val="Date"/>
    <w:basedOn w:val="Normal"/>
    <w:next w:val="Normal"/>
    <w:link w:val="DateChar"/>
    <w:pPr>
      <w:ind w:left="5103" w:right="-567"/>
    </w:pPr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0"/>
    </w:rPr>
  </w:style>
  <w:style w:type="paragraph" w:customStyle="1" w:styleId="Designator">
    <w:name w:val="Designator"/>
    <w:basedOn w:val="Normal"/>
    <w:pPr>
      <w:jc w:val="center"/>
    </w:pPr>
    <w:rPr>
      <w:b/>
      <w:caps/>
      <w:sz w:val="3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Normal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link w:val="EndnoteTextChar"/>
    <w:semiHidden/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rFonts w:eastAsiaTheme="minorHAns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HAnsi" w:hAnsi="Times New Roman" w:cs="Times New Roman"/>
      <w:sz w:val="24"/>
    </w:rPr>
  </w:style>
  <w:style w:type="paragraph" w:styleId="FootnoteText">
    <w:name w:val="footnote text"/>
    <w:basedOn w:val="Normal"/>
    <w:uiPriority w:val="99"/>
    <w:pPr>
      <w:ind w:left="357" w:hanging="357"/>
    </w:pPr>
  </w:style>
  <w:style w:type="character" w:customStyle="1" w:styleId="FootnoteTextChar">
    <w:name w:val="Footnote Text Char"/>
    <w:basedOn w:val="DefaultParagraphFon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/>
      <w:jc w:val="both"/>
    </w:pPr>
    <w:rPr>
      <w:rFonts w:eastAsiaTheme="minorHAns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customStyle="1" w:styleId="LegalNumPar">
    <w:name w:val="LegalNumPar"/>
    <w:basedOn w:val="Normal"/>
    <w:pPr>
      <w:numPr>
        <w:numId w:val="2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3"/>
      </w:numPr>
    </w:pPr>
  </w:style>
  <w:style w:type="paragraph" w:customStyle="1" w:styleId="Text1">
    <w:name w:val="Text 1"/>
    <w:basedOn w:val="Normal"/>
    <w:pPr>
      <w:ind w:left="482"/>
    </w:pPr>
  </w:style>
  <w:style w:type="paragraph" w:customStyle="1" w:styleId="ListBullet1">
    <w:name w:val="List Bullet 1"/>
    <w:basedOn w:val="Text1"/>
    <w:pPr>
      <w:numPr>
        <w:numId w:val="4"/>
      </w:numPr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styleId="ListBullet2">
    <w:name w:val="List Bullet 2"/>
    <w:basedOn w:val="Text2"/>
    <w:pPr>
      <w:numPr>
        <w:numId w:val="5"/>
      </w:numPr>
      <w:tabs>
        <w:tab w:val="clear" w:pos="2302"/>
      </w:tabs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styleId="ListBullet3">
    <w:name w:val="List Bullet 3"/>
    <w:basedOn w:val="Text3"/>
    <w:pPr>
      <w:numPr>
        <w:numId w:val="6"/>
      </w:numPr>
      <w:tabs>
        <w:tab w:val="clear" w:pos="2302"/>
      </w:tabs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styleId="ListBullet4">
    <w:name w:val="List Bullet 4"/>
    <w:basedOn w:val="Text4"/>
    <w:pPr>
      <w:numPr>
        <w:numId w:val="7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19"/>
      </w:numPr>
    </w:p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basedOn w:val="DefaultParagraphFont"/>
    <w:link w:val="NoteHeading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Normal"/>
    <w:pPr>
      <w:spacing w:before="720" w:after="720"/>
      <w:jc w:val="center"/>
    </w:pPr>
    <w:rPr>
      <w:b/>
      <w:smallCaps/>
    </w:rPr>
  </w:style>
  <w:style w:type="paragraph" w:customStyle="1" w:styleId="NoteList">
    <w:name w:val="NoteList"/>
    <w:basedOn w:val="Normal"/>
    <w:next w:val="Normal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numPr>
        <w:numId w:val="0"/>
      </w:numPr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numPr>
        <w:ilvl w:val="0"/>
        <w:numId w:val="0"/>
      </w:numPr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numPr>
        <w:ilvl w:val="0"/>
        <w:numId w:val="0"/>
      </w:numPr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numPr>
        <w:ilvl w:val="0"/>
        <w:numId w:val="0"/>
      </w:numPr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</w:rPr>
  </w:style>
  <w:style w:type="paragraph" w:customStyle="1" w:styleId="References">
    <w:name w:val="References"/>
    <w:basedOn w:val="Normal"/>
    <w:next w:val="AddressTR"/>
    <w:pPr>
      <w:ind w:left="5103"/>
    </w:pPr>
  </w:style>
  <w:style w:type="paragraph" w:customStyle="1" w:styleId="Releasable">
    <w:name w:val="Releasable"/>
    <w:basedOn w:val="Normal"/>
    <w:qFormat/>
    <w:pPr>
      <w:jc w:val="center"/>
    </w:pPr>
    <w:rPr>
      <w:b/>
      <w:caps/>
      <w:sz w:val="32"/>
    </w:rPr>
  </w:style>
  <w:style w:type="paragraph" w:customStyle="1" w:styleId="RUE">
    <w:name w:val="RUE"/>
    <w:basedOn w:val="Normal"/>
    <w:pPr>
      <w:jc w:val="center"/>
    </w:pPr>
    <w:rPr>
      <w:b/>
      <w:caps/>
      <w:sz w:val="32"/>
      <w:bdr w:val="single" w:sz="18" w:space="0" w:color="auto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 w:cs="Times New Roman"/>
      <w:sz w:val="24"/>
      <w:szCs w:val="20"/>
    </w:rPr>
  </w:style>
  <w:style w:type="paragraph" w:customStyle="1" w:styleId="SecretUE">
    <w:name w:val="Secret UE"/>
    <w:basedOn w:val="Normal"/>
    <w:pPr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Signature">
    <w:name w:val="Signature"/>
    <w:basedOn w:val="Normal"/>
    <w:next w:val="Enclosures"/>
    <w:link w:val="SignatureChar"/>
    <w:pPr>
      <w:tabs>
        <w:tab w:val="left" w:pos="5103"/>
      </w:tabs>
      <w:spacing w:before="120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</w:pPr>
    <w:rPr>
      <w:b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Times New Roman"/>
      <w:sz w:val="24"/>
      <w:szCs w:val="20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link w:val="TitleChar"/>
    <w:qFormat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kern w:val="28"/>
      <w:sz w:val="48"/>
      <w:szCs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TrsSecretUE">
    <w:name w:val="Très Secret UE"/>
    <w:basedOn w:val="Normal"/>
    <w:pPr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ZCom">
    <w:name w:val="Z_Com"/>
    <w:basedOn w:val="Normal"/>
    <w:next w:val="Normal"/>
    <w:uiPriority w:val="99"/>
    <w:pPr>
      <w:widowControl w:val="0"/>
      <w:autoSpaceDE w:val="0"/>
      <w:autoSpaceDN w:val="0"/>
      <w:ind w:right="85"/>
    </w:pPr>
    <w:rPr>
      <w:rFonts w:ascii="Arial" w:eastAsiaTheme="minorEastAsia" w:hAnsi="Arial" w:cs="Arial"/>
      <w:szCs w:val="24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ind w:right="85"/>
    </w:pPr>
    <w:rPr>
      <w:rFonts w:ascii="Arial" w:eastAsiaTheme="minorEastAsia" w:hAnsi="Arial" w:cs="Arial"/>
      <w:sz w:val="16"/>
      <w:szCs w:val="16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 w:val="24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  <w:szCs w:val="20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  <w:rPr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uiPriority w:val="99"/>
    <w:unhideWhenUsed/>
    <w:rPr>
      <w:shd w:val="clear" w:color="auto" w:fill="auto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classification">
    <w:name w:val="Declassification"/>
    <w:basedOn w:val="Normal"/>
    <w:next w:val="Normal"/>
    <w:pPr>
      <w:jc w:val="both"/>
    </w:pPr>
    <w:rPr>
      <w:rFonts w:eastAsiaTheme="minorHAnsi"/>
      <w:sz w:val="24"/>
      <w:szCs w:val="22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 w:val="24"/>
      <w:szCs w:val="22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Theme="minorHAnsi"/>
      <w:sz w:val="24"/>
      <w:szCs w:val="2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cs-CZ" w:bidi="cs-CZ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20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20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20"/>
      </w:num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20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0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0"/>
      </w:tabs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ing">
    <w:name w:val="Annex_heading"/>
    <w:basedOn w:val="Normal"/>
    <w:pPr>
      <w:pageBreakBefore/>
      <w:numPr>
        <w:numId w:val="1"/>
      </w:numPr>
      <w:spacing w:after="240"/>
      <w:jc w:val="both"/>
    </w:pPr>
    <w:rPr>
      <w:b/>
      <w:sz w:val="24"/>
    </w:r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Normal"/>
    <w:pPr>
      <w:keepNext/>
      <w:spacing w:after="480"/>
      <w:jc w:val="center"/>
    </w:pPr>
    <w:rPr>
      <w:b/>
      <w:sz w:val="32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ConfidentialUE">
    <w:name w:val="Confidential UE"/>
    <w:basedOn w:val="Normal"/>
    <w:pPr>
      <w:jc w:val="center"/>
    </w:pPr>
    <w:rPr>
      <w:b/>
      <w:caps/>
      <w:sz w:val="32"/>
      <w:bdr w:val="single" w:sz="18" w:space="0" w:color="auto"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</w:pPr>
  </w:style>
  <w:style w:type="paragraph" w:styleId="Date">
    <w:name w:val="Date"/>
    <w:basedOn w:val="Normal"/>
    <w:next w:val="Normal"/>
    <w:link w:val="DateChar"/>
    <w:pPr>
      <w:ind w:left="5103" w:right="-567"/>
    </w:pPr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0"/>
    </w:rPr>
  </w:style>
  <w:style w:type="paragraph" w:customStyle="1" w:styleId="Designator">
    <w:name w:val="Designator"/>
    <w:basedOn w:val="Normal"/>
    <w:pPr>
      <w:jc w:val="center"/>
    </w:pPr>
    <w:rPr>
      <w:b/>
      <w:caps/>
      <w:sz w:val="3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Normal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link w:val="EndnoteTextChar"/>
    <w:semiHidden/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rFonts w:eastAsiaTheme="minorHAns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HAnsi" w:hAnsi="Times New Roman" w:cs="Times New Roman"/>
      <w:sz w:val="24"/>
    </w:rPr>
  </w:style>
  <w:style w:type="paragraph" w:styleId="FootnoteText">
    <w:name w:val="footnote text"/>
    <w:basedOn w:val="Normal"/>
    <w:uiPriority w:val="99"/>
    <w:pPr>
      <w:ind w:left="357" w:hanging="357"/>
    </w:pPr>
  </w:style>
  <w:style w:type="character" w:customStyle="1" w:styleId="FootnoteTextChar">
    <w:name w:val="Footnote Text Char"/>
    <w:basedOn w:val="DefaultParagraphFon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/>
      <w:jc w:val="both"/>
    </w:pPr>
    <w:rPr>
      <w:rFonts w:eastAsiaTheme="minorHAns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customStyle="1" w:styleId="LegalNumPar">
    <w:name w:val="LegalNumPar"/>
    <w:basedOn w:val="Normal"/>
    <w:pPr>
      <w:numPr>
        <w:numId w:val="2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3"/>
      </w:numPr>
    </w:pPr>
  </w:style>
  <w:style w:type="paragraph" w:customStyle="1" w:styleId="Text1">
    <w:name w:val="Text 1"/>
    <w:basedOn w:val="Normal"/>
    <w:pPr>
      <w:ind w:left="482"/>
    </w:pPr>
  </w:style>
  <w:style w:type="paragraph" w:customStyle="1" w:styleId="ListBullet1">
    <w:name w:val="List Bullet 1"/>
    <w:basedOn w:val="Text1"/>
    <w:pPr>
      <w:numPr>
        <w:numId w:val="4"/>
      </w:numPr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styleId="ListBullet2">
    <w:name w:val="List Bullet 2"/>
    <w:basedOn w:val="Text2"/>
    <w:pPr>
      <w:numPr>
        <w:numId w:val="5"/>
      </w:numPr>
      <w:tabs>
        <w:tab w:val="clear" w:pos="2302"/>
      </w:tabs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styleId="ListBullet3">
    <w:name w:val="List Bullet 3"/>
    <w:basedOn w:val="Text3"/>
    <w:pPr>
      <w:numPr>
        <w:numId w:val="6"/>
      </w:numPr>
      <w:tabs>
        <w:tab w:val="clear" w:pos="2302"/>
      </w:tabs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styleId="ListBullet4">
    <w:name w:val="List Bullet 4"/>
    <w:basedOn w:val="Text4"/>
    <w:pPr>
      <w:numPr>
        <w:numId w:val="7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19"/>
      </w:numPr>
    </w:p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basedOn w:val="DefaultParagraphFont"/>
    <w:link w:val="NoteHeading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Normal"/>
    <w:pPr>
      <w:spacing w:before="720" w:after="720"/>
      <w:jc w:val="center"/>
    </w:pPr>
    <w:rPr>
      <w:b/>
      <w:smallCaps/>
    </w:rPr>
  </w:style>
  <w:style w:type="paragraph" w:customStyle="1" w:styleId="NoteList">
    <w:name w:val="NoteList"/>
    <w:basedOn w:val="Normal"/>
    <w:next w:val="Normal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numPr>
        <w:numId w:val="0"/>
      </w:numPr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numPr>
        <w:ilvl w:val="0"/>
        <w:numId w:val="0"/>
      </w:numPr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numPr>
        <w:ilvl w:val="0"/>
        <w:numId w:val="0"/>
      </w:numPr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numPr>
        <w:ilvl w:val="0"/>
        <w:numId w:val="0"/>
      </w:numPr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</w:rPr>
  </w:style>
  <w:style w:type="paragraph" w:customStyle="1" w:styleId="References">
    <w:name w:val="References"/>
    <w:basedOn w:val="Normal"/>
    <w:next w:val="AddressTR"/>
    <w:pPr>
      <w:ind w:left="5103"/>
    </w:pPr>
  </w:style>
  <w:style w:type="paragraph" w:customStyle="1" w:styleId="Releasable">
    <w:name w:val="Releasable"/>
    <w:basedOn w:val="Normal"/>
    <w:qFormat/>
    <w:pPr>
      <w:jc w:val="center"/>
    </w:pPr>
    <w:rPr>
      <w:b/>
      <w:caps/>
      <w:sz w:val="32"/>
    </w:rPr>
  </w:style>
  <w:style w:type="paragraph" w:customStyle="1" w:styleId="RUE">
    <w:name w:val="RUE"/>
    <w:basedOn w:val="Normal"/>
    <w:pPr>
      <w:jc w:val="center"/>
    </w:pPr>
    <w:rPr>
      <w:b/>
      <w:caps/>
      <w:sz w:val="32"/>
      <w:bdr w:val="single" w:sz="18" w:space="0" w:color="auto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 w:cs="Times New Roman"/>
      <w:sz w:val="24"/>
      <w:szCs w:val="20"/>
    </w:rPr>
  </w:style>
  <w:style w:type="paragraph" w:customStyle="1" w:styleId="SecretUE">
    <w:name w:val="Secret UE"/>
    <w:basedOn w:val="Normal"/>
    <w:pPr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Signature">
    <w:name w:val="Signature"/>
    <w:basedOn w:val="Normal"/>
    <w:next w:val="Enclosures"/>
    <w:link w:val="SignatureChar"/>
    <w:pPr>
      <w:tabs>
        <w:tab w:val="left" w:pos="5103"/>
      </w:tabs>
      <w:spacing w:before="120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</w:pPr>
    <w:rPr>
      <w:b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Times New Roman"/>
      <w:sz w:val="24"/>
      <w:szCs w:val="20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link w:val="TitleChar"/>
    <w:qFormat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kern w:val="28"/>
      <w:sz w:val="48"/>
      <w:szCs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TrsSecretUE">
    <w:name w:val="Très Secret UE"/>
    <w:basedOn w:val="Normal"/>
    <w:pPr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ZCom">
    <w:name w:val="Z_Com"/>
    <w:basedOn w:val="Normal"/>
    <w:next w:val="Normal"/>
    <w:uiPriority w:val="99"/>
    <w:pPr>
      <w:widowControl w:val="0"/>
      <w:autoSpaceDE w:val="0"/>
      <w:autoSpaceDN w:val="0"/>
      <w:ind w:right="85"/>
    </w:pPr>
    <w:rPr>
      <w:rFonts w:ascii="Arial" w:eastAsiaTheme="minorEastAsia" w:hAnsi="Arial" w:cs="Arial"/>
      <w:szCs w:val="24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ind w:right="85"/>
    </w:pPr>
    <w:rPr>
      <w:rFonts w:ascii="Arial" w:eastAsiaTheme="minorEastAsia" w:hAnsi="Arial" w:cs="Arial"/>
      <w:sz w:val="16"/>
      <w:szCs w:val="16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 w:val="24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  <w:szCs w:val="20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  <w:rPr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uiPriority w:val="99"/>
    <w:unhideWhenUsed/>
    <w:rPr>
      <w:shd w:val="clear" w:color="auto" w:fill="auto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classification">
    <w:name w:val="Declassification"/>
    <w:basedOn w:val="Normal"/>
    <w:next w:val="Normal"/>
    <w:pPr>
      <w:jc w:val="both"/>
    </w:pPr>
    <w:rPr>
      <w:rFonts w:eastAsiaTheme="minorHAnsi"/>
      <w:sz w:val="24"/>
      <w:szCs w:val="22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 w:val="24"/>
      <w:szCs w:val="22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Theme="minorHAnsi"/>
      <w:sz w:val="24"/>
      <w:szCs w:val="2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A3F3-3D65-41A8-8E8C-91CDA54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356</Words>
  <Characters>2081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dcterms:created xsi:type="dcterms:W3CDTF">2017-11-20T11:53:00Z</dcterms:created>
  <dcterms:modified xsi:type="dcterms:W3CDTF">2018-01-11T15:07:00Z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Level of sensitivity">
    <vt:lpwstr>Standard treatment</vt:lpwstr>
  </property>
  <property name="OP_sanitized" fmtid="{D5CDD505-2E9C-101B-9397-08002B2CF9AE}" pid="6">
    <vt:lpwstr>True</vt:lpwstr>
  </property>
</Properties>
</file>