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gedecouverture"/>
        <w:rPr>
          <w:noProof/>
        </w:rPr>
      </w:pPr>
      <w:bookmarkStart w:id="0" w:name="LW_BM_COVERPAGE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alt="61962FD5BB134A08B9C0AB39429A081B" style="width:450.75pt;height:395.25pt">
            <v:imagedata r:id="rId9" o:title=""/>
          </v:shape>
        </w:pict>
      </w:r>
    </w:p>
    <w:bookmarkEnd w:id="0"/>
    <w:p>
      <w:pPr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9288"/>
      </w:tblGrid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CCCCCC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bookmarkStart w:id="1" w:name="_GoBack"/>
            <w:bookmarkEnd w:id="1"/>
            <w:r>
              <w:rPr>
                <w:rFonts w:ascii="Tahoma" w:hAnsi="Tahoma"/>
                <w:b/>
                <w:noProof/>
                <w:sz w:val="22"/>
              </w:rPr>
              <w:lastRenderedPageBreak/>
              <w:t>Souhrnný přehled</w:t>
            </w:r>
          </w:p>
        </w:tc>
      </w:tr>
      <w:t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</w:tcPr>
          <w:p>
            <w:pPr>
              <w:spacing w:before="120" w:after="120"/>
              <w:jc w:val="both"/>
              <w:rPr>
                <w:rFonts w:ascii="Tahoma" w:hAnsi="Tahoma" w:cs="Tahoma"/>
                <w:b/>
                <w:noProof/>
                <w:sz w:val="20"/>
                <w:szCs w:val="20"/>
              </w:rPr>
            </w:pPr>
            <w:r>
              <w:rPr>
                <w:rFonts w:ascii="Tahoma" w:hAnsi="Tahoma"/>
                <w:noProof/>
                <w:color w:val="FFFFFF" w:themeColor="background1"/>
                <w:sz w:val="20"/>
              </w:rPr>
              <w:t>Posouzení dopadu návrhu nařízení Evropského parlamentu a Rady o sledování a vykazování emisí CO</w:t>
            </w:r>
            <w:r>
              <w:rPr>
                <w:rFonts w:ascii="Tahoma" w:hAnsi="Tahoma"/>
                <w:noProof/>
                <w:color w:val="FFFFFF" w:themeColor="background1"/>
                <w:sz w:val="20"/>
                <w:vertAlign w:val="subscript"/>
              </w:rPr>
              <w:t>2</w:t>
            </w:r>
            <w:r>
              <w:rPr>
                <w:rFonts w:ascii="Tahoma" w:hAnsi="Tahoma"/>
                <w:noProof/>
                <w:color w:val="FFFFFF" w:themeColor="background1"/>
                <w:sz w:val="20"/>
              </w:rPr>
              <w:t xml:space="preserve"> a spotřeby paliva u nových těžkých vozidel</w:t>
            </w: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CCCCCC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>
              <w:rPr>
                <w:rFonts w:ascii="Tahoma" w:hAnsi="Tahoma"/>
                <w:b/>
                <w:noProof/>
                <w:sz w:val="22"/>
              </w:rPr>
              <w:t>A. Potřeba opatření</w:t>
            </w: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E0E0E0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 xml:space="preserve">Proč? Jaký problém se řeší? </w:t>
            </w: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Emise oxidu uhličitého (CO</w:t>
            </w:r>
            <w:r>
              <w:rPr>
                <w:rFonts w:ascii="Arial" w:hAnsi="Arial"/>
                <w:noProof/>
                <w:sz w:val="20"/>
                <w:vertAlign w:val="subscript"/>
              </w:rPr>
              <w:t>2</w:t>
            </w:r>
            <w:r>
              <w:rPr>
                <w:rFonts w:ascii="Arial" w:hAnsi="Arial"/>
                <w:noProof/>
                <w:sz w:val="20"/>
              </w:rPr>
              <w:t>) a spotřeba paliva u nových těžkých vozidel uvedených na trh EU nebyly doposud sledovány a vykazovány.</w:t>
            </w:r>
            <w:r>
              <w:rPr>
                <w:noProof/>
              </w:rPr>
              <w:t xml:space="preserve"> </w:t>
            </w:r>
            <w:r>
              <w:rPr>
                <w:rFonts w:ascii="Arial" w:hAnsi="Arial"/>
                <w:noProof/>
                <w:sz w:val="20"/>
              </w:rPr>
              <w:t>Tento znalostní nedostatek vede: 1) k promeškaným příležitostem k navržení politik pro snížení palivových nákladů dopravců, kteří jsou především malými a středními podniky; 2) ke zvýšené hospodářské soutěži pro výrobce vozidel; 3) k problémům týkajícím se emisí skleníkových plynů pro odvětví těžkých vozidel při přispívání k cílům EU v oblasti emisí skleníkových plynů.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 xml:space="preserve">Čeho by měla tato iniciativa dosáhnout? </w:t>
            </w: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Sledování a vykazování specifické spotřeby paliva a emisí CO</w:t>
            </w:r>
            <w:r>
              <w:rPr>
                <w:rFonts w:ascii="Arial" w:hAnsi="Arial"/>
                <w:noProof/>
                <w:sz w:val="20"/>
                <w:vertAlign w:val="subscript"/>
              </w:rPr>
              <w:t>2</w:t>
            </w:r>
            <w:r>
              <w:rPr>
                <w:rFonts w:ascii="Arial" w:hAnsi="Arial"/>
                <w:noProof/>
                <w:sz w:val="20"/>
              </w:rPr>
              <w:t xml:space="preserve"> u těžkých vozidel by překonala selhání trhu, čímž by se zvýšila transparentnost a díky spolehlivým a srovnatelným údajům by byl odstraněn znalostní nedostatek. Umožnila by dobře informovaná rozhodnutí o nákupu a stimulovala by konkurenceschopnost a rozvoj rozumných politik, a tím by byl podpořen zájem o palivově účinná vozidla.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Jakou přidanou hodnotu budou mít tato opatření na úrovni EU?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Mnoho režimů sledování na vnitrostátní úrovni by způsobilo nedostatečnou srovnatelnost a úplnost údajů. Důsledkem by byla roztříštěnost trhu EU a ztráta transparentnosti trhu. Díky společné databázi by kupující a tvůrci politik na unijní i vnitrostátní úrovni měli přístup k údajům získaným na základě sledování.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CCCCCC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>
              <w:rPr>
                <w:rFonts w:ascii="Tahoma" w:hAnsi="Tahoma"/>
                <w:b/>
                <w:noProof/>
                <w:sz w:val="22"/>
              </w:rPr>
              <w:t>B. Řešení</w:t>
            </w: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Jaké legislativní a nelegislativní možnosti byly zvažovány? Je některá možnost upřednostňována? Proč?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Se vstupem certifikačního nařízení v platnost se budou muset emise CO</w:t>
            </w:r>
            <w:r>
              <w:rPr>
                <w:rFonts w:ascii="Arial" w:hAnsi="Arial"/>
                <w:noProof/>
                <w:sz w:val="20"/>
                <w:vertAlign w:val="subscript"/>
              </w:rPr>
              <w:t>2</w:t>
            </w:r>
            <w:r>
              <w:rPr>
                <w:rFonts w:ascii="Arial" w:hAnsi="Arial"/>
                <w:noProof/>
                <w:sz w:val="20"/>
              </w:rPr>
              <w:t xml:space="preserve"> a spotřeba paliva u všech nových nákladních automobilů počítat pomocí simulačního nástroje VECTO. Byly zváženy možnosti, zda a jak by se tyto údaje měly vykazovat a sledovat na úrovni EU. Východiskem je nečinnost na úrovni EU. Zvažované legislativní možnosti jsou tyto: 1) vykazování vnitrostátními orgány; 2) vykazování výrobci těžkých vozidel a 3) smíšené vykazování vnitrostátními orgány a výrobci.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Je upřednostňována možnost č. 3. Je nejúčinnější, zejména z toho důvodu, že zajišťuje digitální tok informací a poskytuje údaje na vnitrostátní i unijní úrovni, a její administrativní náklady jsou nevelké.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>
        <w:tc>
          <w:tcPr>
            <w:tcW w:w="5000" w:type="pct"/>
            <w:shd w:val="clear" w:color="auto" w:fill="CCCCCC"/>
          </w:tcPr>
          <w:p>
            <w:pPr>
              <w:spacing w:before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Kdo podporuje kterou možnost?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5000" w:type="pct"/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Podpora ze strany profesních organizací, soukromých podniků, organizací občanské společnosti a veřejných orgánů je rozložena mezi možnosti č. 1 a č. 3. Možnost č. 3 upřednostňují jednotlivé osoby a mezinárodní organizace a podporuje ji většina zúčastněných stran.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Možnost č. 2 podporují zejména některé profesní organizace.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CCCCCC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>
              <w:rPr>
                <w:rFonts w:ascii="Tahoma" w:hAnsi="Tahoma"/>
                <w:b/>
                <w:noProof/>
                <w:sz w:val="22"/>
              </w:rPr>
              <w:t>C. Dopady upřednostňované možnosti</w:t>
            </w: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Jaké jsou výhody upřednostňované možnosti (je-li nějaká doporučena, jinak uveďte výhody hlavních možností)?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bCs/>
                <w:iCs/>
                <w:noProof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cs="Arial"/>
                <w:bCs/>
                <w:iCs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 xml:space="preserve">Pravděpodobně podpoří hospodářskou soutěž ve výrobě energeticky efektivnějších vozidel a pobídky </w:t>
            </w:r>
            <w:r>
              <w:rPr>
                <w:rFonts w:ascii="Arial" w:hAnsi="Arial"/>
                <w:noProof/>
                <w:sz w:val="20"/>
              </w:rPr>
              <w:lastRenderedPageBreak/>
              <w:t>pro inovace. Očekává se, že účinky energeticky účinnější dopravy se alespoň částečně rozšíří do většiny odvětví hospodářství EU: nižší palivové provozní náklady dopravy by spustily nižší ceny dopravy, čímž by se snížily náklady jiných odvětví a v konečném důsledku by z toho měli prospěch spotřebitelé EU.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Pro zaměstnanost by opatření mělo mít přínos ve střednědobém/dlouhodobém horizontu.</w:t>
            </w:r>
          </w:p>
          <w:p>
            <w:pPr>
              <w:jc w:val="both"/>
              <w:rPr>
                <w:rFonts w:ascii="Arial" w:hAnsi="Arial" w:cs="Arial"/>
                <w:bCs/>
                <w:iCs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Postupné zlepšování účinnosti kupovaných vozidel by mělo přinést úspory v oblasti emisí CO</w:t>
            </w:r>
            <w:r>
              <w:rPr>
                <w:rFonts w:ascii="Arial" w:hAnsi="Arial"/>
                <w:noProof/>
                <w:sz w:val="20"/>
                <w:vertAlign w:val="subscript"/>
              </w:rPr>
              <w:t>2</w:t>
            </w:r>
            <w:r>
              <w:rPr>
                <w:rFonts w:ascii="Arial" w:hAnsi="Arial"/>
                <w:noProof/>
                <w:sz w:val="20"/>
              </w:rPr>
              <w:t>. U jiných emisí se očekává příznivé, ale pouze zanedbatelné snížení.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lastRenderedPageBreak/>
              <w:t>Jaké jsou náklady na upřednostňovanou možnost (je-li nějaká doporučena, jinak uveďte náklady na hlavní možnosti)?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Jedinými ekonomickými náklady jsou administrativní náklady. Předpokládá se, že budou zanedbatelné: zhruba 1 EUR na jedno vozidlo.</w:t>
            </w:r>
          </w:p>
          <w:p>
            <w:pPr>
              <w:jc w:val="both"/>
              <w:rPr>
                <w:rFonts w:ascii="Arial" w:hAnsi="Arial" w:cs="Arial"/>
                <w:i/>
                <w:noProof/>
                <w:sz w:val="20"/>
                <w:szCs w:val="20"/>
              </w:rPr>
            </w:pP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 w:after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 xml:space="preserve">Jaký bude dopad na podniky, včetně malých a středních podniků a mikropodniků? </w:t>
            </w: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Většina přepravních společností EU jsou malé a střední podniky provozující pouze několik vozidel. Očekává se, že budou mít ze sledování prospěch. Větší transparentnost v souvislosti se spotřebou paliva těžkých vozidel by pro zajištění úspor paliva umožnila lépe informovaná rozhodnutí při nákupu.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/>
              <w:jc w:val="both"/>
              <w:rPr>
                <w:rFonts w:ascii="Tahoma" w:hAnsi="Tahoma" w:cs="Tahoma"/>
                <w:b/>
                <w:i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Očekávají se významné dopady</w:t>
            </w:r>
            <w:r>
              <w:rPr>
                <w:noProof/>
              </w:rPr>
              <w:t xml:space="preserve"> </w:t>
            </w:r>
            <w:r>
              <w:rPr>
                <w:rFonts w:ascii="Tahoma" w:hAnsi="Tahoma"/>
                <w:b/>
                <w:noProof/>
                <w:sz w:val="20"/>
              </w:rPr>
              <w:t>na vnitrostátní rozpočty a správní orgány?</w:t>
            </w:r>
          </w:p>
        </w:tc>
      </w:tr>
      <w:tr>
        <w:tc>
          <w:tcPr>
            <w:tcW w:w="5000" w:type="pct"/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Vedle administrativních nákladů ve výši zhruba 3 500 EUR ročně se očekává, že členské státy budou mít prospěch z dostupnosti údajů získaných na základě sledování těžkých vozidel. Budou tak moci navrhovat politiky na podporu snížení emisí, například specifické daňové nebo pobídkové režimy, včetně silničních poplatků a zadávání veřejných zakázek.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>Očekávají se jiné významné dopady?</w:t>
            </w:r>
            <w:r>
              <w:rPr>
                <w:rFonts w:ascii="Tahoma" w:hAnsi="Tahoma"/>
                <w:noProof/>
                <w:sz w:val="20"/>
              </w:rPr>
              <w:t xml:space="preserve"> </w:t>
            </w: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/>
                <w:noProof/>
                <w:sz w:val="20"/>
              </w:rPr>
              <w:t>Ve střednědobém/dlouhodobém horizontu se očekává pozitivní dopad na konkurenceschopnost a pozitivní mezinárodní dopad.</w:t>
            </w:r>
          </w:p>
          <w:p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>
            <w:pPr>
              <w:spacing w:before="60" w:after="60"/>
              <w:jc w:val="center"/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>
              <w:rPr>
                <w:rFonts w:ascii="Tahoma" w:hAnsi="Tahoma"/>
                <w:b/>
                <w:noProof/>
                <w:sz w:val="22"/>
              </w:rPr>
              <w:t>D. Návazná opatření</w:t>
            </w: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E6E6E6"/>
          </w:tcPr>
          <w:p>
            <w:pPr>
              <w:spacing w:before="60"/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b/>
                <w:noProof/>
                <w:sz w:val="20"/>
              </w:rPr>
              <w:t xml:space="preserve">Kdy bude tato politika přezkoumána? </w:t>
            </w:r>
          </w:p>
        </w:tc>
      </w:tr>
      <w:t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</w:p>
          <w:p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/>
                <w:noProof/>
                <w:sz w:val="20"/>
              </w:rPr>
              <w:t>Po pětiletém období uplatňování.</w:t>
            </w:r>
          </w:p>
          <w:p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</w:tr>
    </w:tbl>
    <w:p>
      <w:pPr>
        <w:rPr>
          <w:noProof/>
        </w:rPr>
      </w:pPr>
    </w:p>
    <w:sectPr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CS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DOCVARIABLE "LW_Confidence" \* MERGEFORMAT </w:instrText>
    </w:r>
    <w:r>
      <w:fldChar w:fldCharType="separate"/>
    </w:r>
    <w:r>
      <w:t xml:space="preserve"> </w:t>
    </w:r>
    <w:r>
      <w:fldChar w:fldCharType="end"/>
    </w:r>
    <w:r>
      <w:tab/>
    </w:r>
    <w:r>
      <w:rPr>
        <w:rFonts w:ascii="Arial" w:hAnsi="Arial" w:cs="Arial"/>
        <w:b/>
        <w:sz w:val="48"/>
      </w:rPr>
      <w:t>CS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1775996"/>
      <w:docPartObj>
        <w:docPartGallery w:val="Page Numbers (Bottom of Page)"/>
        <w:docPartUnique/>
      </w:docPartObj>
    </w:sdtPr>
    <w:sdtEndPr>
      <w:rPr>
        <w:noProof/>
      </w:rPr>
    </w:sdtEndPr>
    <w:sdtContent>
      <w:p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4F451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D46499"/>
    <w:multiLevelType w:val="hybridMultilevel"/>
    <w:tmpl w:val="18E0989C"/>
    <w:lvl w:ilvl="0" w:tplc="962C97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C1A4F"/>
    <w:multiLevelType w:val="hybridMultilevel"/>
    <w:tmpl w:val="5546D01C"/>
    <w:lvl w:ilvl="0" w:tplc="27EE204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27EE2040">
      <w:start w:val="1"/>
      <w:numFmt w:val="decimal"/>
      <w:lvlText w:val="%2)"/>
      <w:lvlJc w:val="left"/>
      <w:pPr>
        <w:ind w:left="1800" w:hanging="720"/>
      </w:pPr>
      <w:rPr>
        <w:rFonts w:ascii="Times New Roman" w:hAnsi="Times New Roman" w:hint="default"/>
        <w:sz w:val="24"/>
        <w:u w:val="single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7F4260"/>
    <w:multiLevelType w:val="hybridMultilevel"/>
    <w:tmpl w:val="2B2A5558"/>
    <w:lvl w:ilvl="0" w:tplc="27EE204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1D73EF"/>
    <w:multiLevelType w:val="hybridMultilevel"/>
    <w:tmpl w:val="D4EAD2B4"/>
    <w:lvl w:ilvl="0" w:tplc="D6201F3E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hideSpellingErrors/>
  <w:hideGrammaticalErrors/>
  <w:revisionView w:markup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VERPAGE_EXISTS" w:val="True"/>
    <w:docVar w:name="DocStatus" w:val="Green"/>
    <w:docVar w:name="LW_ACCOMPAGNANT.CP" w:val="Pr\u367?vodní dokument k"/>
    <w:docVar w:name="LW_CONFIDENCE" w:val=" "/>
    <w:docVar w:name="LW_CONST_RESTREINT_UE" w:val="RESTREINT UE"/>
    <w:docVar w:name="LW_CORRIGENDUM" w:val="&lt;UNUSED&gt;"/>
    <w:docVar w:name="LW_COVERPAGE_GUID" w:val="61962FD5BB134A08B9C0AB39429A081B"/>
    <w:docVar w:name="LW_CROSSREFERENCE" w:val="{COM(2017) 279 final}_x000b_{SWD(2017) 188 final}"/>
    <w:docVar w:name="LW_DocType" w:val="NORMAL"/>
    <w:docVar w:name="LW_EMISSION" w:val="31.5.2017"/>
    <w:docVar w:name="LW_EMISSION_ISODATE" w:val="2017-05-31"/>
    <w:docVar w:name="LW_EMISSION_LOCATION" w:val="BRX"/>
    <w:docVar w:name="LW_EMISSION_PREFIX" w:val="V Bruselu dne "/>
    <w:docVar w:name="LW_EMISSION_SUFFIX" w:val=" "/>
    <w:docVar w:name="LW_ID_DOCTYPE_NONLW" w:val="CP-027"/>
    <w:docVar w:name="LW_LANGUE" w:val="CS"/>
    <w:docVar w:name="LW_MARKING" w:val="&lt;UNUSED&gt;"/>
    <w:docVar w:name="LW_NOM.INST" w:val="EVROPSKÁ KOMISE"/>
    <w:docVar w:name="LW_NOM.INST_JOINTDOC" w:val="&lt;EMPTY&gt;"/>
    <w:docVar w:name="LW_OBJETACTEPRINCIPAL.CP" w:val="  o sledování a vykazování emisí CO2 a spot\u345?eby paliva u nových t\u283?\u382?kých vozidel"/>
    <w:docVar w:name="LW_PART_NBR" w:val="1"/>
    <w:docVar w:name="LW_PART_NBR_TOTAL" w:val="1"/>
    <w:docVar w:name="LW_REF.INST.NEW" w:val="SWD"/>
    <w:docVar w:name="LW_REF.INST.NEW_ADOPTED" w:val="final"/>
    <w:docVar w:name="LW_REF.INST.NEW_TEXT" w:val="(2017) 189"/>
    <w:docVar w:name="LW_REF.INTERNE" w:val="&lt;UNUSED&gt;"/>
    <w:docVar w:name="LW_SUPERTITRE" w:val="&lt;UNUSED&gt;"/>
    <w:docVar w:name="LW_TITRE.OBJ.CP" w:val="&lt;UNUSED&gt;"/>
    <w:docVar w:name="LW_TYPE.DOC.CP" w:val="PRACOVNÍ DOKUMENT ÚTVAR\u366? KOMISE_x000b__x000b_SOUHRN POSOUZENÍ DOPAD\u366?_x000b_"/>
    <w:docVar w:name="LW_TYPEACTEPRINCIPAL.CP" w:val="návrhu na\u345?ízení Evropského Parlamentu a Rady"/>
    <w:docVar w:name="Stamp" w:val="\\dossiers.dgt.cec.eu.int\dossiers\CLIMA\CLIMA-2017-00049\CLIMA-2017-00049-00-01-EN-REV-00.201704191349017931876.DOCX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cs-CZ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jc w:val="both"/>
    </w:pPr>
    <w:rPr>
      <w:rFonts w:eastAsiaTheme="minorHAnsi"/>
      <w:szCs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/>
      <w:ind w:left="-850" w:right="-850"/>
    </w:p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/>
      <w:jc w:val="both"/>
    </w:p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ypedudocument">
    <w:name w:val="Type du document"/>
    <w:basedOn w:val="Normal"/>
    <w:next w:val="Normal"/>
    <w:pPr>
      <w:spacing w:before="360"/>
      <w:jc w:val="center"/>
    </w:pPr>
    <w:rPr>
      <w:rFonts w:eastAsiaTheme="minorHAnsi"/>
      <w:b/>
      <w:szCs w:val="22"/>
    </w:rPr>
  </w:style>
  <w:style w:type="paragraph" w:customStyle="1" w:styleId="Accompagnant">
    <w:name w:val="Accompagnant"/>
    <w:basedOn w:val="Normal"/>
    <w:next w:val="Normal"/>
    <w:pPr>
      <w:spacing w:after="240"/>
      <w:jc w:val="center"/>
    </w:pPr>
    <w:rPr>
      <w:rFonts w:eastAsiaTheme="minorHAnsi"/>
      <w:b/>
      <w:i/>
      <w:szCs w:val="22"/>
    </w:rPr>
  </w:style>
  <w:style w:type="paragraph" w:customStyle="1" w:styleId="Typeacteprincipal">
    <w:name w:val="Type acte principal"/>
    <w:basedOn w:val="Normal"/>
    <w:next w:val="Normal"/>
    <w:pPr>
      <w:spacing w:after="240"/>
      <w:jc w:val="center"/>
    </w:pPr>
    <w:rPr>
      <w:rFonts w:eastAsiaTheme="minorHAnsi"/>
      <w:b/>
      <w:szCs w:val="22"/>
    </w:rPr>
  </w:style>
  <w:style w:type="paragraph" w:customStyle="1" w:styleId="Objetacteprincipal">
    <w:name w:val="Objet acte principal"/>
    <w:basedOn w:val="Normal"/>
    <w:next w:val="Normal"/>
    <w:pPr>
      <w:spacing w:after="360"/>
      <w:jc w:val="center"/>
    </w:pPr>
    <w:rPr>
      <w:rFonts w:eastAsiaTheme="minorHAnsi"/>
      <w:b/>
      <w:szCs w:val="22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cs-CZ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jc w:val="both"/>
    </w:pPr>
    <w:rPr>
      <w:rFonts w:eastAsiaTheme="minorHAnsi"/>
      <w:szCs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/>
      <w:ind w:left="-850" w:right="-850"/>
    </w:p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/>
      <w:jc w:val="both"/>
    </w:p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ypedudocument">
    <w:name w:val="Type du document"/>
    <w:basedOn w:val="Normal"/>
    <w:next w:val="Normal"/>
    <w:pPr>
      <w:spacing w:before="360"/>
      <w:jc w:val="center"/>
    </w:pPr>
    <w:rPr>
      <w:rFonts w:eastAsiaTheme="minorHAnsi"/>
      <w:b/>
      <w:szCs w:val="22"/>
    </w:rPr>
  </w:style>
  <w:style w:type="paragraph" w:customStyle="1" w:styleId="Accompagnant">
    <w:name w:val="Accompagnant"/>
    <w:basedOn w:val="Normal"/>
    <w:next w:val="Normal"/>
    <w:pPr>
      <w:spacing w:after="240"/>
      <w:jc w:val="center"/>
    </w:pPr>
    <w:rPr>
      <w:rFonts w:eastAsiaTheme="minorHAnsi"/>
      <w:b/>
      <w:i/>
      <w:szCs w:val="22"/>
    </w:rPr>
  </w:style>
  <w:style w:type="paragraph" w:customStyle="1" w:styleId="Typeacteprincipal">
    <w:name w:val="Type acte principal"/>
    <w:basedOn w:val="Normal"/>
    <w:next w:val="Normal"/>
    <w:pPr>
      <w:spacing w:after="240"/>
      <w:jc w:val="center"/>
    </w:pPr>
    <w:rPr>
      <w:rFonts w:eastAsiaTheme="minorHAnsi"/>
      <w:b/>
      <w:szCs w:val="22"/>
    </w:rPr>
  </w:style>
  <w:style w:type="paragraph" w:customStyle="1" w:styleId="Objetacteprincipal">
    <w:name w:val="Objet acte principal"/>
    <w:basedOn w:val="Normal"/>
    <w:next w:val="Normal"/>
    <w:pPr>
      <w:spacing w:after="360"/>
      <w:jc w:val="center"/>
    </w:pPr>
    <w:rPr>
      <w:rFonts w:eastAsiaTheme="minorHAnsi"/>
      <w:b/>
      <w:szCs w:val="22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3E09D-345A-4140-A50A-2D1F6E63B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673</Words>
  <Characters>4122</Characters>
  <Application>Microsoft Office Word</Application>
  <DocSecurity>0</DocSecurity>
  <Lines>93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21</cp:revision>
  <cp:lastPrinted>2017-04-21T13:14:00Z</cp:lastPrinted>
  <dcterms:created xsi:type="dcterms:W3CDTF">2017-05-03T10:17:00Z</dcterms:created>
  <dcterms:modified xsi:type="dcterms:W3CDTF">2017-06-07T11:16:00Z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t">
    <vt:lpwstr>1</vt:lpwstr>
  </property>
  <property fmtid="{D5CDD505-2E9C-101B-9397-08002B2CF9AE}" pid="3" name="Total parts">
    <vt:lpwstr>1</vt:lpwstr>
  </property>
  <property fmtid="{D5CDD505-2E9C-101B-9397-08002B2CF9AE}" pid="4" name="Classification">
    <vt:lpwstr> </vt:lpwstr>
  </property>
  <property fmtid="{D5CDD505-2E9C-101B-9397-08002B2CF9AE}" pid="5" name="DocStatus">
    <vt:lpwstr>Green</vt:lpwstr>
  </property>
  <property name="OP_sanitized" fmtid="{D5CDD505-2E9C-101B-9397-08002B2CF9AE}" pid="6">
    <vt:lpwstr>True</vt:lpwstr>
  </property>
</Properties>
</file>