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agedecouverture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2" type="#_x0000_t75" alt="CBFFC66DC89841BEA9C07570D501B266" style="width:450.75pt;height:351.75pt">
            <v:imagedata r:id="rId9" o:title=""/>
          </v:shape>
        </w:pict>
      </w:r>
    </w:p>
    <w:p>
      <w:pPr>
        <w:pStyle w:val="Pagedecouverture"/>
        <w:rPr>
          <w:noProof/>
        </w:rPr>
        <w:sectPr>
          <w:footerReference w:type="default" r:id="rId10"/>
          <w:pgSz w:w="11907" w:h="16839"/>
          <w:pgMar w:top="1134" w:right="1417" w:bottom="1134" w:left="1417" w:header="709" w:footer="709" w:gutter="0"/>
          <w:pgNumType w:start="1"/>
          <w:cols w:space="720"/>
          <w:docGrid w:linePitch="360"/>
        </w:sectPr>
      </w:pPr>
    </w:p>
    <w:p>
      <w:pPr>
        <w:pStyle w:val="Exposdesmotifstitre"/>
        <w:rPr>
          <w:noProof/>
        </w:rPr>
      </w:pPr>
      <w:bookmarkStart w:id="0" w:name="_GoBack"/>
      <w:bookmarkEnd w:id="0"/>
      <w:r>
        <w:rPr>
          <w:noProof/>
        </w:rPr>
        <w:lastRenderedPageBreak/>
        <w:t>DŮVODOVÁ ZPRÁVA</w:t>
      </w:r>
    </w:p>
    <w:p>
      <w:pPr>
        <w:rPr>
          <w:noProof/>
        </w:rPr>
      </w:pPr>
      <w:r>
        <w:rPr>
          <w:noProof/>
        </w:rPr>
        <w:t>Nařízení Rady (EU, Euratom) č. 1311/2013 ze dne 2. prosince 2013, kterým se stanoví víceletý finanční rámec na období 2014–2020</w:t>
      </w:r>
      <w:r>
        <w:rPr>
          <w:rStyle w:val="FootnoteReference"/>
          <w:noProof/>
        </w:rPr>
        <w:footnoteReference w:id="2"/>
      </w:r>
      <w:r>
        <w:rPr>
          <w:noProof/>
        </w:rPr>
        <w:t>, umožňuje uvolnit prostředky z nástroje pružnosti k financování přesně určených výdajů, které nebylo možné financovat v mezích stropů pro jeden nebo více jiných okruhů víceletého finančního rámce. Komise navrhla změnu nařízení Rady č. 1311/2013</w:t>
      </w:r>
      <w:r>
        <w:rPr>
          <w:rStyle w:val="FootnoteReference"/>
          <w:noProof/>
        </w:rPr>
        <w:footnoteReference w:id="3"/>
      </w:r>
      <w:r>
        <w:rPr>
          <w:noProof/>
        </w:rPr>
        <w:t>. Návrh ve znění pozměněném Radou se setkal s širokou politickou shodou v Radě a odsouhlasil jej i Evropský parlament</w:t>
      </w:r>
      <w:r>
        <w:rPr>
          <w:rStyle w:val="FootnoteReference"/>
          <w:noProof/>
        </w:rPr>
        <w:footnoteReference w:id="4"/>
      </w:r>
      <w:r>
        <w:rPr>
          <w:noProof/>
        </w:rPr>
        <w:t>. Očekává se, že předmětná revize v polovině období bude v Radě přijata brzy po předložení návrhu rozpočtu na rok 2018. Z tohoto důvodu se jeví jako vhodné vypracovat návrh rozpočtu na rok 2018 a toto rozhodnutí o uvolnění prostředků, jež má být předloženo spolu s ním, s přihlédnutím k očekávaným změnám nařízení Rady č. 1311/2013. Pokud by se však formální přijetí revize nařízení o víceletém finančním rámci dále opozdilo, bude tento návrh pozměněn, aby byla dodržena ustanovení nařízení o VFR ve znění, které platilo v době přijetí rozpočtu na rok 2018.</w:t>
      </w:r>
    </w:p>
    <w:p>
      <w:pPr>
        <w:rPr>
          <w:noProof/>
        </w:rPr>
      </w:pPr>
      <w:r>
        <w:rPr>
          <w:noProof/>
        </w:rPr>
        <w:t>V souladu s článkem 11 nařízení Rady č. 1311/2013 a bodem 12 Interinstitucionální dohody ze dne 2. prosince 2013 mezi Evropským parlamentem, Radou a Komisí o rozpočtové kázni, spolupráci v rozpočtových záležitostech a řádném finančním řízení</w:t>
      </w:r>
      <w:r>
        <w:rPr>
          <w:rStyle w:val="FootnoteReference"/>
          <w:noProof/>
        </w:rPr>
        <w:footnoteReference w:id="5"/>
      </w:r>
      <w:r>
        <w:rPr>
          <w:noProof/>
        </w:rPr>
        <w:t xml:space="preserve"> a poté, co byly ve výdajovém okruhu </w:t>
      </w:r>
      <w:r>
        <w:rPr>
          <w:i/>
          <w:noProof/>
        </w:rPr>
        <w:t>Bezpečnost a občanství</w:t>
      </w:r>
      <w:r>
        <w:rPr>
          <w:noProof/>
        </w:rPr>
        <w:t xml:space="preserve"> (okruh 3) posouzeny všechny možnosti k přerozdělení prostředků a co v něm byla vyčerpána všechna nepřidělená rozpětí, navrhuje Komise uvolnit v roce 2018 prostředky z nástroje pružnosti ve výši 817,1 milionu EUR. </w:t>
      </w:r>
    </w:p>
    <w:p>
      <w:pPr>
        <w:rPr>
          <w:noProof/>
        </w:rPr>
      </w:pPr>
      <w:r>
        <w:rPr>
          <w:noProof/>
        </w:rPr>
        <w:t>Dostupnost prostředků v nástroji pružnosti po revizi nařízení o VFR je následující: roční částka ve výši 600 milionů EUR (v cenách roku 2011), což odpovídá částce 689 milionů EUR v běžných cenách, navýšená o propadlé částky z Fondu solidarity Evropské unie a Evropského fondu pro přizpůsobení se globalizaci (částka propadlá na konci roku 2016 činila 646 milionů EUR). Zohlední-li se rovněž nepřidělená částka z přídělu na rok 2017 (odpovídající zvýšení roční částky z 471 milionů EUR na 600 milionů EUR) ve výši 129 milionů EUR v cenách roku 2011, což odpovídá částce 146 milionů EUR v běžných cenách, jsou v nástroji pružnosti prostředky v celkové výši 1,481 miliardy EUR.</w:t>
      </w:r>
    </w:p>
    <w:p>
      <w:pPr>
        <w:rPr>
          <w:noProof/>
        </w:rPr>
      </w:pPr>
      <w:r>
        <w:rPr>
          <w:noProof/>
        </w:rPr>
        <w:t>V tomto případě se jedná o uvolnění částky 817,1 milionu EUR nad rámec stropu okruhu 3 víceletého finančního rámce, ze které má být financována podpora opatření ke zvládání problémů v souvislosti s migrací, přílivem uprchlíků a bezpečnostními hrozbami.</w:t>
      </w:r>
    </w:p>
    <w:p>
      <w:pPr>
        <w:rPr>
          <w:noProof/>
        </w:rPr>
      </w:pPr>
      <w:r>
        <w:rPr>
          <w:noProof/>
        </w:rPr>
        <w:t>Pokud by se formální přijetí revize nařízení o VFR dále opozdilo, mohl by být tento návrh pozměněn následovně: uvolněná částka by se snížila na 541 milionů EUR a byl by předložen návrh na uvolnění prostředků z rozpětí pro nepředvídané události, aby se zajistily zbývající částky potřebné k financování výdajů na migraci a bezpečnost v okruhu 3 nad rámec stropu (suma 276,1 milionu EUR vyrovnaná kompenzací v okruhu 2 v tomtéž roce).</w:t>
      </w:r>
    </w:p>
    <w:p>
      <w:pPr>
        <w:rPr>
          <w:noProof/>
        </w:rPr>
      </w:pPr>
      <w:r>
        <w:rPr>
          <w:noProof/>
        </w:rPr>
        <w:t>Orientační výše prostředků na platby, jež odpovídá navrhovanému uvolnění prostředků z nástroje pružnosti, byla vypočtena podle pravidel, která platí pro předběžné financování, schvalování předběžného financování a konečnou výši plateb u různých druhů opatření určených k financování. Tyto orientační částky jsou uvedeny v tabulce níže:</w:t>
      </w:r>
    </w:p>
    <w:p>
      <w:pPr>
        <w:ind w:left="5040" w:firstLine="720"/>
        <w:jc w:val="left"/>
        <w:rPr>
          <w:noProof/>
        </w:rPr>
      </w:pPr>
      <w:r>
        <w:rPr>
          <w:i/>
          <w:noProof/>
          <w:sz w:val="16"/>
        </w:rPr>
        <w:t>(v mil. EUR, v běžných cenách)</w:t>
      </w:r>
    </w:p>
    <w:tbl>
      <w:tblPr>
        <w:tblW w:w="7164" w:type="dxa"/>
        <w:jc w:val="center"/>
        <w:tblInd w:w="9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5604"/>
      </w:tblGrid>
      <w:tr>
        <w:trPr>
          <w:jc w:val="center"/>
        </w:trPr>
        <w:tc>
          <w:tcPr>
            <w:tcW w:w="1560" w:type="dxa"/>
            <w:shd w:val="clear" w:color="auto" w:fill="D9D9D9"/>
          </w:tcPr>
          <w:p>
            <w:pPr>
              <w:spacing w:before="30" w:after="30"/>
              <w:jc w:val="center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>Rok</w:t>
            </w:r>
          </w:p>
        </w:tc>
        <w:tc>
          <w:tcPr>
            <w:tcW w:w="5604" w:type="dxa"/>
            <w:shd w:val="clear" w:color="auto" w:fill="D9D9D9"/>
          </w:tcPr>
          <w:p>
            <w:pPr>
              <w:spacing w:before="30" w:after="30"/>
              <w:jc w:val="center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>Prostředky na platby plynoucí z uvolnění prostředků z nástroje pružnosti a určené na opatření k řešení uprchlické krize v roce 2018</w:t>
            </w:r>
          </w:p>
        </w:tc>
      </w:tr>
      <w:tr>
        <w:trPr>
          <w:jc w:val="center"/>
        </w:trPr>
        <w:tc>
          <w:tcPr>
            <w:tcW w:w="1560" w:type="dxa"/>
            <w:shd w:val="clear" w:color="auto" w:fill="auto"/>
          </w:tcPr>
          <w:p>
            <w:pPr>
              <w:spacing w:before="30" w:after="30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2018</w:t>
            </w:r>
          </w:p>
        </w:tc>
        <w:tc>
          <w:tcPr>
            <w:tcW w:w="5604" w:type="dxa"/>
            <w:shd w:val="clear" w:color="auto" w:fill="auto"/>
          </w:tcPr>
          <w:p>
            <w:pPr>
              <w:spacing w:before="30" w:after="30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452,9</w:t>
            </w:r>
          </w:p>
        </w:tc>
      </w:tr>
      <w:tr>
        <w:trPr>
          <w:jc w:val="center"/>
        </w:trPr>
        <w:tc>
          <w:tcPr>
            <w:tcW w:w="1560" w:type="dxa"/>
            <w:shd w:val="clear" w:color="auto" w:fill="auto"/>
          </w:tcPr>
          <w:p>
            <w:pPr>
              <w:spacing w:before="30" w:after="30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2019</w:t>
            </w:r>
          </w:p>
        </w:tc>
        <w:tc>
          <w:tcPr>
            <w:tcW w:w="5604" w:type="dxa"/>
            <w:shd w:val="clear" w:color="auto" w:fill="auto"/>
          </w:tcPr>
          <w:p>
            <w:pPr>
              <w:spacing w:before="30" w:after="30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207,6</w:t>
            </w:r>
          </w:p>
        </w:tc>
      </w:tr>
      <w:tr>
        <w:trPr>
          <w:jc w:val="center"/>
        </w:trPr>
        <w:tc>
          <w:tcPr>
            <w:tcW w:w="1560" w:type="dxa"/>
            <w:shd w:val="clear" w:color="auto" w:fill="auto"/>
          </w:tcPr>
          <w:p>
            <w:pPr>
              <w:spacing w:before="30" w:after="30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2020</w:t>
            </w:r>
          </w:p>
        </w:tc>
        <w:tc>
          <w:tcPr>
            <w:tcW w:w="5604" w:type="dxa"/>
            <w:shd w:val="clear" w:color="auto" w:fill="auto"/>
          </w:tcPr>
          <w:p>
            <w:pPr>
              <w:spacing w:before="30" w:after="30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123,3</w:t>
            </w:r>
          </w:p>
        </w:tc>
      </w:tr>
      <w:tr>
        <w:trPr>
          <w:jc w:val="center"/>
        </w:trPr>
        <w:tc>
          <w:tcPr>
            <w:tcW w:w="1560" w:type="dxa"/>
            <w:shd w:val="clear" w:color="auto" w:fill="auto"/>
          </w:tcPr>
          <w:p>
            <w:pPr>
              <w:spacing w:before="30" w:after="30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2021</w:t>
            </w:r>
          </w:p>
        </w:tc>
        <w:tc>
          <w:tcPr>
            <w:tcW w:w="5604" w:type="dxa"/>
            <w:shd w:val="clear" w:color="auto" w:fill="auto"/>
          </w:tcPr>
          <w:p>
            <w:pPr>
              <w:spacing w:before="30" w:after="30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33,3</w:t>
            </w:r>
          </w:p>
        </w:tc>
      </w:tr>
      <w:tr>
        <w:trPr>
          <w:jc w:val="center"/>
        </w:trPr>
        <w:tc>
          <w:tcPr>
            <w:tcW w:w="1560" w:type="dxa"/>
            <w:shd w:val="clear" w:color="auto" w:fill="D9D9D9"/>
          </w:tcPr>
          <w:p>
            <w:pPr>
              <w:spacing w:before="30" w:after="30"/>
              <w:jc w:val="right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>Celkem</w:t>
            </w:r>
          </w:p>
        </w:tc>
        <w:tc>
          <w:tcPr>
            <w:tcW w:w="5604" w:type="dxa"/>
            <w:shd w:val="clear" w:color="auto" w:fill="D9D9D9"/>
          </w:tcPr>
          <w:p>
            <w:pPr>
              <w:spacing w:before="30" w:after="30"/>
              <w:jc w:val="right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>817,1</w:t>
            </w:r>
          </w:p>
        </w:tc>
      </w:tr>
    </w:tbl>
    <w:p>
      <w:pPr>
        <w:rPr>
          <w:noProof/>
        </w:rPr>
        <w:sectPr>
          <w:footerReference w:type="default" r:id="rId11"/>
          <w:footerReference w:type="first" r:id="rId12"/>
          <w:footnotePr>
            <w:numRestart w:val="eachSect"/>
          </w:footnotePr>
          <w:pgSz w:w="11907" w:h="16839"/>
          <w:pgMar w:top="1134" w:right="1417" w:bottom="1134" w:left="1417" w:header="709" w:footer="709" w:gutter="0"/>
          <w:cols w:space="708"/>
          <w:docGrid w:linePitch="360"/>
        </w:sectPr>
      </w:pPr>
    </w:p>
    <w:p>
      <w:pPr>
        <w:pStyle w:val="Statut"/>
        <w:rPr>
          <w:noProof/>
        </w:rPr>
      </w:pPr>
      <w:r>
        <w:rPr>
          <w:noProof/>
        </w:rPr>
        <w:t>Návrh</w:t>
      </w:r>
    </w:p>
    <w:p>
      <w:pPr>
        <w:pStyle w:val="Typedudocument"/>
        <w:rPr>
          <w:noProof/>
        </w:rPr>
      </w:pPr>
      <w:r>
        <w:rPr>
          <w:noProof/>
        </w:rPr>
        <w:t>ROZHODNUTÍ EVROPSKÉHO PARLAMENTU A RADY</w:t>
      </w:r>
    </w:p>
    <w:p>
      <w:pPr>
        <w:pStyle w:val="Titreobjet"/>
        <w:rPr>
          <w:noProof/>
        </w:rPr>
      </w:pPr>
      <w:r>
        <w:rPr>
          <w:noProof/>
        </w:rPr>
        <w:t>o uvolnění prostředků z nástroje pružnosti za účelem financování okamžitých rozpočtových opatření k řešení přetrvávajících problémů v souvislosti s migrací, přílivem uprchlíků a bezpečnostními hrozbami</w:t>
      </w:r>
    </w:p>
    <w:p>
      <w:pPr>
        <w:pStyle w:val="Institutionquiagit"/>
        <w:rPr>
          <w:noProof/>
        </w:rPr>
      </w:pPr>
      <w:r>
        <w:rPr>
          <w:noProof/>
        </w:rPr>
        <w:t>EVROPSKÝ PARLAMENT A RADA EVROPSKÉ UNIE,</w:t>
      </w:r>
    </w:p>
    <w:p>
      <w:pPr>
        <w:rPr>
          <w:noProof/>
        </w:rPr>
      </w:pPr>
      <w:r>
        <w:rPr>
          <w:noProof/>
        </w:rPr>
        <w:t>s ohledem na Smlouvu o fungování Evropské unie,</w:t>
      </w:r>
    </w:p>
    <w:p>
      <w:pPr>
        <w:rPr>
          <w:noProof/>
        </w:rPr>
      </w:pPr>
      <w:r>
        <w:rPr>
          <w:noProof/>
        </w:rPr>
        <w:t>s ohledem na Interinstitucionální dohodu ze dne 2. prosince 2013 mezi Evropským parlamentem, Radou a Komisí o rozpočtové kázni, spolupráci v rozpočtových záležitostech a řádném finančním řízení</w:t>
      </w:r>
      <w:r>
        <w:rPr>
          <w:rStyle w:val="FootnoteReference"/>
          <w:noProof/>
        </w:rPr>
        <w:footnoteReference w:id="6"/>
      </w:r>
      <w:r>
        <w:rPr>
          <w:noProof/>
        </w:rPr>
        <w:t>, a zejména na bod 12 této dohody,</w:t>
      </w:r>
    </w:p>
    <w:p>
      <w:pPr>
        <w:rPr>
          <w:noProof/>
        </w:rPr>
      </w:pPr>
      <w:r>
        <w:rPr>
          <w:noProof/>
        </w:rPr>
        <w:t>s ohledem na návrh Evropské komise,</w:t>
      </w:r>
    </w:p>
    <w:p>
      <w:pPr>
        <w:rPr>
          <w:noProof/>
        </w:rPr>
      </w:pPr>
      <w:r>
        <w:rPr>
          <w:noProof/>
        </w:rPr>
        <w:t xml:space="preserve">vzhledem k těmto důvodům: </w:t>
      </w:r>
    </w:p>
    <w:p>
      <w:pPr>
        <w:pStyle w:val="Point0number"/>
        <w:numPr>
          <w:ilvl w:val="0"/>
          <w:numId w:val="1"/>
        </w:numPr>
        <w:spacing w:before="0" w:after="0"/>
        <w:rPr>
          <w:noProof/>
        </w:rPr>
      </w:pPr>
      <w:r>
        <w:rPr>
          <w:noProof/>
        </w:rPr>
        <w:t>Nástroj pružnosti má umožnit financování přesně určených výdajů, které nebylo možné financovat v mezích stropů pro jeden nebo více jiných okruhů.</w:t>
      </w:r>
    </w:p>
    <w:p>
      <w:pPr>
        <w:pStyle w:val="Point0number"/>
        <w:rPr>
          <w:noProof/>
        </w:rPr>
      </w:pPr>
      <w:r>
        <w:rPr>
          <w:noProof/>
        </w:rPr>
        <w:t>Podle článku 11 nařízení Rady (EU, Euratom) č. 1311/2013</w:t>
      </w:r>
      <w:r>
        <w:rPr>
          <w:rStyle w:val="FootnoteReference"/>
          <w:noProof/>
        </w:rPr>
        <w:footnoteReference w:id="7"/>
      </w:r>
      <w:r>
        <w:rPr>
          <w:noProof/>
        </w:rPr>
        <w:t xml:space="preserve"> činí strop pro roční částku disponibilní pro nástroj pružnosti 600 000 000 EUR (v cenách roku 2011). </w:t>
      </w:r>
    </w:p>
    <w:p>
      <w:pPr>
        <w:pStyle w:val="Point0number"/>
        <w:rPr>
          <w:noProof/>
        </w:rPr>
      </w:pPr>
      <w:r>
        <w:rPr>
          <w:noProof/>
        </w:rPr>
        <w:t>Za účelem řešení přetrvávajících problémů v souvislosti s migrací, přílivem uprchlíků a bezpečnostními hrozbami je nutné urychleně uvolnit další, významné částky na financování příslušných opatření.</w:t>
      </w:r>
    </w:p>
    <w:p>
      <w:pPr>
        <w:pStyle w:val="Point0number"/>
        <w:rPr>
          <w:noProof/>
        </w:rPr>
      </w:pPr>
      <w:r>
        <w:rPr>
          <w:noProof/>
        </w:rPr>
        <w:t xml:space="preserve">Po prozkoumání všech možností přerozdělení prostředků v rámci výdajového stropu okruhu 3 (Bezpečnost a občanství) je nutné uvolnit prostředky z nástroje pružnosti, aby byly doplněny finanční prostředky dostupné v souhrnném rozpočtu Unie na rozpočtový rok 2018 o částku ve výši 817 056 198 EUR nad rámec stropu okruhu 3 za účelem financování opatření v oblasti migrace, uprchlické krize a bezpečnosti. Tato suma zahrnuje částky, jež v předchozích letech propadly ve Fondu solidarity Evropské unie a Evropském fondu pro přizpůsobení se globalizaci v souladu s čl. 11 odst. 1 nařízení (EU, Euratom) č. 1331/2013. </w:t>
      </w:r>
    </w:p>
    <w:p>
      <w:pPr>
        <w:pStyle w:val="Point0number"/>
        <w:rPr>
          <w:noProof/>
        </w:rPr>
      </w:pPr>
      <w:r>
        <w:rPr>
          <w:noProof/>
        </w:rPr>
        <w:t>Na základě očekávaného profilu plateb by prostředky na platby odpovídající prostředkům uvolněným z nástroje pružnosti měly být rozloženy do několika rozpočtových let,</w:t>
      </w:r>
    </w:p>
    <w:p>
      <w:pPr>
        <w:pStyle w:val="Formuledadoption"/>
        <w:rPr>
          <w:noProof/>
        </w:rPr>
      </w:pPr>
      <w:r>
        <w:rPr>
          <w:noProof/>
        </w:rPr>
        <w:t>PŘIJALY TOTO ROZHODNUTÍ:</w:t>
      </w:r>
    </w:p>
    <w:p>
      <w:pPr>
        <w:pStyle w:val="Titrearticle"/>
        <w:rPr>
          <w:noProof/>
        </w:rPr>
      </w:pPr>
      <w:r>
        <w:rPr>
          <w:noProof/>
        </w:rPr>
        <w:t>Článek 1</w:t>
      </w:r>
    </w:p>
    <w:p>
      <w:pPr>
        <w:pStyle w:val="ManualNumPar1"/>
        <w:rPr>
          <w:noProof/>
        </w:rPr>
      </w:pPr>
      <w:r>
        <w:t>1.</w:t>
      </w:r>
      <w:r>
        <w:tab/>
      </w:r>
      <w:r>
        <w:rPr>
          <w:noProof/>
        </w:rPr>
        <w:t>Ve prospěch souhrnného rozpočtu Unie na rozpočtový rok 2018 se z nástroje pružnosti uvolňuje částka ve výši 817 056 198 EUR ke krytí prostředků na závazky v okruhu 3 (Bezpečnost a občanství).</w:t>
      </w:r>
    </w:p>
    <w:p>
      <w:pPr>
        <w:rPr>
          <w:noProof/>
        </w:rPr>
      </w:pPr>
      <w:r>
        <w:rPr>
          <w:noProof/>
        </w:rPr>
        <w:t>Částka uvedená v prvním pododstavci se použije k financování opatření zaměřených na řešení přetrvávajících problémů v souvislosti s migrací, přílivem uprchlíků a bezpečnostními hrozbami.</w:t>
      </w:r>
    </w:p>
    <w:p>
      <w:pPr>
        <w:pStyle w:val="ManualNumPar1"/>
        <w:rPr>
          <w:noProof/>
        </w:rPr>
      </w:pPr>
      <w:r>
        <w:t>2.</w:t>
      </w:r>
      <w:r>
        <w:tab/>
      </w:r>
      <w:r>
        <w:rPr>
          <w:noProof/>
        </w:rPr>
        <w:t>Prostředky na platby odpovídající prostředkům uvolněným z nástroje pružnosti v souladu s odstavcem 1 se rozloží takto:</w:t>
      </w:r>
    </w:p>
    <w:p>
      <w:pPr>
        <w:pStyle w:val="Point1letter"/>
        <w:rPr>
          <w:noProof/>
        </w:rPr>
      </w:pPr>
      <w:r>
        <w:rPr>
          <w:noProof/>
        </w:rPr>
        <w:t>452 952 126 EUR v roce 2018;</w:t>
      </w:r>
    </w:p>
    <w:p>
      <w:pPr>
        <w:pStyle w:val="Point1letter"/>
        <w:rPr>
          <w:noProof/>
        </w:rPr>
      </w:pPr>
      <w:r>
        <w:rPr>
          <w:noProof/>
        </w:rPr>
        <w:t>207 556 299 EUR v roce 2019;</w:t>
      </w:r>
    </w:p>
    <w:p>
      <w:pPr>
        <w:pStyle w:val="Point1letter"/>
        <w:rPr>
          <w:noProof/>
        </w:rPr>
      </w:pPr>
      <w:r>
        <w:rPr>
          <w:noProof/>
        </w:rPr>
        <w:t>123 308 626 EUR v roce 2020;</w:t>
      </w:r>
    </w:p>
    <w:p>
      <w:pPr>
        <w:pStyle w:val="Point1letter"/>
        <w:rPr>
          <w:noProof/>
        </w:rPr>
      </w:pPr>
      <w:r>
        <w:rPr>
          <w:noProof/>
        </w:rPr>
        <w:t>33 339 147 EUR v roce 2021.</w:t>
      </w:r>
    </w:p>
    <w:p>
      <w:pPr>
        <w:rPr>
          <w:noProof/>
        </w:rPr>
      </w:pPr>
      <w:r>
        <w:rPr>
          <w:noProof/>
        </w:rPr>
        <w:t xml:space="preserve">Konkrétní výše prostředků na platby uvedené v prvním pododstavci však mohou být pro každý rozpočtový rok upraveny a musí být schváleny v rámci ročního rozpočtového procesu. </w:t>
      </w:r>
    </w:p>
    <w:p>
      <w:pPr>
        <w:pStyle w:val="Titrearticle"/>
        <w:rPr>
          <w:noProof/>
        </w:rPr>
      </w:pPr>
      <w:r>
        <w:rPr>
          <w:noProof/>
        </w:rPr>
        <w:t>Článek 2</w:t>
      </w:r>
    </w:p>
    <w:p>
      <w:pPr>
        <w:rPr>
          <w:i/>
          <w:noProof/>
        </w:rPr>
      </w:pPr>
      <w:r>
        <w:rPr>
          <w:noProof/>
        </w:rPr>
        <w:t xml:space="preserve">Toto rozhodnutí vstupuje v platnost dvacátým dnem po vyhlášení v </w:t>
      </w:r>
      <w:r>
        <w:rPr>
          <w:i/>
          <w:noProof/>
        </w:rPr>
        <w:t>Úředním věstníku Evropské unie</w:t>
      </w:r>
      <w:r>
        <w:rPr>
          <w:noProof/>
        </w:rPr>
        <w:t>.</w:t>
      </w:r>
    </w:p>
    <w:p>
      <w:pPr>
        <w:rPr>
          <w:i/>
          <w:noProof/>
        </w:rPr>
      </w:pPr>
    </w:p>
    <w:p>
      <w:pPr>
        <w:pStyle w:val="Fait"/>
        <w:rPr>
          <w:noProof/>
        </w:rPr>
      </w:pPr>
      <w:r>
        <w:rPr>
          <w:noProof/>
        </w:rPr>
        <w:t>V Bruselu dne</w:t>
      </w:r>
    </w:p>
    <w:p>
      <w:pPr>
        <w:pStyle w:val="Institutionquisigne"/>
        <w:rPr>
          <w:noProof/>
        </w:rPr>
      </w:pPr>
      <w:r>
        <w:rPr>
          <w:noProof/>
        </w:rPr>
        <w:t>Za Evropský parlament</w:t>
      </w:r>
      <w:r>
        <w:rPr>
          <w:noProof/>
        </w:rPr>
        <w:tab/>
        <w:t>Za Radu</w:t>
      </w:r>
    </w:p>
    <w:p>
      <w:pPr>
        <w:pStyle w:val="Personnequisigne"/>
        <w:rPr>
          <w:noProof/>
        </w:rPr>
      </w:pPr>
      <w:r>
        <w:rPr>
          <w:noProof/>
        </w:rPr>
        <w:t>předseda/předsedkyně</w:t>
      </w:r>
      <w:r>
        <w:rPr>
          <w:noProof/>
        </w:rPr>
        <w:tab/>
        <w:t>předseda/předsedkyně</w:t>
      </w:r>
    </w:p>
    <w:sectPr>
      <w:footnotePr>
        <w:numRestart w:val="eachSect"/>
      </w:footnotePr>
      <w:pgSz w:w="11907" w:h="16839"/>
      <w:pgMar w:top="1134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before="0" w:after="0"/>
      </w:pPr>
      <w:r>
        <w:separator/>
      </w:r>
    </w:p>
  </w:endnote>
  <w:endnote w:type="continuationSeparator" w:id="0">
    <w:p>
      <w:pPr>
        <w:spacing w:before="0" w:after="0"/>
      </w:pPr>
      <w:r>
        <w:continuationSeparator/>
      </w:r>
    </w:p>
  </w:endnote>
  <w:endnote w:type="continuationNotice" w:id="1">
    <w:p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CS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DOCVARIABLE "LW_Confidence" \* MERGEFORMAT </w:instrText>
    </w:r>
    <w:r>
      <w:fldChar w:fldCharType="separate"/>
    </w:r>
    <w:r>
      <w:t xml:space="preserve"> </w:t>
    </w:r>
    <w:r>
      <w:fldChar w:fldCharType="end"/>
    </w:r>
    <w:r>
      <w:tab/>
    </w:r>
    <w:r>
      <w:rPr>
        <w:rFonts w:ascii="Arial" w:hAnsi="Arial" w:cs="Arial"/>
        <w:b/>
        <w:sz w:val="48"/>
      </w:rPr>
      <w:t>CS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CS</w:t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5</w:t>
    </w:r>
    <w:r>
      <w:fldChar w:fldCharType="end"/>
    </w:r>
    <w:r>
      <w:tab/>
    </w:r>
    <w:r>
      <w:fldChar w:fldCharType="begin"/>
    </w:r>
    <w:r>
      <w:instrText xml:space="preserve"> DOCVARIABLE "LW_Confidence" \* MERGEFORMAT </w:instrText>
    </w:r>
    <w:r>
      <w:fldChar w:fldCharType="separate"/>
    </w:r>
    <w:r>
      <w:t xml:space="preserve"> </w:t>
    </w:r>
    <w:r>
      <w:fldChar w:fldCharType="end"/>
    </w:r>
    <w:r>
      <w:tab/>
    </w:r>
    <w:r>
      <w:rPr>
        <w:rFonts w:ascii="Arial" w:hAnsi="Arial" w:cs="Arial"/>
        <w:b/>
        <w:sz w:val="48"/>
      </w:rPr>
      <w:t>CS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before="0" w:after="0"/>
      </w:pPr>
      <w:r>
        <w:separator/>
      </w:r>
    </w:p>
  </w:footnote>
  <w:footnote w:type="continuationSeparator" w:id="0">
    <w:p>
      <w:pPr>
        <w:spacing w:before="0" w:after="0"/>
      </w:pPr>
      <w:r>
        <w:continuationSeparator/>
      </w:r>
    </w:p>
  </w:footnote>
  <w:footnote w:type="continuationNotice" w:id="1">
    <w:p>
      <w:pPr>
        <w:spacing w:before="0" w:after="0"/>
      </w:pPr>
    </w:p>
  </w:footnote>
  <w:footnote w:id="2">
    <w:p>
      <w:pPr>
        <w:pStyle w:val="FootnoteText"/>
        <w:rPr>
          <w:lang w:val="pt-PT"/>
        </w:rPr>
      </w:pPr>
      <w:r>
        <w:rPr>
          <w:rStyle w:val="FootnoteReference"/>
        </w:rPr>
        <w:footnoteRef/>
      </w:r>
      <w:r>
        <w:tab/>
        <w:t>Úř. věst. L 347, 20.12.2013, s. 884.</w:t>
      </w:r>
    </w:p>
  </w:footnote>
  <w:footnote w:id="3">
    <w:p>
      <w:pPr>
        <w:pStyle w:val="FootnoteText"/>
        <w:rPr>
          <w:lang w:val="pt-PT"/>
        </w:rPr>
      </w:pPr>
      <w:r>
        <w:rPr>
          <w:rStyle w:val="FootnoteReference"/>
        </w:rPr>
        <w:footnoteRef/>
      </w:r>
      <w:r>
        <w:tab/>
        <w:t>COM(2016) 604, 14.9.2016.</w:t>
      </w:r>
    </w:p>
  </w:footnote>
  <w:footnote w:id="4">
    <w:p>
      <w:pPr>
        <w:pStyle w:val="FootnoteText"/>
        <w:rPr>
          <w:lang w:val="pt-PT"/>
        </w:rPr>
      </w:pPr>
      <w:r>
        <w:rPr>
          <w:rStyle w:val="FootnoteReference"/>
        </w:rPr>
        <w:footnoteRef/>
      </w:r>
      <w:r>
        <w:tab/>
        <w:t>P8_TA(2017)0111, 5.4.2017.</w:t>
      </w:r>
    </w:p>
  </w:footnote>
  <w:footnote w:id="5">
    <w:p>
      <w:pPr>
        <w:pStyle w:val="FootnoteText"/>
        <w:rPr>
          <w:lang w:val="pt-PT"/>
        </w:rPr>
      </w:pPr>
      <w:r>
        <w:rPr>
          <w:rStyle w:val="FootnoteReference"/>
        </w:rPr>
        <w:footnoteRef/>
      </w:r>
      <w:r>
        <w:tab/>
        <w:t>Úř. věst. C 373, 20.12.2013, s. 1.</w:t>
      </w:r>
    </w:p>
  </w:footnote>
  <w:footnote w:id="6">
    <w:p>
      <w:pPr>
        <w:pStyle w:val="FootnoteText"/>
      </w:pPr>
      <w:r>
        <w:rPr>
          <w:rStyle w:val="FootnoteReference"/>
        </w:rPr>
        <w:footnoteRef/>
      </w:r>
      <w:r>
        <w:tab/>
        <w:t>Úř. věst. C 373, 20.12.2013, s. 1.</w:t>
      </w:r>
    </w:p>
  </w:footnote>
  <w:footnote w:id="7">
    <w:p>
      <w:pPr>
        <w:pStyle w:val="FootnoteText"/>
      </w:pPr>
      <w:r>
        <w:rPr>
          <w:rStyle w:val="FootnoteReference"/>
        </w:rPr>
        <w:footnoteRef/>
      </w:r>
      <w:r>
        <w:tab/>
        <w:t>Nařízení Rady (EU, Euratom) č. 1311/2013 ze dne 2. prosince 2013, kterým se stanoví víceletý finanční rámec na období 2014–2020 (Úř. věst. L 347, 20.12.2013, s. 884).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E30945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531847D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4232E34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F614E08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446E869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BEB011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4C9C7FF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ED3EFC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5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6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7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8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1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5"/>
  </w:num>
  <w:num w:numId="4">
    <w:abstractNumId w:val="4"/>
  </w:num>
  <w:num w:numId="5">
    <w:abstractNumId w:val="3"/>
  </w:num>
  <w:num w:numId="6">
    <w:abstractNumId w:val="6"/>
  </w:num>
  <w:num w:numId="7">
    <w:abstractNumId w:val="2"/>
  </w:num>
  <w:num w:numId="8">
    <w:abstractNumId w:val="1"/>
  </w:num>
  <w:num w:numId="9">
    <w:abstractNumId w:val="0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12"/>
  </w:num>
  <w:num w:numId="13">
    <w:abstractNumId w:val="20"/>
  </w:num>
  <w:num w:numId="14">
    <w:abstractNumId w:val="11"/>
  </w:num>
  <w:num w:numId="15">
    <w:abstractNumId w:val="13"/>
  </w:num>
  <w:num w:numId="16">
    <w:abstractNumId w:val="9"/>
  </w:num>
  <w:num w:numId="17">
    <w:abstractNumId w:val="19"/>
  </w:num>
  <w:num w:numId="18">
    <w:abstractNumId w:val="8"/>
  </w:num>
  <w:num w:numId="19">
    <w:abstractNumId w:val="14"/>
  </w:num>
  <w:num w:numId="20">
    <w:abstractNumId w:val="16"/>
  </w:num>
  <w:num w:numId="21">
    <w:abstractNumId w:val="17"/>
  </w:num>
  <w:num w:numId="22">
    <w:abstractNumId w:val="10"/>
  </w:num>
  <w:num w:numId="23">
    <w:abstractNumId w:val="15"/>
  </w:num>
  <w:num w:numId="24">
    <w:abstractNumId w:val="21"/>
  </w:num>
  <w:num w:numId="25">
    <w:abstractNumId w:val="18"/>
  </w:num>
  <w:num w:numId="26">
    <w:abstractNumId w:val="12"/>
  </w:num>
  <w:num w:numId="27">
    <w:abstractNumId w:val="20"/>
  </w:num>
  <w:num w:numId="28">
    <w:abstractNumId w:val="11"/>
  </w:num>
  <w:num w:numId="29">
    <w:abstractNumId w:val="13"/>
  </w:num>
  <w:num w:numId="30">
    <w:abstractNumId w:val="9"/>
  </w:num>
  <w:num w:numId="31">
    <w:abstractNumId w:val="19"/>
  </w:num>
  <w:num w:numId="32">
    <w:abstractNumId w:val="8"/>
  </w:num>
  <w:num w:numId="33">
    <w:abstractNumId w:val="14"/>
  </w:num>
  <w:num w:numId="34">
    <w:abstractNumId w:val="16"/>
  </w:num>
  <w:num w:numId="35">
    <w:abstractNumId w:val="17"/>
  </w:num>
  <w:num w:numId="36">
    <w:abstractNumId w:val="10"/>
  </w:num>
  <w:num w:numId="37">
    <w:abstractNumId w:val="15"/>
  </w:num>
  <w:num w:numId="38">
    <w:abstractNumId w:val="2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60"/>
  <w:hideSpellingErrors/>
  <w:hideGrammaticalErrors/>
  <w:attachedTemplate r:id="rId1"/>
  <w:revisionView w:markup="0"/>
  <w:defaultTabStop w:val="720"/>
  <w:characterSpacingControl w:val="doNotCompress"/>
  <w:hdrShapeDefaults>
    <o:shapedefaults v:ext="edit" spidmax="4300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VERPAGE_EXISTS" w:val="True"/>
    <w:docVar w:name="DQCDateTime" w:val="2017-06-29 17:31:52"/>
    <w:docVar w:name="DQCResult_Distribution" w:val="0;0"/>
    <w:docVar w:name="DQCResult_DocumentContent" w:val="0;0"/>
    <w:docVar w:name="DQCResult_DocumentSize" w:val="0;0"/>
    <w:docVar w:name="DQCResult_DocumentVersions" w:val="0;0"/>
    <w:docVar w:name="DQCResult_ExistenceOfMacros" w:val="0;0"/>
    <w:docVar w:name="DQCResult_InvalidFootnotes" w:val="0;0"/>
    <w:docVar w:name="DQCResult_LinkedStyles" w:val="0;0"/>
    <w:docVar w:name="DQCResult_ModifiedMargins" w:val="0;3"/>
    <w:docVar w:name="DQCResult_ModifiedMarkers" w:val="0;0"/>
    <w:docVar w:name="DQCResult_ModifiedNumbering" w:val="0;0"/>
    <w:docVar w:name="DQCResult_Objects" w:val="0;0"/>
    <w:docVar w:name="DQCResult_Sections" w:val="0;0"/>
    <w:docVar w:name="DQCResult_StructureCheck" w:val="0;0"/>
    <w:docVar w:name="DQCResult_SuperfluousWhitespace" w:val="0;1"/>
    <w:docVar w:name="DQCResult_UnknownFonts" w:val="0;0"/>
    <w:docVar w:name="DQCResult_UnknownStyles" w:val="0;0"/>
    <w:docVar w:name="DQCStatus" w:val="Green"/>
    <w:docVar w:name="DQCVersion" w:val="3"/>
    <w:docVar w:name="DQCWithWarnings" w:val="0"/>
    <w:docVar w:name="LW_CONFIDENCE" w:val=" "/>
    <w:docVar w:name="LW_CONST_RESTREINT_UE" w:val="RESTREINT UE"/>
    <w:docVar w:name="LW_CORRIGENDUM" w:val="&lt;UNUSED&gt;"/>
    <w:docVar w:name="LW_COVERPAGE_GUID" w:val="CBFFC66DC89841BEA9C07570D501B266"/>
    <w:docVar w:name="LW_CROSSREFERENCE" w:val="&lt;UNUSED&gt;"/>
    <w:docVar w:name="LW_DocType" w:val="COM"/>
    <w:docVar w:name="LW_EMISSION" w:val="30.5.2017"/>
    <w:docVar w:name="LW_EMISSION_ISODATE" w:val="2017-05-30"/>
    <w:docVar w:name="LW_EMISSION_LOCATION" w:val="BRX"/>
    <w:docVar w:name="LW_EMISSION_PREFIX" w:val="V Bruselu dne "/>
    <w:docVar w:name="LW_EMISSION_SUFFIX" w:val=" "/>
    <w:docVar w:name="LW_ID_DOCMODEL" w:val="SJ-026"/>
    <w:docVar w:name="LW_ID_DOCSIGNATURE" w:val="SJ-026"/>
    <w:docVar w:name="LW_ID_DOCSTRUCTURE" w:val="COM/PL/ORG"/>
    <w:docVar w:name="LW_ID_DOCTYPE" w:val="SJ-026"/>
    <w:docVar w:name="LW_ID_STATUT" w:val="SJ-026"/>
    <w:docVar w:name="LW_INTERETEEE.CP" w:val="&lt;UNUSED&gt;"/>
    <w:docVar w:name="LW_LANGUE" w:val="CS"/>
    <w:docVar w:name="LW_MARKING" w:val="&lt;UNUSED&gt;"/>
    <w:docVar w:name="LW_NOM.INST" w:val="EVROPSKÁ KOMISE"/>
    <w:docVar w:name="LW_NOM.INST_JOINTDOC" w:val="&lt;EMPTY&gt;"/>
    <w:docVar w:name="LW_PART_NBR" w:val="1"/>
    <w:docVar w:name="LW_PART_NBR_TOTAL" w:val="1"/>
    <w:docVar w:name="LW_REF.II.NEW.CP" w:val="&lt;UNUSED&gt;"/>
    <w:docVar w:name="LW_REF.II.NEW.CP_NUMBER" w:val="&lt;UNUSED&gt;"/>
    <w:docVar w:name="LW_REF.II.NEW.CP_YEAR" w:val="2017"/>
    <w:docVar w:name="LW_REF.INST.NEW" w:val="COM"/>
    <w:docVar w:name="LW_REF.INST.NEW_ADOPTED" w:val="final"/>
    <w:docVar w:name="LW_REF.INST.NEW_TEXT" w:val="(2017) 271"/>
    <w:docVar w:name="LW_REF.INTERNE" w:val="&lt;UNUSED&gt;"/>
    <w:docVar w:name="LW_SOUS.TITRE.OBJ.CP" w:val="&lt;UNUSED&gt;"/>
    <w:docVar w:name="LW_STATUT.CP" w:val="Návrh"/>
    <w:docVar w:name="LW_SUPERTITRE" w:val="&lt;UNUSED&gt;"/>
    <w:docVar w:name="LW_TITRE.OBJ.CP" w:val="o uvoln\u283?ní prost\u345?edk\u367? z nástroje pru\u382?nosti za ú\u269?elem financování okam\u382?itých rozpo\u269?tových opat\u345?ení k \u345?e\u353?ení p\u345?etrvávajících problém\u367? v souvislosti s migrací, p\u345?ílivem uprchlík\u367? a bezpe\u269?nostními hrozbami"/>
    <w:docVar w:name="LW_TYPE.DOC.CP" w:val="ROZHODNUTÍ EVROPSKÉHO PARLAMENTU A RADY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cs-CZ" w:bidi="cs-CZ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31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31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31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31"/>
      </w:numPr>
      <w:outlineLvl w:val="3"/>
    </w:pPr>
    <w:rPr>
      <w:rFonts w:eastAsiaTheme="majorEastAsia"/>
      <w:bCs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cs-CZ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0" w:after="200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/>
    </w:pPr>
  </w:style>
  <w:style w:type="paragraph" w:styleId="ListBullet">
    <w:name w:val="List Bullet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5"/>
      </w:numPr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hAnsi="Times New Roman" w:cs="Times New Roman"/>
      <w:sz w:val="20"/>
      <w:szCs w:val="20"/>
      <w:lang w:val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hAnsi="Times New Roman" w:cs="Times New Roman"/>
      <w:b/>
      <w:bCs/>
      <w:sz w:val="20"/>
      <w:szCs w:val="20"/>
      <w:lang w:val="cs-CZ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before="0"/>
    </w:pPr>
    <w:rPr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  <w:lang w:eastAsia="en-US" w:bidi="ar-SA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before="0"/>
    </w:pPr>
    <w:rPr>
      <w:lang w:eastAsia="en-US" w:bidi="ar-SA"/>
    </w:r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Tiret0">
    <w:name w:val="Tiret 0"/>
    <w:basedOn w:val="Point0"/>
    <w:pPr>
      <w:numPr>
        <w:numId w:val="25"/>
      </w:numPr>
    </w:pPr>
  </w:style>
  <w:style w:type="paragraph" w:customStyle="1" w:styleId="Tiret1">
    <w:name w:val="Tiret 1"/>
    <w:basedOn w:val="Point1"/>
    <w:pPr>
      <w:numPr>
        <w:numId w:val="26"/>
      </w:numPr>
    </w:pPr>
  </w:style>
  <w:style w:type="paragraph" w:customStyle="1" w:styleId="Tiret2">
    <w:name w:val="Tiret 2"/>
    <w:basedOn w:val="Point2"/>
    <w:pPr>
      <w:numPr>
        <w:numId w:val="27"/>
      </w:numPr>
    </w:pPr>
  </w:style>
  <w:style w:type="paragraph" w:customStyle="1" w:styleId="Tiret3">
    <w:name w:val="Tiret 3"/>
    <w:basedOn w:val="Point3"/>
    <w:pPr>
      <w:numPr>
        <w:numId w:val="28"/>
      </w:numPr>
    </w:pPr>
  </w:style>
  <w:style w:type="paragraph" w:customStyle="1" w:styleId="Tiret4">
    <w:name w:val="Tiret 4"/>
    <w:basedOn w:val="Point4"/>
    <w:pPr>
      <w:numPr>
        <w:numId w:val="29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30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30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30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30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2"/>
      </w:numPr>
    </w:pPr>
  </w:style>
  <w:style w:type="paragraph" w:customStyle="1" w:styleId="Point1number">
    <w:name w:val="Point 1 (number)"/>
    <w:basedOn w:val="Normal"/>
    <w:pPr>
      <w:numPr>
        <w:ilvl w:val="2"/>
        <w:numId w:val="32"/>
      </w:numPr>
    </w:pPr>
  </w:style>
  <w:style w:type="paragraph" w:customStyle="1" w:styleId="Point2number">
    <w:name w:val="Point 2 (number)"/>
    <w:basedOn w:val="Normal"/>
    <w:pPr>
      <w:numPr>
        <w:ilvl w:val="4"/>
        <w:numId w:val="32"/>
      </w:numPr>
    </w:pPr>
  </w:style>
  <w:style w:type="paragraph" w:customStyle="1" w:styleId="Point3number">
    <w:name w:val="Point 3 (number)"/>
    <w:basedOn w:val="Normal"/>
    <w:pPr>
      <w:numPr>
        <w:ilvl w:val="6"/>
        <w:numId w:val="32"/>
      </w:numPr>
    </w:pPr>
  </w:style>
  <w:style w:type="paragraph" w:customStyle="1" w:styleId="Point0letter">
    <w:name w:val="Point 0 (letter)"/>
    <w:basedOn w:val="Normal"/>
    <w:pPr>
      <w:numPr>
        <w:ilvl w:val="1"/>
        <w:numId w:val="32"/>
      </w:numPr>
    </w:pPr>
  </w:style>
  <w:style w:type="paragraph" w:customStyle="1" w:styleId="Point1letter">
    <w:name w:val="Point 1 (letter)"/>
    <w:basedOn w:val="Normal"/>
    <w:pPr>
      <w:numPr>
        <w:ilvl w:val="3"/>
        <w:numId w:val="32"/>
      </w:numPr>
    </w:pPr>
  </w:style>
  <w:style w:type="paragraph" w:customStyle="1" w:styleId="Point2letter">
    <w:name w:val="Point 2 (letter)"/>
    <w:basedOn w:val="Normal"/>
    <w:pPr>
      <w:numPr>
        <w:ilvl w:val="5"/>
        <w:numId w:val="32"/>
      </w:numPr>
    </w:pPr>
  </w:style>
  <w:style w:type="paragraph" w:customStyle="1" w:styleId="Point3letter">
    <w:name w:val="Point 3 (letter)"/>
    <w:basedOn w:val="Normal"/>
    <w:pPr>
      <w:numPr>
        <w:ilvl w:val="7"/>
        <w:numId w:val="32"/>
      </w:numPr>
    </w:pPr>
  </w:style>
  <w:style w:type="paragraph" w:customStyle="1" w:styleId="Point4letter">
    <w:name w:val="Point 4 (letter)"/>
    <w:basedOn w:val="Normal"/>
    <w:pPr>
      <w:numPr>
        <w:ilvl w:val="8"/>
        <w:numId w:val="32"/>
      </w:numPr>
    </w:pPr>
  </w:style>
  <w:style w:type="paragraph" w:customStyle="1" w:styleId="Bullet0">
    <w:name w:val="Bullet 0"/>
    <w:basedOn w:val="Normal"/>
    <w:pPr>
      <w:numPr>
        <w:numId w:val="33"/>
      </w:numPr>
    </w:pPr>
  </w:style>
  <w:style w:type="paragraph" w:customStyle="1" w:styleId="Bullet1">
    <w:name w:val="Bullet 1"/>
    <w:basedOn w:val="Normal"/>
    <w:pPr>
      <w:numPr>
        <w:numId w:val="34"/>
      </w:numPr>
    </w:pPr>
  </w:style>
  <w:style w:type="paragraph" w:customStyle="1" w:styleId="Bullet2">
    <w:name w:val="Bullet 2"/>
    <w:basedOn w:val="Normal"/>
    <w:pPr>
      <w:numPr>
        <w:numId w:val="35"/>
      </w:numPr>
    </w:pPr>
  </w:style>
  <w:style w:type="paragraph" w:customStyle="1" w:styleId="Bullet3">
    <w:name w:val="Bullet 3"/>
    <w:basedOn w:val="Normal"/>
    <w:pPr>
      <w:numPr>
        <w:numId w:val="36"/>
      </w:numPr>
    </w:pPr>
  </w:style>
  <w:style w:type="paragraph" w:customStyle="1" w:styleId="Bullet4">
    <w:name w:val="Bullet 4"/>
    <w:basedOn w:val="Normal"/>
    <w:pPr>
      <w:numPr>
        <w:numId w:val="37"/>
      </w:numPr>
    </w:p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38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ous-titreobjet">
    <w:name w:val="Sous-titre objet"/>
    <w:basedOn w:val="Normal"/>
    <w:pPr>
      <w:spacing w:before="0" w:after="0"/>
      <w:jc w:val="center"/>
    </w:pPr>
    <w:rPr>
      <w:b/>
    </w:r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Sous-titreobjet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ous-titreobjetPagedecouverture">
    <w:name w:val="Sous-titre objet (Page de couverture)"/>
    <w:basedOn w:val="Sous-titreobje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Sous-titreobjet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spacing w:before="360" w:after="0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cs-CZ" w:bidi="cs-CZ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31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31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31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31"/>
      </w:numPr>
      <w:outlineLvl w:val="3"/>
    </w:pPr>
    <w:rPr>
      <w:rFonts w:eastAsiaTheme="majorEastAsia"/>
      <w:bCs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cs-CZ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0" w:after="200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/>
    </w:pPr>
  </w:style>
  <w:style w:type="paragraph" w:styleId="ListBullet">
    <w:name w:val="List Bullet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5"/>
      </w:numPr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hAnsi="Times New Roman" w:cs="Times New Roman"/>
      <w:sz w:val="20"/>
      <w:szCs w:val="20"/>
      <w:lang w:val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hAnsi="Times New Roman" w:cs="Times New Roman"/>
      <w:b/>
      <w:bCs/>
      <w:sz w:val="20"/>
      <w:szCs w:val="20"/>
      <w:lang w:val="cs-CZ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before="0"/>
    </w:pPr>
    <w:rPr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  <w:lang w:eastAsia="en-US" w:bidi="ar-SA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before="0"/>
    </w:pPr>
    <w:rPr>
      <w:lang w:eastAsia="en-US" w:bidi="ar-SA"/>
    </w:r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Tiret0">
    <w:name w:val="Tiret 0"/>
    <w:basedOn w:val="Point0"/>
    <w:pPr>
      <w:numPr>
        <w:numId w:val="25"/>
      </w:numPr>
    </w:pPr>
  </w:style>
  <w:style w:type="paragraph" w:customStyle="1" w:styleId="Tiret1">
    <w:name w:val="Tiret 1"/>
    <w:basedOn w:val="Point1"/>
    <w:pPr>
      <w:numPr>
        <w:numId w:val="26"/>
      </w:numPr>
    </w:pPr>
  </w:style>
  <w:style w:type="paragraph" w:customStyle="1" w:styleId="Tiret2">
    <w:name w:val="Tiret 2"/>
    <w:basedOn w:val="Point2"/>
    <w:pPr>
      <w:numPr>
        <w:numId w:val="27"/>
      </w:numPr>
    </w:pPr>
  </w:style>
  <w:style w:type="paragraph" w:customStyle="1" w:styleId="Tiret3">
    <w:name w:val="Tiret 3"/>
    <w:basedOn w:val="Point3"/>
    <w:pPr>
      <w:numPr>
        <w:numId w:val="28"/>
      </w:numPr>
    </w:pPr>
  </w:style>
  <w:style w:type="paragraph" w:customStyle="1" w:styleId="Tiret4">
    <w:name w:val="Tiret 4"/>
    <w:basedOn w:val="Point4"/>
    <w:pPr>
      <w:numPr>
        <w:numId w:val="29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30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30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30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30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2"/>
      </w:numPr>
    </w:pPr>
  </w:style>
  <w:style w:type="paragraph" w:customStyle="1" w:styleId="Point1number">
    <w:name w:val="Point 1 (number)"/>
    <w:basedOn w:val="Normal"/>
    <w:pPr>
      <w:numPr>
        <w:ilvl w:val="2"/>
        <w:numId w:val="32"/>
      </w:numPr>
    </w:pPr>
  </w:style>
  <w:style w:type="paragraph" w:customStyle="1" w:styleId="Point2number">
    <w:name w:val="Point 2 (number)"/>
    <w:basedOn w:val="Normal"/>
    <w:pPr>
      <w:numPr>
        <w:ilvl w:val="4"/>
        <w:numId w:val="32"/>
      </w:numPr>
    </w:pPr>
  </w:style>
  <w:style w:type="paragraph" w:customStyle="1" w:styleId="Point3number">
    <w:name w:val="Point 3 (number)"/>
    <w:basedOn w:val="Normal"/>
    <w:pPr>
      <w:numPr>
        <w:ilvl w:val="6"/>
        <w:numId w:val="32"/>
      </w:numPr>
    </w:pPr>
  </w:style>
  <w:style w:type="paragraph" w:customStyle="1" w:styleId="Point0letter">
    <w:name w:val="Point 0 (letter)"/>
    <w:basedOn w:val="Normal"/>
    <w:pPr>
      <w:numPr>
        <w:ilvl w:val="1"/>
        <w:numId w:val="32"/>
      </w:numPr>
    </w:pPr>
  </w:style>
  <w:style w:type="paragraph" w:customStyle="1" w:styleId="Point1letter">
    <w:name w:val="Point 1 (letter)"/>
    <w:basedOn w:val="Normal"/>
    <w:pPr>
      <w:numPr>
        <w:ilvl w:val="3"/>
        <w:numId w:val="32"/>
      </w:numPr>
    </w:pPr>
  </w:style>
  <w:style w:type="paragraph" w:customStyle="1" w:styleId="Point2letter">
    <w:name w:val="Point 2 (letter)"/>
    <w:basedOn w:val="Normal"/>
    <w:pPr>
      <w:numPr>
        <w:ilvl w:val="5"/>
        <w:numId w:val="32"/>
      </w:numPr>
    </w:pPr>
  </w:style>
  <w:style w:type="paragraph" w:customStyle="1" w:styleId="Point3letter">
    <w:name w:val="Point 3 (letter)"/>
    <w:basedOn w:val="Normal"/>
    <w:pPr>
      <w:numPr>
        <w:ilvl w:val="7"/>
        <w:numId w:val="32"/>
      </w:numPr>
    </w:pPr>
  </w:style>
  <w:style w:type="paragraph" w:customStyle="1" w:styleId="Point4letter">
    <w:name w:val="Point 4 (letter)"/>
    <w:basedOn w:val="Normal"/>
    <w:pPr>
      <w:numPr>
        <w:ilvl w:val="8"/>
        <w:numId w:val="32"/>
      </w:numPr>
    </w:pPr>
  </w:style>
  <w:style w:type="paragraph" w:customStyle="1" w:styleId="Bullet0">
    <w:name w:val="Bullet 0"/>
    <w:basedOn w:val="Normal"/>
    <w:pPr>
      <w:numPr>
        <w:numId w:val="33"/>
      </w:numPr>
    </w:pPr>
  </w:style>
  <w:style w:type="paragraph" w:customStyle="1" w:styleId="Bullet1">
    <w:name w:val="Bullet 1"/>
    <w:basedOn w:val="Normal"/>
    <w:pPr>
      <w:numPr>
        <w:numId w:val="34"/>
      </w:numPr>
    </w:pPr>
  </w:style>
  <w:style w:type="paragraph" w:customStyle="1" w:styleId="Bullet2">
    <w:name w:val="Bullet 2"/>
    <w:basedOn w:val="Normal"/>
    <w:pPr>
      <w:numPr>
        <w:numId w:val="35"/>
      </w:numPr>
    </w:pPr>
  </w:style>
  <w:style w:type="paragraph" w:customStyle="1" w:styleId="Bullet3">
    <w:name w:val="Bullet 3"/>
    <w:basedOn w:val="Normal"/>
    <w:pPr>
      <w:numPr>
        <w:numId w:val="36"/>
      </w:numPr>
    </w:pPr>
  </w:style>
  <w:style w:type="paragraph" w:customStyle="1" w:styleId="Bullet4">
    <w:name w:val="Bullet 4"/>
    <w:basedOn w:val="Normal"/>
    <w:pPr>
      <w:numPr>
        <w:numId w:val="37"/>
      </w:numPr>
    </w:p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38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ous-titreobjet">
    <w:name w:val="Sous-titre objet"/>
    <w:basedOn w:val="Normal"/>
    <w:pPr>
      <w:spacing w:before="0" w:after="0"/>
      <w:jc w:val="center"/>
    </w:pPr>
    <w:rPr>
      <w:b/>
    </w:r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Sous-titreobjet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ous-titreobjetPagedecouverture">
    <w:name w:val="Sous-titre objet (Page de couverture)"/>
    <w:basedOn w:val="Sous-titreobje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Sous-titreobjet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spacing w:before="360" w:after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Public\Documents\Templates\COM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47C2B2-88B9-4B44-A600-E719C825B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COM.dotm</Template>
  <TotalTime>0</TotalTime>
  <Pages>5</Pages>
  <Words>991</Words>
  <Characters>5453</Characters>
  <Application>Microsoft Office Word</Application>
  <DocSecurity>0</DocSecurity>
  <Lines>111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17</cp:revision>
  <cp:lastPrinted>2017-05-22T10:37:00Z</cp:lastPrinted>
  <dcterms:created xsi:type="dcterms:W3CDTF">2017-06-28T14:23:00Z</dcterms:created>
  <dcterms:modified xsi:type="dcterms:W3CDTF">2017-06-29T15:31:00Z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COM/PL/ORG</vt:lpwstr>
  </property>
  <property fmtid="{D5CDD505-2E9C-101B-9397-08002B2CF9AE}" pid="3" name="Classification">
    <vt:lpwstr> </vt:lpwstr>
  </property>
  <property fmtid="{D5CDD505-2E9C-101B-9397-08002B2CF9AE}" pid="4" name="Version">
    <vt:lpwstr>5.84.2.0</vt:lpwstr>
  </property>
  <property fmtid="{D5CDD505-2E9C-101B-9397-08002B2CF9AE}" pid="5" name="Last edited using">
    <vt:lpwstr>LW 5.8.4, Build 20150407</vt:lpwstr>
  </property>
  <property fmtid="{D5CDD505-2E9C-101B-9397-08002B2CF9AE}" pid="6" name="Created using">
    <vt:lpwstr>LW 5.8.4, Build 20150407</vt:lpwstr>
  </property>
  <property fmtid="{D5CDD505-2E9C-101B-9397-08002B2CF9AE}" pid="7" name="Part">
    <vt:lpwstr>1</vt:lpwstr>
  </property>
  <property fmtid="{D5CDD505-2E9C-101B-9397-08002B2CF9AE}" pid="8" name="Total parts">
    <vt:lpwstr>1</vt:lpwstr>
  </property>
  <property fmtid="{D5CDD505-2E9C-101B-9397-08002B2CF9AE}" pid="9" name="LWTemplateID">
    <vt:lpwstr>SJ-026</vt:lpwstr>
  </property>
  <property fmtid="{D5CDD505-2E9C-101B-9397-08002B2CF9AE}" pid="10" name="DQCStatus">
    <vt:lpwstr>Green (DQC version 03)</vt:lpwstr>
  </property>
  <property name="OP_sanitized" fmtid="{D5CDD505-2E9C-101B-9397-08002B2CF9AE}" pid="11">
    <vt:lpwstr>True</vt:lpwstr>
  </property>
</Properties>
</file>