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alt="6DC3BAC5B3DF45DCB0B059EDE535F38D" style="width:450.5pt;height:293.5pt">
            <v:imagedata r:id="rId9" o:title=""/>
          </v:shape>
        </w:pict>
      </w:r>
    </w:p>
    <w:bookmarkEnd w:id="0"/>
    <w:p>
      <w:pPr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spacing w:after="0" w:line="240" w:lineRule="auto"/>
        <w:jc w:val="center"/>
        <w:rPr>
          <w:rFonts w:ascii="Times New Roman" w:hAnsi="Times New Roman"/>
          <w:b/>
          <w:noProof/>
          <w:sz w:val="24"/>
        </w:rPr>
      </w:pPr>
      <w:bookmarkStart w:id="1" w:name="_GoBack"/>
      <w:bookmarkEnd w:id="1"/>
      <w:r>
        <w:rPr>
          <w:rFonts w:ascii="Times New Roman" w:hAnsi="Times New Roman"/>
          <w:b/>
          <w:noProof/>
          <w:sz w:val="24"/>
        </w:rPr>
        <w:lastRenderedPageBreak/>
        <w:t>ZPRÁVA KOMISE EVROPSKÉMU PARLAMENTU A RADĚ</w:t>
      </w:r>
    </w:p>
    <w:p>
      <w:pPr>
        <w:spacing w:after="0" w:line="240" w:lineRule="auto"/>
        <w:jc w:val="center"/>
        <w:rPr>
          <w:rFonts w:ascii="Times New Roman" w:hAnsi="Times New Roman"/>
          <w:b/>
          <w:noProof/>
          <w:sz w:val="24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>o kvalitě fiskálních údajů oznámených členskými státy v roce 2016</w:t>
      </w:r>
    </w:p>
    <w:sdt>
      <w:sdtPr>
        <w:rPr>
          <w:rFonts w:ascii="Calibri" w:eastAsia="Calibri" w:hAnsi="Calibri" w:cs="Times New Roman"/>
          <w:b w:val="0"/>
          <w:bCs w:val="0"/>
          <w:noProof/>
          <w:color w:val="auto"/>
          <w:sz w:val="22"/>
          <w:szCs w:val="22"/>
          <w:lang w:val="cs-CZ" w:eastAsia="cs-CZ" w:bidi="cs-CZ"/>
        </w:rPr>
        <w:id w:val="-108467508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>
          <w:pPr>
            <w:pStyle w:val="TOCHeading"/>
            <w:jc w:val="center"/>
            <w:rPr>
              <w:noProof/>
              <w:color w:val="auto"/>
            </w:rPr>
          </w:pPr>
          <w:r>
            <w:rPr>
              <w:noProof/>
              <w:color w:val="auto"/>
            </w:rPr>
            <w:t>OBSAH</w:t>
          </w:r>
        </w:p>
        <w:p>
          <w:pPr>
            <w:pStyle w:val="TOC1"/>
            <w:tabs>
              <w:tab w:val="left" w:pos="440"/>
              <w:tab w:val="right" w:leader="dot" w:pos="9016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r>
            <w:rPr>
              <w:noProof/>
              <w:sz w:val="24"/>
              <w:szCs w:val="24"/>
            </w:rPr>
            <w:fldChar w:fldCharType="begin"/>
          </w:r>
          <w:r>
            <w:rPr>
              <w:noProof/>
              <w:sz w:val="24"/>
              <w:szCs w:val="24"/>
            </w:rPr>
            <w:instrText xml:space="preserve"> TOC \o "1-3" \h \z \u </w:instrText>
          </w:r>
          <w:r>
            <w:rPr>
              <w:noProof/>
              <w:sz w:val="24"/>
              <w:szCs w:val="24"/>
            </w:rPr>
            <w:fldChar w:fldCharType="separate"/>
          </w:r>
          <w:hyperlink w:anchor="_Toc474924737" w:history="1">
            <w:r>
              <w:rPr>
                <w:rStyle w:val="Hyperlink"/>
                <w:rFonts w:ascii="Times New Roman" w:eastAsia="Times New Roman" w:hAnsi="Times New Roman"/>
                <w:b/>
                <w:bCs/>
                <w:smallCaps/>
                <w:noProof/>
                <w:sz w:val="24"/>
                <w:szCs w:val="24"/>
              </w:rPr>
              <w:t>1.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b/>
                <w:smallCaps/>
                <w:noProof/>
                <w:sz w:val="24"/>
                <w:szCs w:val="24"/>
              </w:rPr>
              <w:t>Souvislosti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_Toc474924737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16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38" w:history="1">
            <w:r>
              <w:rPr>
                <w:rStyle w:val="Hyperlink"/>
                <w:rFonts w:ascii="Times New Roman" w:eastAsia="Times New Roman" w:hAnsi="Times New Roman"/>
                <w:b/>
                <w:bCs/>
                <w:smallCaps/>
                <w:noProof/>
                <w:sz w:val="24"/>
                <w:szCs w:val="24"/>
              </w:rPr>
              <w:t>2.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b/>
                <w:smallCaps/>
                <w:noProof/>
                <w:sz w:val="24"/>
                <w:szCs w:val="24"/>
              </w:rPr>
              <w:t>Hlavní zjištění na základě oznámení o výši schodku a dluhu sektoru vládních institucí v roce 2016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_Toc474924738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left" w:pos="880"/>
              <w:tab w:val="right" w:leader="dot" w:pos="9016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39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2.1.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Včasnost, spolehlivost a úplnost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_Toc474924739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0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2.1.1.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Včasnost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_Toc474924740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1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2.1.2.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Spolehlivost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_Toc474924741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2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2.1.3.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Úplnost tabulek a podkladových informací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_Toc474924742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3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2.1.4.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Doplňující tabulky týkající se zásahů vlád na podporu finančních institucí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_Toc474924743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4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2.1.5.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Dotazník o mezivládních půjčkách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_Toc474924744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left" w:pos="880"/>
              <w:tab w:val="right" w:leader="dot" w:pos="9016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5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2.2.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Soulad s účetními pravidly a konzistence statistických údajů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_Toc474924745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6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2.2.1.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Výměna informací a objasňování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_Toc474924746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7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2.2.2.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Návštěvy za účelem dialogu a metodické inspekce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_Toc474924747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8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2.2.3.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Konkrétní poradenství Eurostatu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_Toc474924748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49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2.2.4.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Aktuální metodické otázky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_Toc474924749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50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2.2.5.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Konzistence se souvisejícími účty vládních institucí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_Toc474924750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2"/>
            <w:tabs>
              <w:tab w:val="left" w:pos="880"/>
              <w:tab w:val="right" w:leader="dot" w:pos="9016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51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2.3.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Zveřejňování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_Toc474924751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52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2.3.1.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Zveřejňování souhrnných údajů a podrobných oznamovacích tabulek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_Toc474924752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53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2.3.2.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Výhrady ke kvalitě údajů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_Toc474924753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54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2.3.3.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Změny oznámených údajů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_Toc474924754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3"/>
            <w:rPr>
              <w:rFonts w:ascii="Times New Roman" w:eastAsiaTheme="minorEastAsia" w:hAnsi="Times New Roman"/>
              <w:noProof/>
              <w:sz w:val="24"/>
              <w:szCs w:val="24"/>
              <w:lang w:val="en-GB" w:eastAsia="en-GB" w:bidi="ar-SA"/>
            </w:rPr>
          </w:pPr>
          <w:hyperlink w:anchor="_Toc474924755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2.3.4.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Zveřejnění metadat (soupisů)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_Toc474924755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16"/>
            </w:tabs>
            <w:rPr>
              <w:noProof/>
              <w:sz w:val="24"/>
              <w:szCs w:val="24"/>
            </w:rPr>
          </w:pPr>
          <w:hyperlink w:anchor="_Toc474924756" w:history="1">
            <w:r>
              <w:rPr>
                <w:rStyle w:val="Hyperlink"/>
                <w:rFonts w:ascii="Times New Roman" w:eastAsia="Times New Roman" w:hAnsi="Times New Roman"/>
                <w:b/>
                <w:bCs/>
                <w:smallCaps/>
                <w:noProof/>
                <w:sz w:val="24"/>
                <w:szCs w:val="24"/>
              </w:rPr>
              <w:t>3.</w:t>
            </w:r>
            <w:r>
              <w:rPr>
                <w:rFonts w:ascii="Times New Roman" w:eastAsiaTheme="minorEastAsia" w:hAnsi="Times New Roman"/>
                <w:noProof/>
                <w:sz w:val="24"/>
                <w:szCs w:val="24"/>
                <w:lang w:val="en-GB" w:eastAsia="en-GB" w:bidi="ar-SA"/>
              </w:rPr>
              <w:tab/>
            </w:r>
            <w:r>
              <w:rPr>
                <w:rStyle w:val="Hyperlink"/>
                <w:rFonts w:ascii="Times New Roman" w:hAnsi="Times New Roman"/>
                <w:b/>
                <w:smallCaps/>
                <w:noProof/>
                <w:sz w:val="24"/>
                <w:szCs w:val="24"/>
              </w:rPr>
              <w:t>Závěr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_Toc474924756 \h </w:instrTex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  <w:r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>
      <w:pPr>
        <w:rPr>
          <w:rFonts w:ascii="Times New Roman" w:eastAsia="Times New Roman" w:hAnsi="Times New Roman"/>
          <w:b/>
          <w:noProof/>
          <w:sz w:val="28"/>
        </w:rPr>
      </w:pPr>
      <w:r>
        <w:rPr>
          <w:rFonts w:ascii="Times New Roman" w:eastAsia="Times New Roman" w:hAnsi="Times New Roman"/>
          <w:b/>
          <w:noProof/>
          <w:sz w:val="28"/>
        </w:rPr>
        <w:br w:type="page"/>
      </w:r>
    </w:p>
    <w:p>
      <w:pPr>
        <w:keepNext/>
        <w:numPr>
          <w:ilvl w:val="0"/>
          <w:numId w:val="1"/>
        </w:numPr>
        <w:spacing w:before="360" w:after="120" w:line="240" w:lineRule="auto"/>
        <w:jc w:val="both"/>
        <w:outlineLvl w:val="0"/>
        <w:rPr>
          <w:rFonts w:ascii="Times New Roman" w:eastAsia="Times New Roman" w:hAnsi="Times New Roman"/>
          <w:b/>
          <w:bCs/>
          <w:smallCaps/>
          <w:noProof/>
          <w:sz w:val="24"/>
          <w:szCs w:val="28"/>
        </w:rPr>
      </w:pPr>
      <w:bookmarkStart w:id="2" w:name="_Toc342558477"/>
      <w:bookmarkStart w:id="3" w:name="_Toc442173625"/>
      <w:bookmarkStart w:id="4" w:name="_Toc474487287"/>
      <w:bookmarkStart w:id="5" w:name="_Toc474922329"/>
      <w:bookmarkStart w:id="6" w:name="_Toc474923038"/>
      <w:bookmarkStart w:id="7" w:name="_Toc474923905"/>
      <w:bookmarkStart w:id="8" w:name="_Toc474924737"/>
      <w:r>
        <w:rPr>
          <w:rFonts w:ascii="Times New Roman" w:hAnsi="Times New Roman"/>
          <w:b/>
          <w:smallCaps/>
          <w:noProof/>
          <w:sz w:val="24"/>
        </w:rPr>
        <w:lastRenderedPageBreak/>
        <w:t>Souvislosti</w:t>
      </w:r>
      <w:bookmarkEnd w:id="2"/>
      <w:bookmarkEnd w:id="3"/>
      <w:bookmarkEnd w:id="4"/>
      <w:bookmarkEnd w:id="5"/>
      <w:bookmarkEnd w:id="6"/>
      <w:bookmarkEnd w:id="7"/>
      <w:bookmarkEnd w:id="8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Ustanovení čl. 8 odst. 3 nařízení Rady (ES) č. 479/2009 o použití Protokolu o postupu při nadměrném schodku, připojeného ke Smlouvě o založení Evropského společenství</w:t>
      </w:r>
      <w:r>
        <w:rPr>
          <w:rStyle w:val="FootnoteReference"/>
          <w:noProof/>
        </w:rPr>
        <w:footnoteReference w:id="1"/>
      </w:r>
      <w:r>
        <w:rPr>
          <w:rFonts w:ascii="Times New Roman" w:hAnsi="Times New Roman"/>
          <w:noProof/>
          <w:sz w:val="24"/>
        </w:rPr>
        <w:t>, vyžaduje, aby Komise (Eurostat) pravidelně předkládala Evropskému parlamentu a Radě zprávu o kvalitě skutečných údajů oznamovaných členskými státy. Tato výroční zpráva musí obsahovat celkové vyhodnocení včasnosti, spolehlivosti a úplnosti údajů a jejich souladu s účetními pravidly. Předcházející zpráva (o údajích z roku 2015) byla Komisí přijata dne 23. března 2016</w:t>
      </w:r>
      <w:r>
        <w:rPr>
          <w:rStyle w:val="FootnoteReference"/>
          <w:noProof/>
        </w:rPr>
        <w:footnoteReference w:id="2"/>
      </w:r>
      <w:r>
        <w:rPr>
          <w:rFonts w:ascii="Times New Roman" w:hAnsi="Times New Roman"/>
          <w:noProof/>
          <w:sz w:val="24"/>
        </w:rPr>
        <w:t>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Eurostat pravidelně vyhodnocuje kvalitu skutečných údajů oznámených členskými státy a souvisejících účtů sektoru vládních institucí. V říjnu 2014 byly uvedené účty poprvé sestaveny podle nařízení Evropského parlamentu a Rady (EU) č. 549/2013 ze dne 21. května 2013 o Evropském systému národních a regionálních účtů v Evropské unii (ESA 2010)</w:t>
      </w:r>
      <w:r>
        <w:rPr>
          <w:rStyle w:val="FootnoteReference"/>
          <w:noProof/>
        </w:rPr>
        <w:footnoteReference w:id="3"/>
      </w:r>
      <w:r>
        <w:rPr>
          <w:rFonts w:ascii="Times New Roman" w:hAnsi="Times New Roman"/>
          <w:noProof/>
          <w:sz w:val="24"/>
        </w:rPr>
        <w:t>. Uvedené hodnocení je zaměřeno na faktory, které vysvětlují schodek/přebytek vládních institucí a změny dluhu vládních institucí. Členské státy zasílají uvedené informace Eurostatu dvakrát ročně jako součást tabulek pro oznámení předkládaná v rámci postupu při nadměrném schodku, dotazníku týkajícího se tabulek pro oznámení předkládaná v rámci postupu při nadměrném schodku, doplňující tabulky týkající se zásahů vlád na podporu finančních institucí a rovněž v rámci dvoustranných objasnění. Eurostat rovněž zůstává v kontaktu s členskými státy prostřednictvím pravidelných návštěv zaměřených na dialog v rámci postupu při nadměrném schodku.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Tato zpráva vychází z hlavních zjištění a výsledků týkajících se údajů oznámených členskými státy v rámci postupu při nadměrném schodku v roce 2016. Zaměřuje se na poslední zprávy předložené v říjnu 2016. Tam, kde je to vhodné, se provádí srovnání s údaji zaslanými v dubnu 2016 a v roce 2015.</w:t>
      </w:r>
    </w:p>
    <w:p>
      <w:pPr>
        <w:keepNext/>
        <w:numPr>
          <w:ilvl w:val="0"/>
          <w:numId w:val="1"/>
        </w:numPr>
        <w:spacing w:before="240" w:after="120" w:line="240" w:lineRule="auto"/>
        <w:ind w:left="851" w:hanging="851"/>
        <w:jc w:val="both"/>
        <w:outlineLvl w:val="0"/>
        <w:rPr>
          <w:rFonts w:ascii="Times New Roman" w:eastAsia="Times New Roman" w:hAnsi="Times New Roman"/>
          <w:b/>
          <w:bCs/>
          <w:smallCaps/>
          <w:noProof/>
          <w:sz w:val="24"/>
          <w:szCs w:val="28"/>
        </w:rPr>
      </w:pPr>
      <w:bookmarkStart w:id="9" w:name="_Toc342558478"/>
      <w:bookmarkStart w:id="10" w:name="_Toc442173626"/>
      <w:bookmarkStart w:id="11" w:name="_Toc474487288"/>
      <w:bookmarkStart w:id="12" w:name="_Toc474922330"/>
      <w:bookmarkStart w:id="13" w:name="_Toc474923039"/>
      <w:bookmarkStart w:id="14" w:name="_Toc474923906"/>
      <w:bookmarkStart w:id="15" w:name="_Toc474924738"/>
      <w:r>
        <w:rPr>
          <w:rFonts w:ascii="Times New Roman" w:hAnsi="Times New Roman"/>
          <w:b/>
          <w:smallCaps/>
          <w:noProof/>
          <w:sz w:val="24"/>
        </w:rPr>
        <w:t>Hlavní zjištění na základě oznámení o výši schodku a dluhu sektoru vládních institucí v roce 2016</w:t>
      </w:r>
      <w:bookmarkEnd w:id="9"/>
      <w:bookmarkEnd w:id="10"/>
      <w:bookmarkEnd w:id="11"/>
      <w:bookmarkEnd w:id="12"/>
      <w:bookmarkEnd w:id="13"/>
      <w:bookmarkEnd w:id="14"/>
      <w:bookmarkEnd w:id="15"/>
    </w:p>
    <w:p>
      <w:pPr>
        <w:pStyle w:val="Heading2"/>
        <w:rPr>
          <w:noProof/>
        </w:rPr>
      </w:pPr>
      <w:bookmarkStart w:id="16" w:name="_Ref149561652"/>
      <w:bookmarkStart w:id="17" w:name="_Toc342558479"/>
      <w:bookmarkStart w:id="18" w:name="_Toc442173627"/>
      <w:bookmarkStart w:id="19" w:name="_Toc474487289"/>
      <w:bookmarkStart w:id="20" w:name="_Toc474922331"/>
      <w:bookmarkStart w:id="21" w:name="_Toc474923040"/>
      <w:bookmarkStart w:id="22" w:name="_Toc474923907"/>
      <w:bookmarkStart w:id="23" w:name="_Toc474924739"/>
      <w:r>
        <w:rPr>
          <w:noProof/>
        </w:rPr>
        <w:t>Včasnost</w:t>
      </w:r>
      <w:bookmarkEnd w:id="16"/>
      <w:r>
        <w:rPr>
          <w:noProof/>
        </w:rPr>
        <w:t>, spolehlivost a úplnost</w:t>
      </w:r>
      <w:bookmarkEnd w:id="17"/>
      <w:bookmarkEnd w:id="18"/>
      <w:bookmarkEnd w:id="19"/>
      <w:bookmarkEnd w:id="20"/>
      <w:bookmarkEnd w:id="21"/>
      <w:bookmarkEnd w:id="22"/>
      <w:bookmarkEnd w:id="23"/>
    </w:p>
    <w:p>
      <w:pPr>
        <w:pStyle w:val="Heading3"/>
        <w:rPr>
          <w:noProof/>
        </w:rPr>
      </w:pPr>
      <w:bookmarkStart w:id="24" w:name="_Toc342558480"/>
      <w:bookmarkStart w:id="25" w:name="_Toc442173628"/>
      <w:bookmarkStart w:id="26" w:name="_Toc474487290"/>
      <w:bookmarkStart w:id="27" w:name="_Toc474922332"/>
      <w:bookmarkStart w:id="28" w:name="_Toc474923041"/>
      <w:bookmarkStart w:id="29" w:name="_Toc474923908"/>
      <w:bookmarkStart w:id="30" w:name="_Toc474924740"/>
      <w:r>
        <w:rPr>
          <w:noProof/>
        </w:rPr>
        <w:t>Včasnost</w:t>
      </w:r>
      <w:bookmarkEnd w:id="24"/>
      <w:bookmarkEnd w:id="25"/>
      <w:bookmarkEnd w:id="26"/>
      <w:bookmarkEnd w:id="27"/>
      <w:bookmarkEnd w:id="28"/>
      <w:bookmarkEnd w:id="29"/>
      <w:bookmarkEnd w:id="30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Členské státy mají povinnost oznamovat Eurostatu skutečné i plánované údaje v souvislosti s postupem při nadměrném schodku dvakrát ročně, před 1. dubnem a před 1. říjnem</w:t>
      </w:r>
      <w:r>
        <w:rPr>
          <w:rStyle w:val="FootnoteReference"/>
          <w:noProof/>
        </w:rPr>
        <w:footnoteReference w:id="4"/>
      </w:r>
      <w:r>
        <w:rPr>
          <w:rFonts w:ascii="Times New Roman" w:hAnsi="Times New Roman"/>
          <w:noProof/>
          <w:sz w:val="24"/>
        </w:rPr>
        <w:t>. Oznamování v rámci postupu při nadměrném schodku v roce 2016 zahrnovala období let 2012 až 2016. Údaje za rok 2016 jsou údaje plánované vnitrostátními orgány, zatímco údaje z let 2012 až 2015 jsou skutečné údaje</w:t>
      </w:r>
      <w:r>
        <w:rPr>
          <w:rStyle w:val="FootnoteReference"/>
          <w:rFonts w:ascii="Times New Roman" w:hAnsi="Times New Roman"/>
          <w:noProof/>
        </w:rPr>
        <w:footnoteReference w:id="5"/>
      </w:r>
      <w:r>
        <w:rPr>
          <w:rFonts w:ascii="Times New Roman" w:hAnsi="Times New Roman"/>
          <w:noProof/>
          <w:sz w:val="24"/>
        </w:rPr>
        <w:t>. Eurostat v souladu s čl. 8 odst. 1 nařízení (ES) č. 479/2009 vyhodnocuje skutečné údaje oznámené členskými státy, avšak nikoli údaje plánované.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Lhůty pro oznamování údajů byly náležitě dodržovány. V roce 2016 oznámily všechny členské státy své skutečné údaje v zákonné lhůtě pro první i druhé oznámení v rámci postupu při nadměrném schodku.</w:t>
      </w:r>
    </w:p>
    <w:p>
      <w:pPr>
        <w:pStyle w:val="Heading3"/>
        <w:rPr>
          <w:noProof/>
        </w:rPr>
      </w:pPr>
      <w:bookmarkStart w:id="31" w:name="_Toc342558481"/>
      <w:bookmarkStart w:id="32" w:name="_Toc442173629"/>
      <w:bookmarkStart w:id="33" w:name="_Toc474487291"/>
      <w:bookmarkStart w:id="34" w:name="_Toc474922333"/>
      <w:bookmarkStart w:id="35" w:name="_Toc474923042"/>
      <w:bookmarkStart w:id="36" w:name="_Toc474923909"/>
      <w:bookmarkStart w:id="37" w:name="_Toc474924741"/>
      <w:r>
        <w:rPr>
          <w:noProof/>
        </w:rPr>
        <w:lastRenderedPageBreak/>
        <w:t>Spolehlivost</w:t>
      </w:r>
      <w:bookmarkEnd w:id="31"/>
      <w:bookmarkEnd w:id="32"/>
      <w:bookmarkEnd w:id="33"/>
      <w:bookmarkEnd w:id="34"/>
      <w:bookmarkEnd w:id="35"/>
      <w:bookmarkEnd w:id="36"/>
      <w:bookmarkEnd w:id="37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  <w:highlight w:val="yellow"/>
        </w:rPr>
      </w:pPr>
      <w:r>
        <w:rPr>
          <w:rFonts w:ascii="Times New Roman" w:hAnsi="Times New Roman"/>
          <w:noProof/>
          <w:sz w:val="24"/>
        </w:rPr>
        <w:t>Revize v období mezi dubnovým a říjnovým oznámením předloženým v rámci postupu při nadměrném schodku v roce 2016 byly prováděny převážně v důsledku aktualizace zdrojových údajů, především provozních bilancí a daňových údajů, a metodických změn, jako je reklasifikace.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Největší kladné revize za rok 2015, které ukazují pokles schodku vyjádřeného v procentech HDP, byly provedeny v Maďarsku (+0,4 p.b.), Bulharsku, Dánsku, Lucembursku a Slovinsku (+0,3 p.b.), Slovensku a Švédsku (+0,2 p.b.). Největší záporné revize byly provedeny v Estonsku (-0,3 p.b., snížení přebytku), Řecku (-0,3 p.b., rostoucí schodek) a České republice (-0,2 p.b., rostoucí schodek). Největší revize dluhu vládních institucí z roku 2015 směrem vzhůru byly provedeny ve Finsku (+1,1 p.b.), Švédsku (+0,8 p.b.) a Lucembursku (+0,3 p.b.), zatímco v Rumunsku byla míra zadlužení revidována směrem dolů (-0,5 p.b.).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Revize HDP jako jmenovatele mají větší vliv na poměr zadlužení vládních institucí k HDP než na poměr schodku vládních institucí k HDP. Revize HDP měla dopad na míru zadlužení u několika členských států. Zvýšení míry zadlužení byla zejména pozorována v případě Španělska (+0,5 p.b.), Francie a Lucemburska (+0,4 p.b.) a Řecka (+0.3 p.b.) a snížení v případě Kypru (-1,3 p.b.), Bulharska, České republiky a Rakouska (-0,7 p.b.), Maďarska a Finska (-0,6 p.b.) a nakonec výrazné snížení v případě Irska (-15,1 p.b.</w:t>
      </w:r>
      <w:r>
        <w:rPr>
          <w:rStyle w:val="FootnoteReference"/>
          <w:rFonts w:ascii="Times New Roman" w:hAnsi="Times New Roman"/>
          <w:noProof/>
          <w:sz w:val="24"/>
        </w:rPr>
        <w:footnoteReference w:id="6"/>
      </w:r>
      <w:r>
        <w:rPr>
          <w:rFonts w:ascii="Times New Roman" w:hAnsi="Times New Roman"/>
          <w:noProof/>
          <w:sz w:val="24"/>
        </w:rPr>
        <w:t>). Revize HDP měla omezený dopad na míru schodku u všech členských států kromě Irska (+0,4 p.b.) a Bulharska (+0,1 p.b.).</w:t>
      </w:r>
    </w:p>
    <w:p>
      <w:pPr>
        <w:pStyle w:val="Heading3"/>
        <w:rPr>
          <w:noProof/>
        </w:rPr>
      </w:pPr>
      <w:bookmarkStart w:id="38" w:name="_Toc342558482"/>
      <w:bookmarkStart w:id="39" w:name="_Toc442173630"/>
      <w:bookmarkStart w:id="40" w:name="_Toc474487292"/>
      <w:bookmarkStart w:id="41" w:name="_Toc474922334"/>
      <w:bookmarkStart w:id="42" w:name="_Toc474923043"/>
      <w:bookmarkStart w:id="43" w:name="_Toc474923910"/>
      <w:bookmarkStart w:id="44" w:name="_Toc474924742"/>
      <w:r>
        <w:rPr>
          <w:noProof/>
        </w:rPr>
        <w:t>Úplnost tabulek a podkladových informací</w:t>
      </w:r>
      <w:bookmarkEnd w:id="38"/>
      <w:bookmarkEnd w:id="39"/>
      <w:bookmarkEnd w:id="40"/>
      <w:bookmarkEnd w:id="41"/>
      <w:bookmarkEnd w:id="42"/>
      <w:bookmarkEnd w:id="43"/>
      <w:bookmarkEnd w:id="44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noProof/>
          <w:sz w:val="24"/>
        </w:rPr>
        <w:t>Právní předpisy nařizují členským státům vyplnit pro účely oznámení tabulky, což je zásadní pro to, aby mohl Eurostat řádně posoudit kvalitu údajů. Podle čl. 8 odst. 2 nařízení (ES) č. 479/2009 předloží členské státy Eurostatu příslušné statistické informace, jimiž „</w:t>
      </w:r>
      <w:r>
        <w:rPr>
          <w:rFonts w:ascii="Times New Roman" w:hAnsi="Times New Roman"/>
          <w:i/>
          <w:noProof/>
          <w:sz w:val="24"/>
        </w:rPr>
        <w:t>(…) se rozumějí zejména:</w:t>
      </w:r>
    </w:p>
    <w:p>
      <w:pPr>
        <w:tabs>
          <w:tab w:val="left" w:pos="1276"/>
        </w:tabs>
        <w:spacing w:before="120" w:after="120" w:line="240" w:lineRule="auto"/>
        <w:ind w:left="850"/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noProof/>
          <w:sz w:val="24"/>
        </w:rPr>
        <w:t>a)</w:t>
      </w:r>
      <w:r>
        <w:rPr>
          <w:noProof/>
        </w:rPr>
        <w:tab/>
      </w:r>
      <w:r>
        <w:rPr>
          <w:rFonts w:ascii="Times New Roman" w:hAnsi="Times New Roman"/>
          <w:i/>
          <w:noProof/>
          <w:sz w:val="24"/>
        </w:rPr>
        <w:t>údaje z národních účtů;</w:t>
      </w:r>
    </w:p>
    <w:p>
      <w:pPr>
        <w:tabs>
          <w:tab w:val="left" w:pos="1276"/>
        </w:tabs>
        <w:spacing w:before="120" w:after="120" w:line="240" w:lineRule="auto"/>
        <w:ind w:left="850"/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noProof/>
          <w:sz w:val="24"/>
        </w:rPr>
        <w:t>b)</w:t>
      </w:r>
      <w:r>
        <w:rPr>
          <w:noProof/>
        </w:rPr>
        <w:tab/>
      </w:r>
      <w:r>
        <w:rPr>
          <w:rFonts w:ascii="Times New Roman" w:hAnsi="Times New Roman"/>
          <w:i/>
          <w:noProof/>
          <w:sz w:val="24"/>
        </w:rPr>
        <w:t>soupisy;</w:t>
      </w:r>
    </w:p>
    <w:p>
      <w:pPr>
        <w:tabs>
          <w:tab w:val="left" w:pos="1276"/>
        </w:tabs>
        <w:spacing w:before="120" w:after="120" w:line="240" w:lineRule="auto"/>
        <w:ind w:left="850"/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noProof/>
          <w:sz w:val="24"/>
        </w:rPr>
        <w:t>c)</w:t>
      </w:r>
      <w:r>
        <w:rPr>
          <w:noProof/>
        </w:rPr>
        <w:tab/>
      </w:r>
      <w:r>
        <w:rPr>
          <w:rFonts w:ascii="Times New Roman" w:hAnsi="Times New Roman"/>
          <w:i/>
          <w:noProof/>
          <w:sz w:val="24"/>
        </w:rPr>
        <w:t>tabulky pro oznámení předkládaná v rámci postupu při nadměrném schodku;</w:t>
      </w:r>
    </w:p>
    <w:p>
      <w:pPr>
        <w:tabs>
          <w:tab w:val="left" w:pos="1276"/>
        </w:tabs>
        <w:spacing w:before="120" w:after="120" w:line="240" w:lineRule="auto"/>
        <w:ind w:left="850"/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noProof/>
          <w:sz w:val="24"/>
        </w:rPr>
        <w:t>d)</w:t>
      </w:r>
      <w:r>
        <w:rPr>
          <w:noProof/>
        </w:rPr>
        <w:tab/>
      </w:r>
      <w:r>
        <w:rPr>
          <w:rFonts w:ascii="Times New Roman" w:hAnsi="Times New Roman"/>
          <w:i/>
          <w:noProof/>
          <w:sz w:val="24"/>
        </w:rPr>
        <w:t>další dotazníky a objasnění týkající se oznámení.“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Existují čtyři hlavní tabulky pro oznámení v rámci postupu při nadměrném schodku. Tabulka 1 se týká vykazování přebytku/schodku sektoru vládních institucí celkem a podle jednotlivých subsektorů vládních institucí, dluhu sektoru vládních institucí celkem</w:t>
      </w:r>
      <w:r>
        <w:rPr>
          <w:rStyle w:val="FootnoteReference"/>
          <w:rFonts w:ascii="Times New Roman" w:hAnsi="Times New Roman"/>
          <w:noProof/>
          <w:sz w:val="24"/>
        </w:rPr>
        <w:footnoteReference w:id="7"/>
      </w:r>
      <w:r>
        <w:rPr>
          <w:rFonts w:ascii="Times New Roman" w:hAnsi="Times New Roman"/>
          <w:noProof/>
          <w:sz w:val="24"/>
        </w:rPr>
        <w:t xml:space="preserve"> a kategorie finančních nástrojů. Zahrnuje rovněž HDP v běžných cenách a výdaje vládních institucí na tvorbu hrubého fixního kapitálu a výdajové úroky. Tabulky 2A až 2D poskytují údaje vysvětlující přepočet mezi vnitrostátními definicemi salda vládního sektoru (které se v metodice národních účtů nazývá „provozní bilance“) a schodkem/přebytkem každého subsektoru vládních institucí (který se v metodice národních účtů nazývá „čisté půjčky / čisté výpůjčky“)</w:t>
      </w:r>
      <w:r>
        <w:rPr>
          <w:rStyle w:val="FootnoteReference"/>
          <w:rFonts w:ascii="Times New Roman" w:hAnsi="Times New Roman"/>
          <w:noProof/>
          <w:sz w:val="24"/>
        </w:rPr>
        <w:footnoteReference w:id="8"/>
      </w:r>
      <w:r>
        <w:rPr>
          <w:rFonts w:ascii="Times New Roman" w:hAnsi="Times New Roman"/>
          <w:noProof/>
          <w:sz w:val="24"/>
        </w:rPr>
        <w:t xml:space="preserve">. </w:t>
      </w:r>
      <w:r>
        <w:rPr>
          <w:rFonts w:ascii="Times New Roman" w:hAnsi="Times New Roman"/>
          <w:noProof/>
          <w:sz w:val="24"/>
        </w:rPr>
        <w:lastRenderedPageBreak/>
        <w:t>Tabulky 3A až 3D poskytují údaje vysvětlující, jak schodek/přebytek vládních institucí a jiné relevantní faktory přispívají ke změnám hodnoty dluhu vládních institucí a k jeho konsolidaci. Tabulka 4 obsahuje především údaje o obchodních úvěrech a zálohách</w:t>
      </w:r>
      <w:r>
        <w:rPr>
          <w:rStyle w:val="FootnoteReference"/>
          <w:noProof/>
        </w:rPr>
        <w:footnoteReference w:id="9"/>
      </w:r>
      <w:r>
        <w:rPr>
          <w:rFonts w:ascii="Times New Roman" w:hAnsi="Times New Roman"/>
          <w:noProof/>
          <w:sz w:val="24"/>
        </w:rPr>
        <w:t>. Tabulky 1 a 2 pro oznámení v rámci postupu při nadměrném schodku pokrývají období 2012–2016</w:t>
      </w:r>
      <w:r>
        <w:rPr>
          <w:rStyle w:val="FootnoteReference"/>
          <w:noProof/>
        </w:rPr>
        <w:footnoteReference w:id="10"/>
      </w:r>
      <w:r>
        <w:rPr>
          <w:rFonts w:ascii="Times New Roman" w:hAnsi="Times New Roman"/>
          <w:noProof/>
          <w:sz w:val="24"/>
        </w:rPr>
        <w:t>, zatímco ostatní tabulky pokrývají období 2012–2015.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Všechny členské státy poskytly Eurostatu veškeré tabulky pro oznámení předkládaná v rámci postupu při nadměrném schodku</w:t>
      </w:r>
      <w:r>
        <w:rPr>
          <w:rStyle w:val="FootnoteReference"/>
          <w:noProof/>
        </w:rPr>
        <w:footnoteReference w:id="11"/>
      </w:r>
      <w:r>
        <w:rPr>
          <w:rFonts w:ascii="Times New Roman" w:hAnsi="Times New Roman"/>
          <w:noProof/>
          <w:sz w:val="24"/>
        </w:rPr>
        <w:t>, a to v rámci jak dubnového, tak říjnového oznámení o postupu při nadměrném schodku za rok 2016. Při oznamování v říjnu všechny státy kompletně vyplnily tabulku 1 pro oznamování o postupu při nadměrném schodku a poskytly podrobnosti v tabulce 2 pro oznamování o postupu při nadměrném schodku o souvislosti mezi provozní bilancí a přebytkem/schodkem v rámci postupu při nadměrném schodku za všechny subsektory. Ve Spojeném království se provozní bilance posuzuje na akruální bázi a bylo oznámeno jen velmi málo úprav pro její transformaci na přebytek/schodek podle ESA 2010. Některé země neoznámily všechny údaje požadované v šabloně (Německo, Rakousko) a další země zahrnuly některé zbytkové přechodné položky (Itálie, Nizozemsko, Finsko a Švédsko).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Některé členské státy neposkytly všechna členění ve všech tabulkách 3 pro oznámení v rámci postupu při nadměrném schodku. Zejména Rakousko neposkytlo požadované podrobnosti o akciích a ostatních účastech, Německo neposkytlo podrobnosti o finančních derivátech. Německo ani Rakousko nevyplnily řádky pro úpravy související s oceňováním dluhu.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  <w:highlight w:val="cyan"/>
        </w:rPr>
      </w:pPr>
      <w:r>
        <w:rPr>
          <w:rFonts w:ascii="Times New Roman" w:hAnsi="Times New Roman"/>
          <w:noProof/>
          <w:sz w:val="24"/>
        </w:rPr>
        <w:t>Stav obchodních úvěrů a záloh vládních institucí by měl být oznámen v tabulce 4 pro oznámení v rámci postupu při nadměrném schodku. Úplného pokrytí všech subsektorů vládních institucí, a rovněž tak uvnitř subsektorů, však dosáhla jen přibližně polovina členských států. Belgie, Bulharsko, Německo, Irsko, Řecko, Francie, Itálie, Kypr, Lucembursko, Malta, Nizozemsko, Polsko a Spojené království označily údaje, které předložily, za předběžné, tj. v budoucích oznámeních budou revidované.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Úplnost tabulek pro oznámení předkládaná v rámci postupu při nadměrném schodku lze i nadále zlepšovat. Očekává se však, že stávající nedostatky budou mít na kvalitu údajů minimální dopad.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Všechny členské státy odevzdaly vyplněný dotazník týkající se tabulek pro účely oznámení v rámci postupu při nadměrném schodku</w:t>
      </w:r>
      <w:r>
        <w:rPr>
          <w:rStyle w:val="FootnoteReference"/>
          <w:noProof/>
        </w:rPr>
        <w:footnoteReference w:id="12"/>
      </w:r>
      <w:r>
        <w:rPr>
          <w:rFonts w:ascii="Times New Roman" w:hAnsi="Times New Roman"/>
          <w:noProof/>
          <w:sz w:val="24"/>
        </w:rPr>
        <w:t xml:space="preserve">. Přestože se rozsah a kvalita odpovědí v porovnání s předchozími roky nadále zlepšovaly, stále je třeba učinit pokrok, neboť některé země neoznámily všechny údaje požadované v dotazníku. </w:t>
      </w:r>
      <w:r>
        <w:rPr>
          <w:rFonts w:ascii="Times New Roman" w:hAnsi="Times New Roman"/>
          <w:noProof/>
          <w:sz w:val="24"/>
        </w:rPr>
        <w:lastRenderedPageBreak/>
        <w:t>Týká se to zejména údajů o pohledávkách a zrušení dluhů v sektoru ústředních vládních institucí, členění v rámci kategorie „ostatní pohledávky/závazky“, zaznamenání záruk vládních institucí (především zahrnutí subsektoru místních vládních institucí) a údajů o kapitálových injekcích.</w:t>
      </w:r>
    </w:p>
    <w:p>
      <w:pPr>
        <w:pStyle w:val="Heading3"/>
        <w:rPr>
          <w:noProof/>
        </w:rPr>
      </w:pPr>
      <w:bookmarkStart w:id="45" w:name="_Toc342558483"/>
      <w:bookmarkStart w:id="46" w:name="_Toc442173631"/>
      <w:bookmarkStart w:id="47" w:name="_Toc474487293"/>
      <w:bookmarkStart w:id="48" w:name="_Toc474922335"/>
      <w:bookmarkStart w:id="49" w:name="_Toc474923044"/>
      <w:bookmarkStart w:id="50" w:name="_Toc474923911"/>
      <w:bookmarkStart w:id="51" w:name="_Toc474924743"/>
      <w:r>
        <w:rPr>
          <w:noProof/>
        </w:rPr>
        <w:t xml:space="preserve">Doplňující tabulky týkající se zásahů vlád na podporu </w:t>
      </w:r>
      <w:bookmarkEnd w:id="45"/>
      <w:bookmarkEnd w:id="46"/>
      <w:r>
        <w:rPr>
          <w:noProof/>
        </w:rPr>
        <w:t>finančních institucí</w:t>
      </w:r>
      <w:bookmarkEnd w:id="47"/>
      <w:bookmarkEnd w:id="48"/>
      <w:bookmarkEnd w:id="49"/>
      <w:bookmarkEnd w:id="50"/>
      <w:bookmarkEnd w:id="51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  <w:vertAlign w:val="superscript"/>
        </w:rPr>
      </w:pPr>
      <w:r>
        <w:rPr>
          <w:rFonts w:ascii="Times New Roman" w:hAnsi="Times New Roman"/>
          <w:noProof/>
          <w:sz w:val="24"/>
        </w:rPr>
        <w:t>Eurostat od 15. července 2009 shromažďuje doplňující údaje týkající se zásahů vlád na podporu finančních institucí. Údaje shromážděné v roce 2016 se týkaly období 2007–2015. Všechny členské státy s výjimkou pěti (Estonsko, Malta, Polsko, Rumunsko a Slovensko) oznámily různé intervence vládních institucí během uvedeného období. Ve Finsku (2008) a v České republice (2013–2015) se jediné oznámené intervence týkaly podmíněných závazků. V roce 2015 byl vliv podpory pro finanční instituce na schodek obzvláště velký v Řecku (4,1 % HDP), Portugalsku (1,6 % HDP) a ve Slovinsku (1,4 % HDP). Eurostat zveřejnil vedle své tiskové zprávy o postupu při nadměrném schodku i informační poznámku, v níž poskytnul více informací o obsahu doplňující tabulky a zjištěních týkajících se údajů</w:t>
      </w:r>
      <w:r>
        <w:rPr>
          <w:rFonts w:ascii="Times New Roman" w:hAnsi="Times New Roman"/>
          <w:noProof/>
          <w:sz w:val="24"/>
          <w:vertAlign w:val="superscript"/>
        </w:rPr>
        <w:footnoteReference w:id="13"/>
      </w:r>
      <w:r>
        <w:rPr>
          <w:rFonts w:ascii="Times New Roman" w:hAnsi="Times New Roman"/>
          <w:noProof/>
          <w:sz w:val="24"/>
        </w:rPr>
        <w:t>.</w:t>
      </w:r>
      <w:r>
        <w:rPr>
          <w:rFonts w:ascii="Times New Roman" w:hAnsi="Times New Roman"/>
          <w:noProof/>
          <w:sz w:val="24"/>
          <w:vertAlign w:val="superscript"/>
        </w:rPr>
        <w:t xml:space="preserve"> </w:t>
      </w:r>
    </w:p>
    <w:p>
      <w:pPr>
        <w:pStyle w:val="Heading3"/>
        <w:rPr>
          <w:noProof/>
        </w:rPr>
      </w:pPr>
      <w:bookmarkStart w:id="52" w:name="_Toc342558484"/>
      <w:bookmarkStart w:id="53" w:name="_Toc442173632"/>
      <w:bookmarkStart w:id="54" w:name="_Toc474487294"/>
      <w:bookmarkStart w:id="55" w:name="_Toc474922336"/>
      <w:bookmarkStart w:id="56" w:name="_Toc474923045"/>
      <w:bookmarkStart w:id="57" w:name="_Toc474923912"/>
      <w:bookmarkStart w:id="58" w:name="_Toc474924744"/>
      <w:r>
        <w:rPr>
          <w:noProof/>
        </w:rPr>
        <w:t>Dotazník o mezivládních půjčkách</w:t>
      </w:r>
      <w:bookmarkEnd w:id="52"/>
      <w:bookmarkEnd w:id="53"/>
      <w:bookmarkEnd w:id="54"/>
      <w:bookmarkEnd w:id="55"/>
      <w:bookmarkEnd w:id="56"/>
      <w:bookmarkEnd w:id="57"/>
      <w:bookmarkEnd w:id="58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Členské státy předkládají rovněž údaje o dvoustranných mezivládních půjčkách poskytovaných obvykle v rámci programů finanční pomoci. Uvedené údaje a další informace o Evropském nástroji finanční stability jsou zahrnuty v tiskové zprávě o postupu při nadměrném schodku. Údaje o mezivládních půjčkách za období 2012–2015 se týkají zejména půjček Řecku, Irsku a Portugalsku.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Dvoustranné mezivládní půjčky se odečítají při výpočtu souhrnných údajů za státy EU-28 a eurozóny pro maastrichtský veřejný dluh, protože oba souhrnné údaje jsou uvedeny na konsolidovaném základě. </w:t>
      </w:r>
    </w:p>
    <w:p>
      <w:pPr>
        <w:pStyle w:val="Heading2"/>
        <w:spacing w:before="240"/>
        <w:ind w:left="851" w:hanging="851"/>
        <w:rPr>
          <w:noProof/>
        </w:rPr>
      </w:pPr>
      <w:bookmarkStart w:id="59" w:name="_Toc342558485"/>
      <w:bookmarkStart w:id="60" w:name="_Toc442173633"/>
      <w:bookmarkStart w:id="61" w:name="_Toc474487295"/>
      <w:bookmarkStart w:id="62" w:name="_Toc474922337"/>
      <w:bookmarkStart w:id="63" w:name="_Toc474923046"/>
      <w:bookmarkStart w:id="64" w:name="_Toc474923913"/>
      <w:bookmarkStart w:id="65" w:name="_Toc474924745"/>
      <w:r>
        <w:rPr>
          <w:noProof/>
        </w:rPr>
        <w:t>Soulad s účetními pravidly a konzistence statistických údajů</w:t>
      </w:r>
      <w:bookmarkEnd w:id="59"/>
      <w:bookmarkEnd w:id="60"/>
      <w:bookmarkEnd w:id="61"/>
      <w:bookmarkEnd w:id="62"/>
      <w:bookmarkEnd w:id="63"/>
      <w:bookmarkEnd w:id="64"/>
      <w:bookmarkEnd w:id="65"/>
    </w:p>
    <w:p>
      <w:pPr>
        <w:pStyle w:val="Heading3"/>
        <w:rPr>
          <w:noProof/>
        </w:rPr>
      </w:pPr>
      <w:bookmarkStart w:id="66" w:name="_Toc342558486"/>
      <w:bookmarkStart w:id="67" w:name="_Toc442173634"/>
      <w:bookmarkStart w:id="68" w:name="_Toc474487296"/>
      <w:bookmarkStart w:id="69" w:name="_Toc474922338"/>
      <w:bookmarkStart w:id="70" w:name="_Toc474923047"/>
      <w:bookmarkStart w:id="71" w:name="_Toc474923914"/>
      <w:bookmarkStart w:id="72" w:name="_Toc474924746"/>
      <w:r>
        <w:rPr>
          <w:noProof/>
        </w:rPr>
        <w:t>Výměna informací a objasňování</w:t>
      </w:r>
      <w:bookmarkEnd w:id="66"/>
      <w:bookmarkEnd w:id="67"/>
      <w:bookmarkEnd w:id="68"/>
      <w:bookmarkEnd w:id="69"/>
      <w:bookmarkEnd w:id="70"/>
      <w:bookmarkEnd w:id="71"/>
      <w:bookmarkEnd w:id="72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Během oznamovacího období mezi uplynutím podzimní oznamovací lhůty dne 1. října a zveřejněním údajů dne 21. října 2016 kontaktoval Eurostat národní statistické úřady ve všech členských státech s žádostí o další informace a o objasnění aplikace účetních pravidel na specifické transakce. Uvedený proces zahrnoval několik korespondenčních výměn mezi Eurostatem a národními statistickými úřady. První série žádostí o objasnění byla do 6. října rozeslána všem členským státům. Druhá série žádostí byla rozeslána 25 členským státům, třetí série 13 členským státům a čtvrtá série jednomu členskému státu. Eurostat některé členské státy požádal o předložení revidovaných tabulek pro oznámení v rámci postupu při nadměrném schodku, revidovaných tabulek pro související účty vládních institucí (tj. roční účty výdajů a příjmů a čtvrtletní finanční a nefinanční účty) a revidovaného dotazníku týkajícího se tabulek pro oznámení předkládaná v rámci postupu při nadměrném schodku. Ve většině případů se změny údajů oznámených během oznamovacího období v říjnu 2016 týkaly oprav technických chyb, vnitřních nejednotností, úprav v tabulkách pro oznamování nebo v souvisejícím dotazníku nebo neodpovídajících záznamů v tabulkách. Několik změn souviselo se zvláštními metodickými pokyny, které poskytl Eurostat, nebo s aktualizací zdrojových údajů.</w:t>
      </w:r>
    </w:p>
    <w:p>
      <w:pPr>
        <w:pStyle w:val="Heading3"/>
        <w:rPr>
          <w:noProof/>
        </w:rPr>
      </w:pPr>
      <w:bookmarkStart w:id="73" w:name="_Toc342558487"/>
      <w:bookmarkStart w:id="74" w:name="_Toc442173635"/>
      <w:bookmarkStart w:id="75" w:name="_Toc474487297"/>
      <w:bookmarkStart w:id="76" w:name="_Toc474922339"/>
      <w:bookmarkStart w:id="77" w:name="_Toc474923048"/>
      <w:bookmarkStart w:id="78" w:name="_Toc474923915"/>
      <w:bookmarkStart w:id="79" w:name="_Toc474924747"/>
      <w:r>
        <w:rPr>
          <w:noProof/>
        </w:rPr>
        <w:lastRenderedPageBreak/>
        <w:t>Návštěvy za účelem dialogu a metodické inspekce</w:t>
      </w:r>
      <w:bookmarkEnd w:id="73"/>
      <w:bookmarkEnd w:id="74"/>
      <w:bookmarkEnd w:id="75"/>
      <w:bookmarkEnd w:id="76"/>
      <w:bookmarkEnd w:id="77"/>
      <w:bookmarkEnd w:id="78"/>
      <w:bookmarkEnd w:id="79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Nařízení (ES) č. 479/2009 obsahuje ustanovení o uskutečňování návštěv zaměřených na dialog a metodických inspekcí. Zástupci GŘ ECFIN a Evropské centrální banky se pravidelně účastní uvedených návštěv a inspekcí jako pozorovatelé. Návštěvy členských států zaměřené na dialog se konají pravidelně (přinejmenším každý druhý rok) s cílem přezkoumat oznámené údaje a metodické otázky, prodiskutovat statistické postupy a zdroje uvedené v soupisech, jakož i posoudit soulad s účetními pravidly, např. pokud jde o vymezení sektoru vládních institucí, dobu zaznamenání nebo klasifikaci transakcí a závazků vládních institucí.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Četnost pravidelných návštěv v členských státech zaměřených na dialog v rámci postupu při nadměrném schodku se v uplynulých letech zvýšila. V případě, že Eurostat u nějakého členského státu objeví konkrétní důležitý problém, který nelze vyřešit jinak než v rámci osobního jednání s příslušnými orgány, je možné v daném členském státě zorganizovat návštěvu </w:t>
      </w:r>
      <w:r>
        <w:rPr>
          <w:rFonts w:ascii="Times New Roman" w:hAnsi="Times New Roman"/>
          <w:i/>
          <w:noProof/>
          <w:sz w:val="24"/>
        </w:rPr>
        <w:t>ad hoc</w:t>
      </w:r>
      <w:r>
        <w:rPr>
          <w:rFonts w:ascii="Times New Roman" w:hAnsi="Times New Roman"/>
          <w:noProof/>
          <w:sz w:val="24"/>
        </w:rPr>
        <w:t xml:space="preserve"> nebo technickou návštěvu. 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V roce 2016 uskutečnil Eurostat návštěvy zaměřené na dialog v rámci postupu při nadměrném schodku v Belgii (21.–22. ledna), Maďarsku (15.–16. února), Řecku (17.–19. února a 22.–24. března), Německu (25.–26. února), Bulharsku (29. února –1. března), Lucembursku (15.–16. března), Litvě (19.–20. května), na Maltě (8.–10. června), v Dánsku (19.–20. září), Portugalsku (9.–11. listopadu) a České republice (22.–23. listopadu). Proběhly také tři návštěvy </w:t>
      </w:r>
      <w:r>
        <w:rPr>
          <w:rFonts w:ascii="Times New Roman" w:hAnsi="Times New Roman"/>
          <w:i/>
          <w:noProof/>
          <w:sz w:val="24"/>
        </w:rPr>
        <w:t>ad hoc</w:t>
      </w:r>
      <w:r>
        <w:rPr>
          <w:rFonts w:ascii="Times New Roman" w:hAnsi="Times New Roman"/>
          <w:noProof/>
          <w:sz w:val="24"/>
        </w:rPr>
        <w:t xml:space="preserve"> v Řecku (27.–28. června), Maďarsku (22. září) a Polsku (17.–18. listopadu). Eurostat rovněž uskutečnil technickou návštěvu (25.–27. ledna) a zvláštní návštěvu (26.–28. září) v Rakousku v souvislosti s probíhajícím šetřením možného nesprávného oznamování údajů</w:t>
      </w:r>
      <w:r>
        <w:rPr>
          <w:rStyle w:val="FootnoteReference"/>
          <w:rFonts w:ascii="Times New Roman" w:hAnsi="Times New Roman"/>
          <w:noProof/>
          <w:sz w:val="24"/>
        </w:rPr>
        <w:footnoteReference w:id="14"/>
      </w:r>
      <w:r>
        <w:rPr>
          <w:rFonts w:ascii="Times New Roman" w:hAnsi="Times New Roman"/>
          <w:noProof/>
          <w:sz w:val="24"/>
        </w:rPr>
        <w:t xml:space="preserve">. 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Konečná zjištění vyplývající z každé návštěvy zaměřené na dialog, včetně popisu schválených akčních opatření a stavu nadnesených problémů, se zasílají Hospodářskému a finančnímu výboru a zveřejňují se na internetových stránkách Eurostatu</w:t>
      </w:r>
      <w:r>
        <w:rPr>
          <w:rStyle w:val="FootnoteReference"/>
          <w:noProof/>
        </w:rPr>
        <w:footnoteReference w:id="15"/>
      </w:r>
      <w:r>
        <w:rPr>
          <w:rFonts w:ascii="Times New Roman" w:hAnsi="Times New Roman"/>
          <w:noProof/>
          <w:sz w:val="24"/>
        </w:rPr>
        <w:t>. Realizace takových akčních opatření vedla k postupnému výraznému zlepšení kvality údajů.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V roce 2016 neuskutečnil Eurostat žádnou metodickou inspekci.</w:t>
      </w:r>
    </w:p>
    <w:p>
      <w:pPr>
        <w:pStyle w:val="Heading3"/>
        <w:rPr>
          <w:noProof/>
        </w:rPr>
      </w:pPr>
      <w:bookmarkStart w:id="80" w:name="_Toc342558488"/>
      <w:bookmarkStart w:id="81" w:name="_Toc442173636"/>
      <w:bookmarkStart w:id="82" w:name="_Toc474487298"/>
      <w:bookmarkStart w:id="83" w:name="_Toc474922340"/>
      <w:bookmarkStart w:id="84" w:name="_Toc474923049"/>
      <w:bookmarkStart w:id="85" w:name="_Toc474923916"/>
      <w:bookmarkStart w:id="86" w:name="_Toc474924748"/>
      <w:r>
        <w:rPr>
          <w:noProof/>
        </w:rPr>
        <w:t>Konkrétní poradenství Eurostatu</w:t>
      </w:r>
      <w:bookmarkEnd w:id="80"/>
      <w:bookmarkEnd w:id="81"/>
      <w:bookmarkEnd w:id="82"/>
      <w:bookmarkEnd w:id="83"/>
      <w:bookmarkEnd w:id="84"/>
      <w:bookmarkEnd w:id="85"/>
      <w:bookmarkEnd w:id="86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Členské státy se pravidelně obracejí na Eurostat za účelem vyjasnění nejrůznějších otázek z oblasti národního účetnictví v souvislosti s plánovanými či již provedenými operacemi. Eurostat poskytuje poradenství v souladu s existujícími zveřejněnými pokyny</w:t>
      </w:r>
      <w:r>
        <w:rPr>
          <w:rStyle w:val="FootnoteReference"/>
          <w:rFonts w:ascii="Times New Roman" w:hAnsi="Times New Roman"/>
          <w:noProof/>
          <w:sz w:val="24"/>
        </w:rPr>
        <w:footnoteReference w:id="16"/>
      </w:r>
      <w:r>
        <w:rPr>
          <w:rFonts w:ascii="Times New Roman" w:hAnsi="Times New Roman"/>
          <w:noProof/>
          <w:sz w:val="24"/>
        </w:rPr>
        <w:t>. Od července zveřejňuje Eurostat v zájmu transparentnosti všechny své dopisy obsahující poradenství</w:t>
      </w:r>
      <w:r>
        <w:rPr>
          <w:rFonts w:ascii="Times New Roman" w:hAnsi="Times New Roman"/>
          <w:noProof/>
          <w:sz w:val="24"/>
          <w:vertAlign w:val="superscript"/>
        </w:rPr>
        <w:footnoteReference w:id="17"/>
      </w:r>
      <w:r>
        <w:rPr>
          <w:rFonts w:ascii="Times New Roman" w:hAnsi="Times New Roman"/>
          <w:noProof/>
          <w:sz w:val="24"/>
        </w:rPr>
        <w:t>, aniž by přitom nejdříve žádal o svolení dotčený členský stát, jak tomu bylo zvykem do té doby. V roce 2016 bylo zveřejněno celkem 19 dopisů.</w:t>
      </w:r>
    </w:p>
    <w:p>
      <w:pPr>
        <w:pStyle w:val="Heading3"/>
        <w:rPr>
          <w:noProof/>
        </w:rPr>
      </w:pPr>
      <w:bookmarkStart w:id="87" w:name="_Toc342558489"/>
      <w:bookmarkStart w:id="88" w:name="_Toc442173638"/>
      <w:bookmarkStart w:id="89" w:name="_Toc474487299"/>
      <w:bookmarkStart w:id="90" w:name="_Toc474922341"/>
      <w:bookmarkStart w:id="91" w:name="_Toc474923050"/>
      <w:bookmarkStart w:id="92" w:name="_Toc474923917"/>
      <w:bookmarkStart w:id="93" w:name="_Toc474924749"/>
      <w:r>
        <w:rPr>
          <w:noProof/>
        </w:rPr>
        <w:lastRenderedPageBreak/>
        <w:t>Aktuální metodické otázky</w:t>
      </w:r>
      <w:bookmarkEnd w:id="87"/>
      <w:bookmarkEnd w:id="88"/>
      <w:bookmarkEnd w:id="89"/>
      <w:bookmarkEnd w:id="90"/>
      <w:bookmarkEnd w:id="91"/>
      <w:bookmarkEnd w:id="92"/>
      <w:bookmarkEnd w:id="93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Dne 4. března bylo zveřejněno vydání příručky o schodku veřejných financí a veřejném dluhu (dále jen „MGDD“) pro rok 2016, které obsahuje kapitoly, jež byly uvedeny do souladu s ESA 2010 s přihlédnutím k výsledkům pracovní skupiny pro metodické otázky, kterých bylo dosaženo v roce 2015.</w:t>
      </w:r>
    </w:p>
    <w:p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Eurostat posoudil řádné uplatňování pravidel ESA 2010 a ověřil uplatňování svých metodických rozhodnutí analýzou údajů oznámených členskými státy v dotazníku k tabulkám pro oznámení předkládaná v rámci postupu při nadměrném schodku, jakož i prostřednictvím diskuzí s národními statistickými úřady během návštěv zaměřených na dialog v rámci postupu při nadměrném schodku.</w:t>
      </w:r>
    </w:p>
    <w:p>
      <w:pPr>
        <w:spacing w:before="120" w:after="120"/>
        <w:ind w:left="851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bookmarkStart w:id="94" w:name="_Toc474487300"/>
      <w:bookmarkStart w:id="95" w:name="_Toc474922342"/>
      <w:bookmarkStart w:id="96" w:name="_Toc342558490"/>
      <w:bookmarkStart w:id="97" w:name="_Toc442173639"/>
      <w:bookmarkStart w:id="98" w:name="_Ref66503600"/>
      <w:bookmarkStart w:id="99" w:name="_Ref66503620"/>
      <w:r>
        <w:rPr>
          <w:rFonts w:ascii="Times New Roman" w:hAnsi="Times New Roman" w:cs="Times New Roman"/>
          <w:noProof/>
          <w:sz w:val="24"/>
          <w:szCs w:val="24"/>
        </w:rPr>
        <w:t>Eurostat poskytuje doplňkové metodické pokyny týkající se účetních pravidel pro statistiky pro účely postupu při nadměrném schodku a vládní finanční statistiky, které doplňují obecná pravidla systému ESA 2010. Pokyny jsou zveřejňovány v rámci odpovědnosti Eurostatu po konzultaci se statistickými úřady členských států. Objasnění jsou zveřejňována v rámci odpovědnosti Eurostatu a vysvětlují účetní pravidla u některých velmi specifických otázek.</w:t>
      </w:r>
      <w:bookmarkEnd w:id="94"/>
      <w:bookmarkEnd w:id="95"/>
    </w:p>
    <w:p>
      <w:pPr>
        <w:spacing w:before="120" w:after="120"/>
        <w:ind w:left="851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bookmarkStart w:id="100" w:name="_Toc474487301"/>
      <w:bookmarkStart w:id="101" w:name="_Toc474922343"/>
      <w:r>
        <w:rPr>
          <w:rFonts w:ascii="Times New Roman" w:hAnsi="Times New Roman" w:cs="Times New Roman"/>
          <w:noProof/>
          <w:sz w:val="24"/>
          <w:szCs w:val="24"/>
        </w:rPr>
        <w:t>V roce 2016 Eurostat zveřejnil tato tři objasnění: statistické zpracování PPP (4. března), statistické důsledky právních předpisů týkajících se nového řešení krize (31. března) a statistické vykazování příspěvků do vnitrostátních fondů pro řešení krizí za rok 2015 (26. září).</w:t>
      </w:r>
      <w:bookmarkEnd w:id="100"/>
      <w:bookmarkEnd w:id="101"/>
    </w:p>
    <w:p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Statistické vykazování PPP bylo předmětem rozsáhlých diskuzí, zejména v souvislosti s Junckerovým investičním plánem pro Evropu. Pokud jde o Eurostat, ten vyvinul značné úsilí, aby pravidla týkající se PPP objasnil sestavovatelům. Kromě objasnění vydaného v březnu a aktualizované kapitoly o PPP v MGDD Eurostat společně s Evropskou investiční bankou dne 29. září vydal komplexní příručku o PPP (Příručka o statistickém zpracování PPP</w:t>
      </w:r>
      <w:r>
        <w:rPr>
          <w:rStyle w:val="FootnoteReference"/>
          <w:rFonts w:ascii="Times New Roman" w:hAnsi="Times New Roman"/>
          <w:noProof/>
          <w:sz w:val="24"/>
        </w:rPr>
        <w:footnoteReference w:id="18"/>
      </w:r>
      <w:r>
        <w:rPr>
          <w:rFonts w:ascii="Times New Roman" w:hAnsi="Times New Roman"/>
          <w:noProof/>
          <w:sz w:val="24"/>
        </w:rPr>
        <w:t>).</w:t>
      </w:r>
    </w:p>
    <w:p>
      <w:pPr>
        <w:spacing w:before="120" w:after="120"/>
        <w:ind w:left="850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bookmarkStart w:id="102" w:name="_Toc474487302"/>
      <w:bookmarkStart w:id="103" w:name="_Toc474922344"/>
      <w:bookmarkStart w:id="104" w:name="_Toc474923051"/>
      <w:r>
        <w:rPr>
          <w:rFonts w:ascii="Times New Roman" w:hAnsi="Times New Roman" w:cs="Times New Roman"/>
          <w:noProof/>
          <w:sz w:val="24"/>
          <w:szCs w:val="24"/>
        </w:rPr>
        <w:t>V roce 2016 byly vytvořeny dvě pracovní skupiny, jedna pro politiku revizí (3. března a 24. –25. května) a druhá pro MGDD (13. –14. září). Druhá skupina se zaměřovala na metodické otázky, které vyžadovaly další objasnění a/nebo u nichž lze v budoucnu naplánovat pokyny či aktualizované kapitoly MGDD. Byla také uspořádána tři zvláštní setkání odborníků zaměřená na příspěvky na řešení krize a systém pojištění vkladů (4. července), finanční anulační struktury (14. listopadu) a toxické dluhy (15. listopadu).</w:t>
      </w:r>
      <w:bookmarkEnd w:id="102"/>
      <w:bookmarkEnd w:id="103"/>
      <w:bookmarkEnd w:id="104"/>
    </w:p>
    <w:p>
      <w:pPr>
        <w:pStyle w:val="Heading3"/>
        <w:rPr>
          <w:noProof/>
        </w:rPr>
      </w:pPr>
      <w:bookmarkStart w:id="105" w:name="_Toc474487303"/>
      <w:bookmarkStart w:id="106" w:name="_Toc474922345"/>
      <w:bookmarkStart w:id="107" w:name="_Toc474923052"/>
      <w:bookmarkStart w:id="108" w:name="_Toc474923918"/>
      <w:bookmarkStart w:id="109" w:name="_Toc474924750"/>
      <w:r>
        <w:rPr>
          <w:noProof/>
        </w:rPr>
        <w:t>Konzistence se souvisejícími účty vládních institucí</w:t>
      </w:r>
      <w:bookmarkEnd w:id="96"/>
      <w:bookmarkEnd w:id="97"/>
      <w:bookmarkEnd w:id="105"/>
      <w:bookmarkEnd w:id="106"/>
      <w:bookmarkEnd w:id="107"/>
      <w:bookmarkEnd w:id="108"/>
      <w:bookmarkEnd w:id="109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Lhůty pro oznámení stanovené v nařízení (ES) č. 479/2009, tedy 1. dubna a 1. října každého roku, byly zavedeny z důvodu zajištění konzistence se souvisejícími ročními a čtvrtletními účty sektoru vládních institucí oznamovanými Eurostatu v různých tabulkách pro předávání údajů podle ESA. Eurostat systematicky kontroluje, zda jsou oznámení v rámci postupu při nadměrném schodku konzistentní </w:t>
      </w:r>
      <w:r>
        <w:rPr>
          <w:rFonts w:ascii="Times New Roman" w:hAnsi="Times New Roman"/>
          <w:noProof/>
          <w:sz w:val="24"/>
        </w:rPr>
        <w:lastRenderedPageBreak/>
        <w:t>se souvisejícími účty sektoru vládních institucí. Celkové výdaje a příjmy vládních institucí by například měly být v souladu s oznámenými údaji o schodku.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Údaje oznámené v rámci postupu při nadměrném schodku byly obecně v souladu s účty vládních institucí oznámených podle ESA 2010, nicméně existují určité pochybnosti ohledně rozvah finančních aktiv a závazků (stavů) a čtvrtletních finančních účtů vládních institucí (tabulka 27 ESA). Byly zjištěny významné nesrovnalosti v případě Bulharska, Dánska, Irska, Kypru, Lucemburska, Německa, Portugalska, Řecka a Španělska a menší rozdíly v případě Francie a Maďarska.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Pokud jde o čisté finanční transakce, ve vykazování v říjnu 2016 přetrvávají významné rozdíly za řadu let v případě Řecka. Situace zůstává tedy stejná jako v předchozích oznámeních. Eurostat v této souvislosti proto znovu zrušil zveřejnění tabulky 27 ESA a změnil údaje Řecka použité v souhrnných údajích za eurozónu a za státy EU-28. Na řešení problému spolupracuje s řeckou národní bankou a ECB.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Údaje o přebytku/schodku, tvorbě hrubého fixního kapitálu a výdajových úrocích oznámené členskými státy v rámci postupu při nadměrném schodku byly plně v souladu s ročními a čtvrtletními údaji o výdajích a příjmech vládních institucí (tabulky 2 a 25 ESA). Údaje o ročním dluhu a čtvrtletním dluhu vládních institucí (tabulka 28 ESA) se dokonale shodovaly u všech členských států.</w:t>
      </w:r>
    </w:p>
    <w:p>
      <w:pPr>
        <w:pStyle w:val="Heading2"/>
        <w:spacing w:before="240"/>
        <w:ind w:left="851" w:hanging="851"/>
        <w:rPr>
          <w:noProof/>
        </w:rPr>
      </w:pPr>
      <w:bookmarkStart w:id="110" w:name="_Toc342558491"/>
      <w:bookmarkStart w:id="111" w:name="_Toc442173640"/>
      <w:bookmarkStart w:id="112" w:name="_Toc474487304"/>
      <w:bookmarkStart w:id="113" w:name="_Toc474922346"/>
      <w:bookmarkStart w:id="114" w:name="_Toc474923053"/>
      <w:bookmarkStart w:id="115" w:name="_Toc474923919"/>
      <w:bookmarkStart w:id="116" w:name="_Toc474924751"/>
      <w:bookmarkEnd w:id="98"/>
      <w:bookmarkEnd w:id="99"/>
      <w:r>
        <w:rPr>
          <w:noProof/>
        </w:rPr>
        <w:t>Zveřejňování</w:t>
      </w:r>
      <w:bookmarkEnd w:id="110"/>
      <w:bookmarkEnd w:id="111"/>
      <w:bookmarkEnd w:id="112"/>
      <w:bookmarkEnd w:id="113"/>
      <w:bookmarkEnd w:id="114"/>
      <w:bookmarkEnd w:id="115"/>
      <w:bookmarkEnd w:id="116"/>
    </w:p>
    <w:p>
      <w:pPr>
        <w:pStyle w:val="Heading3"/>
        <w:rPr>
          <w:noProof/>
        </w:rPr>
      </w:pPr>
      <w:bookmarkStart w:id="117" w:name="_Toc342558492"/>
      <w:bookmarkStart w:id="118" w:name="_Toc442173641"/>
      <w:bookmarkStart w:id="119" w:name="_Toc474487305"/>
      <w:bookmarkStart w:id="120" w:name="_Toc474922347"/>
      <w:bookmarkStart w:id="121" w:name="_Toc474923054"/>
      <w:bookmarkStart w:id="122" w:name="_Toc474923920"/>
      <w:bookmarkStart w:id="123" w:name="_Toc474924752"/>
      <w:r>
        <w:rPr>
          <w:noProof/>
        </w:rPr>
        <w:t>Zveřejňování souhrnných údajů a podrobných oznamovacích tabulek</w:t>
      </w:r>
      <w:bookmarkEnd w:id="117"/>
      <w:bookmarkEnd w:id="118"/>
      <w:bookmarkEnd w:id="119"/>
      <w:bookmarkEnd w:id="120"/>
      <w:bookmarkEnd w:id="121"/>
      <w:bookmarkEnd w:id="122"/>
      <w:bookmarkEnd w:id="123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Ustanovení čl. 14 odst. 1 nařízení (ES) č. 479/2009 stanoví: „Komise (Eurostat) poskytne údaje o skutečném schodku veřejných financí a veřejném zadlužení pro účely použití Protokolu o postupu při nadměrném schodku do tří týdnů od uplynutí oznamovací lhůty […]. Údaje se poskytují formou zveřejnění.“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Eurostat zveřejnil údaje o schodku a dluhu vládních institucí na svých internetových stránkách dne 21. dubna</w:t>
      </w:r>
      <w:r>
        <w:rPr>
          <w:rFonts w:ascii="Times New Roman" w:hAnsi="Times New Roman"/>
          <w:noProof/>
          <w:sz w:val="24"/>
          <w:vertAlign w:val="superscript"/>
        </w:rPr>
        <w:footnoteReference w:id="19"/>
      </w:r>
      <w:r>
        <w:rPr>
          <w:rFonts w:ascii="Times New Roman" w:hAnsi="Times New Roman"/>
          <w:noProof/>
          <w:sz w:val="24"/>
        </w:rPr>
        <w:t xml:space="preserve"> a 21. října</w:t>
      </w:r>
      <w:r>
        <w:rPr>
          <w:rFonts w:ascii="Times New Roman" w:hAnsi="Times New Roman"/>
          <w:noProof/>
          <w:sz w:val="24"/>
          <w:vertAlign w:val="superscript"/>
        </w:rPr>
        <w:footnoteReference w:id="20"/>
      </w:r>
      <w:r>
        <w:rPr>
          <w:rFonts w:ascii="Times New Roman" w:hAnsi="Times New Roman"/>
          <w:noProof/>
          <w:sz w:val="24"/>
        </w:rPr>
        <w:t>, společně se všemi oznamovacími tabulkami</w:t>
      </w:r>
      <w:r>
        <w:rPr>
          <w:rStyle w:val="FootnoteReference"/>
          <w:noProof/>
        </w:rPr>
        <w:footnoteReference w:id="21"/>
      </w:r>
      <w:r>
        <w:rPr>
          <w:rFonts w:ascii="Times New Roman" w:hAnsi="Times New Roman"/>
          <w:noProof/>
          <w:sz w:val="24"/>
        </w:rPr>
        <w:t>, které předložily členské státy, a rovněž s údaji o vnitřní dynamice dluhu, údaji o zásazích vlád na podporu finančních institucí a informacemi o stavech závazků v případě obchodních úvěrů a záloh. Zveřejnil rovněž tiskovou zprávu o maastrichtském dluhu za každé čtvrtletí, a to v přibližných intervalech T+115</w:t>
      </w:r>
      <w:r>
        <w:rPr>
          <w:rStyle w:val="FootnoteReference"/>
          <w:rFonts w:ascii="Times New Roman" w:hAnsi="Times New Roman"/>
          <w:noProof/>
          <w:sz w:val="24"/>
        </w:rPr>
        <w:footnoteReference w:id="22"/>
      </w:r>
      <w:r>
        <w:rPr>
          <w:rFonts w:ascii="Times New Roman" w:hAnsi="Times New Roman"/>
          <w:noProof/>
          <w:sz w:val="24"/>
        </w:rPr>
        <w:t xml:space="preserve"> dnů, jakož i tiskovou zprávu o čtvrtletním schodku veřejných financí.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Podle nařízení (ES) č. 479/2009 musí členské státy zveřejnit skutečné údaje o výši schodku a dluhu. Všechny členské státy zveřejňují údaje o výši schodku a dluhu na národní úrovni. Většina členských států sdělila Eurostatu, že zveřejňují všechny tabulky pro oznámení předkládaná v rámci postupu při nadměrném schodku. Pět členských států (Bulharsko, Itálie, Lucembursko, Polsko a Slovensko) zveřejňuje pouze některé z oznamovacích tabulek. Jeden členský stát – Francie – nezveřejňuje </w:t>
      </w:r>
      <w:r>
        <w:rPr>
          <w:rFonts w:ascii="Times New Roman" w:hAnsi="Times New Roman"/>
          <w:noProof/>
          <w:sz w:val="24"/>
        </w:rPr>
        <w:lastRenderedPageBreak/>
        <w:t>na národní úrovni žádnou tabulku pro oznámení v rámci postupu při nadměrném schodku.</w:t>
      </w:r>
    </w:p>
    <w:p>
      <w:pPr>
        <w:pStyle w:val="Heading3"/>
        <w:rPr>
          <w:noProof/>
        </w:rPr>
      </w:pPr>
      <w:bookmarkStart w:id="124" w:name="_Toc342558493"/>
      <w:bookmarkStart w:id="125" w:name="_Toc442173642"/>
      <w:bookmarkStart w:id="126" w:name="_Toc474487306"/>
      <w:bookmarkStart w:id="127" w:name="_Toc474922348"/>
      <w:bookmarkStart w:id="128" w:name="_Toc474923055"/>
      <w:bookmarkStart w:id="129" w:name="_Toc474923921"/>
      <w:bookmarkStart w:id="130" w:name="_Toc474924753"/>
      <w:r>
        <w:rPr>
          <w:noProof/>
        </w:rPr>
        <w:t>Výhrady ke kvalitě údajů</w:t>
      </w:r>
      <w:bookmarkEnd w:id="124"/>
      <w:bookmarkEnd w:id="125"/>
      <w:bookmarkEnd w:id="126"/>
      <w:bookmarkEnd w:id="127"/>
      <w:bookmarkEnd w:id="128"/>
      <w:bookmarkEnd w:id="129"/>
      <w:bookmarkEnd w:id="130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říjen 2016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Kypr: Eurostat vyjádřil výhradu ke kvalitě údajů, které vykázal Kypr v souvislosti s řadou technických otázek, jako je zaznamenávání toků EU, základ pro provozní bilanci ústředních vládních institucí, neúplné použití zdrojových údajů pro akruální vykazování a chybějící vykazování statistické odchylky v tabulkách pro oznámení předkládaná v rámci postupu při nadměrném schodku.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Eurostat stáhl svoji výhradu vůči Francii a zachoval svoje výhrady vyjádřené v tiskové zprávě o postupu při nadměrném schodku v dubnu 2016 vůči Belgii a Maďarsku (výhrada vůči Maďarsku byla v říjnu 2016 změněna tak, aby zahrnovala možné transakce přesměrování prováděné maďarskou centrální bankou).  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duben 2016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Belgie: Eurostat vyjádřil výhradu ke kvalitě údajů oznámených Belgií v souvislosti se sektorovou klasifikací nemocnic.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Francie: Eurostat vyjádřil výhradu ke kvalitě údajů oznámených Francií v souvislosti se sektorovou klasifikací francouzských fondů pro pojištění vkladů a pro řešení krizí v roce 2015 a zaznamenáváním nákladů na vypořádání spojených s restrukturalizací komplexních dluhových nástrojů přijatých místními vládními institucemi.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Maďarsko: Eurostat vyjádřil výhradu ke kvalitě údajů oznámených Maďarskem v souvislosti se sektorovou klasifikací banky Eximbank.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Eurostat stáhl svou výhradu vůči Rakousku vyjádřenou v tiskové zprávě ze dne 21. října 2015.</w:t>
      </w:r>
    </w:p>
    <w:p>
      <w:pPr>
        <w:pStyle w:val="Heading3"/>
        <w:rPr>
          <w:noProof/>
        </w:rPr>
      </w:pPr>
      <w:bookmarkStart w:id="131" w:name="_Toc342558494"/>
      <w:bookmarkStart w:id="132" w:name="_Toc442173643"/>
      <w:bookmarkStart w:id="133" w:name="_Toc474487307"/>
      <w:bookmarkStart w:id="134" w:name="_Toc474922349"/>
      <w:bookmarkStart w:id="135" w:name="_Toc474923056"/>
      <w:bookmarkStart w:id="136" w:name="_Toc474923922"/>
      <w:bookmarkStart w:id="137" w:name="_Toc474924754"/>
      <w:r>
        <w:rPr>
          <w:noProof/>
        </w:rPr>
        <w:t>Změny oznámených údajů</w:t>
      </w:r>
      <w:bookmarkEnd w:id="131"/>
      <w:bookmarkEnd w:id="132"/>
      <w:bookmarkEnd w:id="133"/>
      <w:bookmarkEnd w:id="134"/>
      <w:bookmarkEnd w:id="135"/>
      <w:bookmarkEnd w:id="136"/>
      <w:bookmarkEnd w:id="137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Eurostat nezměnil údaje oznámené členskými státy v rámci postupu při nadměrném schodku v dubnu ani říjnu 2016.</w:t>
      </w:r>
    </w:p>
    <w:p>
      <w:pPr>
        <w:pStyle w:val="Heading3"/>
        <w:rPr>
          <w:noProof/>
        </w:rPr>
      </w:pPr>
      <w:bookmarkStart w:id="138" w:name="_Toc442173644"/>
      <w:bookmarkStart w:id="139" w:name="_Toc342558495"/>
      <w:bookmarkStart w:id="140" w:name="_Toc474487308"/>
      <w:bookmarkStart w:id="141" w:name="_Toc474922350"/>
      <w:bookmarkStart w:id="142" w:name="_Toc474923057"/>
      <w:bookmarkStart w:id="143" w:name="_Toc474923923"/>
      <w:bookmarkStart w:id="144" w:name="_Toc474924755"/>
      <w:r>
        <w:rPr>
          <w:noProof/>
        </w:rPr>
        <w:t>Zveřejnění metadat (soupisů</w:t>
      </w:r>
      <w:r>
        <w:rPr>
          <w:noProof/>
          <w:vertAlign w:val="superscript"/>
        </w:rPr>
        <w:footnoteReference w:id="23"/>
      </w:r>
      <w:bookmarkEnd w:id="138"/>
      <w:r>
        <w:rPr>
          <w:noProof/>
        </w:rPr>
        <w:t>)</w:t>
      </w:r>
      <w:bookmarkEnd w:id="139"/>
      <w:bookmarkEnd w:id="140"/>
      <w:bookmarkEnd w:id="141"/>
      <w:bookmarkEnd w:id="142"/>
      <w:bookmarkEnd w:id="143"/>
      <w:bookmarkEnd w:id="144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Nařízení (ES) č. 479/2009 stanoví, že soupisy v rámci postupu při nadměrném schodku patří mezi statistické informace, které mají členské státy poskytovat. Rovněž vyžaduje, aby byly soupisy v rámci postupu při nadměrném schodku zveřejňovány na úrovni členských států.</w:t>
      </w:r>
    </w:p>
    <w:p>
      <w:pPr>
        <w:spacing w:before="120" w:after="120" w:line="240" w:lineRule="auto"/>
        <w:ind w:left="850"/>
        <w:jc w:val="both"/>
        <w:rPr>
          <w:rFonts w:ascii="Times New Roman" w:eastAsia="Times New Roman" w:hAnsi="Times New Roman"/>
          <w:b/>
          <w:bCs/>
          <w:smallCaps/>
          <w:noProof/>
          <w:sz w:val="24"/>
          <w:szCs w:val="28"/>
        </w:rPr>
      </w:pPr>
      <w:r>
        <w:rPr>
          <w:rFonts w:ascii="Times New Roman" w:hAnsi="Times New Roman"/>
          <w:noProof/>
          <w:sz w:val="24"/>
        </w:rPr>
        <w:t xml:space="preserve">Eurostat provedl úpravu formátu pro soupisy v rámci postupu při nadměrném schodku, přičemž tato úprava přinesla strukturální změny a vyžaduje podrobnější informace. Byla dohodnuta nová šablona soupisů přizpůsobená systému ESA 2010 a do konce roku 2016 zveřejnil Eurostat revidované soupisy pro více než dvě třetiny členských států. </w:t>
      </w:r>
      <w:bookmarkStart w:id="145" w:name="_Toc342558496"/>
      <w:bookmarkStart w:id="146" w:name="_Toc442173645"/>
    </w:p>
    <w:p>
      <w:pPr>
        <w:keepNext/>
        <w:numPr>
          <w:ilvl w:val="0"/>
          <w:numId w:val="1"/>
        </w:numPr>
        <w:spacing w:before="360" w:after="120" w:line="240" w:lineRule="auto"/>
        <w:jc w:val="both"/>
        <w:outlineLvl w:val="0"/>
        <w:rPr>
          <w:rFonts w:ascii="Times New Roman" w:eastAsia="Times New Roman" w:hAnsi="Times New Roman"/>
          <w:b/>
          <w:bCs/>
          <w:smallCaps/>
          <w:noProof/>
          <w:sz w:val="24"/>
          <w:szCs w:val="28"/>
        </w:rPr>
      </w:pPr>
      <w:bookmarkStart w:id="147" w:name="_Toc474487309"/>
      <w:bookmarkStart w:id="148" w:name="_Toc474922351"/>
      <w:bookmarkStart w:id="149" w:name="_Toc474923058"/>
      <w:bookmarkStart w:id="150" w:name="_Toc474923924"/>
      <w:bookmarkStart w:id="151" w:name="_Toc474924756"/>
      <w:r>
        <w:rPr>
          <w:rFonts w:ascii="Times New Roman" w:hAnsi="Times New Roman"/>
          <w:b/>
          <w:smallCaps/>
          <w:noProof/>
          <w:sz w:val="24"/>
        </w:rPr>
        <w:t>Závěr</w:t>
      </w:r>
      <w:bookmarkEnd w:id="145"/>
      <w:bookmarkEnd w:id="146"/>
      <w:bookmarkEnd w:id="147"/>
      <w:bookmarkEnd w:id="148"/>
      <w:bookmarkEnd w:id="149"/>
      <w:bookmarkEnd w:id="150"/>
      <w:bookmarkEnd w:id="151"/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Eurostat konstatuje pokračující celkové zlepšení, pokud jde o konzistenci a úplnost oznámených údajů. Kvalitu fiskálních údajů je však třeba dále zlepšovat. Eurostat </w:t>
      </w:r>
      <w:r>
        <w:rPr>
          <w:rFonts w:ascii="Times New Roman" w:hAnsi="Times New Roman"/>
          <w:noProof/>
          <w:sz w:val="24"/>
        </w:rPr>
        <w:lastRenderedPageBreak/>
        <w:t xml:space="preserve">během roku 2016 posílil dvoustranná objasňování v rámci posouzení oznámení v rámci postupu při nadměrném schodku. Rovněž posílil kontakty a konzultace s členskými státy mezi oznámeními. Zvýšila se četnost návštěv zaměřených na dialog. Zveřejněním všech metodických dopisů Eurostatu obsahujících poradenství se zlepšilo sdílení poznatků a transparentnost. 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V případě některých států přetrvávají u čtvrtletních finančních účtů problémy s konzistencí, zejména pokud jde o Řecko.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Eurostat v roce 2016 vyjádřil čtyři výhrady ke kvalitě údajů oznámených členskými státy. Tyto výhrady se týkaly Belgie, Francie a Maďarska, pokud jde o dubnové oznámení v rámci postupu při nadměrném schodku, a Kypru, pokud jde o říjnové oznámení v rámci postupu při nadměrném schodku. Stáhl své výhrady vůči Rakousku (duben 2016) a Francii (říjen 2016) a trvá na svých výhradách vůči Belgii a Maďarsku (říjen 2016).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Revize dřívějších údajů o schodku a dluhu souvisely zejména s aktualizací zdrojových údajů, reklasifikací jednotek a metodickými žádostmi o poradenství.</w:t>
      </w:r>
    </w:p>
    <w:p>
      <w:pPr>
        <w:spacing w:before="120" w:after="120" w:line="240" w:lineRule="auto"/>
        <w:ind w:left="85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>Eurostat dospěl k celkovému závěru, že kvalita fiskálních údajů se i v roce 2016 zvyšovala. Členské státy obecně poskytly kvalitnější a úplnější informace, a to jak v tabulkách pro oznamování v rámci postupu při nadměrném schodku, tak v jiných příslušných statistických výkazech.</w:t>
      </w:r>
    </w:p>
    <w:sectPr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CS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6576819"/>
      <w:docPartObj>
        <w:docPartGallery w:val="Page Numbers (Bottom of Page)"/>
        <w:docPartUnique/>
      </w:docPartObj>
    </w:sdt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FootnoteText"/>
        <w:spacing w:after="0" w:line="240" w:lineRule="auto"/>
        <w:rPr>
          <w:rFonts w:ascii="Times New Roman" w:hAnsi="Times New Roman"/>
          <w:lang w:val="pt-PT"/>
        </w:rPr>
      </w:pPr>
      <w:r>
        <w:rPr>
          <w:rStyle w:val="FootnoteReference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>Úř. věst. L 145, 10.6.2009, s. 1.</w:t>
      </w:r>
    </w:p>
  </w:footnote>
  <w:footnote w:id="2">
    <w:p>
      <w:pPr>
        <w:pStyle w:val="FootnoteText"/>
        <w:spacing w:after="0" w:line="240" w:lineRule="auto"/>
        <w:rPr>
          <w:rFonts w:ascii="Times New Roman" w:hAnsi="Times New Roman"/>
          <w:lang w:val="pt-PT"/>
        </w:rPr>
      </w:pPr>
      <w:r>
        <w:rPr>
          <w:rStyle w:val="FootnoteReference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>COM(2016) 164 final.</w:t>
      </w:r>
    </w:p>
  </w:footnote>
  <w:footnote w:id="3">
    <w:p>
      <w:pPr>
        <w:pStyle w:val="FootnoteText"/>
        <w:spacing w:after="0" w:line="240" w:lineRule="auto"/>
        <w:rPr>
          <w:rFonts w:ascii="Times New Roman" w:hAnsi="Times New Roman"/>
          <w:lang w:val="pt-PT"/>
        </w:rPr>
      </w:pPr>
      <w:r>
        <w:rPr>
          <w:rFonts w:ascii="Times New Roman" w:hAnsi="Times New Roman"/>
          <w:vertAlign w:val="superscript"/>
        </w:rPr>
        <w:footnoteRef/>
      </w:r>
      <w:r>
        <w:tab/>
      </w:r>
      <w:r>
        <w:rPr>
          <w:rFonts w:ascii="Times New Roman" w:hAnsi="Times New Roman"/>
        </w:rPr>
        <w:t>Úř. věst. L 174, 26.6.2013, s. 1.</w:t>
      </w:r>
    </w:p>
  </w:footnote>
  <w:footnote w:id="4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tab/>
      </w:r>
      <w:r>
        <w:rPr>
          <w:rFonts w:ascii="Times New Roman" w:hAnsi="Times New Roman"/>
        </w:rPr>
        <w:t>Čl. 3 odst. 1 a 3 nařízení (ES) č. 479/2009.</w:t>
      </w:r>
    </w:p>
  </w:footnote>
  <w:footnote w:id="5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tab/>
      </w:r>
      <w:r>
        <w:rPr>
          <w:rFonts w:ascii="Times New Roman" w:hAnsi="Times New Roman"/>
        </w:rPr>
        <w:t>Skutečné údaje mohou být finalizované, částečně finalizované nebo odhadované.</w:t>
      </w:r>
    </w:p>
  </w:footnote>
  <w:footnote w:id="6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             </w:t>
      </w:r>
      <w:hyperlink r:id="rId1">
        <w:r>
          <w:rPr>
            <w:rStyle w:val="Hyperlink"/>
            <w:rFonts w:ascii="Times New Roman" w:hAnsi="Times New Roman"/>
          </w:rPr>
          <w:t>http://ec.europa.eu/eurostat/documents/24987/6390465/Irish_GDP_communication.pdf</w:t>
        </w:r>
      </w:hyperlink>
      <w:r>
        <w:rPr>
          <w:rFonts w:ascii="Times New Roman" w:hAnsi="Times New Roman"/>
        </w:rPr>
        <w:t xml:space="preserve"> </w:t>
      </w:r>
    </w:p>
  </w:footnote>
  <w:footnote w:id="7">
    <w:p>
      <w:pPr>
        <w:pStyle w:val="FootnoteText"/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             Podle Protokolu o postupu při nadměrném schodku připojeného ke Smlouvě o fungování EU je veřejný dluh definován jako konsolidovaný hrubý dluh celého sektoru vládních institucí, jenž je ke konci roku nesplacený (v nominální hodnotě). Podle nařízení (ES) č. 479/2009 zahrnuje veřejné zadlužení oběživo a vklady (AF.2), dluhové cenné papíry (AF.3) a půjčky (AF.4), jak jsou definovány v systému ESA 2010. </w:t>
      </w:r>
    </w:p>
  </w:footnote>
  <w:footnote w:id="8">
    <w:p>
      <w:pPr>
        <w:pStyle w:val="FootnoteText"/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             Ustanovení čl. 3 odst. 2 nařízení (ES) č. 479/2009.</w:t>
      </w:r>
    </w:p>
  </w:footnote>
  <w:footnote w:id="9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  Viz prohlášení připojená k zápisu z jednání Rady ze dne 22. listopadu 1993:  </w:t>
      </w:r>
      <w:hyperlink r:id="rId2">
        <w:r>
          <w:rPr>
            <w:rStyle w:val="Hyperlink"/>
            <w:rFonts w:ascii="Times New Roman" w:hAnsi="Times New Roman"/>
          </w:rPr>
          <w:t>https://webgate.ec.europa.eu/fpfis/mwikis/gfs/images/e/e7/Statements_9817.en93.pdf</w:t>
        </w:r>
      </w:hyperlink>
    </w:p>
  </w:footnote>
  <w:footnote w:id="10">
    <w:p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  Nařízení Rady (ES) č. 479/2009 pouze výslovně vyžaduje, aby členské státy poskytly plánované údaje v tabulkách 1 a 2A pro oznámení předkládaná v rámci postupu při nadměrném schodku.</w:t>
      </w:r>
    </w:p>
  </w:footnote>
  <w:footnote w:id="11">
    <w:p>
      <w:pPr>
        <w:pStyle w:val="FootnoteText"/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ab/>
      </w:r>
      <w:r>
        <w:rPr>
          <w:rFonts w:ascii="Times New Roman" w:hAnsi="Times New Roman"/>
        </w:rPr>
        <w:t xml:space="preserve">Tabulky pro oznámení v rámci postupu při nadměrném schodku předložené členskými státy jsou k dispozici na internetových stránkách Eurostatu: </w:t>
      </w:r>
      <w:hyperlink r:id="rId3">
        <w:r>
          <w:rPr>
            <w:rStyle w:val="Hyperlink"/>
            <w:rFonts w:ascii="Times New Roman" w:hAnsi="Times New Roman"/>
          </w:rPr>
          <w:t>http://ec.europa.eu/eurostat/web/government-finance-statistics/excessive-deficit-procedure/edp-notification-tables</w:t>
        </w:r>
      </w:hyperlink>
      <w:r>
        <w:rPr>
          <w:rStyle w:val="Hyperlink"/>
          <w:rFonts w:ascii="Times New Roman" w:hAnsi="Times New Roman"/>
        </w:rPr>
        <w:t>.</w:t>
      </w:r>
    </w:p>
  </w:footnote>
  <w:footnote w:id="12">
    <w:p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ab/>
      </w:r>
      <w:r>
        <w:rPr>
          <w:rFonts w:ascii="Times New Roman" w:hAnsi="Times New Roman"/>
        </w:rPr>
        <w:t xml:space="preserve">  Uvedený dotazník obsahuje 13 oddílů, ve kterých se požadují kvantitativní a někdy kvalitativní informace z několika oblastí, jako jsou např. transakce v daních a sociálních příspěvcích a s EU, pořizování vojenského vybavení, vládní záruky, zrušení dluhu, kapitálové injekce vládních institucí do veřejných korporací, partnerství mezi veřejným a soukromým sektorem, přesměrování transakcí a jiné otázky.</w:t>
      </w:r>
    </w:p>
  </w:footnote>
  <w:footnote w:id="13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ab/>
      </w:r>
      <w:r>
        <w:rPr>
          <w:rFonts w:ascii="Times New Roman" w:hAnsi="Times New Roman"/>
        </w:rPr>
        <w:t xml:space="preserve">  Viz: </w:t>
      </w:r>
      <w:hyperlink r:id="rId4">
        <w:r>
          <w:rPr>
            <w:rStyle w:val="Hyperlink"/>
            <w:rFonts w:ascii="Times New Roman" w:hAnsi="Times New Roman"/>
          </w:rPr>
          <w:t>http://ec.europa.eu/eurostat/documents/1015035/2022710/Background-note-on-gov-interventions-OCT-2016-final.pdf</w:t>
        </w:r>
      </w:hyperlink>
      <w:r>
        <w:rPr>
          <w:rFonts w:ascii="Times New Roman" w:hAnsi="Times New Roman"/>
        </w:rPr>
        <w:t xml:space="preserve"> </w:t>
      </w:r>
    </w:p>
  </w:footnote>
  <w:footnote w:id="14">
    <w:p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            Rozhodnutí Komise C(2016) 2633 final ze dne 3. května 2016 o zahájení šetření v souvislosti se zkreslováním statistik v Rakousku, jak je uvedeno v nařízení Evropského parlamentu a Rady (EU) č. 1173/2011 o účinném prosazování rozpočtového dohledu v eurozóně.</w:t>
      </w:r>
    </w:p>
  </w:footnote>
  <w:footnote w:id="15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             Viz: </w:t>
      </w:r>
      <w:hyperlink r:id="rId5">
        <w:r>
          <w:rPr>
            <w:rStyle w:val="Hyperlink"/>
            <w:rFonts w:ascii="Times New Roman" w:hAnsi="Times New Roman"/>
          </w:rPr>
          <w:t>http://ec.europa.eu/eurostat/web/government-finance-statistics/excessive-deficit-procedure/eurostat-edp-visits-to-member-states</w:t>
        </w:r>
      </w:hyperlink>
      <w:r>
        <w:rPr>
          <w:rFonts w:ascii="Times New Roman" w:hAnsi="Times New Roman"/>
        </w:rPr>
        <w:t xml:space="preserve">  </w:t>
      </w:r>
    </w:p>
  </w:footnote>
  <w:footnote w:id="16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            Viz: </w:t>
      </w:r>
      <w:hyperlink r:id="rId6">
        <w:r>
          <w:rPr>
            <w:rStyle w:val="Hyperlink"/>
            <w:rFonts w:ascii="Times New Roman" w:hAnsi="Times New Roman"/>
          </w:rPr>
          <w:t>http://ec.europa.eu/eurostat/web/government-finance-statistics/methodology/guidance-on-accounting-rules</w:t>
        </w:r>
      </w:hyperlink>
    </w:p>
  </w:footnote>
  <w:footnote w:id="17">
    <w:p>
      <w:pPr>
        <w:pStyle w:val="FootnoteText"/>
        <w:spacing w:after="0" w:line="240" w:lineRule="auto"/>
        <w:rPr>
          <w:rStyle w:val="Hyperlink"/>
          <w:rFonts w:ascii="Times New Roman" w:hAnsi="Times New Roman"/>
        </w:rPr>
      </w:pPr>
      <w:r>
        <w:rPr>
          <w:rStyle w:val="FootnoteReference"/>
        </w:rPr>
        <w:footnoteRef/>
      </w:r>
      <w:r>
        <w:rPr>
          <w:rFonts w:ascii="Times New Roman" w:hAnsi="Times New Roman"/>
        </w:rPr>
        <w:t xml:space="preserve">              Viz: </w:t>
      </w:r>
      <w:hyperlink r:id="rId7">
        <w:r>
          <w:rPr>
            <w:rStyle w:val="Hyperlink"/>
            <w:rFonts w:ascii="Times New Roman" w:hAnsi="Times New Roman"/>
          </w:rPr>
          <w:t>http://ec.europa.eu/eurostat/web/government-finance-statistics/methodology/advice-to-member-states</w:t>
        </w:r>
      </w:hyperlink>
    </w:p>
  </w:footnote>
  <w:footnote w:id="18">
    <w:p>
      <w:pPr>
        <w:pStyle w:val="FootnoteText"/>
        <w:tabs>
          <w:tab w:val="left" w:pos="851"/>
        </w:tabs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            </w:t>
      </w:r>
      <w:hyperlink r:id="rId8">
        <w:r>
          <w:rPr>
            <w:rStyle w:val="Hyperlink"/>
            <w:rFonts w:ascii="Times New Roman" w:hAnsi="Times New Roman"/>
          </w:rPr>
          <w:t>http://ec.europa.eu/eurostat/documents/1015035/7204121/epec-eurostat-statistical-guide-en.pdf</w:t>
        </w:r>
      </w:hyperlink>
      <w:r>
        <w:rPr>
          <w:rFonts w:ascii="Times New Roman" w:hAnsi="Times New Roman"/>
        </w:rPr>
        <w:t xml:space="preserve">  </w:t>
      </w:r>
    </w:p>
  </w:footnote>
  <w:footnote w:id="19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ab/>
      </w:r>
      <w:r>
        <w:rPr>
          <w:rFonts w:ascii="Times New Roman" w:hAnsi="Times New Roman"/>
        </w:rPr>
        <w:t xml:space="preserve">  Viz: </w:t>
      </w:r>
      <w:hyperlink r:id="rId9">
        <w:r>
          <w:rPr>
            <w:rStyle w:val="Hyperlink"/>
            <w:rFonts w:ascii="Times New Roman" w:hAnsi="Times New Roman"/>
          </w:rPr>
          <w:t>http://ec.europa.eu/eurostat/documents/2995521/7235991/2-21042016-AP-EN.pdf</w:t>
        </w:r>
      </w:hyperlink>
      <w:r>
        <w:rPr>
          <w:rFonts w:ascii="Times New Roman" w:hAnsi="Times New Roman"/>
        </w:rPr>
        <w:t xml:space="preserve">  </w:t>
      </w:r>
    </w:p>
  </w:footnote>
  <w:footnote w:id="20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  Viz: </w:t>
      </w:r>
      <w:hyperlink r:id="rId10">
        <w:r>
          <w:rPr>
            <w:rStyle w:val="Hyperlink"/>
            <w:rFonts w:ascii="Times New Roman" w:hAnsi="Times New Roman"/>
          </w:rPr>
          <w:t>http://ec.europa.eu/eurostat/documents/2995521/7704449/2-21102016-AP-EN.pdf</w:t>
        </w:r>
      </w:hyperlink>
      <w:r>
        <w:rPr>
          <w:rFonts w:ascii="Times New Roman" w:hAnsi="Times New Roman"/>
        </w:rPr>
        <w:t xml:space="preserve"> </w:t>
      </w:r>
    </w:p>
  </w:footnote>
  <w:footnote w:id="21">
    <w:p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tab/>
      </w:r>
      <w:r>
        <w:rPr>
          <w:rFonts w:ascii="Times New Roman" w:hAnsi="Times New Roman"/>
        </w:rPr>
        <w:t xml:space="preserve">  Viz: </w:t>
      </w:r>
      <w:hyperlink r:id="rId11">
        <w:r>
          <w:rPr>
            <w:rStyle w:val="Hyperlink"/>
            <w:rFonts w:ascii="Times New Roman" w:hAnsi="Times New Roman"/>
          </w:rPr>
          <w:t>http://ec.europa.eu/eurostat/web/government-finance-statistics/excessive-deficit-procedure/edp-notification-tables</w:t>
        </w:r>
      </w:hyperlink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              </w:t>
      </w:r>
      <w:r>
        <w:rPr>
          <w:rFonts w:ascii="Times New Roman" w:hAnsi="Times New Roman"/>
        </w:rPr>
        <w:t>„t“ je poslední vykazované čtvrtletí</w:t>
      </w:r>
    </w:p>
  </w:footnote>
  <w:footnote w:id="23">
    <w:p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ab/>
      </w:r>
      <w:r>
        <w:rPr>
          <w:rFonts w:ascii="Times New Roman" w:hAnsi="Times New Roman"/>
        </w:rPr>
        <w:t xml:space="preserve">  Soupisy metod, postupů a zdrojů použitých při zpracování údajů o skutečné výši schodku a dluhu a souvisejících účtů vládních institucí.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67"/>
  <w:hideSpellingErrors/>
  <w:hideGrammaticalErrors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Green"/>
    <w:docVar w:name="LW_CONFIDENCE" w:val=" "/>
    <w:docVar w:name="LW_CONST_RESTREINT_UE" w:val="RESTREINT UE"/>
    <w:docVar w:name="LW_CORRIGENDUM" w:val="&lt;UNUSED&gt;"/>
    <w:docVar w:name="LW_COVERPAGE_GUID" w:val="6DC3BAC5B3DF45DCB0B059EDE535F38D"/>
    <w:docVar w:name="LW_CROSSREFERENCE" w:val="&lt;UNUSED&gt;"/>
    <w:docVar w:name="LW_DocType" w:val="NORMAL"/>
    <w:docVar w:name="LW_EMISSION" w:val="9.3.2017"/>
    <w:docVar w:name="LW_EMISSION_ISODATE" w:val="2017-03-09"/>
    <w:docVar w:name="LW_EMISSION_LOCATION" w:val="BRX"/>
    <w:docVar w:name="LW_EMISSION_PREFIX" w:val="V Bruselu dne "/>
    <w:docVar w:name="LW_EMISSION_SUFFIX" w:val=" "/>
    <w:docVar w:name="LW_ID_DOCTYPE_NONLW" w:val="CP-006"/>
    <w:docVar w:name="LW_LANGUE" w:val="CS"/>
    <w:docVar w:name="LW_MARKING" w:val="&lt;UNUSED&gt;"/>
    <w:docVar w:name="LW_NOM.INST" w:val="EVROPSKÁ KOMISE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17) 123"/>
    <w:docVar w:name="LW_REF.INTERNE" w:val="&lt;UNUSED&gt;"/>
    <w:docVar w:name="LW_SOUS.TITRE.OBJ.CP" w:val="&lt;UNUSED&gt;"/>
    <w:docVar w:name="LW_SUPERTITRE" w:val="&lt;UNUSED&gt;"/>
    <w:docVar w:name="LW_TITRE.OBJ.CP" w:val="o kvalit\u283? fiskálních údaj\u367? oznámených \u269?lenskými státy v roce 2016"/>
    <w:docVar w:name="LW_TYPE.DOC.CP" w:val="ZPRÁVA KOMISE EVROPSKÉMU PARLAMENTU A RAD\u282?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360" w:after="1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mall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numPr>
        <w:ilvl w:val="1"/>
        <w:numId w:val="1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bCs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hAnsi="Times New Roman" w:cs="Times New Roman"/>
      <w:sz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hAnsi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smallCaps/>
      <w:sz w:val="24"/>
      <w:szCs w:val="2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Cs/>
      <w:i/>
      <w:sz w:val="24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="Times New Roman" w:hAnsi="Times New Roman" w:cs="Times New Roman"/>
      <w:bCs/>
      <w:iCs/>
      <w:sz w:val="24"/>
      <w:lang w:eastAsia="cs-CZ"/>
    </w:rPr>
  </w:style>
  <w:style w:type="paragraph" w:styleId="FootnoteText">
    <w:name w:val="footnote text"/>
    <w:basedOn w:val="Normal"/>
    <w:link w:val="FootnoteTextChar"/>
    <w:uiPriority w:val="99"/>
    <w:unhideWhenUsed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iPriority w:val="99"/>
    <w:rPr>
      <w:rFonts w:cs="Times New Roman"/>
      <w:color w:val="0000FF"/>
      <w:u w:val="single"/>
      <w:shd w:val="clear" w:color="auto" w:fill="auto"/>
    </w:rPr>
  </w:style>
  <w:style w:type="character" w:styleId="FootnoteReference">
    <w:name w:val="footnote reference"/>
    <w:uiPriority w:val="99"/>
    <w:unhideWhenUsed/>
    <w:rPr>
      <w:shd w:val="clear" w:color="auto" w:fill="auto"/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Pr>
      <w:rFonts w:ascii="Calibri" w:eastAsia="Calibri" w:hAnsi="Calibri" w:cs="Times New Roman"/>
    </w:rPr>
  </w:style>
  <w:style w:type="paragraph" w:styleId="TOC2">
    <w:name w:val="toc 2"/>
    <w:basedOn w:val="Normal"/>
    <w:next w:val="Normal"/>
    <w:autoRedefine/>
    <w:uiPriority w:val="39"/>
    <w:unhideWhenUsed/>
    <w:pPr>
      <w:ind w:left="220"/>
    </w:pPr>
    <w:rPr>
      <w:rFonts w:ascii="Calibri" w:eastAsia="Calibri" w:hAnsi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pPr>
      <w:tabs>
        <w:tab w:val="left" w:pos="1320"/>
        <w:tab w:val="right" w:leader="dot" w:pos="9016"/>
      </w:tabs>
      <w:ind w:left="440"/>
      <w:jc w:val="both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z w:val="28"/>
      <w:lang w:val="en-US"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360" w:after="1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mall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numPr>
        <w:ilvl w:val="1"/>
        <w:numId w:val="1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bCs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hAnsi="Times New Roman" w:cs="Times New Roman"/>
      <w:sz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hAnsi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smallCaps/>
      <w:sz w:val="24"/>
      <w:szCs w:val="2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Cs/>
      <w:i/>
      <w:sz w:val="24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="Times New Roman" w:hAnsi="Times New Roman" w:cs="Times New Roman"/>
      <w:bCs/>
      <w:iCs/>
      <w:sz w:val="24"/>
      <w:lang w:eastAsia="cs-CZ"/>
    </w:rPr>
  </w:style>
  <w:style w:type="paragraph" w:styleId="FootnoteText">
    <w:name w:val="footnote text"/>
    <w:basedOn w:val="Normal"/>
    <w:link w:val="FootnoteTextChar"/>
    <w:uiPriority w:val="99"/>
    <w:unhideWhenUsed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iPriority w:val="99"/>
    <w:rPr>
      <w:rFonts w:cs="Times New Roman"/>
      <w:color w:val="0000FF"/>
      <w:u w:val="single"/>
      <w:shd w:val="clear" w:color="auto" w:fill="auto"/>
    </w:rPr>
  </w:style>
  <w:style w:type="character" w:styleId="FootnoteReference">
    <w:name w:val="footnote reference"/>
    <w:uiPriority w:val="99"/>
    <w:unhideWhenUsed/>
    <w:rPr>
      <w:shd w:val="clear" w:color="auto" w:fill="auto"/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Pr>
      <w:rFonts w:ascii="Calibri" w:eastAsia="Calibri" w:hAnsi="Calibri" w:cs="Times New Roman"/>
    </w:rPr>
  </w:style>
  <w:style w:type="paragraph" w:styleId="TOC2">
    <w:name w:val="toc 2"/>
    <w:basedOn w:val="Normal"/>
    <w:next w:val="Normal"/>
    <w:autoRedefine/>
    <w:uiPriority w:val="39"/>
    <w:unhideWhenUsed/>
    <w:pPr>
      <w:ind w:left="220"/>
    </w:pPr>
    <w:rPr>
      <w:rFonts w:ascii="Calibri" w:eastAsia="Calibri" w:hAnsi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pPr>
      <w:tabs>
        <w:tab w:val="left" w:pos="1320"/>
        <w:tab w:val="right" w:leader="dot" w:pos="9016"/>
      </w:tabs>
      <w:ind w:left="440"/>
      <w:jc w:val="both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z w:val="28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3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notes.xml.rels><?xml version='1.0' encoding='UTF-8' standalone='yes'?>
<Relationships xmlns="http://schemas.openxmlformats.org/package/2006/relationships"><Relationship Id="rId8" Type="http://schemas.openxmlformats.org/officeDocument/2006/relationships/hyperlink" Target="http://ec.europa.eu/eurostat/documents/1015035/7204121/epec-eurostat-statistical-guide-en.pdf" TargetMode="External"/><Relationship Id="rId3" Type="http://schemas.openxmlformats.org/officeDocument/2006/relationships/hyperlink" Target="http://ec.europa.eu/eurostat/web/government-finance-statistics/excessive-deficit-procedure/edp-notification-tables" TargetMode="External"/><Relationship Id="rId7" Type="http://schemas.openxmlformats.org/officeDocument/2006/relationships/hyperlink" Target="http://ec.europa.eu/eurostat/web/government-finance-statistics/methodology/advice-to-member-states" TargetMode="External"/><Relationship Id="rId2" Type="http://schemas.openxmlformats.org/officeDocument/2006/relationships/hyperlink" Target="https://webgate.ec.europa.eu/fpfis/mwikis/gfs/images/e/e7/Statements_9817.en93.pdf" TargetMode="External"/><Relationship Id="rId1" Type="http://schemas.openxmlformats.org/officeDocument/2006/relationships/hyperlink" Target="http://ec.europa.eu/eurostat/documents/24987/6390465/Irish_GDP_communication.pdf" TargetMode="External"/><Relationship Id="rId6" Type="http://schemas.openxmlformats.org/officeDocument/2006/relationships/hyperlink" Target="http://ec.europa.eu/eurostat/web/government-finance-statistics/methodology/guidance-on-accounting-rules" TargetMode="External"/><Relationship Id="rId11" Type="http://schemas.openxmlformats.org/officeDocument/2006/relationships/hyperlink" Target="http://ec.europa.eu/eurostat/web/government-finance-statistics/excessive-deficit-procedure/edp-notification-tables" TargetMode="External"/><Relationship Id="rId5" Type="http://schemas.openxmlformats.org/officeDocument/2006/relationships/hyperlink" Target="http://ec.europa.eu/eurostat/web/government-finance-statistics/excessive-deficit-procedure/eurostat-edp-visits-to-member-states" TargetMode="External"/><Relationship Id="rId10" Type="http://schemas.openxmlformats.org/officeDocument/2006/relationships/hyperlink" Target="http://ec.europa.eu/eurostat/documents/2995521/7704449/2-21102016-AP-EN.pdf" TargetMode="External"/><Relationship Id="rId4" Type="http://schemas.openxmlformats.org/officeDocument/2006/relationships/hyperlink" Target="http://ec.europa.eu/eurostat/documents/1015035/2022710/Background-note-on-gov-interventions-OCT-2016-final.pdf" TargetMode="External"/><Relationship Id="rId9" Type="http://schemas.openxmlformats.org/officeDocument/2006/relationships/hyperlink" Target="http://ec.europa.eu/eurostat/documents/2995521/7235991/2-21042016-AP-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4AE6-EDE8-410A-BF62-E0399BE6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3677</Words>
  <Characters>21883</Characters>
  <Application>Microsoft Office Word</Application>
  <DocSecurity>0</DocSecurity>
  <Lines>377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19</cp:revision>
  <cp:lastPrinted>2017-02-09T17:31:00Z</cp:lastPrinted>
  <dcterms:created xsi:type="dcterms:W3CDTF">2017-02-10T09:51:00Z</dcterms:created>
  <dcterms:modified xsi:type="dcterms:W3CDTF">2017-03-02T14:42:00Z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Classification">
    <vt:lpwstr> </vt:lpwstr>
  </property>
  <property fmtid="{D5CDD505-2E9C-101B-9397-08002B2CF9AE}" pid="5" name="DocStatus">
    <vt:lpwstr>Green</vt:lpwstr>
  </property>
  <property name="OP_sanitized" fmtid="{D5CDD505-2E9C-101B-9397-08002B2CF9AE}" pid="6">
    <vt:lpwstr>True</vt:lpwstr>
  </property>
</Properties>
</file>