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C6CED29DDAC44A40A651B5C20BFAB08B" style="width:450.75pt;height:351.75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DŮVODOVÁ ZPRÁVA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SOUVISLOSTI NÁVRHU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</w:rPr>
        <w:t>•</w:t>
      </w:r>
      <w:r>
        <w:rPr>
          <w:noProof/>
        </w:rPr>
        <w:tab/>
        <w:t>Odůvodnění a cíle návrhu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Úvod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Na návrh Komise přijala Rada dne 12. května 2016 prováděcí rozhodnutí, kterým se stanoví doporučení pro dočasnou ochranu vnitřních hranic v mimořádných situacích ohrožujících celkové fungování schengenského prostoru. Bylo to poprvé, kdy se použil ochranný postup podle článku 29 Schengenského hraničního kodexu. Kombinace závažných nedostatků týkajících se řecké správy vnějších hranic v daném období a významného počtu neregistrovaných migrantů pobývajících v Řecku, kteří mohli nelegálně odejít do jiných členských států, vytvořila výjimečné okolnosti představující závažnou hrozbu pro veřejný pořádek a vnitřní bezpečnost a ohrožení celkového fungování schengenského prostoru.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Toto doporučení bylo určeno pěti státům schengenského prostoru (Rakousku, Německu, Dánsku, Švédsku a Norsku) a týkalo se omezeného počtu úseků vnitřních hranic v těchto státech.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Toto doporučení umožňovalo zachování cílené a přiměřené hraniční kontroly po dobu šesti měsíců, konkrétně do 12. listopadu 2016.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Podle článku 29 Schengenského hraničního kodexu může být tato doba prodloužena za podmínek a postupů stanovených v tomtéž článku.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Současná situace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V návaznosti na doporučení Rady ze dne 12. května oznámilo pět dotčených členských států schengenského prostoru Komisi, že doporučenou dočasnou ochranu vnitřních hranic budou provádět.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Ve své zprávě ze dne 28. září 2016, která vychází z informací poskytnutých dotčenými státy schengenského prostoru podle doporučení, Komise shledala, že hraniční kontroly zůstaly v mezích tohoto doporučení: kontroly byly omezeny na skutečně zjištěné migrační trasy a hrozby, byly cílené a jejich rozsah, četnost, místa a doba provádění byly omezené na to, co je nezbytně nutné pro řešení zjištěné hrozby, a přestože určitý hospodářský dopad nelze vyloučit, překračování vnitřních hranic širokou veřejností zasáhly v nejmenším možném měřítku. Navíc Komise na základě dostupných informací, které měla v danou dobu k dispozici, dospěla k závěru, že nevidí žádný důvod pro navržení změn uvedeného doporučení.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Ve dnech 18. a 21. října 2016 podaly dotčené státy schengenského prostoru Komisi zprávu o provádění doporučení Rady podruhé. Poskytnuté informace sledují podobný trend, jako údaje poskytnuté v první zprávě (snížení počtu osob, jimž byl vstup odepřen, jakož i počtu přijatých žádostí o azyl), z čehož vyplývá, že se situace postupně stabilizuje. Dne 20. října se pět uvedených států schengenského prostoru písemně obrátilo na Komisi a zdůraznilo potřebu v dočasných hraničních kontrolách pokračovat. Dne 6. října se na Komisi navíc písemně obrátilo Slovinsko, aby vyjádřilo znepokojení nad možným pokračováním hraničních kontrol na rakousko-slovinských hranicích.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Uplatnění článku 29 Schengenského hraničního kodexu a zavedení koordinovaného přístupu na úrovni EU k dočasným hraničním kontrolám patřilo mezi iniciativy představené v plánu návratu k Schengenu</w:t>
      </w:r>
      <w:r>
        <w:rPr>
          <w:rStyle w:val="FootnoteReference"/>
          <w:noProof/>
        </w:rPr>
        <w:footnoteReference w:id="1"/>
      </w:r>
      <w:r>
        <w:rPr>
          <w:noProof/>
        </w:rPr>
        <w:t>, jehož cílem je vytvoření podmínek pro zrušení veškerých kontrol na vnitřních hranicích a navrácení k běžnému fungování schengenského prostoru do konce roku 2016.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Navzdory prudkému poklesu počtu příchozích nelegálních migrantů a žadatelů o azyl v Evropské unii, zejména v důsledku uplatňování prohlášení EU a Turecka, stále existuje významný počet nelegálních migrantů (asi 60 000), kteří uvízli v Řecku a od kterých lze důvodně očekávat, že budou chtít nelegálně odejít do jiných členských států.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Kromě toho je celkový počet žádostí o azyl přijatých státy schengenského prostoru, kterých se doporučení týká, stále relevantním faktorem, i když není srovnatelný s počtem žádostí přijatých ve stejném okamžiku v minulém roce. Vysoký počet přicházejících nelegálních migrantů a žadatelů o azyl do Evropské unie přestavuje od podzimu roku 2015 pro všechny členské státy EU zásadní výzvy, jež je třeba zohlednit. Tyto výzvy souvisejí se zajištěním řádného bydlení a přístupu ke vzdělávacím a zdravotním systémům těm, kteří od loňského roku přišli. Kromě toho zpracovávání zbývajících nevyřešených žádostí a dalších příchodů a žádostí o ochranu vyvíjí neustálý tlak na fungování veřejné správy těchto států.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Další opatření vymezená v plánu návratu k Schengenu navzdory významnému pokroku stále vyžadují čas, aby mohla být v plném rozsahu provedena a přinesla odpovídající výsledky.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V této souvislosti byla schválena Evropská pohraniční a pobřežní stráž a vstoupila v platnost v rekordně krátké době. Týmy pro rychlé nasazení (lidské zdroje a technické vybavení), resp. týmy pro navrácení však musejí být zřízeny a funkční nejpozději do 7. prosince 2016, resp. 7. ledna 2017. První posouzení zranitelnosti by měla být uzavřena v prvních třech měsících roku 2017.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Uplatňování prohlášení EU a Turecka nadále přináší výsledky. Přesto denně na řecké ostrovy doráží v průměru 107 osob. Je třeba i nadále zajistit, aby toto prohlášení fungovalo soustavně. Kromě toho je nadále potřeba pokračovat ve spolupráci dohodnuté v rámci prohlášení ze zasedání vedoucích představitelů zemí na západobalkánské trase, o čemž svědčí přetrvávající počet příchozích do Srbska.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Výjimečné okolnosti, které představují závažné ohrožení veřejného pořádku a vnitřní bezpečnosti a ohrožují celkové fungování schengenského prostoru, tedy přetrvávají.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Další postup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S ohledem na skutečnosti uvedené výše, se jeví, že podmínky, které měl plán návratu k Schengenu za cíl vytvořit, aby se mohly zrušit veškeré kontroly na vnitřních hranicích a obnovilo se běžné fungování schengenského prostoru, ještě nebyly plně dosaženy. Neustále se však daří dosahovat významných úspěchů na cestě zpět k plně funkčnímu schengenskému prostoru. V této fázi ale situace v Řecku a na západobalkánské trase nadále zůstává nejistá a v členských státech, které jsou nejvíce zasaženy druhotnými pohyby nelegálních migrantů přicházejících z Řecka, se projevuje významný tlak. K úplnému zprovoznění evropské pohraniční a pobřežní stráže, které by dále posílilo ochranu vnějších hranic EU, dojde do konce ledna 2017. Pokračující uplatňování prohlášení EU a Turecka přispěje k dalšímu snižování počtu příchozích do EU a poskytne vnitrostátním systémům prostor ke zpracování nevyřízených žádostí o azyl a konsolidování jejich přijímacích kapacit.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Za plné účasti Řecka se musí postupně obnovit používání stávajících dublinských pravidel podle doporučení Komise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a zároveň je třeba tato pravidla do budoucna zlepšit se zřetelem na solidaritu a odpovědnost. Kromě toho by nouzové mechanismy pro relokaci, které fungují již od září 2015, měly i nadále vykazovat konkrétní výsledky v podobě počtu přemístěných osob. A konečně, navracení osob, které nemají právo na pobyt v Evropské unii, se musí zintenzivnit.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Povolení prodloužit současné kontroly na vnitřních hranicích dotčeným členským státům jako výjimečné opatření na další přiměřené období je tedy oprávněné. Na základě věcných ukazatelů, které jsou v této fázi k dispozici, by prodloužení nemělo přesáhnout tři měsíce.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Oblast působnosti návrhu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Státům schengenského prostoru, které v současnosti provádějí dočasné kontroly na vnitřních hranicích v souladu s doporučením Rady ze dne 12. května 2016, by mělo být dovoleno tak činit i nadále.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Nicméně vzhledem k postupné stabilizaci situace by se hraniční kontroly měly využívat pouze v krajním případě, když jiná opatření, která méně omezují přeshraniční dopravu, jako jsou například policejní kontroly v souladu s článkem 23 Schengenského hraničního kodexu, nemohou zjištěné hrozby účinně řešit. Proto by členské státy, které se na základě tohoto doporučení rozhodnou ochranu vnitřních hranic zachovat, měly před přistoupením k tomuto kroku prozkoumat všechny dostupné alternativní prostředky k hraničním kontrolám. Dotčené členské státy by měly o výsledku tohoto posouzení informovat ve svém oznámení o zachování kontrol na vnitřních hranicích ostatní členské státy, Evropský parlament a Komisi.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Jak je uvedeno v závěrech Evropské rady o migraci ze dne 20. října 2016, proces „návratu k Schengenu“ obnáší uzpůsobení dočasných kontrol na vnitřních hranicích s ohledem na stávající potřeby. Kontroly na vnitřních hranicích by měly být prováděny pouze na základě analýzy rizik a zpravodajské činnosti a jejich rozsah, četnost, místa a doba provádění by měly být omezeny na to, co je nezbytně nutné jako reakce na tuto závažnou hrozbu a v zájmu ochrany veřejného pořádku a vnitřní bezpečnosti. Členský stát, který provádí kontroly na vnitřních hranicích podle tohoto doporučení, by měl každý týden přezkoumat nutnost kontroly provádět, jejich četnost, místo a čas konání a dále je třeba, aby přizpůsobil intenzitu kontrol míře dané hrozby, a kdykoli to bude případné, jejich provádění ukončil. Členský stát, který provádí kontroly na vnitřních hranicích podle tohoto doporučení, by měl také pravidelně provádět konzultace s příslušným členským státem či státy s cílem zajistit, že kontroly na vnitřních hranicích budou prováděny pouze na těch úsecích vnitřních hranic, kde je to v souladu se Schengenským hraničním kodexem považováno za nezbytné a přiměřené.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Také by měla být zavedena povinnost podávat podrobnější zprávy. Po skončení každého měsíce provádění tohoto doporučení by dotčené členské státy měly Komisi v příslušných případech podat zprávu o výsledku provedených kontrol a o posouzení potřeby tyto kontroly zachovat. Tato zpráva by měla přinejmenším obsahovat celkový počet zkontrolovaných osob, celkový počet odepřených vstupů po provedených kontrolách, celkový počet rozhodnutí o navrácení vydaných po provedených kontrolách a celkový počet žádostí o azyl přijatých na vnitřních hranicích, kde se kontroly provádějí.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Komise bude uplatňování uvedeného doporučení a situaci v daných zemích pozorně sledovat.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Soulad s platnými předpisy v této oblasti politiky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Toto doporučení slouží k provádění platných předpisů vztahujících se na danou oblast politiky.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</w:rPr>
        <w:t>•</w:t>
      </w:r>
      <w:r>
        <w:rPr>
          <w:noProof/>
        </w:rPr>
        <w:tab/>
        <w:t>Soulad s ostatními politikami Unie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Toto doporučení má vazby na vnitřní trh Unie a na její migrační a azylovou politiku.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PRÁVNÍ ZÁKLAD, SUBSIDIARITA A PROPORCIONALITA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Právní základ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Článek 29 nařízení Evropského parlamentu a Rady (EU) 2016/399 ze dne 9. března 2016, kterým se stanoví kodex Unie o pravidlech upravujících přeshraniční pohyb osob (Schengenský hraniční kodex).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 xml:space="preserve">Subsidiarita (v případě nevýlučné pravomoci)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Článek 29 nařízení (EU) 2016/399 stanoví, že Rada na základě návrhu Komise přijme doporučení týkající se dočasných kontrol na vnitřních hranicích.</w:t>
      </w:r>
    </w:p>
    <w:p>
      <w:pPr>
        <w:rPr>
          <w:noProof/>
        </w:rPr>
      </w:pPr>
      <w:r>
        <w:rPr>
          <w:noProof/>
        </w:rPr>
        <w:t>Opatření na úrovni Unie je nezbytné, pokud je ohroženo celkové fungování prostoru bez vnitřních hranic.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Přiměřenost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Tento návrh nepřekračuje rámec toho, co je nezbytné pro dosažení sledovaného cíle.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VÝSLEDKY HODNOCENÍ </w:t>
      </w:r>
      <w:r>
        <w:rPr>
          <w:i/>
          <w:noProof/>
        </w:rPr>
        <w:t>EX POST</w:t>
      </w:r>
      <w:r>
        <w:rPr>
          <w:noProof/>
        </w:rPr>
        <w:t>, KONZULTACÍ SE ZÚČASTNĚNÝMI STRANAMI A POSOUZENÍ DOPADŮ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 xml:space="preserve">Hodnocení </w:t>
      </w:r>
      <w:r>
        <w:rPr>
          <w:i/>
          <w:noProof/>
        </w:rPr>
        <w:t>ex post</w:t>
      </w:r>
      <w:r>
        <w:rPr>
          <w:noProof/>
        </w:rPr>
        <w:t xml:space="preserve"> / kontroly účelnosti platných právních předpisů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Nevztahuje se na tento návrh.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Konzultace se zúčastněnými stranami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Vzhledem k naléhavosti návrhu nebylo možné konzultace se zúčastněnými stranami provést.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Sběr a využití výsledků odborných konzultací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Nevztahuje se na tento návrh.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Posouzení dopadů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S ohledem na omezený časový harmonogram, údaje poskytnuté dotčenými členskými státy a údaje dostupné ohledně situace v Řecku nebylo plnohodnotné posouzení dopadu vypracováno.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Účelnost a zjednodušování právních předpisů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Nevztahuje se na tento návrh.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Základní práva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Při přípravě návrhu byla zohledněna ochrana základních práv.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ROZPOČTOVÉ DŮSLEDKY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</w:rPr>
      </w:pPr>
      <w:r>
        <w:rPr>
          <w:noProof/>
        </w:rPr>
        <w:t>Navrhované opatření nemá pro rozpočet EU žádné důsledky.</w:t>
      </w:r>
    </w:p>
    <w:p>
      <w:pPr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t>2016/0347 (NLE)</w:t>
      </w:r>
    </w:p>
    <w:p>
      <w:pPr>
        <w:pStyle w:val="Statut"/>
        <w:rPr>
          <w:noProof/>
        </w:rPr>
      </w:pPr>
      <w:r>
        <w:rPr>
          <w:noProof/>
        </w:rPr>
        <w:t>Návrh</w:t>
      </w:r>
    </w:p>
    <w:p>
      <w:pPr>
        <w:pStyle w:val="Typedudocument"/>
        <w:rPr>
          <w:noProof/>
        </w:rPr>
      </w:pPr>
      <w:r>
        <w:rPr>
          <w:noProof/>
        </w:rPr>
        <w:t>PROVÁDĚCÍ ROZHODNUTÍ RADY,</w:t>
      </w:r>
    </w:p>
    <w:p>
      <w:pPr>
        <w:pStyle w:val="Titreobjet"/>
        <w:rPr>
          <w:noProof/>
        </w:rPr>
      </w:pPr>
      <w:r>
        <w:rPr>
          <w:noProof/>
        </w:rPr>
        <w:t>kterým se stanoví doporučení pro prodloužení dočasné ochrany vnitřních hranic v mimořádných situacích ohrožujících celkové fungování schengenského prostoru</w:t>
      </w:r>
    </w:p>
    <w:p>
      <w:pPr>
        <w:pStyle w:val="Institutionquiagit"/>
        <w:rPr>
          <w:noProof/>
        </w:rPr>
      </w:pPr>
      <w:r>
        <w:rPr>
          <w:noProof/>
        </w:rPr>
        <w:t>RADA EVROPSKÉ UNIE,</w:t>
      </w:r>
    </w:p>
    <w:p>
      <w:pPr>
        <w:rPr>
          <w:noProof/>
        </w:rPr>
      </w:pPr>
      <w:r>
        <w:rPr>
          <w:noProof/>
        </w:rPr>
        <w:t xml:space="preserve">s ohledem na Smlouvu o fungování Evropské unie, </w:t>
      </w:r>
    </w:p>
    <w:p>
      <w:pPr>
        <w:rPr>
          <w:noProof/>
        </w:rPr>
      </w:pPr>
      <w:r>
        <w:rPr>
          <w:noProof/>
        </w:rPr>
        <w:t>s ohledem na nařízení Evropského parlamentu a Rady (EU) 2016/399 ze dne 9. března 2016, kterým se stanoví kodex Unie o pravidlech upravujících přeshraniční pohyb osob (Schengenský hraniční kodex)</w:t>
      </w:r>
      <w:r>
        <w:rPr>
          <w:rStyle w:val="FootnoteReference"/>
          <w:noProof/>
        </w:rPr>
        <w:footnoteReference w:id="3"/>
      </w:r>
      <w:r>
        <w:rPr>
          <w:noProof/>
        </w:rPr>
        <w:t>, a zejména na článek 29 uvedeného nařízení,</w:t>
      </w:r>
    </w:p>
    <w:p>
      <w:pPr>
        <w:rPr>
          <w:noProof/>
        </w:rPr>
      </w:pPr>
      <w:r>
        <w:rPr>
          <w:noProof/>
        </w:rPr>
        <w:t>s ohledem na návrh Evropské komise,</w:t>
      </w:r>
    </w:p>
    <w:p>
      <w:pPr>
        <w:rPr>
          <w:noProof/>
        </w:rPr>
      </w:pPr>
      <w:r>
        <w:rPr>
          <w:noProof/>
        </w:rPr>
        <w:t>vzhledem k těmto důvodům: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Dne 12. května 2016 přijala Rada v souladu s článkem 29 Schengenského hraničního kodexu prováděcí rozhodnutí, kterým se stanoví doporučení pro dočasnou ochranu vnitřních hranic v mimořádných situacích ohrožujících celkové fungování schengenského prostoru.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Rada doporučila pěti státům schengenského prostoru (Rakousku, Německu, Dánsku, Švédsku a Norsku), aby po dobu nejvýše šesti měsíců ode dne přijetí uvedeného prováděcího rozhodnutí zachovaly přiměřené dočasné hraniční kontroly, které mají řešit závažné hrozby pro veřejný pořádek nebo vnitřní bezpečnost způsobené v těchto státech kombinací nedostatků v kontrolách na vnějších hranicích v Řecku a druhotného pohybu nelegálních migrantů, kteří přicházejí přes Řecko a hodlají se přesunout do jiných států schengenského prostoru.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Dne 28. září 2016 vydala Komise svou zprávu o provádění uvedeného prováděcího rozhodnutí. Z uvedené zprávy vyplývá, že kontroly na vnitřních hranicích prováděné v Rakousku, Německu, Dánsku, Švédsku a Norsku jsou přiměřené a jsou v souladu s doporučením Rady. Kromě toho dospěla Komise k závěru, že podle jejího názoru na základě dostupných informací a zpráv od dotčených států nebylo v době, kdy byly tyto zprávy obdrženy, nutné navrhovat změny uvedeného prováděcího rozhodnutí.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 xml:space="preserve">Ve dnech 18. a 21. října 2016 zaslaly dotčené státy schengenského prostoru Komisi druhou zprávu o provádění zmíněného doporučení Rady.  Poskytnuté informace naznačují podobný trend jako údaje poskytnuté v první zprávě (snížení počtu osob, jimž byl zamítnut vstup a rovněž snížení počtu podaných žádostí o azyl), což svědčí o postupné stabilizaci situace. 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>I přes prudký pokles počtu přicházejících nelegálních migrantů a žadatelů o azyl v Evropské unii zůstává stále velký počet nelegálních migrantů v Řecku a rovněž v členských státech, které byly nejvíce zasaženy druhotným pohybem nelegálních migrantů přicházejících z Řecka. Na základě trendu pozorovaného v minulosti lze důvodně očekávat, že tyto osoby se budou možná chtít nelegálně přesunout do jiných členských států, až budou kontroly na hranicích, jež tomuto druhotnému pohybu brání, zrušeny.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>Velký počet žádostí o azyl podaných od začátku migrační krize a žádostí, které dále přicházejí, představuje významnou zátěž pro státní administrativu ve všech členských státech EU, a zejména ve státech schengenského prostoru, kterých se týká uvedené prováděcí rozhodnutí.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Na kontroly na vnitřních hranicích je třeba pohlížet ve spojení s dalšími důležitými faktory. Ve svém sdělení s názvem „Plán návratu k Schengenu“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 identifikovala Komise jednotlivá politická opatření, která musí být zavedena za účelem návratu k plnému fungování schengenského prostoru.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Uvedený plán zahrnuje konkrétně schválení a zprovoznění Evropské pohraniční a pobřežní stráže. Nařízení Evropského parlamentu a Rady (EU) 2016/1624 ze dne 17. září 2016 o Evropské pohraniční a pobřežní stráži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 vstoupilo v platnost dne 6. října 2016, tj. v horizontu devíti měsíců od předložení návrhu Komise, což svědčí o odhodlání všech zúčastněných stran. Očekává se, že budou zřízeny rezervy pro rychlou reakci zahrnující lidské zdroje a technické vybavení a že tyto rezervy budou zprovozněny do 7. prosince 2016, resp. do 7. ledna 2017. 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>Dalším prvkem Plánu návratu k Schengenu je úspěšné provedení prohlášení EU a Turecka. Jak je uvedeno ve třetí zprávě o pokroku</w:t>
      </w:r>
      <w:r>
        <w:rPr>
          <w:rStyle w:val="FootnoteReference"/>
          <w:noProof/>
        </w:rPr>
        <w:footnoteReference w:id="6"/>
      </w:r>
      <w:r>
        <w:rPr>
          <w:noProof/>
        </w:rPr>
        <w:t xml:space="preserve">, provádění uvedeného prohlášení je úspěšné, ale je třeba zajistit, aby prohlášení nadále fungovalo na udržitelném základě. Kromě toho přetrvává potřeba spolupráce, která byla dohodnuta v rámci prohlášení na schůzce vedoucích představitelů zemí západobalkánské trasy. </w:t>
      </w:r>
    </w:p>
    <w:p>
      <w:pPr>
        <w:pStyle w:val="ManualConsidrant"/>
        <w:rPr>
          <w:noProof/>
        </w:rPr>
      </w:pPr>
      <w:r>
        <w:t>(10)</w:t>
      </w:r>
      <w:r>
        <w:tab/>
      </w:r>
      <w:r>
        <w:rPr>
          <w:noProof/>
        </w:rPr>
        <w:t xml:space="preserve">Z výše uvedených skutečností vyplývá, že i přes konstantní a významný pokrok v oblastech uvedených v Plánu návratu k Schengenu a přes postupnou stabilizaci situace je zapotřebí více času k úplnému provedení uvedených opatření a k dosažení odpovídajících výsledků. </w:t>
      </w:r>
    </w:p>
    <w:p>
      <w:pPr>
        <w:pStyle w:val="ManualConsidrant"/>
        <w:rPr>
          <w:noProof/>
        </w:rPr>
      </w:pPr>
      <w:r>
        <w:t>(11)</w:t>
      </w:r>
      <w:r>
        <w:tab/>
      </w:r>
      <w:r>
        <w:rPr>
          <w:noProof/>
        </w:rPr>
        <w:t>Proto stále přetrvávají mimořádné situace, které představují závažnou hrozbu pro veřejný pořádek a vnitřní bezpečnost a ohrožují celkové fungování schengenského prostoru.</w:t>
      </w:r>
    </w:p>
    <w:p>
      <w:pPr>
        <w:pStyle w:val="ManualConsidrant"/>
        <w:rPr>
          <w:noProof/>
        </w:rPr>
      </w:pPr>
      <w:r>
        <w:t>(12)</w:t>
      </w:r>
      <w:r>
        <w:tab/>
      </w:r>
      <w:r>
        <w:rPr>
          <w:noProof/>
        </w:rPr>
        <w:t>Vzhledem k tomu, že v Řecku stále panuje obtížná situace a v členských státech, které byly nejvíce zasaženy druhotným pohybem nelegálních migrantů přicházejících z Řecka, ještě přetrvává tento tlak, je zjevně odůvodněné umožnit přiměřené prodloužení dočasné ochrany vnitřních hranic těm státům schengenského prostoru, které v současnosti tyto kontroly provádějí jakožto krajní opatření v reakci na závažnou hrozbu pro svůj veřejný pořádek nebo vnitřní bezpečnost, konkrétně Rakousku, Německu, Dánsku, Švédsku a také Norsku jakožto přidružené zemi, v souladu s článkem 29 Schengenského hraničního kodexu.</w:t>
      </w:r>
    </w:p>
    <w:p>
      <w:pPr>
        <w:pStyle w:val="ManualConsidrant"/>
        <w:rPr>
          <w:noProof/>
        </w:rPr>
      </w:pPr>
      <w:r>
        <w:t>(13)</w:t>
      </w:r>
      <w:r>
        <w:tab/>
      </w:r>
      <w:r>
        <w:rPr>
          <w:noProof/>
        </w:rPr>
        <w:t>Na základě faktických ukazatelů, jež jsou v této fázi k dispozici, by toto prodloužení nemělo přesáhnout tři měsíce od data přijetí tohoto prováděcího rozhodnutí.</w:t>
      </w:r>
    </w:p>
    <w:p>
      <w:pPr>
        <w:pStyle w:val="ManualConsidrant"/>
        <w:rPr>
          <w:noProof/>
        </w:rPr>
      </w:pPr>
      <w:r>
        <w:t>(14)</w:t>
      </w:r>
      <w:r>
        <w:tab/>
      </w:r>
      <w:r>
        <w:rPr>
          <w:noProof/>
        </w:rPr>
        <w:t xml:space="preserve">Členské státy, které se na základě tohoto prováděcího rozhodnutí rozhodnou nadále provádět kontroly na vnitřních hranicích, by to měly příslušným způsobem oznámit ostatním členským státům, Evropskému parlamentu a Komisi. </w:t>
      </w:r>
    </w:p>
    <w:p>
      <w:pPr>
        <w:pStyle w:val="ManualConsidrant"/>
        <w:rPr>
          <w:noProof/>
        </w:rPr>
      </w:pPr>
      <w:r>
        <w:t>(15)</w:t>
      </w:r>
      <w:r>
        <w:tab/>
      </w:r>
      <w:r>
        <w:rPr>
          <w:noProof/>
        </w:rPr>
        <w:t>Předtím, než se dotčené členské státy pro tyto kontroly rozhodnou, měly by prozkoumat, zda by nebylo možné pro odstranění zjištěných hrozeb použít jiná opatření jakožto alternativu k hraničním kontrolám. Dotčené členské státy by prostřednictvím oznámení měly informovat o výsledku těchto úvah a o důvodech pro volbu hraničních kontrol.</w:t>
      </w:r>
    </w:p>
    <w:p>
      <w:pPr>
        <w:pStyle w:val="ManualConsidrant"/>
        <w:rPr>
          <w:noProof/>
        </w:rPr>
      </w:pPr>
      <w:r>
        <w:t>(16)</w:t>
      </w:r>
      <w:r>
        <w:tab/>
      </w:r>
      <w:r>
        <w:rPr>
          <w:noProof/>
        </w:rPr>
        <w:t xml:space="preserve">Jak je uvedeno v závěrech Evropské rady o migraci ze dne 20. října 2016, proces „návratu k Schengenu“ zahrnuje úpravu dočasné ochrany vnitřních hranic tak, aby bylo možné zohlednit stávající potřeby. Kontroly podle tohoto prováděcího rozhodnutí by měly být prováděny pouze v nezbytném rozsahu, v intenzitě omezené na nezbytné minimum. Například pokud je příliv migrantů v určitém období nevýznamný, kontroly na určitých úsecích hranic nemusí být nutné. Aby se co možná nejméně bránilo široké veřejnosti v překračování příslušných vnitřních hranic, lze provádět pouze cílené kontroly založené na analýze rizik a zpravodajství. Kromě toho by měla být ve spolupráci se všemi dotčenými členskými státy pravidelně zkoumána a přehodnocována nutnost těchto kontrol v příslušných úsecích hranic s cílem tyto kontroly postupně omezovat. </w:t>
      </w:r>
    </w:p>
    <w:p>
      <w:pPr>
        <w:pStyle w:val="ManualConsidrant"/>
        <w:rPr>
          <w:noProof/>
        </w:rPr>
      </w:pPr>
      <w:r>
        <w:t>(17)</w:t>
      </w:r>
      <w:r>
        <w:tab/>
      </w:r>
      <w:r>
        <w:rPr>
          <w:noProof/>
        </w:rPr>
        <w:t>Na konci každého měsíce provádění tohoto prováděcího rozhodnutí by měla být Komisi zaslána úplná zpráva o výsledcích provedených kontrol spolu s případným posouzením jejich přetrvávající nutnosti. Tato zpráva by měla obsahovat celkový počet zkontrolovaných osob, celkový počet případů odepření vstupu v návaznosti na tyto kontroly, celkový počet rozhodnutí o navrácení vydaných v návaznosti na tyto kontroly a celkový počet žádostí o azyl podaných na vnitřních hranicích, kde se kontroly provádějí.</w:t>
      </w:r>
    </w:p>
    <w:p>
      <w:pPr>
        <w:pStyle w:val="ManualConsidrant"/>
        <w:rPr>
          <w:noProof/>
        </w:rPr>
      </w:pPr>
      <w:r>
        <w:t>(18)</w:t>
      </w:r>
      <w:r>
        <w:tab/>
      </w:r>
      <w:r>
        <w:rPr>
          <w:noProof/>
        </w:rPr>
        <w:t>Rada bere na vědomí, že Komise oznámila, že bude pečlivě sledovat používání tohoto prováděcího rozhodnutí,</w:t>
      </w:r>
    </w:p>
    <w:p>
      <w:pPr>
        <w:rPr>
          <w:noProof/>
        </w:rPr>
      </w:pPr>
    </w:p>
    <w:p>
      <w:pPr>
        <w:pStyle w:val="Formuledadoption"/>
        <w:rPr>
          <w:noProof/>
        </w:rPr>
      </w:pPr>
      <w:r>
        <w:rPr>
          <w:noProof/>
        </w:rPr>
        <w:t xml:space="preserve">DOPORUČUJE: </w:t>
      </w:r>
    </w:p>
    <w:p>
      <w:pPr>
        <w:pStyle w:val="Titrearticle"/>
        <w:rPr>
          <w:noProof/>
        </w:rPr>
      </w:pPr>
    </w:p>
    <w:p>
      <w:pPr>
        <w:rPr>
          <w:noProof/>
        </w:rPr>
      </w:pPr>
      <w:r>
        <w:rPr>
          <w:noProof/>
        </w:rPr>
        <w:t xml:space="preserve">1. Aby Rakousko, Německo, Dánsko, Švédsko a Norsko po dobu nejvýše tří měsíců ode dne přijetí tohoto prováděcího rozhodnutí prodloužily přiměřené dočasné hraniční kontroly na těchto vnitřních hranicích: </w:t>
      </w:r>
    </w:p>
    <w:p>
      <w:pPr>
        <w:rPr>
          <w:noProof/>
        </w:rPr>
      </w:pPr>
      <w:r>
        <w:rPr>
          <w:noProof/>
        </w:rPr>
        <w:t>– Rakousko: na rakousko-maďarské pozemní hranici a rakousko-slovinské pozemní hranici,</w:t>
      </w:r>
    </w:p>
    <w:p>
      <w:pPr>
        <w:rPr>
          <w:noProof/>
        </w:rPr>
      </w:pPr>
      <w:r>
        <w:rPr>
          <w:noProof/>
        </w:rPr>
        <w:t>– Německo: na německo-rakouské pozemní hranici,</w:t>
      </w:r>
    </w:p>
    <w:p>
      <w:pPr>
        <w:rPr>
          <w:noProof/>
        </w:rPr>
      </w:pPr>
      <w:r>
        <w:rPr>
          <w:noProof/>
        </w:rPr>
        <w:t>– Dánsko: v dánských přístavech, které mají trajektové spojení do Německa, a na dánsko-německé pozemní hranici,</w:t>
      </w:r>
    </w:p>
    <w:p>
      <w:pPr>
        <w:rPr>
          <w:noProof/>
        </w:rPr>
      </w:pPr>
      <w:r>
        <w:rPr>
          <w:noProof/>
        </w:rPr>
        <w:t>– Švédsko: ve švédských přístavech v policejním okrsku jižního a západního regionu a na mostě přes průliv Öresund,</w:t>
      </w:r>
    </w:p>
    <w:p>
      <w:pPr>
        <w:rPr>
          <w:noProof/>
        </w:rPr>
      </w:pPr>
      <w:r>
        <w:rPr>
          <w:noProof/>
        </w:rPr>
        <w:t>– Norsko: v norských přístavech, které mají trajektové spojení do Dánska, Německa a Švédska.</w:t>
      </w:r>
    </w:p>
    <w:p>
      <w:pPr>
        <w:rPr>
          <w:noProof/>
        </w:rPr>
      </w:pPr>
      <w:r>
        <w:rPr>
          <w:noProof/>
        </w:rPr>
        <w:t>2. Před prodloužením těchto kontrol by měly dotčené členské státy uskutečnit výměnu názorů s příslušným členským státem či státy s cílem zajistit, že kontroly na vnitřních hranicích budou prováděny pouze tehdy, pokud se to považuje za nezbytné a přiměřené. Kromě toho by dotčené členské státy měly zajistit, aby se kontroly na vnitřních hranicích prováděly pouze jakožto krajní opatření v případě, kdy nelze dosáhnout téhož účinku alternativními opatřeními, a pouze na těch úsecích vnitřních hranic, kde je to v souladu se Schengenským hraničním kodexem považováno za nezbytné a přiměřené. Dotčené členské státy by měly příslušným způsobem vyrozumět ostatní členské státy, Evropský parlament a Komisi.</w:t>
      </w:r>
    </w:p>
    <w:p>
      <w:pPr>
        <w:rPr>
          <w:noProof/>
        </w:rPr>
      </w:pPr>
      <w:r>
        <w:rPr>
          <w:noProof/>
        </w:rPr>
        <w:t>3. Hraniční kontroly by měly zůstat cílené a založené na analýze rizik a zpravodajství a jejich rozsah, četnost, místa a doba provádění by měly být omezeny na to, co je nezbytně nutné jako reakce na tuto závažnou hrozbu a v zájmu ochrany veřejného pořádku a vnitřní bezpečnosti. Členský stát, který provádí kontroly na vnitřních hranicích podle tohoto prováděcího rozhodnutí, by měl provádět každý týden přezkum nezbytnosti, četnosti, míst a doby kontrol, upravovat jejich intenzitu podle úrovně příslušné hrozby, ve vhodných případech je ukončit a každý měsíc Komisi podávat zprávu.</w:t>
      </w:r>
    </w:p>
    <w:p>
      <w:pPr>
        <w:pStyle w:val="Fait"/>
        <w:rPr>
          <w:noProof/>
        </w:rPr>
      </w:pPr>
      <w:r>
        <w:rPr>
          <w:noProof/>
        </w:rPr>
        <w:t>V Štrasburku dne</w:t>
      </w:r>
    </w:p>
    <w:p>
      <w:pPr>
        <w:pStyle w:val="Institutionquisigne"/>
        <w:rPr>
          <w:noProof/>
        </w:rPr>
      </w:pPr>
      <w:r>
        <w:rPr>
          <w:noProof/>
        </w:rPr>
        <w:tab/>
        <w:t>Za Radu</w:t>
      </w:r>
    </w:p>
    <w:p>
      <w:pPr>
        <w:pStyle w:val="Personnequisigne"/>
        <w:rPr>
          <w:noProof/>
        </w:rPr>
      </w:pPr>
      <w:r>
        <w:rPr>
          <w:noProof/>
        </w:rPr>
        <w:tab/>
        <w:t>předseda/předsedkyně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CS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CS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CS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10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CS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Sdělení Komise Evropskému parlamentu, Evropské radě a Radě „Plán návratu k Schengenu“, COM(2016) 120 final.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Doporučení Komise ze dne 10. února 2016 určené Řecké republice o naléhavých opatřeních, která má Řecko přijmout s ohledem na obnovení přemísťování podle nařízení (EU) č. 604/2013 (C(2016) 871 final); doporučení Komise ze dne 15. června 2016 určené Řecké republice o konkrétních naléhavých opatřeních, která má Řecko přijmout s ohledem na obnovení přemísťování podle nařízení (EU) č. 604/2013 (C(2016) 3805 final); doporučení Komise ze dne 28. září 2016 určené Řecké republice o konkrétních naléhavých opatřeních, která má Řecko přijmout s ohledem na obnovení přemísťování podle nařízení (EU) č. 604/2013 (C(2016) 6311 final).</w:t>
      </w:r>
    </w:p>
  </w:footnote>
  <w:footnote w:id="3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>Úř. věst. L 77, 23.3.2016, s. 1.</w:t>
      </w:r>
    </w:p>
  </w:footnote>
  <w:footnote w:id="4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>COM(2016) 120 final.</w:t>
      </w:r>
    </w:p>
  </w:footnote>
  <w:footnote w:id="5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>Úř. věst. L 251, 16.9.2016, s. 1.</w:t>
      </w:r>
    </w:p>
  </w:footnote>
  <w:footnote w:id="6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>Třetí zpráva o pokroku dosaženém při provádění prohlášení EU a Turecka (COM(2016) 634).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C49885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6BFC33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6A0268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4CE2EA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AD3AF49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C9F2F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C8DC5E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20E2D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1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2"/>
  </w:num>
  <w:num w:numId="12">
    <w:abstractNumId w:val="20"/>
  </w:num>
  <w:num w:numId="13">
    <w:abstractNumId w:val="11"/>
  </w:num>
  <w:num w:numId="14">
    <w:abstractNumId w:val="13"/>
  </w:num>
  <w:num w:numId="15">
    <w:abstractNumId w:val="9"/>
  </w:num>
  <w:num w:numId="16">
    <w:abstractNumId w:val="19"/>
  </w:num>
  <w:num w:numId="17">
    <w:abstractNumId w:val="8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5"/>
  </w:num>
  <w:num w:numId="23">
    <w:abstractNumId w:val="21"/>
  </w:num>
  <w:num w:numId="24">
    <w:abstractNumId w:val="18"/>
  </w:num>
  <w:num w:numId="25">
    <w:abstractNumId w:val="12"/>
  </w:num>
  <w:num w:numId="26">
    <w:abstractNumId w:val="20"/>
  </w:num>
  <w:num w:numId="27">
    <w:abstractNumId w:val="11"/>
  </w:num>
  <w:num w:numId="28">
    <w:abstractNumId w:val="13"/>
  </w:num>
  <w:num w:numId="29">
    <w:abstractNumId w:val="9"/>
  </w:num>
  <w:num w:numId="30">
    <w:abstractNumId w:val="19"/>
  </w:num>
  <w:num w:numId="31">
    <w:abstractNumId w:val="8"/>
  </w:num>
  <w:num w:numId="32">
    <w:abstractNumId w:val="14"/>
  </w:num>
  <w:num w:numId="33">
    <w:abstractNumId w:val="16"/>
  </w:num>
  <w:num w:numId="34">
    <w:abstractNumId w:val="17"/>
  </w:num>
  <w:num w:numId="35">
    <w:abstractNumId w:val="10"/>
  </w:num>
  <w:num w:numId="36">
    <w:abstractNumId w:val="15"/>
  </w:num>
  <w:num w:numId="37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hideSpellingErrors/>
  <w:hideGrammaticalErrors/>
  <w:attachedTemplate r:id="rId1"/>
  <w:revisionView w:markup="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QCDateTime" w:val="2016-11-07 18:03:14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1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NFIDENCE" w:val=" "/>
    <w:docVar w:name="LW_CONST_RESTREINT_UE" w:val="RESTREINT UE"/>
    <w:docVar w:name="LW_CORRIGENDUM" w:val="&lt;UNUSED&gt;"/>
    <w:docVar w:name="LW_COVERPAGE_GUID" w:val="C6CED29DDAC44A40A651B5C20BFAB08B"/>
    <w:docVar w:name="LW_CROSSREFERENCE" w:val="&lt;UNUSED&gt;"/>
    <w:docVar w:name="LW_DocType" w:val="COM"/>
    <w:docVar w:name="LW_EMISSION" w:val="25.10.2016"/>
    <w:docVar w:name="LW_EMISSION_ISODATE" w:val="2016-10-25"/>
    <w:docVar w:name="LW_EMISSION_LOCATION" w:val="STR"/>
    <w:docVar w:name="LW_EMISSION_PREFIX" w:val="Ve Štrasburku dne "/>
    <w:docVar w:name="LW_EMISSION_SUFFIX" w:val=" "/>
    <w:docVar w:name="LW_ID_DOCMODEL" w:val="SJ-020"/>
    <w:docVar w:name="LW_ID_DOCSIGNATURE" w:val="SJ-020"/>
    <w:docVar w:name="LW_ID_DOCSTRUCTURE" w:val="COM/PL/ORG"/>
    <w:docVar w:name="LW_ID_DOCTYPE" w:val="SJ-020"/>
    <w:docVar w:name="LW_ID_STATUT" w:val="SJ-020"/>
    <w:docVar w:name="LW_INTERETEEE.CP" w:val="&lt;UNUSED&gt;"/>
    <w:docVar w:name="LW_LANGUE" w:val="CS"/>
    <w:docVar w:name="LW_MARKING" w:val="&lt;UNUSED&gt;"/>
    <w:docVar w:name="LW_NOM.INST" w:val="EVROPSKÁ KOMISE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347"/>
    <w:docVar w:name="LW_REF.II.NEW.CP_YEAR" w:val="2016"/>
    <w:docVar w:name="LW_REF.INST.NEW" w:val="COM"/>
    <w:docVar w:name="LW_REF.INST.NEW_ADOPTED" w:val="final"/>
    <w:docVar w:name="LW_REF.INST.NEW_TEXT" w:val="(2016) 711"/>
    <w:docVar w:name="LW_REF.INTERNE" w:val="&lt;UNUSED&gt;"/>
    <w:docVar w:name="LW_SOUS.TITRE.OBJ.CP" w:val="&lt;UNUSED&gt;"/>
    <w:docVar w:name="LW_STATUT.CP" w:val="Návrh"/>
    <w:docVar w:name="LW_SUPERTITRE" w:val="&lt;UNUSED&gt;"/>
    <w:docVar w:name="LW_TITRE.OBJ.CP" w:val="kterým se stanoví doporu\u269?ení pro prodlou\u382?ení do\u269?asné ochrany vnit\u345?ních hranic v mimo\u345?ádných situacích ohro\u382?ujících celkové fungování schengenského prostoru"/>
    <w:docVar w:name="LW_TYPE.DOC.CP" w:val="PROVÁD\u282?CÍ ROZHODNUTÍ RADY,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cs-CZ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cs-CZ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cs-CZ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cs-CZ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42E36-1826-43E2-A3FA-BAF415DA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</TotalTime>
  <Pages>10</Pages>
  <Words>2985</Words>
  <Characters>17944</Characters>
  <Application>Microsoft Office Word</Application>
  <DocSecurity>0</DocSecurity>
  <Lines>304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18</cp:revision>
  <dcterms:created xsi:type="dcterms:W3CDTF">2016-11-07T16:06:00Z</dcterms:created>
  <dcterms:modified xsi:type="dcterms:W3CDTF">2016-11-07T17:03:00Z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Classification">
    <vt:lpwstr> </vt:lpwstr>
  </property>
  <property fmtid="{D5CDD505-2E9C-101B-9397-08002B2CF9AE}" pid="4" name="Version">
    <vt:lpwstr>5.8.86.0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5.8.4, Build 20150407</vt:lpwstr>
  </property>
  <property fmtid="{D5CDD505-2E9C-101B-9397-08002B2CF9AE}" pid="7" name="Part">
    <vt:lpwstr>1</vt:lpwstr>
  </property>
  <property fmtid="{D5CDD505-2E9C-101B-9397-08002B2CF9AE}" pid="8" name="Total parts">
    <vt:lpwstr>1</vt:lpwstr>
  </property>
  <property fmtid="{D5CDD505-2E9C-101B-9397-08002B2CF9AE}" pid="9" name="LWTemplateID">
    <vt:lpwstr>SJ-020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