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2AC39FEEB7B42E5A7D097BBFA301415"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DŮVODOVÁ ZPRÁVA</w:t>
      </w:r>
    </w:p>
    <w:p>
      <w:pPr>
        <w:rPr>
          <w:noProof/>
        </w:rPr>
      </w:pPr>
      <w:r>
        <w:rPr>
          <w:noProof/>
        </w:rPr>
        <w:t>Podle čl. 395 odst. 1 směrnice 2006/112/ES ze dne 28. listopadu 2006 o společném systému daně z přidané hodnoty (dále jen „směrnice o DPH“) může Rada jednomyslně na návrh Komise povolit kterémukoli členskému státu, aby uplatnil zvláštní opatření odchylující se od uvedené směrnice, jejichž cílem je zjednodušit postup výběru DPH nebo zabránit určitým druhům daňových úniků či vyhýbání se daňovým povinnostem.</w:t>
      </w:r>
    </w:p>
    <w:p>
      <w:pPr>
        <w:pBdr>
          <w:top w:val="nil"/>
          <w:left w:val="nil"/>
          <w:bottom w:val="nil"/>
          <w:right w:val="nil"/>
          <w:between w:val="nil"/>
          <w:bar w:val="nil"/>
        </w:pBdr>
        <w:spacing w:before="0" w:after="240"/>
        <w:rPr>
          <w:noProof/>
        </w:rPr>
      </w:pPr>
      <w:r>
        <w:rPr>
          <w:noProof/>
        </w:rPr>
        <w:t>Dopisem, který Komise zaevidovala dne 14. března 2016, požádalo Spojené království o povolení nadále uplatňovat opatření odchylující se od směrnice, jež se týká nároku na odpočet DPH, která se odvádí z nájmu nebo leasingu motorových vozidel, která se nepoužívají výhradně pro obchodní účely, a jež bylo naposledy uděleno rozhodnutím Rady 2013/681/EU</w:t>
      </w:r>
      <w:r>
        <w:rPr>
          <w:rStyle w:val="FootnoteReference"/>
          <w:noProof/>
        </w:rPr>
        <w:footnoteReference w:id="1"/>
      </w:r>
      <w:r>
        <w:rPr>
          <w:noProof/>
        </w:rPr>
        <w:t>. V souladu s čl. 395 odst. 2 směrnice 2006/112/ES uvědomila Komise dopisem ze dne 28. června 2016 o žádosti Spojeného království ostatní členské státy. Dopisem ze dne 28. června 2016 oznámila Komise Spojenému království, že má k dispozici veškeré informace nezbytné k posouzení žádosti.</w:t>
      </w:r>
    </w:p>
    <w:p>
      <w:pPr>
        <w:pStyle w:val="ManualHeading1"/>
        <w:rPr>
          <w:noProof/>
        </w:rPr>
      </w:pPr>
      <w:r>
        <w:rPr>
          <w:noProof/>
        </w:rPr>
        <w:t>1.</w:t>
      </w:r>
      <w:r>
        <w:rPr>
          <w:noProof/>
        </w:rPr>
        <w:tab/>
        <w:t>SOUVISLOSTI NÁVRHU</w:t>
      </w:r>
    </w:p>
    <w:p>
      <w:pPr>
        <w:pStyle w:val="ManualHeading2"/>
        <w:rPr>
          <w:rFonts w:eastAsia="Arial Unicode MS"/>
          <w:noProof/>
        </w:rPr>
      </w:pPr>
      <w:r>
        <w:rPr>
          <w:noProof/>
          <w:color w:val="000000"/>
          <w:u w:color="000000"/>
          <w:bdr w:val="nil"/>
        </w:rPr>
        <w:t>•</w:t>
      </w:r>
      <w:r>
        <w:rPr>
          <w:noProof/>
        </w:rPr>
        <w:tab/>
        <w:t>Odůvodnění a cíle návrhu</w:t>
      </w:r>
    </w:p>
    <w:p>
      <w:pPr>
        <w:rPr>
          <w:noProof/>
        </w:rPr>
      </w:pPr>
      <w:r>
        <w:rPr>
          <w:noProof/>
        </w:rPr>
        <w:t>Články 168 a 168a směrnice o DPH stanoví, že osoba povinná k dani má nárok na odpočet DPH zaplacené na nákupech pro účely svých zdanitelných plnění. Ustanovení čl. 26 odst. 1 písm. a) směrnice o DPH zároveň stanoví, že použití zboží, které tvoří součást obchodního majetku, pro soukromou potřebu se považuje za poskytnutí služby za úplatu, pokud je DPH z tohoto zboží plně nebo zčásti odpočitatelná. Systém ve výsledku zajišťuje, že konečná spotřeba je zdaněna, pokud byla odpovídající DPH na vstupu původně odečtena.</w:t>
      </w:r>
    </w:p>
    <w:p>
      <w:pPr>
        <w:rPr>
          <w:noProof/>
        </w:rPr>
      </w:pPr>
      <w:r>
        <w:rPr>
          <w:noProof/>
        </w:rPr>
        <w:t>Pokud jde o motorová vozidla, pro osobu povinnou k dani je někdy obtížné a namáhavé určit a zaznamenat rozdíl mezi služebním a soukromým použitím a pro daňovou správu je rovněž obtížné ověřit skutečné oddělení těchto použití. Tak by tomu bylo i v případě, že by Spojené království využilo možnost stanovenou v čl. 168a odst. 2 směrnice o DPH s cílem omezit odpočet výdajů na služební automobily v poměru k jejich skutečnému využívání k obchodním účelům osobou povinnou k dani. Vzhledem k počtu vozidel s obojím použitím by navíc mohlo dojít ke značným daňovým únikům.</w:t>
      </w:r>
    </w:p>
    <w:p>
      <w:pPr>
        <w:rPr>
          <w:noProof/>
        </w:rPr>
      </w:pPr>
      <w:r>
        <w:rPr>
          <w:noProof/>
        </w:rPr>
        <w:t>Za účelem zjednodušení výběru DPH a boje proti daňovým únikům, se Spojenému království povolovalo od roku 1995</w:t>
      </w:r>
      <w:r>
        <w:rPr>
          <w:rStyle w:val="FootnoteReference"/>
          <w:noProof/>
        </w:rPr>
        <w:footnoteReference w:id="2"/>
      </w:r>
      <w:r>
        <w:rPr>
          <w:noProof/>
        </w:rPr>
        <w:t xml:space="preserve"> (a naposledy v roce 2013</w:t>
      </w:r>
      <w:r>
        <w:rPr>
          <w:rStyle w:val="FootnoteReference"/>
          <w:noProof/>
        </w:rPr>
        <w:footnoteReference w:id="3"/>
      </w:r>
      <w:r>
        <w:rPr>
          <w:noProof/>
        </w:rPr>
        <w:t xml:space="preserve">) do 31. prosince 2016 omezit na 50 % právo nájemce nebo leasingového pořizovatele odpočíst daň na vstupu za poplatky z nájmu nebo leasingu motorového vozidla, pokud se toto vozidlo nepoužívá výhradně pro obchodní účely. Aby se zabránilo dvojímu zdanění, je rovněž Spojenému království povoleno nepovažovat za soukromé používání podnikového automobilu, který si najala nebo pořídila na leasing osoba povinná k dani, přičemž služba byla poskytnuta za úplatu. </w:t>
      </w:r>
    </w:p>
    <w:p>
      <w:pPr>
        <w:rPr>
          <w:noProof/>
        </w:rPr>
      </w:pPr>
      <w:r>
        <w:rPr>
          <w:noProof/>
        </w:rPr>
        <w:t xml:space="preserve">Tato odchylka zprošťuje nájemce nebo příjemce leasingu povinnosti vést podrobné záznamy o kilometrech najetých pro soukromé účely v případě každého z těchto vozidel a vypočítávat DPH za soukromé používání. Možnost podle čl. 168a odst. 2 směrnice o DPH nestanoví částečný odpočet za paušální sazbu a lze ji použít pouze pro DPH na vstupu u vozidel, která jsou součástí obchodního majetku osoby povinné k dani; odchylka je proto vhodným opatřením, jak dosáhnout požadovaného zjednodušení. </w:t>
      </w:r>
    </w:p>
    <w:p>
      <w:pPr>
        <w:rPr>
          <w:noProof/>
        </w:rPr>
      </w:pPr>
      <w:r>
        <w:rPr>
          <w:noProof/>
        </w:rPr>
        <w:t>V souladu s článkem 3 rozhodnutí Rady 2007/884/ES</w:t>
      </w:r>
      <w:r>
        <w:rPr>
          <w:rStyle w:val="FootnoteReference"/>
          <w:noProof/>
        </w:rPr>
        <w:footnoteReference w:id="4"/>
      </w:r>
      <w:r>
        <w:rPr>
          <w:noProof/>
        </w:rPr>
        <w:t xml:space="preserve"> ve znění pozdějších předpisů předložilo Spojené království zprávu o používání uvedeného rozhodnutí, která obsahuje přezkum procentního omezení uplatňovaného na nárok na odpočet DPH z nájmu nebo leasingu motorových vozidel, která se nepoužívají výhradně pro účely podnikání. Ve zprávě se uvádí, že podle souboru údajů, které byly použity, se odhadovaný poměr mezi používáním pro profesionální účely a pro soukromé účely ve skutečnosti výrazně neodchýlil od 50 %.</w:t>
      </w:r>
    </w:p>
    <w:p>
      <w:pPr>
        <w:rPr>
          <w:noProof/>
        </w:rPr>
      </w:pPr>
      <w:r>
        <w:rPr>
          <w:noProof/>
        </w:rPr>
        <w:t>Odchylky jsou zpravidla udělovány na omezenou dobu, aby bylo možné posoudit, zda je konkrétní opatření přiměřené a účinné. Ze zprávy, kterou poskytlo Spojené království, vyplývá, že 50% rozdělení použití na obchodní a soukromé (nebo jakékoliv jiné neobchodní použití ve smyslu čl. 26 odst. 1 písm. a) směrnice 2006/112/ES) v současnosti ještě stále odpovídá celkovému obchodnímu a soukromému používání vozidel na leasing nebo v nájmu osobami povinnými k dani ve Spojeném království. Prodloužení platnosti opatření odchylujícího se od směrnice je proto přiměřené.</w:t>
      </w:r>
    </w:p>
    <w:p>
      <w:pPr>
        <w:pBdr>
          <w:top w:val="nil"/>
          <w:left w:val="nil"/>
          <w:bottom w:val="nil"/>
          <w:right w:val="nil"/>
          <w:between w:val="nil"/>
          <w:bar w:val="nil"/>
        </w:pBdr>
        <w:spacing w:before="0" w:after="240"/>
        <w:rPr>
          <w:rFonts w:eastAsia="Arial Unicode MS"/>
          <w:noProof/>
        </w:rPr>
      </w:pPr>
      <w:r>
        <w:rPr>
          <w:noProof/>
        </w:rPr>
        <w:t xml:space="preserve">Každé prodloužení odchylky by však mělo být časově omezeno, aby bylo možné posoudit, zda jsou podmínky, na kterých se odchylka zakládá, stále platné. Navrhuje se proto prodloužit odchylku do konce roku 2019 a požádat Spojené království, aby předložilo novou zprávu v případě, že by po skončení tohoto období hodlalo předložit novou žádost o prodloužení. </w:t>
      </w:r>
    </w:p>
    <w:p>
      <w:pPr>
        <w:pStyle w:val="ManualHeading2"/>
        <w:rPr>
          <w:rFonts w:eastAsia="Arial Unicode MS"/>
          <w:noProof/>
          <w:color w:val="000000"/>
          <w:u w:color="000000"/>
          <w:bdr w:val="nil"/>
        </w:rPr>
      </w:pPr>
      <w:r>
        <w:rPr>
          <w:noProof/>
        </w:rPr>
        <w:t xml:space="preserve"> </w:t>
      </w:r>
      <w:r>
        <w:rPr>
          <w:noProof/>
          <w:color w:val="000000"/>
          <w:u w:color="000000"/>
          <w:bdr w:val="nil"/>
        </w:rPr>
        <w:t>•</w:t>
      </w:r>
      <w:r>
        <w:rPr>
          <w:noProof/>
        </w:rPr>
        <w:t xml:space="preserve"> Soulad s platnými předpisy v této oblasti politiky</w:t>
      </w:r>
    </w:p>
    <w:p>
      <w:pPr>
        <w:rPr>
          <w:noProof/>
        </w:rPr>
      </w:pPr>
      <w:r>
        <w:rPr>
          <w:noProof/>
        </w:rPr>
        <w:t>Článek 176 směrnice 2006/112/ES stanoví, že Rada rozhodne o tom, z jakých výdajů nelze DPH odpočíst. Do té doby Rada povoluje členským státům zachovat vyloučení, která byla v platnosti k 1. lednu 1979. Proto existuje celá řada ustanovení „status quo“, která omezují nárok na odpočet u motorových vozidel.</w:t>
      </w:r>
    </w:p>
    <w:p>
      <w:pPr>
        <w:pBdr>
          <w:top w:val="nil"/>
          <w:left w:val="nil"/>
          <w:bottom w:val="nil"/>
          <w:right w:val="nil"/>
          <w:between w:val="nil"/>
          <w:bar w:val="nil"/>
        </w:pBdr>
        <w:spacing w:before="0" w:after="240"/>
        <w:rPr>
          <w:rFonts w:eastAsia="Arial Unicode MS"/>
          <w:noProof/>
        </w:rPr>
      </w:pPr>
      <w:r>
        <w:rPr>
          <w:noProof/>
        </w:rPr>
        <w:t>Bez ohledu na předchozí iniciativy mající za cíl stanovit pravidla určující, které kategorie výdajů mohou být předmětem omezení nároku na odpočet</w:t>
      </w:r>
      <w:r>
        <w:rPr>
          <w:rStyle w:val="FootnoteReference"/>
          <w:noProof/>
        </w:rPr>
        <w:footnoteReference w:id="5"/>
      </w:r>
      <w:r>
        <w:rPr>
          <w:noProof/>
        </w:rPr>
        <w:t xml:space="preserve">, je při očekávání harmonizace těchto pravidel na úrovni EU taková odchylka vhodná. </w:t>
      </w:r>
    </w:p>
    <w:p>
      <w:pPr>
        <w:pStyle w:val="ManualHeading1"/>
        <w:rPr>
          <w:noProof/>
        </w:rPr>
      </w:pPr>
      <w:r>
        <w:rPr>
          <w:noProof/>
        </w:rPr>
        <w:t>2.</w:t>
      </w:r>
      <w:r>
        <w:rPr>
          <w:noProof/>
        </w:rPr>
        <w:tab/>
        <w:t>PRÁVNÍ ZÁKLAD, SUBSIDIARITA A PROPORCIONALITA</w:t>
      </w:r>
    </w:p>
    <w:p>
      <w:pPr>
        <w:pStyle w:val="ManualHeading2"/>
        <w:rPr>
          <w:rFonts w:eastAsia="Arial Unicode MS"/>
          <w:noProof/>
          <w:u w:color="000000"/>
          <w:bdr w:val="nil"/>
        </w:rPr>
      </w:pPr>
      <w:r>
        <w:rPr>
          <w:noProof/>
        </w:rPr>
        <w:t>•</w:t>
      </w:r>
      <w:r>
        <w:rPr>
          <w:noProof/>
        </w:rPr>
        <w:tab/>
        <w:t>Právní základ</w:t>
      </w:r>
    </w:p>
    <w:p>
      <w:pPr>
        <w:pBdr>
          <w:top w:val="nil"/>
          <w:left w:val="nil"/>
          <w:bottom w:val="nil"/>
          <w:right w:val="nil"/>
          <w:between w:val="nil"/>
          <w:bar w:val="nil"/>
        </w:pBdr>
        <w:spacing w:before="0" w:after="240"/>
        <w:rPr>
          <w:noProof/>
        </w:rPr>
      </w:pPr>
      <w:r>
        <w:rPr>
          <w:noProof/>
        </w:rPr>
        <w:t>Článek 395 směrnice o DPH.</w:t>
      </w:r>
    </w:p>
    <w:p>
      <w:pPr>
        <w:pStyle w:val="ManualHeading2"/>
        <w:rPr>
          <w:rFonts w:eastAsia="Arial Unicode MS"/>
          <w:noProof/>
          <w:u w:color="000000"/>
          <w:bdr w:val="nil"/>
        </w:rPr>
      </w:pPr>
      <w:r>
        <w:rPr>
          <w:noProof/>
        </w:rPr>
        <w:t>•</w:t>
      </w:r>
      <w:r>
        <w:rPr>
          <w:noProof/>
        </w:rPr>
        <w:tab/>
        <w:t xml:space="preserve">Subsidiarita (v případě nevýlučné pravomoci) </w:t>
      </w:r>
    </w:p>
    <w:p>
      <w:pPr>
        <w:pBdr>
          <w:top w:val="nil"/>
          <w:left w:val="nil"/>
          <w:bottom w:val="nil"/>
          <w:right w:val="nil"/>
          <w:between w:val="nil"/>
          <w:bar w:val="nil"/>
        </w:pBdr>
        <w:spacing w:before="0" w:after="240"/>
        <w:rPr>
          <w:rFonts w:eastAsia="Arial Unicode MS"/>
          <w:noProof/>
        </w:rPr>
      </w:pPr>
      <w:r>
        <w:rPr>
          <w:noProof/>
        </w:rPr>
        <w:t>Vzhledem k ustanovení směrnice o DPH, z něhož návrh vychází, se zásada subsidiarity nepoužije.</w:t>
      </w:r>
    </w:p>
    <w:p>
      <w:pPr>
        <w:pStyle w:val="ManualHeading2"/>
        <w:rPr>
          <w:rFonts w:eastAsia="Arial Unicode MS"/>
          <w:noProof/>
          <w:u w:color="000000"/>
          <w:bdr w:val="nil"/>
        </w:rPr>
      </w:pPr>
      <w:r>
        <w:rPr>
          <w:noProof/>
        </w:rPr>
        <w:t>•</w:t>
      </w:r>
      <w:r>
        <w:rPr>
          <w:noProof/>
        </w:rPr>
        <w:tab/>
        <w:t>Přiměřenost</w:t>
      </w:r>
    </w:p>
    <w:p>
      <w:pPr>
        <w:rPr>
          <w:noProof/>
        </w:rPr>
      </w:pPr>
      <w:r>
        <w:rPr>
          <w:noProof/>
        </w:rPr>
        <w:t>Toto rozhodnutí se týká povolení udělovaného členskému státu na základě jeho vlastní žádosti a nezakládá žádnou povinnost.</w:t>
      </w:r>
    </w:p>
    <w:p>
      <w:pPr>
        <w:rPr>
          <w:noProof/>
        </w:rPr>
      </w:pPr>
      <w:r>
        <w:rPr>
          <w:noProof/>
        </w:rPr>
        <w:t>Vzhledem k omezenému rozsahu odchylky je zvláštní opatření úměrné sledovanému cíli. Zejména s ohledem na potenciál podniků vykazovat nižší daňovou povinnost a na zatěžující kontrolu údajů o kilometráži pro daňové orgány, omezení v poměru 50 % by zabránilo nadhodnocení najetých kilometrů pro účely podnikání a přispívá k ochraně proti ztrátám příjmů v důsledku chyby a daňových úniků a ke zjednodušení výběru DPH v konkrétním odvětví.</w:t>
      </w:r>
    </w:p>
    <w:p>
      <w:pPr>
        <w:pStyle w:val="ManualHeading2"/>
        <w:rPr>
          <w:rFonts w:eastAsia="Arial Unicode MS"/>
          <w:noProof/>
          <w:u w:color="000000"/>
          <w:bdr w:val="nil"/>
        </w:rPr>
      </w:pPr>
      <w:r>
        <w:rPr>
          <w:noProof/>
        </w:rPr>
        <w:t>•</w:t>
      </w:r>
      <w:r>
        <w:rPr>
          <w:noProof/>
        </w:rPr>
        <w:tab/>
        <w:t>Volba nástroje</w:t>
      </w:r>
    </w:p>
    <w:p>
      <w:pPr>
        <w:pBdr>
          <w:top w:val="nil"/>
          <w:left w:val="nil"/>
          <w:bottom w:val="nil"/>
          <w:right w:val="nil"/>
          <w:between w:val="nil"/>
          <w:bar w:val="nil"/>
        </w:pBdr>
        <w:spacing w:before="0" w:after="240"/>
        <w:rPr>
          <w:rFonts w:eastAsia="Arial Unicode MS"/>
          <w:noProof/>
        </w:rPr>
      </w:pPr>
      <w:r>
        <w:rPr>
          <w:noProof/>
        </w:rPr>
        <w:t>Navrhovaný nástroj je prováděcí rozhodnutí Rady. Jiné nástroje by nebyly vhodné, protože podle článku 395 směrnice Rady 2006/112/ES je odchylka od společných pravidel pro DPH možná pouze v případě, že ji jednomyslně schválí Rada na návrh Komise. Prováděcí rozhodnutí Rady je nejvhodnějším nástrojem, neboť může být určeno jednotlivému členskému státu.</w:t>
      </w:r>
    </w:p>
    <w:p>
      <w:pPr>
        <w:pStyle w:val="ManualHeading1"/>
        <w:rPr>
          <w:noProof/>
        </w:rPr>
      </w:pPr>
      <w:r>
        <w:rPr>
          <w:noProof/>
        </w:rPr>
        <w:t>3.</w:t>
      </w:r>
      <w:r>
        <w:rPr>
          <w:noProof/>
        </w:rPr>
        <w:tab/>
        <w:t>VÝSLEDKY HODNOCENÍ EX POST, KONZULTACÍ SE ZÚČASTNĚNÝMI STRANAMI A POSOUZENÍ DOPADŮ</w:t>
      </w:r>
    </w:p>
    <w:p>
      <w:pPr>
        <w:pStyle w:val="ManualHeading2"/>
        <w:rPr>
          <w:rFonts w:eastAsia="Arial Unicode MS"/>
          <w:noProof/>
          <w:u w:color="000000"/>
          <w:bdr w:val="nil"/>
        </w:rPr>
      </w:pPr>
      <w:r>
        <w:rPr>
          <w:noProof/>
        </w:rPr>
        <w:t>•</w:t>
      </w:r>
      <w:r>
        <w:rPr>
          <w:noProof/>
        </w:rPr>
        <w:tab/>
        <w:t>Konzultace se zúčastněnými stranami</w:t>
      </w:r>
    </w:p>
    <w:p>
      <w:pPr>
        <w:pBdr>
          <w:top w:val="nil"/>
          <w:left w:val="nil"/>
          <w:bottom w:val="nil"/>
          <w:right w:val="nil"/>
          <w:between w:val="nil"/>
          <w:bar w:val="nil"/>
        </w:pBdr>
        <w:spacing w:before="0" w:after="240"/>
        <w:rPr>
          <w:rFonts w:eastAsia="Arial Unicode MS"/>
          <w:noProof/>
        </w:rPr>
      </w:pPr>
      <w:r>
        <w:rPr>
          <w:noProof/>
        </w:rPr>
        <w:t>Tento návrh vychází ze žádosti, kterou podalo Spojené království, a týká se pouze tohoto členského státu.</w:t>
      </w:r>
    </w:p>
    <w:p>
      <w:pPr>
        <w:pStyle w:val="ManualHeading2"/>
        <w:rPr>
          <w:rFonts w:eastAsia="Arial Unicode MS"/>
          <w:noProof/>
          <w:u w:color="000000"/>
          <w:bdr w:val="nil"/>
        </w:rPr>
      </w:pPr>
      <w:r>
        <w:rPr>
          <w:noProof/>
        </w:rPr>
        <w:t>•</w:t>
      </w:r>
      <w:r>
        <w:rPr>
          <w:noProof/>
        </w:rPr>
        <w:tab/>
        <w:t>Sběr a využití výsledků odborných konzultací</w:t>
      </w:r>
    </w:p>
    <w:p>
      <w:pPr>
        <w:pBdr>
          <w:top w:val="nil"/>
          <w:left w:val="nil"/>
          <w:bottom w:val="nil"/>
          <w:right w:val="nil"/>
          <w:between w:val="nil"/>
          <w:bar w:val="nil"/>
        </w:pBdr>
        <w:spacing w:before="0" w:after="240"/>
        <w:rPr>
          <w:rFonts w:eastAsia="Arial Unicode MS"/>
          <w:noProof/>
        </w:rPr>
      </w:pPr>
      <w:r>
        <w:rPr>
          <w:noProof/>
        </w:rPr>
        <w:t>Nebylo třeba využít externích odborných konzultací.</w:t>
      </w:r>
    </w:p>
    <w:p>
      <w:pPr>
        <w:pStyle w:val="ManualHeading2"/>
        <w:rPr>
          <w:rFonts w:eastAsia="Arial Unicode MS"/>
          <w:noProof/>
          <w:u w:color="000000"/>
          <w:bdr w:val="nil"/>
        </w:rPr>
      </w:pPr>
      <w:r>
        <w:rPr>
          <w:noProof/>
        </w:rPr>
        <w:t>•</w:t>
      </w:r>
      <w:r>
        <w:rPr>
          <w:noProof/>
        </w:rPr>
        <w:tab/>
        <w:t>Posouzení dopadů</w:t>
      </w:r>
    </w:p>
    <w:p>
      <w:pPr>
        <w:pBdr>
          <w:top w:val="nil"/>
          <w:left w:val="nil"/>
          <w:bottom w:val="nil"/>
          <w:right w:val="nil"/>
          <w:between w:val="nil"/>
          <w:bar w:val="nil"/>
        </w:pBdr>
        <w:spacing w:before="0" w:after="240"/>
        <w:rPr>
          <w:i/>
          <w:noProof/>
        </w:rPr>
      </w:pPr>
      <w:r>
        <w:rPr>
          <w:noProof/>
        </w:rPr>
        <w:t>Cílem rozhodnutí je prodloužit dobu platnosti zjednodušujícího opatření, jehož cílem je zabránit daňovým únikům souvisejícím s DPH a zjednodušit postup při vyměřování daně. Dané 50% omezení daně na vstupu představuje náhradu za skutečnou výši daně splatné při používání příslušných automobilů k soukromým jízdám. Díky odchylce nemusí nájemce nebo leasingový pořizovatel vést záznamy o kilometrech najetých pro soukromé účely v podnikových automobilech a vypočítávat daň za skutečně ujeté kilometry pro soukromé účely v každém automobilu, čímž se výrazně snižuje administrativní zátěž poplatníků i daňových orgánů. Podniky, které svá vozidla používají pro profesionální účely ve více než 50 %, ale méně než 100 % případů, by nesly dodatečné náklady.</w:t>
      </w:r>
    </w:p>
    <w:p>
      <w:pPr>
        <w:pBdr>
          <w:top w:val="nil"/>
          <w:left w:val="nil"/>
          <w:bottom w:val="nil"/>
          <w:right w:val="nil"/>
          <w:between w:val="nil"/>
          <w:bar w:val="nil"/>
        </w:pBdr>
        <w:spacing w:before="0" w:after="240"/>
        <w:rPr>
          <w:noProof/>
        </w:rPr>
      </w:pPr>
      <w:r>
        <w:rPr>
          <w:noProof/>
        </w:rPr>
        <w:t>Vzhledem k úzké oblasti působnosti dané odchylky a její omezené časové působnosti bude její dopad v každém případě omezený.</w:t>
      </w:r>
    </w:p>
    <w:p>
      <w:pPr>
        <w:pStyle w:val="ManualHeading1"/>
        <w:rPr>
          <w:noProof/>
        </w:rPr>
      </w:pPr>
      <w:r>
        <w:rPr>
          <w:noProof/>
        </w:rPr>
        <w:t>4.</w:t>
      </w:r>
      <w:r>
        <w:rPr>
          <w:noProof/>
        </w:rPr>
        <w:tab/>
        <w:t>ROZPOČTOVÉ DŮSLEDKY</w:t>
      </w:r>
    </w:p>
    <w:p>
      <w:pPr>
        <w:rPr>
          <w:rFonts w:eastAsia="Arial Unicode MS"/>
          <w:noProof/>
        </w:rPr>
      </w:pPr>
      <w:r>
        <w:rPr>
          <w:noProof/>
        </w:rPr>
        <w:t>Návrh nebude mít žádné negativní důsledky pro rozpočet EU.</w:t>
      </w:r>
    </w:p>
    <w:p>
      <w:pPr>
        <w:pStyle w:val="ManualHeading1"/>
        <w:rPr>
          <w:noProof/>
        </w:rPr>
      </w:pPr>
      <w:r>
        <w:rPr>
          <w:noProof/>
        </w:rPr>
        <w:t>5.</w:t>
      </w:r>
      <w:r>
        <w:rPr>
          <w:noProof/>
        </w:rPr>
        <w:tab/>
        <w:t>OSTATNÍ PRVKY</w:t>
      </w:r>
    </w:p>
    <w:p>
      <w:pPr>
        <w:rPr>
          <w:noProof/>
        </w:rPr>
      </w:pPr>
      <w:r>
        <w:rPr>
          <w:noProof/>
        </w:rPr>
        <w:t>Návrh obsahuje ustanovení o skončení platnosti; automatickou lhůtu stanovenou na 31. prosince 2019.</w:t>
      </w:r>
    </w:p>
    <w:p>
      <w:pPr>
        <w:pBdr>
          <w:top w:val="nil"/>
          <w:left w:val="nil"/>
          <w:bottom w:val="nil"/>
          <w:right w:val="nil"/>
          <w:between w:val="nil"/>
          <w:bar w:val="nil"/>
        </w:pBdr>
        <w:spacing w:before="0" w:after="240"/>
        <w:rPr>
          <w:rFonts w:eastAsia="Arial Unicode MS"/>
          <w:noProof/>
        </w:rPr>
      </w:pPr>
      <w:r>
        <w:rPr>
          <w:noProof/>
        </w:rPr>
        <w:t>Pokud by Spojené království uvažovalo o dalším prodloužení účinnosti odchylujícího se opatření i na období po roce 2019, mělo by Komisi do 1. dubna 2019 spolu s žádostí o prodloužení předložit novou hodnotící zprávu.</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2016/0315 (NLE)</w:t>
      </w:r>
    </w:p>
    <w:p>
      <w:pPr>
        <w:pStyle w:val="Statut"/>
        <w:rPr>
          <w:noProof/>
        </w:rPr>
      </w:pPr>
      <w:r>
        <w:rPr>
          <w:noProof/>
        </w:rPr>
        <w:t>Návrh</w:t>
      </w:r>
    </w:p>
    <w:p>
      <w:pPr>
        <w:pStyle w:val="Typedudocument"/>
        <w:rPr>
          <w:noProof/>
        </w:rPr>
      </w:pPr>
      <w:r>
        <w:rPr>
          <w:noProof/>
        </w:rPr>
        <w:t>PROVÁDĚCÍ ROZHODNUTÍ RADY,</w:t>
      </w:r>
    </w:p>
    <w:p>
      <w:pPr>
        <w:pStyle w:val="Titreobjet"/>
        <w:rPr>
          <w:noProof/>
        </w:rPr>
      </w:pPr>
      <w:r>
        <w:rPr>
          <w:noProof/>
        </w:rPr>
        <w:t>kterým se mění rozhodnutí 2007/884/ES, kterým se Spojenému království povoluje nadále používat opatření odchylující se od čl. 26 odst. 1 písm. a) a článků 168 a 169 směrnice 2006/112/ES o společném systému daně z přidané hodnoty</w:t>
      </w:r>
    </w:p>
    <w:p>
      <w:pPr>
        <w:pStyle w:val="Institutionquiagit"/>
        <w:rPr>
          <w:noProof/>
        </w:rPr>
      </w:pPr>
      <w:r>
        <w:rPr>
          <w:noProof/>
        </w:rPr>
        <w:t>RADA EVROPSKÉ UNIE,</w:t>
      </w:r>
    </w:p>
    <w:p>
      <w:pPr>
        <w:rPr>
          <w:noProof/>
        </w:rPr>
      </w:pPr>
      <w:r>
        <w:rPr>
          <w:noProof/>
        </w:rPr>
        <w:t xml:space="preserve">s ohledem na Smlouvu o fungování Evropské unie, </w:t>
      </w:r>
    </w:p>
    <w:p>
      <w:pPr>
        <w:rPr>
          <w:noProof/>
        </w:rPr>
      </w:pPr>
      <w:r>
        <w:rPr>
          <w:noProof/>
        </w:rPr>
        <w:t>s ohledem na směrnici Rady 2006/112/ES ze dne 28. listopadu 2006 o společném systému daně z přidané hodnoty</w:t>
      </w:r>
      <w:r>
        <w:rPr>
          <w:rStyle w:val="FootnoteReference"/>
          <w:noProof/>
        </w:rPr>
        <w:footnoteReference w:id="6"/>
      </w:r>
      <w:r>
        <w:rPr>
          <w:noProof/>
        </w:rPr>
        <w:t>, a zejména na článek 395 této směrnice,</w:t>
      </w:r>
    </w:p>
    <w:p>
      <w:pPr>
        <w:rPr>
          <w:noProof/>
        </w:rPr>
      </w:pPr>
      <w:r>
        <w:rPr>
          <w:noProof/>
        </w:rPr>
        <w:t>s ohledem na návrh Evropské komise,</w:t>
      </w:r>
    </w:p>
    <w:p>
      <w:pPr>
        <w:rPr>
          <w:noProof/>
        </w:rPr>
      </w:pPr>
      <w:r>
        <w:rPr>
          <w:noProof/>
        </w:rPr>
        <w:t>vzhledem k těmto důvodům:</w:t>
      </w:r>
    </w:p>
    <w:p>
      <w:pPr>
        <w:pStyle w:val="ManualConsidrant"/>
        <w:rPr>
          <w:noProof/>
        </w:rPr>
      </w:pPr>
      <w:r>
        <w:t>(1)</w:t>
      </w:r>
      <w:r>
        <w:tab/>
      </w:r>
      <w:r>
        <w:rPr>
          <w:noProof/>
        </w:rPr>
        <w:t>Rozhodnutím Rady 2007/884/ES</w:t>
      </w:r>
      <w:r>
        <w:rPr>
          <w:rStyle w:val="FootnoteReference"/>
          <w:noProof/>
        </w:rPr>
        <w:footnoteReference w:id="7"/>
      </w:r>
      <w:r>
        <w:rPr>
          <w:noProof/>
        </w:rPr>
        <w:t xml:space="preserve"> naposledy změněným prováděcím rozhodnutím Rady 2013/681/EU</w:t>
      </w:r>
      <w:r>
        <w:rPr>
          <w:rStyle w:val="FootnoteReference"/>
          <w:noProof/>
        </w:rPr>
        <w:footnoteReference w:id="8"/>
      </w:r>
      <w:r>
        <w:rPr>
          <w:noProof/>
        </w:rPr>
        <w:t xml:space="preserve"> povolila Rada Spojenému království omezit na 50 % právo nájemce nebo příjemce leasingu odpočíst DPH na vstupu za poplatky z nájmu nebo leasingu motorového vozidla, pokud se toto vozidlo nepoužívá výhradně pro obchodní účely. Spojenému království bylo rovněž umožněno nepovažovat soukromé používání vozidla za poskytnutí služby za úplatu, pokud si jej osoba povinná k dani najímá nebo pořizuje na leasing pro obchodní účely. Na základě tohoto zjednodušujícího opatření již nájemce nebo příjemce leasingu nemá povinnost vést záznamy o kilometrech najetých pro soukromé účely ve vozidlech určených pro obchodní účely a vypočítávat daň za kilometry najeté pro soukromé účely v jednotlivých vozidlech.</w:t>
      </w:r>
    </w:p>
    <w:p>
      <w:pPr>
        <w:pStyle w:val="ManualConsidrant"/>
        <w:rPr>
          <w:noProof/>
        </w:rPr>
      </w:pPr>
      <w:r>
        <w:t>(2)</w:t>
      </w:r>
      <w:r>
        <w:tab/>
      </w:r>
      <w:r>
        <w:rPr>
          <w:noProof/>
        </w:rPr>
        <w:t xml:space="preserve">Dopisem, který Komise zaevidovala dne 14. března 2016, požádalo Spojené království o povolení prodloužit opatření odchylující se od směrnice, aby tak mohlo nadále používat omezení nároku nájemce nebo příjemce leasingu odpočíst DPH za poplatky z nájmu nebo leasingu motorového vozidla, pokud se toto vozidlo nepoužívá výhradně pro obchodní účely. </w:t>
      </w:r>
    </w:p>
    <w:p>
      <w:pPr>
        <w:pStyle w:val="ManualConsidrant"/>
        <w:rPr>
          <w:noProof/>
        </w:rPr>
      </w:pPr>
      <w:r>
        <w:t>(3)</w:t>
      </w:r>
      <w:r>
        <w:tab/>
      </w:r>
      <w:r>
        <w:rPr>
          <w:noProof/>
        </w:rPr>
        <w:t>Komise o žádosti Spojeného království informovala ostatní členské státy dopisem ze dne 28. června 2016. Dopisem ze dne 28. června 2016 oznámila Komise Spojenému království, že má k dispozici veškeré informace nezbytné k posouzení žádosti.</w:t>
      </w:r>
    </w:p>
    <w:p>
      <w:pPr>
        <w:pStyle w:val="ManualConsidrant"/>
        <w:rPr>
          <w:noProof/>
        </w:rPr>
      </w:pPr>
      <w:r>
        <w:t>(4)</w:t>
      </w:r>
      <w:r>
        <w:tab/>
      </w:r>
      <w:r>
        <w:rPr>
          <w:noProof/>
        </w:rPr>
        <w:t>Ze zprávy, kterou poskytlo Spojené království, vyplývá, že omezení nároku na 50% odpočet stále odpovídá skutečné situaci ohledně použití daných vozidel nájemci nebo příjemci leasingu v rámci podnikání a neobchodního použití. Je proto vhodné povolit Spojenému království uplatňování tohoto opatření do 31. prosince 2019.</w:t>
      </w:r>
    </w:p>
    <w:p>
      <w:pPr>
        <w:pStyle w:val="ManualConsidrant"/>
        <w:rPr>
          <w:noProof/>
        </w:rPr>
      </w:pPr>
      <w:r>
        <w:t>(5)</w:t>
      </w:r>
      <w:r>
        <w:tab/>
      </w:r>
      <w:r>
        <w:rPr>
          <w:noProof/>
        </w:rPr>
        <w:t>V souladu s článkem 3 rozhodnutí Rady 2007/884/ES ve znění pozdějších předpisů předložilo Spojené království Komisi zprávu o použití uvedeného rozhodnutí, která obsahovala přezkum daného procentního omezení. Z údajů, které Spojené království poskytlo, vyplývá, že omezení nároku na odpočet na 50 % stále odpovídá aktuální situaci, pokud jde o poměrné použití daných vozidel pro obchodní a neobchodní účely. Spojenému království by proto mělo být povoleno uplatňovat toto opatření v dalším omezeném období, a to do 31. prosince 2019.</w:t>
      </w:r>
    </w:p>
    <w:p>
      <w:pPr>
        <w:pStyle w:val="ManualConsidrant"/>
        <w:rPr>
          <w:noProof/>
        </w:rPr>
      </w:pPr>
      <w:r>
        <w:t>(6)</w:t>
      </w:r>
      <w:r>
        <w:tab/>
      </w:r>
      <w:r>
        <w:rPr>
          <w:noProof/>
        </w:rPr>
        <w:t>Pokud se Spojené království domnívá, že je nutné prodloužit opatření i po roce 2019, mělo by společně s žádostí o prodloužení předložit Komisi zprávu, v níž bude uveden přezkum uplatňovaného procentního omezení, a to nejpozději do 1. dubna 2019.</w:t>
      </w:r>
    </w:p>
    <w:p>
      <w:pPr>
        <w:pStyle w:val="ManualConsidrant"/>
        <w:rPr>
          <w:noProof/>
        </w:rPr>
      </w:pPr>
      <w:r>
        <w:t>(7)</w:t>
      </w:r>
      <w:r>
        <w:tab/>
      </w:r>
      <w:r>
        <w:rPr>
          <w:noProof/>
        </w:rPr>
        <w:t>Odchylné opatření bude mít pouze zanedbatelný dopad na celkovou výši daňových příjmů vybranou na stupni konečné spotřeby a nebude mít nepříznivý dopad na vlastní zdroje EU pocházející z DPH.</w:t>
      </w:r>
    </w:p>
    <w:p>
      <w:pPr>
        <w:pStyle w:val="ManualConsidrant"/>
        <w:rPr>
          <w:noProof/>
        </w:rPr>
      </w:pPr>
      <w:r>
        <w:t>(8)</w:t>
      </w:r>
      <w:r>
        <w:tab/>
      </w:r>
      <w:r>
        <w:rPr>
          <w:noProof/>
        </w:rPr>
        <w:t>Rozhodnutí 2007/884/ES by proto mělo být odpovídajícím způsobem změněno,</w:t>
      </w:r>
    </w:p>
    <w:p>
      <w:pPr>
        <w:pStyle w:val="Formuledadoption"/>
        <w:rPr>
          <w:noProof/>
        </w:rPr>
      </w:pPr>
      <w:r>
        <w:rPr>
          <w:noProof/>
        </w:rPr>
        <w:t xml:space="preserve">PŘIJALA TOTO ROZHODNUTÍ: </w:t>
      </w:r>
    </w:p>
    <w:p>
      <w:pPr>
        <w:pStyle w:val="Titrearticle"/>
        <w:rPr>
          <w:noProof/>
        </w:rPr>
      </w:pPr>
      <w:r>
        <w:rPr>
          <w:noProof/>
        </w:rPr>
        <w:t>Článek 1</w:t>
      </w:r>
    </w:p>
    <w:p>
      <w:pPr>
        <w:rPr>
          <w:noProof/>
        </w:rPr>
      </w:pPr>
      <w:r>
        <w:rPr>
          <w:noProof/>
        </w:rPr>
        <w:t>Článek 3 rozhodnutí 2007/884/ES se nahrazuje tímto:</w:t>
      </w:r>
    </w:p>
    <w:p>
      <w:pPr>
        <w:keepNext/>
        <w:spacing w:before="360"/>
        <w:jc w:val="center"/>
        <w:rPr>
          <w:i/>
          <w:noProof/>
        </w:rPr>
      </w:pPr>
      <w:r>
        <w:rPr>
          <w:noProof/>
        </w:rPr>
        <w:t>„</w:t>
      </w:r>
      <w:r>
        <w:rPr>
          <w:i/>
          <w:noProof/>
        </w:rPr>
        <w:t>Článek 3</w:t>
      </w:r>
    </w:p>
    <w:p>
      <w:pPr>
        <w:rPr>
          <w:noProof/>
        </w:rPr>
      </w:pPr>
      <w:r>
        <w:rPr>
          <w:noProof/>
        </w:rPr>
        <w:t>Toto rozhodnutí pozbývá platnosti dne 31. prosince 2019.</w:t>
      </w:r>
    </w:p>
    <w:p>
      <w:pPr>
        <w:rPr>
          <w:noProof/>
        </w:rPr>
      </w:pPr>
      <w:r>
        <w:rPr>
          <w:noProof/>
        </w:rPr>
        <w:t xml:space="preserve">Případná žádost o prodloužení daných opatření stanovených tímto rozhodnutím se podá společně se zprávou, která bude Komisi předložena nejpozději do 1. dubna 2019 a která bude obsahovat přezkum procentního omezení uplatňovaného na nárok na odpočet DPH z nájmu nebo leasingu vozidel, pokud se tato vozidla nepoužívají výhradně pro obchodní účely.“ </w:t>
      </w:r>
    </w:p>
    <w:p>
      <w:pPr>
        <w:pStyle w:val="Titrearticle"/>
        <w:rPr>
          <w:noProof/>
        </w:rPr>
      </w:pPr>
      <w:r>
        <w:rPr>
          <w:noProof/>
        </w:rPr>
        <w:t>Článek 2</w:t>
      </w:r>
    </w:p>
    <w:p>
      <w:pPr>
        <w:rPr>
          <w:noProof/>
        </w:rPr>
      </w:pPr>
      <w:r>
        <w:rPr>
          <w:noProof/>
        </w:rPr>
        <w:t>Toto rozhodnutí se použije ode dne 1. ledna 2017.</w:t>
      </w:r>
    </w:p>
    <w:p>
      <w:pPr>
        <w:pStyle w:val="Titrearticle"/>
        <w:rPr>
          <w:noProof/>
        </w:rPr>
      </w:pPr>
      <w:r>
        <w:rPr>
          <w:noProof/>
        </w:rPr>
        <w:t>Článek 3</w:t>
      </w:r>
    </w:p>
    <w:p>
      <w:pPr>
        <w:rPr>
          <w:noProof/>
        </w:rPr>
      </w:pPr>
      <w:r>
        <w:rPr>
          <w:noProof/>
        </w:rPr>
        <w:t>Toto rozhodnutí je určeno Spojenému království Velké Británie a Severního Irska.</w:t>
      </w:r>
    </w:p>
    <w:p>
      <w:pPr>
        <w:pStyle w:val="Fait"/>
        <w:rPr>
          <w:noProof/>
        </w:rPr>
      </w:pPr>
      <w:r>
        <w:rPr>
          <w:noProof/>
        </w:rPr>
        <w:t>V Bruselu dne</w:t>
      </w:r>
    </w:p>
    <w:p>
      <w:pPr>
        <w:pStyle w:val="Institutionquisigne"/>
        <w:rPr>
          <w:noProof/>
        </w:rPr>
      </w:pPr>
      <w:r>
        <w:rPr>
          <w:noProof/>
        </w:rPr>
        <w:tab/>
        <w:t>Za Radu</w:t>
      </w:r>
    </w:p>
    <w:p>
      <w:pPr>
        <w:pStyle w:val="Personnequisigne"/>
        <w:rPr>
          <w:noProof/>
        </w:rPr>
      </w:pPr>
      <w:r>
        <w:rPr>
          <w:noProof/>
        </w:rPr>
        <w:tab/>
        <w:t>předseda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Prováděcí rozhodnutí Rady 2013/681/EU ze dne 15. listopadu 2013, kterým se mění rozhodnutí 2007/884/ES, kterým se Spojenému království povoluje nadále používat opatření odchylující se od čl. 26 odst. 1 písm. a) a článků 168 a 169 směrnice 2006/112/ES o společném systému daně z přidané hodnoty (Úř. věst. L 316, 27.11.2013, s. 41).</w:t>
      </w:r>
    </w:p>
  </w:footnote>
  <w:footnote w:id="2">
    <w:p>
      <w:pPr>
        <w:pStyle w:val="FootnoteText"/>
      </w:pPr>
      <w:r>
        <w:rPr>
          <w:rStyle w:val="FootnoteReference"/>
        </w:rPr>
        <w:footnoteRef/>
      </w:r>
      <w:r>
        <w:tab/>
        <w:t>Rozhodnutí Rady 95/252/ES ze dne 29. června 1995, kterým se Spojenému království povoluje uplatňování opatření odchylujícího se od článků 6 a 17 šesté směrnice Rady 77/388/ES o harmonizaci právních předpisů členských států týkajících se daní z obratu (Úř. věst. L 159, 11.7.1995, s. 19).</w:t>
      </w:r>
    </w:p>
  </w:footnote>
  <w:footnote w:id="3">
    <w:p>
      <w:pPr>
        <w:pStyle w:val="FootnoteText"/>
      </w:pPr>
      <w:r>
        <w:rPr>
          <w:rStyle w:val="FootnoteReference"/>
        </w:rPr>
        <w:footnoteRef/>
      </w:r>
      <w:r>
        <w:tab/>
        <w:t>Platnost rozhodnutí Rady 2007/884/ES ze dne 20. prosince 2007, kterým se Spojenému království povoluje nadále používat opatření odchylující se od čl. 26 odst. 1 písm. a) a článků 168 a 169 směrnice 2006/112/ES o společném systému daně z přidané hodnoty (Úř. věst. L 346, 29.12.2007, s. 21) byla prodloužena prováděcím rozhodnutím Rady 2011/37/EU ze dne 18. ledna 2011 (Úř. věst. L 19, 22.1.2011, s. 11) až do 31. prosince 2013 a prováděcím rozhodnutím Rady 2013/681/EU ze dne 15. listopadu 2013 až do 31. prosince 2016 (Úř. věst. L 316, 27.11.2013, s. 41).</w:t>
      </w:r>
    </w:p>
  </w:footnote>
  <w:footnote w:id="4">
    <w:p>
      <w:pPr>
        <w:pStyle w:val="FootnoteText"/>
      </w:pPr>
      <w:r>
        <w:rPr>
          <w:rStyle w:val="FootnoteReference"/>
        </w:rPr>
        <w:footnoteRef/>
      </w:r>
      <w:r>
        <w:tab/>
        <w:t>Úř. věst. L 346, 29.12.2007, s. 21.</w:t>
      </w:r>
      <w:r>
        <w:rPr>
          <w:i/>
        </w:rPr>
        <w:t xml:space="preserve"> </w:t>
      </w:r>
    </w:p>
  </w:footnote>
  <w:footnote w:id="5">
    <w:p>
      <w:pPr>
        <w:pStyle w:val="FootnoteText"/>
        <w:jc w:val="left"/>
      </w:pPr>
      <w:r>
        <w:rPr>
          <w:rStyle w:val="FootnoteReference"/>
        </w:rPr>
        <w:footnoteRef/>
      </w:r>
      <w:r>
        <w:tab/>
        <w:t>KOM(2004) 728 v konečném znění – návrh směrnice Rady, kterou se mění směrnice 77/388/EHS s cílem zjednodušit povinnosti týkající se daně z přidané hodnoty (Úř. věst. C 24, 29.1.2005, s. 10), stažen dne 21. května 2014 (Úř. věst. C 153, 21. 5. 2014, s. 3).</w:t>
      </w:r>
    </w:p>
  </w:footnote>
  <w:footnote w:id="6">
    <w:p>
      <w:pPr>
        <w:pStyle w:val="FootnoteText"/>
      </w:pPr>
      <w:r>
        <w:rPr>
          <w:rStyle w:val="FootnoteReference"/>
        </w:rPr>
        <w:footnoteRef/>
      </w:r>
      <w:r>
        <w:tab/>
        <w:t>Úř. věst. L 347, 11.12.2006, s. 1.</w:t>
      </w:r>
    </w:p>
  </w:footnote>
  <w:footnote w:id="7">
    <w:p>
      <w:pPr>
        <w:pStyle w:val="FootnoteText"/>
      </w:pPr>
      <w:r>
        <w:rPr>
          <w:rStyle w:val="FootnoteReference"/>
        </w:rPr>
        <w:footnoteRef/>
      </w:r>
      <w:r>
        <w:tab/>
        <w:t>Rozhodnutí Rady 2007/884/ES ze dne 20. prosince 2007, kterým se Spojenému království povoluje nadále používat opatření odchylující se od čl. 26 odst. 1 písm. a) a článků 168 a 169 směrnice Rady 2006/112/ES o společném systému daně z přidané hodnoty (Úř. věst. L 346, 29.12.2007, s. 21).</w:t>
      </w:r>
    </w:p>
  </w:footnote>
  <w:footnote w:id="8">
    <w:p>
      <w:pPr>
        <w:pStyle w:val="FootnoteText"/>
      </w:pPr>
      <w:r>
        <w:rPr>
          <w:rStyle w:val="FootnoteReference"/>
        </w:rPr>
        <w:footnoteRef/>
      </w:r>
      <w:r>
        <w:tab/>
        <w:t>Prováděcí rozhodnutí Rady 2013/681/EU ze dne 15. listopadu 2013, kterým se mění rozhodnutí 2007/884/ES, kterým se Spojenému království povoluje nadále používat opatření odchylující se od čl. 26 odst. 1 písm. a) a článků 168 a 169 směrnice 2006/112/ES o společném systému daně z přidané hodnoty (Úř. věst. L 316, 27.11.2013, s.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E4C74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4238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18C228"/>
    <w:lvl w:ilvl="0">
      <w:start w:val="1"/>
      <w:numFmt w:val="decimal"/>
      <w:pStyle w:val="ListNumber2"/>
      <w:lvlText w:val="%1."/>
      <w:lvlJc w:val="left"/>
      <w:pPr>
        <w:tabs>
          <w:tab w:val="num" w:pos="643"/>
        </w:tabs>
        <w:ind w:left="643" w:hanging="360"/>
      </w:pPr>
    </w:lvl>
  </w:abstractNum>
  <w:abstractNum w:abstractNumId="3">
    <w:nsid w:val="FFFFFF81"/>
    <w:multiLevelType w:val="singleLevel"/>
    <w:tmpl w:val="AB64BEF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0B8C6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E4CA4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CF8D39A"/>
    <w:lvl w:ilvl="0">
      <w:start w:val="1"/>
      <w:numFmt w:val="decimal"/>
      <w:pStyle w:val="ListNumber"/>
      <w:lvlText w:val="%1."/>
      <w:lvlJc w:val="left"/>
      <w:pPr>
        <w:tabs>
          <w:tab w:val="num" w:pos="360"/>
        </w:tabs>
        <w:ind w:left="360" w:hanging="360"/>
      </w:pPr>
    </w:lvl>
  </w:abstractNum>
  <w:abstractNum w:abstractNumId="7">
    <w:nsid w:val="FFFFFF89"/>
    <w:multiLevelType w:val="singleLevel"/>
    <w:tmpl w:val="C598E34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9-30 10:19:0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22AC39FEEB7B42E5A7D097BBFA301415"/>
    <w:docVar w:name="LW_CROSSREFERENCE" w:val="&lt;UNUSED&gt;"/>
    <w:docVar w:name="LW_DocType" w:val="COM"/>
    <w:docVar w:name="LW_EMISSION" w:val="7.10.2016"/>
    <w:docVar w:name="LW_EMISSION_ISODATE" w:val="2016-10-07"/>
    <w:docVar w:name="LW_EMISSION_LOCATION" w:val="BRX"/>
    <w:docVar w:name="LW_EMISSION_PREFIX" w:val="V Bruselu dne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CS"/>
    <w:docVar w:name="LW_MARKING" w:val="&lt;UNUSED&gt;"/>
    <w:docVar w:name="LW_NOM.INST" w:val="EVROPSKÁ KOMISE"/>
    <w:docVar w:name="LW_NOM.INST_JOINTDOC" w:val="&lt;EMPTY&gt;"/>
    <w:docVar w:name="LW_PART_NBR" w:val="1"/>
    <w:docVar w:name="LW_PART_NBR_TOTAL" w:val="1"/>
    <w:docVar w:name="LW_REF.II.NEW.CP" w:val="NLE"/>
    <w:docVar w:name="LW_REF.II.NEW.CP_NUMBER" w:val="0315"/>
    <w:docVar w:name="LW_REF.II.NEW.CP_YEAR" w:val="2016"/>
    <w:docVar w:name="LW_REF.INST.NEW" w:val="COM"/>
    <w:docVar w:name="LW_REF.INST.NEW_ADOPTED" w:val="final"/>
    <w:docVar w:name="LW_REF.INST.NEW_TEXT" w:val="(2016) 645"/>
    <w:docVar w:name="LW_REF.INTERNE" w:val="&lt;UNUSED&gt;"/>
    <w:docVar w:name="LW_SOUS.TITRE.OBJ.CP" w:val="&lt;UNUSED&gt;"/>
    <w:docVar w:name="LW_STATUT.CP" w:val="Návrh"/>
    <w:docVar w:name="LW_SUPERTITRE" w:val="&lt;UNUSED&gt;"/>
    <w:docVar w:name="LW_TITRE.OBJ.CP" w:val="kterým se m\u283?ní rozhodnutí 2007/884/ES, kterým se Spojenému království povoluje nadále pou\u382?ívat opat\u345?ení odchylující se od \u269?l. 26 odst. 1 písm. a) a \u269?lánk\u367? 168 a 169 sm\u283?rnice 2006/112/ES o spole\u269?ném systému dan\u283? z p\u345?idané hodnoty"/>
    <w:docVar w:name="LW_TYPE.DOC.CP" w:val="PROVÁD\u282?CÍ ROZHODNUTÍ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cs-C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cs-CZ"/>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D49AB-E78A-41D9-9C22-C87F5F80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1802</Words>
  <Characters>10327</Characters>
  <Application>Microsoft Office Word</Application>
  <DocSecurity>0</DocSecurity>
  <Lines>184</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2016-08-12T13:38:00Z</cp:lastPrinted>
  <dcterms:created xsi:type="dcterms:W3CDTF">2016-09-23T12:20:00Z</dcterms:created>
  <dcterms:modified xsi:type="dcterms:W3CDTF">2016-09-30T08:19:00Z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