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C3F383950A6343549CE3DEA2E2C6DCF2" style="width:450.75pt;height:339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DŮVODOVÁ ZPRÁVA</w:t>
      </w:r>
    </w:p>
    <w:p>
      <w:pPr>
        <w:pStyle w:val="ManualHeading1"/>
        <w:rPr>
          <w:noProof/>
        </w:rPr>
      </w:pPr>
      <w:r>
        <w:rPr>
          <w:noProof/>
        </w:rPr>
        <w:t>SOUVISLOSTI NÁVRHU</w:t>
      </w:r>
    </w:p>
    <w:p>
      <w:pPr>
        <w:pStyle w:val="ManualNumPar1"/>
        <w:rPr>
          <w:noProof/>
        </w:rPr>
      </w:pPr>
      <w:r>
        <w:t>1.</w:t>
      </w:r>
      <w:r>
        <w:tab/>
      </w:r>
      <w:r>
        <w:rPr>
          <w:noProof/>
        </w:rPr>
        <w:t>Pravidla pro poskytování finančních prostředků z Evropského fondu pro přizpůsobení se globalizaci (dále jen „EFG“) jsou stanovena v nařízení Evropského parlamentu a Rady (EU) č. 1309/2013 ze dne 17. prosince 2013 o Evropském fondu pro přizpůsobení se globalizaci (2014–2020) a o zrušení nařízení (ES) č. 1927/2006</w:t>
      </w:r>
      <w:r>
        <w:rPr>
          <w:rStyle w:val="FootnoteReference"/>
          <w:noProof/>
        </w:rPr>
        <w:footnoteReference w:id="2"/>
      </w:r>
      <w:r>
        <w:rPr>
          <w:noProof/>
        </w:rPr>
        <w:t xml:space="preserve"> (dále jen „nařízení o EFG“).</w:t>
      </w:r>
    </w:p>
    <w:p>
      <w:pPr>
        <w:pStyle w:val="ManualNumPar1"/>
        <w:rPr>
          <w:noProof/>
        </w:rPr>
      </w:pPr>
      <w:r>
        <w:t>2.</w:t>
      </w:r>
      <w:r>
        <w:tab/>
      </w:r>
      <w:r>
        <w:rPr>
          <w:noProof/>
        </w:rPr>
        <w:t>Dne 11. května 2016 předložilo Estonsko žádost EGF/2016/003 EE/ropa a chemické látky týkající se finančního příspěvku z EFG v důsledku propouštění</w:t>
      </w:r>
      <w:r>
        <w:rPr>
          <w:rStyle w:val="FootnoteReference"/>
          <w:noProof/>
        </w:rPr>
        <w:footnoteReference w:id="3"/>
      </w:r>
      <w:r>
        <w:rPr>
          <w:noProof/>
        </w:rPr>
        <w:t xml:space="preserve"> v hospodářských odvětvích, která jsou v rámci klasifikace NACE Revize 2 řazena do oddílu 19 (Výroba koksu a rafinovaných ropných produktů) a do oddílu 20 (Výroba chemických látek a chemických přípravků) v Estonsku.</w:t>
      </w:r>
    </w:p>
    <w:p>
      <w:pPr>
        <w:pStyle w:val="ManualNumPar1"/>
        <w:rPr>
          <w:noProof/>
        </w:rPr>
      </w:pPr>
      <w:r>
        <w:t>3.</w:t>
      </w:r>
      <w:r>
        <w:tab/>
      </w:r>
      <w:r>
        <w:rPr>
          <w:noProof/>
        </w:rPr>
        <w:t xml:space="preserve">Po posouzení této žádosti dospěla Komise v souladu se všemi příslušnými ustanoveními nařízení o EFG k závěru, že podmínky pro poskytnutí finančního příspěvku z EFG jsou splněny. </w:t>
      </w:r>
    </w:p>
    <w:p>
      <w:pPr>
        <w:pStyle w:val="ManualHeading1"/>
        <w:rPr>
          <w:noProof/>
        </w:rPr>
      </w:pPr>
      <w:r>
        <w:rPr>
          <w:noProof/>
        </w:rPr>
        <w:t>SHRNUTÍ ŽÁDOSTI</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908"/>
        <w:gridCol w:w="4379"/>
      </w:tblGrid>
      <w:tr>
        <w:tc>
          <w:tcPr>
            <w:tcW w:w="4908" w:type="dxa"/>
            <w:shd w:val="clear" w:color="auto" w:fill="auto"/>
          </w:tcPr>
          <w:p>
            <w:pPr>
              <w:spacing w:before="60" w:after="60"/>
              <w:jc w:val="left"/>
              <w:rPr>
                <w:rFonts w:eastAsia="Calibri"/>
                <w:noProof/>
              </w:rPr>
            </w:pPr>
            <w:r>
              <w:rPr>
                <w:noProof/>
              </w:rPr>
              <w:t>Žádost o prostředky z EFG</w:t>
            </w:r>
          </w:p>
        </w:tc>
        <w:tc>
          <w:tcPr>
            <w:tcW w:w="4379" w:type="dxa"/>
            <w:shd w:val="clear" w:color="auto" w:fill="auto"/>
          </w:tcPr>
          <w:p>
            <w:pPr>
              <w:spacing w:before="60" w:after="60"/>
              <w:ind w:rightChars="192" w:right="461"/>
              <w:jc w:val="left"/>
              <w:rPr>
                <w:rFonts w:eastAsia="Calibri"/>
                <w:noProof/>
              </w:rPr>
            </w:pPr>
            <w:r>
              <w:rPr>
                <w:noProof/>
              </w:rPr>
              <w:t>EGF/2016/003 EE/ropa a chemické látky</w:t>
            </w:r>
          </w:p>
        </w:tc>
      </w:tr>
      <w:tr>
        <w:tc>
          <w:tcPr>
            <w:tcW w:w="4908" w:type="dxa"/>
            <w:shd w:val="clear" w:color="auto" w:fill="auto"/>
          </w:tcPr>
          <w:p>
            <w:pPr>
              <w:spacing w:before="60" w:after="60"/>
              <w:jc w:val="left"/>
              <w:rPr>
                <w:rFonts w:eastAsia="Calibri"/>
                <w:noProof/>
              </w:rPr>
            </w:pPr>
            <w:r>
              <w:rPr>
                <w:noProof/>
              </w:rPr>
              <w:t>Členský stát</w:t>
            </w:r>
          </w:p>
        </w:tc>
        <w:tc>
          <w:tcPr>
            <w:tcW w:w="4379" w:type="dxa"/>
            <w:shd w:val="clear" w:color="auto" w:fill="auto"/>
          </w:tcPr>
          <w:p>
            <w:pPr>
              <w:spacing w:before="60" w:after="60"/>
              <w:ind w:rightChars="192" w:right="461"/>
              <w:jc w:val="left"/>
              <w:rPr>
                <w:rFonts w:eastAsia="Calibri"/>
                <w:noProof/>
              </w:rPr>
            </w:pPr>
            <w:r>
              <w:rPr>
                <w:noProof/>
              </w:rPr>
              <w:t>Estonsko</w:t>
            </w:r>
          </w:p>
        </w:tc>
      </w:tr>
      <w:tr>
        <w:tc>
          <w:tcPr>
            <w:tcW w:w="4908" w:type="dxa"/>
            <w:tcBorders>
              <w:bottom w:val="single" w:sz="4" w:space="0" w:color="auto"/>
            </w:tcBorders>
            <w:shd w:val="clear" w:color="auto" w:fill="auto"/>
          </w:tcPr>
          <w:p>
            <w:pPr>
              <w:spacing w:before="60" w:after="60"/>
              <w:jc w:val="left"/>
              <w:rPr>
                <w:rFonts w:eastAsia="Calibri"/>
                <w:noProof/>
              </w:rPr>
            </w:pPr>
            <w:r>
              <w:rPr>
                <w:noProof/>
              </w:rPr>
              <w:t>Dotčený region / dotčené regiony (úroveň NUTS</w:t>
            </w:r>
            <w:r>
              <w:rPr>
                <w:rStyle w:val="FootnoteReference"/>
                <w:noProof/>
              </w:rPr>
              <w:footnoteReference w:id="4"/>
            </w:r>
            <w:r>
              <w:rPr>
                <w:noProof/>
              </w:rPr>
              <w:t> 2)</w:t>
            </w:r>
          </w:p>
        </w:tc>
        <w:tc>
          <w:tcPr>
            <w:tcW w:w="4379" w:type="dxa"/>
            <w:tcBorders>
              <w:bottom w:val="single" w:sz="4" w:space="0" w:color="auto"/>
            </w:tcBorders>
            <w:shd w:val="clear" w:color="auto" w:fill="auto"/>
          </w:tcPr>
          <w:p>
            <w:pPr>
              <w:spacing w:before="0" w:after="0"/>
              <w:ind w:rightChars="192" w:right="461"/>
              <w:jc w:val="left"/>
              <w:rPr>
                <w:noProof/>
                <w:szCs w:val="24"/>
              </w:rPr>
            </w:pPr>
            <w:r>
              <w:rPr>
                <w:noProof/>
              </w:rPr>
              <w:t>EE00–Eesti</w:t>
            </w:r>
            <w:r>
              <w:rPr>
                <w:rStyle w:val="FootnoteReference"/>
                <w:noProof/>
              </w:rPr>
              <w:footnoteReference w:id="5"/>
            </w:r>
          </w:p>
        </w:tc>
      </w:tr>
      <w:tr>
        <w:tc>
          <w:tcPr>
            <w:tcW w:w="4908" w:type="dxa"/>
            <w:tcBorders>
              <w:bottom w:val="dotted" w:sz="4" w:space="0" w:color="auto"/>
            </w:tcBorders>
            <w:shd w:val="clear" w:color="auto" w:fill="auto"/>
          </w:tcPr>
          <w:p>
            <w:pPr>
              <w:spacing w:before="60" w:after="60"/>
              <w:jc w:val="left"/>
              <w:rPr>
                <w:rFonts w:eastAsia="Calibri"/>
                <w:noProof/>
              </w:rPr>
            </w:pPr>
            <w:r>
              <w:rPr>
                <w:noProof/>
              </w:rPr>
              <w:t>Datum podání žádosti</w:t>
            </w:r>
          </w:p>
        </w:tc>
        <w:tc>
          <w:tcPr>
            <w:tcW w:w="4379" w:type="dxa"/>
            <w:tcBorders>
              <w:bottom w:val="dotted" w:sz="4" w:space="0" w:color="auto"/>
            </w:tcBorders>
            <w:shd w:val="clear" w:color="auto" w:fill="auto"/>
          </w:tcPr>
          <w:p>
            <w:pPr>
              <w:spacing w:before="60" w:after="60"/>
              <w:ind w:rightChars="192" w:right="461"/>
              <w:jc w:val="left"/>
              <w:rPr>
                <w:rFonts w:eastAsia="Calibri"/>
                <w:noProof/>
              </w:rPr>
            </w:pPr>
            <w:r>
              <w:rPr>
                <w:noProof/>
              </w:rPr>
              <w:t>11. května 2016</w:t>
            </w:r>
          </w:p>
        </w:tc>
      </w:tr>
      <w:tr>
        <w:tc>
          <w:tcPr>
            <w:tcW w:w="4908" w:type="dxa"/>
            <w:tcBorders>
              <w:top w:val="dotted" w:sz="4" w:space="0" w:color="auto"/>
              <w:bottom w:val="dotted" w:sz="4" w:space="0" w:color="auto"/>
            </w:tcBorders>
            <w:shd w:val="clear" w:color="auto" w:fill="auto"/>
          </w:tcPr>
          <w:p>
            <w:pPr>
              <w:spacing w:before="60" w:after="60"/>
              <w:jc w:val="left"/>
              <w:rPr>
                <w:rFonts w:eastAsia="Calibri"/>
                <w:noProof/>
              </w:rPr>
            </w:pPr>
            <w:r>
              <w:rPr>
                <w:noProof/>
              </w:rPr>
              <w:t>Datum potvrzení přijetí žádosti</w:t>
            </w:r>
          </w:p>
        </w:tc>
        <w:tc>
          <w:tcPr>
            <w:tcW w:w="4379" w:type="dxa"/>
            <w:tcBorders>
              <w:top w:val="dotted" w:sz="4" w:space="0" w:color="auto"/>
              <w:bottom w:val="dotted" w:sz="4" w:space="0" w:color="auto"/>
            </w:tcBorders>
            <w:shd w:val="clear" w:color="auto" w:fill="auto"/>
          </w:tcPr>
          <w:p>
            <w:pPr>
              <w:spacing w:before="60" w:after="60"/>
              <w:ind w:rightChars="192" w:right="461"/>
              <w:jc w:val="left"/>
              <w:rPr>
                <w:rFonts w:eastAsia="Calibri"/>
                <w:noProof/>
              </w:rPr>
            </w:pPr>
            <w:r>
              <w:rPr>
                <w:noProof/>
              </w:rPr>
              <w:t>11. května 2016</w:t>
            </w:r>
          </w:p>
        </w:tc>
      </w:tr>
      <w:tr>
        <w:tc>
          <w:tcPr>
            <w:tcW w:w="4908" w:type="dxa"/>
            <w:tcBorders>
              <w:top w:val="dotted" w:sz="4" w:space="0" w:color="auto"/>
              <w:bottom w:val="dotted" w:sz="4" w:space="0" w:color="auto"/>
            </w:tcBorders>
            <w:shd w:val="clear" w:color="auto" w:fill="auto"/>
          </w:tcPr>
          <w:p>
            <w:pPr>
              <w:spacing w:before="60" w:after="60"/>
              <w:jc w:val="left"/>
              <w:rPr>
                <w:rFonts w:eastAsia="Calibri"/>
                <w:noProof/>
              </w:rPr>
            </w:pPr>
            <w:r>
              <w:rPr>
                <w:noProof/>
              </w:rPr>
              <w:t>Datum žádosti o poskytnutí dodatečných informací</w:t>
            </w:r>
          </w:p>
        </w:tc>
        <w:tc>
          <w:tcPr>
            <w:tcW w:w="4379" w:type="dxa"/>
            <w:tcBorders>
              <w:top w:val="dotted" w:sz="4" w:space="0" w:color="auto"/>
              <w:bottom w:val="dotted" w:sz="4" w:space="0" w:color="auto"/>
            </w:tcBorders>
            <w:shd w:val="clear" w:color="auto" w:fill="auto"/>
          </w:tcPr>
          <w:p>
            <w:pPr>
              <w:spacing w:before="60" w:after="60"/>
              <w:ind w:rightChars="192" w:right="461"/>
              <w:jc w:val="left"/>
              <w:rPr>
                <w:rFonts w:eastAsia="Calibri"/>
                <w:noProof/>
              </w:rPr>
            </w:pPr>
            <w:r>
              <w:rPr>
                <w:noProof/>
              </w:rPr>
              <w:t>25. května 2016</w:t>
            </w:r>
          </w:p>
        </w:tc>
      </w:tr>
      <w:tr>
        <w:tc>
          <w:tcPr>
            <w:tcW w:w="4908" w:type="dxa"/>
            <w:tcBorders>
              <w:top w:val="dotted" w:sz="4" w:space="0" w:color="auto"/>
              <w:bottom w:val="dotted" w:sz="4" w:space="0" w:color="auto"/>
            </w:tcBorders>
            <w:shd w:val="clear" w:color="auto" w:fill="auto"/>
          </w:tcPr>
          <w:p>
            <w:pPr>
              <w:spacing w:before="60" w:after="60"/>
              <w:jc w:val="left"/>
              <w:rPr>
                <w:rFonts w:eastAsia="Calibri"/>
                <w:noProof/>
              </w:rPr>
            </w:pPr>
            <w:r>
              <w:rPr>
                <w:noProof/>
              </w:rPr>
              <w:t>Lhůta pro poskytnutí dodatečných informací</w:t>
            </w:r>
          </w:p>
        </w:tc>
        <w:tc>
          <w:tcPr>
            <w:tcW w:w="4379" w:type="dxa"/>
            <w:tcBorders>
              <w:top w:val="dotted" w:sz="4" w:space="0" w:color="auto"/>
              <w:bottom w:val="dotted" w:sz="4" w:space="0" w:color="auto"/>
            </w:tcBorders>
            <w:shd w:val="clear" w:color="auto" w:fill="auto"/>
          </w:tcPr>
          <w:p>
            <w:pPr>
              <w:spacing w:before="60" w:after="60"/>
              <w:ind w:rightChars="192" w:right="461"/>
              <w:jc w:val="left"/>
              <w:rPr>
                <w:rFonts w:eastAsia="Calibri"/>
                <w:noProof/>
              </w:rPr>
            </w:pPr>
            <w:r>
              <w:rPr>
                <w:noProof/>
              </w:rPr>
              <w:t>6. července 2016</w:t>
            </w:r>
          </w:p>
        </w:tc>
      </w:tr>
      <w:tr>
        <w:tc>
          <w:tcPr>
            <w:tcW w:w="4908" w:type="dxa"/>
            <w:tcBorders>
              <w:top w:val="dotted" w:sz="4" w:space="0" w:color="auto"/>
            </w:tcBorders>
            <w:shd w:val="clear" w:color="auto" w:fill="auto"/>
          </w:tcPr>
          <w:p>
            <w:pPr>
              <w:spacing w:before="60" w:after="60"/>
              <w:jc w:val="left"/>
              <w:rPr>
                <w:rFonts w:eastAsia="Calibri"/>
                <w:noProof/>
              </w:rPr>
            </w:pPr>
            <w:r>
              <w:rPr>
                <w:noProof/>
              </w:rPr>
              <w:t>Lhůta pro vyhotovení posouzení</w:t>
            </w:r>
          </w:p>
        </w:tc>
        <w:tc>
          <w:tcPr>
            <w:tcW w:w="4379" w:type="dxa"/>
            <w:tcBorders>
              <w:top w:val="dotted" w:sz="4" w:space="0" w:color="auto"/>
            </w:tcBorders>
            <w:shd w:val="clear" w:color="auto" w:fill="auto"/>
          </w:tcPr>
          <w:p>
            <w:pPr>
              <w:spacing w:before="60" w:after="60"/>
              <w:ind w:rightChars="192" w:right="461"/>
              <w:jc w:val="left"/>
              <w:rPr>
                <w:rFonts w:eastAsia="Calibri"/>
                <w:noProof/>
              </w:rPr>
            </w:pPr>
            <w:r>
              <w:rPr>
                <w:noProof/>
              </w:rPr>
              <w:t>28. září 2016</w:t>
            </w:r>
          </w:p>
        </w:tc>
      </w:tr>
      <w:tr>
        <w:tc>
          <w:tcPr>
            <w:tcW w:w="4908" w:type="dxa"/>
            <w:shd w:val="clear" w:color="auto" w:fill="auto"/>
          </w:tcPr>
          <w:p>
            <w:pPr>
              <w:spacing w:before="60" w:after="60"/>
              <w:jc w:val="left"/>
              <w:rPr>
                <w:rFonts w:eastAsia="Calibri"/>
                <w:noProof/>
              </w:rPr>
            </w:pPr>
            <w:r>
              <w:rPr>
                <w:noProof/>
              </w:rPr>
              <w:t>Kritérium pro pomoc</w:t>
            </w:r>
          </w:p>
        </w:tc>
        <w:tc>
          <w:tcPr>
            <w:tcW w:w="4379" w:type="dxa"/>
            <w:shd w:val="clear" w:color="auto" w:fill="auto"/>
          </w:tcPr>
          <w:p>
            <w:pPr>
              <w:spacing w:before="60" w:after="60"/>
              <w:ind w:rightChars="192" w:right="461"/>
              <w:jc w:val="left"/>
              <w:rPr>
                <w:rFonts w:eastAsia="Calibri"/>
                <w:noProof/>
              </w:rPr>
            </w:pPr>
            <w:r>
              <w:rPr>
                <w:noProof/>
              </w:rPr>
              <w:t>Čl. 4 odst. 2 nařízení o EFG</w:t>
            </w:r>
          </w:p>
        </w:tc>
      </w:tr>
      <w:tr>
        <w:tc>
          <w:tcPr>
            <w:tcW w:w="4908" w:type="dxa"/>
            <w:tcBorders>
              <w:top w:val="single" w:sz="4" w:space="0" w:color="auto"/>
              <w:bottom w:val="single" w:sz="4" w:space="0" w:color="auto"/>
              <w:right w:val="single" w:sz="4" w:space="0" w:color="auto"/>
            </w:tcBorders>
            <w:shd w:val="clear" w:color="auto" w:fill="auto"/>
          </w:tcPr>
          <w:p>
            <w:pPr>
              <w:spacing w:before="60" w:after="60"/>
              <w:jc w:val="left"/>
              <w:rPr>
                <w:rFonts w:eastAsia="Calibri"/>
                <w:noProof/>
              </w:rPr>
            </w:pPr>
            <w:r>
              <w:rPr>
                <w:noProof/>
              </w:rPr>
              <w:br w:type="page"/>
              <w:t>Počet dotčených podniků</w:t>
            </w:r>
          </w:p>
        </w:tc>
        <w:tc>
          <w:tcPr>
            <w:tcW w:w="4379" w:type="dxa"/>
            <w:tcBorders>
              <w:top w:val="single" w:sz="4" w:space="0" w:color="auto"/>
              <w:left w:val="single" w:sz="4" w:space="0" w:color="auto"/>
              <w:bottom w:val="single" w:sz="4" w:space="0" w:color="auto"/>
            </w:tcBorders>
            <w:shd w:val="clear" w:color="auto" w:fill="auto"/>
          </w:tcPr>
          <w:p>
            <w:pPr>
              <w:spacing w:before="60" w:after="60"/>
              <w:ind w:rightChars="192" w:right="461"/>
              <w:jc w:val="left"/>
              <w:rPr>
                <w:noProof/>
                <w:szCs w:val="24"/>
              </w:rPr>
            </w:pPr>
            <w:r>
              <w:rPr>
                <w:noProof/>
              </w:rPr>
              <w:t>3</w:t>
            </w:r>
          </w:p>
        </w:tc>
      </w:tr>
      <w:tr>
        <w:tc>
          <w:tcPr>
            <w:tcW w:w="4908" w:type="dxa"/>
            <w:shd w:val="clear" w:color="auto" w:fill="auto"/>
          </w:tcPr>
          <w:p>
            <w:pPr>
              <w:spacing w:before="60" w:after="60"/>
              <w:jc w:val="left"/>
              <w:rPr>
                <w:rFonts w:eastAsia="Calibri"/>
                <w:noProof/>
              </w:rPr>
            </w:pPr>
            <w:r>
              <w:rPr>
                <w:noProof/>
              </w:rPr>
              <w:t>Sektor ekonomické činnosti</w:t>
            </w:r>
          </w:p>
          <w:p>
            <w:pPr>
              <w:spacing w:before="60" w:after="60"/>
              <w:jc w:val="left"/>
              <w:rPr>
                <w:rFonts w:eastAsia="Calibri"/>
                <w:noProof/>
              </w:rPr>
            </w:pPr>
            <w:r>
              <w:rPr>
                <w:noProof/>
              </w:rPr>
              <w:t>(oddíl NACE Revize 2)</w:t>
            </w:r>
            <w:r>
              <w:rPr>
                <w:rStyle w:val="FootnoteReference"/>
                <w:noProof/>
              </w:rPr>
              <w:footnoteReference w:id="6"/>
            </w:r>
          </w:p>
        </w:tc>
        <w:tc>
          <w:tcPr>
            <w:tcW w:w="4379" w:type="dxa"/>
            <w:shd w:val="clear" w:color="auto" w:fill="auto"/>
          </w:tcPr>
          <w:p>
            <w:pPr>
              <w:spacing w:before="60" w:after="60"/>
              <w:ind w:rightChars="192" w:right="461"/>
              <w:jc w:val="left"/>
              <w:rPr>
                <w:noProof/>
                <w:szCs w:val="24"/>
              </w:rPr>
            </w:pPr>
            <w:r>
              <w:rPr>
                <w:noProof/>
              </w:rPr>
              <w:t>Oddíl 19 (Výroba koksu a rafinovaných ropných produktů)</w:t>
            </w:r>
          </w:p>
          <w:p>
            <w:pPr>
              <w:spacing w:before="60" w:after="60"/>
              <w:ind w:rightChars="192" w:right="461"/>
              <w:jc w:val="left"/>
              <w:rPr>
                <w:rFonts w:eastAsia="Calibri"/>
                <w:noProof/>
              </w:rPr>
            </w:pPr>
            <w:r>
              <w:rPr>
                <w:noProof/>
              </w:rPr>
              <w:t>Oddíl 20 (Výroba chemických látek a chemických přípravků)</w:t>
            </w:r>
          </w:p>
        </w:tc>
      </w:tr>
      <w:tr>
        <w:tc>
          <w:tcPr>
            <w:tcW w:w="4908" w:type="dxa"/>
            <w:tcBorders>
              <w:bottom w:val="single" w:sz="4" w:space="0" w:color="auto"/>
            </w:tcBorders>
            <w:shd w:val="clear" w:color="auto" w:fill="auto"/>
          </w:tcPr>
          <w:p>
            <w:pPr>
              <w:spacing w:before="60" w:after="60"/>
              <w:jc w:val="left"/>
              <w:rPr>
                <w:rFonts w:eastAsia="Calibri"/>
                <w:noProof/>
              </w:rPr>
            </w:pPr>
            <w:r>
              <w:rPr>
                <w:noProof/>
              </w:rPr>
              <w:t>Referenční období (devět měsíců):</w:t>
            </w:r>
          </w:p>
        </w:tc>
        <w:tc>
          <w:tcPr>
            <w:tcW w:w="4379" w:type="dxa"/>
            <w:tcBorders>
              <w:bottom w:val="single" w:sz="4" w:space="0" w:color="auto"/>
            </w:tcBorders>
            <w:shd w:val="clear" w:color="auto" w:fill="auto"/>
          </w:tcPr>
          <w:p>
            <w:pPr>
              <w:spacing w:before="60" w:after="60"/>
              <w:ind w:rightChars="192" w:right="461"/>
              <w:jc w:val="left"/>
              <w:rPr>
                <w:rFonts w:eastAsia="Calibri"/>
                <w:noProof/>
              </w:rPr>
            </w:pPr>
            <w:r>
              <w:rPr>
                <w:noProof/>
              </w:rPr>
              <w:t>Od 1. srpna 2015 do 1. května 2016</w:t>
            </w:r>
          </w:p>
        </w:tc>
      </w:tr>
      <w:tr>
        <w:tc>
          <w:tcPr>
            <w:tcW w:w="4908" w:type="dxa"/>
            <w:tcBorders>
              <w:top w:val="dotted" w:sz="4" w:space="0" w:color="auto"/>
              <w:bottom w:val="single" w:sz="4" w:space="0" w:color="auto"/>
            </w:tcBorders>
            <w:shd w:val="clear" w:color="auto" w:fill="auto"/>
          </w:tcPr>
          <w:p>
            <w:pPr>
              <w:spacing w:before="60" w:after="60"/>
              <w:jc w:val="left"/>
              <w:rPr>
                <w:rFonts w:eastAsia="Calibri"/>
                <w:noProof/>
              </w:rPr>
            </w:pPr>
            <w:r>
              <w:rPr>
                <w:noProof/>
              </w:rPr>
              <w:t xml:space="preserve">Celkový počet propuštěných pracovníků </w:t>
            </w:r>
          </w:p>
        </w:tc>
        <w:tc>
          <w:tcPr>
            <w:tcW w:w="4379" w:type="dxa"/>
            <w:tcBorders>
              <w:top w:val="dotted" w:sz="4" w:space="0" w:color="auto"/>
              <w:bottom w:val="single" w:sz="4" w:space="0" w:color="auto"/>
            </w:tcBorders>
            <w:shd w:val="clear" w:color="auto" w:fill="auto"/>
          </w:tcPr>
          <w:p>
            <w:pPr>
              <w:spacing w:before="60" w:after="60"/>
              <w:ind w:rightChars="192" w:right="461"/>
              <w:jc w:val="left"/>
              <w:rPr>
                <w:rFonts w:eastAsia="Calibri"/>
                <w:noProof/>
              </w:rPr>
            </w:pPr>
            <w:r>
              <w:rPr>
                <w:noProof/>
              </w:rPr>
              <w:t>1 550</w:t>
            </w:r>
          </w:p>
        </w:tc>
      </w:tr>
      <w:tr>
        <w:tc>
          <w:tcPr>
            <w:tcW w:w="4908" w:type="dxa"/>
            <w:tcBorders>
              <w:bottom w:val="dotted" w:sz="4" w:space="0" w:color="auto"/>
            </w:tcBorders>
            <w:shd w:val="clear" w:color="auto" w:fill="auto"/>
          </w:tcPr>
          <w:p>
            <w:pPr>
              <w:spacing w:before="60" w:after="60"/>
              <w:jc w:val="left"/>
              <w:rPr>
                <w:rFonts w:eastAsia="Calibri"/>
                <w:noProof/>
              </w:rPr>
            </w:pPr>
            <w:r>
              <w:rPr>
                <w:noProof/>
              </w:rPr>
              <w:t>Celkový počet způsobilých příjemců pomoci</w:t>
            </w:r>
          </w:p>
        </w:tc>
        <w:tc>
          <w:tcPr>
            <w:tcW w:w="4379" w:type="dxa"/>
            <w:tcBorders>
              <w:bottom w:val="dotted" w:sz="4" w:space="0" w:color="auto"/>
            </w:tcBorders>
            <w:shd w:val="clear" w:color="auto" w:fill="auto"/>
          </w:tcPr>
          <w:p>
            <w:pPr>
              <w:spacing w:before="60" w:after="60"/>
              <w:ind w:rightChars="192" w:right="461"/>
              <w:jc w:val="left"/>
              <w:rPr>
                <w:rFonts w:eastAsia="Calibri"/>
                <w:noProof/>
              </w:rPr>
            </w:pPr>
            <w:r>
              <w:rPr>
                <w:noProof/>
              </w:rPr>
              <w:t>1 550</w:t>
            </w:r>
          </w:p>
        </w:tc>
      </w:tr>
      <w:tr>
        <w:tc>
          <w:tcPr>
            <w:tcW w:w="4908" w:type="dxa"/>
            <w:tcBorders>
              <w:top w:val="dotted" w:sz="4" w:space="0" w:color="auto"/>
              <w:bottom w:val="dotted" w:sz="4" w:space="0" w:color="auto"/>
            </w:tcBorders>
            <w:shd w:val="clear" w:color="auto" w:fill="auto"/>
          </w:tcPr>
          <w:p>
            <w:pPr>
              <w:spacing w:before="60" w:after="60"/>
              <w:jc w:val="left"/>
              <w:rPr>
                <w:rFonts w:eastAsia="Calibri"/>
                <w:noProof/>
              </w:rPr>
            </w:pPr>
            <w:r>
              <w:rPr>
                <w:noProof/>
              </w:rPr>
              <w:t>Celkový počet cílových příjemců pomoci</w:t>
            </w:r>
          </w:p>
        </w:tc>
        <w:tc>
          <w:tcPr>
            <w:tcW w:w="4379" w:type="dxa"/>
            <w:tcBorders>
              <w:top w:val="dotted" w:sz="4" w:space="0" w:color="auto"/>
              <w:bottom w:val="dotted" w:sz="4" w:space="0" w:color="auto"/>
            </w:tcBorders>
            <w:shd w:val="clear" w:color="auto" w:fill="auto"/>
          </w:tcPr>
          <w:p>
            <w:pPr>
              <w:spacing w:before="60" w:after="60"/>
              <w:ind w:rightChars="192" w:right="461"/>
              <w:jc w:val="left"/>
              <w:rPr>
                <w:rFonts w:eastAsia="Calibri"/>
                <w:noProof/>
              </w:rPr>
            </w:pPr>
            <w:r>
              <w:rPr>
                <w:noProof/>
              </w:rPr>
              <w:t>800</w:t>
            </w:r>
          </w:p>
        </w:tc>
      </w:tr>
      <w:tr>
        <w:tc>
          <w:tcPr>
            <w:tcW w:w="4908" w:type="dxa"/>
            <w:tcBorders>
              <w:top w:val="dotted" w:sz="4" w:space="0" w:color="auto"/>
              <w:bottom w:val="single" w:sz="4" w:space="0" w:color="auto"/>
            </w:tcBorders>
            <w:shd w:val="clear" w:color="auto" w:fill="auto"/>
          </w:tcPr>
          <w:p>
            <w:pPr>
              <w:spacing w:before="60" w:after="60"/>
              <w:jc w:val="left"/>
              <w:rPr>
                <w:rFonts w:eastAsia="Calibri"/>
                <w:noProof/>
              </w:rPr>
            </w:pPr>
            <w:r>
              <w:rPr>
                <w:noProof/>
              </w:rPr>
              <w:t>Počet cílových mladých lidí, kteří nejsou zaměstnaní ani se neúčastní vzdělávání nebo odborné přípravy (tzv. „NEET“)</w:t>
            </w:r>
          </w:p>
        </w:tc>
        <w:tc>
          <w:tcPr>
            <w:tcW w:w="4379" w:type="dxa"/>
            <w:tcBorders>
              <w:top w:val="dotted" w:sz="4" w:space="0" w:color="auto"/>
              <w:bottom w:val="single" w:sz="4" w:space="0" w:color="auto"/>
            </w:tcBorders>
            <w:shd w:val="clear" w:color="auto" w:fill="auto"/>
          </w:tcPr>
          <w:p>
            <w:pPr>
              <w:spacing w:before="60" w:after="60"/>
              <w:ind w:rightChars="192" w:right="461"/>
              <w:jc w:val="left"/>
              <w:rPr>
                <w:rFonts w:eastAsia="Calibri"/>
                <w:noProof/>
              </w:rPr>
            </w:pPr>
            <w:r>
              <w:rPr>
                <w:noProof/>
              </w:rPr>
              <w:t>0</w:t>
            </w:r>
          </w:p>
        </w:tc>
      </w:tr>
      <w:tr>
        <w:tc>
          <w:tcPr>
            <w:tcW w:w="4908" w:type="dxa"/>
            <w:tcBorders>
              <w:bottom w:val="dotted" w:sz="4" w:space="0" w:color="auto"/>
            </w:tcBorders>
            <w:shd w:val="clear" w:color="auto" w:fill="auto"/>
            <w:vAlign w:val="center"/>
          </w:tcPr>
          <w:p>
            <w:pPr>
              <w:spacing w:before="0" w:after="0"/>
              <w:jc w:val="left"/>
              <w:rPr>
                <w:noProof/>
              </w:rPr>
            </w:pPr>
            <w:r>
              <w:rPr>
                <w:noProof/>
              </w:rPr>
              <w:t>Rozpočet na individualizované služby (v EUR)</w:t>
            </w:r>
          </w:p>
        </w:tc>
        <w:tc>
          <w:tcPr>
            <w:tcW w:w="4379" w:type="dxa"/>
            <w:tcBorders>
              <w:bottom w:val="dotted" w:sz="4" w:space="0" w:color="auto"/>
            </w:tcBorders>
            <w:shd w:val="clear" w:color="auto" w:fill="auto"/>
            <w:vAlign w:val="center"/>
          </w:tcPr>
          <w:p>
            <w:pPr>
              <w:spacing w:before="0" w:after="0"/>
              <w:ind w:rightChars="192" w:right="461"/>
              <w:jc w:val="left"/>
              <w:rPr>
                <w:noProof/>
              </w:rPr>
            </w:pPr>
            <w:r>
              <w:rPr>
                <w:noProof/>
              </w:rPr>
              <w:t>1 740 070</w:t>
            </w:r>
          </w:p>
        </w:tc>
      </w:tr>
      <w:tr>
        <w:tc>
          <w:tcPr>
            <w:tcW w:w="4908" w:type="dxa"/>
            <w:tcBorders>
              <w:top w:val="dotted" w:sz="4" w:space="0" w:color="auto"/>
              <w:bottom w:val="dotted" w:sz="4" w:space="0" w:color="auto"/>
            </w:tcBorders>
            <w:shd w:val="clear" w:color="auto" w:fill="auto"/>
            <w:vAlign w:val="center"/>
          </w:tcPr>
          <w:p>
            <w:pPr>
              <w:spacing w:before="0" w:after="0"/>
              <w:jc w:val="left"/>
              <w:rPr>
                <w:noProof/>
              </w:rPr>
            </w:pPr>
            <w:r>
              <w:rPr>
                <w:noProof/>
              </w:rPr>
              <w:t>Rozpočet na provádění EFG</w:t>
            </w:r>
            <w:r>
              <w:rPr>
                <w:rStyle w:val="FootnoteReference"/>
                <w:noProof/>
              </w:rPr>
              <w:footnoteReference w:id="7"/>
            </w:r>
            <w:r>
              <w:rPr>
                <w:noProof/>
              </w:rPr>
              <w:t xml:space="preserve"> (v EUR)</w:t>
            </w:r>
          </w:p>
        </w:tc>
        <w:tc>
          <w:tcPr>
            <w:tcW w:w="4379" w:type="dxa"/>
            <w:tcBorders>
              <w:top w:val="dotted" w:sz="4" w:space="0" w:color="auto"/>
              <w:bottom w:val="dotted" w:sz="4" w:space="0" w:color="auto"/>
            </w:tcBorders>
            <w:shd w:val="clear" w:color="auto" w:fill="auto"/>
            <w:vAlign w:val="center"/>
          </w:tcPr>
          <w:p>
            <w:pPr>
              <w:spacing w:before="0" w:after="0"/>
              <w:ind w:rightChars="192" w:right="461"/>
              <w:jc w:val="left"/>
              <w:rPr>
                <w:noProof/>
              </w:rPr>
            </w:pPr>
            <w:r>
              <w:rPr>
                <w:noProof/>
              </w:rPr>
              <w:t>145 527</w:t>
            </w:r>
          </w:p>
        </w:tc>
      </w:tr>
      <w:tr>
        <w:tc>
          <w:tcPr>
            <w:tcW w:w="4908" w:type="dxa"/>
            <w:tcBorders>
              <w:top w:val="dotted" w:sz="4" w:space="0" w:color="auto"/>
              <w:bottom w:val="dotted" w:sz="4" w:space="0" w:color="auto"/>
            </w:tcBorders>
            <w:shd w:val="clear" w:color="auto" w:fill="auto"/>
            <w:vAlign w:val="center"/>
          </w:tcPr>
          <w:p>
            <w:pPr>
              <w:spacing w:before="0" w:after="0"/>
              <w:jc w:val="left"/>
              <w:rPr>
                <w:noProof/>
              </w:rPr>
            </w:pPr>
            <w:r>
              <w:rPr>
                <w:noProof/>
              </w:rPr>
              <w:t>Celkový rozpočet (v EUR)</w:t>
            </w:r>
          </w:p>
        </w:tc>
        <w:tc>
          <w:tcPr>
            <w:tcW w:w="4379" w:type="dxa"/>
            <w:tcBorders>
              <w:top w:val="dotted" w:sz="4" w:space="0" w:color="auto"/>
              <w:bottom w:val="dotted" w:sz="4" w:space="0" w:color="auto"/>
            </w:tcBorders>
            <w:shd w:val="clear" w:color="auto" w:fill="auto"/>
            <w:vAlign w:val="center"/>
          </w:tcPr>
          <w:p>
            <w:pPr>
              <w:spacing w:before="0" w:after="0"/>
              <w:ind w:rightChars="192" w:right="461"/>
              <w:jc w:val="left"/>
              <w:rPr>
                <w:noProof/>
              </w:rPr>
            </w:pPr>
            <w:r>
              <w:rPr>
                <w:noProof/>
              </w:rPr>
              <w:t>1 885 597</w:t>
            </w:r>
          </w:p>
        </w:tc>
      </w:tr>
      <w:tr>
        <w:tc>
          <w:tcPr>
            <w:tcW w:w="4908" w:type="dxa"/>
            <w:tcBorders>
              <w:top w:val="dotted" w:sz="4" w:space="0" w:color="auto"/>
            </w:tcBorders>
            <w:shd w:val="clear" w:color="auto" w:fill="auto"/>
            <w:vAlign w:val="center"/>
          </w:tcPr>
          <w:p>
            <w:pPr>
              <w:spacing w:before="0" w:after="0"/>
              <w:jc w:val="left"/>
              <w:rPr>
                <w:noProof/>
              </w:rPr>
            </w:pPr>
            <w:r>
              <w:rPr>
                <w:noProof/>
              </w:rPr>
              <w:t>Příspěvek z EFG (60 %) (v EUR)</w:t>
            </w:r>
          </w:p>
        </w:tc>
        <w:tc>
          <w:tcPr>
            <w:tcW w:w="4379" w:type="dxa"/>
            <w:tcBorders>
              <w:top w:val="dotted" w:sz="4" w:space="0" w:color="auto"/>
            </w:tcBorders>
            <w:shd w:val="clear" w:color="auto" w:fill="auto"/>
            <w:vAlign w:val="center"/>
          </w:tcPr>
          <w:p>
            <w:pPr>
              <w:spacing w:before="0" w:after="0"/>
              <w:ind w:rightChars="192" w:right="461"/>
              <w:jc w:val="left"/>
              <w:rPr>
                <w:noProof/>
              </w:rPr>
            </w:pPr>
            <w:r>
              <w:rPr>
                <w:noProof/>
              </w:rPr>
              <w:t>1 131 358</w:t>
            </w:r>
          </w:p>
        </w:tc>
      </w:tr>
    </w:tbl>
    <w:p>
      <w:pPr>
        <w:pStyle w:val="ManualHeading1"/>
        <w:rPr>
          <w:noProof/>
        </w:rPr>
      </w:pPr>
      <w:r>
        <w:rPr>
          <w:noProof/>
        </w:rPr>
        <w:t>POSOUZENÍ ŽÁDOSTI</w:t>
      </w:r>
    </w:p>
    <w:p>
      <w:pPr>
        <w:pStyle w:val="ManualHeading2"/>
        <w:rPr>
          <w:noProof/>
        </w:rPr>
      </w:pPr>
      <w:r>
        <w:rPr>
          <w:noProof/>
        </w:rPr>
        <w:t>Postup</w:t>
      </w:r>
    </w:p>
    <w:p>
      <w:pPr>
        <w:pStyle w:val="ManualNumPar1"/>
        <w:rPr>
          <w:noProof/>
        </w:rPr>
      </w:pPr>
      <w:r>
        <w:t>4.</w:t>
      </w:r>
      <w:r>
        <w:tab/>
      </w:r>
      <w:r>
        <w:rPr>
          <w:noProof/>
        </w:rPr>
        <w:t xml:space="preserve">Estonsko podalo žádost EGF/2016/003 EE/ropa a chemické látky dne 11. května 2016, tedy do dvanácti týdnů ode dne, kdy byla splněna kritéria pro pomoc stanovená v článku 4 nařízení o EFG. Komise potvrdila přijetí dne 11. května 2016 a vyžádala si od Estonska další informace dne 25. května 2016. Tyto dodatečné informace byly poskytnuty do šesti týdnů od uvedeného požadavku. Lhůta dvanácti týdnů od obdržení úplné žádosti, během níž má Komise dokončit své posouzení, zda žádost vyhovuje podmínkám pro poskytnutí finančního příspěvku, uplyne dne 28. září 2016. </w:t>
      </w:r>
    </w:p>
    <w:p>
      <w:pPr>
        <w:pStyle w:val="ManualHeading2"/>
        <w:rPr>
          <w:noProof/>
        </w:rPr>
      </w:pPr>
      <w:r>
        <w:rPr>
          <w:noProof/>
        </w:rPr>
        <w:t>Způsobilost žádosti</w:t>
      </w:r>
    </w:p>
    <w:p>
      <w:pPr>
        <w:pStyle w:val="ManualHeading3"/>
        <w:rPr>
          <w:noProof/>
        </w:rPr>
      </w:pPr>
      <w:r>
        <w:rPr>
          <w:noProof/>
        </w:rPr>
        <w:t>Dotčené podniky a příjemci pomoci</w:t>
      </w:r>
    </w:p>
    <w:p>
      <w:pPr>
        <w:pStyle w:val="ManualNumPar1"/>
        <w:rPr>
          <w:noProof/>
          <w:szCs w:val="24"/>
        </w:rPr>
      </w:pPr>
      <w:r>
        <w:t>5.</w:t>
      </w:r>
      <w:r>
        <w:tab/>
      </w:r>
      <w:r>
        <w:rPr>
          <w:noProof/>
        </w:rPr>
        <w:t>Žádost se týká 1 550 pracovníků propuštěných v hospodářských odvětvích, která jsou v rámci klasifikace NACE Revize 2 řazena do oddílu 19 (Výroba koksu a rafinovaných ropných produktů) a do oddílu 20 (Výroba chemických látek a chemických přípravků).</w:t>
      </w:r>
    </w:p>
    <w:tbl>
      <w:tblPr>
        <w:tblW w:w="8280" w:type="dxa"/>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40"/>
        <w:gridCol w:w="30"/>
        <w:gridCol w:w="3270"/>
        <w:gridCol w:w="1140"/>
      </w:tblGrid>
      <w:tr>
        <w:trPr>
          <w:trHeight w:val="284"/>
          <w:tblHeader/>
        </w:trPr>
        <w:tc>
          <w:tcPr>
            <w:tcW w:w="8280" w:type="dxa"/>
            <w:gridSpan w:val="4"/>
            <w:tcBorders>
              <w:bottom w:val="single" w:sz="4" w:space="0" w:color="auto"/>
            </w:tcBorders>
            <w:shd w:val="clear" w:color="auto" w:fill="D9D9D9" w:themeFill="background1" w:themeFillShade="D9"/>
          </w:tcPr>
          <w:p>
            <w:pPr>
              <w:spacing w:beforeLines="20" w:before="48" w:afterLines="20" w:after="48" w:line="276" w:lineRule="auto"/>
              <w:ind w:left="57"/>
              <w:jc w:val="center"/>
              <w:rPr>
                <w:rFonts w:eastAsia="Calibri"/>
                <w:noProof/>
                <w:szCs w:val="24"/>
              </w:rPr>
            </w:pPr>
            <w:r>
              <w:rPr>
                <w:b/>
                <w:noProof/>
              </w:rPr>
              <w:t>Podniky a počet propuštěných osob během referenčního období</w:t>
            </w:r>
          </w:p>
        </w:tc>
      </w:tr>
      <w:tr>
        <w:trPr>
          <w:trHeight w:val="230"/>
        </w:trPr>
        <w:tc>
          <w:tcPr>
            <w:tcW w:w="3870" w:type="dxa"/>
            <w:gridSpan w:val="2"/>
            <w:vMerge w:val="restart"/>
            <w:tcBorders>
              <w:bottom w:val="single" w:sz="4" w:space="0" w:color="auto"/>
              <w:right w:val="single" w:sz="4" w:space="0" w:color="auto"/>
            </w:tcBorders>
            <w:shd w:val="clear" w:color="auto" w:fill="auto"/>
            <w:vAlign w:val="center"/>
          </w:tcPr>
          <w:p>
            <w:pPr>
              <w:tabs>
                <w:tab w:val="left" w:pos="3654"/>
              </w:tabs>
              <w:spacing w:before="0" w:after="0"/>
              <w:ind w:right="252"/>
              <w:jc w:val="left"/>
              <w:rPr>
                <w:noProof/>
                <w:sz w:val="20"/>
              </w:rPr>
            </w:pPr>
            <w:r>
              <w:rPr>
                <w:noProof/>
                <w:sz w:val="20"/>
              </w:rPr>
              <w:t>Eesti Energia AS</w:t>
            </w:r>
          </w:p>
        </w:tc>
        <w:tc>
          <w:tcPr>
            <w:tcW w:w="4410" w:type="dxa"/>
            <w:gridSpan w:val="2"/>
            <w:vMerge w:val="restart"/>
            <w:tcBorders>
              <w:left w:val="single" w:sz="4" w:space="0" w:color="auto"/>
              <w:bottom w:val="single" w:sz="4" w:space="0" w:color="auto"/>
              <w:right w:val="single" w:sz="4" w:space="0" w:color="auto"/>
            </w:tcBorders>
            <w:shd w:val="clear" w:color="auto" w:fill="auto"/>
            <w:vAlign w:val="center"/>
          </w:tcPr>
          <w:p>
            <w:pPr>
              <w:tabs>
                <w:tab w:val="left" w:pos="3654"/>
              </w:tabs>
              <w:spacing w:before="0" w:after="0"/>
              <w:jc w:val="center"/>
              <w:rPr>
                <w:noProof/>
                <w:sz w:val="20"/>
              </w:rPr>
            </w:pPr>
            <w:r>
              <w:rPr>
                <w:noProof/>
                <w:sz w:val="20"/>
              </w:rPr>
              <w:t>532</w:t>
            </w:r>
          </w:p>
        </w:tc>
      </w:tr>
      <w:tr>
        <w:trPr>
          <w:trHeight w:val="230"/>
        </w:trPr>
        <w:tc>
          <w:tcPr>
            <w:tcW w:w="3870" w:type="dxa"/>
            <w:gridSpan w:val="2"/>
            <w:vMerge/>
            <w:tcBorders>
              <w:top w:val="single" w:sz="4" w:space="0" w:color="auto"/>
              <w:bottom w:val="single" w:sz="4" w:space="0" w:color="auto"/>
              <w:right w:val="single" w:sz="4" w:space="0" w:color="auto"/>
            </w:tcBorders>
            <w:shd w:val="clear" w:color="auto" w:fill="auto"/>
            <w:vAlign w:val="center"/>
          </w:tcPr>
          <w:p>
            <w:pPr>
              <w:tabs>
                <w:tab w:val="left" w:pos="3654"/>
              </w:tabs>
              <w:spacing w:before="0" w:after="0"/>
              <w:jc w:val="left"/>
              <w:rPr>
                <w:noProof/>
                <w:sz w:val="20"/>
              </w:rPr>
            </w:pPr>
          </w:p>
        </w:tc>
        <w:tc>
          <w:tcPr>
            <w:tcW w:w="4410"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pPr>
              <w:tabs>
                <w:tab w:val="left" w:pos="3654"/>
              </w:tabs>
              <w:spacing w:before="0" w:after="0"/>
              <w:jc w:val="center"/>
              <w:rPr>
                <w:noProof/>
                <w:sz w:val="20"/>
              </w:rPr>
            </w:pPr>
          </w:p>
        </w:tc>
      </w:tr>
      <w:tr>
        <w:trPr>
          <w:trHeight w:val="230"/>
        </w:trPr>
        <w:tc>
          <w:tcPr>
            <w:tcW w:w="3870" w:type="dxa"/>
            <w:gridSpan w:val="2"/>
            <w:vMerge w:val="restart"/>
            <w:tcBorders>
              <w:top w:val="single" w:sz="4" w:space="0" w:color="auto"/>
              <w:bottom w:val="single" w:sz="4" w:space="0" w:color="auto"/>
              <w:right w:val="single" w:sz="4" w:space="0" w:color="auto"/>
            </w:tcBorders>
            <w:shd w:val="clear" w:color="auto" w:fill="auto"/>
            <w:vAlign w:val="center"/>
          </w:tcPr>
          <w:p>
            <w:pPr>
              <w:tabs>
                <w:tab w:val="left" w:pos="3654"/>
              </w:tabs>
              <w:spacing w:before="0" w:after="0"/>
              <w:jc w:val="left"/>
              <w:rPr>
                <w:noProof/>
                <w:sz w:val="20"/>
              </w:rPr>
            </w:pPr>
            <w:r>
              <w:rPr>
                <w:noProof/>
                <w:sz w:val="20"/>
              </w:rPr>
              <w:t>Nitrofert AS</w:t>
            </w:r>
          </w:p>
        </w:tc>
        <w:tc>
          <w:tcPr>
            <w:tcW w:w="441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pPr>
              <w:tabs>
                <w:tab w:val="left" w:pos="3654"/>
              </w:tabs>
              <w:spacing w:before="0" w:after="0"/>
              <w:jc w:val="center"/>
              <w:rPr>
                <w:noProof/>
                <w:sz w:val="20"/>
              </w:rPr>
            </w:pPr>
            <w:r>
              <w:rPr>
                <w:noProof/>
                <w:sz w:val="20"/>
              </w:rPr>
              <w:t>421</w:t>
            </w:r>
          </w:p>
        </w:tc>
      </w:tr>
      <w:tr>
        <w:trPr>
          <w:trHeight w:val="230"/>
        </w:trPr>
        <w:tc>
          <w:tcPr>
            <w:tcW w:w="3870" w:type="dxa"/>
            <w:gridSpan w:val="2"/>
            <w:vMerge/>
            <w:tcBorders>
              <w:top w:val="single" w:sz="4" w:space="0" w:color="auto"/>
              <w:bottom w:val="single" w:sz="4" w:space="0" w:color="auto"/>
              <w:right w:val="single" w:sz="4" w:space="0" w:color="auto"/>
            </w:tcBorders>
            <w:shd w:val="clear" w:color="auto" w:fill="auto"/>
            <w:vAlign w:val="center"/>
          </w:tcPr>
          <w:p>
            <w:pPr>
              <w:tabs>
                <w:tab w:val="left" w:pos="3654"/>
              </w:tabs>
              <w:spacing w:before="0" w:after="0"/>
              <w:jc w:val="left"/>
              <w:rPr>
                <w:noProof/>
                <w:sz w:val="20"/>
              </w:rPr>
            </w:pPr>
          </w:p>
        </w:tc>
        <w:tc>
          <w:tcPr>
            <w:tcW w:w="4410"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pPr>
              <w:tabs>
                <w:tab w:val="left" w:pos="3654"/>
              </w:tabs>
              <w:spacing w:before="0" w:after="0"/>
              <w:jc w:val="center"/>
              <w:rPr>
                <w:noProof/>
                <w:sz w:val="20"/>
              </w:rPr>
            </w:pPr>
          </w:p>
        </w:tc>
      </w:tr>
      <w:tr>
        <w:trPr>
          <w:trHeight w:val="230"/>
        </w:trPr>
        <w:tc>
          <w:tcPr>
            <w:tcW w:w="3870" w:type="dxa"/>
            <w:gridSpan w:val="2"/>
            <w:vMerge w:val="restart"/>
            <w:tcBorders>
              <w:top w:val="single" w:sz="4" w:space="0" w:color="auto"/>
              <w:bottom w:val="single" w:sz="4" w:space="0" w:color="auto"/>
              <w:right w:val="single" w:sz="4" w:space="0" w:color="auto"/>
            </w:tcBorders>
            <w:shd w:val="clear" w:color="auto" w:fill="auto"/>
            <w:vAlign w:val="center"/>
          </w:tcPr>
          <w:p>
            <w:pPr>
              <w:tabs>
                <w:tab w:val="left" w:pos="3654"/>
              </w:tabs>
              <w:spacing w:before="0" w:after="0"/>
              <w:jc w:val="left"/>
              <w:rPr>
                <w:noProof/>
                <w:sz w:val="20"/>
              </w:rPr>
            </w:pPr>
            <w:r>
              <w:rPr>
                <w:noProof/>
                <w:sz w:val="20"/>
              </w:rPr>
              <w:t>Viru Keemia Grupp AS (VKG)</w:t>
            </w:r>
          </w:p>
        </w:tc>
        <w:tc>
          <w:tcPr>
            <w:tcW w:w="441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pPr>
              <w:tabs>
                <w:tab w:val="left" w:pos="3654"/>
              </w:tabs>
              <w:spacing w:before="0" w:after="0"/>
              <w:jc w:val="center"/>
              <w:rPr>
                <w:noProof/>
                <w:sz w:val="20"/>
              </w:rPr>
            </w:pPr>
            <w:r>
              <w:rPr>
                <w:noProof/>
                <w:sz w:val="20"/>
              </w:rPr>
              <w:t>597</w:t>
            </w:r>
          </w:p>
        </w:tc>
      </w:tr>
      <w:tr>
        <w:trPr>
          <w:trHeight w:val="230"/>
        </w:trPr>
        <w:tc>
          <w:tcPr>
            <w:tcW w:w="3870" w:type="dxa"/>
            <w:gridSpan w:val="2"/>
            <w:vMerge/>
            <w:tcBorders>
              <w:top w:val="single" w:sz="4" w:space="0" w:color="auto"/>
              <w:bottom w:val="single" w:sz="4" w:space="0" w:color="auto"/>
              <w:right w:val="single" w:sz="4" w:space="0" w:color="auto"/>
            </w:tcBorders>
            <w:shd w:val="clear" w:color="auto" w:fill="auto"/>
            <w:vAlign w:val="center"/>
          </w:tcPr>
          <w:p>
            <w:pPr>
              <w:spacing w:before="0" w:after="0"/>
              <w:jc w:val="left"/>
              <w:rPr>
                <w:noProof/>
                <w:sz w:val="20"/>
              </w:rPr>
            </w:pPr>
          </w:p>
        </w:tc>
        <w:tc>
          <w:tcPr>
            <w:tcW w:w="4410"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pPr>
              <w:spacing w:before="0" w:after="0"/>
              <w:jc w:val="left"/>
              <w:rPr>
                <w:noProof/>
                <w:sz w:val="20"/>
              </w:rPr>
            </w:pPr>
          </w:p>
        </w:tc>
      </w:tr>
      <w:tr>
        <w:trPr>
          <w:trHeight w:val="284"/>
        </w:trPr>
        <w:tc>
          <w:tcPr>
            <w:tcW w:w="3840" w:type="dxa"/>
            <w:tcBorders>
              <w:bottom w:val="nil"/>
              <w:right w:val="nil"/>
            </w:tcBorders>
            <w:shd w:val="clear" w:color="auto" w:fill="E6E6E6"/>
            <w:vAlign w:val="center"/>
          </w:tcPr>
          <w:p>
            <w:pPr>
              <w:spacing w:beforeLines="20" w:before="48" w:afterLines="20" w:after="48" w:line="276" w:lineRule="auto"/>
              <w:ind w:left="57"/>
              <w:jc w:val="left"/>
              <w:rPr>
                <w:rFonts w:eastAsia="Calibri"/>
                <w:b/>
                <w:noProof/>
                <w:szCs w:val="24"/>
              </w:rPr>
            </w:pPr>
            <w:r>
              <w:rPr>
                <w:noProof/>
              </w:rPr>
              <w:br w:type="page"/>
            </w:r>
            <w:r>
              <w:rPr>
                <w:b/>
                <w:noProof/>
              </w:rPr>
              <w:t>Celkový počet podniků:</w:t>
            </w:r>
            <w:r>
              <w:rPr>
                <w:b/>
                <w:noProof/>
                <w:sz w:val="22"/>
              </w:rPr>
              <w:t xml:space="preserve"> </w:t>
            </w:r>
            <w:r>
              <w:rPr>
                <w:b/>
                <w:noProof/>
              </w:rPr>
              <w:t>3</w:t>
            </w:r>
          </w:p>
        </w:tc>
        <w:tc>
          <w:tcPr>
            <w:tcW w:w="3300" w:type="dxa"/>
            <w:gridSpan w:val="2"/>
            <w:tcBorders>
              <w:left w:val="nil"/>
              <w:bottom w:val="nil"/>
              <w:right w:val="nil"/>
            </w:tcBorders>
            <w:shd w:val="clear" w:color="auto" w:fill="E6E6E6"/>
            <w:vAlign w:val="center"/>
          </w:tcPr>
          <w:p>
            <w:pPr>
              <w:spacing w:beforeLines="20" w:before="48" w:afterLines="20" w:after="48" w:line="276" w:lineRule="auto"/>
              <w:ind w:left="57" w:right="227"/>
              <w:jc w:val="left"/>
              <w:rPr>
                <w:rFonts w:eastAsia="Calibri"/>
                <w:b/>
                <w:noProof/>
                <w:szCs w:val="24"/>
              </w:rPr>
            </w:pPr>
            <w:r>
              <w:rPr>
                <w:b/>
                <w:noProof/>
              </w:rPr>
              <w:t>Celkový počet propuštěných osob:</w:t>
            </w:r>
            <w:r>
              <w:rPr>
                <w:b/>
                <w:noProof/>
                <w:sz w:val="22"/>
              </w:rPr>
              <w:t xml:space="preserve"> </w:t>
            </w:r>
          </w:p>
        </w:tc>
        <w:tc>
          <w:tcPr>
            <w:tcW w:w="1140" w:type="dxa"/>
            <w:tcBorders>
              <w:left w:val="nil"/>
              <w:bottom w:val="nil"/>
            </w:tcBorders>
            <w:shd w:val="clear" w:color="auto" w:fill="E6E6E6"/>
            <w:vAlign w:val="center"/>
          </w:tcPr>
          <w:p>
            <w:pPr>
              <w:spacing w:beforeLines="20" w:before="48" w:afterLines="20" w:after="48" w:line="276" w:lineRule="auto"/>
              <w:ind w:left="57" w:right="227"/>
              <w:jc w:val="left"/>
              <w:rPr>
                <w:rFonts w:eastAsia="Calibri"/>
                <w:b/>
                <w:noProof/>
                <w:szCs w:val="24"/>
              </w:rPr>
            </w:pPr>
            <w:r>
              <w:rPr>
                <w:b/>
                <w:noProof/>
              </w:rPr>
              <w:t>1</w:t>
            </w:r>
            <w:r>
              <w:rPr>
                <w:noProof/>
              </w:rPr>
              <w:t> </w:t>
            </w:r>
            <w:r>
              <w:rPr>
                <w:b/>
                <w:noProof/>
              </w:rPr>
              <w:t>550</w:t>
            </w:r>
          </w:p>
        </w:tc>
      </w:tr>
      <w:tr>
        <w:trPr>
          <w:trHeight w:val="284"/>
        </w:trPr>
        <w:tc>
          <w:tcPr>
            <w:tcW w:w="7140" w:type="dxa"/>
            <w:gridSpan w:val="3"/>
            <w:tcBorders>
              <w:top w:val="nil"/>
              <w:bottom w:val="nil"/>
              <w:right w:val="nil"/>
            </w:tcBorders>
            <w:shd w:val="clear" w:color="auto" w:fill="E6E6E6"/>
            <w:vAlign w:val="center"/>
          </w:tcPr>
          <w:p>
            <w:pPr>
              <w:spacing w:beforeLines="20" w:before="48" w:afterLines="20" w:after="48" w:line="276" w:lineRule="auto"/>
              <w:ind w:left="57" w:right="227"/>
              <w:jc w:val="left"/>
              <w:rPr>
                <w:rFonts w:eastAsia="Calibri"/>
                <w:b/>
                <w:noProof/>
                <w:szCs w:val="24"/>
              </w:rPr>
            </w:pPr>
            <w:r>
              <w:rPr>
                <w:b/>
                <w:noProof/>
              </w:rPr>
              <w:t>Celkový počet osob samostatně výdělečně činných, které přestaly vykonávat svou činnost:</w:t>
            </w:r>
            <w:r>
              <w:rPr>
                <w:noProof/>
              </w:rPr>
              <w:t xml:space="preserve"> </w:t>
            </w:r>
          </w:p>
        </w:tc>
        <w:tc>
          <w:tcPr>
            <w:tcW w:w="1140" w:type="dxa"/>
            <w:tcBorders>
              <w:top w:val="nil"/>
              <w:left w:val="nil"/>
              <w:bottom w:val="nil"/>
            </w:tcBorders>
            <w:shd w:val="clear" w:color="auto" w:fill="E6E6E6"/>
            <w:vAlign w:val="center"/>
          </w:tcPr>
          <w:p>
            <w:pPr>
              <w:spacing w:beforeLines="20" w:before="48" w:afterLines="20" w:after="48" w:line="276" w:lineRule="auto"/>
              <w:ind w:left="57" w:right="227"/>
              <w:jc w:val="left"/>
              <w:rPr>
                <w:rFonts w:eastAsia="Calibri"/>
                <w:b/>
                <w:noProof/>
                <w:szCs w:val="24"/>
              </w:rPr>
            </w:pPr>
            <w:r>
              <w:rPr>
                <w:b/>
                <w:noProof/>
              </w:rPr>
              <w:t>0</w:t>
            </w:r>
          </w:p>
        </w:tc>
      </w:tr>
      <w:tr>
        <w:trPr>
          <w:trHeight w:val="284"/>
        </w:trPr>
        <w:tc>
          <w:tcPr>
            <w:tcW w:w="7140" w:type="dxa"/>
            <w:gridSpan w:val="3"/>
            <w:tcBorders>
              <w:top w:val="nil"/>
              <w:right w:val="nil"/>
            </w:tcBorders>
            <w:shd w:val="clear" w:color="auto" w:fill="E6E6E6"/>
            <w:vAlign w:val="center"/>
          </w:tcPr>
          <w:p>
            <w:pPr>
              <w:spacing w:beforeLines="20" w:before="48" w:afterLines="20" w:after="48" w:line="276" w:lineRule="auto"/>
              <w:ind w:left="57"/>
              <w:jc w:val="left"/>
              <w:rPr>
                <w:rFonts w:eastAsia="Calibri"/>
                <w:b/>
                <w:noProof/>
                <w:szCs w:val="24"/>
              </w:rPr>
            </w:pPr>
            <w:r>
              <w:rPr>
                <w:b/>
                <w:noProof/>
              </w:rPr>
              <w:t xml:space="preserve">Celkový počet způsobilých pracovníků a osob samostatně výdělečně činných: </w:t>
            </w:r>
          </w:p>
        </w:tc>
        <w:tc>
          <w:tcPr>
            <w:tcW w:w="1140" w:type="dxa"/>
            <w:tcBorders>
              <w:top w:val="nil"/>
              <w:left w:val="nil"/>
            </w:tcBorders>
            <w:shd w:val="clear" w:color="auto" w:fill="E6E6E6"/>
            <w:vAlign w:val="center"/>
          </w:tcPr>
          <w:p>
            <w:pPr>
              <w:spacing w:beforeLines="20" w:before="48" w:afterLines="20" w:after="48" w:line="276" w:lineRule="auto"/>
              <w:ind w:left="57" w:right="227"/>
              <w:jc w:val="left"/>
              <w:rPr>
                <w:rFonts w:eastAsia="Calibri"/>
                <w:b/>
                <w:noProof/>
                <w:szCs w:val="24"/>
              </w:rPr>
            </w:pPr>
            <w:r>
              <w:rPr>
                <w:b/>
                <w:noProof/>
              </w:rPr>
              <w:t>1</w:t>
            </w:r>
            <w:r>
              <w:rPr>
                <w:noProof/>
              </w:rPr>
              <w:t> </w:t>
            </w:r>
            <w:r>
              <w:rPr>
                <w:b/>
                <w:noProof/>
              </w:rPr>
              <w:t>550</w:t>
            </w:r>
          </w:p>
        </w:tc>
      </w:tr>
    </w:tbl>
    <w:p>
      <w:pPr>
        <w:pStyle w:val="ManualHeading3"/>
        <w:rPr>
          <w:noProof/>
        </w:rPr>
      </w:pPr>
      <w:r>
        <w:rPr>
          <w:noProof/>
        </w:rPr>
        <w:t>Kritéria pro pomoc</w:t>
      </w:r>
    </w:p>
    <w:p>
      <w:pPr>
        <w:pStyle w:val="ManualNumPar1"/>
        <w:rPr>
          <w:noProof/>
        </w:rPr>
      </w:pPr>
      <w:r>
        <w:t>6.</w:t>
      </w:r>
      <w:r>
        <w:tab/>
      </w:r>
      <w:r>
        <w:rPr>
          <w:noProof/>
        </w:rPr>
        <w:t xml:space="preserve">Estonsko předložilo žádost v souladu s kritérii pro pomoc stanovenými v čl. 4 odst. 2 odchylně od kritérií podle čl. 4 odst. 1 písm. b) nařízení o EFG, která vyžadují, aby v jednom členském státě v podnicích působících ve stejném hospodářském odvětví definovaném v oddíle NACE Revize 2 a nacházejících se v jednom regionu nebo ve dvou sousedících regionech vymezených na úrovni NUTS 2 během referenčního období v délce devíti měsíců dosáhl počet propuštěných pracovníků nejméně 500. </w:t>
      </w:r>
    </w:p>
    <w:p>
      <w:pPr>
        <w:pStyle w:val="ManualNumPar1"/>
        <w:rPr>
          <w:noProof/>
        </w:rPr>
      </w:pPr>
      <w:bookmarkStart w:id="1" w:name="_Ref372189348"/>
      <w:r>
        <w:t>7.</w:t>
      </w:r>
      <w:r>
        <w:tab/>
      </w:r>
      <w:r>
        <w:rPr>
          <w:noProof/>
        </w:rPr>
        <w:t xml:space="preserve">Devítiměsíční referenční období v případě uvedené žádosti trvalo od 1. srpna 2015 do </w:t>
      </w:r>
      <w:bookmarkEnd w:id="1"/>
      <w:r>
        <w:rPr>
          <w:noProof/>
        </w:rPr>
        <w:t>1. května 2016.</w:t>
      </w:r>
    </w:p>
    <w:p>
      <w:pPr>
        <w:pStyle w:val="ManualHeading3"/>
        <w:shd w:val="clear" w:color="auto" w:fill="FFFFFF" w:themeFill="background1"/>
        <w:rPr>
          <w:noProof/>
        </w:rPr>
      </w:pPr>
      <w:r>
        <w:rPr>
          <w:noProof/>
        </w:rPr>
        <w:t>Stanovení počtu propuštěných pracovníků a případů ukončení činnosti</w:t>
      </w:r>
    </w:p>
    <w:p>
      <w:pPr>
        <w:pStyle w:val="ManualNumPar1"/>
        <w:rPr>
          <w:noProof/>
        </w:rPr>
      </w:pPr>
      <w:r>
        <w:t>8.</w:t>
      </w:r>
      <w:r>
        <w:tab/>
      </w:r>
      <w:r>
        <w:rPr>
          <w:noProof/>
        </w:rPr>
        <w:t>Počet propuštěných pracovníků během referenčního období byl vypočítán následovně:</w:t>
      </w:r>
    </w:p>
    <w:p>
      <w:pPr>
        <w:pStyle w:val="Tiret1"/>
        <w:numPr>
          <w:ilvl w:val="0"/>
          <w:numId w:val="1"/>
        </w:numPr>
        <w:shd w:val="clear" w:color="auto" w:fill="FFFFFF" w:themeFill="background1"/>
        <w:rPr>
          <w:noProof/>
        </w:rPr>
      </w:pPr>
      <w:r>
        <w:rPr>
          <w:noProof/>
        </w:rPr>
        <w:t>689 ode dne, kdy zaměstnavatel v souladu s čl. 3 odst. 1 směrnice Rady 98/59/ES</w:t>
      </w:r>
      <w:r>
        <w:rPr>
          <w:rStyle w:val="FootnoteReference"/>
          <w:noProof/>
        </w:rPr>
        <w:footnoteReference w:id="8"/>
      </w:r>
      <w:r>
        <w:rPr>
          <w:noProof/>
        </w:rPr>
        <w:t xml:space="preserve"> písemně oznámil příslušnému orgánu veřejné moci plánované hromadné propouštění. Estonsko potvrdilo před datem dokončení posouzení ze strany Komise, že těchto 689 pracovníků bylo skutečně propuštěno,</w:t>
      </w:r>
    </w:p>
    <w:p>
      <w:pPr>
        <w:pStyle w:val="Tiret1"/>
        <w:numPr>
          <w:ilvl w:val="0"/>
          <w:numId w:val="1"/>
        </w:numPr>
        <w:shd w:val="clear" w:color="auto" w:fill="FFFFFF" w:themeFill="background1"/>
        <w:rPr>
          <w:noProof/>
        </w:rPr>
      </w:pPr>
      <w:r>
        <w:rPr>
          <w:noProof/>
        </w:rPr>
        <w:t>471 ode dne podání jednotlivých výpovědí z pracovního poměru, kterými zaměstnavatel propouští pracovníka nebo ukončuje jeho pracovní poměr,</w:t>
      </w:r>
    </w:p>
    <w:p>
      <w:pPr>
        <w:pStyle w:val="Tiret1"/>
        <w:numPr>
          <w:ilvl w:val="0"/>
          <w:numId w:val="1"/>
        </w:numPr>
        <w:shd w:val="clear" w:color="auto" w:fill="FFFFFF" w:themeFill="background1"/>
        <w:rPr>
          <w:noProof/>
        </w:rPr>
      </w:pPr>
      <w:r>
        <w:rPr>
          <w:noProof/>
        </w:rPr>
        <w:t>390 ode dne skutečného skončení pracovního poměru nebo uplynutí sjednané doby jeho trvání.</w:t>
      </w:r>
    </w:p>
    <w:p>
      <w:pPr>
        <w:pStyle w:val="ManualHeading3"/>
        <w:shd w:val="clear" w:color="auto" w:fill="FFFFFF" w:themeFill="background1"/>
        <w:rPr>
          <w:noProof/>
        </w:rPr>
      </w:pPr>
      <w:r>
        <w:rPr>
          <w:noProof/>
        </w:rPr>
        <w:t>Způsobilí příjemci pomoci</w:t>
      </w:r>
    </w:p>
    <w:p>
      <w:pPr>
        <w:pStyle w:val="ManualNumPar1"/>
        <w:rPr>
          <w:noProof/>
        </w:rPr>
      </w:pPr>
      <w:r>
        <w:t>9.</w:t>
      </w:r>
      <w:r>
        <w:tab/>
      </w:r>
      <w:r>
        <w:rPr>
          <w:noProof/>
        </w:rPr>
        <w:t>Celkový počet způsobilých příjemců pomoci je 1550.</w:t>
      </w:r>
    </w:p>
    <w:p>
      <w:pPr>
        <w:pStyle w:val="ManualHeading3"/>
        <w:shd w:val="clear" w:color="auto" w:fill="FFFFFF" w:themeFill="background1"/>
        <w:rPr>
          <w:noProof/>
        </w:rPr>
      </w:pPr>
      <w:r>
        <w:rPr>
          <w:noProof/>
        </w:rPr>
        <w:t>Vztah mezi propouštěním a významnými změnami ve struktuře světového obchodu způsobenými globalizací</w:t>
      </w:r>
    </w:p>
    <w:p>
      <w:pPr>
        <w:pStyle w:val="ManualNumPar1"/>
        <w:rPr>
          <w:noProof/>
        </w:rPr>
      </w:pPr>
      <w:r>
        <w:t>10.</w:t>
      </w:r>
      <w:r>
        <w:tab/>
      </w:r>
      <w:r>
        <w:rPr>
          <w:noProof/>
        </w:rPr>
        <w:t>Estonsko odůvodňuje vztah mezi propouštěním a významnými změnami ve struktuře světového obchodu způsobenými globalizací tím, že země je malá otevřená ekonomika silně závislá na vývozu zboží a služeb (téměř 80 % HDP v roce 2015 oproti 43,5 % v EU-28). Estonské hospodářství je silně postiženo nedávnými otřesy na globálním trhu s ropou a celkovým zhoršením postavení Evropy, pokud jde o mezinárodní obchod. Kraj Ida-Virumaa na severovýchodě Estonska byl zasažen obzvláště tvrdě, nejen kvůli odlehlé geopolitické poloze při ruských hranicích, ale zejména z důvodu vysoké koncentrace průmyslu závislého na cenách ropy a zemního plynu v této oblasti. Uvedená dvě odvětví, jež jsou předmětem této žádosti, byla zasažena různě.</w:t>
      </w:r>
    </w:p>
    <w:p>
      <w:pPr>
        <w:pStyle w:val="ManualNumPar1"/>
        <w:rPr>
          <w:noProof/>
        </w:rPr>
      </w:pPr>
      <w:r>
        <w:t>11.</w:t>
      </w:r>
      <w:r>
        <w:tab/>
      </w:r>
      <w:r>
        <w:rPr>
          <w:noProof/>
        </w:rPr>
        <w:t>Co se týče odvětví výroby chemických látek a chemických přípravků, je výroba minerálních hnojiv vysoce energeticky náročná (ceny plynu představují až 80 % celkových výrobních nákladů). Z důvodu velkého zvýšení cen zemního plynu mají regiony s levným plynem nacházející se mimo Evropu konkurenční výhodu a umožňují výrobu hnojiv za mnohem nižší náklady než v Evropě. Další nepříznivý dopad na konkurenceschopnost tohoto odvětví v Evropě mají vyšší normy v oblasti životního prostředí. Podíl EU na celosvětové výrobě chemických látek se snížil z 30,9 % v roce 2004 na 17 % v roce 2014. EU postupně ztratila své vedoucí postavení v oblasti světového prodeje chemických látek do Číny, jež ve stejném období zvýšila svůj podíl z 9 % na téměř 35 %. Zbytek Asie rovněž získal tržní podíl, stejně jako USA, kde se díky dostupnosti levného plynu z břidlic podařilo dosáhnout poměrně levné výroby</w:t>
      </w:r>
      <w:r>
        <w:rPr>
          <w:rStyle w:val="FootnoteReference"/>
          <w:noProof/>
        </w:rPr>
        <w:footnoteReference w:id="9"/>
      </w:r>
      <w:r>
        <w:rPr>
          <w:noProof/>
        </w:rPr>
        <w:t>.</w:t>
      </w:r>
    </w:p>
    <w:p>
      <w:pPr>
        <w:pStyle w:val="ManualNumPar1"/>
        <w:rPr>
          <w:noProof/>
        </w:rPr>
      </w:pPr>
      <w:r>
        <w:t>12.</w:t>
      </w:r>
      <w:r>
        <w:tab/>
      </w:r>
      <w:r>
        <w:rPr>
          <w:noProof/>
        </w:rPr>
        <w:t>Co se týče odvětví výroby koksu a rafinovaných ropných produktů, zejména odvětví ropy z břidlic, závisí výroba ropy z břidlic na světových cenách ropy. Jelikož výroba ropy z břidlic je poměrně nákladná, je výroba ekonomicky schůdná, pouze jsou-li ceny ropy vysoké</w:t>
      </w:r>
      <w:r>
        <w:rPr>
          <w:rStyle w:val="FootnoteReference"/>
          <w:noProof/>
        </w:rPr>
        <w:footnoteReference w:id="10"/>
      </w:r>
      <w:r>
        <w:rPr>
          <w:noProof/>
        </w:rPr>
        <w:t>. Podle estonského statistického úřadu se v důsledku klesajících cen ropy estonský vývoz nerostných paliv snížil o 25 % během prvních dvou měsíců roku 2016 ve srovnání se stejným obdobím v předchozím roce.</w:t>
      </w:r>
    </w:p>
    <w:p>
      <w:pPr>
        <w:pStyle w:val="ManualNumPar1"/>
        <w:rPr>
          <w:noProof/>
        </w:rPr>
      </w:pPr>
      <w:r>
        <w:t>13.</w:t>
      </w:r>
      <w:r>
        <w:tab/>
      </w:r>
      <w:r>
        <w:rPr>
          <w:noProof/>
        </w:rPr>
        <w:t>K dnešnímu dni dosud nebylo odvětví výroby koksu a rafinovaných ropných produktů předmětem žádné žádosti o prostředky z EFG. Odvětví výroby chemických látek a chemických přípravků byl předmětem jedné žádosti o prostředky z EFG</w:t>
      </w:r>
      <w:r>
        <w:rPr>
          <w:rStyle w:val="FootnoteReference"/>
          <w:noProof/>
        </w:rPr>
        <w:footnoteReference w:id="11"/>
      </w:r>
      <w:r>
        <w:rPr>
          <w:noProof/>
        </w:rPr>
        <w:t>, jež souvisí s globalizací spojenou s obchodem.</w:t>
      </w:r>
    </w:p>
    <w:p>
      <w:pPr>
        <w:pStyle w:val="ManualHeading3"/>
        <w:rPr>
          <w:noProof/>
        </w:rPr>
      </w:pPr>
      <w:r>
        <w:rPr>
          <w:noProof/>
        </w:rPr>
        <w:t>Události vedoucí k propouštění a ukončení činnosti</w:t>
      </w:r>
    </w:p>
    <w:p>
      <w:pPr>
        <w:pStyle w:val="ManualNumPar1"/>
        <w:rPr>
          <w:noProof/>
        </w:rPr>
      </w:pPr>
      <w:r>
        <w:t>14.</w:t>
      </w:r>
      <w:r>
        <w:tab/>
      </w:r>
      <w:r>
        <w:rPr>
          <w:noProof/>
        </w:rPr>
        <w:t>V červenci 2015 uzavřela společnost Nitrofert, vyrábějící syntetický amoniak a močovinu, svůj výrobní závod. Toto rozhodnutí bylo přijato v důsledku výrazného zvýšení cen zemního plynu a poklesu cen minerálních hnojiv způsobeného především zesílenou celosvětovou konkurencí, zejména ze strany asijských konkurentů. Společnost Nitrofert se potýkala s problémy již od roku 2009, kdy bylo přijato první rozhodnutí přerušit výrobu. Následně byla výroba obnovena, avšak po pouhém roce byla opět zastavena. Vzhledem k tomu, že se neobjevily náznaky možného zlepšení situace, bylo přijato rozhodnutí o ukončení pracovních smluv všech 421 propuštěných zaměstnanců.</w:t>
      </w:r>
    </w:p>
    <w:p>
      <w:pPr>
        <w:pStyle w:val="Text1"/>
        <w:rPr>
          <w:noProof/>
        </w:rPr>
      </w:pPr>
      <w:r>
        <w:rPr>
          <w:noProof/>
        </w:rPr>
        <w:t>V říjnu 2015 rozhodla společnost Eesti Energia, přední energetická společnost v pobaltských státech a největší společnost na světě zabývající se ropou z břidlic, o snížení produkce ropy z břidlic, jelikož jí v důsledku nižších cen ropy dramaticky klesly zisky. Toto rozhodnutí vedlo k hromadnému ukončení pracovních poměrů 114 zaměstnanců. V následujících měsících bylo propuštěno dalších 418 pracovníků.</w:t>
      </w:r>
    </w:p>
    <w:p>
      <w:pPr>
        <w:pStyle w:val="Text1"/>
        <w:rPr>
          <w:noProof/>
        </w:rPr>
      </w:pPr>
      <w:r>
        <w:rPr>
          <w:noProof/>
        </w:rPr>
        <w:t>Třetí podnik, který podal žádost o příspěvek, je Viru Keemia Grupp (VKG), další výrobce ropy z břidlic v kraji Ida-Virumaa, jenž čelí podobným problémům způsobeným poklesem cen ropy. Společnost VKG uzavřela svůj závod v lednu 2016, což vedlo k propuštění 597 pracovníků.</w:t>
      </w:r>
    </w:p>
    <w:p>
      <w:pPr>
        <w:pStyle w:val="ManualHeading3"/>
        <w:rPr>
          <w:noProof/>
        </w:rPr>
      </w:pPr>
      <w:r>
        <w:rPr>
          <w:noProof/>
        </w:rPr>
        <w:t>Očekávaný dopad propouštění na místní, regionální a národní hospodářství a zaměstnanost</w:t>
      </w:r>
    </w:p>
    <w:p>
      <w:pPr>
        <w:pStyle w:val="ManualNumPar1"/>
        <w:rPr>
          <w:noProof/>
        </w:rPr>
      </w:pPr>
      <w:r>
        <w:t>15.</w:t>
      </w:r>
      <w:r>
        <w:tab/>
      </w:r>
      <w:r>
        <w:rPr>
          <w:noProof/>
        </w:rPr>
        <w:t xml:space="preserve">Dopad propouštění na místní a regionální ekonomiku a zaměstnanost má být podle očekávání značný. Prudký pokles produkce ropy z břidlic ovlivnil i další odvětví, jako např. energetika, výroba, těžba a dobývání. V těžebním průmyslu se výroba snížila o 40 % v důsledku poklesu těžby roponosné břidlice způsobenému nízkou poptávkou, jež je důsledkem nízké ceny ropy a produktů z roponosné břidlice. </w:t>
      </w:r>
    </w:p>
    <w:p>
      <w:pPr>
        <w:pStyle w:val="ManualNumPar1"/>
        <w:rPr>
          <w:noProof/>
        </w:rPr>
      </w:pPr>
      <w:r>
        <w:t>16.</w:t>
      </w:r>
      <w:r>
        <w:tab/>
      </w:r>
      <w:r>
        <w:rPr>
          <w:noProof/>
        </w:rPr>
        <w:t>Kraj Ida-Virumaa se potýká se značnými problémy v důsledku svého umístění a své demografické situace. Jedná se o poměrně odlehlou oblast nacházející se v severovýchodním Estonsku přímo u Baltského moře, přibližně 200 kilometrů východně od prosperujícího regionu hlavního města, což je příliš velká vzdálenost na dojíždění. Kraj na východě hraničí s Ruskou federací. V důsledku nižších mezd v Rusku, současné hospodářské situace v Rusku a omezení pracovních povolení není alternativou ani přeshraniční dojíždění. Kraje, jež přímo sousedí na západě a na jihu, jsou řídce osídlené venkovské oblasti. Nicméně kraj Ida-Virumaa je nejurbanizovanějším regionem v Estonsku. Více než 80 % obyvatel žije ve městech, která jsou obvykle monokulturními sídly vytvořenými kolem jednoho nebo dvou velkých výrobních závodů.</w:t>
      </w:r>
    </w:p>
    <w:p>
      <w:pPr>
        <w:pStyle w:val="ManualNumPar1"/>
        <w:rPr>
          <w:noProof/>
        </w:rPr>
      </w:pPr>
      <w:r>
        <w:t>17.</w:t>
      </w:r>
      <w:r>
        <w:tab/>
      </w:r>
      <w:r>
        <w:rPr>
          <w:noProof/>
        </w:rPr>
        <w:t xml:space="preserve">Přibližně 80 % obyvatel kraje Ida-Virumaa představují etničtí Rusové, kteří se zde usadili v sovětské éře, aby pracovali v tehdy nově zřízených sovětských průmyslových zařízeních. Mnohé z těchto osob nemají estonskou státní příslušnost a stále používají ruštinu jako první a často i jediný jazyk. </w:t>
      </w:r>
    </w:p>
    <w:p>
      <w:pPr>
        <w:pStyle w:val="ManualNumPar1"/>
        <w:rPr>
          <w:noProof/>
        </w:rPr>
      </w:pPr>
      <w:r>
        <w:t>18.</w:t>
      </w:r>
      <w:r>
        <w:tab/>
      </w:r>
      <w:r>
        <w:rPr>
          <w:noProof/>
        </w:rPr>
        <w:t xml:space="preserve">Od vyhlášení nezávislosti region čelí specifickým výzvám trhu práce v důsledku zhroucení nebo restrukturalizace velkých průmyslových závodů vzniklých v době sovětské okupace. To vedlo k výraznému zvýšení míry nezaměstnanosti v regionu (11,7 % v roce 2015 ve srovnání s celostátním průměrem 6,2 %). Jelikož ruština není v Estonsku úředním jazykem, možnost najít práci v jiných regionech Estonska nebo u nových podniků, které investují v kraji Ida-Virumaa, mají pouze osoby s dobrou znalostí estonštiny. Nedostatečná znalost národního jazyka, společně s kulturní bariérou, je jednou z největších překážek pro pracovníky, kteří byli propuštěni, při hledání práce v jiných částech země, ale rovněž i pro společnosti, jež chtějí investovat, nebo pro osoby, které se stěhují do daného regionu. </w:t>
      </w:r>
    </w:p>
    <w:p>
      <w:pPr>
        <w:pStyle w:val="ManualNumPar1"/>
        <w:rPr>
          <w:noProof/>
        </w:rPr>
      </w:pPr>
      <w:r>
        <w:t>19.</w:t>
      </w:r>
      <w:r>
        <w:tab/>
      </w:r>
      <w:r>
        <w:rPr>
          <w:noProof/>
        </w:rPr>
        <w:t>Počet obyvatel regionu v roce 2015 dosahoval 150 000, což představuje pouze 9,5 % celostátní pracovní síly, avšak 17,3 % nezaměstnaných osob v Estonsku. Vzhledem k celkově obtížné situaci v oblasti zaměstnanosti v regionu, včetně omezeného počtu volných pracovních míst (míra volných pracovních míst jakožto podíl volných pracovních míst z celkového počtu pracovních míst v kraji Ida-Virumaa, činila 0,8 % ve srovnání s průměrnou hodnotou 1,2 % v Estonsku ve čtvrtém čtvrtletí roku 2015)</w:t>
      </w:r>
      <w:r>
        <w:rPr>
          <w:rStyle w:val="FootnoteReference"/>
          <w:noProof/>
        </w:rPr>
        <w:footnoteReference w:id="12"/>
      </w:r>
      <w:r>
        <w:rPr>
          <w:noProof/>
        </w:rPr>
        <w:t xml:space="preserve">, komplikuje hromadné propouštění pracovníků, kteří mají relativně podobné technické profily a ucházejí se o podobná pracovní místa, oživení trhu práce. </w:t>
      </w:r>
    </w:p>
    <w:p>
      <w:pPr>
        <w:pStyle w:val="ManualNumPar1"/>
        <w:rPr>
          <w:noProof/>
        </w:rPr>
      </w:pPr>
      <w:r>
        <w:t>20.</w:t>
      </w:r>
      <w:r>
        <w:tab/>
      </w:r>
      <w:r>
        <w:rPr>
          <w:noProof/>
        </w:rPr>
        <w:t>Byla vytvořena strategie regionálního rozvoje, jež je popsána v dokumentu Akční plán pro kraj Ida-Virumaa na období 2015–2020</w:t>
      </w:r>
      <w:r>
        <w:rPr>
          <w:rStyle w:val="FootnoteReference"/>
          <w:noProof/>
        </w:rPr>
        <w:footnoteReference w:id="13"/>
      </w:r>
      <w:r>
        <w:rPr>
          <w:noProof/>
        </w:rPr>
        <w:t>. Jako potenciální rostoucí odvětví byly identifikovány logistika a cestovní ruch a byly zahájeny projekty v oblasti infrastruktury s cílem podpořit růst a vytvořit základ pro diverzifikaci hospodářské struktury. Dalšími odvětvími s potenciálem pro vytváření nových pracovních míst jsou produkce dřeva, kovů a stavebních materiálů. Navrhovaný balíček individualizovaných opatření, která mají být spolufinancována z EFG, plně podporuje akční plán tím, že nabízí vzdělávací opatření, jejichž cílem je, aby propuštění pracovníci byli k dispozici pro tato rostoucí odvětví.</w:t>
      </w:r>
    </w:p>
    <w:p>
      <w:pPr>
        <w:pStyle w:val="ManualHeading3"/>
        <w:rPr>
          <w:noProof/>
        </w:rPr>
      </w:pPr>
      <w:r>
        <w:rPr>
          <w:noProof/>
        </w:rPr>
        <w:t>Vysvětlení mimořádných okolností, na nichž se zakládá přípustnost žádosti</w:t>
      </w:r>
    </w:p>
    <w:p>
      <w:pPr>
        <w:pStyle w:val="ManualNumPar1"/>
        <w:rPr>
          <w:noProof/>
        </w:rPr>
      </w:pPr>
      <w:r>
        <w:t>21.</w:t>
      </w:r>
      <w:r>
        <w:tab/>
      </w:r>
      <w:r>
        <w:rPr>
          <w:noProof/>
        </w:rPr>
        <w:t>Jak je uvedeno výše, vzhledem k odlehlosti a jedinečné demografické situaci lze kraj Ida-Virumaa považovat za malý pracovní trh. Estonsko dále tvrdí, že žádost podle čl. 4 odst. 2 nařízení o EFG měla být podána v každém případě, pokud jde o odvětví výroby chemických látek a chemických přípravků. V tomto odvětví se jednalo pouze o jednu společnost, avšak počet propuštěných pracovníků nedosáhl prahové hodnoty pro podání žádosti podle čl. 4 odst. 1 písm. a). Přestože došlo k propouštění ve dvou různých hospodářských odvětvích definovaných na úrovni oddílu NACE Revize 2, Estonsko místo toho, aby podalo dvě oddělené žádosti, rozhodlo spojit propouštění v jedné žádosti za region, jelikož k propouštění došlo na témže místě, ve stejném časovém období a zahrnulo propuštěné pracovníky s velmi podobným profesním profilem. Proto žádost, jež výjimečně kombinuje propouštění ve dvou různých odvětvích bez přímého vztahu mezi případy propouštění, kdy se však všechny vyskytují na témže malém pracovním trhu ve stejném okamžiku, nejen snižuje administrativní zátěž, ale přináší i synergický efekt a umožňuje zorganizovat společná opatření pro propuštěné pracovníky v obou odvětvích.</w:t>
      </w:r>
    </w:p>
    <w:p>
      <w:pPr>
        <w:pStyle w:val="ManualHeading2"/>
        <w:rPr>
          <w:noProof/>
        </w:rPr>
      </w:pPr>
      <w:r>
        <w:rPr>
          <w:noProof/>
        </w:rPr>
        <w:t>Cíloví příjemci pomoci a navržené akce</w:t>
      </w:r>
    </w:p>
    <w:p>
      <w:pPr>
        <w:pStyle w:val="ManualHeading3"/>
        <w:rPr>
          <w:noProof/>
        </w:rPr>
      </w:pPr>
      <w:r>
        <w:rPr>
          <w:noProof/>
        </w:rPr>
        <w:t>Cíloví příjemci pomoci</w:t>
      </w:r>
    </w:p>
    <w:p>
      <w:pPr>
        <w:pStyle w:val="ManualNumPar1"/>
        <w:rPr>
          <w:noProof/>
        </w:rPr>
      </w:pPr>
      <w:r>
        <w:t>22.</w:t>
      </w:r>
      <w:r>
        <w:tab/>
      </w:r>
      <w:r>
        <w:rPr>
          <w:noProof/>
        </w:rPr>
        <w:t>Odhadovaný počet propuštěných pracovníků, u nichž se očekává, že se budou účastnit opatření, je 800. Hlavním důvodem tohoto poměrně nízkého počtu cílových příjemců pomoci je, že se tato opatření zaměřují na ty propuštěné pracovníky, kteří byli určeni jako obzvláště zranitelní na trhu práce. Někteří pracovníci prohlásili, že se opatření nemohou účastnit. Vzhledem k časovému rozpětí mezi prvním propouštěním a zahájením opatření Estonsko očekává, že některé méně zranitelné osoby by byly schopny najít si zaměstnání ještě před zahájením opatření. Rozdělení pracovníků, u nichž se očekává, že se budou účastnit opatření, podle pohlaví, státního občanství a věkových skupin je následující:</w:t>
      </w:r>
    </w:p>
    <w:tbl>
      <w:tblPr>
        <w:tblW w:w="0" w:type="auto"/>
        <w:jc w:val="center"/>
        <w:tblLook w:val="04A0" w:firstRow="1" w:lastRow="0" w:firstColumn="1" w:lastColumn="0" w:noHBand="0" w:noVBand="1"/>
      </w:tblPr>
      <w:tblGrid>
        <w:gridCol w:w="1496"/>
        <w:gridCol w:w="2063"/>
        <w:gridCol w:w="1176"/>
        <w:gridCol w:w="1176"/>
      </w:tblGrid>
      <w:tr>
        <w:trPr>
          <w:jc w:val="center"/>
        </w:trPr>
        <w:tc>
          <w:tcPr>
            <w:tcW w:w="3559" w:type="dxa"/>
            <w:gridSpan w:val="2"/>
            <w:tcBorders>
              <w:top w:val="single" w:sz="4" w:space="0" w:color="auto"/>
              <w:left w:val="nil"/>
              <w:bottom w:val="single" w:sz="4" w:space="0" w:color="auto"/>
              <w:right w:val="nil"/>
            </w:tcBorders>
            <w:hideMark/>
          </w:tcPr>
          <w:p>
            <w:pPr>
              <w:spacing w:before="60" w:after="60"/>
              <w:jc w:val="center"/>
              <w:rPr>
                <w:noProof/>
              </w:rPr>
            </w:pPr>
            <w:r>
              <w:rPr>
                <w:noProof/>
              </w:rPr>
              <w:t>Kategorie</w:t>
            </w:r>
          </w:p>
        </w:tc>
        <w:tc>
          <w:tcPr>
            <w:tcW w:w="2352" w:type="dxa"/>
            <w:gridSpan w:val="2"/>
            <w:tcBorders>
              <w:top w:val="single" w:sz="4" w:space="0" w:color="auto"/>
              <w:left w:val="nil"/>
              <w:bottom w:val="single" w:sz="4" w:space="0" w:color="auto"/>
              <w:right w:val="nil"/>
            </w:tcBorders>
            <w:hideMark/>
          </w:tcPr>
          <w:p>
            <w:pPr>
              <w:spacing w:before="60" w:after="60"/>
              <w:jc w:val="center"/>
              <w:rPr>
                <w:noProof/>
              </w:rPr>
            </w:pPr>
            <w:r>
              <w:rPr>
                <w:noProof/>
              </w:rPr>
              <w:t xml:space="preserve">Počet </w:t>
            </w:r>
            <w:r>
              <w:rPr>
                <w:noProof/>
              </w:rPr>
              <w:br/>
              <w:t>cílových příjemců pomoci (v procentech zaokrouhlených na jedno desetinné místo)</w:t>
            </w:r>
          </w:p>
        </w:tc>
      </w:tr>
      <w:tr>
        <w:trPr>
          <w:jc w:val="center"/>
        </w:trPr>
        <w:tc>
          <w:tcPr>
            <w:tcW w:w="1496" w:type="dxa"/>
            <w:tcBorders>
              <w:top w:val="single" w:sz="4" w:space="0" w:color="auto"/>
              <w:left w:val="nil"/>
              <w:bottom w:val="nil"/>
              <w:right w:val="nil"/>
            </w:tcBorders>
            <w:hideMark/>
          </w:tcPr>
          <w:p>
            <w:pPr>
              <w:spacing w:before="60" w:after="60"/>
              <w:rPr>
                <w:noProof/>
              </w:rPr>
            </w:pPr>
            <w:r>
              <w:rPr>
                <w:noProof/>
              </w:rPr>
              <w:t>Pohlaví:</w:t>
            </w:r>
          </w:p>
        </w:tc>
        <w:tc>
          <w:tcPr>
            <w:tcW w:w="2063" w:type="dxa"/>
            <w:tcBorders>
              <w:top w:val="single" w:sz="4" w:space="0" w:color="auto"/>
              <w:left w:val="nil"/>
              <w:right w:val="nil"/>
            </w:tcBorders>
            <w:hideMark/>
          </w:tcPr>
          <w:p>
            <w:pPr>
              <w:spacing w:before="60" w:after="60"/>
              <w:rPr>
                <w:noProof/>
              </w:rPr>
            </w:pPr>
            <w:r>
              <w:rPr>
                <w:noProof/>
              </w:rPr>
              <w:t>Muži:</w:t>
            </w:r>
          </w:p>
        </w:tc>
        <w:tc>
          <w:tcPr>
            <w:tcW w:w="1176" w:type="dxa"/>
            <w:tcBorders>
              <w:top w:val="single" w:sz="4" w:space="0" w:color="auto"/>
              <w:left w:val="nil"/>
              <w:right w:val="nil"/>
            </w:tcBorders>
            <w:hideMark/>
          </w:tcPr>
          <w:p>
            <w:pPr>
              <w:spacing w:before="60" w:after="60"/>
              <w:jc w:val="right"/>
              <w:rPr>
                <w:noProof/>
              </w:rPr>
            </w:pPr>
            <w:r>
              <w:rPr>
                <w:noProof/>
              </w:rPr>
              <w:t>565</w:t>
            </w:r>
          </w:p>
        </w:tc>
        <w:tc>
          <w:tcPr>
            <w:tcW w:w="1176" w:type="dxa"/>
            <w:tcBorders>
              <w:top w:val="single" w:sz="4" w:space="0" w:color="auto"/>
              <w:left w:val="nil"/>
              <w:right w:val="nil"/>
            </w:tcBorders>
            <w:hideMark/>
          </w:tcPr>
          <w:p>
            <w:pPr>
              <w:spacing w:before="60" w:after="60"/>
              <w:jc w:val="right"/>
              <w:rPr>
                <w:noProof/>
              </w:rPr>
            </w:pPr>
            <w:r>
              <w:rPr>
                <w:noProof/>
              </w:rPr>
              <w:t>(70,6 %)</w:t>
            </w:r>
          </w:p>
        </w:tc>
      </w:tr>
      <w:tr>
        <w:trPr>
          <w:jc w:val="center"/>
        </w:trPr>
        <w:tc>
          <w:tcPr>
            <w:tcW w:w="1496" w:type="dxa"/>
            <w:tcBorders>
              <w:top w:val="nil"/>
              <w:left w:val="nil"/>
              <w:bottom w:val="single" w:sz="4" w:space="0" w:color="auto"/>
              <w:right w:val="nil"/>
            </w:tcBorders>
          </w:tcPr>
          <w:p>
            <w:pPr>
              <w:spacing w:before="60" w:after="60"/>
              <w:rPr>
                <w:noProof/>
              </w:rPr>
            </w:pPr>
          </w:p>
        </w:tc>
        <w:tc>
          <w:tcPr>
            <w:tcW w:w="2063" w:type="dxa"/>
            <w:tcBorders>
              <w:top w:val="nil"/>
              <w:left w:val="nil"/>
              <w:bottom w:val="single" w:sz="4" w:space="0" w:color="auto"/>
              <w:right w:val="nil"/>
            </w:tcBorders>
            <w:hideMark/>
          </w:tcPr>
          <w:p>
            <w:pPr>
              <w:spacing w:before="60" w:after="60"/>
              <w:rPr>
                <w:noProof/>
              </w:rPr>
            </w:pPr>
            <w:r>
              <w:rPr>
                <w:noProof/>
              </w:rPr>
              <w:t>Ženy:</w:t>
            </w:r>
          </w:p>
        </w:tc>
        <w:tc>
          <w:tcPr>
            <w:tcW w:w="1176" w:type="dxa"/>
            <w:tcBorders>
              <w:bottom w:val="single" w:sz="4" w:space="0" w:color="auto"/>
            </w:tcBorders>
            <w:hideMark/>
          </w:tcPr>
          <w:p>
            <w:pPr>
              <w:spacing w:before="60" w:after="60"/>
              <w:jc w:val="right"/>
              <w:rPr>
                <w:noProof/>
              </w:rPr>
            </w:pPr>
            <w:r>
              <w:rPr>
                <w:noProof/>
              </w:rPr>
              <w:t>235</w:t>
            </w:r>
          </w:p>
        </w:tc>
        <w:tc>
          <w:tcPr>
            <w:tcW w:w="1176" w:type="dxa"/>
            <w:tcBorders>
              <w:bottom w:val="single" w:sz="4" w:space="0" w:color="auto"/>
            </w:tcBorders>
            <w:hideMark/>
          </w:tcPr>
          <w:p>
            <w:pPr>
              <w:spacing w:before="60" w:after="60"/>
              <w:jc w:val="right"/>
              <w:rPr>
                <w:noProof/>
              </w:rPr>
            </w:pPr>
            <w:r>
              <w:rPr>
                <w:noProof/>
              </w:rPr>
              <w:t>(29,4 %)</w:t>
            </w:r>
          </w:p>
        </w:tc>
      </w:tr>
      <w:tr>
        <w:trPr>
          <w:jc w:val="center"/>
        </w:trPr>
        <w:tc>
          <w:tcPr>
            <w:tcW w:w="1496" w:type="dxa"/>
            <w:tcBorders>
              <w:top w:val="single" w:sz="4" w:space="0" w:color="auto"/>
              <w:left w:val="nil"/>
              <w:bottom w:val="nil"/>
              <w:right w:val="nil"/>
            </w:tcBorders>
            <w:hideMark/>
          </w:tcPr>
          <w:p>
            <w:pPr>
              <w:spacing w:before="60" w:after="60"/>
              <w:rPr>
                <w:noProof/>
              </w:rPr>
            </w:pPr>
            <w:r>
              <w:rPr>
                <w:noProof/>
              </w:rPr>
              <w:t>Státní občanství:</w:t>
            </w:r>
          </w:p>
        </w:tc>
        <w:tc>
          <w:tcPr>
            <w:tcW w:w="2063" w:type="dxa"/>
            <w:tcBorders>
              <w:top w:val="single" w:sz="4" w:space="0" w:color="auto"/>
              <w:left w:val="nil"/>
              <w:bottom w:val="nil"/>
              <w:right w:val="nil"/>
            </w:tcBorders>
            <w:hideMark/>
          </w:tcPr>
          <w:p>
            <w:pPr>
              <w:spacing w:before="60" w:after="60"/>
              <w:rPr>
                <w:noProof/>
              </w:rPr>
            </w:pPr>
            <w:r>
              <w:rPr>
                <w:noProof/>
              </w:rPr>
              <w:t>Občané EU:</w:t>
            </w:r>
          </w:p>
        </w:tc>
        <w:tc>
          <w:tcPr>
            <w:tcW w:w="1176" w:type="dxa"/>
            <w:tcBorders>
              <w:top w:val="single" w:sz="4" w:space="0" w:color="auto"/>
            </w:tcBorders>
            <w:hideMark/>
          </w:tcPr>
          <w:p>
            <w:pPr>
              <w:spacing w:before="60" w:after="60"/>
              <w:jc w:val="right"/>
              <w:rPr>
                <w:noProof/>
              </w:rPr>
            </w:pPr>
            <w:r>
              <w:rPr>
                <w:noProof/>
              </w:rPr>
              <w:t>294</w:t>
            </w:r>
          </w:p>
        </w:tc>
        <w:tc>
          <w:tcPr>
            <w:tcW w:w="1176" w:type="dxa"/>
            <w:tcBorders>
              <w:top w:val="single" w:sz="4" w:space="0" w:color="auto"/>
            </w:tcBorders>
            <w:hideMark/>
          </w:tcPr>
          <w:p>
            <w:pPr>
              <w:spacing w:before="60" w:after="60"/>
              <w:jc w:val="right"/>
              <w:rPr>
                <w:noProof/>
              </w:rPr>
            </w:pPr>
            <w:r>
              <w:rPr>
                <w:noProof/>
              </w:rPr>
              <w:t>(36,8 %)</w:t>
            </w:r>
          </w:p>
        </w:tc>
      </w:tr>
      <w:tr>
        <w:trPr>
          <w:jc w:val="center"/>
        </w:trPr>
        <w:tc>
          <w:tcPr>
            <w:tcW w:w="1496" w:type="dxa"/>
            <w:tcBorders>
              <w:top w:val="nil"/>
              <w:left w:val="nil"/>
              <w:bottom w:val="single" w:sz="4" w:space="0" w:color="auto"/>
              <w:right w:val="nil"/>
            </w:tcBorders>
          </w:tcPr>
          <w:p>
            <w:pPr>
              <w:spacing w:before="60" w:after="60"/>
              <w:rPr>
                <w:noProof/>
              </w:rPr>
            </w:pPr>
          </w:p>
        </w:tc>
        <w:tc>
          <w:tcPr>
            <w:tcW w:w="2063" w:type="dxa"/>
            <w:tcBorders>
              <w:top w:val="nil"/>
              <w:left w:val="nil"/>
              <w:bottom w:val="single" w:sz="4" w:space="0" w:color="auto"/>
              <w:right w:val="nil"/>
            </w:tcBorders>
            <w:hideMark/>
          </w:tcPr>
          <w:p>
            <w:pPr>
              <w:spacing w:before="60" w:after="60"/>
              <w:rPr>
                <w:noProof/>
              </w:rPr>
            </w:pPr>
            <w:r>
              <w:rPr>
                <w:noProof/>
              </w:rPr>
              <w:t>Občané zemí, které nejsou členy EU:</w:t>
            </w:r>
          </w:p>
        </w:tc>
        <w:tc>
          <w:tcPr>
            <w:tcW w:w="1176" w:type="dxa"/>
            <w:tcBorders>
              <w:bottom w:val="single" w:sz="4" w:space="0" w:color="auto"/>
            </w:tcBorders>
            <w:hideMark/>
          </w:tcPr>
          <w:p>
            <w:pPr>
              <w:spacing w:before="60" w:after="60"/>
              <w:jc w:val="right"/>
              <w:rPr>
                <w:noProof/>
              </w:rPr>
            </w:pPr>
            <w:r>
              <w:rPr>
                <w:noProof/>
              </w:rPr>
              <w:t>506</w:t>
            </w:r>
          </w:p>
        </w:tc>
        <w:tc>
          <w:tcPr>
            <w:tcW w:w="1176" w:type="dxa"/>
            <w:tcBorders>
              <w:bottom w:val="single" w:sz="4" w:space="0" w:color="auto"/>
            </w:tcBorders>
            <w:hideMark/>
          </w:tcPr>
          <w:p>
            <w:pPr>
              <w:spacing w:before="60" w:after="60"/>
              <w:jc w:val="right"/>
              <w:rPr>
                <w:noProof/>
              </w:rPr>
            </w:pPr>
            <w:r>
              <w:rPr>
                <w:noProof/>
              </w:rPr>
              <w:t>(63,3 %)</w:t>
            </w:r>
          </w:p>
        </w:tc>
      </w:tr>
      <w:tr>
        <w:trPr>
          <w:jc w:val="center"/>
        </w:trPr>
        <w:tc>
          <w:tcPr>
            <w:tcW w:w="1496" w:type="dxa"/>
            <w:tcBorders>
              <w:top w:val="single" w:sz="4" w:space="0" w:color="auto"/>
              <w:left w:val="nil"/>
              <w:bottom w:val="nil"/>
              <w:right w:val="nil"/>
            </w:tcBorders>
            <w:hideMark/>
          </w:tcPr>
          <w:p>
            <w:pPr>
              <w:spacing w:before="60" w:after="60"/>
              <w:rPr>
                <w:noProof/>
              </w:rPr>
            </w:pPr>
            <w:r>
              <w:rPr>
                <w:noProof/>
              </w:rPr>
              <w:t>Věková skupina:</w:t>
            </w:r>
          </w:p>
        </w:tc>
        <w:tc>
          <w:tcPr>
            <w:tcW w:w="2063" w:type="dxa"/>
            <w:tcBorders>
              <w:top w:val="single" w:sz="4" w:space="0" w:color="auto"/>
              <w:left w:val="nil"/>
              <w:bottom w:val="nil"/>
              <w:right w:val="nil"/>
            </w:tcBorders>
            <w:hideMark/>
          </w:tcPr>
          <w:p>
            <w:pPr>
              <w:spacing w:before="60" w:after="60"/>
              <w:rPr>
                <w:noProof/>
              </w:rPr>
            </w:pPr>
            <w:r>
              <w:rPr>
                <w:noProof/>
              </w:rPr>
              <w:t>15–24 let:</w:t>
            </w:r>
          </w:p>
        </w:tc>
        <w:tc>
          <w:tcPr>
            <w:tcW w:w="1176" w:type="dxa"/>
            <w:tcBorders>
              <w:top w:val="single" w:sz="4" w:space="0" w:color="auto"/>
            </w:tcBorders>
            <w:hideMark/>
          </w:tcPr>
          <w:p>
            <w:pPr>
              <w:spacing w:before="60" w:after="60"/>
              <w:jc w:val="right"/>
              <w:rPr>
                <w:noProof/>
              </w:rPr>
            </w:pPr>
            <w:r>
              <w:rPr>
                <w:noProof/>
              </w:rPr>
              <w:t>31</w:t>
            </w:r>
          </w:p>
        </w:tc>
        <w:tc>
          <w:tcPr>
            <w:tcW w:w="1176" w:type="dxa"/>
            <w:tcBorders>
              <w:top w:val="single" w:sz="4" w:space="0" w:color="auto"/>
            </w:tcBorders>
            <w:hideMark/>
          </w:tcPr>
          <w:p>
            <w:pPr>
              <w:spacing w:before="60" w:after="60"/>
              <w:jc w:val="right"/>
              <w:rPr>
                <w:noProof/>
              </w:rPr>
            </w:pPr>
            <w:r>
              <w:rPr>
                <w:noProof/>
              </w:rPr>
              <w:t>(3,9 %)</w:t>
            </w:r>
          </w:p>
        </w:tc>
      </w:tr>
      <w:tr>
        <w:trPr>
          <w:jc w:val="center"/>
        </w:trPr>
        <w:tc>
          <w:tcPr>
            <w:tcW w:w="1496" w:type="dxa"/>
          </w:tcPr>
          <w:p>
            <w:pPr>
              <w:spacing w:before="60" w:after="60"/>
              <w:rPr>
                <w:noProof/>
              </w:rPr>
            </w:pPr>
          </w:p>
        </w:tc>
        <w:tc>
          <w:tcPr>
            <w:tcW w:w="2063" w:type="dxa"/>
            <w:hideMark/>
          </w:tcPr>
          <w:p>
            <w:pPr>
              <w:spacing w:before="60" w:after="60"/>
              <w:rPr>
                <w:noProof/>
              </w:rPr>
            </w:pPr>
            <w:r>
              <w:rPr>
                <w:noProof/>
              </w:rPr>
              <w:t>25–29 let:</w:t>
            </w:r>
          </w:p>
        </w:tc>
        <w:tc>
          <w:tcPr>
            <w:tcW w:w="1176" w:type="dxa"/>
            <w:hideMark/>
          </w:tcPr>
          <w:p>
            <w:pPr>
              <w:spacing w:before="60" w:after="60"/>
              <w:jc w:val="right"/>
              <w:rPr>
                <w:noProof/>
              </w:rPr>
            </w:pPr>
            <w:r>
              <w:rPr>
                <w:noProof/>
              </w:rPr>
              <w:t>47</w:t>
            </w:r>
          </w:p>
        </w:tc>
        <w:tc>
          <w:tcPr>
            <w:tcW w:w="1176" w:type="dxa"/>
            <w:hideMark/>
          </w:tcPr>
          <w:p>
            <w:pPr>
              <w:spacing w:before="60" w:after="60"/>
              <w:jc w:val="right"/>
              <w:rPr>
                <w:noProof/>
              </w:rPr>
            </w:pPr>
            <w:r>
              <w:rPr>
                <w:noProof/>
              </w:rPr>
              <w:t>(5,9 %)</w:t>
            </w:r>
          </w:p>
        </w:tc>
      </w:tr>
      <w:tr>
        <w:trPr>
          <w:jc w:val="center"/>
        </w:trPr>
        <w:tc>
          <w:tcPr>
            <w:tcW w:w="1496" w:type="dxa"/>
          </w:tcPr>
          <w:p>
            <w:pPr>
              <w:spacing w:before="60" w:after="60"/>
              <w:rPr>
                <w:noProof/>
              </w:rPr>
            </w:pPr>
          </w:p>
        </w:tc>
        <w:tc>
          <w:tcPr>
            <w:tcW w:w="2063" w:type="dxa"/>
            <w:hideMark/>
          </w:tcPr>
          <w:p>
            <w:pPr>
              <w:spacing w:before="60" w:after="60"/>
              <w:rPr>
                <w:noProof/>
              </w:rPr>
            </w:pPr>
            <w:r>
              <w:rPr>
                <w:noProof/>
              </w:rPr>
              <w:t>30–54 let:</w:t>
            </w:r>
          </w:p>
        </w:tc>
        <w:tc>
          <w:tcPr>
            <w:tcW w:w="1176" w:type="dxa"/>
            <w:hideMark/>
          </w:tcPr>
          <w:p>
            <w:pPr>
              <w:spacing w:before="60" w:after="60"/>
              <w:jc w:val="right"/>
              <w:rPr>
                <w:noProof/>
              </w:rPr>
            </w:pPr>
            <w:r>
              <w:rPr>
                <w:noProof/>
              </w:rPr>
              <w:t>380</w:t>
            </w:r>
          </w:p>
        </w:tc>
        <w:tc>
          <w:tcPr>
            <w:tcW w:w="1176" w:type="dxa"/>
            <w:hideMark/>
          </w:tcPr>
          <w:p>
            <w:pPr>
              <w:spacing w:before="60" w:after="60"/>
              <w:jc w:val="right"/>
              <w:rPr>
                <w:noProof/>
              </w:rPr>
            </w:pPr>
            <w:r>
              <w:rPr>
                <w:noProof/>
              </w:rPr>
              <w:t>(47,5 %)</w:t>
            </w:r>
          </w:p>
        </w:tc>
      </w:tr>
      <w:tr>
        <w:trPr>
          <w:jc w:val="center"/>
        </w:trPr>
        <w:tc>
          <w:tcPr>
            <w:tcW w:w="1496" w:type="dxa"/>
          </w:tcPr>
          <w:p>
            <w:pPr>
              <w:spacing w:before="60" w:after="60"/>
              <w:rPr>
                <w:noProof/>
              </w:rPr>
            </w:pPr>
          </w:p>
        </w:tc>
        <w:tc>
          <w:tcPr>
            <w:tcW w:w="2063" w:type="dxa"/>
            <w:hideMark/>
          </w:tcPr>
          <w:p>
            <w:pPr>
              <w:spacing w:before="60" w:after="60"/>
              <w:rPr>
                <w:noProof/>
              </w:rPr>
            </w:pPr>
            <w:r>
              <w:rPr>
                <w:noProof/>
              </w:rPr>
              <w:t>55–64 let:</w:t>
            </w:r>
          </w:p>
        </w:tc>
        <w:tc>
          <w:tcPr>
            <w:tcW w:w="1176" w:type="dxa"/>
            <w:hideMark/>
          </w:tcPr>
          <w:p>
            <w:pPr>
              <w:spacing w:before="60" w:after="60"/>
              <w:jc w:val="right"/>
              <w:rPr>
                <w:noProof/>
              </w:rPr>
            </w:pPr>
            <w:r>
              <w:rPr>
                <w:noProof/>
              </w:rPr>
              <w:t>334</w:t>
            </w:r>
          </w:p>
        </w:tc>
        <w:tc>
          <w:tcPr>
            <w:tcW w:w="1176" w:type="dxa"/>
            <w:hideMark/>
          </w:tcPr>
          <w:p>
            <w:pPr>
              <w:spacing w:before="60" w:after="60"/>
              <w:jc w:val="right"/>
              <w:rPr>
                <w:noProof/>
              </w:rPr>
            </w:pPr>
            <w:r>
              <w:rPr>
                <w:noProof/>
              </w:rPr>
              <w:t>(41,8 %)</w:t>
            </w:r>
          </w:p>
        </w:tc>
      </w:tr>
      <w:tr>
        <w:trPr>
          <w:jc w:val="center"/>
        </w:trPr>
        <w:tc>
          <w:tcPr>
            <w:tcW w:w="1496" w:type="dxa"/>
            <w:tcBorders>
              <w:top w:val="nil"/>
              <w:left w:val="nil"/>
              <w:bottom w:val="single" w:sz="4" w:space="0" w:color="auto"/>
              <w:right w:val="nil"/>
            </w:tcBorders>
          </w:tcPr>
          <w:p>
            <w:pPr>
              <w:spacing w:before="60" w:after="60"/>
              <w:rPr>
                <w:noProof/>
              </w:rPr>
            </w:pPr>
          </w:p>
        </w:tc>
        <w:tc>
          <w:tcPr>
            <w:tcW w:w="2063" w:type="dxa"/>
            <w:tcBorders>
              <w:top w:val="nil"/>
              <w:left w:val="nil"/>
              <w:bottom w:val="single" w:sz="4" w:space="0" w:color="auto"/>
              <w:right w:val="nil"/>
            </w:tcBorders>
            <w:hideMark/>
          </w:tcPr>
          <w:p>
            <w:pPr>
              <w:spacing w:before="60" w:after="60"/>
              <w:rPr>
                <w:noProof/>
              </w:rPr>
            </w:pPr>
            <w:r>
              <w:rPr>
                <w:noProof/>
              </w:rPr>
              <w:t>nad 64 let:</w:t>
            </w:r>
          </w:p>
        </w:tc>
        <w:tc>
          <w:tcPr>
            <w:tcW w:w="1176" w:type="dxa"/>
            <w:tcBorders>
              <w:top w:val="nil"/>
              <w:left w:val="nil"/>
              <w:bottom w:val="single" w:sz="4" w:space="0" w:color="auto"/>
              <w:right w:val="nil"/>
            </w:tcBorders>
            <w:hideMark/>
          </w:tcPr>
          <w:p>
            <w:pPr>
              <w:spacing w:before="60" w:after="60"/>
              <w:jc w:val="right"/>
              <w:rPr>
                <w:noProof/>
              </w:rPr>
            </w:pPr>
            <w:r>
              <w:rPr>
                <w:noProof/>
              </w:rPr>
              <w:t>8</w:t>
            </w:r>
          </w:p>
        </w:tc>
        <w:tc>
          <w:tcPr>
            <w:tcW w:w="1176" w:type="dxa"/>
            <w:tcBorders>
              <w:top w:val="nil"/>
              <w:left w:val="nil"/>
              <w:bottom w:val="single" w:sz="4" w:space="0" w:color="auto"/>
              <w:right w:val="nil"/>
            </w:tcBorders>
            <w:hideMark/>
          </w:tcPr>
          <w:p>
            <w:pPr>
              <w:spacing w:before="60" w:after="60"/>
              <w:jc w:val="right"/>
              <w:rPr>
                <w:noProof/>
              </w:rPr>
            </w:pPr>
            <w:r>
              <w:rPr>
                <w:noProof/>
              </w:rPr>
              <w:t>(1 %)</w:t>
            </w:r>
          </w:p>
        </w:tc>
      </w:tr>
    </w:tbl>
    <w:p>
      <w:pPr>
        <w:pStyle w:val="ManualHeading3"/>
        <w:rPr>
          <w:noProof/>
        </w:rPr>
      </w:pPr>
    </w:p>
    <w:p>
      <w:pPr>
        <w:pStyle w:val="ManualHeading3"/>
        <w:rPr>
          <w:noProof/>
          <w:u w:val="single"/>
        </w:rPr>
      </w:pPr>
      <w:r>
        <w:rPr>
          <w:noProof/>
        </w:rPr>
        <w:t>Způsobilost navržených akcí</w:t>
      </w:r>
    </w:p>
    <w:p>
      <w:pPr>
        <w:pStyle w:val="ManualNumPar1"/>
        <w:rPr>
          <w:noProof/>
        </w:rPr>
      </w:pPr>
      <w:bookmarkStart w:id="2" w:name="_Ref372214239"/>
      <w:r>
        <w:t>23.</w:t>
      </w:r>
      <w:r>
        <w:tab/>
      </w:r>
      <w:r>
        <w:rPr>
          <w:noProof/>
        </w:rPr>
        <w:t xml:space="preserve">Individualizované služby pro propuštěné pracovníky budou spočívat v následujících činnostech: </w:t>
      </w:r>
      <w:bookmarkEnd w:id="2"/>
    </w:p>
    <w:p>
      <w:pPr>
        <w:pStyle w:val="Tiret1"/>
        <w:rPr>
          <w:noProof/>
        </w:rPr>
      </w:pPr>
      <w:r>
        <w:rPr>
          <w:noProof/>
          <w:u w:val="single"/>
        </w:rPr>
        <w:t>Podpora formálního studia – úhrada nákladů na odbornou přípravu</w:t>
      </w:r>
      <w:r>
        <w:rPr>
          <w:noProof/>
        </w:rPr>
        <w:t>: Toto opatření se zaměřuje na nezaměstnané osoby, které zahajují formální studium nebo v něm pokračují za účelem dokončení vzdělávání, rozšiřování dovedností a odborné přípravy. Maximální předpokládaná délka je 2,5 roku.</w:t>
      </w:r>
    </w:p>
    <w:p>
      <w:pPr>
        <w:pStyle w:val="Tiret1"/>
        <w:rPr>
          <w:noProof/>
        </w:rPr>
      </w:pPr>
      <w:r>
        <w:rPr>
          <w:noProof/>
          <w:u w:val="single"/>
        </w:rPr>
        <w:t>Úhrada nákladů na odbornou přípravu pro zaměstnavatele:</w:t>
      </w:r>
      <w:r>
        <w:rPr>
          <w:noProof/>
        </w:rPr>
        <w:t xml:space="preserve"> Uplatní se, jestliže zaměstnavatel přijal jednoho z cílových příjemců pomoci. Podle předchozí dohody se zaměstnavatelem může uhradit 50 % nákladů na odbornou přípravu Fond pojištění pro případ nezaměstnanosti (PES), maximálně však 1 250 EUR. Odborná příprava musí probíhat během prováděcího období. Toto opatření rovněž zahrnuje náklady na získání dokladu o kvalifikaci.</w:t>
      </w:r>
    </w:p>
    <w:p>
      <w:pPr>
        <w:pStyle w:val="Tiret1"/>
        <w:rPr>
          <w:noProof/>
        </w:rPr>
      </w:pPr>
      <w:r>
        <w:rPr>
          <w:noProof/>
          <w:u w:val="single"/>
        </w:rPr>
        <w:t>Odborná příprava zaměřená na trh práce:</w:t>
      </w:r>
      <w:r>
        <w:rPr>
          <w:noProof/>
        </w:rPr>
        <w:t xml:space="preserve"> Toto opatření bude trvat až jeden rok, kurzy však musí být dokončeny do konce prováděcího období. Tyto kurzy poskytnou nejen odbornou přípravu zaměřenou na získání specifických dovedností, ale také obecných nebo sociálních dovedností (tj. počítačové gramotnosti, školení v oblasti podnikání). Nebude možné, aby se tatáž osoba účastnila kurzů v rámci odborné přípravy zaměřené na trh práce a zároveň formálního studia. Opatření týkající se odborné přípravy zaměřené na trh práce zahrnuje náklady na získání dokladu o kvalifikaci, včetně osvědčení o odborné způsobilosti nebo řidičského průkazu, a bude rovněž pokrývat výdaje související se státními poplatky za jejich získání.</w:t>
      </w:r>
    </w:p>
    <w:p>
      <w:pPr>
        <w:pStyle w:val="Tiret1"/>
        <w:rPr>
          <w:noProof/>
        </w:rPr>
      </w:pPr>
      <w:r>
        <w:rPr>
          <w:noProof/>
          <w:u w:val="single"/>
        </w:rPr>
        <w:t>Výuka estonštiny:</w:t>
      </w:r>
      <w:r>
        <w:rPr>
          <w:noProof/>
        </w:rPr>
        <w:t xml:space="preserve"> Pro účast na odborné přípravě budou způsobilí všichni cíloví příjemci, včetně těch, kteří již našli novou práci, avšak potřebují si zdokonalit jazykové dovednosti, pokud jde o estonštinu, aby si našli udržitelné zaměstnání. </w:t>
      </w:r>
    </w:p>
    <w:p>
      <w:pPr>
        <w:pStyle w:val="Tiret1"/>
        <w:rPr>
          <w:noProof/>
        </w:rPr>
      </w:pPr>
      <w:r>
        <w:rPr>
          <w:noProof/>
          <w:u w:val="single"/>
        </w:rPr>
        <w:t>Pracovní praxe</w:t>
      </w:r>
      <w:r>
        <w:rPr>
          <w:noProof/>
        </w:rPr>
        <w:t xml:space="preserve">: Cílem je poskytování praktických zkušeností cílovým příjemcům pomoci. Praxi poskytují zaměstnavatelé s cílem zlepšit znalosti a dovednosti potřebné pro opětovný vstup na trh práce v co nejkratším termínu. </w:t>
      </w:r>
    </w:p>
    <w:p>
      <w:pPr>
        <w:pStyle w:val="Tiret1"/>
        <w:rPr>
          <w:noProof/>
        </w:rPr>
      </w:pPr>
      <w:r>
        <w:rPr>
          <w:noProof/>
          <w:u w:val="single"/>
        </w:rPr>
        <w:t>Poradenství při řešení dluhů:</w:t>
      </w:r>
      <w:r>
        <w:rPr>
          <w:noProof/>
        </w:rPr>
        <w:t xml:space="preserve"> Hlavním cílem je naučit zvládat situaci spojenou se snížením příjmů a značnými finančními závazky. To je důležité pro opětovné začlenění na trh práce a pro přijetí nového zaměstnání s případně nižší mzdou.</w:t>
      </w:r>
    </w:p>
    <w:p>
      <w:pPr>
        <w:pStyle w:val="Tiret1"/>
        <w:rPr>
          <w:noProof/>
        </w:rPr>
      </w:pPr>
      <w:r>
        <w:rPr>
          <w:noProof/>
          <w:u w:val="single"/>
        </w:rPr>
        <w:t>Psychologické poradenství:</w:t>
      </w:r>
      <w:r>
        <w:rPr>
          <w:noProof/>
        </w:rPr>
        <w:t xml:space="preserve"> Toto opatření nabízí služby psychologického poradenství s cílem pomoci s odstraňováním osobních problémů a překážek pro zaměstnanost, s nimiž by se propuštění pracovníci mohli potýkat.</w:t>
      </w:r>
    </w:p>
    <w:p>
      <w:pPr>
        <w:pStyle w:val="Tiret1"/>
        <w:rPr>
          <w:noProof/>
        </w:rPr>
      </w:pPr>
      <w:r>
        <w:rPr>
          <w:noProof/>
          <w:u w:val="single"/>
        </w:rPr>
        <w:t>Stipendia pro účast na formálním studiu:</w:t>
      </w:r>
      <w:r>
        <w:rPr>
          <w:noProof/>
        </w:rPr>
        <w:t xml:space="preserve"> Během studia obdrží každý účastník stipendium ve výši 260 EUR měsíčně. Aby byli účastníci motivovaní zahájit formální studium nebo v něm pokračovat, bude stipendium vypláceno během celého studijního období, avšak jen do konce prováděcího období. Tato částka bude snížena na 130 EUR měsíčně v případě, že si účastník najde zaměstnání, avšak bude si přát dokončit studium při zaměstnání. </w:t>
      </w:r>
    </w:p>
    <w:p>
      <w:pPr>
        <w:pStyle w:val="Tiret1"/>
        <w:rPr>
          <w:noProof/>
        </w:rPr>
      </w:pPr>
      <w:r>
        <w:rPr>
          <w:noProof/>
          <w:u w:val="single"/>
        </w:rPr>
        <w:t>Stipendia, příspěvky na dopravu a ubytování v souvislosti s výukou estonštiny:</w:t>
      </w:r>
      <w:r>
        <w:rPr>
          <w:noProof/>
        </w:rPr>
        <w:t xml:space="preserve"> Je-li jazyková odborná příprava poskytována nezaměstnané osobě, bude jí vyplaceno stipendium, jakož i příspěvek na dopravu a ubytování.</w:t>
      </w:r>
    </w:p>
    <w:p>
      <w:pPr>
        <w:pStyle w:val="Tiret1"/>
        <w:rPr>
          <w:noProof/>
        </w:rPr>
      </w:pPr>
      <w:r>
        <w:rPr>
          <w:noProof/>
          <w:u w:val="single"/>
        </w:rPr>
        <w:t>Příspěvek na mobilitu</w:t>
      </w:r>
      <w:r>
        <w:rPr>
          <w:noProof/>
        </w:rPr>
        <w:t>: Je vyplácen nezaměstnaným osobám, které dosud nenašly vhodné pracovní místo v blízkosti svého domova a/nebo které pracují nejméně 20 kilometrů od svého bydliště. Příspěvek se vyplácí po dobu prvních 6 měsíců po nástupu do nového zaměstnání, avšak ne déle, než je trvání projektu. V případě smlouvy na dobu určitou se příspěvek rovněž vyplácí během prvních 6 měsíců, avšak nemůže být vyplácen déle než polovinu doby trvání smlouvy. Výše tohoto příspěvku činí 0,1 EUR na kilometr, avšak nejvýše 300 EUR za kalendářní měsíc. Platby se vypočítávají na základě nejkratší vzdálenosti mezi bydlištěm a pracovním místem.</w:t>
      </w:r>
    </w:p>
    <w:p>
      <w:pPr>
        <w:pStyle w:val="ManualNumPar1"/>
        <w:rPr>
          <w:noProof/>
        </w:rPr>
      </w:pPr>
      <w:bookmarkStart w:id="3" w:name="_Ref372214242"/>
      <w:r>
        <w:t>24.</w:t>
      </w:r>
      <w:r>
        <w:tab/>
      </w:r>
      <w:r>
        <w:rPr>
          <w:noProof/>
        </w:rPr>
        <w:t>Navržené akce, které jsou zde popsány, představují aktivní opatření na trhu práce v rámci způsobilých akcí stanovených v článku 7 nařízení o EFG. Tyto akce nenahrazují pasivní opatření sociální ochrany.</w:t>
      </w:r>
    </w:p>
    <w:p>
      <w:pPr>
        <w:pStyle w:val="ManualNumPar1"/>
        <w:rPr>
          <w:noProof/>
        </w:rPr>
      </w:pPr>
      <w:r>
        <w:t>25.</w:t>
      </w:r>
      <w:r>
        <w:tab/>
      </w:r>
      <w:r>
        <w:rPr>
          <w:noProof/>
        </w:rPr>
        <w:t>Estonsko poskytlo požadované informace o akcích, které jsou pro dotyčný podnik povinné podle vnitrostátních právních předpisů nebo kolektivních smluv. Bylo potvrzeno, že finanční příspěvek z EFG nebude takové akce nahrazovat.</w:t>
      </w:r>
      <w:bookmarkEnd w:id="3"/>
    </w:p>
    <w:p>
      <w:pPr>
        <w:pStyle w:val="ManualNumPar1"/>
        <w:rPr>
          <w:noProof/>
        </w:rPr>
      </w:pPr>
      <w:r>
        <w:t>26.</w:t>
      </w:r>
      <w:r>
        <w:tab/>
      </w:r>
      <w:r>
        <w:rPr>
          <w:noProof/>
        </w:rPr>
        <w:t>Navrhovaný balíček opatření je v souladu s potřebami uvedenými ve strategii regionálního rozvoje Estonska na období 2014–2020</w:t>
      </w:r>
      <w:r>
        <w:rPr>
          <w:rStyle w:val="FootnoteReference"/>
          <w:noProof/>
        </w:rPr>
        <w:footnoteReference w:id="14"/>
      </w:r>
      <w:r>
        <w:rPr>
          <w:noProof/>
        </w:rPr>
        <w:t>, jakož i s akčním plánem kraje Ida-Virumaa na období 2015–2020</w:t>
      </w:r>
      <w:r>
        <w:rPr>
          <w:rStyle w:val="FootnoteReference"/>
          <w:noProof/>
        </w:rPr>
        <w:footnoteReference w:id="15"/>
      </w:r>
      <w:r>
        <w:rPr>
          <w:noProof/>
        </w:rPr>
        <w:t>. Estonsko dále prohlašuje, že koordinovaný balíček opatření je slučitelný s přechodem k udržitelnému hospodářství účinně využívajícímu zdroje a vykazuje velký potenciál k jeho usnadnění.</w:t>
      </w:r>
    </w:p>
    <w:p>
      <w:pPr>
        <w:pStyle w:val="ManualHeading3"/>
        <w:rPr>
          <w:noProof/>
        </w:rPr>
      </w:pPr>
      <w:r>
        <w:rPr>
          <w:noProof/>
        </w:rPr>
        <w:t>Odhadovaný rozpočet</w:t>
      </w:r>
    </w:p>
    <w:p>
      <w:pPr>
        <w:pStyle w:val="ManualNumPar1"/>
        <w:rPr>
          <w:noProof/>
        </w:rPr>
      </w:pPr>
      <w:r>
        <w:t>27.</w:t>
      </w:r>
      <w:r>
        <w:tab/>
      </w:r>
      <w:r>
        <w:rPr>
          <w:noProof/>
        </w:rPr>
        <w:t xml:space="preserve">Celkové odhadované náklady činí 1 885 597 EUR a zahrnují výdaje na individualizované služby ve výši 1 740 070 EUR a výdaje na přípravné, řídící, informační, propagační, kontrolní a vykazovací činnosti ve výši 145 527 EUR. Estonsko prohlašuje, že ponese téměř všechny výdaje na přípravná opatření a na samotné informační a propagační činnosti. </w:t>
      </w:r>
    </w:p>
    <w:p>
      <w:pPr>
        <w:pStyle w:val="ManualNumPar1"/>
        <w:rPr>
          <w:noProof/>
        </w:rPr>
      </w:pPr>
      <w:bookmarkStart w:id="4" w:name="_Ref372550770"/>
      <w:r>
        <w:t>28.</w:t>
      </w:r>
      <w:r>
        <w:tab/>
      </w:r>
      <w:r>
        <w:rPr>
          <w:noProof/>
        </w:rPr>
        <w:t>Celkový požadovaný finanční příspěvek z EFG činí 1 131 358 EUR (60 % celkových nákladů).</w:t>
      </w:r>
      <w:bookmarkEnd w:id="4"/>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4634"/>
        <w:gridCol w:w="1547"/>
        <w:gridCol w:w="1561"/>
        <w:gridCol w:w="1547"/>
      </w:tblGrid>
      <w:tr>
        <w:tc>
          <w:tcPr>
            <w:tcW w:w="4644" w:type="dxa"/>
            <w:shd w:val="clear" w:color="auto" w:fill="auto"/>
            <w:vAlign w:val="center"/>
          </w:tcPr>
          <w:p>
            <w:pPr>
              <w:spacing w:before="60" w:after="60"/>
              <w:jc w:val="center"/>
              <w:rPr>
                <w:rFonts w:eastAsia="Times New Roman"/>
                <w:noProof/>
              </w:rPr>
            </w:pPr>
            <w:r>
              <w:rPr>
                <w:noProof/>
                <w:sz w:val="22"/>
              </w:rPr>
              <w:t>Akce</w:t>
            </w:r>
          </w:p>
        </w:tc>
        <w:tc>
          <w:tcPr>
            <w:tcW w:w="1548" w:type="dxa"/>
            <w:shd w:val="clear" w:color="auto" w:fill="auto"/>
            <w:vAlign w:val="center"/>
          </w:tcPr>
          <w:p>
            <w:pPr>
              <w:spacing w:before="60" w:after="60"/>
              <w:jc w:val="center"/>
              <w:rPr>
                <w:rFonts w:eastAsia="Times New Roman"/>
                <w:noProof/>
              </w:rPr>
            </w:pPr>
            <w:r>
              <w:rPr>
                <w:noProof/>
                <w:sz w:val="22"/>
              </w:rPr>
              <w:t>Odhadovaný počet účastníků</w:t>
            </w:r>
          </w:p>
        </w:tc>
        <w:tc>
          <w:tcPr>
            <w:tcW w:w="1548" w:type="dxa"/>
            <w:shd w:val="clear" w:color="auto" w:fill="auto"/>
            <w:vAlign w:val="center"/>
          </w:tcPr>
          <w:p>
            <w:pPr>
              <w:spacing w:before="60" w:after="60"/>
              <w:jc w:val="center"/>
              <w:rPr>
                <w:rFonts w:eastAsia="Times New Roman"/>
                <w:noProof/>
              </w:rPr>
            </w:pPr>
            <w:r>
              <w:rPr>
                <w:noProof/>
                <w:sz w:val="22"/>
              </w:rPr>
              <w:t>Odhadované náklady na účastníka</w:t>
            </w:r>
            <w:r>
              <w:rPr>
                <w:rFonts w:eastAsia="Times New Roman"/>
                <w:noProof/>
                <w:sz w:val="22"/>
              </w:rPr>
              <w:br/>
            </w:r>
            <w:r>
              <w:rPr>
                <w:i/>
                <w:noProof/>
                <w:sz w:val="22"/>
              </w:rPr>
              <w:t>(zaokrouhleno) (v EUR)</w:t>
            </w:r>
          </w:p>
        </w:tc>
        <w:tc>
          <w:tcPr>
            <w:tcW w:w="1548" w:type="dxa"/>
            <w:shd w:val="clear" w:color="auto" w:fill="auto"/>
            <w:vAlign w:val="center"/>
          </w:tcPr>
          <w:p>
            <w:pPr>
              <w:spacing w:before="60" w:after="60"/>
              <w:jc w:val="center"/>
              <w:rPr>
                <w:rFonts w:eastAsia="Times New Roman"/>
                <w:noProof/>
              </w:rPr>
            </w:pPr>
            <w:r>
              <w:rPr>
                <w:noProof/>
                <w:sz w:val="22"/>
              </w:rPr>
              <w:t>Odhadované celkové náklady</w:t>
            </w:r>
          </w:p>
          <w:p>
            <w:pPr>
              <w:spacing w:before="60" w:after="60"/>
              <w:jc w:val="center"/>
              <w:rPr>
                <w:rFonts w:eastAsia="Times New Roman"/>
                <w:noProof/>
              </w:rPr>
            </w:pPr>
            <w:r>
              <w:rPr>
                <w:i/>
                <w:noProof/>
                <w:sz w:val="22"/>
              </w:rPr>
              <w:t xml:space="preserve">(v EUR) </w:t>
            </w:r>
          </w:p>
        </w:tc>
      </w:tr>
      <w:tr>
        <w:tc>
          <w:tcPr>
            <w:tcW w:w="9288" w:type="dxa"/>
            <w:gridSpan w:val="4"/>
            <w:shd w:val="clear" w:color="auto" w:fill="auto"/>
          </w:tcPr>
          <w:p>
            <w:pPr>
              <w:spacing w:before="60" w:after="60"/>
              <w:jc w:val="left"/>
              <w:rPr>
                <w:rFonts w:eastAsia="Times New Roman"/>
                <w:noProof/>
              </w:rPr>
            </w:pPr>
            <w:r>
              <w:rPr>
                <w:noProof/>
                <w:sz w:val="22"/>
              </w:rPr>
              <w:t>Individualizované služby (akce podle čl. 7 odst. 1 písm. a) a c) nařízení o EFG)</w:t>
            </w:r>
          </w:p>
        </w:tc>
      </w:tr>
      <w:tr>
        <w:trPr>
          <w:trHeight w:val="802"/>
        </w:trPr>
        <w:tc>
          <w:tcPr>
            <w:tcW w:w="4644" w:type="dxa"/>
            <w:tcBorders>
              <w:top w:val="single" w:sz="4" w:space="0" w:color="auto"/>
              <w:left w:val="nil"/>
              <w:bottom w:val="single" w:sz="4" w:space="0" w:color="auto"/>
              <w:right w:val="single" w:sz="4" w:space="0" w:color="auto"/>
            </w:tcBorders>
            <w:vAlign w:val="center"/>
            <w:hideMark/>
          </w:tcPr>
          <w:p>
            <w:pPr>
              <w:spacing w:before="60" w:after="60"/>
              <w:jc w:val="left"/>
              <w:rPr>
                <w:noProof/>
              </w:rPr>
            </w:pPr>
            <w:r>
              <w:rPr>
                <w:noProof/>
              </w:rPr>
              <w:t>Podpora formálního studia – úhrada nákladů na odbornou přípravu</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47</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5 750</w:t>
            </w:r>
          </w:p>
        </w:tc>
        <w:tc>
          <w:tcPr>
            <w:tcW w:w="1548" w:type="dxa"/>
            <w:tcBorders>
              <w:top w:val="single" w:sz="4" w:space="0" w:color="auto"/>
              <w:left w:val="single" w:sz="4" w:space="0" w:color="auto"/>
              <w:bottom w:val="single" w:sz="4" w:space="0" w:color="auto"/>
              <w:right w:val="nil"/>
            </w:tcBorders>
            <w:vAlign w:val="center"/>
            <w:hideMark/>
          </w:tcPr>
          <w:p>
            <w:pPr>
              <w:spacing w:before="60" w:after="60"/>
              <w:jc w:val="center"/>
              <w:rPr>
                <w:noProof/>
              </w:rPr>
            </w:pPr>
            <w:r>
              <w:rPr>
                <w:noProof/>
              </w:rPr>
              <w:t>270 250</w:t>
            </w:r>
          </w:p>
        </w:tc>
      </w:tr>
      <w:tr>
        <w:trPr>
          <w:trHeight w:val="802"/>
        </w:trPr>
        <w:tc>
          <w:tcPr>
            <w:tcW w:w="4644" w:type="dxa"/>
            <w:tcBorders>
              <w:top w:val="single" w:sz="4" w:space="0" w:color="auto"/>
              <w:left w:val="nil"/>
              <w:bottom w:val="single" w:sz="4" w:space="0" w:color="auto"/>
              <w:right w:val="single" w:sz="4" w:space="0" w:color="auto"/>
            </w:tcBorders>
            <w:vAlign w:val="center"/>
            <w:hideMark/>
          </w:tcPr>
          <w:p>
            <w:pPr>
              <w:spacing w:before="60" w:after="60"/>
              <w:jc w:val="left"/>
              <w:rPr>
                <w:noProof/>
              </w:rPr>
            </w:pPr>
            <w:r>
              <w:rPr>
                <w:noProof/>
              </w:rPr>
              <w:t>Úhrada nákladů na odbornou přípravu pro zaměstnavatele</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129</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338</w:t>
            </w:r>
          </w:p>
        </w:tc>
        <w:tc>
          <w:tcPr>
            <w:tcW w:w="1548" w:type="dxa"/>
            <w:tcBorders>
              <w:top w:val="single" w:sz="4" w:space="0" w:color="auto"/>
              <w:left w:val="single" w:sz="4" w:space="0" w:color="auto"/>
              <w:bottom w:val="single" w:sz="4" w:space="0" w:color="auto"/>
              <w:right w:val="nil"/>
            </w:tcBorders>
            <w:vAlign w:val="center"/>
            <w:hideMark/>
          </w:tcPr>
          <w:p>
            <w:pPr>
              <w:spacing w:before="60" w:after="60"/>
              <w:jc w:val="center"/>
              <w:rPr>
                <w:noProof/>
              </w:rPr>
            </w:pPr>
            <w:r>
              <w:rPr>
                <w:noProof/>
              </w:rPr>
              <w:t>43 661</w:t>
            </w:r>
          </w:p>
        </w:tc>
      </w:tr>
      <w:tr>
        <w:trPr>
          <w:trHeight w:val="802"/>
        </w:trPr>
        <w:tc>
          <w:tcPr>
            <w:tcW w:w="4644" w:type="dxa"/>
            <w:tcBorders>
              <w:top w:val="single" w:sz="4" w:space="0" w:color="auto"/>
              <w:left w:val="nil"/>
              <w:bottom w:val="single" w:sz="4" w:space="0" w:color="auto"/>
              <w:right w:val="single" w:sz="4" w:space="0" w:color="auto"/>
            </w:tcBorders>
            <w:vAlign w:val="center"/>
            <w:hideMark/>
          </w:tcPr>
          <w:p>
            <w:pPr>
              <w:spacing w:before="60" w:after="60"/>
              <w:jc w:val="left"/>
              <w:rPr>
                <w:noProof/>
              </w:rPr>
            </w:pPr>
            <w:r>
              <w:rPr>
                <w:noProof/>
              </w:rPr>
              <w:t>Odborná příprava zaměřená na trh práce</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379</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851</w:t>
            </w:r>
          </w:p>
        </w:tc>
        <w:tc>
          <w:tcPr>
            <w:tcW w:w="1548" w:type="dxa"/>
            <w:tcBorders>
              <w:top w:val="single" w:sz="4" w:space="0" w:color="auto"/>
              <w:left w:val="single" w:sz="4" w:space="0" w:color="auto"/>
              <w:bottom w:val="single" w:sz="4" w:space="0" w:color="auto"/>
              <w:right w:val="nil"/>
            </w:tcBorders>
            <w:vAlign w:val="center"/>
            <w:hideMark/>
          </w:tcPr>
          <w:p>
            <w:pPr>
              <w:spacing w:before="60" w:after="60"/>
              <w:jc w:val="center"/>
              <w:rPr>
                <w:noProof/>
              </w:rPr>
            </w:pPr>
            <w:r>
              <w:rPr>
                <w:noProof/>
              </w:rPr>
              <w:t>322 704</w:t>
            </w:r>
          </w:p>
        </w:tc>
      </w:tr>
      <w:tr>
        <w:trPr>
          <w:trHeight w:val="802"/>
        </w:trPr>
        <w:tc>
          <w:tcPr>
            <w:tcW w:w="4644" w:type="dxa"/>
            <w:tcBorders>
              <w:top w:val="single" w:sz="4" w:space="0" w:color="auto"/>
              <w:left w:val="nil"/>
              <w:bottom w:val="single" w:sz="4" w:space="0" w:color="auto"/>
              <w:right w:val="single" w:sz="4" w:space="0" w:color="auto"/>
            </w:tcBorders>
            <w:vAlign w:val="center"/>
            <w:hideMark/>
          </w:tcPr>
          <w:p>
            <w:pPr>
              <w:spacing w:before="60" w:after="60"/>
              <w:jc w:val="left"/>
              <w:rPr>
                <w:noProof/>
              </w:rPr>
            </w:pPr>
            <w:r>
              <w:rPr>
                <w:noProof/>
              </w:rPr>
              <w:t>Výuka estonštiny</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451</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944</w:t>
            </w:r>
          </w:p>
        </w:tc>
        <w:tc>
          <w:tcPr>
            <w:tcW w:w="1548" w:type="dxa"/>
            <w:tcBorders>
              <w:top w:val="single" w:sz="4" w:space="0" w:color="auto"/>
              <w:left w:val="single" w:sz="4" w:space="0" w:color="auto"/>
              <w:bottom w:val="single" w:sz="4" w:space="0" w:color="auto"/>
              <w:right w:val="nil"/>
            </w:tcBorders>
            <w:vAlign w:val="center"/>
            <w:hideMark/>
          </w:tcPr>
          <w:p>
            <w:pPr>
              <w:spacing w:before="60" w:after="60"/>
              <w:jc w:val="center"/>
              <w:rPr>
                <w:noProof/>
              </w:rPr>
            </w:pPr>
            <w:r>
              <w:rPr>
                <w:noProof/>
              </w:rPr>
              <w:t>425 523</w:t>
            </w:r>
          </w:p>
        </w:tc>
      </w:tr>
      <w:tr>
        <w:trPr>
          <w:trHeight w:val="802"/>
        </w:trPr>
        <w:tc>
          <w:tcPr>
            <w:tcW w:w="4644" w:type="dxa"/>
            <w:tcBorders>
              <w:top w:val="single" w:sz="4" w:space="0" w:color="auto"/>
              <w:left w:val="nil"/>
              <w:bottom w:val="single" w:sz="4" w:space="0" w:color="auto"/>
              <w:right w:val="single" w:sz="4" w:space="0" w:color="auto"/>
            </w:tcBorders>
            <w:vAlign w:val="center"/>
            <w:hideMark/>
          </w:tcPr>
          <w:p>
            <w:pPr>
              <w:spacing w:before="60" w:after="60"/>
              <w:jc w:val="left"/>
              <w:rPr>
                <w:noProof/>
              </w:rPr>
            </w:pPr>
            <w:r>
              <w:rPr>
                <w:noProof/>
              </w:rPr>
              <w:t>Pracovní praxe</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273</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649</w:t>
            </w:r>
          </w:p>
        </w:tc>
        <w:tc>
          <w:tcPr>
            <w:tcW w:w="1548" w:type="dxa"/>
            <w:tcBorders>
              <w:top w:val="single" w:sz="4" w:space="0" w:color="auto"/>
              <w:left w:val="single" w:sz="4" w:space="0" w:color="auto"/>
              <w:bottom w:val="single" w:sz="4" w:space="0" w:color="auto"/>
              <w:right w:val="nil"/>
            </w:tcBorders>
            <w:vAlign w:val="center"/>
            <w:hideMark/>
          </w:tcPr>
          <w:p>
            <w:pPr>
              <w:spacing w:before="60" w:after="60"/>
              <w:jc w:val="center"/>
              <w:rPr>
                <w:noProof/>
              </w:rPr>
            </w:pPr>
            <w:r>
              <w:rPr>
                <w:noProof/>
              </w:rPr>
              <w:t>177 117</w:t>
            </w:r>
          </w:p>
        </w:tc>
      </w:tr>
      <w:tr>
        <w:trPr>
          <w:trHeight w:val="972"/>
        </w:trPr>
        <w:tc>
          <w:tcPr>
            <w:tcW w:w="4644" w:type="dxa"/>
            <w:tcBorders>
              <w:top w:val="single" w:sz="4" w:space="0" w:color="auto"/>
              <w:left w:val="nil"/>
              <w:bottom w:val="single" w:sz="4" w:space="0" w:color="auto"/>
              <w:right w:val="single" w:sz="4" w:space="0" w:color="auto"/>
            </w:tcBorders>
            <w:vAlign w:val="center"/>
            <w:hideMark/>
          </w:tcPr>
          <w:p>
            <w:pPr>
              <w:spacing w:before="60" w:after="60"/>
              <w:jc w:val="left"/>
              <w:rPr>
                <w:noProof/>
              </w:rPr>
            </w:pPr>
            <w:r>
              <w:rPr>
                <w:noProof/>
              </w:rPr>
              <w:t>Poradenství při řešení dluhů</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51</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116</w:t>
            </w:r>
          </w:p>
        </w:tc>
        <w:tc>
          <w:tcPr>
            <w:tcW w:w="1548" w:type="dxa"/>
            <w:tcBorders>
              <w:top w:val="single" w:sz="4" w:space="0" w:color="auto"/>
              <w:left w:val="single" w:sz="4" w:space="0" w:color="auto"/>
              <w:bottom w:val="single" w:sz="4" w:space="0" w:color="auto"/>
              <w:right w:val="nil"/>
            </w:tcBorders>
            <w:vAlign w:val="center"/>
            <w:hideMark/>
          </w:tcPr>
          <w:p>
            <w:pPr>
              <w:spacing w:before="60" w:after="60"/>
              <w:jc w:val="center"/>
              <w:rPr>
                <w:noProof/>
              </w:rPr>
            </w:pPr>
            <w:r>
              <w:rPr>
                <w:noProof/>
              </w:rPr>
              <w:t>5 901</w:t>
            </w:r>
          </w:p>
        </w:tc>
      </w:tr>
      <w:tr>
        <w:trPr>
          <w:trHeight w:val="972"/>
        </w:trPr>
        <w:tc>
          <w:tcPr>
            <w:tcW w:w="4644" w:type="dxa"/>
            <w:tcBorders>
              <w:top w:val="single" w:sz="4" w:space="0" w:color="auto"/>
              <w:left w:val="nil"/>
              <w:bottom w:val="single" w:sz="4" w:space="0" w:color="auto"/>
              <w:right w:val="single" w:sz="4" w:space="0" w:color="auto"/>
            </w:tcBorders>
            <w:vAlign w:val="center"/>
          </w:tcPr>
          <w:p>
            <w:pPr>
              <w:spacing w:before="60" w:after="60"/>
              <w:jc w:val="left"/>
              <w:rPr>
                <w:noProof/>
              </w:rPr>
            </w:pPr>
            <w:r>
              <w:rPr>
                <w:noProof/>
              </w:rPr>
              <w:t>Psychologické poradenství</w:t>
            </w:r>
          </w:p>
        </w:tc>
        <w:tc>
          <w:tcPr>
            <w:tcW w:w="1548" w:type="dxa"/>
            <w:tcBorders>
              <w:top w:val="single" w:sz="4" w:space="0" w:color="auto"/>
              <w:left w:val="single" w:sz="4" w:space="0" w:color="auto"/>
              <w:bottom w:val="single" w:sz="4" w:space="0" w:color="auto"/>
              <w:right w:val="single" w:sz="4" w:space="0" w:color="auto"/>
            </w:tcBorders>
            <w:vAlign w:val="center"/>
          </w:tcPr>
          <w:p>
            <w:pPr>
              <w:spacing w:before="60" w:after="60"/>
              <w:jc w:val="center"/>
              <w:rPr>
                <w:noProof/>
              </w:rPr>
            </w:pPr>
            <w:r>
              <w:rPr>
                <w:noProof/>
              </w:rPr>
              <w:t>50</w:t>
            </w:r>
          </w:p>
        </w:tc>
        <w:tc>
          <w:tcPr>
            <w:tcW w:w="1548" w:type="dxa"/>
            <w:tcBorders>
              <w:top w:val="single" w:sz="4" w:space="0" w:color="auto"/>
              <w:left w:val="single" w:sz="4" w:space="0" w:color="auto"/>
              <w:bottom w:val="single" w:sz="4" w:space="0" w:color="auto"/>
              <w:right w:val="single" w:sz="4" w:space="0" w:color="auto"/>
            </w:tcBorders>
            <w:vAlign w:val="center"/>
          </w:tcPr>
          <w:p>
            <w:pPr>
              <w:spacing w:before="60" w:after="60"/>
              <w:jc w:val="center"/>
              <w:rPr>
                <w:noProof/>
              </w:rPr>
            </w:pPr>
            <w:r>
              <w:rPr>
                <w:noProof/>
              </w:rPr>
              <w:t>416</w:t>
            </w:r>
          </w:p>
        </w:tc>
        <w:tc>
          <w:tcPr>
            <w:tcW w:w="1548" w:type="dxa"/>
            <w:tcBorders>
              <w:top w:val="single" w:sz="4" w:space="0" w:color="auto"/>
              <w:left w:val="single" w:sz="4" w:space="0" w:color="auto"/>
              <w:bottom w:val="single" w:sz="4" w:space="0" w:color="auto"/>
              <w:right w:val="nil"/>
            </w:tcBorders>
            <w:vAlign w:val="center"/>
          </w:tcPr>
          <w:p>
            <w:pPr>
              <w:spacing w:before="60" w:after="60"/>
              <w:jc w:val="center"/>
              <w:rPr>
                <w:noProof/>
              </w:rPr>
            </w:pPr>
            <w:r>
              <w:rPr>
                <w:noProof/>
              </w:rPr>
              <w:t>20 791</w:t>
            </w:r>
          </w:p>
        </w:tc>
      </w:tr>
      <w:tr>
        <w:trPr>
          <w:trHeight w:val="398"/>
        </w:trPr>
        <w:tc>
          <w:tcPr>
            <w:tcW w:w="4644" w:type="dxa"/>
            <w:vMerge w:val="restart"/>
            <w:shd w:val="clear" w:color="auto" w:fill="auto"/>
            <w:vAlign w:val="center"/>
          </w:tcPr>
          <w:p>
            <w:pPr>
              <w:spacing w:before="60" w:after="60"/>
              <w:jc w:val="right"/>
              <w:rPr>
                <w:rFonts w:eastAsia="Times New Roman"/>
                <w:noProof/>
              </w:rPr>
            </w:pPr>
            <w:r>
              <w:rPr>
                <w:noProof/>
                <w:sz w:val="22"/>
              </w:rPr>
              <w:t>Mezisoučet a):</w:t>
            </w:r>
          </w:p>
          <w:p>
            <w:pPr>
              <w:spacing w:before="60" w:after="60"/>
              <w:jc w:val="right"/>
              <w:rPr>
                <w:rFonts w:eastAsia="Times New Roman"/>
                <w:noProof/>
              </w:rPr>
            </w:pPr>
            <w:r>
              <w:rPr>
                <w:noProof/>
                <w:sz w:val="22"/>
              </w:rPr>
              <w:t xml:space="preserve">Procento balíčku individualizovaných služeb </w:t>
            </w:r>
          </w:p>
        </w:tc>
        <w:tc>
          <w:tcPr>
            <w:tcW w:w="3096" w:type="dxa"/>
            <w:gridSpan w:val="2"/>
            <w:vMerge w:val="restart"/>
            <w:shd w:val="clear" w:color="auto" w:fill="D9D9D9"/>
            <w:vAlign w:val="center"/>
          </w:tcPr>
          <w:p>
            <w:pPr>
              <w:spacing w:before="60" w:after="60"/>
              <w:jc w:val="center"/>
              <w:rPr>
                <w:rFonts w:eastAsia="Times New Roman"/>
                <w:noProof/>
              </w:rPr>
            </w:pPr>
            <w:r>
              <w:rPr>
                <w:noProof/>
                <w:sz w:val="22"/>
              </w:rPr>
              <w:t>–</w:t>
            </w:r>
          </w:p>
        </w:tc>
        <w:tc>
          <w:tcPr>
            <w:tcW w:w="1548" w:type="dxa"/>
            <w:tcBorders>
              <w:bottom w:val="nil"/>
            </w:tcBorders>
            <w:shd w:val="clear" w:color="auto" w:fill="auto"/>
            <w:vAlign w:val="center"/>
          </w:tcPr>
          <w:p>
            <w:pPr>
              <w:spacing w:before="60" w:after="60"/>
              <w:jc w:val="center"/>
              <w:rPr>
                <w:rFonts w:eastAsia="Times New Roman"/>
                <w:noProof/>
              </w:rPr>
            </w:pPr>
            <w:r>
              <w:rPr>
                <w:noProof/>
              </w:rPr>
              <w:t>1 265 947</w:t>
            </w:r>
          </w:p>
        </w:tc>
      </w:tr>
      <w:tr>
        <w:trPr>
          <w:trHeight w:val="397"/>
        </w:trPr>
        <w:tc>
          <w:tcPr>
            <w:tcW w:w="4644" w:type="dxa"/>
            <w:vMerge/>
            <w:shd w:val="clear" w:color="auto" w:fill="auto"/>
            <w:vAlign w:val="center"/>
          </w:tcPr>
          <w:p>
            <w:pPr>
              <w:spacing w:before="60" w:after="60"/>
              <w:jc w:val="right"/>
              <w:rPr>
                <w:rFonts w:eastAsia="Times New Roman"/>
                <w:noProof/>
              </w:rPr>
            </w:pPr>
          </w:p>
        </w:tc>
        <w:tc>
          <w:tcPr>
            <w:tcW w:w="3096" w:type="dxa"/>
            <w:gridSpan w:val="2"/>
            <w:vMerge/>
            <w:shd w:val="clear" w:color="auto" w:fill="D9D9D9"/>
            <w:vAlign w:val="center"/>
          </w:tcPr>
          <w:p>
            <w:pPr>
              <w:spacing w:before="60" w:after="60"/>
              <w:jc w:val="center"/>
              <w:rPr>
                <w:rFonts w:eastAsia="Times New Roman"/>
                <w:noProof/>
              </w:rPr>
            </w:pPr>
          </w:p>
        </w:tc>
        <w:tc>
          <w:tcPr>
            <w:tcW w:w="1548" w:type="dxa"/>
            <w:tcBorders>
              <w:top w:val="nil"/>
            </w:tcBorders>
            <w:shd w:val="clear" w:color="auto" w:fill="auto"/>
            <w:vAlign w:val="center"/>
          </w:tcPr>
          <w:p>
            <w:pPr>
              <w:spacing w:before="60" w:after="60"/>
              <w:jc w:val="center"/>
              <w:rPr>
                <w:rFonts w:eastAsia="Times New Roman"/>
                <w:noProof/>
              </w:rPr>
            </w:pPr>
            <w:r>
              <w:rPr>
                <w:noProof/>
                <w:sz w:val="22"/>
              </w:rPr>
              <w:t>(</w:t>
            </w:r>
            <w:r>
              <w:rPr>
                <w:noProof/>
              </w:rPr>
              <w:t>72,75 </w:t>
            </w:r>
            <w:r>
              <w:rPr>
                <w:noProof/>
                <w:sz w:val="22"/>
              </w:rPr>
              <w:t>%)</w:t>
            </w:r>
          </w:p>
        </w:tc>
      </w:tr>
      <w:tr>
        <w:tc>
          <w:tcPr>
            <w:tcW w:w="9288" w:type="dxa"/>
            <w:gridSpan w:val="4"/>
            <w:shd w:val="clear" w:color="auto" w:fill="auto"/>
            <w:vAlign w:val="center"/>
          </w:tcPr>
          <w:p>
            <w:pPr>
              <w:spacing w:before="60" w:after="60"/>
              <w:jc w:val="left"/>
              <w:rPr>
                <w:noProof/>
              </w:rPr>
            </w:pPr>
            <w:r>
              <w:rPr>
                <w:noProof/>
                <w:sz w:val="22"/>
              </w:rPr>
              <w:t>Příspěvky a pobídky (akce podle čl. 7 odst. 1 písm. b) nařízení o EFG)</w:t>
            </w:r>
          </w:p>
        </w:tc>
      </w:tr>
      <w:tr>
        <w:trPr>
          <w:trHeight w:val="802"/>
        </w:trPr>
        <w:tc>
          <w:tcPr>
            <w:tcW w:w="4644" w:type="dxa"/>
            <w:tcBorders>
              <w:top w:val="single" w:sz="4" w:space="0" w:color="auto"/>
              <w:left w:val="nil"/>
              <w:bottom w:val="single" w:sz="4" w:space="0" w:color="auto"/>
              <w:right w:val="single" w:sz="4" w:space="0" w:color="auto"/>
            </w:tcBorders>
            <w:vAlign w:val="center"/>
            <w:hideMark/>
          </w:tcPr>
          <w:p>
            <w:pPr>
              <w:spacing w:before="60" w:after="60"/>
              <w:jc w:val="left"/>
              <w:rPr>
                <w:noProof/>
              </w:rPr>
            </w:pPr>
            <w:r>
              <w:rPr>
                <w:noProof/>
              </w:rPr>
              <w:t xml:space="preserve">Stipendia pro účast na formálním studiu </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47</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4 181</w:t>
            </w:r>
          </w:p>
        </w:tc>
        <w:tc>
          <w:tcPr>
            <w:tcW w:w="1548" w:type="dxa"/>
            <w:tcBorders>
              <w:top w:val="single" w:sz="4" w:space="0" w:color="auto"/>
              <w:left w:val="single" w:sz="4" w:space="0" w:color="auto"/>
              <w:bottom w:val="single" w:sz="4" w:space="0" w:color="auto"/>
              <w:right w:val="nil"/>
            </w:tcBorders>
            <w:vAlign w:val="center"/>
            <w:hideMark/>
          </w:tcPr>
          <w:p>
            <w:pPr>
              <w:spacing w:before="60" w:after="60"/>
              <w:jc w:val="center"/>
              <w:rPr>
                <w:noProof/>
              </w:rPr>
            </w:pPr>
            <w:r>
              <w:rPr>
                <w:noProof/>
              </w:rPr>
              <w:t>196 521</w:t>
            </w:r>
          </w:p>
        </w:tc>
      </w:tr>
      <w:tr>
        <w:trPr>
          <w:trHeight w:val="802"/>
        </w:trPr>
        <w:tc>
          <w:tcPr>
            <w:tcW w:w="4644" w:type="dxa"/>
            <w:tcBorders>
              <w:top w:val="single" w:sz="4" w:space="0" w:color="auto"/>
              <w:left w:val="nil"/>
              <w:bottom w:val="single" w:sz="4" w:space="0" w:color="auto"/>
              <w:right w:val="single" w:sz="4" w:space="0" w:color="auto"/>
            </w:tcBorders>
            <w:vAlign w:val="center"/>
            <w:hideMark/>
          </w:tcPr>
          <w:p>
            <w:pPr>
              <w:spacing w:before="60" w:after="60"/>
              <w:jc w:val="left"/>
              <w:rPr>
                <w:noProof/>
              </w:rPr>
            </w:pPr>
            <w:r>
              <w:rPr>
                <w:noProof/>
              </w:rPr>
              <w:t>Stipendia a příspěvky na dopravu a ubytování v souvislosti s výukou estonštiny</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301</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393</w:t>
            </w:r>
          </w:p>
        </w:tc>
        <w:tc>
          <w:tcPr>
            <w:tcW w:w="1548" w:type="dxa"/>
            <w:tcBorders>
              <w:top w:val="single" w:sz="4" w:space="0" w:color="auto"/>
              <w:left w:val="single" w:sz="4" w:space="0" w:color="auto"/>
              <w:bottom w:val="single" w:sz="4" w:space="0" w:color="auto"/>
              <w:right w:val="nil"/>
            </w:tcBorders>
            <w:vAlign w:val="center"/>
            <w:hideMark/>
          </w:tcPr>
          <w:p>
            <w:pPr>
              <w:spacing w:before="60" w:after="60"/>
              <w:jc w:val="center"/>
              <w:rPr>
                <w:noProof/>
              </w:rPr>
            </w:pPr>
            <w:r>
              <w:rPr>
                <w:noProof/>
              </w:rPr>
              <w:t>118 177</w:t>
            </w:r>
          </w:p>
        </w:tc>
      </w:tr>
      <w:tr>
        <w:trPr>
          <w:trHeight w:val="802"/>
        </w:trPr>
        <w:tc>
          <w:tcPr>
            <w:tcW w:w="4644" w:type="dxa"/>
            <w:tcBorders>
              <w:top w:val="single" w:sz="4" w:space="0" w:color="auto"/>
              <w:left w:val="nil"/>
              <w:bottom w:val="single" w:sz="4" w:space="0" w:color="auto"/>
              <w:right w:val="single" w:sz="4" w:space="0" w:color="auto"/>
            </w:tcBorders>
            <w:vAlign w:val="center"/>
            <w:hideMark/>
          </w:tcPr>
          <w:p>
            <w:pPr>
              <w:spacing w:before="60" w:after="60"/>
              <w:jc w:val="left"/>
              <w:rPr>
                <w:noProof/>
              </w:rPr>
            </w:pPr>
            <w:r>
              <w:rPr>
                <w:noProof/>
              </w:rPr>
              <w:t>Příspěvek na mobilitu</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175</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911</w:t>
            </w:r>
          </w:p>
        </w:tc>
        <w:tc>
          <w:tcPr>
            <w:tcW w:w="1548" w:type="dxa"/>
            <w:tcBorders>
              <w:top w:val="single" w:sz="4" w:space="0" w:color="auto"/>
              <w:left w:val="single" w:sz="4" w:space="0" w:color="auto"/>
              <w:bottom w:val="single" w:sz="4" w:space="0" w:color="auto"/>
              <w:right w:val="nil"/>
            </w:tcBorders>
            <w:vAlign w:val="center"/>
            <w:hideMark/>
          </w:tcPr>
          <w:p>
            <w:pPr>
              <w:spacing w:before="60" w:after="60"/>
              <w:jc w:val="center"/>
              <w:rPr>
                <w:noProof/>
              </w:rPr>
            </w:pPr>
            <w:r>
              <w:rPr>
                <w:noProof/>
              </w:rPr>
              <w:t>159 425</w:t>
            </w:r>
          </w:p>
        </w:tc>
      </w:tr>
      <w:tr>
        <w:trPr>
          <w:trHeight w:val="203"/>
        </w:trPr>
        <w:tc>
          <w:tcPr>
            <w:tcW w:w="4644" w:type="dxa"/>
            <w:vMerge w:val="restart"/>
            <w:shd w:val="clear" w:color="auto" w:fill="auto"/>
            <w:vAlign w:val="center"/>
          </w:tcPr>
          <w:p>
            <w:pPr>
              <w:spacing w:before="60" w:after="60"/>
              <w:jc w:val="right"/>
              <w:rPr>
                <w:rFonts w:eastAsia="Times New Roman"/>
                <w:noProof/>
              </w:rPr>
            </w:pPr>
            <w:r>
              <w:rPr>
                <w:noProof/>
                <w:sz w:val="22"/>
              </w:rPr>
              <w:t>Mezisoučet b):</w:t>
            </w:r>
          </w:p>
          <w:p>
            <w:pPr>
              <w:spacing w:before="60" w:after="60"/>
              <w:jc w:val="right"/>
              <w:rPr>
                <w:rFonts w:eastAsia="Times New Roman"/>
                <w:noProof/>
              </w:rPr>
            </w:pPr>
            <w:r>
              <w:rPr>
                <w:noProof/>
                <w:sz w:val="22"/>
              </w:rPr>
              <w:t>Procento balíčku individualizovaných služeb:</w:t>
            </w:r>
          </w:p>
        </w:tc>
        <w:tc>
          <w:tcPr>
            <w:tcW w:w="3096" w:type="dxa"/>
            <w:gridSpan w:val="2"/>
            <w:vMerge w:val="restart"/>
            <w:shd w:val="clear" w:color="auto" w:fill="D9D9D9"/>
            <w:vAlign w:val="center"/>
          </w:tcPr>
          <w:p>
            <w:pPr>
              <w:spacing w:before="60" w:after="60"/>
              <w:jc w:val="center"/>
              <w:rPr>
                <w:rFonts w:eastAsia="Times New Roman"/>
                <w:noProof/>
              </w:rPr>
            </w:pPr>
            <w:r>
              <w:rPr>
                <w:noProof/>
                <w:sz w:val="22"/>
              </w:rPr>
              <w:t>–</w:t>
            </w:r>
          </w:p>
        </w:tc>
        <w:tc>
          <w:tcPr>
            <w:tcW w:w="1548" w:type="dxa"/>
            <w:tcBorders>
              <w:bottom w:val="nil"/>
            </w:tcBorders>
            <w:shd w:val="clear" w:color="auto" w:fill="auto"/>
            <w:vAlign w:val="center"/>
          </w:tcPr>
          <w:p>
            <w:pPr>
              <w:spacing w:before="60" w:after="60"/>
              <w:jc w:val="center"/>
              <w:rPr>
                <w:rFonts w:eastAsia="Times New Roman"/>
                <w:noProof/>
              </w:rPr>
            </w:pPr>
            <w:r>
              <w:rPr>
                <w:noProof/>
              </w:rPr>
              <w:t>474 123</w:t>
            </w:r>
          </w:p>
        </w:tc>
      </w:tr>
      <w:tr>
        <w:trPr>
          <w:trHeight w:val="202"/>
        </w:trPr>
        <w:tc>
          <w:tcPr>
            <w:tcW w:w="4644" w:type="dxa"/>
            <w:vMerge/>
            <w:shd w:val="clear" w:color="auto" w:fill="auto"/>
            <w:vAlign w:val="center"/>
          </w:tcPr>
          <w:p>
            <w:pPr>
              <w:spacing w:before="60" w:after="60"/>
              <w:jc w:val="right"/>
              <w:rPr>
                <w:rFonts w:eastAsia="Times New Roman"/>
                <w:noProof/>
              </w:rPr>
            </w:pPr>
          </w:p>
        </w:tc>
        <w:tc>
          <w:tcPr>
            <w:tcW w:w="3096" w:type="dxa"/>
            <w:gridSpan w:val="2"/>
            <w:vMerge/>
            <w:shd w:val="clear" w:color="auto" w:fill="D9D9D9"/>
            <w:vAlign w:val="center"/>
          </w:tcPr>
          <w:p>
            <w:pPr>
              <w:spacing w:before="60" w:after="60"/>
              <w:jc w:val="center"/>
              <w:rPr>
                <w:rFonts w:eastAsia="Times New Roman"/>
                <w:noProof/>
              </w:rPr>
            </w:pPr>
          </w:p>
        </w:tc>
        <w:tc>
          <w:tcPr>
            <w:tcW w:w="1548" w:type="dxa"/>
            <w:tcBorders>
              <w:top w:val="nil"/>
            </w:tcBorders>
            <w:shd w:val="clear" w:color="auto" w:fill="auto"/>
            <w:vAlign w:val="center"/>
          </w:tcPr>
          <w:p>
            <w:pPr>
              <w:spacing w:before="60" w:after="60"/>
              <w:jc w:val="center"/>
              <w:rPr>
                <w:rFonts w:eastAsia="Times New Roman"/>
                <w:noProof/>
              </w:rPr>
            </w:pPr>
            <w:r>
              <w:rPr>
                <w:noProof/>
                <w:sz w:val="22"/>
              </w:rPr>
              <w:t>(</w:t>
            </w:r>
            <w:r>
              <w:rPr>
                <w:noProof/>
              </w:rPr>
              <w:t>27,25 </w:t>
            </w:r>
            <w:r>
              <w:rPr>
                <w:noProof/>
                <w:sz w:val="22"/>
              </w:rPr>
              <w:t>%)</w:t>
            </w:r>
          </w:p>
        </w:tc>
      </w:tr>
      <w:tr>
        <w:tc>
          <w:tcPr>
            <w:tcW w:w="9288" w:type="dxa"/>
            <w:gridSpan w:val="4"/>
            <w:shd w:val="clear" w:color="auto" w:fill="auto"/>
            <w:vAlign w:val="center"/>
          </w:tcPr>
          <w:p>
            <w:pPr>
              <w:spacing w:before="60" w:after="60"/>
              <w:jc w:val="left"/>
              <w:rPr>
                <w:rFonts w:eastAsia="Times New Roman"/>
                <w:noProof/>
              </w:rPr>
            </w:pPr>
            <w:r>
              <w:rPr>
                <w:noProof/>
                <w:sz w:val="22"/>
              </w:rPr>
              <w:t xml:space="preserve"> Akce podle čl. 7 odst. 4 nařízení o EFG</w:t>
            </w:r>
          </w:p>
        </w:tc>
      </w:tr>
      <w:tr>
        <w:tc>
          <w:tcPr>
            <w:tcW w:w="4644" w:type="dxa"/>
            <w:shd w:val="clear" w:color="auto" w:fill="auto"/>
          </w:tcPr>
          <w:p>
            <w:pPr>
              <w:spacing w:before="60" w:after="60"/>
              <w:ind w:left="284"/>
              <w:jc w:val="left"/>
              <w:rPr>
                <w:rFonts w:eastAsia="Times New Roman"/>
                <w:noProof/>
              </w:rPr>
            </w:pPr>
            <w:r>
              <w:rPr>
                <w:noProof/>
                <w:sz w:val="22"/>
              </w:rPr>
              <w:t>1. Přípravné činnosti</w:t>
            </w:r>
          </w:p>
        </w:tc>
        <w:tc>
          <w:tcPr>
            <w:tcW w:w="3096" w:type="dxa"/>
            <w:gridSpan w:val="2"/>
            <w:shd w:val="clear" w:color="auto" w:fill="D9D9D9"/>
            <w:vAlign w:val="center"/>
          </w:tcPr>
          <w:p>
            <w:pPr>
              <w:spacing w:before="60" w:after="60"/>
              <w:jc w:val="center"/>
              <w:rPr>
                <w:rFonts w:eastAsia="Times New Roman"/>
                <w:noProof/>
              </w:rPr>
            </w:pPr>
            <w:r>
              <w:rPr>
                <w:noProof/>
                <w:sz w:val="22"/>
              </w:rPr>
              <w:t>–</w:t>
            </w:r>
          </w:p>
        </w:tc>
        <w:tc>
          <w:tcPr>
            <w:tcW w:w="1548" w:type="dxa"/>
            <w:shd w:val="clear" w:color="auto" w:fill="auto"/>
          </w:tcPr>
          <w:p>
            <w:pPr>
              <w:spacing w:before="60" w:after="60"/>
              <w:jc w:val="center"/>
              <w:rPr>
                <w:rFonts w:eastAsia="Times New Roman"/>
                <w:noProof/>
              </w:rPr>
            </w:pPr>
            <w:r>
              <w:rPr>
                <w:noProof/>
              </w:rPr>
              <w:t>100</w:t>
            </w:r>
          </w:p>
        </w:tc>
      </w:tr>
      <w:tr>
        <w:tc>
          <w:tcPr>
            <w:tcW w:w="4644" w:type="dxa"/>
            <w:shd w:val="clear" w:color="auto" w:fill="auto"/>
          </w:tcPr>
          <w:p>
            <w:pPr>
              <w:spacing w:before="60" w:after="60"/>
              <w:ind w:left="284"/>
              <w:jc w:val="left"/>
              <w:rPr>
                <w:rFonts w:eastAsia="Times New Roman"/>
                <w:noProof/>
              </w:rPr>
            </w:pPr>
            <w:r>
              <w:rPr>
                <w:noProof/>
                <w:sz w:val="22"/>
              </w:rPr>
              <w:t>2. Řízení</w:t>
            </w:r>
          </w:p>
        </w:tc>
        <w:tc>
          <w:tcPr>
            <w:tcW w:w="3096" w:type="dxa"/>
            <w:gridSpan w:val="2"/>
            <w:shd w:val="clear" w:color="auto" w:fill="D9D9D9"/>
            <w:vAlign w:val="center"/>
          </w:tcPr>
          <w:p>
            <w:pPr>
              <w:spacing w:before="60" w:after="60"/>
              <w:jc w:val="center"/>
              <w:rPr>
                <w:rFonts w:eastAsia="Times New Roman"/>
                <w:noProof/>
              </w:rPr>
            </w:pPr>
            <w:r>
              <w:rPr>
                <w:noProof/>
                <w:sz w:val="22"/>
              </w:rPr>
              <w:t>–</w:t>
            </w:r>
          </w:p>
        </w:tc>
        <w:tc>
          <w:tcPr>
            <w:tcW w:w="1548" w:type="dxa"/>
            <w:shd w:val="clear" w:color="auto" w:fill="auto"/>
          </w:tcPr>
          <w:p>
            <w:pPr>
              <w:spacing w:before="60" w:after="60"/>
              <w:jc w:val="center"/>
              <w:rPr>
                <w:rFonts w:eastAsia="Times New Roman"/>
                <w:noProof/>
              </w:rPr>
            </w:pPr>
            <w:r>
              <w:rPr>
                <w:noProof/>
              </w:rPr>
              <w:t>109 635</w:t>
            </w:r>
          </w:p>
        </w:tc>
      </w:tr>
      <w:tr>
        <w:tc>
          <w:tcPr>
            <w:tcW w:w="4644" w:type="dxa"/>
            <w:shd w:val="clear" w:color="auto" w:fill="auto"/>
          </w:tcPr>
          <w:p>
            <w:pPr>
              <w:spacing w:before="60" w:after="60"/>
              <w:ind w:left="284"/>
              <w:jc w:val="left"/>
              <w:rPr>
                <w:rFonts w:eastAsia="Times New Roman"/>
                <w:noProof/>
              </w:rPr>
            </w:pPr>
            <w:r>
              <w:rPr>
                <w:noProof/>
                <w:sz w:val="22"/>
              </w:rPr>
              <w:t>3. Informační a propagační činnosti</w:t>
            </w:r>
          </w:p>
        </w:tc>
        <w:tc>
          <w:tcPr>
            <w:tcW w:w="3096" w:type="dxa"/>
            <w:gridSpan w:val="2"/>
            <w:shd w:val="clear" w:color="auto" w:fill="D9D9D9"/>
            <w:vAlign w:val="center"/>
          </w:tcPr>
          <w:p>
            <w:pPr>
              <w:spacing w:before="60" w:after="60"/>
              <w:jc w:val="center"/>
              <w:rPr>
                <w:rFonts w:eastAsia="Times New Roman"/>
                <w:noProof/>
              </w:rPr>
            </w:pPr>
            <w:r>
              <w:rPr>
                <w:noProof/>
                <w:sz w:val="22"/>
              </w:rPr>
              <w:t>–</w:t>
            </w:r>
          </w:p>
        </w:tc>
        <w:tc>
          <w:tcPr>
            <w:tcW w:w="1548" w:type="dxa"/>
            <w:shd w:val="clear" w:color="auto" w:fill="auto"/>
          </w:tcPr>
          <w:p>
            <w:pPr>
              <w:spacing w:before="60" w:after="60"/>
              <w:jc w:val="center"/>
              <w:rPr>
                <w:noProof/>
              </w:rPr>
            </w:pPr>
            <w:r>
              <w:rPr>
                <w:noProof/>
              </w:rPr>
              <w:t>400</w:t>
            </w:r>
          </w:p>
        </w:tc>
      </w:tr>
      <w:tr>
        <w:tc>
          <w:tcPr>
            <w:tcW w:w="4644" w:type="dxa"/>
            <w:shd w:val="clear" w:color="auto" w:fill="auto"/>
          </w:tcPr>
          <w:p>
            <w:pPr>
              <w:spacing w:before="60" w:after="60"/>
              <w:ind w:left="284"/>
              <w:jc w:val="left"/>
              <w:rPr>
                <w:rFonts w:eastAsia="Times New Roman"/>
                <w:noProof/>
              </w:rPr>
            </w:pPr>
            <w:r>
              <w:rPr>
                <w:noProof/>
                <w:sz w:val="22"/>
              </w:rPr>
              <w:t>4. Kontrola a vykazování</w:t>
            </w:r>
          </w:p>
        </w:tc>
        <w:tc>
          <w:tcPr>
            <w:tcW w:w="3096" w:type="dxa"/>
            <w:gridSpan w:val="2"/>
            <w:shd w:val="clear" w:color="auto" w:fill="D9D9D9"/>
            <w:vAlign w:val="center"/>
          </w:tcPr>
          <w:p>
            <w:pPr>
              <w:spacing w:before="60" w:after="60"/>
              <w:jc w:val="center"/>
              <w:rPr>
                <w:rFonts w:eastAsia="Times New Roman"/>
                <w:noProof/>
              </w:rPr>
            </w:pPr>
            <w:r>
              <w:rPr>
                <w:noProof/>
                <w:sz w:val="22"/>
              </w:rPr>
              <w:t>–</w:t>
            </w:r>
          </w:p>
        </w:tc>
        <w:tc>
          <w:tcPr>
            <w:tcW w:w="1548" w:type="dxa"/>
            <w:tcBorders>
              <w:bottom w:val="single" w:sz="4" w:space="0" w:color="auto"/>
            </w:tcBorders>
            <w:shd w:val="clear" w:color="auto" w:fill="auto"/>
          </w:tcPr>
          <w:p>
            <w:pPr>
              <w:spacing w:before="60" w:after="60"/>
              <w:jc w:val="center"/>
              <w:rPr>
                <w:rFonts w:eastAsia="Times New Roman"/>
                <w:noProof/>
              </w:rPr>
            </w:pPr>
            <w:r>
              <w:rPr>
                <w:noProof/>
              </w:rPr>
              <w:t>35 392</w:t>
            </w:r>
          </w:p>
        </w:tc>
      </w:tr>
      <w:tr>
        <w:trPr>
          <w:trHeight w:val="203"/>
        </w:trPr>
        <w:tc>
          <w:tcPr>
            <w:tcW w:w="4644" w:type="dxa"/>
            <w:vMerge w:val="restart"/>
            <w:shd w:val="clear" w:color="auto" w:fill="auto"/>
            <w:vAlign w:val="center"/>
          </w:tcPr>
          <w:p>
            <w:pPr>
              <w:spacing w:before="60" w:after="60"/>
              <w:jc w:val="right"/>
              <w:rPr>
                <w:rFonts w:eastAsia="Times New Roman"/>
                <w:noProof/>
              </w:rPr>
            </w:pPr>
            <w:r>
              <w:rPr>
                <w:noProof/>
                <w:sz w:val="22"/>
              </w:rPr>
              <w:t>Mezisoučet c):</w:t>
            </w:r>
          </w:p>
          <w:p>
            <w:pPr>
              <w:spacing w:before="60" w:after="60"/>
              <w:jc w:val="right"/>
              <w:rPr>
                <w:rFonts w:eastAsia="Times New Roman"/>
                <w:noProof/>
              </w:rPr>
            </w:pPr>
            <w:r>
              <w:rPr>
                <w:noProof/>
                <w:sz w:val="22"/>
              </w:rPr>
              <w:t>Procentní podíl na celkových nákladech:</w:t>
            </w:r>
          </w:p>
        </w:tc>
        <w:tc>
          <w:tcPr>
            <w:tcW w:w="3096" w:type="dxa"/>
            <w:gridSpan w:val="2"/>
            <w:vMerge w:val="restart"/>
            <w:shd w:val="clear" w:color="auto" w:fill="D9D9D9"/>
            <w:vAlign w:val="center"/>
          </w:tcPr>
          <w:p>
            <w:pPr>
              <w:spacing w:before="0" w:after="0"/>
              <w:jc w:val="center"/>
              <w:rPr>
                <w:rFonts w:eastAsia="Times New Roman"/>
                <w:noProof/>
              </w:rPr>
            </w:pPr>
            <w:r>
              <w:rPr>
                <w:noProof/>
                <w:sz w:val="22"/>
              </w:rPr>
              <w:t>–</w:t>
            </w:r>
          </w:p>
        </w:tc>
        <w:tc>
          <w:tcPr>
            <w:tcW w:w="1548" w:type="dxa"/>
            <w:tcBorders>
              <w:bottom w:val="nil"/>
            </w:tcBorders>
            <w:shd w:val="clear" w:color="auto" w:fill="auto"/>
            <w:vAlign w:val="center"/>
          </w:tcPr>
          <w:p>
            <w:pPr>
              <w:spacing w:before="60" w:after="60"/>
              <w:jc w:val="center"/>
              <w:rPr>
                <w:rFonts w:eastAsia="Times New Roman"/>
                <w:noProof/>
              </w:rPr>
            </w:pPr>
            <w:r>
              <w:rPr>
                <w:noProof/>
              </w:rPr>
              <w:t>145 527</w:t>
            </w:r>
          </w:p>
        </w:tc>
      </w:tr>
      <w:tr>
        <w:trPr>
          <w:trHeight w:val="202"/>
        </w:trPr>
        <w:tc>
          <w:tcPr>
            <w:tcW w:w="4644" w:type="dxa"/>
            <w:vMerge/>
            <w:shd w:val="clear" w:color="auto" w:fill="auto"/>
          </w:tcPr>
          <w:p>
            <w:pPr>
              <w:spacing w:before="0" w:after="0"/>
              <w:jc w:val="right"/>
              <w:rPr>
                <w:rFonts w:eastAsia="Times New Roman"/>
                <w:noProof/>
              </w:rPr>
            </w:pPr>
          </w:p>
        </w:tc>
        <w:tc>
          <w:tcPr>
            <w:tcW w:w="3096" w:type="dxa"/>
            <w:gridSpan w:val="2"/>
            <w:vMerge/>
            <w:shd w:val="clear" w:color="auto" w:fill="D9D9D9"/>
            <w:vAlign w:val="center"/>
          </w:tcPr>
          <w:p>
            <w:pPr>
              <w:spacing w:before="0" w:after="0"/>
              <w:jc w:val="center"/>
              <w:rPr>
                <w:rFonts w:eastAsia="Times New Roman"/>
                <w:noProof/>
              </w:rPr>
            </w:pPr>
          </w:p>
        </w:tc>
        <w:tc>
          <w:tcPr>
            <w:tcW w:w="1548" w:type="dxa"/>
            <w:tcBorders>
              <w:top w:val="nil"/>
            </w:tcBorders>
            <w:shd w:val="clear" w:color="auto" w:fill="auto"/>
            <w:vAlign w:val="center"/>
          </w:tcPr>
          <w:p>
            <w:pPr>
              <w:spacing w:before="60" w:after="60"/>
              <w:jc w:val="center"/>
              <w:rPr>
                <w:rFonts w:eastAsia="Times New Roman"/>
                <w:noProof/>
              </w:rPr>
            </w:pPr>
            <w:r>
              <w:rPr>
                <w:noProof/>
                <w:sz w:val="22"/>
              </w:rPr>
              <w:t>(</w:t>
            </w:r>
            <w:r>
              <w:rPr>
                <w:noProof/>
              </w:rPr>
              <w:t>7,7 </w:t>
            </w:r>
            <w:r>
              <w:rPr>
                <w:noProof/>
                <w:sz w:val="22"/>
              </w:rPr>
              <w:t>%)</w:t>
            </w:r>
          </w:p>
        </w:tc>
      </w:tr>
      <w:tr>
        <w:tc>
          <w:tcPr>
            <w:tcW w:w="4644" w:type="dxa"/>
            <w:shd w:val="clear" w:color="auto" w:fill="auto"/>
          </w:tcPr>
          <w:p>
            <w:pPr>
              <w:spacing w:before="60" w:after="60"/>
              <w:jc w:val="left"/>
              <w:rPr>
                <w:rFonts w:eastAsia="Times New Roman"/>
                <w:noProof/>
              </w:rPr>
            </w:pPr>
            <w:r>
              <w:rPr>
                <w:noProof/>
                <w:sz w:val="22"/>
              </w:rPr>
              <w:t>Celkové náklady (a + b + c):</w:t>
            </w:r>
          </w:p>
        </w:tc>
        <w:tc>
          <w:tcPr>
            <w:tcW w:w="3096" w:type="dxa"/>
            <w:gridSpan w:val="2"/>
            <w:shd w:val="clear" w:color="auto" w:fill="D9D9D9"/>
            <w:vAlign w:val="center"/>
          </w:tcPr>
          <w:p>
            <w:pPr>
              <w:spacing w:before="60" w:after="60"/>
              <w:jc w:val="center"/>
              <w:rPr>
                <w:rFonts w:eastAsia="Times New Roman"/>
                <w:noProof/>
              </w:rPr>
            </w:pPr>
            <w:r>
              <w:rPr>
                <w:noProof/>
                <w:sz w:val="22"/>
              </w:rPr>
              <w:t>–</w:t>
            </w:r>
          </w:p>
        </w:tc>
        <w:tc>
          <w:tcPr>
            <w:tcW w:w="1548" w:type="dxa"/>
            <w:shd w:val="clear" w:color="auto" w:fill="auto"/>
          </w:tcPr>
          <w:p>
            <w:pPr>
              <w:spacing w:before="60" w:after="60"/>
              <w:jc w:val="center"/>
              <w:rPr>
                <w:noProof/>
              </w:rPr>
            </w:pPr>
            <w:r>
              <w:rPr>
                <w:noProof/>
              </w:rPr>
              <w:t>1 885 597</w:t>
            </w:r>
          </w:p>
        </w:tc>
      </w:tr>
      <w:tr>
        <w:tc>
          <w:tcPr>
            <w:tcW w:w="4644" w:type="dxa"/>
            <w:shd w:val="clear" w:color="auto" w:fill="auto"/>
          </w:tcPr>
          <w:p>
            <w:pPr>
              <w:spacing w:before="60" w:after="60"/>
              <w:jc w:val="left"/>
              <w:rPr>
                <w:rFonts w:eastAsia="Times New Roman"/>
                <w:noProof/>
              </w:rPr>
            </w:pPr>
            <w:r>
              <w:rPr>
                <w:noProof/>
                <w:sz w:val="22"/>
              </w:rPr>
              <w:t>Příspěvek z EFG (60 % celkových nákladů)</w:t>
            </w:r>
          </w:p>
        </w:tc>
        <w:tc>
          <w:tcPr>
            <w:tcW w:w="3096" w:type="dxa"/>
            <w:gridSpan w:val="2"/>
            <w:shd w:val="clear" w:color="auto" w:fill="D9D9D9"/>
            <w:vAlign w:val="center"/>
          </w:tcPr>
          <w:p>
            <w:pPr>
              <w:spacing w:before="60" w:after="60"/>
              <w:jc w:val="center"/>
              <w:rPr>
                <w:rFonts w:eastAsia="Times New Roman"/>
                <w:noProof/>
              </w:rPr>
            </w:pPr>
            <w:r>
              <w:rPr>
                <w:noProof/>
                <w:sz w:val="22"/>
              </w:rPr>
              <w:t>–</w:t>
            </w:r>
          </w:p>
        </w:tc>
        <w:tc>
          <w:tcPr>
            <w:tcW w:w="1548" w:type="dxa"/>
            <w:shd w:val="clear" w:color="auto" w:fill="auto"/>
          </w:tcPr>
          <w:p>
            <w:pPr>
              <w:spacing w:before="60" w:after="60"/>
              <w:jc w:val="center"/>
              <w:rPr>
                <w:rFonts w:eastAsia="Times New Roman"/>
                <w:noProof/>
              </w:rPr>
            </w:pPr>
            <w:r>
              <w:rPr>
                <w:noProof/>
              </w:rPr>
              <w:t>1 131 358</w:t>
            </w:r>
          </w:p>
        </w:tc>
      </w:tr>
    </w:tbl>
    <w:p>
      <w:pPr>
        <w:pStyle w:val="ManualNumPar1"/>
        <w:rPr>
          <w:noProof/>
          <w:szCs w:val="20"/>
        </w:rPr>
      </w:pPr>
      <w:r>
        <w:t>29.</w:t>
      </w:r>
      <w:r>
        <w:tab/>
      </w:r>
      <w:r>
        <w:rPr>
          <w:noProof/>
        </w:rPr>
        <w:t>Náklady na akce uvedené v tabulce výše jakožto akce podle čl. 7 odst. 1 písm. b) nařízení o EFG nepřesahují 35 % celkových nákladů na koordinovaný balíček individualizovaných služeb. Estonsko potvrdilo, že tyto akce jsou podmíněny aktivní účastí cílových příjemců pomoci při hledání zaměstnání nebo profesní přípravě.</w:t>
      </w:r>
    </w:p>
    <w:p>
      <w:pPr>
        <w:pStyle w:val="ManualHeading3"/>
        <w:rPr>
          <w:noProof/>
        </w:rPr>
      </w:pPr>
    </w:p>
    <w:p>
      <w:pPr>
        <w:pStyle w:val="ManualHeading3"/>
        <w:rPr>
          <w:noProof/>
        </w:rPr>
      </w:pPr>
      <w:r>
        <w:rPr>
          <w:noProof/>
        </w:rPr>
        <w:t>Období způsobilosti výdajů</w:t>
      </w:r>
    </w:p>
    <w:p>
      <w:pPr>
        <w:pStyle w:val="ManualNumPar1"/>
        <w:rPr>
          <w:noProof/>
        </w:rPr>
      </w:pPr>
      <w:r>
        <w:t>30.</w:t>
      </w:r>
      <w:r>
        <w:tab/>
      </w:r>
      <w:r>
        <w:rPr>
          <w:noProof/>
        </w:rPr>
        <w:t>Estonsko začalo poskytovat individualizované služby cílovým příjemcům pomoci dne 1. července 2016. Výdaje na akce proto budou způsobilé pro finanční příspěvek z EFG od 1. července 2016 do 1. července 2018, s výjimkou formálního studia o délce převyšující dva roky, které bude způsobilé do 1. ledna 2019.</w:t>
      </w:r>
    </w:p>
    <w:p>
      <w:pPr>
        <w:pStyle w:val="ManualNumPar1"/>
        <w:rPr>
          <w:noProof/>
        </w:rPr>
      </w:pPr>
      <w:r>
        <w:t>31.</w:t>
      </w:r>
      <w:r>
        <w:tab/>
      </w:r>
      <w:r>
        <w:rPr>
          <w:noProof/>
        </w:rPr>
        <w:t xml:space="preserve">Estonsku začaly vznikat administrativní výdaje spojené s prováděním EFG dne 11. května 2016. Výdaje na činnosti v oblastech přípravy, řízení, informování, propagace, kontroly a výkaznictví jsou proto způsobilé pro finanční příspěvek z EFG od 11. května 2016 do 1. ledna 2019. </w:t>
      </w:r>
    </w:p>
    <w:p>
      <w:pPr>
        <w:pStyle w:val="ManualHeading3"/>
        <w:rPr>
          <w:noProof/>
        </w:rPr>
      </w:pPr>
      <w:r>
        <w:rPr>
          <w:noProof/>
        </w:rPr>
        <w:t>Doplňkovost s akcemi financovanými z vnitrostátních fondů nebo fondů Unie</w:t>
      </w:r>
    </w:p>
    <w:p>
      <w:pPr>
        <w:pStyle w:val="ManualNumPar1"/>
        <w:rPr>
          <w:noProof/>
        </w:rPr>
      </w:pPr>
      <w:r>
        <w:t>32.</w:t>
      </w:r>
      <w:r>
        <w:tab/>
      </w:r>
      <w:r>
        <w:rPr>
          <w:noProof/>
        </w:rPr>
        <w:t>Zdrojem spolufinancování na vnitrostátní úrovni je nadace pro služby trhu práce a sociální dávky, z níž Estonský fond pojištění pro případ nezaměstnanosti (PES) poskytuje aktivní opatření na trhu práce v Estonsku. Jako zdroj předfinancování jsou dostupné další finanční prostředky ze státního rozpočtu.</w:t>
      </w:r>
    </w:p>
    <w:p>
      <w:pPr>
        <w:pStyle w:val="ManualNumPar1"/>
        <w:rPr>
          <w:noProof/>
        </w:rPr>
      </w:pPr>
      <w:r>
        <w:t>33.</w:t>
      </w:r>
      <w:r>
        <w:tab/>
      </w:r>
      <w:r>
        <w:rPr>
          <w:noProof/>
        </w:rPr>
        <w:t>Estonsko potvrdilo, že výše popsaná opatření, která získají finanční příspěvek z EFG, neobdrží zároveň finanční příspěvky z jiných finančních nástrojů Unie.</w:t>
      </w:r>
    </w:p>
    <w:p>
      <w:pPr>
        <w:pStyle w:val="ManualHeading3"/>
        <w:rPr>
          <w:noProof/>
          <w:u w:val="single"/>
        </w:rPr>
      </w:pPr>
      <w:r>
        <w:rPr>
          <w:noProof/>
        </w:rPr>
        <w:t>Postupy pro konzultaci s cílovými příjemci pomoci nebo jejich zástupci, se sociálními partnery a s místními a regionálními orgány</w:t>
      </w:r>
    </w:p>
    <w:p>
      <w:pPr>
        <w:pStyle w:val="ManualNumPar1"/>
        <w:rPr>
          <w:noProof/>
        </w:rPr>
      </w:pPr>
      <w:r>
        <w:t>34.</w:t>
      </w:r>
      <w:r>
        <w:tab/>
      </w:r>
      <w:r>
        <w:rPr>
          <w:noProof/>
        </w:rPr>
        <w:t>Estonsko uvedlo, že koordinovaný balíček individualizovaných služeb byl vypracován na základě konzultací se všemi zúčastněnými stranami včetně sociálních partnerů, podniků a veřejných služeb zaměstnanosti. Dne 15. února 2016 uspořádaly odbory a sdružení zaměstnavatelů kraje Ida-Virumaa jednání u kulatého stolu zaměřené na možná řešení současné krize. Následně počátkem dubna 2016 proběhlo zasedání na Ministerstvu sociálních věcí, během nějž se diskutovalo o možné žádosti o spolufinancování z EFG. Účastníky zasedání na vysoké úrovni byli zástupci Estonské konfederace odborových svazů, Estonské konfederace zaměstnavatelů, Ministerstva hospodářství a komunikací a Estonského fondu pojištění pro případ nezaměstnanosti (PES). Další jednání se konalo na regionální úrovni v kraji Ida-Virumaa se zapojením všech příslušných regionálních aktérů.</w:t>
      </w:r>
    </w:p>
    <w:p>
      <w:pPr>
        <w:pStyle w:val="ManualHeading2"/>
        <w:rPr>
          <w:noProof/>
        </w:rPr>
      </w:pPr>
      <w:r>
        <w:rPr>
          <w:noProof/>
        </w:rPr>
        <w:t>Řídicí a kontrolní systémy</w:t>
      </w:r>
    </w:p>
    <w:p>
      <w:pPr>
        <w:pStyle w:val="ManualNumPar1"/>
        <w:rPr>
          <w:noProof/>
        </w:rPr>
      </w:pPr>
      <w:r>
        <w:t>35.</w:t>
      </w:r>
      <w:r>
        <w:tab/>
      </w:r>
      <w:r>
        <w:rPr>
          <w:noProof/>
        </w:rPr>
        <w:t>Žádost obsahuje popis řídicích a kontrolních systémů, který specifikuje povinnosti dotčených orgánů. Estonsko oznámilo Komisi, že finanční příspěvek bude řízen odborem strategie a správy rozpočtu Ministerstva sociálních věcí jakožto řídicím orgánem EFG, odborem finanční kontroly Ministerstva financí jakožto auditním orgánem EFG a odborem pro platby z Evropské unie Ministerstva financí jakožto certifikačním orgánem EFG. Některé úkoly řídicího orgánu budou svěřeny nadaci Innove jakožto zprostředkujícímu subjektu druhé úrovně.</w:t>
      </w:r>
    </w:p>
    <w:p>
      <w:pPr>
        <w:pStyle w:val="ManualHeading2"/>
        <w:rPr>
          <w:noProof/>
        </w:rPr>
      </w:pPr>
      <w:r>
        <w:rPr>
          <w:noProof/>
        </w:rPr>
        <w:t>Závazky přijaté dotčeným členským státem</w:t>
      </w:r>
    </w:p>
    <w:p>
      <w:pPr>
        <w:pStyle w:val="ManualNumPar1"/>
        <w:rPr>
          <w:noProof/>
        </w:rPr>
      </w:pPr>
      <w:r>
        <w:t>36.</w:t>
      </w:r>
      <w:r>
        <w:tab/>
      </w:r>
      <w:r>
        <w:rPr>
          <w:noProof/>
        </w:rPr>
        <w:t xml:space="preserve">Estonsko poskytlo všechny nezbytné záruky týkající se těchto bodů: </w:t>
      </w:r>
    </w:p>
    <w:p>
      <w:pPr>
        <w:pStyle w:val="Tiret1"/>
        <w:numPr>
          <w:ilvl w:val="0"/>
          <w:numId w:val="13"/>
        </w:numPr>
        <w:rPr>
          <w:noProof/>
        </w:rPr>
      </w:pPr>
      <w:r>
        <w:rPr>
          <w:noProof/>
        </w:rPr>
        <w:t>při přístupu k navrženým akcím a jejich provádění budou dodržovány zásady rovného zacházení a nediskriminace,</w:t>
      </w:r>
    </w:p>
    <w:p>
      <w:pPr>
        <w:pStyle w:val="Tiret1"/>
        <w:numPr>
          <w:ilvl w:val="0"/>
          <w:numId w:val="13"/>
        </w:numPr>
        <w:rPr>
          <w:noProof/>
        </w:rPr>
      </w:pPr>
      <w:r>
        <w:rPr>
          <w:noProof/>
        </w:rPr>
        <w:t>byly splněny požadavky stanovené vnitrostátními právními předpisy a právními předpisy EU, které se týkají hromadného propouštění,</w:t>
      </w:r>
    </w:p>
    <w:p>
      <w:pPr>
        <w:pStyle w:val="Tiret1"/>
        <w:numPr>
          <w:ilvl w:val="0"/>
          <w:numId w:val="13"/>
        </w:numPr>
        <w:rPr>
          <w:noProof/>
        </w:rPr>
      </w:pPr>
      <w:r>
        <w:rPr>
          <w:noProof/>
        </w:rPr>
        <w:t>propouštějící podniky, které pokračují ve své činnosti i po propuštění pracovníků, dodržují své zákonné povinnosti upravující propouštění a své pracovníky příslušným způsobem zabezpečí,</w:t>
      </w:r>
    </w:p>
    <w:p>
      <w:pPr>
        <w:pStyle w:val="Tiret1"/>
        <w:numPr>
          <w:ilvl w:val="0"/>
          <w:numId w:val="13"/>
        </w:numPr>
        <w:rPr>
          <w:noProof/>
        </w:rPr>
      </w:pPr>
      <w:r>
        <w:rPr>
          <w:noProof/>
        </w:rPr>
        <w:t>navržené akce neobdrží finanční podporu z jiných fondů či finančních nástrojů Unie a zamezí se jakémukoliv dvojímu financování,</w:t>
      </w:r>
    </w:p>
    <w:p>
      <w:pPr>
        <w:pStyle w:val="Tiret1"/>
        <w:numPr>
          <w:ilvl w:val="0"/>
          <w:numId w:val="13"/>
        </w:numPr>
        <w:rPr>
          <w:noProof/>
        </w:rPr>
      </w:pPr>
      <w:r>
        <w:rPr>
          <w:noProof/>
        </w:rPr>
        <w:t>navržené akce se budou doplňovat s opatřeními financovanými prostřednictvím strukturálních fondů,</w:t>
      </w:r>
    </w:p>
    <w:p>
      <w:pPr>
        <w:pStyle w:val="Tiret1"/>
        <w:numPr>
          <w:ilvl w:val="0"/>
          <w:numId w:val="13"/>
        </w:numPr>
        <w:rPr>
          <w:noProof/>
        </w:rPr>
      </w:pPr>
      <w:r>
        <w:rPr>
          <w:noProof/>
        </w:rPr>
        <w:t>finanční příspěvek z EFG bude v souladu s procesními a hmotněprávními pravidly Unie pro státní podporu.</w:t>
      </w:r>
    </w:p>
    <w:p>
      <w:pPr>
        <w:pStyle w:val="ManualHeading1"/>
        <w:rPr>
          <w:noProof/>
        </w:rPr>
      </w:pPr>
      <w:r>
        <w:rPr>
          <w:noProof/>
        </w:rPr>
        <w:t>ROZPOČTOVÉ DŮSLEDKY</w:t>
      </w:r>
    </w:p>
    <w:p>
      <w:pPr>
        <w:pStyle w:val="ManualHeading2"/>
        <w:rPr>
          <w:noProof/>
        </w:rPr>
      </w:pPr>
      <w:r>
        <w:rPr>
          <w:noProof/>
        </w:rPr>
        <w:t>Rozpočtový návrh</w:t>
      </w:r>
    </w:p>
    <w:p>
      <w:pPr>
        <w:pStyle w:val="ManualNumPar1"/>
        <w:rPr>
          <w:noProof/>
        </w:rPr>
      </w:pPr>
      <w:r>
        <w:t>37.</w:t>
      </w:r>
      <w:r>
        <w:tab/>
      </w:r>
      <w:r>
        <w:rPr>
          <w:noProof/>
        </w:rPr>
        <w:t>EFG nepřekročí maximální roční částku 150 milionů EUR (v cenách roku 2011), jak je stanoveno v článku 12 nařízení Rady (EU, Euratom) č. 1311/2013 ze dne 2. prosince 2013, kterým se stanoví víceletý finanční rámec na období 2014–2020</w:t>
      </w:r>
      <w:r>
        <w:rPr>
          <w:rStyle w:val="FootnoteReference"/>
          <w:noProof/>
        </w:rPr>
        <w:footnoteReference w:id="16"/>
      </w:r>
      <w:r>
        <w:rPr>
          <w:noProof/>
        </w:rPr>
        <w:t>.</w:t>
      </w:r>
    </w:p>
    <w:p>
      <w:pPr>
        <w:pStyle w:val="ManualNumPar1"/>
        <w:rPr>
          <w:rFonts w:eastAsia="Calibri"/>
          <w:noProof/>
        </w:rPr>
      </w:pPr>
      <w:r>
        <w:t>38.</w:t>
      </w:r>
      <w:r>
        <w:tab/>
      </w:r>
      <w:r>
        <w:rPr>
          <w:noProof/>
        </w:rPr>
        <w:t>Po posouzení žádosti s ohledem na podmínky stanovené v čl. 13 odst. 1 nařízení o EFG a při zohlednění počtu cílových příjemců pomoci, navržených akcí a odhadovaných nákladů navrhuje Komise uvolnit z EFG částku 1 131 358 EUR, která představuje 60 % celkových nákladů na navržené akce, aby byl v souvislosti s příslušnou žádostí poskytnut finanční příspěvek.</w:t>
      </w:r>
    </w:p>
    <w:p>
      <w:pPr>
        <w:pStyle w:val="ManualNumPar1"/>
        <w:rPr>
          <w:rFonts w:eastAsia="Times New Roman"/>
          <w:noProof/>
        </w:rPr>
      </w:pPr>
      <w:r>
        <w:t>39.</w:t>
      </w:r>
      <w:r>
        <w:tab/>
      </w:r>
      <w:r>
        <w:rPr>
          <w:noProof/>
        </w:rPr>
        <w:t>Návrh rozhodnutí o uvolnění prostředků z EFG přijme společně Evropský parlament a Rada, jak stanoví bod 13 interinstitucionální dohody ze dne 2. prosince 2013 mezi Evropským parlamentem, Radou a Komisí o rozpočtové kázni, spolupráci v rozpočtových záležitostech a řádném finančním řízení</w:t>
      </w:r>
      <w:r>
        <w:rPr>
          <w:rStyle w:val="FootnoteReference"/>
          <w:noProof/>
        </w:rPr>
        <w:footnoteReference w:id="17"/>
      </w:r>
      <w:r>
        <w:rPr>
          <w:noProof/>
        </w:rPr>
        <w:t>.</w:t>
      </w:r>
    </w:p>
    <w:p>
      <w:pPr>
        <w:pStyle w:val="ManualHeading2"/>
        <w:rPr>
          <w:noProof/>
        </w:rPr>
      </w:pPr>
      <w:r>
        <w:rPr>
          <w:noProof/>
        </w:rPr>
        <w:t>Související akty</w:t>
      </w:r>
    </w:p>
    <w:p>
      <w:pPr>
        <w:pStyle w:val="ManualNumPar1"/>
        <w:rPr>
          <w:noProof/>
        </w:rPr>
      </w:pPr>
      <w:r>
        <w:t>40.</w:t>
      </w:r>
      <w:r>
        <w:tab/>
      </w:r>
      <w:r>
        <w:rPr>
          <w:noProof/>
        </w:rPr>
        <w:t>Současně s tímto návrhem rozhodnutí o uvolnění prostředků z EFG předloží Komise Evropskému parlamentu a Radě návrh na převod prostředků ve výši 1 131 358 EUR do příslušné rozpočtové položky.</w:t>
      </w:r>
    </w:p>
    <w:p>
      <w:pPr>
        <w:pStyle w:val="ManualNumPar1"/>
        <w:rPr>
          <w:noProof/>
        </w:rPr>
      </w:pPr>
      <w:r>
        <w:t>41.</w:t>
      </w:r>
      <w:r>
        <w:tab/>
      </w:r>
      <w:r>
        <w:rPr>
          <w:noProof/>
        </w:rPr>
        <w:t>Současně s přijetím tohoto návrhu rozhodnutí o uvolnění prostředků z EFG přijme Komise rozhodnutí o poskytnutí finančního příspěvku, a to prostřednictvím prováděcího aktu, který vstoupí v platnost dnem, kdy Evropský parlament a Rada přijmou navržené rozhodnutí o uvolnění prostředků z EFG.</w:t>
      </w:r>
    </w:p>
    <w:p>
      <w:pPr>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Statut"/>
        <w:rPr>
          <w:noProof/>
        </w:rPr>
      </w:pPr>
      <w:r>
        <w:rPr>
          <w:noProof/>
        </w:rPr>
        <w:t>Návrh</w:t>
      </w:r>
    </w:p>
    <w:p>
      <w:pPr>
        <w:pStyle w:val="Typedudocument"/>
        <w:rPr>
          <w:noProof/>
        </w:rPr>
      </w:pPr>
      <w:r>
        <w:rPr>
          <w:noProof/>
        </w:rPr>
        <w:t>ROZHODNUTÍ EVROPSKÉHO PARLAMENTU A RADY</w:t>
      </w:r>
    </w:p>
    <w:p>
      <w:pPr>
        <w:pStyle w:val="Titreobjet"/>
        <w:rPr>
          <w:noProof/>
        </w:rPr>
      </w:pPr>
      <w:r>
        <w:rPr>
          <w:noProof/>
        </w:rPr>
        <w:t>o uvolnění prostředků z Evropského fondu pro přizpůsobení se globalizaci na základě</w:t>
      </w:r>
      <w:r>
        <w:rPr>
          <w:noProof/>
        </w:rPr>
        <w:br/>
        <w:t>žádosti Estonska EGF/2016/003 EE/ropa a chemické látky</w:t>
      </w:r>
    </w:p>
    <w:p>
      <w:pPr>
        <w:pStyle w:val="Institutionquiagit"/>
        <w:rPr>
          <w:noProof/>
        </w:rPr>
      </w:pPr>
      <w:r>
        <w:rPr>
          <w:noProof/>
        </w:rPr>
        <w:t>EVROPSKÝ PARLAMENT A RADA EVROPSKÉ UNIE,</w:t>
      </w:r>
    </w:p>
    <w:p>
      <w:pPr>
        <w:rPr>
          <w:noProof/>
        </w:rPr>
      </w:pPr>
      <w:r>
        <w:rPr>
          <w:noProof/>
        </w:rPr>
        <w:t>s ohledem na Smlouvu o fungování Evropské unie,</w:t>
      </w:r>
    </w:p>
    <w:p>
      <w:pPr>
        <w:rPr>
          <w:noProof/>
        </w:rPr>
      </w:pPr>
      <w:r>
        <w:rPr>
          <w:noProof/>
        </w:rPr>
        <w:t>s ohledem na nařízení Evropského parlamentu a Rady (EU) č. 1309/2013 ze dne 17. prosince 2013 o Evropském fondu pro přizpůsobení se globalizaci (2014–2020) a o zrušení nařízení (ES) č. 1927/2006</w:t>
      </w:r>
      <w:r>
        <w:rPr>
          <w:rStyle w:val="FootnoteReference"/>
          <w:noProof/>
        </w:rPr>
        <w:footnoteReference w:id="18"/>
      </w:r>
      <w:r>
        <w:rPr>
          <w:noProof/>
        </w:rPr>
        <w:t>, a zejména na čl. 15 odst. 4 uvedeného nařízení,</w:t>
      </w:r>
    </w:p>
    <w:p>
      <w:pPr>
        <w:rPr>
          <w:noProof/>
        </w:rPr>
      </w:pPr>
      <w:r>
        <w:rPr>
          <w:noProof/>
        </w:rPr>
        <w:t>s ohledem na interinstitucionální dohodu ze dne 2. prosince 2013 mezi Evropským parlamentem, Radou a Komisí o rozpočtové kázni, spolupráci v rozpočtových záležitostech a o řádném finančním řízení</w:t>
      </w:r>
      <w:r>
        <w:rPr>
          <w:rStyle w:val="FootnoteReference"/>
          <w:noProof/>
        </w:rPr>
        <w:footnoteReference w:id="19"/>
      </w:r>
      <w:r>
        <w:rPr>
          <w:noProof/>
        </w:rPr>
        <w:t>, a zejména na bod 13 uvedené dohody,</w:t>
      </w:r>
    </w:p>
    <w:p>
      <w:pPr>
        <w:rPr>
          <w:noProof/>
        </w:rPr>
      </w:pPr>
      <w:r>
        <w:rPr>
          <w:noProof/>
        </w:rPr>
        <w:t>s ohledem na návrh Evropské komise,</w:t>
      </w:r>
    </w:p>
    <w:p>
      <w:pPr>
        <w:rPr>
          <w:noProof/>
        </w:rPr>
      </w:pPr>
      <w:r>
        <w:rPr>
          <w:noProof/>
        </w:rPr>
        <w:t>vzhledem k těmto důvodům:</w:t>
      </w:r>
    </w:p>
    <w:p>
      <w:pPr>
        <w:pStyle w:val="ManualConsidrant"/>
        <w:rPr>
          <w:noProof/>
        </w:rPr>
      </w:pPr>
      <w:r>
        <w:t>(1)</w:t>
      </w:r>
      <w:r>
        <w:tab/>
      </w:r>
      <w:r>
        <w:rPr>
          <w:noProof/>
        </w:rPr>
        <w:t>Evropský fond pro přizpůsobení se globalizaci (dále jen „EFG“) má za cíl poskytovat podporu pracovníkům, kteří byli propuštěni, a osobám samostatně výdělečně činným, které přestaly vykonávat svou činnost v důsledku významných změn ve struktuře světového obchodu způsobených globalizací, v důsledku pokračující celosvětové finanční a hospodářské krize nebo v důsledku nové celosvětové finanční a hospodářské krize, a pomáhat těmto osobám při jejich opětovném začlenění na trh práce.</w:t>
      </w:r>
    </w:p>
    <w:p>
      <w:pPr>
        <w:pStyle w:val="ManualConsidrant"/>
        <w:rPr>
          <w:noProof/>
        </w:rPr>
      </w:pPr>
      <w:r>
        <w:t>(2)</w:t>
      </w:r>
      <w:r>
        <w:tab/>
      </w:r>
      <w:r>
        <w:rPr>
          <w:noProof/>
        </w:rPr>
        <w:t>EFG nepřekročí maximální roční částku 150 milionů EUR (v cenách roku 2011), jak je stanoveno v článku 12 nařízení Rady (EU, Euratom) č. 1311/2013</w:t>
      </w:r>
      <w:r>
        <w:rPr>
          <w:rStyle w:val="FootnoteReference"/>
          <w:noProof/>
        </w:rPr>
        <w:footnoteReference w:id="20"/>
      </w:r>
      <w:r>
        <w:rPr>
          <w:noProof/>
        </w:rPr>
        <w:t>.</w:t>
      </w:r>
    </w:p>
    <w:p>
      <w:pPr>
        <w:pStyle w:val="ManualConsidrant"/>
        <w:rPr>
          <w:noProof/>
        </w:rPr>
      </w:pPr>
      <w:r>
        <w:t>(3)</w:t>
      </w:r>
      <w:r>
        <w:tab/>
      </w:r>
      <w:r>
        <w:rPr>
          <w:noProof/>
        </w:rPr>
        <w:t>Estonsko dne 11. května 2016 předložilo žádost o uvolnění prostředků z EFG v souvislosti s propouštěním v hospodářských odvětvích klasifikovaných podle statistické klasifikace ekonomických činností v Evropském společenství („NACE“) Revize 2 do oddílu 19 (Výroba koksu a rafinovaných ropných produktů) a oddílu 20 (Výroba chemických látek a chemických přípravků) v Estonsku (Estonská republika není rozdělena do regionů úrovně klasifikace územních statistických jednotek („NUTS“)</w:t>
      </w:r>
      <w:r>
        <w:rPr>
          <w:rStyle w:val="FootnoteReference"/>
          <w:noProof/>
        </w:rPr>
        <w:footnoteReference w:id="21"/>
      </w:r>
      <w:r>
        <w:rPr>
          <w:noProof/>
        </w:rPr>
        <w:t xml:space="preserve"> 2). Tato žádost byla doplněna o další informace poskytnuté v souladu s čl. 8 odst. 3 nařízení (EU) č. 1309/2013. Žádost splňuje požadavky na stanovení výše finančního příspěvku z EFG podle článku 13 nařízení (EU) č. 1309/2013.</w:t>
      </w:r>
    </w:p>
    <w:p>
      <w:pPr>
        <w:pStyle w:val="ManualConsidrant"/>
        <w:rPr>
          <w:noProof/>
        </w:rPr>
      </w:pPr>
      <w:r>
        <w:t>(4)</w:t>
      </w:r>
      <w:r>
        <w:tab/>
      </w:r>
      <w:r>
        <w:rPr>
          <w:noProof/>
        </w:rPr>
        <w:t>V souladu s čl. 4 odst. 2 nařízení (EU) č. 1309/2013 je možné žádost Estonska přijmout, neboť propuštění má závažný dopad na zaměstnanost a na místní, regionální a národní hospodářství.</w:t>
      </w:r>
    </w:p>
    <w:p>
      <w:pPr>
        <w:pStyle w:val="ManualConsidrant"/>
        <w:rPr>
          <w:noProof/>
        </w:rPr>
      </w:pPr>
      <w:r>
        <w:t>(5)</w:t>
      </w:r>
      <w:r>
        <w:tab/>
      </w:r>
      <w:r>
        <w:rPr>
          <w:noProof/>
        </w:rPr>
        <w:t>V souvislosti s uvedenou žádostí Estonska by proto měly být z EFG uvolněny prostředky na poskytnutí finančního příspěvku ve výši 1 131 358 EUR.</w:t>
      </w:r>
    </w:p>
    <w:p>
      <w:pPr>
        <w:pStyle w:val="ManualConsidrant"/>
        <w:rPr>
          <w:noProof/>
        </w:rPr>
      </w:pPr>
      <w:r>
        <w:t>(6)</w:t>
      </w:r>
      <w:r>
        <w:tab/>
      </w:r>
      <w:r>
        <w:rPr>
          <w:noProof/>
        </w:rPr>
        <w:t>Aby byly příspěvky z EFG uvolněny co nejdříve, mělo by být toto rozhodnutí použitelné ode dne jeho přijetí,</w:t>
      </w:r>
    </w:p>
    <w:p>
      <w:pPr>
        <w:pStyle w:val="Formuledadoption"/>
        <w:rPr>
          <w:noProof/>
        </w:rPr>
      </w:pPr>
      <w:r>
        <w:rPr>
          <w:noProof/>
        </w:rPr>
        <w:t xml:space="preserve">PŘIJALY TOTO ROZHODNUTÍ: </w:t>
      </w:r>
    </w:p>
    <w:p>
      <w:pPr>
        <w:pStyle w:val="Titrearticle"/>
        <w:rPr>
          <w:noProof/>
        </w:rPr>
      </w:pPr>
      <w:r>
        <w:rPr>
          <w:noProof/>
        </w:rPr>
        <w:t>Článek 1</w:t>
      </w:r>
    </w:p>
    <w:p>
      <w:pPr>
        <w:rPr>
          <w:noProof/>
        </w:rPr>
      </w:pPr>
      <w:r>
        <w:rPr>
          <w:noProof/>
        </w:rPr>
        <w:t>V rámci souhrnného rozpočtu Unie na rozpočtový rok 2016 se z Evropského fondu pro přizpůsobení se globalizaci uvolňuje částka ve výši 1 131 358 EUR v prostředcích na závazky a na platby.</w:t>
      </w:r>
    </w:p>
    <w:p>
      <w:pPr>
        <w:pStyle w:val="Titrearticle"/>
        <w:rPr>
          <w:noProof/>
        </w:rPr>
      </w:pPr>
      <w:r>
        <w:rPr>
          <w:noProof/>
        </w:rPr>
        <w:t>Článek 2</w:t>
      </w:r>
    </w:p>
    <w:p>
      <w:pPr>
        <w:keepNext/>
        <w:keepLines/>
        <w:rPr>
          <w:noProof/>
        </w:rPr>
      </w:pPr>
      <w:r>
        <w:rPr>
          <w:noProof/>
        </w:rPr>
        <w:t>Toto rozhodnutí vstupuje v platnost dnem vyhlášení v </w:t>
      </w:r>
      <w:r>
        <w:rPr>
          <w:i/>
          <w:noProof/>
        </w:rPr>
        <w:t>Úředním věstníku Evropské unie</w:t>
      </w:r>
      <w:r>
        <w:rPr>
          <w:noProof/>
        </w:rPr>
        <w:t xml:space="preserve">. Použije se ode dne </w:t>
      </w:r>
      <w:r>
        <w:rPr>
          <w:noProof/>
          <w:color w:val="FF0000"/>
        </w:rPr>
        <w:t>[</w:t>
      </w:r>
      <w:r>
        <w:rPr>
          <w:i/>
          <w:noProof/>
          <w:color w:val="FF0000"/>
        </w:rPr>
        <w:t>the date of its adoption</w:t>
      </w:r>
      <w:r>
        <w:rPr>
          <w:noProof/>
          <w:color w:val="FF0000"/>
        </w:rPr>
        <w:t>]</w:t>
      </w:r>
      <w:r>
        <w:rPr>
          <w:rStyle w:val="FootnoteReference"/>
        </w:rPr>
        <w:sym w:font="Symbol" w:char="F02A"/>
      </w:r>
      <w:r>
        <w:rPr>
          <w:noProof/>
        </w:rPr>
        <w:t>.</w:t>
      </w:r>
    </w:p>
    <w:p>
      <w:pPr>
        <w:pStyle w:val="Fait"/>
        <w:rPr>
          <w:noProof/>
        </w:rPr>
      </w:pPr>
      <w:r>
        <w:rPr>
          <w:noProof/>
        </w:rPr>
        <w:footnoteReference w:customMarkFollows="1" w:id="22"/>
        <w:t>V Bruselu dne</w:t>
      </w:r>
    </w:p>
    <w:p>
      <w:pPr>
        <w:pStyle w:val="Institutionquisigne"/>
        <w:rPr>
          <w:noProof/>
        </w:rPr>
      </w:pPr>
      <w:r>
        <w:rPr>
          <w:noProof/>
        </w:rPr>
        <w:t>Za Evropský parlament</w:t>
      </w:r>
      <w:r>
        <w:rPr>
          <w:noProof/>
        </w:rPr>
        <w:tab/>
        <w:t>Za Radu</w:t>
      </w:r>
    </w:p>
    <w:p>
      <w:pPr>
        <w:pStyle w:val="Personnequisigne"/>
        <w:rPr>
          <w:noProof/>
        </w:rPr>
      </w:pPr>
      <w:r>
        <w:rPr>
          <w:noProof/>
        </w:rPr>
        <w:t>předseda / předsedkyně</w:t>
      </w:r>
      <w:r>
        <w:rPr>
          <w:noProof/>
        </w:rPr>
        <w:tab/>
        <w:t>předseda / předsedkyně</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CS</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CS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CS</w:t>
    </w:r>
    <w:r>
      <w:rPr>
        <w:rFonts w:ascii="Arial" w:hAnsi="Arial" w:cs="Arial"/>
        <w:b/>
        <w:sz w:val="48"/>
      </w:rPr>
      <w:tab/>
    </w:r>
    <w:r>
      <w:fldChar w:fldCharType="begin"/>
    </w:r>
    <w:r>
      <w:instrText xml:space="preserve"> PAGE  \* MERGEFORMAT </w:instrText>
    </w:r>
    <w:r>
      <w:fldChar w:fldCharType="separate"/>
    </w:r>
    <w:r>
      <w:rPr>
        <w:noProof/>
      </w:rPr>
      <w:t>15</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CS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pPr>
      <w:r>
        <w:rPr>
          <w:rStyle w:val="FootnoteReference"/>
        </w:rPr>
        <w:footnoteRef/>
      </w:r>
      <w:r>
        <w:tab/>
        <w:t>Úř. věst. L 347, 20.12.2013, s. 855.</w:t>
      </w:r>
    </w:p>
  </w:footnote>
  <w:footnote w:id="3">
    <w:p>
      <w:pPr>
        <w:pStyle w:val="FootnoteText"/>
      </w:pPr>
      <w:r>
        <w:rPr>
          <w:rStyle w:val="FootnoteReference"/>
        </w:rPr>
        <w:footnoteRef/>
      </w:r>
      <w:r>
        <w:tab/>
        <w:t>Ve smyslu článku 3 nařízení o EFG.</w:t>
      </w:r>
    </w:p>
  </w:footnote>
  <w:footnote w:id="4">
    <w:p>
      <w:pPr>
        <w:pStyle w:val="FootnoteText"/>
      </w:pPr>
      <w:r>
        <w:rPr>
          <w:rStyle w:val="FootnoteReference"/>
        </w:rPr>
        <w:footnoteRef/>
      </w:r>
      <w:r>
        <w:tab/>
        <w:t>Nařízení Komise (EU) č. 1046/2012 ze dne 8. listopadu 2012, kterým se provádí nařízení Evropského parlamentu a Rady (ES) č. 1059/2003 o zavedení společné klasifikace územních statistických jednotek (NUTS), pokud jde o předání časových řad nového regionálního rozdělení (Úř. věst. L 310, 9.11.2012, s. 34).</w:t>
      </w:r>
    </w:p>
  </w:footnote>
  <w:footnote w:id="5">
    <w:p>
      <w:pPr>
        <w:pStyle w:val="FootnoteText"/>
      </w:pPr>
      <w:r>
        <w:rPr>
          <w:rStyle w:val="FootnoteReference"/>
        </w:rPr>
        <w:footnoteRef/>
      </w:r>
      <w:r>
        <w:tab/>
        <w:t>Estonská republika není rozdělena na regiony na úrovni NUTS 2.</w:t>
      </w:r>
    </w:p>
  </w:footnote>
  <w:footnote w:id="6">
    <w:p>
      <w:pPr>
        <w:pStyle w:val="FootnoteText"/>
      </w:pPr>
      <w:r>
        <w:rPr>
          <w:rStyle w:val="FootnoteReference"/>
        </w:rPr>
        <w:footnoteRef/>
      </w:r>
      <w:r>
        <w:tab/>
        <w:t>Úř. věst. L 393, 30.12.2006, s. 1.</w:t>
      </w:r>
    </w:p>
  </w:footnote>
  <w:footnote w:id="7">
    <w:p>
      <w:pPr>
        <w:pStyle w:val="FootnoteText"/>
      </w:pPr>
      <w:r>
        <w:rPr>
          <w:rStyle w:val="FootnoteReference"/>
        </w:rPr>
        <w:footnoteRef/>
      </w:r>
      <w:r>
        <w:tab/>
        <w:t>V souladu s čl. 7 odst. 4 nařízení (EU) č. 1309/2013.</w:t>
      </w:r>
    </w:p>
  </w:footnote>
  <w:footnote w:id="8">
    <w:p>
      <w:pPr>
        <w:pStyle w:val="FootnoteText"/>
      </w:pPr>
      <w:r>
        <w:rPr>
          <w:rStyle w:val="FootnoteReference"/>
        </w:rPr>
        <w:footnoteRef/>
      </w:r>
      <w:r>
        <w:tab/>
        <w:t>Směrnice Rady 98/59/ES ze dne 20. července 1998 o sbližování právních předpisů členských států týkajících se hromadného propouštění (Úř. věst. L 225, 12.8.1998, s. 16).</w:t>
      </w:r>
    </w:p>
  </w:footnote>
  <w:footnote w:id="9">
    <w:p>
      <w:pPr>
        <w:pStyle w:val="FootnoteText"/>
      </w:pPr>
      <w:r>
        <w:rPr>
          <w:rStyle w:val="FootnoteReference"/>
        </w:rPr>
        <w:footnoteRef/>
      </w:r>
      <w:r>
        <w:tab/>
      </w:r>
      <w:r>
        <w:rPr>
          <w:rStyle w:val="Hyperlink"/>
          <w:sz w:val="16"/>
        </w:rPr>
        <w:t>http://fr.zone-secure.net/13451/186036/publication/contents/pdfweb.pdf</w:t>
      </w:r>
    </w:p>
  </w:footnote>
  <w:footnote w:id="10">
    <w:p>
      <w:pPr>
        <w:pStyle w:val="FootnoteText"/>
        <w:rPr>
          <w:rStyle w:val="Hyperlink"/>
          <w:sz w:val="16"/>
          <w:szCs w:val="16"/>
          <w:lang w:val="et-EE"/>
        </w:rPr>
      </w:pPr>
      <w:r>
        <w:rPr>
          <w:rStyle w:val="FootnoteReference"/>
        </w:rPr>
        <w:footnoteRef/>
      </w:r>
      <w:r>
        <w:tab/>
      </w:r>
      <w:hyperlink r:id="rId1">
        <w:r>
          <w:rPr>
            <w:rStyle w:val="Hyperlink"/>
            <w:sz w:val="16"/>
          </w:rPr>
          <w:t>http://www.energiatalgud.ee/img_auth.php/6/64/EY._Estonian_oil_shale_mining_and_oil_production_macroeconomic_impacts_study.pdf</w:t>
        </w:r>
      </w:hyperlink>
    </w:p>
  </w:footnote>
  <w:footnote w:id="11">
    <w:p>
      <w:pPr>
        <w:pStyle w:val="FootnoteText"/>
        <w:rPr>
          <w:lang w:val="nn-NO"/>
        </w:rPr>
      </w:pPr>
      <w:r>
        <w:rPr>
          <w:rStyle w:val="FootnoteReference"/>
        </w:rPr>
        <w:footnoteRef/>
      </w:r>
      <w:r>
        <w:rPr>
          <w:lang w:val="nn-NO"/>
        </w:rPr>
        <w:tab/>
        <w:t>EGF/2013/009 PL/Zachem</w:t>
      </w:r>
    </w:p>
  </w:footnote>
  <w:footnote w:id="12">
    <w:p>
      <w:pPr>
        <w:pStyle w:val="FootnoteText"/>
        <w:rPr>
          <w:lang w:val="nn-NO"/>
        </w:rPr>
      </w:pPr>
      <w:r>
        <w:rPr>
          <w:rStyle w:val="FootnoteReference"/>
        </w:rPr>
        <w:footnoteRef/>
      </w:r>
      <w:r>
        <w:rPr>
          <w:lang w:val="nn-NO"/>
        </w:rPr>
        <w:tab/>
      </w:r>
      <w:hyperlink r:id="rId2">
        <w:r>
          <w:rPr>
            <w:rStyle w:val="Hyperlink"/>
            <w:sz w:val="16"/>
            <w:lang w:val="nn-NO"/>
          </w:rPr>
          <w:t>http://pub.stat.ee/px-web.2001/Dialog/varval.asp?ma=WSV014&amp;lang=1</w:t>
        </w:r>
      </w:hyperlink>
    </w:p>
  </w:footnote>
  <w:footnote w:id="13">
    <w:p>
      <w:pPr>
        <w:pStyle w:val="FootnoteText"/>
        <w:rPr>
          <w:lang w:val="nn-NO"/>
        </w:rPr>
      </w:pPr>
      <w:r>
        <w:rPr>
          <w:rStyle w:val="FootnoteReference"/>
        </w:rPr>
        <w:footnoteRef/>
      </w:r>
      <w:r>
        <w:rPr>
          <w:lang w:val="nn-NO"/>
        </w:rPr>
        <w:tab/>
      </w:r>
      <w:hyperlink r:id="rId3">
        <w:r>
          <w:rPr>
            <w:rStyle w:val="Hyperlink"/>
            <w:sz w:val="16"/>
            <w:lang w:val="nn-NO"/>
          </w:rPr>
          <w:t>https://www.siseministeerium.ee/sites/default/files/dokumendid/Arengukavad/ida-virumaa_tegevuskava_2015-2020_26.02.15.pdf</w:t>
        </w:r>
      </w:hyperlink>
    </w:p>
  </w:footnote>
  <w:footnote w:id="14">
    <w:p>
      <w:pPr>
        <w:pStyle w:val="FootnoteText"/>
        <w:rPr>
          <w:sz w:val="16"/>
          <w:szCs w:val="16"/>
          <w:lang w:val="nn-NO"/>
        </w:rPr>
      </w:pPr>
      <w:r>
        <w:rPr>
          <w:rStyle w:val="FootnoteReference"/>
        </w:rPr>
        <w:footnoteRef/>
      </w:r>
      <w:r>
        <w:rPr>
          <w:lang w:val="nn-NO"/>
        </w:rPr>
        <w:tab/>
      </w:r>
      <w:hyperlink r:id="rId4">
        <w:r>
          <w:rPr>
            <w:color w:val="0000FF" w:themeColor="hyperlink"/>
            <w:sz w:val="16"/>
            <w:u w:val="single"/>
            <w:lang w:val="nn-NO"/>
          </w:rPr>
          <w:t>https://www.siseministeerium.ee/sites/default/files/dokumendid/eesti_regionaalarengu_strateegia_2014-2020.pdf</w:t>
        </w:r>
      </w:hyperlink>
    </w:p>
  </w:footnote>
  <w:footnote w:id="15">
    <w:p>
      <w:pPr>
        <w:pStyle w:val="FootnoteText"/>
        <w:rPr>
          <w:lang w:val="nn-NO"/>
        </w:rPr>
      </w:pPr>
      <w:r>
        <w:rPr>
          <w:rStyle w:val="FootnoteReference"/>
        </w:rPr>
        <w:footnoteRef/>
      </w:r>
      <w:r>
        <w:rPr>
          <w:lang w:val="nn-NO"/>
        </w:rPr>
        <w:tab/>
      </w:r>
      <w:hyperlink r:id="rId5">
        <w:r>
          <w:rPr>
            <w:rStyle w:val="Hyperlink"/>
            <w:sz w:val="16"/>
            <w:lang w:val="nn-NO"/>
          </w:rPr>
          <w:t>https://www.siseministeerium.ee/sites/default/files/dokumendid/Arengukavad/ida-virumaa_tegevuskava_2015-2020_26.02.15.pdf</w:t>
        </w:r>
      </w:hyperlink>
    </w:p>
  </w:footnote>
  <w:footnote w:id="16">
    <w:p>
      <w:pPr>
        <w:pStyle w:val="FootnoteText"/>
        <w:rPr>
          <w:lang w:val="nn-NO"/>
        </w:rPr>
      </w:pPr>
      <w:r>
        <w:rPr>
          <w:rStyle w:val="FootnoteReference"/>
        </w:rPr>
        <w:footnoteRef/>
      </w:r>
      <w:r>
        <w:rPr>
          <w:lang w:val="nn-NO"/>
        </w:rPr>
        <w:tab/>
        <w:t>Úř. věst. L 347, 20.12.2013, s. 884.</w:t>
      </w:r>
    </w:p>
  </w:footnote>
  <w:footnote w:id="17">
    <w:p>
      <w:pPr>
        <w:pStyle w:val="FootnoteText"/>
        <w:rPr>
          <w:lang w:val="nn-NO"/>
        </w:rPr>
      </w:pPr>
      <w:r>
        <w:rPr>
          <w:rStyle w:val="FootnoteReference"/>
        </w:rPr>
        <w:footnoteRef/>
      </w:r>
      <w:r>
        <w:rPr>
          <w:lang w:val="nn-NO"/>
        </w:rPr>
        <w:tab/>
        <w:t>Úř. věst. C 373, 20.12.2013, s. 1.</w:t>
      </w:r>
    </w:p>
  </w:footnote>
  <w:footnote w:id="18">
    <w:p>
      <w:pPr>
        <w:pStyle w:val="FootnoteText"/>
        <w:rPr>
          <w:lang w:val="nn-NO"/>
        </w:rPr>
      </w:pPr>
      <w:r>
        <w:rPr>
          <w:rStyle w:val="FootnoteReference"/>
        </w:rPr>
        <w:footnoteRef/>
      </w:r>
      <w:r>
        <w:rPr>
          <w:lang w:val="nn-NO"/>
        </w:rPr>
        <w:tab/>
        <w:t>Úř. věst. L 347, 20.12.2013, s. 855.</w:t>
      </w:r>
    </w:p>
  </w:footnote>
  <w:footnote w:id="19">
    <w:p>
      <w:pPr>
        <w:pStyle w:val="FootnoteText"/>
        <w:rPr>
          <w:lang w:val="nn-NO"/>
        </w:rPr>
      </w:pPr>
      <w:r>
        <w:rPr>
          <w:rStyle w:val="FootnoteReference"/>
        </w:rPr>
        <w:footnoteRef/>
      </w:r>
      <w:r>
        <w:rPr>
          <w:lang w:val="nn-NO"/>
        </w:rPr>
        <w:tab/>
        <w:t>Úř. věst. C 373, 20.12.2013, s. 1.</w:t>
      </w:r>
    </w:p>
  </w:footnote>
  <w:footnote w:id="20">
    <w:p>
      <w:pPr>
        <w:pStyle w:val="FootnoteText"/>
        <w:rPr>
          <w:lang w:val="nn-NO"/>
        </w:rPr>
      </w:pPr>
      <w:r>
        <w:rPr>
          <w:rStyle w:val="FootnoteReference"/>
        </w:rPr>
        <w:footnoteRef/>
      </w:r>
      <w:r>
        <w:rPr>
          <w:lang w:val="nn-NO"/>
        </w:rPr>
        <w:tab/>
        <w:t>Nařízení Rady (EU, Euratom) č. 1311/2013 ze dne 2. prosince 2013, kterým se stanoví víceletý finanční rámec na období 2014–2020 (Úř. věst. L 347, 20.12.2013, s. 884).</w:t>
      </w:r>
    </w:p>
  </w:footnote>
  <w:footnote w:id="21">
    <w:p>
      <w:pPr>
        <w:pStyle w:val="FootnoteText"/>
      </w:pPr>
      <w:r>
        <w:rPr>
          <w:rStyle w:val="FootnoteReference"/>
        </w:rPr>
        <w:footnoteRef/>
      </w:r>
      <w:r>
        <w:rPr>
          <w:lang w:val="nn-NO"/>
        </w:rPr>
        <w:tab/>
        <w:t xml:space="preserve">Nařízení Komise (EU) č. 1046/2012 ze dne 8. listopadu 2012, kterým se provádí nařízení Evropského parlamentu a Rady (ES) č. 1059/2003 o zavedení společné klasifikace územních statistických jednotek (NUTS), pokud jde o předání časových řad nového regionálního rozdělení (Úř. věst. </w:t>
      </w:r>
      <w:r>
        <w:t>L 310, 9.11.2012, s. 34).</w:t>
      </w:r>
    </w:p>
  </w:footnote>
  <w:footnote w:id="22">
    <w:p>
      <w:pPr>
        <w:pStyle w:val="FootnoteText"/>
        <w:rPr>
          <w:color w:val="FF0000"/>
        </w:rPr>
      </w:pPr>
      <w:r>
        <w:rPr>
          <w:rStyle w:val="FootnoteReference"/>
        </w:rPr>
        <w:sym w:font="Symbol" w:char="F02A"/>
      </w:r>
      <w:r>
        <w:rPr>
          <w:color w:val="FF0000"/>
        </w:rPr>
        <w:t xml:space="preserve"> </w:t>
      </w:r>
      <w:r>
        <w:tab/>
      </w:r>
      <w:r>
        <w:rPr>
          <w:color w:val="FF0000"/>
        </w:rPr>
        <w:t>Date to be inserted by the Parliament before the publication in OJ.</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CBB686B6"/>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99E463D0"/>
    <w:lvl w:ilvl="0">
      <w:start w:val="1"/>
      <w:numFmt w:val="decimal"/>
      <w:pStyle w:val="ListNumber3"/>
      <w:lvlText w:val="%1."/>
      <w:lvlJc w:val="left"/>
      <w:pPr>
        <w:tabs>
          <w:tab w:val="num" w:pos="926"/>
        </w:tabs>
        <w:ind w:left="926" w:hanging="360"/>
      </w:pPr>
    </w:lvl>
  </w:abstractNum>
  <w:abstractNum w:abstractNumId="2">
    <w:nsid w:val="FFFFFF7F"/>
    <w:multiLevelType w:val="singleLevel"/>
    <w:tmpl w:val="780CFFFA"/>
    <w:lvl w:ilvl="0">
      <w:start w:val="1"/>
      <w:numFmt w:val="decimal"/>
      <w:pStyle w:val="ListNumber2"/>
      <w:lvlText w:val="%1."/>
      <w:lvlJc w:val="left"/>
      <w:pPr>
        <w:tabs>
          <w:tab w:val="num" w:pos="643"/>
        </w:tabs>
        <w:ind w:left="643" w:hanging="360"/>
      </w:pPr>
    </w:lvl>
  </w:abstractNum>
  <w:abstractNum w:abstractNumId="3">
    <w:nsid w:val="FFFFFF81"/>
    <w:multiLevelType w:val="singleLevel"/>
    <w:tmpl w:val="4498EC5A"/>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332C75CC"/>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1F904760"/>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9C28232A"/>
    <w:lvl w:ilvl="0">
      <w:start w:val="1"/>
      <w:numFmt w:val="decimal"/>
      <w:pStyle w:val="ListNumber"/>
      <w:lvlText w:val="%1."/>
      <w:lvlJc w:val="left"/>
      <w:pPr>
        <w:tabs>
          <w:tab w:val="num" w:pos="360"/>
        </w:tabs>
        <w:ind w:left="360" w:hanging="360"/>
      </w:pPr>
    </w:lvl>
  </w:abstractNum>
  <w:abstractNum w:abstractNumId="7">
    <w:nsid w:val="FFFFFF89"/>
    <w:multiLevelType w:val="singleLevel"/>
    <w:tmpl w:val="45869B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3"/>
    <w:lvlOverride w:ilvl="0">
      <w:startOverride w:val="1"/>
    </w:lvlOverride>
  </w:num>
  <w:num w:numId="2">
    <w:abstractNumId w:val="9"/>
  </w:num>
  <w:num w:numId="3">
    <w:abstractNumId w:val="7"/>
  </w:num>
  <w:num w:numId="4">
    <w:abstractNumId w:val="5"/>
  </w:num>
  <w:num w:numId="5">
    <w:abstractNumId w:val="4"/>
  </w:num>
  <w:num w:numId="6">
    <w:abstractNumId w:val="3"/>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lvlOverride w:ilvl="0">
      <w:startOverride w:val="1"/>
    </w:lvlOverride>
  </w:num>
  <w:num w:numId="9">
    <w:abstractNumId w:val="6"/>
  </w:num>
  <w:num w:numId="10">
    <w:abstractNumId w:val="2"/>
  </w:num>
  <w:num w:numId="11">
    <w:abstractNumId w:val="1"/>
  </w:num>
  <w:num w:numId="12">
    <w:abstractNumId w:val="0"/>
  </w:num>
  <w:num w:numId="13">
    <w:abstractNumId w:val="13"/>
  </w:num>
  <w:num w:numId="14">
    <w:abstractNumId w:val="12"/>
  </w:num>
  <w:num w:numId="15">
    <w:abstractNumId w:val="19"/>
  </w:num>
  <w:num w:numId="16">
    <w:abstractNumId w:val="13"/>
  </w:num>
  <w:num w:numId="17">
    <w:abstractNumId w:val="21"/>
  </w:num>
  <w:num w:numId="18">
    <w:abstractNumId w:val="11"/>
  </w:num>
  <w:num w:numId="19">
    <w:abstractNumId w:val="14"/>
  </w:num>
  <w:num w:numId="20">
    <w:abstractNumId w:val="9"/>
  </w:num>
  <w:num w:numId="21">
    <w:abstractNumId w:val="20"/>
  </w:num>
  <w:num w:numId="22">
    <w:abstractNumId w:val="8"/>
  </w:num>
  <w:num w:numId="23">
    <w:abstractNumId w:val="15"/>
  </w:num>
  <w:num w:numId="24">
    <w:abstractNumId w:val="17"/>
  </w:num>
  <w:num w:numId="25">
    <w:abstractNumId w:val="18"/>
  </w:num>
  <w:num w:numId="26">
    <w:abstractNumId w:val="10"/>
  </w:num>
  <w:num w:numId="27">
    <w:abstractNumId w:val="16"/>
  </w:num>
  <w:num w:numId="28">
    <w:abstractNumId w:val="22"/>
  </w:num>
  <w:num w:numId="29">
    <w:abstractNumId w:val="19"/>
  </w:num>
  <w:num w:numId="30">
    <w:abstractNumId w:val="13"/>
  </w:num>
  <w:num w:numId="31">
    <w:abstractNumId w:val="21"/>
  </w:num>
  <w:num w:numId="32">
    <w:abstractNumId w:val="11"/>
  </w:num>
  <w:num w:numId="33">
    <w:abstractNumId w:val="14"/>
  </w:num>
  <w:num w:numId="34">
    <w:abstractNumId w:val="9"/>
  </w:num>
  <w:num w:numId="35">
    <w:abstractNumId w:val="20"/>
  </w:num>
  <w:num w:numId="36">
    <w:abstractNumId w:val="8"/>
  </w:num>
  <w:num w:numId="37">
    <w:abstractNumId w:val="15"/>
  </w:num>
  <w:num w:numId="38">
    <w:abstractNumId w:val="17"/>
  </w:num>
  <w:num w:numId="39">
    <w:abstractNumId w:val="18"/>
  </w:num>
  <w:num w:numId="40">
    <w:abstractNumId w:val="10"/>
  </w:num>
  <w:num w:numId="41">
    <w:abstractNumId w:val="16"/>
  </w:num>
  <w:num w:numId="42">
    <w:abstractNumId w:val="2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ttachedTemplate r:id="rId1"/>
  <w:revisionView w:markup="0"/>
  <w:defaultTabStop w:val="720"/>
  <w:hyphenationZone w:val="425"/>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
  <w:docVars>
    <w:docVar w:name="COVERPAGE_EXISTS" w:val="True"/>
    <w:docVar w:name="DQCDateTime" w:val="2016-09-28 09:50:29"/>
    <w:docVar w:name="DQCResult_Distribution" w:val="0;0"/>
    <w:docVar w:name="DQCResult_DocumentContent" w:val="0;0"/>
    <w:docVar w:name="DQCResult_DocumentSize" w:val="0;0"/>
    <w:docVar w:name="DQCResult_DocumentVersions" w:val="0;0"/>
    <w:docVar w:name="DQCResult_ExistenceOfMacros" w:val="0;0"/>
    <w:docVar w:name="DQCResult_InvalidFootnotes" w:val="0;1"/>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2"/>
    <w:docVar w:name="DQCResult_UnknownFonts" w:val="0;0"/>
    <w:docVar w:name="DQCResult_UnknownStyles" w:val="0;0"/>
    <w:docVar w:name="DQCStatus" w:val="Green"/>
    <w:docVar w:name="DQCVersion" w:val="3"/>
    <w:docVar w:name="DQCWithWarnings" w:val="0"/>
    <w:docVar w:name="LW_CONFIDENCE" w:val=" "/>
    <w:docVar w:name="LW_CONST_RESTREINT_UE" w:val="RESTREINT UE"/>
    <w:docVar w:name="LW_CORRIGENDUM" w:val="&lt;UNUSED&gt;"/>
    <w:docVar w:name="LW_COVERPAGE_GUID" w:val="C3F383950A6343549CE3DEA2E2C6DCF2"/>
    <w:docVar w:name="LW_CROSSREFERENCE" w:val="&lt;UNUSED&gt;"/>
    <w:docVar w:name="LW_DocType" w:val="COM"/>
    <w:docVar w:name="LW_EMISSION" w:val="28.9.2016"/>
    <w:docVar w:name="LW_EMISSION_ISODATE" w:val="2016-09-28"/>
    <w:docVar w:name="LW_EMISSION_LOCATION" w:val="BRX"/>
    <w:docVar w:name="LW_EMISSION_PREFIX" w:val="V Bruselu dne "/>
    <w:docVar w:name="LW_EMISSION_SUFFIX" w:val=" "/>
    <w:docVar w:name="LW_ID_DOCMODEL" w:val="SJ-026"/>
    <w:docVar w:name="LW_ID_DOCSIGNATURE" w:val="SJ-026"/>
    <w:docVar w:name="LW_ID_DOCSTRUCTURE" w:val="COM/PL/ORG"/>
    <w:docVar w:name="LW_ID_DOCTYPE" w:val="SJ-026"/>
    <w:docVar w:name="LW_ID_STATUT" w:val="SJ-026"/>
    <w:docVar w:name="LW_INTERETEEE.CP" w:val="&lt;UNUSED&gt;"/>
    <w:docVar w:name="LW_LANGUE" w:val="CS"/>
    <w:docVar w:name="LW_MARKING" w:val="&lt;UNUSED&gt;"/>
    <w:docVar w:name="LW_NOM.INST" w:val="EVROPSKÁ KOMISE"/>
    <w:docVar w:name="LW_NOM.INST_JOINTDOC" w:val="&lt;EMPTY&gt;"/>
    <w:docVar w:name="LW_PART_NBR" w:val="1"/>
    <w:docVar w:name="LW_PART_NBR_TOTAL" w:val="1"/>
    <w:docVar w:name="LW_REF.II.NEW.CP" w:val="&lt;UNUSED&gt;"/>
    <w:docVar w:name="LW_REF.II.NEW.CP_NUMBER" w:val="&lt;UNUSED&gt;"/>
    <w:docVar w:name="LW_REF.II.NEW.CP_YEAR" w:val="2016"/>
    <w:docVar w:name="LW_REF.INST.NEW" w:val="COM"/>
    <w:docVar w:name="LW_REF.INST.NEW_ADOPTED" w:val="final"/>
    <w:docVar w:name="LW_REF.INST.NEW_TEXT" w:val="(2016) 622"/>
    <w:docVar w:name="LW_REF.INTERNE" w:val="&lt;UNUSED&gt;"/>
    <w:docVar w:name="LW_SOUS.TITRE.OBJ.CP" w:val="&lt;UNUSED&gt;"/>
    <w:docVar w:name="LW_STATUT.CP" w:val="Návrh"/>
    <w:docVar w:name="LW_SUPERTITRE" w:val="&lt;UNUSED&gt;"/>
    <w:docVar w:name="LW_TITRE.OBJ.CP" w:val="o uvoln\u283?ní prost\u345?edk\u367? z Evropského fondu pro p\u345?izp\u367?sobení se globalizaci na základ\u283?_x000b_\u382?ádosti Estonska EGF/2016/003 EE/ropa a chemické látky"/>
    <w:docVar w:name="LW_TYPE.DOC.CP" w:val="ROZHODNUTÍ EVROPSKÉHO PARLAMENTU A RADY"/>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cs-CZ" w:bidi="cs-CZ"/>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5"/>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cs-CZ"/>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cs-CZ"/>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cs-CZ"/>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9"/>
      </w:numPr>
      <w:contextualSpacing/>
    </w:pPr>
  </w:style>
  <w:style w:type="paragraph" w:styleId="ListNumber2">
    <w:name w:val="List Number 2"/>
    <w:basedOn w:val="Normal"/>
    <w:uiPriority w:val="99"/>
    <w:semiHidden/>
    <w:unhideWhenUsed/>
    <w:pPr>
      <w:numPr>
        <w:numId w:val="10"/>
      </w:numPr>
      <w:contextualSpacing/>
    </w:pPr>
  </w:style>
  <w:style w:type="paragraph" w:styleId="ListNumber3">
    <w:name w:val="List Number 3"/>
    <w:basedOn w:val="Normal"/>
    <w:uiPriority w:val="99"/>
    <w:semiHidden/>
    <w:unhideWhenUsed/>
    <w:pPr>
      <w:numPr>
        <w:numId w:val="11"/>
      </w:numPr>
      <w:contextualSpacing/>
    </w:pPr>
  </w:style>
  <w:style w:type="paragraph" w:styleId="ListNumber4">
    <w:name w:val="List Number 4"/>
    <w:basedOn w:val="Normal"/>
    <w:uiPriority w:val="99"/>
    <w:semiHidden/>
    <w:unhideWhenUsed/>
    <w:pPr>
      <w:numPr>
        <w:numId w:val="12"/>
      </w:numPr>
      <w:contextualSpacing/>
    </w:pPr>
  </w:style>
  <w:style w:type="character" w:styleId="Hyperlink">
    <w:name w:val="Hyperlink"/>
    <w:basedOn w:val="DefaultParagraphFont"/>
    <w:uiPriority w:val="99"/>
    <w:unhideWhenUsed/>
    <w:rPr>
      <w:color w:val="0000FF" w:themeColor="hyperlink"/>
      <w:u w:val="single"/>
    </w:rPr>
  </w:style>
  <w:style w:type="paragraph" w:customStyle="1" w:styleId="LegalNumPar">
    <w:name w:val="LegalNumPar"/>
    <w:basedOn w:val="Normal"/>
    <w:pPr>
      <w:numPr>
        <w:numId w:val="14"/>
      </w:numPr>
      <w:spacing w:before="0" w:after="200"/>
      <w:jc w:val="left"/>
    </w:pPr>
    <w:rPr>
      <w:rFonts w:asciiTheme="minorHAnsi" w:hAnsiTheme="minorHAnsi" w:cstheme="minorBidi"/>
      <w:sz w:val="22"/>
    </w:rPr>
  </w:style>
  <w:style w:type="paragraph" w:customStyle="1" w:styleId="LegalNumPar2">
    <w:name w:val="LegalNumPar2"/>
    <w:basedOn w:val="Normal"/>
    <w:pPr>
      <w:numPr>
        <w:ilvl w:val="1"/>
        <w:numId w:val="14"/>
      </w:numPr>
      <w:spacing w:before="0" w:after="200"/>
      <w:jc w:val="left"/>
    </w:pPr>
    <w:rPr>
      <w:rFonts w:asciiTheme="minorHAnsi" w:hAnsiTheme="minorHAnsi" w:cstheme="minorBidi"/>
      <w:sz w:val="22"/>
    </w:rPr>
  </w:style>
  <w:style w:type="character" w:styleId="FollowedHyperlink">
    <w:name w:val="FollowedHyperlink"/>
    <w:basedOn w:val="DefaultParagraphFont"/>
    <w:uiPriority w:val="99"/>
    <w:semiHidden/>
    <w:unhideWhenUsed/>
    <w:rPr>
      <w:color w:val="800080" w:themeColor="followedHyperlink"/>
      <w:u w:val="single"/>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9"/>
      </w:numPr>
    </w:pPr>
  </w:style>
  <w:style w:type="paragraph" w:customStyle="1" w:styleId="Tiret1">
    <w:name w:val="Tiret 1"/>
    <w:basedOn w:val="Point1"/>
    <w:pPr>
      <w:numPr>
        <w:numId w:val="30"/>
      </w:numPr>
    </w:pPr>
  </w:style>
  <w:style w:type="paragraph" w:customStyle="1" w:styleId="Tiret2">
    <w:name w:val="Tiret 2"/>
    <w:basedOn w:val="Point2"/>
    <w:pPr>
      <w:numPr>
        <w:numId w:val="31"/>
      </w:numPr>
    </w:pPr>
  </w:style>
  <w:style w:type="paragraph" w:customStyle="1" w:styleId="Tiret3">
    <w:name w:val="Tiret 3"/>
    <w:basedOn w:val="Point3"/>
    <w:pPr>
      <w:numPr>
        <w:numId w:val="32"/>
      </w:numPr>
    </w:pPr>
  </w:style>
  <w:style w:type="paragraph" w:customStyle="1" w:styleId="Tiret4">
    <w:name w:val="Tiret 4"/>
    <w:basedOn w:val="Point4"/>
    <w:pPr>
      <w:numPr>
        <w:numId w:val="3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4"/>
      </w:numPr>
    </w:pPr>
  </w:style>
  <w:style w:type="paragraph" w:customStyle="1" w:styleId="NumPar2">
    <w:name w:val="NumPar 2"/>
    <w:basedOn w:val="Normal"/>
    <w:next w:val="Text1"/>
    <w:pPr>
      <w:numPr>
        <w:ilvl w:val="1"/>
        <w:numId w:val="34"/>
      </w:numPr>
    </w:pPr>
  </w:style>
  <w:style w:type="paragraph" w:customStyle="1" w:styleId="NumPar3">
    <w:name w:val="NumPar 3"/>
    <w:basedOn w:val="Normal"/>
    <w:next w:val="Text1"/>
    <w:pPr>
      <w:numPr>
        <w:ilvl w:val="2"/>
        <w:numId w:val="34"/>
      </w:numPr>
    </w:pPr>
  </w:style>
  <w:style w:type="paragraph" w:customStyle="1" w:styleId="NumPar4">
    <w:name w:val="NumPar 4"/>
    <w:basedOn w:val="Normal"/>
    <w:next w:val="Text1"/>
    <w:pPr>
      <w:numPr>
        <w:ilvl w:val="3"/>
        <w:numId w:val="3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6"/>
      </w:numPr>
    </w:pPr>
  </w:style>
  <w:style w:type="paragraph" w:customStyle="1" w:styleId="Point1number">
    <w:name w:val="Point 1 (number)"/>
    <w:basedOn w:val="Normal"/>
    <w:pPr>
      <w:numPr>
        <w:ilvl w:val="2"/>
        <w:numId w:val="36"/>
      </w:numPr>
    </w:pPr>
  </w:style>
  <w:style w:type="paragraph" w:customStyle="1" w:styleId="Point2number">
    <w:name w:val="Point 2 (number)"/>
    <w:basedOn w:val="Normal"/>
    <w:pPr>
      <w:numPr>
        <w:ilvl w:val="4"/>
        <w:numId w:val="36"/>
      </w:numPr>
    </w:pPr>
  </w:style>
  <w:style w:type="paragraph" w:customStyle="1" w:styleId="Point3number">
    <w:name w:val="Point 3 (number)"/>
    <w:basedOn w:val="Normal"/>
    <w:pPr>
      <w:numPr>
        <w:ilvl w:val="6"/>
        <w:numId w:val="36"/>
      </w:numPr>
    </w:pPr>
  </w:style>
  <w:style w:type="paragraph" w:customStyle="1" w:styleId="Point0letter">
    <w:name w:val="Point 0 (letter)"/>
    <w:basedOn w:val="Normal"/>
    <w:pPr>
      <w:numPr>
        <w:ilvl w:val="1"/>
        <w:numId w:val="36"/>
      </w:numPr>
    </w:pPr>
  </w:style>
  <w:style w:type="paragraph" w:customStyle="1" w:styleId="Point1letter">
    <w:name w:val="Point 1 (letter)"/>
    <w:basedOn w:val="Normal"/>
    <w:pPr>
      <w:numPr>
        <w:ilvl w:val="3"/>
        <w:numId w:val="36"/>
      </w:numPr>
    </w:pPr>
  </w:style>
  <w:style w:type="paragraph" w:customStyle="1" w:styleId="Point2letter">
    <w:name w:val="Point 2 (letter)"/>
    <w:basedOn w:val="Normal"/>
    <w:pPr>
      <w:numPr>
        <w:ilvl w:val="5"/>
        <w:numId w:val="36"/>
      </w:numPr>
    </w:pPr>
  </w:style>
  <w:style w:type="paragraph" w:customStyle="1" w:styleId="Point3letter">
    <w:name w:val="Point 3 (letter)"/>
    <w:basedOn w:val="Normal"/>
    <w:pPr>
      <w:numPr>
        <w:ilvl w:val="7"/>
        <w:numId w:val="36"/>
      </w:numPr>
    </w:pPr>
  </w:style>
  <w:style w:type="paragraph" w:customStyle="1" w:styleId="Point4letter">
    <w:name w:val="Point 4 (letter)"/>
    <w:basedOn w:val="Normal"/>
    <w:pPr>
      <w:numPr>
        <w:ilvl w:val="8"/>
        <w:numId w:val="36"/>
      </w:numPr>
    </w:pPr>
  </w:style>
  <w:style w:type="paragraph" w:customStyle="1" w:styleId="Bullet0">
    <w:name w:val="Bullet 0"/>
    <w:basedOn w:val="Normal"/>
    <w:pPr>
      <w:numPr>
        <w:numId w:val="37"/>
      </w:numPr>
    </w:pPr>
  </w:style>
  <w:style w:type="paragraph" w:customStyle="1" w:styleId="Bullet1">
    <w:name w:val="Bullet 1"/>
    <w:basedOn w:val="Normal"/>
    <w:pPr>
      <w:numPr>
        <w:numId w:val="38"/>
      </w:numPr>
    </w:pPr>
  </w:style>
  <w:style w:type="paragraph" w:customStyle="1" w:styleId="Bullet2">
    <w:name w:val="Bullet 2"/>
    <w:basedOn w:val="Normal"/>
    <w:pPr>
      <w:numPr>
        <w:numId w:val="39"/>
      </w:numPr>
    </w:pPr>
  </w:style>
  <w:style w:type="paragraph" w:customStyle="1" w:styleId="Bullet3">
    <w:name w:val="Bullet 3"/>
    <w:basedOn w:val="Normal"/>
    <w:pPr>
      <w:numPr>
        <w:numId w:val="40"/>
      </w:numPr>
    </w:pPr>
  </w:style>
  <w:style w:type="paragraph" w:customStyle="1" w:styleId="Bullet4">
    <w:name w:val="Bullet 4"/>
    <w:basedOn w:val="Normal"/>
    <w:pPr>
      <w:numPr>
        <w:numId w:val="41"/>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cs-CZ" w:bidi="cs-CZ"/>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5"/>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cs-CZ"/>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cs-CZ"/>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cs-CZ"/>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9"/>
      </w:numPr>
      <w:contextualSpacing/>
    </w:pPr>
  </w:style>
  <w:style w:type="paragraph" w:styleId="ListNumber2">
    <w:name w:val="List Number 2"/>
    <w:basedOn w:val="Normal"/>
    <w:uiPriority w:val="99"/>
    <w:semiHidden/>
    <w:unhideWhenUsed/>
    <w:pPr>
      <w:numPr>
        <w:numId w:val="10"/>
      </w:numPr>
      <w:contextualSpacing/>
    </w:pPr>
  </w:style>
  <w:style w:type="paragraph" w:styleId="ListNumber3">
    <w:name w:val="List Number 3"/>
    <w:basedOn w:val="Normal"/>
    <w:uiPriority w:val="99"/>
    <w:semiHidden/>
    <w:unhideWhenUsed/>
    <w:pPr>
      <w:numPr>
        <w:numId w:val="11"/>
      </w:numPr>
      <w:contextualSpacing/>
    </w:pPr>
  </w:style>
  <w:style w:type="paragraph" w:styleId="ListNumber4">
    <w:name w:val="List Number 4"/>
    <w:basedOn w:val="Normal"/>
    <w:uiPriority w:val="99"/>
    <w:semiHidden/>
    <w:unhideWhenUsed/>
    <w:pPr>
      <w:numPr>
        <w:numId w:val="12"/>
      </w:numPr>
      <w:contextualSpacing/>
    </w:pPr>
  </w:style>
  <w:style w:type="character" w:styleId="Hyperlink">
    <w:name w:val="Hyperlink"/>
    <w:basedOn w:val="DefaultParagraphFont"/>
    <w:uiPriority w:val="99"/>
    <w:unhideWhenUsed/>
    <w:rPr>
      <w:color w:val="0000FF" w:themeColor="hyperlink"/>
      <w:u w:val="single"/>
    </w:rPr>
  </w:style>
  <w:style w:type="paragraph" w:customStyle="1" w:styleId="LegalNumPar">
    <w:name w:val="LegalNumPar"/>
    <w:basedOn w:val="Normal"/>
    <w:pPr>
      <w:numPr>
        <w:numId w:val="14"/>
      </w:numPr>
      <w:spacing w:before="0" w:after="200"/>
      <w:jc w:val="left"/>
    </w:pPr>
    <w:rPr>
      <w:rFonts w:asciiTheme="minorHAnsi" w:hAnsiTheme="minorHAnsi" w:cstheme="minorBidi"/>
      <w:sz w:val="22"/>
    </w:rPr>
  </w:style>
  <w:style w:type="paragraph" w:customStyle="1" w:styleId="LegalNumPar2">
    <w:name w:val="LegalNumPar2"/>
    <w:basedOn w:val="Normal"/>
    <w:pPr>
      <w:numPr>
        <w:ilvl w:val="1"/>
        <w:numId w:val="14"/>
      </w:numPr>
      <w:spacing w:before="0" w:after="200"/>
      <w:jc w:val="left"/>
    </w:pPr>
    <w:rPr>
      <w:rFonts w:asciiTheme="minorHAnsi" w:hAnsiTheme="minorHAnsi" w:cstheme="minorBidi"/>
      <w:sz w:val="22"/>
    </w:rPr>
  </w:style>
  <w:style w:type="character" w:styleId="FollowedHyperlink">
    <w:name w:val="FollowedHyperlink"/>
    <w:basedOn w:val="DefaultParagraphFont"/>
    <w:uiPriority w:val="99"/>
    <w:semiHidden/>
    <w:unhideWhenUsed/>
    <w:rPr>
      <w:color w:val="800080" w:themeColor="followedHyperlink"/>
      <w:u w:val="single"/>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9"/>
      </w:numPr>
    </w:pPr>
  </w:style>
  <w:style w:type="paragraph" w:customStyle="1" w:styleId="Tiret1">
    <w:name w:val="Tiret 1"/>
    <w:basedOn w:val="Point1"/>
    <w:pPr>
      <w:numPr>
        <w:numId w:val="30"/>
      </w:numPr>
    </w:pPr>
  </w:style>
  <w:style w:type="paragraph" w:customStyle="1" w:styleId="Tiret2">
    <w:name w:val="Tiret 2"/>
    <w:basedOn w:val="Point2"/>
    <w:pPr>
      <w:numPr>
        <w:numId w:val="31"/>
      </w:numPr>
    </w:pPr>
  </w:style>
  <w:style w:type="paragraph" w:customStyle="1" w:styleId="Tiret3">
    <w:name w:val="Tiret 3"/>
    <w:basedOn w:val="Point3"/>
    <w:pPr>
      <w:numPr>
        <w:numId w:val="32"/>
      </w:numPr>
    </w:pPr>
  </w:style>
  <w:style w:type="paragraph" w:customStyle="1" w:styleId="Tiret4">
    <w:name w:val="Tiret 4"/>
    <w:basedOn w:val="Point4"/>
    <w:pPr>
      <w:numPr>
        <w:numId w:val="3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4"/>
      </w:numPr>
    </w:pPr>
  </w:style>
  <w:style w:type="paragraph" w:customStyle="1" w:styleId="NumPar2">
    <w:name w:val="NumPar 2"/>
    <w:basedOn w:val="Normal"/>
    <w:next w:val="Text1"/>
    <w:pPr>
      <w:numPr>
        <w:ilvl w:val="1"/>
        <w:numId w:val="34"/>
      </w:numPr>
    </w:pPr>
  </w:style>
  <w:style w:type="paragraph" w:customStyle="1" w:styleId="NumPar3">
    <w:name w:val="NumPar 3"/>
    <w:basedOn w:val="Normal"/>
    <w:next w:val="Text1"/>
    <w:pPr>
      <w:numPr>
        <w:ilvl w:val="2"/>
        <w:numId w:val="34"/>
      </w:numPr>
    </w:pPr>
  </w:style>
  <w:style w:type="paragraph" w:customStyle="1" w:styleId="NumPar4">
    <w:name w:val="NumPar 4"/>
    <w:basedOn w:val="Normal"/>
    <w:next w:val="Text1"/>
    <w:pPr>
      <w:numPr>
        <w:ilvl w:val="3"/>
        <w:numId w:val="3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6"/>
      </w:numPr>
    </w:pPr>
  </w:style>
  <w:style w:type="paragraph" w:customStyle="1" w:styleId="Point1number">
    <w:name w:val="Point 1 (number)"/>
    <w:basedOn w:val="Normal"/>
    <w:pPr>
      <w:numPr>
        <w:ilvl w:val="2"/>
        <w:numId w:val="36"/>
      </w:numPr>
    </w:pPr>
  </w:style>
  <w:style w:type="paragraph" w:customStyle="1" w:styleId="Point2number">
    <w:name w:val="Point 2 (number)"/>
    <w:basedOn w:val="Normal"/>
    <w:pPr>
      <w:numPr>
        <w:ilvl w:val="4"/>
        <w:numId w:val="36"/>
      </w:numPr>
    </w:pPr>
  </w:style>
  <w:style w:type="paragraph" w:customStyle="1" w:styleId="Point3number">
    <w:name w:val="Point 3 (number)"/>
    <w:basedOn w:val="Normal"/>
    <w:pPr>
      <w:numPr>
        <w:ilvl w:val="6"/>
        <w:numId w:val="36"/>
      </w:numPr>
    </w:pPr>
  </w:style>
  <w:style w:type="paragraph" w:customStyle="1" w:styleId="Point0letter">
    <w:name w:val="Point 0 (letter)"/>
    <w:basedOn w:val="Normal"/>
    <w:pPr>
      <w:numPr>
        <w:ilvl w:val="1"/>
        <w:numId w:val="36"/>
      </w:numPr>
    </w:pPr>
  </w:style>
  <w:style w:type="paragraph" w:customStyle="1" w:styleId="Point1letter">
    <w:name w:val="Point 1 (letter)"/>
    <w:basedOn w:val="Normal"/>
    <w:pPr>
      <w:numPr>
        <w:ilvl w:val="3"/>
        <w:numId w:val="36"/>
      </w:numPr>
    </w:pPr>
  </w:style>
  <w:style w:type="paragraph" w:customStyle="1" w:styleId="Point2letter">
    <w:name w:val="Point 2 (letter)"/>
    <w:basedOn w:val="Normal"/>
    <w:pPr>
      <w:numPr>
        <w:ilvl w:val="5"/>
        <w:numId w:val="36"/>
      </w:numPr>
    </w:pPr>
  </w:style>
  <w:style w:type="paragraph" w:customStyle="1" w:styleId="Point3letter">
    <w:name w:val="Point 3 (letter)"/>
    <w:basedOn w:val="Normal"/>
    <w:pPr>
      <w:numPr>
        <w:ilvl w:val="7"/>
        <w:numId w:val="36"/>
      </w:numPr>
    </w:pPr>
  </w:style>
  <w:style w:type="paragraph" w:customStyle="1" w:styleId="Point4letter">
    <w:name w:val="Point 4 (letter)"/>
    <w:basedOn w:val="Normal"/>
    <w:pPr>
      <w:numPr>
        <w:ilvl w:val="8"/>
        <w:numId w:val="36"/>
      </w:numPr>
    </w:pPr>
  </w:style>
  <w:style w:type="paragraph" w:customStyle="1" w:styleId="Bullet0">
    <w:name w:val="Bullet 0"/>
    <w:basedOn w:val="Normal"/>
    <w:pPr>
      <w:numPr>
        <w:numId w:val="37"/>
      </w:numPr>
    </w:pPr>
  </w:style>
  <w:style w:type="paragraph" w:customStyle="1" w:styleId="Bullet1">
    <w:name w:val="Bullet 1"/>
    <w:basedOn w:val="Normal"/>
    <w:pPr>
      <w:numPr>
        <w:numId w:val="38"/>
      </w:numPr>
    </w:pPr>
  </w:style>
  <w:style w:type="paragraph" w:customStyle="1" w:styleId="Bullet2">
    <w:name w:val="Bullet 2"/>
    <w:basedOn w:val="Normal"/>
    <w:pPr>
      <w:numPr>
        <w:numId w:val="39"/>
      </w:numPr>
    </w:pPr>
  </w:style>
  <w:style w:type="paragraph" w:customStyle="1" w:styleId="Bullet3">
    <w:name w:val="Bullet 3"/>
    <w:basedOn w:val="Normal"/>
    <w:pPr>
      <w:numPr>
        <w:numId w:val="40"/>
      </w:numPr>
    </w:pPr>
  </w:style>
  <w:style w:type="paragraph" w:customStyle="1" w:styleId="Bullet4">
    <w:name w:val="Bullet 4"/>
    <w:basedOn w:val="Normal"/>
    <w:pPr>
      <w:numPr>
        <w:numId w:val="41"/>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283066">
      <w:bodyDiv w:val="1"/>
      <w:marLeft w:val="0"/>
      <w:marRight w:val="0"/>
      <w:marTop w:val="0"/>
      <w:marBottom w:val="0"/>
      <w:divBdr>
        <w:top w:val="none" w:sz="0" w:space="0" w:color="auto"/>
        <w:left w:val="none" w:sz="0" w:space="0" w:color="auto"/>
        <w:bottom w:val="none" w:sz="0" w:space="0" w:color="auto"/>
        <w:right w:val="none" w:sz="0" w:space="0" w:color="auto"/>
      </w:divBdr>
    </w:div>
    <w:div w:id="483592220">
      <w:bodyDiv w:val="1"/>
      <w:marLeft w:val="0"/>
      <w:marRight w:val="0"/>
      <w:marTop w:val="0"/>
      <w:marBottom w:val="0"/>
      <w:divBdr>
        <w:top w:val="none" w:sz="0" w:space="0" w:color="auto"/>
        <w:left w:val="none" w:sz="0" w:space="0" w:color="auto"/>
        <w:bottom w:val="none" w:sz="0" w:space="0" w:color="auto"/>
        <w:right w:val="none" w:sz="0" w:space="0" w:color="auto"/>
      </w:divBdr>
    </w:div>
    <w:div w:id="492333814">
      <w:bodyDiv w:val="1"/>
      <w:marLeft w:val="0"/>
      <w:marRight w:val="0"/>
      <w:marTop w:val="0"/>
      <w:marBottom w:val="0"/>
      <w:divBdr>
        <w:top w:val="none" w:sz="0" w:space="0" w:color="auto"/>
        <w:left w:val="none" w:sz="0" w:space="0" w:color="auto"/>
        <w:bottom w:val="none" w:sz="0" w:space="0" w:color="auto"/>
        <w:right w:val="none" w:sz="0" w:space="0" w:color="auto"/>
      </w:divBdr>
    </w:div>
    <w:div w:id="560139115">
      <w:bodyDiv w:val="1"/>
      <w:marLeft w:val="0"/>
      <w:marRight w:val="0"/>
      <w:marTop w:val="0"/>
      <w:marBottom w:val="0"/>
      <w:divBdr>
        <w:top w:val="none" w:sz="0" w:space="0" w:color="auto"/>
        <w:left w:val="none" w:sz="0" w:space="0" w:color="auto"/>
        <w:bottom w:val="none" w:sz="0" w:space="0" w:color="auto"/>
        <w:right w:val="none" w:sz="0" w:space="0" w:color="auto"/>
      </w:divBdr>
    </w:div>
    <w:div w:id="643776604">
      <w:bodyDiv w:val="1"/>
      <w:marLeft w:val="0"/>
      <w:marRight w:val="0"/>
      <w:marTop w:val="0"/>
      <w:marBottom w:val="0"/>
      <w:divBdr>
        <w:top w:val="none" w:sz="0" w:space="0" w:color="auto"/>
        <w:left w:val="none" w:sz="0" w:space="0" w:color="auto"/>
        <w:bottom w:val="none" w:sz="0" w:space="0" w:color="auto"/>
        <w:right w:val="none" w:sz="0" w:space="0" w:color="auto"/>
      </w:divBdr>
    </w:div>
    <w:div w:id="668217216">
      <w:bodyDiv w:val="1"/>
      <w:marLeft w:val="0"/>
      <w:marRight w:val="0"/>
      <w:marTop w:val="0"/>
      <w:marBottom w:val="0"/>
      <w:divBdr>
        <w:top w:val="none" w:sz="0" w:space="0" w:color="auto"/>
        <w:left w:val="none" w:sz="0" w:space="0" w:color="auto"/>
        <w:bottom w:val="none" w:sz="0" w:space="0" w:color="auto"/>
        <w:right w:val="none" w:sz="0" w:space="0" w:color="auto"/>
      </w:divBdr>
    </w:div>
    <w:div w:id="676663619">
      <w:bodyDiv w:val="1"/>
      <w:marLeft w:val="0"/>
      <w:marRight w:val="0"/>
      <w:marTop w:val="0"/>
      <w:marBottom w:val="0"/>
      <w:divBdr>
        <w:top w:val="none" w:sz="0" w:space="0" w:color="auto"/>
        <w:left w:val="none" w:sz="0" w:space="0" w:color="auto"/>
        <w:bottom w:val="none" w:sz="0" w:space="0" w:color="auto"/>
        <w:right w:val="none" w:sz="0" w:space="0" w:color="auto"/>
      </w:divBdr>
    </w:div>
    <w:div w:id="696194753">
      <w:bodyDiv w:val="1"/>
      <w:marLeft w:val="0"/>
      <w:marRight w:val="0"/>
      <w:marTop w:val="0"/>
      <w:marBottom w:val="0"/>
      <w:divBdr>
        <w:top w:val="none" w:sz="0" w:space="0" w:color="auto"/>
        <w:left w:val="none" w:sz="0" w:space="0" w:color="auto"/>
        <w:bottom w:val="none" w:sz="0" w:space="0" w:color="auto"/>
        <w:right w:val="none" w:sz="0" w:space="0" w:color="auto"/>
      </w:divBdr>
    </w:div>
    <w:div w:id="776753268">
      <w:bodyDiv w:val="1"/>
      <w:marLeft w:val="0"/>
      <w:marRight w:val="0"/>
      <w:marTop w:val="0"/>
      <w:marBottom w:val="0"/>
      <w:divBdr>
        <w:top w:val="none" w:sz="0" w:space="0" w:color="auto"/>
        <w:left w:val="none" w:sz="0" w:space="0" w:color="auto"/>
        <w:bottom w:val="none" w:sz="0" w:space="0" w:color="auto"/>
        <w:right w:val="none" w:sz="0" w:space="0" w:color="auto"/>
      </w:divBdr>
    </w:div>
    <w:div w:id="929968872">
      <w:bodyDiv w:val="1"/>
      <w:marLeft w:val="0"/>
      <w:marRight w:val="0"/>
      <w:marTop w:val="0"/>
      <w:marBottom w:val="0"/>
      <w:divBdr>
        <w:top w:val="none" w:sz="0" w:space="0" w:color="auto"/>
        <w:left w:val="none" w:sz="0" w:space="0" w:color="auto"/>
        <w:bottom w:val="none" w:sz="0" w:space="0" w:color="auto"/>
        <w:right w:val="none" w:sz="0" w:space="0" w:color="auto"/>
      </w:divBdr>
    </w:div>
    <w:div w:id="1078016921">
      <w:bodyDiv w:val="1"/>
      <w:marLeft w:val="0"/>
      <w:marRight w:val="0"/>
      <w:marTop w:val="0"/>
      <w:marBottom w:val="0"/>
      <w:divBdr>
        <w:top w:val="none" w:sz="0" w:space="0" w:color="auto"/>
        <w:left w:val="none" w:sz="0" w:space="0" w:color="auto"/>
        <w:bottom w:val="none" w:sz="0" w:space="0" w:color="auto"/>
        <w:right w:val="none" w:sz="0" w:space="0" w:color="auto"/>
      </w:divBdr>
    </w:div>
    <w:div w:id="1136293205">
      <w:bodyDiv w:val="1"/>
      <w:marLeft w:val="0"/>
      <w:marRight w:val="0"/>
      <w:marTop w:val="0"/>
      <w:marBottom w:val="0"/>
      <w:divBdr>
        <w:top w:val="none" w:sz="0" w:space="0" w:color="auto"/>
        <w:left w:val="none" w:sz="0" w:space="0" w:color="auto"/>
        <w:bottom w:val="none" w:sz="0" w:space="0" w:color="auto"/>
        <w:right w:val="none" w:sz="0" w:space="0" w:color="auto"/>
      </w:divBdr>
    </w:div>
    <w:div w:id="1203060159">
      <w:bodyDiv w:val="1"/>
      <w:marLeft w:val="0"/>
      <w:marRight w:val="0"/>
      <w:marTop w:val="0"/>
      <w:marBottom w:val="0"/>
      <w:divBdr>
        <w:top w:val="none" w:sz="0" w:space="0" w:color="auto"/>
        <w:left w:val="none" w:sz="0" w:space="0" w:color="auto"/>
        <w:bottom w:val="none" w:sz="0" w:space="0" w:color="auto"/>
        <w:right w:val="none" w:sz="0" w:space="0" w:color="auto"/>
      </w:divBdr>
    </w:div>
    <w:div w:id="1433208756">
      <w:bodyDiv w:val="1"/>
      <w:marLeft w:val="0"/>
      <w:marRight w:val="0"/>
      <w:marTop w:val="0"/>
      <w:marBottom w:val="0"/>
      <w:divBdr>
        <w:top w:val="none" w:sz="0" w:space="0" w:color="auto"/>
        <w:left w:val="none" w:sz="0" w:space="0" w:color="auto"/>
        <w:bottom w:val="none" w:sz="0" w:space="0" w:color="auto"/>
        <w:right w:val="none" w:sz="0" w:space="0" w:color="auto"/>
      </w:divBdr>
    </w:div>
    <w:div w:id="1481577567">
      <w:bodyDiv w:val="1"/>
      <w:marLeft w:val="0"/>
      <w:marRight w:val="0"/>
      <w:marTop w:val="0"/>
      <w:marBottom w:val="0"/>
      <w:divBdr>
        <w:top w:val="none" w:sz="0" w:space="0" w:color="auto"/>
        <w:left w:val="none" w:sz="0" w:space="0" w:color="auto"/>
        <w:bottom w:val="none" w:sz="0" w:space="0" w:color="auto"/>
        <w:right w:val="none" w:sz="0" w:space="0" w:color="auto"/>
      </w:divBdr>
    </w:div>
    <w:div w:id="1566329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siseministeerium.ee/sites/default/files/dokumendid/Arengukavad/ida-virumaa_tegevuskava_2015-2020_26.02.15.pdf" TargetMode="External"/><Relationship Id="rId2" Type="http://schemas.openxmlformats.org/officeDocument/2006/relationships/hyperlink" Target="http://pub.stat.ee/px-web.2001/Dialog/varval.asp?ma=WSV014&amp;lang=1" TargetMode="External"/><Relationship Id="rId1" Type="http://schemas.openxmlformats.org/officeDocument/2006/relationships/hyperlink" Target="http://www.energiatalgud.ee/img_auth.php/6/64/EY._Estonian_oil_shale_mining_and_oil_production_macroeconomic_impacts_study.pdf" TargetMode="External"/><Relationship Id="rId5" Type="http://schemas.openxmlformats.org/officeDocument/2006/relationships/hyperlink" Target="https://www.siseministeerium.ee/sites/default/files/dokumendid/Arengukavad/ida-virumaa_tegevuskava_2015-2020_26.02.15.pdf" TargetMode="External"/><Relationship Id="rId4" Type="http://schemas.openxmlformats.org/officeDocument/2006/relationships/hyperlink" Target="https://www.siseministeerium.ee/sites/default/files/dokumendid/eesti_regionaalarengu_strateegia_2014-2020.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9E758B-DAC0-4183-9067-2C0452E98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15</Pages>
  <Words>4370</Words>
  <Characters>25134</Characters>
  <Application>Microsoft Office Word</Application>
  <DocSecurity>0</DocSecurity>
  <Lines>613</Lines>
  <Paragraphs>317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Manager/>
  <Company/>
  <LinksUpToDate>false</LinksUpToDate>
  <CharactersWithSpaces>29187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17</cp:revision>
  <cp:lastPrinted>2016-08-12T09:59:00Z</cp:lastPrinted>
  <dcterms:created xsi:type="dcterms:W3CDTF">2016-09-16T13:02:00Z</dcterms:created>
  <dcterms:modified xsi:type="dcterms:W3CDTF">2016-09-28T07:50:00Z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20150407</vt:lpwstr>
  </property>
  <property fmtid="{D5CDD505-2E9C-101B-9397-08002B2CF9AE}" pid="6" name="Created using">
    <vt:lpwstr>LW 5.8.3, Build 20140113</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SJ-026</vt:lpwstr>
  </property>
  <property fmtid="{D5CDD505-2E9C-101B-9397-08002B2CF9AE}" pid="10" name="_AdHocReviewCycleID">
    <vt:i4>-1475536721</vt:i4>
  </property>
  <property fmtid="{D5CDD505-2E9C-101B-9397-08002B2CF9AE}" pid="11" name="_NewReviewCycle">
    <vt:lpwstr/>
  </property>
  <property fmtid="{D5CDD505-2E9C-101B-9397-08002B2CF9AE}" pid="12" name="_EmailSubject">
    <vt:lpwstr>CISNet - EGF - délai 29/08/2016 - consultation ISC/2016/04146 (référence interne : 4671070) de la DG EMPL - attribution</vt:lpwstr>
  </property>
  <property fmtid="{D5CDD505-2E9C-101B-9397-08002B2CF9AE}" pid="13" name="_AuthorEmail">
    <vt:lpwstr>Sara.Pardo-Quintillan@ec.europa.eu</vt:lpwstr>
  </property>
  <property fmtid="{D5CDD505-2E9C-101B-9397-08002B2CF9AE}" pid="14" name="_AuthorEmailDisplayName">
    <vt:lpwstr>PARDO QUINTILLAN Sara (SJ)</vt:lpwstr>
  </property>
  <property fmtid="{D5CDD505-2E9C-101B-9397-08002B2CF9AE}" pid="15" name="_ReviewingToolsShownOnce">
    <vt:lpwstr/>
  </property>
  <property fmtid="{D5CDD505-2E9C-101B-9397-08002B2CF9AE}" pid="16" name="DQCStatus">
    <vt:lpwstr>Green (DQC version 03)</vt:lpwstr>
  </property>
  <property name="OP_sanitized" fmtid="{D5CDD505-2E9C-101B-9397-08002B2CF9AE}" pid="17">
    <vt:lpwstr>True</vt:lpwstr>
  </property>
</Properties>
</file>