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A0382EAEEEDA42ADACE9639AA8E535F0" style="width:450.75pt;height:351.75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DŮVODOVÁ ZPRÁVA</w:t>
      </w:r>
    </w:p>
    <w:p>
      <w:pPr>
        <w:pStyle w:val="ManualHeading1"/>
        <w:rPr>
          <w:noProof/>
        </w:rPr>
      </w:pPr>
      <w:r>
        <w:rPr>
          <w:noProof/>
        </w:rPr>
        <w:t>1.</w:t>
      </w:r>
      <w:r>
        <w:rPr>
          <w:noProof/>
        </w:rPr>
        <w:tab/>
        <w:t>SOUVISLOSTI NÁVRHU</w:t>
      </w:r>
    </w:p>
    <w:p>
      <w:pPr>
        <w:pStyle w:val="ManualHeading2"/>
        <w:rPr>
          <w:rFonts w:eastAsia="Arial Unicode MS"/>
          <w:noProof/>
        </w:rPr>
      </w:pPr>
      <w:r>
        <w:rPr>
          <w:noProof/>
          <w:color w:val="000000"/>
          <w:u w:color="000000"/>
          <w:bdr w:val="nil"/>
        </w:rPr>
        <w:t>•</w:t>
      </w:r>
      <w:r>
        <w:rPr>
          <w:noProof/>
        </w:rPr>
        <w:tab/>
        <w:t>Odůvodnění a cíle návrhu</w:t>
      </w:r>
    </w:p>
    <w:p>
      <w:pPr>
        <w:pStyle w:val="Text1"/>
        <w:spacing w:before="0" w:after="240"/>
        <w:ind w:left="0"/>
        <w:rPr>
          <w:noProof/>
        </w:rPr>
      </w:pPr>
      <w:r>
        <w:rPr>
          <w:noProof/>
        </w:rPr>
        <w:t>Během minulého desetiletí došlo k obrovskému nárůstu počtu nových psychoaktivních látek na celosvětové i evropské úrovni a nic nenasvědčuje tomu, že by mělo dojít ke zpomalení. V roce 2015 bylo do systému včasného varování EU poprvé oznámeno 100 nových látek, čímž se celkový počet sledovaných nových látek zvýšil na více než 560, přičemž jen během posledních pěti let jich bylo zjištěno více než 380 (70 %)</w:t>
      </w:r>
      <w:r>
        <w:rPr>
          <w:rStyle w:val="FootnoteReference"/>
          <w:noProof/>
        </w:rPr>
        <w:footnoteReference w:id="1"/>
      </w:r>
      <w:r>
        <w:rPr>
          <w:noProof/>
        </w:rPr>
        <w:t>.</w:t>
      </w:r>
      <w:r>
        <w:rPr>
          <w:rStyle w:val="CommentReference"/>
          <w:noProof/>
        </w:rPr>
        <w:t xml:space="preserve"> </w:t>
      </w:r>
    </w:p>
    <w:p>
      <w:pPr>
        <w:pStyle w:val="Text1"/>
        <w:spacing w:before="0" w:after="240"/>
        <w:ind w:left="0"/>
        <w:rPr>
          <w:noProof/>
        </w:rPr>
      </w:pPr>
      <w:r>
        <w:rPr>
          <w:noProof/>
        </w:rPr>
        <w:t>Valné shromáždění Organizace spojených národů na svém zvláštním zasedání věnovaném celosvětovému problému drog (UNGASS, 19.–21. dubna 2016) přijalo výsledný dokument „Náš společný závazek řešit účinně světový problém s drogami a čelit mu“</w:t>
      </w:r>
      <w:r>
        <w:rPr>
          <w:rStyle w:val="FootnoteReference"/>
          <w:noProof/>
        </w:rPr>
        <w:footnoteReference w:id="2"/>
      </w:r>
      <w:r>
        <w:rPr>
          <w:noProof/>
        </w:rPr>
        <w:t xml:space="preserve">. Konkrétní oddíl se zabývá řešením nově vznikajících a přetrvávajících problémů a hrozeb, včetně nových psychoaktivních látek. Tento společný závazek vyzývá k posílení opatření, která by řešila problém nových psychoaktivních látek, jakož i zlepšila sdílení informací a sítě včasného varování. </w:t>
      </w:r>
    </w:p>
    <w:p>
      <w:pPr>
        <w:pBdr>
          <w:top w:val="nil"/>
          <w:left w:val="nil"/>
          <w:bottom w:val="nil"/>
          <w:right w:val="nil"/>
          <w:between w:val="nil"/>
          <w:bar w:val="nil"/>
        </w:pBdr>
        <w:spacing w:before="0" w:after="240"/>
        <w:rPr>
          <w:rFonts w:eastAsia="Arial Unicode MS"/>
          <w:noProof/>
          <w:color w:val="000000" w:themeColor="text1"/>
        </w:rPr>
      </w:pPr>
      <w:r>
        <w:rPr>
          <w:noProof/>
        </w:rPr>
        <w:t>Komise předložila dne 17. září 2013 balíček dvou legislativních návrhů týkajících se nových psychoaktivních látek: návrh nařízení o nových psychoaktivních látkách</w:t>
      </w:r>
      <w:r>
        <w:rPr>
          <w:rStyle w:val="FootnoteReference"/>
          <w:noProof/>
        </w:rPr>
        <w:footnoteReference w:id="3"/>
      </w:r>
      <w:r>
        <w:rPr>
          <w:noProof/>
        </w:rPr>
        <w:t xml:space="preserve"> a směrnice, kterou se mění rámcové rozhodnutí Rady 2004/757/SVV ze dne 25. října 2004, kterým se stanoví minimální ustanovení týkající se znaků skutkových podstat trestných činů a sankcí v oblasti nedovoleného obchodu s drogami, pokud jde o definici drogy</w:t>
      </w:r>
      <w:r>
        <w:rPr>
          <w:rStyle w:val="FootnoteReference"/>
          <w:noProof/>
        </w:rPr>
        <w:footnoteReference w:id="4"/>
      </w:r>
      <w:r>
        <w:rPr>
          <w:noProof/>
        </w:rPr>
        <w:t>. Cílem bylo omezit dostupnost nových psychoaktivních látek, které představují riziko, prostřednictvím rychlejšího, účinnějšího opatření na úrovni Unie v porovnání se aktuálně platným systémem založeným na rozhodnutí Rady 2005/387/SVV ze dne 10. května 2005 o výměně informací, hodnocení rizika a kontrole nových psychoaktivních látek</w:t>
      </w:r>
      <w:r>
        <w:rPr>
          <w:rStyle w:val="FootnoteReference"/>
          <w:noProof/>
        </w:rPr>
        <w:footnoteReference w:id="5"/>
      </w:r>
      <w:r>
        <w:rPr>
          <w:noProof/>
        </w:rPr>
        <w:t>.</w:t>
      </w:r>
    </w:p>
    <w:p>
      <w:pPr>
        <w:pBdr>
          <w:top w:val="nil"/>
          <w:left w:val="nil"/>
          <w:bottom w:val="nil"/>
          <w:right w:val="nil"/>
          <w:between w:val="nil"/>
          <w:bar w:val="nil"/>
        </w:pBdr>
        <w:spacing w:before="0" w:after="240"/>
        <w:rPr>
          <w:rFonts w:eastAsia="Arial Unicode MS"/>
          <w:noProof/>
        </w:rPr>
      </w:pPr>
      <w:r>
        <w:rPr>
          <w:noProof/>
        </w:rPr>
        <w:t>Interinstitucionální projednávání tohoto legislativního balíčku probíhá již déle než dva roky. Evropský parlament přijal svá legislativní usnesení dne 17. dubna 2014</w:t>
      </w:r>
      <w:r>
        <w:rPr>
          <w:rStyle w:val="FootnoteReference"/>
          <w:noProof/>
        </w:rPr>
        <w:footnoteReference w:id="6"/>
      </w:r>
      <w:r>
        <w:rPr>
          <w:noProof/>
        </w:rPr>
        <w:t xml:space="preserve">. Rada obecný přístup k návrhům nepřijala; během posuzování návrhů vyjádřily členské státy pochybnosti, pokud jde o volbu článku 114 Smlouvy o fungování Evropské unie (SFEU) jako právního základu navrhovaného nařízení. </w:t>
      </w:r>
    </w:p>
    <w:p>
      <w:pPr>
        <w:spacing w:before="0" w:after="240"/>
        <w:rPr>
          <w:rFonts w:eastAsia="Calibri"/>
          <w:noProof/>
          <w:szCs w:val="24"/>
        </w:rPr>
      </w:pPr>
      <w:r>
        <w:rPr>
          <w:noProof/>
        </w:rPr>
        <w:t>V zájmu dosažení stejného cíle zavést rychlejší a účinnější opatření na úrovni EU, pokud jde o nové psychoaktivní látky, souhlasil Výbor stálých zástupců (COREPER) dne 6. dubna 2016</w:t>
      </w:r>
      <w:r>
        <w:rPr>
          <w:rStyle w:val="FootnoteReference"/>
          <w:noProof/>
        </w:rPr>
        <w:footnoteReference w:id="7"/>
      </w:r>
      <w:r>
        <w:rPr>
          <w:noProof/>
        </w:rPr>
        <w:t xml:space="preserve"> s přístupem, který navrhlo nizozemské předsednictví ve svém diskusním dokumentu, včetně změn návrhu směrnice na základě článku 83 SFEU, která bude zejména obsahovat definici nové psychoaktivní látky a ustanovení o rychlém rozhodování na úrovni Unie v zájmu kriminalizace nových psychoaktivních látek ve všech členských státech. COREPER rovněž vyzval Komisi, aby předložila návrh na změnu zakládajícího nařízení Evropského monitorovacího centra pro drogy a drogovou závislost (EMCDDA), nařízení č. 1920/2006.</w:t>
      </w:r>
      <w:r>
        <w:rPr>
          <w:rFonts w:ascii="Calibri" w:hAnsi="Calibri"/>
          <w:noProof/>
          <w:color w:val="1F497D"/>
          <w:sz w:val="22"/>
        </w:rPr>
        <w:t xml:space="preserve"> </w:t>
      </w:r>
      <w:r>
        <w:rPr>
          <w:noProof/>
        </w:rPr>
        <w:t>Podle souhrnného záznamu z 2580. zasedání Výboru stálých zástupců je tímto rozhodnutím zahájena tříměsíční lhůta pro členské státy dotčené protokolem 21, aby rozhodly o své účasti, a má důsledky podle protokolu č. 22 připojeného ke Smlouvě o EU. Evropský parlament je o této změně informován dopisem Rady.</w:t>
      </w:r>
    </w:p>
    <w:p>
      <w:pPr>
        <w:pBdr>
          <w:top w:val="nil"/>
          <w:left w:val="nil"/>
          <w:bottom w:val="nil"/>
          <w:right w:val="nil"/>
          <w:between w:val="nil"/>
          <w:bar w:val="nil"/>
        </w:pBdr>
        <w:spacing w:before="0" w:after="240"/>
        <w:rPr>
          <w:rFonts w:eastAsia="Calibri"/>
          <w:noProof/>
        </w:rPr>
      </w:pPr>
      <w:r>
        <w:rPr>
          <w:noProof/>
        </w:rPr>
        <w:t xml:space="preserve">S ohledem na to, že cílem rozhodnutí Výboru stálých zástupců je dosáhnout stejného cíle, jako navrhuje balíček z roku 2013, navrhuje Komise cílené změny nařízení č. 1920/2006, kterými by se návrhy ustanovení o systému včasného varování a postupu hodnocení rizika, které byly součástí návrhu nařízení Komise o nových psychoaktivních látkách z roku 2013, začlenily do zakládajícího nařízení EMCDDA. Komise zváží při vypracovávání pracovního programu Komise na rok 2017 stažení návrhu nařízení o nových psychoaktivních látkách. </w:t>
      </w:r>
    </w:p>
    <w:p>
      <w:pPr>
        <w:pBdr>
          <w:top w:val="nil"/>
          <w:left w:val="nil"/>
          <w:bottom w:val="nil"/>
          <w:right w:val="nil"/>
          <w:between w:val="nil"/>
          <w:bar w:val="nil"/>
        </w:pBdr>
        <w:spacing w:before="0" w:after="240"/>
        <w:rPr>
          <w:rFonts w:eastAsia="Arial Unicode MS"/>
          <w:noProof/>
        </w:rPr>
      </w:pPr>
      <w:r>
        <w:rPr>
          <w:noProof/>
        </w:rPr>
        <w:t xml:space="preserve">Cílem nového návrhu, stejně jako toho předchozího, je posílit systém včasného varování EU a hodnocení rizika a zjednodušit postupy za účelem účinnějšího a rychlého opatření. Proto v zájmu urychlení procesu se ve srovnání se stávajícím systémem založeným na rozhodnutí Rady 2005/387/SVV značně zkrátí termíny. Pro účely rychlého a účinného shromažďování informací o nových psychoaktivních látkách by mělo centrum EMCDDA neprodleně po vyhlášení nařízení v Úředním věstníku uzavřít pracovní ujednání s Europolem, Evropskou agenturou pro léčivé přípravky, Evropskou agenturou pro chemické látky a Evropským úřadem pro bezpečnost potravin. </w:t>
      </w:r>
    </w:p>
    <w:p>
      <w:pPr>
        <w:pBdr>
          <w:top w:val="nil"/>
          <w:left w:val="nil"/>
          <w:bottom w:val="nil"/>
          <w:right w:val="nil"/>
          <w:between w:val="nil"/>
          <w:bar w:val="nil"/>
        </w:pBdr>
        <w:spacing w:before="0" w:after="240"/>
        <w:rPr>
          <w:rFonts w:eastAsia="Arial Unicode MS"/>
          <w:noProof/>
        </w:rPr>
      </w:pPr>
      <w:r>
        <w:rPr>
          <w:noProof/>
        </w:rPr>
        <w:t xml:space="preserve">Tento návrh rovněž zajišťuje účast Europolu v systému včasného varování a postupu hodnocení rizika, zejména co se týče informací o zapojení zločineckých skupin do výroby a distribuce nových psychoaktivních látek. </w:t>
      </w:r>
    </w:p>
    <w:p>
      <w:pPr>
        <w:pBdr>
          <w:top w:val="nil"/>
          <w:left w:val="nil"/>
          <w:bottom w:val="nil"/>
          <w:right w:val="nil"/>
          <w:between w:val="nil"/>
          <w:bar w:val="nil"/>
        </w:pBdr>
        <w:spacing w:before="0" w:after="240"/>
        <w:rPr>
          <w:rFonts w:eastAsia="Calibri"/>
          <w:noProof/>
        </w:rPr>
      </w:pPr>
      <w:r>
        <w:rPr>
          <w:noProof/>
        </w:rPr>
        <w:t xml:space="preserve">Podle článku 23 nařízení č. 1920/2006 může Komise případně navrhnout s ohledem na vývoj v oblasti regulačních agentur na základě příštího hodnocení centra další změny zakládajícího nařízení EMCDDA. </w:t>
      </w:r>
    </w:p>
    <w:p>
      <w:pPr>
        <w:pBdr>
          <w:top w:val="nil"/>
          <w:left w:val="nil"/>
          <w:bottom w:val="nil"/>
          <w:right w:val="nil"/>
          <w:between w:val="nil"/>
          <w:bar w:val="nil"/>
        </w:pBdr>
        <w:spacing w:before="0" w:after="240"/>
        <w:rPr>
          <w:rFonts w:eastAsia="Arial Unicode MS"/>
          <w:b/>
          <w:noProof/>
          <w:color w:val="000000"/>
          <w:u w:color="000000"/>
          <w:bdr w:val="nil"/>
        </w:rPr>
      </w:pPr>
      <w:r>
        <w:rPr>
          <w:b/>
          <w:noProof/>
          <w:color w:val="000000"/>
          <w:u w:color="000000"/>
          <w:bdr w:val="nil"/>
        </w:rPr>
        <w:t>•</w:t>
      </w:r>
      <w:r>
        <w:rPr>
          <w:noProof/>
        </w:rPr>
        <w:tab/>
      </w:r>
      <w:r>
        <w:rPr>
          <w:b/>
          <w:noProof/>
        </w:rPr>
        <w:t>Soulad s platnými předpisy v této oblasti politiky</w:t>
      </w:r>
    </w:p>
    <w:p>
      <w:pPr>
        <w:pBdr>
          <w:top w:val="nil"/>
          <w:left w:val="nil"/>
          <w:bottom w:val="nil"/>
          <w:right w:val="nil"/>
          <w:between w:val="nil"/>
          <w:bar w:val="nil"/>
        </w:pBdr>
        <w:spacing w:before="0" w:after="240"/>
        <w:rPr>
          <w:rFonts w:eastAsia="Arial Unicode MS"/>
          <w:noProof/>
          <w:color w:val="000000" w:themeColor="text1"/>
        </w:rPr>
      </w:pPr>
      <w:r>
        <w:rPr>
          <w:noProof/>
        </w:rPr>
        <w:t>Tento návrh odráží priority stanovené Evropským programem pro bezpečnost</w:t>
      </w:r>
      <w:r>
        <w:rPr>
          <w:rStyle w:val="FootnoteReference"/>
          <w:noProof/>
        </w:rPr>
        <w:footnoteReference w:id="8"/>
      </w:r>
      <w:r>
        <w:rPr>
          <w:noProof/>
        </w:rPr>
        <w:t xml:space="preserve"> přijaté dne 28. dubna 2015. Evropský program pro bezpečnost zdůrazňuje, že trh s nedovolenými drogami zůstává nejdynamičtějším nezákonným trhem, přičemž aktuálním trendem je šíření nových psychoaktivních látek. Rovněž je v něm uvedeno, že tyto látky se stále častěji vyrábějí v Unii, proto naléhavě nabádá k přijetí nového legislativního rámce.</w:t>
      </w:r>
    </w:p>
    <w:p>
      <w:pPr>
        <w:pBdr>
          <w:top w:val="nil"/>
          <w:left w:val="nil"/>
          <w:bottom w:val="nil"/>
          <w:right w:val="nil"/>
          <w:between w:val="nil"/>
          <w:bar w:val="nil"/>
        </w:pBdr>
        <w:spacing w:before="0" w:after="240"/>
        <w:rPr>
          <w:rFonts w:eastAsia="Arial Unicode MS"/>
          <w:noProof/>
          <w:color w:val="000000" w:themeColor="text1"/>
        </w:rPr>
      </w:pPr>
      <w:r>
        <w:rPr>
          <w:noProof/>
        </w:rPr>
        <w:t>Tento návrh je nutné chápat ve spojení se směrnicí (EU) …/ … [, kterou se mění rámcové rozhodnutí Rady 2004/757/SVV ze dne 25. října 2004, kterým se stanoví minimální ustanovení týkající se znaků skutkových podstat trestných činů a sankcí v oblasti nedovoleného obchodu s drogami</w:t>
      </w:r>
      <w:r>
        <w:rPr>
          <w:rStyle w:val="FootnoteReference"/>
          <w:noProof/>
        </w:rPr>
        <w:footnoteReference w:id="9"/>
      </w:r>
      <w:r>
        <w:rPr>
          <w:noProof/>
        </w:rPr>
        <w:t>].</w:t>
      </w:r>
      <w:r>
        <w:rPr>
          <w:noProof/>
          <w:color w:val="000000" w:themeColor="text1"/>
        </w:rPr>
        <w:t xml:space="preserve"> Oba nástroje mají nahradit mechanismus zřízený rozhodnutím Rady 2005/387/SVV.</w:t>
      </w:r>
    </w:p>
    <w:p>
      <w:pPr>
        <w:keepNext/>
        <w:tabs>
          <w:tab w:val="left" w:pos="850"/>
        </w:tabs>
        <w:ind w:left="850" w:hanging="850"/>
        <w:outlineLvl w:val="1"/>
        <w:rPr>
          <w:b/>
          <w:noProof/>
        </w:rPr>
      </w:pPr>
      <w:r>
        <w:rPr>
          <w:b/>
          <w:noProof/>
        </w:rPr>
        <w:t>2.</w:t>
      </w:r>
      <w:r>
        <w:rPr>
          <w:noProof/>
        </w:rPr>
        <w:tab/>
      </w:r>
      <w:r>
        <w:rPr>
          <w:b/>
          <w:noProof/>
        </w:rPr>
        <w:t>PRÁVNÍ ZÁKLAD, SUBSIDIARITA A PROPORCIONALITA</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Právní základ</w:t>
      </w:r>
    </w:p>
    <w:p>
      <w:pPr>
        <w:pBdr>
          <w:top w:val="nil"/>
          <w:left w:val="nil"/>
          <w:bottom w:val="nil"/>
          <w:right w:val="nil"/>
          <w:between w:val="nil"/>
          <w:bar w:val="nil"/>
        </w:pBdr>
        <w:spacing w:before="0" w:after="240"/>
        <w:rPr>
          <w:rFonts w:eastAsia="Arial Unicode MS"/>
          <w:noProof/>
        </w:rPr>
      </w:pPr>
      <w:r>
        <w:rPr>
          <w:noProof/>
        </w:rPr>
        <w:t xml:space="preserve">Návrh vychází z čl. 168 odst. 5 SFEU, kterým se zmocňuje Evropský parlament a Rada k přijetí opatření týkajících se sledování vážných přeshraničních zdravotních hrozeb, včasného varování před nimi a boje proti nim s vyloučením harmonizace právních předpisů členských států. </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Subsidiarita</w:t>
      </w:r>
    </w:p>
    <w:p>
      <w:pPr>
        <w:rPr>
          <w:rFonts w:eastAsia="Times New Roman"/>
          <w:noProof/>
          <w:szCs w:val="24"/>
        </w:rPr>
      </w:pPr>
      <w:r>
        <w:rPr>
          <w:noProof/>
        </w:rPr>
        <w:t>Existuje zjevná potřeba opatření EU týkajícího se nových psychoaktivních látek. Samotné členské státy nemohou omezit problémy způsobené šířením škodlivých nových psychoaktivních látek. Nekoordinovaná vnitrostátní opatření v této oblasti mohou mít nepříznivé řetězové účinky, například přemisťování škodlivých látek z jednoho členského státu do druhého. Této situace mohou využít zločinecké skupiny.</w:t>
      </w:r>
    </w:p>
    <w:p>
      <w:pPr>
        <w:rPr>
          <w:rFonts w:eastAsia="Times New Roman"/>
          <w:noProof/>
          <w:szCs w:val="24"/>
        </w:rPr>
      </w:pPr>
      <w:r>
        <w:rPr>
          <w:noProof/>
        </w:rPr>
        <w:t xml:space="preserve">Opatření na úrovni EU je proto nezbytné k tomu, aby bylo zajištěno, že potenciálně škodlivé nové psychoaktivní látky, které vyvolávají obavy v celé EU, lze identifikovat, posoudit a v případě, že představují rizika, ve všech členských státech postavit mimo zákon. Toto nařízení je proto nutné chápat ve spojení se směrnicí (EU) …/ … [, kterou se mění rámcové rozhodnutí Rady 2004/757/SVV ze dne 25. října 2004, kterým se stanoví minimální ustanovení týkající se znaků skutkových podstat trestných činů a sankcí v oblasti nedovoleného obchodu s drogami], jelikož oba nástroje mají nahradit mechanismus zřízený rozhodnutím Rady 2005/387/SVV. </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Proporcionalita</w:t>
      </w:r>
    </w:p>
    <w:p>
      <w:pPr>
        <w:rPr>
          <w:rFonts w:eastAsia="Times New Roman"/>
          <w:noProof/>
          <w:szCs w:val="24"/>
        </w:rPr>
      </w:pPr>
      <w:r>
        <w:rPr>
          <w:noProof/>
        </w:rPr>
        <w:t>Návrh je přiměřený a nepřekračuje rámec toho, co je nezbytné k dosažení těchto cílů, jelikož se zabývá pouze těmi novými psychoaktivními látkami, které vyvolávají obavy na úrovni EU.</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Volba nástroje</w:t>
      </w:r>
    </w:p>
    <w:p>
      <w:pPr>
        <w:pBdr>
          <w:top w:val="nil"/>
          <w:left w:val="nil"/>
          <w:bottom w:val="nil"/>
          <w:right w:val="nil"/>
          <w:between w:val="nil"/>
          <w:bar w:val="nil"/>
        </w:pBdr>
        <w:spacing w:before="0" w:after="240"/>
        <w:rPr>
          <w:rFonts w:eastAsia="Arial Unicode MS"/>
          <w:noProof/>
        </w:rPr>
      </w:pPr>
      <w:r>
        <w:rPr>
          <w:noProof/>
        </w:rPr>
        <w:t>Tento návrh se týká změny nařízení. Nic nenasvědčuje tomu, že by byl vhodný jiný nástroj než nařízení.</w:t>
      </w:r>
    </w:p>
    <w:p>
      <w:pPr>
        <w:keepNext/>
        <w:tabs>
          <w:tab w:val="left" w:pos="850"/>
        </w:tabs>
        <w:spacing w:before="360"/>
        <w:ind w:left="850" w:hanging="850"/>
        <w:outlineLvl w:val="0"/>
        <w:rPr>
          <w:b/>
          <w:smallCaps/>
          <w:noProof/>
        </w:rPr>
      </w:pPr>
      <w:r>
        <w:rPr>
          <w:b/>
          <w:smallCaps/>
          <w:noProof/>
        </w:rPr>
        <w:t>3.</w:t>
      </w:r>
      <w:r>
        <w:rPr>
          <w:noProof/>
        </w:rPr>
        <w:tab/>
      </w:r>
      <w:r>
        <w:rPr>
          <w:b/>
          <w:smallCaps/>
          <w:noProof/>
        </w:rPr>
        <w:t xml:space="preserve">VÝSLEDKY HODNOCENÍ </w:t>
      </w:r>
      <w:r>
        <w:rPr>
          <w:b/>
          <w:i/>
          <w:smallCaps/>
          <w:noProof/>
        </w:rPr>
        <w:t>EX POST</w:t>
      </w:r>
      <w:r>
        <w:rPr>
          <w:b/>
          <w:smallCaps/>
          <w:noProof/>
        </w:rPr>
        <w:t>, KONZULTACÍ SE ZÚČASTNĚNÝMI STRANAMI A POSOUZENÍ DOPADŮ</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Konzultace se zúčastněnými stranami</w:t>
      </w:r>
    </w:p>
    <w:p>
      <w:pPr>
        <w:pBdr>
          <w:top w:val="nil"/>
          <w:left w:val="nil"/>
          <w:bottom w:val="nil"/>
          <w:right w:val="nil"/>
          <w:between w:val="nil"/>
          <w:bar w:val="nil"/>
        </w:pBdr>
        <w:spacing w:before="0" w:after="240"/>
        <w:rPr>
          <w:rFonts w:eastAsia="Arial Unicode MS"/>
          <w:noProof/>
          <w:color w:val="000000" w:themeColor="text1"/>
        </w:rPr>
      </w:pPr>
      <w:r>
        <w:rPr>
          <w:noProof/>
        </w:rPr>
        <w:t>Tento návrh navazuje na dohodu Výboru stálých zástupců ze dne 6. dubna 2016 o kompromisním přístupu navrženém nizozemským předsednictvím Rady</w:t>
      </w:r>
      <w:r>
        <w:rPr>
          <w:noProof/>
          <w:color w:val="000000" w:themeColor="text1"/>
        </w:rPr>
        <w:t>. Na zasedání Výboru Evropského parlamentu pro občanské svobody, spravedlnost a vnitřní věci ze dne 15. června 2016 oznámili zpravodajové a stínoví zpravodajové, že učinili rozhodnutí uplatňovat tento nový přístup jako celek a spolupracovat s Radou a Komisí na dosažení dohody. Jelikož obsah odráží tuto dohodu, tento nový návrh nevyžaduje další konzultaci se zúčastněnými stranami.</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Posouzení dopadů</w:t>
      </w:r>
    </w:p>
    <w:p>
      <w:pPr>
        <w:pBdr>
          <w:top w:val="nil"/>
          <w:left w:val="nil"/>
          <w:bottom w:val="nil"/>
          <w:right w:val="nil"/>
          <w:between w:val="nil"/>
          <w:bar w:val="nil"/>
        </w:pBdr>
        <w:spacing w:before="0" w:after="240"/>
        <w:rPr>
          <w:rFonts w:eastAsia="Arial Unicode MS"/>
          <w:noProof/>
          <w:color w:val="000000" w:themeColor="text1"/>
        </w:rPr>
      </w:pPr>
      <w:r>
        <w:rPr>
          <w:noProof/>
          <w:color w:val="000000" w:themeColor="text1"/>
        </w:rPr>
        <w:t xml:space="preserve">Komise provedla posouzení dopadů politických alternativ v souvislostech balíčku dvou návrhů předložených dne 17. září 2013. </w:t>
      </w:r>
      <w:r>
        <w:rPr>
          <w:noProof/>
        </w:rPr>
        <w:t xml:space="preserve">Toto posouzení dopadů došlo zejména k závěru, že se musí zlepšit kvalita a množství informací dostupných na úrovni </w:t>
      </w:r>
      <w:r>
        <w:rPr>
          <w:noProof/>
          <w:color w:val="000000" w:themeColor="text1"/>
        </w:rPr>
        <w:t>EU a sdílených členskými státy, jakož i kapacita rychle zjistit a posoudit nové psychoaktivní látky</w:t>
      </w:r>
      <w:r>
        <w:rPr>
          <w:rStyle w:val="FootnoteReference"/>
          <w:noProof/>
          <w:color w:val="000000" w:themeColor="text1"/>
        </w:rPr>
        <w:footnoteReference w:id="10"/>
      </w:r>
      <w:r>
        <w:rPr>
          <w:noProof/>
        </w:rPr>
        <w:t>.</w:t>
      </w:r>
      <w:r>
        <w:rPr>
          <w:noProof/>
          <w:color w:val="000000" w:themeColor="text1"/>
        </w:rPr>
        <w:t xml:space="preserve"> Pro tento návrh proto není třeba provést nové posouzení dopadů. </w:t>
      </w:r>
    </w:p>
    <w:p>
      <w:pPr>
        <w:keepNext/>
        <w:tabs>
          <w:tab w:val="left" w:pos="850"/>
        </w:tabs>
        <w:spacing w:before="360"/>
        <w:ind w:left="850" w:hanging="850"/>
        <w:outlineLvl w:val="0"/>
        <w:rPr>
          <w:b/>
          <w:smallCaps/>
          <w:noProof/>
        </w:rPr>
      </w:pPr>
      <w:r>
        <w:rPr>
          <w:b/>
          <w:smallCaps/>
          <w:noProof/>
        </w:rPr>
        <w:t>4.</w:t>
      </w:r>
      <w:r>
        <w:rPr>
          <w:noProof/>
        </w:rPr>
        <w:tab/>
      </w:r>
      <w:r>
        <w:rPr>
          <w:b/>
          <w:smallCaps/>
          <w:noProof/>
        </w:rPr>
        <w:t>ROZPOČTOVÉ DŮSLEDKY</w:t>
      </w:r>
    </w:p>
    <w:p>
      <w:pPr>
        <w:pBdr>
          <w:top w:val="nil"/>
          <w:left w:val="nil"/>
          <w:bottom w:val="nil"/>
          <w:right w:val="nil"/>
          <w:between w:val="nil"/>
          <w:bar w:val="nil"/>
        </w:pBdr>
        <w:spacing w:before="0" w:after="240"/>
        <w:rPr>
          <w:rFonts w:eastAsia="Arial Unicode MS"/>
          <w:noProof/>
        </w:rPr>
      </w:pPr>
      <w:r>
        <w:rPr>
          <w:noProof/>
        </w:rPr>
        <w:t>Úkolem EMCDDA je výměna informací, systém včasného varování a postup hodnocení rizika nových psychoaktivních látek. Financování centra tvoří již součást rozpočtu Unie.</w:t>
      </w:r>
    </w:p>
    <w:p>
      <w:pPr>
        <w:pBdr>
          <w:top w:val="nil"/>
          <w:left w:val="nil"/>
          <w:bottom w:val="nil"/>
          <w:right w:val="nil"/>
          <w:between w:val="nil"/>
          <w:bar w:val="nil"/>
        </w:pBdr>
        <w:spacing w:before="0" w:after="240"/>
        <w:rPr>
          <w:rFonts w:eastAsia="Arial Unicode MS"/>
          <w:noProof/>
        </w:rPr>
      </w:pPr>
      <w:r>
        <w:rPr>
          <w:noProof/>
        </w:rPr>
        <w:t xml:space="preserve">Aby však mohlo centrum odpovídajícím způsobem řešit rostoucí počet žádostí týkajících se výměny informací o nových psychoaktivních látkách, jakož i navrhované zjednodušené postupy pro systém včasného varování EU a postup posuzování rizika, bude potřebné do rozpočtu centra doplnit celkovou částku 676 000 EUR na období let 2017–2020 na vývoj systému a částku 100 000 EUR ročně na financování tří dalších smluvních zaměstnanců. </w:t>
      </w:r>
    </w:p>
    <w:p>
      <w:pPr>
        <w:keepNext/>
        <w:tabs>
          <w:tab w:val="left" w:pos="850"/>
        </w:tabs>
        <w:spacing w:before="360"/>
        <w:ind w:left="850" w:hanging="850"/>
        <w:outlineLvl w:val="0"/>
        <w:rPr>
          <w:b/>
          <w:smallCaps/>
          <w:noProof/>
        </w:rPr>
      </w:pPr>
      <w:r>
        <w:rPr>
          <w:b/>
          <w:smallCaps/>
          <w:noProof/>
        </w:rPr>
        <w:t>5.</w:t>
      </w:r>
      <w:r>
        <w:rPr>
          <w:noProof/>
        </w:rPr>
        <w:tab/>
      </w:r>
      <w:r>
        <w:rPr>
          <w:b/>
          <w:smallCaps/>
          <w:noProof/>
        </w:rPr>
        <w:t>OSTATNÍ PRVKY</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Mechanismy monitorování, hodnocení a podávání zpráv</w:t>
      </w:r>
    </w:p>
    <w:p>
      <w:pPr>
        <w:rPr>
          <w:rFonts w:eastAsia="Times New Roman"/>
          <w:noProof/>
          <w:szCs w:val="24"/>
        </w:rPr>
      </w:pPr>
      <w:r>
        <w:rPr>
          <w:noProof/>
        </w:rPr>
        <w:t>EMCDDA je pravidelně hodnoceno podle článku 23 nařízení č. 1920/2006. Podle uvedeného článku Komise zahájí vnější hodnocení EMCDDA každých šest let, v návaznosti na ukončení dvou tříletých programů centra.</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Podrobné vysvětlení konkrétních ustanovení návrhu</w:t>
      </w:r>
    </w:p>
    <w:p>
      <w:pPr>
        <w:rPr>
          <w:rFonts w:eastAsia="Times New Roman"/>
          <w:noProof/>
          <w:szCs w:val="24"/>
        </w:rPr>
      </w:pPr>
      <w:r>
        <w:rPr>
          <w:noProof/>
        </w:rPr>
        <w:t>Článek 1 stanoví následující změny nařízení č. 1920/2006:</w:t>
      </w:r>
    </w:p>
    <w:p>
      <w:pPr>
        <w:rPr>
          <w:rFonts w:eastAsia="Times New Roman"/>
          <w:i/>
          <w:noProof/>
          <w:szCs w:val="24"/>
        </w:rPr>
      </w:pPr>
      <w:r>
        <w:rPr>
          <w:i/>
          <w:noProof/>
        </w:rPr>
        <w:t xml:space="preserve">Nové písmeno f) v článku 2 (Úkoly) </w:t>
      </w:r>
      <w:r>
        <w:rPr>
          <w:noProof/>
        </w:rPr>
        <w:t>– toto ustanovení vysvětluje, že úkolem EMCDDA je výměna informací a rychlé varování před novými psychoaktivními látkami, jakož i hodnocení rizika. Centrum rovněž sleduje všechny nové psychoaktivní látky, které členské státy oznámily.</w:t>
      </w:r>
    </w:p>
    <w:p>
      <w:pPr>
        <w:rPr>
          <w:rFonts w:eastAsia="Times New Roman"/>
          <w:noProof/>
          <w:szCs w:val="24"/>
        </w:rPr>
      </w:pPr>
      <w:r>
        <w:rPr>
          <w:i/>
          <w:noProof/>
        </w:rPr>
        <w:t>Nový článek 5a (Výměna informací, systém včasného varování a posouzení rizika nových psychoaktivních látek)</w:t>
      </w:r>
      <w:r>
        <w:rPr>
          <w:noProof/>
        </w:rPr>
        <w:t xml:space="preserve"> – toto ustanovení stanoví příslušné úlohy členských států, EMCDDA a Europolu v procesu výměny informací a včasného varování před novými psychoaktivními látkami.</w:t>
      </w:r>
    </w:p>
    <w:p>
      <w:pPr>
        <w:rPr>
          <w:rFonts w:eastAsia="Times New Roman"/>
          <w:noProof/>
          <w:szCs w:val="24"/>
        </w:rPr>
      </w:pPr>
      <w:r>
        <w:rPr>
          <w:i/>
          <w:noProof/>
        </w:rPr>
        <w:t>Nový článek 5b (Úvodní zpráva)</w:t>
      </w:r>
      <w:r>
        <w:rPr>
          <w:noProof/>
        </w:rPr>
        <w:t xml:space="preserve"> – toto ustanovení stanoví obsah a postupy vypracování a předložení úvodní zprávy o nové psychoaktivní látce ze strany EMCDDA. Na shromažďování informací pro úvodní zprávu se podílejí Europol, Evropská agentura pro léčivé přípravky, Evropská agentura pro chemické látky a Evropský úřad pro bezpečnost potravin.</w:t>
      </w:r>
    </w:p>
    <w:p>
      <w:pPr>
        <w:rPr>
          <w:rFonts w:eastAsia="Times New Roman"/>
          <w:noProof/>
          <w:szCs w:val="24"/>
        </w:rPr>
      </w:pPr>
      <w:r>
        <w:rPr>
          <w:i/>
          <w:noProof/>
        </w:rPr>
        <w:t>Nový článek 5c (Postup hodnocení rizika a zpráva o hodnocení rizika)</w:t>
      </w:r>
      <w:r>
        <w:rPr>
          <w:noProof/>
        </w:rPr>
        <w:t xml:space="preserve"> – toto ustanovení Komisi opravňuje centrum EMCDDA požádat, aby posoudilo rizika určité nové psychoaktivní látky, pro niž byla vypracována úvodní zpráva. Stanoví postupy hodnocení rizika, které má provádět vědecký výbor EMCDDA, a vypracování a předložení zprávy o hodnocení rizika. </w:t>
      </w:r>
    </w:p>
    <w:p>
      <w:pPr>
        <w:rPr>
          <w:rFonts w:eastAsia="Times New Roman"/>
          <w:noProof/>
          <w:szCs w:val="24"/>
        </w:rPr>
      </w:pPr>
      <w:r>
        <w:rPr>
          <w:i/>
          <w:noProof/>
        </w:rPr>
        <w:t>Nový článek 5d (Vyloučení z hodnocení rizika)</w:t>
      </w:r>
      <w:r>
        <w:rPr>
          <w:noProof/>
        </w:rPr>
        <w:t xml:space="preserve"> – toto ustanovení uvádí okolnosti, za nichž nemá být hodnocení rizika nové psychoaktivní látky provedeno.</w:t>
      </w:r>
    </w:p>
    <w:p>
      <w:pPr>
        <w:rPr>
          <w:rFonts w:eastAsia="Times New Roman"/>
          <w:noProof/>
          <w:szCs w:val="24"/>
        </w:rPr>
      </w:pPr>
      <w:r>
        <w:rPr>
          <w:noProof/>
        </w:rPr>
        <w:t xml:space="preserve">Článek 2 stanoví, kdy toto nařízení vstoupí v platnost. </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2016/0261 (COD)</w:t>
      </w:r>
    </w:p>
    <w:p>
      <w:pPr>
        <w:pStyle w:val="Statut"/>
        <w:rPr>
          <w:noProof/>
        </w:rPr>
      </w:pPr>
      <w:r>
        <w:rPr>
          <w:noProof/>
        </w:rPr>
        <w:t>Návrh</w:t>
      </w:r>
    </w:p>
    <w:p>
      <w:pPr>
        <w:pStyle w:val="Typedudocument"/>
        <w:rPr>
          <w:noProof/>
        </w:rPr>
      </w:pPr>
      <w:r>
        <w:rPr>
          <w:noProof/>
        </w:rPr>
        <w:t>NAŘÍZENÍ EVROPSKÉHO PARLAMENTU A RADY,</w:t>
      </w:r>
    </w:p>
    <w:p>
      <w:pPr>
        <w:pStyle w:val="Titreobjet"/>
        <w:rPr>
          <w:noProof/>
        </w:rPr>
      </w:pPr>
      <w:r>
        <w:rPr>
          <w:noProof/>
        </w:rPr>
        <w:t>kterým se mění nařízení (ES) č. 1920/2006, pokud jde o výměnu informací, systém včasného varování a postup hodnocení rizika nových psychoaktivních látek</w:t>
      </w:r>
    </w:p>
    <w:p>
      <w:pPr>
        <w:pStyle w:val="Institutionquiagit"/>
        <w:rPr>
          <w:noProof/>
        </w:rPr>
      </w:pPr>
      <w:r>
        <w:rPr>
          <w:noProof/>
        </w:rPr>
        <w:t>EVROPSKÝ PARLAMENT A RADA EVROPSKÉ UNIE,</w:t>
      </w:r>
    </w:p>
    <w:p>
      <w:pPr>
        <w:rPr>
          <w:noProof/>
        </w:rPr>
      </w:pPr>
      <w:r>
        <w:rPr>
          <w:noProof/>
        </w:rPr>
        <w:t>s ohledem na Smlouvu o fungování Evropské unie, a zejména na čl. 168 odst. 5 této smlouvy,</w:t>
      </w:r>
    </w:p>
    <w:p>
      <w:pPr>
        <w:rPr>
          <w:noProof/>
        </w:rPr>
      </w:pPr>
      <w:r>
        <w:rPr>
          <w:noProof/>
        </w:rPr>
        <w:t>s ohledem na návrh Evropské komise,</w:t>
      </w:r>
    </w:p>
    <w:p>
      <w:pPr>
        <w:rPr>
          <w:noProof/>
        </w:rPr>
      </w:pPr>
      <w:r>
        <w:rPr>
          <w:noProof/>
        </w:rPr>
        <w:t>po postoupení návrhu legislativního aktu vnitrostátním parlamentům,</w:t>
      </w:r>
    </w:p>
    <w:p>
      <w:pPr>
        <w:rPr>
          <w:noProof/>
        </w:rPr>
      </w:pPr>
      <w:r>
        <w:rPr>
          <w:noProof/>
        </w:rPr>
        <w:t>s ohledem na stanovisko Evropského hospodářského a sociálního výboru</w:t>
      </w:r>
      <w:r>
        <w:rPr>
          <w:rStyle w:val="FootnoteReference"/>
          <w:noProof/>
        </w:rPr>
        <w:footnoteReference w:id="11"/>
      </w:r>
      <w:r>
        <w:rPr>
          <w:noProof/>
        </w:rPr>
        <w:t xml:space="preserve">, </w:t>
      </w:r>
    </w:p>
    <w:p>
      <w:pPr>
        <w:rPr>
          <w:noProof/>
        </w:rPr>
      </w:pPr>
      <w:r>
        <w:rPr>
          <w:noProof/>
        </w:rPr>
        <w:t>s ohledem na stanovisko Výboru regionů</w:t>
      </w:r>
      <w:r>
        <w:rPr>
          <w:rStyle w:val="FootnoteReference"/>
          <w:noProof/>
        </w:rPr>
        <w:footnoteReference w:id="12"/>
      </w:r>
      <w:r>
        <w:rPr>
          <w:noProof/>
        </w:rPr>
        <w:t xml:space="preserve">, </w:t>
      </w:r>
    </w:p>
    <w:p>
      <w:pPr>
        <w:rPr>
          <w:noProof/>
        </w:rPr>
      </w:pPr>
      <w:r>
        <w:rPr>
          <w:noProof/>
        </w:rPr>
        <w:t xml:space="preserve">v souladu s řádným legislativním postupem, </w:t>
      </w:r>
    </w:p>
    <w:p>
      <w:pPr>
        <w:rPr>
          <w:noProof/>
        </w:rPr>
      </w:pPr>
      <w:r>
        <w:rPr>
          <w:noProof/>
        </w:rPr>
        <w:t>vzhledem k těmto důvodům:</w:t>
      </w:r>
    </w:p>
    <w:p>
      <w:pPr>
        <w:pStyle w:val="ManualConsidrant"/>
        <w:rPr>
          <w:noProof/>
        </w:rPr>
      </w:pPr>
      <w:r>
        <w:t>(1)</w:t>
      </w:r>
      <w:r>
        <w:tab/>
      </w:r>
      <w:r>
        <w:rPr>
          <w:noProof/>
        </w:rPr>
        <w:t>Nové psychoaktivní látky mohou představovat vážné přeshraniční zdravotní hrozby, což přináší nutnost zlepšit jejich sledování, včasné varování před nimi a boj proti nim.</w:t>
      </w:r>
    </w:p>
    <w:p>
      <w:pPr>
        <w:pStyle w:val="ManualConsidrant"/>
        <w:rPr>
          <w:noProof/>
        </w:rPr>
      </w:pPr>
      <w:r>
        <w:t>(2)</w:t>
      </w:r>
      <w:r>
        <w:tab/>
      </w:r>
      <w:r>
        <w:rPr>
          <w:noProof/>
        </w:rPr>
        <w:t>V minulých letech oznamovaly členské státy stále větší počet nových psychoaktivních látek prostřednictvím mechanismu pro rychlou výměnu informací, který byl zřízen společnou akcí 97/396/SVV přijatou Radou na základě článku K.3 Smlouvy o Evropské unii o výměně informací, hodnocení rizika a kontrole nových syntetických drog</w:t>
      </w:r>
      <w:r>
        <w:rPr>
          <w:rStyle w:val="FootnoteReference"/>
          <w:noProof/>
        </w:rPr>
        <w:footnoteReference w:id="13"/>
      </w:r>
      <w:r>
        <w:rPr>
          <w:noProof/>
        </w:rPr>
        <w:t xml:space="preserve"> a dále posílen rozhodnutím Rady 2005/387/SVV</w:t>
      </w:r>
      <w:r>
        <w:rPr>
          <w:rStyle w:val="FootnoteReference"/>
          <w:noProof/>
        </w:rPr>
        <w:footnoteReference w:id="14"/>
      </w:r>
      <w:r>
        <w:rPr>
          <w:noProof/>
        </w:rPr>
        <w:t>.</w:t>
      </w:r>
    </w:p>
    <w:p>
      <w:pPr>
        <w:pStyle w:val="ManualConsidrant"/>
        <w:rPr>
          <w:noProof/>
        </w:rPr>
      </w:pPr>
      <w:r>
        <w:t>(3)</w:t>
      </w:r>
      <w:r>
        <w:tab/>
      </w:r>
      <w:r>
        <w:rPr>
          <w:noProof/>
        </w:rPr>
        <w:t>Novými psychoaktivními látkami, které představují zdravotní a společenská rizika v celé Unii, je nutné se zabývat na úrovni Unie. Toto nařízení je proto nutné chápat ve spojení s rámcovým rozhodnutím Rady 2004/757/JVV</w:t>
      </w:r>
      <w:r>
        <w:rPr>
          <w:rStyle w:val="FootnoteReference"/>
          <w:noProof/>
        </w:rPr>
        <w:footnoteReference w:id="15"/>
      </w:r>
      <w:r>
        <w:rPr>
          <w:noProof/>
        </w:rPr>
        <w:t xml:space="preserve"> [ve znění směrnice (EU) …/…], jelikož oba akty mají nahradit mechanismus zřízený rozhodnutím Rady 2005/387/SVV.</w:t>
      </w:r>
    </w:p>
    <w:p>
      <w:pPr>
        <w:pStyle w:val="ManualConsidrant"/>
        <w:rPr>
          <w:noProof/>
        </w:rPr>
      </w:pPr>
      <w:r>
        <w:t>(4)</w:t>
      </w:r>
      <w:r>
        <w:tab/>
      </w:r>
      <w:r>
        <w:rPr>
          <w:noProof/>
        </w:rPr>
        <w:t>Do nařízení Evropského parlamentu a Rady (ES) č. 1920/2006</w:t>
      </w:r>
      <w:r>
        <w:rPr>
          <w:rStyle w:val="FootnoteReference"/>
          <w:noProof/>
        </w:rPr>
        <w:footnoteReference w:id="16"/>
      </w:r>
      <w:r>
        <w:rPr>
          <w:noProof/>
        </w:rPr>
        <w:t xml:space="preserve"> je nutné vložit ustanovení týkající se výměny informací a systému včasného varování před novými psychoaktivními látkami, jakož i postupu hodnocení rizika. Zejména by se měla posílit ustanovení týkající se včasného varování před novými psychoaktivními látkami a zefektivnit postupy vypracovávání úvodní zprávy a organizace postupu hodnocení rizika. Měly by se stanovit podstatně kratší lhůty pro všechny fáze postupu.</w:t>
      </w:r>
    </w:p>
    <w:p>
      <w:pPr>
        <w:pStyle w:val="ManualConsidrant"/>
        <w:rPr>
          <w:noProof/>
        </w:rPr>
      </w:pPr>
      <w:r>
        <w:t>(5)</w:t>
      </w:r>
      <w:r>
        <w:tab/>
      </w:r>
      <w:r>
        <w:rPr>
          <w:noProof/>
        </w:rPr>
        <w:t xml:space="preserve">Jakékoli opatření Unie týkající se nových psychoaktivních látek by mělo být založeno na vědeckých důkazech. </w:t>
      </w:r>
    </w:p>
    <w:p>
      <w:pPr>
        <w:pStyle w:val="ManualConsidrant"/>
        <w:rPr>
          <w:noProof/>
        </w:rPr>
      </w:pPr>
      <w:r>
        <w:t>(6)</w:t>
      </w:r>
      <w:r>
        <w:tab/>
      </w:r>
      <w:r>
        <w:rPr>
          <w:noProof/>
        </w:rPr>
        <w:t>V návaznosti na postup hodnocení rizika by měla Komise určit, zda by měly být nové psychoaktivní látky v souladu s postupem upraveným v rámcovém rozhodnutí Rady 2004/757/SVV [ve znění směrnice (EU) …/…] postaveny mimo zákon. Toto nařízení vstoupí v platnost týž den, jako je den provedení směrnice, jelikož oba akty mají nahradit mechanismus zřízený rozhodnutím Rady 2005/387/SVV.</w:t>
      </w:r>
    </w:p>
    <w:p>
      <w:pPr>
        <w:pStyle w:val="ManualConsidrant"/>
        <w:rPr>
          <w:noProof/>
        </w:rPr>
      </w:pPr>
      <w:r>
        <w:t>(7)</w:t>
      </w:r>
      <w:r>
        <w:tab/>
      </w:r>
      <w:r>
        <w:rPr>
          <w:noProof/>
        </w:rPr>
        <w:t>Hodnocení rizika by se nemělo provádět v případě, je-li nová psychoaktivní látka předmětem hodnocení podle mezinárodního práva nebo je-li účinnou látkou v léčivém přípravku nebo veterinárním léčivém přípravku.</w:t>
      </w:r>
    </w:p>
    <w:p>
      <w:pPr>
        <w:pStyle w:val="ManualConsidrant"/>
        <w:rPr>
          <w:noProof/>
        </w:rPr>
      </w:pPr>
      <w:r>
        <w:t>(8)</w:t>
      </w:r>
      <w:r>
        <w:tab/>
      </w:r>
      <w:r>
        <w:rPr>
          <w:noProof/>
        </w:rPr>
        <w:t>Nařízení (ES) č. 1920/2006 by proto mělo být odpovídajícím způsobem změněno,</w:t>
      </w:r>
    </w:p>
    <w:p>
      <w:pPr>
        <w:pStyle w:val="Formuledadoption"/>
        <w:rPr>
          <w:noProof/>
        </w:rPr>
      </w:pPr>
      <w:r>
        <w:rPr>
          <w:noProof/>
        </w:rPr>
        <w:t>PŘIJALY TOTO NAŘÍZENÍ:</w:t>
      </w:r>
    </w:p>
    <w:p>
      <w:pPr>
        <w:pStyle w:val="Titrearticle"/>
        <w:rPr>
          <w:noProof/>
        </w:rPr>
      </w:pPr>
      <w:r>
        <w:rPr>
          <w:noProof/>
        </w:rPr>
        <w:t>Článek 1</w:t>
      </w:r>
    </w:p>
    <w:p>
      <w:pPr>
        <w:keepNext/>
        <w:spacing w:before="0"/>
        <w:jc w:val="center"/>
        <w:rPr>
          <w:rFonts w:eastAsia="Times New Roman"/>
          <w:b/>
          <w:noProof/>
          <w:szCs w:val="24"/>
        </w:rPr>
      </w:pPr>
      <w:r>
        <w:rPr>
          <w:b/>
          <w:noProof/>
        </w:rPr>
        <w:t>Změny nařízení (ES) č. 1920/2006</w:t>
      </w:r>
    </w:p>
    <w:p>
      <w:pPr>
        <w:rPr>
          <w:noProof/>
        </w:rPr>
      </w:pPr>
    </w:p>
    <w:p>
      <w:pPr>
        <w:rPr>
          <w:noProof/>
        </w:rPr>
      </w:pPr>
      <w:r>
        <w:rPr>
          <w:noProof/>
        </w:rPr>
        <w:t>Nařízení (ES) č. 1920/2006 se mění takto:</w:t>
      </w:r>
    </w:p>
    <w:p>
      <w:pPr>
        <w:rPr>
          <w:rFonts w:eastAsia="Times New Roman"/>
          <w:noProof/>
          <w:szCs w:val="24"/>
        </w:rPr>
      </w:pPr>
    </w:p>
    <w:p>
      <w:pPr>
        <w:rPr>
          <w:rFonts w:eastAsia="Times New Roman"/>
          <w:noProof/>
          <w:szCs w:val="24"/>
        </w:rPr>
      </w:pPr>
      <w:r>
        <w:rPr>
          <w:noProof/>
        </w:rPr>
        <w:t>1) V článku 2 se doplňuje nové písmeno f), které zní:</w:t>
      </w:r>
    </w:p>
    <w:p>
      <w:pPr>
        <w:rPr>
          <w:rFonts w:eastAsia="Times New Roman"/>
          <w:noProof/>
          <w:szCs w:val="24"/>
        </w:rPr>
      </w:pPr>
    </w:p>
    <w:p>
      <w:pPr>
        <w:ind w:left="850" w:hanging="850"/>
        <w:rPr>
          <w:rFonts w:eastAsia="Times New Roman"/>
          <w:noProof/>
          <w:szCs w:val="24"/>
        </w:rPr>
      </w:pPr>
      <w:r>
        <w:rPr>
          <w:noProof/>
        </w:rPr>
        <w:t xml:space="preserve"> „f) </w:t>
      </w:r>
      <w:r>
        <w:rPr>
          <w:noProof/>
        </w:rPr>
        <w:tab/>
      </w:r>
      <w:r>
        <w:rPr>
          <w:b/>
          <w:noProof/>
        </w:rPr>
        <w:t>Výměna informací, systém včasného varování a hodnocení rizika nových psychoaktivních látek</w:t>
      </w:r>
    </w:p>
    <w:p>
      <w:pPr>
        <w:autoSpaceDE w:val="0"/>
        <w:autoSpaceDN w:val="0"/>
        <w:adjustRightInd w:val="0"/>
        <w:ind w:left="720" w:hanging="720"/>
        <w:rPr>
          <w:rFonts w:eastAsia="Times New Roman"/>
          <w:noProof/>
          <w:szCs w:val="24"/>
        </w:rPr>
      </w:pPr>
    </w:p>
    <w:p>
      <w:pPr>
        <w:ind w:left="1440" w:hanging="720"/>
        <w:rPr>
          <w:rFonts w:eastAsia="Times New Roman"/>
          <w:noProof/>
          <w:szCs w:val="24"/>
        </w:rPr>
      </w:pPr>
      <w:r>
        <w:rPr>
          <w:noProof/>
        </w:rPr>
        <w:t xml:space="preserve">i) </w:t>
      </w:r>
      <w:r>
        <w:rPr>
          <w:noProof/>
        </w:rPr>
        <w:tab/>
        <w:t>shromažďuje, porovnává, analyzuje a posuzuje informace o nových psychoaktivních látkách dostupné z národních kontaktních míst sítě Reitox a národních jednotek Europolu, jak jsou definovány v článku […] rámcového rozhodnutí Rady 2004/757/SVV [ve znění směrnice (EU) …/…], a sděluje tyto informace bez zbytečných prodlev Vnitrostátním kontaktním místům sítě Reitox a národním jednotkám Europolu, jakož i Komisi;</w:t>
      </w:r>
    </w:p>
    <w:p>
      <w:pPr>
        <w:rPr>
          <w:rFonts w:eastAsia="Times New Roman"/>
          <w:noProof/>
          <w:szCs w:val="24"/>
        </w:rPr>
      </w:pPr>
    </w:p>
    <w:p>
      <w:pPr>
        <w:ind w:left="1440" w:hanging="720"/>
        <w:rPr>
          <w:noProof/>
        </w:rPr>
      </w:pPr>
      <w:r>
        <w:rPr>
          <w:noProof/>
        </w:rPr>
        <w:t xml:space="preserve">ii) </w:t>
      </w:r>
      <w:r>
        <w:rPr>
          <w:noProof/>
        </w:rPr>
        <w:tab/>
        <w:t xml:space="preserve">vypracovává úvodní zprávu nebo kombinovanou úvodní zprávu v souladu s článkem 5b; </w:t>
      </w:r>
    </w:p>
    <w:p>
      <w:pPr>
        <w:rPr>
          <w:noProof/>
        </w:rPr>
      </w:pPr>
    </w:p>
    <w:p>
      <w:pPr>
        <w:ind w:left="1440" w:hanging="720"/>
        <w:rPr>
          <w:noProof/>
        </w:rPr>
      </w:pPr>
      <w:r>
        <w:rPr>
          <w:noProof/>
        </w:rPr>
        <w:t xml:space="preserve">iii) </w:t>
      </w:r>
      <w:r>
        <w:rPr>
          <w:noProof/>
        </w:rPr>
        <w:tab/>
        <w:t>organizuje postup hodnocení rizika v souladu s články 5c a 5d;</w:t>
      </w:r>
    </w:p>
    <w:p>
      <w:pPr>
        <w:rPr>
          <w:noProof/>
        </w:rPr>
      </w:pPr>
    </w:p>
    <w:p>
      <w:pPr>
        <w:ind w:left="1440" w:hanging="720"/>
        <w:rPr>
          <w:rFonts w:eastAsia="Times New Roman"/>
          <w:noProof/>
          <w:szCs w:val="24"/>
        </w:rPr>
      </w:pPr>
      <w:r>
        <w:rPr>
          <w:noProof/>
        </w:rPr>
        <w:t xml:space="preserve">iv) </w:t>
      </w:r>
      <w:r>
        <w:rPr>
          <w:noProof/>
        </w:rPr>
        <w:tab/>
        <w:t>sleduje v součinnosti s Europolem za podpory národních kontaktních míst sítě Reitox a národních jednotek Europolu všechny nové psychoaktivní látky, které členské státy oznámily.“</w:t>
      </w:r>
    </w:p>
    <w:p>
      <w:pPr>
        <w:rPr>
          <w:noProof/>
        </w:rPr>
      </w:pPr>
    </w:p>
    <w:p>
      <w:pPr>
        <w:rPr>
          <w:noProof/>
        </w:rPr>
      </w:pPr>
      <w:r>
        <w:rPr>
          <w:noProof/>
        </w:rPr>
        <w:t xml:space="preserve">2) V čl. 5 odst. 2 se druhý a třetí pododstavec zrušují. </w:t>
      </w:r>
    </w:p>
    <w:p>
      <w:pPr>
        <w:rPr>
          <w:rFonts w:eastAsia="Times New Roman"/>
          <w:noProof/>
          <w:szCs w:val="24"/>
        </w:rPr>
      </w:pPr>
    </w:p>
    <w:p>
      <w:pPr>
        <w:rPr>
          <w:rFonts w:eastAsia="Times New Roman"/>
          <w:noProof/>
          <w:szCs w:val="24"/>
        </w:rPr>
      </w:pPr>
      <w:r>
        <w:rPr>
          <w:noProof/>
        </w:rPr>
        <w:t>3) Vkládají se nové články 5a, 5b, 5c a 5d, které znějí:</w:t>
      </w:r>
    </w:p>
    <w:p>
      <w:pPr>
        <w:keepNext/>
        <w:spacing w:before="360"/>
        <w:jc w:val="center"/>
        <w:rPr>
          <w:rFonts w:eastAsia="Times New Roman"/>
          <w:i/>
          <w:noProof/>
          <w:szCs w:val="24"/>
        </w:rPr>
      </w:pPr>
      <w:r>
        <w:rPr>
          <w:noProof/>
        </w:rPr>
        <w:t>„</w:t>
      </w:r>
      <w:r>
        <w:rPr>
          <w:i/>
          <w:noProof/>
        </w:rPr>
        <w:t>Článek 5a</w:t>
      </w:r>
    </w:p>
    <w:p>
      <w:pPr>
        <w:keepNext/>
        <w:spacing w:before="0"/>
        <w:jc w:val="center"/>
        <w:rPr>
          <w:rFonts w:eastAsia="Times New Roman"/>
          <w:b/>
          <w:noProof/>
          <w:szCs w:val="24"/>
        </w:rPr>
      </w:pPr>
      <w:r>
        <w:rPr>
          <w:b/>
          <w:noProof/>
        </w:rPr>
        <w:t>Výměna informací a systém včasného varování před novými psychoaktivními látkami</w:t>
      </w:r>
    </w:p>
    <w:p>
      <w:pPr>
        <w:autoSpaceDE w:val="0"/>
        <w:autoSpaceDN w:val="0"/>
        <w:adjustRightInd w:val="0"/>
        <w:rPr>
          <w:rFonts w:eastAsia="Times New Roman"/>
          <w:noProof/>
          <w:szCs w:val="24"/>
        </w:rPr>
      </w:pPr>
      <w:r>
        <w:rPr>
          <w:noProof/>
        </w:rPr>
        <w:t>Každý členský stát zajistí, že jeho národní kontaktní místo sítě Reitox a národní jednotka Europolu poskytují včas a bez zbytečných prodlev centru a Europolu dostupné informace o nových psychoaktivních látkách. Tyto informace se týkají odhalování a zjišťování, používání a vzorů používání, potenciálních a zjištěných rizik, výroby, extrakce, distribuce těchto látek a obchodování s nimi, jakož i jejich lékařského a vědeckého využití.</w:t>
      </w:r>
    </w:p>
    <w:p>
      <w:pPr>
        <w:autoSpaceDE w:val="0"/>
        <w:autoSpaceDN w:val="0"/>
        <w:adjustRightInd w:val="0"/>
        <w:rPr>
          <w:rFonts w:eastAsia="Times New Roman"/>
          <w:noProof/>
          <w:szCs w:val="24"/>
        </w:rPr>
      </w:pPr>
      <w:r>
        <w:rPr>
          <w:noProof/>
        </w:rPr>
        <w:t>Centrum, v součinnosti s Europolem, tyto informace shromažďuje, analyzuje, posuzuje a včas sděluje členským státům s cílem poskytnout členským státům jakékoli informace potřebné pro účely včasného varování a pro účely toho, aby mohlo centrum vypracovat úvodní zprávu nebo kombinovanou úvodní zprávu v souladu s článkem 5b.</w:t>
      </w:r>
    </w:p>
    <w:p>
      <w:pPr>
        <w:rPr>
          <w:rFonts w:eastAsia="Times New Roman"/>
          <w:noProof/>
          <w:szCs w:val="24"/>
        </w:rPr>
      </w:pPr>
    </w:p>
    <w:p>
      <w:pPr>
        <w:pStyle w:val="Titrearticle"/>
        <w:rPr>
          <w:noProof/>
        </w:rPr>
      </w:pPr>
      <w:r>
        <w:rPr>
          <w:noProof/>
        </w:rPr>
        <w:t xml:space="preserve"> Článek 5b</w:t>
      </w:r>
    </w:p>
    <w:p>
      <w:pPr>
        <w:keepNext/>
        <w:spacing w:before="0"/>
        <w:jc w:val="center"/>
        <w:rPr>
          <w:rFonts w:eastAsia="Times New Roman"/>
          <w:b/>
          <w:noProof/>
          <w:szCs w:val="24"/>
        </w:rPr>
      </w:pPr>
      <w:r>
        <w:rPr>
          <w:b/>
          <w:noProof/>
        </w:rPr>
        <w:t xml:space="preserve">Úvodní zpráva </w:t>
      </w:r>
    </w:p>
    <w:p>
      <w:pPr>
        <w:ind w:left="850" w:hanging="850"/>
        <w:rPr>
          <w:rFonts w:eastAsia="Times New Roman"/>
          <w:noProof/>
          <w:szCs w:val="24"/>
        </w:rPr>
      </w:pPr>
      <w:r>
        <w:rPr>
          <w:noProof/>
        </w:rPr>
        <w:t>1.</w:t>
      </w:r>
      <w:r>
        <w:rPr>
          <w:noProof/>
        </w:rPr>
        <w:tab/>
        <w:t>Pokud se centrum, Komise nebo Rada, jednající prostou většinou členských států, domnívá, že předané informace shromážděné o nové psychoaktivní látce v souladu s článkem 5a v jednom nebo několika členských státech vyvolávají obavy kvůli zdravotním nebo společenským rizikům na úrovni Unie, která může tato nová psychoaktivní látka představovat, vypracuje centrum o nové psychoaktivní látce úvodní zprávu.</w:t>
      </w:r>
    </w:p>
    <w:p>
      <w:pPr>
        <w:ind w:left="850" w:hanging="850"/>
        <w:rPr>
          <w:rFonts w:eastAsia="Times New Roman"/>
          <w:noProof/>
          <w:szCs w:val="24"/>
        </w:rPr>
      </w:pPr>
      <w:r>
        <w:rPr>
          <w:noProof/>
        </w:rPr>
        <w:t>2.</w:t>
      </w:r>
      <w:r>
        <w:rPr>
          <w:noProof/>
        </w:rPr>
        <w:tab/>
        <w:t xml:space="preserve">Úvodní zpráva obsahuje: </w:t>
      </w:r>
    </w:p>
    <w:p>
      <w:pPr>
        <w:pStyle w:val="Point1"/>
        <w:rPr>
          <w:noProof/>
        </w:rPr>
      </w:pPr>
      <w:r>
        <w:rPr>
          <w:noProof/>
        </w:rPr>
        <w:t>a)</w:t>
      </w:r>
      <w:r>
        <w:rPr>
          <w:noProof/>
        </w:rPr>
        <w:tab/>
        <w:t>první údaje o povaze nebo rozsahu zdravotních a společenských rizik souvisejících s touto novou psychoaktivní látkou;</w:t>
      </w:r>
    </w:p>
    <w:p>
      <w:pPr>
        <w:pStyle w:val="Point1"/>
        <w:rPr>
          <w:noProof/>
        </w:rPr>
      </w:pPr>
      <w:r>
        <w:rPr>
          <w:noProof/>
        </w:rPr>
        <w:t>b)</w:t>
      </w:r>
      <w:r>
        <w:rPr>
          <w:noProof/>
        </w:rPr>
        <w:tab/>
        <w:t>chemický a fyzický popis nové psychoaktivní látky, metody a prekursory používané pro její výrobu nebo extrakci;</w:t>
      </w:r>
    </w:p>
    <w:p>
      <w:pPr>
        <w:pStyle w:val="Point1"/>
        <w:rPr>
          <w:noProof/>
        </w:rPr>
      </w:pPr>
      <w:r>
        <w:rPr>
          <w:noProof/>
        </w:rPr>
        <w:t>c)</w:t>
      </w:r>
      <w:r>
        <w:rPr>
          <w:noProof/>
        </w:rPr>
        <w:tab/>
        <w:t>farmakologický a toxikologický popis nové psychoaktivní látky;</w:t>
      </w:r>
    </w:p>
    <w:p>
      <w:pPr>
        <w:pStyle w:val="Point1"/>
        <w:rPr>
          <w:noProof/>
        </w:rPr>
      </w:pPr>
      <w:r>
        <w:rPr>
          <w:noProof/>
        </w:rPr>
        <w:t>d)</w:t>
      </w:r>
      <w:r>
        <w:rPr>
          <w:noProof/>
        </w:rPr>
        <w:tab/>
        <w:t>informace o účasti zločineckých skupin na výrobě a distribuci nové psychoaktivní látky;</w:t>
      </w:r>
    </w:p>
    <w:p>
      <w:pPr>
        <w:pStyle w:val="Point1"/>
        <w:rPr>
          <w:noProof/>
        </w:rPr>
      </w:pPr>
      <w:r>
        <w:rPr>
          <w:noProof/>
        </w:rPr>
        <w:t>e)</w:t>
      </w:r>
      <w:r>
        <w:rPr>
          <w:noProof/>
        </w:rPr>
        <w:tab/>
        <w:t>informace o používání nové psychoaktivní látky v humánním a veterinárním lékařství, mimo jiné jako účinné látky v léčivém přípravku nebo veterinárním léčivém přípravku;</w:t>
      </w:r>
    </w:p>
    <w:p>
      <w:pPr>
        <w:pStyle w:val="Point1"/>
        <w:rPr>
          <w:noProof/>
        </w:rPr>
      </w:pPr>
      <w:r>
        <w:rPr>
          <w:noProof/>
        </w:rPr>
        <w:t>f)</w:t>
      </w:r>
      <w:r>
        <w:rPr>
          <w:noProof/>
        </w:rPr>
        <w:tab/>
        <w:t>informace o tom, zda se na novou psychoaktivní látku vztahují v členských státech nějaká omezující opatření.</w:t>
      </w:r>
    </w:p>
    <w:p>
      <w:pPr>
        <w:pStyle w:val="Point1"/>
        <w:rPr>
          <w:noProof/>
        </w:rPr>
      </w:pPr>
      <w:r>
        <w:rPr>
          <w:noProof/>
        </w:rPr>
        <w:t>g)</w:t>
      </w:r>
      <w:r>
        <w:rPr>
          <w:noProof/>
        </w:rPr>
        <w:tab/>
        <w:t>informace o tom, zda je nová psychoaktivní látka v současnosti hodnocena nebo zda byla předmětem hodnocení ze strany systému zřízeného Jednotnou úmluvou o omamných látkách z roku 1961 ve znění protokolu z roku 1972 nebo Úmluvy o psychotropních látkách z roku 1971 (systém Organizace spojených národů).</w:t>
      </w:r>
    </w:p>
    <w:p>
      <w:pPr>
        <w:ind w:left="850" w:hanging="850"/>
        <w:rPr>
          <w:rFonts w:eastAsia="Times New Roman"/>
          <w:noProof/>
          <w:szCs w:val="24"/>
        </w:rPr>
      </w:pPr>
      <w:r>
        <w:rPr>
          <w:noProof/>
        </w:rPr>
        <w:t>3.</w:t>
      </w:r>
      <w:r>
        <w:rPr>
          <w:noProof/>
        </w:rPr>
        <w:tab/>
        <w:t>Pro účely úvodní zpávy využívá centrum informace, které má již k dispozici.</w:t>
      </w:r>
    </w:p>
    <w:p>
      <w:pPr>
        <w:ind w:left="850" w:hanging="850"/>
        <w:rPr>
          <w:rFonts w:eastAsia="Times New Roman"/>
          <w:noProof/>
          <w:szCs w:val="24"/>
        </w:rPr>
      </w:pPr>
      <w:r>
        <w:rPr>
          <w:noProof/>
        </w:rPr>
        <w:t>4.</w:t>
      </w:r>
      <w:r>
        <w:rPr>
          <w:noProof/>
        </w:rPr>
        <w:tab/>
        <w:t>Pokud to centrum považuje za nutné, požádá národní kontaktní místa sítě Reitox o poskytnutí doplňkových informací o nové psychoaktivní látce. Národní kontaktní místa sítě Reitox poskytnou tyto informace do dvou týdnů od obdržení žádosti.</w:t>
      </w:r>
    </w:p>
    <w:p>
      <w:pPr>
        <w:ind w:left="850" w:hanging="850"/>
        <w:rPr>
          <w:rFonts w:eastAsia="Times New Roman"/>
          <w:noProof/>
          <w:szCs w:val="24"/>
        </w:rPr>
      </w:pPr>
      <w:r>
        <w:rPr>
          <w:noProof/>
        </w:rPr>
        <w:t>5.</w:t>
      </w:r>
      <w:r>
        <w:rPr>
          <w:noProof/>
        </w:rPr>
        <w:tab/>
        <w:t>Centrum požádá Evropskou agenturu pro léčivé přípravky o poskytnutí informací o tom, zda je v Unii nebo v některém členském státě nová psychoaktivní látka:</w:t>
      </w:r>
    </w:p>
    <w:p>
      <w:pPr>
        <w:pStyle w:val="Point1"/>
        <w:rPr>
          <w:rFonts w:eastAsia="Times New Roman"/>
          <w:noProof/>
          <w:szCs w:val="24"/>
        </w:rPr>
      </w:pPr>
      <w:r>
        <w:rPr>
          <w:noProof/>
        </w:rPr>
        <w:t>a)</w:t>
      </w:r>
      <w:r>
        <w:rPr>
          <w:noProof/>
        </w:rPr>
        <w:tab/>
        <w:t>účinnou látkou v léčivém přípravku nebo veterinárním léčivém přípravku, který získal registraci;</w:t>
      </w:r>
    </w:p>
    <w:p>
      <w:pPr>
        <w:numPr>
          <w:ilvl w:val="3"/>
          <w:numId w:val="0"/>
        </w:numPr>
        <w:tabs>
          <w:tab w:val="num" w:pos="1417"/>
        </w:tabs>
        <w:ind w:left="1417" w:hanging="567"/>
        <w:rPr>
          <w:rFonts w:eastAsia="Times New Roman"/>
          <w:noProof/>
          <w:szCs w:val="24"/>
        </w:rPr>
      </w:pPr>
      <w:r>
        <w:rPr>
          <w:noProof/>
        </w:rPr>
        <w:t>b)</w:t>
      </w:r>
      <w:r>
        <w:rPr>
          <w:noProof/>
        </w:rPr>
        <w:tab/>
        <w:t>účinnou látkou v léčivém přípravku nebo veterinárním léčivém přípravku, který je předmětem žádosti o registraci;</w:t>
      </w:r>
    </w:p>
    <w:p>
      <w:pPr>
        <w:numPr>
          <w:ilvl w:val="3"/>
          <w:numId w:val="0"/>
        </w:numPr>
        <w:tabs>
          <w:tab w:val="num" w:pos="1417"/>
        </w:tabs>
        <w:ind w:left="1417" w:hanging="567"/>
        <w:rPr>
          <w:rFonts w:eastAsia="Times New Roman"/>
          <w:noProof/>
          <w:szCs w:val="24"/>
        </w:rPr>
      </w:pPr>
      <w:r>
        <w:rPr>
          <w:noProof/>
        </w:rPr>
        <w:t>c)</w:t>
      </w:r>
      <w:r>
        <w:rPr>
          <w:noProof/>
        </w:rPr>
        <w:tab/>
        <w:t xml:space="preserve">účinnou látkou v léčivém přípravku nebo veterinárním léčivém přípravku, který získal registraci, ale příslušný orgán tuto registraci pozastavil; </w:t>
      </w:r>
    </w:p>
    <w:p>
      <w:pPr>
        <w:numPr>
          <w:ilvl w:val="3"/>
          <w:numId w:val="0"/>
        </w:numPr>
        <w:tabs>
          <w:tab w:val="num" w:pos="1417"/>
        </w:tabs>
        <w:ind w:left="1417" w:hanging="567"/>
        <w:rPr>
          <w:rFonts w:eastAsia="Times New Roman"/>
          <w:noProof/>
          <w:szCs w:val="24"/>
        </w:rPr>
      </w:pPr>
      <w:r>
        <w:rPr>
          <w:noProof/>
        </w:rPr>
        <w:t>d)</w:t>
      </w:r>
      <w:r>
        <w:rPr>
          <w:noProof/>
        </w:rPr>
        <w:tab/>
        <w:t>účinnou látkou v neregistrovaném léčivém přípravku v souladu s článkem 5 směrnice Evropského parlamentu a Rady 2001/83/ES</w:t>
      </w:r>
      <w:r>
        <w:rPr>
          <w:rStyle w:val="FootnoteReference"/>
          <w:noProof/>
        </w:rPr>
        <w:footnoteReference w:id="17"/>
      </w:r>
      <w:r>
        <w:rPr>
          <w:noProof/>
        </w:rPr>
        <w:t xml:space="preserve"> nebo ve veterinárním léčivém přípravku připraveném pro tento případ osobou, která je k tomu oprávněna na základě vnitrostátních právních předpisů, v souladu s čl. 10 odst. 1 písm. c) směrnice Evropského parlamentu a Rady 2001/82/ES</w:t>
      </w:r>
      <w:r>
        <w:rPr>
          <w:rStyle w:val="FootnoteReference"/>
          <w:noProof/>
        </w:rPr>
        <w:footnoteReference w:id="18"/>
      </w:r>
      <w:r>
        <w:rPr>
          <w:noProof/>
        </w:rPr>
        <w:t>;</w:t>
      </w:r>
    </w:p>
    <w:p>
      <w:pPr>
        <w:numPr>
          <w:ilvl w:val="3"/>
          <w:numId w:val="0"/>
        </w:numPr>
        <w:tabs>
          <w:tab w:val="num" w:pos="1417"/>
        </w:tabs>
        <w:ind w:left="1417" w:hanging="567"/>
        <w:rPr>
          <w:rFonts w:eastAsia="Times New Roman"/>
          <w:noProof/>
          <w:szCs w:val="24"/>
        </w:rPr>
      </w:pPr>
      <w:r>
        <w:rPr>
          <w:noProof/>
        </w:rPr>
        <w:t xml:space="preserve">e) </w:t>
      </w:r>
      <w:r>
        <w:rPr>
          <w:noProof/>
        </w:rPr>
        <w:tab/>
        <w:t>účinnou látkou ve schválených klinických hodnoceních a v hodnocených léčivých přípravcích v souladu s čl. 2 písm. d) směrnice Evropského parlamentu a Rady 2001/20/ES</w:t>
      </w:r>
      <w:r>
        <w:rPr>
          <w:rStyle w:val="FootnoteReference"/>
          <w:noProof/>
        </w:rPr>
        <w:footnoteReference w:id="19"/>
      </w:r>
      <w:r>
        <w:rPr>
          <w:noProof/>
        </w:rPr>
        <w:t>.</w:t>
      </w:r>
    </w:p>
    <w:p>
      <w:pPr>
        <w:ind w:left="850" w:hanging="850"/>
        <w:rPr>
          <w:rFonts w:eastAsia="Times New Roman"/>
          <w:noProof/>
          <w:szCs w:val="24"/>
        </w:rPr>
      </w:pPr>
      <w:r>
        <w:rPr>
          <w:noProof/>
        </w:rPr>
        <w:t>6.</w:t>
      </w:r>
      <w:r>
        <w:rPr>
          <w:noProof/>
        </w:rPr>
        <w:tab/>
        <w:t xml:space="preserve">Centrum požádá Europol, aby poskytl informace o účasti zločineckých skupin na výrobě a distribuci nové psychoaktivní látky a na případném používání nové psychoaktivní látky. </w:t>
      </w:r>
    </w:p>
    <w:p>
      <w:pPr>
        <w:ind w:left="850" w:hanging="850"/>
        <w:rPr>
          <w:rFonts w:eastAsia="Times New Roman"/>
          <w:noProof/>
          <w:szCs w:val="24"/>
        </w:rPr>
      </w:pPr>
      <w:r>
        <w:rPr>
          <w:noProof/>
        </w:rPr>
        <w:t>7.</w:t>
      </w:r>
      <w:r>
        <w:rPr>
          <w:noProof/>
        </w:rPr>
        <w:tab/>
        <w:t xml:space="preserve">Centrum požádá Evropskou agenturu pro chemické látky a Evropský úřad pro bezpečnost potravin o poskytnutí informací a údajů o nové psychoaktivní látce, které mají k dispozici. </w:t>
      </w:r>
    </w:p>
    <w:p>
      <w:pPr>
        <w:ind w:left="850" w:hanging="850"/>
        <w:rPr>
          <w:rFonts w:eastAsia="Times New Roman"/>
          <w:noProof/>
          <w:szCs w:val="24"/>
        </w:rPr>
      </w:pPr>
      <w:r>
        <w:rPr>
          <w:noProof/>
        </w:rPr>
        <w:t>8.</w:t>
      </w:r>
      <w:r>
        <w:rPr>
          <w:noProof/>
        </w:rPr>
        <w:tab/>
        <w:t>Podrobnosti spolupráce mezi centrem a subjekty a agenturami uvedenými v odstavcích 5, 6 a 7 se řídí pracovními dohodami. Tyto pracovní dohody se uzavírají v souladu s čl. 20 druhým pododstavcem.</w:t>
      </w:r>
    </w:p>
    <w:p>
      <w:pPr>
        <w:ind w:left="850" w:hanging="850"/>
        <w:rPr>
          <w:rFonts w:eastAsia="Times New Roman"/>
          <w:noProof/>
          <w:szCs w:val="24"/>
        </w:rPr>
      </w:pPr>
      <w:r>
        <w:rPr>
          <w:noProof/>
        </w:rPr>
        <w:t>9.</w:t>
      </w:r>
      <w:r>
        <w:rPr>
          <w:noProof/>
        </w:rPr>
        <w:tab/>
        <w:t>Centrum dodrží podmínky pro použití těchto informací, které jsou sděleny centru, včetně podmínek týkajících se zabezpečení informací a údajů a ochrany důvěrných obchodních informací.</w:t>
      </w:r>
    </w:p>
    <w:p>
      <w:pPr>
        <w:ind w:left="850" w:hanging="850"/>
        <w:rPr>
          <w:rFonts w:eastAsia="Times New Roman"/>
          <w:noProof/>
          <w:szCs w:val="24"/>
        </w:rPr>
      </w:pPr>
      <w:r>
        <w:rPr>
          <w:noProof/>
        </w:rPr>
        <w:t>10.</w:t>
      </w:r>
      <w:r>
        <w:rPr>
          <w:noProof/>
        </w:rPr>
        <w:tab/>
        <w:t>Centrum předloží do pěti týdnů od podání žádostí o informace uvedené v odstavcích 5, 6 a 7 Komisi a Radě úvodní zprávu.</w:t>
      </w:r>
    </w:p>
    <w:p>
      <w:pPr>
        <w:ind w:left="850" w:hanging="850"/>
        <w:rPr>
          <w:rFonts w:eastAsia="Times New Roman"/>
          <w:noProof/>
          <w:szCs w:val="24"/>
        </w:rPr>
      </w:pPr>
      <w:r>
        <w:rPr>
          <w:noProof/>
        </w:rPr>
        <w:t>11.</w:t>
      </w:r>
      <w:r>
        <w:rPr>
          <w:noProof/>
        </w:rPr>
        <w:tab/>
        <w:t>Pokud centrum získá informace o několika nových psychoaktivních látkách s podobnou chemickou strukturou, předloží do šesti týdnů od předložení úvodní zprávy Komisi a Radě individuální úvodní zprávy nebo kombinované zprávy zabývající se několika novými psychoaktivními látkami za předpokladu, že je charakteristika každé nové psychoaktivní látky jasně označena.</w:t>
      </w:r>
    </w:p>
    <w:p>
      <w:pPr>
        <w:rPr>
          <w:rFonts w:eastAsia="Times New Roman"/>
          <w:noProof/>
          <w:szCs w:val="24"/>
        </w:rPr>
      </w:pPr>
    </w:p>
    <w:p>
      <w:pPr>
        <w:pStyle w:val="Titrearticle"/>
        <w:rPr>
          <w:noProof/>
        </w:rPr>
      </w:pPr>
      <w:r>
        <w:rPr>
          <w:noProof/>
        </w:rPr>
        <w:t xml:space="preserve"> Článek 5c</w:t>
      </w:r>
    </w:p>
    <w:p>
      <w:pPr>
        <w:keepNext/>
        <w:spacing w:before="0"/>
        <w:jc w:val="center"/>
        <w:rPr>
          <w:rFonts w:eastAsia="Times New Roman"/>
          <w:b/>
          <w:noProof/>
          <w:szCs w:val="24"/>
        </w:rPr>
      </w:pPr>
      <w:r>
        <w:rPr>
          <w:b/>
          <w:noProof/>
        </w:rPr>
        <w:t>Postup hodnocení rizika a zpráva o hodnocení rizika</w:t>
      </w:r>
    </w:p>
    <w:p>
      <w:pPr>
        <w:ind w:left="850" w:hanging="850"/>
        <w:rPr>
          <w:rFonts w:eastAsia="Times New Roman"/>
          <w:noProof/>
          <w:szCs w:val="24"/>
        </w:rPr>
      </w:pPr>
      <w:r>
        <w:rPr>
          <w:noProof/>
        </w:rPr>
        <w:t>1.</w:t>
      </w:r>
      <w:r>
        <w:rPr>
          <w:noProof/>
        </w:rPr>
        <w:tab/>
        <w:t xml:space="preserve">Do dvou týdnů od obdržení úvodní zprávy podle čl. 5b odst. 10 může Komise centrum požádat, aby vyhodnotilo možná rizika, která představuje nová psychoaktivní látka, a aby vypracovalo zprávu o hodnocení rizika. Hodnocení rizika provádí vědecký výbor. </w:t>
      </w:r>
    </w:p>
    <w:p>
      <w:pPr>
        <w:ind w:left="850" w:hanging="850"/>
        <w:rPr>
          <w:rFonts w:eastAsia="Times New Roman"/>
          <w:noProof/>
          <w:szCs w:val="24"/>
        </w:rPr>
      </w:pPr>
      <w:r>
        <w:rPr>
          <w:noProof/>
        </w:rPr>
        <w:t>2.</w:t>
      </w:r>
      <w:r>
        <w:rPr>
          <w:noProof/>
        </w:rPr>
        <w:tab/>
        <w:t>Do dvou týdnů od obdržení kombinované úvodní zprávy podle čl. 5b odst. 11 může Komise centrum požádat, aby vyhodnotilo možná rizika, která představuje několik nových psychoaktivních látek s podobnou chemickou strukturou, a aby vypracovalo kombinovanou zprávu o hodnocení rizika. Kombinované hodnocení rizika provádí vědecký výbor centra.</w:t>
      </w:r>
    </w:p>
    <w:p>
      <w:pPr>
        <w:ind w:left="850" w:hanging="850"/>
        <w:rPr>
          <w:rFonts w:eastAsia="Times New Roman"/>
          <w:noProof/>
          <w:szCs w:val="24"/>
        </w:rPr>
      </w:pPr>
      <w:r>
        <w:rPr>
          <w:noProof/>
        </w:rPr>
        <w:t>3.</w:t>
      </w:r>
      <w:r>
        <w:rPr>
          <w:noProof/>
        </w:rPr>
        <w:tab/>
        <w:t xml:space="preserve">Zpráva o hodnocení rizika nebo kombinovaná zpráva o hodnocení rizika obsahuje: </w:t>
      </w:r>
    </w:p>
    <w:p>
      <w:pPr>
        <w:pStyle w:val="Point1"/>
        <w:rPr>
          <w:rFonts w:eastAsia="Times New Roman"/>
          <w:noProof/>
          <w:szCs w:val="24"/>
        </w:rPr>
      </w:pPr>
      <w:r>
        <w:rPr>
          <w:noProof/>
        </w:rPr>
        <w:t>a)</w:t>
      </w:r>
      <w:r>
        <w:rPr>
          <w:noProof/>
        </w:rPr>
        <w:tab/>
        <w:t>informace o chemických a fyzických vlastnostech nové psychoaktivní látky, metody a prekursory používané pro její výrobu nebo extrakci;</w:t>
      </w:r>
    </w:p>
    <w:p>
      <w:pPr>
        <w:pStyle w:val="Point1"/>
        <w:rPr>
          <w:rFonts w:eastAsia="Times New Roman"/>
          <w:noProof/>
          <w:szCs w:val="24"/>
        </w:rPr>
      </w:pPr>
      <w:r>
        <w:rPr>
          <w:noProof/>
        </w:rPr>
        <w:t>b)</w:t>
      </w:r>
      <w:r>
        <w:rPr>
          <w:noProof/>
        </w:rPr>
        <w:tab/>
        <w:t>informace o farmakologických a toxikologických vlastnostech nové psychoaktivní látky;</w:t>
      </w:r>
    </w:p>
    <w:p>
      <w:pPr>
        <w:pStyle w:val="Point1"/>
        <w:rPr>
          <w:rFonts w:eastAsia="Times New Roman"/>
          <w:noProof/>
          <w:szCs w:val="24"/>
        </w:rPr>
      </w:pPr>
      <w:r>
        <w:rPr>
          <w:noProof/>
        </w:rPr>
        <w:t>c)</w:t>
      </w:r>
      <w:r>
        <w:rPr>
          <w:noProof/>
        </w:rPr>
        <w:tab/>
        <w:t xml:space="preserve">analýzu zdravotních rizik souvisejících s novou psychoaktivní látkou, zejména pokud jde o její akutní a chronickou toxicitou, pravděpodobnost zneužití a potenciál této látky vytvářet závislost, a zejména její fyzické a duševní účinky a dopad na chování; </w:t>
      </w:r>
    </w:p>
    <w:p>
      <w:pPr>
        <w:pStyle w:val="Point1"/>
        <w:rPr>
          <w:noProof/>
        </w:rPr>
      </w:pPr>
      <w:r>
        <w:rPr>
          <w:noProof/>
        </w:rPr>
        <w:t>d)</w:t>
      </w:r>
      <w:r>
        <w:rPr>
          <w:noProof/>
        </w:rPr>
        <w:tab/>
        <w:t>analýzu společenských rizik souvisejících s novou psychoaktivní látkou, zejména pokud jde o její dopad na fungování ve společnosti, veřejný pořádek a trestnou činnost, účast zločineckých skupin na výrobě a distribuci nové psychoaktivní látky;</w:t>
      </w:r>
    </w:p>
    <w:p>
      <w:pPr>
        <w:pStyle w:val="Point1"/>
        <w:rPr>
          <w:rFonts w:eastAsia="Times New Roman"/>
          <w:noProof/>
          <w:szCs w:val="24"/>
        </w:rPr>
      </w:pPr>
      <w:r>
        <w:rPr>
          <w:noProof/>
        </w:rPr>
        <w:t>e)</w:t>
      </w:r>
      <w:r>
        <w:rPr>
          <w:noProof/>
        </w:rPr>
        <w:tab/>
        <w:t>informace o prevalenci a formách užívání nové psychoaktivní látky, její dostupnosti a potenciálu k šíření v rámci Unie;</w:t>
      </w:r>
    </w:p>
    <w:p>
      <w:pPr>
        <w:pStyle w:val="Point1"/>
        <w:rPr>
          <w:rFonts w:eastAsia="Times New Roman"/>
          <w:noProof/>
          <w:szCs w:val="24"/>
        </w:rPr>
      </w:pPr>
      <w:r>
        <w:rPr>
          <w:noProof/>
        </w:rPr>
        <w:t>f)</w:t>
      </w:r>
      <w:r>
        <w:rPr>
          <w:noProof/>
        </w:rPr>
        <w:tab/>
        <w:t>informace o obchodním a průmyslovém použití nové psychoaktivní látky, míře tohoto použití a rovněž o jejím používání pro účely vědeckého výzkumu a vývoje.</w:t>
      </w:r>
    </w:p>
    <w:p>
      <w:pPr>
        <w:ind w:left="850" w:hanging="850"/>
        <w:rPr>
          <w:rFonts w:eastAsia="Times New Roman"/>
          <w:noProof/>
          <w:szCs w:val="24"/>
        </w:rPr>
      </w:pPr>
      <w:r>
        <w:rPr>
          <w:noProof/>
        </w:rPr>
        <w:t>4.</w:t>
      </w:r>
      <w:r>
        <w:rPr>
          <w:noProof/>
        </w:rPr>
        <w:tab/>
        <w:t xml:space="preserve">Vědecký výbor posoudí rizika, která nová psychoaktivní látka nebo skupina nových psychoaktivních látek představují. Výbor může může být rozšířen, pokud to ředitel uzná za nutné a po poradě s předsedou vědeckého výboru, o odborníky, kteří zastupující vědecké oblasti, které jsou důležité k zajištění vyváženého hodnocení rizika nové psychoaktivní látky. Ředitel tyto odborníky určí ze seznamu odborníků. Seznam odborníků schvaluje každé tři roky správní rada. </w:t>
      </w:r>
    </w:p>
    <w:p>
      <w:pPr>
        <w:ind w:left="850"/>
        <w:rPr>
          <w:rFonts w:eastAsia="Times New Roman"/>
          <w:noProof/>
          <w:szCs w:val="24"/>
        </w:rPr>
      </w:pPr>
      <w:r>
        <w:rPr>
          <w:noProof/>
        </w:rPr>
        <w:t>Komise, centrum, Europol a Evropská agentura pro léčivé přípravky mají právo jmenovat vždy dva pozorovatele.</w:t>
      </w:r>
    </w:p>
    <w:p>
      <w:pPr>
        <w:ind w:left="850" w:hanging="850"/>
        <w:rPr>
          <w:rFonts w:eastAsia="Times New Roman"/>
          <w:noProof/>
          <w:szCs w:val="24"/>
        </w:rPr>
      </w:pPr>
      <w:r>
        <w:rPr>
          <w:noProof/>
        </w:rPr>
        <w:t>5.</w:t>
      </w:r>
      <w:r>
        <w:rPr>
          <w:noProof/>
        </w:rPr>
        <w:tab/>
        <w:t xml:space="preserve">Vědecký výbor provede hodnocení rizika na základě informací a na základě jakýchkoli jiných relevantních vědeckých důkazů. Vědecký výbor vezme v úvahu všechna stanoviska svých členů. Centrum organizuje postup hodnocení rizika, včetně stanovení budoucích informačních potřeb a příslušných studií. </w:t>
      </w:r>
    </w:p>
    <w:p>
      <w:pPr>
        <w:ind w:left="850" w:hanging="850"/>
        <w:rPr>
          <w:rFonts w:eastAsia="Times New Roman"/>
          <w:noProof/>
          <w:szCs w:val="24"/>
        </w:rPr>
      </w:pPr>
      <w:r>
        <w:rPr>
          <w:noProof/>
        </w:rPr>
        <w:t>6.</w:t>
      </w:r>
      <w:r>
        <w:rPr>
          <w:noProof/>
        </w:rPr>
        <w:tab/>
        <w:t>Centrum předloží Komisi zprávu o hodnocení rizika do šesti týdnů od obdržení žádosti Komise.</w:t>
      </w:r>
    </w:p>
    <w:p>
      <w:pPr>
        <w:ind w:left="850" w:hanging="850"/>
        <w:rPr>
          <w:rFonts w:eastAsia="Times New Roman"/>
          <w:noProof/>
          <w:szCs w:val="24"/>
        </w:rPr>
      </w:pPr>
      <w:r>
        <w:rPr>
          <w:noProof/>
        </w:rPr>
        <w:t>7.</w:t>
      </w:r>
      <w:r>
        <w:rPr>
          <w:noProof/>
        </w:rPr>
        <w:tab/>
        <w:t>Na řádně odůvodněnou žádost centra může Komise prodloužit lhůtu pro provedení hodnocení rizika nebo kombinovaného hodnocení rizika, aby bylo možno provést další výzkum a sběr údajů. Žádost centra obsahuje informace o době potřebné k provedení hodnocení rizika nebo kombinovaného hodnocení rizika.</w:t>
      </w:r>
    </w:p>
    <w:p>
      <w:pPr>
        <w:rPr>
          <w:rFonts w:eastAsia="Times New Roman"/>
          <w:noProof/>
          <w:szCs w:val="24"/>
        </w:rPr>
      </w:pPr>
    </w:p>
    <w:p>
      <w:pPr>
        <w:pStyle w:val="Titrearticle"/>
        <w:rPr>
          <w:noProof/>
        </w:rPr>
      </w:pPr>
      <w:r>
        <w:rPr>
          <w:noProof/>
        </w:rPr>
        <w:t xml:space="preserve"> Článek 5d</w:t>
      </w:r>
    </w:p>
    <w:p>
      <w:pPr>
        <w:keepNext/>
        <w:spacing w:before="0"/>
        <w:jc w:val="center"/>
        <w:rPr>
          <w:rFonts w:eastAsia="Times New Roman"/>
          <w:b/>
          <w:noProof/>
          <w:szCs w:val="24"/>
        </w:rPr>
      </w:pPr>
      <w:r>
        <w:rPr>
          <w:b/>
          <w:noProof/>
        </w:rPr>
        <w:t>Vyloučení z hodnocení rizika</w:t>
      </w:r>
    </w:p>
    <w:p>
      <w:pPr>
        <w:ind w:left="850" w:hanging="850"/>
        <w:rPr>
          <w:rFonts w:eastAsia="Times New Roman"/>
          <w:noProof/>
          <w:szCs w:val="24"/>
        </w:rPr>
      </w:pPr>
      <w:r>
        <w:rPr>
          <w:noProof/>
        </w:rPr>
        <w:t>1.</w:t>
      </w:r>
      <w:r>
        <w:rPr>
          <w:noProof/>
        </w:rPr>
        <w:tab/>
        <w:t>Hodnocení rizika se neprovádí v případě, je-li nová psychoaktivní látka v pokročilé fázi hodnocení v rámci systému Organizace spojených národů, a to jakmile výbor odborníků Světové zdravotnické organizace pro drogové závislosti zveřejnil svůj hodnotící posudek společně s písemným doporučením, s výjimkou případů, kdy se objeví podstatné informace, které jsou nové nebo které mají zvláštní význam pro Unii a které nebyly systémem Organizace spojených národů vzaty v úvahu.</w:t>
      </w:r>
    </w:p>
    <w:p>
      <w:pPr>
        <w:ind w:left="850" w:hanging="850"/>
        <w:rPr>
          <w:rFonts w:eastAsia="Times New Roman"/>
          <w:noProof/>
          <w:szCs w:val="24"/>
        </w:rPr>
      </w:pPr>
      <w:r>
        <w:rPr>
          <w:noProof/>
        </w:rPr>
        <w:t>2.</w:t>
      </w:r>
      <w:r>
        <w:rPr>
          <w:noProof/>
        </w:rPr>
        <w:tab/>
        <w:t>Hodnocení rizika se neprovádí v případě, že nová psychoaktivní látka byla hodnocena v rámci systému Organizace spojených národů, bylo však rozhodnuto, že nebude zařazena na seznam Jednotné úmluvy o omamných látkách z roku 1961 ve znění protokolu z roku 1972 nebo Úmluvy o psychotropních látkách z roku 1961, s výjimkou případů, kdy se objeví podstatné informace, které jsou nové nebo které mají zvláštní význam pro Unii.</w:t>
      </w:r>
    </w:p>
    <w:p>
      <w:pPr>
        <w:ind w:left="850" w:hanging="850"/>
        <w:rPr>
          <w:rFonts w:eastAsia="Times New Roman"/>
          <w:noProof/>
          <w:szCs w:val="24"/>
        </w:rPr>
      </w:pPr>
      <w:r>
        <w:rPr>
          <w:noProof/>
        </w:rPr>
        <w:t>3.</w:t>
      </w:r>
      <w:r>
        <w:rPr>
          <w:noProof/>
        </w:rPr>
        <w:tab/>
        <w:t xml:space="preserve">Hodnocení rizika se neprovádí, je-li nová psychoaktivní látka: </w:t>
      </w:r>
    </w:p>
    <w:p>
      <w:pPr>
        <w:pStyle w:val="Point1"/>
        <w:rPr>
          <w:rFonts w:eastAsia="Times New Roman"/>
          <w:noProof/>
          <w:szCs w:val="24"/>
        </w:rPr>
      </w:pPr>
      <w:r>
        <w:rPr>
          <w:noProof/>
        </w:rPr>
        <w:t>a)</w:t>
      </w:r>
      <w:r>
        <w:rPr>
          <w:noProof/>
        </w:rPr>
        <w:tab/>
        <w:t xml:space="preserve">účinnou látkou v léčivém přípravku nebo veterinárním léčivém přípravku, který získal registraci; </w:t>
      </w:r>
    </w:p>
    <w:p>
      <w:pPr>
        <w:numPr>
          <w:ilvl w:val="3"/>
          <w:numId w:val="0"/>
        </w:numPr>
        <w:tabs>
          <w:tab w:val="num" w:pos="1417"/>
        </w:tabs>
        <w:ind w:left="1417" w:hanging="567"/>
        <w:rPr>
          <w:rFonts w:eastAsia="Times New Roman"/>
          <w:noProof/>
          <w:szCs w:val="24"/>
        </w:rPr>
      </w:pPr>
      <w:r>
        <w:rPr>
          <w:noProof/>
        </w:rPr>
        <w:t xml:space="preserve">b) </w:t>
      </w:r>
      <w:r>
        <w:rPr>
          <w:noProof/>
        </w:rPr>
        <w:tab/>
        <w:t>účinnou látkou v léčivém přípravku nebo veterinárním léčivém přípravku, který je předmětem žádosti o registraci;</w:t>
      </w:r>
    </w:p>
    <w:p>
      <w:pPr>
        <w:numPr>
          <w:ilvl w:val="3"/>
          <w:numId w:val="0"/>
        </w:numPr>
        <w:tabs>
          <w:tab w:val="num" w:pos="1417"/>
        </w:tabs>
        <w:ind w:left="1417" w:hanging="567"/>
        <w:rPr>
          <w:rFonts w:eastAsia="Times New Roman"/>
          <w:noProof/>
          <w:szCs w:val="24"/>
        </w:rPr>
      </w:pPr>
      <w:r>
        <w:rPr>
          <w:noProof/>
        </w:rPr>
        <w:t>c)</w:t>
      </w:r>
      <w:r>
        <w:rPr>
          <w:noProof/>
        </w:rPr>
        <w:tab/>
        <w:t>účinnou látkou v léčivém přípravku nebo veterinárním léčivém přípravku, který získal registraci, ale příslušný orgán tuto registraci pozastavil, ale ještě nebyla stažena;</w:t>
      </w:r>
    </w:p>
    <w:p>
      <w:pPr>
        <w:numPr>
          <w:ilvl w:val="3"/>
          <w:numId w:val="0"/>
        </w:numPr>
        <w:tabs>
          <w:tab w:val="num" w:pos="1417"/>
        </w:tabs>
        <w:ind w:left="1417" w:hanging="567"/>
        <w:rPr>
          <w:rFonts w:eastAsia="Times New Roman"/>
          <w:noProof/>
          <w:szCs w:val="24"/>
        </w:rPr>
      </w:pPr>
      <w:r>
        <w:rPr>
          <w:noProof/>
        </w:rPr>
        <w:t>d)</w:t>
      </w:r>
      <w:r>
        <w:rPr>
          <w:noProof/>
        </w:rPr>
        <w:tab/>
        <w:t>účinnou látkou ve schválených klinických hodnoceních a v hodnocených léčivých přípravcích.“</w:t>
      </w:r>
    </w:p>
    <w:p>
      <w:pPr>
        <w:rPr>
          <w:noProof/>
        </w:rPr>
      </w:pPr>
    </w:p>
    <w:p>
      <w:pPr>
        <w:rPr>
          <w:noProof/>
        </w:rPr>
      </w:pPr>
      <w:r>
        <w:rPr>
          <w:noProof/>
        </w:rPr>
        <w:t>4) V čl. 13 odst. 2 se čtvrtý pododstavec nahrazuje tímto:</w:t>
      </w:r>
    </w:p>
    <w:p>
      <w:pPr>
        <w:rPr>
          <w:noProof/>
        </w:rPr>
      </w:pPr>
    </w:p>
    <w:p>
      <w:pPr>
        <w:rPr>
          <w:noProof/>
        </w:rPr>
      </w:pPr>
      <w:r>
        <w:rPr>
          <w:noProof/>
        </w:rPr>
        <w:t>„Za účelem posouzení rizik, která daná psychoaktivní látka nebo skupina nových psychoaktivních látek představuje, může být vědecký výbor rozšířen na základě postupu stanoveného v čl. 5c odst. 4.“</w:t>
      </w:r>
    </w:p>
    <w:p>
      <w:pPr>
        <w:jc w:val="left"/>
        <w:outlineLvl w:val="0"/>
        <w:rPr>
          <w:rFonts w:eastAsia="Times New Roman"/>
          <w:noProof/>
          <w:szCs w:val="24"/>
        </w:rPr>
      </w:pPr>
    </w:p>
    <w:p>
      <w:pPr>
        <w:pStyle w:val="Titrearticle"/>
        <w:rPr>
          <w:noProof/>
        </w:rPr>
      </w:pPr>
      <w:r>
        <w:rPr>
          <w:noProof/>
        </w:rPr>
        <w:t>Článek 2</w:t>
      </w:r>
    </w:p>
    <w:p>
      <w:pPr>
        <w:rPr>
          <w:noProof/>
        </w:rPr>
      </w:pPr>
      <w:r>
        <w:rPr>
          <w:noProof/>
        </w:rPr>
        <w:t xml:space="preserve">Toto nařízení vstupuje v platnost [týž den jako den provedení směrnice (EU) …/ … [, kterou se mění rámcové rozhodnutí Rady 2004/757/SVV ze dne 25. října 2004, kterým se stanoví minimální ustanovení týkající se znaků skutkových podstat trestných činů a sankcí v oblasti nedovoleného obchodu s drogami]. </w:t>
      </w:r>
    </w:p>
    <w:p>
      <w:pPr>
        <w:pStyle w:val="Applicationdirecte"/>
        <w:rPr>
          <w:noProof/>
        </w:rPr>
      </w:pPr>
      <w:r>
        <w:rPr>
          <w:noProof/>
        </w:rPr>
        <w:t>Toto nařízení je závazné v celém rozsahu a přímo použitelné ve členských státech.</w:t>
      </w:r>
    </w:p>
    <w:p>
      <w:pPr>
        <w:pStyle w:val="Fait"/>
        <w:rPr>
          <w:noProof/>
        </w:rPr>
      </w:pPr>
      <w:r>
        <w:rPr>
          <w:noProof/>
        </w:rPr>
        <w:t>V Bruselu dne</w:t>
      </w:r>
    </w:p>
    <w:p>
      <w:pPr>
        <w:pStyle w:val="Institutionquisigne"/>
        <w:rPr>
          <w:noProof/>
        </w:rPr>
      </w:pPr>
      <w:r>
        <w:rPr>
          <w:noProof/>
        </w:rPr>
        <w:t>Za Evropský parlament</w:t>
      </w:r>
      <w:r>
        <w:rPr>
          <w:noProof/>
        </w:rPr>
        <w:tab/>
        <w:t>Za Radu</w:t>
      </w:r>
    </w:p>
    <w:p>
      <w:pPr>
        <w:pStyle w:val="Personnequisigne"/>
        <w:rPr>
          <w:noProof/>
        </w:rPr>
      </w:pPr>
      <w:r>
        <w:rPr>
          <w:noProof/>
        </w:rPr>
        <w:t xml:space="preserve">předseda </w:t>
      </w:r>
      <w:r>
        <w:rPr>
          <w:noProof/>
        </w:rPr>
        <w:tab/>
        <w:t>předseda</w:t>
      </w:r>
    </w:p>
    <w:p>
      <w:pPr>
        <w:rPr>
          <w:noProof/>
        </w:rPr>
        <w:sectPr>
          <w:footnotePr>
            <w:numRestart w:val="eachSect"/>
          </w:footnotePr>
          <w:pgSz w:w="11907" w:h="16839"/>
          <w:pgMar w:top="1134" w:right="1417" w:bottom="1134" w:left="1417" w:header="709" w:footer="709" w:gutter="0"/>
          <w:cols w:space="708"/>
          <w:docGrid w:linePitch="360"/>
        </w:sectPr>
      </w:pPr>
    </w:p>
    <w:p>
      <w:pPr>
        <w:pStyle w:val="Fichefinanciretitre"/>
        <w:rPr>
          <w:noProof/>
        </w:rPr>
      </w:pPr>
      <w:r>
        <w:rPr>
          <w:noProof/>
        </w:rPr>
        <w:t>LEGISLATIVNÍ FINANČNÍ VÝKAZ</w:t>
      </w:r>
    </w:p>
    <w:p>
      <w:pPr>
        <w:rPr>
          <w:noProof/>
        </w:rPr>
      </w:pPr>
      <w:r>
        <w:rPr>
          <w:noProof/>
        </w:rPr>
        <w:t>1.</w:t>
      </w:r>
      <w:r>
        <w:rPr>
          <w:noProof/>
        </w:rPr>
        <w:tab/>
        <w:t xml:space="preserve">RÁMEC NÁVRHU/PODNĚTU </w:t>
      </w:r>
    </w:p>
    <w:p>
      <w:pPr>
        <w:keepNext/>
        <w:tabs>
          <w:tab w:val="left" w:pos="850"/>
        </w:tabs>
        <w:ind w:left="850" w:hanging="850"/>
        <w:outlineLvl w:val="1"/>
        <w:rPr>
          <w:noProof/>
        </w:rPr>
      </w:pPr>
      <w:r>
        <w:rPr>
          <w:noProof/>
        </w:rPr>
        <w:tab/>
        <w:t>1.1</w:t>
      </w:r>
      <w:r>
        <w:rPr>
          <w:noProof/>
        </w:rPr>
        <w:tab/>
        <w:t xml:space="preserve">Název návrhu/podnětu </w:t>
      </w:r>
    </w:p>
    <w:p>
      <w:pPr>
        <w:keepNext/>
        <w:tabs>
          <w:tab w:val="left" w:pos="850"/>
        </w:tabs>
        <w:ind w:left="850" w:hanging="850"/>
        <w:outlineLvl w:val="1"/>
        <w:rPr>
          <w:noProof/>
        </w:rPr>
      </w:pPr>
      <w:r>
        <w:rPr>
          <w:noProof/>
        </w:rPr>
        <w:tab/>
        <w:t>1.2</w:t>
      </w:r>
      <w:r>
        <w:rPr>
          <w:noProof/>
        </w:rPr>
        <w:tab/>
        <w:t>Příslušné oblasti politik podle členění ABM/ABB</w:t>
      </w:r>
    </w:p>
    <w:p>
      <w:pPr>
        <w:keepNext/>
        <w:tabs>
          <w:tab w:val="left" w:pos="850"/>
        </w:tabs>
        <w:ind w:left="850" w:hanging="850"/>
        <w:outlineLvl w:val="1"/>
        <w:rPr>
          <w:noProof/>
        </w:rPr>
      </w:pPr>
      <w:r>
        <w:rPr>
          <w:noProof/>
        </w:rPr>
        <w:tab/>
        <w:t>1.3</w:t>
      </w:r>
      <w:r>
        <w:rPr>
          <w:noProof/>
        </w:rPr>
        <w:tab/>
        <w:t xml:space="preserve">Povaha návrhu/podnětu </w:t>
      </w:r>
    </w:p>
    <w:p>
      <w:pPr>
        <w:keepNext/>
        <w:tabs>
          <w:tab w:val="left" w:pos="850"/>
        </w:tabs>
        <w:ind w:left="850" w:hanging="850"/>
        <w:outlineLvl w:val="1"/>
        <w:rPr>
          <w:noProof/>
        </w:rPr>
      </w:pPr>
      <w:r>
        <w:rPr>
          <w:noProof/>
        </w:rPr>
        <w:tab/>
        <w:t>1.4</w:t>
      </w:r>
      <w:r>
        <w:rPr>
          <w:noProof/>
        </w:rPr>
        <w:tab/>
        <w:t xml:space="preserve">Cíle </w:t>
      </w:r>
    </w:p>
    <w:p>
      <w:pPr>
        <w:keepNext/>
        <w:tabs>
          <w:tab w:val="left" w:pos="850"/>
        </w:tabs>
        <w:ind w:left="850" w:hanging="850"/>
        <w:outlineLvl w:val="1"/>
        <w:rPr>
          <w:noProof/>
        </w:rPr>
      </w:pPr>
      <w:r>
        <w:rPr>
          <w:noProof/>
        </w:rPr>
        <w:tab/>
        <w:t>1.5</w:t>
      </w:r>
      <w:r>
        <w:rPr>
          <w:noProof/>
        </w:rPr>
        <w:tab/>
        <w:t xml:space="preserve">Odůvodnění návrhu/podnětu </w:t>
      </w:r>
    </w:p>
    <w:p>
      <w:pPr>
        <w:keepNext/>
        <w:tabs>
          <w:tab w:val="left" w:pos="850"/>
        </w:tabs>
        <w:ind w:left="850" w:hanging="850"/>
        <w:outlineLvl w:val="1"/>
        <w:rPr>
          <w:noProof/>
        </w:rPr>
      </w:pPr>
      <w:r>
        <w:rPr>
          <w:noProof/>
        </w:rPr>
        <w:tab/>
        <w:t>1.6</w:t>
      </w:r>
      <w:r>
        <w:rPr>
          <w:noProof/>
        </w:rPr>
        <w:tab/>
        <w:t xml:space="preserve">Doba trvání akce a finanční dopad </w:t>
      </w:r>
    </w:p>
    <w:p>
      <w:pPr>
        <w:keepNext/>
        <w:tabs>
          <w:tab w:val="left" w:pos="850"/>
        </w:tabs>
        <w:ind w:left="850" w:hanging="850"/>
        <w:outlineLvl w:val="1"/>
        <w:rPr>
          <w:noProof/>
        </w:rPr>
      </w:pPr>
      <w:r>
        <w:rPr>
          <w:noProof/>
        </w:rPr>
        <w:tab/>
        <w:t>1.7</w:t>
      </w:r>
      <w:r>
        <w:rPr>
          <w:noProof/>
        </w:rPr>
        <w:tab/>
        <w:t xml:space="preserve">Předpokládaný způsob řízení </w:t>
      </w:r>
    </w:p>
    <w:p>
      <w:pPr>
        <w:keepNext/>
        <w:tabs>
          <w:tab w:val="left" w:pos="850"/>
        </w:tabs>
        <w:spacing w:before="360"/>
        <w:ind w:left="850" w:hanging="850"/>
        <w:outlineLvl w:val="0"/>
        <w:rPr>
          <w:b/>
          <w:smallCaps/>
          <w:noProof/>
        </w:rPr>
      </w:pPr>
      <w:r>
        <w:rPr>
          <w:b/>
          <w:smallCaps/>
          <w:noProof/>
        </w:rPr>
        <w:t>2.</w:t>
      </w:r>
      <w:r>
        <w:rPr>
          <w:noProof/>
        </w:rPr>
        <w:tab/>
      </w:r>
      <w:r>
        <w:rPr>
          <w:b/>
          <w:smallCaps/>
          <w:noProof/>
        </w:rPr>
        <w:t xml:space="preserve">SPRÁVNÍ OPATŘENÍ </w:t>
      </w:r>
    </w:p>
    <w:p>
      <w:pPr>
        <w:keepNext/>
        <w:tabs>
          <w:tab w:val="left" w:pos="850"/>
        </w:tabs>
        <w:ind w:left="850" w:hanging="850"/>
        <w:outlineLvl w:val="1"/>
        <w:rPr>
          <w:noProof/>
        </w:rPr>
      </w:pPr>
      <w:r>
        <w:rPr>
          <w:noProof/>
        </w:rPr>
        <w:tab/>
        <w:t>2.1</w:t>
      </w:r>
      <w:r>
        <w:rPr>
          <w:noProof/>
        </w:rPr>
        <w:tab/>
        <w:t xml:space="preserve">Pravidla pro sledování a podávání zpráv </w:t>
      </w:r>
    </w:p>
    <w:p>
      <w:pPr>
        <w:keepNext/>
        <w:tabs>
          <w:tab w:val="left" w:pos="850"/>
        </w:tabs>
        <w:ind w:left="850" w:hanging="850"/>
        <w:outlineLvl w:val="1"/>
        <w:rPr>
          <w:noProof/>
        </w:rPr>
      </w:pPr>
      <w:r>
        <w:rPr>
          <w:noProof/>
        </w:rPr>
        <w:tab/>
        <w:t>2.2</w:t>
      </w:r>
      <w:r>
        <w:rPr>
          <w:noProof/>
        </w:rPr>
        <w:tab/>
        <w:t xml:space="preserve">Systém řízení a kontroly </w:t>
      </w:r>
    </w:p>
    <w:p>
      <w:pPr>
        <w:keepNext/>
        <w:tabs>
          <w:tab w:val="left" w:pos="850"/>
        </w:tabs>
        <w:ind w:left="850" w:hanging="850"/>
        <w:outlineLvl w:val="1"/>
        <w:rPr>
          <w:noProof/>
        </w:rPr>
      </w:pPr>
      <w:r>
        <w:rPr>
          <w:noProof/>
        </w:rPr>
        <w:tab/>
        <w:t>2.3</w:t>
      </w:r>
      <w:r>
        <w:rPr>
          <w:noProof/>
        </w:rPr>
        <w:tab/>
        <w:t xml:space="preserve">Opatření k zamezení podvodů a nesrovnalostí </w:t>
      </w:r>
    </w:p>
    <w:p>
      <w:pPr>
        <w:keepNext/>
        <w:tabs>
          <w:tab w:val="left" w:pos="850"/>
        </w:tabs>
        <w:spacing w:before="360"/>
        <w:ind w:left="850" w:hanging="850"/>
        <w:outlineLvl w:val="0"/>
        <w:rPr>
          <w:b/>
          <w:smallCaps/>
          <w:noProof/>
        </w:rPr>
      </w:pPr>
      <w:r>
        <w:rPr>
          <w:b/>
          <w:smallCaps/>
          <w:noProof/>
        </w:rPr>
        <w:t>3.</w:t>
      </w:r>
      <w:r>
        <w:rPr>
          <w:noProof/>
        </w:rPr>
        <w:tab/>
      </w:r>
      <w:r>
        <w:rPr>
          <w:b/>
          <w:smallCaps/>
          <w:noProof/>
        </w:rPr>
        <w:t xml:space="preserve">ODHADOVANÝ FINANČNÍ DOPAD NÁVRHU/PODNĚTU </w:t>
      </w:r>
    </w:p>
    <w:p>
      <w:pPr>
        <w:keepNext/>
        <w:tabs>
          <w:tab w:val="left" w:pos="850"/>
        </w:tabs>
        <w:ind w:left="850" w:hanging="850"/>
        <w:outlineLvl w:val="1"/>
        <w:rPr>
          <w:noProof/>
        </w:rPr>
      </w:pPr>
      <w:r>
        <w:rPr>
          <w:noProof/>
        </w:rPr>
        <w:tab/>
        <w:t>3.1</w:t>
      </w:r>
      <w:r>
        <w:rPr>
          <w:noProof/>
        </w:rPr>
        <w:tab/>
        <w:t xml:space="preserve">Okruhy víceletého finančního rámce a dotčené výdajové rozpočtové položky </w:t>
      </w:r>
    </w:p>
    <w:p>
      <w:pPr>
        <w:keepNext/>
        <w:tabs>
          <w:tab w:val="left" w:pos="850"/>
        </w:tabs>
        <w:ind w:left="850" w:hanging="850"/>
        <w:outlineLvl w:val="1"/>
        <w:rPr>
          <w:b/>
          <w:noProof/>
        </w:rPr>
      </w:pPr>
      <w:r>
        <w:rPr>
          <w:noProof/>
        </w:rPr>
        <w:tab/>
        <w:t>3.2</w:t>
      </w:r>
      <w:r>
        <w:rPr>
          <w:noProof/>
        </w:rPr>
        <w:tab/>
        <w:t>Odhadovaný dopad na výdaje</w:t>
      </w:r>
      <w:r>
        <w:rPr>
          <w:b/>
          <w:noProof/>
        </w:rPr>
        <w:t xml:space="preserve"> </w:t>
      </w:r>
    </w:p>
    <w:p>
      <w:pPr>
        <w:keepNext/>
        <w:tabs>
          <w:tab w:val="left" w:pos="850"/>
        </w:tabs>
        <w:ind w:left="850" w:hanging="850"/>
        <w:outlineLvl w:val="2"/>
        <w:rPr>
          <w:i/>
          <w:noProof/>
        </w:rPr>
      </w:pPr>
      <w:r>
        <w:rPr>
          <w:noProof/>
        </w:rPr>
        <w:tab/>
      </w:r>
      <w:r>
        <w:rPr>
          <w:i/>
          <w:noProof/>
        </w:rPr>
        <w:t>3.2.1</w:t>
      </w:r>
      <w:r>
        <w:rPr>
          <w:noProof/>
        </w:rPr>
        <w:tab/>
      </w:r>
      <w:r>
        <w:rPr>
          <w:i/>
          <w:noProof/>
        </w:rPr>
        <w:t xml:space="preserve">Odhadovaný souhrnný dopad na výdaje </w:t>
      </w:r>
    </w:p>
    <w:p>
      <w:pPr>
        <w:keepNext/>
        <w:tabs>
          <w:tab w:val="left" w:pos="850"/>
        </w:tabs>
        <w:ind w:left="850" w:hanging="850"/>
        <w:outlineLvl w:val="2"/>
        <w:rPr>
          <w:i/>
          <w:noProof/>
        </w:rPr>
      </w:pPr>
      <w:r>
        <w:rPr>
          <w:noProof/>
        </w:rPr>
        <w:tab/>
      </w:r>
      <w:r>
        <w:rPr>
          <w:i/>
          <w:noProof/>
        </w:rPr>
        <w:t>3.2.2</w:t>
      </w:r>
      <w:r>
        <w:rPr>
          <w:noProof/>
        </w:rPr>
        <w:tab/>
      </w:r>
      <w:r>
        <w:rPr>
          <w:i/>
          <w:noProof/>
        </w:rPr>
        <w:t xml:space="preserve">Odhadovaný dopad na operační prostředky </w:t>
      </w:r>
    </w:p>
    <w:p>
      <w:pPr>
        <w:keepNext/>
        <w:tabs>
          <w:tab w:val="left" w:pos="850"/>
        </w:tabs>
        <w:ind w:left="850" w:hanging="850"/>
        <w:outlineLvl w:val="2"/>
        <w:rPr>
          <w:i/>
          <w:noProof/>
        </w:rPr>
      </w:pPr>
      <w:r>
        <w:rPr>
          <w:noProof/>
        </w:rPr>
        <w:tab/>
      </w:r>
      <w:r>
        <w:rPr>
          <w:i/>
          <w:noProof/>
        </w:rPr>
        <w:t>3.2.3</w:t>
      </w:r>
      <w:r>
        <w:rPr>
          <w:noProof/>
        </w:rPr>
        <w:tab/>
      </w:r>
      <w:r>
        <w:rPr>
          <w:i/>
          <w:noProof/>
        </w:rPr>
        <w:t>Odhadovaný dopad na prostředky správní povahy</w:t>
      </w:r>
    </w:p>
    <w:p>
      <w:pPr>
        <w:keepNext/>
        <w:tabs>
          <w:tab w:val="left" w:pos="850"/>
        </w:tabs>
        <w:ind w:left="850" w:hanging="850"/>
        <w:outlineLvl w:val="2"/>
        <w:rPr>
          <w:i/>
          <w:noProof/>
        </w:rPr>
      </w:pPr>
      <w:r>
        <w:rPr>
          <w:noProof/>
        </w:rPr>
        <w:tab/>
      </w:r>
      <w:r>
        <w:rPr>
          <w:i/>
          <w:noProof/>
        </w:rPr>
        <w:t>3.2.4</w:t>
      </w:r>
      <w:r>
        <w:rPr>
          <w:noProof/>
        </w:rPr>
        <w:tab/>
      </w:r>
      <w:r>
        <w:rPr>
          <w:i/>
          <w:noProof/>
        </w:rPr>
        <w:t>Soulad se stávajícím víceletým finančním rámcem</w:t>
      </w:r>
    </w:p>
    <w:p>
      <w:pPr>
        <w:keepNext/>
        <w:tabs>
          <w:tab w:val="left" w:pos="850"/>
        </w:tabs>
        <w:ind w:left="850" w:hanging="850"/>
        <w:outlineLvl w:val="2"/>
        <w:rPr>
          <w:i/>
          <w:noProof/>
        </w:rPr>
      </w:pPr>
      <w:r>
        <w:rPr>
          <w:noProof/>
        </w:rPr>
        <w:tab/>
      </w:r>
      <w:r>
        <w:rPr>
          <w:i/>
          <w:noProof/>
        </w:rPr>
        <w:t>3.2.5</w:t>
      </w:r>
      <w:r>
        <w:rPr>
          <w:noProof/>
        </w:rPr>
        <w:tab/>
      </w:r>
      <w:r>
        <w:rPr>
          <w:i/>
          <w:noProof/>
        </w:rPr>
        <w:t xml:space="preserve">Příspěvky třetích stran </w:t>
      </w:r>
    </w:p>
    <w:p>
      <w:pPr>
        <w:keepNext/>
        <w:tabs>
          <w:tab w:val="left" w:pos="850"/>
        </w:tabs>
        <w:ind w:left="850" w:hanging="850"/>
        <w:jc w:val="left"/>
        <w:outlineLvl w:val="1"/>
        <w:rPr>
          <w:noProof/>
        </w:rPr>
        <w:sectPr>
          <w:pgSz w:w="11907" w:h="16840" w:code="9"/>
          <w:pgMar w:top="1134" w:right="1418" w:bottom="1134" w:left="1418" w:header="709" w:footer="709" w:gutter="0"/>
          <w:cols w:space="708"/>
          <w:docGrid w:linePitch="360"/>
        </w:sectPr>
      </w:pPr>
      <w:r>
        <w:rPr>
          <w:noProof/>
        </w:rPr>
        <w:tab/>
        <w:t>3.3</w:t>
      </w:r>
      <w:r>
        <w:rPr>
          <w:noProof/>
        </w:rPr>
        <w:tab/>
        <w:t>Odhadovaný dopad na příjmy</w:t>
      </w:r>
    </w:p>
    <w:p>
      <w:pPr>
        <w:jc w:val="center"/>
        <w:rPr>
          <w:b/>
          <w:noProof/>
          <w:u w:val="single"/>
        </w:rPr>
      </w:pPr>
      <w:r>
        <w:rPr>
          <w:b/>
          <w:noProof/>
          <w:u w:val="single"/>
        </w:rPr>
        <w:t>LEGISLATIVNÍ FINANČNÍ VÝKAZ</w:t>
      </w:r>
    </w:p>
    <w:p>
      <w:pPr>
        <w:pStyle w:val="ManualNumPar1"/>
        <w:rPr>
          <w:noProof/>
        </w:rPr>
      </w:pPr>
      <w:r>
        <w:t>1.</w:t>
      </w:r>
      <w:r>
        <w:tab/>
      </w:r>
      <w:r>
        <w:rPr>
          <w:noProof/>
        </w:rPr>
        <w:t xml:space="preserve">RÁMEC NÁVRHU/PODNĚTU </w:t>
      </w:r>
    </w:p>
    <w:p>
      <w:pPr>
        <w:pStyle w:val="ManualNumPar2"/>
        <w:rPr>
          <w:noProof/>
        </w:rPr>
      </w:pPr>
      <w:r>
        <w:t>1.1.</w:t>
      </w:r>
      <w:r>
        <w:tab/>
      </w:r>
      <w:r>
        <w:rPr>
          <w:noProof/>
        </w:rPr>
        <w:t xml:space="preserve">Název návrhu/podnětu </w:t>
      </w:r>
    </w:p>
    <w:p>
      <w:pPr>
        <w:pBdr>
          <w:top w:val="single" w:sz="4" w:space="1" w:color="auto"/>
          <w:left w:val="single" w:sz="4" w:space="4" w:color="auto"/>
          <w:bottom w:val="single" w:sz="4" w:space="1" w:color="auto"/>
          <w:right w:val="single" w:sz="4" w:space="4" w:color="auto"/>
        </w:pBdr>
        <w:ind w:left="850"/>
        <w:rPr>
          <w:noProof/>
        </w:rPr>
      </w:pPr>
      <w:r>
        <w:rPr>
          <w:noProof/>
        </w:rPr>
        <w:t>Návrh nařízení Evropského parlamentu a Rady, kterým se mění nařízení (ES) č. 1920/2006 ze dne 12. prosince 2006 o Evropském monitorovacím centru pro drogy a drogovou závislost, pokud jde o výměnu informací, systém včasného varování a postup hodnocení rizika nových psychoaktivních látek</w:t>
      </w:r>
    </w:p>
    <w:p>
      <w:pPr>
        <w:pStyle w:val="ManualNumPar2"/>
        <w:rPr>
          <w:noProof/>
        </w:rPr>
      </w:pPr>
      <w:r>
        <w:t>1.2.</w:t>
      </w:r>
      <w:r>
        <w:tab/>
      </w:r>
      <w:r>
        <w:rPr>
          <w:noProof/>
        </w:rPr>
        <w:t>Příslušné oblasti politik podle členění ABM/ABB</w:t>
      </w:r>
      <w:r>
        <w:rPr>
          <w:rStyle w:val="FootnoteReference"/>
          <w:b/>
          <w:noProof/>
        </w:rPr>
        <w:footnoteReference w:id="20"/>
      </w:r>
      <w:r>
        <w:rPr>
          <w:noProof/>
        </w:rPr>
        <w:t xml:space="preserve"> </w:t>
      </w:r>
    </w:p>
    <w:p>
      <w:pPr>
        <w:pBdr>
          <w:top w:val="single" w:sz="4" w:space="1" w:color="auto"/>
          <w:left w:val="single" w:sz="4" w:space="4" w:color="auto"/>
          <w:bottom w:val="single" w:sz="4" w:space="1" w:color="auto"/>
          <w:right w:val="single" w:sz="4" w:space="4" w:color="auto"/>
        </w:pBdr>
        <w:ind w:left="850"/>
        <w:rPr>
          <w:noProof/>
        </w:rPr>
      </w:pPr>
      <w:r>
        <w:rPr>
          <w:noProof/>
        </w:rPr>
        <w:t>18 – Migrace a vnitřní věci</w:t>
      </w:r>
    </w:p>
    <w:p>
      <w:pPr>
        <w:pStyle w:val="ManualNumPar2"/>
        <w:rPr>
          <w:noProof/>
        </w:rPr>
      </w:pPr>
      <w:r>
        <w:t>1.3.</w:t>
      </w:r>
      <w:r>
        <w:tab/>
      </w:r>
      <w:r>
        <w:rPr>
          <w:noProof/>
        </w:rPr>
        <w:t xml:space="preserve">Povaha návrhu/podnětu </w:t>
      </w:r>
    </w:p>
    <w:p>
      <w:pPr>
        <w:ind w:left="850"/>
        <w:rPr>
          <w:b/>
          <w:noProof/>
          <w:sz w:val="22"/>
        </w:rPr>
      </w:pPr>
      <w:r>
        <w:rPr>
          <w:noProof/>
          <w:sz w:val="22"/>
        </w:rPr>
        <w:sym w:font="Wingdings" w:char="F0FD"/>
      </w:r>
      <w:r>
        <w:rPr>
          <w:b/>
          <w:i/>
          <w:noProof/>
          <w:sz w:val="22"/>
        </w:rPr>
        <w:t xml:space="preserve"> </w:t>
      </w:r>
      <w:r>
        <w:rPr>
          <w:noProof/>
        </w:rPr>
        <w:t xml:space="preserve">Návrh/podnět se týká </w:t>
      </w:r>
      <w:r>
        <w:rPr>
          <w:b/>
          <w:noProof/>
        </w:rPr>
        <w:t>nové akce v mandátu agentury</w:t>
      </w:r>
      <w:r>
        <w:rPr>
          <w:b/>
          <w:noProof/>
          <w:sz w:val="22"/>
        </w:rPr>
        <w:t xml:space="preserve"> (exponenciální růst)</w:t>
      </w:r>
    </w:p>
    <w:p>
      <w:pPr>
        <w:ind w:left="850"/>
        <w:rPr>
          <w:noProof/>
          <w:sz w:val="22"/>
        </w:rPr>
      </w:pPr>
      <w:r>
        <w:rPr>
          <w:noProof/>
          <w:sz w:val="22"/>
        </w:rPr>
        <w:sym w:font="Wingdings" w:char="F0A8"/>
      </w:r>
      <w:r>
        <w:rPr>
          <w:noProof/>
        </w:rPr>
        <w:t xml:space="preserve">Návrh/podnět se týká </w:t>
      </w:r>
      <w:r>
        <w:rPr>
          <w:b/>
          <w:noProof/>
        </w:rPr>
        <w:t>nové akce následující po pilotním projektu / přípravné akci</w:t>
      </w:r>
      <w:r>
        <w:rPr>
          <w:rStyle w:val="FootnoteReference"/>
          <w:noProof/>
        </w:rPr>
        <w:footnoteReference w:id="21"/>
      </w:r>
      <w:r>
        <w:rPr>
          <w:noProof/>
          <w:sz w:val="22"/>
        </w:rPr>
        <w:t xml:space="preserve"> </w:t>
      </w:r>
    </w:p>
    <w:p>
      <w:pPr>
        <w:ind w:left="850"/>
        <w:rPr>
          <w:noProof/>
          <w:sz w:val="22"/>
        </w:rPr>
      </w:pPr>
      <w:r>
        <w:rPr>
          <w:noProof/>
          <w:sz w:val="22"/>
        </w:rPr>
        <w:sym w:font="Wingdings" w:char="F0A8"/>
      </w:r>
      <w:r>
        <w:rPr>
          <w:noProof/>
        </w:rPr>
        <w:t xml:space="preserve">Návrh/podnět se týká </w:t>
      </w:r>
      <w:r>
        <w:rPr>
          <w:b/>
          <w:noProof/>
        </w:rPr>
        <w:t>prodloužení stávající akce</w:t>
      </w:r>
      <w:r>
        <w:rPr>
          <w:noProof/>
          <w:sz w:val="22"/>
        </w:rPr>
        <w:t xml:space="preserve"> </w:t>
      </w:r>
    </w:p>
    <w:p>
      <w:pPr>
        <w:ind w:left="850"/>
        <w:rPr>
          <w:noProof/>
        </w:rPr>
      </w:pPr>
      <w:r>
        <w:rPr>
          <w:noProof/>
          <w:sz w:val="22"/>
        </w:rPr>
        <w:sym w:font="Wingdings" w:char="F0A8"/>
      </w:r>
      <w:r>
        <w:rPr>
          <w:noProof/>
        </w:rPr>
        <w:t xml:space="preserve">Návrh/podnět se týká </w:t>
      </w:r>
      <w:r>
        <w:rPr>
          <w:b/>
          <w:noProof/>
        </w:rPr>
        <w:t>akce přesměrované na jinou akci</w:t>
      </w:r>
      <w:r>
        <w:rPr>
          <w:noProof/>
        </w:rPr>
        <w:t xml:space="preserve"> </w:t>
      </w:r>
    </w:p>
    <w:p>
      <w:pPr>
        <w:pStyle w:val="ManualNumPar2"/>
        <w:rPr>
          <w:noProof/>
        </w:rPr>
      </w:pPr>
      <w:r>
        <w:t>1.4.</w:t>
      </w:r>
      <w:r>
        <w:tab/>
      </w:r>
      <w:r>
        <w:rPr>
          <w:noProof/>
        </w:rPr>
        <w:t>Cíle</w:t>
      </w:r>
    </w:p>
    <w:p>
      <w:pPr>
        <w:pStyle w:val="ManualNumPar3"/>
        <w:rPr>
          <w:noProof/>
        </w:rPr>
      </w:pPr>
      <w:r>
        <w:t>1.4.1.</w:t>
      </w:r>
      <w:r>
        <w:tab/>
      </w:r>
      <w:r>
        <w:rPr>
          <w:noProof/>
        </w:rPr>
        <w:t xml:space="preserve">Víceleté strategické cíle Komise sledované návrhem/podnětem </w:t>
      </w:r>
    </w:p>
    <w:p>
      <w:pPr>
        <w:pBdr>
          <w:top w:val="single" w:sz="4" w:space="1" w:color="auto"/>
          <w:left w:val="single" w:sz="4" w:space="4" w:color="auto"/>
          <w:bottom w:val="single" w:sz="4" w:space="1" w:color="auto"/>
          <w:right w:val="single" w:sz="4" w:space="4" w:color="auto"/>
        </w:pBdr>
        <w:ind w:left="850"/>
        <w:rPr>
          <w:noProof/>
        </w:rPr>
      </w:pPr>
      <w:r>
        <w:rPr>
          <w:noProof/>
        </w:rPr>
        <w:t xml:space="preserve">Pracovní program Komise na rok 2016 s názvem „Oblast spravedlnosti a základních práv, jež jsou založeny na vzájemné důvěře“ odkazuje na provedení Evropského programu pro bezpečnost (COM(2015) 185 final) přijatého dne 28. dubna 2015. V Evropském programu pro bezpečnost je uvedeno: </w:t>
      </w:r>
    </w:p>
    <w:p>
      <w:pPr>
        <w:pBdr>
          <w:top w:val="single" w:sz="4" w:space="1" w:color="auto"/>
          <w:left w:val="single" w:sz="4" w:space="4" w:color="auto"/>
          <w:bottom w:val="single" w:sz="4" w:space="1" w:color="auto"/>
          <w:right w:val="single" w:sz="4" w:space="4" w:color="auto"/>
        </w:pBdr>
        <w:ind w:left="850"/>
        <w:rPr>
          <w:noProof/>
        </w:rPr>
      </w:pPr>
      <w:r>
        <w:rPr>
          <w:noProof/>
        </w:rPr>
        <w:t>„Trh s nedovolenými drogami zůstává nejdynamičtějším nezákonným trhem, přičemž aktuálním trendem je šíření nových psychoaktivních látek. Tyto látky se stále častěji vyrábějí v EU, proto je naléhavě nutné přijmout nový legislativní rámec EU.“</w:t>
      </w:r>
    </w:p>
    <w:p>
      <w:pPr>
        <w:pStyle w:val="ManualNumPar3"/>
        <w:rPr>
          <w:noProof/>
        </w:rPr>
      </w:pPr>
      <w:r>
        <w:t>1.4.2.</w:t>
      </w:r>
      <w:r>
        <w:tab/>
      </w:r>
      <w:r>
        <w:rPr>
          <w:noProof/>
        </w:rPr>
        <w:t xml:space="preserve">Specifické cíle a příslušné aktivity ABM/ABB </w:t>
      </w:r>
    </w:p>
    <w:p>
      <w:pPr>
        <w:pBdr>
          <w:top w:val="single" w:sz="4" w:space="1" w:color="auto"/>
          <w:left w:val="single" w:sz="4" w:space="4" w:color="auto"/>
          <w:bottom w:val="single" w:sz="4" w:space="1" w:color="auto"/>
          <w:right w:val="single" w:sz="4" w:space="4" w:color="auto"/>
        </w:pBdr>
        <w:ind w:left="850"/>
        <w:rPr>
          <w:bCs/>
          <w:noProof/>
        </w:rPr>
      </w:pPr>
      <w:r>
        <w:rPr>
          <w:noProof/>
          <w:u w:val="single"/>
        </w:rPr>
        <w:t>Příslušný obecný cíl</w:t>
      </w:r>
      <w:r>
        <w:rPr>
          <w:noProof/>
        </w:rPr>
        <w:t xml:space="preserve">: </w:t>
      </w:r>
    </w:p>
    <w:p>
      <w:pPr>
        <w:pBdr>
          <w:top w:val="single" w:sz="4" w:space="1" w:color="auto"/>
          <w:left w:val="single" w:sz="4" w:space="4" w:color="auto"/>
          <w:bottom w:val="single" w:sz="4" w:space="1" w:color="auto"/>
          <w:right w:val="single" w:sz="4" w:space="4" w:color="auto"/>
        </w:pBdr>
        <w:ind w:left="850"/>
        <w:rPr>
          <w:noProof/>
        </w:rPr>
      </w:pPr>
      <w:r>
        <w:rPr>
          <w:noProof/>
        </w:rPr>
        <w:t>Přispět k zajištění bezpečnosti v Evropské unii na vysoké úrovni a zároveň usnadnit legální cestování prostřednictvím jednotné vysoké úrovně kontroly vnějších hranic a efektivního zpracování schengenských víz v souladu se závazkem Unie v oblasti základních svobod a lidských práv.</w:t>
      </w:r>
    </w:p>
    <w:p>
      <w:pPr>
        <w:pBdr>
          <w:top w:val="single" w:sz="4" w:space="1" w:color="auto"/>
          <w:left w:val="single" w:sz="4" w:space="4" w:color="auto"/>
          <w:bottom w:val="single" w:sz="4" w:space="1" w:color="auto"/>
          <w:right w:val="single" w:sz="4" w:space="4" w:color="auto"/>
        </w:pBdr>
        <w:ind w:left="850"/>
        <w:rPr>
          <w:bCs/>
          <w:noProof/>
          <w:u w:val="single"/>
        </w:rPr>
      </w:pPr>
      <w:r>
        <w:rPr>
          <w:noProof/>
          <w:u w:val="single"/>
        </w:rPr>
        <w:t xml:space="preserve">Specifický cíl č. 6: </w:t>
      </w:r>
    </w:p>
    <w:p>
      <w:pPr>
        <w:pBdr>
          <w:top w:val="single" w:sz="4" w:space="1" w:color="auto"/>
          <w:left w:val="single" w:sz="4" w:space="4" w:color="auto"/>
          <w:bottom w:val="single" w:sz="4" w:space="1" w:color="auto"/>
          <w:right w:val="single" w:sz="4" w:space="4" w:color="auto"/>
        </w:pBdr>
        <w:ind w:left="850"/>
        <w:rPr>
          <w:bCs/>
          <w:noProof/>
        </w:rPr>
      </w:pPr>
      <w:r>
        <w:rPr>
          <w:noProof/>
        </w:rPr>
        <w:t>Podpořit iniciativy v oblasti protidrogové politiky, pokud jde o aspekty spojené s justiční spoluprací a předcházením trestné činnosti, které úzce souvisejí s obecným cílem programu Spravedlnost, pokud se na ně nevztahuje ISF nebo program Zdraví pro růst.</w:t>
      </w:r>
    </w:p>
    <w:p>
      <w:pPr>
        <w:pBdr>
          <w:top w:val="single" w:sz="4" w:space="1" w:color="auto"/>
          <w:left w:val="single" w:sz="4" w:space="4" w:color="auto"/>
          <w:bottom w:val="single" w:sz="4" w:space="1" w:color="auto"/>
          <w:right w:val="single" w:sz="4" w:space="4" w:color="auto"/>
        </w:pBdr>
        <w:ind w:left="850"/>
        <w:rPr>
          <w:noProof/>
        </w:rPr>
      </w:pPr>
    </w:p>
    <w:p>
      <w:pPr>
        <w:pBdr>
          <w:top w:val="single" w:sz="4" w:space="1" w:color="auto"/>
          <w:left w:val="single" w:sz="4" w:space="4" w:color="auto"/>
          <w:bottom w:val="single" w:sz="4" w:space="1" w:color="auto"/>
          <w:right w:val="single" w:sz="4" w:space="4" w:color="auto"/>
        </w:pBdr>
        <w:ind w:left="850"/>
        <w:rPr>
          <w:bCs/>
          <w:noProof/>
          <w:u w:val="single"/>
        </w:rPr>
      </w:pPr>
      <w:r>
        <w:rPr>
          <w:noProof/>
          <w:u w:val="single"/>
        </w:rPr>
        <w:t xml:space="preserve">Specifický cíl č. 7: </w:t>
      </w:r>
    </w:p>
    <w:p>
      <w:pPr>
        <w:pBdr>
          <w:top w:val="single" w:sz="4" w:space="1" w:color="auto"/>
          <w:left w:val="single" w:sz="4" w:space="4" w:color="auto"/>
          <w:bottom w:val="single" w:sz="4" w:space="1" w:color="auto"/>
          <w:right w:val="single" w:sz="4" w:space="4" w:color="auto"/>
        </w:pBdr>
        <w:ind w:left="850"/>
        <w:rPr>
          <w:noProof/>
        </w:rPr>
      </w:pPr>
      <w:r>
        <w:rPr>
          <w:noProof/>
        </w:rPr>
        <w:t xml:space="preserve">Přispět k omezení užívání drog, obchodu s nimi a škod, které drogy působí jednotlivcům a společnosti, prostřednictvím opatření na omezení dostupnosti nových drog, zlepšit kvalitu služeb snižování poptávky po drogách a pochopení nabídky drog podpořením akcí na zvýšení povědomí o rizicích drog, zlepšit účinnost léčby a podporovat přeshraniční operativní protidrogovou spolupráci. </w:t>
      </w:r>
    </w:p>
    <w:p>
      <w:pPr>
        <w:pBdr>
          <w:top w:val="single" w:sz="4" w:space="1" w:color="auto"/>
          <w:left w:val="single" w:sz="4" w:space="4" w:color="auto"/>
          <w:bottom w:val="single" w:sz="4" w:space="1" w:color="auto"/>
          <w:right w:val="single" w:sz="4" w:space="4" w:color="auto"/>
        </w:pBdr>
        <w:ind w:left="850"/>
        <w:rPr>
          <w:noProof/>
          <w:u w:val="single"/>
        </w:rPr>
      </w:pPr>
      <w:r>
        <w:rPr>
          <w:noProof/>
          <w:u w:val="single"/>
        </w:rPr>
        <w:t>Příslušné aktivity ABM/ABB</w:t>
      </w:r>
    </w:p>
    <w:p>
      <w:pPr>
        <w:pBdr>
          <w:top w:val="single" w:sz="4" w:space="1" w:color="auto"/>
          <w:left w:val="single" w:sz="4" w:space="4" w:color="auto"/>
          <w:bottom w:val="single" w:sz="4" w:space="1" w:color="auto"/>
          <w:right w:val="single" w:sz="4" w:space="4" w:color="auto"/>
        </w:pBdr>
        <w:ind w:left="850"/>
        <w:rPr>
          <w:noProof/>
        </w:rPr>
      </w:pPr>
      <w:r>
        <w:rPr>
          <w:noProof/>
        </w:rPr>
        <w:t>Boj proti drogám</w:t>
      </w:r>
    </w:p>
    <w:p>
      <w:pPr>
        <w:pStyle w:val="ManualNumPar3"/>
        <w:rPr>
          <w:noProof/>
        </w:rPr>
      </w:pPr>
      <w:r>
        <w:t>1.4.3.</w:t>
      </w:r>
      <w:r>
        <w:tab/>
      </w:r>
      <w:r>
        <w:rPr>
          <w:noProof/>
        </w:rPr>
        <w:t>Očekávané výsledky a dopady</w:t>
      </w:r>
    </w:p>
    <w:p>
      <w:pPr>
        <w:ind w:left="850"/>
        <w:rPr>
          <w:i/>
          <w:noProof/>
          <w:sz w:val="20"/>
        </w:rPr>
      </w:pPr>
      <w:r>
        <w:rPr>
          <w:i/>
          <w:noProof/>
          <w:sz w:val="20"/>
        </w:rPr>
        <w:t>Upřesněte účinky, které by návrh/podnět měl mít na příjemce / cílové skupiny.</w:t>
      </w:r>
    </w:p>
    <w:p>
      <w:pPr>
        <w:pBdr>
          <w:top w:val="single" w:sz="4" w:space="1" w:color="auto"/>
          <w:left w:val="single" w:sz="4" w:space="4" w:color="auto"/>
          <w:bottom w:val="single" w:sz="4" w:space="1" w:color="auto"/>
          <w:right w:val="single" w:sz="4" w:space="4" w:color="auto"/>
        </w:pBdr>
        <w:ind w:left="850"/>
        <w:rPr>
          <w:noProof/>
        </w:rPr>
      </w:pPr>
      <w:r>
        <w:rPr>
          <w:noProof/>
        </w:rPr>
        <w:t>Poskytnutí účinného a účelného systému včasného varování a postupu hodnocení rizika nových psychoaktivních látek, aby byly vážné škody způsobené novými psychoaktivními látkami aktivně určovány, ověřovány a aby na ně bylo reagováno a bylo jim bráněno a aby bylo zajištěno, aby mohla být škodlivá nová psychoaktivní látka ve všech členských státech na základě rámcového rozhodnutí Rady 2004/757/SVV [ve znění směrnice (EU) …/…] postavena mimo zákon.</w:t>
      </w:r>
    </w:p>
    <w:p>
      <w:pPr>
        <w:pStyle w:val="ManualNumPar3"/>
        <w:rPr>
          <w:noProof/>
        </w:rPr>
      </w:pPr>
      <w:r>
        <w:t>1.4.4.</w:t>
      </w:r>
      <w:r>
        <w:tab/>
      </w:r>
      <w:r>
        <w:rPr>
          <w:noProof/>
        </w:rPr>
        <w:t xml:space="preserve">Ukazatele výsledků a dopadů </w:t>
      </w:r>
    </w:p>
    <w:p>
      <w:pPr>
        <w:ind w:left="850"/>
        <w:rPr>
          <w:i/>
          <w:noProof/>
          <w:sz w:val="20"/>
        </w:rPr>
      </w:pPr>
      <w:r>
        <w:rPr>
          <w:i/>
          <w:noProof/>
          <w:sz w:val="20"/>
        </w:rPr>
        <w:t>Upřesněte ukazatele, podle kterých je možno uskutečňování návrhu/podnětu sledovat.</w:t>
      </w:r>
    </w:p>
    <w:p>
      <w:pPr>
        <w:pBdr>
          <w:top w:val="single" w:sz="4" w:space="1" w:color="auto"/>
          <w:left w:val="single" w:sz="4" w:space="4" w:color="auto"/>
          <w:bottom w:val="single" w:sz="4" w:space="1" w:color="auto"/>
          <w:right w:val="single" w:sz="4" w:space="4" w:color="auto"/>
        </w:pBdr>
        <w:ind w:left="850"/>
        <w:rPr>
          <w:bCs/>
          <w:noProof/>
        </w:rPr>
      </w:pPr>
      <w:r>
        <w:rPr>
          <w:noProof/>
          <w:u w:val="single"/>
        </w:rPr>
        <w:t>Ukazatel výsledků č. 1 (cíl č. 6)</w:t>
      </w:r>
      <w:r>
        <w:rPr>
          <w:noProof/>
        </w:rPr>
        <w:t xml:space="preserve">: </w:t>
      </w:r>
    </w:p>
    <w:p>
      <w:pPr>
        <w:pBdr>
          <w:top w:val="single" w:sz="4" w:space="1" w:color="auto"/>
          <w:left w:val="single" w:sz="4" w:space="4" w:color="auto"/>
          <w:bottom w:val="single" w:sz="4" w:space="1" w:color="auto"/>
          <w:right w:val="single" w:sz="4" w:space="4" w:color="auto"/>
        </w:pBdr>
        <w:ind w:left="850"/>
        <w:rPr>
          <w:noProof/>
        </w:rPr>
      </w:pPr>
      <w:r>
        <w:rPr>
          <w:noProof/>
        </w:rPr>
        <w:t>Počet posuzovaných nových psychoaktivních látek (včetně případného testování), aby mohla EU nebo její členské státy učinit příslušnou akci na ochranu spotřebitelů v závislosti na druhu a úrovni rizika, které mohou tyto látky představovat v případě užití člověkem.</w:t>
      </w:r>
    </w:p>
    <w:p>
      <w:pPr>
        <w:pBdr>
          <w:top w:val="single" w:sz="4" w:space="1" w:color="auto"/>
          <w:left w:val="single" w:sz="4" w:space="4" w:color="auto"/>
          <w:bottom w:val="single" w:sz="4" w:space="1" w:color="auto"/>
          <w:right w:val="single" w:sz="4" w:space="4" w:color="auto"/>
        </w:pBdr>
        <w:ind w:left="850"/>
        <w:rPr>
          <w:bCs/>
          <w:noProof/>
        </w:rPr>
      </w:pPr>
      <w:r>
        <w:rPr>
          <w:noProof/>
          <w:u w:val="single"/>
        </w:rPr>
        <w:t>Ukazatel výsledků č. 3 (cíl č. 7)</w:t>
      </w:r>
      <w:r>
        <w:rPr>
          <w:noProof/>
        </w:rPr>
        <w:t xml:space="preserve">: </w:t>
      </w:r>
    </w:p>
    <w:p>
      <w:pPr>
        <w:pBdr>
          <w:top w:val="single" w:sz="4" w:space="1" w:color="auto"/>
          <w:left w:val="single" w:sz="4" w:space="4" w:color="auto"/>
          <w:bottom w:val="single" w:sz="4" w:space="1" w:color="auto"/>
          <w:right w:val="single" w:sz="4" w:space="4" w:color="auto"/>
        </w:pBdr>
        <w:ind w:left="850"/>
        <w:rPr>
          <w:noProof/>
        </w:rPr>
      </w:pPr>
      <w:r>
        <w:rPr>
          <w:noProof/>
        </w:rPr>
        <w:t>Stupeň, do kterého nové psychoaktivní látky, které oznámí několik členských států a u kterých se zdá, že představují riziko, mají podléhat posouzení rizik (včetně případného testování), aby mohla EU nebo její členské státy učinit příslušnou akci na ochranu spotřebitelů.</w:t>
      </w:r>
    </w:p>
    <w:p>
      <w:pPr>
        <w:pStyle w:val="ManualNumPar2"/>
        <w:rPr>
          <w:noProof/>
        </w:rPr>
      </w:pPr>
      <w:r>
        <w:rPr>
          <w:noProof/>
        </w:rPr>
        <w:br w:type="page"/>
      </w:r>
      <w:r>
        <w:t>1.5.</w:t>
      </w:r>
      <w:r>
        <w:tab/>
      </w:r>
      <w:r>
        <w:rPr>
          <w:noProof/>
        </w:rPr>
        <w:t xml:space="preserve">Odůvodnění návrhu/podnětu </w:t>
      </w:r>
    </w:p>
    <w:p>
      <w:pPr>
        <w:pStyle w:val="ManualNumPar3"/>
        <w:rPr>
          <w:noProof/>
        </w:rPr>
      </w:pPr>
      <w:r>
        <w:t>1.5.1.</w:t>
      </w:r>
      <w:r>
        <w:tab/>
      </w:r>
      <w:r>
        <w:rPr>
          <w:noProof/>
        </w:rPr>
        <w:t xml:space="preserve">Potřeby, které mají být uspokojeny v krátkodobém nebo dlouhodobém horizontu </w:t>
      </w:r>
    </w:p>
    <w:p>
      <w:pPr>
        <w:pBdr>
          <w:top w:val="single" w:sz="4" w:space="1" w:color="auto"/>
          <w:left w:val="single" w:sz="4" w:space="4" w:color="auto"/>
          <w:bottom w:val="single" w:sz="4" w:space="1" w:color="auto"/>
          <w:right w:val="single" w:sz="4" w:space="4" w:color="auto"/>
        </w:pBdr>
        <w:ind w:left="1435" w:hanging="585"/>
        <w:rPr>
          <w:noProof/>
        </w:rPr>
      </w:pPr>
      <w:r>
        <w:rPr>
          <w:noProof/>
        </w:rPr>
        <w:t xml:space="preserve">– </w:t>
      </w:r>
      <w:r>
        <w:rPr>
          <w:noProof/>
        </w:rPr>
        <w:tab/>
        <w:t>Chránit zdraví jednotlivců před riziky, která představují škodlivé nové psychoaktivní látky</w:t>
      </w:r>
    </w:p>
    <w:p>
      <w:pPr>
        <w:pBdr>
          <w:top w:val="single" w:sz="4" w:space="1" w:color="auto"/>
          <w:left w:val="single" w:sz="4" w:space="4" w:color="auto"/>
          <w:bottom w:val="single" w:sz="4" w:space="1" w:color="auto"/>
          <w:right w:val="single" w:sz="4" w:space="4" w:color="auto"/>
        </w:pBdr>
        <w:ind w:left="1435" w:hanging="585"/>
        <w:rPr>
          <w:noProof/>
        </w:rPr>
      </w:pPr>
      <w:r>
        <w:rPr>
          <w:noProof/>
        </w:rPr>
        <w:t xml:space="preserve">– </w:t>
      </w:r>
      <w:r>
        <w:rPr>
          <w:noProof/>
        </w:rPr>
        <w:tab/>
        <w:t>Poskytnout základ pro rozhodování na úrovni Unie, pokud jde o postavení škodlivé nové psychoaktivní látky mimo zákon na základě rámcového rozhodnutí Rady 2004/757/SVV [ve znění směrnice (EU) …/…]</w:t>
      </w:r>
    </w:p>
    <w:p>
      <w:pPr>
        <w:pBdr>
          <w:top w:val="single" w:sz="4" w:space="1" w:color="auto"/>
          <w:left w:val="single" w:sz="4" w:space="4" w:color="auto"/>
          <w:bottom w:val="single" w:sz="4" w:space="1" w:color="auto"/>
          <w:right w:val="single" w:sz="4" w:space="4" w:color="auto"/>
        </w:pBdr>
        <w:ind w:left="1435" w:hanging="585"/>
        <w:rPr>
          <w:noProof/>
        </w:rPr>
      </w:pPr>
      <w:r>
        <w:rPr>
          <w:noProof/>
        </w:rPr>
        <w:t xml:space="preserve">– </w:t>
      </w:r>
      <w:r>
        <w:rPr>
          <w:noProof/>
        </w:rPr>
        <w:tab/>
        <w:t>Zlepšit kapacitu rychle zjistit a posoudit nové psychoaktivní látky</w:t>
      </w:r>
    </w:p>
    <w:p>
      <w:pPr>
        <w:pStyle w:val="ManualNumPar3"/>
        <w:rPr>
          <w:noProof/>
        </w:rPr>
      </w:pPr>
      <w:r>
        <w:t>1.5.2.</w:t>
      </w:r>
      <w:r>
        <w:tab/>
      </w:r>
      <w:r>
        <w:rPr>
          <w:noProof/>
        </w:rPr>
        <w:t>Přidaná hodnota ze zapojení EU</w:t>
      </w:r>
    </w:p>
    <w:p>
      <w:pPr>
        <w:pBdr>
          <w:top w:val="single" w:sz="4" w:space="1" w:color="auto"/>
          <w:left w:val="single" w:sz="4" w:space="4" w:color="auto"/>
          <w:bottom w:val="single" w:sz="4" w:space="1" w:color="auto"/>
          <w:right w:val="single" w:sz="4" w:space="4" w:color="auto"/>
        </w:pBdr>
        <w:ind w:left="850"/>
        <w:rPr>
          <w:noProof/>
        </w:rPr>
      </w:pPr>
      <w:r>
        <w:rPr>
          <w:noProof/>
        </w:rPr>
        <w:t>Posílený systém včasného varování by podpořil výměnu informací mezi členskými státy, přičemž jednoznačnou přidanou hodnotou je upozorňování členských států na potenciálně škodlivé látky, které se objevily v jiných členských státech, s cílem pomoci jim předjímat možnou hrozbu pro veřejné zdraví. Hodnocení rizika nových psychoaktivních látek na úrovni EU zajišťuje přidanou hodnotu spočívající ve spojení vědeckých zdrojů a analytických kapacit z celé Unie a poskytnutí co nejlepších dostupných důkazů o látce a zároveň vytvoření pevného základu pro rozhodování na úrovni Unie, pokud jde o nové psychoaktivní látky, na základě rámcového rozhodnutí Rady 2004/757/SVV [ve znění směrnice (EU) …/…]</w:t>
      </w:r>
    </w:p>
    <w:p>
      <w:pPr>
        <w:pStyle w:val="ManualNumPar3"/>
        <w:rPr>
          <w:noProof/>
        </w:rPr>
      </w:pPr>
      <w:r>
        <w:t>1.5.3.</w:t>
      </w:r>
      <w:r>
        <w:tab/>
      </w:r>
      <w:r>
        <w:rPr>
          <w:noProof/>
        </w:rPr>
        <w:t>Závěry vyvozené z podobných zkušeností v minulosti</w:t>
      </w:r>
    </w:p>
    <w:p>
      <w:pPr>
        <w:pBdr>
          <w:top w:val="single" w:sz="4" w:space="1" w:color="auto"/>
          <w:left w:val="single" w:sz="4" w:space="4" w:color="auto"/>
          <w:bottom w:val="single" w:sz="4" w:space="1" w:color="auto"/>
          <w:right w:val="single" w:sz="4" w:space="4" w:color="auto"/>
        </w:pBdr>
        <w:ind w:left="850"/>
        <w:rPr>
          <w:noProof/>
        </w:rPr>
      </w:pPr>
      <w:r>
        <w:rPr>
          <w:noProof/>
        </w:rPr>
        <w:t>Stávající systém založený na rozhodnutí Rady 2005/387/SVV o výměně informací, hodnocení rizika a kontrole nových psychoaktivních látek je příliš pomalý na to, aby dokázal účinně řešit rychle rostoucí počet nových psychoaktivních látek.</w:t>
      </w:r>
    </w:p>
    <w:p>
      <w:pPr>
        <w:pStyle w:val="ManualNumPar3"/>
        <w:rPr>
          <w:noProof/>
        </w:rPr>
      </w:pPr>
      <w:r>
        <w:t>1.5.4.</w:t>
      </w:r>
      <w:r>
        <w:tab/>
      </w:r>
      <w:r>
        <w:rPr>
          <w:noProof/>
        </w:rPr>
        <w:t>Soulad a možná synergie s dalšími vhodnými nástroji</w:t>
      </w:r>
    </w:p>
    <w:p>
      <w:pPr>
        <w:pBdr>
          <w:top w:val="single" w:sz="4" w:space="1" w:color="auto"/>
          <w:left w:val="single" w:sz="4" w:space="4" w:color="auto"/>
          <w:bottom w:val="single" w:sz="4" w:space="1" w:color="auto"/>
          <w:right w:val="single" w:sz="4" w:space="4" w:color="auto"/>
        </w:pBdr>
        <w:ind w:left="850"/>
        <w:rPr>
          <w:noProof/>
        </w:rPr>
      </w:pPr>
      <w:r>
        <w:rPr>
          <w:noProof/>
        </w:rPr>
        <w:t>Opatření v oblasti nových psychoaktivních látek je v souladu se strategickými politickými dokumenty Unie, zejména Evropským programem pro bezpečnost</w:t>
      </w:r>
      <w:r>
        <w:rPr>
          <w:rStyle w:val="FootnoteReference"/>
          <w:noProof/>
        </w:rPr>
        <w:footnoteReference w:id="22"/>
      </w:r>
      <w:r>
        <w:rPr>
          <w:noProof/>
        </w:rPr>
        <w:t xml:space="preserve"> a protidrogovou strategií EU na období 2013–2020. Opatření EU v oblasti nových psychoaktivních látek je rovněž zcela v souladu s opatřeními na úrovni Organizace spojených národů.</w:t>
      </w:r>
    </w:p>
    <w:p>
      <w:pPr>
        <w:pStyle w:val="ManualNumPar2"/>
        <w:rPr>
          <w:noProof/>
        </w:rPr>
      </w:pPr>
      <w:r>
        <w:t>1.6.</w:t>
      </w:r>
      <w:r>
        <w:tab/>
      </w:r>
      <w:r>
        <w:rPr>
          <w:noProof/>
        </w:rPr>
        <w:t xml:space="preserve">Doba trvání akce a finanční dopad </w:t>
      </w:r>
    </w:p>
    <w:p>
      <w:pPr>
        <w:ind w:left="850"/>
        <w:rPr>
          <w:noProof/>
        </w:rPr>
      </w:pPr>
      <w:r>
        <w:rPr>
          <w:noProof/>
        </w:rPr>
        <w:sym w:font="Wingdings" w:char="F0A8"/>
      </w:r>
      <w:r>
        <w:rPr>
          <w:noProof/>
        </w:rPr>
        <w:t xml:space="preserve">Časově omezený návrh/podnět </w:t>
      </w:r>
    </w:p>
    <w:p>
      <w:pPr>
        <w:pStyle w:val="Tiret0"/>
        <w:numPr>
          <w:ilvl w:val="0"/>
          <w:numId w:val="17"/>
        </w:numPr>
        <w:ind w:firstLine="284"/>
        <w:rPr>
          <w:noProof/>
        </w:rPr>
      </w:pPr>
      <w:r>
        <w:rPr>
          <w:noProof/>
        </w:rPr>
        <w:sym w:font="Wingdings" w:char="F0A8"/>
      </w:r>
      <w:r>
        <w:rPr>
          <w:noProof/>
        </w:rPr>
        <w:t xml:space="preserve">Návrh/podnět s platností od [DD/MM]RRRR do [DD/MM]RRRR </w:t>
      </w:r>
    </w:p>
    <w:p>
      <w:pPr>
        <w:pStyle w:val="Tiret0"/>
        <w:ind w:firstLine="284"/>
        <w:rPr>
          <w:noProof/>
        </w:rPr>
      </w:pPr>
      <w:r>
        <w:rPr>
          <w:noProof/>
        </w:rPr>
        <w:sym w:font="Wingdings" w:char="F0A8"/>
      </w:r>
      <w:r>
        <w:rPr>
          <w:noProof/>
        </w:rPr>
        <w:t xml:space="preserve">Finanční dopad od RRRR do RRRR </w:t>
      </w:r>
    </w:p>
    <w:p>
      <w:pPr>
        <w:ind w:left="850"/>
        <w:rPr>
          <w:noProof/>
        </w:rPr>
      </w:pPr>
      <w:r>
        <w:rPr>
          <w:noProof/>
        </w:rPr>
        <w:sym w:font="Wingdings" w:char="F0FD"/>
      </w:r>
      <w:r>
        <w:rPr>
          <w:b/>
          <w:noProof/>
        </w:rPr>
        <w:t xml:space="preserve">Časově neomezený </w:t>
      </w:r>
      <w:r>
        <w:rPr>
          <w:noProof/>
        </w:rPr>
        <w:t>návrh/podnět</w:t>
      </w:r>
    </w:p>
    <w:p>
      <w:pPr>
        <w:pStyle w:val="Tiret0"/>
        <w:ind w:firstLine="284"/>
        <w:rPr>
          <w:noProof/>
        </w:rPr>
      </w:pPr>
      <w:r>
        <w:rPr>
          <w:noProof/>
        </w:rPr>
        <w:sym w:font="Wingdings" w:char="F0A8"/>
      </w:r>
      <w:r>
        <w:rPr>
          <w:noProof/>
        </w:rPr>
        <w:t>Provádění s obdobím rozběhu od 2017 do 2020,</w:t>
      </w:r>
    </w:p>
    <w:p>
      <w:pPr>
        <w:pStyle w:val="Tiret0"/>
        <w:ind w:firstLine="284"/>
        <w:rPr>
          <w:noProof/>
        </w:rPr>
      </w:pPr>
      <w:r>
        <w:rPr>
          <w:noProof/>
        </w:rPr>
        <w:sym w:font="Wingdings" w:char="F0A8"/>
      </w:r>
      <w:r>
        <w:rPr>
          <w:noProof/>
        </w:rPr>
        <w:t>poté plné fungování.</w:t>
      </w:r>
    </w:p>
    <w:p>
      <w:pPr>
        <w:pStyle w:val="ManualNumPar2"/>
        <w:rPr>
          <w:noProof/>
        </w:rPr>
      </w:pPr>
      <w:r>
        <w:t>1.7.</w:t>
      </w:r>
      <w:r>
        <w:tab/>
      </w:r>
      <w:r>
        <w:rPr>
          <w:noProof/>
        </w:rPr>
        <w:t>Předpokládaný způsob řízení</w:t>
      </w:r>
      <w:r>
        <w:rPr>
          <w:rStyle w:val="FootnoteReference"/>
          <w:b/>
          <w:noProof/>
        </w:rPr>
        <w:footnoteReference w:id="23"/>
      </w:r>
    </w:p>
    <w:p>
      <w:pPr>
        <w:ind w:left="850"/>
        <w:rPr>
          <w:noProof/>
        </w:rPr>
      </w:pPr>
      <w:r>
        <w:rPr>
          <w:noProof/>
        </w:rPr>
        <w:sym w:font="Wingdings" w:char="F0A8"/>
      </w:r>
      <w:r>
        <w:rPr>
          <w:b/>
          <w:noProof/>
        </w:rPr>
        <w:t>Přímé řízení</w:t>
      </w:r>
      <w:r>
        <w:rPr>
          <w:noProof/>
        </w:rPr>
        <w:t xml:space="preserve"> Komisí</w:t>
      </w:r>
    </w:p>
    <w:p>
      <w:pPr>
        <w:pStyle w:val="Tiret0"/>
        <w:ind w:firstLine="284"/>
        <w:rPr>
          <w:noProof/>
        </w:rPr>
      </w:pPr>
      <w:r>
        <w:rPr>
          <w:noProof/>
        </w:rPr>
        <w:sym w:font="Wingdings" w:char="F0A8"/>
      </w:r>
      <w:r>
        <w:rPr>
          <w:noProof/>
        </w:rPr>
        <w:t xml:space="preserve">prostřednictvím jejích útvarů, včetně jejích zaměstnanců v delegacích Unie; </w:t>
      </w:r>
    </w:p>
    <w:p>
      <w:pPr>
        <w:pStyle w:val="Tiret0"/>
        <w:ind w:firstLine="284"/>
        <w:rPr>
          <w:noProof/>
        </w:rPr>
      </w:pPr>
      <w:r>
        <w:rPr>
          <w:noProof/>
        </w:rPr>
        <w:sym w:font="Wingdings" w:char="F0A8"/>
      </w:r>
      <w:r>
        <w:rPr>
          <w:noProof/>
        </w:rPr>
        <w:t xml:space="preserve">prostřednictvím výkonných agentur </w:t>
      </w:r>
    </w:p>
    <w:p>
      <w:pPr>
        <w:ind w:left="850"/>
        <w:rPr>
          <w:noProof/>
        </w:rPr>
      </w:pPr>
      <w:r>
        <w:rPr>
          <w:noProof/>
        </w:rPr>
        <w:sym w:font="Wingdings" w:char="F0A8"/>
      </w:r>
      <w:r>
        <w:rPr>
          <w:b/>
          <w:noProof/>
        </w:rPr>
        <w:t>Sdílené řízení</w:t>
      </w:r>
      <w:r>
        <w:rPr>
          <w:noProof/>
        </w:rPr>
        <w:t xml:space="preserve"> s členskými státy </w:t>
      </w:r>
    </w:p>
    <w:p>
      <w:pPr>
        <w:ind w:left="850"/>
        <w:rPr>
          <w:noProof/>
        </w:rPr>
      </w:pPr>
      <w:r>
        <w:rPr>
          <w:noProof/>
        </w:rPr>
        <w:sym w:font="Wingdings" w:char="F0FD"/>
      </w:r>
      <w:r>
        <w:rPr>
          <w:b/>
          <w:noProof/>
        </w:rPr>
        <w:t>Nepřímé řízení</w:t>
      </w:r>
      <w:r>
        <w:rPr>
          <w:noProof/>
        </w:rPr>
        <w:t>, při kterém jsou úkoly souvisejícími s plněním rozpočtu pověřeny:</w:t>
      </w:r>
    </w:p>
    <w:p>
      <w:pPr>
        <w:pStyle w:val="Tiret0"/>
        <w:ind w:firstLine="284"/>
        <w:rPr>
          <w:noProof/>
        </w:rPr>
      </w:pPr>
      <w:r>
        <w:rPr>
          <w:noProof/>
        </w:rPr>
        <w:sym w:font="Wingdings" w:char="F0A8"/>
      </w:r>
      <w:r>
        <w:rPr>
          <w:noProof/>
        </w:rPr>
        <w:t>třetí země nebo subjekty určené těmito zeměmi;</w:t>
      </w:r>
    </w:p>
    <w:p>
      <w:pPr>
        <w:pStyle w:val="Tiret0"/>
        <w:ind w:firstLine="284"/>
        <w:rPr>
          <w:noProof/>
        </w:rPr>
      </w:pPr>
      <w:r>
        <w:rPr>
          <w:noProof/>
        </w:rPr>
        <w:sym w:font="Wingdings" w:char="F0A8"/>
      </w:r>
      <w:r>
        <w:rPr>
          <w:noProof/>
        </w:rPr>
        <w:t>mezinárodní organizace a jejich agentury (upřesněte);</w:t>
      </w:r>
    </w:p>
    <w:p>
      <w:pPr>
        <w:pStyle w:val="Tiret0"/>
        <w:ind w:firstLine="284"/>
        <w:rPr>
          <w:noProof/>
        </w:rPr>
      </w:pPr>
      <w:r>
        <w:rPr>
          <w:noProof/>
        </w:rPr>
        <w:sym w:font="Wingdings" w:char="F0A8"/>
      </w:r>
      <w:r>
        <w:rPr>
          <w:noProof/>
        </w:rPr>
        <w:t>EIB a Evropský investiční fond;</w:t>
      </w:r>
    </w:p>
    <w:p>
      <w:pPr>
        <w:pStyle w:val="Tiret0"/>
        <w:ind w:firstLine="284"/>
        <w:rPr>
          <w:noProof/>
        </w:rPr>
      </w:pPr>
      <w:r>
        <w:rPr>
          <w:noProof/>
        </w:rPr>
        <w:sym w:font="Wingdings" w:char="F0FD"/>
      </w:r>
      <w:r>
        <w:rPr>
          <w:noProof/>
        </w:rPr>
        <w:t xml:space="preserve"> subjekty uvedené v článcích 208 a 209 finančního nařízení;</w:t>
      </w:r>
    </w:p>
    <w:p>
      <w:pPr>
        <w:pStyle w:val="Tiret0"/>
        <w:ind w:firstLine="284"/>
        <w:rPr>
          <w:noProof/>
        </w:rPr>
      </w:pPr>
      <w:r>
        <w:rPr>
          <w:noProof/>
        </w:rPr>
        <w:sym w:font="Wingdings" w:char="F0A8"/>
      </w:r>
      <w:r>
        <w:rPr>
          <w:noProof/>
        </w:rPr>
        <w:t xml:space="preserve"> veřejnoprávní subjekty;</w:t>
      </w:r>
    </w:p>
    <w:p>
      <w:pPr>
        <w:pStyle w:val="Tiret0"/>
        <w:tabs>
          <w:tab w:val="clear" w:pos="850"/>
          <w:tab w:val="num" w:pos="1418"/>
        </w:tabs>
        <w:ind w:left="1418" w:hanging="284"/>
        <w:rPr>
          <w:noProof/>
        </w:rPr>
      </w:pPr>
      <w:r>
        <w:rPr>
          <w:noProof/>
        </w:rPr>
        <w:sym w:font="Wingdings" w:char="F0A8"/>
      </w:r>
      <w:r>
        <w:rPr>
          <w:noProof/>
        </w:rPr>
        <w:t xml:space="preserve"> soukromoprávní subjekty pověřené výkonem veřejné služby v rozsahu, v jakém poskytují dostatečné finanční záruky;</w:t>
      </w:r>
    </w:p>
    <w:p>
      <w:pPr>
        <w:pStyle w:val="Tiret0"/>
        <w:tabs>
          <w:tab w:val="clear" w:pos="850"/>
          <w:tab w:val="num" w:pos="1418"/>
        </w:tabs>
        <w:ind w:left="1418" w:hanging="284"/>
        <w:rPr>
          <w:noProof/>
        </w:rPr>
      </w:pPr>
      <w:r>
        <w:rPr>
          <w:noProof/>
        </w:rPr>
        <w:sym w:font="Wingdings" w:char="F0A8"/>
      </w:r>
      <w:r>
        <w:rPr>
          <w:noProof/>
        </w:rPr>
        <w:t>soukromoprávní subjekty členského státu pověřené uskutečňováním partnerství soukromého a veřejného sektoru a poskytující dostatečné finanční záruky;</w:t>
      </w:r>
    </w:p>
    <w:p>
      <w:pPr>
        <w:pStyle w:val="Tiret0"/>
        <w:tabs>
          <w:tab w:val="clear" w:pos="850"/>
          <w:tab w:val="num" w:pos="1418"/>
        </w:tabs>
        <w:ind w:left="1418" w:hanging="284"/>
        <w:rPr>
          <w:noProof/>
        </w:rPr>
      </w:pPr>
      <w:r>
        <w:rPr>
          <w:noProof/>
        </w:rPr>
        <w:sym w:font="Wingdings" w:char="F0A8"/>
      </w:r>
      <w:r>
        <w:rPr>
          <w:noProof/>
        </w:rPr>
        <w:t xml:space="preserve"> osoby pověřené prováděním zvláštních činností v rámci společné zahraniční a bezpečnostní politiky podle hlavy V Smlouvy o EU a určené v příslušném základním právním aktu.</w:t>
      </w:r>
    </w:p>
    <w:p>
      <w:pPr>
        <w:pStyle w:val="Tiret0"/>
        <w:tabs>
          <w:tab w:val="clear" w:pos="850"/>
          <w:tab w:val="num" w:pos="1418"/>
        </w:tabs>
        <w:ind w:left="1418" w:hanging="284"/>
        <w:rPr>
          <w:noProof/>
          <w:sz w:val="20"/>
          <w:szCs w:val="20"/>
        </w:rPr>
      </w:pPr>
      <w:r>
        <w:rPr>
          <w:noProof/>
          <w:sz w:val="20"/>
        </w:rPr>
        <w:t>Pokud vyberete více způsobů řízení, upřesněte je v části „Poznámky“.</w:t>
      </w:r>
    </w:p>
    <w:p>
      <w:pPr>
        <w:rPr>
          <w:noProof/>
        </w:rPr>
      </w:pPr>
      <w:r>
        <w:rPr>
          <w:noProof/>
        </w:rPr>
        <w:t xml:space="preserve">Poznámky </w:t>
      </w:r>
    </w:p>
    <w:p>
      <w:pPr>
        <w:pBdr>
          <w:top w:val="single" w:sz="4" w:space="1" w:color="auto"/>
          <w:left w:val="single" w:sz="4" w:space="4" w:color="auto"/>
          <w:bottom w:val="single" w:sz="4" w:space="1" w:color="auto"/>
          <w:right w:val="single" w:sz="4" w:space="4" w:color="auto"/>
        </w:pBdr>
        <w:rPr>
          <w:noProof/>
        </w:rPr>
      </w:pPr>
    </w:p>
    <w:p>
      <w:pPr>
        <w:rPr>
          <w:noProof/>
        </w:rPr>
        <w:sectPr>
          <w:pgSz w:w="11907" w:h="16840" w:code="9"/>
          <w:pgMar w:top="1134" w:right="1418" w:bottom="1134" w:left="1418" w:header="709" w:footer="709" w:gutter="0"/>
          <w:cols w:space="708"/>
          <w:docGrid w:linePitch="360"/>
        </w:sectPr>
      </w:pPr>
    </w:p>
    <w:p>
      <w:pPr>
        <w:pStyle w:val="ManualNumPar1"/>
        <w:rPr>
          <w:noProof/>
        </w:rPr>
      </w:pPr>
      <w:r>
        <w:t>2.</w:t>
      </w:r>
      <w:r>
        <w:tab/>
      </w:r>
      <w:r>
        <w:rPr>
          <w:noProof/>
        </w:rPr>
        <w:t xml:space="preserve">SPRÁVNÍ OPATŘENÍ </w:t>
      </w:r>
    </w:p>
    <w:p>
      <w:pPr>
        <w:pStyle w:val="ManualNumPar2"/>
        <w:rPr>
          <w:noProof/>
        </w:rPr>
      </w:pPr>
      <w:r>
        <w:t>2.1.</w:t>
      </w:r>
      <w:r>
        <w:tab/>
      </w:r>
      <w:r>
        <w:rPr>
          <w:noProof/>
        </w:rPr>
        <w:t xml:space="preserve">Pravidla pro sledování a podávání zpráv </w:t>
      </w:r>
    </w:p>
    <w:p>
      <w:pPr>
        <w:ind w:left="850"/>
        <w:rPr>
          <w:i/>
          <w:noProof/>
          <w:sz w:val="20"/>
          <w:u w:val="single"/>
        </w:rPr>
      </w:pPr>
      <w:r>
        <w:rPr>
          <w:i/>
          <w:noProof/>
          <w:sz w:val="20"/>
        </w:rPr>
        <w:t>Upřesněte četnost a podmínky.</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Podle článku 23 nařízení č. 1920/2006 o Evropském monitorovacím centru pro drogy a drogovou závislost se provádí vnější hodnocení centra každých šest let, v návaznosti na ukončení dvou po sobě jdoucích tříletých pracovních programů centra.</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Podle čl. 9 odst. 7 nařízení č. 1920/2006 o Evropském monitorovacím centru pro drogy a drogovou závislost „Správní rada přijímá výroční zprávu o činnosti centra a do 15. června ji předává Evropskému parlamentu, Radě, Komisi, Účetnímu dvoru a členským státům.“</w:t>
      </w:r>
    </w:p>
    <w:p>
      <w:pPr>
        <w:pStyle w:val="ManualNumPar2"/>
        <w:rPr>
          <w:noProof/>
        </w:rPr>
      </w:pPr>
      <w:r>
        <w:t>2.2.</w:t>
      </w:r>
      <w:r>
        <w:tab/>
      </w:r>
      <w:r>
        <w:rPr>
          <w:noProof/>
        </w:rPr>
        <w:t xml:space="preserve">Systém řízení a kontroly </w:t>
      </w:r>
    </w:p>
    <w:p>
      <w:pPr>
        <w:pStyle w:val="ManualNumPar3"/>
        <w:rPr>
          <w:noProof/>
        </w:rPr>
      </w:pPr>
      <w:r>
        <w:t>2.2.1.</w:t>
      </w:r>
      <w:r>
        <w:tab/>
      </w:r>
      <w:r>
        <w:rPr>
          <w:noProof/>
        </w:rPr>
        <w:t xml:space="preserve">Zjištěná rizika </w:t>
      </w:r>
    </w:p>
    <w:p>
      <w:pPr>
        <w:pBdr>
          <w:top w:val="single" w:sz="4" w:space="1" w:color="auto"/>
          <w:left w:val="single" w:sz="4" w:space="4" w:color="auto"/>
          <w:bottom w:val="single" w:sz="4" w:space="1" w:color="auto"/>
          <w:right w:val="single" w:sz="4" w:space="4" w:color="auto"/>
        </w:pBdr>
        <w:ind w:left="850"/>
        <w:rPr>
          <w:noProof/>
        </w:rPr>
      </w:pPr>
      <w:r>
        <w:rPr>
          <w:noProof/>
        </w:rPr>
        <w:t>Případná prodlení při provádění mají být zmírněna pravidelným sledováním</w:t>
      </w:r>
    </w:p>
    <w:p>
      <w:pPr>
        <w:pStyle w:val="ManualNumPar3"/>
        <w:rPr>
          <w:noProof/>
        </w:rPr>
      </w:pPr>
      <w:r>
        <w:t>2.2.2.</w:t>
      </w:r>
      <w:r>
        <w:tab/>
      </w:r>
      <w:r>
        <w:rPr>
          <w:noProof/>
        </w:rPr>
        <w:t>Informace o zavedeném systému vnitřní kontroly</w:t>
      </w:r>
    </w:p>
    <w:p>
      <w:pPr>
        <w:pBdr>
          <w:top w:val="single" w:sz="4" w:space="1" w:color="auto"/>
          <w:left w:val="single" w:sz="4" w:space="4" w:color="auto"/>
          <w:bottom w:val="single" w:sz="4" w:space="1" w:color="auto"/>
          <w:right w:val="single" w:sz="4" w:space="4" w:color="auto"/>
        </w:pBdr>
        <w:ind w:left="850"/>
        <w:rPr>
          <w:noProof/>
        </w:rPr>
      </w:pPr>
      <w:r>
        <w:rPr>
          <w:noProof/>
        </w:rPr>
        <w:t xml:space="preserve">Standardní postupy Komise v oblasti kontroly či řízení o nesplnění povinnosti týkající se uplatňování pozměněného nařízení </w:t>
      </w:r>
    </w:p>
    <w:p>
      <w:pPr>
        <w:pStyle w:val="ManualNumPar3"/>
        <w:rPr>
          <w:noProof/>
        </w:rPr>
      </w:pPr>
      <w:r>
        <w:t>2.2.3.</w:t>
      </w:r>
      <w:r>
        <w:tab/>
      </w:r>
      <w:r>
        <w:rPr>
          <w:noProof/>
        </w:rPr>
        <w:t xml:space="preserve">Odhad nákladů a přínosů kontrol a posouzení očekávané míry rizika výskytu chyb </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Nevztahuje se na tento návrh, jelikož nebyla zjištěna žádná rizika.</w:t>
      </w:r>
    </w:p>
    <w:p>
      <w:pPr>
        <w:pStyle w:val="ManualNumPar2"/>
        <w:rPr>
          <w:noProof/>
        </w:rPr>
      </w:pPr>
      <w:r>
        <w:t>2.3.</w:t>
      </w:r>
      <w:r>
        <w:tab/>
      </w:r>
      <w:r>
        <w:rPr>
          <w:noProof/>
        </w:rPr>
        <w:t xml:space="preserve">Opatření k zamezení podvodů a nesrovnalostí </w:t>
      </w:r>
    </w:p>
    <w:p>
      <w:pPr>
        <w:ind w:left="850"/>
        <w:rPr>
          <w:i/>
          <w:noProof/>
          <w:sz w:val="20"/>
        </w:rPr>
      </w:pPr>
      <w:r>
        <w:rPr>
          <w:i/>
          <w:noProof/>
          <w:sz w:val="20"/>
        </w:rPr>
        <w:t>Upřesněte stávající či předpokládaná preventivní a ochranná opatření.</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Podle článku 16 nařízení č. 1920/2006 o Evropském monitorovacím centru pro drogy a drogovou závislost v zájmu boje proti podvodům, korupci a jakékoli jiné nedovolené činnosti poškozující finanční zájmy Společenství se na centrum vztahují bez omezení ustanovení nařízení (ES) č. 1073/1999.</w:t>
      </w:r>
    </w:p>
    <w:p>
      <w:pPr>
        <w:rPr>
          <w:noProof/>
        </w:rPr>
        <w:sectPr>
          <w:pgSz w:w="11907" w:h="16840" w:code="9"/>
          <w:pgMar w:top="1134" w:right="1418" w:bottom="1134" w:left="1418" w:header="709" w:footer="709" w:gutter="0"/>
          <w:cols w:space="708"/>
          <w:docGrid w:linePitch="360"/>
        </w:sectPr>
      </w:pPr>
    </w:p>
    <w:p>
      <w:pPr>
        <w:pStyle w:val="ManualNumPar1"/>
        <w:rPr>
          <w:noProof/>
        </w:rPr>
      </w:pPr>
      <w:r>
        <w:t>3.</w:t>
      </w:r>
      <w:r>
        <w:tab/>
      </w:r>
      <w:r>
        <w:rPr>
          <w:noProof/>
        </w:rPr>
        <w:t xml:space="preserve">ODHADOVANÝ FINANČNÍ DOPAD NÁVRHU/PODNĚTU </w:t>
      </w:r>
    </w:p>
    <w:p>
      <w:pPr>
        <w:pStyle w:val="ManualNumPar2"/>
        <w:rPr>
          <w:noProof/>
        </w:rPr>
      </w:pPr>
      <w:r>
        <w:t>3.1.</w:t>
      </w:r>
      <w:r>
        <w:tab/>
      </w:r>
      <w:r>
        <w:rPr>
          <w:noProof/>
        </w:rPr>
        <w:t xml:space="preserve">Okruhy víceletého finančního rámce a dotčené výdajové rozpočtové položky </w:t>
      </w:r>
    </w:p>
    <w:p>
      <w:pPr>
        <w:pStyle w:val="Bullet1"/>
        <w:numPr>
          <w:ilvl w:val="0"/>
          <w:numId w:val="14"/>
        </w:numPr>
        <w:rPr>
          <w:noProof/>
        </w:rPr>
      </w:pPr>
      <w:r>
        <w:rPr>
          <w:noProof/>
        </w:rPr>
        <w:t xml:space="preserve">Stávající rozpočtové položky </w:t>
      </w:r>
    </w:p>
    <w:p>
      <w:pPr>
        <w:ind w:left="850"/>
        <w:rPr>
          <w:noProof/>
        </w:rPr>
      </w:pPr>
      <w:r>
        <w:rPr>
          <w:noProof/>
          <w:u w:val="single"/>
        </w:rPr>
        <w:t>V pořadí</w:t>
      </w:r>
      <w:r>
        <w:rPr>
          <w:noProof/>
        </w:rPr>
        <w:t xml:space="preserve"> okruhů víceletého finančního rámce a rozpočtových položek.</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sz w:val="22"/>
              </w:rPr>
            </w:pPr>
            <w:r>
              <w:rPr>
                <w:noProof/>
                <w:sz w:val="18"/>
              </w:rPr>
              <w:t>Okruh víceletého finančního rámce</w:t>
            </w:r>
          </w:p>
        </w:tc>
        <w:tc>
          <w:tcPr>
            <w:tcW w:w="3960" w:type="dxa"/>
            <w:vAlign w:val="center"/>
          </w:tcPr>
          <w:p>
            <w:pPr>
              <w:spacing w:before="60" w:after="60"/>
              <w:jc w:val="center"/>
              <w:rPr>
                <w:noProof/>
                <w:sz w:val="22"/>
              </w:rPr>
            </w:pPr>
            <w:r>
              <w:rPr>
                <w:noProof/>
                <w:sz w:val="20"/>
              </w:rPr>
              <w:t>Rozpočtová položka</w:t>
            </w:r>
          </w:p>
        </w:tc>
        <w:tc>
          <w:tcPr>
            <w:tcW w:w="1080" w:type="dxa"/>
            <w:vAlign w:val="center"/>
          </w:tcPr>
          <w:p>
            <w:pPr>
              <w:spacing w:before="60" w:after="60"/>
              <w:jc w:val="center"/>
              <w:rPr>
                <w:noProof/>
                <w:sz w:val="22"/>
              </w:rPr>
            </w:pPr>
            <w:r>
              <w:rPr>
                <w:noProof/>
                <w:sz w:val="18"/>
              </w:rPr>
              <w:t>Druh</w:t>
            </w:r>
            <w:r>
              <w:rPr>
                <w:noProof/>
                <w:sz w:val="22"/>
              </w:rPr>
              <w:br/>
            </w:r>
            <w:r>
              <w:rPr>
                <w:noProof/>
                <w:sz w:val="18"/>
              </w:rPr>
              <w:t>výdaje</w:t>
            </w:r>
          </w:p>
        </w:tc>
        <w:tc>
          <w:tcPr>
            <w:tcW w:w="4440" w:type="dxa"/>
            <w:gridSpan w:val="4"/>
            <w:vAlign w:val="center"/>
          </w:tcPr>
          <w:p>
            <w:pPr>
              <w:spacing w:before="60" w:after="60"/>
              <w:jc w:val="center"/>
              <w:rPr>
                <w:noProof/>
                <w:sz w:val="22"/>
              </w:rPr>
            </w:pPr>
            <w:r>
              <w:rPr>
                <w:noProof/>
                <w:sz w:val="20"/>
              </w:rPr>
              <w:t xml:space="preserve">Příspěvek </w:t>
            </w:r>
          </w:p>
        </w:tc>
      </w:tr>
      <w:tr>
        <w:tc>
          <w:tcPr>
            <w:tcW w:w="1080" w:type="dxa"/>
            <w:vMerge/>
            <w:vAlign w:val="center"/>
          </w:tcPr>
          <w:p>
            <w:pPr>
              <w:jc w:val="center"/>
              <w:rPr>
                <w:noProof/>
                <w:sz w:val="22"/>
              </w:rPr>
            </w:pPr>
          </w:p>
        </w:tc>
        <w:tc>
          <w:tcPr>
            <w:tcW w:w="3960" w:type="dxa"/>
            <w:vAlign w:val="center"/>
          </w:tcPr>
          <w:p>
            <w:pPr>
              <w:rPr>
                <w:noProof/>
                <w:sz w:val="22"/>
              </w:rPr>
            </w:pPr>
            <w:r>
              <w:rPr>
                <w:noProof/>
                <w:sz w:val="20"/>
              </w:rPr>
              <w:t>Číslo</w:t>
            </w:r>
            <w:r>
              <w:rPr>
                <w:noProof/>
                <w:sz w:val="22"/>
              </w:rPr>
              <w:br/>
            </w:r>
            <w:r>
              <w:rPr>
                <w:noProof/>
                <w:sz w:val="20"/>
              </w:rPr>
              <w:t>Okruh 3</w:t>
            </w:r>
          </w:p>
        </w:tc>
        <w:tc>
          <w:tcPr>
            <w:tcW w:w="1080" w:type="dxa"/>
            <w:vAlign w:val="center"/>
          </w:tcPr>
          <w:p>
            <w:pPr>
              <w:jc w:val="center"/>
              <w:rPr>
                <w:noProof/>
                <w:sz w:val="22"/>
              </w:rPr>
            </w:pPr>
            <w:r>
              <w:rPr>
                <w:noProof/>
                <w:sz w:val="18"/>
              </w:rPr>
              <w:t>RP/NRP</w:t>
            </w:r>
            <w:r>
              <w:rPr>
                <w:rStyle w:val="FootnoteReference"/>
                <w:noProof/>
                <w:sz w:val="18"/>
              </w:rPr>
              <w:footnoteReference w:id="24"/>
            </w:r>
            <w:r>
              <w:rPr>
                <w:rStyle w:val="CommentReference"/>
                <w:noProof/>
              </w:rPr>
              <w:t xml:space="preserve"> </w:t>
            </w:r>
          </w:p>
        </w:tc>
        <w:tc>
          <w:tcPr>
            <w:tcW w:w="956" w:type="dxa"/>
            <w:vAlign w:val="center"/>
          </w:tcPr>
          <w:p>
            <w:pPr>
              <w:jc w:val="center"/>
              <w:rPr>
                <w:noProof/>
                <w:sz w:val="22"/>
              </w:rPr>
            </w:pPr>
            <w:r>
              <w:rPr>
                <w:noProof/>
                <w:sz w:val="18"/>
              </w:rPr>
              <w:t>zemí ESVO</w:t>
            </w:r>
            <w:r>
              <w:rPr>
                <w:rStyle w:val="FootnoteReference"/>
                <w:noProof/>
              </w:rPr>
              <w:footnoteReference w:id="25"/>
            </w:r>
          </w:p>
          <w:p>
            <w:pPr>
              <w:spacing w:before="0" w:after="0"/>
              <w:jc w:val="center"/>
              <w:rPr>
                <w:b/>
                <w:noProof/>
                <w:sz w:val="18"/>
              </w:rPr>
            </w:pPr>
          </w:p>
        </w:tc>
        <w:tc>
          <w:tcPr>
            <w:tcW w:w="1080" w:type="dxa"/>
            <w:vAlign w:val="center"/>
          </w:tcPr>
          <w:p>
            <w:pPr>
              <w:jc w:val="center"/>
              <w:rPr>
                <w:noProof/>
                <w:sz w:val="22"/>
              </w:rPr>
            </w:pPr>
            <w:r>
              <w:rPr>
                <w:noProof/>
                <w:sz w:val="18"/>
              </w:rPr>
              <w:t>kandidátských zemí</w:t>
            </w:r>
            <w:r>
              <w:rPr>
                <w:rStyle w:val="FootnoteReference"/>
                <w:noProof/>
              </w:rPr>
              <w:footnoteReference w:id="26"/>
            </w:r>
          </w:p>
          <w:p>
            <w:pPr>
              <w:spacing w:before="0" w:after="0"/>
              <w:jc w:val="center"/>
              <w:rPr>
                <w:noProof/>
                <w:sz w:val="18"/>
              </w:rPr>
            </w:pPr>
          </w:p>
        </w:tc>
        <w:tc>
          <w:tcPr>
            <w:tcW w:w="956" w:type="dxa"/>
            <w:vAlign w:val="center"/>
          </w:tcPr>
          <w:p>
            <w:pPr>
              <w:jc w:val="center"/>
              <w:rPr>
                <w:noProof/>
                <w:sz w:val="18"/>
              </w:rPr>
            </w:pPr>
            <w:r>
              <w:rPr>
                <w:noProof/>
                <w:sz w:val="18"/>
              </w:rPr>
              <w:t>třetích zemí</w:t>
            </w:r>
          </w:p>
        </w:tc>
        <w:tc>
          <w:tcPr>
            <w:tcW w:w="1448" w:type="dxa"/>
            <w:vAlign w:val="center"/>
          </w:tcPr>
          <w:p>
            <w:pPr>
              <w:jc w:val="center"/>
              <w:rPr>
                <w:noProof/>
                <w:sz w:val="22"/>
              </w:rPr>
            </w:pPr>
            <w:r>
              <w:rPr>
                <w:noProof/>
                <w:sz w:val="16"/>
              </w:rPr>
              <w:t xml:space="preserve">ve smyslu čl. 21 odst. 2 písm. b) finančního nařízení </w:t>
            </w:r>
          </w:p>
        </w:tc>
      </w:tr>
      <w:tr>
        <w:tc>
          <w:tcPr>
            <w:tcW w:w="1080" w:type="dxa"/>
            <w:vAlign w:val="center"/>
          </w:tcPr>
          <w:p>
            <w:pPr>
              <w:jc w:val="center"/>
              <w:rPr>
                <w:noProof/>
                <w:color w:val="0000FF"/>
                <w:sz w:val="22"/>
              </w:rPr>
            </w:pPr>
          </w:p>
        </w:tc>
        <w:tc>
          <w:tcPr>
            <w:tcW w:w="3960" w:type="dxa"/>
            <w:vAlign w:val="center"/>
          </w:tcPr>
          <w:p>
            <w:pPr>
              <w:spacing w:before="60"/>
              <w:rPr>
                <w:noProof/>
                <w:sz w:val="22"/>
              </w:rPr>
            </w:pPr>
            <w:r>
              <w:rPr>
                <w:noProof/>
                <w:sz w:val="22"/>
              </w:rPr>
              <w:t>Evropské monitorovací centrum pro drogy a drogovou závislost (EMCDDA)</w:t>
            </w:r>
          </w:p>
          <w:p>
            <w:pPr>
              <w:spacing w:before="60"/>
              <w:rPr>
                <w:noProof/>
                <w:sz w:val="22"/>
              </w:rPr>
            </w:pPr>
            <w:r>
              <w:rPr>
                <w:noProof/>
                <w:sz w:val="22"/>
              </w:rPr>
              <w:t>18 06 02</w:t>
            </w:r>
          </w:p>
          <w:p>
            <w:pPr>
              <w:spacing w:after="60"/>
              <w:rPr>
                <w:noProof/>
                <w:sz w:val="22"/>
              </w:rPr>
            </w:pPr>
          </w:p>
        </w:tc>
        <w:tc>
          <w:tcPr>
            <w:tcW w:w="1080" w:type="dxa"/>
            <w:vAlign w:val="center"/>
          </w:tcPr>
          <w:p>
            <w:pPr>
              <w:jc w:val="center"/>
              <w:rPr>
                <w:noProof/>
                <w:color w:val="0000FF"/>
                <w:sz w:val="22"/>
              </w:rPr>
            </w:pPr>
            <w:r>
              <w:rPr>
                <w:noProof/>
                <w:sz w:val="22"/>
              </w:rPr>
              <w:t>RP</w:t>
            </w:r>
          </w:p>
        </w:tc>
        <w:tc>
          <w:tcPr>
            <w:tcW w:w="956" w:type="dxa"/>
            <w:vAlign w:val="center"/>
          </w:tcPr>
          <w:p>
            <w:pPr>
              <w:jc w:val="center"/>
              <w:rPr>
                <w:noProof/>
                <w:sz w:val="22"/>
              </w:rPr>
            </w:pPr>
            <w:r>
              <w:rPr>
                <w:noProof/>
                <w:sz w:val="22"/>
              </w:rPr>
              <w:t>NE</w:t>
            </w:r>
          </w:p>
        </w:tc>
        <w:tc>
          <w:tcPr>
            <w:tcW w:w="1080" w:type="dxa"/>
            <w:vAlign w:val="center"/>
          </w:tcPr>
          <w:p>
            <w:pPr>
              <w:jc w:val="center"/>
              <w:rPr>
                <w:noProof/>
                <w:sz w:val="22"/>
              </w:rPr>
            </w:pPr>
            <w:r>
              <w:rPr>
                <w:noProof/>
                <w:sz w:val="22"/>
              </w:rPr>
              <w:t>NE</w:t>
            </w:r>
          </w:p>
        </w:tc>
        <w:tc>
          <w:tcPr>
            <w:tcW w:w="956" w:type="dxa"/>
            <w:vAlign w:val="center"/>
          </w:tcPr>
          <w:p>
            <w:pPr>
              <w:jc w:val="center"/>
              <w:rPr>
                <w:noProof/>
                <w:sz w:val="22"/>
              </w:rPr>
            </w:pPr>
            <w:r>
              <w:rPr>
                <w:noProof/>
                <w:sz w:val="22"/>
              </w:rPr>
              <w:t>NE</w:t>
            </w:r>
          </w:p>
        </w:tc>
        <w:tc>
          <w:tcPr>
            <w:tcW w:w="1448" w:type="dxa"/>
            <w:vAlign w:val="center"/>
          </w:tcPr>
          <w:p>
            <w:pPr>
              <w:jc w:val="center"/>
              <w:rPr>
                <w:noProof/>
                <w:sz w:val="22"/>
              </w:rPr>
            </w:pPr>
            <w:r>
              <w:rPr>
                <w:noProof/>
                <w:sz w:val="22"/>
              </w:rPr>
              <w:t>NE</w:t>
            </w:r>
          </w:p>
        </w:tc>
      </w:tr>
    </w:tbl>
    <w:p>
      <w:pPr>
        <w:pStyle w:val="Bullet1"/>
        <w:rPr>
          <w:noProof/>
        </w:rPr>
      </w:pPr>
      <w:r>
        <w:rPr>
          <w:noProof/>
        </w:rPr>
        <w:t>Nové rozpočtové položky, jejichž vytvoření se požaduje – nepoužije se</w:t>
      </w:r>
    </w:p>
    <w:p>
      <w:pPr>
        <w:ind w:left="850"/>
        <w:rPr>
          <w:i/>
          <w:noProof/>
          <w:sz w:val="20"/>
        </w:rPr>
      </w:pPr>
      <w:r>
        <w:rPr>
          <w:i/>
          <w:noProof/>
          <w:u w:val="single"/>
        </w:rPr>
        <w:t>V pořadí</w:t>
      </w:r>
      <w:r>
        <w:rPr>
          <w:i/>
          <w:noProof/>
        </w:rPr>
        <w:t xml:space="preserve"> okruhů víceletého finančního rámce a rozpočtových položek.</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sz w:val="18"/>
                <w:szCs w:val="18"/>
              </w:rPr>
            </w:pPr>
            <w:r>
              <w:rPr>
                <w:noProof/>
                <w:sz w:val="18"/>
              </w:rPr>
              <w:t>Okruh víceletého finančního rámce</w:t>
            </w:r>
          </w:p>
        </w:tc>
        <w:tc>
          <w:tcPr>
            <w:tcW w:w="3960" w:type="dxa"/>
            <w:vAlign w:val="center"/>
          </w:tcPr>
          <w:p>
            <w:pPr>
              <w:spacing w:before="60" w:after="60"/>
              <w:jc w:val="center"/>
              <w:rPr>
                <w:noProof/>
                <w:sz w:val="22"/>
              </w:rPr>
            </w:pPr>
            <w:r>
              <w:rPr>
                <w:noProof/>
                <w:sz w:val="20"/>
              </w:rPr>
              <w:t>Rozpočtová položka</w:t>
            </w:r>
          </w:p>
        </w:tc>
        <w:tc>
          <w:tcPr>
            <w:tcW w:w="1080" w:type="dxa"/>
            <w:vAlign w:val="center"/>
          </w:tcPr>
          <w:p>
            <w:pPr>
              <w:spacing w:before="60" w:after="60"/>
              <w:jc w:val="center"/>
              <w:rPr>
                <w:noProof/>
                <w:sz w:val="22"/>
              </w:rPr>
            </w:pPr>
            <w:r>
              <w:rPr>
                <w:noProof/>
                <w:sz w:val="18"/>
              </w:rPr>
              <w:t>Druh</w:t>
            </w:r>
            <w:r>
              <w:rPr>
                <w:noProof/>
                <w:sz w:val="22"/>
              </w:rPr>
              <w:br/>
            </w:r>
            <w:r>
              <w:rPr>
                <w:noProof/>
                <w:sz w:val="18"/>
              </w:rPr>
              <w:t>výdaje</w:t>
            </w:r>
          </w:p>
        </w:tc>
        <w:tc>
          <w:tcPr>
            <w:tcW w:w="4440" w:type="dxa"/>
            <w:gridSpan w:val="4"/>
            <w:vAlign w:val="center"/>
          </w:tcPr>
          <w:p>
            <w:pPr>
              <w:spacing w:before="60" w:after="60"/>
              <w:jc w:val="center"/>
              <w:rPr>
                <w:noProof/>
                <w:sz w:val="22"/>
              </w:rPr>
            </w:pPr>
            <w:r>
              <w:rPr>
                <w:noProof/>
                <w:sz w:val="20"/>
              </w:rPr>
              <w:t xml:space="preserve">Příspěvek </w:t>
            </w:r>
          </w:p>
        </w:tc>
      </w:tr>
      <w:tr>
        <w:tc>
          <w:tcPr>
            <w:tcW w:w="1080" w:type="dxa"/>
            <w:vMerge/>
            <w:vAlign w:val="center"/>
          </w:tcPr>
          <w:p>
            <w:pPr>
              <w:jc w:val="center"/>
              <w:rPr>
                <w:noProof/>
                <w:sz w:val="22"/>
              </w:rPr>
            </w:pPr>
          </w:p>
        </w:tc>
        <w:tc>
          <w:tcPr>
            <w:tcW w:w="3960" w:type="dxa"/>
            <w:vAlign w:val="center"/>
          </w:tcPr>
          <w:p>
            <w:pPr>
              <w:rPr>
                <w:noProof/>
                <w:sz w:val="22"/>
              </w:rPr>
            </w:pPr>
            <w:r>
              <w:rPr>
                <w:noProof/>
                <w:sz w:val="20"/>
              </w:rPr>
              <w:t>Číslo</w:t>
            </w:r>
            <w:r>
              <w:rPr>
                <w:noProof/>
                <w:sz w:val="22"/>
              </w:rPr>
              <w:br/>
            </w:r>
            <w:r>
              <w:rPr>
                <w:noProof/>
                <w:sz w:val="22"/>
              </w:rPr>
              <w:br/>
            </w:r>
            <w:r>
              <w:rPr>
                <w:noProof/>
                <w:color w:val="0000FF"/>
                <w:sz w:val="22"/>
              </w:rPr>
              <w:t>[…]</w:t>
            </w:r>
            <w:r>
              <w:rPr>
                <w:noProof/>
                <w:sz w:val="20"/>
              </w:rPr>
              <w:t>[Okruh………………………………………]</w:t>
            </w:r>
          </w:p>
        </w:tc>
        <w:tc>
          <w:tcPr>
            <w:tcW w:w="1080" w:type="dxa"/>
            <w:vAlign w:val="center"/>
          </w:tcPr>
          <w:p>
            <w:pPr>
              <w:jc w:val="center"/>
              <w:rPr>
                <w:noProof/>
                <w:sz w:val="22"/>
              </w:rPr>
            </w:pPr>
            <w:r>
              <w:rPr>
                <w:noProof/>
                <w:sz w:val="18"/>
              </w:rPr>
              <w:t>RP/NRP</w:t>
            </w:r>
          </w:p>
        </w:tc>
        <w:tc>
          <w:tcPr>
            <w:tcW w:w="956" w:type="dxa"/>
            <w:vAlign w:val="center"/>
          </w:tcPr>
          <w:p>
            <w:pPr>
              <w:jc w:val="center"/>
              <w:rPr>
                <w:noProof/>
                <w:sz w:val="18"/>
              </w:rPr>
            </w:pPr>
            <w:r>
              <w:rPr>
                <w:noProof/>
                <w:sz w:val="18"/>
              </w:rPr>
              <w:t>zemí ESVO</w:t>
            </w:r>
          </w:p>
        </w:tc>
        <w:tc>
          <w:tcPr>
            <w:tcW w:w="1080" w:type="dxa"/>
            <w:vAlign w:val="center"/>
          </w:tcPr>
          <w:p>
            <w:pPr>
              <w:jc w:val="center"/>
              <w:rPr>
                <w:noProof/>
                <w:sz w:val="18"/>
              </w:rPr>
            </w:pPr>
            <w:r>
              <w:rPr>
                <w:noProof/>
                <w:sz w:val="18"/>
              </w:rPr>
              <w:t>kandidátských zemí</w:t>
            </w:r>
          </w:p>
        </w:tc>
        <w:tc>
          <w:tcPr>
            <w:tcW w:w="956" w:type="dxa"/>
            <w:vAlign w:val="center"/>
          </w:tcPr>
          <w:p>
            <w:pPr>
              <w:jc w:val="center"/>
              <w:rPr>
                <w:noProof/>
                <w:sz w:val="18"/>
              </w:rPr>
            </w:pPr>
            <w:r>
              <w:rPr>
                <w:noProof/>
                <w:sz w:val="18"/>
              </w:rPr>
              <w:t>třetích zemí</w:t>
            </w:r>
          </w:p>
        </w:tc>
        <w:tc>
          <w:tcPr>
            <w:tcW w:w="1448" w:type="dxa"/>
            <w:vAlign w:val="center"/>
          </w:tcPr>
          <w:p>
            <w:pPr>
              <w:jc w:val="center"/>
              <w:rPr>
                <w:noProof/>
                <w:sz w:val="22"/>
              </w:rPr>
            </w:pPr>
            <w:r>
              <w:rPr>
                <w:noProof/>
                <w:sz w:val="16"/>
              </w:rPr>
              <w:t xml:space="preserve">ve smyslu čl. 21 odst. 2 písm. b) finančního nařízení </w:t>
            </w:r>
          </w:p>
        </w:tc>
      </w:tr>
      <w:tr>
        <w:tc>
          <w:tcPr>
            <w:tcW w:w="1080" w:type="dxa"/>
            <w:vAlign w:val="center"/>
          </w:tcPr>
          <w:p>
            <w:pPr>
              <w:jc w:val="center"/>
              <w:rPr>
                <w:noProof/>
                <w:color w:val="0000FF"/>
                <w:sz w:val="22"/>
              </w:rPr>
            </w:pPr>
          </w:p>
        </w:tc>
        <w:tc>
          <w:tcPr>
            <w:tcW w:w="3960" w:type="dxa"/>
            <w:vAlign w:val="center"/>
          </w:tcPr>
          <w:p>
            <w:pPr>
              <w:spacing w:before="60"/>
              <w:rPr>
                <w:noProof/>
                <w:sz w:val="22"/>
              </w:rPr>
            </w:pPr>
            <w:r>
              <w:rPr>
                <w:noProof/>
                <w:color w:val="0000FF"/>
                <w:sz w:val="22"/>
              </w:rPr>
              <w:t>[…]</w:t>
            </w:r>
            <w:r>
              <w:rPr>
                <w:noProof/>
              </w:rPr>
              <w:t>[XX.YY.YY.YY]</w:t>
            </w:r>
          </w:p>
          <w:p>
            <w:pPr>
              <w:spacing w:after="60"/>
              <w:rPr>
                <w:noProof/>
                <w:color w:val="0000FF"/>
                <w:sz w:val="22"/>
              </w:rPr>
            </w:pPr>
          </w:p>
        </w:tc>
        <w:tc>
          <w:tcPr>
            <w:tcW w:w="1080" w:type="dxa"/>
            <w:vAlign w:val="center"/>
          </w:tcPr>
          <w:p>
            <w:pPr>
              <w:jc w:val="center"/>
              <w:rPr>
                <w:noProof/>
                <w:color w:val="0000FF"/>
                <w:sz w:val="22"/>
              </w:rPr>
            </w:pPr>
          </w:p>
        </w:tc>
        <w:tc>
          <w:tcPr>
            <w:tcW w:w="956" w:type="dxa"/>
            <w:vAlign w:val="center"/>
          </w:tcPr>
          <w:p>
            <w:pPr>
              <w:jc w:val="center"/>
              <w:rPr>
                <w:noProof/>
                <w:sz w:val="22"/>
              </w:rPr>
            </w:pPr>
            <w:r>
              <w:rPr>
                <w:noProof/>
                <w:sz w:val="22"/>
              </w:rPr>
              <w:t>ANO/NE</w:t>
            </w:r>
          </w:p>
        </w:tc>
        <w:tc>
          <w:tcPr>
            <w:tcW w:w="1080" w:type="dxa"/>
            <w:vAlign w:val="center"/>
          </w:tcPr>
          <w:p>
            <w:pPr>
              <w:jc w:val="center"/>
              <w:rPr>
                <w:noProof/>
                <w:color w:val="0000FF"/>
                <w:sz w:val="18"/>
              </w:rPr>
            </w:pPr>
            <w:r>
              <w:rPr>
                <w:noProof/>
                <w:sz w:val="22"/>
              </w:rPr>
              <w:t>ANO/NE</w:t>
            </w:r>
          </w:p>
        </w:tc>
        <w:tc>
          <w:tcPr>
            <w:tcW w:w="956" w:type="dxa"/>
            <w:vAlign w:val="center"/>
          </w:tcPr>
          <w:p>
            <w:pPr>
              <w:jc w:val="center"/>
              <w:rPr>
                <w:noProof/>
                <w:color w:val="0000FF"/>
                <w:sz w:val="18"/>
              </w:rPr>
            </w:pPr>
            <w:r>
              <w:rPr>
                <w:noProof/>
                <w:sz w:val="22"/>
              </w:rPr>
              <w:t>ANO/NE</w:t>
            </w:r>
          </w:p>
        </w:tc>
        <w:tc>
          <w:tcPr>
            <w:tcW w:w="1448" w:type="dxa"/>
            <w:vAlign w:val="center"/>
          </w:tcPr>
          <w:p>
            <w:pPr>
              <w:jc w:val="center"/>
              <w:rPr>
                <w:noProof/>
                <w:sz w:val="22"/>
              </w:rPr>
            </w:pPr>
            <w:r>
              <w:rPr>
                <w:noProof/>
                <w:sz w:val="22"/>
              </w:rPr>
              <w:t>ANO/NE</w:t>
            </w:r>
          </w:p>
        </w:tc>
      </w:tr>
    </w:tbl>
    <w:p>
      <w:pPr>
        <w:rPr>
          <w:noProof/>
        </w:rPr>
        <w:sectPr>
          <w:pgSz w:w="11907" w:h="16840" w:code="1"/>
          <w:pgMar w:top="1134" w:right="1418" w:bottom="1134" w:left="1418" w:header="709" w:footer="709" w:gutter="0"/>
          <w:cols w:space="708"/>
          <w:docGrid w:linePitch="360"/>
        </w:sectPr>
      </w:pPr>
    </w:p>
    <w:p>
      <w:pPr>
        <w:pStyle w:val="ManualNumPar2"/>
        <w:rPr>
          <w:noProof/>
        </w:rPr>
      </w:pPr>
      <w:r>
        <w:t>3.2.</w:t>
      </w:r>
      <w:r>
        <w:tab/>
      </w:r>
      <w:r>
        <w:rPr>
          <w:noProof/>
        </w:rPr>
        <w:t xml:space="preserve">Odhadovaný dopad na výdaje </w:t>
      </w:r>
    </w:p>
    <w:p>
      <w:pPr>
        <w:pStyle w:val="ManualNumPar3"/>
        <w:rPr>
          <w:noProof/>
        </w:rPr>
      </w:pPr>
      <w:r>
        <w:t>3.2.1.</w:t>
      </w:r>
      <w:r>
        <w:tab/>
      </w:r>
      <w:r>
        <w:rPr>
          <w:noProof/>
        </w:rPr>
        <w:t xml:space="preserve">Odhadovaný souhrnný dopad na výdaje </w:t>
      </w:r>
    </w:p>
    <w:p>
      <w:pPr>
        <w:jc w:val="right"/>
        <w:rPr>
          <w:noProof/>
          <w:sz w:val="20"/>
        </w:rPr>
      </w:pPr>
      <w:r>
        <w:rPr>
          <w:noProof/>
          <w:sz w:val="20"/>
        </w:rPr>
        <w:t>v milionech EUR (zaokrouhleno na tři desetinná místa)</w:t>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sz w:val="22"/>
              </w:rPr>
            </w:pPr>
            <w:r>
              <w:rPr>
                <w:b/>
                <w:noProof/>
                <w:sz w:val="22"/>
              </w:rPr>
              <w:t>Okruh víceletého finančního</w:t>
            </w:r>
            <w:r>
              <w:rPr>
                <w:noProof/>
                <w:sz w:val="22"/>
              </w:rPr>
              <w:br/>
            </w:r>
            <w:r>
              <w:rPr>
                <w:b/>
                <w:noProof/>
                <w:sz w:val="22"/>
              </w:rPr>
              <w:t xml:space="preserve">rámce </w:t>
            </w:r>
          </w:p>
        </w:tc>
        <w:tc>
          <w:tcPr>
            <w:tcW w:w="1080" w:type="dxa"/>
            <w:vAlign w:val="center"/>
          </w:tcPr>
          <w:p>
            <w:pPr>
              <w:spacing w:before="60" w:after="60"/>
              <w:jc w:val="center"/>
              <w:rPr>
                <w:noProof/>
                <w:sz w:val="22"/>
              </w:rPr>
            </w:pPr>
            <w:r>
              <w:rPr>
                <w:noProof/>
                <w:sz w:val="22"/>
              </w:rPr>
              <w:t>Číslo</w:t>
            </w:r>
          </w:p>
        </w:tc>
        <w:tc>
          <w:tcPr>
            <w:tcW w:w="7817" w:type="dxa"/>
            <w:vAlign w:val="center"/>
          </w:tcPr>
          <w:p>
            <w:pPr>
              <w:spacing w:before="60" w:after="60"/>
              <w:rPr>
                <w:noProof/>
                <w:sz w:val="22"/>
              </w:rPr>
            </w:pPr>
            <w:r>
              <w:rPr>
                <w:noProof/>
                <w:sz w:val="22"/>
              </w:rPr>
              <w:t xml:space="preserve"> Okruh 3</w:t>
            </w:r>
          </w:p>
        </w:tc>
      </w:tr>
    </w:tbl>
    <w:p>
      <w:pPr>
        <w:rPr>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tc>
          <w:tcPr>
            <w:tcW w:w="3960" w:type="dxa"/>
            <w:vAlign w:val="center"/>
          </w:tcPr>
          <w:p>
            <w:pPr>
              <w:jc w:val="center"/>
              <w:rPr>
                <w:noProof/>
                <w:sz w:val="22"/>
              </w:rPr>
            </w:pPr>
            <w:r>
              <w:rPr>
                <w:noProof/>
                <w:sz w:val="22"/>
              </w:rPr>
              <w:t>EMCDDA</w:t>
            </w:r>
          </w:p>
        </w:tc>
        <w:tc>
          <w:tcPr>
            <w:tcW w:w="1560" w:type="dxa"/>
            <w:gridSpan w:val="2"/>
          </w:tcPr>
          <w:p>
            <w:pPr>
              <w:rPr>
                <w:noProof/>
                <w:sz w:val="20"/>
              </w:rPr>
            </w:pPr>
          </w:p>
        </w:tc>
        <w:tc>
          <w:tcPr>
            <w:tcW w:w="534" w:type="dxa"/>
          </w:tcPr>
          <w:p>
            <w:pPr>
              <w:jc w:val="center"/>
              <w:rPr>
                <w:noProof/>
                <w:sz w:val="20"/>
              </w:rPr>
            </w:pPr>
          </w:p>
        </w:tc>
        <w:tc>
          <w:tcPr>
            <w:tcW w:w="868" w:type="dxa"/>
            <w:vAlign w:val="center"/>
          </w:tcPr>
          <w:p>
            <w:pPr>
              <w:jc w:val="center"/>
              <w:rPr>
                <w:noProof/>
                <w:sz w:val="20"/>
              </w:rPr>
            </w:pPr>
            <w:r>
              <w:rPr>
                <w:noProof/>
                <w:sz w:val="20"/>
              </w:rPr>
              <w:t>Rok</w:t>
            </w:r>
            <w:r>
              <w:rPr>
                <w:noProof/>
                <w:sz w:val="20"/>
              </w:rPr>
              <w:br/>
            </w:r>
            <w:r>
              <w:rPr>
                <w:b/>
                <w:noProof/>
                <w:sz w:val="20"/>
              </w:rPr>
              <w:t>2017</w:t>
            </w:r>
            <w:r>
              <w:rPr>
                <w:rStyle w:val="FootnoteReference"/>
                <w:noProof/>
              </w:rPr>
              <w:footnoteReference w:id="27"/>
            </w:r>
          </w:p>
        </w:tc>
        <w:tc>
          <w:tcPr>
            <w:tcW w:w="868" w:type="dxa"/>
            <w:vAlign w:val="center"/>
          </w:tcPr>
          <w:p>
            <w:pPr>
              <w:jc w:val="center"/>
              <w:rPr>
                <w:noProof/>
                <w:sz w:val="20"/>
              </w:rPr>
            </w:pPr>
            <w:r>
              <w:rPr>
                <w:noProof/>
                <w:sz w:val="20"/>
              </w:rPr>
              <w:t>Rok</w:t>
            </w:r>
            <w:r>
              <w:rPr>
                <w:noProof/>
                <w:sz w:val="22"/>
              </w:rPr>
              <w:br/>
            </w:r>
            <w:r>
              <w:rPr>
                <w:b/>
                <w:noProof/>
                <w:sz w:val="20"/>
              </w:rPr>
              <w:t>2018</w:t>
            </w:r>
          </w:p>
        </w:tc>
        <w:tc>
          <w:tcPr>
            <w:tcW w:w="868" w:type="dxa"/>
            <w:vAlign w:val="center"/>
          </w:tcPr>
          <w:p>
            <w:pPr>
              <w:jc w:val="center"/>
              <w:rPr>
                <w:b/>
                <w:noProof/>
                <w:sz w:val="20"/>
              </w:rPr>
            </w:pPr>
            <w:r>
              <w:rPr>
                <w:noProof/>
                <w:sz w:val="20"/>
              </w:rPr>
              <w:t>Rok</w:t>
            </w:r>
            <w:r>
              <w:rPr>
                <w:noProof/>
                <w:sz w:val="22"/>
              </w:rPr>
              <w:br/>
            </w:r>
            <w:r>
              <w:rPr>
                <w:b/>
                <w:noProof/>
                <w:sz w:val="20"/>
              </w:rPr>
              <w:t>2019</w:t>
            </w:r>
          </w:p>
        </w:tc>
        <w:tc>
          <w:tcPr>
            <w:tcW w:w="868" w:type="dxa"/>
            <w:vAlign w:val="center"/>
          </w:tcPr>
          <w:p>
            <w:pPr>
              <w:jc w:val="center"/>
              <w:rPr>
                <w:noProof/>
                <w:sz w:val="20"/>
              </w:rPr>
            </w:pPr>
            <w:r>
              <w:rPr>
                <w:noProof/>
                <w:sz w:val="20"/>
              </w:rPr>
              <w:t>Rok</w:t>
            </w:r>
            <w:r>
              <w:rPr>
                <w:noProof/>
                <w:sz w:val="22"/>
              </w:rPr>
              <w:br/>
            </w:r>
            <w:r>
              <w:rPr>
                <w:b/>
                <w:noProof/>
                <w:sz w:val="20"/>
              </w:rPr>
              <w:t>2020</w:t>
            </w:r>
          </w:p>
        </w:tc>
        <w:tc>
          <w:tcPr>
            <w:tcW w:w="2604" w:type="dxa"/>
            <w:gridSpan w:val="3"/>
            <w:vAlign w:val="center"/>
          </w:tcPr>
          <w:p>
            <w:pPr>
              <w:jc w:val="center"/>
              <w:rPr>
                <w:b/>
                <w:noProof/>
                <w:sz w:val="18"/>
              </w:rPr>
            </w:pPr>
            <w:r>
              <w:rPr>
                <w:noProof/>
                <w:sz w:val="18"/>
              </w:rPr>
              <w:t>Vložit počet let podle trvání finančního dopadu (viz bod 1.6)</w:t>
            </w:r>
          </w:p>
        </w:tc>
        <w:tc>
          <w:tcPr>
            <w:tcW w:w="1777" w:type="dxa"/>
            <w:vAlign w:val="center"/>
          </w:tcPr>
          <w:p>
            <w:pPr>
              <w:jc w:val="center"/>
              <w:rPr>
                <w:b/>
                <w:noProof/>
                <w:sz w:val="20"/>
              </w:rPr>
            </w:pPr>
            <w:r>
              <w:rPr>
                <w:b/>
                <w:noProof/>
                <w:sz w:val="20"/>
              </w:rPr>
              <w:t>CELKEM</w:t>
            </w:r>
          </w:p>
        </w:tc>
      </w:tr>
      <w:tr>
        <w:trPr>
          <w:trHeight w:val="213"/>
        </w:trPr>
        <w:tc>
          <w:tcPr>
            <w:tcW w:w="6054" w:type="dxa"/>
            <w:gridSpan w:val="4"/>
            <w:vAlign w:val="center"/>
          </w:tcPr>
          <w:p>
            <w:pPr>
              <w:spacing w:before="20" w:after="20"/>
              <w:rPr>
                <w:noProof/>
                <w:sz w:val="21"/>
              </w:rPr>
            </w:pPr>
            <w:r>
              <w:rPr>
                <w:noProof/>
                <w:sz w:val="21"/>
              </w:rPr>
              <w:sym w:font="Wingdings" w:char="F09F"/>
            </w:r>
            <w:r>
              <w:rPr>
                <w:noProof/>
                <w:sz w:val="21"/>
              </w:rPr>
              <w:t xml:space="preserve"> Operační prostředky</w:t>
            </w: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b/>
                <w:noProof/>
                <w:sz w:val="20"/>
              </w:rPr>
            </w:pPr>
          </w:p>
        </w:tc>
        <w:tc>
          <w:tcPr>
            <w:tcW w:w="1777" w:type="dxa"/>
            <w:vAlign w:val="center"/>
          </w:tcPr>
          <w:p>
            <w:pPr>
              <w:rPr>
                <w:b/>
                <w:noProof/>
                <w:sz w:val="20"/>
              </w:rPr>
            </w:pPr>
          </w:p>
        </w:tc>
      </w:tr>
      <w:tr>
        <w:trPr>
          <w:trHeight w:val="277"/>
        </w:trPr>
        <w:tc>
          <w:tcPr>
            <w:tcW w:w="3960" w:type="dxa"/>
            <w:vMerge w:val="restart"/>
            <w:vAlign w:val="center"/>
          </w:tcPr>
          <w:p>
            <w:pPr>
              <w:rPr>
                <w:noProof/>
                <w:sz w:val="22"/>
              </w:rPr>
            </w:pPr>
            <w:r>
              <w:rPr>
                <w:noProof/>
                <w:sz w:val="20"/>
              </w:rPr>
              <w:t xml:space="preserve">Číslo rozpočtové položky </w:t>
            </w:r>
            <w:r>
              <w:rPr>
                <w:b/>
                <w:noProof/>
                <w:sz w:val="20"/>
              </w:rPr>
              <w:t>18 06 02</w:t>
            </w:r>
          </w:p>
        </w:tc>
        <w:tc>
          <w:tcPr>
            <w:tcW w:w="1440" w:type="dxa"/>
            <w:vAlign w:val="center"/>
          </w:tcPr>
          <w:p>
            <w:pPr>
              <w:spacing w:before="20" w:after="20"/>
              <w:rPr>
                <w:noProof/>
                <w:sz w:val="18"/>
              </w:rPr>
            </w:pPr>
            <w:r>
              <w:rPr>
                <w:noProof/>
                <w:sz w:val="18"/>
              </w:rPr>
              <w:t>Závazky</w:t>
            </w:r>
          </w:p>
        </w:tc>
        <w:tc>
          <w:tcPr>
            <w:tcW w:w="654" w:type="dxa"/>
            <w:gridSpan w:val="2"/>
            <w:vAlign w:val="center"/>
          </w:tcPr>
          <w:p>
            <w:pPr>
              <w:spacing w:before="20" w:after="20"/>
              <w:jc w:val="center"/>
              <w:rPr>
                <w:noProof/>
                <w:sz w:val="14"/>
              </w:rPr>
            </w:pPr>
            <w:r>
              <w:rPr>
                <w:noProof/>
                <w:sz w:val="14"/>
              </w:rPr>
              <w:t>(1)</w:t>
            </w:r>
          </w:p>
        </w:tc>
        <w:tc>
          <w:tcPr>
            <w:tcW w:w="868" w:type="dxa"/>
            <w:vAlign w:val="center"/>
          </w:tcPr>
          <w:p>
            <w:pPr>
              <w:spacing w:before="20" w:after="20"/>
              <w:jc w:val="right"/>
              <w:rPr>
                <w:noProof/>
                <w:sz w:val="20"/>
                <w:szCs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c>
          <w:tcPr>
            <w:tcW w:w="3960" w:type="dxa"/>
            <w:vMerge/>
          </w:tcPr>
          <w:p>
            <w:pPr>
              <w:jc w:val="center"/>
              <w:rPr>
                <w:noProof/>
                <w:sz w:val="20"/>
              </w:rPr>
            </w:pPr>
          </w:p>
        </w:tc>
        <w:tc>
          <w:tcPr>
            <w:tcW w:w="1440" w:type="dxa"/>
            <w:vAlign w:val="center"/>
          </w:tcPr>
          <w:p>
            <w:pPr>
              <w:spacing w:before="20" w:after="20"/>
              <w:rPr>
                <w:noProof/>
                <w:sz w:val="18"/>
              </w:rPr>
            </w:pPr>
            <w:r>
              <w:rPr>
                <w:noProof/>
                <w:sz w:val="18"/>
              </w:rPr>
              <w:t>Platby</w:t>
            </w:r>
          </w:p>
        </w:tc>
        <w:tc>
          <w:tcPr>
            <w:tcW w:w="654" w:type="dxa"/>
            <w:gridSpan w:val="2"/>
            <w:vAlign w:val="center"/>
          </w:tcPr>
          <w:p>
            <w:pPr>
              <w:spacing w:before="20" w:after="20"/>
              <w:jc w:val="center"/>
              <w:rPr>
                <w:noProof/>
                <w:sz w:val="14"/>
              </w:rPr>
            </w:pPr>
            <w:r>
              <w:rPr>
                <w:noProof/>
                <w:sz w:val="14"/>
              </w:rPr>
              <w:t>(2)</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c>
          <w:tcPr>
            <w:tcW w:w="3960" w:type="dxa"/>
            <w:vMerge w:val="restart"/>
            <w:vAlign w:val="center"/>
          </w:tcPr>
          <w:p>
            <w:pPr>
              <w:rPr>
                <w:noProof/>
                <w:sz w:val="22"/>
              </w:rPr>
            </w:pPr>
            <w:r>
              <w:rPr>
                <w:noProof/>
                <w:sz w:val="20"/>
              </w:rPr>
              <w:t>Číslo rozpočtové položky</w:t>
            </w:r>
          </w:p>
        </w:tc>
        <w:tc>
          <w:tcPr>
            <w:tcW w:w="1440" w:type="dxa"/>
            <w:vAlign w:val="center"/>
          </w:tcPr>
          <w:p>
            <w:pPr>
              <w:spacing w:before="20" w:after="20"/>
              <w:rPr>
                <w:noProof/>
                <w:sz w:val="18"/>
              </w:rPr>
            </w:pPr>
            <w:r>
              <w:rPr>
                <w:noProof/>
                <w:sz w:val="18"/>
              </w:rPr>
              <w:t>Závazky</w:t>
            </w:r>
          </w:p>
        </w:tc>
        <w:tc>
          <w:tcPr>
            <w:tcW w:w="654" w:type="dxa"/>
            <w:gridSpan w:val="2"/>
            <w:vAlign w:val="center"/>
          </w:tcPr>
          <w:p>
            <w:pPr>
              <w:spacing w:before="20" w:after="20"/>
              <w:jc w:val="center"/>
              <w:rPr>
                <w:noProof/>
                <w:sz w:val="14"/>
              </w:rPr>
            </w:pPr>
            <w:r>
              <w:rPr>
                <w:noProof/>
                <w:sz w:val="14"/>
              </w:rPr>
              <w:t>(1a)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tcPr>
          <w:p>
            <w:pPr>
              <w:jc w:val="center"/>
              <w:rPr>
                <w:noProof/>
                <w:sz w:val="20"/>
              </w:rPr>
            </w:pPr>
          </w:p>
        </w:tc>
        <w:tc>
          <w:tcPr>
            <w:tcW w:w="1440" w:type="dxa"/>
            <w:vAlign w:val="center"/>
          </w:tcPr>
          <w:p>
            <w:pPr>
              <w:spacing w:before="20" w:after="20"/>
              <w:rPr>
                <w:noProof/>
                <w:sz w:val="18"/>
              </w:rPr>
            </w:pPr>
            <w:r>
              <w:rPr>
                <w:noProof/>
                <w:sz w:val="18"/>
              </w:rPr>
              <w:t>Platby</w:t>
            </w:r>
          </w:p>
        </w:tc>
        <w:tc>
          <w:tcPr>
            <w:tcW w:w="654" w:type="dxa"/>
            <w:gridSpan w:val="2"/>
            <w:vAlign w:val="center"/>
          </w:tcPr>
          <w:p>
            <w:pPr>
              <w:spacing w:before="20" w:after="20"/>
              <w:jc w:val="center"/>
              <w:rPr>
                <w:noProof/>
                <w:sz w:val="14"/>
              </w:rPr>
            </w:pPr>
            <w:r>
              <w:rPr>
                <w:noProof/>
                <w:sz w:val="14"/>
              </w:rPr>
              <w:t>(2a)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rPr>
          <w:trHeight w:val="231"/>
        </w:trPr>
        <w:tc>
          <w:tcPr>
            <w:tcW w:w="6054" w:type="dxa"/>
            <w:gridSpan w:val="4"/>
            <w:vAlign w:val="center"/>
          </w:tcPr>
          <w:p>
            <w:pPr>
              <w:spacing w:before="20" w:after="20"/>
              <w:rPr>
                <w:noProof/>
                <w:sz w:val="22"/>
              </w:rPr>
            </w:pPr>
            <w:r>
              <w:rPr>
                <w:noProof/>
                <w:sz w:val="21"/>
              </w:rPr>
              <w:t>Prostředky správní povahy financované z rámce na zvláštní programy</w:t>
            </w:r>
            <w:r>
              <w:rPr>
                <w:rStyle w:val="FootnoteReference"/>
                <w:noProof/>
              </w:rPr>
              <w:footnoteReference w:id="28"/>
            </w:r>
            <w:r>
              <w:rPr>
                <w:noProof/>
                <w:sz w:val="21"/>
              </w:rPr>
              <w:t xml:space="preserve"> </w:t>
            </w:r>
          </w:p>
          <w:p>
            <w:pPr>
              <w:spacing w:before="0" w:after="0"/>
              <w:rPr>
                <w:noProof/>
                <w:sz w:val="22"/>
              </w:rPr>
            </w:pP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1777" w:type="dxa"/>
            <w:vAlign w:val="center"/>
          </w:tcPr>
          <w:p>
            <w:pPr>
              <w:rPr>
                <w:b/>
                <w:noProof/>
                <w:sz w:val="20"/>
              </w:rPr>
            </w:pPr>
          </w:p>
        </w:tc>
      </w:tr>
      <w:tr>
        <w:trPr>
          <w:trHeight w:val="319"/>
        </w:trPr>
        <w:tc>
          <w:tcPr>
            <w:tcW w:w="3960" w:type="dxa"/>
            <w:vAlign w:val="center"/>
          </w:tcPr>
          <w:p>
            <w:pPr>
              <w:spacing w:before="60" w:after="60"/>
              <w:rPr>
                <w:noProof/>
                <w:sz w:val="22"/>
              </w:rPr>
            </w:pPr>
            <w:r>
              <w:rPr>
                <w:noProof/>
                <w:sz w:val="20"/>
              </w:rPr>
              <w:t>Číslo rozpočtové položky</w:t>
            </w:r>
          </w:p>
        </w:tc>
        <w:tc>
          <w:tcPr>
            <w:tcW w:w="1440" w:type="dxa"/>
            <w:vAlign w:val="center"/>
          </w:tcPr>
          <w:p>
            <w:pPr>
              <w:spacing w:before="40" w:after="40"/>
              <w:jc w:val="right"/>
              <w:rPr>
                <w:noProof/>
                <w:sz w:val="18"/>
              </w:rPr>
            </w:pPr>
          </w:p>
        </w:tc>
        <w:tc>
          <w:tcPr>
            <w:tcW w:w="654" w:type="dxa"/>
            <w:gridSpan w:val="2"/>
            <w:vAlign w:val="center"/>
          </w:tcPr>
          <w:p>
            <w:pPr>
              <w:spacing w:before="40" w:after="40"/>
              <w:jc w:val="center"/>
              <w:rPr>
                <w:noProof/>
                <w:sz w:val="14"/>
              </w:rPr>
            </w:pPr>
            <w:r>
              <w:rPr>
                <w:noProof/>
                <w:sz w:val="14"/>
              </w:rPr>
              <w:t>(3)</w:t>
            </w:r>
          </w:p>
        </w:tc>
        <w:tc>
          <w:tcPr>
            <w:tcW w:w="868" w:type="dxa"/>
            <w:vAlign w:val="center"/>
          </w:tcPr>
          <w:p>
            <w:pPr>
              <w:spacing w:before="40" w:after="40"/>
              <w:jc w:val="right"/>
              <w:rPr>
                <w:noProof/>
                <w:sz w:val="20"/>
              </w:rPr>
            </w:pPr>
            <w:r>
              <w:rPr>
                <w:noProof/>
                <w:sz w:val="20"/>
              </w:rPr>
              <w:t>1</w:t>
            </w:r>
          </w:p>
        </w:tc>
        <w:tc>
          <w:tcPr>
            <w:tcW w:w="868" w:type="dxa"/>
            <w:vAlign w:val="center"/>
          </w:tcPr>
          <w:p>
            <w:pPr>
              <w:spacing w:before="40" w:after="40"/>
              <w:jc w:val="right"/>
              <w:rPr>
                <w:noProof/>
                <w:sz w:val="20"/>
              </w:rPr>
            </w:pPr>
            <w:r>
              <w:rPr>
                <w:noProof/>
                <w:sz w:val="20"/>
              </w:rPr>
              <w:t>1</w:t>
            </w:r>
          </w:p>
        </w:tc>
        <w:tc>
          <w:tcPr>
            <w:tcW w:w="868" w:type="dxa"/>
            <w:vAlign w:val="center"/>
          </w:tcPr>
          <w:p>
            <w:pPr>
              <w:spacing w:before="40" w:after="40"/>
              <w:jc w:val="right"/>
              <w:rPr>
                <w:noProof/>
                <w:sz w:val="20"/>
              </w:rPr>
            </w:pPr>
            <w:r>
              <w:rPr>
                <w:noProof/>
                <w:sz w:val="20"/>
              </w:rPr>
              <w:t>1</w:t>
            </w:r>
          </w:p>
        </w:tc>
        <w:tc>
          <w:tcPr>
            <w:tcW w:w="868" w:type="dxa"/>
            <w:vAlign w:val="center"/>
          </w:tcPr>
          <w:p>
            <w:pPr>
              <w:spacing w:before="40" w:after="40"/>
              <w:jc w:val="right"/>
              <w:rPr>
                <w:noProof/>
                <w:sz w:val="20"/>
              </w:rPr>
            </w:pPr>
            <w:r>
              <w:rPr>
                <w:noProof/>
                <w:sz w:val="20"/>
              </w:rPr>
              <w:t>1</w:t>
            </w: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c>
          <w:tcPr>
            <w:tcW w:w="3960" w:type="dxa"/>
            <w:vMerge w:val="restart"/>
            <w:vAlign w:val="center"/>
          </w:tcPr>
          <w:p>
            <w:pPr>
              <w:jc w:val="center"/>
              <w:rPr>
                <w:b/>
                <w:noProof/>
                <w:sz w:val="22"/>
              </w:rPr>
            </w:pPr>
            <w:r>
              <w:rPr>
                <w:b/>
                <w:noProof/>
                <w:sz w:val="22"/>
              </w:rPr>
              <w:t>CELKEM prostředky</w:t>
            </w:r>
            <w:r>
              <w:rPr>
                <w:noProof/>
                <w:sz w:val="22"/>
              </w:rPr>
              <w:br/>
            </w:r>
            <w:r>
              <w:rPr>
                <w:b/>
                <w:noProof/>
                <w:sz w:val="22"/>
              </w:rPr>
              <w:t>pro EMCDDA</w:t>
            </w:r>
          </w:p>
        </w:tc>
        <w:tc>
          <w:tcPr>
            <w:tcW w:w="1440" w:type="dxa"/>
            <w:vAlign w:val="center"/>
          </w:tcPr>
          <w:p>
            <w:pPr>
              <w:rPr>
                <w:noProof/>
                <w:sz w:val="18"/>
              </w:rPr>
            </w:pPr>
            <w:r>
              <w:rPr>
                <w:noProof/>
                <w:sz w:val="18"/>
              </w:rPr>
              <w:t>Závazky</w:t>
            </w:r>
          </w:p>
        </w:tc>
        <w:tc>
          <w:tcPr>
            <w:tcW w:w="654" w:type="dxa"/>
            <w:gridSpan w:val="2"/>
            <w:vAlign w:val="center"/>
          </w:tcPr>
          <w:p>
            <w:pPr>
              <w:jc w:val="center"/>
              <w:rPr>
                <w:noProof/>
                <w:sz w:val="14"/>
              </w:rPr>
            </w:pPr>
            <w:r>
              <w:rPr>
                <w:noProof/>
                <w:sz w:val="14"/>
              </w:rPr>
              <w:t>=1+1a +3</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c>
          <w:tcPr>
            <w:tcW w:w="3960" w:type="dxa"/>
            <w:vMerge/>
          </w:tcPr>
          <w:p>
            <w:pPr>
              <w:rPr>
                <w:noProof/>
                <w:sz w:val="20"/>
              </w:rPr>
            </w:pPr>
          </w:p>
        </w:tc>
        <w:tc>
          <w:tcPr>
            <w:tcW w:w="1440" w:type="dxa"/>
            <w:vAlign w:val="center"/>
          </w:tcPr>
          <w:p>
            <w:pPr>
              <w:rPr>
                <w:noProof/>
                <w:sz w:val="18"/>
              </w:rPr>
            </w:pPr>
            <w:r>
              <w:rPr>
                <w:noProof/>
                <w:sz w:val="18"/>
              </w:rPr>
              <w:t>Platby</w:t>
            </w:r>
          </w:p>
        </w:tc>
        <w:tc>
          <w:tcPr>
            <w:tcW w:w="654" w:type="dxa"/>
            <w:gridSpan w:val="2"/>
            <w:vAlign w:val="center"/>
          </w:tcPr>
          <w:p>
            <w:pPr>
              <w:jc w:val="center"/>
              <w:rPr>
                <w:noProof/>
                <w:sz w:val="14"/>
              </w:rPr>
            </w:pPr>
            <w:r>
              <w:rPr>
                <w:noProof/>
                <w:sz w:val="14"/>
              </w:rPr>
              <w:t>=2+2a</w:t>
            </w:r>
          </w:p>
          <w:p>
            <w:pPr>
              <w:jc w:val="center"/>
              <w:rPr>
                <w:noProof/>
                <w:sz w:val="14"/>
              </w:rPr>
            </w:pPr>
            <w:r>
              <w:rPr>
                <w:noProof/>
                <w:sz w:val="14"/>
              </w:rPr>
              <w:t>+3</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rPr>
          <w:trHeight w:val="277"/>
        </w:trPr>
        <w:tc>
          <w:tcPr>
            <w:tcW w:w="3960" w:type="dxa"/>
            <w:vMerge w:val="restart"/>
            <w:vAlign w:val="center"/>
          </w:tcPr>
          <w:p>
            <w:pPr>
              <w:spacing w:before="20" w:after="20"/>
              <w:rPr>
                <w:noProof/>
                <w:sz w:val="22"/>
              </w:rPr>
            </w:pPr>
            <w:r>
              <w:rPr>
                <w:noProof/>
              </w:rPr>
              <w:br w:type="page"/>
            </w:r>
            <w:r>
              <w:rPr>
                <w:noProof/>
                <w:sz w:val="21"/>
              </w:rPr>
              <w:sym w:font="Wingdings" w:char="F09F"/>
            </w:r>
            <w:r>
              <w:rPr>
                <w:noProof/>
                <w:sz w:val="21"/>
              </w:rPr>
              <w:t xml:space="preserve"> Operační prostředky CELKEM</w:t>
            </w:r>
          </w:p>
        </w:tc>
        <w:tc>
          <w:tcPr>
            <w:tcW w:w="1440" w:type="dxa"/>
            <w:vAlign w:val="center"/>
          </w:tcPr>
          <w:p>
            <w:pPr>
              <w:spacing w:beforeLines="20" w:before="48" w:afterLines="20" w:after="48"/>
              <w:rPr>
                <w:noProof/>
                <w:sz w:val="18"/>
              </w:rPr>
            </w:pPr>
            <w:r>
              <w:rPr>
                <w:noProof/>
                <w:sz w:val="18"/>
              </w:rPr>
              <w:t>Závazky</w:t>
            </w:r>
          </w:p>
        </w:tc>
        <w:tc>
          <w:tcPr>
            <w:tcW w:w="654" w:type="dxa"/>
            <w:gridSpan w:val="2"/>
            <w:vAlign w:val="center"/>
          </w:tcPr>
          <w:p>
            <w:pPr>
              <w:spacing w:beforeLines="20" w:before="48" w:afterLines="20" w:after="48"/>
              <w:jc w:val="center"/>
              <w:rPr>
                <w:noProof/>
                <w:sz w:val="14"/>
              </w:rPr>
            </w:pPr>
            <w:r>
              <w:rPr>
                <w:noProof/>
                <w:sz w:val="14"/>
              </w:rPr>
              <w:t>(4)</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c>
          <w:tcPr>
            <w:tcW w:w="3960" w:type="dxa"/>
            <w:vMerge/>
          </w:tcPr>
          <w:p>
            <w:pPr>
              <w:jc w:val="center"/>
              <w:rPr>
                <w:noProof/>
                <w:sz w:val="20"/>
              </w:rPr>
            </w:pPr>
          </w:p>
        </w:tc>
        <w:tc>
          <w:tcPr>
            <w:tcW w:w="1440" w:type="dxa"/>
            <w:vAlign w:val="center"/>
          </w:tcPr>
          <w:p>
            <w:pPr>
              <w:spacing w:beforeLines="20" w:before="48" w:afterLines="20" w:after="48"/>
              <w:rPr>
                <w:noProof/>
                <w:sz w:val="18"/>
              </w:rPr>
            </w:pPr>
            <w:r>
              <w:rPr>
                <w:noProof/>
                <w:sz w:val="18"/>
              </w:rPr>
              <w:t>Platby</w:t>
            </w:r>
          </w:p>
        </w:tc>
        <w:tc>
          <w:tcPr>
            <w:tcW w:w="654" w:type="dxa"/>
            <w:gridSpan w:val="2"/>
            <w:vAlign w:val="center"/>
          </w:tcPr>
          <w:p>
            <w:pPr>
              <w:spacing w:beforeLines="20" w:before="48" w:afterLines="20" w:after="48"/>
              <w:jc w:val="center"/>
              <w:rPr>
                <w:noProof/>
                <w:sz w:val="14"/>
              </w:rPr>
            </w:pPr>
            <w:r>
              <w:rPr>
                <w:noProof/>
                <w:sz w:val="14"/>
              </w:rPr>
              <w:t>(5)</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rPr>
          <w:trHeight w:val="533"/>
        </w:trPr>
        <w:tc>
          <w:tcPr>
            <w:tcW w:w="5400" w:type="dxa"/>
            <w:gridSpan w:val="2"/>
            <w:vAlign w:val="center"/>
          </w:tcPr>
          <w:p>
            <w:pPr>
              <w:spacing w:beforeLines="20" w:before="48" w:afterLines="20" w:after="48"/>
              <w:rPr>
                <w:noProof/>
                <w:sz w:val="22"/>
              </w:rPr>
            </w:pPr>
            <w:r>
              <w:rPr>
                <w:noProof/>
                <w:sz w:val="21"/>
              </w:rPr>
              <w:sym w:font="Wingdings" w:char="F09F"/>
            </w:r>
            <w:r>
              <w:rPr>
                <w:noProof/>
                <w:sz w:val="21"/>
              </w:rPr>
              <w:t xml:space="preserve"> Prostředky správní povahy financované z rámce na zvláštní programy CELKEM</w:t>
            </w:r>
          </w:p>
        </w:tc>
        <w:tc>
          <w:tcPr>
            <w:tcW w:w="654" w:type="dxa"/>
            <w:gridSpan w:val="2"/>
            <w:vAlign w:val="center"/>
          </w:tcPr>
          <w:p>
            <w:pPr>
              <w:spacing w:beforeLines="20" w:before="48" w:afterLines="20" w:after="48"/>
              <w:jc w:val="center"/>
              <w:rPr>
                <w:noProof/>
                <w:sz w:val="14"/>
              </w:rPr>
            </w:pPr>
            <w:r>
              <w:rPr>
                <w:noProof/>
                <w:sz w:val="14"/>
              </w:rPr>
              <w:t>(6)</w:t>
            </w: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val="restart"/>
            <w:shd w:val="thinDiagStripe" w:color="C0C0C0" w:fill="auto"/>
            <w:vAlign w:val="center"/>
          </w:tcPr>
          <w:p>
            <w:pPr>
              <w:jc w:val="center"/>
              <w:rPr>
                <w:b/>
                <w:noProof/>
                <w:sz w:val="22"/>
              </w:rPr>
            </w:pPr>
            <w:r>
              <w:rPr>
                <w:b/>
                <w:noProof/>
                <w:sz w:val="22"/>
              </w:rPr>
              <w:t>CELKEM prostředky</w:t>
            </w:r>
            <w:r>
              <w:rPr>
                <w:noProof/>
                <w:sz w:val="22"/>
              </w:rPr>
              <w:br/>
            </w:r>
            <w:r>
              <w:rPr>
                <w:b/>
                <w:noProof/>
                <w:sz w:val="22"/>
              </w:rPr>
              <w:t>na OKRUH 3</w:t>
            </w:r>
            <w:r>
              <w:rPr>
                <w:noProof/>
                <w:sz w:val="22"/>
              </w:rPr>
              <w:br/>
              <w:t>víceletého finančního rámce</w:t>
            </w:r>
          </w:p>
        </w:tc>
        <w:tc>
          <w:tcPr>
            <w:tcW w:w="1440" w:type="dxa"/>
            <w:vAlign w:val="center"/>
          </w:tcPr>
          <w:p>
            <w:pPr>
              <w:rPr>
                <w:noProof/>
                <w:sz w:val="18"/>
              </w:rPr>
            </w:pPr>
            <w:r>
              <w:rPr>
                <w:noProof/>
                <w:sz w:val="18"/>
              </w:rPr>
              <w:t>Závazky</w:t>
            </w:r>
          </w:p>
        </w:tc>
        <w:tc>
          <w:tcPr>
            <w:tcW w:w="654" w:type="dxa"/>
            <w:gridSpan w:val="2"/>
            <w:vAlign w:val="center"/>
          </w:tcPr>
          <w:p>
            <w:pPr>
              <w:jc w:val="center"/>
              <w:rPr>
                <w:noProof/>
                <w:sz w:val="14"/>
              </w:rPr>
            </w:pPr>
            <w:r>
              <w:rPr>
                <w:noProof/>
                <w:sz w:val="14"/>
              </w:rPr>
              <w:t>=4+ 6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c>
          <w:tcPr>
            <w:tcW w:w="3960" w:type="dxa"/>
            <w:vMerge/>
            <w:shd w:val="thinDiagStripe" w:color="C0C0C0" w:fill="auto"/>
          </w:tcPr>
          <w:p>
            <w:pPr>
              <w:rPr>
                <w:noProof/>
                <w:sz w:val="20"/>
              </w:rPr>
            </w:pPr>
          </w:p>
        </w:tc>
        <w:tc>
          <w:tcPr>
            <w:tcW w:w="1440" w:type="dxa"/>
            <w:vAlign w:val="center"/>
          </w:tcPr>
          <w:p>
            <w:pPr>
              <w:rPr>
                <w:noProof/>
                <w:sz w:val="18"/>
              </w:rPr>
            </w:pPr>
            <w:r>
              <w:rPr>
                <w:noProof/>
                <w:sz w:val="18"/>
              </w:rPr>
              <w:t>Platby</w:t>
            </w:r>
          </w:p>
        </w:tc>
        <w:tc>
          <w:tcPr>
            <w:tcW w:w="654" w:type="dxa"/>
            <w:gridSpan w:val="2"/>
            <w:vAlign w:val="center"/>
          </w:tcPr>
          <w:p>
            <w:pPr>
              <w:jc w:val="center"/>
              <w:rPr>
                <w:noProof/>
                <w:sz w:val="14"/>
              </w:rPr>
            </w:pPr>
            <w:r>
              <w:rPr>
                <w:noProof/>
                <w:sz w:val="14"/>
              </w:rPr>
              <w:t>=5+ 6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bl>
    <w:p>
      <w:pPr>
        <w:spacing w:after="40"/>
        <w:rPr>
          <w:b/>
          <w:noProof/>
          <w:color w:val="000000" w:themeColor="text1"/>
          <w:sz w:val="22"/>
          <w:u w:val="single"/>
        </w:rPr>
      </w:pPr>
      <w:r>
        <w:rPr>
          <w:b/>
          <w:noProof/>
          <w:color w:val="000000" w:themeColor="text1"/>
          <w:sz w:val="22"/>
          <w:u w:val="single"/>
        </w:rPr>
        <w:t xml:space="preserve">Má-li návrh/podnět dopad na více okruhů: </w:t>
      </w:r>
      <w:r>
        <w:rPr>
          <w:b/>
          <w:noProof/>
          <w:color w:val="000000" w:themeColor="text1"/>
          <w:sz w:val="22"/>
        </w:rPr>
        <w:t>Nepoužije se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trPr>
          <w:trHeight w:val="277"/>
        </w:trPr>
        <w:tc>
          <w:tcPr>
            <w:tcW w:w="3960" w:type="dxa"/>
            <w:vMerge w:val="restart"/>
            <w:vAlign w:val="center"/>
          </w:tcPr>
          <w:p>
            <w:pPr>
              <w:spacing w:before="20" w:after="20"/>
              <w:rPr>
                <w:noProof/>
                <w:color w:val="000000" w:themeColor="text1"/>
                <w:sz w:val="22"/>
              </w:rPr>
            </w:pPr>
            <w:r>
              <w:rPr>
                <w:noProof/>
                <w:color w:val="000000" w:themeColor="text1"/>
                <w:sz w:val="21"/>
              </w:rPr>
              <w:sym w:font="Wingdings" w:char="F09F"/>
            </w:r>
            <w:r>
              <w:rPr>
                <w:noProof/>
                <w:color w:val="000000" w:themeColor="text1"/>
                <w:sz w:val="21"/>
              </w:rPr>
              <w:t xml:space="preserve"> Operační prostředky CELKEM</w:t>
            </w:r>
          </w:p>
        </w:tc>
        <w:tc>
          <w:tcPr>
            <w:tcW w:w="1440" w:type="dxa"/>
            <w:vAlign w:val="center"/>
          </w:tcPr>
          <w:p>
            <w:pPr>
              <w:spacing w:beforeLines="20" w:before="48" w:afterLines="20" w:after="48"/>
              <w:rPr>
                <w:noProof/>
                <w:color w:val="000000" w:themeColor="text1"/>
                <w:sz w:val="18"/>
              </w:rPr>
            </w:pPr>
            <w:r>
              <w:rPr>
                <w:noProof/>
                <w:color w:val="000000" w:themeColor="text1"/>
                <w:sz w:val="18"/>
              </w:rPr>
              <w:t>Závazky</w:t>
            </w:r>
          </w:p>
        </w:tc>
        <w:tc>
          <w:tcPr>
            <w:tcW w:w="654" w:type="dxa"/>
            <w:vAlign w:val="center"/>
          </w:tcPr>
          <w:p>
            <w:pPr>
              <w:spacing w:beforeLines="20" w:before="48" w:afterLines="20" w:after="48"/>
              <w:jc w:val="center"/>
              <w:rPr>
                <w:noProof/>
                <w:color w:val="000000" w:themeColor="text1"/>
                <w:sz w:val="14"/>
              </w:rPr>
            </w:pPr>
            <w:r>
              <w:rPr>
                <w:noProof/>
                <w:color w:val="000000" w:themeColor="text1"/>
                <w:sz w:val="14"/>
              </w:rPr>
              <w:t>(4)</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c>
          <w:tcPr>
            <w:tcW w:w="3960" w:type="dxa"/>
            <w:vMerge/>
          </w:tcPr>
          <w:p>
            <w:pPr>
              <w:jc w:val="center"/>
              <w:rPr>
                <w:noProof/>
                <w:color w:val="000000" w:themeColor="text1"/>
                <w:sz w:val="20"/>
              </w:rPr>
            </w:pPr>
          </w:p>
        </w:tc>
        <w:tc>
          <w:tcPr>
            <w:tcW w:w="1440" w:type="dxa"/>
            <w:vAlign w:val="center"/>
          </w:tcPr>
          <w:p>
            <w:pPr>
              <w:spacing w:beforeLines="20" w:before="48" w:afterLines="20" w:after="48"/>
              <w:rPr>
                <w:noProof/>
                <w:color w:val="000000" w:themeColor="text1"/>
                <w:sz w:val="18"/>
              </w:rPr>
            </w:pPr>
            <w:r>
              <w:rPr>
                <w:noProof/>
                <w:color w:val="000000" w:themeColor="text1"/>
                <w:sz w:val="18"/>
              </w:rPr>
              <w:t>Platby</w:t>
            </w:r>
          </w:p>
        </w:tc>
        <w:tc>
          <w:tcPr>
            <w:tcW w:w="654" w:type="dxa"/>
            <w:vAlign w:val="center"/>
          </w:tcPr>
          <w:p>
            <w:pPr>
              <w:spacing w:beforeLines="20" w:before="48" w:afterLines="20" w:after="48"/>
              <w:jc w:val="center"/>
              <w:rPr>
                <w:noProof/>
                <w:color w:val="000000" w:themeColor="text1"/>
                <w:sz w:val="14"/>
              </w:rPr>
            </w:pPr>
            <w:r>
              <w:rPr>
                <w:noProof/>
                <w:color w:val="000000" w:themeColor="text1"/>
                <w:sz w:val="14"/>
              </w:rPr>
              <w:t>(5)</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rPr>
          <w:trHeight w:val="533"/>
        </w:trPr>
        <w:tc>
          <w:tcPr>
            <w:tcW w:w="5400" w:type="dxa"/>
            <w:gridSpan w:val="2"/>
            <w:vAlign w:val="center"/>
          </w:tcPr>
          <w:p>
            <w:pPr>
              <w:spacing w:beforeLines="20" w:before="48" w:afterLines="20" w:after="48"/>
              <w:rPr>
                <w:noProof/>
                <w:color w:val="000000" w:themeColor="text1"/>
                <w:sz w:val="22"/>
              </w:rPr>
            </w:pPr>
            <w:r>
              <w:rPr>
                <w:noProof/>
                <w:color w:val="000000" w:themeColor="text1"/>
                <w:sz w:val="21"/>
              </w:rPr>
              <w:sym w:font="Wingdings" w:char="F09F"/>
            </w:r>
            <w:r>
              <w:rPr>
                <w:noProof/>
                <w:color w:val="000000" w:themeColor="text1"/>
                <w:sz w:val="21"/>
              </w:rPr>
              <w:t xml:space="preserve"> Prostředky správní povahy financované z rámce na zvláštní programy CELKEM</w:t>
            </w:r>
          </w:p>
        </w:tc>
        <w:tc>
          <w:tcPr>
            <w:tcW w:w="654" w:type="dxa"/>
            <w:vAlign w:val="center"/>
          </w:tcPr>
          <w:p>
            <w:pPr>
              <w:spacing w:beforeLines="20" w:before="48" w:afterLines="20" w:after="48"/>
              <w:jc w:val="center"/>
              <w:rPr>
                <w:noProof/>
                <w:color w:val="000000" w:themeColor="text1"/>
                <w:sz w:val="14"/>
              </w:rPr>
            </w:pPr>
            <w:r>
              <w:rPr>
                <w:noProof/>
                <w:color w:val="000000" w:themeColor="text1"/>
                <w:sz w:val="14"/>
              </w:rPr>
              <w:t>(6)</w:t>
            </w: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c>
          <w:tcPr>
            <w:tcW w:w="3960" w:type="dxa"/>
            <w:vMerge w:val="restart"/>
            <w:shd w:val="thinDiagStripe" w:color="C0C0C0" w:fill="auto"/>
            <w:vAlign w:val="center"/>
          </w:tcPr>
          <w:p>
            <w:pPr>
              <w:jc w:val="center"/>
              <w:rPr>
                <w:b/>
                <w:noProof/>
                <w:color w:val="000000" w:themeColor="text1"/>
                <w:sz w:val="22"/>
              </w:rPr>
            </w:pPr>
            <w:r>
              <w:rPr>
                <w:b/>
                <w:noProof/>
                <w:color w:val="000000" w:themeColor="text1"/>
                <w:sz w:val="22"/>
              </w:rPr>
              <w:t>CELKEM prostředky</w:t>
            </w:r>
            <w:r>
              <w:rPr>
                <w:noProof/>
                <w:color w:val="000000" w:themeColor="text1"/>
                <w:sz w:val="22"/>
              </w:rPr>
              <w:br/>
            </w:r>
            <w:r>
              <w:rPr>
                <w:b/>
                <w:noProof/>
                <w:color w:val="000000" w:themeColor="text1"/>
                <w:sz w:val="22"/>
              </w:rPr>
              <w:t>na OKRUHY 1 až 4</w:t>
            </w:r>
            <w:r>
              <w:rPr>
                <w:noProof/>
                <w:color w:val="000000" w:themeColor="text1"/>
                <w:sz w:val="22"/>
              </w:rPr>
              <w:br/>
              <w:t>víceletého finančního rámce</w:t>
            </w:r>
            <w:r>
              <w:rPr>
                <w:noProof/>
                <w:color w:val="000000" w:themeColor="text1"/>
                <w:sz w:val="22"/>
              </w:rPr>
              <w:br/>
            </w:r>
            <w:r>
              <w:rPr>
                <w:noProof/>
                <w:color w:val="000000" w:themeColor="text1"/>
                <w:sz w:val="20"/>
              </w:rPr>
              <w:t>(referenční částka)</w:t>
            </w:r>
          </w:p>
        </w:tc>
        <w:tc>
          <w:tcPr>
            <w:tcW w:w="1440" w:type="dxa"/>
            <w:vAlign w:val="center"/>
          </w:tcPr>
          <w:p>
            <w:pPr>
              <w:rPr>
                <w:noProof/>
                <w:color w:val="000000" w:themeColor="text1"/>
                <w:sz w:val="18"/>
              </w:rPr>
            </w:pPr>
            <w:r>
              <w:rPr>
                <w:noProof/>
                <w:color w:val="000000" w:themeColor="text1"/>
                <w:sz w:val="18"/>
              </w:rPr>
              <w:t>Závazky</w:t>
            </w:r>
          </w:p>
        </w:tc>
        <w:tc>
          <w:tcPr>
            <w:tcW w:w="654" w:type="dxa"/>
            <w:vAlign w:val="center"/>
          </w:tcPr>
          <w:p>
            <w:pPr>
              <w:jc w:val="center"/>
              <w:rPr>
                <w:noProof/>
                <w:color w:val="000000" w:themeColor="text1"/>
                <w:sz w:val="14"/>
              </w:rPr>
            </w:pPr>
            <w:r>
              <w:rPr>
                <w:noProof/>
                <w:color w:val="000000" w:themeColor="text1"/>
                <w:sz w:val="14"/>
              </w:rPr>
              <w:t>=4+ 6</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c>
          <w:tcPr>
            <w:tcW w:w="3960" w:type="dxa"/>
            <w:vMerge/>
            <w:shd w:val="thinDiagStripe" w:color="C0C0C0" w:fill="auto"/>
          </w:tcPr>
          <w:p>
            <w:pPr>
              <w:rPr>
                <w:noProof/>
                <w:color w:val="000000" w:themeColor="text1"/>
                <w:sz w:val="20"/>
              </w:rPr>
            </w:pPr>
          </w:p>
        </w:tc>
        <w:tc>
          <w:tcPr>
            <w:tcW w:w="1440" w:type="dxa"/>
            <w:vAlign w:val="center"/>
          </w:tcPr>
          <w:p>
            <w:pPr>
              <w:rPr>
                <w:noProof/>
                <w:color w:val="000000" w:themeColor="text1"/>
                <w:sz w:val="18"/>
              </w:rPr>
            </w:pPr>
            <w:r>
              <w:rPr>
                <w:noProof/>
                <w:color w:val="000000" w:themeColor="text1"/>
                <w:sz w:val="18"/>
              </w:rPr>
              <w:t>Platby</w:t>
            </w:r>
          </w:p>
        </w:tc>
        <w:tc>
          <w:tcPr>
            <w:tcW w:w="654" w:type="dxa"/>
            <w:vAlign w:val="center"/>
          </w:tcPr>
          <w:p>
            <w:pPr>
              <w:jc w:val="center"/>
              <w:rPr>
                <w:noProof/>
                <w:color w:val="000000" w:themeColor="text1"/>
                <w:sz w:val="14"/>
              </w:rPr>
            </w:pPr>
            <w:r>
              <w:rPr>
                <w:noProof/>
                <w:color w:val="000000" w:themeColor="text1"/>
                <w:sz w:val="14"/>
              </w:rPr>
              <w:t>=5+ 6</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bl>
    <w:p>
      <w:pPr>
        <w:rPr>
          <w:noProof/>
          <w:color w:val="000000" w:themeColor="text1"/>
        </w:rPr>
      </w:pPr>
    </w:p>
    <w:p>
      <w:pPr>
        <w:rPr>
          <w:noProof/>
        </w:rPr>
      </w:pPr>
      <w:r>
        <w:rPr>
          <w:noProof/>
        </w:rPr>
        <w:br w:type="page"/>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sz w:val="22"/>
              </w:rPr>
            </w:pPr>
            <w:r>
              <w:rPr>
                <w:noProof/>
              </w:rPr>
              <w:br w:type="page"/>
            </w:r>
            <w:r>
              <w:rPr>
                <w:b/>
                <w:noProof/>
                <w:sz w:val="22"/>
              </w:rPr>
              <w:t>Okruh víceletého finančního</w:t>
            </w:r>
            <w:r>
              <w:rPr>
                <w:noProof/>
                <w:sz w:val="22"/>
              </w:rPr>
              <w:br/>
            </w:r>
            <w:r>
              <w:rPr>
                <w:b/>
                <w:noProof/>
                <w:sz w:val="22"/>
              </w:rPr>
              <w:t xml:space="preserve">rámce </w:t>
            </w:r>
          </w:p>
        </w:tc>
        <w:tc>
          <w:tcPr>
            <w:tcW w:w="1080" w:type="dxa"/>
            <w:shd w:val="thinDiagStripe" w:color="C0C0C0" w:fill="auto"/>
            <w:vAlign w:val="center"/>
          </w:tcPr>
          <w:p>
            <w:pPr>
              <w:spacing w:before="60" w:after="60"/>
              <w:jc w:val="center"/>
              <w:rPr>
                <w:noProof/>
                <w:sz w:val="22"/>
              </w:rPr>
            </w:pPr>
            <w:r>
              <w:rPr>
                <w:b/>
                <w:noProof/>
                <w:sz w:val="22"/>
              </w:rPr>
              <w:t>5</w:t>
            </w:r>
          </w:p>
        </w:tc>
        <w:tc>
          <w:tcPr>
            <w:tcW w:w="7817" w:type="dxa"/>
            <w:vAlign w:val="center"/>
          </w:tcPr>
          <w:p>
            <w:pPr>
              <w:spacing w:before="60" w:after="60"/>
              <w:rPr>
                <w:noProof/>
                <w:sz w:val="22"/>
              </w:rPr>
            </w:pPr>
            <w:r>
              <w:rPr>
                <w:noProof/>
                <w:sz w:val="22"/>
              </w:rPr>
              <w:t>„Správní výdaje“</w:t>
            </w:r>
          </w:p>
        </w:tc>
      </w:tr>
    </w:tbl>
    <w:p>
      <w:pPr>
        <w:jc w:val="right"/>
        <w:rPr>
          <w:noProof/>
          <w:sz w:val="20"/>
        </w:rPr>
      </w:pPr>
      <w:r>
        <w:rPr>
          <w:noProof/>
          <w:sz w:val="20"/>
        </w:rPr>
        <w:t>v milionech EUR (zaokrouhleno na tři desetinná místa)</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noProof/>
                <w:sz w:val="22"/>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Rok</w:t>
            </w:r>
            <w:r>
              <w:rPr>
                <w:noProof/>
                <w:sz w:val="22"/>
              </w:rPr>
              <w:br/>
            </w:r>
            <w:r>
              <w:rPr>
                <w:b/>
                <w:noProof/>
                <w:sz w:val="20"/>
              </w:rPr>
              <w:t>2017</w:t>
            </w:r>
          </w:p>
        </w:tc>
        <w:tc>
          <w:tcPr>
            <w:tcW w:w="868" w:type="dxa"/>
            <w:vAlign w:val="center"/>
          </w:tcPr>
          <w:p>
            <w:pPr>
              <w:jc w:val="center"/>
              <w:rPr>
                <w:noProof/>
                <w:sz w:val="20"/>
              </w:rPr>
            </w:pPr>
            <w:r>
              <w:rPr>
                <w:noProof/>
                <w:sz w:val="20"/>
              </w:rPr>
              <w:t>Rok</w:t>
            </w:r>
            <w:r>
              <w:rPr>
                <w:noProof/>
                <w:sz w:val="22"/>
              </w:rPr>
              <w:br/>
            </w:r>
            <w:r>
              <w:rPr>
                <w:b/>
                <w:noProof/>
                <w:sz w:val="20"/>
              </w:rPr>
              <w:t>2018</w:t>
            </w:r>
          </w:p>
        </w:tc>
        <w:tc>
          <w:tcPr>
            <w:tcW w:w="868" w:type="dxa"/>
            <w:vAlign w:val="center"/>
          </w:tcPr>
          <w:p>
            <w:pPr>
              <w:jc w:val="center"/>
              <w:rPr>
                <w:noProof/>
                <w:sz w:val="20"/>
              </w:rPr>
            </w:pPr>
            <w:r>
              <w:rPr>
                <w:noProof/>
                <w:sz w:val="20"/>
              </w:rPr>
              <w:t>Rok</w:t>
            </w:r>
            <w:r>
              <w:rPr>
                <w:noProof/>
                <w:sz w:val="22"/>
              </w:rPr>
              <w:br/>
            </w:r>
            <w:r>
              <w:rPr>
                <w:b/>
                <w:noProof/>
                <w:sz w:val="20"/>
              </w:rPr>
              <w:t>2019</w:t>
            </w:r>
          </w:p>
        </w:tc>
        <w:tc>
          <w:tcPr>
            <w:tcW w:w="868" w:type="dxa"/>
            <w:vAlign w:val="center"/>
          </w:tcPr>
          <w:p>
            <w:pPr>
              <w:jc w:val="center"/>
              <w:rPr>
                <w:noProof/>
                <w:sz w:val="20"/>
              </w:rPr>
            </w:pPr>
            <w:r>
              <w:rPr>
                <w:noProof/>
                <w:sz w:val="20"/>
              </w:rPr>
              <w:t>Rok</w:t>
            </w:r>
            <w:r>
              <w:rPr>
                <w:noProof/>
                <w:sz w:val="22"/>
              </w:rPr>
              <w:br/>
            </w:r>
            <w:r>
              <w:rPr>
                <w:b/>
                <w:noProof/>
                <w:sz w:val="20"/>
              </w:rPr>
              <w:t>2020</w:t>
            </w:r>
          </w:p>
        </w:tc>
        <w:tc>
          <w:tcPr>
            <w:tcW w:w="2604" w:type="dxa"/>
            <w:gridSpan w:val="3"/>
            <w:vAlign w:val="center"/>
          </w:tcPr>
          <w:p>
            <w:pPr>
              <w:jc w:val="center"/>
              <w:rPr>
                <w:b/>
                <w:noProof/>
                <w:sz w:val="18"/>
              </w:rPr>
            </w:pPr>
            <w:r>
              <w:rPr>
                <w:noProof/>
                <w:sz w:val="18"/>
              </w:rPr>
              <w:t xml:space="preserve">Vložit počet let podle trvání finančního dopadu (viz bod 1.6) </w:t>
            </w:r>
          </w:p>
        </w:tc>
        <w:tc>
          <w:tcPr>
            <w:tcW w:w="1777" w:type="dxa"/>
            <w:vAlign w:val="center"/>
          </w:tcPr>
          <w:p>
            <w:pPr>
              <w:jc w:val="center"/>
              <w:rPr>
                <w:b/>
                <w:noProof/>
                <w:sz w:val="20"/>
              </w:rPr>
            </w:pPr>
            <w:r>
              <w:rPr>
                <w:b/>
                <w:noProof/>
                <w:sz w:val="20"/>
              </w:rPr>
              <w:t>CELKEM</w:t>
            </w:r>
          </w:p>
        </w:tc>
      </w:tr>
      <w:tr>
        <w:trPr>
          <w:gridAfter w:val="10"/>
          <w:wAfter w:w="9947" w:type="dxa"/>
        </w:trPr>
        <w:tc>
          <w:tcPr>
            <w:tcW w:w="3960" w:type="dxa"/>
            <w:vAlign w:val="center"/>
          </w:tcPr>
          <w:p>
            <w:pPr>
              <w:spacing w:before="60" w:after="60"/>
              <w:jc w:val="center"/>
              <w:rPr>
                <w:noProof/>
                <w:sz w:val="22"/>
              </w:rPr>
            </w:pPr>
            <w:r>
              <w:rPr>
                <w:noProof/>
                <w:sz w:val="22"/>
              </w:rPr>
              <w:t>GŘ: HOME</w:t>
            </w:r>
          </w:p>
        </w:tc>
      </w:tr>
      <w:tr>
        <w:trPr>
          <w:trHeight w:val="313"/>
        </w:trPr>
        <w:tc>
          <w:tcPr>
            <w:tcW w:w="6054" w:type="dxa"/>
            <w:gridSpan w:val="3"/>
            <w:vAlign w:val="center"/>
          </w:tcPr>
          <w:p>
            <w:pPr>
              <w:spacing w:before="20" w:after="20"/>
              <w:rPr>
                <w:noProof/>
                <w:sz w:val="22"/>
              </w:rPr>
            </w:pPr>
            <w:r>
              <w:rPr>
                <w:noProof/>
                <w:sz w:val="22"/>
              </w:rPr>
              <w:sym w:font="Wingdings" w:char="F09F"/>
            </w:r>
            <w:r>
              <w:rPr>
                <w:noProof/>
              </w:rPr>
              <w:t>Lidské zdroje</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1,6080</w:t>
            </w:r>
          </w:p>
        </w:tc>
      </w:tr>
      <w:tr>
        <w:trPr>
          <w:trHeight w:val="351"/>
        </w:trPr>
        <w:tc>
          <w:tcPr>
            <w:tcW w:w="6054" w:type="dxa"/>
            <w:gridSpan w:val="3"/>
            <w:vAlign w:val="center"/>
          </w:tcPr>
          <w:p>
            <w:pPr>
              <w:spacing w:before="20" w:after="20"/>
              <w:rPr>
                <w:noProof/>
                <w:sz w:val="22"/>
              </w:rPr>
            </w:pPr>
            <w:r>
              <w:rPr>
                <w:noProof/>
                <w:sz w:val="22"/>
              </w:rPr>
              <w:sym w:font="Wingdings" w:char="F09F"/>
            </w:r>
            <w:r>
              <w:rPr>
                <w:noProof/>
                <w:sz w:val="22"/>
              </w:rPr>
              <w:t xml:space="preserve"> Ostatní správní výdaje</w:t>
            </w: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Align w:val="center"/>
          </w:tcPr>
          <w:p>
            <w:pPr>
              <w:jc w:val="center"/>
              <w:rPr>
                <w:b/>
                <w:noProof/>
                <w:sz w:val="22"/>
              </w:rPr>
            </w:pPr>
            <w:r>
              <w:rPr>
                <w:b/>
                <w:noProof/>
              </w:rPr>
              <w:t>GŘ</w:t>
            </w:r>
            <w:r>
              <w:rPr>
                <w:noProof/>
              </w:rPr>
              <w:t xml:space="preserve"> HOME </w:t>
            </w:r>
            <w:r>
              <w:rPr>
                <w:b/>
                <w:noProof/>
              </w:rPr>
              <w:t>CELKEM</w:t>
            </w:r>
          </w:p>
        </w:tc>
        <w:tc>
          <w:tcPr>
            <w:tcW w:w="2094" w:type="dxa"/>
            <w:gridSpan w:val="2"/>
            <w:vAlign w:val="center"/>
          </w:tcPr>
          <w:p>
            <w:pPr>
              <w:rPr>
                <w:noProof/>
                <w:sz w:val="14"/>
              </w:rPr>
            </w:pPr>
            <w:r>
              <w:rPr>
                <w:noProof/>
                <w:sz w:val="18"/>
              </w:rPr>
              <w:t xml:space="preserve">Prostředky </w:t>
            </w:r>
          </w:p>
        </w:tc>
        <w:tc>
          <w:tcPr>
            <w:tcW w:w="868" w:type="dxa"/>
            <w:vAlign w:val="center"/>
          </w:tcPr>
          <w:p>
            <w:pPr>
              <w:spacing w:before="60" w:after="6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1,6080</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c>
          <w:tcPr>
            <w:tcW w:w="3960" w:type="dxa"/>
            <w:shd w:val="thinDiagStripe" w:color="C0C0C0" w:fill="auto"/>
            <w:vAlign w:val="center"/>
          </w:tcPr>
          <w:p>
            <w:pPr>
              <w:jc w:val="center"/>
              <w:rPr>
                <w:b/>
                <w:noProof/>
                <w:sz w:val="22"/>
              </w:rPr>
            </w:pPr>
            <w:r>
              <w:rPr>
                <w:b/>
                <w:noProof/>
                <w:sz w:val="22"/>
              </w:rPr>
              <w:t>CELKEM prostředky</w:t>
            </w:r>
            <w:r>
              <w:rPr>
                <w:noProof/>
                <w:sz w:val="22"/>
              </w:rPr>
              <w:br/>
            </w:r>
            <w:r>
              <w:rPr>
                <w:b/>
                <w:noProof/>
                <w:sz w:val="22"/>
              </w:rPr>
              <w:t>na OKRUH 5</w:t>
            </w:r>
            <w:r>
              <w:rPr>
                <w:noProof/>
                <w:sz w:val="22"/>
              </w:rPr>
              <w:br/>
              <w:t>víceletého finančního rámce</w:t>
            </w:r>
            <w:r>
              <w:rPr>
                <w:b/>
                <w:noProof/>
                <w:sz w:val="22"/>
              </w:rPr>
              <w:t xml:space="preserve"> </w:t>
            </w:r>
          </w:p>
        </w:tc>
        <w:tc>
          <w:tcPr>
            <w:tcW w:w="2094" w:type="dxa"/>
            <w:vAlign w:val="center"/>
          </w:tcPr>
          <w:p>
            <w:pPr>
              <w:spacing w:before="40" w:after="40"/>
              <w:rPr>
                <w:noProof/>
                <w:sz w:val="22"/>
              </w:rPr>
            </w:pPr>
            <w:r>
              <w:rPr>
                <w:noProof/>
                <w:sz w:val="18"/>
              </w:rPr>
              <w:t>(Závazky celkem = platby celkem)</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1,6080</w:t>
            </w:r>
          </w:p>
        </w:tc>
      </w:tr>
    </w:tbl>
    <w:p>
      <w:pPr>
        <w:jc w:val="right"/>
        <w:rPr>
          <w:noProof/>
          <w:sz w:val="20"/>
        </w:rPr>
      </w:pPr>
      <w:r>
        <w:rPr>
          <w:noProof/>
          <w:sz w:val="20"/>
        </w:rPr>
        <w:t>v milionech EUR (zaokrouhleno na tři desetinná místa)</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22"/>
        <w:gridCol w:w="914"/>
        <w:gridCol w:w="868"/>
        <w:gridCol w:w="868"/>
        <w:gridCol w:w="1777"/>
      </w:tblGrid>
      <w:tr>
        <w:tc>
          <w:tcPr>
            <w:tcW w:w="3960" w:type="dxa"/>
            <w:tcBorders>
              <w:top w:val="nil"/>
              <w:left w:val="nil"/>
              <w:right w:val="nil"/>
            </w:tcBorders>
            <w:vAlign w:val="center"/>
          </w:tcPr>
          <w:p>
            <w:pPr>
              <w:jc w:val="center"/>
              <w:rPr>
                <w:noProof/>
                <w:sz w:val="22"/>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Rok</w:t>
            </w:r>
            <w:r>
              <w:rPr>
                <w:rStyle w:val="FootnoteReference"/>
                <w:noProof/>
                <w:sz w:val="20"/>
              </w:rPr>
              <w:footnoteReference w:id="29"/>
            </w:r>
            <w:r>
              <w:rPr>
                <w:b/>
                <w:noProof/>
                <w:sz w:val="20"/>
              </w:rPr>
              <w:t xml:space="preserve"> 2017</w:t>
            </w:r>
          </w:p>
        </w:tc>
        <w:tc>
          <w:tcPr>
            <w:tcW w:w="868" w:type="dxa"/>
            <w:vAlign w:val="center"/>
          </w:tcPr>
          <w:p>
            <w:pPr>
              <w:jc w:val="center"/>
              <w:rPr>
                <w:noProof/>
                <w:sz w:val="20"/>
              </w:rPr>
            </w:pPr>
            <w:r>
              <w:rPr>
                <w:noProof/>
                <w:sz w:val="20"/>
              </w:rPr>
              <w:t>Rok</w:t>
            </w:r>
            <w:r>
              <w:rPr>
                <w:noProof/>
                <w:sz w:val="22"/>
              </w:rPr>
              <w:br/>
            </w:r>
            <w:r>
              <w:rPr>
                <w:b/>
                <w:noProof/>
                <w:sz w:val="20"/>
              </w:rPr>
              <w:t>2018</w:t>
            </w:r>
          </w:p>
        </w:tc>
        <w:tc>
          <w:tcPr>
            <w:tcW w:w="868" w:type="dxa"/>
            <w:vAlign w:val="center"/>
          </w:tcPr>
          <w:p>
            <w:pPr>
              <w:jc w:val="center"/>
              <w:rPr>
                <w:noProof/>
                <w:sz w:val="20"/>
              </w:rPr>
            </w:pPr>
            <w:r>
              <w:rPr>
                <w:noProof/>
                <w:sz w:val="20"/>
              </w:rPr>
              <w:t>Rok</w:t>
            </w:r>
            <w:r>
              <w:rPr>
                <w:noProof/>
                <w:sz w:val="22"/>
              </w:rPr>
              <w:br/>
            </w:r>
            <w:r>
              <w:rPr>
                <w:b/>
                <w:noProof/>
                <w:sz w:val="20"/>
              </w:rPr>
              <w:t>2019</w:t>
            </w:r>
          </w:p>
        </w:tc>
        <w:tc>
          <w:tcPr>
            <w:tcW w:w="822" w:type="dxa"/>
            <w:vAlign w:val="center"/>
          </w:tcPr>
          <w:p>
            <w:pPr>
              <w:jc w:val="center"/>
              <w:rPr>
                <w:noProof/>
                <w:sz w:val="20"/>
              </w:rPr>
            </w:pPr>
            <w:r>
              <w:rPr>
                <w:noProof/>
                <w:sz w:val="20"/>
              </w:rPr>
              <w:t>Rok</w:t>
            </w:r>
            <w:r>
              <w:rPr>
                <w:noProof/>
                <w:sz w:val="22"/>
              </w:rPr>
              <w:br/>
            </w:r>
            <w:r>
              <w:rPr>
                <w:b/>
                <w:noProof/>
                <w:sz w:val="20"/>
              </w:rPr>
              <w:t>2020</w:t>
            </w:r>
          </w:p>
        </w:tc>
        <w:tc>
          <w:tcPr>
            <w:tcW w:w="2650" w:type="dxa"/>
            <w:gridSpan w:val="3"/>
            <w:vAlign w:val="center"/>
          </w:tcPr>
          <w:p>
            <w:pPr>
              <w:jc w:val="center"/>
              <w:rPr>
                <w:b/>
                <w:noProof/>
                <w:sz w:val="18"/>
              </w:rPr>
            </w:pPr>
            <w:r>
              <w:rPr>
                <w:noProof/>
                <w:sz w:val="18"/>
              </w:rPr>
              <w:t>Vložit počet let podle trvání finančního dopadu (viz bod 1.6)</w:t>
            </w:r>
          </w:p>
        </w:tc>
        <w:tc>
          <w:tcPr>
            <w:tcW w:w="1777" w:type="dxa"/>
            <w:vAlign w:val="center"/>
          </w:tcPr>
          <w:p>
            <w:pPr>
              <w:jc w:val="center"/>
              <w:rPr>
                <w:b/>
                <w:noProof/>
                <w:sz w:val="20"/>
              </w:rPr>
            </w:pPr>
            <w:r>
              <w:rPr>
                <w:b/>
                <w:noProof/>
                <w:sz w:val="20"/>
              </w:rPr>
              <w:t>CELKEM</w:t>
            </w:r>
          </w:p>
        </w:tc>
      </w:tr>
      <w:tr>
        <w:tc>
          <w:tcPr>
            <w:tcW w:w="3960" w:type="dxa"/>
            <w:vMerge w:val="restart"/>
            <w:shd w:val="clear" w:color="auto" w:fill="C0C0C0"/>
            <w:vAlign w:val="center"/>
          </w:tcPr>
          <w:p>
            <w:pPr>
              <w:jc w:val="center"/>
              <w:rPr>
                <w:b/>
                <w:noProof/>
                <w:sz w:val="22"/>
              </w:rPr>
            </w:pPr>
            <w:r>
              <w:rPr>
                <w:b/>
                <w:noProof/>
                <w:sz w:val="22"/>
              </w:rPr>
              <w:t>CELKEM prostředky</w:t>
            </w:r>
            <w:r>
              <w:rPr>
                <w:noProof/>
                <w:sz w:val="22"/>
              </w:rPr>
              <w:br/>
            </w:r>
            <w:r>
              <w:rPr>
                <w:b/>
                <w:noProof/>
                <w:sz w:val="22"/>
              </w:rPr>
              <w:t>na OKRUHY 1 až 5</w:t>
            </w:r>
            <w:r>
              <w:rPr>
                <w:noProof/>
                <w:sz w:val="22"/>
              </w:rPr>
              <w:br/>
              <w:t>víceletého finančního rámce</w:t>
            </w:r>
            <w:r>
              <w:rPr>
                <w:b/>
                <w:noProof/>
                <w:sz w:val="22"/>
              </w:rPr>
              <w:t xml:space="preserve"> </w:t>
            </w:r>
          </w:p>
        </w:tc>
        <w:tc>
          <w:tcPr>
            <w:tcW w:w="2094" w:type="dxa"/>
            <w:gridSpan w:val="2"/>
            <w:vAlign w:val="center"/>
          </w:tcPr>
          <w:p>
            <w:pPr>
              <w:rPr>
                <w:noProof/>
                <w:sz w:val="14"/>
              </w:rPr>
            </w:pPr>
            <w:r>
              <w:rPr>
                <w:noProof/>
                <w:sz w:val="18"/>
              </w:rPr>
              <w:t>Závazky</w:t>
            </w:r>
          </w:p>
        </w:tc>
        <w:tc>
          <w:tcPr>
            <w:tcW w:w="868" w:type="dxa"/>
            <w:vAlign w:val="center"/>
          </w:tcPr>
          <w:p>
            <w:pPr>
              <w:spacing w:before="60" w:after="60"/>
              <w:jc w:val="right"/>
              <w:rPr>
                <w:noProof/>
                <w:sz w:val="20"/>
              </w:rPr>
            </w:pPr>
            <w:r>
              <w:rPr>
                <w:noProof/>
                <w:sz w:val="20"/>
              </w:rPr>
              <w:t>15,5376</w:t>
            </w:r>
          </w:p>
        </w:tc>
        <w:tc>
          <w:tcPr>
            <w:tcW w:w="868" w:type="dxa"/>
            <w:vAlign w:val="center"/>
          </w:tcPr>
          <w:p>
            <w:pPr>
              <w:spacing w:before="60" w:after="60"/>
              <w:jc w:val="right"/>
              <w:rPr>
                <w:noProof/>
                <w:sz w:val="20"/>
              </w:rPr>
            </w:pPr>
            <w:r>
              <w:rPr>
                <w:noProof/>
                <w:sz w:val="20"/>
              </w:rPr>
              <w:t>15,5376</w:t>
            </w:r>
          </w:p>
        </w:tc>
        <w:tc>
          <w:tcPr>
            <w:tcW w:w="868" w:type="dxa"/>
            <w:vAlign w:val="center"/>
          </w:tcPr>
          <w:p>
            <w:pPr>
              <w:spacing w:before="60" w:after="60"/>
              <w:jc w:val="right"/>
              <w:rPr>
                <w:noProof/>
                <w:sz w:val="20"/>
              </w:rPr>
            </w:pPr>
            <w:r>
              <w:rPr>
                <w:noProof/>
                <w:sz w:val="20"/>
              </w:rPr>
              <w:t>15,6886</w:t>
            </w:r>
          </w:p>
        </w:tc>
        <w:tc>
          <w:tcPr>
            <w:tcW w:w="822" w:type="dxa"/>
            <w:vAlign w:val="center"/>
          </w:tcPr>
          <w:p>
            <w:pPr>
              <w:spacing w:before="60" w:after="60"/>
              <w:jc w:val="right"/>
              <w:rPr>
                <w:noProof/>
                <w:sz w:val="20"/>
              </w:rPr>
            </w:pPr>
            <w:r>
              <w:rPr>
                <w:noProof/>
                <w:sz w:val="20"/>
              </w:rPr>
              <w:t>15,9906</w:t>
            </w:r>
          </w:p>
        </w:tc>
        <w:tc>
          <w:tcPr>
            <w:tcW w:w="914"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b/>
                <w:noProof/>
                <w:sz w:val="20"/>
              </w:rPr>
            </w:pPr>
          </w:p>
        </w:tc>
        <w:tc>
          <w:tcPr>
            <w:tcW w:w="1777" w:type="dxa"/>
            <w:vAlign w:val="center"/>
          </w:tcPr>
          <w:p>
            <w:pPr>
              <w:spacing w:before="60" w:after="60"/>
              <w:jc w:val="right"/>
              <w:rPr>
                <w:b/>
                <w:noProof/>
                <w:sz w:val="20"/>
              </w:rPr>
            </w:pPr>
            <w:r>
              <w:rPr>
                <w:b/>
                <w:noProof/>
                <w:sz w:val="20"/>
              </w:rPr>
              <w:t>62,7544</w:t>
            </w:r>
          </w:p>
        </w:tc>
      </w:tr>
      <w:tr>
        <w:tc>
          <w:tcPr>
            <w:tcW w:w="3960" w:type="dxa"/>
            <w:vMerge/>
            <w:shd w:val="clear" w:color="auto" w:fill="C0C0C0"/>
          </w:tcPr>
          <w:p>
            <w:pPr>
              <w:rPr>
                <w:noProof/>
                <w:sz w:val="20"/>
                <w:highlight w:val="yellow"/>
              </w:rPr>
            </w:pPr>
          </w:p>
        </w:tc>
        <w:tc>
          <w:tcPr>
            <w:tcW w:w="2094" w:type="dxa"/>
            <w:gridSpan w:val="2"/>
            <w:shd w:val="clear" w:color="auto" w:fill="FFFFFF" w:themeFill="background1"/>
            <w:vAlign w:val="center"/>
          </w:tcPr>
          <w:p>
            <w:pPr>
              <w:rPr>
                <w:noProof/>
                <w:sz w:val="14"/>
              </w:rPr>
            </w:pPr>
            <w:r>
              <w:rPr>
                <w:noProof/>
                <w:sz w:val="18"/>
              </w:rPr>
              <w:t>Platby</w:t>
            </w:r>
          </w:p>
        </w:tc>
        <w:tc>
          <w:tcPr>
            <w:tcW w:w="868" w:type="dxa"/>
            <w:vAlign w:val="center"/>
          </w:tcPr>
          <w:p>
            <w:pPr>
              <w:spacing w:before="60" w:after="60"/>
              <w:jc w:val="right"/>
              <w:rPr>
                <w:noProof/>
                <w:sz w:val="20"/>
              </w:rPr>
            </w:pPr>
            <w:r>
              <w:rPr>
                <w:noProof/>
                <w:sz w:val="20"/>
              </w:rPr>
              <w:t>15,5376</w:t>
            </w:r>
          </w:p>
        </w:tc>
        <w:tc>
          <w:tcPr>
            <w:tcW w:w="868" w:type="dxa"/>
            <w:vAlign w:val="center"/>
          </w:tcPr>
          <w:p>
            <w:pPr>
              <w:spacing w:before="60" w:after="60"/>
              <w:jc w:val="right"/>
              <w:rPr>
                <w:noProof/>
                <w:sz w:val="20"/>
              </w:rPr>
            </w:pPr>
            <w:r>
              <w:rPr>
                <w:noProof/>
                <w:sz w:val="20"/>
              </w:rPr>
              <w:t>15,5376</w:t>
            </w:r>
          </w:p>
        </w:tc>
        <w:tc>
          <w:tcPr>
            <w:tcW w:w="868" w:type="dxa"/>
            <w:vAlign w:val="center"/>
          </w:tcPr>
          <w:p>
            <w:pPr>
              <w:spacing w:before="60" w:after="60"/>
              <w:jc w:val="right"/>
              <w:rPr>
                <w:noProof/>
                <w:sz w:val="20"/>
              </w:rPr>
            </w:pPr>
            <w:r>
              <w:rPr>
                <w:noProof/>
                <w:sz w:val="20"/>
              </w:rPr>
              <w:t>15,6886</w:t>
            </w:r>
          </w:p>
        </w:tc>
        <w:tc>
          <w:tcPr>
            <w:tcW w:w="822" w:type="dxa"/>
            <w:vAlign w:val="center"/>
          </w:tcPr>
          <w:p>
            <w:pPr>
              <w:spacing w:before="60" w:after="60"/>
              <w:jc w:val="right"/>
              <w:rPr>
                <w:noProof/>
                <w:sz w:val="20"/>
              </w:rPr>
            </w:pPr>
            <w:r>
              <w:rPr>
                <w:noProof/>
                <w:sz w:val="20"/>
              </w:rPr>
              <w:t>15,9906</w:t>
            </w:r>
          </w:p>
        </w:tc>
        <w:tc>
          <w:tcPr>
            <w:tcW w:w="914"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b/>
                <w:noProof/>
                <w:sz w:val="20"/>
              </w:rPr>
            </w:pPr>
          </w:p>
        </w:tc>
        <w:tc>
          <w:tcPr>
            <w:tcW w:w="1777" w:type="dxa"/>
            <w:vAlign w:val="center"/>
          </w:tcPr>
          <w:p>
            <w:pPr>
              <w:spacing w:before="60" w:after="60"/>
              <w:jc w:val="right"/>
              <w:rPr>
                <w:b/>
                <w:noProof/>
                <w:sz w:val="20"/>
              </w:rPr>
            </w:pPr>
            <w:r>
              <w:rPr>
                <w:b/>
                <w:noProof/>
                <w:sz w:val="20"/>
              </w:rPr>
              <w:t>62,7544</w:t>
            </w:r>
          </w:p>
        </w:tc>
      </w:tr>
    </w:tbl>
    <w:p>
      <w:pPr>
        <w:rPr>
          <w:noProof/>
        </w:rPr>
        <w:sectPr>
          <w:headerReference w:type="default" r:id="rId13"/>
          <w:footerReference w:type="default" r:id="rId14"/>
          <w:headerReference w:type="first" r:id="rId15"/>
          <w:footerReference w:type="first" r:id="rId16"/>
          <w:pgSz w:w="16840" w:h="11907" w:orient="landscape" w:code="9"/>
          <w:pgMar w:top="1134" w:right="1418" w:bottom="1134" w:left="1418" w:header="709" w:footer="709" w:gutter="0"/>
          <w:cols w:space="708"/>
          <w:docGrid w:linePitch="360"/>
        </w:sectPr>
      </w:pPr>
    </w:p>
    <w:p>
      <w:pPr>
        <w:pStyle w:val="ManualNumPar3"/>
        <w:rPr>
          <w:noProof/>
        </w:rPr>
      </w:pPr>
      <w:r>
        <w:t>3.2.2.</w:t>
      </w:r>
      <w:r>
        <w:tab/>
      </w:r>
      <w:r>
        <w:rPr>
          <w:noProof/>
        </w:rPr>
        <w:t xml:space="preserve">Odhadovaný dopad na operační prostředky </w:t>
      </w:r>
    </w:p>
    <w:p>
      <w:pPr>
        <w:pStyle w:val="Tiret1"/>
        <w:numPr>
          <w:ilvl w:val="0"/>
          <w:numId w:val="15"/>
        </w:numPr>
        <w:tabs>
          <w:tab w:val="clear" w:pos="1417"/>
          <w:tab w:val="num" w:pos="1276"/>
          <w:tab w:val="left" w:pos="1701"/>
        </w:tabs>
        <w:rPr>
          <w:noProof/>
        </w:rPr>
      </w:pPr>
      <w:r>
        <w:rPr>
          <w:noProof/>
        </w:rPr>
        <w:sym w:font="Wingdings" w:char="F0A8"/>
      </w:r>
      <w:r>
        <w:rPr>
          <w:noProof/>
        </w:rPr>
        <w:tab/>
        <w:t xml:space="preserve">Návrh/podnět nevyžaduje využití operačních prostředků </w:t>
      </w:r>
    </w:p>
    <w:p>
      <w:pPr>
        <w:pStyle w:val="Tiret1"/>
        <w:tabs>
          <w:tab w:val="clear" w:pos="1417"/>
          <w:tab w:val="num" w:pos="1276"/>
          <w:tab w:val="left" w:pos="1701"/>
        </w:tabs>
        <w:rPr>
          <w:noProof/>
        </w:rPr>
      </w:pPr>
      <w:r>
        <w:rPr>
          <w:noProof/>
        </w:rPr>
        <w:sym w:font="Wingdings" w:char="F0FD"/>
      </w:r>
      <w:r>
        <w:rPr>
          <w:noProof/>
        </w:rPr>
        <w:tab/>
        <w:t>Návrh/podnět vyžaduje využití dodatečných operačních prostředků, jak je vysvětleno dále:</w:t>
      </w:r>
    </w:p>
    <w:p>
      <w:pPr>
        <w:jc w:val="right"/>
        <w:rPr>
          <w:noProof/>
          <w:sz w:val="20"/>
        </w:rPr>
      </w:pPr>
      <w:r>
        <w:rPr>
          <w:noProof/>
          <w:sz w:val="20"/>
        </w:rPr>
        <w:t>Prostředky na závazky v milionech EUR (zaokrouhleno na tři desetinná místa)</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79"/>
        <w:gridCol w:w="642"/>
        <w:gridCol w:w="504"/>
        <w:gridCol w:w="720"/>
        <w:gridCol w:w="540"/>
        <w:gridCol w:w="720"/>
        <w:gridCol w:w="720"/>
        <w:gridCol w:w="720"/>
        <w:gridCol w:w="900"/>
        <w:gridCol w:w="720"/>
        <w:gridCol w:w="540"/>
        <w:gridCol w:w="648"/>
        <w:gridCol w:w="432"/>
        <w:gridCol w:w="720"/>
        <w:gridCol w:w="540"/>
        <w:gridCol w:w="720"/>
        <w:gridCol w:w="720"/>
        <w:gridCol w:w="900"/>
      </w:tblGrid>
      <w:tr>
        <w:trPr>
          <w:jc w:val="center"/>
        </w:trPr>
        <w:tc>
          <w:tcPr>
            <w:tcW w:w="1423" w:type="dxa"/>
            <w:vMerge w:val="restart"/>
            <w:vAlign w:val="center"/>
          </w:tcPr>
          <w:p>
            <w:pPr>
              <w:ind w:right="-29"/>
              <w:jc w:val="center"/>
              <w:rPr>
                <w:b/>
                <w:noProof/>
                <w:sz w:val="18"/>
                <w:szCs w:val="18"/>
              </w:rPr>
            </w:pPr>
            <w:r>
              <w:rPr>
                <w:b/>
                <w:noProof/>
                <w:sz w:val="18"/>
              </w:rPr>
              <w:t xml:space="preserve">Uveďte cíle a výstupy* </w:t>
            </w:r>
          </w:p>
          <w:p>
            <w:pPr>
              <w:ind w:right="-29"/>
              <w:jc w:val="center"/>
              <w:rPr>
                <w:b/>
                <w:noProof/>
                <w:sz w:val="18"/>
                <w:szCs w:val="18"/>
              </w:rPr>
            </w:pPr>
          </w:p>
          <w:p>
            <w:pPr>
              <w:ind w:right="-29"/>
              <w:jc w:val="center"/>
              <w:rPr>
                <w:noProof/>
                <w:sz w:val="18"/>
                <w:szCs w:val="18"/>
              </w:rPr>
            </w:pPr>
            <w:r>
              <w:rPr>
                <w:noProof/>
                <w:sz w:val="18"/>
              </w:rPr>
              <w:sym w:font="Wingdings" w:char="F0F2"/>
            </w:r>
          </w:p>
        </w:tc>
        <w:tc>
          <w:tcPr>
            <w:tcW w:w="779" w:type="dxa"/>
            <w:vAlign w:val="center"/>
          </w:tcPr>
          <w:p>
            <w:pPr>
              <w:ind w:right="-29"/>
              <w:jc w:val="center"/>
              <w:rPr>
                <w:noProof/>
                <w:sz w:val="18"/>
                <w:szCs w:val="18"/>
              </w:rPr>
            </w:pPr>
          </w:p>
        </w:tc>
        <w:tc>
          <w:tcPr>
            <w:tcW w:w="642" w:type="dxa"/>
            <w:vAlign w:val="center"/>
          </w:tcPr>
          <w:p>
            <w:pPr>
              <w:ind w:right="-29"/>
              <w:jc w:val="center"/>
              <w:rPr>
                <w:noProof/>
                <w:sz w:val="18"/>
                <w:szCs w:val="18"/>
              </w:rPr>
            </w:pPr>
          </w:p>
        </w:tc>
        <w:tc>
          <w:tcPr>
            <w:tcW w:w="1224" w:type="dxa"/>
            <w:gridSpan w:val="2"/>
            <w:tcBorders>
              <w:left w:val="nil"/>
            </w:tcBorders>
            <w:vAlign w:val="center"/>
          </w:tcPr>
          <w:p>
            <w:pPr>
              <w:ind w:right="-29"/>
              <w:jc w:val="center"/>
              <w:rPr>
                <w:noProof/>
                <w:sz w:val="18"/>
                <w:szCs w:val="18"/>
              </w:rPr>
            </w:pPr>
            <w:r>
              <w:rPr>
                <w:noProof/>
                <w:sz w:val="18"/>
              </w:rPr>
              <w:t>Rok</w:t>
            </w:r>
            <w:r>
              <w:rPr>
                <w:noProof/>
                <w:sz w:val="22"/>
              </w:rPr>
              <w:br/>
            </w:r>
            <w:r>
              <w:rPr>
                <w:b/>
                <w:noProof/>
                <w:sz w:val="18"/>
              </w:rPr>
              <w:t>2017</w:t>
            </w:r>
          </w:p>
        </w:tc>
        <w:tc>
          <w:tcPr>
            <w:tcW w:w="1260" w:type="dxa"/>
            <w:gridSpan w:val="2"/>
            <w:vAlign w:val="center"/>
          </w:tcPr>
          <w:p>
            <w:pPr>
              <w:ind w:right="-29"/>
              <w:jc w:val="center"/>
              <w:rPr>
                <w:noProof/>
                <w:sz w:val="18"/>
                <w:szCs w:val="18"/>
              </w:rPr>
            </w:pPr>
            <w:r>
              <w:rPr>
                <w:noProof/>
                <w:sz w:val="18"/>
              </w:rPr>
              <w:t>Rok</w:t>
            </w:r>
            <w:r>
              <w:rPr>
                <w:noProof/>
                <w:sz w:val="22"/>
              </w:rPr>
              <w:br/>
            </w:r>
            <w:r>
              <w:rPr>
                <w:b/>
                <w:noProof/>
                <w:sz w:val="18"/>
              </w:rPr>
              <w:t>2018</w:t>
            </w:r>
          </w:p>
        </w:tc>
        <w:tc>
          <w:tcPr>
            <w:tcW w:w="1440" w:type="dxa"/>
            <w:gridSpan w:val="2"/>
            <w:vAlign w:val="center"/>
          </w:tcPr>
          <w:p>
            <w:pPr>
              <w:ind w:right="-29"/>
              <w:jc w:val="center"/>
              <w:rPr>
                <w:noProof/>
                <w:sz w:val="18"/>
                <w:szCs w:val="18"/>
              </w:rPr>
            </w:pPr>
            <w:r>
              <w:rPr>
                <w:noProof/>
                <w:sz w:val="18"/>
              </w:rPr>
              <w:t>Rok</w:t>
            </w:r>
            <w:r>
              <w:rPr>
                <w:noProof/>
                <w:sz w:val="22"/>
              </w:rPr>
              <w:br/>
            </w:r>
            <w:r>
              <w:rPr>
                <w:b/>
                <w:noProof/>
                <w:sz w:val="18"/>
              </w:rPr>
              <w:t>2019</w:t>
            </w:r>
          </w:p>
        </w:tc>
        <w:tc>
          <w:tcPr>
            <w:tcW w:w="1620" w:type="dxa"/>
            <w:gridSpan w:val="2"/>
            <w:vAlign w:val="center"/>
          </w:tcPr>
          <w:p>
            <w:pPr>
              <w:ind w:right="-29"/>
              <w:jc w:val="center"/>
              <w:rPr>
                <w:noProof/>
                <w:sz w:val="18"/>
                <w:szCs w:val="18"/>
              </w:rPr>
            </w:pPr>
            <w:r>
              <w:rPr>
                <w:noProof/>
                <w:sz w:val="18"/>
              </w:rPr>
              <w:t>Rok</w:t>
            </w:r>
            <w:r>
              <w:rPr>
                <w:noProof/>
                <w:sz w:val="22"/>
              </w:rPr>
              <w:br/>
            </w:r>
            <w:r>
              <w:rPr>
                <w:b/>
                <w:noProof/>
                <w:sz w:val="18"/>
              </w:rPr>
              <w:t>2020</w:t>
            </w:r>
          </w:p>
        </w:tc>
        <w:tc>
          <w:tcPr>
            <w:tcW w:w="3600" w:type="dxa"/>
            <w:gridSpan w:val="6"/>
            <w:vAlign w:val="center"/>
          </w:tcPr>
          <w:p>
            <w:pPr>
              <w:jc w:val="center"/>
              <w:rPr>
                <w:noProof/>
                <w:sz w:val="18"/>
                <w:szCs w:val="18"/>
              </w:rPr>
            </w:pPr>
            <w:r>
              <w:rPr>
                <w:noProof/>
                <w:sz w:val="18"/>
              </w:rPr>
              <w:t>Vložit počet let podle trvání finančního dopadu (viz bod 1.6)</w:t>
            </w:r>
          </w:p>
        </w:tc>
        <w:tc>
          <w:tcPr>
            <w:tcW w:w="1620" w:type="dxa"/>
            <w:gridSpan w:val="2"/>
            <w:tcBorders>
              <w:left w:val="nil"/>
              <w:bottom w:val="nil"/>
            </w:tcBorders>
            <w:vAlign w:val="center"/>
          </w:tcPr>
          <w:p>
            <w:pPr>
              <w:ind w:right="-29"/>
              <w:jc w:val="center"/>
              <w:rPr>
                <w:noProof/>
                <w:sz w:val="18"/>
                <w:szCs w:val="18"/>
              </w:rPr>
            </w:pPr>
            <w:r>
              <w:rPr>
                <w:b/>
                <w:noProof/>
                <w:sz w:val="18"/>
              </w:rPr>
              <w:t>CELKEM</w:t>
            </w:r>
          </w:p>
        </w:tc>
      </w:tr>
      <w:tr>
        <w:trPr>
          <w:jc w:val="center"/>
        </w:trPr>
        <w:tc>
          <w:tcPr>
            <w:tcW w:w="1423" w:type="dxa"/>
            <w:vMerge/>
            <w:vAlign w:val="center"/>
          </w:tcPr>
          <w:p>
            <w:pPr>
              <w:ind w:right="-29"/>
              <w:jc w:val="center"/>
              <w:rPr>
                <w:noProof/>
                <w:sz w:val="18"/>
                <w:szCs w:val="18"/>
              </w:rPr>
            </w:pPr>
          </w:p>
        </w:tc>
        <w:tc>
          <w:tcPr>
            <w:tcW w:w="12185" w:type="dxa"/>
            <w:gridSpan w:val="18"/>
            <w:vAlign w:val="center"/>
          </w:tcPr>
          <w:p>
            <w:pPr>
              <w:spacing w:before="60" w:after="60"/>
              <w:ind w:right="-29"/>
              <w:jc w:val="center"/>
              <w:rPr>
                <w:noProof/>
                <w:sz w:val="18"/>
                <w:szCs w:val="18"/>
              </w:rPr>
            </w:pPr>
            <w:r>
              <w:rPr>
                <w:b/>
                <w:noProof/>
                <w:sz w:val="18"/>
              </w:rPr>
              <w:t>VÝSTUPY</w:t>
            </w:r>
          </w:p>
        </w:tc>
      </w:tr>
      <w:tr>
        <w:trPr>
          <w:cantSplit/>
          <w:trHeight w:val="1134"/>
          <w:jc w:val="center"/>
        </w:trPr>
        <w:tc>
          <w:tcPr>
            <w:tcW w:w="1423" w:type="dxa"/>
            <w:vMerge/>
            <w:vAlign w:val="center"/>
          </w:tcPr>
          <w:p>
            <w:pPr>
              <w:rPr>
                <w:noProof/>
                <w:sz w:val="18"/>
                <w:szCs w:val="18"/>
              </w:rPr>
            </w:pPr>
          </w:p>
        </w:tc>
        <w:tc>
          <w:tcPr>
            <w:tcW w:w="779" w:type="dxa"/>
            <w:vAlign w:val="center"/>
          </w:tcPr>
          <w:p>
            <w:pPr>
              <w:jc w:val="center"/>
              <w:rPr>
                <w:noProof/>
                <w:sz w:val="18"/>
                <w:szCs w:val="18"/>
              </w:rPr>
            </w:pPr>
            <w:r>
              <w:rPr>
                <w:noProof/>
                <w:sz w:val="18"/>
              </w:rPr>
              <w:t>Druh</w:t>
            </w:r>
            <w:r>
              <w:rPr>
                <w:rStyle w:val="FootnoteReference"/>
                <w:noProof/>
              </w:rPr>
              <w:footnoteReference w:id="30"/>
            </w:r>
          </w:p>
          <w:p>
            <w:pPr>
              <w:spacing w:before="0" w:after="0"/>
              <w:jc w:val="center"/>
              <w:rPr>
                <w:noProof/>
                <w:sz w:val="18"/>
                <w:szCs w:val="18"/>
              </w:rPr>
            </w:pPr>
          </w:p>
        </w:tc>
        <w:tc>
          <w:tcPr>
            <w:tcW w:w="642" w:type="dxa"/>
            <w:vAlign w:val="center"/>
          </w:tcPr>
          <w:p>
            <w:pPr>
              <w:jc w:val="center"/>
              <w:rPr>
                <w:noProof/>
                <w:sz w:val="18"/>
                <w:szCs w:val="18"/>
              </w:rPr>
            </w:pPr>
            <w:r>
              <w:rPr>
                <w:noProof/>
                <w:sz w:val="18"/>
              </w:rPr>
              <w:t>Průměrné náklady</w:t>
            </w:r>
          </w:p>
        </w:tc>
        <w:tc>
          <w:tcPr>
            <w:tcW w:w="504" w:type="dxa"/>
            <w:tcBorders>
              <w:left w:val="nil"/>
              <w:right w:val="dashSmallGap" w:sz="4" w:space="0" w:color="auto"/>
            </w:tcBorders>
            <w:shd w:val="pct10" w:color="auto" w:fill="auto"/>
            <w:textDirection w:val="btLr"/>
            <w:vAlign w:val="center"/>
          </w:tcPr>
          <w:p>
            <w:pPr>
              <w:ind w:left="113" w:right="113"/>
              <w:jc w:val="center"/>
              <w:rPr>
                <w:noProof/>
                <w:sz w:val="18"/>
                <w:szCs w:val="18"/>
              </w:rPr>
            </w:pPr>
            <w:r>
              <w:rPr>
                <w:noProof/>
                <w:sz w:val="18"/>
              </w:rPr>
              <w:t xml:space="preserve">Počet </w:t>
            </w:r>
          </w:p>
        </w:tc>
        <w:tc>
          <w:tcPr>
            <w:tcW w:w="720" w:type="dxa"/>
            <w:tcBorders>
              <w:left w:val="dashSmallGap" w:sz="4" w:space="0" w:color="auto"/>
            </w:tcBorders>
            <w:shd w:val="pct10" w:color="auto" w:fill="auto"/>
            <w:vAlign w:val="center"/>
          </w:tcPr>
          <w:p>
            <w:pPr>
              <w:jc w:val="center"/>
              <w:rPr>
                <w:noProof/>
                <w:sz w:val="18"/>
                <w:szCs w:val="18"/>
              </w:rPr>
            </w:pPr>
            <w:r>
              <w:rPr>
                <w:noProof/>
                <w:sz w:val="18"/>
              </w:rPr>
              <w:t>Náklady</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Počet</w:t>
            </w:r>
          </w:p>
        </w:tc>
        <w:tc>
          <w:tcPr>
            <w:tcW w:w="720" w:type="dxa"/>
            <w:tcBorders>
              <w:left w:val="dashSmallGap" w:sz="4" w:space="0" w:color="auto"/>
            </w:tcBorders>
            <w:shd w:val="pct10" w:color="auto" w:fill="auto"/>
            <w:vAlign w:val="center"/>
          </w:tcPr>
          <w:p>
            <w:pPr>
              <w:jc w:val="center"/>
              <w:rPr>
                <w:noProof/>
                <w:sz w:val="18"/>
                <w:szCs w:val="18"/>
              </w:rPr>
            </w:pPr>
            <w:r>
              <w:rPr>
                <w:noProof/>
                <w:sz w:val="18"/>
              </w:rPr>
              <w:t>Náklady</w:t>
            </w:r>
          </w:p>
        </w:tc>
        <w:tc>
          <w:tcPr>
            <w:tcW w:w="72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Počet</w:t>
            </w:r>
          </w:p>
        </w:tc>
        <w:tc>
          <w:tcPr>
            <w:tcW w:w="720" w:type="dxa"/>
            <w:tcBorders>
              <w:left w:val="dashSmallGap" w:sz="4" w:space="0" w:color="auto"/>
            </w:tcBorders>
            <w:shd w:val="pct10" w:color="auto" w:fill="auto"/>
            <w:vAlign w:val="center"/>
          </w:tcPr>
          <w:p>
            <w:pPr>
              <w:jc w:val="center"/>
              <w:rPr>
                <w:noProof/>
                <w:sz w:val="18"/>
                <w:szCs w:val="18"/>
              </w:rPr>
            </w:pPr>
            <w:r>
              <w:rPr>
                <w:noProof/>
                <w:sz w:val="18"/>
              </w:rPr>
              <w:t>Náklady</w:t>
            </w:r>
          </w:p>
        </w:tc>
        <w:tc>
          <w:tcPr>
            <w:tcW w:w="90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Počet</w:t>
            </w:r>
          </w:p>
        </w:tc>
        <w:tc>
          <w:tcPr>
            <w:tcW w:w="720" w:type="dxa"/>
            <w:tcBorders>
              <w:left w:val="dashSmallGap" w:sz="4" w:space="0" w:color="auto"/>
            </w:tcBorders>
            <w:shd w:val="pct10" w:color="auto" w:fill="auto"/>
            <w:vAlign w:val="center"/>
          </w:tcPr>
          <w:p>
            <w:pPr>
              <w:jc w:val="center"/>
              <w:rPr>
                <w:noProof/>
                <w:sz w:val="18"/>
                <w:szCs w:val="18"/>
              </w:rPr>
            </w:pPr>
            <w:r>
              <w:rPr>
                <w:noProof/>
                <w:sz w:val="18"/>
              </w:rPr>
              <w:t>Náklady</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Počet</w:t>
            </w:r>
          </w:p>
        </w:tc>
        <w:tc>
          <w:tcPr>
            <w:tcW w:w="648" w:type="dxa"/>
            <w:tcBorders>
              <w:left w:val="dashSmallGap" w:sz="4" w:space="0" w:color="auto"/>
            </w:tcBorders>
            <w:shd w:val="pct10" w:color="auto" w:fill="auto"/>
            <w:vAlign w:val="center"/>
          </w:tcPr>
          <w:p>
            <w:pPr>
              <w:jc w:val="center"/>
              <w:rPr>
                <w:noProof/>
                <w:sz w:val="18"/>
                <w:szCs w:val="18"/>
              </w:rPr>
            </w:pPr>
            <w:r>
              <w:rPr>
                <w:noProof/>
                <w:sz w:val="18"/>
              </w:rPr>
              <w:t>Náklady</w:t>
            </w:r>
          </w:p>
        </w:tc>
        <w:tc>
          <w:tcPr>
            <w:tcW w:w="432"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Počet</w:t>
            </w:r>
          </w:p>
        </w:tc>
        <w:tc>
          <w:tcPr>
            <w:tcW w:w="720" w:type="dxa"/>
            <w:tcBorders>
              <w:left w:val="dashSmallGap" w:sz="4" w:space="0" w:color="auto"/>
            </w:tcBorders>
            <w:shd w:val="pct10" w:color="auto" w:fill="auto"/>
            <w:vAlign w:val="center"/>
          </w:tcPr>
          <w:p>
            <w:pPr>
              <w:jc w:val="center"/>
              <w:rPr>
                <w:noProof/>
                <w:sz w:val="18"/>
                <w:szCs w:val="18"/>
              </w:rPr>
            </w:pPr>
            <w:r>
              <w:rPr>
                <w:noProof/>
                <w:sz w:val="18"/>
              </w:rPr>
              <w:t>Náklady</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Počet</w:t>
            </w:r>
          </w:p>
        </w:tc>
        <w:tc>
          <w:tcPr>
            <w:tcW w:w="720" w:type="dxa"/>
            <w:tcBorders>
              <w:left w:val="dashSmallGap" w:sz="4" w:space="0" w:color="auto"/>
            </w:tcBorders>
            <w:shd w:val="pct10" w:color="auto" w:fill="auto"/>
            <w:vAlign w:val="center"/>
          </w:tcPr>
          <w:p>
            <w:pPr>
              <w:jc w:val="center"/>
              <w:rPr>
                <w:noProof/>
                <w:sz w:val="18"/>
                <w:szCs w:val="18"/>
              </w:rPr>
            </w:pPr>
            <w:r>
              <w:rPr>
                <w:noProof/>
                <w:sz w:val="18"/>
              </w:rPr>
              <w:t>Náklady</w:t>
            </w:r>
          </w:p>
        </w:tc>
        <w:tc>
          <w:tcPr>
            <w:tcW w:w="720" w:type="dxa"/>
            <w:tcBorders>
              <w:right w:val="dashSmallGap" w:sz="4" w:space="0" w:color="auto"/>
            </w:tcBorders>
            <w:shd w:val="pct10" w:color="auto" w:fill="auto"/>
            <w:vAlign w:val="center"/>
          </w:tcPr>
          <w:p>
            <w:pPr>
              <w:jc w:val="center"/>
              <w:rPr>
                <w:noProof/>
                <w:sz w:val="18"/>
                <w:szCs w:val="18"/>
              </w:rPr>
            </w:pPr>
            <w:r>
              <w:rPr>
                <w:noProof/>
                <w:sz w:val="18"/>
              </w:rPr>
              <w:t>Celkový počet</w:t>
            </w:r>
          </w:p>
        </w:tc>
        <w:tc>
          <w:tcPr>
            <w:tcW w:w="900" w:type="dxa"/>
            <w:tcBorders>
              <w:left w:val="dashSmallGap" w:sz="4" w:space="0" w:color="auto"/>
            </w:tcBorders>
            <w:shd w:val="pct10" w:color="auto" w:fill="auto"/>
            <w:vAlign w:val="center"/>
          </w:tcPr>
          <w:p>
            <w:pPr>
              <w:jc w:val="center"/>
              <w:rPr>
                <w:noProof/>
                <w:sz w:val="18"/>
                <w:szCs w:val="18"/>
              </w:rPr>
            </w:pPr>
            <w:r>
              <w:rPr>
                <w:noProof/>
                <w:sz w:val="18"/>
              </w:rPr>
              <w:t>Náklady celkem</w:t>
            </w:r>
          </w:p>
        </w:tc>
      </w:tr>
      <w:tr>
        <w:trPr>
          <w:jc w:val="center"/>
        </w:trPr>
        <w:tc>
          <w:tcPr>
            <w:tcW w:w="2844" w:type="dxa"/>
            <w:gridSpan w:val="3"/>
            <w:vAlign w:val="center"/>
          </w:tcPr>
          <w:p>
            <w:pPr>
              <w:spacing w:before="60" w:after="60"/>
              <w:ind w:right="-29"/>
              <w:jc w:val="center"/>
              <w:rPr>
                <w:noProof/>
                <w:sz w:val="16"/>
                <w:szCs w:val="16"/>
              </w:rPr>
            </w:pPr>
            <w:r>
              <w:rPr>
                <w:noProof/>
                <w:sz w:val="16"/>
              </w:rPr>
              <w:t>SPECIFICKÉ CÍLE č. 6 a 7</w:t>
            </w:r>
            <w:r>
              <w:rPr>
                <w:rStyle w:val="FootnoteReference"/>
                <w:noProof/>
              </w:rPr>
              <w:footnoteReference w:id="31"/>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664"/>
          <w:jc w:val="center"/>
        </w:trPr>
        <w:tc>
          <w:tcPr>
            <w:tcW w:w="1423" w:type="dxa"/>
          </w:tcPr>
          <w:p>
            <w:pPr>
              <w:ind w:right="-29"/>
              <w:jc w:val="center"/>
              <w:rPr>
                <w:noProof/>
                <w:sz w:val="18"/>
                <w:szCs w:val="18"/>
              </w:rPr>
            </w:pPr>
            <w:r>
              <w:rPr>
                <w:noProof/>
                <w:sz w:val="18"/>
              </w:rPr>
              <w:t>– Výstup</w:t>
            </w:r>
          </w:p>
        </w:tc>
        <w:tc>
          <w:tcPr>
            <w:tcW w:w="779" w:type="dxa"/>
          </w:tcPr>
          <w:p>
            <w:pPr>
              <w:ind w:right="-29"/>
              <w:jc w:val="center"/>
              <w:rPr>
                <w:noProof/>
                <w:sz w:val="16"/>
                <w:szCs w:val="16"/>
              </w:rPr>
            </w:pPr>
            <w:r>
              <w:rPr>
                <w:noProof/>
                <w:sz w:val="16"/>
              </w:rPr>
              <w:t>Vývoj systému</w:t>
            </w:r>
          </w:p>
          <w:p>
            <w:pPr>
              <w:ind w:right="-29"/>
              <w:jc w:val="center"/>
              <w:rPr>
                <w:noProof/>
                <w:sz w:val="16"/>
                <w:szCs w:val="16"/>
              </w:rPr>
            </w:pPr>
            <w:r>
              <w:rPr>
                <w:noProof/>
                <w:sz w:val="16"/>
              </w:rPr>
              <w:t xml:space="preserve"> Vývoj</w:t>
            </w:r>
          </w:p>
        </w:tc>
        <w:tc>
          <w:tcPr>
            <w:tcW w:w="642"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r>
              <w:rPr>
                <w:noProof/>
                <w:sz w:val="18"/>
              </w:rPr>
              <w:t>1</w:t>
            </w:r>
          </w:p>
        </w:tc>
        <w:tc>
          <w:tcPr>
            <w:tcW w:w="720" w:type="dxa"/>
            <w:tcBorders>
              <w:left w:val="dashSmallGap" w:sz="4" w:space="0" w:color="auto"/>
            </w:tcBorders>
          </w:tcPr>
          <w:p>
            <w:pPr>
              <w:ind w:right="-29"/>
              <w:jc w:val="center"/>
              <w:rPr>
                <w:noProof/>
                <w:sz w:val="18"/>
                <w:szCs w:val="18"/>
              </w:rPr>
            </w:pPr>
            <w:r>
              <w:rPr>
                <w:noProof/>
                <w:sz w:val="18"/>
              </w:rPr>
              <w:t>0,2416</w:t>
            </w:r>
          </w:p>
        </w:tc>
        <w:tc>
          <w:tcPr>
            <w:tcW w:w="540" w:type="dxa"/>
            <w:tcBorders>
              <w:right w:val="dashSmallGap" w:sz="4" w:space="0" w:color="auto"/>
            </w:tcBorders>
          </w:tcPr>
          <w:p>
            <w:pPr>
              <w:ind w:right="-29"/>
              <w:jc w:val="center"/>
              <w:rPr>
                <w:noProof/>
                <w:sz w:val="18"/>
                <w:szCs w:val="18"/>
              </w:rPr>
            </w:pPr>
            <w:r>
              <w:rPr>
                <w:noProof/>
                <w:sz w:val="18"/>
              </w:rPr>
              <w:t>1</w:t>
            </w:r>
          </w:p>
        </w:tc>
        <w:tc>
          <w:tcPr>
            <w:tcW w:w="720" w:type="dxa"/>
            <w:tcBorders>
              <w:left w:val="dashSmallGap" w:sz="4" w:space="0" w:color="auto"/>
            </w:tcBorders>
          </w:tcPr>
          <w:p>
            <w:pPr>
              <w:ind w:right="-29"/>
              <w:jc w:val="center"/>
              <w:rPr>
                <w:noProof/>
                <w:sz w:val="18"/>
                <w:szCs w:val="18"/>
              </w:rPr>
            </w:pPr>
            <w:r>
              <w:rPr>
                <w:noProof/>
                <w:sz w:val="18"/>
              </w:rPr>
              <w:t>0,2416</w:t>
            </w:r>
          </w:p>
        </w:tc>
        <w:tc>
          <w:tcPr>
            <w:tcW w:w="720" w:type="dxa"/>
            <w:tcBorders>
              <w:right w:val="dashSmallGap" w:sz="4" w:space="0" w:color="auto"/>
            </w:tcBorders>
          </w:tcPr>
          <w:p>
            <w:pPr>
              <w:ind w:right="-29"/>
              <w:jc w:val="center"/>
              <w:rPr>
                <w:noProof/>
                <w:sz w:val="18"/>
                <w:szCs w:val="18"/>
              </w:rPr>
            </w:pPr>
            <w:r>
              <w:rPr>
                <w:noProof/>
                <w:sz w:val="18"/>
              </w:rPr>
              <w:t>1</w:t>
            </w:r>
          </w:p>
        </w:tc>
        <w:tc>
          <w:tcPr>
            <w:tcW w:w="720" w:type="dxa"/>
            <w:tcBorders>
              <w:left w:val="dashSmallGap" w:sz="4" w:space="0" w:color="auto"/>
            </w:tcBorders>
          </w:tcPr>
          <w:p>
            <w:pPr>
              <w:ind w:right="-29"/>
              <w:jc w:val="center"/>
              <w:rPr>
                <w:noProof/>
                <w:sz w:val="18"/>
                <w:szCs w:val="18"/>
              </w:rPr>
            </w:pPr>
            <w:r>
              <w:rPr>
                <w:noProof/>
                <w:sz w:val="18"/>
              </w:rPr>
              <w:t>0,0966</w:t>
            </w:r>
          </w:p>
        </w:tc>
        <w:tc>
          <w:tcPr>
            <w:tcW w:w="900" w:type="dxa"/>
            <w:tcBorders>
              <w:right w:val="dashSmallGap" w:sz="4" w:space="0" w:color="auto"/>
            </w:tcBorders>
          </w:tcPr>
          <w:p>
            <w:pPr>
              <w:ind w:right="-29"/>
              <w:jc w:val="center"/>
              <w:rPr>
                <w:noProof/>
                <w:sz w:val="18"/>
                <w:szCs w:val="18"/>
              </w:rPr>
            </w:pPr>
            <w:r>
              <w:rPr>
                <w:noProof/>
                <w:sz w:val="18"/>
              </w:rPr>
              <w:t>1</w:t>
            </w:r>
          </w:p>
        </w:tc>
        <w:tc>
          <w:tcPr>
            <w:tcW w:w="720" w:type="dxa"/>
            <w:tcBorders>
              <w:left w:val="dashSmallGap" w:sz="4" w:space="0" w:color="auto"/>
            </w:tcBorders>
          </w:tcPr>
          <w:p>
            <w:pPr>
              <w:ind w:right="-29"/>
              <w:jc w:val="center"/>
              <w:rPr>
                <w:noProof/>
                <w:sz w:val="18"/>
                <w:szCs w:val="18"/>
              </w:rPr>
            </w:pPr>
            <w:r>
              <w:rPr>
                <w:noProof/>
                <w:sz w:val="18"/>
              </w:rPr>
              <w:t>0,0966</w:t>
            </w: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r>
              <w:rPr>
                <w:noProof/>
                <w:sz w:val="18"/>
              </w:rPr>
              <w:t>0,676</w:t>
            </w:r>
          </w:p>
        </w:tc>
      </w:tr>
      <w:tr>
        <w:trPr>
          <w:trHeight w:hRule="exact" w:val="664"/>
          <w:jc w:val="center"/>
        </w:trPr>
        <w:tc>
          <w:tcPr>
            <w:tcW w:w="1423" w:type="dxa"/>
          </w:tcPr>
          <w:p>
            <w:pPr>
              <w:ind w:right="-29"/>
              <w:jc w:val="center"/>
              <w:rPr>
                <w:noProof/>
                <w:sz w:val="18"/>
              </w:rPr>
            </w:pPr>
            <w:r>
              <w:rPr>
                <w:noProof/>
                <w:sz w:val="18"/>
              </w:rPr>
              <w:t>– Výstup</w:t>
            </w:r>
          </w:p>
        </w:tc>
        <w:tc>
          <w:tcPr>
            <w:tcW w:w="779" w:type="dxa"/>
          </w:tcPr>
          <w:p>
            <w:pPr>
              <w:ind w:right="-29"/>
              <w:jc w:val="center"/>
              <w:rPr>
                <w:noProof/>
                <w:sz w:val="16"/>
                <w:szCs w:val="16"/>
              </w:rPr>
            </w:pPr>
          </w:p>
        </w:tc>
        <w:tc>
          <w:tcPr>
            <w:tcW w:w="642"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jc w:val="center"/>
        </w:trPr>
        <w:tc>
          <w:tcPr>
            <w:tcW w:w="2844" w:type="dxa"/>
            <w:gridSpan w:val="3"/>
            <w:tcBorders>
              <w:bottom w:val="single" w:sz="12" w:space="0" w:color="auto"/>
            </w:tcBorders>
            <w:vAlign w:val="center"/>
          </w:tcPr>
          <w:p>
            <w:pPr>
              <w:ind w:right="-29"/>
              <w:jc w:val="center"/>
              <w:rPr>
                <w:noProof/>
                <w:sz w:val="16"/>
                <w:szCs w:val="16"/>
              </w:rPr>
            </w:pPr>
            <w:r>
              <w:rPr>
                <w:noProof/>
                <w:sz w:val="16"/>
              </w:rPr>
              <w:t>Mezisoučet za specifické cíle č. 6 a 7</w:t>
            </w:r>
          </w:p>
        </w:tc>
        <w:tc>
          <w:tcPr>
            <w:tcW w:w="504" w:type="dxa"/>
            <w:tcBorders>
              <w:bottom w:val="single" w:sz="12" w:space="0" w:color="auto"/>
            </w:tcBorders>
          </w:tcPr>
          <w:p>
            <w:pPr>
              <w:ind w:right="-29"/>
              <w:jc w:val="center"/>
              <w:rPr>
                <w:noProof/>
                <w:sz w:val="18"/>
                <w:szCs w:val="18"/>
              </w:rPr>
            </w:pPr>
            <w:r>
              <w:rPr>
                <w:noProof/>
                <w:sz w:val="18"/>
              </w:rPr>
              <w:t>1</w:t>
            </w:r>
          </w:p>
        </w:tc>
        <w:tc>
          <w:tcPr>
            <w:tcW w:w="720" w:type="dxa"/>
            <w:tcBorders>
              <w:bottom w:val="single" w:sz="12" w:space="0" w:color="auto"/>
            </w:tcBorders>
          </w:tcPr>
          <w:p>
            <w:pPr>
              <w:ind w:right="-29"/>
              <w:jc w:val="center"/>
              <w:rPr>
                <w:noProof/>
                <w:sz w:val="18"/>
                <w:szCs w:val="18"/>
              </w:rPr>
            </w:pPr>
            <w:r>
              <w:rPr>
                <w:noProof/>
                <w:sz w:val="18"/>
              </w:rPr>
              <w:t>0,2416</w:t>
            </w:r>
          </w:p>
        </w:tc>
        <w:tc>
          <w:tcPr>
            <w:tcW w:w="540" w:type="dxa"/>
            <w:tcBorders>
              <w:bottom w:val="single" w:sz="12" w:space="0" w:color="auto"/>
            </w:tcBorders>
          </w:tcPr>
          <w:p>
            <w:pPr>
              <w:ind w:right="-29"/>
              <w:jc w:val="center"/>
              <w:rPr>
                <w:noProof/>
                <w:sz w:val="18"/>
                <w:szCs w:val="18"/>
              </w:rPr>
            </w:pPr>
            <w:r>
              <w:rPr>
                <w:noProof/>
                <w:sz w:val="18"/>
              </w:rPr>
              <w:t>1</w:t>
            </w:r>
          </w:p>
        </w:tc>
        <w:tc>
          <w:tcPr>
            <w:tcW w:w="720" w:type="dxa"/>
            <w:tcBorders>
              <w:bottom w:val="single" w:sz="12" w:space="0" w:color="auto"/>
            </w:tcBorders>
          </w:tcPr>
          <w:p>
            <w:pPr>
              <w:ind w:right="-29"/>
              <w:jc w:val="center"/>
              <w:rPr>
                <w:noProof/>
                <w:sz w:val="18"/>
                <w:szCs w:val="18"/>
              </w:rPr>
            </w:pPr>
            <w:r>
              <w:rPr>
                <w:noProof/>
                <w:sz w:val="18"/>
              </w:rPr>
              <w:t>0,2416</w:t>
            </w:r>
          </w:p>
        </w:tc>
        <w:tc>
          <w:tcPr>
            <w:tcW w:w="720" w:type="dxa"/>
            <w:tcBorders>
              <w:bottom w:val="single" w:sz="12" w:space="0" w:color="auto"/>
            </w:tcBorders>
          </w:tcPr>
          <w:p>
            <w:pPr>
              <w:ind w:right="-29"/>
              <w:jc w:val="center"/>
              <w:rPr>
                <w:noProof/>
                <w:sz w:val="18"/>
                <w:szCs w:val="18"/>
              </w:rPr>
            </w:pPr>
            <w:r>
              <w:rPr>
                <w:noProof/>
                <w:sz w:val="18"/>
              </w:rPr>
              <w:t>1</w:t>
            </w:r>
          </w:p>
        </w:tc>
        <w:tc>
          <w:tcPr>
            <w:tcW w:w="720" w:type="dxa"/>
            <w:tcBorders>
              <w:bottom w:val="single" w:sz="12" w:space="0" w:color="auto"/>
            </w:tcBorders>
          </w:tcPr>
          <w:p>
            <w:pPr>
              <w:ind w:right="-29"/>
              <w:jc w:val="center"/>
              <w:rPr>
                <w:noProof/>
                <w:sz w:val="18"/>
                <w:szCs w:val="18"/>
              </w:rPr>
            </w:pPr>
            <w:r>
              <w:rPr>
                <w:noProof/>
                <w:sz w:val="18"/>
              </w:rPr>
              <w:t>0,0966</w:t>
            </w:r>
          </w:p>
        </w:tc>
        <w:tc>
          <w:tcPr>
            <w:tcW w:w="900" w:type="dxa"/>
            <w:tcBorders>
              <w:bottom w:val="single" w:sz="12" w:space="0" w:color="auto"/>
            </w:tcBorders>
          </w:tcPr>
          <w:p>
            <w:pPr>
              <w:ind w:right="-29"/>
              <w:jc w:val="center"/>
              <w:rPr>
                <w:noProof/>
                <w:sz w:val="18"/>
                <w:szCs w:val="18"/>
              </w:rPr>
            </w:pPr>
            <w:r>
              <w:rPr>
                <w:noProof/>
                <w:sz w:val="18"/>
              </w:rPr>
              <w:t>1</w:t>
            </w:r>
          </w:p>
        </w:tc>
        <w:tc>
          <w:tcPr>
            <w:tcW w:w="720" w:type="dxa"/>
            <w:tcBorders>
              <w:bottom w:val="single" w:sz="12" w:space="0" w:color="auto"/>
            </w:tcBorders>
          </w:tcPr>
          <w:p>
            <w:pPr>
              <w:ind w:right="-29"/>
              <w:jc w:val="center"/>
              <w:rPr>
                <w:noProof/>
                <w:sz w:val="18"/>
                <w:szCs w:val="18"/>
              </w:rPr>
            </w:pPr>
            <w:r>
              <w:rPr>
                <w:noProof/>
                <w:sz w:val="18"/>
              </w:rPr>
              <w:t>0,0966</w:t>
            </w:r>
          </w:p>
        </w:tc>
        <w:tc>
          <w:tcPr>
            <w:tcW w:w="540" w:type="dxa"/>
            <w:tcBorders>
              <w:bottom w:val="single" w:sz="12" w:space="0" w:color="auto"/>
            </w:tcBorders>
          </w:tcPr>
          <w:p>
            <w:pPr>
              <w:ind w:right="-29"/>
              <w:jc w:val="center"/>
              <w:rPr>
                <w:noProof/>
                <w:sz w:val="18"/>
                <w:szCs w:val="18"/>
              </w:rPr>
            </w:pPr>
          </w:p>
        </w:tc>
        <w:tc>
          <w:tcPr>
            <w:tcW w:w="648" w:type="dxa"/>
            <w:tcBorders>
              <w:bottom w:val="single" w:sz="12" w:space="0" w:color="auto"/>
            </w:tcBorders>
          </w:tcPr>
          <w:p>
            <w:pPr>
              <w:ind w:right="-29"/>
              <w:jc w:val="center"/>
              <w:rPr>
                <w:noProof/>
                <w:sz w:val="18"/>
                <w:szCs w:val="18"/>
              </w:rPr>
            </w:pPr>
          </w:p>
        </w:tc>
        <w:tc>
          <w:tcPr>
            <w:tcW w:w="432"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r>
              <w:rPr>
                <w:noProof/>
                <w:sz w:val="18"/>
              </w:rPr>
              <w:t>0,676</w:t>
            </w: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sz w:val="18"/>
                <w:szCs w:val="18"/>
              </w:rPr>
            </w:pPr>
            <w:r>
              <w:rPr>
                <w:b/>
                <w:noProof/>
                <w:sz w:val="18"/>
              </w:rPr>
              <w:t>NÁKLADY CELKEM</w:t>
            </w:r>
          </w:p>
        </w:tc>
        <w:tc>
          <w:tcPr>
            <w:tcW w:w="504"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rPr>
              <w:t>0,2416</w:t>
            </w:r>
          </w:p>
        </w:tc>
        <w:tc>
          <w:tcPr>
            <w:tcW w:w="540"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rPr>
              <w:t>0,2416</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rPr>
              <w:t>0,0966</w:t>
            </w:r>
          </w:p>
        </w:tc>
        <w:tc>
          <w:tcPr>
            <w:tcW w:w="900"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rPr>
              <w:t>0,0966</w:t>
            </w: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648" w:type="dxa"/>
            <w:tcBorders>
              <w:top w:val="single" w:sz="12" w:space="0" w:color="auto"/>
              <w:bottom w:val="single" w:sz="12" w:space="0" w:color="auto"/>
            </w:tcBorders>
          </w:tcPr>
          <w:p>
            <w:pPr>
              <w:spacing w:before="180" w:after="180"/>
              <w:ind w:right="-29"/>
              <w:jc w:val="center"/>
              <w:rPr>
                <w:noProof/>
                <w:sz w:val="18"/>
                <w:szCs w:val="18"/>
              </w:rPr>
            </w:pPr>
          </w:p>
        </w:tc>
        <w:tc>
          <w:tcPr>
            <w:tcW w:w="432"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szCs w:val="18"/>
              </w:rPr>
            </w:pPr>
            <w:r>
              <w:rPr>
                <w:noProof/>
                <w:sz w:val="18"/>
              </w:rPr>
              <w:t>0,676</w:t>
            </w:r>
          </w:p>
        </w:tc>
      </w:tr>
    </w:tbl>
    <w:p>
      <w:pPr>
        <w:rPr>
          <w:noProof/>
        </w:rPr>
        <w:sectPr>
          <w:pgSz w:w="16840" w:h="11907" w:orient="landscape" w:code="9"/>
          <w:pgMar w:top="1134" w:right="1418" w:bottom="567" w:left="1418" w:header="709" w:footer="709" w:gutter="0"/>
          <w:cols w:space="708"/>
          <w:docGrid w:linePitch="360"/>
        </w:sectPr>
      </w:pPr>
      <w:r>
        <w:rPr>
          <w:noProof/>
        </w:rPr>
        <w:t>* Předložený výstup pokrývá pouze nový úkol související s novými psychoaktivními látkami.</w:t>
      </w:r>
      <w:r>
        <w:rPr>
          <w:noProof/>
        </w:rPr>
        <w:tab/>
      </w:r>
    </w:p>
    <w:p>
      <w:pPr>
        <w:pStyle w:val="ManualNumPar3"/>
        <w:rPr>
          <w:noProof/>
        </w:rPr>
      </w:pPr>
      <w:r>
        <w:t>3.2.3.</w:t>
      </w:r>
      <w:r>
        <w:tab/>
      </w:r>
      <w:r>
        <w:rPr>
          <w:noProof/>
        </w:rPr>
        <w:t>Odhadovaný dopad na prostředky správní povahy</w:t>
      </w:r>
    </w:p>
    <w:p>
      <w:pPr>
        <w:pStyle w:val="ManualNumPar4"/>
        <w:rPr>
          <w:noProof/>
        </w:rPr>
      </w:pPr>
      <w:r>
        <w:t>3.2.3.1.</w:t>
      </w:r>
      <w:r>
        <w:tab/>
      </w:r>
      <w:r>
        <w:rPr>
          <w:noProof/>
        </w:rPr>
        <w:t xml:space="preserve">Shrnutí </w:t>
      </w:r>
    </w:p>
    <w:p>
      <w:pPr>
        <w:pStyle w:val="Tiret0"/>
        <w:numPr>
          <w:ilvl w:val="0"/>
          <w:numId w:val="16"/>
        </w:numPr>
        <w:tabs>
          <w:tab w:val="left" w:pos="1134"/>
        </w:tabs>
        <w:ind w:firstLine="1"/>
        <w:rPr>
          <w:noProof/>
        </w:rPr>
      </w:pPr>
      <w:r>
        <w:rPr>
          <w:noProof/>
        </w:rPr>
        <w:sym w:font="Wingdings" w:char="F0A8"/>
      </w:r>
      <w:r>
        <w:rPr>
          <w:noProof/>
        </w:rPr>
        <w:tab/>
        <w:t xml:space="preserve">Návrh/podnět nevyžaduje využití prostředků správní povahy </w:t>
      </w:r>
    </w:p>
    <w:p>
      <w:pPr>
        <w:pStyle w:val="Tiret0"/>
        <w:tabs>
          <w:tab w:val="left" w:pos="1134"/>
        </w:tabs>
        <w:ind w:firstLine="1"/>
        <w:rPr>
          <w:noProof/>
        </w:rPr>
      </w:pPr>
      <w:r>
        <w:rPr>
          <w:noProof/>
        </w:rPr>
        <w:sym w:font="Wingdings" w:char="F0FD"/>
      </w:r>
      <w:r>
        <w:rPr>
          <w:noProof/>
        </w:rPr>
        <w:tab/>
        <w:t>Návrh/podnět vyžaduje využití prostředků správní povahy, jak je vysvětleno dále:</w:t>
      </w:r>
    </w:p>
    <w:p>
      <w:pPr>
        <w:rPr>
          <w:noProof/>
          <w:sz w:val="20"/>
        </w:rPr>
      </w:pPr>
      <w:r>
        <w:rPr>
          <w:noProof/>
          <w:sz w:val="20"/>
        </w:rPr>
        <w:t>v milionech EUR (zaokrouhleno na tři desetinná místa)</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trPr>
          <w:trHeight w:val="585"/>
        </w:trPr>
        <w:tc>
          <w:tcPr>
            <w:tcW w:w="1980" w:type="dxa"/>
          </w:tcPr>
          <w:p>
            <w:pPr>
              <w:spacing w:before="60" w:after="60" w:line="200" w:lineRule="exact"/>
              <w:rPr>
                <w:noProof/>
                <w:sz w:val="16"/>
                <w:szCs w:val="16"/>
              </w:rPr>
            </w:pPr>
          </w:p>
        </w:tc>
        <w:tc>
          <w:tcPr>
            <w:tcW w:w="1080" w:type="dxa"/>
            <w:vAlign w:val="center"/>
          </w:tcPr>
          <w:p>
            <w:pPr>
              <w:spacing w:before="60" w:after="60" w:line="200" w:lineRule="exact"/>
              <w:jc w:val="center"/>
              <w:rPr>
                <w:noProof/>
                <w:sz w:val="16"/>
                <w:szCs w:val="16"/>
              </w:rPr>
            </w:pPr>
            <w:r>
              <w:rPr>
                <w:noProof/>
                <w:sz w:val="16"/>
              </w:rPr>
              <w:t>2017</w:t>
            </w:r>
            <w:r>
              <w:rPr>
                <w:b/>
                <w:noProof/>
                <w:sz w:val="16"/>
              </w:rPr>
              <w:t xml:space="preserve"> </w:t>
            </w:r>
            <w:r>
              <w:rPr>
                <w:rStyle w:val="FootnoteReference"/>
                <w:b/>
                <w:noProof/>
                <w:sz w:val="16"/>
              </w:rPr>
              <w:footnoteReference w:id="32"/>
            </w:r>
          </w:p>
        </w:tc>
        <w:tc>
          <w:tcPr>
            <w:tcW w:w="1080" w:type="dxa"/>
            <w:vAlign w:val="center"/>
          </w:tcPr>
          <w:p>
            <w:pPr>
              <w:spacing w:before="60" w:after="60" w:line="200" w:lineRule="exact"/>
              <w:jc w:val="center"/>
              <w:rPr>
                <w:noProof/>
                <w:sz w:val="16"/>
                <w:szCs w:val="16"/>
              </w:rPr>
            </w:pPr>
            <w:r>
              <w:rPr>
                <w:noProof/>
                <w:sz w:val="16"/>
              </w:rPr>
              <w:t>2018</w:t>
            </w:r>
          </w:p>
        </w:tc>
        <w:tc>
          <w:tcPr>
            <w:tcW w:w="1080" w:type="dxa"/>
            <w:vAlign w:val="center"/>
          </w:tcPr>
          <w:p>
            <w:pPr>
              <w:spacing w:before="60" w:after="60" w:line="200" w:lineRule="exact"/>
              <w:jc w:val="center"/>
              <w:rPr>
                <w:noProof/>
                <w:sz w:val="16"/>
                <w:szCs w:val="16"/>
              </w:rPr>
            </w:pPr>
            <w:r>
              <w:rPr>
                <w:noProof/>
                <w:sz w:val="16"/>
              </w:rPr>
              <w:t>2019</w:t>
            </w:r>
          </w:p>
        </w:tc>
        <w:tc>
          <w:tcPr>
            <w:tcW w:w="1080" w:type="dxa"/>
            <w:vAlign w:val="center"/>
          </w:tcPr>
          <w:p>
            <w:pPr>
              <w:spacing w:before="60" w:after="60" w:line="200" w:lineRule="exact"/>
              <w:jc w:val="center"/>
              <w:rPr>
                <w:noProof/>
                <w:sz w:val="16"/>
                <w:szCs w:val="16"/>
              </w:rPr>
            </w:pPr>
            <w:r>
              <w:rPr>
                <w:noProof/>
                <w:sz w:val="16"/>
              </w:rPr>
              <w:t>2020</w:t>
            </w:r>
          </w:p>
        </w:tc>
        <w:tc>
          <w:tcPr>
            <w:tcW w:w="3240" w:type="dxa"/>
            <w:vAlign w:val="center"/>
          </w:tcPr>
          <w:p>
            <w:pPr>
              <w:spacing w:line="200" w:lineRule="exact"/>
              <w:jc w:val="center"/>
              <w:rPr>
                <w:b/>
                <w:noProof/>
                <w:sz w:val="16"/>
                <w:szCs w:val="16"/>
              </w:rPr>
            </w:pPr>
            <w:r>
              <w:rPr>
                <w:noProof/>
                <w:sz w:val="16"/>
              </w:rPr>
              <w:t>Vložit počet let podle trvání finančního dopadu (viz bod 1.6)</w:t>
            </w:r>
          </w:p>
        </w:tc>
        <w:tc>
          <w:tcPr>
            <w:tcW w:w="1080" w:type="dxa"/>
            <w:vAlign w:val="center"/>
          </w:tcPr>
          <w:p>
            <w:pPr>
              <w:spacing w:before="60" w:after="60" w:line="200" w:lineRule="exact"/>
              <w:jc w:val="center"/>
              <w:rPr>
                <w:b/>
                <w:noProof/>
                <w:sz w:val="16"/>
                <w:szCs w:val="16"/>
              </w:rPr>
            </w:pPr>
            <w:r>
              <w:rPr>
                <w:b/>
                <w:noProof/>
                <w:sz w:val="16"/>
              </w:rPr>
              <w:t>CELKEM</w:t>
            </w: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OKRUH 5</w:t>
            </w:r>
            <w:r>
              <w:rPr>
                <w:noProof/>
                <w:sz w:val="22"/>
              </w:rPr>
              <w:br/>
            </w:r>
            <w:r>
              <w:rPr>
                <w:b/>
                <w:noProof/>
                <w:sz w:val="16"/>
              </w:rPr>
              <w:t>víceletého finančního rámce</w:t>
            </w:r>
          </w:p>
        </w:tc>
        <w:tc>
          <w:tcPr>
            <w:tcW w:w="1080" w:type="dxa"/>
            <w:vAlign w:val="center"/>
          </w:tcPr>
          <w:p>
            <w:pPr>
              <w:spacing w:before="60" w:after="60" w:line="200" w:lineRule="exact"/>
              <w:jc w:val="right"/>
              <w:rPr>
                <w:noProof/>
                <w:sz w:val="16"/>
                <w:szCs w:val="16"/>
              </w:rPr>
            </w:pPr>
            <w:r>
              <w:rPr>
                <w:noProof/>
                <w:sz w:val="16"/>
              </w:rPr>
              <w:t>2017</w:t>
            </w:r>
          </w:p>
        </w:tc>
        <w:tc>
          <w:tcPr>
            <w:tcW w:w="1080" w:type="dxa"/>
            <w:vAlign w:val="center"/>
          </w:tcPr>
          <w:p>
            <w:pPr>
              <w:spacing w:before="60" w:after="60" w:line="200" w:lineRule="exact"/>
              <w:jc w:val="right"/>
              <w:rPr>
                <w:noProof/>
                <w:sz w:val="16"/>
                <w:szCs w:val="16"/>
              </w:rPr>
            </w:pPr>
            <w:r>
              <w:rPr>
                <w:noProof/>
                <w:sz w:val="16"/>
              </w:rPr>
              <w:t>2018</w:t>
            </w:r>
          </w:p>
        </w:tc>
        <w:tc>
          <w:tcPr>
            <w:tcW w:w="1080" w:type="dxa"/>
            <w:vAlign w:val="center"/>
          </w:tcPr>
          <w:p>
            <w:pPr>
              <w:spacing w:before="60" w:after="60" w:line="200" w:lineRule="exact"/>
              <w:jc w:val="right"/>
              <w:rPr>
                <w:noProof/>
                <w:sz w:val="16"/>
                <w:szCs w:val="16"/>
              </w:rPr>
            </w:pPr>
            <w:r>
              <w:rPr>
                <w:noProof/>
                <w:sz w:val="16"/>
              </w:rPr>
              <w:t>2019</w:t>
            </w:r>
          </w:p>
        </w:tc>
        <w:tc>
          <w:tcPr>
            <w:tcW w:w="1080" w:type="dxa"/>
            <w:vAlign w:val="center"/>
          </w:tcPr>
          <w:p>
            <w:pPr>
              <w:spacing w:before="60" w:after="60" w:line="200" w:lineRule="exact"/>
              <w:jc w:val="right"/>
              <w:rPr>
                <w:noProof/>
                <w:sz w:val="16"/>
                <w:szCs w:val="16"/>
              </w:rPr>
            </w:pPr>
            <w:r>
              <w:rPr>
                <w:noProof/>
                <w:sz w:val="16"/>
              </w:rPr>
              <w:t>2020</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Lidské zdroje (ekvivalent plného pracovního úvazku GŘ HOME)</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r>
              <w:rPr>
                <w:b/>
                <w:noProof/>
                <w:sz w:val="16"/>
              </w:rPr>
              <w:t>1,6080</w:t>
            </w: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Ostatní správní výdaje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Celkem OKRUH 5</w:t>
            </w:r>
            <w:r>
              <w:rPr>
                <w:noProof/>
                <w:sz w:val="22"/>
              </w:rPr>
              <w:br/>
            </w:r>
            <w:r>
              <w:rPr>
                <w:b/>
                <w:noProof/>
                <w:sz w:val="16"/>
              </w:rPr>
              <w:t xml:space="preserve">víceletého finančního rámce </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r>
              <w:rPr>
                <w:b/>
                <w:noProof/>
                <w:sz w:val="16"/>
              </w:rPr>
              <w:t>1,6080</w:t>
            </w:r>
          </w:p>
        </w:tc>
      </w:tr>
    </w:tbl>
    <w:p>
      <w:pPr>
        <w:spacing w:line="200" w:lineRule="exact"/>
        <w:rPr>
          <w:noProof/>
          <w:sz w:val="16"/>
          <w:szCs w:val="16"/>
          <w:highlight w:val="yellow"/>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line="200" w:lineRule="exact"/>
              <w:jc w:val="center"/>
              <w:rPr>
                <w:noProof/>
                <w:sz w:val="16"/>
                <w:szCs w:val="16"/>
              </w:rPr>
            </w:pPr>
            <w:r>
              <w:rPr>
                <w:b/>
                <w:noProof/>
                <w:sz w:val="16"/>
              </w:rPr>
              <w:t>CELKEM</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r>
              <w:rPr>
                <w:noProof/>
                <w:sz w:val="16"/>
              </w:rPr>
              <w:t>0,402</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r>
              <w:rPr>
                <w:noProof/>
                <w:sz w:val="16"/>
              </w:rPr>
              <w:t>0,402</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r>
              <w:rPr>
                <w:noProof/>
                <w:sz w:val="16"/>
              </w:rPr>
              <w:t>0,402</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r>
              <w:rPr>
                <w:noProof/>
                <w:sz w:val="16"/>
              </w:rPr>
              <w:t>0,402</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12" w:space="0" w:color="auto"/>
            </w:tcBorders>
            <w:vAlign w:val="center"/>
          </w:tcPr>
          <w:p>
            <w:pPr>
              <w:spacing w:before="60" w:after="60" w:line="200" w:lineRule="exact"/>
              <w:jc w:val="right"/>
              <w:rPr>
                <w:b/>
                <w:noProof/>
                <w:sz w:val="16"/>
                <w:szCs w:val="16"/>
              </w:rPr>
            </w:pPr>
            <w:r>
              <w:rPr>
                <w:b/>
                <w:noProof/>
                <w:sz w:val="16"/>
              </w:rPr>
              <w:t>1,6080</w:t>
            </w:r>
          </w:p>
        </w:tc>
      </w:tr>
    </w:tbl>
    <w:p>
      <w:pPr>
        <w:rPr>
          <w:noProof/>
          <w:sz w:val="18"/>
        </w:rPr>
      </w:pPr>
      <w:r>
        <w:rPr>
          <w:noProof/>
          <w:sz w:val="18"/>
        </w:rPr>
        <w:t>Potřebné prostředky na oblast lidských zdrojů a na ostatní výdaje správní povahy budou pokryty z prostředků GŘ, které jsou již vyčleněny na řízení akce a/nebo byly vnitřně přerozděleny v rámci GŘ, a případně doplněny z dodatečného přídělu, který lze řídícímu GŘ poskytnout v rámci ročního přidělování a s ohledem na rozpočtová omezení.</w:t>
      </w:r>
    </w:p>
    <w:p>
      <w:pPr>
        <w:rPr>
          <w:noProof/>
        </w:rPr>
      </w:pPr>
    </w:p>
    <w:p>
      <w:pPr>
        <w:pStyle w:val="ManualNumPar4"/>
        <w:rPr>
          <w:noProof/>
        </w:rPr>
      </w:pPr>
      <w:r>
        <w:t>3.2.3.2.</w:t>
      </w:r>
      <w:r>
        <w:tab/>
      </w:r>
      <w:r>
        <w:rPr>
          <w:noProof/>
        </w:rPr>
        <w:t>Odhadované potřeby v oblasti lidských zdrojů</w:t>
      </w:r>
    </w:p>
    <w:p>
      <w:pPr>
        <w:pStyle w:val="Tiret0"/>
        <w:numPr>
          <w:ilvl w:val="0"/>
          <w:numId w:val="16"/>
        </w:numPr>
        <w:tabs>
          <w:tab w:val="left" w:pos="1134"/>
        </w:tabs>
        <w:ind w:firstLine="1"/>
        <w:rPr>
          <w:noProof/>
        </w:rPr>
      </w:pPr>
      <w:r>
        <w:rPr>
          <w:noProof/>
        </w:rPr>
        <w:sym w:font="Wingdings" w:char="F0A8"/>
      </w:r>
      <w:r>
        <w:rPr>
          <w:noProof/>
        </w:rPr>
        <w:tab/>
        <w:t xml:space="preserve">Návrh/podnět nevyžaduje využití lidských zdrojů. </w:t>
      </w:r>
    </w:p>
    <w:p>
      <w:pPr>
        <w:pStyle w:val="Tiret0"/>
        <w:numPr>
          <w:ilvl w:val="0"/>
          <w:numId w:val="16"/>
        </w:numPr>
        <w:tabs>
          <w:tab w:val="left" w:pos="1134"/>
        </w:tabs>
        <w:ind w:firstLine="1"/>
        <w:rPr>
          <w:noProof/>
        </w:rPr>
      </w:pPr>
      <w:r>
        <w:rPr>
          <w:noProof/>
        </w:rPr>
        <w:sym w:font="Wingdings" w:char="F0FD"/>
      </w:r>
      <w:r>
        <w:rPr>
          <w:noProof/>
        </w:rPr>
        <w:tab/>
        <w:t>Návrh/podnět vyžaduje využití lidských zdrojů, jak je vysvětleno dále:</w:t>
      </w:r>
    </w:p>
    <w:p>
      <w:pPr>
        <w:spacing w:after="60"/>
        <w:jc w:val="right"/>
        <w:rPr>
          <w:i/>
          <w:noProof/>
          <w:sz w:val="20"/>
        </w:rPr>
      </w:pPr>
      <w:r>
        <w:rPr>
          <w:i/>
          <w:noProof/>
          <w:sz w:val="20"/>
        </w:rPr>
        <w:t>Odhad vyjádřete v přepočtu na plné pracovní úvazky</w:t>
      </w:r>
    </w:p>
    <w:tbl>
      <w:tblPr>
        <w:tblW w:w="5544" w:type="pct"/>
        <w:jc w:val="center"/>
        <w:tblInd w:w="-22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2"/>
        <w:gridCol w:w="1952"/>
        <w:gridCol w:w="1954"/>
        <w:gridCol w:w="655"/>
        <w:gridCol w:w="655"/>
        <w:gridCol w:w="3894"/>
        <w:gridCol w:w="465"/>
        <w:gridCol w:w="237"/>
        <w:gridCol w:w="237"/>
        <w:gridCol w:w="236"/>
      </w:tblGrid>
      <w:tr>
        <w:trPr>
          <w:gridBefore w:val="1"/>
          <w:wBefore w:w="6" w:type="pct"/>
          <w:trHeight w:val="289"/>
          <w:jc w:val="center"/>
        </w:trPr>
        <w:tc>
          <w:tcPr>
            <w:tcW w:w="1897" w:type="pct"/>
            <w:gridSpan w:val="2"/>
            <w:shd w:val="clear" w:color="auto" w:fill="auto"/>
          </w:tcPr>
          <w:p>
            <w:pPr>
              <w:spacing w:before="40" w:after="40"/>
              <w:jc w:val="center"/>
              <w:rPr>
                <w:i/>
                <w:noProof/>
                <w:sz w:val="16"/>
                <w:szCs w:val="16"/>
              </w:rPr>
            </w:pPr>
          </w:p>
        </w:tc>
        <w:tc>
          <w:tcPr>
            <w:tcW w:w="318" w:type="pct"/>
            <w:shd w:val="clear" w:color="auto" w:fill="auto"/>
            <w:vAlign w:val="center"/>
          </w:tcPr>
          <w:p>
            <w:pPr>
              <w:spacing w:before="20" w:after="20"/>
              <w:jc w:val="center"/>
              <w:rPr>
                <w:noProof/>
                <w:sz w:val="16"/>
                <w:szCs w:val="16"/>
              </w:rPr>
            </w:pPr>
            <w:r>
              <w:rPr>
                <w:noProof/>
                <w:sz w:val="16"/>
              </w:rPr>
              <w:t>Rok</w:t>
            </w:r>
            <w:r>
              <w:rPr>
                <w:noProof/>
                <w:sz w:val="22"/>
              </w:rPr>
              <w:br/>
            </w:r>
            <w:r>
              <w:rPr>
                <w:b/>
                <w:noProof/>
                <w:sz w:val="16"/>
              </w:rPr>
              <w:t>N</w:t>
            </w:r>
          </w:p>
        </w:tc>
        <w:tc>
          <w:tcPr>
            <w:tcW w:w="318" w:type="pct"/>
            <w:shd w:val="clear" w:color="auto" w:fill="auto"/>
            <w:vAlign w:val="center"/>
          </w:tcPr>
          <w:p>
            <w:pPr>
              <w:spacing w:before="20" w:after="20"/>
              <w:jc w:val="center"/>
              <w:rPr>
                <w:noProof/>
                <w:sz w:val="16"/>
                <w:szCs w:val="16"/>
              </w:rPr>
            </w:pPr>
            <w:r>
              <w:rPr>
                <w:noProof/>
                <w:sz w:val="16"/>
              </w:rPr>
              <w:t>Rok</w:t>
            </w:r>
            <w:r>
              <w:rPr>
                <w:noProof/>
                <w:sz w:val="22"/>
              </w:rPr>
              <w:br/>
            </w:r>
            <w:r>
              <w:rPr>
                <w:b/>
                <w:noProof/>
                <w:sz w:val="16"/>
              </w:rPr>
              <w:t>N+1</w:t>
            </w:r>
          </w:p>
        </w:tc>
        <w:tc>
          <w:tcPr>
            <w:tcW w:w="1891" w:type="pct"/>
            <w:shd w:val="clear" w:color="auto" w:fill="auto"/>
            <w:vAlign w:val="center"/>
          </w:tcPr>
          <w:p>
            <w:pPr>
              <w:spacing w:before="20" w:after="20"/>
              <w:jc w:val="center"/>
              <w:rPr>
                <w:noProof/>
                <w:sz w:val="16"/>
                <w:szCs w:val="16"/>
              </w:rPr>
            </w:pPr>
            <w:r>
              <w:rPr>
                <w:noProof/>
                <w:sz w:val="16"/>
              </w:rPr>
              <w:t xml:space="preserve">Rok </w:t>
            </w:r>
            <w:r>
              <w:rPr>
                <w:b/>
                <w:noProof/>
                <w:sz w:val="16"/>
              </w:rPr>
              <w:t>N+2</w:t>
            </w:r>
          </w:p>
        </w:tc>
        <w:tc>
          <w:tcPr>
            <w:tcW w:w="226" w:type="pct"/>
            <w:shd w:val="clear" w:color="auto" w:fill="auto"/>
            <w:vAlign w:val="center"/>
          </w:tcPr>
          <w:p>
            <w:pPr>
              <w:spacing w:before="20" w:after="20"/>
              <w:jc w:val="center"/>
              <w:rPr>
                <w:noProof/>
                <w:sz w:val="16"/>
                <w:szCs w:val="16"/>
              </w:rPr>
            </w:pPr>
            <w:r>
              <w:rPr>
                <w:noProof/>
                <w:sz w:val="16"/>
              </w:rPr>
              <w:t xml:space="preserve">Rok </w:t>
            </w:r>
            <w:r>
              <w:rPr>
                <w:b/>
                <w:noProof/>
                <w:sz w:val="16"/>
              </w:rPr>
              <w:t>N+3</w:t>
            </w:r>
          </w:p>
        </w:tc>
        <w:tc>
          <w:tcPr>
            <w:tcW w:w="345" w:type="pct"/>
            <w:gridSpan w:val="3"/>
            <w:shd w:val="clear" w:color="auto" w:fill="auto"/>
            <w:vAlign w:val="center"/>
          </w:tcPr>
          <w:p>
            <w:pPr>
              <w:jc w:val="center"/>
              <w:rPr>
                <w:b/>
                <w:noProof/>
                <w:sz w:val="16"/>
                <w:szCs w:val="16"/>
              </w:rPr>
            </w:pPr>
            <w:r>
              <w:rPr>
                <w:noProof/>
                <w:sz w:val="16"/>
              </w:rPr>
              <w:t>Vložit počet let podle trvání finančního dopadu (viz bod 1.6)</w:t>
            </w:r>
          </w:p>
        </w:tc>
      </w:tr>
      <w:tr>
        <w:trPr>
          <w:gridBefore w:val="1"/>
          <w:wBefore w:w="6" w:type="pct"/>
          <w:trHeight w:val="289"/>
          <w:jc w:val="center"/>
        </w:trPr>
        <w:tc>
          <w:tcPr>
            <w:tcW w:w="4424" w:type="pct"/>
            <w:gridSpan w:val="5"/>
            <w:shd w:val="clear" w:color="auto" w:fill="auto"/>
          </w:tcPr>
          <w:p>
            <w:pPr>
              <w:spacing w:before="20" w:after="20"/>
              <w:rPr>
                <w:noProof/>
                <w:sz w:val="16"/>
                <w:szCs w:val="16"/>
              </w:rPr>
            </w:pPr>
            <w:r>
              <w:rPr>
                <w:b/>
                <w:noProof/>
                <w:sz w:val="16"/>
              </w:rPr>
              <w:sym w:font="Wingdings" w:char="F09F"/>
            </w:r>
            <w:r>
              <w:rPr>
                <w:b/>
                <w:noProof/>
                <w:sz w:val="16"/>
              </w:rPr>
              <w:t xml:space="preserve"> Pracovní místa podle plánu pracovních míst (místa úředníků a dočasných zaměstnanců)</w:t>
            </w:r>
          </w:p>
        </w:tc>
        <w:tc>
          <w:tcPr>
            <w:tcW w:w="226" w:type="pct"/>
            <w:shd w:val="clear" w:color="auto" w:fill="auto"/>
            <w:vAlign w:val="center"/>
          </w:tcPr>
          <w:p>
            <w:pPr>
              <w:spacing w:before="20" w:after="20"/>
              <w:jc w:val="center"/>
              <w:rPr>
                <w:noProof/>
                <w:sz w:val="16"/>
                <w:szCs w:val="16"/>
              </w:rPr>
            </w:pPr>
          </w:p>
        </w:tc>
        <w:tc>
          <w:tcPr>
            <w:tcW w:w="345" w:type="pct"/>
            <w:gridSpan w:val="3"/>
            <w:shd w:val="clear" w:color="auto" w:fill="auto"/>
            <w:vAlign w:val="center"/>
          </w:tcPr>
          <w:p>
            <w:pPr>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4"/>
              <w:jc w:val="left"/>
              <w:rPr>
                <w:b/>
                <w:noProof/>
                <w:sz w:val="16"/>
                <w:szCs w:val="16"/>
              </w:rPr>
            </w:pPr>
            <w:r>
              <w:rPr>
                <w:noProof/>
                <w:sz w:val="16"/>
              </w:rPr>
              <w:t>18 01 01 01 (v ústředí a v zastoupeních Komise)</w:t>
            </w:r>
          </w:p>
        </w:tc>
        <w:tc>
          <w:tcPr>
            <w:tcW w:w="318" w:type="pct"/>
            <w:shd w:val="clear" w:color="auto" w:fill="auto"/>
            <w:vAlign w:val="center"/>
          </w:tcPr>
          <w:p>
            <w:pPr>
              <w:spacing w:beforeLines="20" w:before="48" w:afterLines="20" w:after="48"/>
              <w:jc w:val="center"/>
              <w:rPr>
                <w:noProof/>
                <w:sz w:val="16"/>
                <w:szCs w:val="16"/>
              </w:rPr>
            </w:pPr>
            <w:r>
              <w:rPr>
                <w:noProof/>
                <w:sz w:val="16"/>
              </w:rPr>
              <w:t>3</w:t>
            </w:r>
          </w:p>
        </w:tc>
        <w:tc>
          <w:tcPr>
            <w:tcW w:w="318" w:type="pct"/>
            <w:shd w:val="clear" w:color="auto" w:fill="auto"/>
            <w:vAlign w:val="center"/>
          </w:tcPr>
          <w:p>
            <w:pPr>
              <w:spacing w:beforeLines="20" w:before="48" w:afterLines="20" w:after="48"/>
              <w:jc w:val="center"/>
              <w:rPr>
                <w:noProof/>
                <w:sz w:val="16"/>
                <w:szCs w:val="16"/>
              </w:rPr>
            </w:pPr>
            <w:r>
              <w:rPr>
                <w:noProof/>
                <w:sz w:val="16"/>
              </w:rPr>
              <w:t>3</w:t>
            </w:r>
          </w:p>
        </w:tc>
        <w:tc>
          <w:tcPr>
            <w:tcW w:w="1891" w:type="pct"/>
            <w:shd w:val="clear" w:color="auto" w:fill="auto"/>
            <w:vAlign w:val="center"/>
          </w:tcPr>
          <w:p>
            <w:pPr>
              <w:spacing w:beforeLines="20" w:before="48" w:afterLines="20" w:after="48"/>
              <w:jc w:val="center"/>
              <w:rPr>
                <w:noProof/>
                <w:sz w:val="16"/>
                <w:szCs w:val="16"/>
              </w:rPr>
            </w:pPr>
            <w:r>
              <w:rPr>
                <w:noProof/>
                <w:sz w:val="16"/>
              </w:rPr>
              <w:t>3</w:t>
            </w:r>
          </w:p>
        </w:tc>
        <w:tc>
          <w:tcPr>
            <w:tcW w:w="226" w:type="pct"/>
            <w:shd w:val="clear" w:color="auto" w:fill="auto"/>
            <w:vAlign w:val="center"/>
          </w:tcPr>
          <w:p>
            <w:pPr>
              <w:spacing w:beforeLines="20" w:before="48" w:afterLines="20" w:after="48"/>
              <w:jc w:val="center"/>
              <w:rPr>
                <w:noProof/>
                <w:sz w:val="16"/>
                <w:szCs w:val="16"/>
              </w:rPr>
            </w:pPr>
            <w:r>
              <w:rPr>
                <w:noProof/>
                <w:sz w:val="16"/>
              </w:rPr>
              <w:t>3</w:t>
            </w: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4"/>
              <w:jc w:val="left"/>
              <w:rPr>
                <w:noProof/>
                <w:sz w:val="16"/>
                <w:szCs w:val="16"/>
              </w:rPr>
            </w:pPr>
            <w:r>
              <w:rPr>
                <w:noProof/>
                <w:sz w:val="16"/>
              </w:rPr>
              <w:t>XX 01 01 02 (při delegacích)</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4"/>
              <w:jc w:val="left"/>
              <w:rPr>
                <w:noProof/>
                <w:sz w:val="16"/>
                <w:szCs w:val="16"/>
              </w:rPr>
            </w:pPr>
            <w:r>
              <w:rPr>
                <w:noProof/>
                <w:sz w:val="16"/>
              </w:rPr>
              <w:t>XX 01 05 01 (v nepřímém výzkumu)</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4"/>
              <w:jc w:val="left"/>
              <w:rPr>
                <w:noProof/>
                <w:sz w:val="16"/>
                <w:szCs w:val="16"/>
              </w:rPr>
            </w:pPr>
            <w:r>
              <w:rPr>
                <w:noProof/>
                <w:sz w:val="16"/>
              </w:rPr>
              <w:t>10 01 05 01 (v přímém výzkumu)</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After w:val="4"/>
          <w:wAfter w:w="570" w:type="pct"/>
          <w:trHeight w:val="248"/>
          <w:jc w:val="center"/>
        </w:trPr>
        <w:tc>
          <w:tcPr>
            <w:tcW w:w="4430" w:type="pct"/>
            <w:gridSpan w:val="6"/>
            <w:shd w:val="clear" w:color="auto" w:fill="auto"/>
            <w:vAlign w:val="center"/>
          </w:tcPr>
          <w:p>
            <w:pPr>
              <w:spacing w:before="60" w:after="60"/>
              <w:jc w:val="left"/>
              <w:rPr>
                <w:b/>
                <w:noProof/>
                <w:sz w:val="16"/>
                <w:szCs w:val="16"/>
              </w:rPr>
            </w:pPr>
            <w:r>
              <w:rPr>
                <w:b/>
                <w:noProof/>
                <w:sz w:val="16"/>
              </w:rPr>
              <w:sym w:font="Wingdings" w:char="F09F"/>
            </w:r>
            <w:r>
              <w:rPr>
                <w:b/>
                <w:noProof/>
                <w:sz w:val="16"/>
              </w:rPr>
              <w:t xml:space="preserve"> Externí zaměstnanci (v přepočtu na plné pracovní úvazky: FTE)</w:t>
            </w:r>
            <w:r>
              <w:rPr>
                <w:rStyle w:val="FootnoteReference"/>
                <w:b/>
                <w:noProof/>
                <w:sz w:val="16"/>
              </w:rPr>
              <w:footnoteReference w:id="33"/>
            </w:r>
            <w:r>
              <w:rPr>
                <w:rStyle w:val="CommentReference"/>
                <w:noProof/>
              </w:rPr>
              <w:t xml:space="preserve"> </w:t>
            </w:r>
          </w:p>
          <w:p>
            <w:pPr>
              <w:spacing w:before="0" w:after="0"/>
              <w:jc w:val="left"/>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6"/>
              <w:jc w:val="left"/>
              <w:rPr>
                <w:b/>
                <w:noProof/>
                <w:sz w:val="16"/>
                <w:szCs w:val="16"/>
              </w:rPr>
            </w:pPr>
            <w:r>
              <w:rPr>
                <w:noProof/>
                <w:sz w:val="16"/>
              </w:rPr>
              <w:t>XX 01 02 01 (SZ, VNO, ZAP z celkového rámce)</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6"/>
              <w:jc w:val="left"/>
              <w:rPr>
                <w:noProof/>
                <w:sz w:val="16"/>
                <w:szCs w:val="16"/>
              </w:rPr>
            </w:pPr>
            <w:r>
              <w:rPr>
                <w:noProof/>
                <w:sz w:val="16"/>
              </w:rPr>
              <w:t>XX 01 02 02 (SZ, MZ, VNO, ZAP a MOD při delegacích)</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948" w:type="pct"/>
            <w:vMerge w:val="restart"/>
            <w:shd w:val="clear" w:color="auto" w:fill="auto"/>
            <w:vAlign w:val="center"/>
          </w:tcPr>
          <w:p>
            <w:pPr>
              <w:spacing w:beforeLines="20" w:before="48" w:afterLines="20" w:after="48"/>
              <w:ind w:left="136"/>
              <w:jc w:val="left"/>
              <w:rPr>
                <w:b/>
                <w:noProof/>
                <w:sz w:val="16"/>
                <w:szCs w:val="16"/>
              </w:rPr>
            </w:pPr>
            <w:r>
              <w:rPr>
                <w:b/>
                <w:noProof/>
                <w:sz w:val="16"/>
              </w:rPr>
              <w:t>XX</w:t>
            </w:r>
            <w:r>
              <w:rPr>
                <w:noProof/>
                <w:sz w:val="16"/>
              </w:rPr>
              <w:t xml:space="preserve"> 01 04 </w:t>
            </w:r>
            <w:r>
              <w:rPr>
                <w:b/>
                <w:noProof/>
                <w:sz w:val="16"/>
              </w:rPr>
              <w:t>yy</w:t>
            </w:r>
            <w:r>
              <w:rPr>
                <w:rStyle w:val="FootnoteReference"/>
                <w:b/>
                <w:noProof/>
                <w:sz w:val="16"/>
              </w:rPr>
              <w:footnoteReference w:id="34"/>
            </w:r>
          </w:p>
          <w:p>
            <w:pPr>
              <w:spacing w:beforeLines="20" w:before="48" w:afterLines="20" w:after="48"/>
              <w:ind w:left="136"/>
              <w:jc w:val="left"/>
              <w:rPr>
                <w:b/>
                <w:noProof/>
                <w:sz w:val="16"/>
                <w:szCs w:val="16"/>
              </w:rPr>
            </w:pPr>
          </w:p>
        </w:tc>
        <w:tc>
          <w:tcPr>
            <w:tcW w:w="949" w:type="pct"/>
            <w:shd w:val="clear" w:color="auto" w:fill="auto"/>
            <w:vAlign w:val="center"/>
          </w:tcPr>
          <w:p>
            <w:pPr>
              <w:spacing w:beforeLines="20" w:before="48" w:afterLines="20" w:after="48"/>
              <w:ind w:left="136"/>
              <w:jc w:val="left"/>
              <w:rPr>
                <w:b/>
                <w:noProof/>
                <w:sz w:val="16"/>
                <w:szCs w:val="16"/>
              </w:rPr>
            </w:pPr>
            <w:r>
              <w:rPr>
                <w:noProof/>
                <w:sz w:val="16"/>
              </w:rPr>
              <w:t>– v ústředí</w:t>
            </w:r>
          </w:p>
          <w:p>
            <w:pPr>
              <w:spacing w:beforeLines="20" w:before="48" w:afterLines="20" w:after="48"/>
              <w:ind w:left="136"/>
              <w:jc w:val="left"/>
              <w:rPr>
                <w:b/>
                <w:noProof/>
                <w:sz w:val="16"/>
                <w:szCs w:val="16"/>
              </w:rPr>
            </w:pPr>
          </w:p>
        </w:tc>
        <w:tc>
          <w:tcPr>
            <w:tcW w:w="318" w:type="pct"/>
            <w:shd w:val="clear" w:color="auto" w:fill="auto"/>
            <w:vAlign w:val="center"/>
          </w:tcPr>
          <w:p>
            <w:pPr>
              <w:spacing w:beforeLines="20" w:before="48" w:afterLines="20" w:after="48"/>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948" w:type="pct"/>
            <w:vMerge/>
            <w:shd w:val="clear" w:color="auto" w:fill="auto"/>
            <w:vAlign w:val="center"/>
          </w:tcPr>
          <w:p>
            <w:pPr>
              <w:spacing w:beforeLines="20" w:before="48" w:afterLines="20" w:after="48"/>
              <w:ind w:left="136"/>
              <w:jc w:val="left"/>
              <w:rPr>
                <w:b/>
                <w:noProof/>
                <w:sz w:val="16"/>
                <w:szCs w:val="16"/>
              </w:rPr>
            </w:pPr>
          </w:p>
        </w:tc>
        <w:tc>
          <w:tcPr>
            <w:tcW w:w="949" w:type="pct"/>
            <w:shd w:val="clear" w:color="auto" w:fill="auto"/>
            <w:vAlign w:val="center"/>
          </w:tcPr>
          <w:p>
            <w:pPr>
              <w:spacing w:beforeLines="20" w:before="48" w:afterLines="20" w:after="48"/>
              <w:ind w:left="136"/>
              <w:jc w:val="left"/>
              <w:rPr>
                <w:b/>
                <w:noProof/>
                <w:sz w:val="16"/>
                <w:szCs w:val="16"/>
              </w:rPr>
            </w:pPr>
            <w:r>
              <w:rPr>
                <w:noProof/>
                <w:sz w:val="16"/>
              </w:rPr>
              <w:t xml:space="preserve">– při delegacích </w:t>
            </w:r>
          </w:p>
        </w:tc>
        <w:tc>
          <w:tcPr>
            <w:tcW w:w="318" w:type="pct"/>
            <w:shd w:val="clear" w:color="auto" w:fill="auto"/>
            <w:vAlign w:val="center"/>
          </w:tcPr>
          <w:p>
            <w:pPr>
              <w:spacing w:beforeLines="20" w:before="48" w:afterLines="20" w:after="48"/>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6"/>
              <w:jc w:val="left"/>
              <w:rPr>
                <w:noProof/>
                <w:sz w:val="16"/>
                <w:szCs w:val="16"/>
              </w:rPr>
            </w:pPr>
            <w:r>
              <w:rPr>
                <w:b/>
                <w:noProof/>
                <w:sz w:val="16"/>
              </w:rPr>
              <w:t>XX</w:t>
            </w:r>
            <w:r>
              <w:rPr>
                <w:noProof/>
                <w:sz w:val="16"/>
              </w:rPr>
              <w:t xml:space="preserve"> 01 05 02 (SZ, VNO, ZAP v nepřímém výzkumu)</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6"/>
              <w:jc w:val="left"/>
              <w:rPr>
                <w:noProof/>
                <w:sz w:val="16"/>
                <w:szCs w:val="16"/>
              </w:rPr>
            </w:pPr>
            <w:r>
              <w:rPr>
                <w:noProof/>
                <w:sz w:val="16"/>
              </w:rPr>
              <w:t>10 01 05 02 (SZ, VNO, ZAP v přímém výzkumu)</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tcBorders>
              <w:bottom w:val="double" w:sz="4" w:space="0" w:color="auto"/>
            </w:tcBorders>
            <w:shd w:val="clear" w:color="auto" w:fill="auto"/>
            <w:vAlign w:val="center"/>
          </w:tcPr>
          <w:p>
            <w:pPr>
              <w:spacing w:beforeLines="20" w:before="48" w:afterLines="20" w:after="48"/>
              <w:ind w:left="134"/>
              <w:jc w:val="left"/>
              <w:rPr>
                <w:noProof/>
                <w:sz w:val="16"/>
                <w:szCs w:val="16"/>
              </w:rPr>
            </w:pPr>
            <w:r>
              <w:rPr>
                <w:noProof/>
                <w:sz w:val="16"/>
              </w:rPr>
              <w:t>Jiné rozpočtové položky (upřesněte)</w:t>
            </w:r>
          </w:p>
        </w:tc>
        <w:tc>
          <w:tcPr>
            <w:tcW w:w="318"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318"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1891"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226"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tcBorders>
              <w:top w:val="double" w:sz="4" w:space="0" w:color="auto"/>
            </w:tcBorders>
            <w:shd w:val="clear" w:color="auto" w:fill="auto"/>
            <w:vAlign w:val="center"/>
          </w:tcPr>
          <w:p>
            <w:pPr>
              <w:spacing w:beforeLines="20" w:before="48" w:afterLines="20" w:after="48"/>
              <w:ind w:left="136"/>
              <w:jc w:val="left"/>
              <w:rPr>
                <w:noProof/>
                <w:sz w:val="16"/>
                <w:szCs w:val="16"/>
              </w:rPr>
            </w:pPr>
            <w:r>
              <w:rPr>
                <w:b/>
                <w:noProof/>
                <w:sz w:val="16"/>
              </w:rPr>
              <w:t>CELKEM</w:t>
            </w:r>
          </w:p>
        </w:tc>
        <w:tc>
          <w:tcPr>
            <w:tcW w:w="318"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3</w:t>
            </w:r>
          </w:p>
        </w:tc>
        <w:tc>
          <w:tcPr>
            <w:tcW w:w="318"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3</w:t>
            </w:r>
          </w:p>
        </w:tc>
        <w:tc>
          <w:tcPr>
            <w:tcW w:w="1891"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3</w:t>
            </w:r>
          </w:p>
        </w:tc>
        <w:tc>
          <w:tcPr>
            <w:tcW w:w="226"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3</w:t>
            </w:r>
          </w:p>
        </w:tc>
        <w:tc>
          <w:tcPr>
            <w:tcW w:w="115" w:type="pct"/>
            <w:tcBorders>
              <w:top w:val="double" w:sz="4" w:space="0" w:color="auto"/>
            </w:tcBorders>
            <w:shd w:val="clear" w:color="auto" w:fill="auto"/>
            <w:vAlign w:val="center"/>
          </w:tcPr>
          <w:p>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pPr>
              <w:spacing w:beforeLines="20" w:before="48" w:afterLines="20" w:after="48"/>
              <w:jc w:val="center"/>
              <w:rPr>
                <w:b/>
                <w:noProof/>
                <w:sz w:val="16"/>
                <w:szCs w:val="16"/>
              </w:rPr>
            </w:pPr>
          </w:p>
        </w:tc>
      </w:tr>
    </w:tbl>
    <w:p>
      <w:pPr>
        <w:spacing w:before="60" w:after="60"/>
        <w:ind w:left="851"/>
        <w:rPr>
          <w:noProof/>
          <w:sz w:val="18"/>
          <w:szCs w:val="18"/>
        </w:rPr>
      </w:pPr>
      <w:r>
        <w:rPr>
          <w:b/>
          <w:noProof/>
          <w:sz w:val="18"/>
        </w:rPr>
        <w:t>XX</w:t>
      </w:r>
      <w:r>
        <w:rPr>
          <w:noProof/>
          <w:sz w:val="18"/>
        </w:rPr>
        <w:t xml:space="preserve"> je oblast politiky nebo dotčená hlava rozpočtu.</w:t>
      </w:r>
    </w:p>
    <w:p>
      <w:pPr>
        <w:ind w:left="850"/>
        <w:rPr>
          <w:noProof/>
          <w:sz w:val="18"/>
          <w:szCs w:val="18"/>
        </w:rPr>
      </w:pPr>
      <w:r>
        <w:rPr>
          <w:noProof/>
          <w:sz w:val="18"/>
        </w:rPr>
        <w:t>Potřeby v oblasti lidských zdrojů budou pokryty ze zdrojů GŘ, které jsou již vyčleněny na řízení akce a/nebo byly vnitřně přeobsazeny v rámci GŘ, a případně doplněny z dodatečného přídělu, který lze řídícímu GŘ poskytnout v rámci ročního přidělování a s ohledem na rozpočtová omezení.</w:t>
      </w:r>
    </w:p>
    <w:p>
      <w:pPr>
        <w:rPr>
          <w:noProof/>
          <w:sz w:val="20"/>
        </w:rPr>
      </w:pPr>
      <w:r>
        <w:rPr>
          <w:noProof/>
          <w:sz w:val="20"/>
        </w:rPr>
        <w:t>Popis úkolů:</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Úředníci a dočasní zaměstnanci</w:t>
            </w:r>
          </w:p>
        </w:tc>
        <w:tc>
          <w:tcPr>
            <w:tcW w:w="7200" w:type="dxa"/>
          </w:tcPr>
          <w:p>
            <w:pPr>
              <w:rPr>
                <w:noProof/>
                <w:sz w:val="20"/>
              </w:rPr>
            </w:pPr>
            <w:r>
              <w:rPr>
                <w:noProof/>
                <w:sz w:val="20"/>
              </w:rPr>
              <w:t>Zastupují Komisi ve správní radě agentury. Vypracovávají stanoviska Komise k ročnímu pracovnímu programu a sledují jeho provádění. Dohlížejí na přípravu rozpočtu agentury a sledují plnění rozpočtu. Napomáhají agentuře při rozvoji jejích činností v souladu s politikami EU, a to i prostřednictvím účasti na setkáních odborníků.</w:t>
            </w:r>
          </w:p>
        </w:tc>
      </w:tr>
      <w:tr>
        <w:tc>
          <w:tcPr>
            <w:tcW w:w="3240" w:type="dxa"/>
          </w:tcPr>
          <w:p>
            <w:pPr>
              <w:spacing w:before="60" w:after="60"/>
              <w:rPr>
                <w:noProof/>
                <w:sz w:val="20"/>
              </w:rPr>
            </w:pPr>
            <w:r>
              <w:rPr>
                <w:noProof/>
                <w:sz w:val="20"/>
              </w:rPr>
              <w:t>Externí zaměstnanci</w:t>
            </w:r>
          </w:p>
        </w:tc>
        <w:tc>
          <w:tcPr>
            <w:tcW w:w="7200" w:type="dxa"/>
          </w:tcPr>
          <w:p>
            <w:pPr>
              <w:rPr>
                <w:noProof/>
                <w:sz w:val="20"/>
              </w:rPr>
            </w:pPr>
          </w:p>
        </w:tc>
      </w:tr>
    </w:tbl>
    <w:p>
      <w:pPr>
        <w:pStyle w:val="ManualNumPar3"/>
        <w:rPr>
          <w:noProof/>
        </w:rPr>
      </w:pPr>
      <w:r>
        <w:t>3.2.4.</w:t>
      </w:r>
      <w:r>
        <w:tab/>
      </w:r>
      <w:r>
        <w:rPr>
          <w:noProof/>
        </w:rPr>
        <w:t xml:space="preserve">Soulad se stávajícím víceletým finančním rámcem </w:t>
      </w:r>
    </w:p>
    <w:p>
      <w:pPr>
        <w:pStyle w:val="Tiret0"/>
        <w:numPr>
          <w:ilvl w:val="0"/>
          <w:numId w:val="16"/>
        </w:numPr>
        <w:tabs>
          <w:tab w:val="left" w:pos="1134"/>
        </w:tabs>
        <w:ind w:firstLine="1"/>
        <w:rPr>
          <w:noProof/>
        </w:rPr>
      </w:pPr>
      <w:r>
        <w:rPr>
          <w:noProof/>
        </w:rPr>
        <w:sym w:font="Wingdings" w:char="F0FD"/>
      </w:r>
      <w:r>
        <w:rPr>
          <w:noProof/>
        </w:rPr>
        <w:tab/>
        <w:t>Návrh/podnět je v souladu se stávajícím víceletým finančním rámcem.</w:t>
      </w:r>
    </w:p>
    <w:p>
      <w:pPr>
        <w:pStyle w:val="Tiret0"/>
        <w:numPr>
          <w:ilvl w:val="0"/>
          <w:numId w:val="16"/>
        </w:numPr>
        <w:tabs>
          <w:tab w:val="left" w:pos="1134"/>
        </w:tabs>
        <w:ind w:firstLine="1"/>
        <w:rPr>
          <w:noProof/>
        </w:rPr>
      </w:pPr>
      <w:r>
        <w:rPr>
          <w:noProof/>
        </w:rPr>
        <w:sym w:font="Wingdings" w:char="F0A8"/>
      </w:r>
      <w:r>
        <w:rPr>
          <w:noProof/>
        </w:rPr>
        <w:tab/>
        <w:t>Návrh/podnět si vyžádá úpravu příslušného okruhu víceletého finančního rámce.</w:t>
      </w:r>
    </w:p>
    <w:p>
      <w:pPr>
        <w:pBdr>
          <w:top w:val="single" w:sz="4" w:space="1" w:color="auto"/>
          <w:left w:val="single" w:sz="4" w:space="4" w:color="auto"/>
          <w:bottom w:val="single" w:sz="4" w:space="1" w:color="auto"/>
          <w:right w:val="single" w:sz="4" w:space="4" w:color="auto"/>
        </w:pBdr>
        <w:ind w:left="850"/>
        <w:rPr>
          <w:noProof/>
        </w:rPr>
      </w:pPr>
      <w:r>
        <w:rPr>
          <w:noProof/>
          <w:sz w:val="20"/>
        </w:rPr>
        <w:t>Upřesněte požadovanou úpravu, příslušné rozpočtové položky a odpovídající částky.</w:t>
      </w:r>
    </w:p>
    <w:p>
      <w:pPr>
        <w:pStyle w:val="Tiret0"/>
        <w:numPr>
          <w:ilvl w:val="0"/>
          <w:numId w:val="16"/>
        </w:numPr>
        <w:tabs>
          <w:tab w:val="left" w:pos="1134"/>
        </w:tabs>
        <w:ind w:firstLine="1"/>
        <w:rPr>
          <w:noProof/>
        </w:rPr>
      </w:pPr>
      <w:r>
        <w:rPr>
          <w:noProof/>
        </w:rPr>
        <w:sym w:font="Wingdings" w:char="F0A8"/>
      </w:r>
      <w:r>
        <w:rPr>
          <w:noProof/>
        </w:rPr>
        <w:tab/>
        <w:t>Návrh/podnět vyžaduje použití nástroje pružnosti nebo změnu víceletého finančního rámce.</w:t>
      </w:r>
    </w:p>
    <w:p>
      <w:pPr>
        <w:pBdr>
          <w:top w:val="single" w:sz="4" w:space="1" w:color="auto"/>
          <w:left w:val="single" w:sz="4" w:space="4" w:color="auto"/>
          <w:bottom w:val="single" w:sz="4" w:space="1" w:color="auto"/>
          <w:right w:val="single" w:sz="4" w:space="4" w:color="auto"/>
        </w:pBdr>
        <w:ind w:left="850"/>
        <w:rPr>
          <w:noProof/>
        </w:rPr>
      </w:pPr>
      <w:r>
        <w:rPr>
          <w:noProof/>
          <w:sz w:val="20"/>
        </w:rPr>
        <w:t>Upřesněte potřebu, příslušné okruhy a rozpočtové položky a odpovídající částky.</w:t>
      </w:r>
    </w:p>
    <w:p>
      <w:pPr>
        <w:pStyle w:val="ManualNumPar3"/>
        <w:rPr>
          <w:noProof/>
        </w:rPr>
      </w:pPr>
      <w:r>
        <w:t>3.2.5.</w:t>
      </w:r>
      <w:r>
        <w:tab/>
      </w:r>
      <w:r>
        <w:rPr>
          <w:noProof/>
        </w:rPr>
        <w:t xml:space="preserve">Příspěvky třetích stran </w:t>
      </w:r>
    </w:p>
    <w:p>
      <w:pPr>
        <w:pStyle w:val="Tiret0"/>
        <w:numPr>
          <w:ilvl w:val="0"/>
          <w:numId w:val="16"/>
        </w:numPr>
        <w:tabs>
          <w:tab w:val="left" w:pos="1134"/>
        </w:tabs>
        <w:ind w:firstLine="1"/>
        <w:rPr>
          <w:noProof/>
        </w:rPr>
      </w:pPr>
      <w:r>
        <w:rPr>
          <w:noProof/>
        </w:rPr>
        <w:sym w:font="Wingdings" w:char="F0FD"/>
      </w:r>
      <w:r>
        <w:rPr>
          <w:noProof/>
        </w:rPr>
        <w:tab/>
        <w:t xml:space="preserve">Návrh/podnět nepočítá se spolufinancováním od třetích stran. </w:t>
      </w:r>
    </w:p>
    <w:p>
      <w:pPr>
        <w:pStyle w:val="Tiret0"/>
        <w:numPr>
          <w:ilvl w:val="0"/>
          <w:numId w:val="16"/>
        </w:numPr>
        <w:tabs>
          <w:tab w:val="left" w:pos="1134"/>
        </w:tabs>
        <w:ind w:firstLine="1"/>
        <w:rPr>
          <w:noProof/>
        </w:rPr>
      </w:pPr>
      <w:r>
        <w:rPr>
          <w:noProof/>
        </w:rPr>
        <w:t>Návrh/podnět počítá se spolufinancováním podle následujícího odhadu:</w:t>
      </w:r>
    </w:p>
    <w:p>
      <w:pPr>
        <w:jc w:val="right"/>
        <w:rPr>
          <w:noProof/>
          <w:sz w:val="20"/>
        </w:rPr>
      </w:pPr>
      <w:r>
        <w:rPr>
          <w:noProof/>
          <w:sz w:val="20"/>
        </w:rPr>
        <w:t>Prostředky v milionech EUR (zaokrouhleno na tři desetinná místa)</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trPr>
          <w:cantSplit/>
        </w:trPr>
        <w:tc>
          <w:tcPr>
            <w:tcW w:w="2340" w:type="dxa"/>
          </w:tcPr>
          <w:p>
            <w:pPr>
              <w:spacing w:before="60" w:after="60"/>
              <w:rPr>
                <w:noProof/>
                <w:sz w:val="20"/>
              </w:rPr>
            </w:pPr>
          </w:p>
        </w:tc>
        <w:tc>
          <w:tcPr>
            <w:tcW w:w="964" w:type="dxa"/>
            <w:vAlign w:val="center"/>
          </w:tcPr>
          <w:p>
            <w:pPr>
              <w:jc w:val="center"/>
              <w:rPr>
                <w:noProof/>
                <w:sz w:val="20"/>
              </w:rPr>
            </w:pPr>
            <w:r>
              <w:rPr>
                <w:noProof/>
                <w:sz w:val="20"/>
              </w:rPr>
              <w:t>Rok</w:t>
            </w:r>
            <w:r>
              <w:rPr>
                <w:noProof/>
                <w:sz w:val="22"/>
              </w:rPr>
              <w:br/>
            </w:r>
            <w:r>
              <w:rPr>
                <w:b/>
                <w:noProof/>
                <w:sz w:val="20"/>
              </w:rPr>
              <w:t>N</w:t>
            </w:r>
          </w:p>
        </w:tc>
        <w:tc>
          <w:tcPr>
            <w:tcW w:w="964" w:type="dxa"/>
            <w:vAlign w:val="center"/>
          </w:tcPr>
          <w:p>
            <w:pPr>
              <w:jc w:val="center"/>
              <w:rPr>
                <w:noProof/>
                <w:sz w:val="20"/>
              </w:rPr>
            </w:pPr>
            <w:r>
              <w:rPr>
                <w:noProof/>
                <w:sz w:val="20"/>
              </w:rPr>
              <w:t>Rok</w:t>
            </w:r>
            <w:r>
              <w:rPr>
                <w:noProof/>
                <w:sz w:val="22"/>
              </w:rPr>
              <w:br/>
            </w:r>
            <w:r>
              <w:rPr>
                <w:b/>
                <w:noProof/>
                <w:sz w:val="20"/>
              </w:rPr>
              <w:t>N+1</w:t>
            </w:r>
          </w:p>
        </w:tc>
        <w:tc>
          <w:tcPr>
            <w:tcW w:w="964" w:type="dxa"/>
            <w:vAlign w:val="center"/>
          </w:tcPr>
          <w:p>
            <w:pPr>
              <w:jc w:val="center"/>
              <w:rPr>
                <w:noProof/>
                <w:sz w:val="20"/>
              </w:rPr>
            </w:pPr>
            <w:r>
              <w:rPr>
                <w:noProof/>
                <w:sz w:val="20"/>
              </w:rPr>
              <w:t>Rok</w:t>
            </w:r>
            <w:r>
              <w:rPr>
                <w:noProof/>
                <w:sz w:val="22"/>
              </w:rPr>
              <w:br/>
            </w:r>
            <w:r>
              <w:rPr>
                <w:b/>
                <w:noProof/>
                <w:sz w:val="20"/>
              </w:rPr>
              <w:t>N+2</w:t>
            </w:r>
          </w:p>
        </w:tc>
        <w:tc>
          <w:tcPr>
            <w:tcW w:w="964" w:type="dxa"/>
            <w:vAlign w:val="center"/>
          </w:tcPr>
          <w:p>
            <w:pPr>
              <w:jc w:val="center"/>
              <w:rPr>
                <w:noProof/>
                <w:sz w:val="20"/>
              </w:rPr>
            </w:pPr>
            <w:r>
              <w:rPr>
                <w:noProof/>
                <w:sz w:val="20"/>
              </w:rPr>
              <w:t>Rok</w:t>
            </w:r>
            <w:r>
              <w:rPr>
                <w:noProof/>
                <w:sz w:val="22"/>
              </w:rPr>
              <w:br/>
            </w:r>
            <w:r>
              <w:rPr>
                <w:b/>
                <w:noProof/>
                <w:sz w:val="20"/>
              </w:rPr>
              <w:t>N+3</w:t>
            </w:r>
          </w:p>
        </w:tc>
        <w:tc>
          <w:tcPr>
            <w:tcW w:w="2892" w:type="dxa"/>
            <w:gridSpan w:val="3"/>
            <w:vAlign w:val="center"/>
          </w:tcPr>
          <w:p>
            <w:pPr>
              <w:jc w:val="center"/>
              <w:rPr>
                <w:b/>
                <w:noProof/>
                <w:sz w:val="20"/>
              </w:rPr>
            </w:pPr>
            <w:r>
              <w:rPr>
                <w:noProof/>
                <w:sz w:val="20"/>
              </w:rPr>
              <w:t>Vložit počet let podle trvání finančního dopadu (viz bod 1.6)</w:t>
            </w:r>
          </w:p>
        </w:tc>
        <w:tc>
          <w:tcPr>
            <w:tcW w:w="1158" w:type="dxa"/>
            <w:vAlign w:val="center"/>
          </w:tcPr>
          <w:p>
            <w:pPr>
              <w:spacing w:before="60" w:after="60"/>
              <w:jc w:val="center"/>
              <w:rPr>
                <w:noProof/>
                <w:sz w:val="20"/>
              </w:rPr>
            </w:pPr>
            <w:r>
              <w:rPr>
                <w:noProof/>
                <w:sz w:val="20"/>
              </w:rPr>
              <w:t>Celkem</w:t>
            </w:r>
          </w:p>
        </w:tc>
      </w:tr>
      <w:tr>
        <w:trPr>
          <w:cantSplit/>
        </w:trPr>
        <w:tc>
          <w:tcPr>
            <w:tcW w:w="2340" w:type="dxa"/>
          </w:tcPr>
          <w:p>
            <w:pPr>
              <w:rPr>
                <w:noProof/>
                <w:sz w:val="22"/>
              </w:rPr>
            </w:pPr>
            <w:r>
              <w:rPr>
                <w:noProof/>
                <w:sz w:val="20"/>
              </w:rPr>
              <w:t>Upřesněte spolufinancující subjekt</w:t>
            </w:r>
            <w:r>
              <w:rPr>
                <w:i/>
                <w:noProof/>
                <w:sz w:val="20"/>
              </w:rPr>
              <w:t xml:space="preserve">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r>
        <w:trPr>
          <w:cantSplit/>
        </w:trPr>
        <w:tc>
          <w:tcPr>
            <w:tcW w:w="2340" w:type="dxa"/>
          </w:tcPr>
          <w:p>
            <w:pPr>
              <w:spacing w:before="60" w:after="60"/>
              <w:jc w:val="left"/>
              <w:rPr>
                <w:noProof/>
                <w:sz w:val="20"/>
              </w:rPr>
            </w:pPr>
            <w:r>
              <w:rPr>
                <w:noProof/>
                <w:sz w:val="20"/>
              </w:rPr>
              <w:t xml:space="preserve">Spolufinancované prostředky CELKEM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bl>
    <w:p>
      <w:pPr>
        <w:rPr>
          <w:noProof/>
          <w:highlight w:val="yellow"/>
        </w:rPr>
      </w:pPr>
    </w:p>
    <w:p>
      <w:pPr>
        <w:pStyle w:val="ManualNumPar2"/>
        <w:rPr>
          <w:noProof/>
        </w:rPr>
      </w:pPr>
      <w:r>
        <w:t>3.3.</w:t>
      </w:r>
      <w:r>
        <w:tab/>
      </w:r>
      <w:r>
        <w:rPr>
          <w:noProof/>
        </w:rPr>
        <w:t xml:space="preserve">Odhadovaný dopad na příjmy </w:t>
      </w:r>
    </w:p>
    <w:p>
      <w:pPr>
        <w:pStyle w:val="Tiret0"/>
        <w:numPr>
          <w:ilvl w:val="0"/>
          <w:numId w:val="16"/>
        </w:numPr>
        <w:tabs>
          <w:tab w:val="left" w:pos="1134"/>
        </w:tabs>
        <w:ind w:firstLine="1"/>
        <w:rPr>
          <w:noProof/>
        </w:rPr>
      </w:pPr>
      <w:r>
        <w:rPr>
          <w:noProof/>
        </w:rPr>
        <w:sym w:font="Wingdings" w:char="F0FD"/>
      </w:r>
      <w:r>
        <w:rPr>
          <w:noProof/>
        </w:rPr>
        <w:tab/>
        <w:t>Návrh/podnět nemá žádný finanční dopad na příjmy.</w:t>
      </w:r>
    </w:p>
    <w:p>
      <w:pPr>
        <w:pStyle w:val="Tiret0"/>
        <w:numPr>
          <w:ilvl w:val="0"/>
          <w:numId w:val="16"/>
        </w:numPr>
        <w:tabs>
          <w:tab w:val="left" w:pos="1134"/>
        </w:tabs>
        <w:ind w:firstLine="1"/>
        <w:rPr>
          <w:noProof/>
        </w:rPr>
      </w:pPr>
      <w:r>
        <w:rPr>
          <w:noProof/>
        </w:rPr>
        <w:sym w:font="Wingdings" w:char="F0A8"/>
      </w:r>
      <w:r>
        <w:rPr>
          <w:noProof/>
        </w:rPr>
        <w:tab/>
        <w:t>Návrh/podnět má tento finanční dopad:</w:t>
      </w:r>
    </w:p>
    <w:p>
      <w:pPr>
        <w:pStyle w:val="Tiret1"/>
        <w:tabs>
          <w:tab w:val="left" w:pos="1843"/>
        </w:tabs>
        <w:ind w:hanging="283"/>
        <w:rPr>
          <w:noProof/>
        </w:rPr>
      </w:pPr>
      <w:r>
        <w:rPr>
          <w:noProof/>
        </w:rPr>
        <w:sym w:font="Wingdings" w:char="F0A8"/>
      </w:r>
      <w:r>
        <w:rPr>
          <w:noProof/>
        </w:rPr>
        <w:tab/>
        <w:t xml:space="preserve">dopad na vlastní zdroje </w:t>
      </w:r>
    </w:p>
    <w:p>
      <w:pPr>
        <w:pStyle w:val="Tiret1"/>
        <w:tabs>
          <w:tab w:val="left" w:pos="1843"/>
        </w:tabs>
        <w:ind w:hanging="283"/>
        <w:rPr>
          <w:noProof/>
        </w:rPr>
      </w:pPr>
      <w:r>
        <w:rPr>
          <w:noProof/>
        </w:rPr>
        <w:sym w:font="Wingdings" w:char="F0A8"/>
      </w:r>
      <w:r>
        <w:rPr>
          <w:noProof/>
        </w:rPr>
        <w:tab/>
        <w:t xml:space="preserve">dopad na různé příjmy </w:t>
      </w:r>
    </w:p>
    <w:p>
      <w:pPr>
        <w:jc w:val="right"/>
        <w:rPr>
          <w:i/>
          <w:noProof/>
          <w:sz w:val="20"/>
        </w:rPr>
      </w:pPr>
      <w:r>
        <w:rPr>
          <w:noProof/>
        </w:rPr>
        <w:t>v milionech EUR (zaokrouhleno na tři desetinná místa)</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trPr>
          <w:trHeight w:val="388"/>
        </w:trPr>
        <w:tc>
          <w:tcPr>
            <w:tcW w:w="2144" w:type="dxa"/>
            <w:vMerge w:val="restart"/>
            <w:vAlign w:val="center"/>
          </w:tcPr>
          <w:p>
            <w:pPr>
              <w:spacing w:before="40" w:after="40"/>
              <w:rPr>
                <w:noProof/>
                <w:sz w:val="18"/>
              </w:rPr>
            </w:pPr>
            <w:r>
              <w:rPr>
                <w:noProof/>
                <w:sz w:val="18"/>
              </w:rPr>
              <w:t>Příjmová rozpočtová položka:</w:t>
            </w:r>
          </w:p>
        </w:tc>
        <w:tc>
          <w:tcPr>
            <w:tcW w:w="1276" w:type="dxa"/>
            <w:vMerge w:val="restart"/>
            <w:vAlign w:val="center"/>
          </w:tcPr>
          <w:p>
            <w:pPr>
              <w:jc w:val="center"/>
              <w:rPr>
                <w:noProof/>
                <w:sz w:val="18"/>
              </w:rPr>
            </w:pPr>
            <w:r>
              <w:rPr>
                <w:noProof/>
                <w:sz w:val="18"/>
              </w:rPr>
              <w:t>Prostředky dostupné v běžném rozpočtovém roce</w:t>
            </w:r>
          </w:p>
        </w:tc>
        <w:tc>
          <w:tcPr>
            <w:tcW w:w="7200" w:type="dxa"/>
            <w:gridSpan w:val="7"/>
            <w:vAlign w:val="center"/>
          </w:tcPr>
          <w:p>
            <w:pPr>
              <w:jc w:val="center"/>
              <w:rPr>
                <w:noProof/>
                <w:sz w:val="18"/>
              </w:rPr>
            </w:pPr>
            <w:r>
              <w:rPr>
                <w:noProof/>
                <w:sz w:val="18"/>
              </w:rPr>
              <w:t>Dopad návrhu/podnětu</w:t>
            </w:r>
            <w:r>
              <w:rPr>
                <w:rStyle w:val="FootnoteReference"/>
                <w:noProof/>
              </w:rPr>
              <w:footnoteReference w:id="35"/>
            </w:r>
          </w:p>
        </w:tc>
      </w:tr>
      <w:tr>
        <w:trPr>
          <w:trHeight w:val="388"/>
        </w:trPr>
        <w:tc>
          <w:tcPr>
            <w:tcW w:w="2144" w:type="dxa"/>
            <w:vMerge/>
          </w:tcPr>
          <w:p>
            <w:pPr>
              <w:spacing w:before="40" w:after="40"/>
              <w:rPr>
                <w:noProof/>
                <w:sz w:val="18"/>
              </w:rPr>
            </w:pPr>
          </w:p>
        </w:tc>
        <w:tc>
          <w:tcPr>
            <w:tcW w:w="1276" w:type="dxa"/>
            <w:vMerge/>
          </w:tcPr>
          <w:p>
            <w:pPr>
              <w:spacing w:beforeLines="40" w:before="96" w:afterLines="40" w:after="96"/>
              <w:rPr>
                <w:i/>
                <w:noProof/>
                <w:sz w:val="18"/>
              </w:rPr>
            </w:pPr>
          </w:p>
        </w:tc>
        <w:tc>
          <w:tcPr>
            <w:tcW w:w="1080" w:type="dxa"/>
            <w:vAlign w:val="center"/>
          </w:tcPr>
          <w:p>
            <w:pPr>
              <w:jc w:val="center"/>
              <w:rPr>
                <w:noProof/>
                <w:sz w:val="18"/>
              </w:rPr>
            </w:pPr>
            <w:r>
              <w:rPr>
                <w:noProof/>
                <w:sz w:val="18"/>
              </w:rPr>
              <w:t>Rok</w:t>
            </w:r>
            <w:r>
              <w:rPr>
                <w:noProof/>
                <w:sz w:val="22"/>
              </w:rPr>
              <w:br/>
            </w:r>
            <w:r>
              <w:rPr>
                <w:b/>
                <w:noProof/>
                <w:sz w:val="18"/>
              </w:rPr>
              <w:t>N</w:t>
            </w:r>
          </w:p>
        </w:tc>
        <w:tc>
          <w:tcPr>
            <w:tcW w:w="900" w:type="dxa"/>
            <w:vAlign w:val="center"/>
          </w:tcPr>
          <w:p>
            <w:pPr>
              <w:jc w:val="center"/>
              <w:rPr>
                <w:noProof/>
                <w:sz w:val="18"/>
              </w:rPr>
            </w:pPr>
            <w:r>
              <w:rPr>
                <w:noProof/>
                <w:sz w:val="18"/>
              </w:rPr>
              <w:t>Rok</w:t>
            </w:r>
            <w:r>
              <w:rPr>
                <w:noProof/>
                <w:sz w:val="22"/>
              </w:rPr>
              <w:br/>
            </w:r>
            <w:r>
              <w:rPr>
                <w:b/>
                <w:noProof/>
                <w:sz w:val="18"/>
              </w:rPr>
              <w:t>N+1</w:t>
            </w:r>
          </w:p>
        </w:tc>
        <w:tc>
          <w:tcPr>
            <w:tcW w:w="900" w:type="dxa"/>
            <w:vAlign w:val="center"/>
          </w:tcPr>
          <w:p>
            <w:pPr>
              <w:jc w:val="center"/>
              <w:rPr>
                <w:noProof/>
                <w:sz w:val="18"/>
              </w:rPr>
            </w:pPr>
            <w:r>
              <w:rPr>
                <w:noProof/>
                <w:sz w:val="18"/>
              </w:rPr>
              <w:t>Rok</w:t>
            </w:r>
            <w:r>
              <w:rPr>
                <w:noProof/>
                <w:sz w:val="22"/>
              </w:rPr>
              <w:br/>
            </w:r>
            <w:r>
              <w:rPr>
                <w:b/>
                <w:noProof/>
                <w:sz w:val="18"/>
              </w:rPr>
              <w:t>N+2</w:t>
            </w:r>
          </w:p>
        </w:tc>
        <w:tc>
          <w:tcPr>
            <w:tcW w:w="1080" w:type="dxa"/>
            <w:vAlign w:val="center"/>
          </w:tcPr>
          <w:p>
            <w:pPr>
              <w:jc w:val="center"/>
              <w:rPr>
                <w:noProof/>
                <w:sz w:val="18"/>
              </w:rPr>
            </w:pPr>
            <w:r>
              <w:rPr>
                <w:noProof/>
                <w:sz w:val="18"/>
              </w:rPr>
              <w:t>Rok</w:t>
            </w:r>
            <w:r>
              <w:rPr>
                <w:noProof/>
                <w:sz w:val="22"/>
              </w:rPr>
              <w:br/>
            </w:r>
            <w:r>
              <w:rPr>
                <w:b/>
                <w:noProof/>
                <w:sz w:val="18"/>
              </w:rPr>
              <w:t>N+3</w:t>
            </w:r>
          </w:p>
        </w:tc>
        <w:tc>
          <w:tcPr>
            <w:tcW w:w="3240" w:type="dxa"/>
            <w:gridSpan w:val="3"/>
            <w:vAlign w:val="center"/>
          </w:tcPr>
          <w:p>
            <w:pPr>
              <w:jc w:val="center"/>
              <w:rPr>
                <w:b/>
                <w:noProof/>
                <w:sz w:val="18"/>
              </w:rPr>
            </w:pPr>
            <w:r>
              <w:rPr>
                <w:noProof/>
                <w:sz w:val="18"/>
              </w:rPr>
              <w:t>Vložit počet let podle trvání finančního dopadu (viz bod 1.6)</w:t>
            </w:r>
          </w:p>
        </w:tc>
      </w:tr>
      <w:tr>
        <w:trPr>
          <w:trHeight w:val="388"/>
        </w:trPr>
        <w:tc>
          <w:tcPr>
            <w:tcW w:w="2144" w:type="dxa"/>
            <w:vAlign w:val="center"/>
          </w:tcPr>
          <w:p>
            <w:pPr>
              <w:spacing w:before="40" w:after="40"/>
              <w:rPr>
                <w:noProof/>
                <w:sz w:val="18"/>
              </w:rPr>
            </w:pPr>
            <w:r>
              <w:rPr>
                <w:noProof/>
                <w:sz w:val="18"/>
              </w:rPr>
              <w:t>Článek ….</w:t>
            </w:r>
          </w:p>
        </w:tc>
        <w:tc>
          <w:tcPr>
            <w:tcW w:w="1276" w:type="dxa"/>
          </w:tcPr>
          <w:p>
            <w:pPr>
              <w:spacing w:beforeLines="40" w:before="96" w:afterLines="40" w:after="96"/>
              <w:jc w:val="center"/>
              <w:rPr>
                <w:i/>
                <w:noProof/>
                <w:sz w:val="18"/>
              </w:rPr>
            </w:pPr>
          </w:p>
        </w:tc>
        <w:tc>
          <w:tcPr>
            <w:tcW w:w="108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r>
    </w:tbl>
    <w:p>
      <w:pPr>
        <w:ind w:left="850"/>
        <w:rPr>
          <w:noProof/>
          <w:sz w:val="20"/>
        </w:rPr>
      </w:pPr>
      <w:r>
        <w:rPr>
          <w:noProof/>
          <w:sz w:val="20"/>
        </w:rPr>
        <w:t>U účelově vázaných různých příjmů upřesněte dotčené výdajové rozpočtové položky.</w:t>
      </w:r>
    </w:p>
    <w:p>
      <w:pPr>
        <w:pBdr>
          <w:top w:val="single" w:sz="4" w:space="1" w:color="auto"/>
          <w:left w:val="single" w:sz="4" w:space="4" w:color="auto"/>
          <w:bottom w:val="single" w:sz="4" w:space="1" w:color="auto"/>
          <w:right w:val="single" w:sz="4" w:space="4" w:color="auto"/>
        </w:pBdr>
        <w:ind w:left="850"/>
        <w:rPr>
          <w:noProof/>
        </w:rPr>
      </w:pPr>
    </w:p>
    <w:p>
      <w:pPr>
        <w:ind w:left="850"/>
        <w:rPr>
          <w:noProof/>
          <w:sz w:val="20"/>
        </w:rPr>
      </w:pPr>
      <w:r>
        <w:rPr>
          <w:noProof/>
          <w:sz w:val="20"/>
        </w:rPr>
        <w:t>Upřesněte způsob výpočtu dopadu na příjmy.</w:t>
      </w:r>
    </w:p>
    <w:p>
      <w:pPr>
        <w:pStyle w:val="Text1"/>
        <w:pBdr>
          <w:top w:val="single" w:sz="4" w:space="1" w:color="auto"/>
          <w:left w:val="single" w:sz="4" w:space="4" w:color="auto"/>
          <w:bottom w:val="single" w:sz="4" w:space="1" w:color="auto"/>
          <w:right w:val="single" w:sz="4" w:space="4" w:color="auto"/>
        </w:pBdr>
        <w:rPr>
          <w:noProof/>
        </w:rPr>
      </w:pPr>
    </w:p>
    <w:sectPr>
      <w:headerReference w:type="default" r:id="rId17"/>
      <w:footerReference w:type="default" r:id="rId18"/>
      <w:headerReference w:type="first" r:id="rId19"/>
      <w:footerReference w:type="first" r:id="rId20"/>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CS</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CS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CS</w:t>
    </w:r>
    <w:r>
      <w:rPr>
        <w:rFonts w:ascii="Arial" w:hAnsi="Arial" w:cs="Arial"/>
        <w:b/>
        <w:sz w:val="48"/>
      </w:rPr>
      <w:tab/>
    </w:r>
    <w:r>
      <w:fldChar w:fldCharType="begin"/>
    </w:r>
    <w:r>
      <w:instrText xml:space="preserve"> PAGE  \* MERGEFORMAT </w:instrText>
    </w:r>
    <w:r>
      <w:fldChar w:fldCharType="separate"/>
    </w:r>
    <w:r>
      <w:rPr>
        <w:noProof/>
      </w:rPr>
      <w:t>12</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CS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CS</w:t>
    </w:r>
    <w:r>
      <w:rPr>
        <w:rFonts w:ascii="Arial" w:hAnsi="Arial" w:cs="Arial"/>
        <w:b/>
        <w:sz w:val="48"/>
      </w:rPr>
      <w:tab/>
    </w:r>
    <w:r>
      <w:fldChar w:fldCharType="begin"/>
    </w:r>
    <w:r>
      <w:instrText xml:space="preserve"> PAGE  \* MERGEFORMAT </w:instrText>
    </w:r>
    <w:r>
      <w:fldChar w:fldCharType="separate"/>
    </w:r>
    <w:r>
      <w:rPr>
        <w:noProof/>
      </w:rPr>
      <w:t>23</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CS</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CS</w:t>
    </w:r>
    <w:r>
      <w:rPr>
        <w:rFonts w:ascii="Arial" w:hAnsi="Arial" w:cs="Arial"/>
        <w:b/>
        <w:sz w:val="48"/>
      </w:rPr>
      <w:tab/>
    </w:r>
    <w:r>
      <w:fldChar w:fldCharType="begin"/>
    </w:r>
    <w:r>
      <w:instrText xml:space="preserve"> PAGE  \* MERGEFORMAT </w:instrText>
    </w:r>
    <w:r>
      <w:fldChar w:fldCharType="separate"/>
    </w:r>
    <w:r>
      <w:rPr>
        <w:noProof/>
      </w:rPr>
      <w:t>23</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CS</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pl-PL"/>
        </w:rPr>
      </w:pPr>
      <w:r>
        <w:rPr>
          <w:rStyle w:val="FootnoteReference"/>
        </w:rPr>
        <w:footnoteRef/>
      </w:r>
      <w:r>
        <w:tab/>
        <w:t>Zpráva z roku 2016 o drogových trzích EU, s. 28.</w:t>
      </w:r>
    </w:p>
  </w:footnote>
  <w:footnote w:id="2">
    <w:p>
      <w:pPr>
        <w:pStyle w:val="FootnoteText"/>
      </w:pPr>
      <w:r>
        <w:rPr>
          <w:rStyle w:val="FootnoteReference"/>
        </w:rPr>
        <w:footnoteRef/>
      </w:r>
      <w:r>
        <w:tab/>
        <w:t>Rezoluce Valného shromáždění OSN A/RES/S-30/1.</w:t>
      </w:r>
    </w:p>
  </w:footnote>
  <w:footnote w:id="3">
    <w:p>
      <w:pPr>
        <w:pStyle w:val="FootnoteText"/>
        <w:rPr>
          <w:lang w:val="pt-PT"/>
        </w:rPr>
      </w:pPr>
      <w:r>
        <w:rPr>
          <w:rStyle w:val="FootnoteReference"/>
        </w:rPr>
        <w:footnoteRef/>
      </w:r>
      <w:r>
        <w:tab/>
        <w:t>COM(2013) 619 final.</w:t>
      </w:r>
    </w:p>
  </w:footnote>
  <w:footnote w:id="4">
    <w:p>
      <w:pPr>
        <w:pStyle w:val="FootnoteText"/>
        <w:rPr>
          <w:lang w:val="pt-PT"/>
        </w:rPr>
      </w:pPr>
      <w:r>
        <w:rPr>
          <w:rStyle w:val="FootnoteReference"/>
        </w:rPr>
        <w:footnoteRef/>
      </w:r>
      <w:r>
        <w:tab/>
        <w:t>COM(2013) 618 final.</w:t>
      </w:r>
    </w:p>
  </w:footnote>
  <w:footnote w:id="5">
    <w:p>
      <w:pPr>
        <w:pStyle w:val="FootnoteText"/>
      </w:pPr>
      <w:r>
        <w:rPr>
          <w:rStyle w:val="FootnoteReference"/>
        </w:rPr>
        <w:footnoteRef/>
      </w:r>
      <w:r>
        <w:tab/>
        <w:t>Úř. věst. L 127, 10.5.2005, s. 32. V posouzení dopadů připojeném k oběma návrhům byly analyzovány různé možnosti politiky, SWD(2013) 319 final.</w:t>
      </w:r>
    </w:p>
  </w:footnote>
  <w:footnote w:id="6">
    <w:p>
      <w:pPr>
        <w:pStyle w:val="FootnoteText"/>
      </w:pPr>
      <w:r>
        <w:rPr>
          <w:rStyle w:val="FootnoteReference"/>
        </w:rPr>
        <w:footnoteRef/>
      </w:r>
      <w:r>
        <w:tab/>
        <w:t>Evropský parlament, dokument č. P7_TA(2014)0453.</w:t>
      </w:r>
    </w:p>
  </w:footnote>
  <w:footnote w:id="7">
    <w:p>
      <w:pPr>
        <w:pStyle w:val="FootnoteText"/>
      </w:pPr>
      <w:r>
        <w:rPr>
          <w:rStyle w:val="FootnoteReference"/>
        </w:rPr>
        <w:footnoteRef/>
      </w:r>
      <w:r>
        <w:tab/>
        <w:t>Souhrnný záznam, dokument Rady č. 7908/1/16 REV 1 ze dne 27. května 2016.</w:t>
      </w:r>
    </w:p>
  </w:footnote>
  <w:footnote w:id="8">
    <w:p>
      <w:pPr>
        <w:pStyle w:val="FootnoteText"/>
        <w:rPr>
          <w:lang w:val="pt-PT"/>
        </w:rPr>
      </w:pPr>
      <w:r>
        <w:rPr>
          <w:rStyle w:val="FootnoteReference"/>
        </w:rPr>
        <w:footnoteRef/>
      </w:r>
      <w:r>
        <w:tab/>
        <w:t xml:space="preserve">COM(2015) 185 final. </w:t>
      </w:r>
    </w:p>
  </w:footnote>
  <w:footnote w:id="9">
    <w:p>
      <w:pPr>
        <w:pStyle w:val="FootnoteText"/>
        <w:rPr>
          <w:lang w:val="pt-PT"/>
        </w:rPr>
      </w:pPr>
      <w:r>
        <w:rPr>
          <w:rStyle w:val="FootnoteReference"/>
        </w:rPr>
        <w:footnoteRef/>
      </w:r>
      <w:r>
        <w:tab/>
        <w:t>Úř. věst. L 335, 11.11.2004, s. 8.</w:t>
      </w:r>
    </w:p>
  </w:footnote>
  <w:footnote w:id="10">
    <w:p>
      <w:pPr>
        <w:pStyle w:val="FootnoteText"/>
      </w:pPr>
      <w:r>
        <w:rPr>
          <w:rStyle w:val="FootnoteReference"/>
        </w:rPr>
        <w:footnoteRef/>
      </w:r>
      <w:r>
        <w:tab/>
        <w:t>SWD(2013) 319 final, s. 46–75.</w:t>
      </w:r>
    </w:p>
  </w:footnote>
  <w:footnote w:id="11">
    <w:p>
      <w:pPr>
        <w:pStyle w:val="FootnoteText"/>
      </w:pPr>
      <w:r>
        <w:rPr>
          <w:rStyle w:val="FootnoteReference"/>
        </w:rPr>
        <w:footnoteRef/>
      </w:r>
      <w:r>
        <w:tab/>
        <w:t xml:space="preserve">Úř. věst. C , , s. </w:t>
      </w:r>
    </w:p>
  </w:footnote>
  <w:footnote w:id="12">
    <w:p>
      <w:pPr>
        <w:pStyle w:val="FootnoteText"/>
      </w:pPr>
      <w:r>
        <w:rPr>
          <w:rStyle w:val="FootnoteReference"/>
        </w:rPr>
        <w:footnoteRef/>
      </w:r>
      <w:r>
        <w:tab/>
        <w:t>Úř. věst. C , , s. .</w:t>
      </w:r>
    </w:p>
  </w:footnote>
  <w:footnote w:id="13">
    <w:p>
      <w:pPr>
        <w:pStyle w:val="FootnoteText"/>
      </w:pPr>
      <w:r>
        <w:rPr>
          <w:rStyle w:val="FootnoteReference"/>
        </w:rPr>
        <w:footnoteRef/>
      </w:r>
      <w:r>
        <w:tab/>
        <w:t>Společná akce Rady 97/396/SVV ze dne 16. června 1997 o výměně informací, hodnocení rizika a kontrole nových syntetických drog (Úř. věst. L 167, 25.6.1997, s. 1</w:t>
      </w:r>
    </w:p>
  </w:footnote>
  <w:footnote w:id="14">
    <w:p>
      <w:pPr>
        <w:pStyle w:val="FootnoteText"/>
      </w:pPr>
      <w:r>
        <w:rPr>
          <w:rStyle w:val="FootnoteReference"/>
        </w:rPr>
        <w:footnoteRef/>
      </w:r>
      <w:r>
        <w:tab/>
        <w:t xml:space="preserve">Rozhodnutí Rady 2005/387/SVV ze dne 10. května 2005 o výměně informací, hodnocení rizika a kontrole nových psychoaktivních látek (Úř. věst. L 127, 20.5.2005, s. 32). </w:t>
      </w:r>
    </w:p>
  </w:footnote>
  <w:footnote w:id="15">
    <w:p>
      <w:pPr>
        <w:pStyle w:val="FootnoteText"/>
      </w:pPr>
      <w:r>
        <w:rPr>
          <w:rStyle w:val="FootnoteReference"/>
        </w:rPr>
        <w:footnoteRef/>
      </w:r>
      <w:r>
        <w:tab/>
        <w:t>Rámcové rozhodnutí Rady 2004/757/SVV ze dne 25. října 2004, kterým se stanoví minimální ustanovení týkající se znaků skutkových podstat trestných činů a sankcí v oblasti nedovoleného obchodu s drogami (Úř. věst. L 335, 11.11.2004, s. 8).</w:t>
      </w:r>
    </w:p>
  </w:footnote>
  <w:footnote w:id="16">
    <w:p>
      <w:pPr>
        <w:pStyle w:val="FootnoteText"/>
      </w:pPr>
      <w:r>
        <w:rPr>
          <w:rStyle w:val="FootnoteReference"/>
        </w:rPr>
        <w:footnoteRef/>
      </w:r>
      <w:r>
        <w:tab/>
        <w:t>Nařízení Evropského parlamentu a Rady (ES) č. 1920/2006 ze dne 12. prosince 2006 o Evropském monitorovacím centru pro drogy a drogovou závislost (Úř. věst. L 376, 27.12.2006, s. 1).</w:t>
      </w:r>
    </w:p>
  </w:footnote>
  <w:footnote w:id="17">
    <w:p>
      <w:pPr>
        <w:pStyle w:val="FootnoteText"/>
      </w:pPr>
      <w:r>
        <w:rPr>
          <w:rStyle w:val="FootnoteReference"/>
        </w:rPr>
        <w:footnoteRef/>
      </w:r>
      <w:r>
        <w:tab/>
        <w:t>Směrnice Evropského parlamentu a Rady 2001/83/ES ze dne 6. listopadu 2001 o kodexu Společenství týkajícím se humánních léčivých přípravků (Úř. věst. L 311, 28.11.2001, s. 67).</w:t>
      </w:r>
    </w:p>
  </w:footnote>
  <w:footnote w:id="18">
    <w:p>
      <w:pPr>
        <w:pStyle w:val="FootnoteText"/>
      </w:pPr>
      <w:r>
        <w:rPr>
          <w:rStyle w:val="FootnoteReference"/>
        </w:rPr>
        <w:footnoteRef/>
      </w:r>
      <w:r>
        <w:tab/>
        <w:t>Směrnice Evropského parlamentu a Rady 2001/82/ES ze dne 6. listopadu 2001 o kodexu Společenství týkajícím se veterinárních léčivých přípravků (Úř. věst. L 311, 28.11.2001, s. 1).</w:t>
      </w:r>
    </w:p>
  </w:footnote>
  <w:footnote w:id="19">
    <w:p>
      <w:pPr>
        <w:pStyle w:val="FootnoteText"/>
      </w:pPr>
      <w:r>
        <w:rPr>
          <w:rStyle w:val="FootnoteReference"/>
        </w:rPr>
        <w:footnoteRef/>
      </w:r>
      <w:r>
        <w:tab/>
        <w:t>Směrnice Evropského parlamentu a Rady 2001/20/ES ze dne 4. dubna 2001 o sbližování právních a správních předpisů členských států týkajících se uplatňování správné klinické praxe při provádění klinických hodnocení humánních léčivých přípravků (Úř. věst. L 121, 1.5.2001, s. 34).</w:t>
      </w:r>
    </w:p>
  </w:footnote>
  <w:footnote w:id="20">
    <w:p>
      <w:pPr>
        <w:pStyle w:val="FootnoteText"/>
      </w:pPr>
      <w:r>
        <w:rPr>
          <w:rStyle w:val="FootnoteReference"/>
        </w:rPr>
        <w:footnoteRef/>
      </w:r>
      <w:r>
        <w:tab/>
        <w:t>ABM: řízení podle činností (activity-based management); ABB: sestavování rozpočtu podle činností (Activity-Based Budgeting).</w:t>
      </w:r>
    </w:p>
  </w:footnote>
  <w:footnote w:id="21">
    <w:p>
      <w:pPr>
        <w:pStyle w:val="FootnoteText"/>
        <w:rPr>
          <w:szCs w:val="24"/>
        </w:rPr>
      </w:pPr>
      <w:r>
        <w:rPr>
          <w:rStyle w:val="FootnoteReference"/>
        </w:rPr>
        <w:footnoteRef/>
      </w:r>
      <w:r>
        <w:tab/>
        <w:t>Uvedené v čl. 54 odst. 2 písm. a) nebo b) finančního nařízení.</w:t>
      </w:r>
    </w:p>
  </w:footnote>
  <w:footnote w:id="22">
    <w:p>
      <w:pPr>
        <w:pStyle w:val="FootnoteText"/>
      </w:pPr>
      <w:r>
        <w:rPr>
          <w:rStyle w:val="FootnoteReference"/>
        </w:rPr>
        <w:footnoteRef/>
      </w:r>
      <w:r>
        <w:tab/>
        <w:t>COM(2015) 185 final.</w:t>
      </w:r>
    </w:p>
  </w:footnote>
  <w:footnote w:id="23">
    <w:p>
      <w:pPr>
        <w:pStyle w:val="FootnoteText"/>
      </w:pPr>
      <w:r>
        <w:rPr>
          <w:rStyle w:val="FootnoteReference"/>
        </w:rPr>
        <w:footnoteRef/>
      </w:r>
      <w:r>
        <w:tab/>
        <w:t xml:space="preserve">Vysvětlení způsobů řízení spolu s odkazem na finanční nařízení jsou k dispozici na stránkách BudgWeb: </w:t>
      </w:r>
      <w:hyperlink r:id="rId1">
        <w:r>
          <w:rPr>
            <w:rStyle w:val="Hyperlink"/>
            <w:sz w:val="18"/>
          </w:rPr>
          <w:t>http://www.cc.cec/budg/man/budgmanag/budgmanag_en.html</w:t>
        </w:r>
      </w:hyperlink>
    </w:p>
  </w:footnote>
  <w:footnote w:id="24">
    <w:p>
      <w:pPr>
        <w:pStyle w:val="FootnoteText"/>
      </w:pPr>
      <w:r>
        <w:rPr>
          <w:rStyle w:val="FootnoteReference"/>
        </w:rPr>
        <w:footnoteRef/>
      </w:r>
      <w:r>
        <w:tab/>
        <w:t>RP = rozlišené prostředky / NRP = nerozlišené prostředky.</w:t>
      </w:r>
    </w:p>
  </w:footnote>
  <w:footnote w:id="25">
    <w:p>
      <w:pPr>
        <w:pStyle w:val="FootnoteText"/>
        <w:rPr>
          <w:szCs w:val="24"/>
        </w:rPr>
      </w:pPr>
      <w:r>
        <w:rPr>
          <w:rStyle w:val="FootnoteReference"/>
        </w:rPr>
        <w:footnoteRef/>
      </w:r>
      <w:r>
        <w:tab/>
        <w:t xml:space="preserve">ESVO: Evropské sdružení volného obchodu. </w:t>
      </w:r>
    </w:p>
  </w:footnote>
  <w:footnote w:id="26">
    <w:p>
      <w:pPr>
        <w:pStyle w:val="FootnoteText"/>
        <w:rPr>
          <w:szCs w:val="24"/>
        </w:rPr>
      </w:pPr>
      <w:r>
        <w:rPr>
          <w:rStyle w:val="FootnoteReference"/>
        </w:rPr>
        <w:footnoteRef/>
      </w:r>
      <w:r>
        <w:tab/>
        <w:t>Kandidátské země a případně potenciální kandidátské země západního Balkánu.</w:t>
      </w:r>
    </w:p>
  </w:footnote>
  <w:footnote w:id="27">
    <w:p>
      <w:pPr>
        <w:pStyle w:val="FootnoteText"/>
        <w:rPr>
          <w:szCs w:val="24"/>
        </w:rPr>
      </w:pPr>
      <w:r>
        <w:rPr>
          <w:rStyle w:val="FootnoteReference"/>
        </w:rPr>
        <w:footnoteRef/>
      </w:r>
      <w:r>
        <w:tab/>
        <w:t>Rokem N se rozumí rok, kdy se návrh/podnět začíná provádět.</w:t>
      </w:r>
    </w:p>
  </w:footnote>
  <w:footnote w:id="28">
    <w:p>
      <w:pPr>
        <w:pStyle w:val="FootnoteText"/>
        <w:rPr>
          <w:szCs w:val="24"/>
        </w:rPr>
      </w:pPr>
      <w:r>
        <w:rPr>
          <w:rStyle w:val="FootnoteReference"/>
        </w:rPr>
        <w:footnoteRef/>
      </w:r>
      <w:r>
        <w:tab/>
        <w:t>Technická a/nebo administrativní pomoc a výdaje na podporu provádění programů a/nebo akcí EU (bývalé položky „BA“), nepřímý výzkum, přímý výzkum.</w:t>
      </w:r>
    </w:p>
  </w:footnote>
  <w:footnote w:id="29">
    <w:p>
      <w:pPr>
        <w:pStyle w:val="FootnoteText"/>
      </w:pPr>
      <w:r>
        <w:rPr>
          <w:rStyle w:val="FootnoteReference"/>
        </w:rPr>
        <w:footnoteRef/>
      </w:r>
      <w:r>
        <w:tab/>
        <w:t>Rokem N se rozumí rok, kdy se návrh/podnět začíná provádět.</w:t>
      </w:r>
    </w:p>
  </w:footnote>
  <w:footnote w:id="30">
    <w:p>
      <w:pPr>
        <w:pStyle w:val="FootnoteText"/>
        <w:rPr>
          <w:szCs w:val="24"/>
        </w:rPr>
      </w:pPr>
      <w:r>
        <w:rPr>
          <w:rStyle w:val="FootnoteReference"/>
        </w:rPr>
        <w:footnoteRef/>
      </w:r>
      <w:r>
        <w:tab/>
        <w:t>Výstupy se rozumí produkty a služby, které mají být dodány (např. počet financovaných studentských výměn, počet vybudovaných kilometrů silnic atd.).</w:t>
      </w:r>
    </w:p>
  </w:footnote>
  <w:footnote w:id="31">
    <w:p>
      <w:pPr>
        <w:pStyle w:val="FootnoteText"/>
        <w:rPr>
          <w:szCs w:val="24"/>
        </w:rPr>
      </w:pPr>
      <w:r>
        <w:rPr>
          <w:rStyle w:val="FootnoteReference"/>
        </w:rPr>
        <w:footnoteRef/>
      </w:r>
      <w:r>
        <w:tab/>
        <w:t xml:space="preserve">Popsaný v bodě 1.4.2. „Specifické cíle…“. </w:t>
      </w:r>
    </w:p>
  </w:footnote>
  <w:footnote w:id="32">
    <w:p>
      <w:pPr>
        <w:pStyle w:val="FootnoteText"/>
      </w:pPr>
      <w:r>
        <w:rPr>
          <w:rStyle w:val="FootnoteReference"/>
        </w:rPr>
        <w:footnoteRef/>
      </w:r>
      <w:r>
        <w:tab/>
        <w:t>Rokem N se rozumí rok, kdy se návrh/podnět začíná provádět.</w:t>
      </w:r>
    </w:p>
  </w:footnote>
  <w:footnote w:id="33">
    <w:p>
      <w:pPr>
        <w:pStyle w:val="FootnoteText"/>
      </w:pPr>
      <w:r>
        <w:rPr>
          <w:rStyle w:val="FootnoteReference"/>
        </w:rPr>
        <w:footnoteRef/>
      </w:r>
      <w:r>
        <w:tab/>
        <w:t>SZ = smluvní zaměstnanec; MZ = místní zaměstnanec; VNO = vyslaný národní odborník; ZAP = zaměstnanec agentury práce; MOD = mladý odborník při delegaci.</w:t>
      </w:r>
    </w:p>
  </w:footnote>
  <w:footnote w:id="34">
    <w:p>
      <w:pPr>
        <w:pStyle w:val="FootnoteText"/>
      </w:pPr>
      <w:r>
        <w:rPr>
          <w:rStyle w:val="FootnoteReference"/>
        </w:rPr>
        <w:footnoteRef/>
      </w:r>
      <w:r>
        <w:tab/>
        <w:t>Dílčí strop na externí zaměstnance financované z operačních prostředků (bývalé položky „BA“).</w:t>
      </w:r>
    </w:p>
  </w:footnote>
  <w:footnote w:id="35">
    <w:p>
      <w:pPr>
        <w:pStyle w:val="FootnoteText"/>
        <w:rPr>
          <w:szCs w:val="24"/>
        </w:rPr>
      </w:pPr>
      <w:r>
        <w:rPr>
          <w:rStyle w:val="FootnoteReference"/>
        </w:rPr>
        <w:footnoteRef/>
      </w:r>
      <w:r>
        <w:tab/>
        <w:t>Pokud jde o tradiční vlastní zdroje (cla, dávky z cukru), je třeba uvést čisté částky, tj. hrubé částky po odečtení 25 % nákladů na výběr.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4262F6B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ACB40BD6"/>
    <w:lvl w:ilvl="0">
      <w:start w:val="1"/>
      <w:numFmt w:val="decimal"/>
      <w:pStyle w:val="ListNumber3"/>
      <w:lvlText w:val="%1."/>
      <w:lvlJc w:val="left"/>
      <w:pPr>
        <w:tabs>
          <w:tab w:val="num" w:pos="926"/>
        </w:tabs>
        <w:ind w:left="926" w:hanging="360"/>
      </w:pPr>
    </w:lvl>
  </w:abstractNum>
  <w:abstractNum w:abstractNumId="2">
    <w:nsid w:val="FFFFFF7F"/>
    <w:multiLevelType w:val="singleLevel"/>
    <w:tmpl w:val="FF96E0FA"/>
    <w:lvl w:ilvl="0">
      <w:start w:val="1"/>
      <w:numFmt w:val="decimal"/>
      <w:pStyle w:val="ListNumber2"/>
      <w:lvlText w:val="%1."/>
      <w:lvlJc w:val="left"/>
      <w:pPr>
        <w:tabs>
          <w:tab w:val="num" w:pos="643"/>
        </w:tabs>
        <w:ind w:left="643" w:hanging="360"/>
      </w:pPr>
    </w:lvl>
  </w:abstractNum>
  <w:abstractNum w:abstractNumId="3">
    <w:nsid w:val="FFFFFF81"/>
    <w:multiLevelType w:val="singleLevel"/>
    <w:tmpl w:val="3210017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9F8E7D9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4">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14"/>
  </w:num>
  <w:num w:numId="3">
    <w:abstractNumId w:val="13"/>
  </w:num>
  <w:num w:numId="4">
    <w:abstractNumId w:val="22"/>
  </w:num>
  <w:num w:numId="5">
    <w:abstractNumId w:val="19"/>
  </w:num>
  <w:num w:numId="6">
    <w:abstractNumId w:val="23"/>
  </w:num>
  <w:num w:numId="7">
    <w:abstractNumId w:val="4"/>
  </w:num>
  <w:num w:numId="8">
    <w:abstractNumId w:val="3"/>
  </w:num>
  <w:num w:numId="9">
    <w:abstractNumId w:val="24"/>
    <w:lvlOverride w:ilvl="0">
      <w:startOverride w:val="1"/>
    </w:lvlOverride>
  </w:num>
  <w:num w:numId="10">
    <w:abstractNumId w:val="2"/>
  </w:num>
  <w:num w:numId="11">
    <w:abstractNumId w:val="1"/>
  </w:num>
  <w:num w:numId="12">
    <w:abstractNumId w:val="0"/>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num>
  <w:num w:numId="15">
    <w:abstractNumId w:val="10"/>
    <w:lvlOverride w:ilvl="0">
      <w:startOverride w:val="1"/>
    </w:lvlOverride>
  </w:num>
  <w:num w:numId="16">
    <w:abstractNumId w:val="18"/>
    <w:lvlOverride w:ilvl="0">
      <w:startOverride w:val="1"/>
    </w:lvlOverride>
  </w:num>
  <w:num w:numId="17">
    <w:abstractNumId w:val="18"/>
    <w:lvlOverride w:ilvl="0">
      <w:startOverride w:val="1"/>
    </w:lvlOverride>
  </w:num>
  <w:num w:numId="18">
    <w:abstractNumId w:val="18"/>
  </w:num>
  <w:num w:numId="19">
    <w:abstractNumId w:val="10"/>
  </w:num>
  <w:num w:numId="20">
    <w:abstractNumId w:val="21"/>
  </w:num>
  <w:num w:numId="21">
    <w:abstractNumId w:val="9"/>
  </w:num>
  <w:num w:numId="22">
    <w:abstractNumId w:val="11"/>
  </w:num>
  <w:num w:numId="23">
    <w:abstractNumId w:val="7"/>
  </w:num>
  <w:num w:numId="24">
    <w:abstractNumId w:val="20"/>
  </w:num>
  <w:num w:numId="25">
    <w:abstractNumId w:val="6"/>
  </w:num>
  <w:num w:numId="26">
    <w:abstractNumId w:val="12"/>
  </w:num>
  <w:num w:numId="27">
    <w:abstractNumId w:val="16"/>
  </w:num>
  <w:num w:numId="28">
    <w:abstractNumId w:val="17"/>
  </w:num>
  <w:num w:numId="29">
    <w:abstractNumId w:val="8"/>
  </w:num>
  <w:num w:numId="30">
    <w:abstractNumId w:val="15"/>
  </w:num>
  <w:num w:numId="31">
    <w:abstractNumId w:val="2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4"/>
  <w:hideSpellingErrors/>
  <w:hideGrammaticalErrors/>
  <w:attachedTemplate r:id="rId1"/>
  <w:revisionView w:markup="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8-25 11:49:39"/>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49"/>
    <w:docVar w:name="DQCResult_ModifiedMarkers" w:val="0;0"/>
    <w:docVar w:name="DQCResult_ModifiedNumbering" w:val="0;0"/>
    <w:docVar w:name="DQCResult_Objects" w:val="0;0"/>
    <w:docVar w:name="DQCResult_Sections" w:val="0;0"/>
    <w:docVar w:name="DQCResult_StructureCheck" w:val="0;0"/>
    <w:docVar w:name="DQCResult_SuperfluousWhitespace" w:val="0;36"/>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A0382EAEEEDA42ADACE9639AA8E535F0"/>
    <w:docVar w:name="LW_CROSSREFERENCE" w:val="&lt;UNUSED&gt;"/>
    <w:docVar w:name="LW_DocType" w:val="COM"/>
    <w:docVar w:name="LW_EMISSION" w:val="29.8.2016"/>
    <w:docVar w:name="LW_EMISSION_ISODATE" w:val="2016-08-29"/>
    <w:docVar w:name="LW_EMISSION_LOCATION" w:val="BRX"/>
    <w:docVar w:name="LW_EMISSION_PREFIX" w:val="V Bruselu dne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CS"/>
    <w:docVar w:name="LW_MARKING" w:val="&lt;UNUSED&gt;"/>
    <w:docVar w:name="LW_NOM.INST" w:val="EVROPSKÁ KOMISE"/>
    <w:docVar w:name="LW_NOM.INST_JOINTDOC" w:val="&lt;EMPTY&gt;"/>
    <w:docVar w:name="LW_PART_NBR" w:val="1"/>
    <w:docVar w:name="LW_PART_NBR_TOTAL" w:val="1"/>
    <w:docVar w:name="LW_REF.II.NEW.CP" w:val="COD"/>
    <w:docVar w:name="LW_REF.II.NEW.CP_NUMBER" w:val="0261"/>
    <w:docVar w:name="LW_REF.II.NEW.CP_YEAR" w:val="2016"/>
    <w:docVar w:name="LW_REF.INST.NEW" w:val="COM"/>
    <w:docVar w:name="LW_REF.INST.NEW_ADOPTED" w:val="final"/>
    <w:docVar w:name="LW_REF.INST.NEW_TEXT" w:val="(2016) 547"/>
    <w:docVar w:name="LW_REF.INTERNE" w:val="&lt;UNUSED&gt;"/>
    <w:docVar w:name="LW_SOUS.TITRE.OBJ.CP" w:val="&lt;UNUSED&gt;"/>
    <w:docVar w:name="LW_STATUT.CP" w:val="Návrh"/>
    <w:docVar w:name="LW_SUPERTITRE" w:val="&lt;UNUSED&gt;"/>
    <w:docVar w:name="LW_TITRE.OBJ.CP" w:val="kterým se m\u283?ní na\u345?ízení (ES) \u269?. 1920/2006, pokud jde o vým\u283?nu informací, systém v\u269?asného varování a postup hodnocení rizika nových psychoaktivních látek"/>
    <w:docVar w:name="LW_TYPE.DOC.CP" w:val="NA\u344?ÍZENÍ EVROPSKÉHO PARLAMENTU A RADY,"/>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cs-CZ" w:bidi="cs-CZ"/>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cs-CZ"/>
    </w:rPr>
  </w:style>
  <w:style w:type="paragraph" w:styleId="NormalWeb">
    <w:name w:val="Normal (Web)"/>
    <w:basedOn w:val="Normal"/>
    <w:uiPriority w:val="99"/>
    <w:semiHidden/>
    <w:unhideWhenUsed/>
    <w:pPr>
      <w:spacing w:before="100" w:beforeAutospacing="1" w:after="100" w:afterAutospacing="1"/>
      <w:jc w:val="left"/>
    </w:pPr>
    <w:rPr>
      <w:szCs w:val="24"/>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cs-CZ"/>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cs-CZ"/>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paragraph" w:styleId="ListNumber4">
    <w:name w:val="List Number 4"/>
    <w:basedOn w:val="Normal"/>
    <w:uiPriority w:val="99"/>
    <w:semiHidden/>
    <w:unhideWhenUsed/>
    <w:pPr>
      <w:numPr>
        <w:numId w:val="12"/>
      </w:numPr>
      <w:contextualSpacing/>
    </w:p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8"/>
      </w:numPr>
    </w:pPr>
  </w:style>
  <w:style w:type="paragraph" w:customStyle="1" w:styleId="Tiret1">
    <w:name w:val="Tiret 1"/>
    <w:basedOn w:val="Point1"/>
    <w:pPr>
      <w:numPr>
        <w:numId w:val="19"/>
      </w:numPr>
    </w:pPr>
  </w:style>
  <w:style w:type="paragraph" w:customStyle="1" w:styleId="Tiret2">
    <w:name w:val="Tiret 2"/>
    <w:basedOn w:val="Point2"/>
    <w:pPr>
      <w:numPr>
        <w:numId w:val="20"/>
      </w:numPr>
    </w:pPr>
  </w:style>
  <w:style w:type="paragraph" w:customStyle="1" w:styleId="Tiret3">
    <w:name w:val="Tiret 3"/>
    <w:basedOn w:val="Point3"/>
    <w:pPr>
      <w:numPr>
        <w:numId w:val="21"/>
      </w:numPr>
    </w:pPr>
  </w:style>
  <w:style w:type="paragraph" w:customStyle="1" w:styleId="Tiret4">
    <w:name w:val="Tiret 4"/>
    <w:basedOn w:val="Point4"/>
    <w:pPr>
      <w:numPr>
        <w:numId w:val="2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3"/>
      </w:numPr>
    </w:pPr>
  </w:style>
  <w:style w:type="paragraph" w:customStyle="1" w:styleId="NumPar2">
    <w:name w:val="NumPar 2"/>
    <w:basedOn w:val="Normal"/>
    <w:next w:val="Text1"/>
    <w:pPr>
      <w:numPr>
        <w:ilvl w:val="1"/>
        <w:numId w:val="23"/>
      </w:numPr>
    </w:pPr>
  </w:style>
  <w:style w:type="paragraph" w:customStyle="1" w:styleId="NumPar3">
    <w:name w:val="NumPar 3"/>
    <w:basedOn w:val="Normal"/>
    <w:next w:val="Text1"/>
    <w:pPr>
      <w:numPr>
        <w:ilvl w:val="2"/>
        <w:numId w:val="23"/>
      </w:numPr>
    </w:pPr>
  </w:style>
  <w:style w:type="paragraph" w:customStyle="1" w:styleId="NumPar4">
    <w:name w:val="NumPar 4"/>
    <w:basedOn w:val="Normal"/>
    <w:next w:val="Text1"/>
    <w:pPr>
      <w:numPr>
        <w:ilvl w:val="3"/>
        <w:numId w:val="2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5"/>
      </w:numPr>
    </w:pPr>
  </w:style>
  <w:style w:type="paragraph" w:customStyle="1" w:styleId="Point1number">
    <w:name w:val="Point 1 (number)"/>
    <w:basedOn w:val="Normal"/>
    <w:pPr>
      <w:numPr>
        <w:ilvl w:val="2"/>
        <w:numId w:val="25"/>
      </w:numPr>
    </w:pPr>
  </w:style>
  <w:style w:type="paragraph" w:customStyle="1" w:styleId="Point2number">
    <w:name w:val="Point 2 (number)"/>
    <w:basedOn w:val="Normal"/>
    <w:pPr>
      <w:numPr>
        <w:ilvl w:val="4"/>
        <w:numId w:val="25"/>
      </w:numPr>
    </w:pPr>
  </w:style>
  <w:style w:type="paragraph" w:customStyle="1" w:styleId="Point3number">
    <w:name w:val="Point 3 (number)"/>
    <w:basedOn w:val="Normal"/>
    <w:pPr>
      <w:numPr>
        <w:ilvl w:val="6"/>
        <w:numId w:val="25"/>
      </w:numPr>
    </w:pPr>
  </w:style>
  <w:style w:type="paragraph" w:customStyle="1" w:styleId="Point0letter">
    <w:name w:val="Point 0 (letter)"/>
    <w:basedOn w:val="Normal"/>
    <w:pPr>
      <w:numPr>
        <w:ilvl w:val="1"/>
        <w:numId w:val="25"/>
      </w:numPr>
    </w:pPr>
  </w:style>
  <w:style w:type="paragraph" w:customStyle="1" w:styleId="Point1letter">
    <w:name w:val="Point 1 (letter)"/>
    <w:basedOn w:val="Normal"/>
    <w:pPr>
      <w:numPr>
        <w:ilvl w:val="3"/>
        <w:numId w:val="25"/>
      </w:numPr>
    </w:pPr>
  </w:style>
  <w:style w:type="paragraph" w:customStyle="1" w:styleId="Point2letter">
    <w:name w:val="Point 2 (letter)"/>
    <w:basedOn w:val="Normal"/>
    <w:pPr>
      <w:numPr>
        <w:ilvl w:val="5"/>
        <w:numId w:val="25"/>
      </w:numPr>
    </w:pPr>
  </w:style>
  <w:style w:type="paragraph" w:customStyle="1" w:styleId="Point3letter">
    <w:name w:val="Point 3 (letter)"/>
    <w:basedOn w:val="Normal"/>
    <w:pPr>
      <w:numPr>
        <w:ilvl w:val="7"/>
        <w:numId w:val="25"/>
      </w:numPr>
    </w:pPr>
  </w:style>
  <w:style w:type="paragraph" w:customStyle="1" w:styleId="Point4letter">
    <w:name w:val="Point 4 (letter)"/>
    <w:basedOn w:val="Normal"/>
    <w:pPr>
      <w:numPr>
        <w:ilvl w:val="8"/>
        <w:numId w:val="25"/>
      </w:numPr>
    </w:pPr>
  </w:style>
  <w:style w:type="paragraph" w:customStyle="1" w:styleId="Bullet0">
    <w:name w:val="Bullet 0"/>
    <w:basedOn w:val="Normal"/>
    <w:pPr>
      <w:numPr>
        <w:numId w:val="26"/>
      </w:numPr>
    </w:pPr>
  </w:style>
  <w:style w:type="paragraph" w:customStyle="1" w:styleId="Bullet1">
    <w:name w:val="Bullet 1"/>
    <w:basedOn w:val="Normal"/>
    <w:pPr>
      <w:numPr>
        <w:numId w:val="27"/>
      </w:numPr>
    </w:pPr>
  </w:style>
  <w:style w:type="paragraph" w:customStyle="1" w:styleId="Bullet2">
    <w:name w:val="Bullet 2"/>
    <w:basedOn w:val="Normal"/>
    <w:pPr>
      <w:numPr>
        <w:numId w:val="28"/>
      </w:numPr>
    </w:pPr>
  </w:style>
  <w:style w:type="paragraph" w:customStyle="1" w:styleId="Bullet3">
    <w:name w:val="Bullet 3"/>
    <w:basedOn w:val="Normal"/>
    <w:pPr>
      <w:numPr>
        <w:numId w:val="29"/>
      </w:numPr>
    </w:pPr>
  </w:style>
  <w:style w:type="paragraph" w:customStyle="1" w:styleId="Bullet4">
    <w:name w:val="Bullet 4"/>
    <w:basedOn w:val="Normal"/>
    <w:pPr>
      <w:numPr>
        <w:numId w:val="30"/>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cs-CZ" w:bidi="cs-CZ"/>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cs-CZ"/>
    </w:rPr>
  </w:style>
  <w:style w:type="paragraph" w:styleId="NormalWeb">
    <w:name w:val="Normal (Web)"/>
    <w:basedOn w:val="Normal"/>
    <w:uiPriority w:val="99"/>
    <w:semiHidden/>
    <w:unhideWhenUsed/>
    <w:pPr>
      <w:spacing w:before="100" w:beforeAutospacing="1" w:after="100" w:afterAutospacing="1"/>
      <w:jc w:val="left"/>
    </w:pPr>
    <w:rPr>
      <w:szCs w:val="24"/>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cs-CZ"/>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cs-CZ"/>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paragraph" w:styleId="ListNumber4">
    <w:name w:val="List Number 4"/>
    <w:basedOn w:val="Normal"/>
    <w:uiPriority w:val="99"/>
    <w:semiHidden/>
    <w:unhideWhenUsed/>
    <w:pPr>
      <w:numPr>
        <w:numId w:val="12"/>
      </w:numPr>
      <w:contextualSpacing/>
    </w:p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8"/>
      </w:numPr>
    </w:pPr>
  </w:style>
  <w:style w:type="paragraph" w:customStyle="1" w:styleId="Tiret1">
    <w:name w:val="Tiret 1"/>
    <w:basedOn w:val="Point1"/>
    <w:pPr>
      <w:numPr>
        <w:numId w:val="19"/>
      </w:numPr>
    </w:pPr>
  </w:style>
  <w:style w:type="paragraph" w:customStyle="1" w:styleId="Tiret2">
    <w:name w:val="Tiret 2"/>
    <w:basedOn w:val="Point2"/>
    <w:pPr>
      <w:numPr>
        <w:numId w:val="20"/>
      </w:numPr>
    </w:pPr>
  </w:style>
  <w:style w:type="paragraph" w:customStyle="1" w:styleId="Tiret3">
    <w:name w:val="Tiret 3"/>
    <w:basedOn w:val="Point3"/>
    <w:pPr>
      <w:numPr>
        <w:numId w:val="21"/>
      </w:numPr>
    </w:pPr>
  </w:style>
  <w:style w:type="paragraph" w:customStyle="1" w:styleId="Tiret4">
    <w:name w:val="Tiret 4"/>
    <w:basedOn w:val="Point4"/>
    <w:pPr>
      <w:numPr>
        <w:numId w:val="2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3"/>
      </w:numPr>
    </w:pPr>
  </w:style>
  <w:style w:type="paragraph" w:customStyle="1" w:styleId="NumPar2">
    <w:name w:val="NumPar 2"/>
    <w:basedOn w:val="Normal"/>
    <w:next w:val="Text1"/>
    <w:pPr>
      <w:numPr>
        <w:ilvl w:val="1"/>
        <w:numId w:val="23"/>
      </w:numPr>
    </w:pPr>
  </w:style>
  <w:style w:type="paragraph" w:customStyle="1" w:styleId="NumPar3">
    <w:name w:val="NumPar 3"/>
    <w:basedOn w:val="Normal"/>
    <w:next w:val="Text1"/>
    <w:pPr>
      <w:numPr>
        <w:ilvl w:val="2"/>
        <w:numId w:val="23"/>
      </w:numPr>
    </w:pPr>
  </w:style>
  <w:style w:type="paragraph" w:customStyle="1" w:styleId="NumPar4">
    <w:name w:val="NumPar 4"/>
    <w:basedOn w:val="Normal"/>
    <w:next w:val="Text1"/>
    <w:pPr>
      <w:numPr>
        <w:ilvl w:val="3"/>
        <w:numId w:val="2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5"/>
      </w:numPr>
    </w:pPr>
  </w:style>
  <w:style w:type="paragraph" w:customStyle="1" w:styleId="Point1number">
    <w:name w:val="Point 1 (number)"/>
    <w:basedOn w:val="Normal"/>
    <w:pPr>
      <w:numPr>
        <w:ilvl w:val="2"/>
        <w:numId w:val="25"/>
      </w:numPr>
    </w:pPr>
  </w:style>
  <w:style w:type="paragraph" w:customStyle="1" w:styleId="Point2number">
    <w:name w:val="Point 2 (number)"/>
    <w:basedOn w:val="Normal"/>
    <w:pPr>
      <w:numPr>
        <w:ilvl w:val="4"/>
        <w:numId w:val="25"/>
      </w:numPr>
    </w:pPr>
  </w:style>
  <w:style w:type="paragraph" w:customStyle="1" w:styleId="Point3number">
    <w:name w:val="Point 3 (number)"/>
    <w:basedOn w:val="Normal"/>
    <w:pPr>
      <w:numPr>
        <w:ilvl w:val="6"/>
        <w:numId w:val="25"/>
      </w:numPr>
    </w:pPr>
  </w:style>
  <w:style w:type="paragraph" w:customStyle="1" w:styleId="Point0letter">
    <w:name w:val="Point 0 (letter)"/>
    <w:basedOn w:val="Normal"/>
    <w:pPr>
      <w:numPr>
        <w:ilvl w:val="1"/>
        <w:numId w:val="25"/>
      </w:numPr>
    </w:pPr>
  </w:style>
  <w:style w:type="paragraph" w:customStyle="1" w:styleId="Point1letter">
    <w:name w:val="Point 1 (letter)"/>
    <w:basedOn w:val="Normal"/>
    <w:pPr>
      <w:numPr>
        <w:ilvl w:val="3"/>
        <w:numId w:val="25"/>
      </w:numPr>
    </w:pPr>
  </w:style>
  <w:style w:type="paragraph" w:customStyle="1" w:styleId="Point2letter">
    <w:name w:val="Point 2 (letter)"/>
    <w:basedOn w:val="Normal"/>
    <w:pPr>
      <w:numPr>
        <w:ilvl w:val="5"/>
        <w:numId w:val="25"/>
      </w:numPr>
    </w:pPr>
  </w:style>
  <w:style w:type="paragraph" w:customStyle="1" w:styleId="Point3letter">
    <w:name w:val="Point 3 (letter)"/>
    <w:basedOn w:val="Normal"/>
    <w:pPr>
      <w:numPr>
        <w:ilvl w:val="7"/>
        <w:numId w:val="25"/>
      </w:numPr>
    </w:pPr>
  </w:style>
  <w:style w:type="paragraph" w:customStyle="1" w:styleId="Point4letter">
    <w:name w:val="Point 4 (letter)"/>
    <w:basedOn w:val="Normal"/>
    <w:pPr>
      <w:numPr>
        <w:ilvl w:val="8"/>
        <w:numId w:val="25"/>
      </w:numPr>
    </w:pPr>
  </w:style>
  <w:style w:type="paragraph" w:customStyle="1" w:styleId="Bullet0">
    <w:name w:val="Bullet 0"/>
    <w:basedOn w:val="Normal"/>
    <w:pPr>
      <w:numPr>
        <w:numId w:val="26"/>
      </w:numPr>
    </w:pPr>
  </w:style>
  <w:style w:type="paragraph" w:customStyle="1" w:styleId="Bullet1">
    <w:name w:val="Bullet 1"/>
    <w:basedOn w:val="Normal"/>
    <w:pPr>
      <w:numPr>
        <w:numId w:val="27"/>
      </w:numPr>
    </w:pPr>
  </w:style>
  <w:style w:type="paragraph" w:customStyle="1" w:styleId="Bullet2">
    <w:name w:val="Bullet 2"/>
    <w:basedOn w:val="Normal"/>
    <w:pPr>
      <w:numPr>
        <w:numId w:val="28"/>
      </w:numPr>
    </w:pPr>
  </w:style>
  <w:style w:type="paragraph" w:customStyle="1" w:styleId="Bullet3">
    <w:name w:val="Bullet 3"/>
    <w:basedOn w:val="Normal"/>
    <w:pPr>
      <w:numPr>
        <w:numId w:val="29"/>
      </w:numPr>
    </w:pPr>
  </w:style>
  <w:style w:type="paragraph" w:customStyle="1" w:styleId="Bullet4">
    <w:name w:val="Bullet 4"/>
    <w:basedOn w:val="Normal"/>
    <w:pPr>
      <w:numPr>
        <w:numId w:val="30"/>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7847218">
      <w:bodyDiv w:val="1"/>
      <w:marLeft w:val="0"/>
      <w:marRight w:val="0"/>
      <w:marTop w:val="0"/>
      <w:marBottom w:val="0"/>
      <w:divBdr>
        <w:top w:val="none" w:sz="0" w:space="0" w:color="auto"/>
        <w:left w:val="none" w:sz="0" w:space="0" w:color="auto"/>
        <w:bottom w:val="none" w:sz="0" w:space="0" w:color="auto"/>
        <w:right w:val="none" w:sz="0" w:space="0" w:color="auto"/>
      </w:divBdr>
    </w:div>
    <w:div w:id="1508667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4.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cc.cec/budg/man/budgmanag/budgmanag_e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4EEE86-A20D-468D-AFE9-7BE9DC8D8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26</Pages>
  <Words>6115</Words>
  <Characters>36446</Characters>
  <Application>Microsoft Office Word</Application>
  <DocSecurity>0</DocSecurity>
  <Lines>1457</Lines>
  <Paragraphs>721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18</cp:revision>
  <cp:lastPrinted>2016-07-20T10:33:00Z</cp:lastPrinted>
  <dcterms:created xsi:type="dcterms:W3CDTF">2016-08-24T14:22:00Z</dcterms:created>
  <dcterms:modified xsi:type="dcterms:W3CDTF">2016-08-25T09:49:00Z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