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bookmarkStart w:id="0" w:name="LW_BM_COVERPAGE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2A5344DB632548E5A65CCAEB189A6055" style="width:450.45pt;height:321.4pt">
            <v:imagedata r:id="rId9" o:title=""/>
          </v:shape>
        </w:pict>
      </w:r>
    </w:p>
    <w:bookmarkEnd w:id="0"/>
    <w:p>
      <w:pPr>
        <w:rPr>
          <w:rFonts w:ascii="Times New Roman" w:hAnsi="Times New Roman" w:cs="Times New Roman"/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>
      <w:pPr>
        <w:pStyle w:val="ListParagraph"/>
        <w:keepNext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b/>
          <w:smallCaps/>
          <w:noProof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/>
          <w:smallCaps/>
          <w:noProof/>
          <w:sz w:val="24"/>
        </w:rPr>
        <w:lastRenderedPageBreak/>
        <w:t>Úvod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Odvětví dopravy stojí před zásadní proměnou, a to jak v Evropě, tak v ostatních částech světa. Vlna technologických inovací a disruptivních obchodních modelů vedla k rostoucí poptávce po nových službách v oblasti mobility. Odvětví současně reaguje na naléhavou potřebu zajištění vyšší bezpečnosti, efektivity a udržitelnosti v dopravě. Výsledná transformace vytváří obrovské sociální a ekonomické příležitosti, kterých se Evropa nyní musí chopit, aby využila přínosů pro své občany a podniky.</w:t>
      </w:r>
    </w:p>
    <w:p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Digitální technologie jsou jednou, a dost možná tou nejsilnější, z hnacích sil a faktorů umožňujících tento proces. Výměna dat mezi různými účastníky dopravního systému znamená, že nabídku a poptávku lze sladit v reálném čase, což povede k účinnějšímu využívání zdrojů, ať už se jedná o sdílený automobil, kontejner nebo železniční síť. Digitální technologie pomáhají omezovat lidské chyby, které jsou v dopravě zdaleka nejvýznamnější příčinou nehod. Mohou rovněž vytvořit skutečně multimodální dopravní systém integrující všechny druhy dopravy do jedné služby pro mobilitu, která umožní hladkou přepravu osob a nákladu z výchozího místa až do konečného místa určení. A mohou podněcovat sociální inovace a zajistit mobilitu pro všechny s tím, jak se budou objevovat noví aktéři a nové způsoby vytváření hodnot, jako je ekonomika sdílení.</w:t>
      </w:r>
    </w:p>
    <w:p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Potenciál digitálních technologií a souvisejících obchodních modelů v oblasti silniční dopravy je značný a potřeba jednat je neméně naléhavá. Vytrvalý, pozitivní trend v oblasti bezpečnosti silničního provozu, který EU v posledním desetiletí zažívala, zpomalil. Silniční doprava je nadále zodpovědná za velkou část emisí z dopravy, pokud jde o skleníkové plyny a látky znečišťující ovzduší</w:t>
      </w:r>
      <w:r>
        <w:rPr>
          <w:rStyle w:val="FootnoteReference"/>
          <w:rFonts w:ascii="Times New Roman" w:hAnsi="Times New Roman"/>
          <w:noProof/>
          <w:sz w:val="24"/>
        </w:rPr>
        <w:footnoteReference w:id="1"/>
      </w:r>
      <w:r>
        <w:rPr>
          <w:rFonts w:ascii="Times New Roman" w:hAnsi="Times New Roman"/>
          <w:noProof/>
          <w:sz w:val="24"/>
          <w:vertAlign w:val="superscript"/>
        </w:rPr>
        <w:t>,</w:t>
      </w:r>
      <w:bookmarkStart w:id="2" w:name="_Ref464146642"/>
      <w:r>
        <w:rPr>
          <w:rStyle w:val="FootnoteReference"/>
          <w:rFonts w:ascii="Times New Roman" w:hAnsi="Times New Roman"/>
          <w:noProof/>
          <w:sz w:val="24"/>
        </w:rPr>
        <w:footnoteReference w:id="2"/>
      </w:r>
      <w:bookmarkEnd w:id="2"/>
      <w:r>
        <w:rPr>
          <w:rFonts w:ascii="Times New Roman" w:hAnsi="Times New Roman"/>
          <w:noProof/>
          <w:sz w:val="24"/>
        </w:rPr>
        <w:t>. Přetížené silnice každý den způsobují hospodářství EU obrovské ztráty</w:t>
      </w:r>
      <w:r>
        <w:rPr>
          <w:rStyle w:val="FootnoteReference"/>
          <w:rFonts w:ascii="Times New Roman" w:hAnsi="Times New Roman"/>
          <w:noProof/>
          <w:sz w:val="24"/>
        </w:rPr>
        <w:footnoteReference w:id="3"/>
      </w:r>
      <w:r>
        <w:rPr>
          <w:rFonts w:ascii="Times New Roman" w:hAnsi="Times New Roman"/>
          <w:noProof/>
          <w:sz w:val="24"/>
        </w:rPr>
        <w:t>. Vzhledem k tomu, že pracovní místa milionů Evropanů přímo či nepřímo závisejí na automobilovém průmyslu a dopravě, je naprosto nezbytné, aby tomuto odvětví byly poskytnuty podmínky potřebné k udržení vedoucí pozice v celosvětovém měřítku.</w:t>
      </w:r>
    </w:p>
    <w:p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Toto sdělení je proto těsně spjato s politickými prioritami Komise, zejména s její agendou pro zaměstnanost, růst a investice, jednotným digitálním trhem a strategií energetické unie</w:t>
      </w:r>
      <w:r>
        <w:rPr>
          <w:rStyle w:val="FootnoteReference"/>
          <w:rFonts w:ascii="Times New Roman" w:hAnsi="Times New Roman"/>
          <w:noProof/>
        </w:rPr>
        <w:footnoteReference w:id="4"/>
      </w:r>
      <w:r>
        <w:rPr>
          <w:rFonts w:ascii="Times New Roman" w:hAnsi="Times New Roman"/>
          <w:noProof/>
          <w:sz w:val="24"/>
        </w:rPr>
        <w:t>. Evropská strategie pro nízkoemisní mobilitu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fldChar w:fldCharType="begin" w:fldLock="1"/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instrText xml:space="preserve"> NOTEREF _Ref464146642 \h  \* MERGEFORMAT </w:instrTex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fldChar w:fldCharType="end"/>
      </w:r>
      <w:r>
        <w:rPr>
          <w:rFonts w:ascii="Times New Roman" w:hAnsi="Times New Roman"/>
          <w:noProof/>
          <w:sz w:val="24"/>
        </w:rPr>
        <w:t>, přijatá v červenci 2016, zdůrazňuje potenciál spolupracujících, propojených a automatizovaných vozidel pro snižování spotřeby energie a snižování emisí z dopravy. Strategie digitalizace evropského průmyslu</w:t>
      </w:r>
      <w:r>
        <w:rPr>
          <w:rStyle w:val="FootnoteReference"/>
          <w:rFonts w:ascii="Times New Roman" w:hAnsi="Times New Roman"/>
          <w:noProof/>
        </w:rPr>
        <w:footnoteReference w:id="5"/>
      </w:r>
      <w:r>
        <w:rPr>
          <w:rFonts w:ascii="Times New Roman" w:hAnsi="Times New Roman"/>
          <w:noProof/>
          <w:sz w:val="24"/>
        </w:rPr>
        <w:t xml:space="preserve"> označuje spolupracující, propojená a automatizovaná vozidla za prioritní téma pro posílení konkurenceschopnosti evropského průmyslu. Studie odhadují, že tržní potenciál spolupracujícího, propojeného a automatizovaného silničního provozu je v řádu desítek miliard eur ročně a že počet nově vytvořených pracovních míst by mohl dosáhnout stovek tisíc</w:t>
      </w:r>
      <w:r>
        <w:rPr>
          <w:rStyle w:val="FootnoteReference"/>
          <w:rFonts w:ascii="Times New Roman" w:hAnsi="Times New Roman"/>
          <w:noProof/>
        </w:rPr>
        <w:footnoteReference w:id="6"/>
      </w:r>
      <w:r>
        <w:rPr>
          <w:rFonts w:ascii="Times New Roman" w:hAnsi="Times New Roman"/>
          <w:noProof/>
          <w:sz w:val="24"/>
        </w:rPr>
        <w:t>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Dnešní vozidla už v mnoha ohledech jsou propojená zařízení. Ve velmi blízké budoucnosti však budou komunikovat také přímo mezi sebou a se silniční infrastrukturou. Tato interakce spadá do oblasti spolupracujících inteligentních dopravních systémů (C-ITS), které uživatelům silnic a subjektům činným v řízení provozu umožní sdílet a využívat informace, jaké dříve nebyly k dispozici, a koordinovat svou činnost. Očekává se, že tento prvek spolupráce</w:t>
      </w:r>
      <w:r>
        <w:rPr>
          <w:rStyle w:val="FootnoteReference"/>
          <w:rFonts w:ascii="Times New Roman" w:hAnsi="Times New Roman"/>
          <w:noProof/>
          <w:sz w:val="24"/>
        </w:rPr>
        <w:footnoteReference w:id="7"/>
      </w:r>
      <w:r>
        <w:rPr>
          <w:rFonts w:ascii="Times New Roman" w:hAnsi="Times New Roman"/>
          <w:noProof/>
          <w:sz w:val="24"/>
        </w:rPr>
        <w:t> – umožněný digitální propojeností – podstatně zvýší bezpečnost silničního provozu, efektivitu dopravy a pohodlí při řízení tím, že bude řidiči pomáhat činit správná rozhodnutí a přizpůsobovat se dopravní situaci.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Komunikace mezi vozidly, infrastrukturou a ostatními účastníky silničního provozu je rovněž klíčová pro zvýšení bezpečnosti automatizovaných vozidel a jejich plné začlenění do dopravního systému jako celku. Spolupráce, propojení a automatizace jsou technologie, které se nejen doplňují, ale také se navzájem posilují a postupem času naprosto splynou. Dobrým příkladem je „truck platooning“ (kamiony díky vzájemné komunikaci jedou automaticky a bezpečně za sebou s velmi malými rozestupy): k fungování takového systému je zapotřebí propojení, spolupráce i automatizace současně. Spolupráce však bude zapotřebí ještě více, až se budoucí automatizovaná vozidla budou muset bezpečně a účinně vyrovnat s mnohem složitějšími dopravními situacemi.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Země po celém světě (např. USA, Austrálie, Japonsko, Jižní Korea nebo Čína) rychle směřují k využívání digitálních technologií a v některých zemích jsou vozidla a služby C-ITS již k dispozici na trhu. Ministři dopravy zemí G7</w:t>
      </w:r>
      <w:r>
        <w:rPr>
          <w:rStyle w:val="FootnoteReference"/>
          <w:rFonts w:ascii="Times New Roman" w:hAnsi="Times New Roman"/>
          <w:noProof/>
          <w:sz w:val="24"/>
        </w:rPr>
        <w:footnoteReference w:id="8"/>
      </w:r>
      <w:r>
        <w:rPr>
          <w:rFonts w:ascii="Times New Roman" w:hAnsi="Times New Roman"/>
          <w:noProof/>
          <w:sz w:val="24"/>
        </w:rPr>
        <w:t xml:space="preserve"> opakovaně zdůraznili potřebu jednat. Několik členských států již zahájilo činnosti související se zaváděním C-ITS v podmínkách reálného provozu prostřednictvím strategických partnerství, jako je kooperativní koridor EU</w:t>
      </w:r>
      <w:r>
        <w:rPr>
          <w:rStyle w:val="FootnoteReference"/>
          <w:rFonts w:ascii="Times New Roman" w:hAnsi="Times New Roman"/>
          <w:noProof/>
          <w:sz w:val="24"/>
        </w:rPr>
        <w:footnoteReference w:id="9"/>
      </w:r>
      <w:r>
        <w:rPr>
          <w:rFonts w:ascii="Times New Roman" w:hAnsi="Times New Roman"/>
          <w:noProof/>
          <w:sz w:val="24"/>
        </w:rPr>
        <w:t xml:space="preserve"> spojující Rotterdam s Frankfurtem nad Mohanem a Vídní nebo skupina Amsterdam Group</w:t>
      </w:r>
      <w:r>
        <w:rPr>
          <w:rStyle w:val="FootnoteReference"/>
          <w:rFonts w:ascii="Times New Roman" w:hAnsi="Times New Roman"/>
          <w:noProof/>
          <w:sz w:val="24"/>
        </w:rPr>
        <w:footnoteReference w:id="10"/>
      </w:r>
      <w:r>
        <w:rPr>
          <w:rFonts w:ascii="Times New Roman" w:hAnsi="Times New Roman"/>
          <w:noProof/>
          <w:sz w:val="24"/>
        </w:rPr>
        <w:t xml:space="preserve">. </w:t>
      </w:r>
      <w:r>
        <w:rPr>
          <w:rStyle w:val="s1"/>
          <w:rFonts w:ascii="Times New Roman" w:hAnsi="Times New Roman"/>
          <w:noProof/>
          <w:sz w:val="24"/>
        </w:rPr>
        <w:t>Kosmická strategie pro Evropu</w:t>
      </w:r>
      <w:bookmarkStart w:id="3" w:name="_Ref465865070"/>
      <w:r>
        <w:rPr>
          <w:rStyle w:val="FootnoteReference"/>
          <w:rFonts w:ascii="Times New Roman" w:hAnsi="Times New Roman"/>
          <w:noProof/>
          <w:sz w:val="24"/>
        </w:rPr>
        <w:footnoteReference w:id="11"/>
      </w:r>
      <w:bookmarkEnd w:id="3"/>
      <w:r>
        <w:rPr>
          <w:rStyle w:val="s1"/>
          <w:rFonts w:ascii="Times New Roman" w:hAnsi="Times New Roman"/>
          <w:noProof/>
          <w:sz w:val="24"/>
        </w:rPr>
        <w:t xml:space="preserve"> zdůrazňuje potřebu podporovat integraci kosmických technologií do strategií zaměřených na propojené automobily, </w:t>
      </w:r>
      <w:r>
        <w:rPr>
          <w:rFonts w:ascii="Times New Roman" w:hAnsi="Times New Roman"/>
          <w:noProof/>
          <w:sz w:val="24"/>
        </w:rPr>
        <w:t>přičemž lze s přínosem využívat zejména systémů GALILEO a EGNOS.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Evropští ministři dopravy v Amsterodamském prohlášení</w:t>
      </w:r>
      <w:r>
        <w:rPr>
          <w:rStyle w:val="FootnoteReference"/>
          <w:rFonts w:ascii="Times New Roman" w:hAnsi="Times New Roman"/>
          <w:noProof/>
          <w:sz w:val="24"/>
        </w:rPr>
        <w:footnoteReference w:id="12"/>
      </w:r>
      <w:r>
        <w:rPr>
          <w:rFonts w:ascii="Times New Roman" w:hAnsi="Times New Roman"/>
          <w:noProof/>
          <w:sz w:val="24"/>
        </w:rPr>
        <w:t xml:space="preserve"> v dubnu 2016 naléhavě žádali Evropskou komisi, aby vypracovala evropskou strategii týkající se spolupracujících, propojených a automatizovaných vozidel. Neméně důležitá je skutečnost, že odvětví deklarovalo záměr zahájit plné zavádění vozidel podporujících technologie C-ITS v roce 2019</w:t>
      </w:r>
      <w:r>
        <w:rPr>
          <w:rFonts w:ascii="Times New Roman" w:hAnsi="Times New Roman"/>
          <w:noProof/>
          <w:sz w:val="24"/>
          <w:vertAlign w:val="superscript"/>
        </w:rPr>
        <w:footnoteReference w:id="13"/>
      </w:r>
      <w:r>
        <w:rPr>
          <w:rFonts w:ascii="Times New Roman" w:hAnsi="Times New Roman"/>
          <w:noProof/>
          <w:sz w:val="24"/>
        </w:rPr>
        <w:t>. Aby k tomu však mohlo dojít, je naléhavě zapotřebí koordinace na evropské úrovni.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Technologie se rychle vyvíjejí, veřejný i soukromý sektor do vývoje a testování technologií C-ITS investuje značné částky a existuje riziko, že bez rámce na evropské úrovni nebude celounijní interoperability dosaženo včas. To by evropské odvětví znevýhodnilo vůči jeho konkurentům a způsobilo v Evropě odklad zavádění C-ITS, a tím i zpoždění řady výhod z toho plynoucích pro dopravu a společnost obecně.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V tomto sdělení je předložena strategie EU pro koordinované zavádění C-ITS s cílem zabránit roztříštění vnitřního trhu v oblasti C-ITS a vytvářet synergie mezi různými iniciativami. Věnuje se nejvýznamnějším otázkám, včetně kybernetické bezpečnosti a ochrany dat (z nichž obě jsou mimořádně důležité pro přijetí veřejností) a interoperability, a doporučuje opatření na různých úrovních, aby byl splněn cílový termín v roce 2019. Toto sdělení proto představuje důležitý milník strategie EU pro spolupracující, propojená a automatizovaná vozidla.</w:t>
      </w:r>
    </w:p>
    <w:p>
      <w:pPr>
        <w:pStyle w:val="ListParagraph"/>
        <w:keepNext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mallCaps/>
          <w:noProof/>
          <w:sz w:val="24"/>
          <w:szCs w:val="24"/>
        </w:rPr>
      </w:pPr>
      <w:r>
        <w:rPr>
          <w:rFonts w:ascii="Times New Roman" w:hAnsi="Times New Roman"/>
          <w:b/>
          <w:smallCaps/>
          <w:noProof/>
          <w:sz w:val="24"/>
        </w:rPr>
        <w:t>Evropské činnosti umožňující zavedení spolupracující, propojené a automatizované mobility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Toto sdělení je výsledkem intenzivní práce odborníků z veřejného i soukromého sektoru. Od listopadu 2014 Komise provozuje platformu C-ITS</w:t>
      </w:r>
      <w:r>
        <w:rPr>
          <w:rStyle w:val="FootnoteReference"/>
          <w:rFonts w:ascii="Times New Roman" w:hAnsi="Times New Roman"/>
          <w:noProof/>
          <w:sz w:val="24"/>
        </w:rPr>
        <w:footnoteReference w:id="14"/>
      </w:r>
      <w:r>
        <w:rPr>
          <w:rFonts w:ascii="Times New Roman" w:hAnsi="Times New Roman"/>
          <w:noProof/>
          <w:sz w:val="24"/>
        </w:rPr>
        <w:t xml:space="preserve"> s cílem rozpoznat zbývající překážky a navrhnout řešení pro zavedení C-ITS v Evropě. První fáze platformy C-ITS vedla k vyhotovení odborné zprávy</w:t>
      </w:r>
      <w:r>
        <w:rPr>
          <w:rStyle w:val="FootnoteReference"/>
          <w:rFonts w:ascii="Times New Roman" w:hAnsi="Times New Roman"/>
          <w:noProof/>
          <w:sz w:val="24"/>
        </w:rPr>
        <w:footnoteReference w:id="15"/>
      </w:r>
      <w:r>
        <w:rPr>
          <w:rFonts w:ascii="Times New Roman" w:hAnsi="Times New Roman"/>
          <w:noProof/>
          <w:sz w:val="24"/>
        </w:rPr>
        <w:t>, již v lednu 2016 účastníci platformy jednomyslně potvrdili. Odborná zpráva byla doplněna analýzou nákladů a přínosů</w:t>
      </w:r>
      <w:bookmarkStart w:id="4" w:name="_Ref465896810"/>
      <w:r>
        <w:rPr>
          <w:rStyle w:val="FootnoteReference"/>
          <w:rFonts w:ascii="Times New Roman" w:hAnsi="Times New Roman"/>
          <w:noProof/>
          <w:sz w:val="24"/>
        </w:rPr>
        <w:footnoteReference w:id="16"/>
      </w:r>
      <w:bookmarkEnd w:id="4"/>
      <w:r>
        <w:rPr>
          <w:rStyle w:val="FootnoteReference"/>
          <w:rFonts w:ascii="Times New Roman" w:hAnsi="Times New Roman"/>
          <w:noProof/>
          <w:sz w:val="24"/>
        </w:rPr>
        <w:t xml:space="preserve"> </w:t>
      </w:r>
      <w:r>
        <w:rPr>
          <w:rFonts w:ascii="Times New Roman" w:hAnsi="Times New Roman"/>
          <w:noProof/>
          <w:sz w:val="24"/>
        </w:rPr>
        <w:t>a veřejnou konzultací</w:t>
      </w:r>
      <w:r>
        <w:rPr>
          <w:rStyle w:val="FootnoteReference"/>
          <w:rFonts w:ascii="Times New Roman" w:hAnsi="Times New Roman"/>
          <w:noProof/>
          <w:sz w:val="24"/>
        </w:rPr>
        <w:footnoteReference w:id="17"/>
      </w:r>
      <w:r>
        <w:rPr>
          <w:rFonts w:ascii="Times New Roman" w:hAnsi="Times New Roman"/>
          <w:noProof/>
          <w:sz w:val="24"/>
        </w:rPr>
        <w:t>, které společně položily základy pro toto sdělení. Mezitím byla v červenci 2016 zahájena druhá fáze platformy C-ITS.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EU na spolupracující, propojená a automatizovaná vozidla již poskytla značné finanční prostředky</w:t>
      </w:r>
      <w:r>
        <w:rPr>
          <w:rStyle w:val="FootnoteReference"/>
          <w:rFonts w:ascii="Times New Roman" w:hAnsi="Times New Roman"/>
          <w:noProof/>
          <w:sz w:val="24"/>
        </w:rPr>
        <w:footnoteReference w:id="18"/>
      </w:r>
      <w:r>
        <w:rPr>
          <w:rFonts w:ascii="Times New Roman" w:hAnsi="Times New Roman"/>
          <w:noProof/>
          <w:sz w:val="24"/>
        </w:rPr>
        <w:t>. Již více než 15 let výzkumné projekty a projekty na zavádění prokazují proveditelnost služeb C-ITS. Výzkum inteligentních dopravních systémů v rámci programu Horizont 2020 se v nedávné době zaměřil na integraci různých druhů dopravy a vazby na automatizaci. V roce 2016 byla vydána zvláštní výzva k předkládání návrhů projektů týkajících se automatizované silniční dopravy. V rámci strategického programu pro výzkum a inovace v oblasti dopravy vypracovává Komise plán pro oblast propojené a automatizované dopravy, který má řídit a koordinovat budoucí činnosti v oblasti výzkumu a vývoje v Evropě. Tuto činnost doplňují rozsáhlé projekty na zavádění s cílem vyvinout spolupracující systémy na transevropské dopravní síti ve 13 zemích</w:t>
      </w:r>
      <w:r>
        <w:rPr>
          <w:rStyle w:val="FootnoteReference"/>
          <w:rFonts w:ascii="Times New Roman" w:hAnsi="Times New Roman"/>
          <w:noProof/>
          <w:sz w:val="24"/>
        </w:rPr>
        <w:footnoteReference w:id="19"/>
      </w:r>
      <w:r>
        <w:rPr>
          <w:rFonts w:ascii="Times New Roman" w:hAnsi="Times New Roman"/>
          <w:noProof/>
          <w:sz w:val="24"/>
        </w:rPr>
        <w:t>, a to s využitím programů financování z EU, jako je Nástroj pro propojení Evropy (CEF).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Pokud jde o politiku v oblasti vysoce automatizovaných a propojených vozidel, řada orgánů členských států, nevládních organizací a subjektů z odvětví spolupracuje s příslušnými komisaři v rámci GEAR 2030, pracovní skupiny na vysoké úrovni zřízené v říjnu 2015, která se má zabývat budoucností automobilového průmyslu. Výsledky platformy C-ITS budou předávány skupině GEAR 2030, a zprostředkují jí tak pohled na dopravní systém. Cílem skupiny je předložit první doporučení do konce roku 2016 a závěrečná doporučení do poloviny roku 2017.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Na podzim roku 2015 byl zahájen dialog na vysoké úrovni s cílem vytvořit synergie v oblasti spolupracujících a automatizovaných vozidel, a to formou odvětvových kulatých stolů, do nichž jsou zapojena odvětví telekomunikací a výroby vozidel. Očekává se, že tento dialog automobilovému průmyslu pomůže využívat digitálních trendů, jako jsou internet věcí, data velkého objemu, telekomunikační politika a digitalizace průmyslu, a již vyústil v závazek ze strany obou odvětví navázat nová partnerství a začít experimentovat s technologiemi 5G.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Podle pracovního programu</w:t>
      </w:r>
      <w:r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  <w:sz w:val="24"/>
        </w:rPr>
        <w:t>Komise na rok 2017 bude Komise pokračovat v práci na regulačním prostředí, budování ekosystému, účinném využívání zdrojů a standardizaci, aby bylo usnadněno uvádění stále účinnějších spolupracujících, propojených a automatizovaných vozidel na trh.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V návaznosti na tyto iniciativy je pro úspěšné zavedení C-ITS zapotřebí bezprecedentní úroveň spolupráce napříč mnoha odvětvími. Úlohy a odpovědnosti v rámci celého hodnotového řetězce se stírají, a jsou tak zpochybňovány stávající koncepty. Aby se předešlo případným zpětným účinkům, jako je čistý nárůst objemu provozu a emisí, je nutná úzká spolupráce s místními orgány. Příkladem je integrace spolupracujících, propojených a automatizovaných vozidel do plánování udržitelné mobility nebo koncepce „mobilita jako služba“, včetně veřejné dopravy a aktivních způsobů cestování, jako je chůze nebo jízda na kole. Aby bylo zajištěno široké přijetí technologií C-ITS a maximalizace jejich hospodářského a sociálního dopadu, je klíčové aktivní zapojení občanů a zavádění C-ITS by mělo být zaměřeno na uživatele.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Digitální dopravní systém vyžaduje uvažování v horizontálních vrstvách, napříč různými druhy dopravy a odvětvími průmyslu, spíše než ve vertikální struktuře (jako je doprava, energetika nebo telekomunikace). Již není možné se zaměřovat jen na vrstvu infrastruktury (například silnice a vozidla). Digitální technologie také staví na datové vrstvě, která obsahuje statická data, jako jsou digitální mapy nebo dopravní předpisy, i dynamická data, jako například informace o dopravním provozu v reálném čase. Tato data se následně používají k vypracování vrstvy inovačních služeb a aplikací, které jsou poskytovány prostřednictvím vrstvy sítí. Aby bylo možné digitální technologie optimálně využívat, v každé z těchto vrstev musí být zajištěn přístup na trh a spravedlivá hospodářská soutěž, jak Komise doporučuje ve svém sdělení o on-line platformách</w:t>
      </w:r>
      <w:r>
        <w:rPr>
          <w:rStyle w:val="FootnoteReference"/>
          <w:rFonts w:ascii="Times New Roman" w:hAnsi="Times New Roman"/>
          <w:noProof/>
          <w:sz w:val="24"/>
        </w:rPr>
        <w:footnoteReference w:id="20"/>
      </w:r>
      <w:r>
        <w:rPr>
          <w:noProof/>
        </w:rPr>
        <w:t>.</w:t>
      </w:r>
    </w:p>
    <w:p>
      <w:pPr>
        <w:pStyle w:val="ListParagraph"/>
        <w:keepNext/>
        <w:numPr>
          <w:ilvl w:val="0"/>
          <w:numId w:val="4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smallCaps/>
          <w:noProof/>
          <w:sz w:val="24"/>
          <w:szCs w:val="24"/>
        </w:rPr>
      </w:pPr>
      <w:r>
        <w:rPr>
          <w:rFonts w:ascii="Times New Roman" w:hAnsi="Times New Roman"/>
          <w:b/>
          <w:smallCaps/>
          <w:noProof/>
          <w:sz w:val="24"/>
        </w:rPr>
        <w:t>Cesta k zavedení C-ITS v roce 2019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V návaznosti na doporučení platformy C-ITS</w:t>
      </w:r>
      <w:r>
        <w:rPr>
          <w:rStyle w:val="FootnoteReference"/>
          <w:rFonts w:ascii="Times New Roman" w:hAnsi="Times New Roman"/>
          <w:noProof/>
          <w:sz w:val="24"/>
        </w:rPr>
        <w:footnoteReference w:id="21"/>
      </w:r>
      <w:r>
        <w:rPr>
          <w:rFonts w:ascii="Times New Roman" w:hAnsi="Times New Roman"/>
          <w:noProof/>
          <w:sz w:val="24"/>
        </w:rPr>
        <w:t xml:space="preserve"> Komise určila témata, která by měla být řešena na úrovni EU, aby se zajistilo koordinované zavedení služeb C-ITS v roce 2019. V následujících kapitolách jsou navržena konkrétní opatření k řešení těchto jednotlivých témat, včetně vytvoření vhodných podmínek na úrovni EU, členských států, veřejné správy a daného odvětví.</w:t>
      </w:r>
    </w:p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Priority pro zavádění služeb C-ITS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Nejdůležitějším faktorem pro rychlé zavedení C-ITS v Evropě je kontinuita služeb, tedy dostupnost služeb C-ITS pro koncové uživatele v celé EU. Od samého počátku by zaváděné služby měly být k dispozici v co největší míře, a to jak na straně infrastruktury, tak na straně vozidel. V tomto sdělení jsou proto stanoveny priority pro koordinované zavádění služeb C-ITS ze strany členských států a odvětví.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Platforma C-ITS na žádost Komise provedla analýzu nákladů a přínosů zavedení služeb podporujících C-ITS v silniční dopravě v členských státech</w:t>
      </w:r>
      <w:r>
        <w:rPr>
          <w:rStyle w:val="FootnoteReference"/>
          <w:rFonts w:ascii="Times New Roman" w:hAnsi="Times New Roman" w:cs="Times New Roman"/>
          <w:noProof/>
        </w:rPr>
        <w:fldChar w:fldCharType="begin" w:fldLock="1"/>
      </w:r>
      <w:r>
        <w:rPr>
          <w:rStyle w:val="FootnoteReference"/>
          <w:rFonts w:ascii="Times New Roman" w:hAnsi="Times New Roman" w:cs="Times New Roman"/>
          <w:noProof/>
        </w:rPr>
        <w:instrText xml:space="preserve"> NOTEREF _Ref465896810 \h  \* MERGEFORMAT </w:instrText>
      </w:r>
      <w:r>
        <w:rPr>
          <w:rStyle w:val="FootnoteReference"/>
          <w:rFonts w:ascii="Times New Roman" w:hAnsi="Times New Roman" w:cs="Times New Roman"/>
          <w:noProof/>
        </w:rPr>
      </w:r>
      <w:r>
        <w:rPr>
          <w:rStyle w:val="FootnoteReference"/>
          <w:rFonts w:ascii="Times New Roman" w:hAnsi="Times New Roman" w:cs="Times New Roman"/>
          <w:noProof/>
        </w:rPr>
        <w:fldChar w:fldCharType="separate"/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t>16</w:t>
      </w:r>
      <w:r>
        <w:rPr>
          <w:rStyle w:val="FootnoteReference"/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/>
          <w:noProof/>
          <w:sz w:val="24"/>
        </w:rPr>
        <w:t>. Platforma za tímto účelem projednala nejslibnější scénáře zavádění služeb, co se týče rychlého a rozsáhlého zahájení využívání.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Závěr byl takový, že služby C-ITS kategorie „Day 1“ – v případě zavedení interoperabilním způsobem v celé Evropě – povedou k poměru přínosů a nákladů až 3 ku 1, počítáno na základě kumulovaných nákladů a přínosů v letech 2018 až 2030. To znamená, že každé euro investované do služeb C-ITS kategorie „Day 1“ by mělo vést k přínosu ve výši až tří eur. Rychlé zavedení co největšího množství služeb bude rovněž znamenat, že rychleji dosáhnou bodu zvratu a povedou k vyšším celkovým přínosům, a to zejména působením síťového účinku (což znamená, že pomalé zahájení využívání by mělo za následek poměrně dlouhé období s malými přínosy).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Na základě výsledků této činnosti se Komise domnívá, že určité technologicky vyzrálé a vysoce přínosné služby C-ITS by měly být zavedeny rychle, aby jich koncoví uživatele a celá společnost mohli co nejdříve využívat. Seznam těchto služeb, které mají být zavedeny urychleně, je níže vymezen jako </w:t>
      </w:r>
      <w:r>
        <w:rPr>
          <w:rFonts w:ascii="Times New Roman" w:hAnsi="Times New Roman"/>
          <w:i/>
          <w:noProof/>
          <w:sz w:val="24"/>
        </w:rPr>
        <w:t>seznam služeb C-ITS kategorie „Day 1“</w:t>
      </w:r>
      <w:r>
        <w:rPr>
          <w:rFonts w:ascii="Times New Roman" w:hAnsi="Times New Roman"/>
          <w:noProof/>
          <w:sz w:val="24"/>
        </w:rPr>
        <w:t>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Ve druhé fázi by byly zavedeny služby na </w:t>
      </w:r>
      <w:r>
        <w:rPr>
          <w:rFonts w:ascii="Times New Roman" w:hAnsi="Times New Roman"/>
          <w:i/>
          <w:noProof/>
          <w:sz w:val="24"/>
        </w:rPr>
        <w:t>seznamu služeb C-ITS kategorie „Day 1.5“</w:t>
      </w:r>
      <w:r>
        <w:rPr>
          <w:rFonts w:ascii="Times New Roman" w:hAnsi="Times New Roman"/>
          <w:noProof/>
          <w:sz w:val="24"/>
        </w:rPr>
        <w:t>. Jedná se o seznam služeb, u nichž veškeré specifikace nebo standardy možná nebudou zcela připravené k rozsáhlému zavádění od roku 2019, ačkoliv jsou obecně považovány za vyzrálé.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Respondenti v rámci veřejné konzultace se shodli, že urychlené zavedení by se mělo týkat všech služeb (z obou seznamů).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Seznam služeb C-ITS kategorie „Day 1“</w:t>
            </w:r>
          </w:p>
        </w:tc>
      </w:tr>
      <w:tr>
        <w:trPr>
          <w:trHeight w:val="282"/>
          <w:jc w:val="center"/>
        </w:trPr>
        <w:tc>
          <w:tcPr>
            <w:tcW w:w="9042" w:type="dxa"/>
            <w:tcBorders>
              <w:bottom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Upozornění na riziková místa: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upozornění na pomalu jedoucí nebo stojící vozidla a provoz před řidičem,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upozornění na práce na silnici,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povětrnostní podmínky,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varování při nouzovém brzdění,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blížící se záchranné zásahové vozidlo,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jiná nebezpečí.</w:t>
            </w:r>
          </w:p>
          <w:p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Značení: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palubní indikace dopravního značení,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palubní indikace omezení rychlosti,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nerespektování signálu / bezpečnost na křižovatkách,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žádost autorizovaného vozidla o přednostní signál,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doporučení optimální rychlosti pro zelený světelný signál,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kooperativní údaje o vozidlech,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tlumení neplynulého rozjíždění kolon (spadá do kategorie „varování před místními riziky“ podle Evropského ústavu pro telekomunikační normy (ETSI)).</w:t>
            </w:r>
          </w:p>
        </w:tc>
      </w:tr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Seznam služeb C-ITS kategorie „Day 1,5“</w:t>
            </w:r>
          </w:p>
        </w:tc>
      </w:tr>
      <w:tr>
        <w:trPr>
          <w:trHeight w:val="282"/>
          <w:jc w:val="center"/>
        </w:trPr>
        <w:tc>
          <w:tcPr>
            <w:tcW w:w="9042" w:type="dxa"/>
          </w:tcPr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informace o čerpacích a dobíjecích stanicích pro vozidla poháněná alternativním palivem,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ochrana zranitelných účastníků silničního provozu,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řízení parkování na ulici a s tím související informace,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informace o parkování mimo ulici,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informace o parkovištích P+R,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propojená a spolupracující navigace do města a z města (první a poslední úsek cesty, parkování, doporučení ohledně trasy, koordinovaná světelná signalizační zařízení),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informace o provozu a inteligentní plánování tras.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Konkrétní opatření</w:t>
            </w:r>
          </w:p>
          <w:p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Členské státy a místní orgány, výrobci vozidel, provozovatelé silnic a odvětví ITS by měli zavést C-ITS a zajistit, aby byly plně podporovány alespoň služby C-ITS ze seznamu „Day 1“.</w:t>
            </w:r>
          </w:p>
          <w:p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 členské státy a odvětví v zavádění služeb C-ITS kategorie „Day 1“ podpoří, zejména prostřednictvím Nástroje pro propojení Evropy, evropských strukturálních a investičních fondů a Evropského fondu pro strategické investice.</w:t>
            </w:r>
          </w:p>
          <w:p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Pokud jde o služby kategorie „Day 1.5“ a další, včetně vyšších úrovní automatizace, bude Komise poskytovat finanční prostředky na výzkum a inovace v rámci programu Horizont 2020 a případně evropských strukturálních a investičních fondů.</w:t>
            </w:r>
          </w:p>
          <w:p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 bude podporovat aktualizaci seznamu služeb kategorie „Day 1.5“ a tvorbu budoucích seznamů služeb C-ITS, a sice pokračováním činnosti platformy C-ITS.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Zabezpečení komunikace v rámci služeb C-ITS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 tím, jak se dopravní systém stále více digitalizuje, může být také zranitelnější vůči útokům hackerů a kybernetickým útokům. Kybernetická bezpečnost komunikace v rámci služeb C-ITS má proto zásadní význam a vyžaduje opatření na evropské úrovni. Bez jasných pravidel přijatých na úrovni Unie se zavádění C-ITS v EU zpozdí, jelikož investoři hledají společný přístup pro vnitřní trh. Roztříštěná bezpečnostní řešení rovněž ohrozí interoperabilitu a bezpečnost koncových uživatelů.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Komise se proto domnívá, že je třeba vytvořit společnou bezpečnostní a certifikační politiku</w:t>
      </w:r>
      <w:r>
        <w:rPr>
          <w:rStyle w:val="FootnoteReference"/>
          <w:rFonts w:ascii="Times New Roman" w:hAnsi="Times New Roman"/>
          <w:noProof/>
          <w:sz w:val="24"/>
        </w:rPr>
        <w:footnoteReference w:id="22"/>
      </w:r>
      <w:r>
        <w:rPr>
          <w:rFonts w:ascii="Times New Roman" w:hAnsi="Times New Roman"/>
          <w:noProof/>
          <w:sz w:val="24"/>
        </w:rPr>
        <w:t xml:space="preserve"> pro zavádění C-ITS v Evropě. Tento názor podporují doporučení vzešlá z platformy C-ITS a z veřejné konzultace. Vytvoření této politiky závisí na politické podpoře v Evropě pro jednotné a široce přijímané bezpečnostní řešení pro spolupracující a propojená vozidla a na souvisejících prvcích veřejné infrastruktury.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 vytvoření a zavedení celounijního bezpečnostního rámce pro vozidla a prvky veřejné infrastruktury, včetně postupu posuzování souladu, na základě technologie Public Key Infrastructure</w:t>
      </w:r>
      <w:r>
        <w:rPr>
          <w:rStyle w:val="FootnoteReference"/>
          <w:rFonts w:ascii="Times New Roman" w:hAnsi="Times New Roman"/>
          <w:noProof/>
          <w:sz w:val="24"/>
        </w:rPr>
        <w:footnoteReference w:id="23"/>
      </w:r>
      <w:r>
        <w:rPr>
          <w:rFonts w:ascii="Times New Roman" w:hAnsi="Times New Roman"/>
          <w:noProof/>
          <w:sz w:val="24"/>
        </w:rPr>
        <w:t xml:space="preserve"> je nutné, aby se zapojily všechny zainteresované strany. Klíčovým úkolem proto bude vytvořit potřebné struktury řízení na úrovni EU, členských států a odvětví za účasti všech hlavních zainteresovaných stran, včetně subjektů veřejného sektoru (např. ministerstev dopravy a příslušných vnitrostátních sdružení v oblasti bezpečnosti), provozovatelů silnic, výrobců vozidel a poskytovatelů a provozovatelů služeb C-ITS. Vytvořením společného bezpečnostního řešení pro zavádění a provoz C-ITS v Evropě pak budou položeny základy pro lepší zabezpečení na vyšších úrovních automatizace (včetně komunikace mezi vozidly navzájem a mezi vozidlem a infrastrukturou).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Konkrétní opatření</w:t>
            </w:r>
          </w:p>
          <w:p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 bude ve spolupráci se všemi příslušnými zainteresovanými stranami v oblasti C-ITS řídit vytváření společné bezpečnostní a certifikační politiky pro zavádění a provoz služeb C-ITS v Evropě. V roce 2017 zveřejní pokyny týkající se evropské bezpečnostní a certifikační politiky pro služby C-ITS.</w:t>
            </w:r>
          </w:p>
          <w:p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Do vytváření této společné bezpečnostní politiky by měly být zapojeny všechny iniciativy v oblasti zavádění C-ITS tak, že se od začátku zavážou v Evropě zavádět služby C-ITS, které obstojí i v budoucnu.</w:t>
            </w:r>
          </w:p>
        </w:tc>
      </w:tr>
      <w:tr>
        <w:trPr>
          <w:jc w:val="center"/>
        </w:trPr>
        <w:tc>
          <w:tcPr>
            <w:tcW w:w="904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 provede analýzu úloh a působnosti evropského modelu důvěry C-ITS a vyhodnotí, zda by některé provozní funkce a řídicí úlohy neměla převzít Komise (jako například v případě inteligentních tachografů</w:t>
            </w:r>
            <w:r>
              <w:rPr>
                <w:rFonts w:ascii="Times New Roman" w:hAnsi="Times New Roman"/>
                <w:noProof/>
                <w:vertAlign w:val="superscript"/>
              </w:rPr>
              <w:footnoteReference w:id="24"/>
            </w:r>
            <w:r>
              <w:rPr>
                <w:rFonts w:ascii="Times New Roman" w:hAnsi="Times New Roman"/>
                <w:noProof/>
                <w:sz w:val="24"/>
              </w:rPr>
              <w:t>).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Opatření na ochranu soukromí a osobních údajů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Ochrana osobních údajů a soukromí je rozhodujícím faktorem pro úspěšné zavádění spolupracujících, propojených a automatizovaných vozidel. Uživatelé musí mít jistotu, že osobní údaje nejsou komodita, a musí vědět, že mají účinnou kontrolu nad tím, jak a pro jaké účely jsou jejich údaje využívány.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Údaje vysílané službami C-ITS z vozidel budou obecně považovány za osobní údaje, jelikož se budou týkat identifikované nebo identifikovatelné fyzické osoby. Zavádění služeb C-ITS proto vyžaduje soulad s platným právním rámcem pro ochranu osobních údajů</w:t>
      </w:r>
      <w:r>
        <w:rPr>
          <w:rStyle w:val="FootnoteReference"/>
          <w:rFonts w:ascii="Times New Roman" w:hAnsi="Times New Roman"/>
          <w:noProof/>
          <w:sz w:val="24"/>
        </w:rPr>
        <w:footnoteReference w:id="25"/>
      </w:r>
      <w:r>
        <w:rPr>
          <w:rFonts w:ascii="Times New Roman" w:hAnsi="Times New Roman"/>
          <w:noProof/>
          <w:sz w:val="24"/>
        </w:rPr>
        <w:t>. Tato pravidla stanoví, že zpracovávání takových údajů je zákonné, pouze pokud k němu dochází na základě některé ze skutečností uvedených v těchto pravidlech, jako je souhlas uživatelů.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Zásady ochrany osobních údajů již od návrhu a ve standardním nastavení a posouzení dopadů na ochranu osobních údajů mají stěžejní význam v základním uspořádání a návrhu systému C-ITS, zejména v kontextu uplatňovaného systému zabezpečení komunikace. Z reakcí v rámci veřejné konzultace je patrné, že budou-li tyto podmínky splněny, ochota koncových uživatelů udělit souhlas s vysíláním údajů nebude překážkou, zejména pokud údaje mají být použity za účelem zvyšování bezpečnosti silničního provozu nebo zlepšování řízení dopravy.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Konkrétní opatření</w:t>
            </w:r>
          </w:p>
          <w:p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Poskytovatelé služeb C-ITS by měli koncovým uživatelům nabízet transparentní podmínky sepsané jasným, prostým a srozumitelným jazykem a ve snadno přístupných podobách, aby uživatelé mohli vyjádřit souhlas se zpracováním svých osobních údajů.</w:t>
            </w:r>
          </w:p>
          <w:p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 zveřejní první pokyny týkající se ochrany osobních údajů již od návrhu a ve standardním nastavení, které se budou týkat specificky služeb C-ITS, v roce 2018.</w:t>
            </w:r>
          </w:p>
          <w:p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Iniciativy v oblasti zavádění C-ITS by měly:</w:t>
            </w:r>
          </w:p>
          <w:p>
            <w:pPr>
              <w:pStyle w:val="ListParagraph"/>
              <w:numPr>
                <w:ilvl w:val="1"/>
                <w:numId w:val="45"/>
              </w:numPr>
              <w:ind w:left="58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pracovat na informačních kampaních s cílem navodit nezbytnou důvěru mezi koncovými uživateli a dosáhnout přijetí ze strany veřejnosti,</w:t>
            </w:r>
          </w:p>
          <w:p>
            <w:pPr>
              <w:pStyle w:val="ListParagraph"/>
              <w:numPr>
                <w:ilvl w:val="1"/>
                <w:numId w:val="45"/>
              </w:numPr>
              <w:ind w:left="58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ukázat, jak lze použitím osobních údajů zvýšit bezpečnost a účinnost dopravního systému a jak lze současně zajistit dodržování pravidel ochrany osobních údajů a soukromí,</w:t>
            </w:r>
          </w:p>
          <w:p>
            <w:pPr>
              <w:pStyle w:val="ListParagraph"/>
              <w:numPr>
                <w:ilvl w:val="1"/>
                <w:numId w:val="45"/>
              </w:numPr>
              <w:ind w:left="58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v konzultaci s orgány EU pro ochranu údajů vypracovat šablonu posouzení dopadů na ochranu osobních údajů pro toto odvětví, která se bude používat při zavádění nových služeb C-ITS.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Komunikační technologie a kmitočty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Zprávy C-ITS budou přenášeny pro širokou škálu služeb, v různých dopravních situacích a mezi různými účastníky. Řidičům obecně nezáleží na tom, jaké komunikační technologie se k přenosu zpráv C-ITS používají, ale budou stále více očekávat, že budou veškeré informace o stavu dopravy a bezpečnosti bez problémů přijímat v celé Evropě. Toho lze dosáhnout pouze prostřednictvím hybridního přístupu ke komunikaci, tedy kombinací vzájemně se doplňujících komunikačních technologií.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Aby byly podporovány všechny služby C-ITS na straně vozidla, musí na palubě být celý hybridní systém komunikačních technologií</w:t>
      </w:r>
      <w:r>
        <w:rPr>
          <w:rStyle w:val="FootnoteReference"/>
          <w:rFonts w:ascii="Times New Roman" w:hAnsi="Times New Roman"/>
          <w:noProof/>
          <w:sz w:val="24"/>
        </w:rPr>
        <w:footnoteReference w:id="26"/>
      </w:r>
      <w:r>
        <w:rPr>
          <w:rFonts w:ascii="Times New Roman" w:hAnsi="Times New Roman"/>
          <w:noProof/>
          <w:sz w:val="24"/>
        </w:rPr>
        <w:t>. Na straně infrastruktury bude volba komunikačních technologií záviset na umístění, typu služby a nákladové efektivnosti. Zprávy C-ITS by neměly záviset na používané komunikační technologii, a měly by tedy být v tomto ohledu flexibilní, což usnadní začleňování budoucích technologií (např. 5G</w:t>
      </w:r>
      <w:r>
        <w:rPr>
          <w:rStyle w:val="FootnoteReference"/>
          <w:rFonts w:ascii="Times New Roman" w:hAnsi="Times New Roman"/>
          <w:noProof/>
          <w:sz w:val="24"/>
        </w:rPr>
        <w:footnoteReference w:id="27"/>
      </w:r>
      <w:r>
        <w:rPr>
          <w:rFonts w:ascii="Times New Roman" w:hAnsi="Times New Roman"/>
          <w:noProof/>
          <w:sz w:val="24"/>
        </w:rPr>
        <w:t xml:space="preserve"> a družicové komunikace</w:t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fldChar w:fldCharType="begin" w:fldLock="1"/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instrText xml:space="preserve"> NOTEREF _Ref465865070 \h  \* MERGEFORMAT </w:instrText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t>11</w:t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fldChar w:fldCharType="end"/>
      </w:r>
      <w:r>
        <w:rPr>
          <w:rFonts w:ascii="Times New Roman" w:hAnsi="Times New Roman"/>
          <w:noProof/>
          <w:sz w:val="24"/>
        </w:rPr>
        <w:t>) do hybridního systému komunikačních technologií.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V současné době je nejslibnější hybridní komunikační mix založen na kombinaci ETSI ITS-G5 a stávajících mobilních sítí. To zajistí nejlepší možnou podporu pro zavedení všech služeb C-ITS kategorie „Day 1“. Krátkou latenci ETSI ITS-G5 pro zprávy C-ITS, u nichž kritickou úlohu hraje čas a které se týkají bezpečnosti, spojuje s širokým zeměpisným pokrytím stávajících mobilních sítí a přístupem k velkým skupinám jejich uživatelů.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V roce 2008 Komise vyhradila konkrétní kmitočtové pásmo pro aplikace související s bezpečností</w:t>
      </w:r>
      <w:r>
        <w:rPr>
          <w:rStyle w:val="FootnoteReference"/>
          <w:rFonts w:ascii="Times New Roman" w:hAnsi="Times New Roman"/>
          <w:noProof/>
          <w:sz w:val="24"/>
        </w:rPr>
        <w:footnoteReference w:id="28"/>
      </w:r>
      <w:r>
        <w:rPr>
          <w:rFonts w:ascii="Times New Roman" w:hAnsi="Times New Roman"/>
          <w:noProof/>
          <w:sz w:val="24"/>
        </w:rPr>
        <w:t>. Počáteční zavádění komunikace s krátkým dosahem mezi vozidly navzájem a mezi vozidlem a infrastrukturou bude vycházet z již dostupných technologií využívajících toto pásmo a v případě potřeby bude fungovat v bezproblémové koexistenci s technologií 5G podle zásady vzájemného doplňování. Aby byly stávající a budoucí aplikace související s bezpečností chráněny proti škodlivému rušení, musí být zajištěna koexistence s aplikacemi využívajícími přilehlá pásma nebo stejné spektrum. Je třeba vymezit a realizovat přiměřené techniky zmírňující rušení (např. koexistence s mýtnými systémy) a je třeba pečlivě zvážit přidělování spektra (např. účinek navrhovaného rozšíření rádiových místních sítí do tohoto kmitočtového pásma).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Respondenti ve veřejné konzultaci vyjadřují širokou podporu pro hybridní přístup ke komunikaci. S počátečním zaváděním na bázi ETSI ITS-G5 nesouhlasí méně než 5 % respondentů a převážná většina se domnívá, že 5G bude v dlouhodobém horizontu hrát významnou roli.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Konkrétní opatření</w:t>
            </w:r>
          </w:p>
          <w:p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Silniční orgány, poskytovatelé služeb, výrobci vozidel a rádiových zařízení a další subjekty z odvětví by měli přijmout strategii pro hybridní komunikaci při zadávání zakázek a při sériové výrobě s cílem podporovat celý seznam služeb C-ITS kategorie „Day 1“.</w:t>
            </w:r>
          </w:p>
          <w:p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Telekomunikační operátoři podporující služby C-ITS by měli odpovídajícím způsobem řídit zatížení sítě pro služby C-ITS související s bezpečností silničního provozu.</w:t>
            </w:r>
          </w:p>
          <w:p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 bude jak na evropské, tak na mezinárodní úrovni (Mezinárodní telekomunikační unie OSN a Evropská konference poštovních a telekomunikačních správ) zachovávat vyhrazení spektra využívaného technologií ETSI ITS-G5 pro bezpečnostní služby ITS a podporovat opatření na ochranu tohoto kmitočtového pásma proti škodlivému rušení.</w:t>
            </w:r>
          </w:p>
          <w:p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Iniciativy v oblasti zavádění C-ITS by měly používat příslušné techniky zmírňující rušení v zájmu koexistence podle standardů a postupů ETSI.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Interoperabilita na všech úrovních</w:t>
      </w:r>
    </w:p>
    <w:p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5" w:name="_Ref460306791"/>
      <w:r>
        <w:rPr>
          <w:rFonts w:ascii="Times New Roman" w:hAnsi="Times New Roman"/>
          <w:noProof/>
          <w:sz w:val="24"/>
        </w:rPr>
        <w:t>Integrovaný dopravní systém je závislý na interoperabilitě svých složek. To znamená, že systémy musí být schopny spolu vzájemně komunikovat přes hranice států a napříč různými druhy dopravy, a to na všech úrovních: infrastruktura, data, služby, aplikace a sítě. Standardizační činnosti jsou sice nezbytné, avšak samy o sobě nepostačují k tomu, aby byla zajištěna interoperabilita. Musí proto být definovány a dohodnuty celounijní specifikace pro zavádění služeb. To zahrnuje zajištění toho, aby příslušné normy EU</w:t>
      </w:r>
      <w:r>
        <w:rPr>
          <w:rStyle w:val="FootnoteReference"/>
          <w:rFonts w:ascii="Times New Roman" w:hAnsi="Times New Roman"/>
          <w:noProof/>
          <w:sz w:val="24"/>
        </w:rPr>
        <w:footnoteReference w:id="29"/>
      </w:r>
      <w:r>
        <w:rPr>
          <w:rFonts w:ascii="Times New Roman" w:hAnsi="Times New Roman"/>
          <w:noProof/>
          <w:sz w:val="24"/>
        </w:rPr>
        <w:t xml:space="preserve"> byly pochopeny a důsledně uplatňovány.</w:t>
      </w:r>
    </w:p>
    <w:p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Za tímto účelem by iniciativy v oblasti zavádění C-ITS na území EU měly stanovit a zveřejnit technické profily komunikace C-ITS potřebné k zajištění interoperability služeb C-ITS kategorie „Day 1“. Měly by rovněž vypracovat zkušební postupy pro ověřování interoperability těchto profilů. Vzájemným poskytnutím přístupu ke komunikačním profilům se zajistí sdílení osvědčených postupů a poznatků získaných v reálném provozu. Mělo by to rovněž vést k postupnému sbližování profilů, a tím k vytvoření podmínek pro celounijní interoperabilitu. Cílem je umožnit jednotný trh služeb C-ITS v Evropě na základě společných komunikačních profilů, které však ponechávají prostor pro budoucí inovační služby.</w:t>
      </w:r>
    </w:p>
    <w:p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V roce 2016 členské státy a Komise zřídily platformu C-Roads</w:t>
      </w:r>
      <w:r>
        <w:rPr>
          <w:rStyle w:val="FootnoteReference"/>
          <w:rFonts w:ascii="Times New Roman" w:hAnsi="Times New Roman"/>
          <w:noProof/>
          <w:sz w:val="24"/>
        </w:rPr>
        <w:footnoteReference w:id="30"/>
      </w:r>
      <w:r>
        <w:rPr>
          <w:rFonts w:ascii="Times New Roman" w:hAnsi="Times New Roman"/>
          <w:noProof/>
          <w:sz w:val="24"/>
        </w:rPr>
        <w:t xml:space="preserve"> s cílem propojit činnosti při zavádění C-ITS, společně vypracovávat a sdílet technické specifikace a ověřovat interoperabilitu testováním na různých místech. Platforma C-Roads byla zřízena pro iniciativy v oblasti zavádění C-ITS spolufinancované Evropskou unií, je však otevřená pro všechny činnosti související se zaváděním služeb v zájmu testování interoperability.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Konkrétní opatření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 plně využije platformu C-Roads jako koordinační mechanismus pro zavádění C-ITS na provozní úrovni.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Členské státy by se měly do platformy C-Roads zapojit v zájmu testování a validace, aby byla zajištěna interoperabilita služeb C-ITS kategorie „Day 1“ v celé EU.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Iniciativy v oblasti zavádění C-ITS by měly dokončit své komunikační profily C-ITS a zveřejnit je společně s testovacími a příslušnými validačními normami.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Platforma C-Roads by měla do jednoho roku od zahájení projektu začít vypracovávat systémové testy založené na společných komunikačních profilech a umožnit plný přístup k těmto komunikačním profilům třetím stranám a subjektům z odvětví, a ty by měly využít těchto příležitostí k validaci.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Posuzování souladu</w:t>
      </w:r>
      <w:bookmarkEnd w:id="5"/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Hladké zavedení služeb C-ITS kategorie „Day 1“ vyžaduje účinný rámec pro posuzování shody, který bude umožňovat kontrolu služeb podle celounijních požadavků na systém. Zejména v oblasti aplikací souvisejících s bezpečností silničního provozu existuje silný veřejný zájem na vytvoření takového rámce pro klíčové prvky sítě C-ITS, jako je zabezpečení, ochrana osobních údajů nebo interoperabilita, aby bylo zajištěno, že řidiči budou v různých dopravních prostředích v celé EU dostávat jednotná upozornění.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Prvním krokem při vytváření takového rámce bude stanovení společných minimálních požadavků na zavedení služeb C-ITS kategorie „Day 1“, které budou schváleny všemi příslušnými zainteresovanými stranami. To poskytne základ nezbytný ke společnému vypracování plnohodnotného postupu posuzování souladu pro služby C-ITS kategorie „Day 1“. Je to také předpokladem pro zavádění nových služeb (např. kategorie „Day 2“) nebo rozšiřování stávajících služeb do nových oblastí použití (např. plně automatizovaná vozidla a jejich komunikace). Důležitou hlavní zásadou pro všechny budoucí činnosti při zavádění služeb je to, že musí být v souladu s celým seznamem služeb C-ITS kategorie „Day 1“ jak na straně infrastruktury, tak na straně vozidla.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Konkrétní opatření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Iniciativy v oblasti zavádění C-ITS by měly přispět ke stanovení postupu posuzování souladu pro služby C-ITS kategorie „Day 1“ a zveřejnit ho, aby k němu měly plný přístup třetí strany.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 iniciativy v oblasti zavádění služeb podpoří ve vypracování společného postupu posuzování shody pro všechny klíčové prvky tak, aby byla zajištěna kontinuita služeb C-ITS a zohledněna případná rozšíření služeb.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Právní rámec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Pokud EU chce služby C-ITS kategorie „Day 1“ zavést v roce 2019, musí se sblížit investice a regulační rámce v celé Evropě. Rychlý technický vývoj a složitost řešených otázek vyžadují odpovídající právní rámec. Komise se domnívá, že tento rámec musí být vypracován na základě poučení z praxe a s využitím zpětné vazby od iniciativ v oblasti zavádění C-ITS a platformy C-ITS a interakce mezi nimi.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Jako výsledek tohoto procesu a v úzké spolupráci se všemi zainteresovanými stranami Komise zváží použití směrnice 2010/40/EU o inteligentních dopravních systémech (ITS)</w:t>
      </w:r>
      <w:r>
        <w:rPr>
          <w:rStyle w:val="FootnoteReference"/>
          <w:rFonts w:ascii="Times New Roman" w:hAnsi="Times New Roman"/>
          <w:noProof/>
          <w:sz w:val="24"/>
        </w:rPr>
        <w:footnoteReference w:id="31"/>
      </w:r>
      <w:r>
        <w:rPr>
          <w:rFonts w:ascii="Times New Roman" w:hAnsi="Times New Roman"/>
          <w:noProof/>
          <w:sz w:val="24"/>
        </w:rPr>
        <w:t>. V úvahu mohou být vzaty i jiné právní nástroje, např. pro postupy posuzování shody. Veřejná konzultace ukázala, že 70 % respondentů souhlasí s tím, aby Komise činila opatření na podporu komunikačního palubního vybavení i zavádění vybraných služeb C-ITS.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Konkrétní opatření</w:t>
            </w:r>
          </w:p>
          <w:p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 případně zváží využití svého mandátu podle směrnice o ITS k tomu, aby do roku 2018 přijala akt(y) v přenesené pravomoci týkající se: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zajištění kontinuity služeb C-ITS,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stanovení pravidel pro zabezpečení komunikace v rámci C-ITS,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zajištění praktického provádění obecného nařízení o ochraně osobních údajů v oblasti C-ITS,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zajištění perspektivního hybridního přístupu ke komunikaci,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stanovení pravidel pro interoperabilitu,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stanovení pravidel pro postupy posuzování shody. 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Mezinárodní spolupráce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Mezinárodní spolupráce v oblasti spolupracujících, propojených a automatizovaných vozidel je zásadní, protože trhy se vyvíjejí po celém světě. Subjekty veřejného sektoru mají zájem učit se od sebe navzájem a zajistit rychlé zavádění nových technologií. Také dané odvětví má velký zájem o mezinárodní spolupráci, jelikož při vývoji zařízení, služeb a obchodních modelů hledá globální trhy.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EU již využívá spolupráce s Austrálií, Japonskem, Singapurem a USA v oblastech, jako je výzkum, zabezpečení nebo harmonizace norem. EU by měla nadále spolupracovat s mezinárodními partnery, aby mohla dále využívat jejich zkušeností, zejména těch získaných z iniciativ v oblasti rozsáhlého zavádění.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To zahrnuje propagaci mezinárodní standardizace (např. předpisy pro vozidla a dopravní předpisy v rámci Evropské hospodářské komise Organizace spojených národů), ochranu soukromí jednotlivců a jejich osobních údajů, kybernetickou bezpečnost, řešení právních aspektů a umožnění koordinace výzkumu.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Také skupina G7 se stala důležitou platformou pro koordinaci a sbližování politik na mezinárodní úrovni. Ministři dopravy skupiny G7 se nedávno dohodli na dvou prohlášeních na podporu bezpečného a účinného urychleného komerčního využívání technologií pro spolupracující, propojená a automatizovaná vozidla.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Konkrétní opatření</w:t>
            </w:r>
          </w:p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Komise:</w:t>
            </w:r>
          </w:p>
          <w:p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bude podporovat sbližování a koordinaci činností v oblasti vývoje a zavádění C-ITS ve spolupráci s mezinárodními partnery a iniciativami,</w:t>
            </w:r>
          </w:p>
          <w:p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se bude dále zapojovat do párování výzkumných a inovačních projektů v rámci programu Horizont 2020 v oblasti ITS s podobnými projekty ve třetích zemích.</w:t>
            </w:r>
          </w:p>
        </w:tc>
      </w:tr>
    </w:tbl>
    <w:p>
      <w:pPr>
        <w:pStyle w:val="ListParagraph"/>
        <w:keepNext/>
        <w:numPr>
          <w:ilvl w:val="0"/>
          <w:numId w:val="4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smallCaps/>
          <w:noProof/>
          <w:sz w:val="24"/>
          <w:szCs w:val="24"/>
        </w:rPr>
      </w:pPr>
      <w:r>
        <w:rPr>
          <w:rFonts w:ascii="Times New Roman" w:hAnsi="Times New Roman"/>
          <w:b/>
          <w:smallCaps/>
          <w:noProof/>
          <w:sz w:val="24"/>
        </w:rPr>
        <w:t>Závěr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Koordinované a urychlené zavedení spolupracujících, propojených a automatizovaných vozidel v silniční dopravě naléhavě vyžaduje opatření ze strany EU. Úspěšné zavedení těchto vozidel významně přispěje ke zvýšení bezpečnosti silničního provozu, zvýšení účinnosti silniční dopravy a zajištění konkurenceschopnosti průmyslu EU.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Tímto sdělením Komise dosahuje významného milníku při vytváření evropské strategie pro zavedení spolupracujících, propojených a automatizovaných vozidel, jak žádá Amsterodamské prohlášení. Společně s dalšími iniciativami v oblasti silniční dopravy, které Komise plánuje přijmout v roce 2017, by toto sdělení mělo v EU přispět k formování systému silniční dopravy budoucnosti a k překonání hlavních výzev, před nimiž dnes stojí. Byla stanovena opatření nezbytná k dosažení tohoto cíle i jejich harmonogram; tato opatření však vyžadují společné úsilí všech účastníků.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Komise se bude snažit zajistit synergie a soudržnost mezi probíhajícími a budoucími iniciativami a podporovat přední postavení Unie v oblasti spolupracujících, propojených a automatizovaných vozidel. Vyzývá všechny dotčené strany, a zejména členské státy a dané odvětví, aby podpořily přístup popsaný v tomto sdělení, spolupracovaly na všech úrovních a napříč jednotlivými obory a začaly pracovat na úspěšném zavedení spolupracujících inteligentních dopravních systémů v roce 2019.</w:t>
      </w:r>
    </w:p>
    <w:sectPr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.SFUIText-Regular"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CS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017274871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  <w:rPr>
            <w:rFonts w:ascii="Times New Roman" w:hAnsi="Times New Roman" w:cs="Times New Roman"/>
            <w:noProof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Více než 70 % emisí skleníkových plynů z dopravy, 39 % emisí oxidů dusíku (NO</w:t>
      </w:r>
      <w:r>
        <w:rPr>
          <w:rFonts w:ascii="Times New Roman" w:hAnsi="Times New Roman"/>
          <w:vertAlign w:val="subscript"/>
        </w:rPr>
        <w:t>x</w:t>
      </w:r>
      <w:r>
        <w:rPr>
          <w:rFonts w:ascii="Times New Roman" w:hAnsi="Times New Roman"/>
        </w:rPr>
        <w:t>) a 13 % emisí částic.</w:t>
      </w:r>
    </w:p>
  </w:footnote>
  <w:footnote w:id="2">
    <w:p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Evropská strategie pro nízkoemisní mobilitu, </w:t>
      </w:r>
      <w:hyperlink r:id="rId1">
        <w:r>
          <w:rPr>
            <w:rStyle w:val="Hyperlink"/>
            <w:rFonts w:ascii="Times New Roman" w:hAnsi="Times New Roman"/>
          </w:rPr>
          <w:t>COM(2016) 501 final</w:t>
        </w:r>
      </w:hyperlink>
      <w:r>
        <w:rPr>
          <w:rFonts w:ascii="Times New Roman" w:hAnsi="Times New Roman" w:cs="Times New Roman"/>
        </w:rPr>
        <w:t>.</w:t>
      </w:r>
    </w:p>
  </w:footnote>
  <w:footnote w:id="3">
    <w:p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Celkové náklady způsobené přetížením dopravy se v současnosti odhadují na 1 % HDP (</w:t>
      </w:r>
      <w:hyperlink r:id="rId2">
        <w:r>
          <w:rPr>
            <w:rStyle w:val="Hyperlink"/>
            <w:rFonts w:ascii="Times New Roman" w:hAnsi="Times New Roman"/>
          </w:rPr>
          <w:t>JRC EK</w:t>
        </w:r>
      </w:hyperlink>
      <w:r>
        <w:rPr>
          <w:rFonts w:ascii="Times New Roman" w:hAnsi="Times New Roman"/>
        </w:rPr>
        <w:t>, 2012).</w:t>
      </w:r>
    </w:p>
  </w:footnote>
  <w:footnote w:id="4">
    <w:p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Rámcová strategie k vytvoření odolné energetické unie s pomocí progresivní politiky v oblasti změny klimatu – </w:t>
      </w:r>
      <w:hyperlink r:id="rId3">
        <w:r>
          <w:rPr>
            <w:rStyle w:val="Hyperlink"/>
            <w:rFonts w:ascii="Times New Roman" w:hAnsi="Times New Roman"/>
          </w:rPr>
          <w:t>COM(2015) 80 final</w:t>
        </w:r>
      </w:hyperlink>
      <w:r>
        <w:rPr>
          <w:rFonts w:ascii="Times New Roman" w:hAnsi="Times New Roman"/>
        </w:rPr>
        <w:t>, PŘÍLOHA 1</w:t>
      </w:r>
      <w:r>
        <w:rPr>
          <w:rFonts w:ascii="Times New Roman" w:hAnsi="Times New Roman" w:cs="Times New Roman"/>
        </w:rPr>
        <w:t>.</w:t>
      </w:r>
    </w:p>
  </w:footnote>
  <w:footnote w:id="5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Digitalizace evropského průmyslu – </w:t>
      </w:r>
      <w:hyperlink r:id="rId4">
        <w:r>
          <w:rPr>
            <w:rStyle w:val="Hyperlink"/>
            <w:rFonts w:ascii="Times New Roman" w:hAnsi="Times New Roman"/>
          </w:rPr>
          <w:t>COM(2016) 180</w:t>
        </w:r>
      </w:hyperlink>
      <w:r>
        <w:rPr>
          <w:rFonts w:ascii="Times New Roman" w:hAnsi="Times New Roman"/>
        </w:rPr>
        <w:t xml:space="preserve">, </w:t>
      </w:r>
      <w:hyperlink r:id="rId5">
        <w:r>
          <w:rPr>
            <w:rStyle w:val="Hyperlink"/>
            <w:rFonts w:ascii="Times New Roman" w:hAnsi="Times New Roman"/>
          </w:rPr>
          <w:t>SWD(2016) 110</w:t>
        </w:r>
      </w:hyperlink>
      <w:r>
        <w:rPr>
          <w:rFonts w:ascii="Times New Roman" w:hAnsi="Times New Roman" w:cs="Times New Roman"/>
        </w:rPr>
        <w:t>.</w:t>
      </w:r>
    </w:p>
  </w:footnote>
  <w:footnote w:id="6">
    <w:p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Roland Berger, </w:t>
      </w:r>
      <w:r>
        <w:rPr>
          <w:rFonts w:ascii="Times New Roman" w:hAnsi="Times New Roman"/>
          <w:i/>
        </w:rPr>
        <w:t>Autonomous Driving, Think:Act</w:t>
      </w:r>
      <w:r>
        <w:rPr>
          <w:rFonts w:ascii="Times New Roman" w:hAnsi="Times New Roman"/>
        </w:rPr>
        <w:t>, prosinec 2014.</w:t>
      </w:r>
    </w:p>
    <w:p>
      <w:pPr>
        <w:pStyle w:val="FootnoteText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AT Kearney, </w:t>
      </w:r>
      <w:r>
        <w:rPr>
          <w:rFonts w:ascii="Times New Roman" w:hAnsi="Times New Roman"/>
          <w:i/>
        </w:rPr>
        <w:t>Roadmap towards Autonomous Driving</w:t>
      </w:r>
      <w:r>
        <w:rPr>
          <w:rFonts w:ascii="Times New Roman" w:hAnsi="Times New Roman"/>
        </w:rPr>
        <w:t>, září 2015.</w:t>
      </w:r>
    </w:p>
    <w:p>
      <w:pPr>
        <w:pStyle w:val="FootnoteText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KPMG, </w:t>
      </w:r>
      <w:r>
        <w:rPr>
          <w:rFonts w:ascii="Times New Roman" w:hAnsi="Times New Roman"/>
          <w:i/>
        </w:rPr>
        <w:t>Connected and Autonomous Vehicles – The UK Economic Opportunity</w:t>
      </w:r>
      <w:r>
        <w:rPr>
          <w:rFonts w:ascii="Times New Roman" w:hAnsi="Times New Roman"/>
        </w:rPr>
        <w:t>, březen 2015.</w:t>
      </w:r>
    </w:p>
    <w:p>
      <w:pPr>
        <w:pStyle w:val="FootnoteText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Strategy&amp;, </w:t>
      </w:r>
      <w:r>
        <w:rPr>
          <w:rFonts w:ascii="Times New Roman" w:hAnsi="Times New Roman"/>
          <w:i/>
        </w:rPr>
        <w:t>Connected car report 2016: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i/>
        </w:rPr>
        <w:t>Opportunities, risk, and turmoil on the road to autonomous vehicles</w:t>
      </w:r>
      <w:r>
        <w:rPr>
          <w:rFonts w:ascii="Times New Roman" w:hAnsi="Times New Roman" w:cs="Times New Roman"/>
        </w:rPr>
        <w:t>,</w:t>
      </w:r>
    </w:p>
    <w:p>
      <w:pPr>
        <w:pStyle w:val="FootnoteText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září 2016.</w:t>
      </w:r>
    </w:p>
  </w:footnote>
  <w:footnote w:id="7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Spolupráce znamená, že vozidla se vzájemně varují před potenciálně nebezpečnými situacemi (např. při nouzovém brzdění nebo na konci kolony při dopravní zácpě) a komunikují s místní silniční infrastrukturou (např. se světelnou signalizací pro účely podávání informací o optimální rychlosti). Obousměrná komunikace mezi vozidly a středisky řízení provozu dále také umožňuje rychleji odhalovat problémy (např. dopravní zácpy nebo náledí) a mírnit jejich následky, jelikož se k účastníkům silničního provozu rychleji dostanou relevantnější informace.</w:t>
      </w:r>
    </w:p>
  </w:footnote>
  <w:footnote w:id="8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Zasedání skupiny G7 v Německu, září 2015: </w:t>
      </w:r>
      <w:hyperlink r:id="rId6">
        <w:r>
          <w:rPr>
            <w:rStyle w:val="Hyperlink"/>
            <w:rFonts w:ascii="Times New Roman" w:hAnsi="Times New Roman"/>
          </w:rPr>
          <w:t>Prohlášení skupiny G7</w:t>
        </w:r>
      </w:hyperlink>
      <w:r>
        <w:rPr>
          <w:rFonts w:ascii="Times New Roman" w:hAnsi="Times New Roman"/>
        </w:rPr>
        <w:t xml:space="preserve"> týkající se automatizovaného a propojeného silničního provozu.</w:t>
      </w:r>
    </w:p>
    <w:p>
      <w:pPr>
        <w:pStyle w:val="FootnoteTex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Zasedání skupiny G7 v Japonsku, září 2016: </w:t>
      </w:r>
      <w:hyperlink r:id="rId7">
        <w:r>
          <w:rPr>
            <w:rStyle w:val="Hyperlink"/>
            <w:rFonts w:ascii="Times New Roman" w:hAnsi="Times New Roman"/>
          </w:rPr>
          <w:t>Prohlášení skupiny G7</w:t>
        </w:r>
      </w:hyperlink>
      <w:r>
        <w:rPr>
          <w:rFonts w:ascii="Times New Roman" w:hAnsi="Times New Roman"/>
        </w:rPr>
        <w:t xml:space="preserve"> týkající se rozvoje a rozsáhlého využívání </w:t>
      </w:r>
    </w:p>
    <w:p>
      <w:pPr>
        <w:pStyle w:val="FootnoteTex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pokročilých technologií pro automobily a silnice.</w:t>
      </w:r>
    </w:p>
  </w:footnote>
  <w:footnote w:id="9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8">
        <w:r>
          <w:rPr>
            <w:rStyle w:val="Hyperlink"/>
            <w:rFonts w:ascii="Times New Roman" w:hAnsi="Times New Roman"/>
          </w:rPr>
          <w:t>Kooperativní koridor ITS</w:t>
        </w:r>
      </w:hyperlink>
      <w:r>
        <w:rPr>
          <w:rFonts w:ascii="Times New Roman" w:hAnsi="Times New Roman"/>
        </w:rPr>
        <w:t xml:space="preserve"> Rotterdam – Frankfurt n. M. – Vídeň. </w:t>
      </w:r>
    </w:p>
  </w:footnote>
  <w:footnote w:id="10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9">
        <w:r>
          <w:rPr>
            <w:rStyle w:val="Hyperlink"/>
            <w:rFonts w:ascii="Times New Roman" w:hAnsi="Times New Roman"/>
          </w:rPr>
          <w:t>Amsterdam Group</w:t>
        </w:r>
      </w:hyperlink>
      <w:r>
        <w:rPr>
          <w:rFonts w:ascii="Times New Roman" w:hAnsi="Times New Roman"/>
        </w:rPr>
        <w:t>: partnerství mezi silničními orgány (Evropská asociace provozovatelů mýtných systémů, Konference evropských ředitelů silnic), městy působícími v Polis (síti evropských měst a regionů) a automobilovým průmyslem organizovaným v rámci Konsorcia pro komunikaci Car2Car.</w:t>
      </w:r>
    </w:p>
  </w:footnote>
  <w:footnote w:id="11">
    <w:p>
      <w:pPr>
        <w:pStyle w:val="Default"/>
      </w:pPr>
      <w:r>
        <w:rPr>
          <w:rStyle w:val="FootnoteReference"/>
          <w:sz w:val="20"/>
        </w:rPr>
        <w:footnoteRef/>
      </w:r>
      <w:r>
        <w:rPr>
          <w:color w:val="auto"/>
          <w:sz w:val="20"/>
        </w:rPr>
        <w:t xml:space="preserve">Kosmická strategie pro Evropu, </w:t>
      </w:r>
      <w:hyperlink r:id="rId10">
        <w:r>
          <w:rPr>
            <w:rStyle w:val="Hyperlink"/>
            <w:sz w:val="20"/>
          </w:rPr>
          <w:t>COM(2016)705</w:t>
        </w:r>
      </w:hyperlink>
      <w:r>
        <w:rPr>
          <w:sz w:val="20"/>
          <w:szCs w:val="20"/>
        </w:rPr>
        <w:t>.</w:t>
      </w:r>
    </w:p>
  </w:footnote>
  <w:footnote w:id="12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11">
        <w:r>
          <w:rPr>
            <w:rStyle w:val="Hyperlink"/>
            <w:rFonts w:ascii="Times New Roman" w:hAnsi="Times New Roman"/>
          </w:rPr>
          <w:t>Amsterodamské prohlášení</w:t>
        </w:r>
      </w:hyperlink>
      <w:r>
        <w:rPr>
          <w:rFonts w:ascii="Times New Roman" w:hAnsi="Times New Roman"/>
        </w:rPr>
        <w:t xml:space="preserve"> o spolupráci v oblasti propojeného a automatizovaného silničního provozu, 14. dubna 2016.</w:t>
      </w:r>
    </w:p>
  </w:footnote>
  <w:footnote w:id="13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Konsorcium pro komunikaci Car2Car,</w:t>
      </w:r>
      <w:r>
        <w:t xml:space="preserve"> </w:t>
      </w:r>
      <w:hyperlink r:id="rId12">
        <w:r>
          <w:rPr>
            <w:rStyle w:val="Hyperlink"/>
            <w:rFonts w:ascii="Times New Roman" w:hAnsi="Times New Roman"/>
          </w:rPr>
          <w:t>tiskové zprávy</w:t>
        </w:r>
      </w:hyperlink>
      <w:r>
        <w:rPr>
          <w:rFonts w:ascii="Times New Roman" w:hAnsi="Times New Roman"/>
        </w:rPr>
        <w:t>, říjen 2015.</w:t>
      </w:r>
    </w:p>
  </w:footnote>
  <w:footnote w:id="14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Platforma pro zavedení C-ITS v Evropské unii (platforma C-ITS, spuštěna v listopadu 2014 jako odborná skupina Komise) představuje operativní nástroj pro dialog, výměnu odborných znalostí a spolupráci mezi Komisí, veřejnými subjekty z členských států, místními/regionálními orgány a soukromými subjekty, jako jsou například výrobci vozidel, výrobci zařízení, provozovatelé silnic, telekomunikační operátoři a poskytovatelé služeb.</w:t>
      </w:r>
    </w:p>
  </w:footnote>
  <w:footnote w:id="15">
    <w:p>
      <w:pPr>
        <w:pStyle w:val="FootnoteText"/>
        <w:jc w:val="both"/>
        <w:rPr>
          <w:rFonts w:ascii="Times New Roman" w:hAnsi="Times New Roman" w:cs="Times New Roman"/>
          <w:highlight w:val="yellow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13">
        <w:r>
          <w:rPr>
            <w:rStyle w:val="Hyperlink"/>
            <w:rFonts w:ascii="Times New Roman" w:hAnsi="Times New Roman"/>
          </w:rPr>
          <w:t>Závěrečná zpráva platformy C-ITS</w:t>
        </w:r>
      </w:hyperlink>
      <w:r>
        <w:rPr>
          <w:rFonts w:ascii="Times New Roman" w:hAnsi="Times New Roman"/>
        </w:rPr>
        <w:t>, leden 2016.</w:t>
      </w:r>
    </w:p>
  </w:footnote>
  <w:footnote w:id="16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14">
        <w:r>
          <w:rPr>
            <w:rStyle w:val="Hyperlink"/>
            <w:rFonts w:ascii="Times New Roman" w:hAnsi="Times New Roman"/>
          </w:rPr>
          <w:t>Studie týkající se zavádění C-ITS v Evropě: závěrečná zpráva</w:t>
        </w:r>
      </w:hyperlink>
      <w:r>
        <w:rPr>
          <w:rFonts w:ascii="Times New Roman" w:hAnsi="Times New Roman"/>
        </w:rPr>
        <w:t>, únor 2016.</w:t>
      </w:r>
    </w:p>
  </w:footnote>
  <w:footnote w:id="17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15">
        <w:r>
          <w:rPr>
            <w:rStyle w:val="Hyperlink"/>
            <w:rFonts w:ascii="Times New Roman" w:hAnsi="Times New Roman"/>
          </w:rPr>
          <w:t>Analýza reakcí na veřejnou konzultaci ohledně C-ITS</w:t>
        </w:r>
      </w:hyperlink>
      <w:r>
        <w:rPr>
          <w:rFonts w:ascii="Times New Roman" w:hAnsi="Times New Roman"/>
        </w:rPr>
        <w:t xml:space="preserve"> (DG MOVE, otevřená od června do září 2016).</w:t>
      </w:r>
    </w:p>
  </w:footnote>
  <w:footnote w:id="18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Spolufinancování z EU ve výši více než 130 milionů eur jen od roku 2014 prostřednictvím nástroje CEF a programu H2020 v oblasti spolupracujících, propojených a automatizovaných vozidel.</w:t>
      </w:r>
    </w:p>
  </w:footnote>
  <w:footnote w:id="19">
    <w:p>
      <w:pPr>
        <w:pStyle w:val="FootnoteText"/>
        <w:jc w:val="both"/>
        <w:rPr>
          <w:rFonts w:ascii="Times New Roman" w:hAnsi="Times New Roman" w:cs="Times New Roman"/>
          <w:lang w:val="es-ES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AT, BE, CZ, DE, DK, ES, FI, FR, NL, NO, SE, SI, UK.</w:t>
      </w:r>
    </w:p>
  </w:footnote>
  <w:footnote w:id="20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On-line platformy a jednotný digitální trh: Příležitosti a výzvy pro Evropu, </w:t>
      </w:r>
      <w:hyperlink r:id="rId16">
        <w:r>
          <w:rPr>
            <w:rStyle w:val="Hyperlink"/>
            <w:rFonts w:ascii="Times New Roman" w:hAnsi="Times New Roman"/>
          </w:rPr>
          <w:t>COM(2016) 288</w:t>
        </w:r>
      </w:hyperlink>
      <w:r>
        <w:t>.</w:t>
      </w:r>
    </w:p>
  </w:footnote>
  <w:footnote w:id="21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Podle závěrečné zprávy platformy C-ITS se jedná o následující témata: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- seznam služeb kategorie „Day 1“ obsahující společně dohodnuté služby C-ITS k zavedení v celé EU,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- společná vize v oblasti kybernetické bezpečnosti, která je podrobně popsána v dohodnutém modelu důvěry,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- posouzení přínosů C-ITS v celé Evropě na základě hybridního komunikačního přístupu,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- hlavní zásady pro přístup k palubním údajům. Je zapotřebí provést další právní a technické analýzy a vytvořit scénáře na základě posouzení nákladů a přínosů různých možných technických řešení. Výsledky zvláštní studie Komise budou k dispozici v polovině roku 2017,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- podrobná analýza ochrany soukromí a osobních údajů, která představuje dobrý základ pro další činnost týkající se provádění nových požadavků vyplývajících z nového obecného nařízení o ochraně údajů.</w:t>
      </w:r>
    </w:p>
  </w:footnote>
  <w:footnote w:id="22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Dokumenty v rámci společné bezpečnostní a certifikační politiky například stanoví evropský model důvěry C-ITS založený na technologii Public Key Infrastructure. Mimo jiné stanoví právní, organizační a technické požadavky na správu certifikátů veřejných klíčů pro služby C-ITS na základě struktur stanovených v dokumentu (IETF) RFC 3647.</w:t>
      </w:r>
    </w:p>
  </w:footnote>
  <w:footnote w:id="23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Public Key Infrastructure je v této souvislosti kombinací softwaru, asymetrických kryptografických technologií, postupů a služeb, díky nimž organizace může zajistit zabezpečení komunikace v rámci služeb C-ITS.</w:t>
      </w:r>
    </w:p>
  </w:footnote>
  <w:footnote w:id="24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Digitální tachograf zaznamenává činnosti řidiče z povolání (doba odpočinku a doba řízení). Poskytuje důvěryhodné informace donucovacím orgánům EU, které kontrolují dodržování nařízení o předpisech v sociální oblasti (ES) č. 561/2006: </w:t>
      </w:r>
      <w:hyperlink r:id="rId17">
        <w:r>
          <w:rPr>
            <w:rStyle w:val="Hyperlink"/>
            <w:rFonts w:ascii="Times New Roman" w:hAnsi="Times New Roman"/>
          </w:rPr>
          <w:t>https://dtc.jrc.ec.europa.eu/</w:t>
        </w:r>
      </w:hyperlink>
      <w:r>
        <w:rPr>
          <w:rFonts w:ascii="Times New Roman" w:hAnsi="Times New Roman"/>
        </w:rPr>
        <w:t>. Nová verze digitálního tachografu (inteligentního tachografu) byla stanovena v nařízení (ES) č. 165/2014.</w:t>
      </w:r>
    </w:p>
  </w:footnote>
  <w:footnote w:id="25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Směrnice 95/46/ES se použije do dne 24. května 2018. Byla zrušena </w:t>
      </w:r>
      <w:hyperlink r:id="rId18">
        <w:r>
          <w:rPr>
            <w:rStyle w:val="Hyperlink"/>
            <w:rFonts w:ascii="Times New Roman" w:hAnsi="Times New Roman"/>
          </w:rPr>
          <w:t>nařízením (EU) 2016/679</w:t>
        </w:r>
      </w:hyperlink>
      <w:r>
        <w:rPr>
          <w:rFonts w:ascii="Times New Roman" w:hAnsi="Times New Roman"/>
        </w:rPr>
        <w:t> – obecné nařízení o ochraně osobních údajů, které se použije ode dne 25. května 2018. Směrnice 2002/58/ES ze dne 12. července 2002 o zpracování osobních údajů a ochraně soukromí v odvětví elektronických komunikací je v současnosti přezkoumávána v rámci programu REFIT Komise.</w:t>
      </w:r>
    </w:p>
  </w:footnote>
  <w:footnote w:id="26">
    <w:p>
      <w:pPr>
        <w:pStyle w:val="FootnoteText"/>
        <w:rPr>
          <w:rStyle w:val="Hyperlink"/>
          <w:rFonts w:ascii="Times" w:hAnsi="Times" w:cs="Times New Roman"/>
        </w:rPr>
      </w:pPr>
      <w:r>
        <w:rPr>
          <w:rStyle w:val="FootnoteReference"/>
          <w:rFonts w:ascii="Times" w:hAnsi="Times"/>
        </w:rPr>
        <w:footnoteRef/>
      </w:r>
      <w:r>
        <w:rPr>
          <w:rFonts w:ascii="Times" w:hAnsi="Times"/>
        </w:rPr>
        <w:t xml:space="preserve"> V souladu se směrnicí o rádiových zařízeních </w:t>
      </w:r>
      <w:hyperlink r:id="rId19">
        <w:r>
          <w:rPr>
            <w:rStyle w:val="Hyperlink"/>
            <w:rFonts w:ascii="Times" w:hAnsi="Times"/>
          </w:rPr>
          <w:t>2014/53/EU</w:t>
        </w:r>
      </w:hyperlink>
      <w:r>
        <w:rPr>
          <w:rFonts w:ascii="Times New Roman" w:hAnsi="Times New Roman" w:cs="Times New Roman"/>
        </w:rPr>
        <w:t>.</w:t>
      </w:r>
    </w:p>
  </w:footnote>
  <w:footnote w:id="27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" w:hAnsi="Times"/>
        </w:rPr>
        <w:footnoteRef/>
      </w:r>
      <w:r>
        <w:rPr>
          <w:rFonts w:ascii="Times" w:hAnsi="Times"/>
        </w:rPr>
        <w:t xml:space="preserve"> </w:t>
      </w:r>
      <w:hyperlink r:id="rId20">
        <w:r>
          <w:rPr>
            <w:rStyle w:val="Hyperlink"/>
            <w:rFonts w:ascii="Times" w:hAnsi="Times"/>
          </w:rPr>
          <w:t>COM(2016)588</w:t>
        </w:r>
      </w:hyperlink>
      <w:r>
        <w:rPr>
          <w:rFonts w:ascii="Times" w:hAnsi="Times"/>
        </w:rPr>
        <w:t>: 5G pro Evropu: akční plán a připojený</w:t>
      </w:r>
      <w:r>
        <w:rPr>
          <w:rFonts w:ascii="Times New Roman" w:hAnsi="Times New Roman"/>
        </w:rPr>
        <w:t xml:space="preserve"> pracovní dokument útvarů Komise </w:t>
      </w:r>
      <w:hyperlink r:id="rId21">
        <w:r>
          <w:rPr>
            <w:rStyle w:val="Hyperlink"/>
            <w:rFonts w:ascii="Times New Roman" w:hAnsi="Times New Roman"/>
          </w:rPr>
          <w:t>SWD(2016)306</w:t>
        </w:r>
      </w:hyperlink>
      <w:r>
        <w:rPr>
          <w:rFonts w:ascii="Times New Roman" w:hAnsi="Times New Roman" w:cs="Times New Roman"/>
        </w:rPr>
        <w:t>.</w:t>
      </w:r>
    </w:p>
  </w:footnote>
  <w:footnote w:id="28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22">
        <w:r>
          <w:rPr>
            <w:rStyle w:val="Hyperlink"/>
            <w:rFonts w:ascii="Times New Roman" w:hAnsi="Times New Roman"/>
          </w:rPr>
          <w:t>Rozhodnutí 2008/671/ES.</w:t>
        </w:r>
      </w:hyperlink>
    </w:p>
  </w:footnote>
  <w:footnote w:id="29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M/453 (2009): mandát pro vypracování normy udělený výboru CEN, výboru CENELEC a ústavu ETSI v oblasti informačních a komunikačních technologií na podporu interoperability spolupracujících systémů pro inteligentní dopravu v Evropském společenství.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M/284, 329, 358, 363 podle směrnice o rádiových a telekomunikačních koncových zařízeních (1999/5/ES), nyní konsolidováno v rámci M/536 podle směrnice o rádiových zařízeních.</w:t>
      </w:r>
    </w:p>
  </w:footnote>
  <w:footnote w:id="30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23">
        <w:r>
          <w:rPr>
            <w:rStyle w:val="Hyperlink"/>
            <w:rFonts w:ascii="Times New Roman" w:hAnsi="Times New Roman"/>
          </w:rPr>
          <w:t>Platforma C-Roads</w:t>
        </w:r>
      </w:hyperlink>
      <w:r>
        <w:rPr>
          <w:rFonts w:ascii="Times New Roman" w:hAnsi="Times New Roman"/>
        </w:rPr>
        <w:t xml:space="preserve"> je spolufinancována v rámci Nástroje pro propojení Evropy (CEF).</w:t>
      </w:r>
    </w:p>
  </w:footnote>
  <w:footnote w:id="31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Směrnice 2010/40/EU o ITS může být použita jako základ pro přijetí soudržného souboru pravidel na úrovni EU s cílem vytvořit jednotný trh spolupracujících, propojených a automatizovaných vozidel. Směrnice stanoví ve svém článku 2 prioritní oblasti pro vypracování a použití specifikací a norem, k nimž patří mimo jiné oblast propojení vozidla s dopravní infrastrukturou. Akce, které by měly být v této prioritní oblasti podniknuty, jsou podrobněji rozvedeny v příloze 1 uvedené směrnice a zahrnují mimo jiné definici nezbytných opatření pro integraci různých aplikací ITS do otevřené palubní platformy a pro další pokrok ve vývoji a zavádění spolupracujících systémů (mezi jednotlivými vozidly, vozidlem a infrastrukturou a mezi jednotlivými infrastrukturami). Ustanovení článku 6 téže směrnice zmocňuje Komisi přijmout specifikace zajišťující kompatibilitu, interoperabilitu a kontinuitu, pokud jde o zavádění a provozní využití ITS v případě jiných akcí, které je třeba podniknout v rámci prioritních oblastí uvedených v článku 2. Tyto specifikace by měly být přijaty prostřednictvím aktu v přenesené pravomoci. Kromě toho by Komise mohla rovněž využít pravomoci, jež jí byly uděleny, v prioritní oblasti III, která se týká aplikací ITS pro bezpečnost a ochranu před vnějšími hrozbami, které jsou podrobněji rozvedeny v bodě 4 přílohy I směrnice o ITS. Komise připravuje prodloužení platnosti mandátu k přijímání aktů v přenesené pravomoci podle směrnice 2010/40/EU o ITS.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33E7"/>
    <w:multiLevelType w:val="hybridMultilevel"/>
    <w:tmpl w:val="E02CA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D704F"/>
    <w:multiLevelType w:val="hybridMultilevel"/>
    <w:tmpl w:val="AF1E8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50291"/>
    <w:multiLevelType w:val="hybridMultilevel"/>
    <w:tmpl w:val="48DED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159DD"/>
    <w:multiLevelType w:val="hybridMultilevel"/>
    <w:tmpl w:val="7D7CA0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017CF"/>
    <w:multiLevelType w:val="hybridMultilevel"/>
    <w:tmpl w:val="223494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5E67AC"/>
    <w:multiLevelType w:val="hybridMultilevel"/>
    <w:tmpl w:val="FF6A2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A3223"/>
    <w:multiLevelType w:val="hybridMultilevel"/>
    <w:tmpl w:val="65725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2590A"/>
    <w:multiLevelType w:val="hybridMultilevel"/>
    <w:tmpl w:val="5B7066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8B1A8A"/>
    <w:multiLevelType w:val="hybridMultilevel"/>
    <w:tmpl w:val="4DF8A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65357"/>
    <w:multiLevelType w:val="hybridMultilevel"/>
    <w:tmpl w:val="EFF89F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C80F0C"/>
    <w:multiLevelType w:val="hybridMultilevel"/>
    <w:tmpl w:val="CF5C7EB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>
    <w:nsid w:val="1C5B75CF"/>
    <w:multiLevelType w:val="hybridMultilevel"/>
    <w:tmpl w:val="4C04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E47FDC"/>
    <w:multiLevelType w:val="hybridMultilevel"/>
    <w:tmpl w:val="C8808E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FB056F"/>
    <w:multiLevelType w:val="hybridMultilevel"/>
    <w:tmpl w:val="295AB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640EDC"/>
    <w:multiLevelType w:val="hybridMultilevel"/>
    <w:tmpl w:val="6B46CD9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997651"/>
    <w:multiLevelType w:val="hybridMultilevel"/>
    <w:tmpl w:val="B8786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E8033B"/>
    <w:multiLevelType w:val="hybridMultilevel"/>
    <w:tmpl w:val="42BCB8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2C478D8"/>
    <w:multiLevelType w:val="hybridMultilevel"/>
    <w:tmpl w:val="575A82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BB66E0"/>
    <w:multiLevelType w:val="hybridMultilevel"/>
    <w:tmpl w:val="E8DCC36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5B6810"/>
    <w:multiLevelType w:val="hybridMultilevel"/>
    <w:tmpl w:val="1C7E7E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9431EEC"/>
    <w:multiLevelType w:val="hybridMultilevel"/>
    <w:tmpl w:val="0768A3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A0562F"/>
    <w:multiLevelType w:val="hybridMultilevel"/>
    <w:tmpl w:val="FA9611C0"/>
    <w:lvl w:ilvl="0" w:tplc="84BE09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C61537"/>
    <w:multiLevelType w:val="hybridMultilevel"/>
    <w:tmpl w:val="22766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574F7D"/>
    <w:multiLevelType w:val="hybridMultilevel"/>
    <w:tmpl w:val="4594C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06A18D3"/>
    <w:multiLevelType w:val="multilevel"/>
    <w:tmpl w:val="754AF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17640C2"/>
    <w:multiLevelType w:val="hybridMultilevel"/>
    <w:tmpl w:val="3664F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CB1976"/>
    <w:multiLevelType w:val="hybridMultilevel"/>
    <w:tmpl w:val="EE724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D76C01"/>
    <w:multiLevelType w:val="hybridMultilevel"/>
    <w:tmpl w:val="4E129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E675A1"/>
    <w:multiLevelType w:val="hybridMultilevel"/>
    <w:tmpl w:val="EA7A0A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EF655F"/>
    <w:multiLevelType w:val="hybridMultilevel"/>
    <w:tmpl w:val="54B4DD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7F6DFA"/>
    <w:multiLevelType w:val="hybridMultilevel"/>
    <w:tmpl w:val="99805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590BF0"/>
    <w:multiLevelType w:val="hybridMultilevel"/>
    <w:tmpl w:val="5DC0F2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41E05FF"/>
    <w:multiLevelType w:val="hybridMultilevel"/>
    <w:tmpl w:val="4EDEFC5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300E7E"/>
    <w:multiLevelType w:val="hybridMultilevel"/>
    <w:tmpl w:val="E4461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9D100B"/>
    <w:multiLevelType w:val="hybridMultilevel"/>
    <w:tmpl w:val="5332FC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5C1DB9"/>
    <w:multiLevelType w:val="hybridMultilevel"/>
    <w:tmpl w:val="08DE69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B52AD8"/>
    <w:multiLevelType w:val="hybridMultilevel"/>
    <w:tmpl w:val="9D58BE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165CF"/>
    <w:multiLevelType w:val="hybridMultilevel"/>
    <w:tmpl w:val="E82220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0766A96"/>
    <w:multiLevelType w:val="hybridMultilevel"/>
    <w:tmpl w:val="B746A71A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9">
    <w:nsid w:val="6389405B"/>
    <w:multiLevelType w:val="hybridMultilevel"/>
    <w:tmpl w:val="238027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75E45E1"/>
    <w:multiLevelType w:val="hybridMultilevel"/>
    <w:tmpl w:val="1108B01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83D45A5"/>
    <w:multiLevelType w:val="hybridMultilevel"/>
    <w:tmpl w:val="8028FE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B1959"/>
    <w:multiLevelType w:val="hybridMultilevel"/>
    <w:tmpl w:val="52B43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322C6F"/>
    <w:multiLevelType w:val="hybridMultilevel"/>
    <w:tmpl w:val="856E74D2"/>
    <w:lvl w:ilvl="0" w:tplc="1FEAC93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33C0D99"/>
    <w:multiLevelType w:val="hybridMultilevel"/>
    <w:tmpl w:val="9B743108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>
    <w:nsid w:val="762541DC"/>
    <w:multiLevelType w:val="hybridMultilevel"/>
    <w:tmpl w:val="C5E0A3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9255BCD"/>
    <w:multiLevelType w:val="hybridMultilevel"/>
    <w:tmpl w:val="011E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A1741A"/>
    <w:multiLevelType w:val="hybridMultilevel"/>
    <w:tmpl w:val="BB38E3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AB1C06"/>
    <w:multiLevelType w:val="hybridMultilevel"/>
    <w:tmpl w:val="702CB5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C7F641C"/>
    <w:multiLevelType w:val="hybridMultilevel"/>
    <w:tmpl w:val="A3BA87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DD63FED"/>
    <w:multiLevelType w:val="hybridMultilevel"/>
    <w:tmpl w:val="356A7A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1"/>
  </w:num>
  <w:num w:numId="4">
    <w:abstractNumId w:val="24"/>
  </w:num>
  <w:num w:numId="5">
    <w:abstractNumId w:val="20"/>
  </w:num>
  <w:num w:numId="6">
    <w:abstractNumId w:val="50"/>
  </w:num>
  <w:num w:numId="7">
    <w:abstractNumId w:val="28"/>
  </w:num>
  <w:num w:numId="8">
    <w:abstractNumId w:val="14"/>
  </w:num>
  <w:num w:numId="9">
    <w:abstractNumId w:val="47"/>
  </w:num>
  <w:num w:numId="10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4" w:hanging="7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1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10" w:hanging="51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2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3">
    <w:abstractNumId w:val="25"/>
  </w:num>
  <w:num w:numId="14">
    <w:abstractNumId w:val="6"/>
  </w:num>
  <w:num w:numId="15">
    <w:abstractNumId w:val="29"/>
  </w:num>
  <w:num w:numId="16">
    <w:abstractNumId w:val="35"/>
  </w:num>
  <w:num w:numId="17">
    <w:abstractNumId w:val="3"/>
  </w:num>
  <w:num w:numId="18">
    <w:abstractNumId w:val="34"/>
  </w:num>
  <w:num w:numId="19">
    <w:abstractNumId w:val="18"/>
  </w:num>
  <w:num w:numId="20">
    <w:abstractNumId w:val="33"/>
  </w:num>
  <w:num w:numId="21">
    <w:abstractNumId w:val="1"/>
  </w:num>
  <w:num w:numId="22">
    <w:abstractNumId w:val="42"/>
  </w:num>
  <w:num w:numId="23">
    <w:abstractNumId w:val="30"/>
  </w:num>
  <w:num w:numId="24">
    <w:abstractNumId w:val="12"/>
  </w:num>
  <w:num w:numId="25">
    <w:abstractNumId w:val="36"/>
  </w:num>
  <w:num w:numId="26">
    <w:abstractNumId w:val="46"/>
  </w:num>
  <w:num w:numId="27">
    <w:abstractNumId w:val="26"/>
  </w:num>
  <w:num w:numId="28">
    <w:abstractNumId w:val="32"/>
  </w:num>
  <w:num w:numId="29">
    <w:abstractNumId w:val="22"/>
  </w:num>
  <w:num w:numId="30">
    <w:abstractNumId w:val="21"/>
  </w:num>
  <w:num w:numId="31">
    <w:abstractNumId w:val="40"/>
  </w:num>
  <w:num w:numId="32">
    <w:abstractNumId w:val="44"/>
  </w:num>
  <w:num w:numId="33">
    <w:abstractNumId w:val="43"/>
  </w:num>
  <w:num w:numId="34">
    <w:abstractNumId w:val="8"/>
  </w:num>
  <w:num w:numId="35">
    <w:abstractNumId w:val="11"/>
  </w:num>
  <w:num w:numId="36">
    <w:abstractNumId w:val="5"/>
  </w:num>
  <w:num w:numId="37">
    <w:abstractNumId w:val="15"/>
  </w:num>
  <w:num w:numId="38">
    <w:abstractNumId w:val="38"/>
  </w:num>
  <w:num w:numId="39">
    <w:abstractNumId w:val="16"/>
  </w:num>
  <w:num w:numId="40">
    <w:abstractNumId w:val="23"/>
  </w:num>
  <w:num w:numId="41">
    <w:abstractNumId w:val="31"/>
  </w:num>
  <w:num w:numId="42">
    <w:abstractNumId w:val="9"/>
  </w:num>
  <w:num w:numId="43">
    <w:abstractNumId w:val="4"/>
  </w:num>
  <w:num w:numId="44">
    <w:abstractNumId w:val="39"/>
  </w:num>
  <w:num w:numId="45">
    <w:abstractNumId w:val="37"/>
  </w:num>
  <w:num w:numId="46">
    <w:abstractNumId w:val="19"/>
  </w:num>
  <w:num w:numId="47">
    <w:abstractNumId w:val="48"/>
  </w:num>
  <w:num w:numId="48">
    <w:abstractNumId w:val="13"/>
  </w:num>
  <w:num w:numId="49">
    <w:abstractNumId w:val="49"/>
  </w:num>
  <w:num w:numId="50">
    <w:abstractNumId w:val="7"/>
  </w:num>
  <w:num w:numId="51">
    <w:abstractNumId w:val="2"/>
  </w:num>
  <w:num w:numId="52">
    <w:abstractNumId w:val="27"/>
  </w:num>
  <w:num w:numId="53">
    <w:abstractNumId w:val="0"/>
  </w:num>
  <w:num w:numId="54">
    <w:abstractNumId w:val="10"/>
  </w:num>
  <w:num w:numId="55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revisionView w:markup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Green"/>
    <w:docVar w:name="LW_CONFIDENCE" w:val=" "/>
    <w:docVar w:name="LW_CONST_RESTREINT_UE" w:val="RESTREINT UE"/>
    <w:docVar w:name="LW_CORRIGENDUM" w:val="&lt;UNUSED&gt;"/>
    <w:docVar w:name="LW_COVERPAGE_GUID" w:val="2A5344DB632548E5A65CCAEB189A6055"/>
    <w:docVar w:name="LW_CROSSREFERENCE" w:val="&lt;UNUSED&gt;"/>
    <w:docVar w:name="LW_DocType" w:val="NORMAL"/>
    <w:docVar w:name="LW_EMISSION" w:val="30.11.2016"/>
    <w:docVar w:name="LW_EMISSION_ISODATE" w:val="2016-11-30"/>
    <w:docVar w:name="LW_EMISSION_LOCATION" w:val="BRX"/>
    <w:docVar w:name="LW_EMISSION_PREFIX" w:val="V Bruselu dne "/>
    <w:docVar w:name="LW_EMISSION_SUFFIX" w:val=" "/>
    <w:docVar w:name="LW_ID_DOCTYPE_NONLW" w:val="CP-014"/>
    <w:docVar w:name="LW_LANGUE" w:val="CS"/>
    <w:docVar w:name="LW_MARKING" w:val="&lt;UNUSED&gt;"/>
    <w:docVar w:name="LW_NOM.INST" w:val="EVROPSKÁ KOMISE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16) 766"/>
    <w:docVar w:name="LW_REF.INTERNE" w:val="&lt;UNUSED&gt;"/>
    <w:docVar w:name="LW_SOUS.TITRE.OBJ" w:val="The first European milestone towards cooperative, connected and automated mobility"/>
    <w:docVar w:name="LW_SOUS.TITRE.OBJ.CP" w:val="&lt;UNUSED&gt;"/>
    <w:docVar w:name="LW_SUPERTITRE" w:val="&lt;UNUSED&gt;"/>
    <w:docVar w:name="LW_TITRE.OBJ.CP" w:val="Evropská strategie týkající se spolupracujících inteligentních dopravních systém\u367?, milník na cest\u283? ke spolupracující, propojené a automatizované mobilit\u283?"/>
    <w:docVar w:name="LW_TYPE.DOC.CP" w:val="SD\u282?LENÍ KOMISE EVROPSKÉMU PARLAMENTU, RAD\u282?, EVROPSKÉMU HOSPODÁ\u344?SKÉMU A SOCIÁLNÍMU VÝBORU A VÝBORU REGION\u366?"/>
    <w:docVar w:name="LW_TYPE.DOC.CP.USERTEXT" w:val="&lt;EMPTY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hAnsi="Times New Roman" w:cs="Times New Roman"/>
      <w:sz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</w:style>
  <w:style w:type="paragraph" w:customStyle="1" w:styleId="Typedudocument">
    <w:name w:val="Type du document"/>
    <w:basedOn w:val="Normal"/>
    <w:next w:val="Normal"/>
    <w:pPr>
      <w:spacing w:before="360" w:after="0" w:line="240" w:lineRule="auto"/>
      <w:jc w:val="center"/>
    </w:pPr>
    <w:rPr>
      <w:rFonts w:ascii="Times New Roman" w:hAnsi="Times New Roman" w:cs="Times New Roman"/>
      <w:b/>
      <w:sz w:val="24"/>
    </w:rPr>
  </w:style>
  <w:style w:type="paragraph" w:customStyle="1" w:styleId="Titreobjet">
    <w:name w:val="Titre objet"/>
    <w:basedOn w:val="Normal"/>
    <w:next w:val="Normal"/>
    <w:pPr>
      <w:spacing w:before="360" w:after="360" w:line="240" w:lineRule="auto"/>
      <w:jc w:val="center"/>
    </w:pPr>
    <w:rPr>
      <w:rFonts w:ascii="Times New Roman" w:hAnsi="Times New Roman" w:cs="Times New Roman"/>
      <w:b/>
      <w:sz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customStyle="1" w:styleId="mainbidtable">
    <w:name w:val="main bid table"/>
    <w:basedOn w:val="TableNormal"/>
    <w:uiPriority w:val="99"/>
    <w:pPr>
      <w:spacing w:before="60" w:after="0" w:line="240" w:lineRule="auto"/>
    </w:pPr>
    <w:rPr>
      <w:rFonts w:ascii="Arial" w:eastAsia="Times New Roman" w:hAnsi="Arial" w:cs="Times New Roman"/>
      <w:sz w:val="20"/>
      <w:szCs w:val="20"/>
    </w:rPr>
    <w:tblPr>
      <w:tblStyleRowBandSize w:val="1"/>
      <w:tblStyleColBandSize w:val="1"/>
      <w:tblInd w:w="0" w:type="dxa"/>
      <w:tblBorders>
        <w:left w:val="single" w:sz="4" w:space="0" w:color="0055A0"/>
        <w:bottom w:val="single" w:sz="4" w:space="0" w:color="0055A0"/>
        <w:right w:val="single" w:sz="4" w:space="0" w:color="0055A0"/>
        <w:insideV w:val="single" w:sz="4" w:space="0" w:color="0055A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color w:val="FFFFFF" w:themeColor="background1"/>
      </w:rPr>
      <w:tblPr/>
      <w:tcPr>
        <w:tcBorders>
          <w:top w:val="nil"/>
          <w:left w:val="single" w:sz="4" w:space="0" w:color="0055A0"/>
          <w:bottom w:val="nil"/>
          <w:right w:val="single" w:sz="4" w:space="0" w:color="0055A0"/>
          <w:insideH w:val="nil"/>
          <w:insideV w:val="nil"/>
          <w:tl2br w:val="nil"/>
          <w:tr2bl w:val="nil"/>
        </w:tcBorders>
        <w:shd w:val="clear" w:color="auto" w:fill="006BB7"/>
      </w:tcPr>
    </w:tblStylePr>
    <w:tblStylePr w:type="band1Vert">
      <w:pPr>
        <w:jc w:val="left"/>
      </w:pPr>
      <w:tblPr/>
      <w:tcPr>
        <w:shd w:val="clear" w:color="auto" w:fill="F5F9FC"/>
      </w:tcPr>
    </w:tblStylePr>
    <w:tblStylePr w:type="band1Horz">
      <w:tblPr/>
      <w:tcPr>
        <w:shd w:val="clear" w:color="auto" w:fill="EDF3F7"/>
      </w:tcPr>
    </w:tblStylePr>
    <w:tblStylePr w:type="band2Horz">
      <w:tblPr/>
      <w:tcPr>
        <w:tcBorders>
          <w:insideV w:val="single" w:sz="4" w:space="0" w:color="0055A0"/>
        </w:tcBorders>
        <w:shd w:val="clear" w:color="auto" w:fill="FFFFFF" w:themeFill="background1"/>
      </w:tcPr>
    </w:tblStylePr>
  </w:style>
  <w:style w:type="paragraph" w:styleId="Caption">
    <w:name w:val="caption"/>
    <w:aliases w:val="cap,cap1"/>
    <w:basedOn w:val="Normal"/>
    <w:next w:val="Normal"/>
    <w:unhideWhenUsed/>
    <w:qFormat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b/>
      <w:bCs/>
      <w:color w:val="4F81BD" w:themeColor="accent1"/>
      <w:sz w:val="18"/>
      <w:szCs w:val="18"/>
      <w:bdr w:val="nil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customStyle="1" w:styleId="Sous-titreobjet">
    <w:name w:val="Sous-titre objet"/>
    <w:basedOn w:val="Normal"/>
    <w:pPr>
      <w:spacing w:after="0" w:line="240" w:lineRule="auto"/>
      <w:jc w:val="center"/>
    </w:pPr>
    <w:rPr>
      <w:rFonts w:ascii="Times New Roman" w:hAnsi="Times New Roman" w:cs="Times New Roman"/>
      <w:b/>
      <w:sz w:val="24"/>
    </w:rPr>
  </w:style>
  <w:style w:type="character" w:customStyle="1" w:styleId="s1">
    <w:name w:val="s1"/>
    <w:basedOn w:val="DefaultParagraphFont"/>
    <w:rPr>
      <w:rFonts w:ascii=".SFUIText-Regular" w:hAnsi=".SFUIText-Regular" w:hint="default"/>
      <w:b w:val="0"/>
      <w:bCs w:val="0"/>
      <w:i w:val="0"/>
      <w:iCs w:val="0"/>
      <w:sz w:val="34"/>
      <w:szCs w:val="3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hAnsi="Times New Roman" w:cs="Times New Roman"/>
      <w:sz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</w:style>
  <w:style w:type="paragraph" w:customStyle="1" w:styleId="Typedudocument">
    <w:name w:val="Type du document"/>
    <w:basedOn w:val="Normal"/>
    <w:next w:val="Normal"/>
    <w:pPr>
      <w:spacing w:before="360" w:after="0" w:line="240" w:lineRule="auto"/>
      <w:jc w:val="center"/>
    </w:pPr>
    <w:rPr>
      <w:rFonts w:ascii="Times New Roman" w:hAnsi="Times New Roman" w:cs="Times New Roman"/>
      <w:b/>
      <w:sz w:val="24"/>
    </w:rPr>
  </w:style>
  <w:style w:type="paragraph" w:customStyle="1" w:styleId="Titreobjet">
    <w:name w:val="Titre objet"/>
    <w:basedOn w:val="Normal"/>
    <w:next w:val="Normal"/>
    <w:pPr>
      <w:spacing w:before="360" w:after="360" w:line="240" w:lineRule="auto"/>
      <w:jc w:val="center"/>
    </w:pPr>
    <w:rPr>
      <w:rFonts w:ascii="Times New Roman" w:hAnsi="Times New Roman" w:cs="Times New Roman"/>
      <w:b/>
      <w:sz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customStyle="1" w:styleId="mainbidtable">
    <w:name w:val="main bid table"/>
    <w:basedOn w:val="TableNormal"/>
    <w:uiPriority w:val="99"/>
    <w:pPr>
      <w:spacing w:before="60" w:after="0" w:line="240" w:lineRule="auto"/>
    </w:pPr>
    <w:rPr>
      <w:rFonts w:ascii="Arial" w:eastAsia="Times New Roman" w:hAnsi="Arial" w:cs="Times New Roman"/>
      <w:sz w:val="20"/>
      <w:szCs w:val="20"/>
    </w:rPr>
    <w:tblPr>
      <w:tblStyleRowBandSize w:val="1"/>
      <w:tblStyleColBandSize w:val="1"/>
      <w:tblInd w:w="0" w:type="dxa"/>
      <w:tblBorders>
        <w:left w:val="single" w:sz="4" w:space="0" w:color="0055A0"/>
        <w:bottom w:val="single" w:sz="4" w:space="0" w:color="0055A0"/>
        <w:right w:val="single" w:sz="4" w:space="0" w:color="0055A0"/>
        <w:insideV w:val="single" w:sz="4" w:space="0" w:color="0055A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color w:val="FFFFFF" w:themeColor="background1"/>
      </w:rPr>
      <w:tblPr/>
      <w:tcPr>
        <w:tcBorders>
          <w:top w:val="nil"/>
          <w:left w:val="single" w:sz="4" w:space="0" w:color="0055A0"/>
          <w:bottom w:val="nil"/>
          <w:right w:val="single" w:sz="4" w:space="0" w:color="0055A0"/>
          <w:insideH w:val="nil"/>
          <w:insideV w:val="nil"/>
          <w:tl2br w:val="nil"/>
          <w:tr2bl w:val="nil"/>
        </w:tcBorders>
        <w:shd w:val="clear" w:color="auto" w:fill="006BB7"/>
      </w:tcPr>
    </w:tblStylePr>
    <w:tblStylePr w:type="band1Vert">
      <w:pPr>
        <w:jc w:val="left"/>
      </w:pPr>
      <w:tblPr/>
      <w:tcPr>
        <w:shd w:val="clear" w:color="auto" w:fill="F5F9FC"/>
      </w:tcPr>
    </w:tblStylePr>
    <w:tblStylePr w:type="band1Horz">
      <w:tblPr/>
      <w:tcPr>
        <w:shd w:val="clear" w:color="auto" w:fill="EDF3F7"/>
      </w:tcPr>
    </w:tblStylePr>
    <w:tblStylePr w:type="band2Horz">
      <w:tblPr/>
      <w:tcPr>
        <w:tcBorders>
          <w:insideV w:val="single" w:sz="4" w:space="0" w:color="0055A0"/>
        </w:tcBorders>
        <w:shd w:val="clear" w:color="auto" w:fill="FFFFFF" w:themeFill="background1"/>
      </w:tcPr>
    </w:tblStylePr>
  </w:style>
  <w:style w:type="paragraph" w:styleId="Caption">
    <w:name w:val="caption"/>
    <w:aliases w:val="cap,cap1"/>
    <w:basedOn w:val="Normal"/>
    <w:next w:val="Normal"/>
    <w:unhideWhenUsed/>
    <w:qFormat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b/>
      <w:bCs/>
      <w:color w:val="4F81BD" w:themeColor="accent1"/>
      <w:sz w:val="18"/>
      <w:szCs w:val="18"/>
      <w:bdr w:val="nil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customStyle="1" w:styleId="Sous-titreobjet">
    <w:name w:val="Sous-titre objet"/>
    <w:basedOn w:val="Normal"/>
    <w:pPr>
      <w:spacing w:after="0" w:line="240" w:lineRule="auto"/>
      <w:jc w:val="center"/>
    </w:pPr>
    <w:rPr>
      <w:rFonts w:ascii="Times New Roman" w:hAnsi="Times New Roman" w:cs="Times New Roman"/>
      <w:b/>
      <w:sz w:val="24"/>
    </w:rPr>
  </w:style>
  <w:style w:type="character" w:customStyle="1" w:styleId="s1">
    <w:name w:val="s1"/>
    <w:basedOn w:val="DefaultParagraphFont"/>
    <w:rPr>
      <w:rFonts w:ascii=".SFUIText-Regular" w:hAnsi=".SFUIText-Regular" w:hint="default"/>
      <w:b w:val="0"/>
      <w:bCs w:val="0"/>
      <w:i w:val="0"/>
      <w:iCs w:val="0"/>
      <w:sz w:val="34"/>
      <w:szCs w:val="3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notes.xml.rels><?xml version='1.0' encoding='UTF-8' standalone='yes'?>
<Relationships xmlns="http://schemas.openxmlformats.org/package/2006/relationships"><Relationship Id="rId8" Type="http://schemas.openxmlformats.org/officeDocument/2006/relationships/hyperlink" Target="http://c-its-korridor.de/" TargetMode="External"/><Relationship Id="rId13" Type="http://schemas.openxmlformats.org/officeDocument/2006/relationships/hyperlink" Target="http://ec.europa.eu/transport/themes/its/c-its_en.htm" TargetMode="External"/><Relationship Id="rId18" Type="http://schemas.openxmlformats.org/officeDocument/2006/relationships/hyperlink" Target="http://eur-lex.europa.eu/legal-content/cs/TXT/?uri=CELEX:32016R0679" TargetMode="External"/><Relationship Id="rId3" Type="http://schemas.openxmlformats.org/officeDocument/2006/relationships/hyperlink" Target="http://eur-lex.europa.eu/legal-content/CS/TXT/?uri=COM:2015:80:FIN" TargetMode="External"/><Relationship Id="rId21" Type="http://schemas.openxmlformats.org/officeDocument/2006/relationships/hyperlink" Target="http://eur-lex.europa.eu/legal-content/EN/TXT/?qid=1479301730611&amp;uri=CELEX:52016SC0306" TargetMode="External"/><Relationship Id="rId7" Type="http://schemas.openxmlformats.org/officeDocument/2006/relationships/hyperlink" Target="http://www.mlit.go.jp/common/001146631.pdf" TargetMode="External"/><Relationship Id="rId12" Type="http://schemas.openxmlformats.org/officeDocument/2006/relationships/hyperlink" Target="https://www.car-2-car.org/index.php?id=214" TargetMode="External"/><Relationship Id="rId17" Type="http://schemas.openxmlformats.org/officeDocument/2006/relationships/hyperlink" Target="https://dtc.jrc.ec.europa.eu/" TargetMode="External"/><Relationship Id="rId2" Type="http://schemas.openxmlformats.org/officeDocument/2006/relationships/hyperlink" Target="http://ftp.jrc.es/EURdoc/JRC69961.pdf" TargetMode="External"/><Relationship Id="rId16" Type="http://schemas.openxmlformats.org/officeDocument/2006/relationships/hyperlink" Target="http://eur-lex.europa.eu/legal-content/CS/TXT/?qid=1479300918497&amp;uri=CELEX:52016DC0288" TargetMode="External"/><Relationship Id="rId20" Type="http://schemas.openxmlformats.org/officeDocument/2006/relationships/hyperlink" Target="http://eur-lex.europa.eu/legal-content/CS/TXT/?qid=1479301654220&amp;uri=CELEX:52016DC0588" TargetMode="External"/><Relationship Id="rId1" Type="http://schemas.openxmlformats.org/officeDocument/2006/relationships/hyperlink" Target="http://eur-lex.europa.eu/legal-content/CS/TXT/?qid=1476374593053&amp;uri=CELEX:52016DC0501" TargetMode="External"/><Relationship Id="rId6" Type="http://schemas.openxmlformats.org/officeDocument/2006/relationships/hyperlink" Target="http://www.bmvi.de/SharedDocs/EN/Artikel/K/G7/g7-dokumente.html" TargetMode="External"/><Relationship Id="rId11" Type="http://schemas.openxmlformats.org/officeDocument/2006/relationships/hyperlink" Target="https://english.eu2016.nl/documents/publications/2016/04/14/declaration-of-amsterdam" TargetMode="External"/><Relationship Id="rId5" Type="http://schemas.openxmlformats.org/officeDocument/2006/relationships/hyperlink" Target="http://eur-lex.europa.eu/legal-content/de/TXT/?uri=CELEX:52016SC0110" TargetMode="External"/><Relationship Id="rId15" Type="http://schemas.openxmlformats.org/officeDocument/2006/relationships/hyperlink" Target="http://ec.europa.eu/transport/sites/transport/files/2016-c-its-deployment-study-public-consultation.pdf" TargetMode="External"/><Relationship Id="rId23" Type="http://schemas.openxmlformats.org/officeDocument/2006/relationships/hyperlink" Target="http://www.c-roads.eu/" TargetMode="External"/><Relationship Id="rId10" Type="http://schemas.openxmlformats.org/officeDocument/2006/relationships/hyperlink" Target="http://eur-lex.europa.eu/legal-content/CS/TXT/?qid=1479300756981&amp;uri=CELEX:52016DC0705" TargetMode="External"/><Relationship Id="rId19" Type="http://schemas.openxmlformats.org/officeDocument/2006/relationships/hyperlink" Target="http://eur-lex.europa.eu/legal-content/CS/TXT/?uri=celex:32014L0053" TargetMode="External"/><Relationship Id="rId4" Type="http://schemas.openxmlformats.org/officeDocument/2006/relationships/hyperlink" Target="http://eur-lex.europa.eu/legal-content/CS/TXT/?qid=1479300554594&amp;uri=CELEX:52016DC0180" TargetMode="External"/><Relationship Id="rId9" Type="http://schemas.openxmlformats.org/officeDocument/2006/relationships/hyperlink" Target="https://amsterdamgroup.mett.nl/" TargetMode="External"/><Relationship Id="rId14" Type="http://schemas.openxmlformats.org/officeDocument/2006/relationships/hyperlink" Target="http://ec.europa.eu/transport/sites/transport/files/2016-c-its-deployment-study-final-report.pdf" TargetMode="External"/><Relationship Id="rId22" Type="http://schemas.openxmlformats.org/officeDocument/2006/relationships/hyperlink" Target="http://eur-lex.europa.eu/legal-content/CS/TXT/?uri=CELEX:32008D0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36EEF-3651-4D2C-A44A-5E0FB6E9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4499</Words>
  <Characters>27764</Characters>
  <Application>Microsoft Office Word</Application>
  <DocSecurity>0</DocSecurity>
  <Lines>440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22</cp:revision>
  <cp:lastPrinted>2016-11-03T14:43:00Z</cp:lastPrinted>
  <dcterms:created xsi:type="dcterms:W3CDTF">2016-11-28T09:01:00Z</dcterms:created>
  <dcterms:modified xsi:type="dcterms:W3CDTF">2016-12-16T13:17:00Z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Classification">
    <vt:lpwstr> </vt:lpwstr>
  </property>
  <property fmtid="{D5CDD505-2E9C-101B-9397-08002B2CF9AE}" pid="5" name="DocStatus">
    <vt:lpwstr>Green</vt:lpwstr>
  </property>
  <property name="OP_sanitized" fmtid="{D5CDD505-2E9C-101B-9397-08002B2CF9AE}" pid="6">
    <vt:lpwstr>True</vt:lpwstr>
  </property>
</Properties>
</file>