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Pagedecouverture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alt="C7830D87248D4BF5ACE9E654AF0EB04D" style="width:450.75pt;height:342.75pt">
            <v:imagedata r:id="rId9" o:title=""/>
          </v:shape>
        </w:pict>
      </w:r>
    </w:p>
    <w:p>
      <w:pPr>
        <w:rPr>
          <w:noProof/>
        </w:rPr>
        <w:sectPr>
          <w:footerReference w:type="default" r:id="rId10"/>
          <w:pgSz w:w="11907" w:h="16839"/>
          <w:pgMar w:top="1134" w:right="1417" w:bottom="1134" w:left="1417" w:header="709" w:footer="709" w:gutter="0"/>
          <w:pgNumType w:start="1"/>
          <w:cols w:space="720"/>
          <w:docGrid w:linePitch="360"/>
        </w:sectPr>
      </w:pPr>
    </w:p>
    <w:p>
      <w:pPr>
        <w:pStyle w:val="Exposdesmotifstitre"/>
        <w:rPr>
          <w:noProof/>
        </w:rPr>
      </w:pPr>
      <w:bookmarkStart w:id="0" w:name="_GoBack"/>
      <w:bookmarkEnd w:id="0"/>
    </w:p>
    <w:p>
      <w:pPr>
        <w:rPr>
          <w:noProof/>
        </w:rPr>
      </w:pPr>
    </w:p>
    <w:p>
      <w:pPr>
        <w:pStyle w:val="Statut"/>
        <w:rPr>
          <w:noProof/>
        </w:rPr>
      </w:pPr>
      <w:r>
        <w:rPr>
          <w:noProof/>
        </w:rPr>
        <w:t>Doporučení pro</w:t>
      </w:r>
    </w:p>
    <w:p>
      <w:pPr>
        <w:pStyle w:val="Typedudocument"/>
        <w:rPr>
          <w:noProof/>
        </w:rPr>
      </w:pPr>
      <w:r>
        <w:rPr>
          <w:noProof/>
        </w:rPr>
        <w:t>DOPORUČENÍ RADY</w:t>
      </w:r>
    </w:p>
    <w:p>
      <w:pPr>
        <w:pStyle w:val="Titreobjet"/>
        <w:rPr>
          <w:noProof/>
        </w:rPr>
      </w:pPr>
      <w:r>
        <w:rPr>
          <w:noProof/>
        </w:rPr>
        <w:t>týkající se hospodářské politiky eurozóny</w:t>
      </w:r>
    </w:p>
    <w:p>
      <w:pPr>
        <w:pStyle w:val="Institutionquiagit"/>
        <w:rPr>
          <w:noProof/>
        </w:rPr>
      </w:pPr>
      <w:r>
        <w:rPr>
          <w:noProof/>
        </w:rPr>
        <w:t>RADA EVROPSKÉ UNIE,</w:t>
      </w:r>
    </w:p>
    <w:p>
      <w:pPr>
        <w:autoSpaceDE w:val="0"/>
        <w:autoSpaceDN w:val="0"/>
        <w:adjustRightInd w:val="0"/>
        <w:spacing w:after="0"/>
        <w:rPr>
          <w:noProof/>
          <w:szCs w:val="24"/>
        </w:rPr>
      </w:pPr>
      <w:r>
        <w:rPr>
          <w:noProof/>
        </w:rPr>
        <w:t>s ohledem na Smlouvu o fungování Evropské unie, a zejména na článek 136 ve spojení s čl. 121 odst. 2 této smlouvy,</w:t>
      </w:r>
    </w:p>
    <w:p>
      <w:pPr>
        <w:autoSpaceDE w:val="0"/>
        <w:autoSpaceDN w:val="0"/>
        <w:adjustRightInd w:val="0"/>
        <w:spacing w:after="0"/>
        <w:rPr>
          <w:noProof/>
          <w:szCs w:val="24"/>
        </w:rPr>
      </w:pPr>
      <w:r>
        <w:rPr>
          <w:noProof/>
        </w:rPr>
        <w:t>s ohledem na nařízení Rady (ES) č. 1466/97 ze dne 7. července 1997 o posílení dohledu nad stavy rozpočtů a nad hospodářskými politikami a o posílení koordinace hospodářských politik</w:t>
      </w:r>
      <w:r>
        <w:rPr>
          <w:rStyle w:val="FootnoteReference"/>
          <w:noProof/>
        </w:rPr>
        <w:footnoteReference w:id="2"/>
      </w:r>
      <w:r>
        <w:rPr>
          <w:noProof/>
        </w:rPr>
        <w:t>, a zejména na čl. 5 odst. 2 uvedeného nařízení,</w:t>
      </w:r>
    </w:p>
    <w:p>
      <w:pPr>
        <w:autoSpaceDE w:val="0"/>
        <w:autoSpaceDN w:val="0"/>
        <w:adjustRightInd w:val="0"/>
        <w:spacing w:after="0"/>
        <w:rPr>
          <w:noProof/>
          <w:szCs w:val="24"/>
        </w:rPr>
      </w:pPr>
      <w:r>
        <w:rPr>
          <w:noProof/>
        </w:rPr>
        <w:t>s ohledem na nařízení Evropského parlamentu a Rady (EU) č. 1176/2011 ze dne 16. listopadu 2011 o prevenci a nápravě makroekonomické nerovnováhy</w:t>
      </w:r>
      <w:r>
        <w:rPr>
          <w:rStyle w:val="FootnoteReference"/>
          <w:noProof/>
        </w:rPr>
        <w:footnoteReference w:id="3"/>
      </w:r>
      <w:r>
        <w:rPr>
          <w:noProof/>
        </w:rPr>
        <w:t>, a zejména na čl. 6 odst. 1 uvedeného nařízení,</w:t>
      </w:r>
    </w:p>
    <w:p>
      <w:pPr>
        <w:autoSpaceDE w:val="0"/>
        <w:autoSpaceDN w:val="0"/>
        <w:adjustRightInd w:val="0"/>
        <w:spacing w:after="0"/>
        <w:rPr>
          <w:noProof/>
          <w:sz w:val="16"/>
          <w:szCs w:val="16"/>
        </w:rPr>
      </w:pPr>
      <w:r>
        <w:rPr>
          <w:noProof/>
        </w:rPr>
        <w:t>s ohledem na doporučení Evropské komise,</w:t>
      </w:r>
    </w:p>
    <w:p>
      <w:pPr>
        <w:autoSpaceDE w:val="0"/>
        <w:autoSpaceDN w:val="0"/>
        <w:adjustRightInd w:val="0"/>
        <w:spacing w:after="0"/>
        <w:rPr>
          <w:noProof/>
          <w:szCs w:val="24"/>
        </w:rPr>
      </w:pPr>
      <w:r>
        <w:rPr>
          <w:noProof/>
        </w:rPr>
        <w:t>s ohledem na závěry Evropské rady,</w:t>
      </w:r>
    </w:p>
    <w:p>
      <w:pPr>
        <w:autoSpaceDE w:val="0"/>
        <w:autoSpaceDN w:val="0"/>
        <w:adjustRightInd w:val="0"/>
        <w:spacing w:after="0"/>
        <w:rPr>
          <w:noProof/>
          <w:szCs w:val="24"/>
        </w:rPr>
      </w:pPr>
      <w:r>
        <w:rPr>
          <w:noProof/>
        </w:rPr>
        <w:t>s ohledem na stanovisko Hospodářského a finančního výboru,</w:t>
      </w:r>
    </w:p>
    <w:p>
      <w:pPr>
        <w:rPr>
          <w:noProof/>
          <w:szCs w:val="24"/>
        </w:rPr>
      </w:pPr>
      <w:r>
        <w:rPr>
          <w:noProof/>
        </w:rPr>
        <w:t>s ohledem na stanovisko Výboru pro hospodářskou politiku,</w:t>
      </w:r>
    </w:p>
    <w:p>
      <w:pPr>
        <w:rPr>
          <w:noProof/>
          <w:color w:val="000000"/>
          <w:szCs w:val="24"/>
        </w:rPr>
      </w:pPr>
      <w:r>
        <w:rPr>
          <w:noProof/>
          <w:color w:val="000000"/>
        </w:rPr>
        <w:t xml:space="preserve">vzhledem k těmto důvodům: </w:t>
      </w:r>
    </w:p>
    <w:p>
      <w:pPr>
        <w:pStyle w:val="ManualConsidrant"/>
        <w:rPr>
          <w:noProof/>
        </w:rPr>
      </w:pPr>
      <w:r>
        <w:rPr>
          <w:noProof/>
        </w:rPr>
        <w:t>(1)</w:t>
      </w:r>
      <w:r>
        <w:rPr>
          <w:noProof/>
        </w:rPr>
        <w:tab/>
        <w:t xml:space="preserve">Eurozóna pokračuje v hospodářském oživení, jež však zůstává křehké. V posledních letech bylo dosaženo významného posunu vpřed: od roku 2015 se HDP eurozóny v reálném vyjádření vrátilo na svou předkrizovou hodnotu a nezaměstnanost klesla na svou nejnižší úroveň od období 2010–2011. Agregátní poptávka však roste jen zvolna a inflace zůstává výrazně pod svou cílovou hodnotou navzdory výrazně akomodační měnové politice Evropské centrální banky. Následky krize, k nimž patří např. přetrvávající makroekonomická nerovnováha a vysoká míra zadlužení ve všech sektorech ekonomiky, jsou brzdou růstu. Za tohoto stavu je nutno snižovat páku a na spotřebu a investice zbývají jen omezené zdroje. Navíc platí, že růstový potenciál ekonomiky eurozóny již dlouhodobě sleduje klesající trend, který se v důsledku krize ještě zvýraznil. Z přetrvávajícího nedostatku investic a vysoké nezaměstnanosti plynou i přes známky zlepšení rizika, že se vyhlídky na růst dále zhorší. Obnovování rovnováhy v ekonomice eurozóny se nadále vyznačuje asymetrií, kdy nerovnováhu napravují pouze země, které jsou čistými dlužníky. Důsledkem tohoto stavu jsou rostoucí přebytky na běžném účtu. Dle globální dohody v rámci G20 mají členské </w:t>
      </w:r>
      <w:r>
        <w:rPr>
          <w:noProof/>
        </w:rPr>
        <w:lastRenderedPageBreak/>
        <w:t>státy eurozóny usilovat o to, aby v zájmu silného, udržitelného, vyváženého a inkluzivního růstu využily, ať již individuálně či kolektivně, veškeré nástroje politiky – monetární, fiskální i strukturální.</w:t>
      </w:r>
    </w:p>
    <w:p>
      <w:pPr>
        <w:pStyle w:val="ManualConsidrant"/>
        <w:rPr>
          <w:noProof/>
        </w:rPr>
      </w:pPr>
      <w:r>
        <w:rPr>
          <w:noProof/>
        </w:rPr>
        <w:t>(2)</w:t>
      </w:r>
      <w:r>
        <w:rPr>
          <w:noProof/>
        </w:rPr>
        <w:tab/>
        <w:t xml:space="preserve">Ambiciózní strukturální reformy by měly usnadnit hladké a efektivní přerozdělení lidských a kapitálových zdrojů a pomoci s řešením problémů, jež plynou z probíhajících technologických a strukturálních změn. Je zapotřebí reforem, které nastolí příznivé podnikatelské prostředí, dokončí jednotný trh a odstraní překážky, jež brání investicím. Tyto kroky jsou velmi důležité, má-li vzrůst produktivita a zaměstnanost, zesílit konvergence a růstový potenciál a má-li být ekonomika eurozóny lépe schopna adaptace. Realizace strukturálních reforem cestou vytváření efektivních trhů s citlivými cenovými mechanismy by znamenala podporu pro měnovou politiku, jejíž efekty by pomáhala převádět do reálné ekonomiky. Reformy, které odstraňují překážky pro investice, a investice naopak podporují, mohou přinést dvojí výhodu v podobě krátkodobé podpory hospodářské činnosti a tvorby kapacity pro dlouhodobý růst. Reformy, které zvyšují produktivitu, jsou důležité obzvláště pro členské státy s velkou potřebou snižování páky, která souvisí s vysokým vnějším zadlužením, neboť rychlejší růst pomáhá podíl dluhu na HDP redukovat. Obnově vnější rovnováhy těchto zemí by pomohla rovněž podpora cenové i necenové konkurenceschopnosti. Členské státy s vysokým přebytkem na běžném účtu mohou k obnově rovnováhy v eurozóně přispět tím, že zavedou opatření včetně strukturálních reforem, která pomohou odvádět přebytky úspor do domácí poptávky, a zejména pak tím, že posílí investice. Další příležitosti v této souvislosti nabízí i stávající prostředí nízkých úrokových sazeb, zejména v zemích, jež mají z fiskálního hlediska značný prostor. </w:t>
      </w:r>
    </w:p>
    <w:p>
      <w:pPr>
        <w:pStyle w:val="ManualConsidrant"/>
        <w:rPr>
          <w:noProof/>
        </w:rPr>
      </w:pPr>
      <w:r>
        <w:rPr>
          <w:noProof/>
        </w:rPr>
        <w:t>(3)</w:t>
      </w:r>
      <w:r>
        <w:rPr>
          <w:noProof/>
        </w:rPr>
        <w:tab/>
        <w:t>Budou-li strukturální reformy, včetně reforem, které členským státům ukládají individuální doporučení a které jsou potřebné k dokončení hospodářské a měnové unie (HMU), při své realizaci lépe koordinovány, může to v členských státech vyvolat pozitivní efekt přelévání a posilovat příznivé krátkodobé dopady těchto reforem. Tematická jednání Euroskupiny se ukázala jako přínosná z hlediska společného chápání reformních priorit pro eurozónu, výměny osvědčených postupů, podpory při naplňování reforem a strukturální konvergence. Euroskupina by měla v těchto jednáních pokračovat, v rámci možností je zintenzivňovat a účelně využívat sjednaných společných zásad a referenčního srovnávání. Do debaty na vnitrostátní úrovni a koncipování strukturálních reforem, které jsou pro členské státy v kontextu ekonomiky eurozóny nezbytné, mohou přispět i vnitrostátní rady pro produktivitu, jež mají být ustaveny na základě doporučení Rady z 20. září 2016</w:t>
      </w:r>
      <w:r>
        <w:rPr>
          <w:rStyle w:val="FootnoteReference"/>
          <w:noProof/>
        </w:rPr>
        <w:footnoteReference w:id="4"/>
      </w:r>
      <w:r>
        <w:rPr>
          <w:noProof/>
        </w:rPr>
        <w:t>.</w:t>
      </w:r>
    </w:p>
    <w:p>
      <w:pPr>
        <w:pStyle w:val="ManualConsidrant"/>
        <w:rPr>
          <w:noProof/>
        </w:rPr>
      </w:pPr>
      <w:r>
        <w:rPr>
          <w:noProof/>
        </w:rPr>
        <w:t>(4)</w:t>
      </w:r>
      <w:r>
        <w:rPr>
          <w:noProof/>
        </w:rPr>
        <w:tab/>
        <w:t xml:space="preserve">Těsná koordinace fiskálních politik v členských státech, která se opírá o společná pravidla, má zásadní význam pro to, aby bylo nalezeno vhodné celkové nastavení fiskální politiky a zajištěno řádné fungování měnové unie. Společná fiskální pravidla jsou nastavena tak, aby se zaměřovala na udržitelnost dluhu na úrovni členských států a zároveň ponechávala prostor k makroekonomické stabilizaci. Nastavením fiskální politiky v eurozóně na úrovni členských států a úrovni společné je tudíž nutno vyvážit dvojí cíl, kterým je zajistit dlouhodobou udržitelnost veřejných financí členských států na straně jedné a krátkodobou makroekonomickou stabilizaci na úrovni zemí i eurozóny na straně druhé. Za současného stavu, kdy panuje značná nejistota o síle </w:t>
      </w:r>
      <w:r>
        <w:rPr>
          <w:noProof/>
        </w:rPr>
        <w:lastRenderedPageBreak/>
        <w:t>oživení, kdy ekonomika vykazuje daný objem volných kapacit a kdy měnová politika zajistila značnou míru akomodace, je nutné, aby fiskální politika na úrovni eurozóny měnovou politiku doplňovala při stimulaci poptávky, zejména investiční, a při ukončení nízké inflace. Účinnost fiskální politiky, včetně efektů přelévání v jednotlivých zemích, roste v kontextu nízkých úrokových sazeb. Dává tedy smysl doporučit pro fiskální politiku v eurozóně jako celku pozitivnější orientaci. Pokud jde o rok 2017, je podle názoru Komise žádoucí, aby fiskální expanze na úrovni eurozóny jako celku dosahovala za stávajících podmínek až 0,5 % HDP</w:t>
      </w:r>
      <w:r>
        <w:rPr>
          <w:rStyle w:val="FootnoteReference"/>
          <w:noProof/>
        </w:rPr>
        <w:footnoteReference w:id="5"/>
      </w:r>
      <w:r>
        <w:rPr>
          <w:noProof/>
        </w:rPr>
        <w:t xml:space="preserve">. Jedná se o cíl obezřetný a pragmatický z intervalu možných cílů, jehož spodní limit činí 0,3 % a horní limit 0,8 %, a který má vyvážit makroekonomickou stabilizaci s obavami o fiskální udržitelnost. Současně zůstává v řadě členských států veřejné zadlužení na vysoké úrovni a je nadále nutné, aby byla ve střednědobém horizontu obnovena udržitelnost veřejných financí. Z tohoto důvodu je nezbytné postarat se o vhodnou diferenciaci fiskálního úsilí v různých členských státech a zohlednit fiskální prostor a efekty přelévání v zemích eurozóny. Členské státy, jež dosahují lepších výsledků, než kolik jim ukládají jejich fiskální cíle, by měly svého fiskálního prostoru využít k podpoře domácí poptávky a kvalitních investic, a to včetně investic přeshraničních v kontextu investičního plánu pro Evropu. Zvláště účinným způsobem, jak mohou členské státy s fiskálním prostorem maximalizovat dopad na reálnou ekonomiku a hospodářské oživení v eurozóně, jsou například záruky za Evropský fond pro strategické investice. Členské státy, jež v rámci preventivní složky Paktu o stabilitě a růstu potřebují další fiskální korekci, by měly zajistit, aby obecně splňovaly požadavky, jež z tohoto Paktu plynou pro příští rok. V rámci nápravné složky Paktu musí členské státy zajistit včasné odstranění svých nadměrných schodků, mj. tím, že vytvoří fiskální rezervy proti nepředvídaným okolnostem. Růst by podpořily a udržitelnost veřejných financí by zlepšily strukturální reformy, zaměřené zejména na zvýšení produktivity. Krátkodobý dopad rozpočtů na poptávku a jejich dlouhodobý dopad na produktivitu by vzrostl i v případě, že by se rozhodujícím způsobem zlepšila skladba a řízení vnitrostátních rozpočtů na příjmové i výdajové straně, kdy by zdroje byly přesouvány na hmotné i nehmotné investice. Účinné vnitrostátní fiskální rámce jsou nezbytné k tomu, aby politiky členských států nabyly na věrohodnosti, a navíc pomáhají vhodně vyvážit krátkodobou makroekonomickou stabilizaci, udržitelnost dluhu a dlouhodobý růst. </w:t>
      </w:r>
    </w:p>
    <w:p>
      <w:pPr>
        <w:pStyle w:val="ManualConsidrant"/>
        <w:rPr>
          <w:noProof/>
        </w:rPr>
      </w:pPr>
      <w:r>
        <w:rPr>
          <w:noProof/>
        </w:rPr>
        <w:t>(5)</w:t>
      </w:r>
      <w:r>
        <w:rPr>
          <w:noProof/>
        </w:rPr>
        <w:tab/>
        <w:t xml:space="preserve">Pracovní trhy v eurozóně se nadále postupně zotavují a nezaměstnanost trvale klesá. Míra dlouhodobé nezaměstnanosti a nezaměstnanosti mladých lidí však zůstává vysoká a na vysoké úrovni se v několika členských státech již ustálila chudoba. I přes určitý pokrok v reformách při zvyšování odolnosti a adaptability trhů práce přetrvávají v eurozóně značné diference, jež pro hladké fungování eurozóny představují i nadále problém. K hladkému a trvalému směrování pracovní síly do produktivnějších činností je nezbytné, aby byly pracovní trh, sociální ochrana, daňový systém a systém sociálních dávek kvalitně koncipovány a aby byly spravedlivé a inkluzivní. Účelem je (re)integrovat osoby, jichž se týkají přechody mezi pracovními místy nebo jsou z pracovního trhu vyloučeny, omezit segmentaci a podpořit sociální spravedlnost, mj. zlepšením vyhlídek na kvalitní zaměstnání. Výsledkem bude i účinnější automatická stabilizace, výraznější růst a vyšší zaměstnanost, které jsou k řešení sociálních </w:t>
      </w:r>
      <w:r>
        <w:rPr>
          <w:noProof/>
        </w:rPr>
        <w:lastRenderedPageBreak/>
        <w:t xml:space="preserve">problémů v eurozóně důležité. Nezbytné reformy obnášejí: i) změny v legislativě na ochranu zaměstnanosti, jejichž cílem jsou spolehlivá smluvní ujednání a které zaměstnancům i zaměstnavatelům nabídnou flexibilitu a bezpečnost, podpoří přechody na trhu práce, zamezí tomu, aby se tento trh rozděloval do dvou kategorií, a které v případě potřeby umožní úpravy nákladů práce – v této oblasti je reformní úsilí v posledních letech zvláště intenzivní; ii) zdokonalení dovedností díky tomu, že vzroste výkonnost a efektivita vzdělávacích systémů a komplexních strategií celoživotního učení, které se budou orientovat podle potřeb trhu práce; iii) účinné aktivní politiky na trhu práce, jež pomohou nezaměstnaným, včetně dlouhodobě nezaměstnaných, na tento trh znovu vstoupit a zvýšit míru ekonomické aktivity, a iv) moderní adekvátní systémy sociální ochrany, které podporují osoby v nouzi, včetně osob nezaměstnaných a nezapojených na trhu práce, a které pro začlenění na tomto trhu nabízejí různé stimuly. Zlepšit výsledky, jichž trh práce dosahuje, lze i přesunem daňového zatížení z práce do jiných oblastí, zejména v případě osob s nízkými příjmy, a zajištěním spravedlivých daňových systémů. Členské státy eurozóny, jež tyto reformy zavedly, se vyznačují vyšší odolností a lepším výkonem v oblasti zaměstnanosti a sociálních věcí. </w:t>
      </w:r>
    </w:p>
    <w:p>
      <w:pPr>
        <w:pStyle w:val="ManualConsidrant"/>
        <w:rPr>
          <w:noProof/>
        </w:rPr>
      </w:pPr>
      <w:r>
        <w:rPr>
          <w:noProof/>
        </w:rPr>
        <w:t>(6)</w:t>
      </w:r>
      <w:r>
        <w:rPr>
          <w:noProof/>
        </w:rPr>
        <w:tab/>
        <w:t xml:space="preserve">Při vytváření bankovní unie byl zaznamenán posun vpřed, jejího dokončení však dosaženo nebylo. Neexistence společného systému pojištění vkladů a společného mechanismu jištění pro Jednotný fond pro řešení krizí brání tomu, aby bankovní unie dokázala přerušit spojení mezi bankami a státy. Zatímco celková odolnost bankovního sektoru eurozóny od krize celkově vzrostla, vzrostl i tlak na banky vlivem četných faktorů, např. vysokého objemu úvěrů v selhání, neefektivních podnikatelských modelů a nadměrné kapacity v některých členských státech. Všechny tyto faktory vedou k nízké ziskovosti a zpochybnění životaschopnosti bank, a vlivem uvedeného tlaku klesá schopnost bank půjčovat ekonomice. Rizikům čelí i reálná ekonomika, kde se v některých členských státech drží míra veřejného a nefinančního soukromého dluhu na vysoké úrovni. V soukromém sektoru je zapotřebí trvale a plynule snižovat páku jednak prostřednictvím snižování úvěrových ztrát, obsluhy a v případě nutnosti i restrukturalizace životaschopného dluhu, jednak prostřednictvím likvidace dluhu, který životaschopný není, tak aby bylo možno kapitál realokovat rychleji a efektivněji. V této situaci může být snižování páky úspěšné a orientované prorůstově, budou-li řešeny nadále vysoké objemy úvěrů v selhání a dodržovány společné zásady při koncipování insolvenčních rámců pro podniky a domácnosti (včetně zkvalitnění rámců insolvenčního řízení a mimosoudního vyrovnání). </w:t>
      </w:r>
    </w:p>
    <w:p>
      <w:pPr>
        <w:pStyle w:val="ManualConsidrant"/>
        <w:rPr>
          <w:noProof/>
        </w:rPr>
      </w:pPr>
      <w:r>
        <w:rPr>
          <w:noProof/>
        </w:rPr>
        <w:t>(7)</w:t>
      </w:r>
      <w:r>
        <w:rPr>
          <w:noProof/>
        </w:rPr>
        <w:tab/>
        <w:t>Za poslední rok bylo dosaženo určitého pokroku, pokud jde o iniciativy uvedené ve zprávě pěti předsedů o dokončení HMU v Evropě, k nimž patří např. posílená úloha dimenze eurozóny v rámci evropského semestru, doporučení ustavit vnitrostátní rady pro produktivitu a zřízení Evropské fiskální rady při Komisi. Práce pokračuje i na zprůhlednění a zjednodušení fiskálních pravidel. Chybí však dosud dohoda o dalších iniciativách, jež budou mít pro HMU zásadní význam, např. o evropském systému pojištění vkladů, jejž v listopadu 2015 navrhla Komise. Navíc je ve světle zprávy pěti předsedů nutno řešit i obecnější problémy. Komise ohlásila svůj záměr představit v březnu 2017 bílou knihu o budoucnosti Evropy, která bude rovněž pojednávat o budoucnosti HMU. K dohodě o schůdném postupu vpřed je nutné, aby všechny členské státy eurozóny a orgány EU – a rovněž členské státy stojící mimo eurozónu – sdílely pocit odpovědnosti a povědomí o účelu. Silná HMU totiž pomůže řešit problémy, jimž EU čelí, důrazněji a bude mít příznivý dopad i na členské státy stojící mimo eurozónu,</w:t>
      </w:r>
    </w:p>
    <w:p>
      <w:pPr>
        <w:pStyle w:val="Formuledadoption"/>
        <w:rPr>
          <w:noProof/>
          <w:szCs w:val="24"/>
        </w:rPr>
      </w:pPr>
      <w:r>
        <w:rPr>
          <w:noProof/>
        </w:rPr>
        <w:lastRenderedPageBreak/>
        <w:t xml:space="preserve">DOPORUČUJE, aby členské státy eurozóny v období 2017–2018 přijaly samostatně i kolektivně v rámci Euroskupiny opatření s cílem: </w:t>
      </w:r>
    </w:p>
    <w:p>
      <w:pPr>
        <w:pStyle w:val="Point0"/>
        <w:rPr>
          <w:noProof/>
        </w:rPr>
      </w:pPr>
      <w:r>
        <w:rPr>
          <w:noProof/>
        </w:rPr>
        <w:t>1.</w:t>
      </w:r>
      <w:r>
        <w:rPr>
          <w:noProof/>
        </w:rPr>
        <w:tab/>
        <w:t>Provádět politiky, jež v krátkodobém i dlouhodobém horizontu podpoří růst a zlepší schopnost adaptace, obnovu rovnováhy a konvergenci. Prioritu dát reformám, jež zvyšují produktivitu, zkvalitňují institucionální a podnikatelské prostředí, odstraňují překážky bránící investicím a napomáhají tvorbě pracovních míst. Členské státy s deficitem na běžném účtu anebo s vysokým vnějším zadlužením by měly produktivitu zvýšit při současném zachování úrovně jednotkových nákladů práce. Členské státy s vysokým přebytkem na běžném účtu by měly zrychlit realizaci opatření, jež pomohou posílit jejich domácí poptávku, zejména investiční.</w:t>
      </w:r>
    </w:p>
    <w:p>
      <w:pPr>
        <w:pStyle w:val="Point0"/>
        <w:rPr>
          <w:noProof/>
        </w:rPr>
      </w:pPr>
      <w:r>
        <w:rPr>
          <w:noProof/>
        </w:rPr>
        <w:t>2.</w:t>
      </w:r>
      <w:r>
        <w:rPr>
          <w:noProof/>
        </w:rPr>
        <w:tab/>
        <w:t>Prostřednictvím fiskální expanze, jež by v roce 2017 měla dosáhnout až 0,5 % HDP, zajistit celkově pozitivní orientaci fiskální politiky, která přispěje k vyvážené skladbě politik, podpoří reformy a posílí hospodářské oživení. Úsilí na vnitrostátní úrovni o zabezpečení dlouhodobé fiskální udržitelnosti, která respektuje Pakt o stabilitě a růstu, kombinovat s krátkodobou makroekonomickou stabilizací eurozóny, a to s využitím veškerého manévrovacího prostoru, jejž uvedený pakt nabízí. Fiskální úsilí diferencovat podle jednotlivých členských států a přitom lépe zohledňovat jednak jejich pozici, pokud jde o požadavky Paktu o stabilitě a růstu, jednak celkovou situaci v eurozóně a efekty přelévání v jejích členských zemích: i) pokud jde o členské státy, jež dosahují výsledků lepších, než stanoví jejich fiskální cíle, využívat fiskálního prostoru k podpoře domácí poptávky a kvalitních investic, a to včetně investic přeshraničních v rámci investičního plánu pro Evropu, ii) pokud jde o členské státy, jež potřebují další fiskální korekci v rámci preventivní složky Paktu o stabilitě a růstu, zajistit, aby požadavky tohoto Paktu obecně splňovaly, iii) pokud jde o členské státy, na něž se vztahuje nápravná složka Paktu, zajistit včasné odstranění nadměrných schodků, mj. vytvořením fiskální rezervy proti nepředvídaným okolnostem. Zkvalitnit strukturu veřejných financí vytvořením většího prostoru pro hmotné i nehmotné investice a zajistit účinné fungování vnitrostátních fiskálních rámců.</w:t>
      </w:r>
    </w:p>
    <w:p>
      <w:pPr>
        <w:pStyle w:val="Point0"/>
        <w:rPr>
          <w:noProof/>
        </w:rPr>
      </w:pPr>
      <w:r>
        <w:rPr>
          <w:noProof/>
        </w:rPr>
        <w:t>3.</w:t>
      </w:r>
      <w:r>
        <w:rPr>
          <w:noProof/>
        </w:rPr>
        <w:tab/>
        <w:t xml:space="preserve">Provádět reformy, které podpoří tvorbu pracovních míst, sociální spravedlnost a konvergenci, jež se opírá o účinný sociální dialog. Tyto reformy by měly kombinovat: i) spolehlivé pracovněprávní smlouvy, jež zaměstnancům i zaměstnavatelům nabízejí flexibilitu a bezpečnost; </w:t>
      </w:r>
      <w:r>
        <w:rPr>
          <w:noProof/>
        </w:rPr>
        <w:br/>
        <w:t>ii) kvalitní a efektivní systémy vzdělávání a odborné přípravy a komplexní strategie celoživotního učení zacílené na potřeby trhu práce, iii) účinné aktivní politiky na trhu práce, jež pomohou zvýšit míru ekonomické aktivity, iv) moderní a adekvátní systémy sociální ochrany, které podporují osoby v nouzi a poskytují pobídky pro začlenění na trhu práce. Přesunout daňovou zátěž z práce do jiných oblastí, především u osob s nízkými příjmy a v členských státech, kde nákladová konkurenceschopnost zaostává za průměrem eurozóny, a v zemích, jež nemají fiskální manévrovací prostor, zajistit, aby byla tato opatření rozpočtově neutrální.</w:t>
      </w:r>
    </w:p>
    <w:p>
      <w:pPr>
        <w:pStyle w:val="Point0"/>
        <w:rPr>
          <w:noProof/>
        </w:rPr>
      </w:pPr>
      <w:r>
        <w:rPr>
          <w:noProof/>
        </w:rPr>
        <w:t>4.</w:t>
      </w:r>
      <w:r>
        <w:rPr>
          <w:noProof/>
        </w:rPr>
        <w:tab/>
        <w:t xml:space="preserve">Dohodnout se na evropském systému pojištění vkladů, který by vycházel z návrhu Komise z listopadu 2015, a zahájit práci na společném mechanismu jištění pro Jednotný fond pro řešení krizí, tak aby mohl začít fungovat před koncem přechodného období uvedeného fondu. Vypracovat a zavést účinnou strategii pro celou eurozónu, která bude řešit rizika pro životaschopnost bankovního sektoru, mj. pokud jde o vysoký objem úvěrů v selhání, neefektivní podnikatelské modely a </w:t>
      </w:r>
      <w:r>
        <w:rPr>
          <w:noProof/>
        </w:rPr>
        <w:lastRenderedPageBreak/>
        <w:t>nadměrnou kapacitu. V členských státech s vysokým objemem soukromého dluhu podporovat plynulé snižování páky.</w:t>
      </w:r>
    </w:p>
    <w:p>
      <w:pPr>
        <w:pStyle w:val="Point0"/>
        <w:rPr>
          <w:noProof/>
        </w:rPr>
      </w:pPr>
      <w:r>
        <w:rPr>
          <w:noProof/>
        </w:rPr>
        <w:t xml:space="preserve">5. </w:t>
      </w:r>
      <w:r>
        <w:rPr>
          <w:noProof/>
        </w:rPr>
        <w:tab/>
        <w:t>Urychlit iniciativy k dokončení HMU, a to při plném respektování vnitřního trhu EU a způsobem otevřeným a transparentním. Provést zbývající opatření v rámci 1. etapy podle zprávy pěti předsedů o dokončení HMU v Evropě.</w:t>
      </w:r>
    </w:p>
    <w:p>
      <w:pPr>
        <w:pStyle w:val="Fait"/>
        <w:rPr>
          <w:noProof/>
        </w:rPr>
      </w:pPr>
      <w:r>
        <w:rPr>
          <w:noProof/>
        </w:rPr>
        <w:t>V Bruselu dne</w:t>
      </w:r>
    </w:p>
    <w:p>
      <w:pPr>
        <w:pStyle w:val="Institutionquisigne"/>
        <w:rPr>
          <w:noProof/>
        </w:rPr>
      </w:pPr>
      <w:r>
        <w:rPr>
          <w:noProof/>
        </w:rPr>
        <w:tab/>
        <w:t>Za Radu</w:t>
      </w:r>
    </w:p>
    <w:p>
      <w:pPr>
        <w:pStyle w:val="Personnequisigne"/>
        <w:keepNext/>
        <w:rPr>
          <w:noProof/>
        </w:rPr>
      </w:pPr>
      <w:r>
        <w:rPr>
          <w:noProof/>
        </w:rPr>
        <w:tab/>
        <w:t xml:space="preserve">předseda/předsedkyně </w:t>
      </w:r>
    </w:p>
    <w:p>
      <w:pPr>
        <w:pStyle w:val="Personnequisigne"/>
        <w:rPr>
          <w:noProof/>
        </w:rPr>
      </w:pPr>
    </w:p>
    <w:sectPr>
      <w:footerReference w:type="default" r:id="rId11"/>
      <w:footerReference w:type="first" r:id="rId12"/>
      <w:pgSz w:w="11907" w:h="16839"/>
      <w:pgMar w:top="1134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spacing w:before="0" w:after="0"/>
      </w:pPr>
      <w:r>
        <w:separator/>
      </w:r>
    </w:p>
  </w:endnote>
  <w:endnote w:type="continuationSeparator" w:id="0">
    <w:p>
      <w:pPr>
        <w:spacing w:before="0" w:after="0"/>
      </w:pPr>
      <w:r>
        <w:continuationSeparator/>
      </w:r>
    </w:p>
  </w:endnote>
  <w:endnote w:type="continuationNotice" w:id="1">
    <w:p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rPr>
        <w:rFonts w:ascii="Arial" w:hAnsi="Arial" w:cs="Arial"/>
        <w:b/>
        <w:sz w:val="48"/>
      </w:rPr>
    </w:pPr>
    <w:r>
      <w:rPr>
        <w:rFonts w:ascii="Arial" w:hAnsi="Arial" w:cs="Arial"/>
        <w:b/>
        <w:sz w:val="48"/>
      </w:rPr>
      <w:t>CS</w:t>
    </w:r>
    <w:r>
      <w:rPr>
        <w:rFonts w:ascii="Arial" w:hAnsi="Arial" w:cs="Arial"/>
        <w:b/>
        <w:sz w:val="48"/>
      </w:rPr>
      <w:tab/>
    </w:r>
    <w:r>
      <w:rPr>
        <w:rFonts w:ascii="Arial" w:hAnsi="Arial" w:cs="Arial"/>
        <w:b/>
        <w:sz w:val="48"/>
      </w:rPr>
      <w:tab/>
    </w:r>
    <w:r>
      <w:fldChar w:fldCharType="begin"/>
    </w:r>
    <w:r>
      <w:instrText xml:space="preserve"> DOCVARIABLE "LW_Confidence" \* MERGEFORMAT </w:instrText>
    </w:r>
    <w:r>
      <w:fldChar w:fldCharType="separate"/>
    </w:r>
    <w:r>
      <w:t xml:space="preserve"> </w:t>
    </w:r>
    <w:r>
      <w:fldChar w:fldCharType="end"/>
    </w:r>
    <w:r>
      <w:tab/>
    </w:r>
    <w:r>
      <w:rPr>
        <w:rFonts w:ascii="Arial" w:hAnsi="Arial" w:cs="Arial"/>
        <w:b/>
        <w:sz w:val="48"/>
      </w:rPr>
      <w:t>CS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rPr>
        <w:rFonts w:ascii="Arial" w:hAnsi="Arial" w:cs="Arial"/>
        <w:b/>
        <w:sz w:val="48"/>
      </w:rPr>
    </w:pPr>
    <w:r>
      <w:rPr>
        <w:rFonts w:ascii="Arial" w:hAnsi="Arial" w:cs="Arial"/>
        <w:b/>
        <w:sz w:val="48"/>
      </w:rPr>
      <w:t>CS</w:t>
    </w:r>
    <w:r>
      <w:rPr>
        <w:rFonts w:ascii="Arial" w:hAnsi="Arial" w:cs="Arial"/>
        <w:b/>
        <w:sz w:val="48"/>
      </w:rPr>
      <w:tab/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7</w:t>
    </w:r>
    <w:r>
      <w:fldChar w:fldCharType="end"/>
    </w:r>
    <w:r>
      <w:tab/>
    </w:r>
    <w:r>
      <w:fldChar w:fldCharType="begin"/>
    </w:r>
    <w:r>
      <w:instrText xml:space="preserve"> DOCVARIABLE "LW_Confidence" \* MERGEFORMAT </w:instrText>
    </w:r>
    <w:r>
      <w:fldChar w:fldCharType="separate"/>
    </w:r>
    <w:r>
      <w:t xml:space="preserve"> </w:t>
    </w:r>
    <w:r>
      <w:fldChar w:fldCharType="end"/>
    </w:r>
    <w:r>
      <w:tab/>
    </w:r>
    <w:r>
      <w:rPr>
        <w:rFonts w:ascii="Arial" w:hAnsi="Arial" w:cs="Arial"/>
        <w:b/>
        <w:sz w:val="48"/>
      </w:rPr>
      <w:t>CS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pPr>
        <w:spacing w:before="0" w:after="0"/>
      </w:pPr>
      <w:r>
        <w:separator/>
      </w:r>
    </w:p>
  </w:footnote>
  <w:footnote w:type="continuationSeparator" w:id="0">
    <w:p>
      <w:pPr>
        <w:spacing w:before="0" w:after="0"/>
      </w:pPr>
      <w:r>
        <w:continuationSeparator/>
      </w:r>
    </w:p>
  </w:footnote>
  <w:footnote w:type="continuationNotice" w:id="1">
    <w:p>
      <w:pPr>
        <w:spacing w:before="0" w:after="0"/>
      </w:pPr>
    </w:p>
  </w:footnote>
  <w:footnote w:id="2">
    <w:p>
      <w:pPr>
        <w:pStyle w:val="FootnoteText"/>
      </w:pPr>
      <w:r>
        <w:rPr>
          <w:rStyle w:val="FootnoteReference"/>
        </w:rPr>
        <w:footnoteRef/>
      </w:r>
      <w:r>
        <w:tab/>
        <w:t>Úř. věst. L 209, 2.8.1997, s. 1.</w:t>
      </w:r>
    </w:p>
  </w:footnote>
  <w:footnote w:id="3">
    <w:p>
      <w:pPr>
        <w:pStyle w:val="FootnoteText"/>
      </w:pPr>
      <w:r>
        <w:rPr>
          <w:rStyle w:val="FootnoteReference"/>
        </w:rPr>
        <w:footnoteRef/>
      </w:r>
      <w:r>
        <w:tab/>
        <w:t>Úř. věst. L 306, 23.11.2011, s. 25.</w:t>
      </w:r>
    </w:p>
  </w:footnote>
  <w:footnote w:id="4">
    <w:p>
      <w:pPr>
        <w:pStyle w:val="FootnoteText"/>
      </w:pPr>
      <w:r>
        <w:rPr>
          <w:rStyle w:val="FootnoteReference"/>
        </w:rPr>
        <w:footnoteRef/>
      </w:r>
      <w:r>
        <w:tab/>
        <w:t xml:space="preserve">Úř. věst. C 349, </w:t>
      </w:r>
      <w:r>
        <w:rPr>
          <w:sz w:val="19"/>
        </w:rPr>
        <w:t>24.9.2016</w:t>
      </w:r>
      <w:r>
        <w:t>, s. 1.</w:t>
      </w:r>
    </w:p>
  </w:footnote>
  <w:footnote w:id="5">
    <w:p>
      <w:pPr>
        <w:pStyle w:val="FootnoteText"/>
      </w:pPr>
      <w:r>
        <w:rPr>
          <w:rStyle w:val="FootnoteReference"/>
        </w:rPr>
        <w:footnoteRef/>
      </w:r>
      <w:r>
        <w:tab/>
        <w:t>Viz COM(2016) 727 final, 16.11.2016.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D"/>
    <w:multiLevelType w:val="singleLevel"/>
    <w:tmpl w:val="0554E44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5AA2558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1DDAA79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1"/>
    <w:multiLevelType w:val="singleLevel"/>
    <w:tmpl w:val="BFA4847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>
    <w:nsid w:val="FFFFFF82"/>
    <w:multiLevelType w:val="singleLevel"/>
    <w:tmpl w:val="C8F265C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>
    <w:nsid w:val="FFFFFF83"/>
    <w:multiLevelType w:val="singleLevel"/>
    <w:tmpl w:val="65446EB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>
    <w:nsid w:val="FFFFFF88"/>
    <w:multiLevelType w:val="singleLevel"/>
    <w:tmpl w:val="3DEACF3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FFFFFF89"/>
    <w:multiLevelType w:val="singleLevel"/>
    <w:tmpl w:val="1038B7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9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1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2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3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4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5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16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7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18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9">
    <w:nsid w:val="64A12FA4"/>
    <w:multiLevelType w:val="multilevel"/>
    <w:tmpl w:val="428ECF3E"/>
    <w:name w:val="Heading"/>
    <w:lvl w:ilvl="0">
      <w:start w:val="1"/>
      <w:numFmt w:val="decimal"/>
      <w:lvlRestart w:val="0"/>
      <w:pStyle w:val="Heading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1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18"/>
  </w:num>
  <w:num w:numId="10">
    <w:abstractNumId w:val="12"/>
  </w:num>
  <w:num w:numId="11">
    <w:abstractNumId w:val="20"/>
  </w:num>
  <w:num w:numId="12">
    <w:abstractNumId w:val="11"/>
  </w:num>
  <w:num w:numId="13">
    <w:abstractNumId w:val="13"/>
  </w:num>
  <w:num w:numId="14">
    <w:abstractNumId w:val="9"/>
  </w:num>
  <w:num w:numId="15">
    <w:abstractNumId w:val="19"/>
  </w:num>
  <w:num w:numId="16">
    <w:abstractNumId w:val="8"/>
  </w:num>
  <w:num w:numId="17">
    <w:abstractNumId w:val="14"/>
  </w:num>
  <w:num w:numId="18">
    <w:abstractNumId w:val="16"/>
  </w:num>
  <w:num w:numId="19">
    <w:abstractNumId w:val="17"/>
  </w:num>
  <w:num w:numId="20">
    <w:abstractNumId w:val="10"/>
  </w:num>
  <w:num w:numId="21">
    <w:abstractNumId w:val="15"/>
  </w:num>
  <w:num w:numId="22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80"/>
  <w:removePersonalInformation/>
  <w:removeDateAndTime/>
  <w:hideSpellingErrors/>
  <w:hideGrammaticalErrors/>
  <w:attachedTemplate r:id="rId1"/>
  <w:revisionView w:markup="0"/>
  <w:defaultTabStop w:val="720"/>
  <w:hyphenationZone w:val="425"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VERPAGE_EXISTS" w:val="True"/>
    <w:docVar w:name="DQCDateTime" w:val="2016-11-18 17:35:03"/>
    <w:docVar w:name="DQCResult_Distribution" w:val="0;0"/>
    <w:docVar w:name="DQCResult_DocumentContent" w:val="0;0"/>
    <w:docVar w:name="DQCResult_DocumentSize" w:val="0;0"/>
    <w:docVar w:name="DQCResult_DocumentVersions" w:val="0;0"/>
    <w:docVar w:name="DQCResult_ExistenceOfMacros" w:val="0;0"/>
    <w:docVar w:name="DQCResult_InvalidFootnotes" w:val="0;0"/>
    <w:docVar w:name="DQCResult_LinkedStyles" w:val="0;0"/>
    <w:docVar w:name="DQCResult_ModifiedMargins" w:val="0;0"/>
    <w:docVar w:name="DQCResult_ModifiedMarkers" w:val="0;0"/>
    <w:docVar w:name="DQCResult_ModifiedNumbering" w:val="0;0"/>
    <w:docVar w:name="DQCResult_Objects" w:val="0;0"/>
    <w:docVar w:name="DQCResult_Sections" w:val="0;0"/>
    <w:docVar w:name="DQCResult_StructureCheck" w:val="0;0"/>
    <w:docVar w:name="DQCResult_SuperfluousWhitespace" w:val="0;3"/>
    <w:docVar w:name="DQCResult_UnknownFonts" w:val="0;0"/>
    <w:docVar w:name="DQCResult_UnknownStyles" w:val="0;0"/>
    <w:docVar w:name="DQCStatus" w:val="Green"/>
    <w:docVar w:name="DQCVersion" w:val="3"/>
    <w:docVar w:name="DQCWithWarnings" w:val="0"/>
    <w:docVar w:name="LW_CONFIDENCE" w:val=" "/>
    <w:docVar w:name="LW_CONST_RESTREINT_UE" w:val="RESTREINT UE"/>
    <w:docVar w:name="LW_CORRIGENDUM" w:val="&lt;UNUSED&gt;"/>
    <w:docVar w:name="LW_COVERPAGE_GUID" w:val="C7830D87248D4BF5ACE9E654AF0EB04D"/>
    <w:docVar w:name="LW_CROSSREFERENCE" w:val="&lt;UNUSED&gt;"/>
    <w:docVar w:name="LW_DocType" w:val="COM"/>
    <w:docVar w:name="LW_EMISSION" w:val="16.11.2016"/>
    <w:docVar w:name="LW_EMISSION_ISODATE" w:val="2016-11-16"/>
    <w:docVar w:name="LW_EMISSION_LOCATION" w:val="BRX"/>
    <w:docVar w:name="LW_EMISSION_PREFIX" w:val="V Bruselu dne "/>
    <w:docVar w:name="LW_EMISSION_SUFFIX" w:val=" "/>
    <w:docVar w:name="LW_ID_DOCMODEL" w:val="SG-002"/>
    <w:docVar w:name="LW_ID_DOCSIGNATURE" w:val="SG-002"/>
    <w:docVar w:name="LW_ID_DOCSTRUCTURE" w:val="COM/PL/ORG"/>
    <w:docVar w:name="LW_ID_DOCTYPE" w:val="SG-002"/>
    <w:docVar w:name="LW_ID_STATUT" w:val="SG-002"/>
    <w:docVar w:name="LW_INTERETEEE.CP" w:val="&lt;UNUSED&gt;"/>
    <w:docVar w:name="LW_LANGUE" w:val="CS"/>
    <w:docVar w:name="LW_MARKING" w:val="Limité Cabinets           Embargo jusqu'à adoption"/>
    <w:docVar w:name="LW_NOM.INST" w:val="EVROPSKÁ KOMISE"/>
    <w:docVar w:name="LW_NOM.INST_JOINTDOC" w:val="&lt;EMPTY&gt;"/>
    <w:docVar w:name="LW_PART_NBR" w:val="1"/>
    <w:docVar w:name="LW_PART_NBR_TOTAL" w:val="1"/>
    <w:docVar w:name="LW_REF.II.NEW.CP" w:val="&lt;UNUSED&gt;"/>
    <w:docVar w:name="LW_REF.II.NEW.CP_NUMBER" w:val="&lt;UNUSED&gt;"/>
    <w:docVar w:name="LW_REF.II.NEW.CP_YEAR" w:val="2016"/>
    <w:docVar w:name="LW_REF.INST.NEW" w:val="COM"/>
    <w:docVar w:name="LW_REF.INST.NEW_ADOPTED" w:val="final"/>
    <w:docVar w:name="LW_REF.INST.NEW_TEXT" w:val="(2016) 726"/>
    <w:docVar w:name="LW_REF.INTERNE" w:val="&lt;UNUSED&gt;"/>
    <w:docVar w:name="LW_SOUS.TITRE.OBJ.CP" w:val="&lt;UNUSED&gt;"/>
    <w:docVar w:name="LW_STATUT.CP" w:val="Doporu\u269?ení pro"/>
    <w:docVar w:name="LW_SUPERTITRE" w:val="&lt;UNUSED&gt;"/>
    <w:docVar w:name="LW_TITRE.OBJ.CP" w:val="týkající se hospodá\u345?ské politiky eurozóny"/>
    <w:docVar w:name="LW_TYPE.DOC.CP" w:val="DOPORU\u268?ENÍ RADY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120" w:line="240" w:lineRule="auto"/>
      <w:jc w:val="both"/>
    </w:pPr>
    <w:rPr>
      <w:rFonts w:ascii="Times New Roman" w:hAnsi="Times New Roman"/>
      <w:sz w:val="24"/>
      <w:lang w:val="cs-CZ"/>
    </w:rPr>
  </w:style>
  <w:style w:type="paragraph" w:styleId="Heading1">
    <w:name w:val="heading 1"/>
    <w:basedOn w:val="Normal"/>
    <w:next w:val="Text1"/>
    <w:link w:val="Heading1Char"/>
    <w:uiPriority w:val="9"/>
    <w:qFormat/>
    <w:pPr>
      <w:keepNext/>
      <w:numPr>
        <w:numId w:val="15"/>
      </w:numPr>
      <w:spacing w:before="360"/>
      <w:outlineLvl w:val="0"/>
    </w:pPr>
    <w:rPr>
      <w:rFonts w:eastAsiaTheme="majorEastAsia"/>
      <w:b/>
      <w:bCs/>
      <w:smallCaps/>
      <w:szCs w:val="28"/>
    </w:rPr>
  </w:style>
  <w:style w:type="paragraph" w:styleId="Heading2">
    <w:name w:val="heading 2"/>
    <w:basedOn w:val="Normal"/>
    <w:next w:val="Text1"/>
    <w:link w:val="Heading2Char"/>
    <w:uiPriority w:val="9"/>
    <w:semiHidden/>
    <w:unhideWhenUsed/>
    <w:qFormat/>
    <w:pPr>
      <w:keepNext/>
      <w:numPr>
        <w:ilvl w:val="1"/>
        <w:numId w:val="15"/>
      </w:numPr>
      <w:outlineLvl w:val="1"/>
    </w:pPr>
    <w:rPr>
      <w:rFonts w:eastAsiaTheme="majorEastAsia"/>
      <w:b/>
      <w:bCs/>
      <w:szCs w:val="26"/>
    </w:rPr>
  </w:style>
  <w:style w:type="paragraph" w:styleId="Heading3">
    <w:name w:val="heading 3"/>
    <w:basedOn w:val="Normal"/>
    <w:next w:val="Text1"/>
    <w:link w:val="Heading3Char"/>
    <w:uiPriority w:val="9"/>
    <w:semiHidden/>
    <w:unhideWhenUsed/>
    <w:qFormat/>
    <w:pPr>
      <w:keepNext/>
      <w:numPr>
        <w:ilvl w:val="2"/>
        <w:numId w:val="15"/>
      </w:numPr>
      <w:outlineLvl w:val="2"/>
    </w:pPr>
    <w:rPr>
      <w:rFonts w:eastAsiaTheme="majorEastAsia"/>
      <w:bCs/>
      <w:i/>
    </w:rPr>
  </w:style>
  <w:style w:type="paragraph" w:styleId="Heading4">
    <w:name w:val="heading 4"/>
    <w:basedOn w:val="Normal"/>
    <w:next w:val="Text1"/>
    <w:link w:val="Heading4Char"/>
    <w:uiPriority w:val="9"/>
    <w:semiHidden/>
    <w:unhideWhenUsed/>
    <w:qFormat/>
    <w:pPr>
      <w:keepNext/>
      <w:numPr>
        <w:ilvl w:val="3"/>
        <w:numId w:val="15"/>
      </w:numPr>
      <w:outlineLvl w:val="3"/>
    </w:pPr>
    <w:rPr>
      <w:rFonts w:eastAsiaTheme="majorEastAsia"/>
      <w:bCs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9"/>
    <w:semiHidden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pPr>
      <w:numPr>
        <w:numId w:val="4"/>
      </w:numPr>
      <w:contextualSpacing/>
    </w:p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before="0" w:after="200"/>
    </w:pPr>
    <w:rPr>
      <w:b/>
      <w:bCs/>
      <w:color w:val="4F81BD"/>
      <w:sz w:val="18"/>
      <w:szCs w:val="18"/>
    </w:rPr>
  </w:style>
  <w:style w:type="paragraph" w:styleId="TableofFigures">
    <w:name w:val="table of figures"/>
    <w:basedOn w:val="Normal"/>
    <w:next w:val="Normal"/>
    <w:uiPriority w:val="99"/>
    <w:semiHidden/>
    <w:unhideWhenUsed/>
    <w:pPr>
      <w:spacing w:after="0"/>
    </w:pPr>
  </w:style>
  <w:style w:type="paragraph" w:styleId="ListNumber">
    <w:name w:val="List Number"/>
    <w:basedOn w:val="Normal"/>
    <w:uiPriority w:val="99"/>
    <w:semiHidden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pPr>
      <w:numPr>
        <w:numId w:val="7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pPr>
      <w:numPr>
        <w:numId w:val="8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  <w:lang w:val="en-GB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Pr>
      <w:rFonts w:ascii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Pr>
      <w:rFonts w:ascii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Pr>
      <w:rFonts w:ascii="Times New Roman" w:hAnsi="Times New Roman"/>
      <w:sz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5"/>
        <w:tab w:val="right" w:pos="9071"/>
      </w:tabs>
      <w:spacing w:before="0"/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Theme="minorHAnsi" w:hAnsi="Times New Roman"/>
      <w:sz w:val="24"/>
      <w:lang w:val="cs-CZ" w:eastAsia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4"/>
      <w:shd w:val="clear" w:color="auto" w:fill="auto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before="0" w:after="0"/>
      <w:ind w:left="720" w:hanging="72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hAnsi="Times New Roman" w:cs="Times New Roman"/>
      <w:sz w:val="20"/>
      <w:szCs w:val="20"/>
      <w:shd w:val="clear" w:color="auto" w:fill="auto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Theme="majorEastAsia" w:hAnsi="Times New Roman"/>
      <w:b/>
      <w:bCs/>
      <w:smallCap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="Times New Roman" w:eastAsiaTheme="majorEastAsia" w:hAnsi="Times New Roman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="Times New Roman" w:eastAsiaTheme="majorEastAsia" w:hAnsi="Times New Roman"/>
      <w:bCs/>
      <w:i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="Times New Roman" w:eastAsiaTheme="majorEastAsia" w:hAnsi="Times New Roman"/>
      <w:bCs/>
      <w:iCs/>
      <w:sz w:val="24"/>
    </w:rPr>
  </w:style>
  <w:style w:type="paragraph" w:styleId="TOCHeading">
    <w:name w:val="TOC Heading"/>
    <w:basedOn w:val="Normal"/>
    <w:next w:val="Normal"/>
    <w:uiPriority w:val="39"/>
    <w:semiHidden/>
    <w:unhideWhenUsed/>
    <w:qFormat/>
    <w:pPr>
      <w:spacing w:after="240"/>
      <w:jc w:val="center"/>
    </w:pPr>
    <w:rPr>
      <w:b/>
      <w:sz w:val="28"/>
    </w:rPr>
  </w:style>
  <w:style w:type="paragraph" w:styleId="TOC1">
    <w:name w:val="toc 1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2">
    <w:name w:val="toc 2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3">
    <w:name w:val="toc 3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4">
    <w:name w:val="toc 4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5">
    <w:name w:val="toc 5"/>
    <w:basedOn w:val="Normal"/>
    <w:next w:val="Normal"/>
    <w:uiPriority w:val="39"/>
    <w:semiHidden/>
    <w:unhideWhenUsed/>
    <w:pPr>
      <w:tabs>
        <w:tab w:val="right" w:leader="dot" w:pos="9071"/>
      </w:tabs>
      <w:spacing w:before="300"/>
      <w:jc w:val="left"/>
    </w:pPr>
  </w:style>
  <w:style w:type="paragraph" w:styleId="TOC6">
    <w:name w:val="toc 6"/>
    <w:basedOn w:val="Normal"/>
    <w:next w:val="Normal"/>
    <w:uiPriority w:val="39"/>
    <w:semiHidden/>
    <w:unhideWhenUsed/>
    <w:pPr>
      <w:tabs>
        <w:tab w:val="right" w:leader="dot" w:pos="9071"/>
      </w:tabs>
      <w:spacing w:before="240"/>
      <w:jc w:val="left"/>
    </w:pPr>
  </w:style>
  <w:style w:type="paragraph" w:styleId="TOC7">
    <w:name w:val="toc 7"/>
    <w:basedOn w:val="Normal"/>
    <w:next w:val="Normal"/>
    <w:uiPriority w:val="39"/>
    <w:semiHidden/>
    <w:unhideWhenUsed/>
    <w:pPr>
      <w:tabs>
        <w:tab w:val="right" w:leader="dot" w:pos="9071"/>
      </w:tabs>
      <w:spacing w:before="180"/>
      <w:jc w:val="left"/>
    </w:pPr>
  </w:style>
  <w:style w:type="paragraph" w:styleId="TOC8">
    <w:name w:val="toc 8"/>
    <w:basedOn w:val="Normal"/>
    <w:next w:val="Normal"/>
    <w:uiPriority w:val="39"/>
    <w:semiHidden/>
    <w:unhideWhenUsed/>
    <w:pPr>
      <w:tabs>
        <w:tab w:val="right" w:leader="dot" w:pos="9071"/>
      </w:tabs>
      <w:jc w:val="left"/>
    </w:pPr>
  </w:style>
  <w:style w:type="paragraph" w:styleId="TOC9">
    <w:name w:val="toc 9"/>
    <w:basedOn w:val="Normal"/>
    <w:next w:val="Normal"/>
    <w:uiPriority w:val="39"/>
    <w:semiHidden/>
    <w:unhideWhenUsed/>
    <w:pPr>
      <w:tabs>
        <w:tab w:val="right" w:leader="dot" w:pos="9071"/>
      </w:tabs>
    </w:pPr>
  </w:style>
  <w:style w:type="paragraph" w:customStyle="1" w:styleId="HeaderLandscape">
    <w:name w:val="HeaderLandscape"/>
    <w:basedOn w:val="Normal"/>
    <w:pPr>
      <w:tabs>
        <w:tab w:val="center" w:pos="7285"/>
        <w:tab w:val="right" w:pos="14003"/>
      </w:tabs>
      <w:spacing w:before="0"/>
    </w:pPr>
    <w:rPr>
      <w:rFonts w:eastAsiaTheme="minorHAnsi"/>
      <w:lang w:eastAsia="en-US"/>
    </w:rPr>
  </w:style>
  <w:style w:type="paragraph" w:customStyle="1" w:styleId="FooterLandscape">
    <w:name w:val="FooterLandscape"/>
    <w:basedOn w:val="Normal"/>
    <w:pPr>
      <w:tabs>
        <w:tab w:val="center" w:pos="7285"/>
        <w:tab w:val="center" w:pos="10913"/>
        <w:tab w:val="right" w:pos="15137"/>
      </w:tabs>
      <w:spacing w:before="360" w:after="0"/>
      <w:ind w:left="-567" w:right="-567"/>
      <w:jc w:val="left"/>
    </w:pPr>
  </w:style>
  <w:style w:type="character" w:styleId="FootnoteReference">
    <w:name w:val="footnote reference"/>
    <w:basedOn w:val="DefaultParagraphFont"/>
    <w:uiPriority w:val="99"/>
    <w:semiHidden/>
    <w:unhideWhenUsed/>
    <w:rPr>
      <w:shd w:val="clear" w:color="auto" w:fill="auto"/>
      <w:vertAlign w:val="superscript"/>
    </w:rPr>
  </w:style>
  <w:style w:type="paragraph" w:customStyle="1" w:styleId="Text1">
    <w:name w:val="Text 1"/>
    <w:basedOn w:val="Normal"/>
    <w:pPr>
      <w:ind w:left="850"/>
    </w:pPr>
  </w:style>
  <w:style w:type="paragraph" w:customStyle="1" w:styleId="Text2">
    <w:name w:val="Text 2"/>
    <w:basedOn w:val="Normal"/>
    <w:pPr>
      <w:ind w:left="1417"/>
    </w:pPr>
  </w:style>
  <w:style w:type="paragraph" w:customStyle="1" w:styleId="Text3">
    <w:name w:val="Text 3"/>
    <w:basedOn w:val="Normal"/>
    <w:pPr>
      <w:ind w:left="1984"/>
    </w:pPr>
  </w:style>
  <w:style w:type="paragraph" w:customStyle="1" w:styleId="Text4">
    <w:name w:val="Text 4"/>
    <w:basedOn w:val="Normal"/>
    <w:pPr>
      <w:ind w:left="2551"/>
    </w:pPr>
  </w:style>
  <w:style w:type="paragraph" w:customStyle="1" w:styleId="NormalCentered">
    <w:name w:val="Normal Centered"/>
    <w:basedOn w:val="Normal"/>
    <w:pPr>
      <w:jc w:val="center"/>
    </w:pPr>
  </w:style>
  <w:style w:type="paragraph" w:customStyle="1" w:styleId="NormalLeft">
    <w:name w:val="Normal Left"/>
    <w:basedOn w:val="Normal"/>
    <w:pPr>
      <w:jc w:val="left"/>
    </w:pPr>
  </w:style>
  <w:style w:type="paragraph" w:customStyle="1" w:styleId="NormalRight">
    <w:name w:val="Normal Right"/>
    <w:basedOn w:val="Normal"/>
    <w:pPr>
      <w:jc w:val="right"/>
    </w:pPr>
  </w:style>
  <w:style w:type="paragraph" w:customStyle="1" w:styleId="QuotedText">
    <w:name w:val="Quoted Text"/>
    <w:basedOn w:val="Normal"/>
    <w:pPr>
      <w:ind w:left="1417"/>
    </w:pPr>
  </w:style>
  <w:style w:type="paragraph" w:customStyle="1" w:styleId="Point0">
    <w:name w:val="Point 0"/>
    <w:basedOn w:val="Normal"/>
    <w:pPr>
      <w:ind w:left="850" w:hanging="850"/>
    </w:pPr>
  </w:style>
  <w:style w:type="paragraph" w:customStyle="1" w:styleId="Point1">
    <w:name w:val="Point 1"/>
    <w:basedOn w:val="Normal"/>
    <w:pPr>
      <w:ind w:left="1417" w:hanging="567"/>
    </w:pPr>
  </w:style>
  <w:style w:type="paragraph" w:customStyle="1" w:styleId="Point2">
    <w:name w:val="Point 2"/>
    <w:basedOn w:val="Normal"/>
    <w:pPr>
      <w:ind w:left="1984" w:hanging="567"/>
    </w:pPr>
  </w:style>
  <w:style w:type="paragraph" w:customStyle="1" w:styleId="Point3">
    <w:name w:val="Point 3"/>
    <w:basedOn w:val="Normal"/>
    <w:pPr>
      <w:ind w:left="2551" w:hanging="567"/>
    </w:pPr>
  </w:style>
  <w:style w:type="paragraph" w:customStyle="1" w:styleId="Point4">
    <w:name w:val="Point 4"/>
    <w:basedOn w:val="Normal"/>
    <w:pPr>
      <w:ind w:left="3118" w:hanging="567"/>
    </w:pPr>
  </w:style>
  <w:style w:type="paragraph" w:customStyle="1" w:styleId="Tiret0">
    <w:name w:val="Tiret 0"/>
    <w:basedOn w:val="Point0"/>
    <w:pPr>
      <w:numPr>
        <w:numId w:val="9"/>
      </w:numPr>
    </w:pPr>
  </w:style>
  <w:style w:type="paragraph" w:customStyle="1" w:styleId="Tiret1">
    <w:name w:val="Tiret 1"/>
    <w:basedOn w:val="Point1"/>
    <w:pPr>
      <w:numPr>
        <w:numId w:val="10"/>
      </w:numPr>
    </w:pPr>
  </w:style>
  <w:style w:type="paragraph" w:customStyle="1" w:styleId="Tiret2">
    <w:name w:val="Tiret 2"/>
    <w:basedOn w:val="Point2"/>
    <w:pPr>
      <w:numPr>
        <w:numId w:val="11"/>
      </w:numPr>
    </w:pPr>
  </w:style>
  <w:style w:type="paragraph" w:customStyle="1" w:styleId="Tiret3">
    <w:name w:val="Tiret 3"/>
    <w:basedOn w:val="Point3"/>
    <w:pPr>
      <w:numPr>
        <w:numId w:val="12"/>
      </w:numPr>
    </w:pPr>
  </w:style>
  <w:style w:type="paragraph" w:customStyle="1" w:styleId="Tiret4">
    <w:name w:val="Tiret 4"/>
    <w:basedOn w:val="Point4"/>
    <w:pPr>
      <w:numPr>
        <w:numId w:val="13"/>
      </w:numPr>
    </w:pPr>
  </w:style>
  <w:style w:type="paragraph" w:customStyle="1" w:styleId="PointDouble0">
    <w:name w:val="PointDouble 0"/>
    <w:basedOn w:val="Normal"/>
    <w:pPr>
      <w:tabs>
        <w:tab w:val="left" w:pos="850"/>
      </w:tabs>
      <w:ind w:left="1417" w:hanging="1417"/>
    </w:pPr>
  </w:style>
  <w:style w:type="paragraph" w:customStyle="1" w:styleId="PointDouble1">
    <w:name w:val="PointDouble 1"/>
    <w:basedOn w:val="Normal"/>
    <w:pPr>
      <w:tabs>
        <w:tab w:val="left" w:pos="1417"/>
      </w:tabs>
      <w:ind w:left="1984" w:hanging="1134"/>
    </w:pPr>
  </w:style>
  <w:style w:type="paragraph" w:customStyle="1" w:styleId="PointDouble2">
    <w:name w:val="PointDouble 2"/>
    <w:basedOn w:val="Normal"/>
    <w:pPr>
      <w:tabs>
        <w:tab w:val="left" w:pos="1984"/>
      </w:tabs>
      <w:ind w:left="2551" w:hanging="1134"/>
    </w:pPr>
  </w:style>
  <w:style w:type="paragraph" w:customStyle="1" w:styleId="PointDouble3">
    <w:name w:val="PointDouble 3"/>
    <w:basedOn w:val="Normal"/>
    <w:pPr>
      <w:tabs>
        <w:tab w:val="left" w:pos="2551"/>
      </w:tabs>
      <w:ind w:left="3118" w:hanging="1134"/>
    </w:pPr>
  </w:style>
  <w:style w:type="paragraph" w:customStyle="1" w:styleId="PointDouble4">
    <w:name w:val="PointDouble 4"/>
    <w:basedOn w:val="Normal"/>
    <w:pPr>
      <w:tabs>
        <w:tab w:val="left" w:pos="3118"/>
      </w:tabs>
      <w:ind w:left="3685" w:hanging="1134"/>
    </w:pPr>
  </w:style>
  <w:style w:type="paragraph" w:customStyle="1" w:styleId="PointTriple0">
    <w:name w:val="PointTriple 0"/>
    <w:basedOn w:val="Normal"/>
    <w:pPr>
      <w:tabs>
        <w:tab w:val="left" w:pos="850"/>
        <w:tab w:val="left" w:pos="1417"/>
      </w:tabs>
      <w:ind w:left="1984" w:hanging="1984"/>
    </w:pPr>
  </w:style>
  <w:style w:type="paragraph" w:customStyle="1" w:styleId="PointTriple1">
    <w:name w:val="PointTriple 1"/>
    <w:basedOn w:val="Normal"/>
    <w:pPr>
      <w:tabs>
        <w:tab w:val="left" w:pos="1417"/>
        <w:tab w:val="left" w:pos="1984"/>
      </w:tabs>
      <w:ind w:left="2551" w:hanging="1701"/>
    </w:pPr>
  </w:style>
  <w:style w:type="paragraph" w:customStyle="1" w:styleId="PointTriple2">
    <w:name w:val="PointTriple 2"/>
    <w:basedOn w:val="Normal"/>
    <w:pPr>
      <w:tabs>
        <w:tab w:val="left" w:pos="1984"/>
        <w:tab w:val="left" w:pos="2551"/>
      </w:tabs>
      <w:ind w:left="3118" w:hanging="1701"/>
    </w:pPr>
  </w:style>
  <w:style w:type="paragraph" w:customStyle="1" w:styleId="PointTriple3">
    <w:name w:val="PointTriple 3"/>
    <w:basedOn w:val="Normal"/>
    <w:pPr>
      <w:tabs>
        <w:tab w:val="left" w:pos="2551"/>
        <w:tab w:val="left" w:pos="3118"/>
      </w:tabs>
      <w:ind w:left="3685" w:hanging="1701"/>
    </w:pPr>
  </w:style>
  <w:style w:type="paragraph" w:customStyle="1" w:styleId="PointTriple4">
    <w:name w:val="PointTriple 4"/>
    <w:basedOn w:val="Normal"/>
    <w:pPr>
      <w:tabs>
        <w:tab w:val="left" w:pos="3118"/>
        <w:tab w:val="left" w:pos="3685"/>
      </w:tabs>
      <w:ind w:left="4252" w:hanging="1701"/>
    </w:pPr>
  </w:style>
  <w:style w:type="paragraph" w:customStyle="1" w:styleId="NumPar1">
    <w:name w:val="NumPar 1"/>
    <w:basedOn w:val="Normal"/>
    <w:next w:val="Text1"/>
    <w:pPr>
      <w:numPr>
        <w:numId w:val="14"/>
      </w:numPr>
    </w:pPr>
  </w:style>
  <w:style w:type="paragraph" w:customStyle="1" w:styleId="NumPar2">
    <w:name w:val="NumPar 2"/>
    <w:basedOn w:val="Normal"/>
    <w:next w:val="Text1"/>
    <w:pPr>
      <w:numPr>
        <w:ilvl w:val="1"/>
        <w:numId w:val="14"/>
      </w:numPr>
    </w:pPr>
  </w:style>
  <w:style w:type="paragraph" w:customStyle="1" w:styleId="NumPar3">
    <w:name w:val="NumPar 3"/>
    <w:basedOn w:val="Normal"/>
    <w:next w:val="Text1"/>
    <w:pPr>
      <w:numPr>
        <w:ilvl w:val="2"/>
        <w:numId w:val="14"/>
      </w:numPr>
    </w:pPr>
  </w:style>
  <w:style w:type="paragraph" w:customStyle="1" w:styleId="NumPar4">
    <w:name w:val="NumPar 4"/>
    <w:basedOn w:val="Normal"/>
    <w:next w:val="Text1"/>
    <w:pPr>
      <w:numPr>
        <w:ilvl w:val="3"/>
        <w:numId w:val="14"/>
      </w:numPr>
    </w:pPr>
  </w:style>
  <w:style w:type="paragraph" w:customStyle="1" w:styleId="ManualNumPar1">
    <w:name w:val="Manual NumPar 1"/>
    <w:basedOn w:val="Normal"/>
    <w:next w:val="Text1"/>
    <w:pPr>
      <w:ind w:left="850" w:hanging="850"/>
    </w:pPr>
  </w:style>
  <w:style w:type="paragraph" w:customStyle="1" w:styleId="ManualNumPar2">
    <w:name w:val="Manual NumPar 2"/>
    <w:basedOn w:val="Normal"/>
    <w:next w:val="Text1"/>
    <w:pPr>
      <w:ind w:left="850" w:hanging="850"/>
    </w:pPr>
  </w:style>
  <w:style w:type="paragraph" w:customStyle="1" w:styleId="ManualNumPar3">
    <w:name w:val="Manual NumPar 3"/>
    <w:basedOn w:val="Normal"/>
    <w:next w:val="Text1"/>
    <w:pPr>
      <w:ind w:left="850" w:hanging="850"/>
    </w:pPr>
  </w:style>
  <w:style w:type="paragraph" w:customStyle="1" w:styleId="ManualNumPar4">
    <w:name w:val="Manual NumPar 4"/>
    <w:basedOn w:val="Normal"/>
    <w:next w:val="Text1"/>
    <w:pPr>
      <w:ind w:left="850" w:hanging="850"/>
    </w:pPr>
  </w:style>
  <w:style w:type="paragraph" w:customStyle="1" w:styleId="QuotedNumPar">
    <w:name w:val="Quoted NumPar"/>
    <w:basedOn w:val="Normal"/>
    <w:pPr>
      <w:ind w:left="1417" w:hanging="567"/>
    </w:pPr>
  </w:style>
  <w:style w:type="paragraph" w:customStyle="1" w:styleId="ManualHeading1">
    <w:name w:val="Manual Heading 1"/>
    <w:basedOn w:val="Normal"/>
    <w:next w:val="Text1"/>
    <w:pPr>
      <w:keepNext/>
      <w:tabs>
        <w:tab w:val="left" w:pos="850"/>
      </w:tabs>
      <w:spacing w:before="360"/>
      <w:ind w:left="850" w:hanging="850"/>
      <w:outlineLvl w:val="0"/>
    </w:pPr>
    <w:rPr>
      <w:b/>
      <w:smallCaps/>
    </w:rPr>
  </w:style>
  <w:style w:type="paragraph" w:customStyle="1" w:styleId="ManualHeading2">
    <w:name w:val="Manual Heading 2"/>
    <w:basedOn w:val="Normal"/>
    <w:next w:val="Text1"/>
    <w:pPr>
      <w:keepNext/>
      <w:tabs>
        <w:tab w:val="left" w:pos="850"/>
      </w:tabs>
      <w:ind w:left="850" w:hanging="850"/>
      <w:outlineLvl w:val="1"/>
    </w:pPr>
    <w:rPr>
      <w:b/>
    </w:rPr>
  </w:style>
  <w:style w:type="paragraph" w:customStyle="1" w:styleId="ManualHeading3">
    <w:name w:val="Manual Heading 3"/>
    <w:basedOn w:val="Normal"/>
    <w:next w:val="Text1"/>
    <w:pPr>
      <w:keepNext/>
      <w:tabs>
        <w:tab w:val="left" w:pos="850"/>
      </w:tabs>
      <w:ind w:left="850" w:hanging="850"/>
      <w:outlineLvl w:val="2"/>
    </w:pPr>
    <w:rPr>
      <w:i/>
    </w:rPr>
  </w:style>
  <w:style w:type="paragraph" w:customStyle="1" w:styleId="ManualHeading4">
    <w:name w:val="Manual Heading 4"/>
    <w:basedOn w:val="Normal"/>
    <w:next w:val="Text1"/>
    <w:pPr>
      <w:keepNext/>
      <w:tabs>
        <w:tab w:val="left" w:pos="850"/>
      </w:tabs>
      <w:ind w:left="850" w:hanging="850"/>
      <w:outlineLvl w:val="3"/>
    </w:pPr>
  </w:style>
  <w:style w:type="paragraph" w:customStyle="1" w:styleId="ChapterTitle">
    <w:name w:val="ChapterTitle"/>
    <w:basedOn w:val="Normal"/>
    <w:next w:val="Normal"/>
    <w:pPr>
      <w:keepNext/>
      <w:spacing w:after="36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pPr>
      <w:keepNext/>
      <w:pageBreakBefore/>
      <w:spacing w:after="360"/>
      <w:jc w:val="center"/>
    </w:pPr>
    <w:rPr>
      <w:b/>
      <w:sz w:val="36"/>
    </w:rPr>
  </w:style>
  <w:style w:type="paragraph" w:customStyle="1" w:styleId="SectionTitle">
    <w:name w:val="SectionTitle"/>
    <w:basedOn w:val="Normal"/>
    <w:next w:val="Heading1"/>
    <w:pPr>
      <w:keepNext/>
      <w:spacing w:after="360"/>
      <w:jc w:val="center"/>
    </w:pPr>
    <w:rPr>
      <w:b/>
      <w:smallCaps/>
      <w:sz w:val="28"/>
    </w:rPr>
  </w:style>
  <w:style w:type="paragraph" w:customStyle="1" w:styleId="TableTitle">
    <w:name w:val="Table Title"/>
    <w:basedOn w:val="Normal"/>
    <w:next w:val="Normal"/>
    <w:pPr>
      <w:jc w:val="center"/>
    </w:pPr>
    <w:rPr>
      <w:b/>
    </w:rPr>
  </w:style>
  <w:style w:type="character" w:customStyle="1" w:styleId="Marker">
    <w:name w:val="Marker"/>
    <w:basedOn w:val="DefaultParagraphFont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pPr>
      <w:numPr>
        <w:numId w:val="16"/>
      </w:numPr>
    </w:pPr>
  </w:style>
  <w:style w:type="paragraph" w:customStyle="1" w:styleId="Point1number">
    <w:name w:val="Point 1 (number)"/>
    <w:basedOn w:val="Normal"/>
    <w:pPr>
      <w:numPr>
        <w:ilvl w:val="2"/>
        <w:numId w:val="16"/>
      </w:numPr>
    </w:pPr>
  </w:style>
  <w:style w:type="paragraph" w:customStyle="1" w:styleId="Point2number">
    <w:name w:val="Point 2 (number)"/>
    <w:basedOn w:val="Normal"/>
    <w:pPr>
      <w:numPr>
        <w:ilvl w:val="4"/>
        <w:numId w:val="16"/>
      </w:numPr>
    </w:pPr>
  </w:style>
  <w:style w:type="paragraph" w:customStyle="1" w:styleId="Point3number">
    <w:name w:val="Point 3 (number)"/>
    <w:basedOn w:val="Normal"/>
    <w:pPr>
      <w:numPr>
        <w:ilvl w:val="6"/>
        <w:numId w:val="16"/>
      </w:numPr>
    </w:pPr>
  </w:style>
  <w:style w:type="paragraph" w:customStyle="1" w:styleId="Point0letter">
    <w:name w:val="Point 0 (letter)"/>
    <w:basedOn w:val="Normal"/>
    <w:pPr>
      <w:numPr>
        <w:ilvl w:val="1"/>
        <w:numId w:val="16"/>
      </w:numPr>
    </w:pPr>
  </w:style>
  <w:style w:type="paragraph" w:customStyle="1" w:styleId="Point1letter">
    <w:name w:val="Point 1 (letter)"/>
    <w:basedOn w:val="Normal"/>
    <w:pPr>
      <w:numPr>
        <w:ilvl w:val="3"/>
        <w:numId w:val="16"/>
      </w:numPr>
    </w:pPr>
  </w:style>
  <w:style w:type="paragraph" w:customStyle="1" w:styleId="Point2letter">
    <w:name w:val="Point 2 (letter)"/>
    <w:basedOn w:val="Normal"/>
    <w:pPr>
      <w:numPr>
        <w:ilvl w:val="5"/>
        <w:numId w:val="16"/>
      </w:numPr>
    </w:pPr>
  </w:style>
  <w:style w:type="paragraph" w:customStyle="1" w:styleId="Point3letter">
    <w:name w:val="Point 3 (letter)"/>
    <w:basedOn w:val="Normal"/>
    <w:pPr>
      <w:numPr>
        <w:ilvl w:val="7"/>
        <w:numId w:val="16"/>
      </w:numPr>
    </w:pPr>
  </w:style>
  <w:style w:type="paragraph" w:customStyle="1" w:styleId="Point4letter">
    <w:name w:val="Point 4 (letter)"/>
    <w:basedOn w:val="Normal"/>
    <w:pPr>
      <w:numPr>
        <w:ilvl w:val="8"/>
        <w:numId w:val="16"/>
      </w:numPr>
    </w:pPr>
  </w:style>
  <w:style w:type="paragraph" w:customStyle="1" w:styleId="Bullet0">
    <w:name w:val="Bullet 0"/>
    <w:basedOn w:val="Normal"/>
    <w:pPr>
      <w:numPr>
        <w:numId w:val="17"/>
      </w:numPr>
    </w:pPr>
  </w:style>
  <w:style w:type="paragraph" w:customStyle="1" w:styleId="Bullet1">
    <w:name w:val="Bullet 1"/>
    <w:basedOn w:val="Normal"/>
    <w:pPr>
      <w:numPr>
        <w:numId w:val="18"/>
      </w:numPr>
    </w:pPr>
  </w:style>
  <w:style w:type="paragraph" w:customStyle="1" w:styleId="Bullet2">
    <w:name w:val="Bullet 2"/>
    <w:basedOn w:val="Normal"/>
    <w:pPr>
      <w:numPr>
        <w:numId w:val="19"/>
      </w:numPr>
    </w:pPr>
  </w:style>
  <w:style w:type="paragraph" w:customStyle="1" w:styleId="Bullet3">
    <w:name w:val="Bullet 3"/>
    <w:basedOn w:val="Normal"/>
    <w:pPr>
      <w:numPr>
        <w:numId w:val="20"/>
      </w:numPr>
    </w:pPr>
  </w:style>
  <w:style w:type="paragraph" w:customStyle="1" w:styleId="Bullet4">
    <w:name w:val="Bullet 4"/>
    <w:basedOn w:val="Normal"/>
    <w:pPr>
      <w:numPr>
        <w:numId w:val="21"/>
      </w:numPr>
    </w:pPr>
  </w:style>
  <w:style w:type="paragraph" w:customStyle="1" w:styleId="Annexetitreexpos">
    <w:name w:val="Annexe titre (exposé)"/>
    <w:basedOn w:val="Normal"/>
    <w:next w:val="Normal"/>
    <w:pPr>
      <w:jc w:val="center"/>
    </w:pPr>
    <w:rPr>
      <w:b/>
      <w:u w:val="single"/>
    </w:rPr>
  </w:style>
  <w:style w:type="paragraph" w:customStyle="1" w:styleId="Annexetitre">
    <w:name w:val="Annexe titre"/>
    <w:basedOn w:val="Normal"/>
    <w:next w:val="Normal"/>
    <w:pPr>
      <w:jc w:val="center"/>
    </w:pPr>
    <w:rPr>
      <w:b/>
      <w:u w:val="single"/>
    </w:rPr>
  </w:style>
  <w:style w:type="paragraph" w:customStyle="1" w:styleId="Annexetitrefichefinancire">
    <w:name w:val="Annexe titre (fiche financière)"/>
    <w:basedOn w:val="Normal"/>
    <w:next w:val="Normal"/>
    <w:pPr>
      <w:jc w:val="center"/>
    </w:pPr>
    <w:rPr>
      <w:b/>
      <w:u w:val="single"/>
    </w:rPr>
  </w:style>
  <w:style w:type="paragraph" w:customStyle="1" w:styleId="Applicationdirecte">
    <w:name w:val="Application directe"/>
    <w:basedOn w:val="Normal"/>
    <w:next w:val="Fait"/>
    <w:pPr>
      <w:spacing w:before="480"/>
    </w:pPr>
  </w:style>
  <w:style w:type="paragraph" w:customStyle="1" w:styleId="Avertissementtitre">
    <w:name w:val="Avertissement titre"/>
    <w:basedOn w:val="Normal"/>
    <w:next w:val="Normal"/>
    <w:pPr>
      <w:keepNext/>
      <w:spacing w:before="480"/>
    </w:pPr>
    <w:rPr>
      <w:u w:val="single"/>
    </w:rPr>
  </w:style>
  <w:style w:type="paragraph" w:customStyle="1" w:styleId="Confidence">
    <w:name w:val="Confidence"/>
    <w:basedOn w:val="Normal"/>
    <w:next w:val="Normal"/>
    <w:pPr>
      <w:spacing w:before="360"/>
      <w:jc w:val="center"/>
    </w:pPr>
  </w:style>
  <w:style w:type="paragraph" w:customStyle="1" w:styleId="Confidentialit">
    <w:name w:val="Confidentialité"/>
    <w:basedOn w:val="Normal"/>
    <w:next w:val="TypedudocumentPagedecouverture"/>
    <w:pPr>
      <w:spacing w:before="240" w:after="240"/>
      <w:ind w:left="5103"/>
      <w:jc w:val="left"/>
    </w:pPr>
    <w:rPr>
      <w:i/>
      <w:sz w:val="32"/>
    </w:rPr>
  </w:style>
  <w:style w:type="paragraph" w:customStyle="1" w:styleId="Considrant">
    <w:name w:val="Considérant"/>
    <w:basedOn w:val="Normal"/>
    <w:pPr>
      <w:numPr>
        <w:numId w:val="22"/>
      </w:numPr>
    </w:pPr>
  </w:style>
  <w:style w:type="paragraph" w:customStyle="1" w:styleId="Corrigendum">
    <w:name w:val="Corrigendum"/>
    <w:basedOn w:val="Normal"/>
    <w:next w:val="Normal"/>
    <w:pPr>
      <w:spacing w:before="0" w:after="240"/>
      <w:jc w:val="left"/>
    </w:pPr>
  </w:style>
  <w:style w:type="paragraph" w:customStyle="1" w:styleId="Datedadoption">
    <w:name w:val="Date d'adoption"/>
    <w:basedOn w:val="Normal"/>
    <w:next w:val="Titreobjet"/>
    <w:pPr>
      <w:spacing w:before="360" w:after="0"/>
      <w:jc w:val="center"/>
    </w:pPr>
    <w:rPr>
      <w:b/>
    </w:rPr>
  </w:style>
  <w:style w:type="paragraph" w:customStyle="1" w:styleId="Emission">
    <w:name w:val="Emission"/>
    <w:basedOn w:val="Normal"/>
    <w:next w:val="Rfrenceinstitutionnelle"/>
    <w:pPr>
      <w:spacing w:before="0" w:after="0"/>
      <w:ind w:left="5103"/>
      <w:jc w:val="left"/>
    </w:pPr>
  </w:style>
  <w:style w:type="paragraph" w:customStyle="1" w:styleId="Exposdesmotifstitre">
    <w:name w:val="Exposé des motifs titre"/>
    <w:basedOn w:val="Normal"/>
    <w:next w:val="Normal"/>
    <w:pPr>
      <w:jc w:val="center"/>
    </w:pPr>
    <w:rPr>
      <w:b/>
      <w:u w:val="single"/>
    </w:rPr>
  </w:style>
  <w:style w:type="paragraph" w:customStyle="1" w:styleId="Fait">
    <w:name w:val="Fait à"/>
    <w:basedOn w:val="Normal"/>
    <w:next w:val="Institutionquisigne"/>
    <w:pPr>
      <w:keepNext/>
      <w:spacing w:after="0"/>
    </w:pPr>
  </w:style>
  <w:style w:type="paragraph" w:customStyle="1" w:styleId="Formuledadoption">
    <w:name w:val="Formule d'adoption"/>
    <w:basedOn w:val="Normal"/>
    <w:next w:val="Titrearticle"/>
    <w:pPr>
      <w:keepNext/>
    </w:pPr>
  </w:style>
  <w:style w:type="paragraph" w:customStyle="1" w:styleId="Institutionquiagit">
    <w:name w:val="Institution qui agit"/>
    <w:basedOn w:val="Normal"/>
    <w:next w:val="Normal"/>
    <w:pPr>
      <w:keepNext/>
      <w:spacing w:before="600"/>
    </w:pPr>
  </w:style>
  <w:style w:type="paragraph" w:customStyle="1" w:styleId="Institutionquisigne">
    <w:name w:val="Institution qui signe"/>
    <w:basedOn w:val="Normal"/>
    <w:next w:val="Personnequisigne"/>
    <w:pPr>
      <w:keepNext/>
      <w:tabs>
        <w:tab w:val="left" w:pos="4252"/>
      </w:tabs>
      <w:spacing w:before="720" w:after="0"/>
    </w:pPr>
    <w:rPr>
      <w:i/>
    </w:rPr>
  </w:style>
  <w:style w:type="paragraph" w:customStyle="1" w:styleId="Langue">
    <w:name w:val="Langue"/>
    <w:basedOn w:val="Normal"/>
    <w:next w:val="Rfrenceinterne"/>
    <w:pPr>
      <w:framePr w:wrap="around" w:vAnchor="page" w:hAnchor="text" w:xAlign="center" w:y="14741"/>
      <w:spacing w:before="0" w:after="600"/>
      <w:jc w:val="center"/>
    </w:pPr>
    <w:rPr>
      <w:b/>
      <w:caps/>
    </w:rPr>
  </w:style>
  <w:style w:type="paragraph" w:customStyle="1" w:styleId="ManualConsidrant">
    <w:name w:val="Manual Considérant"/>
    <w:basedOn w:val="Normal"/>
    <w:pPr>
      <w:ind w:left="709" w:hanging="709"/>
    </w:pPr>
  </w:style>
  <w:style w:type="paragraph" w:customStyle="1" w:styleId="Nomdelinstitution">
    <w:name w:val="Nom de l'institution"/>
    <w:basedOn w:val="Normal"/>
    <w:next w:val="Emission"/>
    <w:pPr>
      <w:spacing w:before="0" w:after="0"/>
      <w:jc w:val="left"/>
    </w:pPr>
    <w:rPr>
      <w:rFonts w:ascii="Arial" w:hAnsi="Arial" w:cs="Arial"/>
    </w:rPr>
  </w:style>
  <w:style w:type="paragraph" w:customStyle="1" w:styleId="Personnequisigne">
    <w:name w:val="Personne qui signe"/>
    <w:basedOn w:val="Normal"/>
    <w:next w:val="Institutionquisigne"/>
    <w:pPr>
      <w:tabs>
        <w:tab w:val="left" w:pos="4252"/>
      </w:tabs>
      <w:spacing w:before="0" w:after="0"/>
      <w:jc w:val="left"/>
    </w:pPr>
    <w:rPr>
      <w:i/>
    </w:rPr>
  </w:style>
  <w:style w:type="paragraph" w:customStyle="1" w:styleId="Rfrenceinstitutionnelle">
    <w:name w:val="Référence institutionnelle"/>
    <w:basedOn w:val="Normal"/>
    <w:next w:val="Confidentialit"/>
    <w:pPr>
      <w:spacing w:before="0" w:after="240"/>
      <w:ind w:left="5103"/>
      <w:jc w:val="left"/>
    </w:pPr>
  </w:style>
  <w:style w:type="paragraph" w:customStyle="1" w:styleId="Rfrenceinterinstitutionnelle">
    <w:name w:val="Référence interinstitutionnelle"/>
    <w:basedOn w:val="Normal"/>
    <w:next w:val="Statut"/>
    <w:pPr>
      <w:spacing w:before="0" w:after="0"/>
      <w:ind w:left="5103"/>
      <w:jc w:val="left"/>
    </w:pPr>
  </w:style>
  <w:style w:type="paragraph" w:customStyle="1" w:styleId="Rfrenceinterne">
    <w:name w:val="Référence interne"/>
    <w:basedOn w:val="Normal"/>
    <w:next w:val="Rfrenceinterinstitutionnelle"/>
    <w:pPr>
      <w:spacing w:before="0" w:after="0"/>
      <w:ind w:left="5103"/>
      <w:jc w:val="left"/>
    </w:pPr>
  </w:style>
  <w:style w:type="paragraph" w:customStyle="1" w:styleId="Sous-titreobjet">
    <w:name w:val="Sous-titre objet"/>
    <w:basedOn w:val="Normal"/>
    <w:pPr>
      <w:spacing w:before="0" w:after="0"/>
      <w:jc w:val="center"/>
    </w:pPr>
    <w:rPr>
      <w:b/>
    </w:rPr>
  </w:style>
  <w:style w:type="paragraph" w:customStyle="1" w:styleId="Statut">
    <w:name w:val="Statut"/>
    <w:basedOn w:val="Normal"/>
    <w:next w:val="Typedudocument"/>
    <w:pPr>
      <w:spacing w:before="360" w:after="0"/>
      <w:jc w:val="center"/>
    </w:pPr>
  </w:style>
  <w:style w:type="paragraph" w:customStyle="1" w:styleId="Titrearticle">
    <w:name w:val="Titre article"/>
    <w:basedOn w:val="Normal"/>
    <w:next w:val="Normal"/>
    <w:pPr>
      <w:keepNext/>
      <w:spacing w:before="360"/>
      <w:jc w:val="center"/>
    </w:pPr>
    <w:rPr>
      <w:i/>
    </w:rPr>
  </w:style>
  <w:style w:type="paragraph" w:customStyle="1" w:styleId="Titreobjet">
    <w:name w:val="Titre objet"/>
    <w:basedOn w:val="Normal"/>
    <w:next w:val="Sous-titreobjet"/>
    <w:pPr>
      <w:spacing w:before="360" w:after="360"/>
      <w:jc w:val="center"/>
    </w:pPr>
    <w:rPr>
      <w:b/>
    </w:rPr>
  </w:style>
  <w:style w:type="paragraph" w:customStyle="1" w:styleId="Typedudocument">
    <w:name w:val="Type du document"/>
    <w:basedOn w:val="Normal"/>
    <w:next w:val="Titreobjet"/>
    <w:pPr>
      <w:spacing w:before="360" w:after="0"/>
      <w:jc w:val="center"/>
    </w:pPr>
    <w:rPr>
      <w:b/>
    </w:rPr>
  </w:style>
  <w:style w:type="character" w:customStyle="1" w:styleId="Added">
    <w:name w:val="Added"/>
    <w:basedOn w:val="DefaultParagraphFont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pPr>
      <w:keepLines/>
      <w:spacing w:line="360" w:lineRule="auto"/>
      <w:ind w:left="3402"/>
      <w:jc w:val="left"/>
    </w:pPr>
  </w:style>
  <w:style w:type="paragraph" w:customStyle="1" w:styleId="Objetexterne">
    <w:name w:val="Objet externe"/>
    <w:basedOn w:val="Normal"/>
    <w:next w:val="Normal"/>
    <w:rPr>
      <w:i/>
      <w:caps/>
    </w:rPr>
  </w:style>
  <w:style w:type="paragraph" w:customStyle="1" w:styleId="Pagedecouverture">
    <w:name w:val="Page de couverture"/>
    <w:basedOn w:val="Normal"/>
    <w:next w:val="Normal"/>
    <w:pPr>
      <w:spacing w:before="0" w:after="0"/>
    </w:pPr>
  </w:style>
  <w:style w:type="paragraph" w:customStyle="1" w:styleId="Supertitre">
    <w:name w:val="Supertitre"/>
    <w:basedOn w:val="Normal"/>
    <w:next w:val="Normal"/>
    <w:pPr>
      <w:spacing w:before="0" w:after="600"/>
      <w:jc w:val="center"/>
    </w:pPr>
    <w:rPr>
      <w:b/>
    </w:rPr>
  </w:style>
  <w:style w:type="paragraph" w:customStyle="1" w:styleId="Languesfaisantfoi">
    <w:name w:val="Langues faisant foi"/>
    <w:basedOn w:val="Normal"/>
    <w:next w:val="Normal"/>
    <w:pPr>
      <w:spacing w:before="360" w:after="0"/>
      <w:jc w:val="center"/>
    </w:pPr>
  </w:style>
  <w:style w:type="paragraph" w:customStyle="1" w:styleId="Rfrencecroise">
    <w:name w:val="Référence croisée"/>
    <w:basedOn w:val="Normal"/>
    <w:pPr>
      <w:spacing w:before="0" w:after="0"/>
      <w:jc w:val="center"/>
    </w:pPr>
  </w:style>
  <w:style w:type="paragraph" w:customStyle="1" w:styleId="Fichefinanciretitre">
    <w:name w:val="Fiche financière titre"/>
    <w:basedOn w:val="Normal"/>
    <w:next w:val="Normal"/>
    <w:pPr>
      <w:jc w:val="center"/>
    </w:pPr>
    <w:rPr>
      <w:b/>
      <w:u w:val="single"/>
    </w:rPr>
  </w:style>
  <w:style w:type="paragraph" w:customStyle="1" w:styleId="DatedadoptionPagedecouverture">
    <w:name w:val="Date d'adoption (Page de couverture)"/>
    <w:basedOn w:val="Datedadoption"/>
    <w:next w:val="TitreobjetPagedecouverture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</w:style>
  <w:style w:type="paragraph" w:customStyle="1" w:styleId="Sous-titreobjetPagedecouverture">
    <w:name w:val="Sous-titre objet (Page de couverture)"/>
    <w:basedOn w:val="Sous-titreobjet"/>
  </w:style>
  <w:style w:type="paragraph" w:customStyle="1" w:styleId="StatutPagedecouverture">
    <w:name w:val="Statut (Page de couverture)"/>
    <w:basedOn w:val="Statut"/>
    <w:next w:val="TypedudocumentPagedecouverture"/>
  </w:style>
  <w:style w:type="paragraph" w:customStyle="1" w:styleId="TitreobjetPagedecouverture">
    <w:name w:val="Titre objet (Page de couverture)"/>
    <w:basedOn w:val="Titreobjet"/>
    <w:next w:val="Sous-titreobjetPagedecouverture"/>
  </w:style>
  <w:style w:type="paragraph" w:customStyle="1" w:styleId="TypedudocumentPagedecouverture">
    <w:name w:val="Type du document (Page de couverture)"/>
    <w:basedOn w:val="Typedudocument"/>
    <w:next w:val="TitreobjetPagedecouverture"/>
  </w:style>
  <w:style w:type="paragraph" w:customStyle="1" w:styleId="Volume">
    <w:name w:val="Volume"/>
    <w:basedOn w:val="Normal"/>
    <w:next w:val="Confidentialit"/>
    <w:pPr>
      <w:spacing w:before="0" w:after="240"/>
      <w:ind w:left="5103"/>
      <w:jc w:val="left"/>
    </w:pPr>
  </w:style>
  <w:style w:type="paragraph" w:customStyle="1" w:styleId="IntrtEEE">
    <w:name w:val="Intérêt EEE"/>
    <w:basedOn w:val="Languesfaisantfoi"/>
    <w:next w:val="Normal"/>
    <w:pPr>
      <w:spacing w:after="240"/>
    </w:pPr>
  </w:style>
  <w:style w:type="paragraph" w:customStyle="1" w:styleId="Accompagnant">
    <w:name w:val="Accompagnant"/>
    <w:basedOn w:val="Normal"/>
    <w:next w:val="Typeacteprincipal"/>
    <w:pPr>
      <w:spacing w:before="0" w:after="240"/>
      <w:jc w:val="center"/>
    </w:pPr>
    <w:rPr>
      <w:b/>
      <w:i/>
    </w:rPr>
  </w:style>
  <w:style w:type="paragraph" w:customStyle="1" w:styleId="Typeacteprincipal">
    <w:name w:val="Type acte principal"/>
    <w:basedOn w:val="Normal"/>
    <w:next w:val="Objetacteprincipal"/>
    <w:pPr>
      <w:spacing w:before="0" w:after="240"/>
      <w:jc w:val="center"/>
    </w:pPr>
    <w:rPr>
      <w:b/>
    </w:rPr>
  </w:style>
  <w:style w:type="paragraph" w:customStyle="1" w:styleId="Objetacteprincipal">
    <w:name w:val="Objet acte principal"/>
    <w:basedOn w:val="Normal"/>
    <w:next w:val="Titrearticle"/>
    <w:pPr>
      <w:spacing w:before="0" w:after="360"/>
      <w:jc w:val="center"/>
    </w:pPr>
    <w:rPr>
      <w:b/>
    </w:rPr>
  </w:style>
  <w:style w:type="paragraph" w:customStyle="1" w:styleId="IntrtEEEPagedecouverture">
    <w:name w:val="Intérêt EEE (Page de couverture)"/>
    <w:basedOn w:val="IntrtEEE"/>
    <w:next w:val="Rfrencecroise"/>
  </w:style>
  <w:style w:type="paragraph" w:customStyle="1" w:styleId="AccompagnantPagedecouverture">
    <w:name w:val="Accompagnant (Page de couverture)"/>
    <w:basedOn w:val="Accompagnant"/>
    <w:next w:val="TypeacteprincipalPagedecouverture"/>
  </w:style>
  <w:style w:type="paragraph" w:customStyle="1" w:styleId="TypeacteprincipalPagedecouverture">
    <w:name w:val="Type acte principal (Page de couverture)"/>
    <w:basedOn w:val="Typeacteprincipal"/>
    <w:next w:val="ObjetacteprincipalPagedecouverture"/>
  </w:style>
  <w:style w:type="paragraph" w:customStyle="1" w:styleId="ObjetacteprincipalPagedecouverture">
    <w:name w:val="Objet acte principal (Page de couverture)"/>
    <w:basedOn w:val="Objetacteprincipal"/>
    <w:next w:val="Rfrencecroise"/>
  </w:style>
  <w:style w:type="paragraph" w:customStyle="1" w:styleId="LanguesfaisantfoiPagedecouverture">
    <w:name w:val="Langues faisant foi (Page de couverture)"/>
    <w:basedOn w:val="Normal"/>
    <w:next w:val="Normal"/>
    <w:pPr>
      <w:spacing w:before="360" w:after="0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120" w:line="240" w:lineRule="auto"/>
      <w:jc w:val="both"/>
    </w:pPr>
    <w:rPr>
      <w:rFonts w:ascii="Times New Roman" w:hAnsi="Times New Roman"/>
      <w:sz w:val="24"/>
      <w:lang w:val="cs-CZ"/>
    </w:rPr>
  </w:style>
  <w:style w:type="paragraph" w:styleId="Heading1">
    <w:name w:val="heading 1"/>
    <w:basedOn w:val="Normal"/>
    <w:next w:val="Text1"/>
    <w:link w:val="Heading1Char"/>
    <w:uiPriority w:val="9"/>
    <w:qFormat/>
    <w:pPr>
      <w:keepNext/>
      <w:numPr>
        <w:numId w:val="15"/>
      </w:numPr>
      <w:spacing w:before="360"/>
      <w:outlineLvl w:val="0"/>
    </w:pPr>
    <w:rPr>
      <w:rFonts w:eastAsiaTheme="majorEastAsia"/>
      <w:b/>
      <w:bCs/>
      <w:smallCaps/>
      <w:szCs w:val="28"/>
    </w:rPr>
  </w:style>
  <w:style w:type="paragraph" w:styleId="Heading2">
    <w:name w:val="heading 2"/>
    <w:basedOn w:val="Normal"/>
    <w:next w:val="Text1"/>
    <w:link w:val="Heading2Char"/>
    <w:uiPriority w:val="9"/>
    <w:semiHidden/>
    <w:unhideWhenUsed/>
    <w:qFormat/>
    <w:pPr>
      <w:keepNext/>
      <w:numPr>
        <w:ilvl w:val="1"/>
        <w:numId w:val="15"/>
      </w:numPr>
      <w:outlineLvl w:val="1"/>
    </w:pPr>
    <w:rPr>
      <w:rFonts w:eastAsiaTheme="majorEastAsia"/>
      <w:b/>
      <w:bCs/>
      <w:szCs w:val="26"/>
    </w:rPr>
  </w:style>
  <w:style w:type="paragraph" w:styleId="Heading3">
    <w:name w:val="heading 3"/>
    <w:basedOn w:val="Normal"/>
    <w:next w:val="Text1"/>
    <w:link w:val="Heading3Char"/>
    <w:uiPriority w:val="9"/>
    <w:semiHidden/>
    <w:unhideWhenUsed/>
    <w:qFormat/>
    <w:pPr>
      <w:keepNext/>
      <w:numPr>
        <w:ilvl w:val="2"/>
        <w:numId w:val="15"/>
      </w:numPr>
      <w:outlineLvl w:val="2"/>
    </w:pPr>
    <w:rPr>
      <w:rFonts w:eastAsiaTheme="majorEastAsia"/>
      <w:bCs/>
      <w:i/>
    </w:rPr>
  </w:style>
  <w:style w:type="paragraph" w:styleId="Heading4">
    <w:name w:val="heading 4"/>
    <w:basedOn w:val="Normal"/>
    <w:next w:val="Text1"/>
    <w:link w:val="Heading4Char"/>
    <w:uiPriority w:val="9"/>
    <w:semiHidden/>
    <w:unhideWhenUsed/>
    <w:qFormat/>
    <w:pPr>
      <w:keepNext/>
      <w:numPr>
        <w:ilvl w:val="3"/>
        <w:numId w:val="15"/>
      </w:numPr>
      <w:outlineLvl w:val="3"/>
    </w:pPr>
    <w:rPr>
      <w:rFonts w:eastAsiaTheme="majorEastAsia"/>
      <w:bCs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9"/>
    <w:semiHidden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pPr>
      <w:numPr>
        <w:numId w:val="4"/>
      </w:numPr>
      <w:contextualSpacing/>
    </w:p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before="0" w:after="200"/>
    </w:pPr>
    <w:rPr>
      <w:b/>
      <w:bCs/>
      <w:color w:val="4F81BD"/>
      <w:sz w:val="18"/>
      <w:szCs w:val="18"/>
    </w:rPr>
  </w:style>
  <w:style w:type="paragraph" w:styleId="TableofFigures">
    <w:name w:val="table of figures"/>
    <w:basedOn w:val="Normal"/>
    <w:next w:val="Normal"/>
    <w:uiPriority w:val="99"/>
    <w:semiHidden/>
    <w:unhideWhenUsed/>
    <w:pPr>
      <w:spacing w:after="0"/>
    </w:pPr>
  </w:style>
  <w:style w:type="paragraph" w:styleId="ListNumber">
    <w:name w:val="List Number"/>
    <w:basedOn w:val="Normal"/>
    <w:uiPriority w:val="99"/>
    <w:semiHidden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pPr>
      <w:numPr>
        <w:numId w:val="7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pPr>
      <w:numPr>
        <w:numId w:val="8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  <w:lang w:val="en-GB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Pr>
      <w:rFonts w:ascii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Pr>
      <w:rFonts w:ascii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Pr>
      <w:rFonts w:ascii="Times New Roman" w:hAnsi="Times New Roman"/>
      <w:sz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5"/>
        <w:tab w:val="right" w:pos="9071"/>
      </w:tabs>
      <w:spacing w:before="0"/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Theme="minorHAnsi" w:hAnsi="Times New Roman"/>
      <w:sz w:val="24"/>
      <w:lang w:val="cs-CZ" w:eastAsia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4"/>
      <w:shd w:val="clear" w:color="auto" w:fill="auto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before="0" w:after="0"/>
      <w:ind w:left="720" w:hanging="72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hAnsi="Times New Roman" w:cs="Times New Roman"/>
      <w:sz w:val="20"/>
      <w:szCs w:val="20"/>
      <w:shd w:val="clear" w:color="auto" w:fill="auto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Theme="majorEastAsia" w:hAnsi="Times New Roman"/>
      <w:b/>
      <w:bCs/>
      <w:smallCap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="Times New Roman" w:eastAsiaTheme="majorEastAsia" w:hAnsi="Times New Roman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="Times New Roman" w:eastAsiaTheme="majorEastAsia" w:hAnsi="Times New Roman"/>
      <w:bCs/>
      <w:i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="Times New Roman" w:eastAsiaTheme="majorEastAsia" w:hAnsi="Times New Roman"/>
      <w:bCs/>
      <w:iCs/>
      <w:sz w:val="24"/>
    </w:rPr>
  </w:style>
  <w:style w:type="paragraph" w:styleId="TOCHeading">
    <w:name w:val="TOC Heading"/>
    <w:basedOn w:val="Normal"/>
    <w:next w:val="Normal"/>
    <w:uiPriority w:val="39"/>
    <w:semiHidden/>
    <w:unhideWhenUsed/>
    <w:qFormat/>
    <w:pPr>
      <w:spacing w:after="240"/>
      <w:jc w:val="center"/>
    </w:pPr>
    <w:rPr>
      <w:b/>
      <w:sz w:val="28"/>
    </w:rPr>
  </w:style>
  <w:style w:type="paragraph" w:styleId="TOC1">
    <w:name w:val="toc 1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2">
    <w:name w:val="toc 2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3">
    <w:name w:val="toc 3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4">
    <w:name w:val="toc 4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5">
    <w:name w:val="toc 5"/>
    <w:basedOn w:val="Normal"/>
    <w:next w:val="Normal"/>
    <w:uiPriority w:val="39"/>
    <w:semiHidden/>
    <w:unhideWhenUsed/>
    <w:pPr>
      <w:tabs>
        <w:tab w:val="right" w:leader="dot" w:pos="9071"/>
      </w:tabs>
      <w:spacing w:before="300"/>
      <w:jc w:val="left"/>
    </w:pPr>
  </w:style>
  <w:style w:type="paragraph" w:styleId="TOC6">
    <w:name w:val="toc 6"/>
    <w:basedOn w:val="Normal"/>
    <w:next w:val="Normal"/>
    <w:uiPriority w:val="39"/>
    <w:semiHidden/>
    <w:unhideWhenUsed/>
    <w:pPr>
      <w:tabs>
        <w:tab w:val="right" w:leader="dot" w:pos="9071"/>
      </w:tabs>
      <w:spacing w:before="240"/>
      <w:jc w:val="left"/>
    </w:pPr>
  </w:style>
  <w:style w:type="paragraph" w:styleId="TOC7">
    <w:name w:val="toc 7"/>
    <w:basedOn w:val="Normal"/>
    <w:next w:val="Normal"/>
    <w:uiPriority w:val="39"/>
    <w:semiHidden/>
    <w:unhideWhenUsed/>
    <w:pPr>
      <w:tabs>
        <w:tab w:val="right" w:leader="dot" w:pos="9071"/>
      </w:tabs>
      <w:spacing w:before="180"/>
      <w:jc w:val="left"/>
    </w:pPr>
  </w:style>
  <w:style w:type="paragraph" w:styleId="TOC8">
    <w:name w:val="toc 8"/>
    <w:basedOn w:val="Normal"/>
    <w:next w:val="Normal"/>
    <w:uiPriority w:val="39"/>
    <w:semiHidden/>
    <w:unhideWhenUsed/>
    <w:pPr>
      <w:tabs>
        <w:tab w:val="right" w:leader="dot" w:pos="9071"/>
      </w:tabs>
      <w:jc w:val="left"/>
    </w:pPr>
  </w:style>
  <w:style w:type="paragraph" w:styleId="TOC9">
    <w:name w:val="toc 9"/>
    <w:basedOn w:val="Normal"/>
    <w:next w:val="Normal"/>
    <w:uiPriority w:val="39"/>
    <w:semiHidden/>
    <w:unhideWhenUsed/>
    <w:pPr>
      <w:tabs>
        <w:tab w:val="right" w:leader="dot" w:pos="9071"/>
      </w:tabs>
    </w:pPr>
  </w:style>
  <w:style w:type="paragraph" w:customStyle="1" w:styleId="HeaderLandscape">
    <w:name w:val="HeaderLandscape"/>
    <w:basedOn w:val="Normal"/>
    <w:pPr>
      <w:tabs>
        <w:tab w:val="center" w:pos="7285"/>
        <w:tab w:val="right" w:pos="14003"/>
      </w:tabs>
      <w:spacing w:before="0"/>
    </w:pPr>
    <w:rPr>
      <w:rFonts w:eastAsiaTheme="minorHAnsi"/>
      <w:lang w:eastAsia="en-US"/>
    </w:rPr>
  </w:style>
  <w:style w:type="paragraph" w:customStyle="1" w:styleId="FooterLandscape">
    <w:name w:val="FooterLandscape"/>
    <w:basedOn w:val="Normal"/>
    <w:pPr>
      <w:tabs>
        <w:tab w:val="center" w:pos="7285"/>
        <w:tab w:val="center" w:pos="10913"/>
        <w:tab w:val="right" w:pos="15137"/>
      </w:tabs>
      <w:spacing w:before="360" w:after="0"/>
      <w:ind w:left="-567" w:right="-567"/>
      <w:jc w:val="left"/>
    </w:pPr>
  </w:style>
  <w:style w:type="character" w:styleId="FootnoteReference">
    <w:name w:val="footnote reference"/>
    <w:basedOn w:val="DefaultParagraphFont"/>
    <w:uiPriority w:val="99"/>
    <w:semiHidden/>
    <w:unhideWhenUsed/>
    <w:rPr>
      <w:shd w:val="clear" w:color="auto" w:fill="auto"/>
      <w:vertAlign w:val="superscript"/>
    </w:rPr>
  </w:style>
  <w:style w:type="paragraph" w:customStyle="1" w:styleId="Text1">
    <w:name w:val="Text 1"/>
    <w:basedOn w:val="Normal"/>
    <w:pPr>
      <w:ind w:left="850"/>
    </w:pPr>
  </w:style>
  <w:style w:type="paragraph" w:customStyle="1" w:styleId="Text2">
    <w:name w:val="Text 2"/>
    <w:basedOn w:val="Normal"/>
    <w:pPr>
      <w:ind w:left="1417"/>
    </w:pPr>
  </w:style>
  <w:style w:type="paragraph" w:customStyle="1" w:styleId="Text3">
    <w:name w:val="Text 3"/>
    <w:basedOn w:val="Normal"/>
    <w:pPr>
      <w:ind w:left="1984"/>
    </w:pPr>
  </w:style>
  <w:style w:type="paragraph" w:customStyle="1" w:styleId="Text4">
    <w:name w:val="Text 4"/>
    <w:basedOn w:val="Normal"/>
    <w:pPr>
      <w:ind w:left="2551"/>
    </w:pPr>
  </w:style>
  <w:style w:type="paragraph" w:customStyle="1" w:styleId="NormalCentered">
    <w:name w:val="Normal Centered"/>
    <w:basedOn w:val="Normal"/>
    <w:pPr>
      <w:jc w:val="center"/>
    </w:pPr>
  </w:style>
  <w:style w:type="paragraph" w:customStyle="1" w:styleId="NormalLeft">
    <w:name w:val="Normal Left"/>
    <w:basedOn w:val="Normal"/>
    <w:pPr>
      <w:jc w:val="left"/>
    </w:pPr>
  </w:style>
  <w:style w:type="paragraph" w:customStyle="1" w:styleId="NormalRight">
    <w:name w:val="Normal Right"/>
    <w:basedOn w:val="Normal"/>
    <w:pPr>
      <w:jc w:val="right"/>
    </w:pPr>
  </w:style>
  <w:style w:type="paragraph" w:customStyle="1" w:styleId="QuotedText">
    <w:name w:val="Quoted Text"/>
    <w:basedOn w:val="Normal"/>
    <w:pPr>
      <w:ind w:left="1417"/>
    </w:pPr>
  </w:style>
  <w:style w:type="paragraph" w:customStyle="1" w:styleId="Point0">
    <w:name w:val="Point 0"/>
    <w:basedOn w:val="Normal"/>
    <w:pPr>
      <w:ind w:left="850" w:hanging="850"/>
    </w:pPr>
  </w:style>
  <w:style w:type="paragraph" w:customStyle="1" w:styleId="Point1">
    <w:name w:val="Point 1"/>
    <w:basedOn w:val="Normal"/>
    <w:pPr>
      <w:ind w:left="1417" w:hanging="567"/>
    </w:pPr>
  </w:style>
  <w:style w:type="paragraph" w:customStyle="1" w:styleId="Point2">
    <w:name w:val="Point 2"/>
    <w:basedOn w:val="Normal"/>
    <w:pPr>
      <w:ind w:left="1984" w:hanging="567"/>
    </w:pPr>
  </w:style>
  <w:style w:type="paragraph" w:customStyle="1" w:styleId="Point3">
    <w:name w:val="Point 3"/>
    <w:basedOn w:val="Normal"/>
    <w:pPr>
      <w:ind w:left="2551" w:hanging="567"/>
    </w:pPr>
  </w:style>
  <w:style w:type="paragraph" w:customStyle="1" w:styleId="Point4">
    <w:name w:val="Point 4"/>
    <w:basedOn w:val="Normal"/>
    <w:pPr>
      <w:ind w:left="3118" w:hanging="567"/>
    </w:pPr>
  </w:style>
  <w:style w:type="paragraph" w:customStyle="1" w:styleId="Tiret0">
    <w:name w:val="Tiret 0"/>
    <w:basedOn w:val="Point0"/>
    <w:pPr>
      <w:numPr>
        <w:numId w:val="9"/>
      </w:numPr>
    </w:pPr>
  </w:style>
  <w:style w:type="paragraph" w:customStyle="1" w:styleId="Tiret1">
    <w:name w:val="Tiret 1"/>
    <w:basedOn w:val="Point1"/>
    <w:pPr>
      <w:numPr>
        <w:numId w:val="10"/>
      </w:numPr>
    </w:pPr>
  </w:style>
  <w:style w:type="paragraph" w:customStyle="1" w:styleId="Tiret2">
    <w:name w:val="Tiret 2"/>
    <w:basedOn w:val="Point2"/>
    <w:pPr>
      <w:numPr>
        <w:numId w:val="11"/>
      </w:numPr>
    </w:pPr>
  </w:style>
  <w:style w:type="paragraph" w:customStyle="1" w:styleId="Tiret3">
    <w:name w:val="Tiret 3"/>
    <w:basedOn w:val="Point3"/>
    <w:pPr>
      <w:numPr>
        <w:numId w:val="12"/>
      </w:numPr>
    </w:pPr>
  </w:style>
  <w:style w:type="paragraph" w:customStyle="1" w:styleId="Tiret4">
    <w:name w:val="Tiret 4"/>
    <w:basedOn w:val="Point4"/>
    <w:pPr>
      <w:numPr>
        <w:numId w:val="13"/>
      </w:numPr>
    </w:pPr>
  </w:style>
  <w:style w:type="paragraph" w:customStyle="1" w:styleId="PointDouble0">
    <w:name w:val="PointDouble 0"/>
    <w:basedOn w:val="Normal"/>
    <w:pPr>
      <w:tabs>
        <w:tab w:val="left" w:pos="850"/>
      </w:tabs>
      <w:ind w:left="1417" w:hanging="1417"/>
    </w:pPr>
  </w:style>
  <w:style w:type="paragraph" w:customStyle="1" w:styleId="PointDouble1">
    <w:name w:val="PointDouble 1"/>
    <w:basedOn w:val="Normal"/>
    <w:pPr>
      <w:tabs>
        <w:tab w:val="left" w:pos="1417"/>
      </w:tabs>
      <w:ind w:left="1984" w:hanging="1134"/>
    </w:pPr>
  </w:style>
  <w:style w:type="paragraph" w:customStyle="1" w:styleId="PointDouble2">
    <w:name w:val="PointDouble 2"/>
    <w:basedOn w:val="Normal"/>
    <w:pPr>
      <w:tabs>
        <w:tab w:val="left" w:pos="1984"/>
      </w:tabs>
      <w:ind w:left="2551" w:hanging="1134"/>
    </w:pPr>
  </w:style>
  <w:style w:type="paragraph" w:customStyle="1" w:styleId="PointDouble3">
    <w:name w:val="PointDouble 3"/>
    <w:basedOn w:val="Normal"/>
    <w:pPr>
      <w:tabs>
        <w:tab w:val="left" w:pos="2551"/>
      </w:tabs>
      <w:ind w:left="3118" w:hanging="1134"/>
    </w:pPr>
  </w:style>
  <w:style w:type="paragraph" w:customStyle="1" w:styleId="PointDouble4">
    <w:name w:val="PointDouble 4"/>
    <w:basedOn w:val="Normal"/>
    <w:pPr>
      <w:tabs>
        <w:tab w:val="left" w:pos="3118"/>
      </w:tabs>
      <w:ind w:left="3685" w:hanging="1134"/>
    </w:pPr>
  </w:style>
  <w:style w:type="paragraph" w:customStyle="1" w:styleId="PointTriple0">
    <w:name w:val="PointTriple 0"/>
    <w:basedOn w:val="Normal"/>
    <w:pPr>
      <w:tabs>
        <w:tab w:val="left" w:pos="850"/>
        <w:tab w:val="left" w:pos="1417"/>
      </w:tabs>
      <w:ind w:left="1984" w:hanging="1984"/>
    </w:pPr>
  </w:style>
  <w:style w:type="paragraph" w:customStyle="1" w:styleId="PointTriple1">
    <w:name w:val="PointTriple 1"/>
    <w:basedOn w:val="Normal"/>
    <w:pPr>
      <w:tabs>
        <w:tab w:val="left" w:pos="1417"/>
        <w:tab w:val="left" w:pos="1984"/>
      </w:tabs>
      <w:ind w:left="2551" w:hanging="1701"/>
    </w:pPr>
  </w:style>
  <w:style w:type="paragraph" w:customStyle="1" w:styleId="PointTriple2">
    <w:name w:val="PointTriple 2"/>
    <w:basedOn w:val="Normal"/>
    <w:pPr>
      <w:tabs>
        <w:tab w:val="left" w:pos="1984"/>
        <w:tab w:val="left" w:pos="2551"/>
      </w:tabs>
      <w:ind w:left="3118" w:hanging="1701"/>
    </w:pPr>
  </w:style>
  <w:style w:type="paragraph" w:customStyle="1" w:styleId="PointTriple3">
    <w:name w:val="PointTriple 3"/>
    <w:basedOn w:val="Normal"/>
    <w:pPr>
      <w:tabs>
        <w:tab w:val="left" w:pos="2551"/>
        <w:tab w:val="left" w:pos="3118"/>
      </w:tabs>
      <w:ind w:left="3685" w:hanging="1701"/>
    </w:pPr>
  </w:style>
  <w:style w:type="paragraph" w:customStyle="1" w:styleId="PointTriple4">
    <w:name w:val="PointTriple 4"/>
    <w:basedOn w:val="Normal"/>
    <w:pPr>
      <w:tabs>
        <w:tab w:val="left" w:pos="3118"/>
        <w:tab w:val="left" w:pos="3685"/>
      </w:tabs>
      <w:ind w:left="4252" w:hanging="1701"/>
    </w:pPr>
  </w:style>
  <w:style w:type="paragraph" w:customStyle="1" w:styleId="NumPar1">
    <w:name w:val="NumPar 1"/>
    <w:basedOn w:val="Normal"/>
    <w:next w:val="Text1"/>
    <w:pPr>
      <w:numPr>
        <w:numId w:val="14"/>
      </w:numPr>
    </w:pPr>
  </w:style>
  <w:style w:type="paragraph" w:customStyle="1" w:styleId="NumPar2">
    <w:name w:val="NumPar 2"/>
    <w:basedOn w:val="Normal"/>
    <w:next w:val="Text1"/>
    <w:pPr>
      <w:numPr>
        <w:ilvl w:val="1"/>
        <w:numId w:val="14"/>
      </w:numPr>
    </w:pPr>
  </w:style>
  <w:style w:type="paragraph" w:customStyle="1" w:styleId="NumPar3">
    <w:name w:val="NumPar 3"/>
    <w:basedOn w:val="Normal"/>
    <w:next w:val="Text1"/>
    <w:pPr>
      <w:numPr>
        <w:ilvl w:val="2"/>
        <w:numId w:val="14"/>
      </w:numPr>
    </w:pPr>
  </w:style>
  <w:style w:type="paragraph" w:customStyle="1" w:styleId="NumPar4">
    <w:name w:val="NumPar 4"/>
    <w:basedOn w:val="Normal"/>
    <w:next w:val="Text1"/>
    <w:pPr>
      <w:numPr>
        <w:ilvl w:val="3"/>
        <w:numId w:val="14"/>
      </w:numPr>
    </w:pPr>
  </w:style>
  <w:style w:type="paragraph" w:customStyle="1" w:styleId="ManualNumPar1">
    <w:name w:val="Manual NumPar 1"/>
    <w:basedOn w:val="Normal"/>
    <w:next w:val="Text1"/>
    <w:pPr>
      <w:ind w:left="850" w:hanging="850"/>
    </w:pPr>
  </w:style>
  <w:style w:type="paragraph" w:customStyle="1" w:styleId="ManualNumPar2">
    <w:name w:val="Manual NumPar 2"/>
    <w:basedOn w:val="Normal"/>
    <w:next w:val="Text1"/>
    <w:pPr>
      <w:ind w:left="850" w:hanging="850"/>
    </w:pPr>
  </w:style>
  <w:style w:type="paragraph" w:customStyle="1" w:styleId="ManualNumPar3">
    <w:name w:val="Manual NumPar 3"/>
    <w:basedOn w:val="Normal"/>
    <w:next w:val="Text1"/>
    <w:pPr>
      <w:ind w:left="850" w:hanging="850"/>
    </w:pPr>
  </w:style>
  <w:style w:type="paragraph" w:customStyle="1" w:styleId="ManualNumPar4">
    <w:name w:val="Manual NumPar 4"/>
    <w:basedOn w:val="Normal"/>
    <w:next w:val="Text1"/>
    <w:pPr>
      <w:ind w:left="850" w:hanging="850"/>
    </w:pPr>
  </w:style>
  <w:style w:type="paragraph" w:customStyle="1" w:styleId="QuotedNumPar">
    <w:name w:val="Quoted NumPar"/>
    <w:basedOn w:val="Normal"/>
    <w:pPr>
      <w:ind w:left="1417" w:hanging="567"/>
    </w:pPr>
  </w:style>
  <w:style w:type="paragraph" w:customStyle="1" w:styleId="ManualHeading1">
    <w:name w:val="Manual Heading 1"/>
    <w:basedOn w:val="Normal"/>
    <w:next w:val="Text1"/>
    <w:pPr>
      <w:keepNext/>
      <w:tabs>
        <w:tab w:val="left" w:pos="850"/>
      </w:tabs>
      <w:spacing w:before="360"/>
      <w:ind w:left="850" w:hanging="850"/>
      <w:outlineLvl w:val="0"/>
    </w:pPr>
    <w:rPr>
      <w:b/>
      <w:smallCaps/>
    </w:rPr>
  </w:style>
  <w:style w:type="paragraph" w:customStyle="1" w:styleId="ManualHeading2">
    <w:name w:val="Manual Heading 2"/>
    <w:basedOn w:val="Normal"/>
    <w:next w:val="Text1"/>
    <w:pPr>
      <w:keepNext/>
      <w:tabs>
        <w:tab w:val="left" w:pos="850"/>
      </w:tabs>
      <w:ind w:left="850" w:hanging="850"/>
      <w:outlineLvl w:val="1"/>
    </w:pPr>
    <w:rPr>
      <w:b/>
    </w:rPr>
  </w:style>
  <w:style w:type="paragraph" w:customStyle="1" w:styleId="ManualHeading3">
    <w:name w:val="Manual Heading 3"/>
    <w:basedOn w:val="Normal"/>
    <w:next w:val="Text1"/>
    <w:pPr>
      <w:keepNext/>
      <w:tabs>
        <w:tab w:val="left" w:pos="850"/>
      </w:tabs>
      <w:ind w:left="850" w:hanging="850"/>
      <w:outlineLvl w:val="2"/>
    </w:pPr>
    <w:rPr>
      <w:i/>
    </w:rPr>
  </w:style>
  <w:style w:type="paragraph" w:customStyle="1" w:styleId="ManualHeading4">
    <w:name w:val="Manual Heading 4"/>
    <w:basedOn w:val="Normal"/>
    <w:next w:val="Text1"/>
    <w:pPr>
      <w:keepNext/>
      <w:tabs>
        <w:tab w:val="left" w:pos="850"/>
      </w:tabs>
      <w:ind w:left="850" w:hanging="850"/>
      <w:outlineLvl w:val="3"/>
    </w:pPr>
  </w:style>
  <w:style w:type="paragraph" w:customStyle="1" w:styleId="ChapterTitle">
    <w:name w:val="ChapterTitle"/>
    <w:basedOn w:val="Normal"/>
    <w:next w:val="Normal"/>
    <w:pPr>
      <w:keepNext/>
      <w:spacing w:after="36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pPr>
      <w:keepNext/>
      <w:pageBreakBefore/>
      <w:spacing w:after="360"/>
      <w:jc w:val="center"/>
    </w:pPr>
    <w:rPr>
      <w:b/>
      <w:sz w:val="36"/>
    </w:rPr>
  </w:style>
  <w:style w:type="paragraph" w:customStyle="1" w:styleId="SectionTitle">
    <w:name w:val="SectionTitle"/>
    <w:basedOn w:val="Normal"/>
    <w:next w:val="Heading1"/>
    <w:pPr>
      <w:keepNext/>
      <w:spacing w:after="360"/>
      <w:jc w:val="center"/>
    </w:pPr>
    <w:rPr>
      <w:b/>
      <w:smallCaps/>
      <w:sz w:val="28"/>
    </w:rPr>
  </w:style>
  <w:style w:type="paragraph" w:customStyle="1" w:styleId="TableTitle">
    <w:name w:val="Table Title"/>
    <w:basedOn w:val="Normal"/>
    <w:next w:val="Normal"/>
    <w:pPr>
      <w:jc w:val="center"/>
    </w:pPr>
    <w:rPr>
      <w:b/>
    </w:rPr>
  </w:style>
  <w:style w:type="character" w:customStyle="1" w:styleId="Marker">
    <w:name w:val="Marker"/>
    <w:basedOn w:val="DefaultParagraphFont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pPr>
      <w:numPr>
        <w:numId w:val="16"/>
      </w:numPr>
    </w:pPr>
  </w:style>
  <w:style w:type="paragraph" w:customStyle="1" w:styleId="Point1number">
    <w:name w:val="Point 1 (number)"/>
    <w:basedOn w:val="Normal"/>
    <w:pPr>
      <w:numPr>
        <w:ilvl w:val="2"/>
        <w:numId w:val="16"/>
      </w:numPr>
    </w:pPr>
  </w:style>
  <w:style w:type="paragraph" w:customStyle="1" w:styleId="Point2number">
    <w:name w:val="Point 2 (number)"/>
    <w:basedOn w:val="Normal"/>
    <w:pPr>
      <w:numPr>
        <w:ilvl w:val="4"/>
        <w:numId w:val="16"/>
      </w:numPr>
    </w:pPr>
  </w:style>
  <w:style w:type="paragraph" w:customStyle="1" w:styleId="Point3number">
    <w:name w:val="Point 3 (number)"/>
    <w:basedOn w:val="Normal"/>
    <w:pPr>
      <w:numPr>
        <w:ilvl w:val="6"/>
        <w:numId w:val="16"/>
      </w:numPr>
    </w:pPr>
  </w:style>
  <w:style w:type="paragraph" w:customStyle="1" w:styleId="Point0letter">
    <w:name w:val="Point 0 (letter)"/>
    <w:basedOn w:val="Normal"/>
    <w:pPr>
      <w:numPr>
        <w:ilvl w:val="1"/>
        <w:numId w:val="16"/>
      </w:numPr>
    </w:pPr>
  </w:style>
  <w:style w:type="paragraph" w:customStyle="1" w:styleId="Point1letter">
    <w:name w:val="Point 1 (letter)"/>
    <w:basedOn w:val="Normal"/>
    <w:pPr>
      <w:numPr>
        <w:ilvl w:val="3"/>
        <w:numId w:val="16"/>
      </w:numPr>
    </w:pPr>
  </w:style>
  <w:style w:type="paragraph" w:customStyle="1" w:styleId="Point2letter">
    <w:name w:val="Point 2 (letter)"/>
    <w:basedOn w:val="Normal"/>
    <w:pPr>
      <w:numPr>
        <w:ilvl w:val="5"/>
        <w:numId w:val="16"/>
      </w:numPr>
    </w:pPr>
  </w:style>
  <w:style w:type="paragraph" w:customStyle="1" w:styleId="Point3letter">
    <w:name w:val="Point 3 (letter)"/>
    <w:basedOn w:val="Normal"/>
    <w:pPr>
      <w:numPr>
        <w:ilvl w:val="7"/>
        <w:numId w:val="16"/>
      </w:numPr>
    </w:pPr>
  </w:style>
  <w:style w:type="paragraph" w:customStyle="1" w:styleId="Point4letter">
    <w:name w:val="Point 4 (letter)"/>
    <w:basedOn w:val="Normal"/>
    <w:pPr>
      <w:numPr>
        <w:ilvl w:val="8"/>
        <w:numId w:val="16"/>
      </w:numPr>
    </w:pPr>
  </w:style>
  <w:style w:type="paragraph" w:customStyle="1" w:styleId="Bullet0">
    <w:name w:val="Bullet 0"/>
    <w:basedOn w:val="Normal"/>
    <w:pPr>
      <w:numPr>
        <w:numId w:val="17"/>
      </w:numPr>
    </w:pPr>
  </w:style>
  <w:style w:type="paragraph" w:customStyle="1" w:styleId="Bullet1">
    <w:name w:val="Bullet 1"/>
    <w:basedOn w:val="Normal"/>
    <w:pPr>
      <w:numPr>
        <w:numId w:val="18"/>
      </w:numPr>
    </w:pPr>
  </w:style>
  <w:style w:type="paragraph" w:customStyle="1" w:styleId="Bullet2">
    <w:name w:val="Bullet 2"/>
    <w:basedOn w:val="Normal"/>
    <w:pPr>
      <w:numPr>
        <w:numId w:val="19"/>
      </w:numPr>
    </w:pPr>
  </w:style>
  <w:style w:type="paragraph" w:customStyle="1" w:styleId="Bullet3">
    <w:name w:val="Bullet 3"/>
    <w:basedOn w:val="Normal"/>
    <w:pPr>
      <w:numPr>
        <w:numId w:val="20"/>
      </w:numPr>
    </w:pPr>
  </w:style>
  <w:style w:type="paragraph" w:customStyle="1" w:styleId="Bullet4">
    <w:name w:val="Bullet 4"/>
    <w:basedOn w:val="Normal"/>
    <w:pPr>
      <w:numPr>
        <w:numId w:val="21"/>
      </w:numPr>
    </w:pPr>
  </w:style>
  <w:style w:type="paragraph" w:customStyle="1" w:styleId="Annexetitreexpos">
    <w:name w:val="Annexe titre (exposé)"/>
    <w:basedOn w:val="Normal"/>
    <w:next w:val="Normal"/>
    <w:pPr>
      <w:jc w:val="center"/>
    </w:pPr>
    <w:rPr>
      <w:b/>
      <w:u w:val="single"/>
    </w:rPr>
  </w:style>
  <w:style w:type="paragraph" w:customStyle="1" w:styleId="Annexetitre">
    <w:name w:val="Annexe titre"/>
    <w:basedOn w:val="Normal"/>
    <w:next w:val="Normal"/>
    <w:pPr>
      <w:jc w:val="center"/>
    </w:pPr>
    <w:rPr>
      <w:b/>
      <w:u w:val="single"/>
    </w:rPr>
  </w:style>
  <w:style w:type="paragraph" w:customStyle="1" w:styleId="Annexetitrefichefinancire">
    <w:name w:val="Annexe titre (fiche financière)"/>
    <w:basedOn w:val="Normal"/>
    <w:next w:val="Normal"/>
    <w:pPr>
      <w:jc w:val="center"/>
    </w:pPr>
    <w:rPr>
      <w:b/>
      <w:u w:val="single"/>
    </w:rPr>
  </w:style>
  <w:style w:type="paragraph" w:customStyle="1" w:styleId="Applicationdirecte">
    <w:name w:val="Application directe"/>
    <w:basedOn w:val="Normal"/>
    <w:next w:val="Fait"/>
    <w:pPr>
      <w:spacing w:before="480"/>
    </w:pPr>
  </w:style>
  <w:style w:type="paragraph" w:customStyle="1" w:styleId="Avertissementtitre">
    <w:name w:val="Avertissement titre"/>
    <w:basedOn w:val="Normal"/>
    <w:next w:val="Normal"/>
    <w:pPr>
      <w:keepNext/>
      <w:spacing w:before="480"/>
    </w:pPr>
    <w:rPr>
      <w:u w:val="single"/>
    </w:rPr>
  </w:style>
  <w:style w:type="paragraph" w:customStyle="1" w:styleId="Confidence">
    <w:name w:val="Confidence"/>
    <w:basedOn w:val="Normal"/>
    <w:next w:val="Normal"/>
    <w:pPr>
      <w:spacing w:before="360"/>
      <w:jc w:val="center"/>
    </w:pPr>
  </w:style>
  <w:style w:type="paragraph" w:customStyle="1" w:styleId="Confidentialit">
    <w:name w:val="Confidentialité"/>
    <w:basedOn w:val="Normal"/>
    <w:next w:val="TypedudocumentPagedecouverture"/>
    <w:pPr>
      <w:spacing w:before="240" w:after="240"/>
      <w:ind w:left="5103"/>
      <w:jc w:val="left"/>
    </w:pPr>
    <w:rPr>
      <w:i/>
      <w:sz w:val="32"/>
    </w:rPr>
  </w:style>
  <w:style w:type="paragraph" w:customStyle="1" w:styleId="Considrant">
    <w:name w:val="Considérant"/>
    <w:basedOn w:val="Normal"/>
    <w:pPr>
      <w:numPr>
        <w:numId w:val="22"/>
      </w:numPr>
    </w:pPr>
  </w:style>
  <w:style w:type="paragraph" w:customStyle="1" w:styleId="Corrigendum">
    <w:name w:val="Corrigendum"/>
    <w:basedOn w:val="Normal"/>
    <w:next w:val="Normal"/>
    <w:pPr>
      <w:spacing w:before="0" w:after="240"/>
      <w:jc w:val="left"/>
    </w:pPr>
  </w:style>
  <w:style w:type="paragraph" w:customStyle="1" w:styleId="Datedadoption">
    <w:name w:val="Date d'adoption"/>
    <w:basedOn w:val="Normal"/>
    <w:next w:val="Titreobjet"/>
    <w:pPr>
      <w:spacing w:before="360" w:after="0"/>
      <w:jc w:val="center"/>
    </w:pPr>
    <w:rPr>
      <w:b/>
    </w:rPr>
  </w:style>
  <w:style w:type="paragraph" w:customStyle="1" w:styleId="Emission">
    <w:name w:val="Emission"/>
    <w:basedOn w:val="Normal"/>
    <w:next w:val="Rfrenceinstitutionnelle"/>
    <w:pPr>
      <w:spacing w:before="0" w:after="0"/>
      <w:ind w:left="5103"/>
      <w:jc w:val="left"/>
    </w:pPr>
  </w:style>
  <w:style w:type="paragraph" w:customStyle="1" w:styleId="Exposdesmotifstitre">
    <w:name w:val="Exposé des motifs titre"/>
    <w:basedOn w:val="Normal"/>
    <w:next w:val="Normal"/>
    <w:pPr>
      <w:jc w:val="center"/>
    </w:pPr>
    <w:rPr>
      <w:b/>
      <w:u w:val="single"/>
    </w:rPr>
  </w:style>
  <w:style w:type="paragraph" w:customStyle="1" w:styleId="Fait">
    <w:name w:val="Fait à"/>
    <w:basedOn w:val="Normal"/>
    <w:next w:val="Institutionquisigne"/>
    <w:pPr>
      <w:keepNext/>
      <w:spacing w:after="0"/>
    </w:pPr>
  </w:style>
  <w:style w:type="paragraph" w:customStyle="1" w:styleId="Formuledadoption">
    <w:name w:val="Formule d'adoption"/>
    <w:basedOn w:val="Normal"/>
    <w:next w:val="Titrearticle"/>
    <w:pPr>
      <w:keepNext/>
    </w:pPr>
  </w:style>
  <w:style w:type="paragraph" w:customStyle="1" w:styleId="Institutionquiagit">
    <w:name w:val="Institution qui agit"/>
    <w:basedOn w:val="Normal"/>
    <w:next w:val="Normal"/>
    <w:pPr>
      <w:keepNext/>
      <w:spacing w:before="600"/>
    </w:pPr>
  </w:style>
  <w:style w:type="paragraph" w:customStyle="1" w:styleId="Institutionquisigne">
    <w:name w:val="Institution qui signe"/>
    <w:basedOn w:val="Normal"/>
    <w:next w:val="Personnequisigne"/>
    <w:pPr>
      <w:keepNext/>
      <w:tabs>
        <w:tab w:val="left" w:pos="4252"/>
      </w:tabs>
      <w:spacing w:before="720" w:after="0"/>
    </w:pPr>
    <w:rPr>
      <w:i/>
    </w:rPr>
  </w:style>
  <w:style w:type="paragraph" w:customStyle="1" w:styleId="Langue">
    <w:name w:val="Langue"/>
    <w:basedOn w:val="Normal"/>
    <w:next w:val="Rfrenceinterne"/>
    <w:pPr>
      <w:framePr w:wrap="around" w:vAnchor="page" w:hAnchor="text" w:xAlign="center" w:y="14741"/>
      <w:spacing w:before="0" w:after="600"/>
      <w:jc w:val="center"/>
    </w:pPr>
    <w:rPr>
      <w:b/>
      <w:caps/>
    </w:rPr>
  </w:style>
  <w:style w:type="paragraph" w:customStyle="1" w:styleId="ManualConsidrant">
    <w:name w:val="Manual Considérant"/>
    <w:basedOn w:val="Normal"/>
    <w:pPr>
      <w:ind w:left="709" w:hanging="709"/>
    </w:pPr>
  </w:style>
  <w:style w:type="paragraph" w:customStyle="1" w:styleId="Nomdelinstitution">
    <w:name w:val="Nom de l'institution"/>
    <w:basedOn w:val="Normal"/>
    <w:next w:val="Emission"/>
    <w:pPr>
      <w:spacing w:before="0" w:after="0"/>
      <w:jc w:val="left"/>
    </w:pPr>
    <w:rPr>
      <w:rFonts w:ascii="Arial" w:hAnsi="Arial" w:cs="Arial"/>
    </w:rPr>
  </w:style>
  <w:style w:type="paragraph" w:customStyle="1" w:styleId="Personnequisigne">
    <w:name w:val="Personne qui signe"/>
    <w:basedOn w:val="Normal"/>
    <w:next w:val="Institutionquisigne"/>
    <w:pPr>
      <w:tabs>
        <w:tab w:val="left" w:pos="4252"/>
      </w:tabs>
      <w:spacing w:before="0" w:after="0"/>
      <w:jc w:val="left"/>
    </w:pPr>
    <w:rPr>
      <w:i/>
    </w:rPr>
  </w:style>
  <w:style w:type="paragraph" w:customStyle="1" w:styleId="Rfrenceinstitutionnelle">
    <w:name w:val="Référence institutionnelle"/>
    <w:basedOn w:val="Normal"/>
    <w:next w:val="Confidentialit"/>
    <w:pPr>
      <w:spacing w:before="0" w:after="240"/>
      <w:ind w:left="5103"/>
      <w:jc w:val="left"/>
    </w:pPr>
  </w:style>
  <w:style w:type="paragraph" w:customStyle="1" w:styleId="Rfrenceinterinstitutionnelle">
    <w:name w:val="Référence interinstitutionnelle"/>
    <w:basedOn w:val="Normal"/>
    <w:next w:val="Statut"/>
    <w:pPr>
      <w:spacing w:before="0" w:after="0"/>
      <w:ind w:left="5103"/>
      <w:jc w:val="left"/>
    </w:pPr>
  </w:style>
  <w:style w:type="paragraph" w:customStyle="1" w:styleId="Rfrenceinterne">
    <w:name w:val="Référence interne"/>
    <w:basedOn w:val="Normal"/>
    <w:next w:val="Rfrenceinterinstitutionnelle"/>
    <w:pPr>
      <w:spacing w:before="0" w:after="0"/>
      <w:ind w:left="5103"/>
      <w:jc w:val="left"/>
    </w:pPr>
  </w:style>
  <w:style w:type="paragraph" w:customStyle="1" w:styleId="Sous-titreobjet">
    <w:name w:val="Sous-titre objet"/>
    <w:basedOn w:val="Normal"/>
    <w:pPr>
      <w:spacing w:before="0" w:after="0"/>
      <w:jc w:val="center"/>
    </w:pPr>
    <w:rPr>
      <w:b/>
    </w:rPr>
  </w:style>
  <w:style w:type="paragraph" w:customStyle="1" w:styleId="Statut">
    <w:name w:val="Statut"/>
    <w:basedOn w:val="Normal"/>
    <w:next w:val="Typedudocument"/>
    <w:pPr>
      <w:spacing w:before="360" w:after="0"/>
      <w:jc w:val="center"/>
    </w:pPr>
  </w:style>
  <w:style w:type="paragraph" w:customStyle="1" w:styleId="Titrearticle">
    <w:name w:val="Titre article"/>
    <w:basedOn w:val="Normal"/>
    <w:next w:val="Normal"/>
    <w:pPr>
      <w:keepNext/>
      <w:spacing w:before="360"/>
      <w:jc w:val="center"/>
    </w:pPr>
    <w:rPr>
      <w:i/>
    </w:rPr>
  </w:style>
  <w:style w:type="paragraph" w:customStyle="1" w:styleId="Titreobjet">
    <w:name w:val="Titre objet"/>
    <w:basedOn w:val="Normal"/>
    <w:next w:val="Sous-titreobjet"/>
    <w:pPr>
      <w:spacing w:before="360" w:after="360"/>
      <w:jc w:val="center"/>
    </w:pPr>
    <w:rPr>
      <w:b/>
    </w:rPr>
  </w:style>
  <w:style w:type="paragraph" w:customStyle="1" w:styleId="Typedudocument">
    <w:name w:val="Type du document"/>
    <w:basedOn w:val="Normal"/>
    <w:next w:val="Titreobjet"/>
    <w:pPr>
      <w:spacing w:before="360" w:after="0"/>
      <w:jc w:val="center"/>
    </w:pPr>
    <w:rPr>
      <w:b/>
    </w:rPr>
  </w:style>
  <w:style w:type="character" w:customStyle="1" w:styleId="Added">
    <w:name w:val="Added"/>
    <w:basedOn w:val="DefaultParagraphFont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pPr>
      <w:keepLines/>
      <w:spacing w:line="360" w:lineRule="auto"/>
      <w:ind w:left="3402"/>
      <w:jc w:val="left"/>
    </w:pPr>
  </w:style>
  <w:style w:type="paragraph" w:customStyle="1" w:styleId="Objetexterne">
    <w:name w:val="Objet externe"/>
    <w:basedOn w:val="Normal"/>
    <w:next w:val="Normal"/>
    <w:rPr>
      <w:i/>
      <w:caps/>
    </w:rPr>
  </w:style>
  <w:style w:type="paragraph" w:customStyle="1" w:styleId="Pagedecouverture">
    <w:name w:val="Page de couverture"/>
    <w:basedOn w:val="Normal"/>
    <w:next w:val="Normal"/>
    <w:pPr>
      <w:spacing w:before="0" w:after="0"/>
    </w:pPr>
  </w:style>
  <w:style w:type="paragraph" w:customStyle="1" w:styleId="Supertitre">
    <w:name w:val="Supertitre"/>
    <w:basedOn w:val="Normal"/>
    <w:next w:val="Normal"/>
    <w:pPr>
      <w:spacing w:before="0" w:after="600"/>
      <w:jc w:val="center"/>
    </w:pPr>
    <w:rPr>
      <w:b/>
    </w:rPr>
  </w:style>
  <w:style w:type="paragraph" w:customStyle="1" w:styleId="Languesfaisantfoi">
    <w:name w:val="Langues faisant foi"/>
    <w:basedOn w:val="Normal"/>
    <w:next w:val="Normal"/>
    <w:pPr>
      <w:spacing w:before="360" w:after="0"/>
      <w:jc w:val="center"/>
    </w:pPr>
  </w:style>
  <w:style w:type="paragraph" w:customStyle="1" w:styleId="Rfrencecroise">
    <w:name w:val="Référence croisée"/>
    <w:basedOn w:val="Normal"/>
    <w:pPr>
      <w:spacing w:before="0" w:after="0"/>
      <w:jc w:val="center"/>
    </w:pPr>
  </w:style>
  <w:style w:type="paragraph" w:customStyle="1" w:styleId="Fichefinanciretitre">
    <w:name w:val="Fiche financière titre"/>
    <w:basedOn w:val="Normal"/>
    <w:next w:val="Normal"/>
    <w:pPr>
      <w:jc w:val="center"/>
    </w:pPr>
    <w:rPr>
      <w:b/>
      <w:u w:val="single"/>
    </w:rPr>
  </w:style>
  <w:style w:type="paragraph" w:customStyle="1" w:styleId="DatedadoptionPagedecouverture">
    <w:name w:val="Date d'adoption (Page de couverture)"/>
    <w:basedOn w:val="Datedadoption"/>
    <w:next w:val="TitreobjetPagedecouverture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</w:style>
  <w:style w:type="paragraph" w:customStyle="1" w:styleId="Sous-titreobjetPagedecouverture">
    <w:name w:val="Sous-titre objet (Page de couverture)"/>
    <w:basedOn w:val="Sous-titreobjet"/>
  </w:style>
  <w:style w:type="paragraph" w:customStyle="1" w:styleId="StatutPagedecouverture">
    <w:name w:val="Statut (Page de couverture)"/>
    <w:basedOn w:val="Statut"/>
    <w:next w:val="TypedudocumentPagedecouverture"/>
  </w:style>
  <w:style w:type="paragraph" w:customStyle="1" w:styleId="TitreobjetPagedecouverture">
    <w:name w:val="Titre objet (Page de couverture)"/>
    <w:basedOn w:val="Titreobjet"/>
    <w:next w:val="Sous-titreobjetPagedecouverture"/>
  </w:style>
  <w:style w:type="paragraph" w:customStyle="1" w:styleId="TypedudocumentPagedecouverture">
    <w:name w:val="Type du document (Page de couverture)"/>
    <w:basedOn w:val="Typedudocument"/>
    <w:next w:val="TitreobjetPagedecouverture"/>
  </w:style>
  <w:style w:type="paragraph" w:customStyle="1" w:styleId="Volume">
    <w:name w:val="Volume"/>
    <w:basedOn w:val="Normal"/>
    <w:next w:val="Confidentialit"/>
    <w:pPr>
      <w:spacing w:before="0" w:after="240"/>
      <w:ind w:left="5103"/>
      <w:jc w:val="left"/>
    </w:pPr>
  </w:style>
  <w:style w:type="paragraph" w:customStyle="1" w:styleId="IntrtEEE">
    <w:name w:val="Intérêt EEE"/>
    <w:basedOn w:val="Languesfaisantfoi"/>
    <w:next w:val="Normal"/>
    <w:pPr>
      <w:spacing w:after="240"/>
    </w:pPr>
  </w:style>
  <w:style w:type="paragraph" w:customStyle="1" w:styleId="Accompagnant">
    <w:name w:val="Accompagnant"/>
    <w:basedOn w:val="Normal"/>
    <w:next w:val="Typeacteprincipal"/>
    <w:pPr>
      <w:spacing w:before="0" w:after="240"/>
      <w:jc w:val="center"/>
    </w:pPr>
    <w:rPr>
      <w:b/>
      <w:i/>
    </w:rPr>
  </w:style>
  <w:style w:type="paragraph" w:customStyle="1" w:styleId="Typeacteprincipal">
    <w:name w:val="Type acte principal"/>
    <w:basedOn w:val="Normal"/>
    <w:next w:val="Objetacteprincipal"/>
    <w:pPr>
      <w:spacing w:before="0" w:after="240"/>
      <w:jc w:val="center"/>
    </w:pPr>
    <w:rPr>
      <w:b/>
    </w:rPr>
  </w:style>
  <w:style w:type="paragraph" w:customStyle="1" w:styleId="Objetacteprincipal">
    <w:name w:val="Objet acte principal"/>
    <w:basedOn w:val="Normal"/>
    <w:next w:val="Titrearticle"/>
    <w:pPr>
      <w:spacing w:before="0" w:after="360"/>
      <w:jc w:val="center"/>
    </w:pPr>
    <w:rPr>
      <w:b/>
    </w:rPr>
  </w:style>
  <w:style w:type="paragraph" w:customStyle="1" w:styleId="IntrtEEEPagedecouverture">
    <w:name w:val="Intérêt EEE (Page de couverture)"/>
    <w:basedOn w:val="IntrtEEE"/>
    <w:next w:val="Rfrencecroise"/>
  </w:style>
  <w:style w:type="paragraph" w:customStyle="1" w:styleId="AccompagnantPagedecouverture">
    <w:name w:val="Accompagnant (Page de couverture)"/>
    <w:basedOn w:val="Accompagnant"/>
    <w:next w:val="TypeacteprincipalPagedecouverture"/>
  </w:style>
  <w:style w:type="paragraph" w:customStyle="1" w:styleId="TypeacteprincipalPagedecouverture">
    <w:name w:val="Type acte principal (Page de couverture)"/>
    <w:basedOn w:val="Typeacteprincipal"/>
    <w:next w:val="ObjetacteprincipalPagedecouverture"/>
  </w:style>
  <w:style w:type="paragraph" w:customStyle="1" w:styleId="ObjetacteprincipalPagedecouverture">
    <w:name w:val="Objet acte principal (Page de couverture)"/>
    <w:basedOn w:val="Objetacteprincipal"/>
    <w:next w:val="Rfrencecroise"/>
  </w:style>
  <w:style w:type="paragraph" w:customStyle="1" w:styleId="LanguesfaisantfoiPagedecouverture">
    <w:name w:val="Langues faisant foi (Page de couverture)"/>
    <w:basedOn w:val="Normal"/>
    <w:next w:val="Normal"/>
    <w:pPr>
      <w:spacing w:before="360" w:after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COM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205FE-CB3C-4208-97BA-2BD45F10C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COM.dotm</Template>
  <TotalTime>0</TotalTime>
  <Pages>7</Pages>
  <Words>2435</Words>
  <Characters>14687</Characters>
  <Application>Microsoft Office Word</Application>
  <DocSecurity>0</DocSecurity>
  <Lines>229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2016-11-17T12:09:00Z</dcterms:created>
  <dcterms:modified xsi:type="dcterms:W3CDTF">2016-11-18T16:35:00Z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 edited using">
    <vt:lpwstr>LW 5.8.4, Build 20150407</vt:lpwstr>
  </property>
  <property fmtid="{D5CDD505-2E9C-101B-9397-08002B2CF9AE}" pid="3" name="Classification">
    <vt:lpwstr> </vt:lpwstr>
  </property>
  <property fmtid="{D5CDD505-2E9C-101B-9397-08002B2CF9AE}" pid="4" name="Category">
    <vt:lpwstr>COM/PL/ORG</vt:lpwstr>
  </property>
  <property fmtid="{D5CDD505-2E9C-101B-9397-08002B2CF9AE}" pid="5" name="Version">
    <vt:lpwstr>5.84.2.0</vt:lpwstr>
  </property>
  <property fmtid="{D5CDD505-2E9C-101B-9397-08002B2CF9AE}" pid="6" name="Created using">
    <vt:lpwstr>LW 5.8.4, Build 20150407</vt:lpwstr>
  </property>
  <property fmtid="{D5CDD505-2E9C-101B-9397-08002B2CF9AE}" pid="7" name="Part">
    <vt:lpwstr>1</vt:lpwstr>
  </property>
  <property fmtid="{D5CDD505-2E9C-101B-9397-08002B2CF9AE}" pid="8" name="Total parts">
    <vt:lpwstr>1</vt:lpwstr>
  </property>
  <property fmtid="{D5CDD505-2E9C-101B-9397-08002B2CF9AE}" pid="9" name="LWTemplateID">
    <vt:lpwstr>SG-002</vt:lpwstr>
  </property>
  <property fmtid="{D5CDD505-2E9C-101B-9397-08002B2CF9AE}" pid="10" name="DQCStatus">
    <vt:lpwstr>Green (DQC version 03)</vt:lpwstr>
  </property>
</Properties>
</file>