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83" w:rsidRDefault="00E3207E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871DFA3389F43D4A756677BC2624963" style="width:450.7pt;height:321.25pt">
            <v:imagedata r:id="rId9" o:title=""/>
          </v:shape>
        </w:pict>
      </w:r>
    </w:p>
    <w:bookmarkEnd w:id="0"/>
    <w:p w:rsidR="00181383" w:rsidRDefault="00181383">
      <w:pPr>
        <w:spacing w:after="120"/>
        <w:rPr>
          <w:rFonts w:ascii="Times New Roman" w:hAnsi="Times New Roman" w:cs="Times New Roman"/>
          <w:noProof/>
        </w:rPr>
        <w:sectPr w:rsidR="001813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181383" w:rsidRDefault="00181383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:rsidR="00181383" w:rsidRDefault="00181383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4"/>
          <w:szCs w:val="24"/>
        </w:rPr>
        <w:id w:val="-6228429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181383" w:rsidRDefault="00E3207E">
          <w:pPr>
            <w:spacing w:after="120"/>
            <w:jc w:val="both"/>
            <w:rPr>
              <w:rFonts w:ascii="Times New Roman" w:eastAsia="Times New Roman" w:hAnsi="Times New Roman" w:cs="Times New Roman"/>
              <w:b/>
              <w:noProof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color w:val="000000" w:themeColor="text1"/>
              <w:sz w:val="24"/>
            </w:rPr>
            <w:t>Obsah</w:t>
          </w:r>
        </w:p>
        <w:p w:rsidR="00181383" w:rsidRDefault="00E3207E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en-GB"/>
            </w:rPr>
          </w:pPr>
          <w:r>
            <w:rPr>
              <w:noProof/>
              <w:color w:val="000000" w:themeColor="text1"/>
              <w:szCs w:val="24"/>
            </w:rPr>
            <w:fldChar w:fldCharType="begin"/>
          </w:r>
          <w:r>
            <w:rPr>
              <w:noProof/>
              <w:color w:val="000000" w:themeColor="text1"/>
              <w:szCs w:val="24"/>
            </w:rPr>
            <w:instrText xml:space="preserve"> TOC \o "1-3" \h \z \u </w:instrText>
          </w:r>
          <w:r>
            <w:rPr>
              <w:noProof/>
              <w:color w:val="000000" w:themeColor="text1"/>
              <w:szCs w:val="24"/>
            </w:rPr>
            <w:fldChar w:fldCharType="separate"/>
          </w:r>
          <w:hyperlink w:anchor="_Toc481660178" w:history="1">
            <w:r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en-GB"/>
            </w:rPr>
          </w:pPr>
          <w:hyperlink w:anchor="_Toc481660179" w:history="1">
            <w:r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Měnící se prostředí v Africe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en-GB"/>
            </w:rPr>
          </w:pPr>
          <w:hyperlink w:anchor="_Toc481660180" w:history="1">
            <w:r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Strategické cíle 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en-GB"/>
            </w:rPr>
          </w:pPr>
          <w:hyperlink w:anchor="_Toc481660181" w:history="1">
            <w:r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Silnější politický vztah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en-GB"/>
            </w:rPr>
          </w:pPr>
          <w:hyperlink w:anchor="_Toc481660182" w:history="1">
            <w:r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Převedení strategických cílů do podoby opatření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81660183" w:history="1">
            <w:r>
              <w:rPr>
                <w:rStyle w:val="Hyperlink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 xml:space="preserve">Odolnější </w:t>
            </w:r>
            <w:r>
              <w:rPr>
                <w:rStyle w:val="Hyperlink"/>
                <w:noProof/>
              </w:rPr>
              <w:t xml:space="preserve">státy </w:t>
            </w:r>
            <w:bookmarkStart w:id="1" w:name="_GoBack"/>
            <w:bookmarkEnd w:id="1"/>
            <w:r>
              <w:rPr>
                <w:rStyle w:val="Hyperlink"/>
                <w:noProof/>
              </w:rPr>
              <w:t>a společnosti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81660184" w:history="1">
            <w:r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Předcházení konfliktům, řešení krizí a budování míru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81660185" w:history="1">
            <w:r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Posílení systémů správy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81660186" w:history="1">
            <w:r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Řízení migrace a mobility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81660187" w:history="1">
            <w:r>
              <w:rPr>
                <w:rStyle w:val="Hyperlink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Větší počet pracovních míst vyšší kvality, zejména pro mladé lidi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81660188" w:history="1">
            <w:r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Přilákat odpovědné a udržitelné investice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81660189" w:history="1">
            <w:r>
              <w:rPr>
                <w:rStyle w:val="Hyperlink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Energie pro Afriku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81660190" w:history="1">
            <w:r>
              <w:rPr>
                <w:rStyle w:val="Hyperlink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>Tra</w:t>
            </w:r>
            <w:r>
              <w:rPr>
                <w:rStyle w:val="Hyperlink"/>
                <w:noProof/>
              </w:rPr>
              <w:t>nsformace afrického zemědělství a zemědělského podnikání a afrického modrého hospodářství včetně rybolovu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81660191" w:history="1">
            <w:r>
              <w:rPr>
                <w:rStyle w:val="Hyperlink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GB"/>
              </w:rPr>
              <w:tab/>
            </w:r>
            <w:r>
              <w:rPr>
                <w:rStyle w:val="Hyperlink"/>
                <w:noProof/>
              </w:rPr>
              <w:t xml:space="preserve">Podpora znalostí </w:t>
            </w:r>
            <w:r>
              <w:rPr>
                <w:rStyle w:val="Hyperlink"/>
                <w:noProof/>
              </w:rPr>
              <w:t>a dovedností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_Toc481660191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1383" w:rsidRDefault="00E3207E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r>
            <w:rPr>
              <w:caps w:val="0"/>
              <w:noProof/>
              <w:color w:val="000000" w:themeColor="text1"/>
              <w:szCs w:val="24"/>
            </w:rPr>
            <w:fldChar w:fldCharType="end"/>
          </w:r>
        </w:p>
      </w:sdtContent>
    </w:sdt>
    <w:p w:rsidR="00181383" w:rsidRDefault="00E3207E">
      <w:pPr>
        <w:keepNext/>
        <w:spacing w:after="120"/>
        <w:ind w:left="1920" w:hanging="360"/>
        <w:jc w:val="both"/>
        <w:outlineLvl w:val="2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</w:pPr>
      <w:r>
        <w:rPr>
          <w:noProof/>
        </w:rPr>
        <w:br w:type="page"/>
      </w:r>
    </w:p>
    <w:p w:rsidR="00181383" w:rsidRDefault="00E3207E">
      <w:pPr>
        <w:pStyle w:val="Heading1"/>
        <w:spacing w:before="0" w:after="120" w:line="276" w:lineRule="auto"/>
        <w:rPr>
          <w:noProof/>
          <w:szCs w:val="24"/>
        </w:rPr>
      </w:pPr>
      <w:bookmarkStart w:id="2" w:name="_Toc480319522"/>
      <w:bookmarkStart w:id="3" w:name="_Toc481660178"/>
      <w:r>
        <w:rPr>
          <w:noProof/>
        </w:rPr>
        <w:lastRenderedPageBreak/>
        <w:t>Úvod</w:t>
      </w:r>
      <w:bookmarkEnd w:id="2"/>
      <w:bookmarkEnd w:id="3"/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Rok 2017 je pro partnerství mezi Evropou a Afrikou rokem určujícím. V rychle se měnících celosvětových souvislostech zažívá Afrika hluboké hospodářské, politické a společenské změny a její význam pro vnitřní i vnější rozměr bezpečnosti a prosperity Evropy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se stává stále zřejmější. Z posílených politických a ekonomických vazeb mohou Evropa i Afrika mnoho získat, ale také ztratit, pokud nebudou jednat. 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Pátý summit EU–Afrika, který se má konat v listopadu 2017, poskytuje africkým a evropským čelným představit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elům zásadní příležitost reagovat na tyto vyvíjející se souvislosti a proměnit a prohloubit partnerství mezi EU a Afrikou. 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V tomto sdělení se navrhuje oživený rámec společné akce, který by EU a její členské státy mohly předložit na summitu a který by se m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ohl promítnout do plánu na období 2018–2020. Předpokládá silnější, hlubší a dynamičtější strategické partnerství pro větší prosperitu a stabilitu na obou světadílech. Stanoví politické priority a výchozí soubor konkrétních iniciativ na období 2018–2020 a n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ásledující roky, které je třeba koordinovat a posílit ve spolupráci s členskými státy EU a dále rozvíjet společně s africkými partnery jako odpověď na program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Agenda 2063</w:t>
      </w:r>
      <w:r>
        <w:rPr>
          <w:rStyle w:val="FootnoteReference"/>
          <w:rFonts w:ascii="Times New Roman" w:hAnsi="Times New Roman"/>
          <w:i/>
          <w:noProof/>
          <w:color w:val="000000" w:themeColor="text1"/>
          <w:sz w:val="24"/>
          <w:lang w:val="cs-CZ"/>
        </w:rPr>
        <w:footnoteReference w:id="1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, který vypracovala sama Afrika, a na základě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 xml:space="preserve">Globální strategie zahraniční a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bezpečnostní politiky EU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  <w:lang w:val="cs-CZ"/>
        </w:rPr>
        <w:footnoteReference w:id="2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. Věnuje zvláštní pozornost ambicím a potřebám mladých lidí, jejichž zapojení do celkového postupu bude silně podporováno. 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Přispívá k probíhajícím úvahám zahájeným společným sdělením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Obnovené partnerství se zeměmi Afriky, Karibiku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 xml:space="preserve"> a Tichomoří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  <w:lang w:val="cs-CZ"/>
        </w:rPr>
        <w:footnoteReference w:id="3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, které poskytne informace pro jednání, jež budou zahájena v roce 2018 s cílem obnovit dlouhodobé partnerství EU se zeměmi Afriky, Karibiku a Tichomoří, a zejména jeho africký pilíř.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Řídí se mezinárodními rámci, jako je Agenda 2030 pro udržite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lný rozvoj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4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OSN, akční program OSN z Addis Abeby (AAAA) pro financování rozvoje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5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 Pařížská dohoda o změně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/>
        </w:rPr>
        <w:t>klimatu</w:t>
      </w:r>
      <w:r>
        <w:rPr>
          <w:rStyle w:val="FootnoteReference"/>
          <w:rFonts w:ascii="Times New Roman" w:hAnsi="Times New Roman" w:cs="Times New Roman"/>
          <w:noProof/>
          <w:color w:val="000000" w:themeColor="text1"/>
          <w:sz w:val="24"/>
          <w:szCs w:val="24"/>
          <w:lang w:val="cs-CZ"/>
        </w:rPr>
        <w:footnoteReference w:id="6"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cs-CZ"/>
        </w:rPr>
        <w:t>Je v souladu s jinými příslušnými politikami EU</w:t>
      </w:r>
      <w:r>
        <w:rPr>
          <w:rStyle w:val="FootnoteReference"/>
          <w:rFonts w:ascii="Times New Roman" w:hAnsi="Times New Roman" w:cs="Times New Roman"/>
          <w:noProof/>
          <w:color w:val="000000" w:themeColor="text1"/>
          <w:sz w:val="24"/>
          <w:szCs w:val="24"/>
          <w:lang w:val="cs-CZ"/>
        </w:rPr>
        <w:footnoteReference w:id="7"/>
      </w:r>
      <w:r>
        <w:rPr>
          <w:rFonts w:ascii="Times New Roman" w:hAnsi="Times New Roman" w:cs="Times New Roman"/>
          <w:noProof/>
          <w:sz w:val="24"/>
          <w:szCs w:val="24"/>
          <w:lang w:val="cs-CZ"/>
        </w:rPr>
        <w:t>.</w:t>
      </w:r>
    </w:p>
    <w:p w:rsidR="00181383" w:rsidRDefault="00181383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</w:p>
    <w:p w:rsidR="00181383" w:rsidRDefault="00E3207E">
      <w:pPr>
        <w:pStyle w:val="Heading1"/>
        <w:spacing w:before="0" w:after="120" w:line="276" w:lineRule="auto"/>
        <w:rPr>
          <w:noProof/>
          <w:szCs w:val="24"/>
          <w:lang w:val="cs-CZ"/>
        </w:rPr>
      </w:pPr>
      <w:bookmarkStart w:id="4" w:name="_Toc480319523"/>
      <w:bookmarkStart w:id="5" w:name="_Toc481660179"/>
      <w:r>
        <w:rPr>
          <w:noProof/>
          <w:lang w:val="cs-CZ"/>
        </w:rPr>
        <w:t>Měnící se prostředí v Africe</w:t>
      </w:r>
      <w:bookmarkEnd w:id="4"/>
      <w:bookmarkEnd w:id="5"/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Afrika vystupuje v celé své rozmanitosti na mezinárodní scé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ně s větší sebedůvěrou, dynamikou a optimismem než kdykoli dříve. 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lastRenderedPageBreak/>
        <w:t xml:space="preserve">Během posledních dvou desetiletí prokázala Afrika působivý hospodářský pokrok. V řadě zemí probíhají pozitivní transformace. Stále větší počet afrických vlád a regionálních organizací se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ujímá vedoucí úlohy při řešení bezpečnosti, politických problémů a výzev v oblasti zmírňování chudoby v rámci svých hranic i za nimi a také sehrává aktivnější úlohu při prosazování řádné správy věcí veřejných a právního státu. V mnoha zemích se díky tomu s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tát a společnost staly odolnějšími, zvýšila se politická účast občanů a posílil se pokrok v oblasti strukturální transformace.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Tyto povzbudivé tendence jsou</w:t>
      </w:r>
      <w:r>
        <w:rPr>
          <w:rFonts w:ascii="Times New Roman" w:hAnsi="Times New Roman"/>
          <w:noProof/>
          <w:sz w:val="24"/>
          <w:lang w:val="cs-CZ"/>
        </w:rPr>
        <w:t xml:space="preserve"> však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často zranitelné a dosud nejsou dostatečně začleňující či udržitelné, aby nabízely lepší vyhlí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dky velké části obyvatelstva, a zvláště rostoucímu počtu mladých lidí v Africe. Otevírání politického prostoru v některých zemích kontrastuje s regresivními tendencemi v jiných. Řada zemí nebyla schopna se reformovat a zotavit z konfliktu v nezbytné míře č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i dostatečném tempu, a tak trpí nestabilitou. Mnoho zemí stále čelí vážným omezením udržitelného hospodářského rozvoje a silně závisí na využívání přírodních zdrojů. Celkový hospodářský růst na africkém kontinentu se v současné době ve skutečnosti zpomaluj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e. Kromě místních faktorů ohrožují regionální stabilitu a udržitelný rozvoj nadnárodní problémy v oblasti bezpečnosti, zejména organizovaná trestná činnost včetně obchodování s lidmi a terorismu. Pokrok je také ohrožen zhoršováním stavu životního prostředí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na souši i na moři, následky změny klimatu a výskytem infekčních nemocí, jako je ebola. Vypuknutí hladomoru v Jižním Súdánu, Nigérii a Somálsku zdůrazňuje dopad a vzájemnou provázanost špatné bezpečnostní situace, změny klimatu a nedostatku potravin a vod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y. Tyto problémy vedly v Africe k nebývalé úrovni násilného vysídlování obyvatelstva. Podnítily rovněž zvýšenou nelegální migraci, především v rámci Afriky, ale také do Evropy, což následně zvyšuje tlak na politické vedení a systémy správy ve všech dotčený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ch zemích. 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Demografická dynamika bude jednou z nejvýznamnějších strukturálních změn ve světě v 21. století. Do roku 2050 bude žít v Africe 2,4 miliardy převážně mladých lidí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8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. To, jak tyto změny budou spravovány z politického a ekonomického hlediska, určí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budoucnost kontinentu i širšího prostoru. 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Na jedné straně je podle demografických prognóz pro Afriku nepochybné, že je naléhavě nutné vytvořit miliony nových pracovních míst. Podle prognóz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  <w:lang w:val="cs-CZ"/>
        </w:rPr>
        <w:footnoteReference w:id="9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potřebuje subsaharská Afrika vytvořit každý rok až do roku 2035 18 milionů nových pracovních míst, aby absorbovala nové příchozí na trh práce, v porovnání se 3 miliony oficiálních pracovních míst vytvářených v současnosti. Vzhledem k malé velikosti oficiá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lního sektoru a neexistenci systémů sociální ochrany ve většině zemí se bude navíc většina mladých lidí nadále uchylovat k neformální ekonomice, včetně samozásobitelského zemědělství, jako ke způsobu přežití.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Na druhé straně nabízí takový růst počtu obyvat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el potenciálně značné ekonomické příležitosti. Celková soukromá spotřeba, která roste díky vzkvétající střední třídě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10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, má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lastRenderedPageBreak/>
        <w:t>podle odhadů v roce 2025 dosáhnout 2 bilionů EUR ročně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11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 očekává se, že společnosti v Africe nabídnou ještě větší trh, přičemž odhado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vaná míra výdajů dosáhne do roku 2025 3,3 bilionu EUR ročně. </w:t>
      </w:r>
    </w:p>
    <w:p w:rsidR="00181383" w:rsidRDefault="00181383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</w:p>
    <w:p w:rsidR="00181383" w:rsidRDefault="00E3207E">
      <w:pPr>
        <w:pStyle w:val="Heading1"/>
        <w:spacing w:before="0" w:after="120" w:line="276" w:lineRule="auto"/>
        <w:rPr>
          <w:noProof/>
          <w:szCs w:val="24"/>
          <w:lang w:val="cs-CZ"/>
        </w:rPr>
      </w:pPr>
      <w:bookmarkStart w:id="6" w:name="_Toc480319524"/>
      <w:bookmarkStart w:id="7" w:name="_Toc481660180"/>
      <w:r>
        <w:rPr>
          <w:noProof/>
          <w:lang w:val="cs-CZ"/>
        </w:rPr>
        <w:t>Strategické cíle EU</w:t>
      </w:r>
      <w:bookmarkEnd w:id="6"/>
      <w:bookmarkEnd w:id="7"/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V těchto měnících se globálních souvislostech je jednoznačně ve strategickém zájmu EU prohloubit a přizpůsobit své dlouhodobé partnerství s Afrikou.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EU a Afrika za posledníc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h 10 let již vybudovaly silnější a více politicky orientované partnerství založené na sdílených hodnotách a zájmech zakotvené ve společné strategii EU-Afrika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  <w:lang w:val="cs-CZ"/>
        </w:rPr>
        <w:footnoteReference w:id="12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. EU jako celek je v současnosti hlavním zahraničním investorem v Africe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13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, jejím hlavním obchodním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partnerem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14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 klíčovým zajišťovatelem bezpečnosti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15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, jejím hlavním zdrojem finančních prostředků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16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 jejím prvním partnerem v oblasti rozvoje a humanitární pomoci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  <w:lang w:val="cs-CZ"/>
        </w:rPr>
        <w:footnoteReference w:id="17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. Stále těsnější síť lidských kontaktů a výměn posiluje svazky mezi národy obou kontinentů.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V n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ávaznosti na společnou strategii EU-Afrika by EU měla sledovat tři vzájemně související strategické cíle:</w:t>
      </w:r>
    </w:p>
    <w:p w:rsidR="00181383" w:rsidRDefault="00E3207E">
      <w:pPr>
        <w:pStyle w:val="ListParagraph"/>
        <w:numPr>
          <w:ilvl w:val="0"/>
          <w:numId w:val="25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silnější vzájemné zapojení a posílenou spolupráci na mezinárodní scéně založenou na společných hodnotách a sdílených zájmech, včetně ve dvoustranných </w:t>
      </w:r>
      <w:r>
        <w:rPr>
          <w:noProof/>
          <w:color w:val="000000" w:themeColor="text1"/>
          <w:lang w:val="cs-CZ"/>
        </w:rPr>
        <w:t>vztazích,</w:t>
      </w:r>
    </w:p>
    <w:p w:rsidR="00181383" w:rsidRDefault="00E3207E">
      <w:pPr>
        <w:pStyle w:val="ListParagraph"/>
        <w:numPr>
          <w:ilvl w:val="0"/>
          <w:numId w:val="25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bezpečnost na souši i na moři a boj proti nadnárodním hrozbám jako investici do bezpečnosti na obou kontinentech, </w:t>
      </w:r>
    </w:p>
    <w:p w:rsidR="00181383" w:rsidRDefault="00E3207E">
      <w:pPr>
        <w:pStyle w:val="ListParagraph"/>
        <w:numPr>
          <w:ilvl w:val="0"/>
          <w:numId w:val="25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udržitelný hospodářský rozvoj podporující začlenění v Africe s cílem vytvářet pracovní místa, která kontinent potřebuje, a využít p</w:t>
      </w:r>
      <w:r>
        <w:rPr>
          <w:noProof/>
          <w:color w:val="000000" w:themeColor="text1"/>
          <w:lang w:val="cs-CZ"/>
        </w:rPr>
        <w:t>říležitostí, jež se tím nabízí Evropě.</w:t>
      </w:r>
    </w:p>
    <w:p w:rsidR="00181383" w:rsidRDefault="00181383">
      <w:pPr>
        <w:spacing w:after="120"/>
        <w:rPr>
          <w:rFonts w:ascii="Times New Roman" w:hAnsi="Times New Roman" w:cs="Times New Roman"/>
          <w:noProof/>
          <w:color w:val="000000" w:themeColor="text1"/>
          <w:szCs w:val="24"/>
          <w:lang w:val="cs-CZ"/>
        </w:rPr>
      </w:pPr>
    </w:p>
    <w:p w:rsidR="00181383" w:rsidRDefault="00E3207E">
      <w:pPr>
        <w:pStyle w:val="Heading1"/>
        <w:spacing w:before="0" w:after="120" w:line="276" w:lineRule="auto"/>
        <w:rPr>
          <w:noProof/>
          <w:szCs w:val="24"/>
          <w:lang w:val="cs-CZ"/>
        </w:rPr>
      </w:pPr>
      <w:bookmarkStart w:id="8" w:name="_Toc480319525"/>
      <w:bookmarkStart w:id="9" w:name="_Toc481660181"/>
      <w:r>
        <w:rPr>
          <w:noProof/>
          <w:lang w:val="cs-CZ"/>
        </w:rPr>
        <w:lastRenderedPageBreak/>
        <w:t>Silnější politický vztah</w:t>
      </w:r>
      <w:bookmarkEnd w:id="8"/>
      <w:bookmarkEnd w:id="9"/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Splnění ambiciózního společného programu vyžaduje především investice na politické úrovni s cílem pozvednout stávající politické vztahy s Afrikou na vyšší strategický stupeň. Toho lze docílit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pomocí:</w:t>
      </w:r>
    </w:p>
    <w:p w:rsidR="00181383" w:rsidRDefault="00E3207E">
      <w:pPr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>prohloubení koalic pro otázky globální veřejné správy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usilováním o posílený dialog a účinnou spolupráci na mezinárodních fórech. Africká unie (AU) a africká skupina v OSN jsou strategickými partnery a klíčovými spojenci při posilování úlohy OSN a 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mezinárodního řádu založeného na pravidlech, což je zásadní pro budoucí mír a prosperitu. Všichni partneři mají svou úlohu při posilování účinnosti, odpovědnosti a reprezentativnosti celého systému OSN, včetně Rady bezpečnosti. Taková spolupráce by měla us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ilovat o reformování a posílení mnohostranných institucí a vypracování dohod, norem a opatření v reakci na globální výzvy, jako je změna klimatu, epidemie, tlak na přírodní zdroje, jakož i migrace, mobilita a humanitární krize. Musí též sloužit k prosazová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ní a podpoře právního státu a spravedlnosti na mezinárodní úrovni včetně zajištění spravedlnosti a odpovědnosti v případě nejzávažnějších trestných činů v souladu se zásadami stanovenými v Římském statutu Mezinárodního trestního soudu,</w:t>
      </w:r>
    </w:p>
    <w:p w:rsidR="00181383" w:rsidRDefault="00E3207E">
      <w:pPr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posílení spolupráce </w:t>
      </w: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v oblasti společných zájmů založené na časté politické interakci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využíváním plného potenciálu společné strategie EU-Afrika a jiných stávajících rámců spolupráce a dohod o spolupráci na nejvhodnější úrovni (mnohostranné, kontinentální, regionální, vnitrostá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tní, místní) na základě zásad subsidiarity. EU a afričtí partneři by měli zejména oživit politický dialog na ministerské úrovni, a to nejen o otázkách zahraniční politiky, ale také o iniciativách odvětvových politik a partnerství,</w:t>
      </w:r>
    </w:p>
    <w:p w:rsidR="00181383" w:rsidRDefault="00E3207E">
      <w:pPr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>vytvoření partnerství zam</w:t>
      </w: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>ěřeného na občany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stmelením kontaktů a výměn mezi občany a mezi podniky, a zejména posílením spolupráce s místními orgány, soukromým sektorem a občanskou společností. Tento aspekt se ukázal jako nesnadný a vyžaduje obnovené společné úsilí. V době před summ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item i později bude podporován dialog se všemi těmito subjekty.</w:t>
      </w:r>
    </w:p>
    <w:p w:rsidR="00181383" w:rsidRDefault="00181383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</w:p>
    <w:p w:rsidR="00181383" w:rsidRDefault="00E3207E">
      <w:pPr>
        <w:pStyle w:val="Heading1"/>
        <w:spacing w:before="0" w:after="120" w:line="276" w:lineRule="auto"/>
        <w:rPr>
          <w:noProof/>
          <w:szCs w:val="24"/>
          <w:lang w:val="cs-CZ"/>
        </w:rPr>
      </w:pPr>
      <w:bookmarkStart w:id="10" w:name="_Toc480319526"/>
      <w:bookmarkStart w:id="11" w:name="_Toc481660182"/>
      <w:r>
        <w:rPr>
          <w:noProof/>
          <w:lang w:val="cs-CZ"/>
        </w:rPr>
        <w:t>Převedení strategických cílů do podoby opatření</w:t>
      </w:r>
      <w:bookmarkEnd w:id="10"/>
      <w:bookmarkEnd w:id="11"/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Rámec vnější politiky EU a program reforem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Agenda 2063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, který vytvořila sama Afrika, poskytují správné pokyny pro převedení těchto cílů do podo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by transformačního programu strukturovaného kolem dvou hlavních oblastí: </w:t>
      </w:r>
    </w:p>
    <w:p w:rsidR="00181383" w:rsidRDefault="00E3207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budování odolnějších států a společností,</w:t>
      </w:r>
    </w:p>
    <w:p w:rsidR="00181383" w:rsidRDefault="00E3207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vytváření většího počtu pracovních míst vyšší kvality,</w:t>
      </w:r>
      <w:r>
        <w:rPr>
          <w:noProof/>
          <w:lang w:val="cs-CZ"/>
        </w:rPr>
        <w:t xml:space="preserve"> zejména pro mladé lidi.</w:t>
      </w:r>
    </w:p>
    <w:p w:rsidR="00181383" w:rsidRDefault="00E3207E">
      <w:pPr>
        <w:pStyle w:val="Heading2"/>
        <w:spacing w:after="120" w:line="276" w:lineRule="auto"/>
        <w:rPr>
          <w:noProof/>
          <w:szCs w:val="24"/>
          <w:lang w:val="cs-CZ"/>
        </w:rPr>
      </w:pPr>
      <w:bookmarkStart w:id="12" w:name="_Toc477101461"/>
      <w:bookmarkStart w:id="13" w:name="_Toc477190352"/>
      <w:bookmarkStart w:id="14" w:name="_Toc477101462"/>
      <w:bookmarkStart w:id="15" w:name="_Toc477190353"/>
      <w:bookmarkStart w:id="16" w:name="_Toc477101463"/>
      <w:bookmarkStart w:id="17" w:name="_Toc477190354"/>
      <w:bookmarkStart w:id="18" w:name="_Toc477101464"/>
      <w:bookmarkStart w:id="19" w:name="_Toc477190355"/>
      <w:bookmarkStart w:id="20" w:name="_Toc477101465"/>
      <w:bookmarkStart w:id="21" w:name="_Toc477190356"/>
      <w:bookmarkStart w:id="22" w:name="_Toc477350629"/>
      <w:bookmarkStart w:id="23" w:name="_Toc477356042"/>
      <w:bookmarkStart w:id="24" w:name="_Toc477350630"/>
      <w:bookmarkStart w:id="25" w:name="_Toc477356043"/>
      <w:bookmarkStart w:id="26" w:name="_Toc477350631"/>
      <w:bookmarkStart w:id="27" w:name="_Toc477356044"/>
      <w:bookmarkStart w:id="28" w:name="_Toc477350632"/>
      <w:bookmarkStart w:id="29" w:name="_Toc477356045"/>
      <w:bookmarkStart w:id="30" w:name="_Toc477350633"/>
      <w:bookmarkStart w:id="31" w:name="_Toc477356046"/>
      <w:bookmarkStart w:id="32" w:name="_Toc480319527"/>
      <w:bookmarkStart w:id="33" w:name="_Toc48166018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noProof/>
          <w:lang w:val="cs-CZ"/>
        </w:rPr>
        <w:t>Odolnější státy a společnosti</w:t>
      </w:r>
      <w:bookmarkEnd w:id="32"/>
      <w:bookmarkEnd w:id="33"/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programu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 xml:space="preserve">Agenda 2063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předkládá Afrika vizi mírové, bezpečné a prosperující Afriky, Afriky s řádnou správou věcí veřejných, demokracií, dodržováním lidských práv, spravedlností a právním státem a Afriky, ve které jsou hnací silou rozvoje lidé, která uvolní potenciál své mládeže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– zejména mladých žen – a ve které nikdo nezůstane stranou.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Tyto ambice jsou plně v souladu s vlastními hodnotami a cíli EU, zejména proto, že nestabilita v těsné blízkosti hranic Unie ohrožuje veškeré její klíčové zájmy.</w:t>
      </w:r>
    </w:p>
    <w:p w:rsidR="00181383" w:rsidRDefault="00E3207E">
      <w:pPr>
        <w:pStyle w:val="Heading3"/>
        <w:numPr>
          <w:ilvl w:val="0"/>
          <w:numId w:val="30"/>
        </w:numPr>
        <w:spacing w:after="120" w:line="276" w:lineRule="auto"/>
        <w:rPr>
          <w:noProof/>
          <w:szCs w:val="24"/>
          <w:lang w:val="cs-CZ"/>
        </w:rPr>
      </w:pPr>
      <w:bookmarkStart w:id="34" w:name="_Toc480319528"/>
      <w:bookmarkStart w:id="35" w:name="_Toc481660184"/>
      <w:r>
        <w:rPr>
          <w:noProof/>
          <w:lang w:val="cs-CZ"/>
        </w:rPr>
        <w:t xml:space="preserve">Předcházení konfliktům, řešení </w:t>
      </w:r>
      <w:r>
        <w:rPr>
          <w:noProof/>
          <w:lang w:val="cs-CZ"/>
        </w:rPr>
        <w:t>krizí a budování míru</w:t>
      </w:r>
      <w:bookmarkEnd w:id="34"/>
      <w:bookmarkEnd w:id="35"/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Ještě nikdy nebyly bezpečnostní zájmy EU tak úzce propojeny s Afrikou. Přímé spojení mezi Libyí a Sahelem a mezi Africkým rohem a Perským zálivem vyžaduje strategičtější přístup přesahující zavedené formáty. Ohrožení námořní bezpečnos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ti v Rudém moři, Indickém oceánu a Guinejském zálivu přímo ovlivňuje evropské hospodářství.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Terorismus, násilný extremismus a nadnárodní organizovaná trestná činnost, jako je obchodování s lidmi, jakož i tradičnější ohrožení míru a stability (vnitrostátní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konflikty, místní konflikty o přírodní zdroje, násilí v průběhu voleb, ozbrojené loupeže a pirátství atd.) představují příznaky hlubší strukturální nestability a křehkosti. 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Africká vize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programu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 xml:space="preserve">Agenda 2063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usiluje Afrika o to, stát se mírovým a bezpečn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ým kontinentem. Přijetím africké struktury pro mír a bezpečnost usiluje Afrika o posílení mechanismů pro zajištění míru a usmíření na všech úrovních, o řešení nově se objevujících hrozeb míru a bezpečnosti v Africe; a o zavedení strategií kontinentu, jak f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inancovat své bezpečnostní potřeby. Zprávy Paula Kagameho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„The imperative to reinforce our Union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“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(Nutnost posílit naši unii)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 Donala Kaberuka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„Securing predictable and sustainable financing for peace in Africa“ (Zajištění předvídatelného a udržitelného f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inancování pro mír v Africe)</w:t>
      </w:r>
      <w:r>
        <w:rPr>
          <w:rFonts w:ascii="Times New Roman" w:hAnsi="Times New Roman"/>
          <w:i/>
          <w:noProof/>
          <w:color w:val="000000" w:themeColor="text1"/>
          <w:sz w:val="24"/>
          <w:vertAlign w:val="superscript"/>
          <w:lang w:val="cs-CZ"/>
        </w:rPr>
        <w:footnoteReference w:id="18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jsou významným odrazovým můstkem pro další posílení tohoto procesu.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Opatření EU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Afrika zůstává jedním z těžišť opatření EU v oblasti bezpečnosti. Ze 33 dokončených nebo probíhajících civilních a vojenských operací vedených EU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bylo 19 nasazeno v Africe. Pět ze šesti současných vojenských operací vedených EU se nyní odehrává v Africe. Jen prostřednictvím afrického mírového projektu poskytla EU od roku 2004 financování ve výši přesahující 2 miliardy EUR. K tomu je nutno</w:t>
      </w:r>
      <w:r>
        <w:rPr>
          <w:rFonts w:ascii="Times New Roman" w:hAnsi="Times New Roman"/>
          <w:noProof/>
          <w:sz w:val="24"/>
          <w:lang w:val="cs-CZ"/>
        </w:rPr>
        <w:t xml:space="preserve"> přičíst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vý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znamné programy pomoci související s bezpečností a bojem proti terorismu/radikalizaci na vnitrostátní úrovni a jiné činnosti prováděné EU a jednotlivými členskými státy. EU chce v souladu se svojí globální strategií znovu potvrdit své postavení zajišťovate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le bezpečnosti a klíčového partnera Afriky při zprovoznění africké struktury pro mír a bezpečnost a podpůrných regionálních strategií, a tím přispět k setrvalému africkému úsilí o nalezení 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afrických řešení afrických problémů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“.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EU navrhuje posílit partners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tví zvýšením úsilí o: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i) další prohloubení koordinace a dialogu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 </w:t>
      </w:r>
    </w:p>
    <w:p w:rsidR="00181383" w:rsidRDefault="00E3207E"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zřízení platformy spolupráce, která sdružuje evropské a africké partnery, OSN a mezinárodními aktéry s cílem vybudovat větší odolnost vůči celému spektru hrozeb a spuštění krize;</w:t>
      </w:r>
    </w:p>
    <w:p w:rsidR="00181383" w:rsidRDefault="00E3207E"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ii) předcházení konfliktům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</w:p>
    <w:p w:rsidR="00181383" w:rsidRDefault="00E3207E"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posílení podpory plnému zprovoznění africké struktury pro mír a bezpečnost a budování afrických kapacit,</w:t>
      </w:r>
    </w:p>
    <w:p w:rsidR="00181383" w:rsidRDefault="00E3207E"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szCs w:val="24"/>
          <w:lang w:val="cs-CZ"/>
        </w:rPr>
      </w:pPr>
      <w:r>
        <w:rPr>
          <w:noProof/>
          <w:lang w:val="cs-CZ"/>
        </w:rPr>
        <w:t>zlepšování iniciativ na budování kapacit pro reformu bezpečnostního sektoru, zejména prostřednictvím misí SBOP</w:t>
      </w:r>
      <w:r>
        <w:rPr>
          <w:rStyle w:val="FootnoteReference"/>
          <w:noProof/>
          <w:lang w:val="cs-CZ"/>
        </w:rPr>
        <w:footnoteReference w:id="19"/>
      </w:r>
      <w:r>
        <w:rPr>
          <w:noProof/>
          <w:lang w:val="cs-CZ"/>
        </w:rPr>
        <w:t xml:space="preserve"> a do</w:t>
      </w:r>
      <w:r>
        <w:rPr>
          <w:noProof/>
          <w:lang w:val="cs-CZ"/>
        </w:rPr>
        <w:t>plňující podpory pro budování kapacit na podporu bezpečnosti a rozvoje,</w:t>
      </w:r>
    </w:p>
    <w:p w:rsidR="00181383" w:rsidRDefault="00E3207E"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posilování civilního právního státu a kapacit v oblasti vymáhání práva, jakož i schopnosti afrických zemí účinně bojovat proti terorismu, pirátství, násilné radikalizaci a organizované</w:t>
      </w:r>
      <w:r>
        <w:rPr>
          <w:noProof/>
          <w:color w:val="000000" w:themeColor="text1"/>
          <w:lang w:val="cs-CZ"/>
        </w:rPr>
        <w:t xml:space="preserve"> trestné činnosti, včetně obchodování s lidmi,</w:t>
      </w:r>
    </w:p>
    <w:p w:rsidR="00181383" w:rsidRDefault="00E3207E"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posilování účinného provádění příslušných rezolucí, politik a úmluv Rady bezpečnosti OSN poskytováním relevantních odborných znalostí,</w:t>
      </w:r>
    </w:p>
    <w:p w:rsidR="00181383" w:rsidRDefault="00E3207E"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posilování dostupnosti odborné spolupráce s jednotlivými africkými partner</w:t>
      </w:r>
      <w:r>
        <w:rPr>
          <w:noProof/>
          <w:color w:val="000000" w:themeColor="text1"/>
          <w:lang w:val="cs-CZ"/>
        </w:rPr>
        <w:t xml:space="preserve">y také prostřednictvím </w:t>
      </w:r>
      <w:r>
        <w:rPr>
          <w:noProof/>
          <w:szCs w:val="24"/>
          <w:lang w:val="cs-CZ"/>
        </w:rPr>
        <w:t>projektů budování kapacit</w:t>
      </w:r>
      <w:r>
        <w:rPr>
          <w:noProof/>
          <w:sz w:val="19"/>
          <w:szCs w:val="19"/>
          <w:lang w:val="cs-CZ"/>
        </w:rPr>
        <w:t xml:space="preserve"> </w:t>
      </w:r>
      <w:r>
        <w:rPr>
          <w:noProof/>
          <w:color w:val="000000" w:themeColor="text1"/>
          <w:lang w:val="cs-CZ"/>
        </w:rPr>
        <w:t>s cílem zvýšit námořní a leteckou bezpečnost, např. prostřednictvím nástroje přispívajícího ke stabilitě a míru</w:t>
      </w:r>
      <w:r>
        <w:rPr>
          <w:rStyle w:val="FootnoteReference"/>
          <w:noProof/>
          <w:color w:val="000000" w:themeColor="text1"/>
          <w:lang w:val="cs-CZ"/>
        </w:rPr>
        <w:footnoteReference w:id="20"/>
      </w:r>
      <w:r>
        <w:rPr>
          <w:noProof/>
          <w:color w:val="000000" w:themeColor="text1"/>
          <w:lang w:val="cs-CZ"/>
        </w:rPr>
        <w:t>;</w:t>
      </w:r>
    </w:p>
    <w:p w:rsidR="00181383" w:rsidRDefault="00E3207E"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iii) řešení krizí a zlepšení zvládání konfliktů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prostřednictvím:</w:t>
      </w:r>
    </w:p>
    <w:p w:rsidR="00181383" w:rsidRDefault="00E3207E"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pokračující pomoci Africké u</w:t>
      </w:r>
      <w:r>
        <w:rPr>
          <w:noProof/>
          <w:color w:val="000000" w:themeColor="text1"/>
          <w:lang w:val="cs-CZ"/>
        </w:rPr>
        <w:t xml:space="preserve">nii, subregionálním organizacím a státům při operacích na podporu míru prostřednictvím zvláštních nástrojů EU, jako je africký mírový projekt, a ve vhodných případech a na žádost uvedených subjektů pomocí operací SBOP. Činnosti by také mohly zahrnovat </w:t>
      </w:r>
      <w:r>
        <w:rPr>
          <w:noProof/>
          <w:lang w:val="cs-CZ"/>
        </w:rPr>
        <w:t>prvn</w:t>
      </w:r>
      <w:r>
        <w:rPr>
          <w:noProof/>
          <w:lang w:val="cs-CZ"/>
        </w:rPr>
        <w:t>í kroky úsilí o budování míru po skončení konfliktu jako odzbrojení, demobilizace a zpětné začlenění.</w:t>
      </w:r>
    </w:p>
    <w:p w:rsidR="00181383" w:rsidRDefault="00E3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Stěžejní iniciativy</w:t>
      </w:r>
    </w:p>
    <w:p w:rsidR="00181383" w:rsidRDefault="00E3207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b/>
          <w:noProof/>
          <w:color w:val="000000" w:themeColor="text1"/>
          <w:lang w:val="cs-CZ"/>
        </w:rPr>
        <w:t>Zřídit platformu spolupráce, která sdruží OSN, evropské, africké a jiné mezinárodní partnery</w:t>
      </w:r>
      <w:r>
        <w:rPr>
          <w:noProof/>
          <w:color w:val="000000" w:themeColor="text1"/>
          <w:lang w:val="cs-CZ"/>
        </w:rPr>
        <w:t xml:space="preserve"> s cílem zvýšit politický dialog, strategické diskuse a společná opatření v oblasti předcházení konfliktům, budování míru a rozvoje.</w:t>
      </w:r>
    </w:p>
    <w:p w:rsidR="00181383" w:rsidRDefault="00E3207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b/>
          <w:noProof/>
          <w:color w:val="000000" w:themeColor="text1"/>
          <w:lang w:val="cs-CZ"/>
        </w:rPr>
        <w:t>Poskytnout vstupní příspěvek do mírového fondu AU</w:t>
      </w:r>
      <w:r>
        <w:rPr>
          <w:noProof/>
          <w:color w:val="000000" w:themeColor="text1"/>
          <w:lang w:val="cs-CZ"/>
        </w:rPr>
        <w:t>, pokud bude mít zavedenou řídicí strukturu, a nadále spolupracovat s AU a</w:t>
      </w:r>
      <w:r>
        <w:rPr>
          <w:noProof/>
          <w:color w:val="000000" w:themeColor="text1"/>
          <w:lang w:val="cs-CZ"/>
        </w:rPr>
        <w:t> OSN s cílem provádění Kaberukova plánu / plánu AU o možnostech finanční udržitelnosti.</w:t>
      </w:r>
    </w:p>
    <w:p w:rsidR="00181383" w:rsidRDefault="00E3207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b/>
          <w:noProof/>
          <w:color w:val="000000" w:themeColor="text1"/>
          <w:lang w:val="cs-CZ"/>
        </w:rPr>
        <w:t>Podporovat africké iniciativy v oblasti námořní bezpečnosti</w:t>
      </w:r>
      <w:r>
        <w:rPr>
          <w:rStyle w:val="FootnoteReference"/>
          <w:b/>
          <w:noProof/>
          <w:color w:val="000000" w:themeColor="text1"/>
          <w:lang w:val="cs-CZ"/>
        </w:rPr>
        <w:footnoteReference w:id="21"/>
      </w:r>
      <w:r>
        <w:rPr>
          <w:b/>
          <w:noProof/>
          <w:color w:val="000000" w:themeColor="text1"/>
          <w:lang w:val="cs-CZ"/>
        </w:rPr>
        <w:t xml:space="preserve"> </w:t>
      </w:r>
      <w:r>
        <w:rPr>
          <w:noProof/>
          <w:color w:val="000000" w:themeColor="text1"/>
          <w:lang w:val="cs-CZ"/>
        </w:rPr>
        <w:t>zlepšováním strategií, nástrojů a informačních sítí, které se týkají informovanosti o situaci na moři, jako</w:t>
      </w:r>
      <w:r>
        <w:rPr>
          <w:noProof/>
          <w:color w:val="000000" w:themeColor="text1"/>
          <w:lang w:val="cs-CZ"/>
        </w:rPr>
        <w:t>ž i policejních a soudních systémů.</w:t>
      </w:r>
    </w:p>
    <w:p w:rsidR="00181383" w:rsidRDefault="0018138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Cs w:val="24"/>
          <w:lang w:val="cs-CZ"/>
        </w:rPr>
      </w:pPr>
    </w:p>
    <w:p w:rsidR="00181383" w:rsidRDefault="00E3207E">
      <w:pPr>
        <w:pStyle w:val="Heading3"/>
        <w:numPr>
          <w:ilvl w:val="0"/>
          <w:numId w:val="30"/>
        </w:numPr>
        <w:spacing w:after="120" w:line="276" w:lineRule="auto"/>
        <w:rPr>
          <w:noProof/>
          <w:szCs w:val="24"/>
          <w:lang w:val="cs-CZ"/>
        </w:rPr>
      </w:pPr>
      <w:bookmarkStart w:id="36" w:name="_Toc480319529"/>
      <w:bookmarkStart w:id="37" w:name="_Toc481660185"/>
      <w:r>
        <w:rPr>
          <w:noProof/>
          <w:lang w:val="cs-CZ"/>
        </w:rPr>
        <w:t>Posílení systémů správy</w:t>
      </w:r>
      <w:bookmarkEnd w:id="36"/>
      <w:bookmarkEnd w:id="37"/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Správa věcí veřejných, rozvoj a bezpečnost jsou úzce propojeny. Odolné společnosti s odpovědnými, demokratickými, efektivními a transparentními institucemi na všech úrovních, jež působí ve stabil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ním a předvídatelném makroekonomickém rámci a ve kterých jsou dodržována lidská práva, jsou jádrem udržitelného rozvoje a stability. Takové společnosti jsou také nejlépe připraveny přizpůsobit se změnám vnějšího hospodářského prostředí a vnitřním změnám, r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eagovat na ně a řádně je zvládat, mimo jiné prostřednictvím účinného poskytování služeb rostoucí populaci. 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Pokrok ve správě věcí veřejných je nerovnoměrný. Prosazuje se demokracie, ale je nutné o ni pečovat, neboť integrita volebního procesu je často ohro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žena a dochází k ústavním změnám s cílem umožnit současným vládcům, aby zůstali u moci, nebo k pokusům o ně. Pokrok v oblasti prosazování a ochrany lidských práv je stále nerovnoměrný a proměnlivý v důsledku nedostatečné správy věcí veřejných, nestability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a konfliktů.</w:t>
      </w:r>
      <w:r>
        <w:rPr>
          <w:rFonts w:ascii="Times New Roman" w:hAnsi="Times New Roman"/>
          <w:noProof/>
          <w:lang w:val="cs-CZ"/>
        </w:rPr>
        <w:t xml:space="preserve"> 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Inkluzivní účast občanů na veřejném rozhodování a zejména zapojení mladých a žen do formálních politických procesů zvýší důvěru ve státní instituce. Těmto institucím rovněž často chybí kapacita, aby fungovaly účinně, například v oblastech,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jako je správa veřejných financí včetně transparentnosti zadávání veřejných zakázek a veřejných výdajů a boje proti korupci a podvodům. Zejména mobilizace domácích příjmů, což je předpoklad toho, aby stát byl schopen dostát svým závazkům, často nedosahuje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potřebné úrovně a je oslabována nezákonnými finančními toky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  <w:lang w:val="cs-CZ"/>
        </w:rPr>
        <w:footnoteReference w:id="22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. Kontinent ročně opustí kvůli nelegálnímu odtoku finančních prostředků nejméně 50 miliard USD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23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, což značně překračuje celkovou roční částku oficiální rozvojové pomoci (ORP).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Ve všech oblastech sp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rávy věcí veřejných, počínaje účastí a posílením postavení až po transparentnost, odpovědnost a kvalitu poskytování veřejných služeb mohou hrát – a již hrají – významnou zprostředkující úlohu digitální služby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24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 technologie. EU i Afrika mohou navzájem těži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t a učit se ze svých zkušeností.</w:t>
      </w:r>
    </w:p>
    <w:p w:rsidR="00181383" w:rsidRDefault="00E3207E"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Africká vize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programu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Agenda 2063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Afrika usiluje o to, 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být kontinentem, kde jsou pevně zakotveny demokratické hodnoty, kultura, postupy, všeobecně platné zásady lidských práv, rovnosti žen a mužů, spravedlnosti a právníh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o státu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,“ a 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mít na všech úrovních schopné instituce a transformační vedení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“. Program nastiňuje rozvoj orientovaný na občany, ve kterém se občané aktivně podílejí na sociálním, hospodářském a politickém rozvoji a ve kterém jsou instituce odpovědné a poskyt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ují účinné a efektivní služby zajišťované způsobilými odborníky. S africkou strukturou správy věcí veřejných se kontinent vybavil důležitým rámcem pro koordinaci a budování demokracie. Klíčovým pilířem této struktury je africký mechanismus vzájemného hodno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cení, jedinečný, Afrikou vlastněný nástroj.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Opatření EU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EU je hlavním partnerem Afriky v oblasti správy věcí veřejných, demokracie, právního státu a lidských práv a silně a dlouhodobě se angažuje na vnitrostátní, regionální a kontinentální úrovni, což je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základní prvek jejího vztahu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25"/>
      </w:r>
      <w:r>
        <w:rPr>
          <w:noProof/>
          <w:lang w:val="cs-CZ"/>
        </w:rPr>
        <w:t>.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S většinou afrických zemí se konají strukturální politické dialogy v souladu s články o politickém dialogu podle příslušné dohody o přidružení, např. s článkem 8 dohody z Cotonou pro africké země AKT. EU navíc poskytuje význa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mnou podporu pro provádění závazků africké správy věcí veřejných pomocí programů se státními, regionálními a kontinentálními institucemi doplňovaných opatřeními zaměřenými na posilování účasti místních orgánů a občanské společnosti na politickém dialogu. 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U rovněž podporuje úsilí afrických zemí mobilizovat více domácích zdrojů, zlepšit správu veřejných financí a zajistit udržitelnost dluhu, zejména prostřednictvím provádění přístupu „vybrat více, utrácet lépe“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26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založeného na akčním programu z Addis Abeby.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N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a základě svých zkušeností navrhuje EU posílit partnerství zvýšením úsilí o:</w:t>
      </w:r>
    </w:p>
    <w:p w:rsidR="00181383" w:rsidRDefault="00E3207E"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i) podporu demokracie a prosazování lidských práv a právního státu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 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posílení a rozšíření politického dialogu s partnerskými zeměmi s plným využitím ustanovení stávajících rámců a dohod, 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ratifikace a provádění nástrojů upravujících lidská práva, a to mezinárodních nástrojů i vlastních nástrojů AU, na vnitrostátní ú</w:t>
      </w:r>
      <w:r>
        <w:rPr>
          <w:noProof/>
          <w:color w:val="000000" w:themeColor="text1"/>
          <w:lang w:val="cs-CZ"/>
        </w:rPr>
        <w:t>rovni,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dalšího posilování důvěry v demokratické procesy prostřednictvím posílené spolupráce na sledování průběhu voleb, zejména s AU, včetně činností navazujících na doporučení pozorovatelů voleb,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posílení dialogu a výměny informací, vyvození poučení a osv</w:t>
      </w:r>
      <w:r>
        <w:rPr>
          <w:noProof/>
          <w:color w:val="000000" w:themeColor="text1"/>
          <w:lang w:val="cs-CZ"/>
        </w:rPr>
        <w:t>ědčených postupů z volebních pozorovatelských misí, které v minulosti na místě působily, programů demokratické spolupráce a podpory africké struktury správy věcí veřejných formou rozvoje kontaktů a společných událostí za účastni všech zúčastněných stran, v</w:t>
      </w:r>
      <w:r>
        <w:rPr>
          <w:noProof/>
          <w:color w:val="000000" w:themeColor="text1"/>
          <w:lang w:val="cs-CZ"/>
        </w:rPr>
        <w:t>četně vlád, politických stran, parlamentních shromáždění a občanské společnosti, za účelem sdílení zkušeností a odborných znalostí a k určení způsobů, jak posílit demokracii na obou kontinentech;</w:t>
      </w:r>
    </w:p>
    <w:p w:rsidR="00181383" w:rsidRDefault="00E3207E"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>ii) prosazování odpovědné, transparentní a vstřícné správy v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ěcí veřejných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kapacity institucí nabízet příležitosti zvyšujícímu se počtu mladých lidí, aby se účastnili na všech úrovních společnosti,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zvýšení účasti občanů na rozhodovacích procesech, posilování transparentnosti a odpovědnosti veřejné sp</w:t>
      </w:r>
      <w:r>
        <w:rPr>
          <w:noProof/>
          <w:color w:val="000000" w:themeColor="text1"/>
          <w:lang w:val="cs-CZ"/>
        </w:rPr>
        <w:t>rávy, jakož i účinnosti a kvality poskytování veřejných služeb, zejména prostřednictvím zavedení služeb elektronické správy při zajištění respektování práva na ochranu soukromí a vysoké úrovně ochrany osobních údajů,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posílení společného úsilí o usnadnění, </w:t>
      </w:r>
      <w:r>
        <w:rPr>
          <w:noProof/>
          <w:color w:val="000000" w:themeColor="text1"/>
          <w:lang w:val="cs-CZ"/>
        </w:rPr>
        <w:t>zachování a rozšíření prostoru pro zapojení občanské společnosti do prosazování a tvorby politiky,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silnější úlohy a kapacity místních zastupitelstev řešit zejména problémy týkající se rychlé urbanizace, především podporou provádění africké Charty o</w:t>
      </w:r>
      <w:r>
        <w:rPr>
          <w:noProof/>
          <w:color w:val="000000" w:themeColor="text1"/>
          <w:lang w:val="cs-CZ"/>
        </w:rPr>
        <w:t> místní správě věcí veřejných a AHCLA</w:t>
      </w:r>
      <w:r>
        <w:rPr>
          <w:rStyle w:val="FootnoteReference"/>
          <w:noProof/>
          <w:color w:val="000000" w:themeColor="text1"/>
          <w:lang w:val="cs-CZ"/>
        </w:rPr>
        <w:footnoteReference w:id="27"/>
      </w:r>
      <w:r>
        <w:rPr>
          <w:noProof/>
          <w:color w:val="000000" w:themeColor="text1"/>
          <w:lang w:val="cs-CZ"/>
        </w:rPr>
        <w:t xml:space="preserve"> a usnadňováním družeb,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dalšího posílení postavení žen, mládeže, jakož i zranitelných osob, cílenými programy, které podporují jejich účast na rozhodovacích procesech a zajišťují všem rovný přístup ke kvalitnímu vzdělá</w:t>
      </w:r>
      <w:r>
        <w:rPr>
          <w:noProof/>
          <w:color w:val="000000" w:themeColor="text1"/>
          <w:lang w:val="cs-CZ"/>
        </w:rPr>
        <w:t>vání a odborné přípravě, přiměřené a udržitelné sociální ochraně, jakož i ke všeobecnému zdravotnímu pojištění, včetně očkování, péče v oblasti reprodukčního zdraví a prevence přenosných nemocí,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spolupráce na správě veřejných financí, včetně spolup</w:t>
      </w:r>
      <w:r>
        <w:rPr>
          <w:noProof/>
          <w:color w:val="000000" w:themeColor="text1"/>
          <w:lang w:val="cs-CZ"/>
        </w:rPr>
        <w:t>ráce zaměřené na aktivní politiky či nástroje boje proti korupci a podvodům zajišťující účinné řídicí systémy pro veřejné finance podporováním rozvoje kapacity v oblastech, jako jsou reformy daňové politiky, daňová správa a spravování příjmů z přírodních z</w:t>
      </w:r>
      <w:r>
        <w:rPr>
          <w:noProof/>
          <w:color w:val="000000" w:themeColor="text1"/>
          <w:lang w:val="cs-CZ"/>
        </w:rPr>
        <w:t>drojů, a také boj proti nelegálním finančním tokům, a to v návaznosti na akční program z Addis Abeby;</w:t>
      </w:r>
    </w:p>
    <w:p w:rsidR="00181383" w:rsidRDefault="00E3207E"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iii) budování odolnosti proti zhoršování stavu životního prostředí a humanitárním krizím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prostřednictvím: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zvýšeného úsilí na podporu vládních investic do </w:t>
      </w:r>
      <w:r>
        <w:rPr>
          <w:noProof/>
          <w:color w:val="000000" w:themeColor="text1"/>
          <w:lang w:val="cs-CZ"/>
        </w:rPr>
        <w:t>snižování rizika katastrof, budování kapacit pro včasný zásah, pro případ krize způsobující dlouhodobé vysídlení a zajištění základních potřeb pro lepší odolávání, pro přizpůsobení a zotavení ze stresu, šoků a traumat, a to též v městském prostředí,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pomoci</w:t>
      </w:r>
      <w:r>
        <w:rPr>
          <w:noProof/>
          <w:color w:val="000000" w:themeColor="text1"/>
          <w:lang w:val="cs-CZ"/>
        </w:rPr>
        <w:t xml:space="preserve"> africkým partnerům při řešení zranitelnosti vůči epidemiím chorob a jiným zdravotním hrozbám, jako je rezistence vůči antimikrobiálním látkám, zejména posilováním systémů zdravotní péče prostřednictvím zvýšení kapacit pro připravenost na mimořádné situace</w:t>
      </w:r>
      <w:r>
        <w:rPr>
          <w:noProof/>
          <w:color w:val="000000" w:themeColor="text1"/>
          <w:lang w:val="cs-CZ"/>
        </w:rPr>
        <w:t xml:space="preserve"> a reakci na ně</w:t>
      </w:r>
      <w:r>
        <w:rPr>
          <w:rStyle w:val="FootnoteReference"/>
          <w:noProof/>
          <w:color w:val="000000" w:themeColor="text1"/>
          <w:lang w:val="cs-CZ"/>
        </w:rPr>
        <w:footnoteReference w:id="28"/>
      </w:r>
      <w:r>
        <w:rPr>
          <w:noProof/>
          <w:color w:val="000000" w:themeColor="text1"/>
          <w:lang w:val="cs-CZ"/>
        </w:rPr>
        <w:t xml:space="preserve"> a podporou hygienizace a dodávek čisté vody,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posílení vlastní kapacity Afriky zvládat environmentální a společenské výzvy používáním vesmírných technologií a informací, včetně dat a služeb poskytovaných Evropským programem monitorování Zem</w:t>
      </w:r>
      <w:r>
        <w:rPr>
          <w:noProof/>
          <w:color w:val="000000" w:themeColor="text1"/>
          <w:lang w:val="cs-CZ"/>
        </w:rPr>
        <w:t>ě Copernicus,</w:t>
      </w:r>
    </w:p>
    <w:p w:rsidR="00181383" w:rsidRDefault="00E3207E"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lepších sociálních a environmentálních podmínek, pokud jde o využívání přírodních zdrojů, mimo jiné při těžbě, zpracování a recyklaci nerostů.</w:t>
      </w:r>
    </w:p>
    <w:p w:rsidR="00181383" w:rsidRDefault="00E3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Stěžejní iniciativy</w:t>
      </w:r>
    </w:p>
    <w:p w:rsidR="00181383" w:rsidRDefault="00E3207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Posílit dialog a výměnu informací o podpoře demokracie počínaje </w:t>
      </w:r>
      <w:r>
        <w:rPr>
          <w:b/>
          <w:noProof/>
          <w:color w:val="000000" w:themeColor="text1"/>
          <w:lang w:val="cs-CZ"/>
        </w:rPr>
        <w:t>společnou konferencí AU-EU na vysoké úrovni o volebních postupech, demokracii a správě věcí veřejných v Africe a v Evropě</w:t>
      </w:r>
      <w:r>
        <w:rPr>
          <w:noProof/>
          <w:color w:val="000000" w:themeColor="text1"/>
          <w:lang w:val="cs-CZ"/>
        </w:rPr>
        <w:t>; v souladu s africkými a evropskými politikami zapojit příslušné orgány, včetně Panafrického parlamentu a Evropského parlamentu, jakož</w:t>
      </w:r>
      <w:r>
        <w:rPr>
          <w:noProof/>
          <w:color w:val="000000" w:themeColor="text1"/>
          <w:lang w:val="cs-CZ"/>
        </w:rPr>
        <w:t xml:space="preserve"> i občanskou společnost a akademickou obec.</w:t>
      </w:r>
    </w:p>
    <w:p w:rsidR="00181383" w:rsidRDefault="00E3207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b/>
          <w:noProof/>
          <w:color w:val="000000" w:themeColor="text1"/>
          <w:lang w:val="cs-CZ"/>
        </w:rPr>
        <w:t>Do roku 2020 zdvojnásobit podporu mobilizace domácích zdrojů</w:t>
      </w:r>
      <w:r>
        <w:rPr>
          <w:noProof/>
          <w:color w:val="000000" w:themeColor="text1"/>
          <w:lang w:val="cs-CZ"/>
        </w:rPr>
        <w:t xml:space="preserve"> v souladu s addisabebskou iniciativou v oblasti daní.</w:t>
      </w:r>
    </w:p>
    <w:p w:rsidR="00181383" w:rsidRDefault="00E3207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b/>
          <w:noProof/>
          <w:color w:val="000000" w:themeColor="text1"/>
          <w:lang w:val="cs-CZ"/>
        </w:rPr>
        <w:t>Společné opatření k posílení trvale udržitelného hospodaření s přírodními zdroji</w:t>
      </w:r>
      <w:r>
        <w:rPr>
          <w:noProof/>
          <w:color w:val="000000" w:themeColor="text1"/>
          <w:lang w:val="cs-CZ"/>
        </w:rPr>
        <w:t>, zejména prostře</w:t>
      </w:r>
      <w:r>
        <w:rPr>
          <w:noProof/>
          <w:color w:val="000000" w:themeColor="text1"/>
          <w:lang w:val="cs-CZ"/>
        </w:rPr>
        <w:t>dnictvím vypracovávání společné charty EU-Afrika.</w:t>
      </w:r>
    </w:p>
    <w:p w:rsidR="00181383" w:rsidRDefault="00181383">
      <w:pPr>
        <w:spacing w:after="120"/>
        <w:rPr>
          <w:rFonts w:ascii="Times New Roman" w:hAnsi="Times New Roman" w:cs="Times New Roman"/>
          <w:noProof/>
          <w:lang w:val="cs-CZ"/>
        </w:rPr>
      </w:pPr>
    </w:p>
    <w:p w:rsidR="00181383" w:rsidRDefault="00E3207E">
      <w:pPr>
        <w:pStyle w:val="Heading3"/>
        <w:numPr>
          <w:ilvl w:val="0"/>
          <w:numId w:val="30"/>
        </w:numPr>
        <w:spacing w:after="120" w:line="276" w:lineRule="auto"/>
        <w:rPr>
          <w:noProof/>
          <w:szCs w:val="24"/>
          <w:lang w:val="cs-CZ"/>
        </w:rPr>
      </w:pPr>
      <w:bookmarkStart w:id="38" w:name="_Toc480319530"/>
      <w:bookmarkStart w:id="39" w:name="_Toc481660186"/>
      <w:r>
        <w:rPr>
          <w:noProof/>
          <w:lang w:val="cs-CZ"/>
        </w:rPr>
        <w:t>Řízení migrace a mobility</w:t>
      </w:r>
      <w:bookmarkEnd w:id="38"/>
      <w:bookmarkEnd w:id="39"/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Mobilita a migrace představují v Africe i v Evropě významné hospodářské, bezpečnostní a sociální téma. Mohou obohatit a posílit společnosti, ale nejsou-li řádně řízeny, mohou je t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aké destabilizovat. Při migračních tocích a tocích mobility v rámci Afriky – včetně násilného vysídlování – na rekordně vysokých úrovních a zároveň zvyšujících se počtech migrantů a žadatelů o azyl přicházejících do Evropy z Afriky oba kontinenty uznaly, ž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e je nutné učinit více, zejména v tom, aby se lidem zabránilo podnikat nebezpečnou cestu a snížil se počet s tím souvisejících úmrtí. Zároveň je třeba zvýšit praktickou spolupráci obou kontinentů. Afrika a Evropa mají společný zájem a sdílenou odpovědnost,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která vyžaduje také globální řešení založená na zásadě solidarity a sdílení odpovědnosti. Newyorská deklarace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29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poskytuje velmi dobrý politický rámec pro řešení rozsáhlých přesunů uprchlíků a migrantů.</w:t>
      </w:r>
    </w:p>
    <w:p w:rsidR="00181383" w:rsidRDefault="00E3207E"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Africká vize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programu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Agenda 2063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usiluje Afrika o dynamické a vzájemně prospěšné vazby na svou diasporu a o to, aby byla kontinentem bezproblémových hranic, ukončila odliv mozků a také všechny formy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 xml:space="preserve">„nelegálních migrací a obchodování s mládeží“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při současném úsilí o větší mobilitu napřík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lad mezi akademickými pracovníky, výzkumnými pracovníky a studenty – s důrazem např. na význam mobility mládeže v rámci Afriky. Jiné priority zahrnují zlepšení remitenčních mechanismů a odpovědné politiky migrace pracovních sil.</w:t>
      </w:r>
      <w:r>
        <w:rPr>
          <w:noProof/>
          <w:lang w:val="cs-CZ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Kromě toho usiluje Afrika o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to, aby se stala kontinentem, na kterém nedochází k obchodování s lidmi, a aby došlo k ukončení organizované trestné činnosti a jiných forem zločineckých sítí.</w:t>
      </w:r>
    </w:p>
    <w:p w:rsidR="00181383" w:rsidRDefault="00E3207E"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Opatření EU</w:t>
      </w:r>
    </w:p>
    <w:p w:rsidR="00181383" w:rsidRDefault="00E3207E">
      <w:pPr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/>
          <w:sz w:val="24"/>
          <w:lang w:val="cs-CZ"/>
        </w:rPr>
        <w:t>EU řeší migraci v duchu partnerství a vzájemné důvěry prostřednictvím trvalého dial</w:t>
      </w:r>
      <w:r>
        <w:rPr>
          <w:rFonts w:ascii="Times New Roman" w:hAnsi="Times New Roman"/>
          <w:noProof/>
          <w:color w:val="000000"/>
          <w:sz w:val="24"/>
          <w:lang w:val="cs-CZ"/>
        </w:rPr>
        <w:t>ogu a spolupráce s africkými partnery. Významné rámce pro dialog, jako je dialog o migraci a mobilitě mezi Afrikou a EU, jsou již zavedeny. Další iniciativy sdružují evropské vlády a instituce s jejich protějšky ze střední, západní a severní Afriky („rabat</w:t>
      </w:r>
      <w:r>
        <w:rPr>
          <w:rFonts w:ascii="Times New Roman" w:hAnsi="Times New Roman"/>
          <w:noProof/>
          <w:color w:val="000000"/>
          <w:sz w:val="24"/>
          <w:lang w:val="cs-CZ"/>
        </w:rPr>
        <w:t xml:space="preserve">ský proces“) a ze severní a východní Afriky („chartúmský proces“). Čelní představitelé z 31 evropských a 35 afrických zemí se v listopadu 2015 v La Vallettě jako členové těchto dvou procesů dialogu zavázali k ambicióznímu akčnímu plánu. </w:t>
      </w:r>
    </w:p>
    <w:p w:rsidR="00181383" w:rsidRDefault="00E3207E">
      <w:pPr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/>
          <w:sz w:val="24"/>
          <w:lang w:val="cs-CZ"/>
        </w:rPr>
        <w:t xml:space="preserve">Nejambicióznějším </w:t>
      </w:r>
      <w:r>
        <w:rPr>
          <w:rFonts w:ascii="Times New Roman" w:hAnsi="Times New Roman"/>
          <w:noProof/>
          <w:color w:val="000000"/>
          <w:sz w:val="24"/>
          <w:lang w:val="cs-CZ"/>
        </w:rPr>
        <w:t xml:space="preserve">a nejinovativnějším přístupem EU k účinnému řízení migrace je </w:t>
      </w:r>
      <w:r>
        <w:rPr>
          <w:rFonts w:ascii="Times New Roman" w:hAnsi="Times New Roman"/>
          <w:i/>
          <w:noProof/>
          <w:color w:val="000000"/>
          <w:sz w:val="24"/>
          <w:lang w:val="cs-CZ"/>
        </w:rPr>
        <w:t>rámec pro partnerství</w:t>
      </w:r>
      <w:r>
        <w:rPr>
          <w:rStyle w:val="FootnoteReference"/>
          <w:rFonts w:ascii="Times New Roman" w:hAnsi="Times New Roman"/>
          <w:noProof/>
          <w:color w:val="000000"/>
          <w:sz w:val="24"/>
          <w:lang w:val="cs-CZ"/>
        </w:rPr>
        <w:footnoteReference w:id="30"/>
      </w:r>
      <w:r>
        <w:rPr>
          <w:rFonts w:ascii="Times New Roman" w:hAnsi="Times New Roman"/>
          <w:noProof/>
          <w:color w:val="000000"/>
          <w:sz w:val="24"/>
          <w:lang w:val="cs-CZ"/>
        </w:rPr>
        <w:t>, který zastřešuje praktickou spolupráci EU a třetích zemí původu a tranzitu při řešení příčin migrace a řízení migrace, přičemž plně dodržuje závazky v oblasti humanitární</w:t>
      </w:r>
      <w:r>
        <w:rPr>
          <w:rFonts w:ascii="Times New Roman" w:hAnsi="Times New Roman"/>
          <w:noProof/>
          <w:color w:val="000000"/>
          <w:sz w:val="24"/>
          <w:lang w:val="cs-CZ"/>
        </w:rPr>
        <w:t>ho práva a lidských práv. V duchu rámce pro partnerství zvýšily EU a její členské státy nedávno své úsilí vůči svým partnerům v severní Africe s cílem zachránit více životů ve Středozemním moři a účinněji řídit migrační toky. To vedlo ke společnému sdělení</w:t>
      </w:r>
      <w:r>
        <w:rPr>
          <w:rFonts w:ascii="Times New Roman" w:hAnsi="Times New Roman"/>
          <w:noProof/>
          <w:color w:val="000000"/>
          <w:sz w:val="24"/>
          <w:lang w:val="cs-CZ"/>
        </w:rPr>
        <w:t xml:space="preserve">: </w:t>
      </w:r>
      <w:r>
        <w:rPr>
          <w:rFonts w:ascii="Times New Roman" w:hAnsi="Times New Roman"/>
          <w:i/>
          <w:noProof/>
          <w:color w:val="000000"/>
          <w:sz w:val="24"/>
          <w:lang w:val="cs-CZ"/>
        </w:rPr>
        <w:t>Migrace na trase přes centrální Středomoří. Řízení toků, záchrana životů</w:t>
      </w:r>
      <w:r>
        <w:rPr>
          <w:rFonts w:ascii="Times New Roman" w:hAnsi="Times New Roman"/>
          <w:i/>
          <w:noProof/>
          <w:color w:val="000000"/>
          <w:sz w:val="24"/>
          <w:vertAlign w:val="superscript"/>
          <w:lang w:val="cs-CZ"/>
        </w:rPr>
        <w:footnoteReference w:id="31"/>
      </w:r>
      <w:r>
        <w:rPr>
          <w:rFonts w:ascii="Times New Roman" w:hAnsi="Times New Roman"/>
          <w:i/>
          <w:noProof/>
          <w:color w:val="000000"/>
          <w:sz w:val="24"/>
          <w:lang w:val="cs-CZ"/>
        </w:rPr>
        <w:t xml:space="preserve"> </w:t>
      </w:r>
      <w:r>
        <w:rPr>
          <w:rFonts w:ascii="Times New Roman" w:hAnsi="Times New Roman"/>
          <w:noProof/>
          <w:color w:val="000000"/>
          <w:sz w:val="24"/>
          <w:lang w:val="cs-CZ"/>
        </w:rPr>
        <w:t>a bylo znovu potvrzeno Evropskou radou v maltském prohlášení</w:t>
      </w:r>
      <w:r>
        <w:rPr>
          <w:rFonts w:ascii="Times New Roman" w:hAnsi="Times New Roman"/>
          <w:noProof/>
          <w:color w:val="000000"/>
          <w:sz w:val="24"/>
          <w:vertAlign w:val="superscript"/>
          <w:lang w:val="cs-CZ"/>
        </w:rPr>
        <w:footnoteReference w:id="32"/>
      </w:r>
      <w:r>
        <w:rPr>
          <w:rFonts w:ascii="Times New Roman" w:hAnsi="Times New Roman"/>
          <w:noProof/>
          <w:color w:val="000000"/>
          <w:sz w:val="24"/>
          <w:lang w:val="cs-CZ"/>
        </w:rPr>
        <w:t xml:space="preserve"> o řešení trasy přes centrální Středomoří. </w:t>
      </w:r>
    </w:p>
    <w:p w:rsidR="00181383" w:rsidRDefault="00E3207E">
      <w:pPr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/>
          <w:sz w:val="24"/>
          <w:lang w:val="cs-CZ"/>
        </w:rPr>
        <w:t>Nouzový svěřenský fond pro Afriku</w:t>
      </w:r>
      <w:r>
        <w:rPr>
          <w:rStyle w:val="FootnoteReference"/>
          <w:rFonts w:ascii="Times New Roman" w:hAnsi="Times New Roman"/>
          <w:noProof/>
          <w:color w:val="000000"/>
          <w:sz w:val="24"/>
          <w:lang w:val="cs-CZ"/>
        </w:rPr>
        <w:footnoteReference w:id="33"/>
      </w:r>
      <w:r>
        <w:rPr>
          <w:rFonts w:ascii="Times New Roman" w:hAnsi="Times New Roman"/>
          <w:noProof/>
          <w:color w:val="000000"/>
          <w:sz w:val="24"/>
          <w:lang w:val="cs-CZ"/>
        </w:rPr>
        <w:t xml:space="preserve"> je klíčovým nástrojem pro plnění závazků přijatých v La Vallettě a i nadále je mimořádně významný pro přístup rámce pro partnerství. Svěřenský fond pro Afriku disponující prostředky ve výši přesahující 2,6 miliardy EUR</w:t>
      </w:r>
      <w:r>
        <w:rPr>
          <w:rStyle w:val="FootnoteReference"/>
          <w:rFonts w:ascii="Times New Roman" w:hAnsi="Times New Roman"/>
          <w:noProof/>
          <w:color w:val="000000"/>
          <w:sz w:val="24"/>
          <w:lang w:val="cs-CZ"/>
        </w:rPr>
        <w:footnoteReference w:id="34"/>
      </w:r>
      <w:r>
        <w:rPr>
          <w:rFonts w:ascii="Times New Roman" w:hAnsi="Times New Roman"/>
          <w:noProof/>
          <w:color w:val="000000"/>
          <w:sz w:val="24"/>
          <w:lang w:val="cs-CZ"/>
        </w:rPr>
        <w:t xml:space="preserve"> a pokrývající oblast Sahelu a Čadsk</w:t>
      </w:r>
      <w:r>
        <w:rPr>
          <w:rFonts w:ascii="Times New Roman" w:hAnsi="Times New Roman"/>
          <w:noProof/>
          <w:color w:val="000000"/>
          <w:sz w:val="24"/>
          <w:lang w:val="cs-CZ"/>
        </w:rPr>
        <w:t>é jezero, Africký roh a sever Afriky řeší primární příčiny destabilizace, nelegální migrace, násilného vysídlování</w:t>
      </w:r>
      <w:r>
        <w:rPr>
          <w:rStyle w:val="FootnoteReference"/>
          <w:rFonts w:ascii="Times New Roman" w:hAnsi="Times New Roman"/>
          <w:noProof/>
          <w:color w:val="000000"/>
          <w:sz w:val="24"/>
          <w:lang w:val="cs-CZ"/>
        </w:rPr>
        <w:footnoteReference w:id="35"/>
      </w:r>
      <w:r>
        <w:rPr>
          <w:rFonts w:ascii="Times New Roman" w:hAnsi="Times New Roman"/>
          <w:noProof/>
          <w:color w:val="000000"/>
          <w:sz w:val="24"/>
          <w:lang w:val="cs-CZ"/>
        </w:rPr>
        <w:t xml:space="preserve"> a obchodování s lidmi tím, že podporuje vytváření pracovních míst a hospodářský rozvoj, odolnost, řízení migrace, jakož i stabilitu a správu</w:t>
      </w:r>
      <w:r>
        <w:rPr>
          <w:rFonts w:ascii="Times New Roman" w:hAnsi="Times New Roman"/>
          <w:noProof/>
          <w:color w:val="000000"/>
          <w:sz w:val="24"/>
          <w:lang w:val="cs-CZ"/>
        </w:rPr>
        <w:t xml:space="preserve"> věcí veřejných.</w:t>
      </w:r>
    </w:p>
    <w:p w:rsidR="00181383" w:rsidRDefault="00E3207E">
      <w:pPr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/>
          <w:sz w:val="24"/>
          <w:lang w:val="cs-CZ"/>
        </w:rPr>
        <w:t>Kromě těchto procesů a iniciativ bude nejmocnějším nástrojem EU pro podporu investic a vytváření pracovních míst v Africe, který bude přispívat k udržitelnému růstu a zaměří se přímo na základní příčiny migrace a násilného vysídlování, nav</w:t>
      </w:r>
      <w:r>
        <w:rPr>
          <w:rFonts w:ascii="Times New Roman" w:hAnsi="Times New Roman"/>
          <w:noProof/>
          <w:color w:val="000000"/>
          <w:sz w:val="24"/>
          <w:lang w:val="cs-CZ"/>
        </w:rPr>
        <w:t>rhovaný evropský plán vnějších investic</w:t>
      </w:r>
      <w:r>
        <w:rPr>
          <w:rStyle w:val="FootnoteReference"/>
          <w:rFonts w:ascii="Times New Roman" w:hAnsi="Times New Roman"/>
          <w:noProof/>
          <w:color w:val="000000"/>
          <w:sz w:val="24"/>
          <w:lang w:val="cs-CZ"/>
        </w:rPr>
        <w:footnoteReference w:id="36"/>
      </w:r>
      <w:r>
        <w:rPr>
          <w:rFonts w:ascii="Times New Roman" w:hAnsi="Times New Roman"/>
          <w:noProof/>
          <w:color w:val="000000"/>
          <w:sz w:val="24"/>
          <w:lang w:val="cs-CZ"/>
        </w:rPr>
        <w:t>.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těchto stávajících rámcích navrhuje EU posílit partnerství pokračováním v úsilí podle přístupu rámce pro partnerství, jakož i: </w:t>
      </w:r>
    </w:p>
    <w:p w:rsidR="00181383" w:rsidRDefault="00E3207E"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i) řešit regionální migrační toky a související přeshraniční problémy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</w:p>
    <w:p w:rsidR="00181383" w:rsidRDefault="00E3207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</w:t>
      </w:r>
      <w:r>
        <w:rPr>
          <w:noProof/>
          <w:color w:val="000000" w:themeColor="text1"/>
          <w:lang w:val="cs-CZ"/>
        </w:rPr>
        <w:t>y přijetí a internalizace regulačních rámců pro legální migraci a mobilitu v rámci Afriky;</w:t>
      </w:r>
    </w:p>
    <w:p w:rsidR="00181383" w:rsidRDefault="00E3207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řešení násilného vysídlení a podporou mezinárodní ochrany na základě zásady sdílení odpovědnosti, a to poskytováním pomoci za účelem zachování a posilování lidského </w:t>
      </w:r>
      <w:r>
        <w:rPr>
          <w:noProof/>
          <w:color w:val="000000" w:themeColor="text1"/>
          <w:lang w:val="cs-CZ"/>
        </w:rPr>
        <w:t xml:space="preserve">kapitálu osob, které byly donuceny opustit své domovy, zaručením jejich ochrany a zajištěním toho, aby se vysídleným osobám a jejich hostitelům dostalo přínosů plynoucích z rozvojové politiky, </w:t>
      </w:r>
    </w:p>
    <w:p w:rsidR="00181383" w:rsidRDefault="00E3207E">
      <w:pPr>
        <w:pStyle w:val="ListParagraph"/>
        <w:numPr>
          <w:ilvl w:val="0"/>
          <w:numId w:val="36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posílení spolupráce na správě hranic, mimo jiné prostřednictvím koncepce integrované správy hranic, </w:t>
      </w:r>
    </w:p>
    <w:p w:rsidR="00181383" w:rsidRDefault="00E3207E">
      <w:pPr>
        <w:pStyle w:val="ListParagraph"/>
        <w:numPr>
          <w:ilvl w:val="0"/>
          <w:numId w:val="36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spolupráce na finalizaci globálních paktů v roce 2018 a úzké součinnosti s příslušnými mezinárodními organizacemi,</w:t>
      </w:r>
    </w:p>
    <w:p w:rsidR="00181383" w:rsidRDefault="00E3207E"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ii) maximalizovat přínosy legální migrace a mobility a jejich potenciál jako hnací síly rozvoje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prostřednictvím: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 </w:t>
      </w:r>
    </w:p>
    <w:p w:rsidR="00181383" w:rsidRDefault="00E3207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další podpory činnosti Afrického ústavu pro remitence,</w:t>
      </w:r>
    </w:p>
    <w:p w:rsidR="00181383" w:rsidRDefault="00E3207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lepších znalostí, fungování a kapacity africké diaspory jako aktéra rozvoje,</w:t>
      </w:r>
    </w:p>
    <w:p w:rsidR="00181383" w:rsidRDefault="00E3207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další podp</w:t>
      </w:r>
      <w:r>
        <w:rPr>
          <w:noProof/>
          <w:color w:val="000000" w:themeColor="text1"/>
          <w:lang w:val="cs-CZ"/>
        </w:rPr>
        <w:t>ory investic a podnikání diaspory v zemích původu,</w:t>
      </w:r>
    </w:p>
    <w:p w:rsidR="00181383" w:rsidRDefault="00E3207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dalšího zvýšení mobility studentů a výzkumných pracovníků;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iii) 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>posílit spolupráci v boji proti nelegální migraci</w:t>
      </w: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prostřednictvím:</w:t>
      </w: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 </w:t>
      </w:r>
    </w:p>
    <w:p w:rsidR="00181383" w:rsidRDefault="00E3207E">
      <w:pPr>
        <w:pStyle w:val="ListParagraph"/>
        <w:numPr>
          <w:ilvl w:val="0"/>
          <w:numId w:val="43"/>
        </w:numPr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provádění ucelených legislativních rámců, které pokryjí veškeré a</w:t>
      </w:r>
      <w:r>
        <w:rPr>
          <w:noProof/>
          <w:color w:val="000000" w:themeColor="text1"/>
          <w:lang w:val="cs-CZ"/>
        </w:rPr>
        <w:t>spekty obchodování s lidmi a převaděčství osob v souladu s Úmluvou OSN proti organizovanému zločinu a jejími doplňkovými protokoly, včetně posílení spolupráce v boji proti sítím obchodníků s lidmi a převaděčů,</w:t>
      </w:r>
    </w:p>
    <w:p w:rsidR="00181383" w:rsidRDefault="00181383">
      <w:pPr>
        <w:pStyle w:val="ListParagraph"/>
        <w:ind w:left="360"/>
        <w:rPr>
          <w:noProof/>
          <w:color w:val="000000" w:themeColor="text1"/>
          <w:szCs w:val="24"/>
          <w:lang w:val="cs-CZ"/>
        </w:rPr>
      </w:pPr>
    </w:p>
    <w:p w:rsidR="00181383" w:rsidRDefault="00E3207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zavedení přiměřených opatření na řízení migra</w:t>
      </w:r>
      <w:r>
        <w:rPr>
          <w:noProof/>
          <w:color w:val="000000" w:themeColor="text1"/>
          <w:lang w:val="cs-CZ"/>
        </w:rPr>
        <w:t>čních toků do/z EU a tranzitních migračních toků (a to i prostřednictvím podpory zřizování spolehlivých systémů registrace obyvatel / identifikačních dokladů) a postupů zajišťujících dodržování práv migrantů a zásady nenavracení,</w:t>
      </w:r>
    </w:p>
    <w:p w:rsidR="00181383" w:rsidRDefault="00181383">
      <w:pPr>
        <w:pStyle w:val="ListParagraph"/>
        <w:autoSpaceDE w:val="0"/>
        <w:autoSpaceDN w:val="0"/>
        <w:adjustRightInd w:val="0"/>
        <w:spacing w:after="120"/>
        <w:ind w:left="360"/>
        <w:rPr>
          <w:noProof/>
          <w:color w:val="000000" w:themeColor="text1"/>
          <w:szCs w:val="24"/>
          <w:lang w:val="cs-CZ"/>
        </w:rPr>
      </w:pPr>
    </w:p>
    <w:p w:rsidR="00181383" w:rsidRDefault="00E3207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prevence a odrazování od </w:t>
      </w:r>
      <w:r>
        <w:rPr>
          <w:noProof/>
          <w:color w:val="000000" w:themeColor="text1"/>
          <w:lang w:val="cs-CZ"/>
        </w:rPr>
        <w:t>využívání nezákonných kanálů migrace a prostřednictvím posílení spolupráce za účelem navracení a udržitelné reintegrace nelegálních migrantů, a to při současné podpoře legální migrace a příležitostí v oblasti mobility.</w:t>
      </w:r>
    </w:p>
    <w:p w:rsidR="00181383" w:rsidRDefault="00E3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Stěžejní iniciativy</w:t>
      </w:r>
    </w:p>
    <w:p w:rsidR="00181383" w:rsidRDefault="00E3207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b/>
          <w:smallCaps/>
          <w:noProof/>
          <w:color w:val="000000" w:themeColor="text1"/>
          <w:szCs w:val="24"/>
          <w:lang w:val="cs-CZ"/>
        </w:rPr>
      </w:pPr>
      <w:r>
        <w:rPr>
          <w:b/>
          <w:noProof/>
          <w:color w:val="000000" w:themeColor="text1"/>
          <w:lang w:val="cs-CZ"/>
        </w:rPr>
        <w:t xml:space="preserve">Podporovat africké iniciativy pro legální migraci a mobilitu v rámci Afriky, </w:t>
      </w:r>
      <w:r>
        <w:rPr>
          <w:noProof/>
          <w:color w:val="000000" w:themeColor="text1"/>
          <w:lang w:val="cs-CZ"/>
        </w:rPr>
        <w:t>včetně podpory vypracování protokolu o volném pohybu osob v Africe a protokolu týkajícího se konkrétního práva na občanství a odstranění stavů bez státní příslušnosti v Africe; po</w:t>
      </w:r>
      <w:r>
        <w:rPr>
          <w:noProof/>
          <w:color w:val="000000" w:themeColor="text1"/>
          <w:lang w:val="cs-CZ"/>
        </w:rPr>
        <w:t>dporovat programy sociální ochrany včetně přenositelnosti sociálních práv; mechanismy přenositelnosti a uznávání dovedností a kvalifikací.</w:t>
      </w:r>
      <w:r>
        <w:rPr>
          <w:b/>
          <w:noProof/>
          <w:lang w:val="cs-CZ"/>
        </w:rPr>
        <w:t xml:space="preserve"> </w:t>
      </w:r>
    </w:p>
    <w:p w:rsidR="00181383" w:rsidRDefault="00E3207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b/>
          <w:smallCaps/>
          <w:noProof/>
          <w:color w:val="000000" w:themeColor="text1"/>
          <w:szCs w:val="24"/>
          <w:lang w:val="cs-CZ"/>
        </w:rPr>
      </w:pPr>
      <w:r>
        <w:rPr>
          <w:b/>
          <w:noProof/>
          <w:lang w:val="cs-CZ"/>
        </w:rPr>
        <w:t>Posílit spolupráci mezi Afrikou a EU v boji proti sítím obchodníků s lidmi a převaděčů</w:t>
      </w:r>
      <w:r>
        <w:rPr>
          <w:noProof/>
          <w:lang w:val="cs-CZ"/>
        </w:rPr>
        <w:t>, a to i podporou jednak přist</w:t>
      </w:r>
      <w:r>
        <w:rPr>
          <w:noProof/>
          <w:lang w:val="cs-CZ"/>
        </w:rPr>
        <w:t>oupení afrických států k Úmluvě OSN proti nadnárodnímu organizovanému zločinu a jejím doplňkovým protokolům, jednak provádění této úmluvy.</w:t>
      </w:r>
    </w:p>
    <w:p w:rsidR="00181383" w:rsidRDefault="00181383">
      <w:pPr>
        <w:spacing w:after="120"/>
        <w:rPr>
          <w:rFonts w:ascii="Times New Roman" w:hAnsi="Times New Roman" w:cs="Times New Roman"/>
          <w:noProof/>
          <w:lang w:val="cs-CZ"/>
        </w:rPr>
      </w:pPr>
    </w:p>
    <w:p w:rsidR="00181383" w:rsidRDefault="00E3207E">
      <w:pPr>
        <w:pStyle w:val="Heading2"/>
        <w:spacing w:after="120" w:line="276" w:lineRule="auto"/>
        <w:rPr>
          <w:noProof/>
          <w:szCs w:val="24"/>
          <w:lang w:val="cs-CZ"/>
        </w:rPr>
      </w:pPr>
      <w:bookmarkStart w:id="40" w:name="_Toc480319531"/>
      <w:bookmarkStart w:id="41" w:name="_Toc481660187"/>
      <w:r>
        <w:rPr>
          <w:noProof/>
          <w:lang w:val="cs-CZ"/>
        </w:rPr>
        <w:t>Větší počet pracovních míst vyšší kvality, zejména pro mladé lidi</w:t>
      </w:r>
      <w:bookmarkEnd w:id="40"/>
      <w:bookmarkEnd w:id="41"/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programu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Agenda 2063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usiluje Afrika o změnu para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digmatu, aby vznikl 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prosperující kontinent, který má prostředky a zdroje k prosazování svého vlastního rozvoje a ve kterém jsou hospodářství strukturálně transformována industrializací, výrobou a přidanou hodnotou za účelem vytváření sdíleného růstu prost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řednictvím rozvoje soukromého sektoru, podnikání a důstojných pracovních míst pro všechny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“. 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Aby k této změně paradigmatu skutečně došlo, doplňuje EU industrializaci Afriky o základní cíl spočívající ve vytváření bohatství prostřednictvím většího počtu pra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covních míst vyšší kvality se zaměřením na zvýšení produktivity práce a kvalitních investic do odvětví náročných na pracovní sílu a s vysokou přidanou hodnotou (zvláště v zemědělsko-potravinářském odvětví), a to s přihlédnutím k mezinárodně sjednaným praco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vním právům</w:t>
      </w:r>
      <w:r>
        <w:rPr>
          <w:rFonts w:ascii="Times New Roman" w:hAnsi="Times New Roman"/>
          <w:noProof/>
          <w:sz w:val="24"/>
          <w:lang w:val="cs-CZ"/>
        </w:rPr>
        <w:t>, důstojným pracovním podmínkám a posilování postavení žen</w:t>
      </w:r>
      <w:r>
        <w:rPr>
          <w:rFonts w:ascii="Times New Roman" w:hAnsi="Times New Roman"/>
          <w:noProof/>
          <w:lang w:val="cs-CZ"/>
        </w:rPr>
        <w:t>.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Současně je zásadní zajistit, aby hospodářská transformace zohledňovala výzvy a příležitosti, které přináší změna klimatu a udržitelnost životního prostředí.</w:t>
      </w:r>
    </w:p>
    <w:p w:rsidR="00181383" w:rsidRDefault="00E3207E">
      <w:pPr>
        <w:pStyle w:val="Heading3"/>
        <w:numPr>
          <w:ilvl w:val="0"/>
          <w:numId w:val="29"/>
        </w:numPr>
        <w:spacing w:after="120" w:line="276" w:lineRule="auto"/>
        <w:rPr>
          <w:noProof/>
          <w:szCs w:val="24"/>
          <w:lang w:val="cs-CZ"/>
        </w:rPr>
      </w:pPr>
      <w:bookmarkStart w:id="42" w:name="_Toc477190362"/>
      <w:bookmarkStart w:id="43" w:name="_Toc480319532"/>
      <w:bookmarkStart w:id="44" w:name="_Toc481660188"/>
      <w:r>
        <w:rPr>
          <w:noProof/>
          <w:lang w:val="cs-CZ"/>
        </w:rPr>
        <w:t>Přilákat odpovědné a udržit</w:t>
      </w:r>
      <w:r>
        <w:rPr>
          <w:noProof/>
          <w:lang w:val="cs-CZ"/>
        </w:rPr>
        <w:t>elné investice</w:t>
      </w:r>
      <w:bookmarkEnd w:id="42"/>
      <w:bookmarkEnd w:id="43"/>
      <w:bookmarkEnd w:id="44"/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Makroekonomická stabilita, vytváření regionálních trhů, vhodné investiční prostředí a diverzifikované hospodářství s přidanou hodnotou jsou zásadní pro hospodářský rozvoj a vytváření důstojných pracovních míst. 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Největší potenciál pro vytvář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ení pracovních míst má soukromý sektor, a proto je zásadní přilákat do Afriky odpovědné soukromé investice – domácí i zahraniční. To vyžaduje vyvinout stabilní a otevřené finanční systémy pro zvýšení úvěrů v soukromém sektoru a vytvoření příznivého investi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čního prostředí při současné podpoře zodpovědného chování investorů, kteří budou dodržovat sociální a environmentální normy a řádnou správu a řízení podniků.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Africká vize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programu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Agenda 2063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usiluje Afrika o to, aby se stala 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 xml:space="preserve">kontinentem, kde svoboda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lidí, kapitálu, zboží a služeb povede k významnému nárůstu obchodování a investic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“. Z toho plyne potřeba prosazovat 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makroekonomické politiky, které usnadňují růst, vytváření pracovních míst, investice a industrializaci,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“ a 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rozvíjet africký soukromý sekto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r prostřednictvím angažovanosti a příznivého klimatu, který podporuje panafrické podniky pomocí růstu regionálních výrobních center a zvýšeného obchodování v rámci Afriky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“. 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Opatření EU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EU již celá desetiletí intenzivně spolupracuje s africkými partnery na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rozvoji podnikatelského prostředí a investičního klimatu, podpoře procesu hospodářské integrace Afriky na vnitrostátní, regionální a kontinentální úrovni, jakož i na přilákání veřejných a soukromých investic na celém kontinentu. Podpora především soukromý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ch investic, jež doplní nedostatečné veřejné zdroje, je nutností a tvoří jádro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/>
        </w:rPr>
        <w:t>plánu vnějších investic.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EU navrhuje posílit partnerství a: </w:t>
      </w:r>
    </w:p>
    <w:p w:rsidR="00181383" w:rsidRDefault="00E3207E">
      <w:pPr>
        <w:keepNext/>
        <w:keepLines/>
        <w:tabs>
          <w:tab w:val="left" w:pos="2302"/>
        </w:tabs>
        <w:spacing w:after="1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i) podnítit masivní, odpovědné a udržitelné investice v Africe,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zvláště v souvislosti s navrhovaným evropským plánem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 xml:space="preserve"> vnějších investic, pomocí: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podpory předvídatelného a příznivého investičního klimatu pro odpovědné a udržitelné investice v Africe prostřednictvím dialogu s africkými zeměmi a soukromým sektorem, 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szCs w:val="24"/>
          <w:u w:val="single"/>
          <w:lang w:val="cs-CZ"/>
        </w:rPr>
      </w:pPr>
      <w:r>
        <w:rPr>
          <w:noProof/>
          <w:color w:val="000000" w:themeColor="text1"/>
          <w:lang w:val="cs-CZ"/>
        </w:rPr>
        <w:t>podpory základních infrastruktur zvláště v odvětvích zahrnujících udržitelnou výrobu energie, vodárenství, dopravu a informační a komunikační technologie, životní prostředí, udržitelné využívání přírodních zdrojů a modrý růst, sociální infrastrukturu a lid</w:t>
      </w:r>
      <w:r>
        <w:rPr>
          <w:noProof/>
          <w:color w:val="000000" w:themeColor="text1"/>
          <w:lang w:val="cs-CZ"/>
        </w:rPr>
        <w:t xml:space="preserve">ský kapitál; to bude zahrnovat nabídku partnerství s průmyslem EU, zejména v oblastech, ve kterých má vedoucí postavení ve světě, 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szCs w:val="24"/>
          <w:u w:val="single"/>
          <w:lang w:val="cs-CZ"/>
        </w:rPr>
      </w:pPr>
      <w:r>
        <w:rPr>
          <w:noProof/>
          <w:color w:val="000000" w:themeColor="text1"/>
          <w:lang w:val="cs-CZ"/>
        </w:rPr>
        <w:t>podpory afrických podnikatelů, malých a středních podniků a začínajících podniků</w:t>
      </w:r>
      <w:r>
        <w:rPr>
          <w:b/>
          <w:noProof/>
          <w:color w:val="000000" w:themeColor="text1"/>
          <w:lang w:val="cs-CZ"/>
        </w:rPr>
        <w:t xml:space="preserve"> </w:t>
      </w:r>
      <w:r>
        <w:rPr>
          <w:noProof/>
          <w:color w:val="000000" w:themeColor="text1"/>
          <w:lang w:val="cs-CZ"/>
        </w:rPr>
        <w:t>prostřednictvím specializovaných místních st</w:t>
      </w:r>
      <w:r>
        <w:rPr>
          <w:noProof/>
          <w:color w:val="000000" w:themeColor="text1"/>
          <w:lang w:val="cs-CZ"/>
        </w:rPr>
        <w:t xml:space="preserve">ruktur a služeb na podporu podnikání, 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b/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spolupráce s mezinárodními finančními institucemi a rozvojovými bankami pro pákový účinek na zdroje z kapitálových trhů</w:t>
      </w:r>
      <w:r>
        <w:rPr>
          <w:b/>
          <w:noProof/>
          <w:color w:val="000000" w:themeColor="text1"/>
          <w:lang w:val="cs-CZ"/>
        </w:rPr>
        <w:t xml:space="preserve"> </w:t>
      </w:r>
      <w:r>
        <w:rPr>
          <w:noProof/>
          <w:color w:val="000000" w:themeColor="text1"/>
          <w:lang w:val="cs-CZ"/>
        </w:rPr>
        <w:t>se zaměřením na odvětví s nejvyšším potenciálem a přidanou hodnotou pro udržitelné vytváření prac</w:t>
      </w:r>
      <w:r>
        <w:rPr>
          <w:noProof/>
          <w:color w:val="000000" w:themeColor="text1"/>
          <w:lang w:val="cs-CZ"/>
        </w:rPr>
        <w:t>ovních míst a rozvoj nízkouhlíkového hospodářství a využití příležitostí, které nabízí ekologické, modré a oběhové hospodářství,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rámců sociální odpovědnosti podniků, sociálního podnikání a odpovědného obchodního chování;</w:t>
      </w:r>
    </w:p>
    <w:p w:rsidR="00181383" w:rsidRDefault="00E3207E">
      <w:pPr>
        <w:keepNext/>
        <w:keepLines/>
        <w:tabs>
          <w:tab w:val="left" w:pos="2302"/>
        </w:tabs>
        <w:spacing w:after="12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>ii) posilování obchodních v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ztahů mezi Evropou a Afrikou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navázání strukturovaného dialogu s evropským a africkým soukromým sektorem prostřednictvím platformy Udržitelné podnikání pro Afriku (Sustainable Business for Africa – SB4A) v rámci plánu vnějších investic (EIP), podnik</w:t>
      </w:r>
      <w:r>
        <w:rPr>
          <w:noProof/>
          <w:color w:val="000000" w:themeColor="text1"/>
          <w:lang w:val="cs-CZ"/>
        </w:rPr>
        <w:t>atelských fór a „misí ekonomické diplomacie“ evropských investorů do Afriky,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szCs w:val="24"/>
          <w:u w:val="single"/>
          <w:lang w:val="cs-CZ"/>
        </w:rPr>
      </w:pPr>
      <w:r>
        <w:rPr>
          <w:noProof/>
          <w:color w:val="000000" w:themeColor="text1"/>
          <w:lang w:val="cs-CZ"/>
        </w:rPr>
        <w:t>dalšího posílení obchodních vztahů mezi EU a Afrikou tím, že se zajistí, aby partneři mohli plně požívat výhod stabilního a předvídatelného rámce poskytovaného dohodami o hospodář</w:t>
      </w:r>
      <w:r>
        <w:rPr>
          <w:noProof/>
          <w:color w:val="000000" w:themeColor="text1"/>
          <w:lang w:val="cs-CZ"/>
        </w:rPr>
        <w:t>ském partnerství, dohodami o volném obchodu a jinými výhodnými obchodními režim</w:t>
      </w:r>
      <w:r>
        <w:rPr>
          <w:noProof/>
          <w:lang w:val="cs-CZ"/>
        </w:rPr>
        <w:t>y v souvislosti s posíleným</w:t>
      </w:r>
      <w:r>
        <w:rPr>
          <w:noProof/>
          <w:color w:val="000000" w:themeColor="text1"/>
          <w:lang w:val="cs-CZ"/>
        </w:rPr>
        <w:t xml:space="preserve"> </w:t>
      </w:r>
      <w:r>
        <w:rPr>
          <w:rStyle w:val="Emphasis"/>
          <w:i w:val="0"/>
          <w:noProof/>
          <w:lang w:val="cs-CZ"/>
        </w:rPr>
        <w:t>mnohostranným obchodním systémem</w:t>
      </w:r>
      <w:r>
        <w:rPr>
          <w:rStyle w:val="st"/>
          <w:noProof/>
          <w:lang w:val="cs-CZ"/>
        </w:rPr>
        <w:t>. Výhody jim poplynou také z revidované strategie EU pro pomoc na podporu obchodu;</w:t>
      </w:r>
    </w:p>
    <w:p w:rsidR="00181383" w:rsidRDefault="00E3207E">
      <w:pPr>
        <w:pStyle w:val="ListParagraph"/>
        <w:keepNext/>
        <w:keepLines/>
        <w:tabs>
          <w:tab w:val="left" w:pos="2302"/>
        </w:tabs>
        <w:spacing w:after="120" w:line="276" w:lineRule="auto"/>
        <w:ind w:left="0"/>
        <w:contextualSpacing w:val="0"/>
        <w:rPr>
          <w:noProof/>
          <w:szCs w:val="24"/>
          <w:u w:val="single"/>
          <w:lang w:val="cs-CZ"/>
        </w:rPr>
      </w:pPr>
      <w:r>
        <w:rPr>
          <w:b/>
          <w:noProof/>
          <w:color w:val="000000" w:themeColor="text1"/>
          <w:u w:val="single"/>
          <w:lang w:val="cs-CZ"/>
        </w:rPr>
        <w:t>iii) podporu</w:t>
      </w:r>
      <w:r>
        <w:rPr>
          <w:b/>
          <w:noProof/>
          <w:u w:val="single"/>
          <w:lang w:val="cs-CZ"/>
        </w:rPr>
        <w:t xml:space="preserve"> afrických ambicí vybu</w:t>
      </w:r>
      <w:r>
        <w:rPr>
          <w:b/>
          <w:noProof/>
          <w:u w:val="single"/>
          <w:lang w:val="cs-CZ"/>
        </w:rPr>
        <w:t>dovat skutečný africký vnitřní trh</w:t>
      </w:r>
      <w:r>
        <w:rPr>
          <w:noProof/>
          <w:u w:val="single"/>
          <w:lang w:val="cs-CZ"/>
        </w:rPr>
        <w:t xml:space="preserve"> pomocí: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usnadnění obchodu prostřednictvím udržitelné celní reformy a podpory modernizace,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b/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dalšího posílení Celoafrické infrastruktury pro kvalitu (Pan-African Quality Infrastructure – PAQI)</w:t>
      </w:r>
      <w:r>
        <w:rPr>
          <w:rStyle w:val="FootnoteReference"/>
          <w:noProof/>
          <w:color w:val="000000" w:themeColor="text1"/>
          <w:lang w:val="cs-CZ"/>
        </w:rPr>
        <w:footnoteReference w:id="37"/>
      </w:r>
      <w:r>
        <w:rPr>
          <w:b/>
          <w:noProof/>
          <w:color w:val="000000" w:themeColor="text1"/>
          <w:lang w:val="cs-CZ"/>
        </w:rPr>
        <w:t xml:space="preserve"> </w:t>
      </w:r>
      <w:r>
        <w:rPr>
          <w:noProof/>
          <w:color w:val="000000" w:themeColor="text1"/>
          <w:lang w:val="cs-CZ"/>
        </w:rPr>
        <w:t xml:space="preserve">se zvláštním důrazem na </w:t>
      </w:r>
      <w:r>
        <w:rPr>
          <w:noProof/>
          <w:color w:val="000000" w:themeColor="text1"/>
          <w:lang w:val="cs-CZ"/>
        </w:rPr>
        <w:t>zavedení celoafrického normalizačního systému inspirovaného osvědčenými postupy jednotného trhu EU,</w:t>
      </w:r>
    </w:p>
    <w:p w:rsidR="00181383" w:rsidRDefault="00E3207E"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podporování příprav pro kontinentální zónu volného obchodu (Continental Free Trade Area – CFTA).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</w:tblGrid>
      <w:tr w:rsidR="00181383">
        <w:tc>
          <w:tcPr>
            <w:tcW w:w="8834" w:type="dxa"/>
          </w:tcPr>
          <w:p w:rsidR="00181383" w:rsidRDefault="00E3207E">
            <w:pPr>
              <w:spacing w:after="120" w:line="276" w:lineRule="auto"/>
              <w:jc w:val="center"/>
              <w:rPr>
                <w:b/>
                <w:i/>
                <w:noProof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b/>
                <w:i/>
                <w:noProof/>
                <w:color w:val="000000" w:themeColor="text1"/>
                <w:sz w:val="24"/>
                <w:lang w:val="cs-CZ"/>
              </w:rPr>
              <w:t>Stěžejní iniciativy</w:t>
            </w:r>
          </w:p>
          <w:p w:rsidR="00181383" w:rsidRDefault="00E3207E"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contextualSpacing w:val="0"/>
              <w:rPr>
                <w:noProof/>
                <w:color w:val="000000" w:themeColor="text1"/>
                <w:szCs w:val="24"/>
                <w:lang w:val="cs-CZ"/>
              </w:rPr>
            </w:pPr>
            <w:r>
              <w:rPr>
                <w:b/>
                <w:noProof/>
                <w:color w:val="000000" w:themeColor="text1"/>
                <w:lang w:val="cs-CZ"/>
              </w:rPr>
              <w:t>Vytvářet rozsáhlé investice EU v Africe</w:t>
            </w:r>
            <w:r>
              <w:rPr>
                <w:b/>
                <w:noProof/>
                <w:color w:val="000000" w:themeColor="text1"/>
                <w:lang w:val="cs-CZ"/>
              </w:rPr>
              <w:t xml:space="preserve"> prostřednictvím navrhovaného plánu vnějších investic (EIP)</w:t>
            </w:r>
            <w:r>
              <w:rPr>
                <w:noProof/>
                <w:color w:val="000000" w:themeColor="text1"/>
                <w:lang w:val="cs-CZ"/>
              </w:rPr>
              <w:t>, který má podle očekávání do roku 2020 vytvořit pákový efekt investic v hodnotě 44 miliard EUR a který podporuje strukturovaný dialog s evropským a africkým soukromým sektorem v rámci platformy Ud</w:t>
            </w:r>
            <w:r>
              <w:rPr>
                <w:noProof/>
                <w:color w:val="000000" w:themeColor="text1"/>
                <w:lang w:val="cs-CZ"/>
              </w:rPr>
              <w:t>ržitelné podnikání pro Afriku (Sustainable Business for Africa – SB4A). Bude se usilovat o synergie s podobnými iniciativami členských států EU a na multilaterální úrovni, zvláště s „dohodou s Afrikou“, kterou iniciovala G20.</w:t>
            </w:r>
          </w:p>
          <w:p w:rsidR="00181383" w:rsidRDefault="00E3207E"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contextualSpacing w:val="0"/>
              <w:rPr>
                <w:b/>
                <w:noProof/>
                <w:color w:val="000000" w:themeColor="text1"/>
                <w:szCs w:val="24"/>
                <w:lang w:val="cs-CZ"/>
              </w:rPr>
            </w:pPr>
            <w:r>
              <w:rPr>
                <w:b/>
                <w:noProof/>
                <w:color w:val="000000" w:themeColor="text1"/>
                <w:lang w:val="cs-CZ"/>
              </w:rPr>
              <w:t>Podporovat předvídatelnější a </w:t>
            </w:r>
            <w:r>
              <w:rPr>
                <w:b/>
                <w:noProof/>
                <w:color w:val="000000" w:themeColor="text1"/>
                <w:lang w:val="cs-CZ"/>
              </w:rPr>
              <w:t xml:space="preserve">příznivější investiční klima v Africe, </w:t>
            </w:r>
            <w:r>
              <w:rPr>
                <w:noProof/>
                <w:color w:val="000000" w:themeColor="text1"/>
                <w:lang w:val="cs-CZ"/>
              </w:rPr>
              <w:t>zejména schválením obecných zásad EU a Afriky pro tvorbu investičních politik.</w:t>
            </w:r>
          </w:p>
          <w:p w:rsidR="00181383" w:rsidRDefault="00E3207E"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contextualSpacing w:val="0"/>
              <w:rPr>
                <w:b/>
                <w:noProof/>
                <w:color w:val="000000" w:themeColor="text1"/>
                <w:szCs w:val="24"/>
                <w:lang w:val="cs-CZ"/>
              </w:rPr>
            </w:pPr>
            <w:r>
              <w:rPr>
                <w:b/>
                <w:noProof/>
                <w:color w:val="000000" w:themeColor="text1"/>
                <w:lang w:val="cs-CZ"/>
              </w:rPr>
              <w:t xml:space="preserve">Podporovat digitální agendu Afriky </w:t>
            </w:r>
            <w:r>
              <w:rPr>
                <w:noProof/>
                <w:color w:val="000000" w:themeColor="text1"/>
                <w:lang w:val="cs-CZ"/>
              </w:rPr>
              <w:t>se zaměřením na zavedení služeb, iniciativ a investic elektronické správy, které usnadňují rozvoj zeměd</w:t>
            </w:r>
            <w:r>
              <w:rPr>
                <w:noProof/>
                <w:color w:val="000000" w:themeColor="text1"/>
                <w:lang w:val="cs-CZ"/>
              </w:rPr>
              <w:t>ělského podnikání prostřednictvím přístupu k údajům o trhu, klimatu a životním prostředí a jejich využívání, a na rozvoj otevřeného digitálního prostředí pro výzkum s cílem posilovat dovednosti a znalosti.</w:t>
            </w:r>
          </w:p>
        </w:tc>
      </w:tr>
    </w:tbl>
    <w:p w:rsidR="00181383" w:rsidRDefault="00181383">
      <w:pPr>
        <w:spacing w:after="120"/>
        <w:rPr>
          <w:rFonts w:ascii="Times New Roman" w:hAnsi="Times New Roman" w:cs="Times New Roman"/>
          <w:noProof/>
          <w:lang w:val="cs-CZ"/>
        </w:rPr>
      </w:pPr>
      <w:bookmarkStart w:id="45" w:name="_Toc477190363"/>
    </w:p>
    <w:p w:rsidR="00181383" w:rsidRDefault="00E3207E">
      <w:pPr>
        <w:pStyle w:val="Heading3"/>
        <w:numPr>
          <w:ilvl w:val="0"/>
          <w:numId w:val="29"/>
        </w:numPr>
        <w:spacing w:after="120" w:line="276" w:lineRule="auto"/>
        <w:rPr>
          <w:noProof/>
          <w:szCs w:val="24"/>
          <w:lang w:val="cs-CZ"/>
        </w:rPr>
      </w:pPr>
      <w:bookmarkStart w:id="46" w:name="_Toc480319533"/>
      <w:bookmarkStart w:id="47" w:name="_Toc481660189"/>
      <w:r>
        <w:rPr>
          <w:noProof/>
          <w:lang w:val="cs-CZ"/>
        </w:rPr>
        <w:t>Energie pro Afriku</w:t>
      </w:r>
      <w:bookmarkEnd w:id="45"/>
      <w:bookmarkEnd w:id="46"/>
      <w:bookmarkEnd w:id="47"/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Dosažení všeobecného přístupu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k cenově dostupné, spolehlivé, udržitelné a moderní energii v Africe, včetně venkovských oblastí, je pro oba kontinenty rovněž příležitostí pro vytváření rozvoje podporujícího začlenění a pracovních míst a je v souladu s bojem proti změně klimatu. Je ve s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polečném zájmu posílit spolupráci založenou na společných hodnotách přechodu na čistou energii, který EU celosvětově prosazuje a vede.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Očekává se, že se v důsledku růstu hospodářství, nárůstu počtu obyvatel a urbanizace poptávka po dodávkách elektřiny v ce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lé Africe do roku 2030 ztrojnásobí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38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. Přibližně 700 milionů lidí, převážně v subsaharské Africe, nemá v současnosti přístup k moderním formám energie a současné tempo elektrifikace ani roční růst HDP se nepovažují za dostatečné k zajištění všeobecného přístupu k energii. Bohaté domácí zdroje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obnovitelné energie Afriky však dalece přesahují její současné a předpokládané potřeby. Využití možností Afriky závisí na zvýšené výrobě elektrické energie a jejím účinném využívání, lepších přeshraničních propojeních, a to i s Evropou, a na správném poli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tickém rámci pro řízení odvětví energetiky. Veřejné financování by nemohlo samo zajistit investice, které jsou potřebné k uspokojení této poptávky. 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Africká vize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Afrika je odhodlána podílet se na celosvětovém úsilí o zmírňování změny klimatu, jež podporuje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 rozšiřuje politický prostor pro udržitelný rozvoj na kontinentu. Toto úsilí zahrnuje opatření zavedená v afrických vnitrostátně stanovených příspěvcích v oblasti změny klimatu. Ve své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Agendě 2063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Afrika hovoří o 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využití všech afrických zdrojů energie k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 zajištění moderní, účinné, spolehlivé a nákladově efektivní energie z obnovitelných zdrojů šetrné k životnímu prostředí pro všechny africké domácnosti, průmyslové podniky a instituce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“. 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Opatření EU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EU je partnerem Afriky v oblasti energetiky již mnoho let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 vede úsilí v rámci desetiletí udržitelné energie pro všechny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39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s cílem zvýšit výrobu a distribuci elektrické energie zvýšením podílu energie z obnovitelných zdrojů a snížením podílu fosilních paliv na celkové výrobě energií. 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EU stanovila pro spolupráci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se subsaharskou Afrikou v oblasti udržitelných energií ambiciózní cíle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40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, které přispívají též k cílům 21. konference smluvních stran Rámcové úmluvy Organizace spojených národů o změně klimatu (COP21): EU bude do roku 2020 podporovat zajištění přístupu k ud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ržitelné energii pro 30 milionů lidí, poskytne 5 GW výrobní kapacity energie z obnovitelných zdrojů a úsporu 11 milionů tun CO</w:t>
      </w:r>
      <w:r>
        <w:rPr>
          <w:rFonts w:ascii="Times New Roman" w:hAnsi="Times New Roman"/>
          <w:noProof/>
          <w:color w:val="000000" w:themeColor="text1"/>
          <w:sz w:val="24"/>
          <w:vertAlign w:val="subscript"/>
          <w:lang w:val="cs-CZ"/>
        </w:rPr>
        <w:t>2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ročně v rámci podpory africké iniciativy v oblasti energie z obnovitelných zdrojů (African Renewable Energy Initiative – AREI). 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V případě severní Afriky se partnerství v oblasti energetiky nadále rozvíjí na regionální úrovni v rámci Unie pro Středomoří. EU spolupracuje se zeměmi severní Afriky na dvoustranné úrovni a tato spolupráce zahrnuje široké portfolio programů finanční a te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chnické pomoci a v konkrétním případě klíčového dodavatele energie, jako je Alžírsko, formou strategického partnerství v oblasti energetiky. 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EU navrhuje posílit partnerství zvýšením úsilí o: 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>i) podnícení veřejných a soukromých investic do energie z obnov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>itelných zdrojů v Africe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, zejména v souvislosti s navrhovaným EIP, pomocí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:</w:t>
      </w:r>
    </w:p>
    <w:p w:rsidR="00181383" w:rsidRDefault="00E3207E">
      <w:pPr>
        <w:pStyle w:val="ListParagraph"/>
        <w:numPr>
          <w:ilvl w:val="0"/>
          <w:numId w:val="39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usnadnění spolupráce veřejného a soukromého sektoru prostřednictvím platformy na vysoké úrovni s cílem zřídit silný ekonomický argument pro urychlené investice soukromého sektoru </w:t>
      </w:r>
      <w:r>
        <w:rPr>
          <w:noProof/>
          <w:color w:val="000000" w:themeColor="text1"/>
          <w:lang w:val="cs-CZ"/>
        </w:rPr>
        <w:t>v Africe,</w:t>
      </w:r>
    </w:p>
    <w:p w:rsidR="00181383" w:rsidRDefault="00E3207E">
      <w:pPr>
        <w:pStyle w:val="ListParagraph"/>
        <w:numPr>
          <w:ilvl w:val="0"/>
          <w:numId w:val="39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plnění úlohy katalyzátoru poskytnutím pomoci africkým vládám s cílem zlepšit příznivé prostředí pro odvětví energetiky. EU může na základě svých komplexních politických rámců v oblasti energetiky a klimatu, včetně nejnovějšího balíčku Čistá energ</w:t>
      </w:r>
      <w:r>
        <w:rPr>
          <w:noProof/>
          <w:color w:val="000000" w:themeColor="text1"/>
          <w:lang w:val="cs-CZ"/>
        </w:rPr>
        <w:t>ie pro všechny Evropany</w:t>
      </w:r>
      <w:r>
        <w:rPr>
          <w:rStyle w:val="FootnoteReference"/>
          <w:noProof/>
          <w:color w:val="000000" w:themeColor="text1"/>
          <w:lang w:val="cs-CZ"/>
        </w:rPr>
        <w:footnoteReference w:id="41"/>
      </w:r>
      <w:r>
        <w:rPr>
          <w:noProof/>
          <w:color w:val="000000" w:themeColor="text1"/>
          <w:lang w:val="cs-CZ"/>
        </w:rPr>
        <w:t>, dle potřeby sdílet s africkými partnery mnoho jedinečných zkušeností, znalostí a osvědčených postupů v oblasti politické analýzy a regulace s cílem podnítit udržitelnou výrobu energie, modernizaci energetické soustavy a případně i</w:t>
      </w:r>
      <w:r>
        <w:rPr>
          <w:noProof/>
          <w:color w:val="000000" w:themeColor="text1"/>
          <w:lang w:val="cs-CZ"/>
        </w:rPr>
        <w:t>ntegraci regionálních trhů,</w:t>
      </w:r>
    </w:p>
    <w:p w:rsidR="00181383" w:rsidRDefault="00E3207E">
      <w:pPr>
        <w:pStyle w:val="ListParagraph"/>
        <w:numPr>
          <w:ilvl w:val="0"/>
          <w:numId w:val="39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poskytování podpory na posílení integrace regionálních energetických trhů v Africe prostřednictvím harmonizace předpisů o elektřině, </w:t>
      </w:r>
    </w:p>
    <w:p w:rsidR="00181383" w:rsidRDefault="00E3207E">
      <w:pPr>
        <w:pStyle w:val="ListParagraph"/>
        <w:numPr>
          <w:ilvl w:val="0"/>
          <w:numId w:val="39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přeshraničních propojení, a to též s Evropou, s cílem zajistit spolehlivé a cenově dos</w:t>
      </w:r>
      <w:r>
        <w:rPr>
          <w:noProof/>
          <w:color w:val="000000" w:themeColor="text1"/>
          <w:lang w:val="cs-CZ"/>
        </w:rPr>
        <w:t>tupné dodávky energie;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ii) prohloubení strategických spojenectví a spolupráce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 </w:t>
      </w:r>
    </w:p>
    <w:p w:rsidR="00181383" w:rsidRDefault="00E3207E">
      <w:pPr>
        <w:pStyle w:val="ListParagraph"/>
        <w:numPr>
          <w:ilvl w:val="0"/>
          <w:numId w:val="40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posílení dialogu a koordinace s členskými státy EU v rámci partnerství EU-Afrika v oblasti energetiky prostřednictvím energetické iniciativy EU (EUEI) a s klíčovými </w:t>
      </w:r>
      <w:r>
        <w:rPr>
          <w:noProof/>
          <w:color w:val="000000" w:themeColor="text1"/>
          <w:lang w:val="cs-CZ"/>
        </w:rPr>
        <w:t>partnery a iniciativami, jako je G20, G7, Udržitelná energie pro všechny (SE4All) a USAID Power Africa, s cílem posílit spolupráci,</w:t>
      </w:r>
    </w:p>
    <w:p w:rsidR="00181383" w:rsidRDefault="00E3207E">
      <w:pPr>
        <w:pStyle w:val="ListParagraph"/>
        <w:numPr>
          <w:ilvl w:val="0"/>
          <w:numId w:val="40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partnerství s místními orgány v oblasti přechodu zdola nahoru na celosvětové nízkouhlíkové hospodářství a společnost odolné </w:t>
      </w:r>
      <w:r>
        <w:rPr>
          <w:noProof/>
          <w:color w:val="000000" w:themeColor="text1"/>
          <w:lang w:val="cs-CZ"/>
        </w:rPr>
        <w:t xml:space="preserve">vůči změnám klimatu, také prostřednictvím iniciativ jako Globální pakt starostů a primátorů (který staví na úspěchu evropského Paktu starostů a primátorů) a dalším rozšiřováním jeho regionálních složek v Africe, </w:t>
      </w:r>
    </w:p>
    <w:p w:rsidR="00181383" w:rsidRDefault="00E3207E">
      <w:pPr>
        <w:pStyle w:val="ListParagraph"/>
        <w:numPr>
          <w:ilvl w:val="0"/>
          <w:numId w:val="40"/>
        </w:numPr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posilování spolupráce mezi výzkumnými praco</w:t>
      </w:r>
      <w:r>
        <w:rPr>
          <w:noProof/>
          <w:color w:val="000000" w:themeColor="text1"/>
          <w:lang w:val="cs-CZ"/>
        </w:rPr>
        <w:t>vníky a inovátory</w:t>
      </w:r>
      <w:r>
        <w:rPr>
          <w:b/>
          <w:noProof/>
          <w:color w:val="000000" w:themeColor="text1"/>
          <w:lang w:val="cs-CZ"/>
        </w:rPr>
        <w:t xml:space="preserve"> </w:t>
      </w:r>
      <w:r>
        <w:rPr>
          <w:noProof/>
          <w:color w:val="000000" w:themeColor="text1"/>
          <w:lang w:val="cs-CZ"/>
        </w:rPr>
        <w:t xml:space="preserve">v rámci politického dialogu na vysoké úrovni mezi EU a Afrikou, který se týká vědy, techniky a inovací. </w:t>
      </w:r>
    </w:p>
    <w:p w:rsidR="00181383" w:rsidRDefault="00E32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Stěžejní iniciativy</w:t>
      </w:r>
    </w:p>
    <w:p w:rsidR="00181383" w:rsidRDefault="00E3207E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Poskytnout příspěvek EU iniciativě AREI a dosáhnout 5 GW výrobní kapacity energie z obnovitelných zdrojů do roku </w:t>
      </w: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>2020 při zajištění přístupu k udržitelné energii 30 milionům lidí v Africe a úspoře 11 milionů tun CO</w:t>
      </w:r>
      <w:r>
        <w:rPr>
          <w:rFonts w:ascii="Times New Roman" w:hAnsi="Times New Roman"/>
          <w:b/>
          <w:noProof/>
          <w:color w:val="000000" w:themeColor="text1"/>
          <w:sz w:val="24"/>
          <w:vertAlign w:val="subscript"/>
          <w:lang w:val="cs-CZ"/>
        </w:rPr>
        <w:t>2</w:t>
      </w: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 ročně.</w:t>
      </w:r>
    </w:p>
    <w:p w:rsidR="00181383" w:rsidRDefault="00E3207E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Zahájit novou iniciativu s cílem usnadnit spolupráci veřejného a soukromého sektoru EU a Afriky v oblasti zvýšených investic do afrického odvětví </w:t>
      </w: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udržitelné energie prostřednictvím platformy na vysoké úrovni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s cílem zlepšit investiční klima a zbavit soukromé investice rizik, usnadnit sdílení znalostí o inovačních obchodních modelech a modelech financování a sdílení osvědčených postupů o mobilizaci v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eřejných financí.</w:t>
      </w:r>
    </w:p>
    <w:p w:rsidR="00181383" w:rsidRDefault="00E3207E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contextualSpacing w:val="0"/>
        <w:rPr>
          <w:b/>
          <w:bCs/>
          <w:noProof/>
          <w:color w:val="000000" w:themeColor="text1"/>
          <w:szCs w:val="24"/>
          <w:lang w:val="cs-CZ"/>
        </w:rPr>
      </w:pPr>
      <w:r>
        <w:rPr>
          <w:b/>
          <w:noProof/>
          <w:color w:val="000000" w:themeColor="text1"/>
          <w:lang w:val="cs-CZ"/>
        </w:rPr>
        <w:t xml:space="preserve">Zahájit nové výzkumné a inovační partnerství EU a Afriky v oblasti změny klimatu a udržitelné energie </w:t>
      </w:r>
      <w:r>
        <w:rPr>
          <w:noProof/>
          <w:lang w:val="cs-CZ"/>
        </w:rPr>
        <w:t>se zaměřením na využití</w:t>
      </w:r>
      <w:r>
        <w:rPr>
          <w:rStyle w:val="FootnoteReference"/>
          <w:noProof/>
          <w:lang w:val="cs-CZ"/>
        </w:rPr>
        <w:footnoteReference w:id="42"/>
      </w:r>
      <w:r>
        <w:rPr>
          <w:noProof/>
          <w:lang w:val="cs-CZ"/>
        </w:rPr>
        <w:t>, jakož i budování kapacit v oblasti energetické účinnosti a obnovitelných zdrojů</w:t>
      </w:r>
      <w:r>
        <w:rPr>
          <w:noProof/>
          <w:color w:val="000000" w:themeColor="text1"/>
          <w:lang w:val="cs-CZ"/>
        </w:rPr>
        <w:t xml:space="preserve"> a na klimatické služby. </w:t>
      </w:r>
    </w:p>
    <w:p w:rsidR="00181383" w:rsidRDefault="00181383">
      <w:pPr>
        <w:pStyle w:val="Header"/>
        <w:spacing w:after="120" w:line="276" w:lineRule="auto"/>
        <w:rPr>
          <w:rFonts w:ascii="Times New Roman" w:hAnsi="Times New Roman" w:cs="Times New Roman"/>
          <w:b/>
          <w:noProof/>
          <w:sz w:val="24"/>
          <w:szCs w:val="24"/>
          <w:lang w:val="cs-CZ"/>
        </w:rPr>
      </w:pPr>
    </w:p>
    <w:p w:rsidR="00181383" w:rsidRDefault="00E3207E">
      <w:pPr>
        <w:pStyle w:val="Heading3"/>
        <w:numPr>
          <w:ilvl w:val="0"/>
          <w:numId w:val="29"/>
        </w:numPr>
        <w:spacing w:after="120" w:line="276" w:lineRule="auto"/>
        <w:rPr>
          <w:noProof/>
          <w:szCs w:val="24"/>
          <w:lang w:val="cs-CZ"/>
        </w:rPr>
      </w:pPr>
      <w:bookmarkStart w:id="48" w:name="_Toc480319534"/>
      <w:bookmarkStart w:id="49" w:name="_Toc481660190"/>
      <w:bookmarkStart w:id="50" w:name="_Toc477190364"/>
      <w:r>
        <w:rPr>
          <w:noProof/>
          <w:lang w:val="cs-CZ"/>
        </w:rPr>
        <w:t>Tran</w:t>
      </w:r>
      <w:r>
        <w:rPr>
          <w:noProof/>
          <w:lang w:val="cs-CZ"/>
        </w:rPr>
        <w:t>sformace afrického zemědělství a zemědělského podnikání a afrického modrého hospodářství včetně rybolovu</w:t>
      </w:r>
      <w:bookmarkEnd w:id="48"/>
      <w:bookmarkEnd w:id="49"/>
      <w:r>
        <w:rPr>
          <w:noProof/>
          <w:lang w:val="cs-CZ"/>
        </w:rPr>
        <w:t xml:space="preserve"> </w:t>
      </w:r>
      <w:bookmarkEnd w:id="50"/>
    </w:p>
    <w:p w:rsidR="00181383" w:rsidRDefault="00E3207E">
      <w:pPr>
        <w:tabs>
          <w:tab w:val="left" w:pos="2302"/>
        </w:tabs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Zemědělství, včetně živočišné výroby, rybolovu a akvakultury, je pro Afriku životně důležité. Představuje hlavní zdroj příjmů pro zhruba 90 % venkovského obyvatelstva kontinentu a odhaduje se, že poskytuje prostředky na živobytí 75 % pracovních sil, z čeho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ž polovinu tvoří ženy. Produktivita zůstává nízká a založená na drobném samozásobitelském hospodaření a drobném rybolovu. Nedostatek kapitálu, neudržitelné hospodaření se zdroji, problémy s vlastnictvím pozemků a špatná bezpečnostní situace na moři jsou hl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avními překážkami bránícími potřebnému růstu. Afrika ztrácí několik miliard eur v důsledku nadměrného odlovu populací ryb a nedostatečné správy odvětví rybolovu. Na odvětví navíc dále působí dopady změny klimatu – současné i očekávané. </w:t>
      </w:r>
    </w:p>
    <w:p w:rsidR="00181383" w:rsidRDefault="00E3207E">
      <w:pPr>
        <w:tabs>
          <w:tab w:val="left" w:pos="2302"/>
        </w:tabs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Uvolnění potenciálu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potravinářských odvětví se zdá být jedním z nejúčinnějších způsobů, jak řešit zajišťování potravin, vytvářet pracovní místa a zdroje příjmu a posílit postavení stovek milionů Afričanů, zejména mladých lidí.</w:t>
      </w:r>
    </w:p>
    <w:p w:rsidR="00181383" w:rsidRDefault="00E3207E"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Africká vize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programu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Agenda 2063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Afrika usilu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je o 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transformaci, růst a industrializaci svých hospodářství, mimo jiné prostřednictvím přidané hodnoty přírodních zdrojů, plánů produktivity a regionálních hodnotových řetězců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“. Vyzývá k podpoře 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provádění průmyslových politik na všech úrovních se zaměře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ním na MMSP</w:t>
      </w:r>
      <w:r>
        <w:rPr>
          <w:rStyle w:val="FootnoteReference"/>
          <w:rFonts w:ascii="Times New Roman" w:hAnsi="Times New Roman"/>
          <w:i/>
          <w:noProof/>
          <w:color w:val="000000" w:themeColor="text1"/>
          <w:sz w:val="24"/>
          <w:lang w:val="cs-CZ"/>
        </w:rPr>
        <w:footnoteReference w:id="43"/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 xml:space="preserve"> a na zemědělské podniky“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a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 xml:space="preserve"> „vypracování strategií pro růst afrických modrých/oceánských a ekologických hospodářství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“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44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.</w:t>
      </w:r>
    </w:p>
    <w:p w:rsidR="00181383" w:rsidRDefault="00E3207E">
      <w:pPr>
        <w:keepNext/>
        <w:keepLines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Opatření EU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EU je jedním z hlavních partnerů Afriky pro rozvoj zemědělství a modrého hospodářství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45"/>
      </w:r>
      <w:r>
        <w:rPr>
          <w:noProof/>
          <w:lang w:val="cs-CZ"/>
        </w:rPr>
        <w:t>.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Cílem jejích opatření je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zvýšit úlohu odpovědných hodnotových řetězců v programech rozvoje venkova a námořního rozvoje a posílit doprovodný regulační a politický rámec při současné udržitelné správě cenných zdrojů, jako je voda a půda.</w:t>
      </w:r>
    </w:p>
    <w:p w:rsidR="00181383" w:rsidRDefault="00E3207E"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EU má v úmyslu posílit partnerství zvýšením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svého úsilí o:</w:t>
      </w:r>
    </w:p>
    <w:p w:rsidR="00181383" w:rsidRDefault="00E3207E">
      <w:pPr>
        <w:keepNext/>
        <w:keepLines/>
        <w:tabs>
          <w:tab w:val="left" w:pos="2302"/>
        </w:tabs>
        <w:spacing w:after="1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i) podnícení rozvoje odpovědného a udržitelného hodnotového řetězce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</w:p>
    <w:p w:rsidR="00181383" w:rsidRDefault="00E3207E">
      <w:pPr>
        <w:pStyle w:val="ListParagraph"/>
        <w:numPr>
          <w:ilvl w:val="0"/>
          <w:numId w:val="38"/>
        </w:numPr>
        <w:tabs>
          <w:tab w:val="left" w:pos="2302"/>
        </w:tabs>
        <w:spacing w:after="120" w:line="276" w:lineRule="auto"/>
        <w:contextualSpacing w:val="0"/>
        <w:rPr>
          <w:b/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usnadnění investic soukromého sektoru podle zemědělsko-potravinářských hodnotových řetězců v návaznosti na iniciativy, jako je nástroj financování zemědělství </w:t>
      </w:r>
      <w:r>
        <w:rPr>
          <w:noProof/>
          <w:color w:val="000000" w:themeColor="text1"/>
          <w:lang w:val="cs-CZ"/>
        </w:rPr>
        <w:t>(Agriculture Financing Instrument – AgriFI), navrhovaný evropský plán vnějších investic (EIP) a pokyny Organizace OSN pro výživu a zemědělství (FAO) a Organizace pro hospodářskou spolupráci a rozvoj (OECD) pro odpovědné zemědělské dodavatelské řetězce,</w:t>
      </w:r>
    </w:p>
    <w:p w:rsidR="00181383" w:rsidRDefault="00E3207E">
      <w:pPr>
        <w:pStyle w:val="ListParagraph"/>
        <w:numPr>
          <w:ilvl w:val="0"/>
          <w:numId w:val="38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pom</w:t>
      </w:r>
      <w:r>
        <w:rPr>
          <w:noProof/>
          <w:color w:val="000000" w:themeColor="text1"/>
          <w:lang w:val="cs-CZ"/>
        </w:rPr>
        <w:t xml:space="preserve">oci Africe při využívání příležitostí na trhu pro africkou produkci potravin. </w:t>
      </w:r>
      <w:r>
        <w:rPr>
          <w:noProof/>
          <w:lang w:val="cs-CZ"/>
        </w:rPr>
        <w:t>Dohody o hospodářském partnerství (EPA) nabízí velké příležitosti včetně volného přístupu na trh EU, pružných pravidel pro získávání vstupů, dialogu a spolupráce v oblasti zemědě</w:t>
      </w:r>
      <w:r>
        <w:rPr>
          <w:noProof/>
          <w:lang w:val="cs-CZ"/>
        </w:rPr>
        <w:t xml:space="preserve">lství a plánů provádění EPA. Pro nejméně rozvinuté země bez EPA je poskytován volný přístup na trh prostřednictvím režimu „Vše kromě zbraní“. </w:t>
      </w:r>
      <w:r>
        <w:rPr>
          <w:noProof/>
          <w:color w:val="000000" w:themeColor="text1"/>
          <w:lang w:val="cs-CZ"/>
        </w:rPr>
        <w:t>EU bude také nadále podporovat rozvoj kapacity Afriky dodržovat normy týkající se bezpečnosti a kvality, mimo jiné</w:t>
      </w:r>
      <w:r>
        <w:rPr>
          <w:noProof/>
          <w:color w:val="000000" w:themeColor="text1"/>
          <w:lang w:val="cs-CZ"/>
        </w:rPr>
        <w:t xml:space="preserve"> pro sanitární a fytosanitární otázky,</w:t>
      </w:r>
    </w:p>
    <w:p w:rsidR="00181383" w:rsidRDefault="00E3207E">
      <w:pPr>
        <w:pStyle w:val="ListParagraph"/>
        <w:numPr>
          <w:ilvl w:val="0"/>
          <w:numId w:val="38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zvýšení</w:t>
      </w:r>
      <w:r>
        <w:rPr>
          <w:noProof/>
          <w:lang w:val="cs-CZ"/>
        </w:rPr>
        <w:t xml:space="preserve"> udržitelné produktivity afrického odvětví rybolovu </w:t>
      </w:r>
      <w:r>
        <w:rPr>
          <w:noProof/>
          <w:color w:val="000000" w:themeColor="text1"/>
          <w:lang w:val="cs-CZ"/>
        </w:rPr>
        <w:t>případným rozšířením sítě dohod o partnerství v oblasti udržitelného rybolovu mezi EU a africkými zeměmi a </w:t>
      </w:r>
      <w:r>
        <w:rPr>
          <w:noProof/>
          <w:lang w:val="cs-CZ"/>
        </w:rPr>
        <w:t xml:space="preserve">zlepšení kapacity afrických partnerů v udržitelném </w:t>
      </w:r>
      <w:r>
        <w:rPr>
          <w:noProof/>
          <w:lang w:val="cs-CZ"/>
        </w:rPr>
        <w:t xml:space="preserve">řízení rybolovu a boji proti nezákonnému, nehlášenému a neregulovanému (NNN) rybolovu </w:t>
      </w:r>
      <w:r>
        <w:rPr>
          <w:noProof/>
          <w:color w:val="000000" w:themeColor="text1"/>
          <w:lang w:val="cs-CZ"/>
        </w:rPr>
        <w:t>prostřednictvím spolupráce a dialogu podle nařízení EU o rybolovu NNN</w:t>
      </w:r>
      <w:r>
        <w:rPr>
          <w:rStyle w:val="FootnoteReference"/>
          <w:noProof/>
          <w:color w:val="000000" w:themeColor="text1"/>
          <w:lang w:val="cs-CZ"/>
        </w:rPr>
        <w:footnoteReference w:id="46"/>
      </w:r>
      <w:r>
        <w:rPr>
          <w:noProof/>
          <w:color w:val="000000" w:themeColor="text1"/>
          <w:lang w:val="cs-CZ"/>
        </w:rPr>
        <w:t xml:space="preserve">, </w:t>
      </w:r>
    </w:p>
    <w:p w:rsidR="00181383" w:rsidRDefault="00E3207E">
      <w:pPr>
        <w:pStyle w:val="ListParagraph"/>
        <w:numPr>
          <w:ilvl w:val="0"/>
          <w:numId w:val="38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provádění opatření v africkém zemědělství proti změně klimatu stanoveného ve vnitrostátně</w:t>
      </w:r>
      <w:r>
        <w:rPr>
          <w:noProof/>
          <w:color w:val="000000" w:themeColor="text1"/>
          <w:lang w:val="cs-CZ"/>
        </w:rPr>
        <w:t xml:space="preserve"> stanovených příspěvcích afrických zemí,</w:t>
      </w:r>
    </w:p>
    <w:p w:rsidR="00181383" w:rsidRDefault="00E3207E">
      <w:pPr>
        <w:pStyle w:val="ListParagraph"/>
        <w:numPr>
          <w:ilvl w:val="0"/>
          <w:numId w:val="38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szCs w:val="24"/>
          <w:lang w:val="cs-CZ"/>
        </w:rPr>
        <w:t xml:space="preserve">podpory účinného začleňování otázek </w:t>
      </w:r>
      <w:r>
        <w:rPr>
          <w:noProof/>
          <w:szCs w:val="24"/>
          <w:lang w:val="cs-CZ"/>
        </w:rPr>
        <w:t>adaptace na změnu klimatu, zachování a obnovy biologické rozmanitosti a snižování rizika katastrof do afrických zemědělských politik, včetně prostřednictvím obnovy ekosystémů a ře</w:t>
      </w:r>
      <w:r>
        <w:rPr>
          <w:noProof/>
          <w:szCs w:val="24"/>
          <w:lang w:val="cs-CZ"/>
        </w:rPr>
        <w:t>šení založených na přírodních procesech</w:t>
      </w:r>
      <w:r>
        <w:rPr>
          <w:noProof/>
          <w:color w:val="000000" w:themeColor="text1"/>
          <w:lang w:val="cs-CZ"/>
        </w:rPr>
        <w:t>;</w:t>
      </w:r>
    </w:p>
    <w:p w:rsidR="00181383" w:rsidRDefault="00E3207E">
      <w:pPr>
        <w:keepNext/>
        <w:keepLines/>
        <w:tabs>
          <w:tab w:val="left" w:pos="2302"/>
        </w:tabs>
        <w:spacing w:after="12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ii) posilování dovedností, inovací a společného výzkumu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</w:p>
    <w:p w:rsidR="00181383" w:rsidRDefault="00E3207E">
      <w:pPr>
        <w:pStyle w:val="ListParagraph"/>
        <w:numPr>
          <w:ilvl w:val="0"/>
          <w:numId w:val="37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posílení mobilizace evropských a afrických odborných znalostí ve výzkumu a inovacích, zejména posilováním provádění plánu EU a Afriky pro zajišťování p</w:t>
      </w:r>
      <w:r>
        <w:rPr>
          <w:noProof/>
          <w:color w:val="000000" w:themeColor="text1"/>
          <w:lang w:val="cs-CZ"/>
        </w:rPr>
        <w:t>otravin, výživy a udržitelného zemědělství (FNSSA)</w:t>
      </w:r>
      <w:r>
        <w:rPr>
          <w:rStyle w:val="FootnoteReference"/>
          <w:noProof/>
          <w:color w:val="000000" w:themeColor="text1"/>
          <w:lang w:val="cs-CZ"/>
        </w:rPr>
        <w:footnoteReference w:id="47"/>
      </w:r>
      <w:r>
        <w:rPr>
          <w:noProof/>
          <w:color w:val="000000" w:themeColor="text1"/>
          <w:lang w:val="cs-CZ"/>
        </w:rPr>
        <w:t xml:space="preserve">, dále prováděním budoucího </w:t>
      </w:r>
      <w:r>
        <w:rPr>
          <w:noProof/>
          <w:szCs w:val="24"/>
          <w:lang w:val="cs-CZ"/>
        </w:rPr>
        <w:t>Partnerství pro výzkum a inovace v oblasti Středomoří (PRIMA) a realizací společného výzkumu Atlantského oceánu,</w:t>
      </w:r>
    </w:p>
    <w:p w:rsidR="00181383" w:rsidRDefault="00E3207E">
      <w:pPr>
        <w:pStyle w:val="ListParagraph"/>
        <w:numPr>
          <w:ilvl w:val="0"/>
          <w:numId w:val="37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posilování odborné přípravy a vzdělávání v zemědělství a v zeměd</w:t>
      </w:r>
      <w:r>
        <w:rPr>
          <w:noProof/>
          <w:color w:val="000000" w:themeColor="text1"/>
          <w:lang w:val="cs-CZ"/>
        </w:rPr>
        <w:t>ělsko-potravinářských podnikatelských činnostech v návaznosti na předchozí a současnou podporu organizací zemědělců,</w:t>
      </w:r>
    </w:p>
    <w:p w:rsidR="00181383" w:rsidRDefault="00E3207E">
      <w:pPr>
        <w:pStyle w:val="ListParagraph"/>
        <w:numPr>
          <w:ilvl w:val="0"/>
          <w:numId w:val="37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navýšení podpory pro přístup k finančním prostředkům, přístup ke konektivitě pro drobné zemědělce a používání digitálních služeb elektronic</w:t>
      </w:r>
      <w:r>
        <w:rPr>
          <w:noProof/>
          <w:color w:val="000000" w:themeColor="text1"/>
          <w:lang w:val="cs-CZ"/>
        </w:rPr>
        <w:t>kého zemědělství za účelem zvýšení produktivity a příjmů.</w:t>
      </w:r>
    </w:p>
    <w:p w:rsidR="00181383" w:rsidRDefault="00E3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Stěžejní iniciativy</w:t>
      </w:r>
    </w:p>
    <w:p w:rsidR="00181383" w:rsidRDefault="00E3207E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Podnítit rozvoj hodnotového řetězce usnadněním odpovědných investic do udržitelného zemědělského podnikání a modrého hospodářství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pomocí škály nástrojů včetně AgriFI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a navrhovaného evropského plánu vnějších investic.</w:t>
      </w: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 </w:t>
      </w:r>
    </w:p>
    <w:p w:rsidR="00181383" w:rsidRDefault="00E3207E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 xml:space="preserve">Vytvářet investice EU a africké investice na podporu výzkumu a inovací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zemědělství prostřednictvím výzkumného a inovačního partnerství EU-Afrika pro FNSSA a zvýšit využívání nových technologií místními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společenstvími ke zvýšení příjmů v zemědělství a zlepšení výživy.</w:t>
      </w:r>
    </w:p>
    <w:p w:rsidR="00181383" w:rsidRDefault="00E3207E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lang w:val="cs-CZ"/>
        </w:rPr>
        <w:t>Případné rozšíření sítě dohod o partnerství v oblasti udržitelného rybolovu mezi EU a africkými zeměmi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</w:t>
      </w:r>
    </w:p>
    <w:p w:rsidR="00181383" w:rsidRDefault="0018138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Cs w:val="24"/>
          <w:lang w:val="cs-CZ"/>
        </w:rPr>
      </w:pPr>
      <w:bookmarkStart w:id="51" w:name="_Toc477190365"/>
    </w:p>
    <w:p w:rsidR="00181383" w:rsidRDefault="00E3207E">
      <w:pPr>
        <w:pStyle w:val="Heading3"/>
        <w:numPr>
          <w:ilvl w:val="0"/>
          <w:numId w:val="29"/>
        </w:numPr>
        <w:spacing w:after="120" w:line="276" w:lineRule="auto"/>
        <w:rPr>
          <w:noProof/>
          <w:szCs w:val="24"/>
          <w:lang w:val="cs-CZ"/>
        </w:rPr>
      </w:pPr>
      <w:bookmarkStart w:id="52" w:name="_Toc480319535"/>
      <w:bookmarkStart w:id="53" w:name="_Toc481660191"/>
      <w:r>
        <w:rPr>
          <w:noProof/>
          <w:lang w:val="cs-CZ"/>
        </w:rPr>
        <w:t>Podpora znalostí a dovedností</w:t>
      </w:r>
      <w:bookmarkEnd w:id="51"/>
      <w:bookmarkEnd w:id="52"/>
      <w:bookmarkEnd w:id="53"/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Ačkoli se účast na vzdělávání ve většině afrických zemí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v posledních desetiletích výrazně zvýšila, více než 20 % afrických dětí, zejména dívek, stále ještě nedokončí primární vzdělávání; asi 50 % nemá přístup k sekundárnímu vzdělání a pouze 7 % navštěvuje terciární vzdělávání. Současné úrovně primárního učení,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které je pro mladé lidi nezbytné, aby mohli pokračovat v odborném vzdělání a přípravě a ve vysokoškolském vzdělávání, jsou stále velmi nízké. Mnoho mladých lidí, kteří zvládnou dokončit primární a sekundární vzdělání, odchází bez znalostí a dovedností, kt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eré potřebují pro další učení a pro aktivní, odpovědný a produktivní občanský život.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Existuje nesoulad mezi dovednostmi, které mladí lidé získávají prostřednictvím odborného vzdělání a přípravy (VET) a vysokoškolského vzdělání, a dovednostmi, které potřebují pro svůj pracovní život. Systémy vzdělávání a odborného vzdělávání a přípravy musí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více odpovídat potřebám trhu práce, být úžeji spjaté se sociálním a průmyslovým rozvojem, musí být inovativnější a kvalitnější. </w:t>
      </w:r>
      <w:r>
        <w:rPr>
          <w:rFonts w:ascii="Times New Roman" w:hAnsi="Times New Roman"/>
          <w:noProof/>
          <w:sz w:val="24"/>
          <w:lang w:val="cs-CZ"/>
        </w:rPr>
        <w:t>Jelikož mnoho mladých lidí pracuje v neformálním sektoru nebo si musí vytvořit své vlastní možnosti obživy, je nezbytné, aby mě</w:t>
      </w:r>
      <w:r>
        <w:rPr>
          <w:rFonts w:ascii="Times New Roman" w:hAnsi="Times New Roman"/>
          <w:noProof/>
          <w:sz w:val="24"/>
          <w:lang w:val="cs-CZ"/>
        </w:rPr>
        <w:t>li přístup k vzdělávání v oblasti podnikání a k přípravě a službám na podporu podnikání, aby byli schopni začlenit se do oficiálního sektoru.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Lepší propojení vzdělávání, inovací a výzkumu zvýší příspěvek vzdělávání k pracovním místům a udržitelnému rozvoji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, zejména v oblasti </w:t>
      </w:r>
      <w:r>
        <w:rPr>
          <w:rFonts w:ascii="Times New Roman" w:hAnsi="Times New Roman"/>
          <w:noProof/>
          <w:sz w:val="24"/>
          <w:lang w:val="cs-CZ"/>
        </w:rPr>
        <w:t>distančního a otevřeného učení.</w:t>
      </w:r>
    </w:p>
    <w:p w:rsidR="00181383" w:rsidRDefault="00E3207E"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Africká vize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V programu 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Agenda 2063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 usiluje Afrika o to, aby „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urychlila revoluci ve vzdělávání a dovednostech a aktivně podporovala vědu, techniku, výzkum a inovace, budovala znalosti, lidský kapitál, sch</w:t>
      </w:r>
      <w:r>
        <w:rPr>
          <w:rFonts w:ascii="Times New Roman" w:hAnsi="Times New Roman"/>
          <w:i/>
          <w:noProof/>
          <w:color w:val="000000" w:themeColor="text1"/>
          <w:sz w:val="24"/>
          <w:lang w:val="cs-CZ"/>
        </w:rPr>
        <w:t>opnosti a dovednosti potřebné k podněcování inovací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“.</w:t>
      </w:r>
    </w:p>
    <w:p w:rsidR="00181383" w:rsidRDefault="00E3207E"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Opatření EU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EU je dlouhodobým partnerem Afriky v oblasti vzdělávání, od předškolního a primárního vzdělávání až po to vysokoškolské, včetně odborného vzdělávání a přípravy a učení v oblasti podnikání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  <w:lang w:val="cs-CZ"/>
        </w:rPr>
        <w:footnoteReference w:id="48"/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,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ale také ve výzkumu a inovacích.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EU podporuje rovné příležitosti, snížení nerovností a zvýšenou zaměstnatelnost spolu se sociální soudržností, spravedlností, rozmanitostí, začleňováním a odstranění nerovností mezi ženami a muži. </w:t>
      </w:r>
    </w:p>
    <w:p w:rsidR="00181383" w:rsidRDefault="00E3207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EU navrhuje posílit 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>partnerství zvýšením úsilí o:</w:t>
      </w:r>
    </w:p>
    <w:p w:rsidR="00181383" w:rsidRDefault="00E3207E">
      <w:pPr>
        <w:keepNext/>
        <w:keepLines/>
        <w:tabs>
          <w:tab w:val="left" w:pos="2302"/>
        </w:tabs>
        <w:spacing w:after="12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i) podporu kvality vzdělávání na všech úrovních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</w:p>
    <w:p w:rsidR="00181383" w:rsidRDefault="00E3207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bCs/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zvýšení společného úsilí o usnadnění přístupu k primárnímu a sekundárnímu vzdělávání a jeho dokončení všem dětem, zvláště dívkám, prostřednictvím dvoustranných programů </w:t>
      </w:r>
      <w:r>
        <w:rPr>
          <w:noProof/>
          <w:color w:val="000000" w:themeColor="text1"/>
          <w:lang w:val="cs-CZ"/>
        </w:rPr>
        <w:t>a Globálního partnerství pro vzdělávání,</w:t>
      </w:r>
    </w:p>
    <w:p w:rsidR="00181383" w:rsidRDefault="00E3207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řešení genderových otázek a otázek souvisejících se vzděláváním, včetně násilí na základě pohlaví, v rámci iniciativy EU pro rovnost žen a mužů,</w:t>
      </w:r>
    </w:p>
    <w:p w:rsidR="00181383" w:rsidRDefault="00E3207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další motivace afrických zemí k účasti na programu Erasmus+, zvýšení m</w:t>
      </w:r>
      <w:r>
        <w:rPr>
          <w:noProof/>
          <w:color w:val="000000" w:themeColor="text1"/>
          <w:lang w:val="cs-CZ"/>
        </w:rPr>
        <w:t>obility pracovníků a studentů a akademické spolupráce, čímž se zlepší dovednosti studentů a kvalita a význam vzdělávání,</w:t>
      </w:r>
    </w:p>
    <w:p w:rsidR="00181383" w:rsidRDefault="00E3207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další podpory regionální mobility a zvýšení podpory harmonizace vysokoškolského vzdělávání prostřednictvím přeshraničních programů, uzn</w:t>
      </w:r>
      <w:r>
        <w:rPr>
          <w:noProof/>
          <w:color w:val="000000" w:themeColor="text1"/>
          <w:lang w:val="cs-CZ"/>
        </w:rPr>
        <w:t>ávání kvalifikací, zlepšeného zajišťování kvality, inovací a zlepšeného projektu „Tuning“;</w:t>
      </w:r>
    </w:p>
    <w:p w:rsidR="00181383" w:rsidRDefault="00E3207E">
      <w:pPr>
        <w:keepNext/>
        <w:keepLines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>ii) rozšíření podpory odborného vzdělávání a přípravy</w:t>
      </w:r>
      <w:r>
        <w:rPr>
          <w:rFonts w:ascii="Times New Roman" w:hAnsi="Times New Roman"/>
          <w:noProof/>
          <w:u w:val="single"/>
          <w:lang w:val="cs-CZ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a podnikání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</w:p>
    <w:p w:rsidR="00181383" w:rsidRDefault="00E3207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bCs/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spuštění nástroje EU pro odborné vzdělávání a přípravu, který poskytne vnitrostátním zúčast</w:t>
      </w:r>
      <w:r>
        <w:rPr>
          <w:noProof/>
          <w:color w:val="000000" w:themeColor="text1"/>
          <w:lang w:val="cs-CZ"/>
        </w:rPr>
        <w:t>něným stranám vysokou úroveň odborných znalostí na podporu procesů přechodu na systémy odborného vzdělávání a přípravy více orientované na poptávku přizpůsobené potřebám a příležitostem na trhu práce,</w:t>
      </w:r>
    </w:p>
    <w:p w:rsidR="00181383" w:rsidRDefault="00E3207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mobility a budování kapacit ve vysokoškolském v</w:t>
      </w:r>
      <w:r>
        <w:rPr>
          <w:noProof/>
          <w:color w:val="000000" w:themeColor="text1"/>
          <w:lang w:val="cs-CZ"/>
        </w:rPr>
        <w:t>zdělávání prostřednictvím programu Erasmus+ a přípravy pilotních projektů na rozšíření programů mobility Erasmus+ pro odborné vzdělávání a přípravu na Afriku,</w:t>
      </w:r>
    </w:p>
    <w:p w:rsidR="00181383" w:rsidRDefault="00E3207E">
      <w:pPr>
        <w:pStyle w:val="ListParagraph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projektů budování kapacit prosazujících aktivní účast žen a mladých lidí ve společnosti a</w:t>
      </w:r>
      <w:r>
        <w:rPr>
          <w:noProof/>
          <w:color w:val="000000" w:themeColor="text1"/>
          <w:lang w:val="cs-CZ"/>
        </w:rPr>
        <w:t> na ekonomice, zejména prostřednictvím zlepšování neformálního učení a posilování synergií mezi systémy vzdělávání a trhem práce,</w:t>
      </w:r>
    </w:p>
    <w:p w:rsidR="00181383" w:rsidRDefault="00E3207E">
      <w:pPr>
        <w:pStyle w:val="ListParagraph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 xml:space="preserve">podpory rozvoje digitálních dovedností a gramotnosti a využívání digitálních technologií a služeb v poskytování progresivního </w:t>
      </w:r>
      <w:r>
        <w:rPr>
          <w:noProof/>
          <w:color w:val="000000" w:themeColor="text1"/>
          <w:lang w:val="cs-CZ"/>
        </w:rPr>
        <w:t>vzdělávání vysoké kvality podporujícího začlenění.</w:t>
      </w:r>
      <w:r>
        <w:rPr>
          <w:noProof/>
          <w:lang w:val="cs-CZ"/>
        </w:rPr>
        <w:t xml:space="preserve"> </w:t>
      </w:r>
      <w:r>
        <w:rPr>
          <w:noProof/>
          <w:color w:val="000000" w:themeColor="text1"/>
          <w:lang w:val="cs-CZ"/>
        </w:rPr>
        <w:t>To také znamená podporu schopnosti a dovednost podnikatelů, včetně žen, používat digitální technologii k budování podniků;</w:t>
      </w:r>
    </w:p>
    <w:p w:rsidR="00181383" w:rsidRDefault="00E3207E">
      <w:pPr>
        <w:keepNext/>
        <w:keepLines/>
        <w:spacing w:after="1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cs-CZ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  <w:lang w:val="cs-CZ"/>
        </w:rPr>
        <w:t xml:space="preserve">iii) prohloubení spolupráce EU a Afriky v oblasti výzkumu </w:t>
      </w:r>
      <w:r>
        <w:rPr>
          <w:rFonts w:ascii="Times New Roman" w:hAnsi="Times New Roman"/>
          <w:noProof/>
          <w:color w:val="000000" w:themeColor="text1"/>
          <w:sz w:val="24"/>
          <w:u w:val="single"/>
          <w:lang w:val="cs-CZ"/>
        </w:rPr>
        <w:t>pomocí:</w:t>
      </w:r>
    </w:p>
    <w:p w:rsidR="00181383" w:rsidRDefault="00E3207E">
      <w:pPr>
        <w:pStyle w:val="ListParagraph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posilování spolu</w:t>
      </w:r>
      <w:r>
        <w:rPr>
          <w:noProof/>
          <w:color w:val="000000" w:themeColor="text1"/>
          <w:lang w:val="cs-CZ"/>
        </w:rPr>
        <w:t>práce mezi výzkumnými pracovníky a inovátory z Afriky a Evropy, mimo jiné rozšířením příležitostí profesionálního rozvoje výzkumných pracovníků pomocí akcí „Marie Curie-Skłodowska“ a jiných druhů projektů programu Horizont 2020,</w:t>
      </w:r>
    </w:p>
    <w:p w:rsidR="00181383" w:rsidRDefault="00E3207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budování kapacit vý</w:t>
      </w:r>
      <w:r>
        <w:rPr>
          <w:noProof/>
          <w:color w:val="000000" w:themeColor="text1"/>
          <w:lang w:val="cs-CZ"/>
        </w:rPr>
        <w:t>zkumu v Africe prostřednictvím programů, jako jsou výzkumné granty Africké unie,</w:t>
      </w:r>
    </w:p>
    <w:p w:rsidR="00181383" w:rsidRDefault="00E3207E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  <w:lang w:val="cs-CZ"/>
        </w:rPr>
      </w:pPr>
      <w:r>
        <w:rPr>
          <w:noProof/>
          <w:color w:val="000000" w:themeColor="text1"/>
          <w:lang w:val="cs-CZ"/>
        </w:rPr>
        <w:t>podpory otevřeného digitálního prostředí pro výzkum pro univerzity a výzkumné organizace v Africe.</w:t>
      </w:r>
    </w:p>
    <w:p w:rsidR="00181383" w:rsidRDefault="00E3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  <w:lang w:val="cs-CZ"/>
        </w:rPr>
        <w:t>Stěžejní iniciativy</w:t>
      </w:r>
    </w:p>
    <w:p w:rsidR="00181383" w:rsidRDefault="00E3207E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hanging="720"/>
        <w:contextualSpacing w:val="0"/>
        <w:rPr>
          <w:noProof/>
          <w:color w:val="000000" w:themeColor="text1"/>
          <w:szCs w:val="24"/>
          <w:lang w:val="cs-CZ"/>
        </w:rPr>
      </w:pPr>
      <w:r>
        <w:rPr>
          <w:b/>
          <w:noProof/>
          <w:color w:val="000000" w:themeColor="text1"/>
          <w:lang w:val="cs-CZ"/>
        </w:rPr>
        <w:t xml:space="preserve">Spuštění nástroje africké mládeže (African Youth facility) rozšiřujícího působnost programu Erasmus+ </w:t>
      </w:r>
      <w:r>
        <w:rPr>
          <w:noProof/>
          <w:color w:val="000000" w:themeColor="text1"/>
          <w:lang w:val="cs-CZ"/>
        </w:rPr>
        <w:t xml:space="preserve">prostřednictvím 3 samostatných iniciativ: </w:t>
      </w:r>
    </w:p>
    <w:p w:rsidR="00181383" w:rsidRDefault="00E3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20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A. programu „posílení postavení mládeže“ s cílem rozvíjet kapacity mládežnických organizací a podporovat mobilit</w:t>
      </w: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u mezi mladými lidmi a mladými podnikateli v Africe a Evropě; </w:t>
      </w:r>
    </w:p>
    <w:p w:rsidR="00181383" w:rsidRDefault="00E3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20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 xml:space="preserve">B. pilotního projektu mobility v oblasti odborného vzdělávání a přípravy; </w:t>
      </w:r>
    </w:p>
    <w:p w:rsidR="00181383" w:rsidRDefault="00E3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20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lang w:val="cs-CZ"/>
        </w:rPr>
        <w:t>C. posílení africké pobočky asociace studentů a absolventů programu Erasmus+.</w:t>
      </w:r>
    </w:p>
    <w:p w:rsidR="00181383" w:rsidRDefault="00E3207E"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hanging="720"/>
        <w:contextualSpacing w:val="0"/>
        <w:rPr>
          <w:noProof/>
          <w:color w:val="000000" w:themeColor="text1"/>
          <w:szCs w:val="24"/>
          <w:lang w:val="cs-CZ"/>
        </w:rPr>
      </w:pPr>
      <w:r>
        <w:rPr>
          <w:b/>
          <w:noProof/>
          <w:color w:val="000000" w:themeColor="text1"/>
          <w:lang w:val="cs-CZ"/>
        </w:rPr>
        <w:t>Zřízení</w:t>
      </w:r>
      <w:r>
        <w:rPr>
          <w:noProof/>
          <w:color w:val="000000" w:themeColor="text1"/>
          <w:lang w:val="cs-CZ"/>
        </w:rPr>
        <w:t xml:space="preserve"> </w:t>
      </w:r>
      <w:r>
        <w:rPr>
          <w:b/>
          <w:noProof/>
          <w:color w:val="000000" w:themeColor="text1"/>
          <w:lang w:val="cs-CZ"/>
        </w:rPr>
        <w:t>nástroje EU</w:t>
      </w:r>
      <w:r>
        <w:rPr>
          <w:noProof/>
          <w:color w:val="000000" w:themeColor="text1"/>
          <w:lang w:val="cs-CZ"/>
        </w:rPr>
        <w:t xml:space="preserve"> </w:t>
      </w:r>
      <w:r>
        <w:rPr>
          <w:b/>
          <w:noProof/>
          <w:color w:val="000000" w:themeColor="text1"/>
          <w:lang w:val="cs-CZ"/>
        </w:rPr>
        <w:t>pro odborné vzdělává</w:t>
      </w:r>
      <w:r>
        <w:rPr>
          <w:b/>
          <w:noProof/>
          <w:color w:val="000000" w:themeColor="text1"/>
          <w:lang w:val="cs-CZ"/>
        </w:rPr>
        <w:t>ní a přípravu</w:t>
      </w:r>
      <w:r>
        <w:rPr>
          <w:noProof/>
          <w:color w:val="000000" w:themeColor="text1"/>
          <w:lang w:val="cs-CZ"/>
        </w:rPr>
        <w:t xml:space="preserve"> s cílem posílit orientaci odborného vzdělávání a přípravy na trh práce a prosazovat začlenění zranitelných skupin.</w:t>
      </w:r>
    </w:p>
    <w:p w:rsidR="00181383" w:rsidRDefault="00181383">
      <w:pPr>
        <w:spacing w:after="120"/>
        <w:rPr>
          <w:rFonts w:ascii="Times New Roman" w:hAnsi="Times New Roman" w:cs="Times New Roman"/>
          <w:noProof/>
          <w:lang w:val="cs-CZ"/>
        </w:rPr>
      </w:pPr>
    </w:p>
    <w:p w:rsidR="00181383" w:rsidRDefault="00181383">
      <w:pPr>
        <w:spacing w:after="120"/>
        <w:jc w:val="both"/>
        <w:rPr>
          <w:rFonts w:ascii="Times New Roman" w:hAnsi="Times New Roman" w:cs="Times New Roman"/>
          <w:noProof/>
          <w:lang w:val="cs-CZ"/>
        </w:rPr>
      </w:pPr>
    </w:p>
    <w:sectPr w:rsidR="001813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0" w:right="1701" w:bottom="1020" w:left="1587" w:header="601" w:footer="1077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83" w:rsidRDefault="00E3207E">
      <w:pPr>
        <w:spacing w:after="0" w:line="240" w:lineRule="auto"/>
      </w:pPr>
      <w:r>
        <w:separator/>
      </w:r>
    </w:p>
  </w:endnote>
  <w:endnote w:type="continuationSeparator" w:id="0">
    <w:p w:rsidR="00181383" w:rsidRDefault="00E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181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E3207E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CS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181383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18138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E3207E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24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824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1383" w:rsidRDefault="00E320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1383" w:rsidRDefault="00181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83" w:rsidRDefault="00E3207E">
      <w:pPr>
        <w:spacing w:after="0" w:line="240" w:lineRule="auto"/>
      </w:pPr>
      <w:r>
        <w:separator/>
      </w:r>
    </w:p>
  </w:footnote>
  <w:footnote w:type="continuationSeparator" w:id="0">
    <w:p w:rsidR="00181383" w:rsidRDefault="00E3207E">
      <w:pPr>
        <w:spacing w:after="0" w:line="240" w:lineRule="auto"/>
      </w:pPr>
      <w:r>
        <w:continuationSeparator/>
      </w:r>
    </w:p>
  </w:footnote>
  <w:footnote w:id="1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Africká unie (AU), program </w:t>
      </w:r>
      <w:hyperlink r:id="rId1">
        <w:r>
          <w:rPr>
            <w:rStyle w:val="Hyperlink"/>
            <w:lang w:val="fr-BE"/>
          </w:rPr>
          <w:t>Agenda 2063</w:t>
        </w:r>
      </w:hyperlink>
      <w:r>
        <w:rPr>
          <w:lang w:val="fr-BE"/>
        </w:rPr>
        <w:t>, 2015.</w:t>
      </w:r>
    </w:p>
  </w:footnote>
  <w:footnote w:id="2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</w:t>
      </w:r>
      <w:hyperlink r:id="rId2">
        <w:r>
          <w:rPr>
            <w:rStyle w:val="Hyperlink"/>
            <w:lang w:val="fr-BE"/>
          </w:rPr>
          <w:t>Globální strategie zahraniční a bezpečnostní po</w:t>
        </w:r>
        <w:r>
          <w:rPr>
            <w:rStyle w:val="Hyperlink"/>
            <w:lang w:val="fr-BE"/>
          </w:rPr>
          <w:t>litiky EU</w:t>
        </w:r>
      </w:hyperlink>
      <w:r>
        <w:rPr>
          <w:lang w:val="fr-BE"/>
        </w:rPr>
        <w:t>, 2016 – dále jen Globální strategie EU.</w:t>
      </w:r>
    </w:p>
  </w:footnote>
  <w:footnote w:id="3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</w:t>
      </w:r>
      <w:hyperlink r:id="rId3">
        <w:r>
          <w:rPr>
            <w:rStyle w:val="Hyperlink"/>
            <w:lang w:val="fr-BE"/>
          </w:rPr>
          <w:t>Společné sdělení Obnovené partnerství se zeměmi Afriky, Karibiku a Tichomoří</w:t>
        </w:r>
      </w:hyperlink>
      <w:r>
        <w:rPr>
          <w:lang w:val="fr-BE"/>
        </w:rPr>
        <w:t xml:space="preserve">, </w:t>
      </w:r>
      <w:r>
        <w:rPr>
          <w:rStyle w:val="Hyperlink"/>
          <w:lang w:val="fr-BE"/>
        </w:rPr>
        <w:t>JOIN(2016) 52 final.</w:t>
      </w:r>
    </w:p>
  </w:footnote>
  <w:footnote w:id="4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OSN, </w:t>
      </w:r>
      <w:hyperlink r:id="rId4">
        <w:r>
          <w:rPr>
            <w:rStyle w:val="Hyperlink"/>
            <w:lang w:val="fr-BE"/>
          </w:rPr>
          <w:t>Agenda 2030 pro udržitelný rozvoj</w:t>
        </w:r>
      </w:hyperlink>
      <w:r>
        <w:rPr>
          <w:lang w:val="fr-BE"/>
        </w:rPr>
        <w:t>, 2015.</w:t>
      </w:r>
    </w:p>
  </w:footnote>
  <w:footnote w:id="5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OSN, </w:t>
      </w:r>
      <w:hyperlink r:id="rId5">
        <w:r>
          <w:rPr>
            <w:rStyle w:val="Hyperlink"/>
            <w:lang w:val="fr-BE"/>
          </w:rPr>
          <w:t>akční program z Addis Abeby</w:t>
        </w:r>
      </w:hyperlink>
      <w:r>
        <w:rPr>
          <w:rStyle w:val="Emphasis"/>
          <w:lang w:val="fr-BE"/>
        </w:rPr>
        <w:t xml:space="preserve">, </w:t>
      </w:r>
      <w:r>
        <w:rPr>
          <w:rStyle w:val="Emphasis"/>
          <w:i w:val="0"/>
          <w:lang w:val="fr-BE"/>
        </w:rPr>
        <w:t>2015.</w:t>
      </w:r>
    </w:p>
  </w:footnote>
  <w:footnote w:id="6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OSN, </w:t>
      </w:r>
      <w:hyperlink r:id="rId6">
        <w:r>
          <w:rPr>
            <w:rStyle w:val="Hyperlink"/>
            <w:lang w:val="fr-BE"/>
          </w:rPr>
          <w:t>Pařížská dohoda</w:t>
        </w:r>
      </w:hyperlink>
      <w:r>
        <w:rPr>
          <w:lang w:val="fr-BE"/>
        </w:rPr>
        <w:t>, 2015.</w:t>
      </w:r>
    </w:p>
  </w:footnote>
  <w:footnote w:id="7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Ty zahrnují zejména navrhovaný nový Evropský konsenzus o rozvoji, evropskou politiku sousedství, evropský program pro migraci a Vallettský akčn</w:t>
      </w:r>
      <w:r>
        <w:rPr>
          <w:lang w:val="fr-BE"/>
        </w:rPr>
        <w:t>í plán, akční plán EU pro lidská práva a demokracii, stávající právně závazné dohody o přidružení s různými zeměmi severní Afriky (kromě Libye) a se zeměmi AKT.</w:t>
      </w:r>
    </w:p>
  </w:footnote>
  <w:footnote w:id="8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OSN, </w:t>
      </w:r>
      <w:hyperlink r:id="rId7">
        <w:r>
          <w:rPr>
            <w:rStyle w:val="Hyperlink"/>
            <w:lang w:val="fr-BE"/>
          </w:rPr>
          <w:t>Perspektivy světového obyvatelstva</w:t>
        </w:r>
      </w:hyperlink>
      <w:r>
        <w:rPr>
          <w:lang w:val="fr-BE"/>
        </w:rPr>
        <w:t>, 2015</w:t>
      </w:r>
      <w:r>
        <w:rPr>
          <w:lang w:val="fr-BE"/>
        </w:rPr>
        <w:t>. Výhled pro Evropu naopak předpokládá, že v roce 2050 klesne počet jejích obyvatel na 500 milionů a podíl starších lidí se bude zvyšovat.</w:t>
      </w:r>
    </w:p>
  </w:footnote>
  <w:footnote w:id="9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MMF, </w:t>
      </w:r>
      <w:hyperlink r:id="rId8">
        <w:r>
          <w:rPr>
            <w:rStyle w:val="Hyperlink"/>
            <w:lang w:val="fr-BE"/>
          </w:rPr>
          <w:t>Regional economic out</w:t>
        </w:r>
        <w:r>
          <w:rPr>
            <w:rStyle w:val="Hyperlink"/>
            <w:lang w:val="fr-BE"/>
          </w:rPr>
          <w:t>look (Regionální ekonomický výhled)</w:t>
        </w:r>
      </w:hyperlink>
      <w:r>
        <w:rPr>
          <w:lang w:val="fr-BE"/>
        </w:rPr>
        <w:t>, 2015.</w:t>
      </w:r>
    </w:p>
  </w:footnote>
  <w:footnote w:id="10">
    <w:p w:rsidR="00181383" w:rsidRDefault="00E3207E">
      <w:pPr>
        <w:pStyle w:val="FootnoteText"/>
        <w:spacing w:after="120"/>
        <w:ind w:left="0" w:firstLine="0"/>
        <w:rPr>
          <w:lang w:val="fr-BE"/>
        </w:rPr>
      </w:pPr>
      <w:r>
        <w:rPr>
          <w:rStyle w:val="FootnoteReference"/>
        </w:rPr>
        <w:footnoteRef/>
      </w:r>
      <w:r>
        <w:rPr>
          <w:lang w:val="fr-BE"/>
        </w:rPr>
        <w:t xml:space="preserve"> AfDB, </w:t>
      </w:r>
      <w:hyperlink r:id="rId9">
        <w:r>
          <w:rPr>
            <w:rStyle w:val="Hyperlink"/>
            <w:lang w:val="fr-BE"/>
          </w:rPr>
          <w:t>Tracking Africa’s Progress in Figures (Sledování pokroku v Africe v číslech)</w:t>
        </w:r>
      </w:hyperlink>
      <w:r>
        <w:rPr>
          <w:lang w:val="fr-BE"/>
        </w:rPr>
        <w:t>, 2014.</w:t>
      </w:r>
    </w:p>
  </w:footnote>
  <w:footnote w:id="11">
    <w:p w:rsidR="00181383" w:rsidRDefault="00E3207E"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McKinsey Global Institute, </w:t>
      </w:r>
      <w:hyperlink r:id="rId10">
        <w:r>
          <w:rPr>
            <w:rStyle w:val="Hyperlink"/>
          </w:rPr>
          <w:t>Lions on the move II (Lvi v pohybu II)</w:t>
        </w:r>
      </w:hyperlink>
      <w:r>
        <w:t>, 2016.</w:t>
      </w:r>
    </w:p>
  </w:footnote>
  <w:footnote w:id="12">
    <w:p w:rsidR="00181383" w:rsidRDefault="00E3207E"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</w:t>
      </w:r>
      <w:hyperlink r:id="rId11">
        <w:r>
          <w:rPr>
            <w:rStyle w:val="Hyperlink"/>
          </w:rPr>
          <w:t>Společná strategie EU-Afrika</w:t>
        </w:r>
      </w:hyperlink>
      <w:r>
        <w:t>, 2007.</w:t>
      </w:r>
    </w:p>
  </w:footnote>
  <w:footnote w:id="13">
    <w:p w:rsidR="00181383" w:rsidRDefault="00E3207E"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V roce 2015 získala Afrika z EU 32 miliard EUR ve formě přímých zahraničních investic (PZI) (33 % celkových toků PZI do Afriky); v ro</w:t>
      </w:r>
      <w:r>
        <w:t>ce 2016 na EU připadalo 33,5 % afrického dovozu a 41 % afrického vývozu. Rovněž EIB poskytuje Africe ročně financování ve výši více než 2 miliardy EUR.</w:t>
      </w:r>
    </w:p>
  </w:footnote>
  <w:footnote w:id="14">
    <w:p w:rsidR="00181383" w:rsidRDefault="00E3207E"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EU nabízí volný přístup na trh EU pro všechny produkty prostřednictvím dohod o hospodářském partnerstv</w:t>
      </w:r>
      <w:r>
        <w:t>í a iniciativy „Vše kromě zbraní“ pro nejméně rozvinuté země a pro mnoho produktů podle dohod o volném obchodu s Alžírskem, Egyptem, Marokem a Tuniskem a podle všeobecného systému preferencí Unie.</w:t>
      </w:r>
    </w:p>
  </w:footnote>
  <w:footnote w:id="15">
    <w:p w:rsidR="00181383" w:rsidRDefault="00E3207E"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Prostřednictvím samotného Afrického mírového projektu pos</w:t>
      </w:r>
      <w:r>
        <w:t>kytla EU od roku 2004 financování ve výši přesahující 2 miliardy EUR. EU v současnosti rovněž vyslala do Afriky 7 misí společné bezpečnostní a obranné politiky (SBOP), jak civilních, tak vojenských, včetně operace Atalanta.</w:t>
      </w:r>
    </w:p>
  </w:footnote>
  <w:footnote w:id="16">
    <w:p w:rsidR="00181383" w:rsidRDefault="00E3207E">
      <w:pPr>
        <w:pStyle w:val="FootnoteText"/>
        <w:spacing w:after="120"/>
        <w:ind w:left="0" w:firstLine="0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V roce 2015 se jednalo o 21 mi</w:t>
      </w:r>
      <w:r>
        <w:rPr>
          <w:lang w:val="pt-PT"/>
        </w:rPr>
        <w:t>liard EUR plateb z EU do Afriky (36 % globálních toků do Afriky).</w:t>
      </w:r>
    </w:p>
  </w:footnote>
  <w:footnote w:id="17">
    <w:p w:rsidR="00181383" w:rsidRDefault="00E3207E">
      <w:pPr>
        <w:pStyle w:val="FootnoteText"/>
        <w:spacing w:after="120"/>
        <w:ind w:left="0" w:firstLine="0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V roce 2015 se jednalo o 21 miliard EUR kolektivní oficiální rozvojové pomoci (ORP) Africe (EU a její členské státy) (50 % celkové ORP Africe).</w:t>
      </w:r>
    </w:p>
  </w:footnote>
  <w:footnote w:id="18">
    <w:p w:rsidR="00181383" w:rsidRDefault="00E3207E">
      <w:pPr>
        <w:pStyle w:val="FootnoteText"/>
        <w:spacing w:after="120"/>
        <w:ind w:left="0" w:firstLine="0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Předpokládá zejména zajištění financování </w:t>
      </w:r>
      <w:r>
        <w:rPr>
          <w:lang w:val="pt-PT"/>
        </w:rPr>
        <w:t>AU pomocí 0,2% daně na dovoz do afrických zemí. To by mělo členským státům AU umožnit plně financovat fungování Komise AU a pokrýt 75 % nákladů na programy.</w:t>
      </w:r>
    </w:p>
  </w:footnote>
  <w:footnote w:id="19">
    <w:p w:rsidR="00181383" w:rsidRDefault="00E3207E">
      <w:pPr>
        <w:pStyle w:val="FootnoteText"/>
        <w:spacing w:after="120"/>
        <w:ind w:left="0" w:firstLine="0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rPr>
          <w:rStyle w:val="Emphasis"/>
          <w:i w:val="0"/>
          <w:lang w:val="pt-PT"/>
        </w:rPr>
        <w:t>Společná bezpečnostní a obranná politika.</w:t>
      </w:r>
    </w:p>
  </w:footnote>
  <w:footnote w:id="20">
    <w:p w:rsidR="00181383" w:rsidRDefault="00E3207E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r>
        <w:rPr>
          <w:lang w:val="cs-CZ"/>
        </w:rPr>
        <w:t>Nařízení (EU) č. 230/2014 (Úř. věst. L77, 15.3.2014).</w:t>
      </w:r>
    </w:p>
  </w:footnote>
  <w:footnote w:id="21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Kodex chování z Yaoundé, kodex chování z Džibuti, Charta z Lomé.</w:t>
      </w:r>
    </w:p>
  </w:footnote>
  <w:footnote w:id="22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Nezaznamenané toky kapitálu plynoucí z korupce, trestné činnosti, daňových úniků a praní peněz z nelegálních obchodních transakcí.</w:t>
      </w:r>
    </w:p>
  </w:footnote>
  <w:footnote w:id="23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</w:t>
      </w:r>
      <w:hyperlink r:id="rId12">
        <w:r>
          <w:rPr>
            <w:rStyle w:val="Hyperlink"/>
            <w:lang w:val="cs-CZ"/>
          </w:rPr>
          <w:t>Report of the High Level Panel on Illicit Financial Flows from Africa (Zpráva panelu na vysoké úrovni o nezákonných finančních tocích z Afriky)</w:t>
        </w:r>
      </w:hyperlink>
      <w:r>
        <w:rPr>
          <w:lang w:val="cs-CZ"/>
        </w:rPr>
        <w:t>, 2014.</w:t>
      </w:r>
    </w:p>
  </w:footnote>
  <w:footnote w:id="24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Pracovní dokument útvarů Komise „Digital for Devel</w:t>
      </w:r>
      <w:r>
        <w:rPr>
          <w:lang w:val="cs-CZ"/>
        </w:rPr>
        <w:t>opment“ (Digitální odvětví pro rozvoj), SWD(2017).</w:t>
      </w:r>
    </w:p>
  </w:footnote>
  <w:footnote w:id="25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Pro období 2014–2020 předpokládá EU více než 3,3 miliardy EUR.</w:t>
      </w:r>
    </w:p>
  </w:footnote>
  <w:footnote w:id="26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Pracovní dokument útvarů Komise </w:t>
      </w:r>
      <w:hyperlink r:id="rId13">
        <w:r>
          <w:rPr>
            <w:rStyle w:val="Hyperlink"/>
            <w:lang w:val="cs-CZ"/>
          </w:rPr>
          <w:t>„Coll</w:t>
        </w:r>
        <w:r>
          <w:rPr>
            <w:rStyle w:val="Hyperlink"/>
            <w:lang w:val="cs-CZ"/>
          </w:rPr>
          <w:t>ect More – Spend Better“ (Vybrat více – utrácet lépe)</w:t>
        </w:r>
      </w:hyperlink>
      <w:r>
        <w:rPr>
          <w:lang w:val="cs-CZ"/>
        </w:rPr>
        <w:t>, SWD(2015) 198.</w:t>
      </w:r>
    </w:p>
  </w:footnote>
  <w:footnote w:id="27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Nejvyšší rada místních zastupitelstev Africké unie.</w:t>
      </w:r>
    </w:p>
  </w:footnote>
  <w:footnote w:id="28">
    <w:p w:rsidR="00181383" w:rsidRDefault="00E3207E">
      <w:pPr>
        <w:pStyle w:val="FootnoteText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To zahrnuje spolupráci v rámci </w:t>
      </w:r>
      <w:r>
        <w:rPr>
          <w:sz w:val="19"/>
          <w:szCs w:val="19"/>
          <w:lang w:val="cs-CZ"/>
        </w:rPr>
        <w:t>Partnerství evropských a rozvojových zemí při klinických hodnoceních (EDCTP2) v souvislosti s infek</w:t>
      </w:r>
      <w:r>
        <w:rPr>
          <w:sz w:val="19"/>
          <w:szCs w:val="19"/>
          <w:lang w:val="cs-CZ"/>
        </w:rPr>
        <w:t>čními chorobami souvisejícími s chudobou.</w:t>
      </w:r>
    </w:p>
  </w:footnote>
  <w:footnote w:id="29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Newyorská deklarace pro migranty a uprchlíky přijatá dne 19. září 2016 Valným shromážděním Organizace spojených národů.</w:t>
      </w:r>
    </w:p>
  </w:footnote>
  <w:footnote w:id="30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Sdělení Komise Evropskému parlamentu, Evropské radě, Radě a Evropské investiční bance o zřízení nového rámce pro partnerství se třetími zeměmi v Evropském programu o migraci </w:t>
      </w:r>
      <w:hyperlink r:id="rId14">
        <w:r>
          <w:rPr>
            <w:rStyle w:val="Hyperlink"/>
            <w:lang w:val="cs-CZ"/>
          </w:rPr>
          <w:t>COM(2016) 385 final</w:t>
        </w:r>
      </w:hyperlink>
      <w:r>
        <w:rPr>
          <w:rStyle w:val="Hyperlink"/>
          <w:lang w:val="cs-CZ"/>
        </w:rPr>
        <w:t>.</w:t>
      </w:r>
    </w:p>
  </w:footnote>
  <w:footnote w:id="31">
    <w:p w:rsidR="00181383" w:rsidRPr="00E3207E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Společné sdělení Evropskému parlamentu, Evropské radě a Radě: Migrace na trase přes centrální S</w:t>
      </w:r>
      <w:r>
        <w:rPr>
          <w:lang w:val="cs-CZ"/>
        </w:rPr>
        <w:t xml:space="preserve">tředomoří. </w:t>
      </w:r>
      <w:r w:rsidRPr="00E3207E">
        <w:rPr>
          <w:lang w:val="cs-CZ"/>
        </w:rPr>
        <w:t>Řízení toků, záchrana životů, JOIN(2017) 4.</w:t>
      </w:r>
    </w:p>
  </w:footnote>
  <w:footnote w:id="32">
    <w:p w:rsidR="00181383" w:rsidRPr="00E3207E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 w:rsidRPr="00E3207E">
        <w:rPr>
          <w:lang w:val="cs-CZ"/>
        </w:rPr>
        <w:t xml:space="preserve"> http://www.consilium.europa.eu/cs/press/press-releases/2017/01/03-malta-declaration/.</w:t>
      </w:r>
    </w:p>
  </w:footnote>
  <w:footnote w:id="33">
    <w:p w:rsidR="00181383" w:rsidRPr="00E3207E" w:rsidRDefault="00E3207E">
      <w:pPr>
        <w:pStyle w:val="FootnoteText"/>
        <w:rPr>
          <w:rFonts w:eastAsiaTheme="minorHAnsi"/>
          <w:lang w:val="cs-CZ"/>
        </w:rPr>
      </w:pPr>
      <w:r>
        <w:rPr>
          <w:rStyle w:val="FootnoteReference"/>
        </w:rPr>
        <w:footnoteRef/>
      </w:r>
      <w:r w:rsidRPr="00E3207E">
        <w:rPr>
          <w:lang w:val="cs-CZ"/>
        </w:rPr>
        <w:t xml:space="preserve"> Rozhodnutí Komise </w:t>
      </w:r>
      <w:hyperlink r:id="rId15">
        <w:r w:rsidRPr="00E3207E">
          <w:rPr>
            <w:rStyle w:val="Hyperlink"/>
            <w:rFonts w:eastAsiaTheme="minorHAnsi"/>
            <w:lang w:val="cs-CZ"/>
          </w:rPr>
          <w:t>C(2015)7293</w:t>
        </w:r>
      </w:hyperlink>
      <w:r w:rsidRPr="00E3207E">
        <w:rPr>
          <w:rFonts w:eastAsiaTheme="minorHAnsi"/>
          <w:lang w:val="cs-CZ"/>
        </w:rPr>
        <w:t xml:space="preserve"> final</w:t>
      </w:r>
      <w:r w:rsidRPr="00E3207E">
        <w:rPr>
          <w:lang w:val="cs-CZ"/>
        </w:rPr>
        <w:t xml:space="preserve"> ze dne 20. října 2015.</w:t>
      </w:r>
      <w:r w:rsidRPr="00E3207E">
        <w:rPr>
          <w:rFonts w:eastAsiaTheme="minorHAnsi"/>
          <w:lang w:val="cs-CZ"/>
        </w:rPr>
        <w:t xml:space="preserve"> </w:t>
      </w:r>
    </w:p>
  </w:footnote>
  <w:footnote w:id="34">
    <w:p w:rsidR="00181383" w:rsidRPr="00E3207E" w:rsidRDefault="00E3207E">
      <w:pPr>
        <w:pStyle w:val="FootnoteText"/>
        <w:ind w:left="0" w:firstLine="0"/>
        <w:rPr>
          <w:color w:val="000000"/>
          <w:lang w:val="cs-CZ" w:eastAsia="en-GB"/>
        </w:rPr>
      </w:pPr>
      <w:r>
        <w:rPr>
          <w:rStyle w:val="FootnoteReference"/>
        </w:rPr>
        <w:footnoteRef/>
      </w:r>
      <w:r w:rsidRPr="00E3207E">
        <w:rPr>
          <w:lang w:val="cs-CZ"/>
        </w:rPr>
        <w:t xml:space="preserve"> </w:t>
      </w:r>
      <w:r w:rsidRPr="00E3207E">
        <w:rPr>
          <w:color w:val="000000"/>
          <w:lang w:val="cs-CZ" w:eastAsia="en-GB"/>
        </w:rPr>
        <w:t xml:space="preserve">Hlavním zdrojem financí je Evropský rozvojový fond, příspěvky přislíbily členské státy a další dárci.   V roce 2017 se má z ERF uvolnit dodatečných 200 milionů EUR </w:t>
      </w:r>
      <w:r w:rsidRPr="00E3207E">
        <w:rPr>
          <w:sz w:val="19"/>
          <w:szCs w:val="19"/>
          <w:lang w:val="cs-CZ"/>
        </w:rPr>
        <w:t xml:space="preserve">pro část svěřenského fondu </w:t>
      </w:r>
      <w:r w:rsidRPr="00E3207E">
        <w:rPr>
          <w:sz w:val="19"/>
          <w:szCs w:val="19"/>
          <w:lang w:val="cs-CZ"/>
        </w:rPr>
        <w:t>EU určenou severní Africe. Prostředky se přednostně zaměří na projekty v oblasti migrace týkající se Libye.</w:t>
      </w:r>
    </w:p>
  </w:footnote>
  <w:footnote w:id="35">
    <w:p w:rsidR="00181383" w:rsidRPr="00E3207E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 w:rsidRPr="00E3207E">
        <w:rPr>
          <w:lang w:val="cs-CZ"/>
        </w:rPr>
        <w:t xml:space="preserve"> Sdělení Komise Evropskému parlamentu, Radě, Evropskému hospodářskému a sociálnímu výboru a Výboru regionů: Důstojný život: místo závislosti soběst</w:t>
      </w:r>
      <w:r w:rsidRPr="00E3207E">
        <w:rPr>
          <w:lang w:val="cs-CZ"/>
        </w:rPr>
        <w:t xml:space="preserve">ačnost. </w:t>
      </w:r>
      <w:r w:rsidRPr="00E3207E">
        <w:rPr>
          <w:lang w:val="cs-CZ"/>
        </w:rPr>
        <w:t xml:space="preserve">Násilné vysídlování a rozvoj </w:t>
      </w:r>
      <w:hyperlink r:id="rId16">
        <w:r w:rsidRPr="00E3207E">
          <w:rPr>
            <w:rStyle w:val="Hyperlink"/>
            <w:lang w:val="cs-CZ"/>
          </w:rPr>
          <w:t>COM(2016) 234</w:t>
        </w:r>
      </w:hyperlink>
      <w:r w:rsidRPr="00E3207E">
        <w:rPr>
          <w:rStyle w:val="Hyperlink"/>
          <w:lang w:val="cs-CZ"/>
        </w:rPr>
        <w:t>.</w:t>
      </w:r>
    </w:p>
  </w:footnote>
  <w:footnote w:id="36">
    <w:p w:rsidR="00181383" w:rsidRPr="00E3207E" w:rsidRDefault="00E3207E">
      <w:pPr>
        <w:pStyle w:val="FootnoteText"/>
        <w:ind w:left="0" w:firstLine="0"/>
        <w:rPr>
          <w:b/>
          <w:noProof/>
          <w:lang w:val="cs-CZ"/>
        </w:rPr>
      </w:pPr>
      <w:r>
        <w:rPr>
          <w:rStyle w:val="FootnoteReference"/>
        </w:rPr>
        <w:footnoteRef/>
      </w:r>
      <w:r w:rsidRPr="00E3207E">
        <w:rPr>
          <w:lang w:val="cs-CZ"/>
        </w:rPr>
        <w:t xml:space="preserve"> Návrh nařízení Komise o </w:t>
      </w:r>
      <w:r w:rsidRPr="00E3207E">
        <w:rPr>
          <w:noProof/>
          <w:lang w:val="cs-CZ"/>
        </w:rPr>
        <w:t xml:space="preserve">o Evropském fondu pro udržitelný rozvoj (EFSD) a o </w:t>
      </w:r>
      <w:r w:rsidRPr="00E3207E">
        <w:rPr>
          <w:noProof/>
          <w:lang w:val="cs-CZ"/>
        </w:rPr>
        <w:t>zřízení záruky EFSD a záručního fondu EFSD (COM(2016) 586)</w:t>
      </w:r>
      <w:r w:rsidRPr="00E3207E">
        <w:rPr>
          <w:noProof/>
          <w:color w:val="000000" w:themeColor="text1"/>
          <w:lang w:val="cs-CZ"/>
        </w:rPr>
        <w:t xml:space="preserve">; </w:t>
      </w:r>
      <w:r w:rsidRPr="00E3207E">
        <w:rPr>
          <w:lang w:val="cs-CZ"/>
        </w:rPr>
        <w:t>sdělení Komise Evropskému parlamentu, Radě, Evropské centrální bance, Evropskému hospodářskému a sociálnímu výboru, Výboru regionů a Evropské investiční bance: Posílení evropských investic ve pros</w:t>
      </w:r>
      <w:r w:rsidRPr="00E3207E">
        <w:rPr>
          <w:lang w:val="cs-CZ"/>
        </w:rPr>
        <w:t xml:space="preserve">pěch zaměstnanosti a růstu: na cestě k druhé fázi Evropského fondu pro strategické investice a novému evropskému plánu vnějších investic. Brusel, 14. 9. 2016, </w:t>
      </w:r>
      <w:hyperlink r:id="rId17">
        <w:r w:rsidRPr="00E3207E">
          <w:rPr>
            <w:rStyle w:val="Hyperlink"/>
            <w:lang w:val="cs-CZ"/>
          </w:rPr>
          <w:t>COM(2016) 581 final</w:t>
        </w:r>
      </w:hyperlink>
      <w:r w:rsidRPr="00E3207E">
        <w:rPr>
          <w:lang w:val="cs-CZ"/>
        </w:rPr>
        <w:t>.</w:t>
      </w:r>
    </w:p>
  </w:footnote>
  <w:footnote w:id="37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Infrastruktura PAQI, oficiálně spuštěná v roce 2013, má za cíl posíli</w:t>
      </w:r>
      <w:r>
        <w:rPr>
          <w:lang w:val="cs-CZ"/>
        </w:rPr>
        <w:t>t</w:t>
      </w:r>
      <w:r>
        <w:rPr>
          <w:color w:val="000000"/>
          <w:lang w:val="cs-CZ"/>
        </w:rPr>
        <w:t xml:space="preserve"> rozvoj a provádění </w:t>
      </w:r>
      <w:r>
        <w:rPr>
          <w:lang w:val="cs-CZ"/>
        </w:rPr>
        <w:t>afrických politik v oblasti norem, měření, posuzování shody a akreditace.</w:t>
      </w:r>
    </w:p>
  </w:footnote>
  <w:footnote w:id="38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Mezinárodní agentura pro obnovitelné zdroje energie (IRENA), 2015.</w:t>
      </w:r>
    </w:p>
  </w:footnote>
  <w:footnote w:id="39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Valné shromáždění Organizace spojených národů v roce 2012 vyhlásilo období 2014–2024 za desetiletí udržitelné energie pro všechny.</w:t>
      </w:r>
    </w:p>
  </w:footnote>
  <w:footnote w:id="40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Pro období 2014–2020 předpokládá EU více než 2,7 miliardy EUR.</w:t>
      </w:r>
    </w:p>
  </w:footnote>
  <w:footnote w:id="41">
    <w:p w:rsidR="00181383" w:rsidRDefault="00E3207E">
      <w:pPr>
        <w:pStyle w:val="FootnoteText"/>
        <w:spacing w:after="120"/>
        <w:ind w:left="0" w:firstLine="0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</w:t>
      </w:r>
      <w:hyperlink r:id="rId18">
        <w:r>
          <w:rPr>
            <w:rStyle w:val="Hyperlink"/>
            <w:lang w:val="pt-PT"/>
          </w:rPr>
          <w:t>COM(2016) 860 final</w:t>
        </w:r>
      </w:hyperlink>
      <w:r>
        <w:rPr>
          <w:rStyle w:val="Hyperlink"/>
          <w:lang w:val="pt-PT"/>
        </w:rPr>
        <w:t>.</w:t>
      </w:r>
    </w:p>
  </w:footnote>
  <w:footnote w:id="42">
    <w:p w:rsidR="00181383" w:rsidRDefault="00E3207E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rPr>
          <w:lang w:val="pt-PT"/>
        </w:rPr>
        <w:t xml:space="preserve"> V souladu s COM(2016) 763.</w:t>
      </w:r>
    </w:p>
  </w:footnote>
  <w:footnote w:id="43">
    <w:p w:rsidR="00181383" w:rsidRDefault="00E3207E">
      <w:pPr>
        <w:pStyle w:val="FootnoteText"/>
        <w:spacing w:after="120"/>
        <w:ind w:left="0" w:firstLine="0"/>
        <w:rPr>
          <w:lang w:val="pl-PL"/>
        </w:rPr>
      </w:pPr>
      <w:r>
        <w:rPr>
          <w:rStyle w:val="FootnoteReference"/>
        </w:rPr>
        <w:footnoteRef/>
      </w:r>
      <w:r>
        <w:rPr>
          <w:lang w:val="pl-PL"/>
        </w:rPr>
        <w:t xml:space="preserve"> </w:t>
      </w:r>
      <w:r>
        <w:rPr>
          <w:rStyle w:val="st"/>
          <w:lang w:val="pl-PL"/>
        </w:rPr>
        <w:t>Mikropodniky a malé a střední podniky.</w:t>
      </w:r>
    </w:p>
  </w:footnote>
  <w:footnote w:id="44">
    <w:p w:rsidR="00181383" w:rsidRDefault="00E3207E">
      <w:pPr>
        <w:pStyle w:val="FootnoteText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pl-PL"/>
        </w:rPr>
        <w:t xml:space="preserve"> Transformace afrického zemědělství je zakotvena v Souhrnném programu rozvoje zemědělství </w:t>
      </w:r>
      <w:r>
        <w:rPr>
          <w:lang w:val="pl-PL"/>
        </w:rPr>
        <w:t>v Africe (CAADP). Dalším impulsem k provádění CAADP je prohlášení z Malaba o rychlejším zemědělském růstu a transformaci pro dosažení sdílené prosperity a lepších životních podmínek, které navrhuje směřování afrického zemědělství pro příští desetiletí.</w:t>
      </w:r>
    </w:p>
  </w:footnote>
  <w:footnote w:id="45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P</w:t>
      </w:r>
      <w:r>
        <w:rPr>
          <w:lang w:val="cs-CZ"/>
        </w:rPr>
        <w:t>ro období 2014–2020 předpokládá EU více než 4,2 miliardy EUR na podporu opatření týkajících se zajišťování potravin a výživy a udržitelného zemědělství a rybolovu v Africe.</w:t>
      </w:r>
    </w:p>
  </w:footnote>
  <w:footnote w:id="46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</w:t>
      </w:r>
      <w:hyperlink r:id="rId19">
        <w:r>
          <w:rPr>
            <w:rStyle w:val="Hyperlink"/>
            <w:lang w:val="cs-CZ"/>
          </w:rPr>
          <w:t>Nařízení (ES) č. 1005/2008 – systém Unie pro předcházení, potírání a odstranění nezákonného, nehlášeného a neregulovaného rybolovu</w:t>
        </w:r>
      </w:hyperlink>
      <w:r>
        <w:rPr>
          <w:rStyle w:val="Hyperlink"/>
          <w:lang w:val="cs-CZ"/>
        </w:rPr>
        <w:t>.</w:t>
      </w:r>
    </w:p>
  </w:footnote>
  <w:footnote w:id="47">
    <w:p w:rsidR="00181383" w:rsidRDefault="00E3207E">
      <w:pPr>
        <w:pStyle w:val="FootnoteText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</w:t>
      </w:r>
      <w:hyperlink r:id="rId20">
        <w:r>
          <w:rPr>
            <w:rStyle w:val="Hyperlink"/>
            <w:lang w:val="cs-CZ"/>
          </w:rPr>
          <w:t>Roadmap towards a jointly funded EU-Africa Research &amp; Innovation Partnership on Food and Nutrition Security and Sustainable Agriculture (Plán společně financovaného partnerství EU-Afrika pro výzkum a </w:t>
        </w:r>
        <w:r>
          <w:rPr>
            <w:rStyle w:val="Hyperlink"/>
            <w:lang w:val="cs-CZ"/>
          </w:rPr>
          <w:t>inovace v oblasti zajišťování potravin, výživy a udržitelného zemědělství)</w:t>
        </w:r>
      </w:hyperlink>
      <w:r>
        <w:rPr>
          <w:lang w:val="cs-CZ"/>
        </w:rPr>
        <w:t>. Addis Abeba, 4.–5. dubna 2016.</w:t>
      </w:r>
    </w:p>
  </w:footnote>
  <w:footnote w:id="48">
    <w:p w:rsidR="00181383" w:rsidRDefault="00E3207E">
      <w:pPr>
        <w:pStyle w:val="FootnoteText"/>
        <w:spacing w:after="120"/>
        <w:ind w:left="0" w:firstLine="0"/>
        <w:rPr>
          <w:lang w:val="cs-CZ"/>
        </w:rPr>
      </w:pPr>
      <w:r>
        <w:rPr>
          <w:rStyle w:val="FootnoteReference"/>
        </w:rPr>
        <w:footnoteRef/>
      </w:r>
      <w:r>
        <w:rPr>
          <w:lang w:val="cs-CZ"/>
        </w:rPr>
        <w:t xml:space="preserve"> V současném programovém období (2014–2020) EU podporuje dvoustranné programy vzdělávání a odborného vzdělávání a přípravy v Africe částkou přibližn</w:t>
      </w:r>
      <w:r>
        <w:rPr>
          <w:lang w:val="cs-CZ"/>
        </w:rPr>
        <w:t>ě 1,34 miliardy EUR. Ve stejném období EU podporuje vzdělávání také prostřednictvím celosvětových iniciativ, jako je Globální partnerství pro vzdělávání (GPE), příspěvkem ve výši 375 milionů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1813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181383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181383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18138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18138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83" w:rsidRDefault="001813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8DE61A8"/>
    <w:multiLevelType w:val="hybridMultilevel"/>
    <w:tmpl w:val="686A40CA"/>
    <w:name w:val="LegalNumParListTemplate3"/>
    <w:lvl w:ilvl="0" w:tplc="A588FCC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11DF"/>
    <w:multiLevelType w:val="hybridMultilevel"/>
    <w:tmpl w:val="0C0EF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7E0BB9"/>
    <w:multiLevelType w:val="multilevel"/>
    <w:tmpl w:val="157CBD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F734306"/>
    <w:multiLevelType w:val="multilevel"/>
    <w:tmpl w:val="0EA63D16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F856F97"/>
    <w:multiLevelType w:val="hybridMultilevel"/>
    <w:tmpl w:val="64FA5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9B4E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37C01BF"/>
    <w:multiLevelType w:val="hybridMultilevel"/>
    <w:tmpl w:val="336E7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364F63"/>
    <w:multiLevelType w:val="hybridMultilevel"/>
    <w:tmpl w:val="A9DC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240A9"/>
    <w:multiLevelType w:val="hybridMultilevel"/>
    <w:tmpl w:val="02888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0D3D20"/>
    <w:multiLevelType w:val="hybridMultilevel"/>
    <w:tmpl w:val="DA5A2B3E"/>
    <w:lvl w:ilvl="0" w:tplc="7346E85A">
      <w:start w:val="1"/>
      <w:numFmt w:val="upperLetter"/>
      <w:pStyle w:val="Heading3"/>
      <w:lvlText w:val="%1."/>
      <w:lvlJc w:val="left"/>
      <w:pPr>
        <w:ind w:left="108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>
    <w:nsid w:val="2B772C4A"/>
    <w:multiLevelType w:val="hybridMultilevel"/>
    <w:tmpl w:val="B59C9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>
    <w:nsid w:val="34D81030"/>
    <w:multiLevelType w:val="hybridMultilevel"/>
    <w:tmpl w:val="638A1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DF0CAD"/>
    <w:multiLevelType w:val="hybridMultilevel"/>
    <w:tmpl w:val="07F46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734C1A"/>
    <w:multiLevelType w:val="hybridMultilevel"/>
    <w:tmpl w:val="9DAEA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4">
    <w:nsid w:val="3BA2733B"/>
    <w:multiLevelType w:val="hybridMultilevel"/>
    <w:tmpl w:val="FA146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5954AA"/>
    <w:multiLevelType w:val="hybridMultilevel"/>
    <w:tmpl w:val="6534092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24471"/>
    <w:multiLevelType w:val="hybridMultilevel"/>
    <w:tmpl w:val="E6FE2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>
    <w:nsid w:val="47EF72BF"/>
    <w:multiLevelType w:val="hybridMultilevel"/>
    <w:tmpl w:val="0E066B0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91C1F"/>
    <w:multiLevelType w:val="hybridMultilevel"/>
    <w:tmpl w:val="36386B08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5BED5DF5"/>
    <w:multiLevelType w:val="hybridMultilevel"/>
    <w:tmpl w:val="904AE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6">
    <w:nsid w:val="679808B0"/>
    <w:multiLevelType w:val="hybridMultilevel"/>
    <w:tmpl w:val="64EC4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1128A1"/>
    <w:multiLevelType w:val="hybridMultilevel"/>
    <w:tmpl w:val="CC383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034F85"/>
    <w:multiLevelType w:val="hybridMultilevel"/>
    <w:tmpl w:val="AF806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7455FD"/>
    <w:multiLevelType w:val="hybridMultilevel"/>
    <w:tmpl w:val="1B7CA774"/>
    <w:lvl w:ilvl="0" w:tplc="73CE33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2131BA"/>
    <w:multiLevelType w:val="hybridMultilevel"/>
    <w:tmpl w:val="F9003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7"/>
  </w:num>
  <w:num w:numId="5">
    <w:abstractNumId w:val="14"/>
  </w:num>
  <w:num w:numId="6">
    <w:abstractNumId w:val="23"/>
  </w:num>
  <w:num w:numId="7">
    <w:abstractNumId w:val="35"/>
  </w:num>
  <w:num w:numId="8">
    <w:abstractNumId w:val="38"/>
  </w:num>
  <w:num w:numId="9">
    <w:abstractNumId w:val="18"/>
  </w:num>
  <w:num w:numId="10">
    <w:abstractNumId w:val="34"/>
  </w:num>
  <w:num w:numId="11">
    <w:abstractNumId w:val="33"/>
  </w:num>
  <w:num w:numId="12">
    <w:abstractNumId w:val="28"/>
  </w:num>
  <w:num w:numId="13">
    <w:abstractNumId w:val="31"/>
  </w:num>
  <w:num w:numId="14">
    <w:abstractNumId w:val="9"/>
  </w:num>
  <w:num w:numId="15">
    <w:abstractNumId w:val="22"/>
  </w:num>
  <w:num w:numId="16">
    <w:abstractNumId w:val="5"/>
  </w:num>
  <w:num w:numId="17">
    <w:abstractNumId w:val="16"/>
  </w:num>
  <w:num w:numId="18">
    <w:abstractNumId w:val="39"/>
  </w:num>
  <w:num w:numId="19">
    <w:abstractNumId w:val="17"/>
  </w:num>
  <w:num w:numId="20">
    <w:abstractNumId w:val="13"/>
  </w:num>
  <w:num w:numId="21">
    <w:abstractNumId w:val="42"/>
  </w:num>
  <w:num w:numId="22">
    <w:abstractNumId w:val="30"/>
  </w:num>
  <w:num w:numId="23">
    <w:abstractNumId w:val="15"/>
  </w:num>
  <w:num w:numId="24">
    <w:abstractNumId w:val="4"/>
  </w:num>
  <w:num w:numId="25">
    <w:abstractNumId w:val="21"/>
  </w:num>
  <w:num w:numId="26">
    <w:abstractNumId w:val="12"/>
  </w:num>
  <w:num w:numId="27">
    <w:abstractNumId w:val="41"/>
  </w:num>
  <w:num w:numId="28">
    <w:abstractNumId w:val="8"/>
  </w:num>
  <w:num w:numId="29">
    <w:abstractNumId w:val="29"/>
  </w:num>
  <w:num w:numId="30">
    <w:abstractNumId w:val="25"/>
  </w:num>
  <w:num w:numId="31">
    <w:abstractNumId w:val="19"/>
  </w:num>
  <w:num w:numId="32">
    <w:abstractNumId w:val="3"/>
  </w:num>
  <w:num w:numId="33">
    <w:abstractNumId w:val="7"/>
  </w:num>
  <w:num w:numId="34">
    <w:abstractNumId w:val="11"/>
  </w:num>
  <w:num w:numId="35">
    <w:abstractNumId w:val="36"/>
  </w:num>
  <w:num w:numId="36">
    <w:abstractNumId w:val="26"/>
  </w:num>
  <w:num w:numId="37">
    <w:abstractNumId w:val="32"/>
  </w:num>
  <w:num w:numId="38">
    <w:abstractNumId w:val="20"/>
  </w:num>
  <w:num w:numId="39">
    <w:abstractNumId w:val="24"/>
  </w:num>
  <w:num w:numId="40">
    <w:abstractNumId w:val="37"/>
  </w:num>
  <w:num w:numId="41">
    <w:abstractNumId w:val="40"/>
  </w:num>
  <w:num w:numId="42">
    <w:abstractNumId w:val="2"/>
  </w:num>
  <w:num w:numId="43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C871DFA3389F43D4A756677BC2624963"/>
    <w:docVar w:name="LW_CROSSREFERENCE" w:val="{SWD(2017) 150 final}_x000b_{SWD(2017) 151 final}"/>
    <w:docVar w:name="LW_DocType" w:val="NORMAL"/>
    <w:docVar w:name="LW_EMISSION" w:val="4.5.2017"/>
    <w:docVar w:name="LW_EMISSION_ISODATE" w:val="2017-05-04"/>
    <w:docVar w:name="LW_EMISSION_LOCATION" w:val="BRX"/>
    <w:docVar w:name="LW_EMISSION_PREFIX" w:val="V Bruselu dne "/>
    <w:docVar w:name="LW_EMISSION_SUFFIX" w:val=" "/>
    <w:docVar w:name="LW_ID_DOCTYPE_NONLW" w:val="CP-015"/>
    <w:docVar w:name="LW_LANGUE" w:val="CS"/>
    <w:docVar w:name="LW_MARKING" w:val="&lt;UNUSED&gt;"/>
    <w:docVar w:name="LW_NOM.INST" w:val="EVROPSKÁ KOMISE"/>
    <w:docVar w:name="LW_NOM.INST_JOINTDOC" w:val="VYSOKÁ P\u344?EDSTAVITELKA _x000b_UNIE PRO ZAHRANI\u268?NÍ_x000b_V\u282?CI A BEZPE\u268?NOSTNÍ _x000b_POLITIKU"/>
    <w:docVar w:name="LW_PART_NBR" w:val="1"/>
    <w:docVar w:name="LW_PART_NBR_TOTAL" w:val="1"/>
    <w:docVar w:name="LW_REF.INST.NEW" w:val="JOIN"/>
    <w:docVar w:name="LW_REF.INST.NEW_ADOPTED" w:val="final"/>
    <w:docVar w:name="LW_REF.INST.NEW_TEXT" w:val="(2017) 17"/>
    <w:docVar w:name="LW_REF.INTERNE" w:val="&lt;UNUSED&gt;"/>
    <w:docVar w:name="LW_SOUS.TITRE.OBJ.CP" w:val="&lt;UNUSED&gt;"/>
    <w:docVar w:name="LW_SUPERTITRE" w:val="&lt;UNUSED&gt;"/>
    <w:docVar w:name="LW_TITRE.OBJ.CP" w:val="o nových podn\u283?tech pro partnerství mezi EU a Afrikou"/>
    <w:docVar w:name="LW_TYPE.DOC.CP" w:val="SPOLE\u268?NÉ SD\u282?LENÍ EVROPSKÉMU PARLAMENTU A RAD\u282?"/>
    <w:docVar w:name="LW_TYPE.DOC.CP.USERTEXT" w:val="&lt;EMPTY&gt;"/>
  </w:docVars>
  <w:rsids>
    <w:rsidRoot w:val="00181383"/>
    <w:rsid w:val="00181383"/>
    <w:rsid w:val="00E3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basedOn w:val="Normal"/>
    <w:next w:val="Text2"/>
    <w:link w:val="Heading2Char"/>
    <w:qFormat/>
    <w:pPr>
      <w:keepNext/>
      <w:numPr>
        <w:ilvl w:val="1"/>
        <w:numId w:val="3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aliases w:val="Heading 10"/>
    <w:basedOn w:val="Normal"/>
    <w:next w:val="Text3"/>
    <w:link w:val="Heading3Char"/>
    <w:qFormat/>
    <w:pPr>
      <w:keepNext/>
      <w:numPr>
        <w:numId w:val="20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Text4"/>
    <w:link w:val="Heading4Char"/>
    <w:qFormat/>
    <w:pPr>
      <w:keepNext/>
      <w:numPr>
        <w:ilvl w:val="3"/>
        <w:numId w:val="3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0"/>
      </w:tabs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0"/>
      </w:tabs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0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Heading 10 Char"/>
    <w:basedOn w:val="DefaultParagraphFont"/>
    <w:link w:val="Heading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Times New Roman"/>
      <w:i/>
      <w:sz w:val="18"/>
      <w:szCs w:val="20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Text1">
    <w:name w:val="Text 1"/>
    <w:basedOn w:val="Normal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2">
    <w:name w:val="Text 2"/>
    <w:basedOn w:val="Normal"/>
    <w:link w:val="Text2Char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3">
    <w:name w:val="Text 3"/>
    <w:basedOn w:val="Normal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4">
    <w:name w:val="Text 4"/>
    <w:basedOn w:val="Normal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">
    <w:name w:val="Address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TL">
    <w:name w:val="AddressTL"/>
    <w:basedOn w:val="Normal"/>
    <w:next w:val="Normal"/>
    <w:pPr>
      <w:spacing w:after="7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TR">
    <w:name w:val="AddressTR"/>
    <w:basedOn w:val="Normal"/>
    <w:next w:val="Normal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hapterTitle">
    <w:name w:val="ChapterTitle"/>
    <w:basedOn w:val="Normal"/>
    <w:next w:val="SectionTitle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ectionTitle">
    <w:name w:val="SectionTitle"/>
    <w:basedOn w:val="Normal"/>
    <w:next w:val="Heading1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Closing">
    <w:name w:val="Closing"/>
    <w:basedOn w:val="Normal"/>
    <w:link w:val="ClosingChar"/>
    <w:pPr>
      <w:spacing w:after="24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References"/>
    <w:link w:val="DateChar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AddressTR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spacing w:after="24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 w:line="240" w:lineRule="auto"/>
      <w:ind w:left="1191" w:hanging="1191"/>
    </w:pPr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pPr>
      <w:spacing w:after="24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pPr>
      <w:spacing w:after="24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pPr>
      <w:spacing w:after="240" w:line="240" w:lineRule="auto"/>
      <w:ind w:left="9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pPr>
      <w:spacing w:after="240" w:line="240" w:lineRule="auto"/>
      <w:ind w:left="120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pPr>
      <w:spacing w:after="240" w:line="240" w:lineRule="auto"/>
      <w:ind w:left="14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pPr>
      <w:spacing w:after="24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pPr>
      <w:spacing w:after="240" w:line="240" w:lineRule="auto"/>
      <w:ind w:left="19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pPr>
      <w:spacing w:after="240" w:line="240" w:lineRule="auto"/>
      <w:ind w:left="21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List">
    <w:name w:val="List"/>
    <w:basedOn w:val="Normal"/>
    <w:pPr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pPr>
      <w:spacing w:after="24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pPr>
      <w:spacing w:after="24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pPr>
      <w:spacing w:after="24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pPr>
      <w:spacing w:after="24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Subject"/>
    <w:pPr>
      <w:spacing w:before="720" w:after="7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Subject">
    <w:name w:val="Subject"/>
    <w:basedOn w:val="Normal"/>
    <w:next w:val="Normal"/>
    <w:pPr>
      <w:spacing w:after="480" w:line="240" w:lineRule="auto"/>
      <w:ind w:left="1531" w:hanging="153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PlainText">
    <w:name w:val="Plain Text"/>
    <w:basedOn w:val="Normal"/>
    <w:link w:val="PlainTextChar"/>
    <w:uiPriority w:val="99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next w:val="Enclosures"/>
    <w:link w:val="SignatureChar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ubTitle2">
    <w:name w:val="SubTitle 2"/>
    <w:basedOn w:val="Normal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ableofAuthorities">
    <w:name w:val="table of authorities"/>
    <w:basedOn w:val="Normal"/>
    <w:next w:val="Normal"/>
    <w:semiHidden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pPr>
      <w:spacing w:after="24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SubTitle1"/>
    <w:link w:val="TitleChar"/>
    <w:qFormat/>
    <w:pPr>
      <w:spacing w:after="480" w:line="240" w:lineRule="auto"/>
      <w:jc w:val="center"/>
    </w:pPr>
    <w:rPr>
      <w:rFonts w:ascii="Times New Roman" w:eastAsia="Times New Roman" w:hAnsi="Times New Roman" w:cs="Times New Roman"/>
      <w:b/>
      <w:kern w:val="28"/>
      <w:sz w:val="48"/>
      <w:szCs w:val="20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kern w:val="28"/>
      <w:sz w:val="48"/>
      <w:szCs w:val="20"/>
    </w:rPr>
  </w:style>
  <w:style w:type="paragraph" w:styleId="TOAHeading">
    <w:name w:val="toa heading"/>
    <w:basedOn w:val="Normal"/>
    <w:next w:val="Normal"/>
    <w:semiHidden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2">
    <w:name w:val="toc 2"/>
    <w:basedOn w:val="Normal"/>
    <w:next w:val="Normal"/>
    <w:uiPriority w:val="39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uiPriority w:val="39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6">
    <w:name w:val="toc 6"/>
    <w:basedOn w:val="Normal"/>
    <w:next w:val="Normal"/>
    <w:autoRedefine/>
    <w:semiHidden/>
    <w:pPr>
      <w:spacing w:after="24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pPr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pPr>
      <w:spacing w:after="24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pPr>
      <w:spacing w:after="24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YReferences">
    <w:name w:val="YReferences"/>
    <w:basedOn w:val="Normal"/>
    <w:next w:val="Normal"/>
    <w:pPr>
      <w:spacing w:after="480" w:line="240" w:lineRule="auto"/>
      <w:ind w:left="1531" w:hanging="153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qFormat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tact">
    <w:name w:val="Contact"/>
    <w:basedOn w:val="Normal"/>
    <w:next w:val="Normal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signator">
    <w:name w:val="Designator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customStyle="1" w:styleId="Releasable">
    <w:name w:val="Releasable"/>
    <w:basedOn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val="de-DE"/>
    </w:rPr>
  </w:style>
  <w:style w:type="paragraph" w:customStyle="1" w:styleId="RUE">
    <w:name w:val="R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bdr w:val="single" w:sz="18" w:space="0" w:color="auto"/>
    </w:rPr>
  </w:style>
  <w:style w:type="paragraph" w:customStyle="1" w:styleId="SecretUE">
    <w:name w:val="Secret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szCs w:val="20"/>
      <w:bdr w:val="single" w:sz="18" w:space="0" w:color="FF0000"/>
    </w:rPr>
  </w:style>
  <w:style w:type="paragraph" w:customStyle="1" w:styleId="TrsSecretUE">
    <w:name w:val="Très Secret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szCs w:val="20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19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customStyle="1" w:styleId="LegalNumPar2">
    <w:name w:val="LegalNumPar2"/>
    <w:basedOn w:val="Normal"/>
    <w:pPr>
      <w:numPr>
        <w:ilvl w:val="1"/>
        <w:numId w:val="19"/>
      </w:numPr>
      <w:spacing w:after="240" w:line="360" w:lineRule="auto"/>
      <w:ind w:left="952" w:hanging="476"/>
    </w:pPr>
    <w:rPr>
      <w:rFonts w:ascii="Times New Roman" w:hAnsi="Times New Roman" w:cs="Times New Roman"/>
      <w:sz w:val="24"/>
    </w:rPr>
  </w:style>
  <w:style w:type="paragraph" w:customStyle="1" w:styleId="LegalNumPar3">
    <w:name w:val="LegalNumPar3"/>
    <w:basedOn w:val="Normal"/>
    <w:pPr>
      <w:numPr>
        <w:ilvl w:val="2"/>
        <w:numId w:val="19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aliases w:val="Footnote Reference Superscript,BVI fnr,Footnote symbol"/>
    <w:rPr>
      <w:vertAlign w:val="superscript"/>
    </w:rPr>
  </w:style>
  <w:style w:type="paragraph" w:styleId="ListParagraph">
    <w:name w:val="List Paragraph"/>
    <w:aliases w:val="List_Paragraph,Multilevel para_II,List Paragraph1,Akapit z listą BS,Bullet1,Main numbered paragraph,Dot pt,F5 List Paragraph,No Spacing1,List Paragraph Char Char Char,Indicator Text,Colorful List - Accent 11,Numbered Para 1,Bullet 1"/>
    <w:basedOn w:val="Normal"/>
    <w:link w:val="ListParagraphChar"/>
    <w:uiPriority w:val="34"/>
    <w:qFormat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ListParagraphChar">
    <w:name w:val="List Paragraph Char"/>
    <w:aliases w:val="List_Paragraph Char,Multilevel para_II Char,List Paragraph1 Char,Akapit z listą BS Char,Bullet1 Char,Main numbered paragraph Char,Dot pt Char,F5 List Paragraph Char,No Spacing1 Char,List Paragraph Char Char Char Char,Bullet 1 Char"/>
    <w:basedOn w:val="DefaultParagraphFont"/>
    <w:link w:val="ListParagraph"/>
    <w:uiPriority w:val="34"/>
    <w:locked/>
    <w:rPr>
      <w:rFonts w:ascii="Times New Roman" w:eastAsia="Times New Roman" w:hAnsi="Times New Roman" w:cs="Times New Roman"/>
      <w:sz w:val="24"/>
      <w:szCs w:val="20"/>
    </w:rPr>
  </w:style>
  <w:style w:type="character" w:customStyle="1" w:styleId="s9">
    <w:name w:val="s9"/>
    <w:basedOn w:val="DefaultParagraphFont"/>
  </w:style>
  <w:style w:type="character" w:customStyle="1" w:styleId="s17">
    <w:name w:val="s17"/>
    <w:basedOn w:val="DefaultParagraphFont"/>
  </w:style>
  <w:style w:type="paragraph" w:customStyle="1" w:styleId="s31">
    <w:name w:val="s3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12">
    <w:name w:val="s12"/>
    <w:basedOn w:val="DefaultParagraphFont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2Char">
    <w:name w:val="Text 2 Char"/>
    <w:link w:val="Text2"/>
    <w:locked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lement-invisible1">
    <w:name w:val="element-invisible1"/>
    <w:basedOn w:val="DefaultParagraphFont"/>
  </w:style>
  <w:style w:type="character" w:customStyle="1" w:styleId="st">
    <w:name w:val="s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basedOn w:val="Normal"/>
    <w:next w:val="Text2"/>
    <w:link w:val="Heading2Char"/>
    <w:qFormat/>
    <w:pPr>
      <w:keepNext/>
      <w:numPr>
        <w:ilvl w:val="1"/>
        <w:numId w:val="3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aliases w:val="Heading 10"/>
    <w:basedOn w:val="Normal"/>
    <w:next w:val="Text3"/>
    <w:link w:val="Heading3Char"/>
    <w:qFormat/>
    <w:pPr>
      <w:keepNext/>
      <w:numPr>
        <w:numId w:val="20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Text4"/>
    <w:link w:val="Heading4Char"/>
    <w:qFormat/>
    <w:pPr>
      <w:keepNext/>
      <w:numPr>
        <w:ilvl w:val="3"/>
        <w:numId w:val="3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0"/>
      </w:tabs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0"/>
      </w:tabs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0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Heading 10 Char"/>
    <w:basedOn w:val="DefaultParagraphFont"/>
    <w:link w:val="Heading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Times New Roman"/>
      <w:i/>
      <w:sz w:val="18"/>
      <w:szCs w:val="20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Text1">
    <w:name w:val="Text 1"/>
    <w:basedOn w:val="Normal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2">
    <w:name w:val="Text 2"/>
    <w:basedOn w:val="Normal"/>
    <w:link w:val="Text2Char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3">
    <w:name w:val="Text 3"/>
    <w:basedOn w:val="Normal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4">
    <w:name w:val="Text 4"/>
    <w:basedOn w:val="Normal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">
    <w:name w:val="Address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TL">
    <w:name w:val="AddressTL"/>
    <w:basedOn w:val="Normal"/>
    <w:next w:val="Normal"/>
    <w:pPr>
      <w:spacing w:after="7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TR">
    <w:name w:val="AddressTR"/>
    <w:basedOn w:val="Normal"/>
    <w:next w:val="Normal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hapterTitle">
    <w:name w:val="ChapterTitle"/>
    <w:basedOn w:val="Normal"/>
    <w:next w:val="SectionTitle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ectionTitle">
    <w:name w:val="SectionTitle"/>
    <w:basedOn w:val="Normal"/>
    <w:next w:val="Heading1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Closing">
    <w:name w:val="Closing"/>
    <w:basedOn w:val="Normal"/>
    <w:link w:val="ClosingChar"/>
    <w:pPr>
      <w:spacing w:after="24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References"/>
    <w:link w:val="DateChar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AddressTR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spacing w:after="24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 w:line="240" w:lineRule="auto"/>
      <w:ind w:left="1191" w:hanging="1191"/>
    </w:pPr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pPr>
      <w:spacing w:after="24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pPr>
      <w:spacing w:after="24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pPr>
      <w:spacing w:after="240" w:line="240" w:lineRule="auto"/>
      <w:ind w:left="9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pPr>
      <w:spacing w:after="240" w:line="240" w:lineRule="auto"/>
      <w:ind w:left="120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pPr>
      <w:spacing w:after="240" w:line="240" w:lineRule="auto"/>
      <w:ind w:left="14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pPr>
      <w:spacing w:after="24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pPr>
      <w:spacing w:after="240" w:line="240" w:lineRule="auto"/>
      <w:ind w:left="19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pPr>
      <w:spacing w:after="240" w:line="240" w:lineRule="auto"/>
      <w:ind w:left="21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List">
    <w:name w:val="List"/>
    <w:basedOn w:val="Normal"/>
    <w:pPr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pPr>
      <w:spacing w:after="24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pPr>
      <w:spacing w:after="24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pPr>
      <w:spacing w:after="24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pPr>
      <w:spacing w:after="24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Subject"/>
    <w:pPr>
      <w:spacing w:before="720" w:after="7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Subject">
    <w:name w:val="Subject"/>
    <w:basedOn w:val="Normal"/>
    <w:next w:val="Normal"/>
    <w:pPr>
      <w:spacing w:after="480" w:line="240" w:lineRule="auto"/>
      <w:ind w:left="1531" w:hanging="153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PlainText">
    <w:name w:val="Plain Text"/>
    <w:basedOn w:val="Normal"/>
    <w:link w:val="PlainTextChar"/>
    <w:uiPriority w:val="99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next w:val="Enclosures"/>
    <w:link w:val="SignatureChar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ubTitle2">
    <w:name w:val="SubTitle 2"/>
    <w:basedOn w:val="Normal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ableofAuthorities">
    <w:name w:val="table of authorities"/>
    <w:basedOn w:val="Normal"/>
    <w:next w:val="Normal"/>
    <w:semiHidden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pPr>
      <w:spacing w:after="24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SubTitle1"/>
    <w:link w:val="TitleChar"/>
    <w:qFormat/>
    <w:pPr>
      <w:spacing w:after="480" w:line="240" w:lineRule="auto"/>
      <w:jc w:val="center"/>
    </w:pPr>
    <w:rPr>
      <w:rFonts w:ascii="Times New Roman" w:eastAsia="Times New Roman" w:hAnsi="Times New Roman" w:cs="Times New Roman"/>
      <w:b/>
      <w:kern w:val="28"/>
      <w:sz w:val="48"/>
      <w:szCs w:val="20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kern w:val="28"/>
      <w:sz w:val="48"/>
      <w:szCs w:val="20"/>
    </w:rPr>
  </w:style>
  <w:style w:type="paragraph" w:styleId="TOAHeading">
    <w:name w:val="toa heading"/>
    <w:basedOn w:val="Normal"/>
    <w:next w:val="Normal"/>
    <w:semiHidden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2">
    <w:name w:val="toc 2"/>
    <w:basedOn w:val="Normal"/>
    <w:next w:val="Normal"/>
    <w:uiPriority w:val="39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uiPriority w:val="39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6">
    <w:name w:val="toc 6"/>
    <w:basedOn w:val="Normal"/>
    <w:next w:val="Normal"/>
    <w:autoRedefine/>
    <w:semiHidden/>
    <w:pPr>
      <w:spacing w:after="24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pPr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pPr>
      <w:spacing w:after="24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pPr>
      <w:spacing w:after="24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YReferences">
    <w:name w:val="YReferences"/>
    <w:basedOn w:val="Normal"/>
    <w:next w:val="Normal"/>
    <w:pPr>
      <w:spacing w:after="480" w:line="240" w:lineRule="auto"/>
      <w:ind w:left="1531" w:hanging="153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qFormat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tact">
    <w:name w:val="Contact"/>
    <w:basedOn w:val="Normal"/>
    <w:next w:val="Normal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signator">
    <w:name w:val="Designator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customStyle="1" w:styleId="Releasable">
    <w:name w:val="Releasable"/>
    <w:basedOn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val="de-DE"/>
    </w:rPr>
  </w:style>
  <w:style w:type="paragraph" w:customStyle="1" w:styleId="RUE">
    <w:name w:val="R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bdr w:val="single" w:sz="18" w:space="0" w:color="auto"/>
    </w:rPr>
  </w:style>
  <w:style w:type="paragraph" w:customStyle="1" w:styleId="SecretUE">
    <w:name w:val="Secret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szCs w:val="20"/>
      <w:bdr w:val="single" w:sz="18" w:space="0" w:color="FF0000"/>
    </w:rPr>
  </w:style>
  <w:style w:type="paragraph" w:customStyle="1" w:styleId="TrsSecretUE">
    <w:name w:val="Très Secret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szCs w:val="20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19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customStyle="1" w:styleId="LegalNumPar2">
    <w:name w:val="LegalNumPar2"/>
    <w:basedOn w:val="Normal"/>
    <w:pPr>
      <w:numPr>
        <w:ilvl w:val="1"/>
        <w:numId w:val="19"/>
      </w:numPr>
      <w:spacing w:after="240" w:line="360" w:lineRule="auto"/>
      <w:ind w:left="952" w:hanging="476"/>
    </w:pPr>
    <w:rPr>
      <w:rFonts w:ascii="Times New Roman" w:hAnsi="Times New Roman" w:cs="Times New Roman"/>
      <w:sz w:val="24"/>
    </w:rPr>
  </w:style>
  <w:style w:type="paragraph" w:customStyle="1" w:styleId="LegalNumPar3">
    <w:name w:val="LegalNumPar3"/>
    <w:basedOn w:val="Normal"/>
    <w:pPr>
      <w:numPr>
        <w:ilvl w:val="2"/>
        <w:numId w:val="19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aliases w:val="Footnote Reference Superscript,BVI fnr,Footnote symbol"/>
    <w:rPr>
      <w:vertAlign w:val="superscript"/>
    </w:rPr>
  </w:style>
  <w:style w:type="paragraph" w:styleId="ListParagraph">
    <w:name w:val="List Paragraph"/>
    <w:aliases w:val="List_Paragraph,Multilevel para_II,List Paragraph1,Akapit z listą BS,Bullet1,Main numbered paragraph,Dot pt,F5 List Paragraph,No Spacing1,List Paragraph Char Char Char,Indicator Text,Colorful List - Accent 11,Numbered Para 1,Bullet 1"/>
    <w:basedOn w:val="Normal"/>
    <w:link w:val="ListParagraphChar"/>
    <w:uiPriority w:val="34"/>
    <w:qFormat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ListParagraphChar">
    <w:name w:val="List Paragraph Char"/>
    <w:aliases w:val="List_Paragraph Char,Multilevel para_II Char,List Paragraph1 Char,Akapit z listą BS Char,Bullet1 Char,Main numbered paragraph Char,Dot pt Char,F5 List Paragraph Char,No Spacing1 Char,List Paragraph Char Char Char Char,Bullet 1 Char"/>
    <w:basedOn w:val="DefaultParagraphFont"/>
    <w:link w:val="ListParagraph"/>
    <w:uiPriority w:val="34"/>
    <w:locked/>
    <w:rPr>
      <w:rFonts w:ascii="Times New Roman" w:eastAsia="Times New Roman" w:hAnsi="Times New Roman" w:cs="Times New Roman"/>
      <w:sz w:val="24"/>
      <w:szCs w:val="20"/>
    </w:rPr>
  </w:style>
  <w:style w:type="character" w:customStyle="1" w:styleId="s9">
    <w:name w:val="s9"/>
    <w:basedOn w:val="DefaultParagraphFont"/>
  </w:style>
  <w:style w:type="character" w:customStyle="1" w:styleId="s17">
    <w:name w:val="s17"/>
    <w:basedOn w:val="DefaultParagraphFont"/>
  </w:style>
  <w:style w:type="paragraph" w:customStyle="1" w:styleId="s31">
    <w:name w:val="s3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12">
    <w:name w:val="s12"/>
    <w:basedOn w:val="DefaultParagraphFont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2Char">
    <w:name w:val="Text 2 Char"/>
    <w:link w:val="Text2"/>
    <w:locked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lement-invisible1">
    <w:name w:val="element-invisible1"/>
    <w:basedOn w:val="DefaultParagraphFont"/>
  </w:style>
  <w:style w:type="character" w:customStyle="1" w:styleId="st">
    <w:name w:val="s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://www.imf.org/external/pubs/ft/reo/2015/afr/eng/pdf/sreo0415.pdf" TargetMode="External"/><Relationship Id="rId13" Type="http://schemas.openxmlformats.org/officeDocument/2006/relationships/hyperlink" Target="http://ec.europa.eu/europeaid/sites/devco/files/swd-collect-more-spend-better.pdf" TargetMode="External"/><Relationship Id="rId18" Type="http://schemas.openxmlformats.org/officeDocument/2006/relationships/hyperlink" Target="http://eur-lex.europa.eu/resource.html?uri=cellar:d2648a37-c626-11e6-a6db-01aa75ed71a1.0017.02/DOC_1&amp;format=PDF" TargetMode="External"/><Relationship Id="rId3" Type="http://schemas.openxmlformats.org/officeDocument/2006/relationships/hyperlink" Target="https://ec.europa.eu/europeaid/sites/devco/files/joint-communication-renewed-partnership-acp-20161122_en.pdf" TargetMode="External"/><Relationship Id="rId7" Type="http://schemas.openxmlformats.org/officeDocument/2006/relationships/hyperlink" Target="https://esa.un.org/unpd/wpp/" TargetMode="External"/><Relationship Id="rId12" Type="http://schemas.openxmlformats.org/officeDocument/2006/relationships/hyperlink" Target="http://www.uneca.org/sites/default/files/PublicationFiles/iff_main_report_26feb_en.pdf" TargetMode="External"/><Relationship Id="rId17" Type="http://schemas.openxmlformats.org/officeDocument/2006/relationships/hyperlink" Target="https://eeas.europa.eu/sites/eeas/files/commission_communication_-_strengthening_european_investments_for_jobs_and_growth_-_towards_a_second_phase_of_the_european_fund_for_strategic_investments_and_a_new_european_external_investment_plan.pdf" TargetMode="External"/><Relationship Id="rId2" Type="http://schemas.openxmlformats.org/officeDocument/2006/relationships/hyperlink" Target="https://eeas.europa.eu/top_stories/pdf/eugs_review_web.pdf" TargetMode="External"/><Relationship Id="rId16" Type="http://schemas.openxmlformats.org/officeDocument/2006/relationships/hyperlink" Target="http://ec.europa.eu/echo/files/policies/refugees-idp/Communication_Forced_Displacement_Development_2016.pdf" TargetMode="External"/><Relationship Id="rId20" Type="http://schemas.openxmlformats.org/officeDocument/2006/relationships/hyperlink" Target="https://ec.europa.eu/research/iscp/pdf/policy/eu-africa_roadmap_2016.pdf" TargetMode="External"/><Relationship Id="rId1" Type="http://schemas.openxmlformats.org/officeDocument/2006/relationships/hyperlink" Target="https://www.au.int/web/sites/default/files/pages/3657-file-agenda2063_popular_version_en.pdf" TargetMode="External"/><Relationship Id="rId6" Type="http://schemas.openxmlformats.org/officeDocument/2006/relationships/hyperlink" Target="http://unfccc.int/files/essential_background/convention/application/pdf/english_paris_agreement.pdf" TargetMode="External"/><Relationship Id="rId11" Type="http://schemas.openxmlformats.org/officeDocument/2006/relationships/hyperlink" Target="http://www.africa-eu-partnership.org/sites/default/files/documents/eas2007_joint_strategy_en.pdf" TargetMode="External"/><Relationship Id="rId5" Type="http://schemas.openxmlformats.org/officeDocument/2006/relationships/hyperlink" Target="https://www.google.be/url?sa=t&amp;rct=j&amp;q=&amp;esrc=s&amp;source=web&amp;cd=1&amp;ved=0ahUKEwiR_abqyo_TAhWnCMAKHUJiAmQQFggfMAA&amp;url=http://www.un.org/esa/ffd/wp-content/uploads/2015/08/AAAA_Outcome.pdf&amp;usg=AFQjCNEdY1OG43JYNL733B6ecdzID874vA&amp;sig2=CY1qNktg4Q5cD-Jt-1_o4g&amp;cad=rja" TargetMode="External"/><Relationship Id="rId15" Type="http://schemas.openxmlformats.org/officeDocument/2006/relationships/hyperlink" Target="https://ec.europa.eu/europeaid/sites/devco/files/commission-decision-2015-7293-20151020_en.pdf" TargetMode="External"/><Relationship Id="rId10" Type="http://schemas.openxmlformats.org/officeDocument/2006/relationships/hyperlink" Target="https://www.google.be/url?sa=t&amp;rct=j&amp;q=&amp;esrc=s&amp;source=web&amp;cd=3&amp;cad=rja&amp;uact=8&amp;ved=0ahUKEwi549T9qo_TAhVFI8AKHceLD7MQFggpMAI&amp;url=http://www.mckinsey.com/~/media/McKinsey/Global%20Themes/Middle%20East%20and%20Africa/Realizing%20the%20potential%20of%20Africas%20economies/MGI-Lions-on-the-Move-2-Full-report-September-2016v2.ashx&amp;usg=AFQjCNFoDJQKoerQJXQ2CpBpghApeOxgAQ&amp;sig2=clBRsgW1jMjVS6resLXzWg&amp;bvm=bv.151426398,d.ZGg" TargetMode="External"/><Relationship Id="rId19" Type="http://schemas.openxmlformats.org/officeDocument/2006/relationships/hyperlink" Target="http://eur-lex.europa.eu/legal-content/CS/AUTO/?uri=celex:32008R1005" TargetMode="External"/><Relationship Id="rId4" Type="http://schemas.openxmlformats.org/officeDocument/2006/relationships/hyperlink" Target="http://www.un.org/ga/search/view_doc.asp?symbol=A/RES/70/1&amp;Lang=E" TargetMode="External"/><Relationship Id="rId9" Type="http://schemas.openxmlformats.org/officeDocument/2006/relationships/hyperlink" Target="https://www.google.be/url?sa=t&amp;rct=j&amp;q=&amp;esrc=s&amp;source=web&amp;cd=1&amp;ved=0ahUKEwix-vquq4_TAhVHJ8AKHQzTCUwQFggcMAA&amp;url=https://www.afdb.org/fileadmin/uploads/afdb/Documents/Publications/Tracking_Africa%E2%80%99s_Progress_in_Figures.pdf&amp;usg=AFQjCNG2V-ANmC66xvhJUABGxRHTbwEtrQ&amp;sig2=7S0duOY0A4gLGUI2wejEHA&amp;cad=rja" TargetMode="External"/><Relationship Id="rId14" Type="http://schemas.openxmlformats.org/officeDocument/2006/relationships/hyperlink" Target="http://ec.europa.eu/dgs/home-affairs/what-we-do/policies/european-agenda-migration/proposal-implementation-package/docs/20160607/communication_external_aspects_eam_towards_new_migration_ompact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EC25-B775-4B14-82EB-7A961F7F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24</Pages>
  <Words>7993</Words>
  <Characters>45562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31</cp:revision>
  <cp:lastPrinted>2017-04-28T07:20:00Z</cp:lastPrinted>
  <dcterms:created xsi:type="dcterms:W3CDTF">2017-05-04T09:19:00Z</dcterms:created>
  <dcterms:modified xsi:type="dcterms:W3CDTF">2017-05-11T08:40:00Z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Classification">
    <vt:lpwstr> </vt:lpwstr>
  </property>
  <property fmtid="{D5CDD505-2E9C-101B-9397-08002B2CF9AE}" pid="5" name="DocStatus">
    <vt:lpwstr>Green</vt:lpwstr>
  </property>
  <property name="OP_sanitized" fmtid="{D5CDD505-2E9C-101B-9397-08002B2CF9AE}" pid="6">
    <vt:lpwstr>True</vt:lpwstr>
  </property>
</Properties>
</file>