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A84EB0" w:rsidR="00574C9B" w:rsidTr="008E4CC5" w14:paraId="4B18B74B" w14:textId="77777777">
        <w:trPr>
          <w:jc w:val="center"/>
        </w:trPr>
        <w:tc>
          <w:tcPr>
            <w:tcW w:w="5000" w:type="pct"/>
            <w:vAlign w:val="center"/>
          </w:tcPr>
          <w:p w:rsidRPr="00A84EB0" w:rsidR="00574C9B" w:rsidP="006125A1" w:rsidRDefault="00574C9B" w14:paraId="4B8F14AB" w14:textId="4F5B771D">
            <w:pPr>
              <w:jc w:val="center"/>
              <w:rPr>
                <w:b/>
                <w:sz w:val="72"/>
                <w:szCs w:val="72"/>
              </w:rPr>
            </w:pPr>
            <w:r>
              <w:rPr>
                <w:b/>
                <w:sz w:val="72"/>
              </w:rPr>
              <w:t>СТАНОВИЩЕ</w:t>
            </w:r>
          </w:p>
        </w:tc>
      </w:tr>
      <w:tr w:rsidRPr="00A84EB0" w:rsidR="00574C9B" w:rsidTr="008E4CC5" w14:paraId="428F80C1" w14:textId="77777777">
        <w:trPr>
          <w:trHeight w:val="567"/>
          <w:jc w:val="center"/>
        </w:trPr>
        <w:tc>
          <w:tcPr>
            <w:tcW w:w="5000" w:type="pct"/>
            <w:vAlign w:val="center"/>
          </w:tcPr>
          <w:p w:rsidRPr="00A84EB0" w:rsidR="00574C9B" w:rsidP="006125A1" w:rsidRDefault="00574C9B" w14:paraId="0E3C838D" w14:textId="77777777">
            <w:pPr>
              <w:jc w:val="center"/>
              <w:rPr>
                <w:sz w:val="24"/>
                <w:szCs w:val="24"/>
              </w:rPr>
            </w:pPr>
            <w:r>
              <w:rPr>
                <w:sz w:val="24"/>
              </w:rPr>
              <w:t>Европейски икономически и социален комитет</w:t>
            </w:r>
          </w:p>
        </w:tc>
      </w:tr>
      <w:tr w:rsidRPr="00A84EB0" w:rsidR="00574C9B" w:rsidTr="008E4CC5" w14:paraId="5FCA7EB1" w14:textId="77777777">
        <w:trPr>
          <w:jc w:val="center"/>
        </w:trPr>
        <w:tc>
          <w:tcPr>
            <w:tcW w:w="5000" w:type="pct"/>
            <w:vAlign w:val="center"/>
          </w:tcPr>
          <w:p w:rsidRPr="00A84EB0" w:rsidR="00574C9B" w:rsidP="006125A1" w:rsidRDefault="00EB4301" w14:paraId="164B3F5D" w14:textId="5451E6F2">
            <w:pPr>
              <w:jc w:val="center"/>
              <w:rPr>
                <w:b/>
                <w:sz w:val="44"/>
                <w:szCs w:val="44"/>
              </w:rPr>
            </w:pPr>
            <w:r>
              <w:rPr>
                <w:b/>
                <w:sz w:val="44"/>
              </w:rPr>
              <w:t>Мерки за борба срещу стигматизирането на ХИВ</w:t>
            </w:r>
          </w:p>
        </w:tc>
      </w:tr>
      <w:tr w:rsidRPr="00A84EB0" w:rsidR="00574C9B" w:rsidTr="008E4CC5" w14:paraId="0A2CA787" w14:textId="77777777">
        <w:trPr>
          <w:jc w:val="center"/>
        </w:trPr>
        <w:tc>
          <w:tcPr>
            <w:tcW w:w="5000" w:type="pct"/>
            <w:vAlign w:val="center"/>
          </w:tcPr>
          <w:p w:rsidRPr="00A84EB0"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Pr="00A84EB0" w:rsidR="00574C9B" w:rsidTr="008E4CC5" w14:paraId="651BE820" w14:textId="77777777">
        <w:trPr>
          <w:jc w:val="center"/>
        </w:trPr>
        <w:tc>
          <w:tcPr>
            <w:tcW w:w="5000" w:type="pct"/>
            <w:vAlign w:val="center"/>
          </w:tcPr>
          <w:p w:rsidRPr="00A84EB0" w:rsidR="00574C9B" w:rsidP="006125A1" w:rsidRDefault="00EB4301" w14:paraId="6E238E6D" w14:textId="111ED015">
            <w:pPr>
              <w:jc w:val="center"/>
              <w:rPr>
                <w:sz w:val="24"/>
                <w:szCs w:val="24"/>
              </w:rPr>
            </w:pPr>
            <w:r>
              <w:rPr>
                <w:sz w:val="24"/>
              </w:rPr>
              <w:t>Мерки за борба срещу стигматизирането на ХИВ</w:t>
            </w:r>
            <w:r>
              <w:rPr>
                <w:sz w:val="24"/>
              </w:rPr>
              <w:br/>
              <w:t>(проучвателно становище по искане на испанското председателство)</w:t>
            </w:r>
          </w:p>
        </w:tc>
      </w:tr>
      <w:tr w:rsidRPr="00A84EB0" w:rsidR="00574C9B" w:rsidTr="008E4CC5" w14:paraId="295584EE" w14:textId="77777777">
        <w:trPr>
          <w:jc w:val="center"/>
        </w:trPr>
        <w:tc>
          <w:tcPr>
            <w:tcW w:w="5000" w:type="pct"/>
            <w:vAlign w:val="center"/>
          </w:tcPr>
          <w:p w:rsidRPr="00A84EB0" w:rsidR="00574C9B" w:rsidP="006125A1" w:rsidRDefault="00574C9B" w14:paraId="7AA50FA1" w14:textId="77777777">
            <w:pPr>
              <w:jc w:val="center"/>
              <w:rPr>
                <w:sz w:val="24"/>
                <w:szCs w:val="24"/>
                <w:lang w:val="en-GB"/>
              </w:rPr>
            </w:pPr>
          </w:p>
        </w:tc>
      </w:tr>
      <w:tr w:rsidRPr="00A84EB0" w:rsidR="00574C9B" w:rsidTr="008E4CC5" w14:paraId="41F47321" w14:textId="77777777">
        <w:trPr>
          <w:jc w:val="center"/>
        </w:trPr>
        <w:tc>
          <w:tcPr>
            <w:tcW w:w="5000" w:type="pct"/>
            <w:vAlign w:val="center"/>
          </w:tcPr>
          <w:p w:rsidRPr="00A84EB0" w:rsidR="00574C9B" w:rsidP="006125A1" w:rsidRDefault="00EB4301" w14:paraId="50D97899" w14:textId="3068FDD6">
            <w:pPr>
              <w:jc w:val="center"/>
              <w:rPr>
                <w:b/>
                <w:sz w:val="24"/>
                <w:szCs w:val="24"/>
              </w:rPr>
            </w:pPr>
            <w:r>
              <w:rPr>
                <w:b/>
                <w:sz w:val="24"/>
              </w:rPr>
              <w:t>SOC/758</w:t>
            </w:r>
          </w:p>
        </w:tc>
      </w:tr>
      <w:tr w:rsidRPr="00A84EB0" w:rsidR="00574C9B" w:rsidTr="008E4CC5" w14:paraId="2110FDEB" w14:textId="77777777">
        <w:trPr>
          <w:jc w:val="center"/>
        </w:trPr>
        <w:tc>
          <w:tcPr>
            <w:tcW w:w="5000" w:type="pct"/>
            <w:vAlign w:val="center"/>
          </w:tcPr>
          <w:p w:rsidRPr="00A84EB0" w:rsidR="00574C9B" w:rsidP="006125A1" w:rsidRDefault="00574C9B" w14:paraId="59F181E4" w14:textId="77777777">
            <w:pPr>
              <w:jc w:val="center"/>
              <w:rPr>
                <w:sz w:val="24"/>
                <w:szCs w:val="24"/>
                <w:lang w:val="en-GB"/>
              </w:rPr>
            </w:pPr>
          </w:p>
        </w:tc>
      </w:tr>
      <w:tr w:rsidRPr="00A84EB0" w:rsidR="00574C9B" w:rsidTr="008E4CC5" w14:paraId="5DF7EBEA" w14:textId="77777777">
        <w:trPr>
          <w:jc w:val="center"/>
        </w:trPr>
        <w:tc>
          <w:tcPr>
            <w:tcW w:w="5000" w:type="pct"/>
            <w:vAlign w:val="center"/>
          </w:tcPr>
          <w:p w:rsidRPr="00A84EB0" w:rsidR="00574C9B" w:rsidP="006125A1" w:rsidRDefault="00574C9B" w14:paraId="23E9DE0A" w14:textId="76FE5B9D">
            <w:pPr>
              <w:jc w:val="center"/>
              <w:rPr>
                <w:sz w:val="24"/>
                <w:szCs w:val="24"/>
              </w:rPr>
            </w:pPr>
            <w:r>
              <w:rPr>
                <w:sz w:val="24"/>
              </w:rPr>
              <w:t xml:space="preserve">Докладчик: </w:t>
            </w:r>
            <w:r>
              <w:rPr>
                <w:b/>
                <w:sz w:val="24"/>
              </w:rPr>
              <w:t>Pietro Vittorio Barbieri</w:t>
            </w:r>
          </w:p>
        </w:tc>
      </w:tr>
      <w:tr w:rsidRPr="00A84EB0" w:rsidR="00CB7CD0" w:rsidTr="008E4CC5" w14:paraId="1AE590E4" w14:textId="77777777">
        <w:trPr>
          <w:jc w:val="center"/>
        </w:trPr>
        <w:tc>
          <w:tcPr>
            <w:tcW w:w="5000" w:type="pct"/>
            <w:vAlign w:val="center"/>
          </w:tcPr>
          <w:p w:rsidRPr="00A84EB0" w:rsidR="00CB7CD0" w:rsidP="006125A1" w:rsidRDefault="00CB7CD0" w14:paraId="3CA82D7B" w14:textId="2338F650">
            <w:pPr>
              <w:jc w:val="center"/>
              <w:rPr>
                <w:sz w:val="24"/>
                <w:szCs w:val="24"/>
              </w:rPr>
            </w:pPr>
            <w:r>
              <w:rPr>
                <w:sz w:val="24"/>
              </w:rPr>
              <w:t xml:space="preserve">Съдокладчик: </w:t>
            </w:r>
            <w:r>
              <w:rPr>
                <w:b/>
                <w:sz w:val="24"/>
              </w:rPr>
              <w:t>Nicoletta Merlo</w:t>
            </w:r>
          </w:p>
        </w:tc>
      </w:tr>
    </w:tbl>
    <w:p w:rsidRPr="00A84EB0" w:rsidR="00574C9B" w:rsidP="00574C9B" w:rsidRDefault="00574C9B" w14:paraId="0B225863" w14:textId="77777777">
      <w:r>
        <w:rPr>
          <w:noProof/>
          <w:sz w:val="20"/>
        </w:rPr>
        <mc:AlternateContent>
          <mc:Choice Requires="wps">
            <w:drawing>
              <wp:anchor distT="0" distB="0" distL="114300" distR="114300" simplePos="0" relativeHeight="251659264"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BG</w:t>
                      </w:r>
                    </w:p>
                  </w:txbxContent>
                </v:textbox>
                <w10:wrap anchorx="margin" anchory="page"/>
              </v:shape>
            </w:pict>
          </mc:Fallback>
        </mc:AlternateContent>
      </w:r>
    </w:p>
    <w:p w:rsidRPr="00A84EB0" w:rsidR="00574C9B" w:rsidP="00574C9B" w:rsidRDefault="00574C9B" w14:paraId="3FA5826A" w14:textId="77777777">
      <w:pPr>
        <w:rPr>
          <w:lang w:val="en-GB"/>
        </w:rPr>
      </w:pPr>
    </w:p>
    <w:p w:rsidRPr="00A84EB0" w:rsidR="00574C9B" w:rsidP="00574C9B" w:rsidRDefault="00574C9B" w14:paraId="4B88FC0A" w14:textId="77777777">
      <w:pPr>
        <w:rPr>
          <w:lang w:val="en-GB"/>
        </w:rPr>
        <w:sectPr w:rsidRPr="00A84EB0" w:rsidR="00574C9B" w:rsidSect="0037679F">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A84EB0" w:rsidR="00AC5114" w:rsidTr="00E15BF4" w14:paraId="025262C1" w14:textId="77777777">
        <w:tc>
          <w:tcPr>
            <w:tcW w:w="3085" w:type="dxa"/>
          </w:tcPr>
          <w:p w:rsidRPr="00A84EB0" w:rsidR="00AC5114" w:rsidP="000F471A" w:rsidRDefault="002B550F" w14:paraId="6139FC2C" w14:textId="3C040B55">
            <w:pPr>
              <w:jc w:val="left"/>
            </w:pPr>
            <w:r>
              <w:lastRenderedPageBreak/>
              <w:t>Искане за консултация от испанското председателство на Съвета</w:t>
            </w:r>
          </w:p>
        </w:tc>
        <w:tc>
          <w:tcPr>
            <w:tcW w:w="6204" w:type="dxa"/>
            <w:vAlign w:val="bottom"/>
          </w:tcPr>
          <w:p w:rsidRPr="00A84EB0" w:rsidR="00AC5114" w:rsidP="0058411F" w:rsidRDefault="002B550F" w14:paraId="088C1D72" w14:textId="6F604BEE">
            <w:pPr>
              <w:autoSpaceDE w:val="0"/>
              <w:autoSpaceDN w:val="0"/>
              <w:jc w:val="left"/>
            </w:pPr>
            <w:r>
              <w:t>Писмо, 8.12.2022 г.</w:t>
            </w:r>
          </w:p>
        </w:tc>
      </w:tr>
      <w:tr w:rsidRPr="00A84EB0" w:rsidR="00AC5114" w:rsidTr="00E15BF4" w14:paraId="46C189AE" w14:textId="77777777">
        <w:tc>
          <w:tcPr>
            <w:tcW w:w="3085" w:type="dxa"/>
          </w:tcPr>
          <w:p w:rsidRPr="00A84EB0" w:rsidR="00AC5114" w:rsidP="0058411F" w:rsidRDefault="00AC5114" w14:paraId="2DA32C67" w14:textId="77777777">
            <w:pPr>
              <w:autoSpaceDE w:val="0"/>
              <w:autoSpaceDN w:val="0"/>
              <w:jc w:val="left"/>
              <w:rPr>
                <w:szCs w:val="20"/>
              </w:rPr>
            </w:pPr>
            <w:r>
              <w:t>Правно основание</w:t>
            </w:r>
          </w:p>
        </w:tc>
        <w:tc>
          <w:tcPr>
            <w:tcW w:w="6204" w:type="dxa"/>
            <w:vAlign w:val="bottom"/>
          </w:tcPr>
          <w:p w:rsidRPr="00A84EB0" w:rsidR="00AC5114" w:rsidP="0058411F" w:rsidRDefault="00AC5114" w14:paraId="67EB3E4A" w14:textId="0BE6FE36">
            <w:pPr>
              <w:autoSpaceDE w:val="0"/>
              <w:autoSpaceDN w:val="0"/>
              <w:jc w:val="left"/>
              <w:rPr>
                <w:szCs w:val="20"/>
              </w:rPr>
            </w:pPr>
            <w:r>
              <w:t>Член 304 от Договора за функционирането на Европейския съюз</w:t>
            </w:r>
          </w:p>
        </w:tc>
      </w:tr>
      <w:tr w:rsidRPr="00A84EB0" w:rsidR="00AC5114" w:rsidTr="00E15BF4" w14:paraId="0E2099A6" w14:textId="77777777">
        <w:tc>
          <w:tcPr>
            <w:tcW w:w="3085" w:type="dxa"/>
          </w:tcPr>
          <w:p w:rsidRPr="00A84EB0" w:rsidR="00AC5114" w:rsidP="0058411F" w:rsidRDefault="00AC5114" w14:paraId="0BC68BA5" w14:textId="77777777">
            <w:pPr>
              <w:autoSpaceDE w:val="0"/>
              <w:autoSpaceDN w:val="0"/>
              <w:jc w:val="left"/>
            </w:pPr>
            <w:r>
              <w:t>Компетентна секция</w:t>
            </w:r>
          </w:p>
        </w:tc>
        <w:tc>
          <w:tcPr>
            <w:tcW w:w="6204" w:type="dxa"/>
            <w:vAlign w:val="bottom"/>
          </w:tcPr>
          <w:p w:rsidRPr="00A84EB0" w:rsidR="00AC5114" w:rsidP="0058411F" w:rsidRDefault="0083302D" w14:paraId="5AE7EA9E" w14:textId="4B2B24D4">
            <w:pPr>
              <w:autoSpaceDE w:val="0"/>
              <w:autoSpaceDN w:val="0"/>
              <w:jc w:val="left"/>
            </w:pPr>
            <w:r>
              <w:t>„Заетост, социални въпроси и гражданство“</w:t>
            </w:r>
          </w:p>
        </w:tc>
      </w:tr>
      <w:tr w:rsidRPr="00A84EB0" w:rsidR="00AC5114" w:rsidTr="00E15BF4" w14:paraId="53972E32" w14:textId="77777777">
        <w:tc>
          <w:tcPr>
            <w:tcW w:w="3085" w:type="dxa"/>
          </w:tcPr>
          <w:p w:rsidRPr="00A84EB0" w:rsidR="00AC5114" w:rsidP="0058411F" w:rsidRDefault="00AC5114" w14:paraId="13B33E83" w14:textId="77777777">
            <w:pPr>
              <w:autoSpaceDE w:val="0"/>
              <w:autoSpaceDN w:val="0"/>
              <w:jc w:val="left"/>
            </w:pPr>
            <w:r>
              <w:t>Приемане от секцията</w:t>
            </w:r>
          </w:p>
        </w:tc>
        <w:tc>
          <w:tcPr>
            <w:tcW w:w="6204" w:type="dxa"/>
            <w:vAlign w:val="bottom"/>
          </w:tcPr>
          <w:p w:rsidRPr="00A84EB0" w:rsidR="00AC5114" w:rsidP="0058411F" w:rsidRDefault="0083302D" w14:paraId="5E71ECD2" w14:textId="10C73B85">
            <w:pPr>
              <w:autoSpaceDE w:val="0"/>
              <w:autoSpaceDN w:val="0"/>
              <w:jc w:val="left"/>
            </w:pPr>
            <w:r>
              <w:t>31.5.2023 г.</w:t>
            </w:r>
          </w:p>
        </w:tc>
      </w:tr>
      <w:tr w:rsidRPr="00A84EB0" w:rsidR="0058411F" w:rsidTr="00E15BF4" w14:paraId="7AE47B93" w14:textId="77777777">
        <w:tc>
          <w:tcPr>
            <w:tcW w:w="3085" w:type="dxa"/>
          </w:tcPr>
          <w:p w:rsidRPr="00A84EB0" w:rsidR="0058411F" w:rsidP="0058411F" w:rsidRDefault="0058411F" w14:paraId="26DE3092" w14:textId="77777777">
            <w:pPr>
              <w:autoSpaceDE w:val="0"/>
              <w:autoSpaceDN w:val="0"/>
              <w:jc w:val="left"/>
            </w:pPr>
            <w:r>
              <w:t>Приемане на пленарно сесия</w:t>
            </w:r>
          </w:p>
        </w:tc>
        <w:tc>
          <w:tcPr>
            <w:tcW w:w="6204" w:type="dxa"/>
            <w:vAlign w:val="bottom"/>
          </w:tcPr>
          <w:p w:rsidRPr="00A84EB0" w:rsidR="0058411F" w:rsidP="0058411F" w:rsidRDefault="0083302D" w14:paraId="34FA2183" w14:textId="2C008733">
            <w:pPr>
              <w:autoSpaceDE w:val="0"/>
              <w:autoSpaceDN w:val="0"/>
              <w:jc w:val="left"/>
            </w:pPr>
            <w:r>
              <w:t>14.6.2023 г.</w:t>
            </w:r>
          </w:p>
        </w:tc>
      </w:tr>
      <w:tr w:rsidRPr="00A84EB0" w:rsidR="0058411F" w:rsidTr="00E15BF4" w14:paraId="2FE8AE44" w14:textId="77777777">
        <w:tc>
          <w:tcPr>
            <w:tcW w:w="3085" w:type="dxa"/>
          </w:tcPr>
          <w:p w:rsidRPr="00A84EB0" w:rsidR="0058411F" w:rsidP="0058411F" w:rsidRDefault="0058411F" w14:paraId="2A65A034" w14:textId="77777777">
            <w:pPr>
              <w:autoSpaceDE w:val="0"/>
              <w:autoSpaceDN w:val="0"/>
              <w:jc w:val="left"/>
            </w:pPr>
            <w:r>
              <w:t>Приемане на пленарна сесия №</w:t>
            </w:r>
          </w:p>
        </w:tc>
        <w:tc>
          <w:tcPr>
            <w:tcW w:w="6204" w:type="dxa"/>
            <w:vAlign w:val="bottom"/>
          </w:tcPr>
          <w:p w:rsidRPr="00A84EB0" w:rsidR="0058411F" w:rsidP="0058411F" w:rsidRDefault="0083302D" w14:paraId="17BFB0A7" w14:textId="2F5A99CF">
            <w:pPr>
              <w:autoSpaceDE w:val="0"/>
              <w:autoSpaceDN w:val="0"/>
              <w:jc w:val="left"/>
            </w:pPr>
            <w:r>
              <w:t>579</w:t>
            </w:r>
          </w:p>
        </w:tc>
      </w:tr>
      <w:tr w:rsidRPr="00A84EB0" w:rsidR="0058411F" w:rsidTr="00E15BF4" w14:paraId="3889B17A" w14:textId="77777777">
        <w:tc>
          <w:tcPr>
            <w:tcW w:w="3085" w:type="dxa"/>
          </w:tcPr>
          <w:p w:rsidRPr="00A84EB0" w:rsidR="0058411F" w:rsidP="0058411F" w:rsidRDefault="0058411F" w14:paraId="0C723801" w14:textId="77777777">
            <w:pPr>
              <w:autoSpaceDE w:val="0"/>
              <w:autoSpaceDN w:val="0"/>
              <w:jc w:val="left"/>
            </w:pPr>
            <w:r>
              <w:t>Резултат от гласуването</w:t>
            </w:r>
            <w:r>
              <w:br/>
              <w:t>(„за“/„против“/„въздържал се“)</w:t>
            </w:r>
          </w:p>
        </w:tc>
        <w:tc>
          <w:tcPr>
            <w:tcW w:w="6204" w:type="dxa"/>
            <w:vAlign w:val="bottom"/>
          </w:tcPr>
          <w:p w:rsidRPr="00A84EB0" w:rsidR="0058411F" w:rsidP="0058411F" w:rsidRDefault="000C3A6D" w14:paraId="14DB34EA" w14:textId="11EA738C">
            <w:pPr>
              <w:autoSpaceDE w:val="0"/>
              <w:autoSpaceDN w:val="0"/>
              <w:jc w:val="left"/>
            </w:pPr>
            <w:r>
              <w:t>201/0/6</w:t>
            </w:r>
          </w:p>
        </w:tc>
      </w:tr>
    </w:tbl>
    <w:p w:rsidRPr="00A84EB0" w:rsidR="00AC5114" w:rsidP="00574C9B" w:rsidRDefault="00AC5114" w14:paraId="156A5F34" w14:textId="77777777">
      <w:pPr>
        <w:rPr>
          <w:lang w:val="en-GB"/>
        </w:rPr>
      </w:pPr>
    </w:p>
    <w:p w:rsidRPr="00A84EB0" w:rsidR="00AC5114" w:rsidP="00574C9B" w:rsidRDefault="00AC5114" w14:paraId="2CD3051D" w14:textId="77777777">
      <w:pPr>
        <w:rPr>
          <w:lang w:val="en-GB"/>
        </w:rPr>
        <w:sectPr w:rsidRPr="00A84EB0" w:rsidR="00AC5114" w:rsidSect="0037679F">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0F471A" w:rsidR="00423FD9" w:rsidP="00423FD9" w:rsidRDefault="00423FD9" w14:paraId="57DF9B98" w14:textId="77777777">
      <w:pPr>
        <w:pStyle w:val="Heading1"/>
        <w:numPr>
          <w:ilvl w:val="0"/>
          <w:numId w:val="2"/>
        </w:numPr>
      </w:pPr>
      <w:r>
        <w:rPr>
          <w:b/>
        </w:rPr>
        <w:lastRenderedPageBreak/>
        <w:t>Заключения и препоръки</w:t>
      </w:r>
    </w:p>
    <w:p w:rsidRPr="00A84EB0" w:rsidR="00423FD9" w:rsidP="00423FD9" w:rsidRDefault="00423FD9" w14:paraId="38610B55" w14:textId="77777777">
      <w:pPr>
        <w:rPr>
          <w:lang w:val="en-GB"/>
        </w:rPr>
      </w:pPr>
    </w:p>
    <w:p w:rsidRPr="00A84EB0" w:rsidR="00423FD9" w:rsidP="00423FD9" w:rsidRDefault="00423FD9" w14:paraId="7DFC920B" w14:textId="77777777">
      <w:pPr>
        <w:pStyle w:val="Heading2"/>
        <w:numPr>
          <w:ilvl w:val="1"/>
          <w:numId w:val="2"/>
        </w:numPr>
      </w:pPr>
      <w:r>
        <w:t>ЕИСК приветства инициативата на испанското председателство да се постави целта до 2030 г. в Европа да се премахне стигматизирането и дискриминацията, свързани с ХИВ. Въпросът е пренебрегван твърде дълго, въпреки че наличните данни недвусмислено показват, че вредните последици от него продължават да съществуват в различни части на света, в специфичен социален контекст и ключови групи от населението. Поради това ЕИСК споделя мнението на испанското председателство, че премахването на стигматизирането и дискриминацията, свързани с ХИВ, следва да се счита за един от политическите приоритети на програмата на ЕС.</w:t>
      </w:r>
    </w:p>
    <w:p w:rsidRPr="00A84EB0" w:rsidR="00423FD9" w:rsidP="00423FD9" w:rsidRDefault="00423FD9" w14:paraId="5D7BABDA" w14:textId="77777777">
      <w:pPr>
        <w:pStyle w:val="Heading2"/>
        <w:numPr>
          <w:ilvl w:val="0"/>
          <w:numId w:val="0"/>
        </w:numPr>
        <w:ind w:left="567"/>
        <w:rPr>
          <w:lang w:val="en-GB"/>
        </w:rPr>
      </w:pPr>
    </w:p>
    <w:p w:rsidRPr="00A84EB0" w:rsidR="00423FD9" w:rsidP="00423FD9" w:rsidRDefault="00423FD9" w14:paraId="6C7CADC6" w14:textId="55E9616B">
      <w:pPr>
        <w:pStyle w:val="Heading2"/>
        <w:numPr>
          <w:ilvl w:val="1"/>
          <w:numId w:val="2"/>
        </w:numPr>
      </w:pPr>
      <w:r>
        <w:t>ЕИСК споделя необходимостта от декларация на високо равнище от страна на европейските институции, която да бъде представена на Европейския парламент на 1</w:t>
      </w:r>
      <w:r w:rsidR="0019334C">
        <w:rPr>
          <w:lang w:val="en-US"/>
        </w:rPr>
        <w:t> </w:t>
      </w:r>
      <w:r>
        <w:t>декември 2023 г., и се ангажира да я подкрепи и да участва в нея на всяко възможно равнище, по всякакъв начини и във всеки форум.</w:t>
      </w:r>
    </w:p>
    <w:p w:rsidRPr="00A84EB0" w:rsidR="00423FD9" w:rsidP="00423FD9" w:rsidRDefault="00423FD9" w14:paraId="06236E22" w14:textId="77777777">
      <w:pPr>
        <w:pStyle w:val="Heading2"/>
        <w:numPr>
          <w:ilvl w:val="0"/>
          <w:numId w:val="0"/>
        </w:numPr>
        <w:ind w:left="567"/>
        <w:rPr>
          <w:lang w:val="en-GB"/>
        </w:rPr>
      </w:pPr>
    </w:p>
    <w:p w:rsidRPr="00A84EB0" w:rsidR="00423FD9" w:rsidP="00423FD9" w:rsidRDefault="00423FD9" w14:paraId="1844C2BB" w14:textId="77777777">
      <w:pPr>
        <w:pStyle w:val="Heading2"/>
        <w:numPr>
          <w:ilvl w:val="1"/>
          <w:numId w:val="2"/>
        </w:numPr>
      </w:pPr>
      <w:r>
        <w:t>ЕИСК счита, че за да се преодолеят стигматизирането, дискриминацията и фалшивите стереотипи, е от съществено значение да се насърчават действия за повишаване на осведомеността, обучение и информиране, особено в училищата, с участието на организираното гражданско общество, младежките и студентските организации.</w:t>
      </w:r>
    </w:p>
    <w:p w:rsidRPr="00A84EB0" w:rsidR="00423FD9" w:rsidP="00423FD9" w:rsidRDefault="00423FD9" w14:paraId="20EF3223" w14:textId="77777777">
      <w:pPr>
        <w:pStyle w:val="Heading2"/>
        <w:numPr>
          <w:ilvl w:val="0"/>
          <w:numId w:val="0"/>
        </w:numPr>
        <w:ind w:left="567"/>
        <w:rPr>
          <w:lang w:val="en-GB"/>
        </w:rPr>
      </w:pPr>
    </w:p>
    <w:p w:rsidRPr="00A84EB0" w:rsidR="00423FD9" w:rsidP="00423FD9" w:rsidRDefault="00423FD9" w14:paraId="13633705" w14:textId="77777777">
      <w:pPr>
        <w:pStyle w:val="Heading2"/>
        <w:numPr>
          <w:ilvl w:val="1"/>
          <w:numId w:val="2"/>
        </w:numPr>
      </w:pPr>
      <w:r>
        <w:t>Необходимо е да се установят и премахнат пречките пред преекспозиционната профилактика (PrEP) за по-добър достъп до лекарства и да се постигне напредък в прилагането на PrEP, за да се достигне до по-широк кръг от населението и да се ускори напредъкът към прекратяване на епидемията от СПИН до 2030 г. Профилактичните интервенции, като пре- и постекспозиционна профилактика и лечението като превенция, могат да окажат значително въздействие върху контрола на ХИВ и други полово предавани инфекции.</w:t>
      </w:r>
    </w:p>
    <w:p w:rsidRPr="00A84EB0" w:rsidR="00423FD9" w:rsidP="00423FD9" w:rsidRDefault="00423FD9" w14:paraId="6042672C" w14:textId="77777777">
      <w:pPr>
        <w:pStyle w:val="Heading2"/>
        <w:numPr>
          <w:ilvl w:val="0"/>
          <w:numId w:val="0"/>
        </w:numPr>
        <w:ind w:left="567"/>
        <w:rPr>
          <w:lang w:val="en-GB"/>
        </w:rPr>
      </w:pPr>
    </w:p>
    <w:p w:rsidRPr="00A84EB0" w:rsidR="00423FD9" w:rsidP="00423FD9" w:rsidRDefault="00423FD9" w14:paraId="6E7CF134" w14:textId="77777777">
      <w:pPr>
        <w:pStyle w:val="Heading2"/>
        <w:numPr>
          <w:ilvl w:val="1"/>
          <w:numId w:val="2"/>
        </w:numPr>
      </w:pPr>
      <w:r>
        <w:t>Хората с ХИВ трябва да имат равни възможности за достъп и професионално израстване в сферата на труда. Те следва да могат да се възползват и от специфични договорености, като гъвкаво работно време или удължен отпуск за медицински прегледи при гарантирана поверителност.</w:t>
      </w:r>
    </w:p>
    <w:p w:rsidRPr="00A84EB0" w:rsidR="00423FD9" w:rsidP="00423FD9" w:rsidRDefault="00423FD9" w14:paraId="4A3E3926" w14:textId="77777777">
      <w:pPr>
        <w:pStyle w:val="Heading2"/>
        <w:numPr>
          <w:ilvl w:val="0"/>
          <w:numId w:val="0"/>
        </w:numPr>
        <w:ind w:left="567"/>
        <w:rPr>
          <w:lang w:val="en-GB"/>
        </w:rPr>
      </w:pPr>
    </w:p>
    <w:p w:rsidRPr="00A84EB0" w:rsidR="00423FD9" w:rsidP="00423FD9" w:rsidRDefault="00423FD9" w14:paraId="502337F4" w14:textId="77777777">
      <w:pPr>
        <w:pStyle w:val="Heading2"/>
        <w:numPr>
          <w:ilvl w:val="1"/>
          <w:numId w:val="2"/>
        </w:numPr>
      </w:pPr>
      <w:r>
        <w:t>ЕИСК подчертава значението на предприемането на конкретни мерки за ключовите групи от населението: за да се противодейства ефективно на епидемията от ХИВ, е необходимо целевата информация и институционално прилаганите програми за превенция да достигнат до тези групи от населението, така че специалните служби да могат да установят проактивен контакт с тях, евентуално чрез неправителствени сдружения в рамките на общността.</w:t>
      </w:r>
    </w:p>
    <w:p w:rsidRPr="00A84EB0" w:rsidR="00423FD9" w:rsidP="00423FD9" w:rsidRDefault="00423FD9" w14:paraId="72265A9D" w14:textId="77777777">
      <w:pPr>
        <w:pStyle w:val="Heading2"/>
        <w:numPr>
          <w:ilvl w:val="0"/>
          <w:numId w:val="0"/>
        </w:numPr>
        <w:ind w:left="567"/>
        <w:rPr>
          <w:lang w:val="en-GB"/>
        </w:rPr>
      </w:pPr>
    </w:p>
    <w:p w:rsidRPr="00A84EB0" w:rsidR="00423FD9" w:rsidP="00423FD9" w:rsidRDefault="00423FD9" w14:paraId="446F241C" w14:textId="77777777">
      <w:pPr>
        <w:pStyle w:val="Heading2"/>
        <w:numPr>
          <w:ilvl w:val="1"/>
          <w:numId w:val="2"/>
        </w:numPr>
      </w:pPr>
      <w:r>
        <w:t xml:space="preserve">С оглед на факта, че втората по големина епидемия от СПИН в региона на Източна Европа и Централна Азия е в Украйна, ЕИСК подчертава, че е важно приемащите държави да гарантират непрекъснатост и безплатни изследвания и лечение за ХИВ на украинските бежанци, като подобрят възможностите за тестване независимо от статута им на пребиваване. Тъй като повечето бежанци са жени и деца, разширените изследвания </w:t>
      </w:r>
      <w:r>
        <w:lastRenderedPageBreak/>
        <w:t>в болниците, първичните здравни грижи и общността могат да бъдат най-подходящата среда за украинските бежанци.</w:t>
      </w:r>
    </w:p>
    <w:p w:rsidRPr="00A84EB0" w:rsidR="00423FD9" w:rsidP="00423FD9" w:rsidRDefault="00423FD9" w14:paraId="76C90F60" w14:textId="77777777">
      <w:pPr>
        <w:pStyle w:val="Heading2"/>
        <w:numPr>
          <w:ilvl w:val="0"/>
          <w:numId w:val="0"/>
        </w:numPr>
        <w:ind w:left="567"/>
        <w:rPr>
          <w:lang w:val="en-GB"/>
        </w:rPr>
      </w:pPr>
    </w:p>
    <w:p w:rsidRPr="00A84EB0" w:rsidR="00423FD9" w:rsidP="00423FD9" w:rsidRDefault="00423FD9" w14:paraId="1A5FC17A" w14:textId="77777777">
      <w:pPr>
        <w:pStyle w:val="Heading2"/>
        <w:numPr>
          <w:ilvl w:val="1"/>
          <w:numId w:val="2"/>
        </w:numPr>
      </w:pPr>
      <w:r>
        <w:t>Антиретровирусната терапия (АРТ) може да играе двойна роля за подобряване на здравето на хората, живеещи с ХИВ, и ефективно предотвратяване на предаването на ХИВ, тъй като е много ефикасна за потискане на вирусното натоварване на ХИВ.</w:t>
      </w:r>
    </w:p>
    <w:p w:rsidRPr="00A84EB0" w:rsidR="00423FD9" w:rsidP="000F471A" w:rsidRDefault="00423FD9" w14:paraId="668E1280" w14:textId="77777777">
      <w:pPr>
        <w:ind w:left="567"/>
        <w:rPr>
          <w:lang w:val="en-GB"/>
        </w:rPr>
      </w:pPr>
    </w:p>
    <w:p w:rsidRPr="00A84EB0" w:rsidR="00423FD9" w:rsidP="00423FD9" w:rsidRDefault="00423FD9" w14:paraId="7368A6A4" w14:textId="77777777">
      <w:pPr>
        <w:pStyle w:val="Heading2"/>
        <w:numPr>
          <w:ilvl w:val="1"/>
          <w:numId w:val="2"/>
        </w:numPr>
      </w:pPr>
      <w:r>
        <w:t>Навременното диагностициране на заразяването с ХИВ, ранното започване на лечението и задържането</w:t>
      </w:r>
      <w:r>
        <w:rPr>
          <w:b/>
        </w:rPr>
        <w:t xml:space="preserve"> </w:t>
      </w:r>
      <w:r>
        <w:t>в системата за грижи (непрекъснатост на грижите) са крайъгълните камъни за контрол на разпространението на заразата. Тъй като няколко държави вече са постигнали целта, ЕИСК призовава за по-амбициозна нова цел за всички държави, която да бъде постигната до 2030 г., с подобряване до 95 % на равнищата на покритие за изследване, лечение и вирусологично потискане.</w:t>
      </w:r>
    </w:p>
    <w:p w:rsidRPr="00A84EB0" w:rsidR="00423FD9" w:rsidP="00423FD9" w:rsidRDefault="00423FD9" w14:paraId="10CDE23C" w14:textId="6A5F7303">
      <w:pPr>
        <w:pStyle w:val="Heading2"/>
        <w:numPr>
          <w:ilvl w:val="0"/>
          <w:numId w:val="0"/>
        </w:numPr>
        <w:ind w:left="567"/>
        <w:rPr>
          <w:lang w:val="en-GB"/>
        </w:rPr>
      </w:pPr>
    </w:p>
    <w:p w:rsidRPr="00A84EB0" w:rsidR="00423FD9" w:rsidP="00423FD9" w:rsidRDefault="00423FD9" w14:paraId="456CC6A1" w14:textId="77777777">
      <w:pPr>
        <w:pStyle w:val="Heading2"/>
        <w:numPr>
          <w:ilvl w:val="1"/>
          <w:numId w:val="2"/>
        </w:numPr>
      </w:pPr>
      <w:r>
        <w:t>Както непрекъснатостта на грижите, така и непрекъснатостта на превенцията могат синергично да представляват всеобхватен отговор за борба с епидемията от ХИВ и поради това следва да бъдат разработени и прилагани.</w:t>
      </w:r>
    </w:p>
    <w:p w:rsidRPr="00A84EB0" w:rsidR="00423FD9" w:rsidP="00423FD9" w:rsidRDefault="00423FD9" w14:paraId="790CD61E" w14:textId="77777777">
      <w:pPr>
        <w:rPr>
          <w:lang w:val="en-GB"/>
        </w:rPr>
      </w:pPr>
    </w:p>
    <w:p w:rsidRPr="00A84EB0" w:rsidR="00423FD9" w:rsidP="00423FD9" w:rsidRDefault="00423FD9" w14:paraId="7C7F2F9C" w14:textId="77777777">
      <w:pPr>
        <w:pStyle w:val="Heading2"/>
        <w:numPr>
          <w:ilvl w:val="1"/>
          <w:numId w:val="2"/>
        </w:numPr>
      </w:pPr>
      <w:r>
        <w:t>ЕИСК призовава за нови и иновативни стратегии за подобряване на ранната диагностика и за уведомяване на повече хора за това, че са заразени, чрез разпространението на разнообразни и лесни за прилагане подходи за по-широко достъпни изследвания за ХИВ, като бързо тестване, изследване в общността и самотестване, както и интегриран подход за изследване за ХИВ и хепатит B и C.</w:t>
      </w:r>
    </w:p>
    <w:p w:rsidRPr="00A84EB0" w:rsidR="00423FD9" w:rsidP="00423FD9" w:rsidRDefault="00423FD9" w14:paraId="36527779" w14:textId="77777777">
      <w:pPr>
        <w:rPr>
          <w:lang w:val="en-GB"/>
        </w:rPr>
      </w:pPr>
    </w:p>
    <w:p w:rsidRPr="00A84EB0" w:rsidR="00423FD9" w:rsidP="00423FD9" w:rsidRDefault="00423FD9" w14:paraId="14BE23EB" w14:textId="77777777">
      <w:pPr>
        <w:pStyle w:val="Heading2"/>
        <w:numPr>
          <w:ilvl w:val="1"/>
          <w:numId w:val="2"/>
        </w:numPr>
      </w:pPr>
      <w:r>
        <w:t>Общностите играят жизненоважна роля в борбата с ХИВ, като насърчават отчетността, стимулират активността за превенция, изпълняват дейности и допринасят за иновации, които са от решаващо значение за устойчивия напредък.</w:t>
      </w:r>
    </w:p>
    <w:p w:rsidRPr="00A84EB0" w:rsidR="00423FD9" w:rsidP="000F471A" w:rsidRDefault="00423FD9" w14:paraId="5D74A25F" w14:textId="77777777">
      <w:pPr>
        <w:ind w:left="567"/>
        <w:rPr>
          <w:lang w:val="en-GB"/>
        </w:rPr>
      </w:pPr>
    </w:p>
    <w:p w:rsidRPr="00A84EB0" w:rsidR="00423FD9" w:rsidP="00423FD9" w:rsidRDefault="00423FD9" w14:paraId="5E85F299" w14:textId="77777777">
      <w:pPr>
        <w:pStyle w:val="Heading2"/>
        <w:numPr>
          <w:ilvl w:val="1"/>
          <w:numId w:val="2"/>
        </w:numPr>
      </w:pPr>
      <w:r>
        <w:t>За да се поддържа и ускори напредъкът към постигането на тези цели, ЕИСК настоятелно призовава за допълнителни усилия при разработването и прилагането на нови програми за разширяване на познанията за статуса на серопозитивност и обхвата на лечението, за да се намали разпространението на вируса, а от там и предаването на ХИВ, както и за ограничаване на основанията за дискриминация, като например достъпа до заетост или до финансови услуги.</w:t>
      </w:r>
    </w:p>
    <w:p w:rsidRPr="00A84EB0" w:rsidR="00423FD9" w:rsidP="00423FD9" w:rsidRDefault="00423FD9" w14:paraId="53B8BA7D" w14:textId="77777777">
      <w:pPr>
        <w:rPr>
          <w:lang w:val="en-GB"/>
        </w:rPr>
      </w:pPr>
    </w:p>
    <w:p w:rsidRPr="00A84EB0" w:rsidR="00423FD9" w:rsidP="00423FD9" w:rsidRDefault="00423FD9" w14:paraId="70D71E41" w14:textId="77777777">
      <w:pPr>
        <w:pStyle w:val="Heading1"/>
        <w:keepNext/>
        <w:keepLines/>
        <w:numPr>
          <w:ilvl w:val="0"/>
          <w:numId w:val="2"/>
        </w:numPr>
        <w:rPr>
          <w:b/>
          <w:bCs/>
        </w:rPr>
      </w:pPr>
      <w:r>
        <w:rPr>
          <w:b/>
        </w:rPr>
        <w:t>ХИВ в Европа</w:t>
      </w:r>
    </w:p>
    <w:p w:rsidRPr="00A84EB0" w:rsidR="00423FD9" w:rsidP="00423FD9" w:rsidRDefault="00423FD9" w14:paraId="07B0A372" w14:textId="77777777">
      <w:pPr>
        <w:keepNext/>
        <w:keepLines/>
        <w:rPr>
          <w:lang w:val="en-GB"/>
        </w:rPr>
      </w:pPr>
    </w:p>
    <w:p w:rsidRPr="00A84EB0" w:rsidR="00423FD9" w:rsidP="00423FD9" w:rsidRDefault="00423FD9" w14:paraId="1E7AFB65" w14:textId="77777777">
      <w:pPr>
        <w:pStyle w:val="Heading2"/>
        <w:numPr>
          <w:ilvl w:val="1"/>
          <w:numId w:val="2"/>
        </w:numPr>
      </w:pPr>
      <w:r>
        <w:t xml:space="preserve">Предаването на ХИВ продължава да бъде основен проблем за общественото здраве, който засяга над 36 милиона души по света, 2,3 милиона от които живеят в европейския регион на СЗО, особено в източната му част. През 2021 г. близо 107 000 души са диагностицирани с ХИВ в европейския регион, включително около 17 000 в ЕС/ЕИП. Тенденцията при диагностицираните случаи на ХИВ намалява от 2012 г. насам; през 2020 г. и 2021 г. се наблюдава по-значително намаляване в диагностицираните случаи на ХИВ (-24 %), което вероятно се дължи на въздействието на пандемията от COVID-19 върху използването на здравни услуги и/или е резултат от намаленото предаване на </w:t>
      </w:r>
      <w:r>
        <w:lastRenderedPageBreak/>
        <w:t>инфекцията поради мерките в областта на общественото здраве, въведени през периода на пандемията от COVID-19.</w:t>
      </w:r>
    </w:p>
    <w:p w:rsidRPr="00A84EB0" w:rsidR="00423FD9" w:rsidP="00423FD9" w:rsidRDefault="00423FD9" w14:paraId="6F0B2742" w14:textId="77777777">
      <w:pPr>
        <w:pStyle w:val="Heading2"/>
        <w:numPr>
          <w:ilvl w:val="0"/>
          <w:numId w:val="0"/>
        </w:numPr>
        <w:ind w:left="567"/>
        <w:rPr>
          <w:lang w:val="en-GB"/>
        </w:rPr>
      </w:pPr>
    </w:p>
    <w:p w:rsidRPr="00A84EB0" w:rsidR="00423FD9" w:rsidP="00423FD9" w:rsidRDefault="00423FD9" w14:paraId="19EDF974" w14:textId="77777777">
      <w:pPr>
        <w:pStyle w:val="Heading2"/>
        <w:numPr>
          <w:ilvl w:val="1"/>
          <w:numId w:val="2"/>
        </w:numPr>
      </w:pPr>
      <w:r>
        <w:t>ХИВ в Европа засяга непропорционално социално маргинализирани групи от населението, както и хора, чието поведение е социално заклеймено, като например: хора, употребяващи интравенозно наркотици, и техните сексуални партньори, мъже, които имат сексуални контакти с мъже, транссексуални лица, лица, предоставящи сексуални услуги, затворници и мигранти.</w:t>
      </w:r>
    </w:p>
    <w:p w:rsidRPr="00A84EB0" w:rsidR="00423FD9" w:rsidP="00423FD9" w:rsidRDefault="00423FD9" w14:paraId="59878EF6" w14:textId="77777777">
      <w:pPr>
        <w:pStyle w:val="Heading2"/>
        <w:numPr>
          <w:ilvl w:val="0"/>
          <w:numId w:val="0"/>
        </w:numPr>
        <w:ind w:left="567"/>
        <w:rPr>
          <w:lang w:val="en-GB"/>
        </w:rPr>
      </w:pPr>
    </w:p>
    <w:p w:rsidRPr="00A84EB0" w:rsidR="00423FD9" w:rsidP="00423FD9" w:rsidRDefault="00423FD9" w14:paraId="40845992" w14:textId="77777777">
      <w:pPr>
        <w:pStyle w:val="Heading2"/>
        <w:numPr>
          <w:ilvl w:val="1"/>
          <w:numId w:val="2"/>
        </w:numPr>
      </w:pPr>
      <w:r>
        <w:t xml:space="preserve">Данните показват, че в страните от европейския регион на СЗО съществуват различни епидемични модели и тенденции: в ЕС/ЕИП и западната част основният начин на предаване е сексуалното предаване между мъже, докато в източната част на региона основните начини на предаване, за които се съобщава, са хетеросексуалното предаване и интравенозната употреба на наркотици. </w:t>
      </w:r>
    </w:p>
    <w:p w:rsidRPr="00A84EB0" w:rsidR="00423FD9" w:rsidP="00423FD9" w:rsidRDefault="00423FD9" w14:paraId="306D0697" w14:textId="77777777">
      <w:pPr>
        <w:pStyle w:val="Heading2"/>
        <w:numPr>
          <w:ilvl w:val="0"/>
          <w:numId w:val="0"/>
        </w:numPr>
        <w:ind w:left="567"/>
        <w:rPr>
          <w:lang w:val="en-GB"/>
        </w:rPr>
      </w:pPr>
    </w:p>
    <w:p w:rsidRPr="00A84EB0" w:rsidR="00423FD9" w:rsidP="00423FD9" w:rsidRDefault="00423FD9" w14:paraId="61A28C72" w14:textId="190FE9A8">
      <w:pPr>
        <w:pStyle w:val="Heading2"/>
        <w:numPr>
          <w:ilvl w:val="1"/>
          <w:numId w:val="2"/>
        </w:numPr>
      </w:pPr>
      <w:r>
        <w:t>Късното диагностициране на ХИВ продължава да бъде предизвикателство за повечето държави в региона: повече от 50 % са били диагностицирани с ХИВ, когато броят на CD4</w:t>
      </w:r>
      <w:r w:rsidR="0019334C">
        <w:rPr>
          <w:lang w:val="en-US"/>
        </w:rPr>
        <w:t> </w:t>
      </w:r>
      <w:r>
        <w:t>клетките е бил по-нисък от 350/mmc.</w:t>
      </w:r>
    </w:p>
    <w:p w:rsidRPr="00A84EB0" w:rsidR="00423FD9" w:rsidP="00423FD9" w:rsidRDefault="00423FD9" w14:paraId="33F2D718" w14:textId="77777777">
      <w:pPr>
        <w:rPr>
          <w:lang w:val="en-GB"/>
        </w:rPr>
      </w:pPr>
    </w:p>
    <w:p w:rsidRPr="00A84EB0" w:rsidR="00423FD9" w:rsidP="00423FD9" w:rsidRDefault="00423FD9" w14:paraId="063279DB" w14:textId="77777777">
      <w:pPr>
        <w:pStyle w:val="Heading1"/>
        <w:keepNext/>
        <w:numPr>
          <w:ilvl w:val="0"/>
          <w:numId w:val="2"/>
        </w:numPr>
        <w:rPr>
          <w:b/>
          <w:bCs/>
        </w:rPr>
      </w:pPr>
      <w:r>
        <w:rPr>
          <w:b/>
        </w:rPr>
        <w:t>Непрекъснатост в грижите за ХИВ за украинските бежанци</w:t>
      </w:r>
    </w:p>
    <w:p w:rsidRPr="00A84EB0" w:rsidR="00423FD9" w:rsidP="000F471A" w:rsidRDefault="00423FD9" w14:paraId="59797AA2" w14:textId="77777777">
      <w:pPr>
        <w:keepNext/>
        <w:rPr>
          <w:lang w:val="en-GB"/>
        </w:rPr>
      </w:pPr>
    </w:p>
    <w:p w:rsidRPr="00A84EB0" w:rsidR="00423FD9" w:rsidP="00423FD9" w:rsidRDefault="00423FD9" w14:paraId="24627BE9" w14:textId="77777777">
      <w:pPr>
        <w:pStyle w:val="Heading2"/>
        <w:numPr>
          <w:ilvl w:val="1"/>
          <w:numId w:val="2"/>
        </w:numPr>
      </w:pPr>
      <w:r>
        <w:t>От началото на войната на 24 февруари 2022 г. повече от 13,5 милиона души са били вътрешно разселени или принудени да избягат в съседни държави като бежанци, включително хора, живеещи с ХИВ (според оценките между 10 000 и 30 000 души), и ключови групи от населението.</w:t>
      </w:r>
    </w:p>
    <w:p w:rsidRPr="00A84EB0" w:rsidR="00423FD9" w:rsidP="00A84EB0" w:rsidRDefault="00423FD9" w14:paraId="71385210" w14:textId="77777777">
      <w:pPr>
        <w:ind w:left="567"/>
        <w:rPr>
          <w:rFonts w:eastAsia="Calibri"/>
          <w:lang w:val="en-GB"/>
        </w:rPr>
      </w:pPr>
    </w:p>
    <w:p w:rsidRPr="00A84EB0" w:rsidR="00423FD9" w:rsidP="00423FD9" w:rsidRDefault="00423FD9" w14:paraId="18B12767" w14:textId="77777777">
      <w:pPr>
        <w:pStyle w:val="Heading2"/>
        <w:numPr>
          <w:ilvl w:val="1"/>
          <w:numId w:val="2"/>
        </w:numPr>
      </w:pPr>
      <w:r>
        <w:t>Украйна е страната с втората по големина епидемия от СПИН в региона на Източна Европа и Централна Азия. Броят на новите диагностицирани случаи на ХИВ е нараснал от 14 240 през 2016 г. на 16 270 през 2019 г., с лек спад до 15 660 през 2020 г., вероятно поради кризата, свързана с COVID-19. Според данните от наблюдението от тях 9 000—10 000 случая са на заразяване чрез</w:t>
      </w:r>
      <w:r>
        <w:rPr>
          <w:b/>
        </w:rPr>
        <w:t xml:space="preserve"> хетеросексуален контакт</w:t>
      </w:r>
      <w:r>
        <w:t xml:space="preserve"> и </w:t>
      </w:r>
      <w:r>
        <w:rPr>
          <w:b/>
        </w:rPr>
        <w:t>около 5 000 случая са на заразяване чрез интравенозна употреба на наркотици</w:t>
      </w:r>
      <w:r>
        <w:t>.</w:t>
      </w:r>
    </w:p>
    <w:p w:rsidRPr="00A84EB0" w:rsidR="00423FD9" w:rsidP="00A84EB0" w:rsidRDefault="00423FD9" w14:paraId="5F4149FF" w14:textId="77777777">
      <w:pPr>
        <w:ind w:left="567"/>
        <w:rPr>
          <w:lang w:val="en-GB"/>
        </w:rPr>
      </w:pPr>
    </w:p>
    <w:p w:rsidRPr="00A84EB0" w:rsidR="00423FD9" w:rsidP="00423FD9" w:rsidRDefault="00423FD9" w14:paraId="66C0A296" w14:textId="77777777">
      <w:pPr>
        <w:pStyle w:val="Heading2"/>
        <w:numPr>
          <w:ilvl w:val="1"/>
          <w:numId w:val="2"/>
        </w:numPr>
        <w:rPr>
          <w:rFonts w:eastAsia="Calibri"/>
        </w:rPr>
      </w:pPr>
      <w:r>
        <w:t>Преди началото на войната страната отбеляза значителен напредък в борбата със СПИН: грижите и лечението на ХИВ бяха предоставяни безплатно в държавните клиники за ХИВ в цялата страна, а все повече хора, живеещи с ХИВ, бяха подложени на антиретровирусна терапия (АРТ). Изчислено е, че през 2021 г. от 240 000 души, живеещи с ХИВ (0,6 % от украинското население), повече от 150 000 души са били подложени на АРТ (62 %) и при 94 % от получилите лечение вирусът е бил подтиснат.</w:t>
      </w:r>
    </w:p>
    <w:p w:rsidRPr="00A84EB0" w:rsidR="00423FD9" w:rsidP="00A84EB0" w:rsidRDefault="00423FD9" w14:paraId="072A445D" w14:textId="77777777">
      <w:pPr>
        <w:ind w:left="567"/>
        <w:rPr>
          <w:rFonts w:eastAsia="Calibri"/>
          <w:lang w:val="en-GB"/>
        </w:rPr>
      </w:pPr>
    </w:p>
    <w:p w:rsidRPr="00A84EB0" w:rsidR="00423FD9" w:rsidP="00423FD9" w:rsidRDefault="00423FD9" w14:paraId="7B8D5E87" w14:textId="77777777">
      <w:pPr>
        <w:pStyle w:val="Heading2"/>
        <w:numPr>
          <w:ilvl w:val="1"/>
          <w:numId w:val="2"/>
        </w:numPr>
        <w:rPr>
          <w:rFonts w:eastAsia="Calibri"/>
        </w:rPr>
      </w:pPr>
      <w:r>
        <w:t xml:space="preserve">В страната в тясно сътрудничество с местните органи работят агенциите и партньорите на ООН на място, като Фонда на ЮНЕЙДС за реагиране при извънредни ситуации, за да достигат до нуждаещите се и да им помагат. Неотдавна те предоставиха хуманитарна помощ на тежко засегнатите територии в страната, които станаха достъпни едва сега. Коалиция от правителствени, неправителствени и международни организации беше и </w:t>
      </w:r>
      <w:r>
        <w:lastRenderedPageBreak/>
        <w:t>продължава да бъде крайъгълен камък на ефективната борба с ХИВ в Украйна по време на войната.</w:t>
      </w:r>
    </w:p>
    <w:p w:rsidRPr="00A84EB0" w:rsidR="00423FD9" w:rsidP="00A84EB0" w:rsidRDefault="00423FD9" w14:paraId="79704A77" w14:textId="77777777">
      <w:pPr>
        <w:ind w:left="567"/>
        <w:rPr>
          <w:rFonts w:eastAsia="Calibri"/>
          <w:lang w:val="en-GB"/>
        </w:rPr>
      </w:pPr>
    </w:p>
    <w:p w:rsidRPr="00A84EB0" w:rsidR="00423FD9" w:rsidP="00423FD9" w:rsidRDefault="00423FD9" w14:paraId="63E5A6F2" w14:textId="77777777">
      <w:pPr>
        <w:pStyle w:val="Heading2"/>
        <w:numPr>
          <w:ilvl w:val="1"/>
          <w:numId w:val="2"/>
        </w:numPr>
        <w:rPr>
          <w:rFonts w:eastAsia="Calibri"/>
        </w:rPr>
      </w:pPr>
      <w:r>
        <w:t>ЮНЕЙДС ще продължи да подкрепя превенцията на ХИВ, тестването, лечението, грижите и подкрепата за засегнатите от войната хора в цяла Украйна, както и за хората, разселени от конфликта.</w:t>
      </w:r>
    </w:p>
    <w:p w:rsidRPr="00A84EB0" w:rsidR="00423FD9" w:rsidP="00A84EB0" w:rsidRDefault="00423FD9" w14:paraId="7C428B85" w14:textId="77777777">
      <w:pPr>
        <w:ind w:left="567"/>
        <w:rPr>
          <w:rFonts w:eastAsia="Calibri"/>
          <w:lang w:val="en-GB"/>
        </w:rPr>
      </w:pPr>
    </w:p>
    <w:p w:rsidRPr="00A84EB0" w:rsidR="00423FD9" w:rsidP="00423FD9" w:rsidRDefault="00423FD9" w14:paraId="1FEF65F4" w14:textId="77777777">
      <w:pPr>
        <w:pStyle w:val="Heading2"/>
        <w:numPr>
          <w:ilvl w:val="1"/>
          <w:numId w:val="2"/>
        </w:numPr>
        <w:rPr>
          <w:rFonts w:eastAsia="Calibri"/>
        </w:rPr>
      </w:pPr>
      <w:r>
        <w:t>В документ на Европейския център за профилактика и контрол върху заболяванията (ECDC)</w:t>
      </w:r>
      <w:r w:rsidRPr="00A84EB0">
        <w:rPr>
          <w:rStyle w:val="FootnoteReference"/>
          <w:lang w:val="en-GB"/>
        </w:rPr>
        <w:footnoteReference w:id="1"/>
      </w:r>
      <w:r>
        <w:t>, публикуван през юли 2022 г., се очертават основните съображения, които да послужат като основа за вземане на решения и практическо прилагане на услугите за поддържане на стандартите за качество на грижите за хората с ХИВ за украинските бежанци, и по-специално колко е важно приемащите държави да осигурят непрекъснатост и безплатно тестване и лечение на ХИВ за украинските бежанци, като подобрят възможностите за тестване независимо от статута на пребиваване, тъй като ограниченият достъп до АРТ води до повишен риск от заболяване, смърт, поява на резистентни щамове и потенциал за последващо предаване на заразата. Тъй като повечето бежанци са жени и деца, разширените изследвания в болниците, първичните здравни грижи и общността могат да бъдат най-подходящата среда за украинските бежанци.</w:t>
      </w:r>
    </w:p>
    <w:p w:rsidRPr="00A84EB0" w:rsidR="00423FD9" w:rsidP="00423FD9" w:rsidRDefault="00423FD9" w14:paraId="3E270633" w14:textId="77777777">
      <w:pPr>
        <w:rPr>
          <w:lang w:val="en-GB"/>
        </w:rPr>
      </w:pPr>
    </w:p>
    <w:p w:rsidRPr="00A84EB0" w:rsidR="00423FD9" w:rsidP="00423FD9" w:rsidRDefault="00423FD9" w14:paraId="7A25B415" w14:textId="77777777">
      <w:pPr>
        <w:pStyle w:val="Heading1"/>
        <w:keepNext/>
        <w:keepLines/>
        <w:numPr>
          <w:ilvl w:val="0"/>
          <w:numId w:val="2"/>
        </w:numPr>
        <w:rPr>
          <w:b/>
          <w:bCs/>
        </w:rPr>
      </w:pPr>
      <w:r>
        <w:rPr>
          <w:b/>
        </w:rPr>
        <w:t>ХИВ по света</w:t>
      </w:r>
    </w:p>
    <w:p w:rsidRPr="00A84EB0" w:rsidR="00423FD9" w:rsidP="00423FD9" w:rsidRDefault="00423FD9" w14:paraId="137A7681" w14:textId="77777777">
      <w:pPr>
        <w:keepNext/>
        <w:keepLines/>
        <w:rPr>
          <w:lang w:val="en-GB"/>
        </w:rPr>
      </w:pPr>
    </w:p>
    <w:p w:rsidRPr="00A84EB0" w:rsidR="00423FD9" w:rsidP="00423FD9" w:rsidRDefault="00423FD9" w14:paraId="5C20E37E" w14:textId="77777777">
      <w:pPr>
        <w:pStyle w:val="Heading2"/>
        <w:keepNext/>
        <w:keepLines/>
        <w:numPr>
          <w:ilvl w:val="1"/>
          <w:numId w:val="2"/>
        </w:numPr>
      </w:pPr>
      <w:r>
        <w:t>В световен мащаб е налице значителен консенсус за това, че вече съществуват инструменти за прекратяване на епидемията от СПИН. През последните две десетилетия все по-голям брой проучвания в различни условия показват, че антиретровирусната терапия (АРТ) може да играе двойна роля за подобряване на здравето на хората, живеещи с ХИВ (PLHIV), и ефективно предотвратяване на предаването на ХИВ (лечение като превенция — TasP), тъй като е много ефективна за потискане на вирусното натоварване на ХИВ (определено в 200 копия/мл).</w:t>
      </w:r>
    </w:p>
    <w:p w:rsidRPr="00A84EB0" w:rsidR="00423FD9" w:rsidP="00423FD9" w:rsidRDefault="00423FD9" w14:paraId="74C42E30" w14:textId="77777777">
      <w:pPr>
        <w:pStyle w:val="Heading2"/>
        <w:numPr>
          <w:ilvl w:val="0"/>
          <w:numId w:val="0"/>
        </w:numPr>
        <w:ind w:left="567"/>
        <w:rPr>
          <w:lang w:val="en-GB"/>
        </w:rPr>
      </w:pPr>
    </w:p>
    <w:p w:rsidRPr="00A84EB0" w:rsidR="00423FD9" w:rsidP="00423FD9" w:rsidRDefault="00423FD9" w14:paraId="252CEA57" w14:textId="77777777">
      <w:pPr>
        <w:pStyle w:val="Heading2"/>
        <w:numPr>
          <w:ilvl w:val="1"/>
          <w:numId w:val="2"/>
        </w:numPr>
      </w:pPr>
      <w:r>
        <w:t>През последните години широко се утвърди стратегия, според която навременното диагностициране на заразата с ХИВ, ранното започване на терапия и задържането в грижи (непрекъснатост в грижите) са крайъгълните камъни за контролиране на разпространението на инфекцията. През 2014 г. ЮНЕЙДС постави цел 90-90-90 (90 % от хората с ХИВ да бъдат диагностицирани, 90 % от тях са бъдат лекувани и 90 % от тях да бъдат лекувани с потисната виремия). Ако тези цели бъдат постигнати, 73 % от всички хора, живеещи с ХИВ, ще бъдат с потиснато вирусно натоварване, а хората с потиснато вирусно натоварване не могат да предават ХИВ.</w:t>
      </w:r>
    </w:p>
    <w:p w:rsidRPr="00A84EB0" w:rsidR="00423FD9" w:rsidP="00423FD9" w:rsidRDefault="00423FD9" w14:paraId="4726CBAB" w14:textId="77777777">
      <w:pPr>
        <w:pStyle w:val="Heading2"/>
        <w:numPr>
          <w:ilvl w:val="0"/>
          <w:numId w:val="0"/>
        </w:numPr>
        <w:ind w:left="567"/>
        <w:rPr>
          <w:lang w:val="en-GB"/>
        </w:rPr>
      </w:pPr>
    </w:p>
    <w:p w:rsidRPr="00A84EB0" w:rsidR="00423FD9" w:rsidP="00423FD9" w:rsidRDefault="00423FD9" w14:paraId="36604493" w14:textId="77777777">
      <w:pPr>
        <w:pStyle w:val="Heading2"/>
        <w:numPr>
          <w:ilvl w:val="1"/>
          <w:numId w:val="2"/>
        </w:numPr>
      </w:pPr>
      <w:r>
        <w:t xml:space="preserve">Има доказателства, че в края на 2020 г. няколко държави с различно географско положение, статут на доходите и епидемиология вече са постигнали целта. Експерти считат, че тези резултати потенциално могат да покажат, че до 2030 г. може да бъде постигната по-амбициозна нова цел за всички държави, като равнището на покритие за тестване, лечение и вирусологично потискане се повишат до 95 %. За да се поддържа и </w:t>
      </w:r>
      <w:r>
        <w:lastRenderedPageBreak/>
        <w:t>ускори напредъкът към постигането на тези цели в отговор на епидемията от ХИВ, са необходими допълнителни усилия при разработването и прилагането на нови програми за разширяване на познанията за статуса на серопозитивност и обхвата на лечението (подход „Универсално тестване и лечение“ [UTT]), за да се намали разпространението на вируса, а оттам и предаването на ХИВ. Тези нови програми не следва да се съсредоточават изключително върху прилагането на стандартните мерки, а следва да се изпълняват и в съответствие с нуждите и специфичните изисквания на хората, живеещи с ХИВ.</w:t>
      </w:r>
    </w:p>
    <w:p w:rsidRPr="00A84EB0" w:rsidR="00423FD9" w:rsidP="00A84EB0" w:rsidRDefault="00423FD9" w14:paraId="263392FF" w14:textId="77777777">
      <w:pPr>
        <w:ind w:left="567"/>
        <w:rPr>
          <w:lang w:val="en-GB"/>
        </w:rPr>
      </w:pPr>
    </w:p>
    <w:p w:rsidRPr="00A84EB0" w:rsidR="00423FD9" w:rsidP="00423FD9" w:rsidRDefault="00423FD9" w14:paraId="239B0114" w14:textId="77777777">
      <w:pPr>
        <w:pStyle w:val="Heading2"/>
        <w:numPr>
          <w:ilvl w:val="1"/>
          <w:numId w:val="2"/>
        </w:numPr>
      </w:pPr>
      <w:r>
        <w:t>Напоследък все по-често се предлага подход, подобен на осигуряването на непрекъснатост в грижите за ХИВ, свързан с непрекъснатост на профилактиката на ХИВ, насочен към населението, изложено на риск от заразяване с ХИВ, за да се гарантира, че хората ще се предпазят от зараза с ХИВ. Непрекъснатостта на профилактиката на ХИВ надгражда тестването за ХИВ, което е в основата и е последвано от свързване на незаразените с ХИВ лица с услуги за превенция, задържане в услугите и придържане към тях за получаване на постоянни консултации за намаляване на риска и последователно използване на презервативи с цел да се предотврати заразяване с ХИВ и предаването му. Задържането също е важно, за да се осигури повторно изследване и ранно диагностициране на ХИВ инфекция, ако настъпи заразяване с ХИВ. Новозаразените лица трябва незабавно да бъдат включени в грижи и лечение за ХИВ, както и в други методи за превенция, включително тестване на партньорите, използване на презервативи и антиретровирусни лекарства за превенция. Няколко проучвания показват, че на равнището на населението както непрекъснатостта на грижите, така и на превенцията могат да имат синергично въздействие за всеобхватна борба с епидемията от ХИВ.</w:t>
      </w:r>
    </w:p>
    <w:p w:rsidRPr="00A84EB0" w:rsidR="00423FD9" w:rsidP="00A84EB0" w:rsidRDefault="00423FD9" w14:paraId="0C8517D6" w14:textId="77777777">
      <w:pPr>
        <w:ind w:left="567"/>
        <w:rPr>
          <w:lang w:val="en-GB"/>
        </w:rPr>
      </w:pPr>
    </w:p>
    <w:p w:rsidRPr="00A84EB0" w:rsidR="00423FD9" w:rsidP="00423FD9" w:rsidRDefault="00423FD9" w14:paraId="68F02FBA" w14:textId="77777777">
      <w:pPr>
        <w:pStyle w:val="Heading2"/>
        <w:numPr>
          <w:ilvl w:val="1"/>
          <w:numId w:val="2"/>
        </w:numPr>
      </w:pPr>
      <w:r>
        <w:t>Необходими са нови и иновативни стратегии за подобряване на ранната диагностика и уведомяване на повече хора, за това, че са заразени, чрез разпространението на разнообразни и лесни за прилагане подходи за по-широко достъпни изследвания за ХИВ, като например бързо тестване, изследване на общността и самотестване, както и интегриран подход за изследване за ХИВ и хепатит В и С.</w:t>
      </w:r>
    </w:p>
    <w:p w:rsidRPr="00A84EB0" w:rsidR="00423FD9" w:rsidP="00423FD9" w:rsidRDefault="00423FD9" w14:paraId="6163DB3E" w14:textId="77777777">
      <w:pPr>
        <w:pStyle w:val="Heading2"/>
        <w:numPr>
          <w:ilvl w:val="0"/>
          <w:numId w:val="0"/>
        </w:numPr>
        <w:ind w:left="567"/>
        <w:rPr>
          <w:lang w:val="en-GB"/>
        </w:rPr>
      </w:pPr>
    </w:p>
    <w:p w:rsidRPr="00A84EB0" w:rsidR="00423FD9" w:rsidP="00423FD9" w:rsidRDefault="00423FD9" w14:paraId="4EDED036" w14:textId="77777777">
      <w:pPr>
        <w:pStyle w:val="Heading2"/>
        <w:numPr>
          <w:ilvl w:val="1"/>
          <w:numId w:val="2"/>
        </w:numPr>
      </w:pPr>
      <w:r>
        <w:t>СЗО препоръчва цялостен пакет от здравни услуги за превенция на ХИВ с особен акцент върху достигането до ключовите групи от населението. От особено значение е интегрирането на услугите за превенция на ХИВ с услуги за сексуално и репродуктивно здраве, психично здраве, превенция и грижи за сексуално и основано на пола насилие, лечение на наркотична зависимост, профилактика и грижи за хепатит С, контрол на туберкулозата, здравеопазване в затворите, незаразни болести и услуги за правна и социална подкрепа.</w:t>
      </w:r>
    </w:p>
    <w:p w:rsidRPr="00A84EB0" w:rsidR="00423FD9" w:rsidP="00423FD9" w:rsidRDefault="00423FD9" w14:paraId="54E676AA" w14:textId="77777777">
      <w:pPr>
        <w:pStyle w:val="Heading2"/>
        <w:numPr>
          <w:ilvl w:val="0"/>
          <w:numId w:val="0"/>
        </w:numPr>
        <w:ind w:left="567"/>
        <w:rPr>
          <w:lang w:val="en-GB"/>
        </w:rPr>
      </w:pPr>
    </w:p>
    <w:p w:rsidRPr="00A84EB0" w:rsidR="00423FD9" w:rsidP="00423FD9" w:rsidRDefault="00423FD9" w14:paraId="286349CD" w14:textId="77777777">
      <w:pPr>
        <w:pStyle w:val="Heading2"/>
        <w:numPr>
          <w:ilvl w:val="1"/>
          <w:numId w:val="2"/>
        </w:numPr>
      </w:pPr>
      <w:r>
        <w:t>Наличието на различни начини за достъп до изследване за ХИВ може да предостави възможност за своевременно диагностициране на различни групи от населението, уязвими към заразяване с ХИВ.</w:t>
      </w:r>
    </w:p>
    <w:p w:rsidRPr="00A84EB0" w:rsidR="00423FD9" w:rsidP="00423FD9" w:rsidRDefault="00423FD9" w14:paraId="0413027C" w14:textId="77777777">
      <w:pPr>
        <w:pStyle w:val="Heading2"/>
        <w:numPr>
          <w:ilvl w:val="0"/>
          <w:numId w:val="0"/>
        </w:numPr>
        <w:ind w:left="567"/>
        <w:rPr>
          <w:lang w:val="en-GB"/>
        </w:rPr>
      </w:pPr>
    </w:p>
    <w:p w:rsidRPr="00A84EB0" w:rsidR="00423FD9" w:rsidP="00423FD9" w:rsidRDefault="00423FD9" w14:paraId="68530DAF" w14:textId="77777777">
      <w:pPr>
        <w:pStyle w:val="Heading2"/>
        <w:numPr>
          <w:ilvl w:val="1"/>
          <w:numId w:val="2"/>
        </w:numPr>
      </w:pPr>
      <w:r>
        <w:t xml:space="preserve">ЮНЕЙДС препоръчва към профилактиката на ХИВ да се прилага подход на „комбинирана превенция“. Тъй като нито една стратегия за превенция не е достатъчна за ограничаване на разпространението на болестта, подходът изисква биомедицински, </w:t>
      </w:r>
      <w:r>
        <w:lastRenderedPageBreak/>
        <w:t>поведенчески и структурни интервенции, които са специално подбрани и съобразени с местните нужди, както е посочено от засегнатите общности. А за да бъдат успешни, те трябва да бъдат координирани, ефективни, последователни и вдъхновени от споделен ангажимент за постигане на общи цели.</w:t>
      </w:r>
    </w:p>
    <w:p w:rsidRPr="00A84EB0" w:rsidR="00423FD9" w:rsidP="00423FD9" w:rsidRDefault="00423FD9" w14:paraId="5540ED15" w14:textId="77777777">
      <w:pPr>
        <w:rPr>
          <w:rFonts w:eastAsia="Calibri"/>
          <w:sz w:val="24"/>
          <w:szCs w:val="24"/>
          <w:lang w:val="en-GB"/>
        </w:rPr>
      </w:pPr>
    </w:p>
    <w:p w:rsidRPr="00A84EB0" w:rsidR="00423FD9" w:rsidP="00423FD9" w:rsidRDefault="00423FD9" w14:paraId="36D417CB" w14:textId="77777777">
      <w:pPr>
        <w:pStyle w:val="Heading1"/>
        <w:keepNext/>
        <w:keepLines/>
        <w:numPr>
          <w:ilvl w:val="0"/>
          <w:numId w:val="2"/>
        </w:numPr>
        <w:rPr>
          <w:rStyle w:val="Heading1Char"/>
          <w:rFonts w:eastAsia="Calibri"/>
          <w:b/>
          <w:bCs/>
        </w:rPr>
      </w:pPr>
      <w:r>
        <w:rPr>
          <w:rStyle w:val="Heading1Char"/>
          <w:b/>
        </w:rPr>
        <w:t>Реакция на общността спрямо ХИВ</w:t>
      </w:r>
    </w:p>
    <w:p w:rsidRPr="00A84EB0" w:rsidR="00423FD9" w:rsidP="00423FD9" w:rsidRDefault="00423FD9" w14:paraId="01A1A66F" w14:textId="77777777">
      <w:pPr>
        <w:keepNext/>
        <w:keepLines/>
        <w:rPr>
          <w:rFonts w:eastAsia="Calibri"/>
          <w:lang w:val="en-GB"/>
        </w:rPr>
      </w:pPr>
    </w:p>
    <w:p w:rsidRPr="00A84EB0" w:rsidR="00423FD9" w:rsidP="00423FD9" w:rsidRDefault="00423FD9" w14:paraId="317AA214" w14:textId="77777777">
      <w:pPr>
        <w:pStyle w:val="Heading2"/>
        <w:numPr>
          <w:ilvl w:val="1"/>
          <w:numId w:val="2"/>
        </w:numPr>
      </w:pPr>
      <w:r>
        <w:t>В исторически план ролята на общностите на хората, живеещи с ХИВ (PLHIV), маргинализираните и уязвимите групи, жените и младите хора в предоставянето на услуги, свързани с ХИВ, научните изследвания и разработването на лекарства, застъпничеството, социалната и политическата отчетност, мобилизирането на ресурси и социалната защита и защитата на правата на човека, е добре документирана и призната от ЮНЕЙДС</w:t>
      </w:r>
      <w:r w:rsidRPr="00A84EB0">
        <w:rPr>
          <w:rStyle w:val="FootnoteReference"/>
          <w:lang w:val="en-GB"/>
        </w:rPr>
        <w:footnoteReference w:id="2"/>
      </w:r>
      <w:r>
        <w:t>. Последните три десетилетия показаха, че общностите на хора, живеещи с ХИВ и самите серопозитивни имат ключова роля за поддържането на ангажираност и застъпничество за равенство в здравеопазването и финансирането на здравеопазването, както и за гарантиране на признаването и зачитането на човешките права на всички хора. Качествената и ефективна интеграция на здравните системи и всеобщото здравеопазване могат да бъдат разработени, прилагани и поддържани по-ефективно, когато в центъра им са поставени общностите на хората, живеещи с ХИВ и самите серопозитивни. Водещата роля и ангажираността на общностите са допринесли пряко за подобряване на резултатите по отношение на достъпа до услуги за лечение, профилактика, подкрепа и грижи за ХИВ по целия свят.</w:t>
      </w:r>
    </w:p>
    <w:p w:rsidRPr="00A84EB0" w:rsidR="00423FD9" w:rsidP="00A84EB0" w:rsidRDefault="00423FD9" w14:paraId="48A8A41F" w14:textId="77777777">
      <w:pPr>
        <w:ind w:left="567"/>
        <w:rPr>
          <w:lang w:val="en-GB"/>
        </w:rPr>
      </w:pPr>
    </w:p>
    <w:p w:rsidRPr="00A84EB0" w:rsidR="00423FD9" w:rsidP="00423FD9" w:rsidRDefault="00423FD9" w14:paraId="08AD09DA" w14:textId="77777777">
      <w:pPr>
        <w:pStyle w:val="Heading2"/>
        <w:numPr>
          <w:ilvl w:val="1"/>
          <w:numId w:val="2"/>
        </w:numPr>
      </w:pPr>
      <w:r>
        <w:t>Общностите играят жизненоважна роля в борбата с ХИВ, като насърчават отчетността, стимулират действия в областта на превенцията, изпълняват дейности и допринасят за иновации, които са от решаващо значение за устойчивия напредък. Платформите за предоставяне на услуги, ръководени от общността, често са по-ефективни от официалните платформи на здравните заведения за достигане до маргинализирани и недостатъчно обслужвани групи от населението, особено в условия, в които стигматизирането и дискриминацията са широко разпространени. Ръководените от общностите организации са в добра позиция да установят пропуските в услугите, ограниченията, които възпрепятстват предоставянето и използването на услугите, но и възможностите за признаване на услугите като част от основните права на отделния човек и за превръщането им в по-ориентирани към хората, удобни и ефективни.</w:t>
      </w:r>
    </w:p>
    <w:p w:rsidRPr="00A84EB0" w:rsidR="00423FD9" w:rsidP="00A84EB0" w:rsidRDefault="00423FD9" w14:paraId="715F9E0C" w14:textId="77777777">
      <w:pPr>
        <w:ind w:left="567"/>
        <w:rPr>
          <w:lang w:val="en-GB"/>
        </w:rPr>
      </w:pPr>
    </w:p>
    <w:p w:rsidRPr="00A84EB0" w:rsidR="00423FD9" w:rsidP="00423FD9" w:rsidRDefault="00423FD9" w14:paraId="7C3F38DA" w14:textId="5032118B">
      <w:pPr>
        <w:pStyle w:val="Heading2"/>
        <w:numPr>
          <w:ilvl w:val="1"/>
          <w:numId w:val="2"/>
        </w:numPr>
      </w:pPr>
      <w:r>
        <w:t>Общността (под която се разбира група от неправителствени сдружения и организации, участващи в борбата със СПИН и в ежедневната защита на правата на хората с ХИВ) играе решаваща роля в даването на глас на най-уязвимите и изложени на риск групи от населението и осигурява ефективни решения за ограничаване на епидемията от ХИВ/СПИН. Общността е толкова активна, че през 2019 г. Световната здравна организация (ЮНEЙДС) ѝ посвети Световния ден за борба със СПИН (1 декември) с лозунга „Общностите осигуряват промяната“.</w:t>
      </w:r>
    </w:p>
    <w:p w:rsidRPr="00A84EB0" w:rsidR="00423FD9" w:rsidP="00A84EB0" w:rsidRDefault="00423FD9" w14:paraId="20750533" w14:textId="77777777">
      <w:pPr>
        <w:ind w:left="567"/>
        <w:rPr>
          <w:lang w:val="en-GB"/>
        </w:rPr>
      </w:pPr>
    </w:p>
    <w:p w:rsidRPr="00A84EB0" w:rsidR="00423FD9" w:rsidP="00423FD9" w:rsidRDefault="00423FD9" w14:paraId="44552EB3" w14:textId="77777777">
      <w:pPr>
        <w:pStyle w:val="Heading2"/>
        <w:numPr>
          <w:ilvl w:val="1"/>
          <w:numId w:val="2"/>
        </w:numPr>
      </w:pPr>
      <w:r>
        <w:t>Следва да се обмисли и осигуряването на постоянно наблюдение и извършване на оценки на въздействието на различните здравни политики и законодателни уредби, приети във всяка държава членка, чрез участието на независими и безпристрастни участници, включително с оглед на въвеждането на най-добри практики, които да бъдат споделени и предложени на европейско равнище.</w:t>
      </w:r>
    </w:p>
    <w:p w:rsidRPr="00A84EB0" w:rsidR="00423FD9" w:rsidP="00A84EB0" w:rsidRDefault="00423FD9" w14:paraId="12ED5336" w14:textId="77777777">
      <w:pPr>
        <w:ind w:left="567"/>
        <w:rPr>
          <w:lang w:val="en-GB"/>
        </w:rPr>
      </w:pPr>
    </w:p>
    <w:p w:rsidRPr="00A84EB0" w:rsidR="00423FD9" w:rsidP="00423FD9" w:rsidRDefault="00423FD9" w14:paraId="359DEB5A" w14:textId="77777777">
      <w:pPr>
        <w:pStyle w:val="Heading2"/>
        <w:numPr>
          <w:ilvl w:val="1"/>
          <w:numId w:val="2"/>
        </w:numPr>
      </w:pPr>
      <w:r>
        <w:t>Дори с оглед на съзнанието и целта за „нормализиране“ на ХИВ-позитивното състояние, препоръчва се неприкосновеността на личния живот на всяко лице да се зачита както по време на контактите със здравни заведения за достъп до услуги, така и в области, свързани с ежедневните дейности (училище, работа и др.). Следователно във всички държави членки правилата трябва да бъдат насочени към гарантиране на защитата на основните права и свободи, както и на присъщото достойнство на лицето с ХИВ.</w:t>
      </w:r>
    </w:p>
    <w:p w:rsidRPr="00A84EB0" w:rsidR="00423FD9" w:rsidP="00423FD9" w:rsidRDefault="00423FD9" w14:paraId="065AA009" w14:textId="77777777">
      <w:pPr>
        <w:pStyle w:val="Heading2"/>
        <w:numPr>
          <w:ilvl w:val="0"/>
          <w:numId w:val="0"/>
        </w:numPr>
        <w:ind w:left="567"/>
        <w:rPr>
          <w:lang w:val="en-GB"/>
        </w:rPr>
      </w:pPr>
    </w:p>
    <w:p w:rsidRPr="00A84EB0" w:rsidR="00423FD9" w:rsidP="00423FD9" w:rsidRDefault="00423FD9" w14:paraId="5DBA1F8E" w14:textId="77777777">
      <w:pPr>
        <w:pStyle w:val="Heading2"/>
        <w:numPr>
          <w:ilvl w:val="1"/>
          <w:numId w:val="2"/>
        </w:numPr>
      </w:pPr>
      <w:r>
        <w:t>За да се преодолеят стигматизирането, дискриминацията и фалшивите стереотипи, следва да се насърчават действия за повишаване на осведомеността, обучение и информиране, особено в училищата, с участието на организираното гражданско общество, като например местни сдружения и общности, младежки и студентски организации.</w:t>
      </w:r>
    </w:p>
    <w:p w:rsidRPr="00A84EB0" w:rsidR="00423FD9" w:rsidP="00423FD9" w:rsidRDefault="00423FD9" w14:paraId="485983D2" w14:textId="77777777">
      <w:pPr>
        <w:rPr>
          <w:lang w:val="en-GB"/>
        </w:rPr>
      </w:pPr>
    </w:p>
    <w:p w:rsidRPr="00A84EB0" w:rsidR="00423FD9" w:rsidP="00423FD9" w:rsidRDefault="00423FD9" w14:paraId="2D22E515" w14:textId="77777777">
      <w:pPr>
        <w:pStyle w:val="Heading1"/>
        <w:keepNext/>
        <w:keepLines/>
        <w:numPr>
          <w:ilvl w:val="0"/>
          <w:numId w:val="2"/>
        </w:numPr>
        <w:rPr>
          <w:b/>
          <w:bCs/>
        </w:rPr>
      </w:pPr>
      <w:r>
        <w:rPr>
          <w:b/>
        </w:rPr>
        <w:t>Предекспозиционна профилактика (PrEP) за превенция на заразяването с ХИВ</w:t>
      </w:r>
    </w:p>
    <w:p w:rsidRPr="00A84EB0" w:rsidR="00423FD9" w:rsidP="00423FD9" w:rsidRDefault="00423FD9" w14:paraId="2EBB2FA5" w14:textId="77777777">
      <w:pPr>
        <w:keepNext/>
        <w:keepLines/>
        <w:rPr>
          <w:lang w:val="en-GB"/>
        </w:rPr>
      </w:pPr>
    </w:p>
    <w:p w:rsidRPr="00A84EB0" w:rsidR="00423FD9" w:rsidP="00423FD9" w:rsidRDefault="00423FD9" w14:paraId="5E1F9EB0" w14:textId="77777777">
      <w:pPr>
        <w:pStyle w:val="Heading2"/>
        <w:numPr>
          <w:ilvl w:val="1"/>
          <w:numId w:val="2"/>
        </w:numPr>
      </w:pPr>
      <w:r>
        <w:t>Предекспозиционната профилактика (PrEP) е биомедицински подход към превенцията на ХИВ, при който хора, изложени на висок риск от заразяване с ХИВ, приемат перорални антиретровирусни лекарства. Ефикасността на PrEP е добре документирана, когато се приема според предписанията. Това е съществен елемент от „комбинираната превенция“, необходима за постигане на целта за устойчиво развитие за прекратяване на епидемията от СПИН до 2030 г. и използването ѝ се препоръчва от национални и международни насоки. Според становище на ECDC държавите от ЕС следва да обмислят интегрирането на PrEP в съществуващите си програми за превенция на ХИВ за ключовите групи от населението, както и за лица, изложени на най-голям риск от заразяване с ХИВ.</w:t>
      </w:r>
    </w:p>
    <w:p w:rsidRPr="00A84EB0" w:rsidR="00423FD9" w:rsidP="00A84EB0" w:rsidRDefault="00423FD9" w14:paraId="7E17A64B" w14:textId="77777777">
      <w:pPr>
        <w:ind w:left="567"/>
        <w:rPr>
          <w:lang w:val="en-GB"/>
        </w:rPr>
      </w:pPr>
    </w:p>
    <w:p w:rsidRPr="00A84EB0" w:rsidR="00423FD9" w:rsidP="00423FD9" w:rsidRDefault="00423FD9" w14:paraId="6C537BB6" w14:textId="77777777">
      <w:pPr>
        <w:pStyle w:val="Heading2"/>
        <w:numPr>
          <w:ilvl w:val="1"/>
          <w:numId w:val="2"/>
        </w:numPr>
      </w:pPr>
      <w:r>
        <w:t>В няколко проучвания е описано бавното възприемане на PrEP в клинични условия и недостатъчното задържане в грижи. Най-голямото въздействие върху честотата на заразяването с ХИВ се свързва с осигуряването на продължаваща предекспозиционна профилактика, но въпреки това много потребители преустановяват PrEP в рамките на първата година след започването ѝ, като е установено, че по-малко от половината се задържат на лечение. Причините за преустановяване на PrEP са различни: промяна в сексуалното поведение през определени периоди от живота, нежелани ефекти на лекарството, но също и ниско ниво на възприемане на риска, опасения от недостатъчна защита от PrEP, заклеймяване, смущения в ежедневната рутина и употреба на вещества, цената и липсата на застрахователно покритие и финансова подкрепа, както и честите посещения при лекаря.</w:t>
      </w:r>
    </w:p>
    <w:p w:rsidRPr="00A84EB0" w:rsidR="00423FD9" w:rsidP="00423FD9" w:rsidRDefault="00423FD9" w14:paraId="59BDE7AE" w14:textId="77777777">
      <w:pPr>
        <w:pStyle w:val="Heading2"/>
        <w:numPr>
          <w:ilvl w:val="0"/>
          <w:numId w:val="0"/>
        </w:numPr>
        <w:ind w:left="567"/>
        <w:rPr>
          <w:lang w:val="en-GB"/>
        </w:rPr>
      </w:pPr>
    </w:p>
    <w:p w:rsidRPr="00A84EB0" w:rsidR="00423FD9" w:rsidP="00423FD9" w:rsidRDefault="00423FD9" w14:paraId="656DF412" w14:textId="77777777">
      <w:pPr>
        <w:pStyle w:val="Heading2"/>
        <w:numPr>
          <w:ilvl w:val="1"/>
          <w:numId w:val="2"/>
        </w:numPr>
      </w:pPr>
      <w:r>
        <w:t xml:space="preserve">Наличието на PrEP в Европа е фрагментирано, сложно и постоянно се променя. Географската разбивка на предоставянето на PrEP показва значителни различия в Европа и Централна Азия. Необходимо е да се идентифицират и премахнат пречките пред PrEP </w:t>
      </w:r>
      <w:r>
        <w:lastRenderedPageBreak/>
        <w:t>за по-голям достъп до лекарства и да се постигне напредък в прилагането на PrEP, за да се достигне до по-широк кръг от населението с цел ускоряване на напредъка към прекратяване на епидемията от СПИН до 2030 г.</w:t>
      </w:r>
    </w:p>
    <w:p w:rsidRPr="00A84EB0" w:rsidR="00423FD9" w:rsidP="00423FD9" w:rsidRDefault="00423FD9" w14:paraId="46394C07" w14:textId="77777777">
      <w:pPr>
        <w:pStyle w:val="Heading2"/>
        <w:numPr>
          <w:ilvl w:val="0"/>
          <w:numId w:val="0"/>
        </w:numPr>
        <w:ind w:left="567"/>
        <w:rPr>
          <w:lang w:val="en-GB"/>
        </w:rPr>
      </w:pPr>
    </w:p>
    <w:p w:rsidRPr="00A84EB0" w:rsidR="00423FD9" w:rsidP="00423FD9" w:rsidRDefault="00423FD9" w14:paraId="1F267B31" w14:textId="77777777">
      <w:pPr>
        <w:pStyle w:val="Heading2"/>
        <w:numPr>
          <w:ilvl w:val="1"/>
          <w:numId w:val="2"/>
        </w:numPr>
      </w:pPr>
      <w:r>
        <w:t>Профилактичните интервенции, като например пре- и постекспозиционна профилактика и лечението като превенция, могат да окажат значително въздействие върху контрола на ХИВ и други полово предавани инфекции.</w:t>
      </w:r>
    </w:p>
    <w:p w:rsidRPr="00A84EB0" w:rsidR="00423FD9" w:rsidP="00423FD9" w:rsidRDefault="00423FD9" w14:paraId="2250C7B1" w14:textId="77777777">
      <w:pPr>
        <w:rPr>
          <w:lang w:val="en-GB"/>
        </w:rPr>
      </w:pPr>
    </w:p>
    <w:p w:rsidRPr="00A84EB0" w:rsidR="00423FD9" w:rsidP="00423FD9" w:rsidRDefault="00423FD9" w14:paraId="10099052" w14:textId="77777777">
      <w:pPr>
        <w:pStyle w:val="Heading1"/>
        <w:keepNext/>
        <w:keepLines/>
        <w:numPr>
          <w:ilvl w:val="0"/>
          <w:numId w:val="2"/>
        </w:numPr>
      </w:pPr>
      <w:r>
        <w:rPr>
          <w:b/>
        </w:rPr>
        <w:t>Ключови групи от населението</w:t>
      </w:r>
    </w:p>
    <w:p w:rsidRPr="00A84EB0" w:rsidR="00423FD9" w:rsidP="00423FD9" w:rsidRDefault="00423FD9" w14:paraId="59F2440C" w14:textId="77777777">
      <w:pPr>
        <w:keepNext/>
        <w:keepLines/>
        <w:rPr>
          <w:lang w:val="en-GB"/>
        </w:rPr>
      </w:pPr>
    </w:p>
    <w:p w:rsidRPr="00A84EB0" w:rsidR="00423FD9" w:rsidP="00423FD9" w:rsidRDefault="00423FD9" w14:paraId="3E296B48" w14:textId="77777777">
      <w:pPr>
        <w:pStyle w:val="Heading2"/>
        <w:numPr>
          <w:ilvl w:val="1"/>
          <w:numId w:val="2"/>
        </w:numPr>
      </w:pPr>
      <w:r>
        <w:t>Въпреки отличните резултати при намаляване на заразяването с ХИВ в различни части на света (със значително намаляване на смъртните случаи от СПИН) през последните десетилетия, всеобхватният набор от комбинирани мерки за превенция на ХИВ далеч не е „общодостъпен“. А там, където няма лечение на СПИН, случаите на заразяване с ХИВ продължават да се разпространяват непропорционално и хора продължават да умират.</w:t>
      </w:r>
    </w:p>
    <w:p w:rsidRPr="00A84EB0" w:rsidR="00423FD9" w:rsidP="00A84EB0" w:rsidRDefault="00423FD9" w14:paraId="56058AB6" w14:textId="77777777">
      <w:pPr>
        <w:ind w:left="567"/>
        <w:rPr>
          <w:lang w:val="en-GB"/>
        </w:rPr>
      </w:pPr>
    </w:p>
    <w:p w:rsidRPr="00A84EB0" w:rsidR="00423FD9" w:rsidP="00423FD9" w:rsidRDefault="00423FD9" w14:paraId="2DA754FD" w14:textId="77777777">
      <w:pPr>
        <w:pStyle w:val="Heading2"/>
        <w:numPr>
          <w:ilvl w:val="1"/>
          <w:numId w:val="2"/>
        </w:numPr>
      </w:pPr>
      <w:r>
        <w:t>Заразяването с ХИВ продължава да се разпространява сред групи от населението, които по различни причини не могат да бъдат обхванати от превантивните мерки или които, след като бъдат заразени, не са в състояние да се възползват от наличното към момента антиретровирусно лечение. Групите, които са по-уязвими към ХИВ, като наркозависими, предлагащите сексуални услуги лица, гейове и мъже, които имат сексуални контакти с мъже (МСМ), затворници, транссексуални лица, мигранти и съответните им партньори, се наричат „ключови групи от населението“ и се характеризират с по-висока заболеваемост и смъртност в сравнение с общото население, по-ограничен достъп до здравни услуги и също така играят ключова роля за разпространението на епидемията. Въпреки това комбинираните услуги за превенция на ХИВ са успели да достигнат само до по-малко от половината от хората в тези групи, което доказва, че тези групи от населението все още са маргинализирани и изоставени, когато става въпрос за най-новите постижения в борбата срещу СПИН.</w:t>
      </w:r>
    </w:p>
    <w:p w:rsidRPr="00A84EB0" w:rsidR="00423FD9" w:rsidP="00A84EB0" w:rsidRDefault="00423FD9" w14:paraId="077444D5" w14:textId="77777777">
      <w:pPr>
        <w:ind w:left="567"/>
        <w:rPr>
          <w:lang w:val="en-GB"/>
        </w:rPr>
      </w:pPr>
    </w:p>
    <w:p w:rsidRPr="00A84EB0" w:rsidR="00423FD9" w:rsidP="00423FD9" w:rsidRDefault="00423FD9" w14:paraId="12814778" w14:textId="77777777">
      <w:pPr>
        <w:pStyle w:val="Heading2"/>
        <w:numPr>
          <w:ilvl w:val="1"/>
          <w:numId w:val="2"/>
        </w:numPr>
      </w:pPr>
      <w:r>
        <w:t>Уязвимостта на тези подгрупи от населението може да зависи както от специфичните практики сред самите групи, така и от затруднения достъп до услуги, свързани с ХИВ, поради бедност и условия, дължащи се на маргинализация и изолация, преживени в различни социални условия по различни причини, например културни, религиозни и дори правни.</w:t>
      </w:r>
    </w:p>
    <w:p w:rsidRPr="00A84EB0" w:rsidR="00423FD9" w:rsidP="00A84EB0" w:rsidRDefault="00423FD9" w14:paraId="049F80E4" w14:textId="77777777">
      <w:pPr>
        <w:ind w:left="567"/>
        <w:rPr>
          <w:lang w:val="en-GB"/>
        </w:rPr>
      </w:pPr>
    </w:p>
    <w:p w:rsidRPr="00A84EB0" w:rsidR="00423FD9" w:rsidP="00423FD9" w:rsidRDefault="00423FD9" w14:paraId="76206A70" w14:textId="77777777">
      <w:pPr>
        <w:pStyle w:val="Heading2"/>
        <w:numPr>
          <w:ilvl w:val="1"/>
          <w:numId w:val="2"/>
        </w:numPr>
      </w:pPr>
      <w:r>
        <w:t>За да се достигне по-лесно до всички ключови групи от населението, включително живеещите в периферни райони, използването на улични единици следва да бъде разпространено и засилено, включително за предоставяне на основни услуги, като бързи тестове. Мобилните услуги ще могат да действат и като първи контакт за по-ефективни и устойчиви грижи за отделния човек на по-подходящи териториални места за хора, живеещи в периферни или труднодостъпни райони.</w:t>
      </w:r>
    </w:p>
    <w:p w:rsidRPr="00A84EB0" w:rsidR="00423FD9" w:rsidP="00A84EB0" w:rsidRDefault="00423FD9" w14:paraId="54A0530E" w14:textId="77777777">
      <w:pPr>
        <w:ind w:left="567"/>
        <w:rPr>
          <w:lang w:val="en-GB"/>
        </w:rPr>
      </w:pPr>
    </w:p>
    <w:p w:rsidRPr="00A84EB0" w:rsidR="00423FD9" w:rsidP="00423FD9" w:rsidRDefault="00423FD9" w14:paraId="259F3068" w14:textId="77777777">
      <w:pPr>
        <w:pStyle w:val="Heading2"/>
        <w:numPr>
          <w:ilvl w:val="1"/>
          <w:numId w:val="2"/>
        </w:numPr>
      </w:pPr>
      <w:r>
        <w:t xml:space="preserve">В някои ситуации жените са в още по-неравностойно положение от мъжете, те са в по-неблагоприятно икономическо положение, невинаги са в състояние да изразят съгласие </w:t>
      </w:r>
      <w:r>
        <w:lastRenderedPageBreak/>
        <w:t>или да откажат секс и често са жертви на насилие</w:t>
      </w:r>
      <w:r w:rsidRPr="00A84EB0">
        <w:rPr>
          <w:rStyle w:val="FootnoteReference"/>
          <w:lang w:val="en-GB"/>
        </w:rPr>
        <w:footnoteReference w:id="3"/>
      </w:r>
      <w:r>
        <w:t>. В други ситуации дискриминацията, свързана с определени практики, както и предразсъдъците, нетолерантността или дори наказателните закони, криминализиращи хомосексуалността, възпрепятстват свободния достъп до услуги. Много често се наблюдава и припокриване на различни фактори, които засилват уязвимостта.</w:t>
      </w:r>
    </w:p>
    <w:p w:rsidRPr="00A84EB0" w:rsidR="00423FD9" w:rsidP="00A84EB0" w:rsidRDefault="00423FD9" w14:paraId="6710C3F8" w14:textId="77777777">
      <w:pPr>
        <w:ind w:left="567"/>
        <w:rPr>
          <w:lang w:val="en-GB"/>
        </w:rPr>
      </w:pPr>
    </w:p>
    <w:p w:rsidRPr="00A84EB0" w:rsidR="00423FD9" w:rsidP="00423FD9" w:rsidRDefault="00423FD9" w14:paraId="093AF829" w14:textId="77777777">
      <w:pPr>
        <w:pStyle w:val="Heading2"/>
        <w:numPr>
          <w:ilvl w:val="1"/>
          <w:numId w:val="2"/>
        </w:numPr>
      </w:pPr>
      <w:r>
        <w:t>Хората с ХИВ трябва да имат равни възможности за достъп и професионално израстване в сферата на труда. Те следва да могат да се възползват и от специфични договорености, като гъвкаво работно време или удължен отпуск за медицински прегледи при гарантирана поверителност. В някои държави съществуват забрани лица, заразени с ХИВ, да заемат определени работни места, например в полицията, в митнически служби и центрове за задържане</w:t>
      </w:r>
      <w:r w:rsidRPr="00A84EB0">
        <w:rPr>
          <w:rStyle w:val="FootnoteReference"/>
          <w:lang w:val="en-GB"/>
        </w:rPr>
        <w:footnoteReference w:id="4"/>
      </w:r>
      <w:r>
        <w:t>. Хората, засегнати от ХИВ, все още се сблъскват с трудности и по-високи премии и лихвени проценти при кандидатстване за застраховане, ипотеки и заеми, въпреки че в някои държави членки са предприети мерки за улесняване на достъпа и ограничаване на увеличението на лихвените проценти за хората с тежки здравословни проблеми. ЕИСК призовава условията да отразяват подобряването на лечението, здравето и очакваната продължителност на живота. Поради това за подобряване на достъпа до такива финансови услуги следва да се използват анонимизираните статистически данни, налични в европейското пространство за здравни данни.</w:t>
      </w:r>
    </w:p>
    <w:p w:rsidRPr="00A84EB0" w:rsidR="00423FD9" w:rsidP="00A84EB0" w:rsidRDefault="00423FD9" w14:paraId="364EE20F" w14:textId="77777777">
      <w:pPr>
        <w:ind w:left="567"/>
        <w:rPr>
          <w:lang w:val="en-GB"/>
        </w:rPr>
      </w:pPr>
    </w:p>
    <w:p w:rsidRPr="00A84EB0" w:rsidR="00423FD9" w:rsidP="00423FD9" w:rsidRDefault="00423FD9" w14:paraId="0B4336E3" w14:textId="77777777">
      <w:pPr>
        <w:pStyle w:val="Heading2"/>
        <w:numPr>
          <w:ilvl w:val="1"/>
          <w:numId w:val="2"/>
        </w:numPr>
      </w:pPr>
      <w:r>
        <w:t>Епидемиологичната извънредна ситуация, свързана с COVID-19, оказа дълбоко въздействие върху здравните системи по света, като допълнително задълбочи съществуващите неравенства и затрудни постигането на целите на СЗО, особено в държавите с ограничени ресурси. Също така се счита, че прекъсването на мерките за превенция е довело до неизбежно увеличаване на случаите на ХИВ; това е достатъчно, за да се заличи целият напредък, постигнат чрез усилията, положени през предходните години.</w:t>
      </w:r>
    </w:p>
    <w:p w:rsidRPr="00A84EB0" w:rsidR="00423FD9" w:rsidP="00423FD9" w:rsidRDefault="00423FD9" w14:paraId="2C9D6959" w14:textId="77777777">
      <w:pPr>
        <w:pStyle w:val="Heading2"/>
        <w:numPr>
          <w:ilvl w:val="0"/>
          <w:numId w:val="0"/>
        </w:numPr>
        <w:ind w:left="567"/>
        <w:rPr>
          <w:lang w:val="en-GB"/>
        </w:rPr>
      </w:pPr>
    </w:p>
    <w:p w:rsidRPr="00A84EB0" w:rsidR="00423FD9" w:rsidP="00423FD9" w:rsidRDefault="00423FD9" w14:paraId="2DDF4EBB" w14:textId="77777777">
      <w:pPr>
        <w:pStyle w:val="Heading2"/>
        <w:numPr>
          <w:ilvl w:val="1"/>
          <w:numId w:val="2"/>
        </w:numPr>
      </w:pPr>
      <w:r>
        <w:t>В Европа основните групи от населението, които са най-силно засегнати от ХИВ, са наркозависимите, МСМ и мигрантите. Разпространението варира в географски аспект в зависимост от съответните държави. За да може епидемията от ХИВ да бъде преодоляна ефективно, е необходимо целенасочената информация и институционално прилаганите програми за превенция да достигнат до тези групи от населението, така че конкретните служби да могат проактивно да установят контакт с тях, евентуално чрез неправителствени сдружения в рамките на общността.</w:t>
      </w:r>
    </w:p>
    <w:p w:rsidRPr="00A84EB0" w:rsidR="00423FD9" w:rsidP="00A84EB0" w:rsidRDefault="00423FD9" w14:paraId="6ADC15C7" w14:textId="77777777">
      <w:pPr>
        <w:ind w:left="567"/>
        <w:rPr>
          <w:lang w:val="en-GB"/>
        </w:rPr>
      </w:pPr>
    </w:p>
    <w:p w:rsidRPr="00A84EB0" w:rsidR="00423FD9" w:rsidP="00423FD9" w:rsidRDefault="00423FD9" w14:paraId="183C55D4" w14:textId="77777777">
      <w:pPr>
        <w:pStyle w:val="Heading2"/>
        <w:numPr>
          <w:ilvl w:val="1"/>
          <w:numId w:val="2"/>
        </w:numPr>
      </w:pPr>
      <w:r>
        <w:t>Здравеопазването е неотменимо право на всеки човек</w:t>
      </w:r>
      <w:r w:rsidRPr="00A84EB0">
        <w:rPr>
          <w:rStyle w:val="FootnoteReference"/>
          <w:lang w:val="en-GB"/>
        </w:rPr>
        <w:footnoteReference w:id="5"/>
      </w:r>
      <w:r>
        <w:t xml:space="preserve">. Следователно достъпът до медицински грижи и до минимален общ стандарт на качествени услуги за благосъстоянието на хората, засегнати от ХИВ, трябва да бъде безплатен и гарантиран за всички хора, живеещи с ХИВ, без дискриминация и ограничения, в съответствие с </w:t>
      </w:r>
      <w:r>
        <w:lastRenderedPageBreak/>
        <w:t>препоръките на Международната класификация на болестите, както се прави за всяко друго заболяване. Спазването на принципите на равенство и ефективност трябва да бъде внимателно наблюдавано и контролирано.</w:t>
      </w:r>
    </w:p>
    <w:p w:rsidRPr="00A84EB0" w:rsidR="00423FD9" w:rsidP="00A84EB0" w:rsidRDefault="00423FD9" w14:paraId="5DB55418" w14:textId="77777777">
      <w:pPr>
        <w:pStyle w:val="Heading2"/>
        <w:numPr>
          <w:ilvl w:val="0"/>
          <w:numId w:val="0"/>
        </w:numPr>
        <w:rPr>
          <w:lang w:val="en-GB"/>
        </w:rPr>
      </w:pPr>
    </w:p>
    <w:p w:rsidRPr="00A84EB0" w:rsidR="00423FD9" w:rsidP="00423FD9" w:rsidRDefault="00423FD9" w14:paraId="106811C3" w14:textId="77777777">
      <w:pPr>
        <w:pStyle w:val="Heading1"/>
        <w:keepNext/>
        <w:keepLines/>
        <w:numPr>
          <w:ilvl w:val="0"/>
          <w:numId w:val="2"/>
        </w:numPr>
      </w:pPr>
      <w:r>
        <w:rPr>
          <w:b/>
        </w:rPr>
        <w:t>Наркозависими лица</w:t>
      </w:r>
    </w:p>
    <w:p w:rsidRPr="00A84EB0" w:rsidR="00423FD9" w:rsidP="00423FD9" w:rsidRDefault="00423FD9" w14:paraId="037E0EAE" w14:textId="77777777">
      <w:pPr>
        <w:keepNext/>
        <w:keepLines/>
        <w:rPr>
          <w:lang w:val="en-GB"/>
        </w:rPr>
      </w:pPr>
    </w:p>
    <w:p w:rsidRPr="00A84EB0" w:rsidR="00423FD9" w:rsidP="00423FD9" w:rsidRDefault="00423FD9" w14:paraId="1605DC77" w14:textId="77777777">
      <w:pPr>
        <w:pStyle w:val="Heading2"/>
        <w:numPr>
          <w:ilvl w:val="1"/>
          <w:numId w:val="2"/>
        </w:numPr>
      </w:pPr>
      <w:r>
        <w:t>Интравенозната наркотична зависимост винаги е била свързана с предаването на ХИВ поради обмена на заразени материали, използвани за употреба на наркотици. Употребата на наркотици, които не се прилагат интравенозно, обаче може да бъде свързана и с опасни сексуални практики, а следователно и с потенциален риск от заразяване и предаване на ХИВ, както и на други полово предавани инфекции. По-специално употребата на стимуланти като кокаин, крек и метамфетамин често се свързва с високорискови сексуални практики. Поради това предаването на ХИВ по полов път сред наркозависимите лица не трябва да се подценява.</w:t>
      </w:r>
    </w:p>
    <w:p w:rsidRPr="00A84EB0" w:rsidR="00423FD9" w:rsidP="00A84EB0" w:rsidRDefault="00423FD9" w14:paraId="79E77DFE" w14:textId="77777777">
      <w:pPr>
        <w:ind w:left="567"/>
        <w:rPr>
          <w:lang w:val="en-GB"/>
        </w:rPr>
      </w:pPr>
    </w:p>
    <w:p w:rsidRPr="00A84EB0" w:rsidR="00423FD9" w:rsidP="00423FD9" w:rsidRDefault="00423FD9" w14:paraId="40D98564" w14:textId="77777777">
      <w:pPr>
        <w:pStyle w:val="Heading2"/>
        <w:numPr>
          <w:ilvl w:val="1"/>
          <w:numId w:val="2"/>
        </w:numPr>
      </w:pPr>
      <w:r>
        <w:t>През 2018 г. над 80 % от случаите на заразяване с ХИВ в Източна Европа са били свързани с наркозависими, предимно много млади хора и основно жени. Младите жени са засегнати в по-голяма степен от мъжете, включително и заради проституцията, която е тясно свързана с употребата на наркотици. Локализирани епидемии от ХИВ са документирани и сред маргинализирани групи от инжекционно употребяващи наркотици лица в Западна Европа.</w:t>
      </w:r>
    </w:p>
    <w:p w:rsidRPr="00A84EB0" w:rsidR="00423FD9" w:rsidP="00A84EB0" w:rsidRDefault="00423FD9" w14:paraId="73DF1A94" w14:textId="77777777">
      <w:pPr>
        <w:ind w:left="567"/>
        <w:rPr>
          <w:lang w:val="en-GB"/>
        </w:rPr>
      </w:pPr>
    </w:p>
    <w:p w:rsidRPr="00A84EB0" w:rsidR="00423FD9" w:rsidP="00423FD9" w:rsidRDefault="00423FD9" w14:paraId="510B8405" w14:textId="77777777">
      <w:pPr>
        <w:pStyle w:val="Heading2"/>
        <w:numPr>
          <w:ilvl w:val="1"/>
          <w:numId w:val="2"/>
        </w:numPr>
      </w:pPr>
      <w:r>
        <w:t>При затворниците процентът на употреба на наркотици е по-висок и употребата е по-вредна в сравнение с общото население, включително парентерална употреба, което прави лишените от свобода наркозависими лица особено уязвими.</w:t>
      </w:r>
    </w:p>
    <w:p w:rsidRPr="00A84EB0" w:rsidR="00423FD9" w:rsidP="00A84EB0" w:rsidRDefault="00423FD9" w14:paraId="41D48F27" w14:textId="77777777">
      <w:pPr>
        <w:ind w:left="567"/>
        <w:rPr>
          <w:lang w:val="en-GB"/>
        </w:rPr>
      </w:pPr>
    </w:p>
    <w:p w:rsidRPr="00A84EB0" w:rsidR="00423FD9" w:rsidP="00423FD9" w:rsidRDefault="00423FD9" w14:paraId="1284B51F" w14:textId="77777777">
      <w:pPr>
        <w:pStyle w:val="Heading2"/>
        <w:numPr>
          <w:ilvl w:val="1"/>
          <w:numId w:val="2"/>
        </w:numPr>
      </w:pPr>
      <w:r>
        <w:t>Процентът на достъп до тестване сред наркозависимите е нисък и е по-вероятно те да бъдат късно диагностицирани. Дори в Италия изследваните за ХИВ наркозависими съставляват малък процент от всички местни потребители на услуги за лечение на зависимости и при липса на симптоми, свързани с ХИВ, е малко вероятно да им се предложи тестване.</w:t>
      </w:r>
    </w:p>
    <w:p w:rsidRPr="00A84EB0" w:rsidR="00423FD9" w:rsidP="00A84EB0" w:rsidRDefault="00423FD9" w14:paraId="08251399" w14:textId="77777777">
      <w:pPr>
        <w:ind w:left="567"/>
        <w:rPr>
          <w:lang w:val="en-GB"/>
        </w:rPr>
      </w:pPr>
    </w:p>
    <w:p w:rsidRPr="00A84EB0" w:rsidR="00423FD9" w:rsidP="00423FD9" w:rsidRDefault="00423FD9" w14:paraId="116D83F1" w14:textId="77777777">
      <w:pPr>
        <w:pStyle w:val="Heading2"/>
        <w:numPr>
          <w:ilvl w:val="1"/>
          <w:numId w:val="2"/>
        </w:numPr>
      </w:pPr>
      <w:r>
        <w:t>Достъпът до лечение за употребяващите наркотици безспорно е много малък, въпреки че е различен в отделните държави. Като цяло се счита, че само 8 % от наркозависимите са подложени на антиретровирусно лечение, а от всички лекуващи се лица само 20 % са наркозависими. В сравнение с хората с ХИВ сред общото население, при наркозависимите вероятността да постигнат вирусологична супресия също е по-малка. Това се дължи на факта, че по-нисък процент от наркозависимите се придържат към лечението и често го прекратяват изцяло. Това води до по-висок риск от смърт вследствие на СПИН сред ХИВ-позитивната популация от наркозависими лица.</w:t>
      </w:r>
    </w:p>
    <w:p w:rsidRPr="00A84EB0" w:rsidR="00423FD9" w:rsidP="00A84EB0" w:rsidRDefault="00423FD9" w14:paraId="316B603C" w14:textId="77777777">
      <w:pPr>
        <w:ind w:left="567"/>
        <w:rPr>
          <w:lang w:val="en-GB"/>
        </w:rPr>
      </w:pPr>
    </w:p>
    <w:p w:rsidRPr="00A84EB0" w:rsidR="00423FD9" w:rsidP="00423FD9" w:rsidRDefault="00423FD9" w14:paraId="7F57B3A9" w14:textId="77777777">
      <w:pPr>
        <w:pStyle w:val="Heading2"/>
        <w:numPr>
          <w:ilvl w:val="1"/>
          <w:numId w:val="2"/>
        </w:numPr>
      </w:pPr>
      <w:r>
        <w:t>За да постигнем целта за осигуряване на всеобщ достъп до лечение на ХИВ както в Европа, така и извън нея, са необходими програми, насочени към по-ефективно достигане до наркозависимите.</w:t>
      </w:r>
    </w:p>
    <w:p w:rsidRPr="00A84EB0" w:rsidR="00423FD9" w:rsidP="00423FD9" w:rsidRDefault="00423FD9" w14:paraId="629460BD" w14:textId="77777777">
      <w:pPr>
        <w:rPr>
          <w:lang w:val="en-GB"/>
        </w:rPr>
      </w:pPr>
    </w:p>
    <w:p w:rsidRPr="00A84EB0" w:rsidR="00423FD9" w:rsidP="00423FD9" w:rsidRDefault="00423FD9" w14:paraId="715026B9" w14:textId="77777777">
      <w:pPr>
        <w:pStyle w:val="Heading1"/>
        <w:keepNext/>
        <w:keepLines/>
        <w:numPr>
          <w:ilvl w:val="0"/>
          <w:numId w:val="2"/>
        </w:numPr>
      </w:pPr>
      <w:r>
        <w:rPr>
          <w:b/>
        </w:rPr>
        <w:lastRenderedPageBreak/>
        <w:t>Мъже, които имат сексуални контакти с мъже (МСМ)</w:t>
      </w:r>
    </w:p>
    <w:p w:rsidRPr="00A84EB0" w:rsidR="00423FD9" w:rsidP="00423FD9" w:rsidRDefault="00423FD9" w14:paraId="2AEA6EE9" w14:textId="77777777">
      <w:pPr>
        <w:keepNext/>
        <w:keepLines/>
        <w:rPr>
          <w:lang w:val="en-GB"/>
        </w:rPr>
      </w:pPr>
    </w:p>
    <w:p w:rsidRPr="00A84EB0" w:rsidR="00423FD9" w:rsidP="00423FD9" w:rsidRDefault="00423FD9" w14:paraId="7EADA31A" w14:textId="77777777">
      <w:pPr>
        <w:pStyle w:val="Heading2"/>
        <w:numPr>
          <w:ilvl w:val="1"/>
          <w:numId w:val="2"/>
        </w:numPr>
      </w:pPr>
      <w:r>
        <w:t>Като цяло рискът от заразяване с ХИВ при MСM или мъжете, които имат сексуални контакти с мъже, е 27 пъти по-висок, отколкото при общото население</w:t>
      </w:r>
      <w:r w:rsidRPr="00A84EB0">
        <w:rPr>
          <w:rStyle w:val="FootnoteReference"/>
          <w:lang w:val="en-GB"/>
        </w:rPr>
        <w:footnoteReference w:id="6"/>
      </w:r>
      <w:r>
        <w:t>. Някои биологични фактори улесняват заразяването с ХИВ. Повечето MСM се заразяват с ХИВ чрез незащитен анален секс, който е най-високорисковият начин за заразяване с ХИВ в сравнение с други сексуални практики. В тази група от населението големият брой сексуални партньори и широко разпространената употреба на вещества за развлечение, включително интравенозни наркотици (които често включват секс, наречен „химичен секс“), също могат да допринесат за широкото разпространение на ХИВ сред МСМ.</w:t>
      </w:r>
    </w:p>
    <w:p w:rsidRPr="00A84EB0" w:rsidR="00423FD9" w:rsidP="00A84EB0" w:rsidRDefault="00423FD9" w14:paraId="66572111" w14:textId="77777777">
      <w:pPr>
        <w:ind w:left="567"/>
        <w:rPr>
          <w:lang w:val="en-GB"/>
        </w:rPr>
      </w:pPr>
    </w:p>
    <w:p w:rsidRPr="00A84EB0" w:rsidR="00423FD9" w:rsidP="00423FD9" w:rsidRDefault="00423FD9" w14:paraId="379C767F" w14:textId="77777777">
      <w:pPr>
        <w:pStyle w:val="Heading2"/>
        <w:numPr>
          <w:ilvl w:val="1"/>
          <w:numId w:val="2"/>
        </w:numPr>
      </w:pPr>
      <w:r>
        <w:t>Все по-голямото наличие на антиретровирусно лечение, което доведе до значителен спад в разпространението на ХИВ като цяло, няма същия ефект сред МСМ. Напротив, през последните години в много западни държави се наблюдава увеличаване на разпространението на ХИВ сред тази популация</w:t>
      </w:r>
      <w:r w:rsidRPr="00A84EB0">
        <w:rPr>
          <w:rStyle w:val="FootnoteReference"/>
          <w:lang w:val="en-GB"/>
        </w:rPr>
        <w:footnoteReference w:id="7"/>
      </w:r>
      <w:r>
        <w:t>, както и постепенно увеличаване на дела на случаите, дължащи се на заразяване от МСМ.</w:t>
      </w:r>
    </w:p>
    <w:p w:rsidRPr="00A84EB0" w:rsidR="00423FD9" w:rsidP="00A84EB0" w:rsidRDefault="00423FD9" w14:paraId="087AC081" w14:textId="77777777">
      <w:pPr>
        <w:ind w:left="567"/>
        <w:rPr>
          <w:lang w:val="en-GB"/>
        </w:rPr>
      </w:pPr>
    </w:p>
    <w:p w:rsidRPr="00A84EB0" w:rsidR="00423FD9" w:rsidP="00423FD9" w:rsidRDefault="00423FD9" w14:paraId="6837CA96" w14:textId="77777777">
      <w:pPr>
        <w:pStyle w:val="Heading2"/>
        <w:numPr>
          <w:ilvl w:val="1"/>
          <w:numId w:val="2"/>
        </w:numPr>
      </w:pPr>
      <w:r>
        <w:t>Презервативите помагат да се предотврати предаването на ХИВ, а също и на други полово предавани инфекции; използването на презервативи обаче не е толкова широко разпространено поради културни, образователни и свързани с предлагането пречки, които отразяват различните социални среди и здравни услуги.</w:t>
      </w:r>
    </w:p>
    <w:p w:rsidRPr="00A84EB0" w:rsidR="00423FD9" w:rsidP="00423FD9" w:rsidRDefault="00423FD9" w14:paraId="3F63BF66" w14:textId="2BD7EB12">
      <w:pPr>
        <w:pStyle w:val="Heading2"/>
        <w:numPr>
          <w:ilvl w:val="0"/>
          <w:numId w:val="0"/>
        </w:numPr>
        <w:ind w:left="567"/>
        <w:rPr>
          <w:lang w:val="en-GB"/>
        </w:rPr>
      </w:pPr>
    </w:p>
    <w:p w:rsidRPr="00A84EB0" w:rsidR="00423FD9" w:rsidP="00423FD9" w:rsidRDefault="00423FD9" w14:paraId="70B27CE6" w14:textId="77777777">
      <w:pPr>
        <w:pStyle w:val="Heading2"/>
        <w:numPr>
          <w:ilvl w:val="1"/>
          <w:numId w:val="2"/>
        </w:numPr>
      </w:pPr>
      <w:r>
        <w:t>В много страни и при много индивидуални обстоятелства съществуват различни пречки пред достъпа до средства за превенция, дължащи се на стигматизиране, хомофобия и дискриминация, които затрудняват достъпа до здравни услуги и подходяща информация. Съществуват много случаи, при които наказателните закони криминализират лица, които имат сексуални отношения с хора от същия пол, което ги принуждава да се прикриват и да крият сексуалната си ориентация или, още по-лошо, самоличността си. Дори когато законите не са открито дискриминационни, стигматизирането и страхът обезсърчават достъпа на хората до услуги, свързани с ХИВ, поради което те не са запознати с наличните средства за предпазване от заразяване с ХИВ.</w:t>
      </w:r>
    </w:p>
    <w:p w:rsidRPr="00A84EB0" w:rsidR="00423FD9" w:rsidP="00423FD9" w:rsidRDefault="00423FD9" w14:paraId="0A6E8363" w14:textId="77777777">
      <w:pPr>
        <w:rPr>
          <w:lang w:val="en-GB"/>
        </w:rPr>
      </w:pPr>
    </w:p>
    <w:p w:rsidRPr="00A84EB0" w:rsidR="00423FD9" w:rsidP="00423FD9" w:rsidRDefault="00423FD9" w14:paraId="4CB31BF2" w14:textId="77777777">
      <w:pPr>
        <w:pStyle w:val="Heading2"/>
        <w:numPr>
          <w:ilvl w:val="1"/>
          <w:numId w:val="2"/>
        </w:numPr>
      </w:pPr>
      <w:r>
        <w:t>Стигматизирането оказва въздействие и върху достъпа до изследвания и диагностика. Много МСМ съобщават, че се страхуват от осъждане от страна на здравните специалисти и се въздържат от тестване, което често води до късно диагностициране. Когато не са наясно с инфекциозния си статус, те нямат достъп до антиретровирусни лекарства, които освен че биха повлияли на здравето на засегнатите лица, намаляват риска от предаване на заразата на сексуалните им партньори.</w:t>
      </w:r>
    </w:p>
    <w:p w:rsidRPr="00A84EB0" w:rsidR="00423FD9" w:rsidP="000F471A" w:rsidRDefault="00423FD9" w14:paraId="0E43E87C" w14:textId="77777777">
      <w:pPr>
        <w:ind w:left="567"/>
        <w:rPr>
          <w:lang w:val="en-GB"/>
        </w:rPr>
      </w:pPr>
    </w:p>
    <w:p w:rsidRPr="00A84EB0" w:rsidR="00423FD9" w:rsidP="00423FD9" w:rsidRDefault="00423FD9" w14:paraId="5E3AA128" w14:textId="77777777">
      <w:pPr>
        <w:pStyle w:val="Heading2"/>
        <w:numPr>
          <w:ilvl w:val="1"/>
          <w:numId w:val="2"/>
        </w:numPr>
      </w:pPr>
      <w:r>
        <w:lastRenderedPageBreak/>
        <w:t>Много мъже съобщават, че биха предпочели да бъдат тествани извън традиционните здравни заведения. В различни ситуации подкрепяните от общността програми за тестване (неправителствени сдружения) могат да бъдат отличен начин за насърчаване на профилактиката и осигуряване на достъп до тестване за онези, които са изложени на най-голям риск и при които процентът на заразяване е по-висок.</w:t>
      </w:r>
    </w:p>
    <w:p w:rsidRPr="00A84EB0" w:rsidR="00423FD9" w:rsidP="000F471A" w:rsidRDefault="00423FD9" w14:paraId="0A4559A5" w14:textId="77777777">
      <w:pPr>
        <w:ind w:left="567"/>
        <w:rPr>
          <w:lang w:val="en-GB"/>
        </w:rPr>
      </w:pPr>
    </w:p>
    <w:p w:rsidRPr="00A84EB0" w:rsidR="00423FD9" w:rsidP="00423FD9" w:rsidRDefault="00423FD9" w14:paraId="218CC7D0" w14:textId="77777777">
      <w:pPr>
        <w:pStyle w:val="Heading2"/>
        <w:numPr>
          <w:ilvl w:val="1"/>
          <w:numId w:val="2"/>
        </w:numPr>
      </w:pPr>
      <w:r>
        <w:t>За да се гарантира, че целта 90—90—90 може да бъде постигната и сред популацията от МСМ, от съществено значение е сътрудничеството между общностите и институциите.</w:t>
      </w:r>
    </w:p>
    <w:p w:rsidRPr="00A84EB0" w:rsidR="00423FD9" w:rsidRDefault="00423FD9" w14:paraId="30DA4B3C" w14:textId="77777777">
      <w:pPr>
        <w:pStyle w:val="Heading1"/>
        <w:numPr>
          <w:ilvl w:val="0"/>
          <w:numId w:val="0"/>
        </w:numPr>
        <w:rPr>
          <w:lang w:val="en-GB"/>
        </w:rPr>
      </w:pPr>
    </w:p>
    <w:p w:rsidRPr="000F471A" w:rsidR="00423FD9" w:rsidP="00423FD9" w:rsidRDefault="00423FD9" w14:paraId="4184FA03" w14:textId="77777777">
      <w:pPr>
        <w:pStyle w:val="Heading1"/>
        <w:keepNext/>
        <w:keepLines/>
        <w:numPr>
          <w:ilvl w:val="0"/>
          <w:numId w:val="2"/>
        </w:numPr>
      </w:pPr>
      <w:r>
        <w:rPr>
          <w:b/>
        </w:rPr>
        <w:t>Мигранти</w:t>
      </w:r>
    </w:p>
    <w:p w:rsidRPr="00A84EB0" w:rsidR="00423FD9" w:rsidP="00423FD9" w:rsidRDefault="00423FD9" w14:paraId="25782E4B" w14:textId="77777777">
      <w:pPr>
        <w:keepNext/>
        <w:keepLines/>
        <w:rPr>
          <w:lang w:val="en-GB"/>
        </w:rPr>
      </w:pPr>
    </w:p>
    <w:p w:rsidRPr="00A84EB0" w:rsidR="00423FD9" w:rsidP="00423FD9" w:rsidRDefault="00423FD9" w14:paraId="0E94A7A0" w14:textId="77777777">
      <w:pPr>
        <w:pStyle w:val="Heading2"/>
        <w:numPr>
          <w:ilvl w:val="1"/>
          <w:numId w:val="2"/>
        </w:numPr>
      </w:pPr>
      <w:r>
        <w:t>Смята се, че по света има около 231 милиона мигранти. Миграцията поставя хората в положение на изключителна уязвимост към заразяване с ХИВ поради социално-икономически и политически фактори, а в някои държави тя дори е определена като най-високият рисков фактор за ХИВ. Мигрантите ежедневно се сблъскват с пречки, които затрудняват достъпа до здравни и социални услуги. Социалното изключване по-специално прави мигрантите изключително уязвими към ХИВ.</w:t>
      </w:r>
    </w:p>
    <w:p w:rsidRPr="00A84EB0" w:rsidR="00423FD9" w:rsidP="00423FD9" w:rsidRDefault="00423FD9" w14:paraId="77EF5753" w14:textId="77777777">
      <w:pPr>
        <w:pStyle w:val="Heading2"/>
        <w:numPr>
          <w:ilvl w:val="0"/>
          <w:numId w:val="0"/>
        </w:numPr>
        <w:ind w:left="567"/>
        <w:rPr>
          <w:lang w:val="en-GB"/>
        </w:rPr>
      </w:pPr>
    </w:p>
    <w:p w:rsidRPr="00A84EB0" w:rsidR="00423FD9" w:rsidP="00423FD9" w:rsidRDefault="00423FD9" w14:paraId="33F5FFD1" w14:textId="77777777">
      <w:pPr>
        <w:pStyle w:val="Heading2"/>
        <w:numPr>
          <w:ilvl w:val="1"/>
          <w:numId w:val="2"/>
        </w:numPr>
      </w:pPr>
      <w:r>
        <w:t>Повече от една трета от новодиагностицираните случаи на ХИВ в ЕС са сред мигранти</w:t>
      </w:r>
      <w:r w:rsidRPr="00A84EB0">
        <w:rPr>
          <w:rStyle w:val="FootnoteReference"/>
          <w:lang w:val="en-GB"/>
        </w:rPr>
        <w:footnoteReference w:id="8"/>
      </w:r>
      <w:r>
        <w:t>. Въпреки че този брой намалява, половината от мигрантите, диагностицирани с ХИВ, идват от страни с висока ендемичност (например Африка на юг от Сахара), което показва заразяване, възникнало на континента, от който произхождат. Съществуват все повече доказателства, че значителна част от случаите на заразяване възникват след миграцията, в приемащата държава</w:t>
      </w:r>
      <w:r w:rsidRPr="00A84EB0">
        <w:rPr>
          <w:rStyle w:val="FootnoteReference"/>
          <w:lang w:val="en-GB"/>
        </w:rPr>
        <w:footnoteReference w:id="9"/>
      </w:r>
      <w:r>
        <w:t>. Освен това не трябва да се подценява възможността за заразяване през периоди на временни посещения в държавата на произход.</w:t>
      </w:r>
    </w:p>
    <w:p w:rsidRPr="00A84EB0" w:rsidR="00423FD9" w:rsidP="000F471A" w:rsidRDefault="00423FD9" w14:paraId="7F63C7B8" w14:textId="77777777">
      <w:pPr>
        <w:ind w:left="567"/>
        <w:rPr>
          <w:lang w:val="en-GB"/>
        </w:rPr>
      </w:pPr>
    </w:p>
    <w:p w:rsidRPr="00A84EB0" w:rsidR="00423FD9" w:rsidP="00423FD9" w:rsidRDefault="00423FD9" w14:paraId="31F1D308" w14:textId="77777777">
      <w:pPr>
        <w:pStyle w:val="Heading2"/>
        <w:numPr>
          <w:ilvl w:val="1"/>
          <w:numId w:val="2"/>
        </w:numPr>
      </w:pPr>
      <w:r>
        <w:t>Жените съставляват значителен дял от чужденците с ХИВ. Докато делът на жените сред новодиагностицираните случаи на ХИВ сред граждани на ЕС е 16 %, сред чужденците — предимно жени от Африка — този брой се увеличава до 40 %.</w:t>
      </w:r>
    </w:p>
    <w:p w:rsidRPr="00A84EB0" w:rsidR="00423FD9" w:rsidP="000F471A" w:rsidRDefault="00423FD9" w14:paraId="2539B70B" w14:textId="77777777">
      <w:pPr>
        <w:ind w:left="567"/>
        <w:rPr>
          <w:lang w:val="en-GB"/>
        </w:rPr>
      </w:pPr>
    </w:p>
    <w:p w:rsidRPr="00A84EB0" w:rsidR="00423FD9" w:rsidP="00423FD9" w:rsidRDefault="00423FD9" w14:paraId="322FF25F" w14:textId="77777777">
      <w:pPr>
        <w:pStyle w:val="Heading2"/>
        <w:numPr>
          <w:ilvl w:val="1"/>
          <w:numId w:val="2"/>
        </w:numPr>
      </w:pPr>
      <w:r>
        <w:t xml:space="preserve">Доклад на Европейския център за профилактика и контрол върху заболяванията (ECDC), публикуван през 2017 г. (насочен изцяло към темата за мигрантите с ХИВ), показва, че чужденците в Европа изпитват затруднения при достъпа до услуги за превенция на ХИВ и до тестване за ХИВ. Като основни пречки се посочват стигматизирането и дискриминацията, особено по отношение на хора от държави с висока степен на разпространение на заразата (включително стигматизиране и дискриминация от страна на здравните специалисти). В резултат на това чужденците с ХИВ получават диагнозата си по-късно от европейските граждани, когато симптомите на имунна недостатъчност вече са налице. След като бъдат диагностицирани, чужденците, особено тези, които нямат разрешение за законно пребиваване, също имат проблеми с достъпа до лечение. Петнадесет държави не им осигуряват подходящо антиретровирусно лечение, като </w:t>
      </w:r>
      <w:r>
        <w:lastRenderedPageBreak/>
        <w:t>отново не изпълняват ангажиментите, поети през 2004 г. в Дъблинската конвенция за борба с дискриминацията и нарушаването на правата на най-слабите и най-уязвимите групи от населението, които винаги са били по-малко защитени.</w:t>
      </w:r>
    </w:p>
    <w:p w:rsidRPr="00A84EB0" w:rsidR="00423FD9" w:rsidP="00423FD9" w:rsidRDefault="00423FD9" w14:paraId="7471E406" w14:textId="77777777">
      <w:pPr>
        <w:rPr>
          <w:lang w:val="en-GB"/>
        </w:rPr>
      </w:pPr>
    </w:p>
    <w:p w:rsidRPr="00A84EB0" w:rsidR="00423FD9" w:rsidP="00423FD9" w:rsidRDefault="00423FD9" w14:paraId="5045BF40" w14:textId="682B1E6F">
      <w:r>
        <w:t>Брюксел, 14 юни 2023 г.</w:t>
      </w:r>
    </w:p>
    <w:p w:rsidRPr="00A84EB0" w:rsidR="00423FD9" w:rsidP="00423FD9" w:rsidRDefault="00423FD9" w14:paraId="1EC6EADF" w14:textId="77777777">
      <w:pPr>
        <w:rPr>
          <w:lang w:val="en-GB"/>
        </w:rPr>
      </w:pPr>
    </w:p>
    <w:p w:rsidRPr="00A84EB0" w:rsidR="00423FD9" w:rsidP="00423FD9" w:rsidRDefault="00423FD9" w14:paraId="502D20B6" w14:textId="77777777">
      <w:pPr>
        <w:jc w:val="left"/>
        <w:rPr>
          <w:lang w:val="en-GB"/>
        </w:rPr>
      </w:pPr>
    </w:p>
    <w:p w:rsidRPr="00A84EB0" w:rsidR="00423FD9" w:rsidP="00423FD9" w:rsidRDefault="00423FD9" w14:paraId="6E4CCCB1" w14:textId="77777777">
      <w:pPr>
        <w:jc w:val="left"/>
        <w:rPr>
          <w:lang w:val="en-GB"/>
        </w:rPr>
      </w:pPr>
    </w:p>
    <w:p w:rsidRPr="00A84EB0" w:rsidR="00423FD9" w:rsidP="00423FD9" w:rsidRDefault="00423FD9" w14:paraId="135595B2" w14:textId="77777777">
      <w:pPr>
        <w:jc w:val="left"/>
        <w:rPr>
          <w:lang w:val="en-GB"/>
        </w:rPr>
      </w:pPr>
    </w:p>
    <w:p w:rsidRPr="00A84EB0" w:rsidR="00E2376B" w:rsidP="00423FD9" w:rsidRDefault="006503E2" w14:paraId="4A5CF83B" w14:textId="5A7EA566">
      <w:pPr>
        <w:jc w:val="left"/>
      </w:pPr>
      <w:r>
        <w:t>Oliver Röpke,</w:t>
      </w:r>
      <w:r>
        <w:br/>
        <w:t>председател на Европейския икономически и социален комитет</w:t>
      </w:r>
    </w:p>
    <w:p w:rsidRPr="00A84EB0" w:rsidR="00423FD9" w:rsidP="00423FD9" w:rsidRDefault="00423FD9" w14:paraId="7BD1BBDD" w14:textId="32D96F96">
      <w:pPr>
        <w:jc w:val="left"/>
        <w:rPr>
          <w:lang w:val="en-GB"/>
        </w:rPr>
      </w:pPr>
    </w:p>
    <w:p w:rsidRPr="00A84EB0" w:rsidR="00F53370" w:rsidP="00DB7F50" w:rsidRDefault="00E2376B" w14:paraId="6BABC1C7" w14:textId="77777777">
      <w:pPr>
        <w:jc w:val="center"/>
      </w:pPr>
      <w:r>
        <w:t>________________</w:t>
      </w:r>
    </w:p>
    <w:sectPr w:rsidRPr="00A84EB0" w:rsidR="00F53370"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7714" w14:textId="77777777" w:rsidR="00D039AF" w:rsidRDefault="00D039AF" w:rsidP="00F53370">
      <w:pPr>
        <w:spacing w:line="240" w:lineRule="auto"/>
      </w:pPr>
      <w:r>
        <w:separator/>
      </w:r>
    </w:p>
  </w:endnote>
  <w:endnote w:type="continuationSeparator" w:id="0">
    <w:p w14:paraId="16AEA785" w14:textId="77777777"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E434" w14:textId="77777777" w:rsidR="00653E7D" w:rsidRDefault="0065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B71B" w14:textId="77777777" w:rsidR="00653E7D" w:rsidRDefault="0065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E58E" w14:textId="77777777" w:rsidR="00653E7D" w:rsidRDefault="00653E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742EBCE6" w:rsidR="0084105C" w:rsidRPr="003065C9" w:rsidRDefault="0037679F" w:rsidP="0037679F">
    <w:pPr>
      <w:pStyle w:val="Footer"/>
      <w:jc w:val="left"/>
    </w:pPr>
    <w:r>
      <w:t xml:space="preserve">SOC/758 – EESC-2023-00863-00-00-AC-TRA (EN) </w:t>
    </w:r>
    <w:r>
      <w:fldChar w:fldCharType="begin"/>
    </w:r>
    <w:r>
      <w:instrText xml:space="preserve"> PAGE  \* Arabic  \* MERGEFORMAT </w:instrText>
    </w:r>
    <w:r>
      <w:fldChar w:fldCharType="separate"/>
    </w:r>
    <w:r>
      <w:t>11</w:t>
    </w:r>
    <w:r>
      <w:fldChar w:fldCharType="end"/>
    </w:r>
    <w:r>
      <w:t>/</w:t>
    </w:r>
    <w:r>
      <w:fldChar w:fldCharType="begin"/>
    </w:r>
    <w:r>
      <w:instrText xml:space="preserve"> = </w:instrText>
    </w:r>
    <w:fldSimple w:instr=" NUMPAGES ">
      <w:r w:rsidR="00C22708">
        <w:rPr>
          <w:noProof/>
        </w:rPr>
        <w:instrText>15</w:instrText>
      </w:r>
    </w:fldSimple>
    <w:r>
      <w:instrText xml:space="preserve"> - 2 </w:instrText>
    </w:r>
    <w:r>
      <w:fldChar w:fldCharType="separate"/>
    </w:r>
    <w:r w:rsidR="00C2270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9AB8" w14:textId="77777777" w:rsidR="00D039AF" w:rsidRDefault="00D039AF" w:rsidP="00F53370">
      <w:pPr>
        <w:spacing w:line="240" w:lineRule="auto"/>
      </w:pPr>
      <w:r>
        <w:separator/>
      </w:r>
    </w:p>
  </w:footnote>
  <w:footnote w:type="continuationSeparator" w:id="0">
    <w:p w14:paraId="206293A6" w14:textId="77777777" w:rsidR="00D039AF" w:rsidRDefault="00D039AF" w:rsidP="00F53370">
      <w:pPr>
        <w:spacing w:line="240" w:lineRule="auto"/>
      </w:pPr>
      <w:r>
        <w:continuationSeparator/>
      </w:r>
    </w:p>
  </w:footnote>
  <w:footnote w:id="1">
    <w:p w14:paraId="18D004EB" w14:textId="77777777" w:rsidR="00423FD9" w:rsidRDefault="00423FD9" w:rsidP="00423FD9">
      <w:pPr>
        <w:pStyle w:val="FootnoteText"/>
        <w:rPr>
          <w:sz w:val="12"/>
          <w:szCs w:val="18"/>
        </w:rPr>
      </w:pPr>
      <w:r>
        <w:rPr>
          <w:rStyle w:val="FootnoteReference"/>
        </w:rPr>
        <w:footnoteRef/>
      </w:r>
      <w:r>
        <w:tab/>
        <w:t xml:space="preserve">Европейски център за профилактика и контрол върху заболяванията, </w:t>
      </w:r>
      <w:r>
        <w:rPr>
          <w:i/>
        </w:rPr>
        <w:t>Оперативни съображения за осигуряване на непрекъснатост в грижите за ХИВ за бежанците от Украйна в ЕС/ЕИП</w:t>
      </w:r>
      <w:r>
        <w:t>, 5 юли 2022 г., Стокхолм: ECDC; 2022 г.</w:t>
      </w:r>
    </w:p>
  </w:footnote>
  <w:footnote w:id="2">
    <w:p w14:paraId="7F59716D" w14:textId="77777777" w:rsidR="00423FD9" w:rsidRPr="00A84EB0" w:rsidRDefault="00423FD9" w:rsidP="00423FD9">
      <w:pPr>
        <w:pStyle w:val="FootnoteText"/>
      </w:pPr>
      <w:r>
        <w:rPr>
          <w:rStyle w:val="FootnoteReference"/>
        </w:rPr>
        <w:footnoteRef/>
      </w:r>
      <w:r>
        <w:tab/>
        <w:t>През 2016 г. световните лидери подписаха Политическа декларация на ООН за прекратяване на епидемията от СПИН, в която се признава съществената роля на общностите в застъпничеството, участието в координирането на борбата със СПИН и предоставянето на услуги.</w:t>
      </w:r>
      <w:r>
        <w:rPr>
          <w:color w:val="000000"/>
        </w:rPr>
        <w:t xml:space="preserve"> Освен това се признава, че борбата на общностите с ХИВ трябва да бъде засилена и се поема ангажимент до 2030 г. най-малко 30 % от услугите да бъдат ръководени от общностите.</w:t>
      </w:r>
    </w:p>
  </w:footnote>
  <w:footnote w:id="3">
    <w:p w14:paraId="25615C6F" w14:textId="77777777" w:rsidR="00423FD9" w:rsidRDefault="00423FD9" w:rsidP="00423FD9">
      <w:pPr>
        <w:pStyle w:val="FootnoteText"/>
      </w:pPr>
      <w:r>
        <w:rPr>
          <w:rStyle w:val="FootnoteReference"/>
        </w:rPr>
        <w:footnoteRef/>
      </w:r>
      <w:r>
        <w:tab/>
        <w:t>Въпреки че ЕС подписа Истанбулската конвенцията през 2017 г., тя все още не е ратифицирана от някои държави членки.</w:t>
      </w:r>
    </w:p>
  </w:footnote>
  <w:footnote w:id="4">
    <w:p w14:paraId="2323CF4A" w14:textId="77777777" w:rsidR="00423FD9" w:rsidRDefault="00423FD9" w:rsidP="00423FD9">
      <w:pPr>
        <w:pStyle w:val="FootnoteText"/>
      </w:pPr>
      <w:r>
        <w:rPr>
          <w:rStyle w:val="FootnoteReference"/>
        </w:rPr>
        <w:footnoteRef/>
      </w:r>
      <w:r>
        <w:tab/>
        <w:t>Разпоредби, често още от ранните години на епидемията от ХИВ, когато се знаеше по-малко за заразата и не съществуваше лечение.</w:t>
      </w:r>
    </w:p>
  </w:footnote>
  <w:footnote w:id="5">
    <w:p w14:paraId="2FD40FDE" w14:textId="77777777" w:rsidR="00423FD9" w:rsidRDefault="00423FD9" w:rsidP="00423FD9">
      <w:pPr>
        <w:pStyle w:val="FootnoteText"/>
      </w:pPr>
      <w:r>
        <w:rPr>
          <w:rStyle w:val="FootnoteReference"/>
        </w:rPr>
        <w:footnoteRef/>
      </w:r>
      <w:r>
        <w:tab/>
        <w:t>Както е посочено в член 25 от Всеобщата декларация за правата на човека и в член 35 от Хартата на основните права на Европейския съюз.</w:t>
      </w:r>
    </w:p>
  </w:footnote>
  <w:footnote w:id="6">
    <w:p w14:paraId="75718426" w14:textId="77777777" w:rsidR="00423FD9" w:rsidRDefault="00423FD9" w:rsidP="00423FD9">
      <w:pPr>
        <w:pStyle w:val="FootnoteText"/>
      </w:pPr>
      <w:r>
        <w:rPr>
          <w:rStyle w:val="FootnoteReference"/>
        </w:rPr>
        <w:footnoteRef/>
      </w:r>
      <w:r>
        <w:tab/>
        <w:t>Въпреки че в световен мащаб рискът от заразяване с ХИВ е по-висок при МСМ, равнищата на заразяване варират в различните географски райони: МСМ представляват 50 % от всички новорегистрирани случаи на ХИВ в Северна Америка и Западна Европа, 47 % от регистрираните случаи в Латинска Америка, около 20 % от регистрираните случаи в Източна Европа, Азия, Близкия изток и Северна Африка и 12 % от регистрираните случаи в Африка.</w:t>
      </w:r>
    </w:p>
  </w:footnote>
  <w:footnote w:id="7">
    <w:p w14:paraId="1EE7911B" w14:textId="77777777" w:rsidR="00423FD9" w:rsidRDefault="00423FD9" w:rsidP="00423FD9">
      <w:pPr>
        <w:pStyle w:val="FootnoteText"/>
      </w:pPr>
      <w:r>
        <w:rPr>
          <w:rStyle w:val="FootnoteReference"/>
        </w:rPr>
        <w:footnoteRef/>
      </w:r>
      <w:r>
        <w:t xml:space="preserve"> </w:t>
      </w:r>
      <w:r>
        <w:tab/>
        <w:t>В Западна Европа между 2010 г. и 2014 г. броят на ХИВ-позитивните хора сред популацията от МСМ се е увеличил с почти 20 %.</w:t>
      </w:r>
      <w:r>
        <w:rPr>
          <w:color w:val="000000"/>
        </w:rPr>
        <w:t xml:space="preserve"> </w:t>
      </w:r>
      <w:r>
        <w:t>Сред мъжете в Италия повечето новодиагностицирани случаи на ХИВ са сред популацията от МСМ.</w:t>
      </w:r>
    </w:p>
  </w:footnote>
  <w:footnote w:id="8">
    <w:p w14:paraId="34B6707B" w14:textId="77777777" w:rsidR="00423FD9" w:rsidRDefault="00423FD9" w:rsidP="00423FD9">
      <w:pPr>
        <w:pStyle w:val="FootnoteText"/>
      </w:pPr>
      <w:r>
        <w:rPr>
          <w:rStyle w:val="FootnoteReference"/>
        </w:rPr>
        <w:footnoteRef/>
      </w:r>
      <w:r>
        <w:t xml:space="preserve"> </w:t>
      </w:r>
      <w:r>
        <w:tab/>
        <w:t>Делът на мигрантите сред новодиагностицираните случаи на ХИВ е различен в отделните държави, като варира от 70 % в Люксембург и Швеция до 5 % в някои източни държави като Полша, Литва и Румъния.</w:t>
      </w:r>
      <w:r>
        <w:rPr>
          <w:color w:val="000000"/>
        </w:rPr>
        <w:t xml:space="preserve"> В повече от 10 държави те са над 50 %.</w:t>
      </w:r>
    </w:p>
  </w:footnote>
  <w:footnote w:id="9">
    <w:p w14:paraId="5605F6F3" w14:textId="77777777" w:rsidR="00423FD9" w:rsidRDefault="00423FD9" w:rsidP="00423FD9">
      <w:pPr>
        <w:pStyle w:val="FootnoteText"/>
      </w:pPr>
      <w:r>
        <w:rPr>
          <w:rStyle w:val="FootnoteReference"/>
        </w:rPr>
        <w:footnoteRef/>
      </w:r>
      <w:r>
        <w:tab/>
        <w:t>Оценките за заразяване с ХИВ след миграцията варират от минимум 2 % сред мигрантите от Африка на юг от Сахара в Швейцария до 62 % сред чернокожите МСМ от Карибския басейн, мигранти в Обединеното кралство.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77777777" w:rsidR="00574C9B" w:rsidRDefault="0003011C">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5407AA3A" w:rsidR="00574C9B" w:rsidRDefault="00BF099A">
    <w:pPr>
      <w:pStyle w:val="Header"/>
    </w:pPr>
    <w:r>
      <w:rPr>
        <w:noProof/>
      </w:rPr>
      <w:drawing>
        <wp:anchor distT="0" distB="0" distL="114300" distR="114300" simplePos="0" relativeHeight="251666432" behindDoc="0" locked="0" layoutInCell="1" allowOverlap="1" wp14:anchorId="6DA34567" wp14:editId="54A188BD">
          <wp:simplePos x="0" y="0"/>
          <wp:positionH relativeFrom="page">
            <wp:align>center</wp:align>
          </wp:positionH>
          <wp:positionV relativeFrom="page">
            <wp:posOffset>288290</wp:posOffset>
          </wp:positionV>
          <wp:extent cx="6944360" cy="3343275"/>
          <wp:effectExtent l="0" t="0" r="8890" b="9525"/>
          <wp:wrapNone/>
          <wp:docPr id="1" name="Picture 1" title="EESCLogo2021_BG"/>
          <wp:cNvGraphicFramePr/>
          <a:graphic xmlns:a="http://schemas.openxmlformats.org/drawingml/2006/main">
            <a:graphicData uri="http://schemas.openxmlformats.org/drawingml/2006/picture">
              <pic:pic xmlns:pic="http://schemas.openxmlformats.org/drawingml/2006/picture">
                <pic:nvPicPr>
                  <pic:cNvPr id="1" name="Picture 1" title="EESCLogo2021_BG"/>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03011C">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77777777" w:rsidR="00574C9B" w:rsidRDefault="0003011C">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7777777" w:rsidR="00574C9B" w:rsidRDefault="0003011C">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77777777" w:rsidR="00574C9B" w:rsidRDefault="00574C9B">
    <w:pPr>
      <w:pStyle w:val="Header"/>
    </w:pPr>
    <w:r>
      <w:rPr>
        <w:noProof/>
      </w:rPr>
      <w:drawing>
        <wp:anchor distT="0" distB="0" distL="114300" distR="114300" simplePos="0" relativeHeight="25166540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77777777" w:rsidR="00574C9B" w:rsidRDefault="0003011C">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77777777" w:rsidR="00FA08F8" w:rsidRDefault="0003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129DD"/>
    <w:rsid w:val="00020389"/>
    <w:rsid w:val="0003011C"/>
    <w:rsid w:val="0004229A"/>
    <w:rsid w:val="00053D00"/>
    <w:rsid w:val="000A0F3B"/>
    <w:rsid w:val="000C3A6D"/>
    <w:rsid w:val="000F471A"/>
    <w:rsid w:val="0019231D"/>
    <w:rsid w:val="0019334C"/>
    <w:rsid w:val="001D61AC"/>
    <w:rsid w:val="001D7513"/>
    <w:rsid w:val="001E15AA"/>
    <w:rsid w:val="001E3FA1"/>
    <w:rsid w:val="00200E87"/>
    <w:rsid w:val="00214BDC"/>
    <w:rsid w:val="00215E81"/>
    <w:rsid w:val="0024727F"/>
    <w:rsid w:val="002B550F"/>
    <w:rsid w:val="002B6A7B"/>
    <w:rsid w:val="002D4DE8"/>
    <w:rsid w:val="003353D7"/>
    <w:rsid w:val="003659F9"/>
    <w:rsid w:val="0037679F"/>
    <w:rsid w:val="00423FD9"/>
    <w:rsid w:val="00574C9B"/>
    <w:rsid w:val="0058411F"/>
    <w:rsid w:val="006125A1"/>
    <w:rsid w:val="006503E2"/>
    <w:rsid w:val="00653E7D"/>
    <w:rsid w:val="00662207"/>
    <w:rsid w:val="00667F09"/>
    <w:rsid w:val="006B57A6"/>
    <w:rsid w:val="006D53A6"/>
    <w:rsid w:val="00787837"/>
    <w:rsid w:val="00787ABB"/>
    <w:rsid w:val="00797D05"/>
    <w:rsid w:val="007B6C64"/>
    <w:rsid w:val="00822682"/>
    <w:rsid w:val="00822952"/>
    <w:rsid w:val="0083302D"/>
    <w:rsid w:val="00836505"/>
    <w:rsid w:val="00844B87"/>
    <w:rsid w:val="0085151B"/>
    <w:rsid w:val="0089251B"/>
    <w:rsid w:val="008A48EE"/>
    <w:rsid w:val="008A6DD4"/>
    <w:rsid w:val="008F74D7"/>
    <w:rsid w:val="00904C42"/>
    <w:rsid w:val="00924C05"/>
    <w:rsid w:val="00937CF2"/>
    <w:rsid w:val="00976645"/>
    <w:rsid w:val="00976F77"/>
    <w:rsid w:val="0098228C"/>
    <w:rsid w:val="009E2100"/>
    <w:rsid w:val="00A36AB0"/>
    <w:rsid w:val="00A84EB0"/>
    <w:rsid w:val="00AB37A3"/>
    <w:rsid w:val="00AC5114"/>
    <w:rsid w:val="00B25683"/>
    <w:rsid w:val="00B51901"/>
    <w:rsid w:val="00B840C0"/>
    <w:rsid w:val="00BD50F6"/>
    <w:rsid w:val="00BF099A"/>
    <w:rsid w:val="00C073E1"/>
    <w:rsid w:val="00C22708"/>
    <w:rsid w:val="00C25647"/>
    <w:rsid w:val="00C66AEA"/>
    <w:rsid w:val="00C9040A"/>
    <w:rsid w:val="00C91E4D"/>
    <w:rsid w:val="00CB110A"/>
    <w:rsid w:val="00CB7CD0"/>
    <w:rsid w:val="00D039AF"/>
    <w:rsid w:val="00D601AE"/>
    <w:rsid w:val="00D95232"/>
    <w:rsid w:val="00DB7F50"/>
    <w:rsid w:val="00DE30C7"/>
    <w:rsid w:val="00DF400F"/>
    <w:rsid w:val="00E15BF4"/>
    <w:rsid w:val="00E2376B"/>
    <w:rsid w:val="00E26935"/>
    <w:rsid w:val="00E27707"/>
    <w:rsid w:val="00E32306"/>
    <w:rsid w:val="00E52B04"/>
    <w:rsid w:val="00E661B7"/>
    <w:rsid w:val="00EB4301"/>
    <w:rsid w:val="00ED4B3D"/>
    <w:rsid w:val="00F2069F"/>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4108">
      <w:bodyDiv w:val="1"/>
      <w:marLeft w:val="0"/>
      <w:marRight w:val="0"/>
      <w:marTop w:val="0"/>
      <w:marBottom w:val="0"/>
      <w:divBdr>
        <w:top w:val="none" w:sz="0" w:space="0" w:color="auto"/>
        <w:left w:val="none" w:sz="0" w:space="0" w:color="auto"/>
        <w:bottom w:val="none" w:sz="0" w:space="0" w:color="auto"/>
        <w:right w:val="none" w:sz="0" w:space="0" w:color="auto"/>
      </w:divBdr>
    </w:div>
    <w:div w:id="12336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XMKEDVFMMJCW-1266005036-10328</_dlc_DocId>
    <_dlc_DocIdUrl xmlns="56a5413d-c261-4a00-870c-a20d3379ae6d">
      <Url>http://dm/eesc/2023/_layouts/15/DocIdRedir.aspx?ID=XMKEDVFMMJCW-1266005036-10328</Url>
      <Description>XMKEDVFMMJCW-1266005036-10328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2023-06-16T12:00:00+00:00</ProductionDate>
    <DocumentNumber xmlns="8759b006-28ee-44c8-b138-16f6ad18758c">863</DocumentNumber>
    <FicheYear xmlns="56a5413d-c261-4a00-870c-a20d3379ae6d" xsi:nil="true"/>
    <DossierNumber xmlns="56a5413d-c261-4a00-870c-a20d3379ae6d">758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56a5413d-c261-4a00-870c-a20d3379ae6d">
      <Value>83</Value>
      <Value>49</Value>
      <Value>47</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MeetingDate xmlns="56a5413d-c261-4a00-870c-a20d3379ae6d" xsi:nil="true"/>
    <Rapporteur xmlns="56a5413d-c261-4a00-870c-a20d3379ae6d">MERLO &amp; BARBIERI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2161</FicheNumber>
    <OriginalSender xmlns="56a5413d-c261-4a00-870c-a20d3379ae6d">
      <UserInfo>
        <DisplayName>Ilieva Albena</DisplayName>
        <AccountId>1726</AccountId>
        <AccountType/>
      </UserInfo>
    </OriginalSender>
    <DocumentPart xmlns="56a5413d-c261-4a00-870c-a20d3379ae6d">0</DocumentPart>
    <AdoptionDate xmlns="56a5413d-c261-4a00-870c-a20d3379ae6d">2023-06-14T12:00:00+00:00</AdoptionDate>
    <RequestingService xmlns="56a5413d-c261-4a00-870c-a20d3379ae6d">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6a5413d-c261-4a00-870c-a20d3379ae6d">0</DocumentVersion>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6" ma:contentTypeDescription="Defines the documents for Document Manager V2" ma:contentTypeScope="" ma:versionID="5b002f59ca4f6fbf2fb1ca4492dda742">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5eb67edd154f2d85eb9fc949abbac080"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C62F2-EF10-4BC7-8640-0E460473CD77}"/>
</file>

<file path=customXml/itemProps2.xml><?xml version="1.0" encoding="utf-8"?>
<ds:datastoreItem xmlns:ds="http://schemas.openxmlformats.org/officeDocument/2006/customXml" ds:itemID="{6E333E66-EFA4-4D64-8073-17ED4AF2882A}"/>
</file>

<file path=customXml/itemProps3.xml><?xml version="1.0" encoding="utf-8"?>
<ds:datastoreItem xmlns:ds="http://schemas.openxmlformats.org/officeDocument/2006/customXml" ds:itemID="{2CB02277-9998-4FFA-B11B-3344A79AEA75}"/>
</file>

<file path=customXml/itemProps4.xml><?xml version="1.0" encoding="utf-8"?>
<ds:datastoreItem xmlns:ds="http://schemas.openxmlformats.org/officeDocument/2006/customXml" ds:itemID="{633F2A0B-CACA-4352-AB70-076EE9B38245}"/>
</file>

<file path=docProps/app.xml><?xml version="1.0" encoding="utf-8"?>
<Properties xmlns="http://schemas.openxmlformats.org/officeDocument/2006/extended-properties" xmlns:vt="http://schemas.openxmlformats.org/officeDocument/2006/docPropsVTypes">
  <Template>Normal.dotm</Template>
  <TotalTime>0</TotalTime>
  <Pages>15</Pages>
  <Words>5154</Words>
  <Characters>29380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Мерки за борба срещу стигматизирането на ХИВ</dc:title>
  <dc:subject>AC</dc:subject>
  <dc:creator/>
  <cp:keywords>EESC-2023-00863-00-00-AC-TRA-EN</cp:keywords>
  <dc:description>Rapporteur: MERLO &amp; BARBIERI - Original language: EN - Date of document: 16/06/2023 - Date of meeting:  - External documents:  - Administrator:  LOGRILLO MARGHERITA</dc:description>
  <cp:lastModifiedBy/>
  <cp:revision>8</cp:revision>
  <dcterms:created xsi:type="dcterms:W3CDTF">2023-06-16T06:26:00Z</dcterms:created>
  <dcterms:modified xsi:type="dcterms:W3CDTF">2023-06-16T06:33:00Z</dcterms:modified>
  <cp:category>SOC/758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14/06/2023, 17/05/2022</vt:lpwstr>
  </property>
  <property fmtid="{D5CDD505-2E9C-101B-9397-08002B2CF9AE}" pid="4" name="Pref_Time">
    <vt:lpwstr>16:40:16, 14:58:36</vt:lpwstr>
  </property>
  <property fmtid="{D5CDD505-2E9C-101B-9397-08002B2CF9AE}" pid="5" name="Pref_User">
    <vt:lpwstr>jhvi, enied</vt:lpwstr>
  </property>
  <property fmtid="{D5CDD505-2E9C-101B-9397-08002B2CF9AE}" pid="6" name="Pref_FileName">
    <vt:lpwstr>EESC-2023-00863-00-00-AC-TRA-EN-CRR.docx, COR-EESC-2022-02592-00-00-ADMIN-ORI.docx</vt:lpwstr>
  </property>
  <property fmtid="{D5CDD505-2E9C-101B-9397-08002B2CF9AE}" pid="7" name="ContentTypeId">
    <vt:lpwstr>0x010100EA97B91038054C99906057A708A1480A00CDB38A89627FC8409102604566BFD4EB</vt:lpwstr>
  </property>
  <property fmtid="{D5CDD505-2E9C-101B-9397-08002B2CF9AE}" pid="8" name="_dlc_DocIdItemGuid">
    <vt:lpwstr>fa65d640-d4df-47a4-a306-f809e0acdbc2</vt:lpwstr>
  </property>
  <property fmtid="{D5CDD505-2E9C-101B-9397-08002B2CF9AE}" pid="9" name="AvailableTranslations">
    <vt:lpwstr>36;#MT|7df99101-6854-4a26-b53a-b88c0da02c26;#10;#FR|d2afafd3-4c81-4f60-8f52-ee33f2f54ff3;#30;#IT|0774613c-01ed-4e5d-a25d-11d2388de825;#32;#PT|50ccc04a-eadd-42ae-a0cb-acaf45f812ba;#46;#HR|2f555653-ed1a-4fe6-8362-9082d95989e5;#39;#LT|a7ff5ce7-6123-4f68-865a-a57c31810414;#34;#SK|46d9fce0-ef79-4f71-b89b-cd6aa82426b8;#40;#RO|feb747a2-64cd-4299-af12-4833ddc30497;#43;#DA|5d49c027-8956-412b-aa16-e85a0f96ad0e;#41;#HU|6b229040-c589-4408-b4c1-4285663d20a8;#42;#FI|87606a43-d45f-42d6-b8c9-e1a3457db5b7;#49;#GA|762d2456-c427-4ecb-b312-af3dad8e258c;#45;#ET|ff6c3f4c-b02c-4c3c-ab07-2c37995a7a0a;#5;#EN|f2175f21-25d7-44a3-96da-d6a61b075e1b;#16;#DE|f6b31e5a-26fa-4935-b661-318e46daf27e;#38;#EL|6d4f4d51-af9b-4650-94b4-4276bee85c91;#35;#SL|98a412ae-eb01-49e9-ae3d-585a81724cfc;#21;#SV|c2ed69e7-a339-43d7-8f22-d93680a92aa0;#24;#PL|1e03da61-4678-4e07-b136-b5024ca9197b;#33;#LV|46f7e311-5d9f-4663-b433-18aeccb7ace7;#31;#NL|55c6556c-b4f4-441d-9acf-c498d4f838bd;#37;#CS|72f9705b-0217-4fd3-bea2-cbc7ed80e26e;#25;#ES|e7a6b05b-ae16-40c8-add9-68b64b03aeba;#44;#BG|1a1b3951-7821-4e6a-85f5-5673fc08bd2c</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863</vt:i4>
  </property>
  <property fmtid="{D5CDD505-2E9C-101B-9397-08002B2CF9AE}" pid="14" name="DocumentVersion">
    <vt:i4>0</vt:i4>
  </property>
  <property fmtid="{D5CDD505-2E9C-101B-9397-08002B2CF9AE}" pid="15" name="DossierNumber">
    <vt:i4>758</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47;#SOC|13795804-ecbd-4ce5-9693-9b8be1981b20</vt:lpwstr>
  </property>
  <property fmtid="{D5CDD505-2E9C-101B-9397-08002B2CF9AE}" pid="19" name="DocumentSource">
    <vt:lpwstr>1;#EESC|422833ec-8d7e-4e65-8e4e-8bed07ffb729</vt:lpwstr>
  </property>
  <property fmtid="{D5CDD505-2E9C-101B-9397-08002B2CF9AE}" pid="20" name="AdoptionDate">
    <vt:filetime>2023-06-14T12:00:00Z</vt:filetime>
  </property>
  <property fmtid="{D5CDD505-2E9C-101B-9397-08002B2CF9AE}" pid="21" name="DocumentType">
    <vt:lpwstr>83;#AC|a4cc1d15-fb08-4679-ad46-e4e0cba5fe92</vt:lpwstr>
  </property>
  <property fmtid="{D5CDD505-2E9C-101B-9397-08002B2CF9AE}" pid="22" name="RequestingService">
    <vt:lpwstr>Emploi, affaires sociales, citoyenneté</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9" name="AvailableTranslations_0">
    <vt:lpwstr>FR|d2afafd3-4c81-4f60-8f52-ee33f2f54ff3;PT|50ccc04a-eadd-42ae-a0cb-acaf45f812ba;HU|6b229040-c589-4408-b4c1-4285663d20a8;GA|762d2456-c427-4ecb-b312-af3dad8e258c;EN|f2175f21-25d7-44a3-96da-d6a61b075e1b;DE|f6b31e5a-26fa-4935-b661-318e46daf27e;EL|6d4f4d51-af9b-4650-94b4-4276bee85c91;SL|98a412ae-eb01-49e9-ae3d-585a81724cfc;SV|c2ed69e7-a339-43d7-8f22-d93680a92aa0;NL|55c6556c-b4f4-441d-9acf-c498d4f838bd;CS|72f9705b-0217-4fd3-bea2-cbc7ed80e26e;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83;#AC|a4cc1d15-fb08-4679-ad46-e4e0cba5fe92;#35;#SL|98a412ae-eb01-49e9-ae3d-585a81724cfc;#32;#PT|50ccc04a-eadd-42ae-a0cb-acaf45f812ba;#31;#NL|55c6556c-b4f4-441d-9acf-c498d4f838bd;#37;#CS|72f9705b-0217-4fd3-bea2-cbc7ed80e26e;#25;#ES|e7a6b05b-ae16-40c8-add9-68b64b03aeba;#38;#EL|6d4f4d51-af9b-4650-94b4-4276bee85c91;#21;#SV|c2ed69e7-a339-43d7-8f22-d93680a92aa0;#44;#BG|1a1b3951-7821-4e6a-85f5-5673fc08bd2c;#16;#DE|f6b31e5a-26fa-4935-b661-318e46daf27e;#49;#GA|762d2456-c427-4ecb-b312-af3dad8e258c;#10;#FR|d2afafd3-4c81-4f60-8f52-ee33f2f54ff3;#9;#Unrestricted|826e22d7-d029-4ec0-a450-0c28ff673572;#7;#Final|ea5e6674-7b27-4bac-b091-73adbb394efe;#5;#EN|f2175f21-25d7-44a3-96da-d6a61b075e1b;#41;#HU|6b229040-c589-4408-b4c1-4285663d20a8;#3;#TRA|150d2a88-1431-44e6-a8ca-0bb753ab8672;#1;#EESC|422833ec-8d7e-4e65-8e4e-8bed07ffb729;#47;#SOC|13795804-ecbd-4ce5-9693-9b8be1981b20</vt:lpwstr>
  </property>
  <property fmtid="{D5CDD505-2E9C-101B-9397-08002B2CF9AE}" pid="33" name="Rapporteur">
    <vt:lpwstr>MERLO &amp; BARBIERI</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2023</vt:i4>
  </property>
  <property fmtid="{D5CDD505-2E9C-101B-9397-08002B2CF9AE}" pid="37" name="FicheNumber">
    <vt:i4>2161</vt:i4>
  </property>
  <property fmtid="{D5CDD505-2E9C-101B-9397-08002B2CF9AE}" pid="38" name="DocumentLanguage">
    <vt:lpwstr>44;#BG|1a1b3951-7821-4e6a-85f5-5673fc08bd2c</vt:lpwstr>
  </property>
  <property fmtid="{D5CDD505-2E9C-101B-9397-08002B2CF9AE}" pid="39" name="DocumentLanguage_0">
    <vt:lpwstr>BG|1a1b3951-7821-4e6a-85f5-5673fc08bd2c</vt:lpwstr>
  </property>
  <property name="OP_sanitized" fmtid="{D5CDD505-2E9C-101B-9397-08002B2CF9AE}" pid="39">
    <vt:lpwstr>True</vt:lpwstr>
  </property>
</Properties>
</file>