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5269" w14:textId="2088777E" w:rsidR="00646AC2" w:rsidRPr="001325F5" w:rsidRDefault="00281833" w:rsidP="008C74D9">
      <w:pPr>
        <w:jc w:val="center"/>
      </w:pPr>
      <w:r>
        <w:rPr>
          <w:noProof/>
          <w:lang w:val="en-US" w:bidi="ar-SA"/>
        </w:rPr>
        <w:drawing>
          <wp:inline distT="0" distB="0" distL="0" distR="0" wp14:anchorId="7938FA32" wp14:editId="15ADF94E">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b/>
          <w:noProof/>
          <w:sz w:val="20"/>
          <w:lang w:val="en-US" w:bidi="ar-SA"/>
        </w:rPr>
        <mc:AlternateContent>
          <mc:Choice Requires="wps">
            <w:drawing>
              <wp:anchor distT="0" distB="0" distL="114300" distR="114300" simplePos="0" relativeHeight="251658240" behindDoc="1" locked="0" layoutInCell="0" allowOverlap="1" wp14:anchorId="235A8578" wp14:editId="2E5CCF6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0FFCB" w14:textId="77777777" w:rsidR="003E78DA" w:rsidRPr="00260E65" w:rsidRDefault="003E78DA">
                            <w:pPr>
                              <w:jc w:val="center"/>
                              <w:rPr>
                                <w:rFonts w:ascii="Arial" w:hAnsi="Arial" w:cs="Arial"/>
                                <w:b/>
                                <w:bCs/>
                                <w:sz w:val="48"/>
                              </w:rPr>
                            </w:pPr>
                            <w:r>
                              <w:rPr>
                                <w:rFonts w:ascii="Arial" w:hAnsi="Arial"/>
                                <w:b/>
                                <w:bCs/>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35A8578">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E78DA" w:rsidRDefault="003E78DA" w14:paraId="5C50FFCB" w14:textId="77777777">
                      <w:pPr>
                        <w:jc w:val="center"/>
                        <w:rPr>
                          <w:rFonts w:ascii="Arial" w:hAnsi="Arial" w:cs="Arial"/>
                          <w:b/>
                          <w:bCs/>
                          <w:sz w:val="48"/>
                        </w:rPr>
                      </w:pPr>
                      <w:r>
                        <w:rPr>
                          <w:rFonts w:ascii="Arial" w:hAnsi="Arial"/>
                          <w:b/>
                          <w:bCs/>
                          <w:sz w:val="48"/>
                        </w:rPr>
                        <w:t>BG</w:t>
                      </w:r>
                    </w:p>
                  </w:txbxContent>
                </v:textbox>
                <w10:wrap anchorx="page" anchory="page"/>
              </v:shape>
            </w:pict>
          </mc:Fallback>
        </mc:AlternateContent>
      </w:r>
    </w:p>
    <w:p w14:paraId="68494C5A" w14:textId="77777777" w:rsidR="008C74D9" w:rsidRPr="001325F5" w:rsidRDefault="008C74D9" w:rsidP="0015678B"/>
    <w:p w14:paraId="5F02FA1A" w14:textId="77777777" w:rsidR="00646AC2" w:rsidRPr="001325F5" w:rsidRDefault="00E1703C" w:rsidP="0015678B">
      <w:pPr>
        <w:jc w:val="right"/>
      </w:pPr>
      <w:r>
        <w:rPr>
          <w:b/>
        </w:rPr>
        <w:t>SOC/667</w:t>
      </w:r>
    </w:p>
    <w:p w14:paraId="10419662" w14:textId="77777777" w:rsidR="00563C84" w:rsidRPr="001325F5" w:rsidRDefault="000F0FD8" w:rsidP="0015678B">
      <w:pPr>
        <w:jc w:val="right"/>
      </w:pPr>
      <w:r>
        <w:rPr>
          <w:b/>
        </w:rPr>
        <w:t>Съюз на равенство: Стратегия за равнопоставеност на ЛГБТИК за 2020—2025 г.</w:t>
      </w:r>
    </w:p>
    <w:p w14:paraId="3F32E666" w14:textId="77777777" w:rsidR="009B30AA" w:rsidRPr="001325F5" w:rsidRDefault="009B30AA" w:rsidP="0015678B"/>
    <w:p w14:paraId="1EBDA4C2" w14:textId="77777777" w:rsidR="009B30AA" w:rsidRPr="001325F5" w:rsidRDefault="009B30AA" w:rsidP="0015678B"/>
    <w:p w14:paraId="6C6667D0" w14:textId="01D2B921" w:rsidR="00646AC2" w:rsidRPr="001325F5" w:rsidRDefault="00FB0780" w:rsidP="0015678B">
      <w:pPr>
        <w:jc w:val="center"/>
      </w:pPr>
      <w:r>
        <w:rPr>
          <w:b/>
          <w:sz w:val="28"/>
        </w:rPr>
        <w:t>СТАНОВИЩЕ</w:t>
      </w:r>
      <w:r>
        <w:rPr>
          <w:b/>
          <w:sz w:val="28"/>
        </w:rPr>
        <w:br/>
      </w:r>
      <w:r>
        <w:rPr>
          <w:b/>
        </w:rPr>
        <w:br/>
      </w:r>
      <w:r>
        <w:t>Европейски икономически и социален комитет</w:t>
      </w:r>
      <w:r>
        <w:br/>
      </w:r>
      <w:r>
        <w:rPr>
          <w:b/>
        </w:rPr>
        <w:br/>
        <w:t>Съобщение на Комисията до Европейския парламент, Съвета,</w:t>
      </w:r>
      <w:r>
        <w:rPr>
          <w:b/>
        </w:rPr>
        <w:br/>
        <w:t>Eвропейския икономически и социален комитет и Комитета на регионите</w:t>
      </w:r>
      <w:r>
        <w:rPr>
          <w:b/>
        </w:rPr>
        <w:br/>
        <w:t>Съюз на равенство: Стратегия за равнопоставеност на ЛГБТИК за 2020—2025 г.</w:t>
      </w:r>
      <w:r>
        <w:rPr>
          <w:b/>
        </w:rPr>
        <w:br/>
      </w:r>
      <w:r>
        <w:t>[COM(2020) 698 – final]</w:t>
      </w:r>
    </w:p>
    <w:p w14:paraId="2FA97F63" w14:textId="77777777" w:rsidR="009B30AA" w:rsidRPr="001325F5" w:rsidRDefault="009B30AA" w:rsidP="0015678B">
      <w:pPr>
        <w:jc w:val="center"/>
      </w:pPr>
    </w:p>
    <w:p w14:paraId="108A00C0" w14:textId="0C14D1A0" w:rsidR="00704FBB" w:rsidRPr="001325F5" w:rsidRDefault="00DF0509" w:rsidP="0015678B">
      <w:pPr>
        <w:jc w:val="center"/>
        <w:rPr>
          <w:b/>
        </w:rPr>
      </w:pPr>
      <w:r>
        <w:t xml:space="preserve">Докладчик: </w:t>
      </w:r>
      <w:r>
        <w:rPr>
          <w:b/>
        </w:rPr>
        <w:t>Ionuț Sibian</w:t>
      </w:r>
    </w:p>
    <w:p w14:paraId="194B825F" w14:textId="77777777" w:rsidR="00E376DF" w:rsidRPr="001325F5" w:rsidRDefault="00E376DF" w:rsidP="0015678B">
      <w:pPr>
        <w:jc w:val="center"/>
        <w:rPr>
          <w:b/>
        </w:rPr>
      </w:pPr>
      <w:r>
        <w:t xml:space="preserve">Съдокладчик: </w:t>
      </w:r>
      <w:r>
        <w:rPr>
          <w:b/>
        </w:rPr>
        <w:t>Maria del Carmen Barrera Chamorro</w:t>
      </w:r>
    </w:p>
    <w:p w14:paraId="00D527F8" w14:textId="77777777" w:rsidR="00E376DF" w:rsidRPr="001325F5" w:rsidRDefault="00E376DF" w:rsidP="0015678B">
      <w:pPr>
        <w:jc w:val="center"/>
        <w:rPr>
          <w:b/>
        </w:rPr>
      </w:pPr>
    </w:p>
    <w:p w14:paraId="0C6B0414" w14:textId="77777777" w:rsidR="00E32DC6" w:rsidRPr="001325F5" w:rsidRDefault="00E32DC6" w:rsidP="0015678B"/>
    <w:p w14:paraId="0088227A" w14:textId="77777777" w:rsidR="00E32DC6" w:rsidRPr="001325F5" w:rsidRDefault="00E32DC6" w:rsidP="0015678B"/>
    <w:p w14:paraId="019F4B93" w14:textId="77777777" w:rsidR="00E32DC6" w:rsidRPr="001325F5" w:rsidRDefault="00E32DC6" w:rsidP="0015678B">
      <w:pPr>
        <w:sectPr w:rsidR="00E32DC6" w:rsidRPr="001325F5" w:rsidSect="001652D8">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B81F1B" w:rsidRPr="001325F5" w14:paraId="7A5CFEF1" w14:textId="77777777">
        <w:tc>
          <w:tcPr>
            <w:tcW w:w="3055" w:type="dxa"/>
          </w:tcPr>
          <w:p w14:paraId="1508D3BB" w14:textId="77777777" w:rsidR="0011656A" w:rsidRPr="001325F5" w:rsidRDefault="004A5738" w:rsidP="004A5738">
            <w:pPr>
              <w:jc w:val="left"/>
            </w:pPr>
            <w:r>
              <w:lastRenderedPageBreak/>
              <w:t>Консултация</w:t>
            </w:r>
          </w:p>
        </w:tc>
        <w:tc>
          <w:tcPr>
            <w:tcW w:w="6018" w:type="dxa"/>
          </w:tcPr>
          <w:p w14:paraId="0EAF6908" w14:textId="77777777" w:rsidR="0011656A" w:rsidRPr="001325F5" w:rsidRDefault="00D11C02" w:rsidP="002C51A4">
            <w:pPr>
              <w:jc w:val="left"/>
              <w:rPr>
                <w:highlight w:val="yellow"/>
              </w:rPr>
            </w:pPr>
            <w:r>
              <w:t>Европейска комисия, 14.1.2021 г.</w:t>
            </w:r>
          </w:p>
        </w:tc>
      </w:tr>
      <w:tr w:rsidR="00B81F1B" w:rsidRPr="001325F5" w14:paraId="412D02DB" w14:textId="77777777">
        <w:trPr>
          <w:trHeight w:val="251"/>
        </w:trPr>
        <w:tc>
          <w:tcPr>
            <w:tcW w:w="3055" w:type="dxa"/>
          </w:tcPr>
          <w:p w14:paraId="5CAD55BD" w14:textId="77777777" w:rsidR="0016503F" w:rsidRPr="001325F5" w:rsidRDefault="0016503F" w:rsidP="0015678B">
            <w:pPr>
              <w:jc w:val="left"/>
            </w:pPr>
            <w:r>
              <w:t>Правно основание</w:t>
            </w:r>
          </w:p>
        </w:tc>
        <w:tc>
          <w:tcPr>
            <w:tcW w:w="6018" w:type="dxa"/>
          </w:tcPr>
          <w:p w14:paraId="00BF2CF9" w14:textId="77777777" w:rsidR="0016503F" w:rsidRPr="001325F5" w:rsidRDefault="00653889" w:rsidP="00D1065A">
            <w:r>
              <w:t>член 304 от Договора за функционирането на Европейския съюз</w:t>
            </w:r>
          </w:p>
        </w:tc>
      </w:tr>
      <w:tr w:rsidR="00B81F1B" w:rsidRPr="001325F5" w14:paraId="6C55F776" w14:textId="77777777">
        <w:trPr>
          <w:trHeight w:val="250"/>
        </w:trPr>
        <w:tc>
          <w:tcPr>
            <w:tcW w:w="3055" w:type="dxa"/>
          </w:tcPr>
          <w:p w14:paraId="76D36073" w14:textId="77777777" w:rsidR="00436255" w:rsidRPr="001325F5" w:rsidRDefault="00436255" w:rsidP="0015678B">
            <w:pPr>
              <w:jc w:val="left"/>
            </w:pPr>
          </w:p>
        </w:tc>
        <w:tc>
          <w:tcPr>
            <w:tcW w:w="6018" w:type="dxa"/>
          </w:tcPr>
          <w:p w14:paraId="26281FBA" w14:textId="77777777" w:rsidR="00436255" w:rsidRPr="001325F5" w:rsidRDefault="00436255" w:rsidP="0015678B">
            <w:pPr>
              <w:jc w:val="left"/>
            </w:pPr>
          </w:p>
        </w:tc>
      </w:tr>
      <w:tr w:rsidR="00B81F1B" w:rsidRPr="001325F5" w14:paraId="3DEB8445" w14:textId="77777777">
        <w:tc>
          <w:tcPr>
            <w:tcW w:w="3055" w:type="dxa"/>
          </w:tcPr>
          <w:p w14:paraId="3903625A" w14:textId="77777777" w:rsidR="00436255" w:rsidRPr="001325F5" w:rsidRDefault="00436255" w:rsidP="0015678B">
            <w:pPr>
              <w:jc w:val="left"/>
            </w:pPr>
            <w:r>
              <w:t>Компетентна секция</w:t>
            </w:r>
          </w:p>
        </w:tc>
        <w:tc>
          <w:tcPr>
            <w:tcW w:w="6018" w:type="dxa"/>
          </w:tcPr>
          <w:p w14:paraId="51E0F388" w14:textId="77777777" w:rsidR="00436255" w:rsidRPr="001325F5" w:rsidRDefault="002A4DBD" w:rsidP="0015678B">
            <w:pPr>
              <w:jc w:val="left"/>
            </w:pPr>
            <w:r>
              <w:t>„Заетост, социални въпроси и гражданство“</w:t>
            </w:r>
          </w:p>
        </w:tc>
      </w:tr>
      <w:tr w:rsidR="00B81F1B" w:rsidRPr="001325F5" w14:paraId="3081744E" w14:textId="77777777">
        <w:tc>
          <w:tcPr>
            <w:tcW w:w="3055" w:type="dxa"/>
          </w:tcPr>
          <w:p w14:paraId="0F3E1912" w14:textId="77777777" w:rsidR="00436255" w:rsidRPr="001325F5" w:rsidRDefault="00436255" w:rsidP="0015678B">
            <w:pPr>
              <w:jc w:val="left"/>
            </w:pPr>
            <w:r>
              <w:t>Приемане от секцията</w:t>
            </w:r>
          </w:p>
        </w:tc>
        <w:tc>
          <w:tcPr>
            <w:tcW w:w="6018" w:type="dxa"/>
          </w:tcPr>
          <w:p w14:paraId="5C547E63" w14:textId="26AE21AE" w:rsidR="00436255" w:rsidRPr="001325F5" w:rsidRDefault="00165176">
            <w:pPr>
              <w:jc w:val="left"/>
            </w:pPr>
            <w:r>
              <w:t>16.4.2021 г.</w:t>
            </w:r>
          </w:p>
        </w:tc>
      </w:tr>
      <w:tr w:rsidR="00B81F1B" w:rsidRPr="001325F5" w14:paraId="6B9134A4" w14:textId="77777777">
        <w:tc>
          <w:tcPr>
            <w:tcW w:w="3055" w:type="dxa"/>
          </w:tcPr>
          <w:p w14:paraId="7157B417" w14:textId="77777777" w:rsidR="00436255" w:rsidRPr="001325F5" w:rsidRDefault="00436255" w:rsidP="0015678B">
            <w:pPr>
              <w:jc w:val="left"/>
            </w:pPr>
            <w:r>
              <w:t>Приемане на пленарна сесия</w:t>
            </w:r>
          </w:p>
        </w:tc>
        <w:tc>
          <w:tcPr>
            <w:tcW w:w="6018" w:type="dxa"/>
          </w:tcPr>
          <w:p w14:paraId="4CA4DBCD" w14:textId="3625D07E" w:rsidR="00436255" w:rsidRPr="001325F5" w:rsidRDefault="00AD0D32" w:rsidP="00AD0D32">
            <w:pPr>
              <w:jc w:val="left"/>
            </w:pPr>
            <w:r>
              <w:t>27.4.2021 г.</w:t>
            </w:r>
          </w:p>
        </w:tc>
      </w:tr>
      <w:tr w:rsidR="00B81F1B" w:rsidRPr="001325F5" w14:paraId="59E2367A" w14:textId="77777777">
        <w:tc>
          <w:tcPr>
            <w:tcW w:w="3055" w:type="dxa"/>
          </w:tcPr>
          <w:p w14:paraId="3C9D6A5E" w14:textId="77777777" w:rsidR="00436255" w:rsidRPr="001325F5" w:rsidRDefault="00436255" w:rsidP="0015678B">
            <w:pPr>
              <w:jc w:val="left"/>
            </w:pPr>
            <w:r>
              <w:t>Пленарна сесия №</w:t>
            </w:r>
          </w:p>
        </w:tc>
        <w:tc>
          <w:tcPr>
            <w:tcW w:w="6018" w:type="dxa"/>
          </w:tcPr>
          <w:p w14:paraId="7E067C79" w14:textId="63BC33C9" w:rsidR="00436255" w:rsidRPr="001325F5" w:rsidRDefault="00535C37" w:rsidP="0015678B">
            <w:pPr>
              <w:jc w:val="left"/>
            </w:pPr>
            <w:r>
              <w:t>560</w:t>
            </w:r>
          </w:p>
        </w:tc>
      </w:tr>
      <w:tr w:rsidR="00B81F1B" w:rsidRPr="001325F5" w14:paraId="0E16C4B1" w14:textId="77777777">
        <w:tc>
          <w:tcPr>
            <w:tcW w:w="3055" w:type="dxa"/>
          </w:tcPr>
          <w:p w14:paraId="5650BE5C" w14:textId="77777777" w:rsidR="00436255" w:rsidRPr="001325F5" w:rsidRDefault="00436255" w:rsidP="0015678B">
            <w:pPr>
              <w:jc w:val="left"/>
            </w:pPr>
            <w:r>
              <w:t xml:space="preserve">Резултат от гласуването </w:t>
            </w:r>
            <w:r>
              <w:br/>
              <w:t>(„за“/„против“/„въздържал се“)</w:t>
            </w:r>
          </w:p>
        </w:tc>
        <w:bookmarkStart w:id="0" w:name="_GoBack"/>
        <w:tc>
          <w:tcPr>
            <w:tcW w:w="6018" w:type="dxa"/>
            <w:vAlign w:val="bottom"/>
          </w:tcPr>
          <w:p w14:paraId="72A3B9AB" w14:textId="75CCEBAB" w:rsidR="00436255" w:rsidRPr="001325F5" w:rsidRDefault="00DE0E1D">
            <w:pPr>
              <w:jc w:val="left"/>
            </w:pPr>
            <w:r>
              <w:t>18</w:t>
            </w:r>
            <w:r>
              <w:rPr>
                <w:lang w:val="en-US"/>
              </w:rPr>
              <w:t>7</w:t>
            </w:r>
            <w:r w:rsidR="001F70F2">
              <w:t>/8/12</w:t>
            </w:r>
            <w:bookmarkEnd w:id="0"/>
          </w:p>
        </w:tc>
      </w:tr>
    </w:tbl>
    <w:p w14:paraId="1A847F9D" w14:textId="24F7A557" w:rsidR="0090053A" w:rsidRPr="001325F5" w:rsidRDefault="0090053A" w:rsidP="004716B3">
      <w:pPr>
        <w:tabs>
          <w:tab w:val="left" w:pos="6975"/>
        </w:tabs>
      </w:pPr>
    </w:p>
    <w:p w14:paraId="68205E2F" w14:textId="77777777" w:rsidR="00646AC2" w:rsidRPr="001325F5" w:rsidRDefault="00646AC2" w:rsidP="0015678B">
      <w:r>
        <w:br w:type="page"/>
      </w:r>
    </w:p>
    <w:p w14:paraId="3CCA1B19" w14:textId="77777777" w:rsidR="00011D33" w:rsidRPr="001325F5" w:rsidRDefault="00011D33" w:rsidP="00972070">
      <w:pPr>
        <w:pStyle w:val="Heading1"/>
        <w:ind w:left="567" w:hanging="567"/>
        <w:rPr>
          <w:b/>
        </w:rPr>
      </w:pPr>
      <w:r>
        <w:rPr>
          <w:b/>
        </w:rPr>
        <w:lastRenderedPageBreak/>
        <w:t>Заключения и препоръки</w:t>
      </w:r>
    </w:p>
    <w:p w14:paraId="307E68BF" w14:textId="77777777" w:rsidR="00011D33" w:rsidRPr="001325F5" w:rsidRDefault="00011D33">
      <w:pPr>
        <w:keepNext/>
      </w:pPr>
    </w:p>
    <w:p w14:paraId="7C8538FB" w14:textId="77777777" w:rsidR="00CE2C9D" w:rsidRPr="001325F5" w:rsidRDefault="00CE2C9D" w:rsidP="005D28BA">
      <w:pPr>
        <w:pStyle w:val="Heading2"/>
        <w:ind w:left="567" w:hanging="567"/>
      </w:pPr>
      <w:r>
        <w:t>ЕИСК приветства и подкрепя решителността на Европейската комисия да приеме стратегия за равнопоставеност на ЛГБТИК за 2020—2025 г., която има за цел да намали дискриминацията и да гарантира безопасността и основните права на ЛГБТИК лицата в целия Европейски съюз посредством приемане на законодателни мерки на европейско равнище, както и да призове настоятелно държавите членки да изготвят и изпълняват плановете за действие на национално равнище, посочени в стратегията.</w:t>
      </w:r>
    </w:p>
    <w:p w14:paraId="1DE7EDF8" w14:textId="77777777" w:rsidR="00CE2C9D" w:rsidRPr="001325F5" w:rsidRDefault="00CE2C9D" w:rsidP="000575A0">
      <w:pPr>
        <w:pStyle w:val="Heading2"/>
        <w:numPr>
          <w:ilvl w:val="0"/>
          <w:numId w:val="0"/>
        </w:numPr>
        <w:ind w:left="567"/>
      </w:pPr>
    </w:p>
    <w:p w14:paraId="65A11570" w14:textId="77777777" w:rsidR="00CE2C9D" w:rsidRPr="001325F5" w:rsidRDefault="001F6932" w:rsidP="005D28BA">
      <w:pPr>
        <w:pStyle w:val="Heading2"/>
        <w:ind w:left="567" w:hanging="567"/>
      </w:pPr>
      <w:r>
        <w:t>ЕИСК твърдо вярва, че за да бъде успешна стратегията, Комисията трябва да задейства силен механизъм за нейното изпълнение и редовно да наблюдава прилагането ѝ както хоризонтално, така и вертикално. В това отношение Комисията трябва да благоприятства широк диалог между европейските и международните институции, държавите членки, организациите на гражданското общество и социалните партньори.</w:t>
      </w:r>
    </w:p>
    <w:p w14:paraId="6FC05B6D" w14:textId="77777777" w:rsidR="00CE2C9D" w:rsidRPr="001325F5" w:rsidRDefault="00CE2C9D" w:rsidP="000575A0">
      <w:pPr>
        <w:pStyle w:val="Heading2"/>
        <w:numPr>
          <w:ilvl w:val="0"/>
          <w:numId w:val="0"/>
        </w:numPr>
        <w:ind w:left="567"/>
      </w:pPr>
    </w:p>
    <w:p w14:paraId="41805A76" w14:textId="77777777" w:rsidR="00CE2C9D" w:rsidRPr="001325F5" w:rsidRDefault="001F6932" w:rsidP="005D28BA">
      <w:pPr>
        <w:pStyle w:val="Heading2"/>
        <w:ind w:left="567" w:hanging="567"/>
      </w:pPr>
      <w:r>
        <w:t>ЕИСК изразява убеждението си, че за да постигне целите си, стратегията за равнопоставеност на ЛГБТИК трябва да бъде обвързана с други европейски стратегии, за да е налице междусекторна перспектива, напр. стратегията за правата на жертвите, стратегията за равенство между половете, плана за действие на ЕС за борба с расизма, стратегията за правата на хората с увреждания и стратегията за правата на детето.</w:t>
      </w:r>
    </w:p>
    <w:p w14:paraId="741B3010" w14:textId="77777777" w:rsidR="00CE2C9D" w:rsidRPr="001325F5" w:rsidRDefault="00CE2C9D" w:rsidP="000575A0">
      <w:pPr>
        <w:pStyle w:val="Heading2"/>
        <w:numPr>
          <w:ilvl w:val="0"/>
          <w:numId w:val="0"/>
        </w:numPr>
        <w:ind w:left="567"/>
      </w:pPr>
    </w:p>
    <w:p w14:paraId="520FD5CA" w14:textId="630B7377" w:rsidR="00CE2C9D" w:rsidRPr="001325F5" w:rsidRDefault="00CE2C9D" w:rsidP="005D28BA">
      <w:pPr>
        <w:pStyle w:val="Heading2"/>
        <w:ind w:left="567" w:hanging="567"/>
      </w:pPr>
      <w:r>
        <w:t xml:space="preserve">Един от най-належащите проблеми във връзка с дискриминацията срещу ЛГБТИК лицата се отнася до дискриминацията на работното място и достъпа до трудовия пазар. Ето защо Директивата за равно третиране в областта на заетостта (2000/78/ЕО) трябва да защитава и транссексуалните, небинарните, интерсексуалните и куиър лицата от дискриминация в тези области. Освен това ЕИСК приветства желанието на Комисията да разшири приложимостта на директивата по отношение на други области, освен заетостта, като счита, че това е ефективна мярка за борба с дискриминацията срещу ЛГБТИК лицата. </w:t>
      </w:r>
    </w:p>
    <w:p w14:paraId="44898983" w14:textId="77777777" w:rsidR="00CE2C9D" w:rsidRPr="001325F5" w:rsidRDefault="00CE2C9D" w:rsidP="000575A0">
      <w:pPr>
        <w:pStyle w:val="Heading2"/>
        <w:numPr>
          <w:ilvl w:val="0"/>
          <w:numId w:val="0"/>
        </w:numPr>
        <w:ind w:left="567"/>
      </w:pPr>
    </w:p>
    <w:p w14:paraId="6B6D4C57" w14:textId="77777777" w:rsidR="00CE2C9D" w:rsidRPr="001325F5" w:rsidRDefault="00CE2C9D" w:rsidP="005D28BA">
      <w:pPr>
        <w:pStyle w:val="Heading2"/>
        <w:ind w:left="567" w:hanging="567"/>
      </w:pPr>
      <w:r>
        <w:t>За да се повиши възможността за заетост на ЛГБТИК лицата, са необходими активни политики в областта на заетостта и въвеждане на перспективата на ЛГБТИК лицата в плановете за заетост. От съществена важност е също така дружествата да имат планове за равнопоставеност на ЛГБТИК лицата, за да се води борба с дискриминацията, на която са подлагани тези хора на работното място, и в тези планове да се определят конкретни мерки, протоколи и инструменти за борба с дискриминацията.</w:t>
      </w:r>
    </w:p>
    <w:p w14:paraId="5B169912" w14:textId="77777777" w:rsidR="00CE2C9D" w:rsidRPr="001325F5" w:rsidRDefault="00CE2C9D" w:rsidP="000575A0">
      <w:pPr>
        <w:pStyle w:val="Heading2"/>
        <w:numPr>
          <w:ilvl w:val="0"/>
          <w:numId w:val="0"/>
        </w:numPr>
        <w:ind w:left="567"/>
      </w:pPr>
    </w:p>
    <w:p w14:paraId="0CFB1DEF" w14:textId="49597D7D" w:rsidR="00CE2C9D" w:rsidRPr="001325F5" w:rsidRDefault="00CE2C9D" w:rsidP="005D28BA">
      <w:pPr>
        <w:pStyle w:val="Heading2"/>
        <w:ind w:left="567" w:hanging="567"/>
      </w:pPr>
      <w:r>
        <w:t xml:space="preserve">За да не бъдат изправени ЛГБТИК лицата пред социално-икономически лишения и висок процент на бедност и социално изключване, държавите членки трябва да бъдат насърчавани да предоставят медицински и социални услуги, подслон, програми за подпомагане и защитени места за ЛГБТИК лицата, които са жертва на домашно насилие, престъпления от омраза и слово на омразата, и за ЛГБТИК младежи, които са оставени без семейна подкрепа, и т.н. </w:t>
      </w:r>
    </w:p>
    <w:p w14:paraId="18B81DDD" w14:textId="77777777" w:rsidR="00CE2C9D" w:rsidRPr="001325F5" w:rsidRDefault="00CE2C9D" w:rsidP="000575A0">
      <w:pPr>
        <w:pStyle w:val="Heading2"/>
        <w:numPr>
          <w:ilvl w:val="0"/>
          <w:numId w:val="0"/>
        </w:numPr>
        <w:ind w:left="567"/>
      </w:pPr>
    </w:p>
    <w:p w14:paraId="0781E2EB" w14:textId="0BC149A6" w:rsidR="00E10C9A" w:rsidRPr="001325F5" w:rsidRDefault="00CE2C9D">
      <w:pPr>
        <w:pStyle w:val="Heading2"/>
        <w:ind w:left="567" w:hanging="567"/>
      </w:pPr>
      <w:r>
        <w:t xml:space="preserve">ЕИСК е твърдо убеден, че т.нар. репаративни практики следва да бъдат забранени от всички държави — членки на ЕС, тъй като нарушават основните права и са класифицирани като изтезания. Европейската комисия трябва да подкрепи държавите членки да забранят </w:t>
      </w:r>
      <w:r>
        <w:lastRenderedPageBreak/>
        <w:t>всички форми на вредни практики, в т.ч. ненужни от медицинска гледна точка интервенции спрямо интерсексуални лица, и да реформират своето законодателство по отношение на пола, за да се гарантира, че то отговаря на стандартите за самоопределение в областта на правата на човека.</w:t>
      </w:r>
    </w:p>
    <w:p w14:paraId="1CEB121D" w14:textId="77777777" w:rsidR="00E10C9A" w:rsidRPr="001325F5" w:rsidRDefault="00E10C9A" w:rsidP="000575A0"/>
    <w:p w14:paraId="0122939E" w14:textId="72AEC6C7" w:rsidR="00CE2C9D" w:rsidRPr="001325F5" w:rsidRDefault="00CE2C9D" w:rsidP="005D28BA">
      <w:pPr>
        <w:pStyle w:val="Heading2"/>
        <w:ind w:left="567" w:hanging="567"/>
      </w:pPr>
      <w:r>
        <w:t>ЕИСК приканва Европейската комисия да предвиди финансиране за обучението на специалисти, които взаимодействат с ЛГБТИК лица, както и да насърчава обмена на най-добри практики между държавите членки. Освен това е необходимо европейско финансиране за специализирано обучение на лекари, учители и други специалисти, за да разбират по-добре специфичните обстоятелства и потребности на ЛГБТИК лицата. Освен това пилотният проект EUHealth4LGBTIQ осигурява наръчници за обучение за доставчиците на здравно обслужване и Европейската комисия следва да подкрепя държавите членки в усилията им да гарантират такива курсове за обучение на национално равнище.</w:t>
      </w:r>
    </w:p>
    <w:p w14:paraId="2685C6E7" w14:textId="77777777" w:rsidR="00CE2C9D" w:rsidRPr="001325F5" w:rsidRDefault="00CE2C9D" w:rsidP="000575A0">
      <w:pPr>
        <w:pStyle w:val="Heading2"/>
        <w:numPr>
          <w:ilvl w:val="0"/>
          <w:numId w:val="0"/>
        </w:numPr>
        <w:ind w:left="567"/>
      </w:pPr>
    </w:p>
    <w:p w14:paraId="752C4FBA" w14:textId="7ADCF350" w:rsidR="00CE2C9D" w:rsidRPr="001325F5" w:rsidRDefault="00CE2C9D" w:rsidP="005D28BA">
      <w:pPr>
        <w:pStyle w:val="Heading2"/>
        <w:ind w:left="567" w:hanging="567"/>
      </w:pPr>
      <w:r>
        <w:t xml:space="preserve">Според Комитета по отношение на финансирането от бюджета на ЕС за държавите членки Европейската комисия трябва да прилага силен механизъм за надзор върху използването на тези средства от държавите членки в съответствие с европейския принцип за недискриминация, посочен в член 2 от ДЕС, и при пълно спазване на основните права, както са определени в Хартата на основните права. Този надзор трябва да бъде както предварителен, чрез извършване на одит на многообразието, така и последващ, както е посочено в Регламента за общоприложимите разпоредби за периода на финансиране 2021—2027 г. </w:t>
      </w:r>
    </w:p>
    <w:p w14:paraId="3FFB86AC" w14:textId="77777777" w:rsidR="00CE2C9D" w:rsidRPr="001325F5" w:rsidRDefault="00CE2C9D" w:rsidP="000575A0">
      <w:pPr>
        <w:pStyle w:val="Heading2"/>
        <w:numPr>
          <w:ilvl w:val="0"/>
          <w:numId w:val="0"/>
        </w:numPr>
        <w:ind w:left="567" w:hanging="567"/>
      </w:pPr>
    </w:p>
    <w:p w14:paraId="2F6A4C87" w14:textId="2BFB011A" w:rsidR="00C4151F" w:rsidRPr="001325F5" w:rsidRDefault="00CE2C9D" w:rsidP="000575A0">
      <w:pPr>
        <w:pStyle w:val="Heading2"/>
        <w:ind w:left="567" w:hanging="567"/>
      </w:pPr>
      <w:r>
        <w:t>Европейската комисия трябва да поеме ролата на пазител на договорите на Европейския съюз и да увеличи усилията си, за да гарантира пълното прилагане и изпълнение на съответното законодателство на ЕС и решенията на Съда на Европейския съюз в държавите членки, особено във връзка с Директива 2004/38/ЕО, както и законодателството в областта на убежището. Важно е също така в контекста на свободното движение и в трансгранични ситуации да бъде приета ясна, приобщаваща и недискриминационна уредба на понятието „семейство“ на европейско равнище, в т.ч. семействата на ЛГБТИК лица, както и относно признаването на удостоверенията за раждане на транссексуални лица във всички държави членки, независимо от други административни или съдебни производства.</w:t>
      </w:r>
    </w:p>
    <w:p w14:paraId="1C069AEE" w14:textId="77777777" w:rsidR="00C4151F" w:rsidRPr="001325F5" w:rsidRDefault="00C4151F" w:rsidP="000575A0">
      <w:pPr>
        <w:ind w:left="567" w:hanging="567"/>
      </w:pPr>
    </w:p>
    <w:p w14:paraId="447265AA" w14:textId="7EDFE1A9" w:rsidR="00011D33" w:rsidRPr="001325F5" w:rsidRDefault="00CE2C9D" w:rsidP="000575A0">
      <w:pPr>
        <w:pStyle w:val="Heading2"/>
        <w:ind w:left="567" w:hanging="567"/>
      </w:pPr>
      <w:r>
        <w:t>Европейският съюз трябва да поеме своята роля в улесняването на напредъка в областта на правата на човека в световен мащаб, включително свободата и достойнството на ЛГБТИК лицата. За да постигне тази цел, европейската общност трябва да работи с международните и регионални институции за всеобщо декриминализиране на хомосексуалността и за зачитане на достойнството и основните права на ЛГБТИК лицата навсякъде по света.</w:t>
      </w:r>
    </w:p>
    <w:p w14:paraId="73B3165A" w14:textId="77777777" w:rsidR="00011D33" w:rsidRPr="001325F5" w:rsidRDefault="00011D33" w:rsidP="00137822">
      <w:pPr>
        <w:pStyle w:val="Heading1"/>
        <w:numPr>
          <w:ilvl w:val="0"/>
          <w:numId w:val="0"/>
        </w:numPr>
      </w:pPr>
    </w:p>
    <w:p w14:paraId="386D749B" w14:textId="77777777" w:rsidR="000115C2" w:rsidRPr="001325F5" w:rsidRDefault="00011D33" w:rsidP="000575A0">
      <w:pPr>
        <w:pStyle w:val="Heading1"/>
        <w:keepNext/>
        <w:keepLines/>
        <w:ind w:left="567" w:hanging="567"/>
      </w:pPr>
      <w:r>
        <w:rPr>
          <w:b/>
        </w:rPr>
        <w:t>Общи бележки</w:t>
      </w:r>
    </w:p>
    <w:p w14:paraId="5A1F262A" w14:textId="77777777" w:rsidR="006C188D" w:rsidRPr="001325F5" w:rsidRDefault="006C188D" w:rsidP="000575A0">
      <w:pPr>
        <w:pStyle w:val="Heading2"/>
        <w:keepNext/>
        <w:keepLines/>
        <w:numPr>
          <w:ilvl w:val="0"/>
          <w:numId w:val="0"/>
        </w:numPr>
        <w:ind w:left="567"/>
      </w:pPr>
    </w:p>
    <w:p w14:paraId="7807FA83" w14:textId="39CD2800" w:rsidR="000115C2" w:rsidRPr="001325F5" w:rsidRDefault="000115C2" w:rsidP="00F408BD">
      <w:pPr>
        <w:pStyle w:val="Heading2"/>
        <w:ind w:left="567" w:hanging="567"/>
      </w:pPr>
      <w:r>
        <w:t xml:space="preserve">ЕИСК счита, че е от съществено значение европейските и националните институции да провеждат публични политики за защита на ЛГБТИК лицата, така че ценностите, залегнали в Хартата на основните права, както и в Договора за Европейския съюз (ДЕС), а </w:t>
      </w:r>
      <w:r>
        <w:lastRenderedPageBreak/>
        <w:t>именно „човешкото достойнство, (...), равенството, (...), зачитането на правата на човека, включително правата на лицата, които принадлежат към малцинства“, да се зачитат навсякъде в Съюза</w:t>
      </w:r>
      <w:r w:rsidR="00793DC5" w:rsidRPr="001325F5">
        <w:rPr>
          <w:rStyle w:val="FootnoteReference"/>
        </w:rPr>
        <w:footnoteReference w:id="1"/>
      </w:r>
      <w:r>
        <w:t>. ЕИСК подкрепя резолюцията на Европейския парламент, с която ЕС се обявява за „зона на свобода за ЛГБТИК лицата“.</w:t>
      </w:r>
    </w:p>
    <w:p w14:paraId="34616709" w14:textId="77777777" w:rsidR="001174B0" w:rsidRPr="001325F5" w:rsidRDefault="001174B0" w:rsidP="00C93F11">
      <w:pPr>
        <w:pStyle w:val="Heading2"/>
        <w:numPr>
          <w:ilvl w:val="0"/>
          <w:numId w:val="0"/>
        </w:numPr>
        <w:ind w:left="567"/>
      </w:pPr>
    </w:p>
    <w:p w14:paraId="17BA8888" w14:textId="1AD80649" w:rsidR="009E09BD" w:rsidRPr="001325F5" w:rsidRDefault="001D1AEC" w:rsidP="00C93F11">
      <w:pPr>
        <w:pStyle w:val="Heading2"/>
        <w:ind w:left="567" w:hanging="567"/>
      </w:pPr>
      <w:r>
        <w:t>Данните</w:t>
      </w:r>
      <w:r w:rsidR="002159E8" w:rsidRPr="001325F5">
        <w:rPr>
          <w:rStyle w:val="FootnoteReference"/>
        </w:rPr>
        <w:footnoteReference w:id="2"/>
      </w:r>
      <w:r>
        <w:t xml:space="preserve"> от Агенцията на Европейския съюз за основните права (FRA) показват, че ЛГБТИК лицата са уязвима група, която се нуждае от подкрепа както от европейските институции, така и от националните органи в държавите членки. Комитетът счита, че стратегията за равнопоставеност на ЛГБТИК за 2020—2025 г. е първа стъпка в борбата с дискриминацията срещу сексуалната ориентация, половата идентичност/проявлението на пола и половите белези, както и в гарантирането на безопасно пространство за ЛГБТИК общността навсякъде в Европейския съюз.  </w:t>
      </w:r>
    </w:p>
    <w:p w14:paraId="6A148F16" w14:textId="77777777" w:rsidR="009E09BD" w:rsidRPr="001325F5" w:rsidRDefault="009E09BD" w:rsidP="00C93F11">
      <w:pPr>
        <w:pStyle w:val="Heading2"/>
        <w:numPr>
          <w:ilvl w:val="0"/>
          <w:numId w:val="0"/>
        </w:numPr>
        <w:ind w:left="567"/>
      </w:pPr>
    </w:p>
    <w:p w14:paraId="31C23C59" w14:textId="4C17E64C" w:rsidR="00BA2E98" w:rsidRPr="001325F5" w:rsidRDefault="009E09BD" w:rsidP="00C93F11">
      <w:pPr>
        <w:pStyle w:val="Heading2"/>
        <w:ind w:left="567" w:hanging="567"/>
      </w:pPr>
      <w:r>
        <w:t>ЕИСК приветства факта, че в документа на Комисията се използва интерсекционалност като междусекторен принцип: сексуалната ориентация, половата идентичност/проявлението на пола и/или половите белези се вземат предвид наред с други лични характеристики или идентичности, като пол, расов/етнически произход, религия, вероизповедание, увреждане и възраст. Всичко това е поставено в контекста на кризата с COVID-19, която засегна несъразмерно уязвимите ЛГБТИК лица.</w:t>
      </w:r>
    </w:p>
    <w:p w14:paraId="0391F7C1" w14:textId="77777777" w:rsidR="003F0A48" w:rsidRPr="001325F5" w:rsidRDefault="003F0A48" w:rsidP="00C93F11">
      <w:pPr>
        <w:pStyle w:val="Heading2"/>
        <w:numPr>
          <w:ilvl w:val="0"/>
          <w:numId w:val="0"/>
        </w:numPr>
        <w:ind w:left="567"/>
      </w:pPr>
    </w:p>
    <w:p w14:paraId="11DA5D4A" w14:textId="2F3F9086" w:rsidR="00BA2E98" w:rsidRPr="001325F5" w:rsidRDefault="00BA2E98" w:rsidP="00C93F11">
      <w:pPr>
        <w:pStyle w:val="Heading2"/>
        <w:ind w:left="567" w:hanging="567"/>
      </w:pPr>
      <w:r>
        <w:t>Все пак, за да бъде осъществена ефективно и ефикасно стратегията за равнопоставеност на ЛГБТИК за 2020—2025 г. в целия Европейски съюз, Европейската комисия трябва да създаде механизъм за оперативно изпълнение и наблюдение, за да упражнява надзор дали и до каква степен се осъществява стратегията. В това отношение Комисията трябва да извършва ежегодна проверка дали и до каква степен европейските институции и държавите членки са изпълнили основните приоритети, посочени в стратегията. Тази оценка следва да се извършва в консултация с държавите членки и организираното гражданско общество.</w:t>
      </w:r>
    </w:p>
    <w:p w14:paraId="01399FE0" w14:textId="77777777" w:rsidR="006A000D" w:rsidRPr="001325F5" w:rsidRDefault="006A000D" w:rsidP="00C93F11">
      <w:pPr>
        <w:pStyle w:val="Heading2"/>
        <w:numPr>
          <w:ilvl w:val="0"/>
          <w:numId w:val="0"/>
        </w:numPr>
        <w:ind w:left="567"/>
      </w:pPr>
    </w:p>
    <w:p w14:paraId="1AB70C80" w14:textId="77777777" w:rsidR="006A000D" w:rsidRPr="001325F5" w:rsidRDefault="006A000D" w:rsidP="000575A0">
      <w:pPr>
        <w:pStyle w:val="Heading1"/>
        <w:keepNext/>
        <w:keepLines/>
        <w:ind w:left="567" w:hanging="567"/>
        <w:rPr>
          <w:b/>
        </w:rPr>
      </w:pPr>
      <w:r>
        <w:rPr>
          <w:b/>
        </w:rPr>
        <w:t>Специфични бележки</w:t>
      </w:r>
    </w:p>
    <w:p w14:paraId="7B673FD9" w14:textId="77777777" w:rsidR="00BA4CE1" w:rsidRPr="001325F5" w:rsidRDefault="00BA4CE1" w:rsidP="000575A0">
      <w:pPr>
        <w:keepNext/>
        <w:keepLines/>
        <w:tabs>
          <w:tab w:val="left" w:pos="540"/>
        </w:tabs>
        <w:ind w:left="540" w:hanging="540"/>
      </w:pPr>
    </w:p>
    <w:p w14:paraId="430959C3" w14:textId="77777777" w:rsidR="00CB05FE" w:rsidRPr="001325F5" w:rsidRDefault="00CB05FE" w:rsidP="000575A0">
      <w:pPr>
        <w:pStyle w:val="Heading2"/>
        <w:keepNext/>
        <w:keepLines/>
        <w:ind w:left="567" w:hanging="567"/>
        <w:rPr>
          <w:b/>
        </w:rPr>
      </w:pPr>
      <w:r>
        <w:rPr>
          <w:b/>
        </w:rPr>
        <w:t>Дискриминация срещу ЛГБТИК лицата</w:t>
      </w:r>
    </w:p>
    <w:p w14:paraId="58C55BB0" w14:textId="77777777" w:rsidR="00CB05FE" w:rsidRPr="001325F5" w:rsidRDefault="00CB05FE" w:rsidP="000575A0">
      <w:pPr>
        <w:pStyle w:val="Heading2"/>
        <w:keepNext/>
        <w:keepLines/>
        <w:numPr>
          <w:ilvl w:val="0"/>
          <w:numId w:val="0"/>
        </w:numPr>
      </w:pPr>
    </w:p>
    <w:p w14:paraId="265B6494" w14:textId="77777777" w:rsidR="00E21867" w:rsidRPr="001325F5" w:rsidRDefault="00CB05FE">
      <w:pPr>
        <w:pStyle w:val="Heading3"/>
        <w:ind w:left="567" w:hanging="567"/>
      </w:pPr>
      <w:r>
        <w:t>Дискриминацията засяга ЛГБТИК лицата на всички етапи от живота им. От най-ранна възраст децата, младите хора и децата на ЛГБТИК лица или „семейства на дъгата“, в които единият член е ЛГБТИК, често са стигматизирани, превръщани в обект на дискриминация и агресия, която засяга техните учебни резултати, перспективи за работа, техния всекидневен живот, както и благосъстоянието на цялото семейство. Поради това са необходими повече и по-добри мерки за защита на децата, особено в областта на образованието, с цел премахване на дискриминацията, на която са подложени ЛГБТИК лицата.</w:t>
      </w:r>
    </w:p>
    <w:p w14:paraId="1B2E3BFD" w14:textId="77777777" w:rsidR="00E21867" w:rsidRPr="001325F5" w:rsidRDefault="00E21867" w:rsidP="000575A0">
      <w:pPr>
        <w:pStyle w:val="Heading3"/>
        <w:numPr>
          <w:ilvl w:val="0"/>
          <w:numId w:val="0"/>
        </w:numPr>
        <w:ind w:left="567"/>
      </w:pPr>
    </w:p>
    <w:p w14:paraId="57C0118E" w14:textId="77777777" w:rsidR="00E21867" w:rsidRPr="001325F5" w:rsidRDefault="00E21867">
      <w:pPr>
        <w:pStyle w:val="Heading3"/>
        <w:ind w:left="567" w:hanging="567"/>
      </w:pPr>
      <w:r>
        <w:lastRenderedPageBreak/>
        <w:t>Един от най-належащите проблеми във връзка с дискриминацията срещу ЛГБТИК лицата се отнася до дискриминацията на работното място</w:t>
      </w:r>
      <w:r w:rsidR="00F07507" w:rsidRPr="001325F5">
        <w:rPr>
          <w:rStyle w:val="FootnoteReference"/>
        </w:rPr>
        <w:footnoteReference w:id="3"/>
      </w:r>
      <w:r>
        <w:t xml:space="preserve"> и достъпа до трудовия пазар. Ето защо Директивата за равно третиране в областта на заетостта трябва да защитава и транссексуалните, небинарните, интерсексуалните и куиър лицата от дискриминация в тези области. Освен това ЕИСК приветства желанието на Комисията да разшири приложимостта на директивата по отношение на други области, освен заетост и професионално обучение, като счита, че това е ефективна мярка за борба с дискриминацията срещу ЛГБТИК лицата.</w:t>
      </w:r>
    </w:p>
    <w:p w14:paraId="7E6E5AB6" w14:textId="77777777" w:rsidR="005146BA" w:rsidRPr="001325F5" w:rsidRDefault="005146BA" w:rsidP="00F65E9A">
      <w:pPr>
        <w:pStyle w:val="Heading3"/>
        <w:numPr>
          <w:ilvl w:val="0"/>
          <w:numId w:val="0"/>
        </w:numPr>
        <w:ind w:left="567"/>
      </w:pPr>
    </w:p>
    <w:p w14:paraId="6A9AE80F" w14:textId="77777777" w:rsidR="00326138" w:rsidRPr="001325F5" w:rsidRDefault="00CF4DD8" w:rsidP="00F65E9A">
      <w:pPr>
        <w:pStyle w:val="Heading3"/>
        <w:ind w:left="567" w:hanging="567"/>
      </w:pPr>
      <w:r>
        <w:t xml:space="preserve">По отношение на дискриминацията в сферата на труда трябва да се обърне специално внимание на транссексуалните лица поради социалните предизвикателства, пред които се изправят (например несъответствие между фактическото и правното положение поради трудните процедури за подмяна на документите за самоличност в повечето държави членки, липсата на медицински процедури, предубежденията, с които се сблъскват, и т.н.). Тези социални предизвикателства могат да доведат до тормоз на работното място, уволнение и като цяло до множество проблеми при търсенето на работа занапред. </w:t>
      </w:r>
    </w:p>
    <w:p w14:paraId="53C56FAC" w14:textId="77777777" w:rsidR="00326138" w:rsidRPr="001325F5" w:rsidRDefault="00326138" w:rsidP="000575A0">
      <w:pPr>
        <w:pStyle w:val="Heading3"/>
        <w:numPr>
          <w:ilvl w:val="0"/>
          <w:numId w:val="0"/>
        </w:numPr>
        <w:ind w:left="567" w:hanging="567"/>
      </w:pPr>
    </w:p>
    <w:p w14:paraId="585A0CB9" w14:textId="77777777" w:rsidR="00326138" w:rsidRPr="001325F5" w:rsidRDefault="00326138" w:rsidP="000575A0">
      <w:pPr>
        <w:pStyle w:val="Heading3"/>
        <w:ind w:left="567" w:hanging="567"/>
      </w:pPr>
      <w:r>
        <w:t>Комитетът изтъква, че е необходимо Европейският съюз да утвърди насоки за действие по активни политики в областта на заетостта, с цел държавите членки и националните органи да разработят национални планове за заетост, които включват специални мерки за ЛГБТИК лицата и ограничават последиците от липсата на достъп до заетост, от която са засегнати структурно тези лица.</w:t>
      </w:r>
    </w:p>
    <w:p w14:paraId="11A6FCFC" w14:textId="77777777" w:rsidR="00F60635" w:rsidRPr="001325F5" w:rsidRDefault="00326138" w:rsidP="00F65E9A">
      <w:pPr>
        <w:pStyle w:val="Heading3"/>
        <w:numPr>
          <w:ilvl w:val="0"/>
          <w:numId w:val="0"/>
        </w:numPr>
        <w:ind w:left="567"/>
      </w:pPr>
      <w:r>
        <w:t xml:space="preserve"> </w:t>
      </w:r>
    </w:p>
    <w:p w14:paraId="4E4418FA" w14:textId="77777777" w:rsidR="008768C0" w:rsidRPr="001325F5" w:rsidRDefault="008768C0" w:rsidP="00F65E9A">
      <w:pPr>
        <w:pStyle w:val="Heading3"/>
        <w:ind w:left="567" w:hanging="567"/>
      </w:pPr>
      <w:r>
        <w:t>ЕИСК счита, че е от съществено значение да се разширят европейските правила за равно третиране в областта на заетостта, за да бъдат включени в тях транссексуалните лица, както и небинарните, интерсексуалните и куиър лицата, като целта е да бъдат защитени всички ЛГБТИК лица от дискриминация в областта на заетостта на основание сексуална ориентация, полова идентичност/проявление на пола и полови белези.</w:t>
      </w:r>
    </w:p>
    <w:p w14:paraId="257F08F6" w14:textId="77777777" w:rsidR="00B1039A" w:rsidRPr="001325F5" w:rsidRDefault="00B1039A" w:rsidP="000575A0"/>
    <w:p w14:paraId="15878C8D" w14:textId="77777777" w:rsidR="00B1039A" w:rsidRPr="001325F5" w:rsidRDefault="00B1039A">
      <w:pPr>
        <w:pStyle w:val="Heading3"/>
        <w:ind w:left="567" w:hanging="567"/>
      </w:pPr>
      <w:r>
        <w:t>ЕИСК подкрепя предложението на Европейската комисия да се разшири приложението на Директивата относно равното третиране в други области извън рамките на труда и професионалното обучение. В това отношение Комитетът счита, че Комисията трябва да бъде подкрепена във връзка с нейното искане до Съвета да приеме предложението, за да бъдат отстранени пропуските в осигуряваната от правото на ЕС защита срещу дискриминация на основания, свързани със сексуалната ориентация, но и с половата идентичност/проявлението на пола, половите белези и групата на семейството.</w:t>
      </w:r>
    </w:p>
    <w:p w14:paraId="0C27C622" w14:textId="77777777" w:rsidR="00E55CAE" w:rsidRPr="001325F5" w:rsidRDefault="00E55CAE" w:rsidP="000575A0">
      <w:pPr>
        <w:ind w:left="567" w:hanging="567"/>
      </w:pPr>
    </w:p>
    <w:p w14:paraId="6CE8AFB6" w14:textId="4A7A3273" w:rsidR="00F01AB6" w:rsidRPr="001325F5" w:rsidRDefault="00E55CAE">
      <w:pPr>
        <w:pStyle w:val="Heading3"/>
        <w:ind w:left="567" w:hanging="567"/>
      </w:pPr>
      <w:r>
        <w:t xml:space="preserve">ЕИСК подкрепя призива на европейските институции към държавите членки да ратифицират Конвенция № 190 на МОТ за премахване на насилието и тормоза в сферата на труда, в която са посочени редица неприемливи форми на поведение и практики, насочени към хората заради техния пол или полова идентичност, и която дава насоки на правителствата и социалните партньори относно това как да определят инструменти за </w:t>
      </w:r>
      <w:r>
        <w:lastRenderedPageBreak/>
        <w:t>предотвратяване и справяне с тези форми на дискриминация. Колективното договаряне на всички равнища и колективните трудови договори могат да помогнат за определянето на целенасочени мерки за работното място и за прилагането на автономното споразумение, подписано от европейските социални партньори, срещу насилието на работното място.</w:t>
      </w:r>
    </w:p>
    <w:p w14:paraId="35A9BD26" w14:textId="6C75DEF5" w:rsidR="008768C0" w:rsidRPr="001325F5" w:rsidRDefault="008768C0" w:rsidP="00D1065A">
      <w:pPr>
        <w:pStyle w:val="Heading3"/>
        <w:numPr>
          <w:ilvl w:val="0"/>
          <w:numId w:val="0"/>
        </w:numPr>
      </w:pPr>
    </w:p>
    <w:p w14:paraId="4BCA2129" w14:textId="6C8F709C" w:rsidR="00D85568" w:rsidRPr="001325F5" w:rsidRDefault="00DE6710" w:rsidP="00F65E9A">
      <w:pPr>
        <w:pStyle w:val="Heading3"/>
        <w:ind w:left="567" w:hanging="567"/>
      </w:pPr>
      <w:r>
        <w:t>Предвид факта, че дискриминация на ЛГБТИК лицата се извършва в самото пространство, в което те би трябвало да се чувстват най-сигурни, а именно в семейната среда, много лица, които принадлежат към тази общност, особено млади хора, остават без дом. В много държави членки е налице неспособност на органите да осигурят социални и медицински услуги в подкрепа на тези хора. Поради това е от съществено значение ЛГБТИК лицата да могат да ползват безопасен подслон и медицински услуги, за да могат да се интегрират в обществото и да могат да намерят постоянна и сигурна работа.</w:t>
      </w:r>
    </w:p>
    <w:p w14:paraId="2467113D" w14:textId="77777777" w:rsidR="00DE6710" w:rsidRPr="001325F5" w:rsidRDefault="00DE6710" w:rsidP="000575A0">
      <w:pPr>
        <w:pStyle w:val="Heading3"/>
        <w:numPr>
          <w:ilvl w:val="0"/>
          <w:numId w:val="0"/>
        </w:numPr>
        <w:ind w:left="567"/>
      </w:pPr>
    </w:p>
    <w:p w14:paraId="210D27DB" w14:textId="55DFFD2B" w:rsidR="003C332A" w:rsidRPr="001325F5" w:rsidRDefault="003C332A" w:rsidP="00D85568">
      <w:pPr>
        <w:pStyle w:val="Heading3"/>
        <w:ind w:left="567" w:hanging="567"/>
      </w:pPr>
      <w:r>
        <w:t xml:space="preserve">Като допълнение на предложенията на Комисията за реформа на общата европейска система за убежище е от съществено значение Европейският съюз да предостави средства за обучение на съдии, прокурори и гранични служители, специалисти, работещи в имиграционните служби, и преводачи, за да разбират специфичните потребности на уязвимите кандидати за международна закрила, включително ЛГБТИК лица. </w:t>
      </w:r>
    </w:p>
    <w:p w14:paraId="10BEB61B" w14:textId="77777777" w:rsidR="00852FD3" w:rsidRPr="001325F5" w:rsidRDefault="00852FD3" w:rsidP="00CA07F8">
      <w:pPr>
        <w:pStyle w:val="Heading3"/>
        <w:numPr>
          <w:ilvl w:val="0"/>
          <w:numId w:val="0"/>
        </w:numPr>
        <w:ind w:left="567"/>
      </w:pPr>
    </w:p>
    <w:p w14:paraId="7F5CF076" w14:textId="77777777" w:rsidR="000E5026" w:rsidRPr="001325F5" w:rsidRDefault="000E5026" w:rsidP="00F65E9A">
      <w:pPr>
        <w:pStyle w:val="Heading3"/>
        <w:ind w:left="567" w:hanging="567"/>
      </w:pPr>
      <w:r>
        <w:t>В това отношение ЕИСК счита, че е изключително важно да се ограничи прилагането на политиките за връщане на мигранти на границите на ЕС, като се взема предвид фактът, че много от тези хора бягат от преследване в своите държави на произход въз основа на сексуална ориентация, полова идентичност/проявление на пола и полови белези. Връщането на такива лица, без да им се даде възможност да подадат заявление за международна закрила, нарушава най-основните права на човека, международните договори, а в някои случаи — националните закони относно международна закрила.</w:t>
      </w:r>
    </w:p>
    <w:p w14:paraId="2B81EA16" w14:textId="77777777" w:rsidR="003E0A26" w:rsidRPr="001325F5" w:rsidRDefault="003E0A26" w:rsidP="00CA07F8">
      <w:pPr>
        <w:pStyle w:val="Heading3"/>
        <w:numPr>
          <w:ilvl w:val="0"/>
          <w:numId w:val="0"/>
        </w:numPr>
        <w:ind w:left="567"/>
      </w:pPr>
    </w:p>
    <w:p w14:paraId="31FE145A" w14:textId="77777777" w:rsidR="00F60635" w:rsidRPr="001325F5" w:rsidRDefault="000E5026" w:rsidP="00F65E9A">
      <w:pPr>
        <w:pStyle w:val="Heading3"/>
        <w:ind w:left="567" w:hanging="567"/>
      </w:pPr>
      <w:r>
        <w:t>Според Комитета Комисията следва да обмисли признаването на правото на самоопределение на пола за транссексуалните лица, като по този начин спазва най-високите международни стандарти за зачитане на правата на човека, и насърчаването на тяхното признаване в държавите членки и от националните органи, така че транссексуалните лица сами да могат да получат признание на идентичността си, без да е необходимо трета страна задължително да я проверява.</w:t>
      </w:r>
    </w:p>
    <w:p w14:paraId="7B5F89AC" w14:textId="77777777" w:rsidR="00F60635" w:rsidRPr="001325F5" w:rsidRDefault="00F60635" w:rsidP="0056244C">
      <w:pPr>
        <w:pStyle w:val="Heading3"/>
        <w:numPr>
          <w:ilvl w:val="0"/>
          <w:numId w:val="0"/>
        </w:numPr>
        <w:ind w:left="567"/>
      </w:pPr>
    </w:p>
    <w:p w14:paraId="1B31888B" w14:textId="04096FA7" w:rsidR="00BC790E" w:rsidRPr="001325F5" w:rsidRDefault="0021649A">
      <w:pPr>
        <w:pStyle w:val="Heading3"/>
        <w:ind w:left="567" w:hanging="567"/>
      </w:pPr>
      <w:r>
        <w:t>Европейската комисия следва да наблюдава достъпа на трансексуални лица до покритие на здравното осигуряване за лечение за смяна на пола и да работи с държавите членки за пълноценно използване на възможностите на рамката на ЕС за трансгранично здравно обслужване за преодоляване на евентуални национални недостатъци.</w:t>
      </w:r>
    </w:p>
    <w:p w14:paraId="564FF61D" w14:textId="77777777" w:rsidR="00BC790E" w:rsidRPr="001325F5" w:rsidRDefault="00BC790E" w:rsidP="0056244C">
      <w:pPr>
        <w:pStyle w:val="Heading3"/>
        <w:numPr>
          <w:ilvl w:val="0"/>
          <w:numId w:val="0"/>
        </w:numPr>
        <w:ind w:left="567"/>
      </w:pPr>
    </w:p>
    <w:p w14:paraId="54A1AA86" w14:textId="77777777" w:rsidR="007F2034" w:rsidRPr="001325F5" w:rsidRDefault="00BC790E">
      <w:pPr>
        <w:pStyle w:val="Heading3"/>
        <w:ind w:left="567" w:hanging="567"/>
      </w:pPr>
      <w:r>
        <w:t xml:space="preserve">Комисията следва да насърчава държавите членки да приемат стратегии на национално равнище за надзор, контрол и превенция на полово предаваните болести. От съществено значение в тази област е да се определят приоритетни средства за здравните специалисти и да се осигури участието в обучение в съответствие с препоръките на Световната здравна организация (СЗО) и с 11-ото издание на Международната статистическа класификация на болестите и проблемите, свързани със здравето (МКБ-11). Освен това е изключително </w:t>
      </w:r>
      <w:r>
        <w:lastRenderedPageBreak/>
        <w:t>важно държавите членки да насърчават обмена на опит и практики между специализираните здравни експерти от различните държави членки.</w:t>
      </w:r>
    </w:p>
    <w:p w14:paraId="5917B769" w14:textId="77777777" w:rsidR="007F2034" w:rsidRPr="001325F5" w:rsidRDefault="007F2034" w:rsidP="000575A0">
      <w:pPr>
        <w:pStyle w:val="Heading3"/>
        <w:numPr>
          <w:ilvl w:val="0"/>
          <w:numId w:val="0"/>
        </w:numPr>
        <w:ind w:left="567"/>
      </w:pPr>
    </w:p>
    <w:p w14:paraId="7DE42416" w14:textId="0719BAF5" w:rsidR="007F2034" w:rsidRPr="001325F5" w:rsidRDefault="007F2034">
      <w:pPr>
        <w:pStyle w:val="Heading3"/>
        <w:ind w:left="567" w:hanging="567"/>
      </w:pPr>
      <w:r>
        <w:t>Държавите членки следва да бъдат насърчавани да забранят „репаративната терапия“ в целия ЕС — унизителна практика с множество отражения върху физическото и психическото здраве на ЛГБТИК лицата. Освен това държавите членки следва да бъдат насърчавани да приемат законодателни мерки, забраняващи „интерсексуалното осакатяване“. Това би трябвало да гарантира, че интерсексуалните лица имат правото сами да решават дали желаят да се подложат на медицински процедури за определяне на даден пол или не, и дерогация от това правило би трябвало да се разрешава само в контекста на спешни медицински потребности, когато животът на интерсексуалното лице е в опасност.</w:t>
      </w:r>
    </w:p>
    <w:p w14:paraId="3449643E" w14:textId="77777777" w:rsidR="00E743CF" w:rsidRPr="001325F5" w:rsidRDefault="00E743CF" w:rsidP="00FB1235">
      <w:pPr>
        <w:pStyle w:val="Heading3"/>
        <w:numPr>
          <w:ilvl w:val="0"/>
          <w:numId w:val="0"/>
        </w:numPr>
        <w:ind w:left="567"/>
      </w:pPr>
    </w:p>
    <w:p w14:paraId="7E9768EC" w14:textId="01260CF8" w:rsidR="00BC790E" w:rsidRPr="001325F5" w:rsidRDefault="008B6C76" w:rsidP="00F65E9A">
      <w:pPr>
        <w:pStyle w:val="Heading3"/>
        <w:ind w:left="567" w:hanging="567"/>
      </w:pPr>
      <w:r>
        <w:t>Програмите за финансиране на Европейския съюз следва да бъдат тясно свързани и да включват като условие ценностите на ЕС, подкрепяни в член 2 от ДЕС. За големи проекти, финансирани със средства от ЕС, от държавите членки следва да се изисква също така да изготвят оценка на въздействието върху уязвимите групи, включително ЛГБТИК лицата. Така на равнище държава членка следва да се прави одит на многообразието за целите на финансирането от ЕС, извършван от независима комисия, съставена от местни или централни национални публични органи и организации на гражданското общество</w:t>
      </w:r>
      <w:r w:rsidR="0096036E" w:rsidRPr="001325F5">
        <w:rPr>
          <w:rStyle w:val="FootnoteReference"/>
        </w:rPr>
        <w:footnoteReference w:id="4"/>
      </w:r>
      <w:r>
        <w:t>.</w:t>
      </w:r>
    </w:p>
    <w:p w14:paraId="11A1341A" w14:textId="77777777" w:rsidR="00BC790E" w:rsidRPr="001325F5" w:rsidRDefault="00BC790E" w:rsidP="00FB1235">
      <w:pPr>
        <w:pStyle w:val="Heading3"/>
        <w:numPr>
          <w:ilvl w:val="0"/>
          <w:numId w:val="0"/>
        </w:numPr>
        <w:ind w:left="567"/>
      </w:pPr>
    </w:p>
    <w:p w14:paraId="7058816A" w14:textId="77777777" w:rsidR="00BC790E" w:rsidRPr="001325F5" w:rsidRDefault="00782DF4">
      <w:pPr>
        <w:pStyle w:val="Heading3"/>
        <w:ind w:left="567" w:hanging="567"/>
      </w:pPr>
      <w:r>
        <w:t>За обучението на експертите, призовани да провеждат този одит на многообразието в рамките на програмите за финансиране на ЕС, следва да бъде въведена обучителна програма, разработена на европейско равнище, чиято цел е да се развият умения и да бъдат насърчени държавите членки да обменят добри практики относно въздействието от програмите за финансиране на ЕС върху уязвимите групи, включително общността на ЛГБТИК лицата. За изпълнението на тази мярка в целия ЕС е необходимо да бъде създаден надзорен механизъм на равнището на Европейската комисия.</w:t>
      </w:r>
    </w:p>
    <w:p w14:paraId="0E69B3A6" w14:textId="77777777" w:rsidR="00BC790E" w:rsidRPr="001325F5" w:rsidRDefault="00BC790E" w:rsidP="00FB1235">
      <w:pPr>
        <w:pStyle w:val="Heading3"/>
        <w:numPr>
          <w:ilvl w:val="0"/>
          <w:numId w:val="0"/>
        </w:numPr>
        <w:ind w:left="567"/>
      </w:pPr>
    </w:p>
    <w:p w14:paraId="081DAFC4" w14:textId="28364040" w:rsidR="00BC790E" w:rsidRPr="001325F5" w:rsidRDefault="00A26B9A" w:rsidP="00F65E9A">
      <w:pPr>
        <w:pStyle w:val="Heading3"/>
        <w:ind w:left="567" w:hanging="567"/>
      </w:pPr>
      <w:r>
        <w:t xml:space="preserve">Държавите членки следва да бъдат насърчавани да провеждат национални образователни кампании и кампании за повишаване на осведомеността и да прилагат програми с цел намаляване и борба с дискриминацията срещу хора с различна сексуална ориентация и полова идентичност. Във връзка с това националните органи следва да гарантират, че задължителните национални учебни програми включват информация относно правата на човека, включително сексуалната ориентация, половата идентичност и изразяване, с оглед предотвратяване на дискриминацията, предразсъдъците и стереотипите. Освен това началните и средните училища следва да предоставят всеобхватно сексуално образование, което да дава възможност на децата и юношите да придобият знанията и уменията, необходими, за да водят по-здравословен живот и да поддържат равноправни отношения. </w:t>
      </w:r>
    </w:p>
    <w:p w14:paraId="75EC981D" w14:textId="77777777" w:rsidR="00365F95" w:rsidRPr="001325F5" w:rsidRDefault="00365F95" w:rsidP="00F65E9A">
      <w:pPr>
        <w:pStyle w:val="Heading3"/>
        <w:numPr>
          <w:ilvl w:val="0"/>
          <w:numId w:val="0"/>
        </w:numPr>
        <w:ind w:left="567"/>
      </w:pPr>
    </w:p>
    <w:p w14:paraId="10948D4B" w14:textId="77777777" w:rsidR="00BC790E" w:rsidRPr="001325F5" w:rsidRDefault="00BC790E" w:rsidP="00D1065A">
      <w:pPr>
        <w:pStyle w:val="Heading2"/>
        <w:keepNext/>
        <w:ind w:left="567" w:hanging="567"/>
        <w:rPr>
          <w:b/>
        </w:rPr>
      </w:pPr>
      <w:r>
        <w:rPr>
          <w:b/>
        </w:rPr>
        <w:lastRenderedPageBreak/>
        <w:t>Гарантиране на безопасността на ЛГБТИК лицата</w:t>
      </w:r>
    </w:p>
    <w:p w14:paraId="2DFD3A5B" w14:textId="77777777" w:rsidR="00BC790E" w:rsidRPr="001325F5" w:rsidRDefault="00BC790E" w:rsidP="00D1065A">
      <w:pPr>
        <w:pStyle w:val="Heading2"/>
        <w:keepNext/>
        <w:numPr>
          <w:ilvl w:val="0"/>
          <w:numId w:val="0"/>
        </w:numPr>
        <w:ind w:left="567"/>
      </w:pPr>
    </w:p>
    <w:p w14:paraId="66B4932B" w14:textId="708ADA69" w:rsidR="00BC790E" w:rsidRPr="001325F5" w:rsidRDefault="00BC790E" w:rsidP="009F196A">
      <w:pPr>
        <w:pStyle w:val="Heading3"/>
        <w:ind w:left="567" w:hanging="567"/>
      </w:pPr>
      <w:r>
        <w:t xml:space="preserve">Комитетът е осведомен, че в няколко държави членки са проведени референдуми за изменение на националните конституции, целящи ограничаване на правата на ЛГБТИК лицата или стигматизиращи тази категория хора сред широката общественост. Като се има предвид фактът, че информацията се движи трансгранично в целия Европейски съюз, държавите членки трябва да гарантират прозрачността на публичното финансиране за всички страни участващи в такива референдуми. </w:t>
      </w:r>
    </w:p>
    <w:p w14:paraId="387EB7DB" w14:textId="77777777" w:rsidR="00A8183E" w:rsidRPr="001325F5" w:rsidRDefault="00A8183E" w:rsidP="00391891">
      <w:pPr>
        <w:pStyle w:val="Heading3"/>
        <w:numPr>
          <w:ilvl w:val="0"/>
          <w:numId w:val="0"/>
        </w:numPr>
        <w:ind w:left="567" w:hanging="567"/>
      </w:pPr>
    </w:p>
    <w:p w14:paraId="7060213A" w14:textId="10E51211" w:rsidR="00A8183E" w:rsidRPr="001325F5" w:rsidRDefault="005A68BD" w:rsidP="00391891">
      <w:pPr>
        <w:pStyle w:val="Heading3"/>
        <w:ind w:left="567" w:hanging="567"/>
      </w:pPr>
      <w:r>
        <w:t>ЕИСК подкрепя инициативата за разширяване на списъка от „престъпления в ЕС“ по член 83, параграф 1 от ДФЕС, за да обхваща престъпленията от омраза и словото на омразата, включително когато са насочени срещу ЛГБТИК лица. Поради това е необходимо Комисията да приеме мерки за информиране и повишаване на осведомеността по този въпрос на европейско равнище. Комисията следва да започне комуникационна кампания, с цел да противодейства на тази тенденция и свързаните с нея поведенчески прояви, като насърчава равенството на всички свои граждани. Комитетът предлага тази кампания да започне на европейско равнище и да бъде насочена към проблемите, които имат държавите членки на местно равнище. Тези инициативи следва да бъдат включени в рамките на Плана за действие на ЕС за демокрация. Освен това всички европейски държави поеха ангажимент да събират за Организацията за сигурност и сътрудничество в Европа (ОССЕ) данни относно престъпленията от омраза, които могат да бъдат използвани в този контекст.</w:t>
      </w:r>
    </w:p>
    <w:p w14:paraId="32E791A7" w14:textId="77777777" w:rsidR="00BC790E" w:rsidRPr="001325F5" w:rsidRDefault="00BC790E" w:rsidP="00391891">
      <w:pPr>
        <w:pStyle w:val="Heading3"/>
        <w:numPr>
          <w:ilvl w:val="0"/>
          <w:numId w:val="0"/>
        </w:numPr>
        <w:ind w:left="567"/>
      </w:pPr>
    </w:p>
    <w:p w14:paraId="78CB7693" w14:textId="616445BB" w:rsidR="00BC790E" w:rsidRPr="001325F5" w:rsidRDefault="00BC790E" w:rsidP="00391891">
      <w:pPr>
        <w:pStyle w:val="Heading3"/>
        <w:ind w:left="567" w:hanging="567"/>
      </w:pPr>
      <w:r>
        <w:t xml:space="preserve">Европейската комисия в сътрудничество с държавите членки следва да приеме и редица мерки за борба с фалшивите новини и дезинформацията, както и словото на омразата онлайн и офлайн. В това отношение Комисията трябва да разработи механизъм за наблюдение на правилното прилагане на Директивата за аудиовизуалните медийни услуги на равнището на държавите членки, но и да приеме европейска законодателна рамка за по-лесна борба с фалшивите новини и дезинформацията. </w:t>
      </w:r>
    </w:p>
    <w:p w14:paraId="3090ED79" w14:textId="77777777" w:rsidR="00BC790E" w:rsidRPr="001325F5" w:rsidRDefault="00BC790E" w:rsidP="00391891">
      <w:pPr>
        <w:pStyle w:val="Heading3"/>
        <w:numPr>
          <w:ilvl w:val="0"/>
          <w:numId w:val="0"/>
        </w:numPr>
        <w:ind w:left="567"/>
      </w:pPr>
    </w:p>
    <w:p w14:paraId="42F30F67" w14:textId="1E1A7902" w:rsidR="00BC790E" w:rsidRPr="001325F5" w:rsidRDefault="00BC790E" w:rsidP="00391891">
      <w:pPr>
        <w:pStyle w:val="Heading3"/>
        <w:ind w:left="567" w:hanging="567"/>
      </w:pPr>
      <w:r>
        <w:t>Комитетът счита, че за да се води борба със словото на омразата в онлайн средата, са изключително насърчителни действията на Комисията за подкрепа и прилагане на „Кодекс за поведение за борба с незаконното използване на езика на омразата онлайн“, подписан от Facebook, Microsoft, Twitter и Youtube. Този вид инструмент — кодекс за поведение за борба с незаконното използване на езика на омразата онлайн — следва да бъде прилаган като препоръка на равнището на държавите членки онлайн и в аудиовизуалното пространство, за да се създаде безопасно пространство за ЛГБТИК лицата, както и за други уязвими групи, които лесно може да бъдат подложени на онлайн тормоз или слово на омразата</w:t>
      </w:r>
      <w:r w:rsidR="001F050A" w:rsidRPr="001325F5">
        <w:rPr>
          <w:rStyle w:val="FootnoteReference"/>
        </w:rPr>
        <w:footnoteReference w:id="5"/>
      </w:r>
      <w:r>
        <w:t>.</w:t>
      </w:r>
    </w:p>
    <w:p w14:paraId="01A2B119" w14:textId="77777777" w:rsidR="00BC790E" w:rsidRPr="001325F5" w:rsidRDefault="00BC790E" w:rsidP="00391891">
      <w:pPr>
        <w:pStyle w:val="Heading3"/>
        <w:numPr>
          <w:ilvl w:val="0"/>
          <w:numId w:val="0"/>
        </w:numPr>
        <w:ind w:left="567"/>
      </w:pPr>
    </w:p>
    <w:p w14:paraId="5970B4EB" w14:textId="77777777" w:rsidR="00BC790E" w:rsidRPr="001325F5" w:rsidRDefault="00BC790E">
      <w:pPr>
        <w:pStyle w:val="Heading3"/>
        <w:ind w:left="567" w:hanging="567"/>
      </w:pPr>
      <w:r>
        <w:t xml:space="preserve">Стратегията за равнопоставеност на ЛГБТИК за 2020—2025 г. следва да бъде обвързана със стратегията за правата на жертвите за 2020—2025 г., така че хората, които принадлежат </w:t>
      </w:r>
      <w:r>
        <w:lastRenderedPageBreak/>
        <w:t>към сексуални малцинства, да могат да имат увереност да подават сигнали за престъпления от омраза, извършени срещу тях. Ето защо е необходимо да се осигури непрекъснато професионално обучение за полицейските служители, адвокатите и магистратите в областта на престъпленията от омраза, предразсъдъци и стереотипи, като сътрудничеството с НПО, които оказват подкрепа на ЛГБТИК лица в тази област, е от съществено значение.</w:t>
      </w:r>
    </w:p>
    <w:p w14:paraId="53D974FC" w14:textId="77777777" w:rsidR="00365F95" w:rsidRPr="001325F5" w:rsidRDefault="00365F95" w:rsidP="00391891">
      <w:pPr>
        <w:pStyle w:val="Heading3"/>
        <w:numPr>
          <w:ilvl w:val="0"/>
          <w:numId w:val="0"/>
        </w:numPr>
        <w:ind w:left="567"/>
      </w:pPr>
    </w:p>
    <w:p w14:paraId="5869D624" w14:textId="77777777" w:rsidR="003C332A" w:rsidRPr="001325F5" w:rsidRDefault="00BC790E" w:rsidP="00391891">
      <w:pPr>
        <w:pStyle w:val="Heading3"/>
        <w:ind w:left="567" w:hanging="567"/>
      </w:pPr>
      <w:r>
        <w:t xml:space="preserve">Пандемията от COVID-19 ни показа, че повечето държави членки са недостатъчно подготвени, за да предоставят спешна помощ или краткосрочен подслон на ЛГБТИК лица, които са жертва на домашно насилие, особено транссексуални лица, или са нападнати от собствените си семейства. Поради това строителството на подслон, защитени домове и центрове за помощ и предоставянето на интегрирани услуги за помощ изисква сътрудничеството на националните органи и неправителствени организации, както и финансиране от ЕС. </w:t>
      </w:r>
    </w:p>
    <w:p w14:paraId="6F4900D0" w14:textId="77777777" w:rsidR="00365F95" w:rsidRPr="001325F5" w:rsidRDefault="00365F95" w:rsidP="00166A47">
      <w:pPr>
        <w:ind w:left="567" w:hanging="567"/>
      </w:pPr>
    </w:p>
    <w:p w14:paraId="5EB10E51" w14:textId="77777777" w:rsidR="003F5FC6" w:rsidRPr="001325F5" w:rsidRDefault="003F5FC6" w:rsidP="000575A0">
      <w:pPr>
        <w:pStyle w:val="Heading2"/>
        <w:keepNext/>
        <w:keepLines/>
        <w:ind w:left="567" w:hanging="567"/>
        <w:rPr>
          <w:b/>
        </w:rPr>
      </w:pPr>
      <w:r>
        <w:rPr>
          <w:b/>
        </w:rPr>
        <w:t>Изграждане на приобщаващи общества за ЛГБТИК лицата</w:t>
      </w:r>
    </w:p>
    <w:p w14:paraId="497F22DA" w14:textId="77777777" w:rsidR="003F5FC6" w:rsidRPr="001325F5" w:rsidRDefault="003F5FC6" w:rsidP="000575A0">
      <w:pPr>
        <w:pStyle w:val="Heading2"/>
        <w:keepNext/>
        <w:keepLines/>
        <w:numPr>
          <w:ilvl w:val="0"/>
          <w:numId w:val="0"/>
        </w:numPr>
      </w:pPr>
    </w:p>
    <w:p w14:paraId="2D68CE7A" w14:textId="07EA7E03" w:rsidR="00391B25" w:rsidRPr="001325F5" w:rsidRDefault="003F5FC6" w:rsidP="00B65012">
      <w:pPr>
        <w:pStyle w:val="Heading3"/>
        <w:ind w:left="567" w:hanging="567"/>
      </w:pPr>
      <w:r>
        <w:t>Европейската комисия трябва да поеме ролята на пазител на правото на Европейския съюз, тъй като това произтича от европейските нормативни актове и съдебната практика на Съда на Европейския съюз за правилно и еднакво прилагане на европейското право във всички държави членки. Тя трябва да увеличи усилията си и да разработи всеобхватни механизми за наблюдение на прилагането на европейското право и решенията на Съда на ЕС в рамките на националното законодателство и в практиките на националните органи.</w:t>
      </w:r>
    </w:p>
    <w:p w14:paraId="28C5EA86" w14:textId="77777777" w:rsidR="00391B25" w:rsidRPr="001325F5" w:rsidRDefault="00391B25" w:rsidP="00B65012">
      <w:pPr>
        <w:pStyle w:val="Heading3"/>
        <w:numPr>
          <w:ilvl w:val="0"/>
          <w:numId w:val="0"/>
        </w:numPr>
        <w:ind w:left="567"/>
      </w:pPr>
    </w:p>
    <w:p w14:paraId="4BC2E61A" w14:textId="64312223" w:rsidR="00391B25" w:rsidRPr="001325F5" w:rsidRDefault="003F5FC6" w:rsidP="00B65012">
      <w:pPr>
        <w:pStyle w:val="Heading3"/>
        <w:ind w:left="567" w:hanging="567"/>
      </w:pPr>
      <w:r>
        <w:t xml:space="preserve">По отношение на правото на свободно движение — един от стълбовете на европейското право, Европейската комисия трябва да разработи механизъм за наблюдение, за да гарантира, че правата, предоставени от Директива 2004/38/ЕО, особено правото на свободно движение и живот, са признати за всички европейски граждани и техните семейства, включително семейства на ЛГБТИК лица в целия Съюз. </w:t>
      </w:r>
    </w:p>
    <w:p w14:paraId="0F0261F8" w14:textId="77777777" w:rsidR="00391B25" w:rsidRPr="001325F5" w:rsidRDefault="00391B25" w:rsidP="00B65012">
      <w:pPr>
        <w:pStyle w:val="Heading3"/>
        <w:numPr>
          <w:ilvl w:val="0"/>
          <w:numId w:val="0"/>
        </w:numPr>
        <w:ind w:left="567"/>
      </w:pPr>
    </w:p>
    <w:p w14:paraId="6975177F" w14:textId="4BF771E1" w:rsidR="00240933" w:rsidRPr="001325F5" w:rsidRDefault="003F5FC6" w:rsidP="004A3255">
      <w:pPr>
        <w:pStyle w:val="Heading3"/>
        <w:ind w:left="567" w:hanging="567"/>
      </w:pPr>
      <w:r>
        <w:t xml:space="preserve">За да бъде възможно всички ЛГБТИК лица да упражняват правото на свободно движение в целия Европейски съюз, Комитетът призовава Европейската комисия, от една страна, да разработи регулаторна рамка, посредством която понятието „семейство“ да бъде автономно, независимо от националните закони на държаните членки, особено в трансгранични ситуации, а от друга страна, да гарантира, че документите за раждане, заменяни след административни или съдебни процедури, се признават във всички държави членки в контекста на свободното движение. Европейската комисия следва да работи с държавите членки за улесняване на регистрирането на родство за транссексуалните родители в съответствие с тяхната законово призната полова идентичност, с оглед на защитата на тези семейства от нежелано разкриване на сексуалната ориентация, дискриминация и насилие. </w:t>
      </w:r>
    </w:p>
    <w:p w14:paraId="1B0B3DFE" w14:textId="77777777" w:rsidR="00B67F20" w:rsidRPr="001325F5" w:rsidRDefault="00B67F20" w:rsidP="00B67F20">
      <w:pPr>
        <w:pStyle w:val="Heading2"/>
        <w:numPr>
          <w:ilvl w:val="0"/>
          <w:numId w:val="0"/>
        </w:numPr>
      </w:pPr>
    </w:p>
    <w:p w14:paraId="1955F824" w14:textId="77777777" w:rsidR="00BE3252" w:rsidRPr="001325F5" w:rsidRDefault="00BC790E" w:rsidP="000575A0">
      <w:pPr>
        <w:pStyle w:val="Heading2"/>
        <w:keepNext/>
        <w:keepLines/>
        <w:ind w:left="567" w:hanging="567"/>
        <w:rPr>
          <w:b/>
        </w:rPr>
      </w:pPr>
      <w:r>
        <w:rPr>
          <w:b/>
        </w:rPr>
        <w:t>Поемане на водеща роля в призива за равнопоставеност на ЛГБТИК по света</w:t>
      </w:r>
    </w:p>
    <w:p w14:paraId="121D3FC4" w14:textId="77777777" w:rsidR="00E733C4" w:rsidRPr="001325F5" w:rsidRDefault="00E733C4" w:rsidP="000575A0">
      <w:pPr>
        <w:pStyle w:val="ListParagraph"/>
        <w:keepNext/>
        <w:keepLines/>
        <w:contextualSpacing w:val="0"/>
        <w:outlineLvl w:val="1"/>
      </w:pPr>
    </w:p>
    <w:p w14:paraId="07240F02" w14:textId="4094A456" w:rsidR="00E733C4" w:rsidRPr="001325F5" w:rsidRDefault="00BC790E" w:rsidP="00D1065A">
      <w:pPr>
        <w:pStyle w:val="Heading3"/>
        <w:keepNext/>
        <w:ind w:left="567" w:hanging="567"/>
        <w:rPr>
          <w:rStyle w:val="Heading3Char"/>
        </w:rPr>
      </w:pPr>
      <w:r>
        <w:rPr>
          <w:rStyle w:val="Heading3Char"/>
        </w:rPr>
        <w:t xml:space="preserve">Европейските институции трябва да поемат ролята на гарант и защитник на основните права на човека в своите вътрешни и външни действия. За тази цел е необходимо те да </w:t>
      </w:r>
      <w:r>
        <w:rPr>
          <w:rStyle w:val="Heading3Char"/>
        </w:rPr>
        <w:lastRenderedPageBreak/>
        <w:t>работят с други регионални и международни институции, като Съвета на Европа и ООН, за да се гарантират на ЛГБТИК лицата и защитниците на правата на човека безопасността и равнопоставеността, които те заслужават. Наред с подкрепящите мерки за борба с насилието, омразата и дискриминацията срещу ЛГБТИК лицата посредством Инструмента за предприсъединителна помощ (ИПП) в държавите кандидатки или потенциални кандидатки е важно също така европейските институции да въведат тези критерии в своите външни действия в областта на финансирането на държави извън ЕС.</w:t>
      </w:r>
    </w:p>
    <w:p w14:paraId="2E5263C6" w14:textId="15C13FF4" w:rsidR="002B5EEF" w:rsidRPr="001325F5" w:rsidRDefault="002B5EEF" w:rsidP="00D1065A">
      <w:pPr>
        <w:keepNext/>
        <w:rPr>
          <w:lang w:bidi="ar-SA"/>
        </w:rPr>
      </w:pPr>
    </w:p>
    <w:p w14:paraId="3B2B8A16" w14:textId="22EB04A7" w:rsidR="002B5EEF" w:rsidRPr="001325F5" w:rsidRDefault="002B5EEF" w:rsidP="00D1065A">
      <w:pPr>
        <w:keepNext/>
      </w:pPr>
      <w:r>
        <w:t>Брюксел, 27 април 2021 г.</w:t>
      </w:r>
    </w:p>
    <w:p w14:paraId="105D5282" w14:textId="77777777" w:rsidR="002B5EEF" w:rsidRPr="001325F5" w:rsidRDefault="002B5EEF" w:rsidP="00D1065A">
      <w:pPr>
        <w:keepNext/>
      </w:pPr>
    </w:p>
    <w:p w14:paraId="6732F7A7" w14:textId="77777777" w:rsidR="002B5EEF" w:rsidRPr="001325F5" w:rsidRDefault="002B5EEF" w:rsidP="00D1065A">
      <w:pPr>
        <w:keepNext/>
      </w:pPr>
    </w:p>
    <w:p w14:paraId="2953A4E0" w14:textId="77777777" w:rsidR="002B5EEF" w:rsidRPr="001325F5" w:rsidRDefault="002B5EEF" w:rsidP="00D1065A">
      <w:pPr>
        <w:keepNext/>
      </w:pPr>
    </w:p>
    <w:p w14:paraId="08E8EBBD" w14:textId="77777777" w:rsidR="002B5EEF" w:rsidRPr="001325F5" w:rsidRDefault="002B5EEF" w:rsidP="00D1065A">
      <w:pPr>
        <w:keepNext/>
        <w:jc w:val="left"/>
      </w:pPr>
    </w:p>
    <w:p w14:paraId="31BF43F7" w14:textId="1C8AA20D" w:rsidR="002B5EEF" w:rsidRPr="00D1065A" w:rsidRDefault="00B87DB3" w:rsidP="00D1065A">
      <w:pPr>
        <w:keepNext/>
        <w:jc w:val="left"/>
      </w:pPr>
      <w:r>
        <w:t>Christa Schweng,</w:t>
      </w:r>
      <w:r>
        <w:br/>
        <w:t>председател на Европейския икономически и социален комитет</w:t>
      </w:r>
    </w:p>
    <w:p w14:paraId="0D607A2D" w14:textId="77777777" w:rsidR="003E78DA" w:rsidRPr="001325F5" w:rsidRDefault="003E78DA" w:rsidP="00D1065A">
      <w:pPr>
        <w:keepNext/>
        <w:rPr>
          <w:lang w:bidi="ar-SA"/>
        </w:rPr>
      </w:pPr>
    </w:p>
    <w:p w14:paraId="493BB789" w14:textId="77777777" w:rsidR="00391B25" w:rsidRPr="001325F5" w:rsidRDefault="00646AC2" w:rsidP="00D1065A">
      <w:pPr>
        <w:keepNext/>
        <w:jc w:val="center"/>
      </w:pPr>
      <w:r>
        <w:t>_____________</w:t>
      </w:r>
    </w:p>
    <w:sectPr w:rsidR="00391B25" w:rsidRPr="001325F5" w:rsidSect="001652D8">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A5B5" w16cex:dateUtc="2021-01-22T18:27:00Z"/>
  <w16cex:commentExtensible w16cex:durableId="23B5A1AF" w16cex:dateUtc="2021-01-22T18:10:00Z"/>
  <w16cex:commentExtensible w16cex:durableId="23B4520E" w16cex:dateUtc="2021-01-21T18:18:00Z"/>
  <w16cex:commentExtensible w16cex:durableId="23B5A58B" w16cex:dateUtc="2021-01-22T18:27:00Z"/>
  <w16cex:commentExtensible w16cex:durableId="23B5A3B4" w16cex:dateUtc="2021-01-22T18:19:00Z"/>
  <w16cex:commentExtensible w16cex:durableId="23B5A38E" w16cex:dateUtc="2021-01-22T18:18:00Z"/>
  <w16cex:commentExtensible w16cex:durableId="23B5A37B" w16cex:dateUtc="2021-01-22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018357" w16cid:durableId="23B59FE1"/>
  <w16cid:commentId w16cid:paraId="6AE89F67" w16cid:durableId="23B5A5B5"/>
  <w16cid:commentId w16cid:paraId="4CBD1D2E" w16cid:durableId="23B4518C"/>
  <w16cid:commentId w16cid:paraId="179D72EA" w16cid:durableId="23B5A1AF"/>
  <w16cid:commentId w16cid:paraId="07CB5A36" w16cid:durableId="23B4520E"/>
  <w16cid:commentId w16cid:paraId="05833798" w16cid:durableId="23B59FE4"/>
  <w16cid:commentId w16cid:paraId="6D39020A" w16cid:durableId="23B4518D"/>
  <w16cid:commentId w16cid:paraId="04128B8E" w16cid:durableId="23B59FE6"/>
  <w16cid:commentId w16cid:paraId="16FC26DB" w16cid:durableId="23B59FE8"/>
  <w16cid:commentId w16cid:paraId="7134B85F" w16cid:durableId="23B5A58B"/>
  <w16cid:commentId w16cid:paraId="2E8269E0" w16cid:durableId="23B59FEA"/>
  <w16cid:commentId w16cid:paraId="4C905D0C" w16cid:durableId="23B5A3B4"/>
  <w16cid:commentId w16cid:paraId="476A2D7C" w16cid:durableId="23B59FEC"/>
  <w16cid:commentId w16cid:paraId="599DA697" w16cid:durableId="23B5A38E"/>
  <w16cid:commentId w16cid:paraId="384CDBAB" w16cid:durableId="23B45191"/>
  <w16cid:commentId w16cid:paraId="25EDCB04" w16cid:durableId="23B59FEE"/>
  <w16cid:commentId w16cid:paraId="16256482" w16cid:durableId="23B45192"/>
  <w16cid:commentId w16cid:paraId="2A20B010" w16cid:durableId="23B59FF0"/>
  <w16cid:commentId w16cid:paraId="7CC59230" w16cid:durableId="23B5A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F8C2" w14:textId="77777777" w:rsidR="003C01C8" w:rsidRDefault="003C01C8">
      <w:r>
        <w:rPr>
          <w:lang w:val="en"/>
        </w:rPr>
        <w:separator/>
      </w:r>
    </w:p>
  </w:endnote>
  <w:endnote w:type="continuationSeparator" w:id="0">
    <w:p w14:paraId="45125FBB" w14:textId="77777777" w:rsidR="003C01C8" w:rsidRDefault="003C01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03F0" w14:textId="7EECFF96" w:rsidR="00E32DC6" w:rsidRPr="001652D8" w:rsidRDefault="001652D8" w:rsidP="001652D8">
    <w:pPr>
      <w:pStyle w:val="Footer"/>
    </w:pPr>
    <w:r>
      <w:t xml:space="preserve">SOC/667 – EESC-2021-00006-00-00-AC-TRA (EN) </w:t>
    </w:r>
    <w:r>
      <w:fldChar w:fldCharType="begin"/>
    </w:r>
    <w:r>
      <w:instrText xml:space="preserve"> PAGE  \* Arabic  \* MERGEFORMAT </w:instrText>
    </w:r>
    <w:r>
      <w:fldChar w:fldCharType="separate"/>
    </w:r>
    <w:r w:rsidR="00DE0E1D">
      <w:rPr>
        <w:noProof/>
      </w:rPr>
      <w:t>1</w:t>
    </w:r>
    <w:r>
      <w:fldChar w:fldCharType="end"/>
    </w:r>
    <w:r>
      <w:t>/</w:t>
    </w:r>
    <w:r w:rsidR="00DE0E1D">
      <w:fldChar w:fldCharType="begin"/>
    </w:r>
    <w:r w:rsidR="00DE0E1D">
      <w:instrText xml:space="preserve"> NUMPAGES </w:instrText>
    </w:r>
    <w:r w:rsidR="00DE0E1D">
      <w:fldChar w:fldCharType="separate"/>
    </w:r>
    <w:r w:rsidR="00DE0E1D">
      <w:rPr>
        <w:noProof/>
      </w:rPr>
      <w:t>11</w:t>
    </w:r>
    <w:r w:rsidR="00DE0E1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76AE" w14:textId="77777777" w:rsidR="003E78DA" w:rsidRPr="001652D8" w:rsidRDefault="003E78DA" w:rsidP="00165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F77F" w14:textId="667C53C5" w:rsidR="003E78DA" w:rsidRPr="001652D8" w:rsidRDefault="001652D8" w:rsidP="001652D8">
    <w:pPr>
      <w:pStyle w:val="Footer"/>
    </w:pPr>
    <w:r>
      <w:t xml:space="preserve">SOC/667 – EESC-2021-00006-00-00-AC-TRA (EN) </w:t>
    </w:r>
    <w:r>
      <w:fldChar w:fldCharType="begin"/>
    </w:r>
    <w:r>
      <w:instrText xml:space="preserve"> PAGE  \* Arabic  \* MERGEFORMAT </w:instrText>
    </w:r>
    <w:r>
      <w:fldChar w:fldCharType="separate"/>
    </w:r>
    <w:r w:rsidR="00DE0E1D">
      <w:rPr>
        <w:noProof/>
      </w:rPr>
      <w:t>2</w:t>
    </w:r>
    <w:r>
      <w:fldChar w:fldCharType="end"/>
    </w:r>
    <w:r>
      <w:t>/</w:t>
    </w:r>
    <w:r w:rsidR="00DE0E1D">
      <w:fldChar w:fldCharType="begin"/>
    </w:r>
    <w:r w:rsidR="00DE0E1D">
      <w:instrText xml:space="preserve"> NUMPAGES </w:instrText>
    </w:r>
    <w:r w:rsidR="00DE0E1D">
      <w:fldChar w:fldCharType="separate"/>
    </w:r>
    <w:r w:rsidR="00DE0E1D">
      <w:rPr>
        <w:noProof/>
      </w:rPr>
      <w:t>11</w:t>
    </w:r>
    <w:r w:rsidR="00DE0E1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876E" w14:textId="77777777" w:rsidR="003E78DA" w:rsidRPr="001652D8" w:rsidRDefault="003E78DA" w:rsidP="0016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5C75" w14:textId="77777777" w:rsidR="003C01C8" w:rsidRDefault="003C01C8">
      <w:r>
        <w:rPr>
          <w:lang w:val="en"/>
        </w:rPr>
        <w:separator/>
      </w:r>
    </w:p>
  </w:footnote>
  <w:footnote w:type="continuationSeparator" w:id="0">
    <w:p w14:paraId="1D034896" w14:textId="77777777" w:rsidR="003C01C8" w:rsidRDefault="003C01C8">
      <w:r>
        <w:rPr>
          <w:lang w:val="en"/>
        </w:rPr>
        <w:continuationSeparator/>
      </w:r>
    </w:p>
  </w:footnote>
  <w:footnote w:id="1">
    <w:p w14:paraId="3D30B8A7" w14:textId="77777777" w:rsidR="00793DC5" w:rsidRPr="00793DC5" w:rsidRDefault="00793DC5">
      <w:pPr>
        <w:pStyle w:val="FootnoteText"/>
      </w:pPr>
      <w:r>
        <w:rPr>
          <w:rStyle w:val="FootnoteReference"/>
        </w:rPr>
        <w:footnoteRef/>
      </w:r>
      <w:r>
        <w:tab/>
        <w:t>Член 2 от Договора за Европейския съюз.</w:t>
      </w:r>
    </w:p>
  </w:footnote>
  <w:footnote w:id="2">
    <w:p w14:paraId="6229E5AC" w14:textId="77777777" w:rsidR="002159E8" w:rsidRPr="002159E8" w:rsidRDefault="002159E8">
      <w:pPr>
        <w:pStyle w:val="FootnoteText"/>
      </w:pPr>
      <w:r>
        <w:rPr>
          <w:rStyle w:val="FootnoteReference"/>
        </w:rPr>
        <w:footnoteRef/>
      </w:r>
      <w:r>
        <w:t xml:space="preserve"> </w:t>
      </w:r>
      <w:r>
        <w:tab/>
      </w:r>
      <w:hyperlink r:id="rId1" w:history="1">
        <w:r>
          <w:rPr>
            <w:rStyle w:val="Hyperlink"/>
          </w:rPr>
          <w:t>https://fra.europa.eu/sites/default/files/fra_uploads/fra-2020-lgbti-equality-1_en.pdf</w:t>
        </w:r>
      </w:hyperlink>
      <w:r>
        <w:t>.</w:t>
      </w:r>
    </w:p>
  </w:footnote>
  <w:footnote w:id="3">
    <w:p w14:paraId="7C5CE999" w14:textId="77777777" w:rsidR="00F07507" w:rsidRPr="00F07507" w:rsidRDefault="00F07507">
      <w:pPr>
        <w:pStyle w:val="FootnoteText"/>
      </w:pPr>
      <w:r>
        <w:rPr>
          <w:rStyle w:val="FootnoteReference"/>
        </w:rPr>
        <w:footnoteRef/>
      </w:r>
      <w:r>
        <w:t xml:space="preserve"> </w:t>
      </w:r>
      <w:r>
        <w:tab/>
        <w:t>В сферата на труда ЛГБТИК лицата продължават да бъдат подлагани на дискриминация в процеса на набиране на служители, на работното място и в края на своята професионална кариера противно на ясното законодателство на ЕС в тази област. Много ЛГБТИК лица се изправят пред голям брой пречки пред намирането на достойна и постоянна работа, което води до увеличаване на риска от бедност, социално изключване и бездомничество.</w:t>
      </w:r>
    </w:p>
  </w:footnote>
  <w:footnote w:id="4">
    <w:p w14:paraId="137A84ED" w14:textId="77777777" w:rsidR="0096036E" w:rsidRPr="0096036E" w:rsidRDefault="0096036E">
      <w:pPr>
        <w:pStyle w:val="FootnoteText"/>
      </w:pPr>
      <w:r>
        <w:rPr>
          <w:rStyle w:val="FootnoteReference"/>
        </w:rPr>
        <w:footnoteRef/>
      </w:r>
      <w:r>
        <w:t xml:space="preserve"> </w:t>
      </w:r>
      <w:r>
        <w:tab/>
        <w:t>За да се осъществи тази мярка, е необходимо да бъде създаден орган от експерти, който да оценява до каква степен изпълняваните от държавите членки проекти помагат на уязвимите групи, включително общността на ЛГБТИК лицата, както и да бъде направен предварителен и последващ анализ на изпълнението на проектите, финансирани с европейски средства, въз основа на таблица за оценка, утвърдена на европейско равнище.</w:t>
      </w:r>
    </w:p>
  </w:footnote>
  <w:footnote w:id="5">
    <w:p w14:paraId="5E4A32C4" w14:textId="77777777" w:rsidR="001F050A" w:rsidRPr="001F050A" w:rsidRDefault="001F050A">
      <w:pPr>
        <w:pStyle w:val="FootnoteText"/>
      </w:pPr>
      <w:r>
        <w:rPr>
          <w:rStyle w:val="FootnoteReference"/>
        </w:rPr>
        <w:footnoteRef/>
      </w:r>
      <w:r>
        <w:t xml:space="preserve"> </w:t>
      </w:r>
      <w:r>
        <w:tab/>
        <w:t>Кодексите за поведение следва да бъдат вдъхновени от ценностите на ЕС за равенство, права на човека, многообразие и свобода на изразяване, като се създаде група от експерти, която да наблюдава въвеждането и прилагането на този работен инструмент, но и с участието на организации на гражданското общество, чиято сфера на дейност е защитата на правата на човека и на уязвими групи.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5D78" w14:textId="77777777" w:rsidR="003E78DA" w:rsidRPr="001652D8" w:rsidRDefault="003E78DA" w:rsidP="00165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FE772" w14:textId="053C70C4" w:rsidR="003E78DA" w:rsidRPr="001652D8" w:rsidRDefault="003E78DA" w:rsidP="0016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2D82" w14:textId="77777777" w:rsidR="003E78DA" w:rsidRPr="001652D8" w:rsidRDefault="003E78DA" w:rsidP="00165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DD89E7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6AC7EBC"/>
    <w:multiLevelType w:val="hybridMultilevel"/>
    <w:tmpl w:val="9044FB32"/>
    <w:lvl w:ilvl="0" w:tplc="F1586A0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233A"/>
    <w:multiLevelType w:val="hybridMultilevel"/>
    <w:tmpl w:val="604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3"/>
    </w:lvlOverride>
    <w:lvlOverride w:ilvl="1">
      <w:startOverride w:val="1"/>
    </w:lvlOverride>
    <w:lvlOverride w:ilvl="2">
      <w:startOverride w:val="12"/>
    </w:lvlOverride>
  </w:num>
  <w:num w:numId="4">
    <w:abstractNumId w:val="0"/>
    <w:lvlOverride w:ilvl="0">
      <w:startOverride w:val="3"/>
    </w:lvlOverride>
    <w:lvlOverride w:ilvl="1">
      <w:startOverride w:val="1"/>
    </w:lvlOverride>
    <w:lvlOverride w:ilvl="2">
      <w:startOverride w:val="5"/>
    </w:lvlOverride>
  </w:num>
  <w:num w:numId="5">
    <w:abstractNumId w:val="0"/>
    <w:lvlOverride w:ilvl="0">
      <w:startOverride w:val="3"/>
    </w:lvlOverride>
    <w:lvlOverride w:ilvl="1">
      <w:startOverride w:val="1"/>
    </w:lvlOverride>
    <w:lvlOverride w:ilvl="2">
      <w:startOverride w:val="7"/>
    </w:lvlOverride>
  </w:num>
  <w:num w:numId="6">
    <w:abstractNumId w:val="0"/>
    <w:lvlOverride w:ilvl="0">
      <w:startOverride w:val="3"/>
    </w:lvlOverride>
    <w:lvlOverride w:ilvl="1">
      <w:startOverride w:val="1"/>
    </w:lvlOverride>
    <w:lvlOverride w:ilvl="2">
      <w:startOverride w:val="11"/>
    </w:lvlOverride>
  </w:num>
  <w:num w:numId="7">
    <w:abstractNumId w:val="0"/>
    <w:lvlOverride w:ilvl="0">
      <w:startOverride w:val="3"/>
    </w:lvlOverride>
    <w:lvlOverride w:ilvl="1">
      <w:startOverride w:val="1"/>
    </w:lvlOverride>
    <w:lvlOverride w:ilvl="2">
      <w:startOverride w:val="17"/>
    </w:lvlOverride>
  </w:num>
  <w:num w:numId="8">
    <w:abstractNumId w:val="1"/>
  </w:num>
  <w:num w:numId="9">
    <w:abstractNumId w:val="2"/>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01F5"/>
    <w:rsid w:val="000115C2"/>
    <w:rsid w:val="00011D33"/>
    <w:rsid w:val="00012296"/>
    <w:rsid w:val="00013792"/>
    <w:rsid w:val="0001380B"/>
    <w:rsid w:val="00014F29"/>
    <w:rsid w:val="000163D1"/>
    <w:rsid w:val="00020E6E"/>
    <w:rsid w:val="000228C3"/>
    <w:rsid w:val="00031A4B"/>
    <w:rsid w:val="00033790"/>
    <w:rsid w:val="00033913"/>
    <w:rsid w:val="00033E5B"/>
    <w:rsid w:val="000357A8"/>
    <w:rsid w:val="000430A6"/>
    <w:rsid w:val="00044923"/>
    <w:rsid w:val="00045AFC"/>
    <w:rsid w:val="0005235E"/>
    <w:rsid w:val="0005249C"/>
    <w:rsid w:val="000534A5"/>
    <w:rsid w:val="0005680D"/>
    <w:rsid w:val="000575A0"/>
    <w:rsid w:val="000633DA"/>
    <w:rsid w:val="00063FB4"/>
    <w:rsid w:val="00065594"/>
    <w:rsid w:val="0006793E"/>
    <w:rsid w:val="00072E0F"/>
    <w:rsid w:val="000735E5"/>
    <w:rsid w:val="0007392F"/>
    <w:rsid w:val="000749A0"/>
    <w:rsid w:val="00081144"/>
    <w:rsid w:val="000823AD"/>
    <w:rsid w:val="00087B39"/>
    <w:rsid w:val="00096502"/>
    <w:rsid w:val="000A3420"/>
    <w:rsid w:val="000A49BB"/>
    <w:rsid w:val="000A4ABF"/>
    <w:rsid w:val="000A7A5C"/>
    <w:rsid w:val="000B016D"/>
    <w:rsid w:val="000B2AC4"/>
    <w:rsid w:val="000B5569"/>
    <w:rsid w:val="000B7949"/>
    <w:rsid w:val="000B7AA0"/>
    <w:rsid w:val="000C3441"/>
    <w:rsid w:val="000C737B"/>
    <w:rsid w:val="000C7F53"/>
    <w:rsid w:val="000D2F8E"/>
    <w:rsid w:val="000E0511"/>
    <w:rsid w:val="000E5026"/>
    <w:rsid w:val="000F0FD8"/>
    <w:rsid w:val="000F196B"/>
    <w:rsid w:val="000F21C9"/>
    <w:rsid w:val="000F6AC8"/>
    <w:rsid w:val="000F768D"/>
    <w:rsid w:val="00101627"/>
    <w:rsid w:val="00105361"/>
    <w:rsid w:val="001058C9"/>
    <w:rsid w:val="001101F8"/>
    <w:rsid w:val="001112EE"/>
    <w:rsid w:val="0011206F"/>
    <w:rsid w:val="00112C61"/>
    <w:rsid w:val="00116312"/>
    <w:rsid w:val="0011656A"/>
    <w:rsid w:val="00116E78"/>
    <w:rsid w:val="001174B0"/>
    <w:rsid w:val="00120A40"/>
    <w:rsid w:val="0012220C"/>
    <w:rsid w:val="00125340"/>
    <w:rsid w:val="00127435"/>
    <w:rsid w:val="001325F5"/>
    <w:rsid w:val="00136EA3"/>
    <w:rsid w:val="00137575"/>
    <w:rsid w:val="00137822"/>
    <w:rsid w:val="00140D4A"/>
    <w:rsid w:val="001415B6"/>
    <w:rsid w:val="00144231"/>
    <w:rsid w:val="00150434"/>
    <w:rsid w:val="00154B68"/>
    <w:rsid w:val="00155721"/>
    <w:rsid w:val="0015678B"/>
    <w:rsid w:val="00162BCF"/>
    <w:rsid w:val="0016503F"/>
    <w:rsid w:val="00165176"/>
    <w:rsid w:val="001652D8"/>
    <w:rsid w:val="0016674F"/>
    <w:rsid w:val="00166A47"/>
    <w:rsid w:val="00167CA0"/>
    <w:rsid w:val="0017120D"/>
    <w:rsid w:val="001714F6"/>
    <w:rsid w:val="001743F6"/>
    <w:rsid w:val="00175779"/>
    <w:rsid w:val="00176168"/>
    <w:rsid w:val="00177158"/>
    <w:rsid w:val="001808A5"/>
    <w:rsid w:val="00181860"/>
    <w:rsid w:val="00181B05"/>
    <w:rsid w:val="00184FD4"/>
    <w:rsid w:val="00185DE5"/>
    <w:rsid w:val="00186B04"/>
    <w:rsid w:val="00186F1E"/>
    <w:rsid w:val="00190836"/>
    <w:rsid w:val="00193930"/>
    <w:rsid w:val="001940F1"/>
    <w:rsid w:val="001963A5"/>
    <w:rsid w:val="00196F1E"/>
    <w:rsid w:val="001976D4"/>
    <w:rsid w:val="00197FCA"/>
    <w:rsid w:val="001A27DB"/>
    <w:rsid w:val="001A6852"/>
    <w:rsid w:val="001B286A"/>
    <w:rsid w:val="001B2D02"/>
    <w:rsid w:val="001B2FC0"/>
    <w:rsid w:val="001B3647"/>
    <w:rsid w:val="001B5260"/>
    <w:rsid w:val="001B7497"/>
    <w:rsid w:val="001B77FA"/>
    <w:rsid w:val="001C0ABE"/>
    <w:rsid w:val="001C0BE5"/>
    <w:rsid w:val="001C5852"/>
    <w:rsid w:val="001C5AD5"/>
    <w:rsid w:val="001D1AEC"/>
    <w:rsid w:val="001D45F0"/>
    <w:rsid w:val="001D48CF"/>
    <w:rsid w:val="001D4CA0"/>
    <w:rsid w:val="001E4A33"/>
    <w:rsid w:val="001E5852"/>
    <w:rsid w:val="001E5C27"/>
    <w:rsid w:val="001F050A"/>
    <w:rsid w:val="001F0B86"/>
    <w:rsid w:val="001F602B"/>
    <w:rsid w:val="001F6932"/>
    <w:rsid w:val="001F6AC8"/>
    <w:rsid w:val="001F70F2"/>
    <w:rsid w:val="002037D5"/>
    <w:rsid w:val="00206F90"/>
    <w:rsid w:val="00211A1C"/>
    <w:rsid w:val="00212B03"/>
    <w:rsid w:val="002131AE"/>
    <w:rsid w:val="002159E8"/>
    <w:rsid w:val="00215C10"/>
    <w:rsid w:val="00215C2D"/>
    <w:rsid w:val="002160A5"/>
    <w:rsid w:val="0021649A"/>
    <w:rsid w:val="00220B81"/>
    <w:rsid w:val="00224DBF"/>
    <w:rsid w:val="002252C4"/>
    <w:rsid w:val="00225BFE"/>
    <w:rsid w:val="0023183E"/>
    <w:rsid w:val="00235138"/>
    <w:rsid w:val="00240933"/>
    <w:rsid w:val="00243E36"/>
    <w:rsid w:val="0024435C"/>
    <w:rsid w:val="0024540B"/>
    <w:rsid w:val="00245C35"/>
    <w:rsid w:val="00245DA8"/>
    <w:rsid w:val="00245EF4"/>
    <w:rsid w:val="00250E11"/>
    <w:rsid w:val="00251383"/>
    <w:rsid w:val="002522C9"/>
    <w:rsid w:val="00252A21"/>
    <w:rsid w:val="00252E1C"/>
    <w:rsid w:val="00253D1F"/>
    <w:rsid w:val="00253E4F"/>
    <w:rsid w:val="002542E4"/>
    <w:rsid w:val="00256003"/>
    <w:rsid w:val="00261053"/>
    <w:rsid w:val="00262FDE"/>
    <w:rsid w:val="00263629"/>
    <w:rsid w:val="002745A8"/>
    <w:rsid w:val="00275DF0"/>
    <w:rsid w:val="002769BD"/>
    <w:rsid w:val="00276A75"/>
    <w:rsid w:val="002809EA"/>
    <w:rsid w:val="00281833"/>
    <w:rsid w:val="00283695"/>
    <w:rsid w:val="00284920"/>
    <w:rsid w:val="00284962"/>
    <w:rsid w:val="0028730A"/>
    <w:rsid w:val="00287B0E"/>
    <w:rsid w:val="00287B16"/>
    <w:rsid w:val="0029399F"/>
    <w:rsid w:val="00293FC7"/>
    <w:rsid w:val="002A0B53"/>
    <w:rsid w:val="002A0EEF"/>
    <w:rsid w:val="002A1AB6"/>
    <w:rsid w:val="002A1D4C"/>
    <w:rsid w:val="002A3C42"/>
    <w:rsid w:val="002A4730"/>
    <w:rsid w:val="002A4DBD"/>
    <w:rsid w:val="002A76F9"/>
    <w:rsid w:val="002B190D"/>
    <w:rsid w:val="002B2DF7"/>
    <w:rsid w:val="002B5A08"/>
    <w:rsid w:val="002B5EEF"/>
    <w:rsid w:val="002C1DB1"/>
    <w:rsid w:val="002C3BF4"/>
    <w:rsid w:val="002C51A4"/>
    <w:rsid w:val="002C749F"/>
    <w:rsid w:val="002D10B6"/>
    <w:rsid w:val="002D3710"/>
    <w:rsid w:val="002D3AF6"/>
    <w:rsid w:val="002E61B4"/>
    <w:rsid w:val="002E7B33"/>
    <w:rsid w:val="002F059B"/>
    <w:rsid w:val="002F5B0B"/>
    <w:rsid w:val="003001F8"/>
    <w:rsid w:val="00300924"/>
    <w:rsid w:val="00300EF4"/>
    <w:rsid w:val="003030DB"/>
    <w:rsid w:val="003033D1"/>
    <w:rsid w:val="00303953"/>
    <w:rsid w:val="0030596E"/>
    <w:rsid w:val="003073C3"/>
    <w:rsid w:val="0030743B"/>
    <w:rsid w:val="003156DA"/>
    <w:rsid w:val="003179F5"/>
    <w:rsid w:val="003217C9"/>
    <w:rsid w:val="003229B7"/>
    <w:rsid w:val="00323637"/>
    <w:rsid w:val="00324E8A"/>
    <w:rsid w:val="00326138"/>
    <w:rsid w:val="00331D87"/>
    <w:rsid w:val="00332850"/>
    <w:rsid w:val="00334478"/>
    <w:rsid w:val="003346B4"/>
    <w:rsid w:val="00334AE6"/>
    <w:rsid w:val="00335BA0"/>
    <w:rsid w:val="003365D0"/>
    <w:rsid w:val="00337DB9"/>
    <w:rsid w:val="00337E72"/>
    <w:rsid w:val="00337F47"/>
    <w:rsid w:val="00340490"/>
    <w:rsid w:val="00342B5C"/>
    <w:rsid w:val="003439AB"/>
    <w:rsid w:val="0035034C"/>
    <w:rsid w:val="003543EE"/>
    <w:rsid w:val="00354695"/>
    <w:rsid w:val="0035549B"/>
    <w:rsid w:val="0035620D"/>
    <w:rsid w:val="00362133"/>
    <w:rsid w:val="00363DD2"/>
    <w:rsid w:val="00364EC1"/>
    <w:rsid w:val="00365F95"/>
    <w:rsid w:val="00370758"/>
    <w:rsid w:val="00371DDB"/>
    <w:rsid w:val="003755C8"/>
    <w:rsid w:val="00375687"/>
    <w:rsid w:val="00380AE0"/>
    <w:rsid w:val="00382543"/>
    <w:rsid w:val="00383324"/>
    <w:rsid w:val="00386706"/>
    <w:rsid w:val="00387A75"/>
    <w:rsid w:val="003904FD"/>
    <w:rsid w:val="00391891"/>
    <w:rsid w:val="00391B25"/>
    <w:rsid w:val="003926BB"/>
    <w:rsid w:val="00392981"/>
    <w:rsid w:val="00394254"/>
    <w:rsid w:val="00396F67"/>
    <w:rsid w:val="003A0994"/>
    <w:rsid w:val="003A4278"/>
    <w:rsid w:val="003B41DE"/>
    <w:rsid w:val="003C01C8"/>
    <w:rsid w:val="003C1C02"/>
    <w:rsid w:val="003C2BFB"/>
    <w:rsid w:val="003C332A"/>
    <w:rsid w:val="003C436B"/>
    <w:rsid w:val="003C5337"/>
    <w:rsid w:val="003C559A"/>
    <w:rsid w:val="003C5F92"/>
    <w:rsid w:val="003D33E4"/>
    <w:rsid w:val="003D7A8C"/>
    <w:rsid w:val="003D7C00"/>
    <w:rsid w:val="003E0A26"/>
    <w:rsid w:val="003E38F9"/>
    <w:rsid w:val="003E56E5"/>
    <w:rsid w:val="003E5EB0"/>
    <w:rsid w:val="003E78DA"/>
    <w:rsid w:val="003E7E60"/>
    <w:rsid w:val="003F00D4"/>
    <w:rsid w:val="003F0A48"/>
    <w:rsid w:val="003F2209"/>
    <w:rsid w:val="003F2A48"/>
    <w:rsid w:val="003F2B40"/>
    <w:rsid w:val="003F3D39"/>
    <w:rsid w:val="003F5FC6"/>
    <w:rsid w:val="003F646A"/>
    <w:rsid w:val="003F6761"/>
    <w:rsid w:val="003F6A0A"/>
    <w:rsid w:val="00400D7F"/>
    <w:rsid w:val="004024F5"/>
    <w:rsid w:val="00402DE1"/>
    <w:rsid w:val="00402F40"/>
    <w:rsid w:val="00403D8B"/>
    <w:rsid w:val="004058F1"/>
    <w:rsid w:val="00407701"/>
    <w:rsid w:val="00407E7D"/>
    <w:rsid w:val="004113EB"/>
    <w:rsid w:val="0041283D"/>
    <w:rsid w:val="00413AB4"/>
    <w:rsid w:val="00421373"/>
    <w:rsid w:val="00421FB7"/>
    <w:rsid w:val="0042763B"/>
    <w:rsid w:val="00427EAC"/>
    <w:rsid w:val="0043024C"/>
    <w:rsid w:val="004348C0"/>
    <w:rsid w:val="00436255"/>
    <w:rsid w:val="00436706"/>
    <w:rsid w:val="00443D38"/>
    <w:rsid w:val="00446E3D"/>
    <w:rsid w:val="00450E7A"/>
    <w:rsid w:val="00456AF8"/>
    <w:rsid w:val="00470B15"/>
    <w:rsid w:val="004716B3"/>
    <w:rsid w:val="00475869"/>
    <w:rsid w:val="00475A77"/>
    <w:rsid w:val="00477434"/>
    <w:rsid w:val="00481BDE"/>
    <w:rsid w:val="0048335B"/>
    <w:rsid w:val="004866A9"/>
    <w:rsid w:val="004878D6"/>
    <w:rsid w:val="0048791A"/>
    <w:rsid w:val="00487EB4"/>
    <w:rsid w:val="00492774"/>
    <w:rsid w:val="00496D7A"/>
    <w:rsid w:val="004A223E"/>
    <w:rsid w:val="004A27CC"/>
    <w:rsid w:val="004A31BC"/>
    <w:rsid w:val="004A3255"/>
    <w:rsid w:val="004A3F1A"/>
    <w:rsid w:val="004A3F45"/>
    <w:rsid w:val="004A480B"/>
    <w:rsid w:val="004A5738"/>
    <w:rsid w:val="004B0215"/>
    <w:rsid w:val="004B1AFA"/>
    <w:rsid w:val="004B4949"/>
    <w:rsid w:val="004B7088"/>
    <w:rsid w:val="004C13A0"/>
    <w:rsid w:val="004C20C4"/>
    <w:rsid w:val="004C26B5"/>
    <w:rsid w:val="004C4251"/>
    <w:rsid w:val="004C4D12"/>
    <w:rsid w:val="004C5B76"/>
    <w:rsid w:val="004C5D33"/>
    <w:rsid w:val="004D02CD"/>
    <w:rsid w:val="004D0B24"/>
    <w:rsid w:val="004D2D32"/>
    <w:rsid w:val="004D4B90"/>
    <w:rsid w:val="004D6B95"/>
    <w:rsid w:val="004D7F41"/>
    <w:rsid w:val="004E03A2"/>
    <w:rsid w:val="004E317E"/>
    <w:rsid w:val="004E3954"/>
    <w:rsid w:val="004E562B"/>
    <w:rsid w:val="004E5856"/>
    <w:rsid w:val="004F2330"/>
    <w:rsid w:val="004F53C6"/>
    <w:rsid w:val="004F55C6"/>
    <w:rsid w:val="004F69DB"/>
    <w:rsid w:val="004F6B87"/>
    <w:rsid w:val="00501C2D"/>
    <w:rsid w:val="00502637"/>
    <w:rsid w:val="00505C4B"/>
    <w:rsid w:val="00511140"/>
    <w:rsid w:val="005139A8"/>
    <w:rsid w:val="00513CFE"/>
    <w:rsid w:val="005146BA"/>
    <w:rsid w:val="005150DC"/>
    <w:rsid w:val="00523B6A"/>
    <w:rsid w:val="00524460"/>
    <w:rsid w:val="00525F6C"/>
    <w:rsid w:val="00526E03"/>
    <w:rsid w:val="00535C37"/>
    <w:rsid w:val="0054342E"/>
    <w:rsid w:val="00544181"/>
    <w:rsid w:val="00546AB4"/>
    <w:rsid w:val="005514E5"/>
    <w:rsid w:val="005574D8"/>
    <w:rsid w:val="00557EA7"/>
    <w:rsid w:val="0056244C"/>
    <w:rsid w:val="00563C84"/>
    <w:rsid w:val="00575810"/>
    <w:rsid w:val="005762F6"/>
    <w:rsid w:val="00576E64"/>
    <w:rsid w:val="005807B3"/>
    <w:rsid w:val="005819A3"/>
    <w:rsid w:val="00584D00"/>
    <w:rsid w:val="00584FBE"/>
    <w:rsid w:val="00585081"/>
    <w:rsid w:val="00585483"/>
    <w:rsid w:val="00587378"/>
    <w:rsid w:val="00587C05"/>
    <w:rsid w:val="00590AAB"/>
    <w:rsid w:val="005927DF"/>
    <w:rsid w:val="0059290A"/>
    <w:rsid w:val="005938C3"/>
    <w:rsid w:val="00593E53"/>
    <w:rsid w:val="0059468C"/>
    <w:rsid w:val="00595125"/>
    <w:rsid w:val="00596F21"/>
    <w:rsid w:val="005977ED"/>
    <w:rsid w:val="005A0E5D"/>
    <w:rsid w:val="005A3437"/>
    <w:rsid w:val="005A5CB6"/>
    <w:rsid w:val="005A68BD"/>
    <w:rsid w:val="005A73FD"/>
    <w:rsid w:val="005A7843"/>
    <w:rsid w:val="005B1CDD"/>
    <w:rsid w:val="005B1E19"/>
    <w:rsid w:val="005B55FC"/>
    <w:rsid w:val="005B68C5"/>
    <w:rsid w:val="005C226E"/>
    <w:rsid w:val="005C2658"/>
    <w:rsid w:val="005C2D5E"/>
    <w:rsid w:val="005C3B81"/>
    <w:rsid w:val="005C650C"/>
    <w:rsid w:val="005D086C"/>
    <w:rsid w:val="005D11D3"/>
    <w:rsid w:val="005D28BA"/>
    <w:rsid w:val="005D2A1C"/>
    <w:rsid w:val="005D4E1F"/>
    <w:rsid w:val="005D4FB3"/>
    <w:rsid w:val="005E2F07"/>
    <w:rsid w:val="005E2FEA"/>
    <w:rsid w:val="005F0B57"/>
    <w:rsid w:val="005F314B"/>
    <w:rsid w:val="005F3F6D"/>
    <w:rsid w:val="006046C2"/>
    <w:rsid w:val="00605B9D"/>
    <w:rsid w:val="00611AF2"/>
    <w:rsid w:val="0061212B"/>
    <w:rsid w:val="006127AF"/>
    <w:rsid w:val="00613A98"/>
    <w:rsid w:val="00614075"/>
    <w:rsid w:val="00615FB2"/>
    <w:rsid w:val="00617BD1"/>
    <w:rsid w:val="00617CE8"/>
    <w:rsid w:val="006275AE"/>
    <w:rsid w:val="006278A0"/>
    <w:rsid w:val="006303C5"/>
    <w:rsid w:val="0063095F"/>
    <w:rsid w:val="00631CBD"/>
    <w:rsid w:val="006328A7"/>
    <w:rsid w:val="006337D3"/>
    <w:rsid w:val="0063704F"/>
    <w:rsid w:val="0064076C"/>
    <w:rsid w:val="00642E7E"/>
    <w:rsid w:val="00646AC2"/>
    <w:rsid w:val="00650390"/>
    <w:rsid w:val="00650E9E"/>
    <w:rsid w:val="006519A3"/>
    <w:rsid w:val="00653889"/>
    <w:rsid w:val="00654DAB"/>
    <w:rsid w:val="006561E2"/>
    <w:rsid w:val="006579DF"/>
    <w:rsid w:val="006600C0"/>
    <w:rsid w:val="0066204A"/>
    <w:rsid w:val="00663F28"/>
    <w:rsid w:val="00670E3C"/>
    <w:rsid w:val="0067763F"/>
    <w:rsid w:val="00677F57"/>
    <w:rsid w:val="00681088"/>
    <w:rsid w:val="00684453"/>
    <w:rsid w:val="00685445"/>
    <w:rsid w:val="00685FEF"/>
    <w:rsid w:val="006908AA"/>
    <w:rsid w:val="00691EAA"/>
    <w:rsid w:val="0069577E"/>
    <w:rsid w:val="0069634B"/>
    <w:rsid w:val="00696623"/>
    <w:rsid w:val="00696849"/>
    <w:rsid w:val="006A000D"/>
    <w:rsid w:val="006A04E9"/>
    <w:rsid w:val="006A4A03"/>
    <w:rsid w:val="006A7543"/>
    <w:rsid w:val="006B725C"/>
    <w:rsid w:val="006C188D"/>
    <w:rsid w:val="006C18BA"/>
    <w:rsid w:val="006C273D"/>
    <w:rsid w:val="006C4364"/>
    <w:rsid w:val="006C474C"/>
    <w:rsid w:val="006C4D58"/>
    <w:rsid w:val="006C5592"/>
    <w:rsid w:val="006C57D2"/>
    <w:rsid w:val="006C5C4F"/>
    <w:rsid w:val="006C6282"/>
    <w:rsid w:val="006C762A"/>
    <w:rsid w:val="006D110F"/>
    <w:rsid w:val="006D50C1"/>
    <w:rsid w:val="006D5FF9"/>
    <w:rsid w:val="006E0772"/>
    <w:rsid w:val="006E0F86"/>
    <w:rsid w:val="006E4A6D"/>
    <w:rsid w:val="006E56E1"/>
    <w:rsid w:val="006E57C7"/>
    <w:rsid w:val="006F0B15"/>
    <w:rsid w:val="006F0DCC"/>
    <w:rsid w:val="006F1DF3"/>
    <w:rsid w:val="006F6C6C"/>
    <w:rsid w:val="006F7C2D"/>
    <w:rsid w:val="00702FEF"/>
    <w:rsid w:val="00703DF9"/>
    <w:rsid w:val="007048EB"/>
    <w:rsid w:val="00704FBB"/>
    <w:rsid w:val="00706FE4"/>
    <w:rsid w:val="0070703D"/>
    <w:rsid w:val="0070726A"/>
    <w:rsid w:val="007079C8"/>
    <w:rsid w:val="007101A3"/>
    <w:rsid w:val="00711607"/>
    <w:rsid w:val="0071226B"/>
    <w:rsid w:val="00717040"/>
    <w:rsid w:val="007218E3"/>
    <w:rsid w:val="00721BE6"/>
    <w:rsid w:val="007249C9"/>
    <w:rsid w:val="007256F5"/>
    <w:rsid w:val="007316DA"/>
    <w:rsid w:val="00732C82"/>
    <w:rsid w:val="007408E2"/>
    <w:rsid w:val="0074576D"/>
    <w:rsid w:val="00746A56"/>
    <w:rsid w:val="0075293C"/>
    <w:rsid w:val="00754618"/>
    <w:rsid w:val="007622A7"/>
    <w:rsid w:val="00762627"/>
    <w:rsid w:val="0076644C"/>
    <w:rsid w:val="00773DEA"/>
    <w:rsid w:val="00774E61"/>
    <w:rsid w:val="007750A2"/>
    <w:rsid w:val="007817D6"/>
    <w:rsid w:val="00781E1C"/>
    <w:rsid w:val="00782DF4"/>
    <w:rsid w:val="00784159"/>
    <w:rsid w:val="007853A6"/>
    <w:rsid w:val="00787912"/>
    <w:rsid w:val="0079177A"/>
    <w:rsid w:val="00791E55"/>
    <w:rsid w:val="00793DC5"/>
    <w:rsid w:val="00794836"/>
    <w:rsid w:val="007948D5"/>
    <w:rsid w:val="00794D78"/>
    <w:rsid w:val="0079509C"/>
    <w:rsid w:val="007951DC"/>
    <w:rsid w:val="007A15C9"/>
    <w:rsid w:val="007A1965"/>
    <w:rsid w:val="007A6676"/>
    <w:rsid w:val="007B606A"/>
    <w:rsid w:val="007B66AB"/>
    <w:rsid w:val="007B7FF5"/>
    <w:rsid w:val="007C328E"/>
    <w:rsid w:val="007C3FC6"/>
    <w:rsid w:val="007C4C5D"/>
    <w:rsid w:val="007C52CD"/>
    <w:rsid w:val="007D2CE9"/>
    <w:rsid w:val="007D4FED"/>
    <w:rsid w:val="007D69DA"/>
    <w:rsid w:val="007D70B1"/>
    <w:rsid w:val="007D7140"/>
    <w:rsid w:val="007D76A4"/>
    <w:rsid w:val="007D7FB7"/>
    <w:rsid w:val="007E1C5A"/>
    <w:rsid w:val="007E1CDB"/>
    <w:rsid w:val="007E408C"/>
    <w:rsid w:val="007E4B5A"/>
    <w:rsid w:val="007E50BF"/>
    <w:rsid w:val="007E65A5"/>
    <w:rsid w:val="007E7E21"/>
    <w:rsid w:val="007F0460"/>
    <w:rsid w:val="007F0DA2"/>
    <w:rsid w:val="007F2034"/>
    <w:rsid w:val="007F39CE"/>
    <w:rsid w:val="007F5E0D"/>
    <w:rsid w:val="008003B7"/>
    <w:rsid w:val="00801085"/>
    <w:rsid w:val="00801A89"/>
    <w:rsid w:val="00804457"/>
    <w:rsid w:val="00806B63"/>
    <w:rsid w:val="00812138"/>
    <w:rsid w:val="008121B3"/>
    <w:rsid w:val="008151F2"/>
    <w:rsid w:val="0081777A"/>
    <w:rsid w:val="008210E0"/>
    <w:rsid w:val="00822A3F"/>
    <w:rsid w:val="00822AC0"/>
    <w:rsid w:val="00824079"/>
    <w:rsid w:val="00831F0A"/>
    <w:rsid w:val="00833A78"/>
    <w:rsid w:val="00840163"/>
    <w:rsid w:val="00840CC3"/>
    <w:rsid w:val="00842B4B"/>
    <w:rsid w:val="00845507"/>
    <w:rsid w:val="0084585F"/>
    <w:rsid w:val="0084616D"/>
    <w:rsid w:val="00852FD3"/>
    <w:rsid w:val="00853E53"/>
    <w:rsid w:val="0085535C"/>
    <w:rsid w:val="00855DE2"/>
    <w:rsid w:val="008613CA"/>
    <w:rsid w:val="00863C5D"/>
    <w:rsid w:val="00864D76"/>
    <w:rsid w:val="008656C9"/>
    <w:rsid w:val="00866A77"/>
    <w:rsid w:val="0086711C"/>
    <w:rsid w:val="00867535"/>
    <w:rsid w:val="0087198E"/>
    <w:rsid w:val="00871D0A"/>
    <w:rsid w:val="00872FDF"/>
    <w:rsid w:val="00875063"/>
    <w:rsid w:val="00875C5B"/>
    <w:rsid w:val="008768C0"/>
    <w:rsid w:val="008801DB"/>
    <w:rsid w:val="00883C5F"/>
    <w:rsid w:val="00885031"/>
    <w:rsid w:val="008863BC"/>
    <w:rsid w:val="00891C7D"/>
    <w:rsid w:val="00892FA7"/>
    <w:rsid w:val="0089630D"/>
    <w:rsid w:val="008A3301"/>
    <w:rsid w:val="008A3F95"/>
    <w:rsid w:val="008A4DF1"/>
    <w:rsid w:val="008A5636"/>
    <w:rsid w:val="008B1216"/>
    <w:rsid w:val="008B125E"/>
    <w:rsid w:val="008B241C"/>
    <w:rsid w:val="008B408B"/>
    <w:rsid w:val="008B4F11"/>
    <w:rsid w:val="008B6C76"/>
    <w:rsid w:val="008C2362"/>
    <w:rsid w:val="008C3049"/>
    <w:rsid w:val="008C44B3"/>
    <w:rsid w:val="008C74D9"/>
    <w:rsid w:val="008D217C"/>
    <w:rsid w:val="008D4AE9"/>
    <w:rsid w:val="008D5CF3"/>
    <w:rsid w:val="008D7D39"/>
    <w:rsid w:val="008E1560"/>
    <w:rsid w:val="008E4574"/>
    <w:rsid w:val="008E59E0"/>
    <w:rsid w:val="008E73AF"/>
    <w:rsid w:val="008F311C"/>
    <w:rsid w:val="008F4016"/>
    <w:rsid w:val="008F42FE"/>
    <w:rsid w:val="008F4922"/>
    <w:rsid w:val="008F4A00"/>
    <w:rsid w:val="008F4EC9"/>
    <w:rsid w:val="008F5402"/>
    <w:rsid w:val="008F7582"/>
    <w:rsid w:val="0090053A"/>
    <w:rsid w:val="00901C2A"/>
    <w:rsid w:val="00902026"/>
    <w:rsid w:val="009114BF"/>
    <w:rsid w:val="009118C7"/>
    <w:rsid w:val="009132D2"/>
    <w:rsid w:val="009160D6"/>
    <w:rsid w:val="009225B6"/>
    <w:rsid w:val="00925397"/>
    <w:rsid w:val="009273D9"/>
    <w:rsid w:val="00933530"/>
    <w:rsid w:val="009339DA"/>
    <w:rsid w:val="00933A21"/>
    <w:rsid w:val="00934C10"/>
    <w:rsid w:val="00935D97"/>
    <w:rsid w:val="0093662A"/>
    <w:rsid w:val="00937C5C"/>
    <w:rsid w:val="0094060C"/>
    <w:rsid w:val="00942C4B"/>
    <w:rsid w:val="00944196"/>
    <w:rsid w:val="0095194E"/>
    <w:rsid w:val="0096036E"/>
    <w:rsid w:val="009606A5"/>
    <w:rsid w:val="00962F1F"/>
    <w:rsid w:val="00965304"/>
    <w:rsid w:val="00971090"/>
    <w:rsid w:val="00971293"/>
    <w:rsid w:val="00972070"/>
    <w:rsid w:val="00972A4F"/>
    <w:rsid w:val="00973A3B"/>
    <w:rsid w:val="00975084"/>
    <w:rsid w:val="00981741"/>
    <w:rsid w:val="00982A0D"/>
    <w:rsid w:val="00983EAE"/>
    <w:rsid w:val="009854FD"/>
    <w:rsid w:val="0098760B"/>
    <w:rsid w:val="00995217"/>
    <w:rsid w:val="009A11DD"/>
    <w:rsid w:val="009A4A1E"/>
    <w:rsid w:val="009A4C38"/>
    <w:rsid w:val="009A50A4"/>
    <w:rsid w:val="009A62B7"/>
    <w:rsid w:val="009B30AA"/>
    <w:rsid w:val="009B5217"/>
    <w:rsid w:val="009C48DE"/>
    <w:rsid w:val="009C5816"/>
    <w:rsid w:val="009D4D60"/>
    <w:rsid w:val="009D60D9"/>
    <w:rsid w:val="009D679F"/>
    <w:rsid w:val="009D685C"/>
    <w:rsid w:val="009E09BD"/>
    <w:rsid w:val="009E1E1E"/>
    <w:rsid w:val="009E209A"/>
    <w:rsid w:val="009E33E3"/>
    <w:rsid w:val="009E7F16"/>
    <w:rsid w:val="009F038F"/>
    <w:rsid w:val="009F196A"/>
    <w:rsid w:val="009F1E65"/>
    <w:rsid w:val="009F5052"/>
    <w:rsid w:val="00A00D19"/>
    <w:rsid w:val="00A01704"/>
    <w:rsid w:val="00A03083"/>
    <w:rsid w:val="00A04C85"/>
    <w:rsid w:val="00A100F0"/>
    <w:rsid w:val="00A130ED"/>
    <w:rsid w:val="00A14B7B"/>
    <w:rsid w:val="00A14EAF"/>
    <w:rsid w:val="00A156E6"/>
    <w:rsid w:val="00A177C5"/>
    <w:rsid w:val="00A17A3C"/>
    <w:rsid w:val="00A20F55"/>
    <w:rsid w:val="00A215D0"/>
    <w:rsid w:val="00A22142"/>
    <w:rsid w:val="00A23592"/>
    <w:rsid w:val="00A26B9A"/>
    <w:rsid w:val="00A27D86"/>
    <w:rsid w:val="00A30A3D"/>
    <w:rsid w:val="00A33151"/>
    <w:rsid w:val="00A35753"/>
    <w:rsid w:val="00A36970"/>
    <w:rsid w:val="00A41EB4"/>
    <w:rsid w:val="00A41F90"/>
    <w:rsid w:val="00A421BF"/>
    <w:rsid w:val="00A44953"/>
    <w:rsid w:val="00A44BFF"/>
    <w:rsid w:val="00A501E3"/>
    <w:rsid w:val="00A50F0C"/>
    <w:rsid w:val="00A56441"/>
    <w:rsid w:val="00A57983"/>
    <w:rsid w:val="00A63A51"/>
    <w:rsid w:val="00A736DD"/>
    <w:rsid w:val="00A7486C"/>
    <w:rsid w:val="00A75A93"/>
    <w:rsid w:val="00A77D3E"/>
    <w:rsid w:val="00A8106E"/>
    <w:rsid w:val="00A8183E"/>
    <w:rsid w:val="00A82869"/>
    <w:rsid w:val="00A8758C"/>
    <w:rsid w:val="00A920A2"/>
    <w:rsid w:val="00A94C72"/>
    <w:rsid w:val="00A95EB1"/>
    <w:rsid w:val="00AA0E76"/>
    <w:rsid w:val="00AA127E"/>
    <w:rsid w:val="00AA19AE"/>
    <w:rsid w:val="00AA1E89"/>
    <w:rsid w:val="00AA423D"/>
    <w:rsid w:val="00AA6A95"/>
    <w:rsid w:val="00AA7DDE"/>
    <w:rsid w:val="00AB10DE"/>
    <w:rsid w:val="00AB3668"/>
    <w:rsid w:val="00AB427E"/>
    <w:rsid w:val="00AB4AD7"/>
    <w:rsid w:val="00AB5ED7"/>
    <w:rsid w:val="00AB6BCD"/>
    <w:rsid w:val="00AC0B4C"/>
    <w:rsid w:val="00AC1B04"/>
    <w:rsid w:val="00AD0AEE"/>
    <w:rsid w:val="00AD0D32"/>
    <w:rsid w:val="00AD1FA3"/>
    <w:rsid w:val="00AD49E3"/>
    <w:rsid w:val="00AD4B4F"/>
    <w:rsid w:val="00AE33E3"/>
    <w:rsid w:val="00AF0616"/>
    <w:rsid w:val="00AF0662"/>
    <w:rsid w:val="00AF0E28"/>
    <w:rsid w:val="00AF13CD"/>
    <w:rsid w:val="00AF6F9B"/>
    <w:rsid w:val="00AF773F"/>
    <w:rsid w:val="00B01409"/>
    <w:rsid w:val="00B06D85"/>
    <w:rsid w:val="00B1039A"/>
    <w:rsid w:val="00B10DBD"/>
    <w:rsid w:val="00B12940"/>
    <w:rsid w:val="00B15629"/>
    <w:rsid w:val="00B2372C"/>
    <w:rsid w:val="00B32F70"/>
    <w:rsid w:val="00B36023"/>
    <w:rsid w:val="00B373D0"/>
    <w:rsid w:val="00B4344A"/>
    <w:rsid w:val="00B43AAA"/>
    <w:rsid w:val="00B504E5"/>
    <w:rsid w:val="00B51533"/>
    <w:rsid w:val="00B52023"/>
    <w:rsid w:val="00B525CC"/>
    <w:rsid w:val="00B525D3"/>
    <w:rsid w:val="00B52DA9"/>
    <w:rsid w:val="00B53139"/>
    <w:rsid w:val="00B54319"/>
    <w:rsid w:val="00B55020"/>
    <w:rsid w:val="00B558DD"/>
    <w:rsid w:val="00B562CE"/>
    <w:rsid w:val="00B57904"/>
    <w:rsid w:val="00B62DE2"/>
    <w:rsid w:val="00B65012"/>
    <w:rsid w:val="00B67F20"/>
    <w:rsid w:val="00B720CE"/>
    <w:rsid w:val="00B7353A"/>
    <w:rsid w:val="00B74417"/>
    <w:rsid w:val="00B77246"/>
    <w:rsid w:val="00B81F1B"/>
    <w:rsid w:val="00B866CD"/>
    <w:rsid w:val="00B8751C"/>
    <w:rsid w:val="00B87DB3"/>
    <w:rsid w:val="00B90427"/>
    <w:rsid w:val="00B93034"/>
    <w:rsid w:val="00B93A81"/>
    <w:rsid w:val="00B94D3A"/>
    <w:rsid w:val="00B95045"/>
    <w:rsid w:val="00B968D8"/>
    <w:rsid w:val="00B97C5D"/>
    <w:rsid w:val="00BA1290"/>
    <w:rsid w:val="00BA2E98"/>
    <w:rsid w:val="00BA4CE1"/>
    <w:rsid w:val="00BB0DA9"/>
    <w:rsid w:val="00BB2792"/>
    <w:rsid w:val="00BB5212"/>
    <w:rsid w:val="00BB7545"/>
    <w:rsid w:val="00BB76BF"/>
    <w:rsid w:val="00BC1AD1"/>
    <w:rsid w:val="00BC1D82"/>
    <w:rsid w:val="00BC450C"/>
    <w:rsid w:val="00BC4A58"/>
    <w:rsid w:val="00BC613B"/>
    <w:rsid w:val="00BC6174"/>
    <w:rsid w:val="00BC790E"/>
    <w:rsid w:val="00BC7CE9"/>
    <w:rsid w:val="00BD038F"/>
    <w:rsid w:val="00BD2A07"/>
    <w:rsid w:val="00BD51D9"/>
    <w:rsid w:val="00BD64E2"/>
    <w:rsid w:val="00BE3252"/>
    <w:rsid w:val="00BE4995"/>
    <w:rsid w:val="00BE4F39"/>
    <w:rsid w:val="00BF429A"/>
    <w:rsid w:val="00BF62BE"/>
    <w:rsid w:val="00C07126"/>
    <w:rsid w:val="00C15EB6"/>
    <w:rsid w:val="00C167A3"/>
    <w:rsid w:val="00C16853"/>
    <w:rsid w:val="00C2257A"/>
    <w:rsid w:val="00C263F0"/>
    <w:rsid w:val="00C27612"/>
    <w:rsid w:val="00C321DF"/>
    <w:rsid w:val="00C33D41"/>
    <w:rsid w:val="00C33EBE"/>
    <w:rsid w:val="00C40AFD"/>
    <w:rsid w:val="00C40F3E"/>
    <w:rsid w:val="00C4151F"/>
    <w:rsid w:val="00C41E20"/>
    <w:rsid w:val="00C42E3E"/>
    <w:rsid w:val="00C43BDE"/>
    <w:rsid w:val="00C4583F"/>
    <w:rsid w:val="00C51C13"/>
    <w:rsid w:val="00C525A5"/>
    <w:rsid w:val="00C5300F"/>
    <w:rsid w:val="00C536F6"/>
    <w:rsid w:val="00C54594"/>
    <w:rsid w:val="00C55DA5"/>
    <w:rsid w:val="00C6143A"/>
    <w:rsid w:val="00C63298"/>
    <w:rsid w:val="00C64147"/>
    <w:rsid w:val="00C66662"/>
    <w:rsid w:val="00C66CE0"/>
    <w:rsid w:val="00C71BED"/>
    <w:rsid w:val="00C737B2"/>
    <w:rsid w:val="00C81B53"/>
    <w:rsid w:val="00C82AD2"/>
    <w:rsid w:val="00C843D4"/>
    <w:rsid w:val="00C849F7"/>
    <w:rsid w:val="00C90DF8"/>
    <w:rsid w:val="00C90FB6"/>
    <w:rsid w:val="00C9220E"/>
    <w:rsid w:val="00C932BD"/>
    <w:rsid w:val="00C93429"/>
    <w:rsid w:val="00C93F11"/>
    <w:rsid w:val="00CA07F8"/>
    <w:rsid w:val="00CA16C5"/>
    <w:rsid w:val="00CA3D31"/>
    <w:rsid w:val="00CA415A"/>
    <w:rsid w:val="00CA7A35"/>
    <w:rsid w:val="00CB05FE"/>
    <w:rsid w:val="00CB068B"/>
    <w:rsid w:val="00CB1536"/>
    <w:rsid w:val="00CB5AED"/>
    <w:rsid w:val="00CB7015"/>
    <w:rsid w:val="00CB7FB8"/>
    <w:rsid w:val="00CC1F71"/>
    <w:rsid w:val="00CC5588"/>
    <w:rsid w:val="00CC5EB3"/>
    <w:rsid w:val="00CD0E7B"/>
    <w:rsid w:val="00CD2ABD"/>
    <w:rsid w:val="00CD4024"/>
    <w:rsid w:val="00CD4617"/>
    <w:rsid w:val="00CD4855"/>
    <w:rsid w:val="00CE2C9D"/>
    <w:rsid w:val="00CE3B9C"/>
    <w:rsid w:val="00CE3DEB"/>
    <w:rsid w:val="00CE4F59"/>
    <w:rsid w:val="00CE6D43"/>
    <w:rsid w:val="00CE7888"/>
    <w:rsid w:val="00CF178A"/>
    <w:rsid w:val="00CF2443"/>
    <w:rsid w:val="00CF4DD8"/>
    <w:rsid w:val="00D05671"/>
    <w:rsid w:val="00D07C8C"/>
    <w:rsid w:val="00D1065A"/>
    <w:rsid w:val="00D10E1C"/>
    <w:rsid w:val="00D11C02"/>
    <w:rsid w:val="00D161A3"/>
    <w:rsid w:val="00D22E49"/>
    <w:rsid w:val="00D234F9"/>
    <w:rsid w:val="00D23716"/>
    <w:rsid w:val="00D24548"/>
    <w:rsid w:val="00D25A31"/>
    <w:rsid w:val="00D25ED8"/>
    <w:rsid w:val="00D27F8F"/>
    <w:rsid w:val="00D30E54"/>
    <w:rsid w:val="00D31242"/>
    <w:rsid w:val="00D316B8"/>
    <w:rsid w:val="00D319C1"/>
    <w:rsid w:val="00D31CFC"/>
    <w:rsid w:val="00D3255D"/>
    <w:rsid w:val="00D340C3"/>
    <w:rsid w:val="00D409CD"/>
    <w:rsid w:val="00D423D4"/>
    <w:rsid w:val="00D42CAF"/>
    <w:rsid w:val="00D5310F"/>
    <w:rsid w:val="00D54C29"/>
    <w:rsid w:val="00D601EF"/>
    <w:rsid w:val="00D61533"/>
    <w:rsid w:val="00D63B2F"/>
    <w:rsid w:val="00D6492D"/>
    <w:rsid w:val="00D70747"/>
    <w:rsid w:val="00D70801"/>
    <w:rsid w:val="00D7261D"/>
    <w:rsid w:val="00D73F57"/>
    <w:rsid w:val="00D755FC"/>
    <w:rsid w:val="00D76B6D"/>
    <w:rsid w:val="00D816A5"/>
    <w:rsid w:val="00D816C1"/>
    <w:rsid w:val="00D83DBA"/>
    <w:rsid w:val="00D84D07"/>
    <w:rsid w:val="00D8526A"/>
    <w:rsid w:val="00D85568"/>
    <w:rsid w:val="00D8796F"/>
    <w:rsid w:val="00D87C87"/>
    <w:rsid w:val="00D90E91"/>
    <w:rsid w:val="00D94921"/>
    <w:rsid w:val="00D94FBC"/>
    <w:rsid w:val="00DA4BEC"/>
    <w:rsid w:val="00DB60E1"/>
    <w:rsid w:val="00DB7132"/>
    <w:rsid w:val="00DC1347"/>
    <w:rsid w:val="00DC144D"/>
    <w:rsid w:val="00DC39F1"/>
    <w:rsid w:val="00DC60E8"/>
    <w:rsid w:val="00DD010E"/>
    <w:rsid w:val="00DD3EAF"/>
    <w:rsid w:val="00DD4DA7"/>
    <w:rsid w:val="00DD690C"/>
    <w:rsid w:val="00DE05A4"/>
    <w:rsid w:val="00DE0E1D"/>
    <w:rsid w:val="00DE12D3"/>
    <w:rsid w:val="00DE4B35"/>
    <w:rsid w:val="00DE6710"/>
    <w:rsid w:val="00DF0509"/>
    <w:rsid w:val="00DF19C1"/>
    <w:rsid w:val="00DF54CA"/>
    <w:rsid w:val="00DF56C9"/>
    <w:rsid w:val="00DF5B64"/>
    <w:rsid w:val="00DF7A90"/>
    <w:rsid w:val="00DF7E85"/>
    <w:rsid w:val="00E02794"/>
    <w:rsid w:val="00E03A4B"/>
    <w:rsid w:val="00E043E3"/>
    <w:rsid w:val="00E0505B"/>
    <w:rsid w:val="00E05DE6"/>
    <w:rsid w:val="00E06B55"/>
    <w:rsid w:val="00E10C9A"/>
    <w:rsid w:val="00E10E0A"/>
    <w:rsid w:val="00E11280"/>
    <w:rsid w:val="00E12054"/>
    <w:rsid w:val="00E12359"/>
    <w:rsid w:val="00E12454"/>
    <w:rsid w:val="00E152FF"/>
    <w:rsid w:val="00E1703C"/>
    <w:rsid w:val="00E21867"/>
    <w:rsid w:val="00E22504"/>
    <w:rsid w:val="00E2461B"/>
    <w:rsid w:val="00E24886"/>
    <w:rsid w:val="00E276FB"/>
    <w:rsid w:val="00E31784"/>
    <w:rsid w:val="00E32595"/>
    <w:rsid w:val="00E32DBC"/>
    <w:rsid w:val="00E32DC6"/>
    <w:rsid w:val="00E33188"/>
    <w:rsid w:val="00E334D4"/>
    <w:rsid w:val="00E33A74"/>
    <w:rsid w:val="00E376DF"/>
    <w:rsid w:val="00E4030B"/>
    <w:rsid w:val="00E41D56"/>
    <w:rsid w:val="00E457DF"/>
    <w:rsid w:val="00E46642"/>
    <w:rsid w:val="00E47E48"/>
    <w:rsid w:val="00E5054E"/>
    <w:rsid w:val="00E5139A"/>
    <w:rsid w:val="00E53A49"/>
    <w:rsid w:val="00E5413D"/>
    <w:rsid w:val="00E55CAE"/>
    <w:rsid w:val="00E57977"/>
    <w:rsid w:val="00E604D8"/>
    <w:rsid w:val="00E61AC6"/>
    <w:rsid w:val="00E635D7"/>
    <w:rsid w:val="00E64FE7"/>
    <w:rsid w:val="00E70576"/>
    <w:rsid w:val="00E71DED"/>
    <w:rsid w:val="00E733C4"/>
    <w:rsid w:val="00E743CF"/>
    <w:rsid w:val="00E81CB4"/>
    <w:rsid w:val="00E83954"/>
    <w:rsid w:val="00E86506"/>
    <w:rsid w:val="00E8770D"/>
    <w:rsid w:val="00E907C2"/>
    <w:rsid w:val="00E90CB6"/>
    <w:rsid w:val="00E91730"/>
    <w:rsid w:val="00E92DEE"/>
    <w:rsid w:val="00E96F04"/>
    <w:rsid w:val="00E97559"/>
    <w:rsid w:val="00E97AEC"/>
    <w:rsid w:val="00EA20FE"/>
    <w:rsid w:val="00EA251F"/>
    <w:rsid w:val="00EB45C2"/>
    <w:rsid w:val="00EB491E"/>
    <w:rsid w:val="00EB62D2"/>
    <w:rsid w:val="00EB681B"/>
    <w:rsid w:val="00EC1877"/>
    <w:rsid w:val="00EC4FAD"/>
    <w:rsid w:val="00EE0E7D"/>
    <w:rsid w:val="00EE3CFA"/>
    <w:rsid w:val="00EE596D"/>
    <w:rsid w:val="00EE666A"/>
    <w:rsid w:val="00EE69E4"/>
    <w:rsid w:val="00EF121F"/>
    <w:rsid w:val="00EF1764"/>
    <w:rsid w:val="00EF2A7F"/>
    <w:rsid w:val="00EF3136"/>
    <w:rsid w:val="00EF46AA"/>
    <w:rsid w:val="00EF7E90"/>
    <w:rsid w:val="00F002B6"/>
    <w:rsid w:val="00F00C23"/>
    <w:rsid w:val="00F01AB6"/>
    <w:rsid w:val="00F07507"/>
    <w:rsid w:val="00F10AFE"/>
    <w:rsid w:val="00F15C6C"/>
    <w:rsid w:val="00F17173"/>
    <w:rsid w:val="00F17F71"/>
    <w:rsid w:val="00F20987"/>
    <w:rsid w:val="00F21630"/>
    <w:rsid w:val="00F224DC"/>
    <w:rsid w:val="00F265E3"/>
    <w:rsid w:val="00F2687F"/>
    <w:rsid w:val="00F26A5E"/>
    <w:rsid w:val="00F27F29"/>
    <w:rsid w:val="00F30230"/>
    <w:rsid w:val="00F32D54"/>
    <w:rsid w:val="00F35815"/>
    <w:rsid w:val="00F360C3"/>
    <w:rsid w:val="00F36C54"/>
    <w:rsid w:val="00F408BD"/>
    <w:rsid w:val="00F418EA"/>
    <w:rsid w:val="00F41A29"/>
    <w:rsid w:val="00F44C1C"/>
    <w:rsid w:val="00F46E4B"/>
    <w:rsid w:val="00F47D98"/>
    <w:rsid w:val="00F50ACC"/>
    <w:rsid w:val="00F518DF"/>
    <w:rsid w:val="00F544DB"/>
    <w:rsid w:val="00F54791"/>
    <w:rsid w:val="00F60635"/>
    <w:rsid w:val="00F648EA"/>
    <w:rsid w:val="00F6502E"/>
    <w:rsid w:val="00F65663"/>
    <w:rsid w:val="00F65E9A"/>
    <w:rsid w:val="00F66CA0"/>
    <w:rsid w:val="00F75147"/>
    <w:rsid w:val="00F751EF"/>
    <w:rsid w:val="00F756C0"/>
    <w:rsid w:val="00F75A40"/>
    <w:rsid w:val="00F77637"/>
    <w:rsid w:val="00F82B8D"/>
    <w:rsid w:val="00F8435D"/>
    <w:rsid w:val="00F85B1C"/>
    <w:rsid w:val="00F862E5"/>
    <w:rsid w:val="00F87DD0"/>
    <w:rsid w:val="00F93360"/>
    <w:rsid w:val="00F93FE4"/>
    <w:rsid w:val="00F9797E"/>
    <w:rsid w:val="00F97E4E"/>
    <w:rsid w:val="00FA1A40"/>
    <w:rsid w:val="00FA217B"/>
    <w:rsid w:val="00FB0780"/>
    <w:rsid w:val="00FB0BC5"/>
    <w:rsid w:val="00FB0BCC"/>
    <w:rsid w:val="00FB1235"/>
    <w:rsid w:val="00FB2393"/>
    <w:rsid w:val="00FC0FE5"/>
    <w:rsid w:val="00FC180A"/>
    <w:rsid w:val="00FC4D1B"/>
    <w:rsid w:val="00FD1ABC"/>
    <w:rsid w:val="00FD3669"/>
    <w:rsid w:val="00FD5B10"/>
    <w:rsid w:val="00FD7B2C"/>
    <w:rsid w:val="00FD7DDF"/>
    <w:rsid w:val="00FE25A3"/>
    <w:rsid w:val="00FE4C92"/>
    <w:rsid w:val="00FF0DDA"/>
    <w:rsid w:val="00FF0FAA"/>
    <w:rsid w:val="00FF1BCB"/>
    <w:rsid w:val="00FF2184"/>
    <w:rsid w:val="00FF3759"/>
    <w:rsid w:val="00FF3EFD"/>
    <w:rsid w:val="00FF439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39FC895"/>
  <w15:docId w15:val="{5C0A1D0A-20EE-4427-9F50-05D6733E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rPr>
  </w:style>
  <w:style w:type="paragraph" w:styleId="Heading1">
    <w:name w:val="heading 1"/>
    <w:basedOn w:val="Normal"/>
    <w:next w:val="Normal"/>
    <w:link w:val="Heading1Char"/>
    <w:qFormat/>
    <w:rsid w:val="007E50BF"/>
    <w:pPr>
      <w:numPr>
        <w:numId w:val="2"/>
      </w:numPr>
      <w:outlineLvl w:val="0"/>
    </w:pPr>
    <w:rPr>
      <w:kern w:val="28"/>
    </w:rPr>
  </w:style>
  <w:style w:type="paragraph" w:styleId="Heading2">
    <w:name w:val="heading 2"/>
    <w:basedOn w:val="Normal"/>
    <w:next w:val="Normal"/>
    <w:link w:val="Heading2Char"/>
    <w:qFormat/>
    <w:rsid w:val="007E50BF"/>
    <w:pPr>
      <w:numPr>
        <w:ilvl w:val="1"/>
        <w:numId w:val="2"/>
      </w:numPr>
      <w:outlineLvl w:val="1"/>
    </w:pPr>
  </w:style>
  <w:style w:type="paragraph" w:styleId="Heading3">
    <w:name w:val="heading 3"/>
    <w:basedOn w:val="Normal"/>
    <w:next w:val="Normal"/>
    <w:link w:val="Heading3Char"/>
    <w:qFormat/>
    <w:rsid w:val="007E50BF"/>
    <w:pPr>
      <w:numPr>
        <w:ilvl w:val="2"/>
        <w:numId w:val="2"/>
      </w:numPr>
      <w:outlineLvl w:val="2"/>
    </w:pPr>
  </w:style>
  <w:style w:type="paragraph" w:styleId="Heading4">
    <w:name w:val="heading 4"/>
    <w:basedOn w:val="Normal"/>
    <w:next w:val="Normal"/>
    <w:link w:val="Heading4Char"/>
    <w:qFormat/>
    <w:rsid w:val="007E50BF"/>
    <w:pPr>
      <w:numPr>
        <w:ilvl w:val="3"/>
        <w:numId w:val="2"/>
      </w:numPr>
      <w:outlineLvl w:val="3"/>
    </w:pPr>
  </w:style>
  <w:style w:type="paragraph" w:styleId="Heading5">
    <w:name w:val="heading 5"/>
    <w:basedOn w:val="Normal"/>
    <w:next w:val="Normal"/>
    <w:link w:val="Heading5Char"/>
    <w:qFormat/>
    <w:rsid w:val="007E50BF"/>
    <w:pPr>
      <w:numPr>
        <w:ilvl w:val="4"/>
        <w:numId w:val="2"/>
      </w:numPr>
      <w:outlineLvl w:val="4"/>
    </w:pPr>
  </w:style>
  <w:style w:type="paragraph" w:styleId="Heading6">
    <w:name w:val="heading 6"/>
    <w:basedOn w:val="Normal"/>
    <w:next w:val="Normal"/>
    <w:link w:val="Heading6Char"/>
    <w:qFormat/>
    <w:rsid w:val="007E50BF"/>
    <w:pPr>
      <w:numPr>
        <w:ilvl w:val="5"/>
        <w:numId w:val="2"/>
      </w:numPr>
      <w:outlineLvl w:val="5"/>
    </w:pPr>
  </w:style>
  <w:style w:type="paragraph" w:styleId="Heading7">
    <w:name w:val="heading 7"/>
    <w:basedOn w:val="Normal"/>
    <w:next w:val="Normal"/>
    <w:link w:val="Heading7Char"/>
    <w:qFormat/>
    <w:rsid w:val="007E50BF"/>
    <w:pPr>
      <w:numPr>
        <w:ilvl w:val="6"/>
        <w:numId w:val="2"/>
      </w:numPr>
      <w:outlineLvl w:val="6"/>
    </w:pPr>
  </w:style>
  <w:style w:type="paragraph" w:styleId="Heading8">
    <w:name w:val="heading 8"/>
    <w:basedOn w:val="Normal"/>
    <w:next w:val="Normal"/>
    <w:link w:val="Heading8Char"/>
    <w:qFormat/>
    <w:rsid w:val="007E50BF"/>
    <w:pPr>
      <w:numPr>
        <w:ilvl w:val="7"/>
        <w:numId w:val="2"/>
      </w:numPr>
      <w:outlineLvl w:val="7"/>
    </w:pPr>
  </w:style>
  <w:style w:type="paragraph" w:styleId="Heading9">
    <w:name w:val="heading 9"/>
    <w:basedOn w:val="Normal"/>
    <w:next w:val="Normal"/>
    <w:link w:val="Heading9Char"/>
    <w:qFormat/>
    <w:rsid w:val="007E50BF"/>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bg-BG"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bg-BG" w:eastAsia="en-US" w:bidi="ar-SA"/>
    </w:rPr>
  </w:style>
  <w:style w:type="paragraph" w:customStyle="1" w:styleId="quotes">
    <w:name w:val="quotes"/>
    <w:basedOn w:val="Normal"/>
    <w:next w:val="Normal"/>
    <w:rsid w:val="007E50BF"/>
    <w:pPr>
      <w:ind w:left="720"/>
    </w:pPr>
    <w:rPr>
      <w:i/>
    </w:rPr>
  </w:style>
  <w:style w:type="paragraph" w:styleId="NoSpacing">
    <w:name w:val="No Spacing"/>
    <w:uiPriority w:val="1"/>
    <w:qFormat/>
    <w:rsid w:val="000115C2"/>
    <w:rPr>
      <w:rFonts w:asciiTheme="minorHAnsi" w:eastAsiaTheme="minorHAnsi" w:hAnsiTheme="minorHAnsi" w:cstheme="minorBidi"/>
      <w:lang w:eastAsia="en-US"/>
    </w:rPr>
  </w:style>
  <w:style w:type="paragraph" w:styleId="ListParagraph">
    <w:name w:val="List Paragraph"/>
    <w:basedOn w:val="Normal"/>
    <w:uiPriority w:val="34"/>
    <w:qFormat/>
    <w:rsid w:val="00BA4CE1"/>
    <w:pPr>
      <w:ind w:left="720"/>
      <w:contextualSpacing/>
    </w:pPr>
  </w:style>
  <w:style w:type="character" w:styleId="CommentReference">
    <w:name w:val="annotation reference"/>
    <w:basedOn w:val="DefaultParagraphFont"/>
    <w:semiHidden/>
    <w:unhideWhenUsed/>
    <w:rsid w:val="00EF46AA"/>
    <w:rPr>
      <w:sz w:val="16"/>
      <w:szCs w:val="16"/>
    </w:rPr>
  </w:style>
  <w:style w:type="paragraph" w:styleId="CommentText">
    <w:name w:val="annotation text"/>
    <w:basedOn w:val="Normal"/>
    <w:link w:val="CommentTextChar"/>
    <w:semiHidden/>
    <w:unhideWhenUsed/>
    <w:rsid w:val="00EF46AA"/>
    <w:pPr>
      <w:spacing w:line="240" w:lineRule="auto"/>
    </w:pPr>
    <w:rPr>
      <w:sz w:val="20"/>
      <w:szCs w:val="20"/>
    </w:rPr>
  </w:style>
  <w:style w:type="character" w:customStyle="1" w:styleId="CommentTextChar">
    <w:name w:val="Comment Text Char"/>
    <w:basedOn w:val="DefaultParagraphFont"/>
    <w:link w:val="CommentText"/>
    <w:semiHidden/>
    <w:rsid w:val="00EF46A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EF46AA"/>
    <w:rPr>
      <w:b/>
      <w:bCs/>
    </w:rPr>
  </w:style>
  <w:style w:type="character" w:customStyle="1" w:styleId="CommentSubjectChar">
    <w:name w:val="Comment Subject Char"/>
    <w:basedOn w:val="CommentTextChar"/>
    <w:link w:val="CommentSubject"/>
    <w:uiPriority w:val="99"/>
    <w:semiHidden/>
    <w:rsid w:val="00EF46AA"/>
    <w:rPr>
      <w:b/>
      <w:bCs/>
      <w:sz w:val="20"/>
      <w:szCs w:val="20"/>
      <w:lang w:eastAsia="en-US" w:bidi="ar-SA"/>
    </w:rPr>
  </w:style>
  <w:style w:type="character" w:styleId="PlaceholderText">
    <w:name w:val="Placeholder Text"/>
    <w:basedOn w:val="DefaultParagraphFont"/>
    <w:uiPriority w:val="99"/>
    <w:semiHidden/>
    <w:rsid w:val="00782DF4"/>
    <w:rPr>
      <w:color w:val="808080"/>
    </w:rPr>
  </w:style>
  <w:style w:type="paragraph" w:styleId="NormalWeb">
    <w:name w:val="Normal (Web)"/>
    <w:basedOn w:val="Normal"/>
    <w:uiPriority w:val="99"/>
    <w:semiHidden/>
    <w:unhideWhenUsed/>
    <w:rsid w:val="0005235E"/>
    <w:pPr>
      <w:spacing w:line="240" w:lineRule="auto"/>
      <w:jc w:val="left"/>
    </w:pPr>
    <w:rPr>
      <w:rFonts w:eastAsiaTheme="minorHAnsi"/>
      <w:sz w:val="24"/>
      <w:szCs w:val="24"/>
      <w:lang w:eastAsia="es-ES" w:bidi="ar-SA"/>
    </w:rPr>
  </w:style>
  <w:style w:type="paragraph" w:styleId="HTMLPreformatted">
    <w:name w:val="HTML Preformatted"/>
    <w:basedOn w:val="Normal"/>
    <w:link w:val="HTMLPreformattedChar"/>
    <w:uiPriority w:val="99"/>
    <w:semiHidden/>
    <w:unhideWhenUsed/>
    <w:rsid w:val="0047743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7434"/>
    <w:rPr>
      <w:rFonts w:ascii="Consolas" w:hAnsi="Consolas"/>
      <w:sz w:val="20"/>
      <w:szCs w:val="20"/>
      <w:lang w:eastAsia="en-US"/>
    </w:rPr>
  </w:style>
  <w:style w:type="character" w:styleId="Strong">
    <w:name w:val="Strong"/>
    <w:basedOn w:val="DefaultParagraphFont"/>
    <w:uiPriority w:val="22"/>
    <w:qFormat/>
    <w:locked/>
    <w:rsid w:val="00576E64"/>
    <w:rPr>
      <w:b/>
      <w:bCs/>
    </w:rPr>
  </w:style>
  <w:style w:type="table" w:styleId="TableGrid">
    <w:name w:val="Table Grid"/>
    <w:basedOn w:val="TableNormal"/>
    <w:locked/>
    <w:rsid w:val="00BC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00571">
      <w:bodyDiv w:val="1"/>
      <w:marLeft w:val="0"/>
      <w:marRight w:val="0"/>
      <w:marTop w:val="0"/>
      <w:marBottom w:val="0"/>
      <w:divBdr>
        <w:top w:val="none" w:sz="0" w:space="0" w:color="auto"/>
        <w:left w:val="none" w:sz="0" w:space="0" w:color="auto"/>
        <w:bottom w:val="none" w:sz="0" w:space="0" w:color="auto"/>
        <w:right w:val="none" w:sz="0" w:space="0" w:color="auto"/>
      </w:divBdr>
    </w:div>
    <w:div w:id="35207254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1">
          <w:marLeft w:val="0"/>
          <w:marRight w:val="0"/>
          <w:marTop w:val="0"/>
          <w:marBottom w:val="0"/>
          <w:divBdr>
            <w:top w:val="none" w:sz="0" w:space="0" w:color="auto"/>
            <w:left w:val="none" w:sz="0" w:space="0" w:color="auto"/>
            <w:bottom w:val="none" w:sz="0" w:space="0" w:color="auto"/>
            <w:right w:val="none" w:sz="0" w:space="0" w:color="auto"/>
          </w:divBdr>
        </w:div>
        <w:div w:id="2102027445">
          <w:marLeft w:val="0"/>
          <w:marRight w:val="0"/>
          <w:marTop w:val="0"/>
          <w:marBottom w:val="0"/>
          <w:divBdr>
            <w:top w:val="none" w:sz="0" w:space="0" w:color="auto"/>
            <w:left w:val="none" w:sz="0" w:space="0" w:color="auto"/>
            <w:bottom w:val="none" w:sz="0" w:space="0" w:color="auto"/>
            <w:right w:val="none" w:sz="0" w:space="0" w:color="auto"/>
          </w:divBdr>
          <w:divsChild>
            <w:div w:id="1690057859">
              <w:marLeft w:val="165"/>
              <w:marRight w:val="165"/>
              <w:marTop w:val="0"/>
              <w:marBottom w:val="0"/>
              <w:divBdr>
                <w:top w:val="none" w:sz="0" w:space="0" w:color="auto"/>
                <w:left w:val="none" w:sz="0" w:space="0" w:color="auto"/>
                <w:bottom w:val="none" w:sz="0" w:space="0" w:color="auto"/>
                <w:right w:val="none" w:sz="0" w:space="0" w:color="auto"/>
              </w:divBdr>
              <w:divsChild>
                <w:div w:id="1731033699">
                  <w:marLeft w:val="0"/>
                  <w:marRight w:val="0"/>
                  <w:marTop w:val="0"/>
                  <w:marBottom w:val="0"/>
                  <w:divBdr>
                    <w:top w:val="none" w:sz="0" w:space="0" w:color="auto"/>
                    <w:left w:val="none" w:sz="0" w:space="0" w:color="auto"/>
                    <w:bottom w:val="none" w:sz="0" w:space="0" w:color="auto"/>
                    <w:right w:val="none" w:sz="0" w:space="0" w:color="auto"/>
                  </w:divBdr>
                  <w:divsChild>
                    <w:div w:id="10401339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9087">
      <w:bodyDiv w:val="1"/>
      <w:marLeft w:val="0"/>
      <w:marRight w:val="0"/>
      <w:marTop w:val="0"/>
      <w:marBottom w:val="0"/>
      <w:divBdr>
        <w:top w:val="none" w:sz="0" w:space="0" w:color="auto"/>
        <w:left w:val="none" w:sz="0" w:space="0" w:color="auto"/>
        <w:bottom w:val="none" w:sz="0" w:space="0" w:color="auto"/>
        <w:right w:val="none" w:sz="0" w:space="0" w:color="auto"/>
      </w:divBdr>
    </w:div>
    <w:div w:id="365525594">
      <w:bodyDiv w:val="1"/>
      <w:marLeft w:val="0"/>
      <w:marRight w:val="0"/>
      <w:marTop w:val="0"/>
      <w:marBottom w:val="0"/>
      <w:divBdr>
        <w:top w:val="none" w:sz="0" w:space="0" w:color="auto"/>
        <w:left w:val="none" w:sz="0" w:space="0" w:color="auto"/>
        <w:bottom w:val="none" w:sz="0" w:space="0" w:color="auto"/>
        <w:right w:val="none" w:sz="0" w:space="0" w:color="auto"/>
      </w:divBdr>
      <w:divsChild>
        <w:div w:id="1742756014">
          <w:marLeft w:val="0"/>
          <w:marRight w:val="0"/>
          <w:marTop w:val="0"/>
          <w:marBottom w:val="0"/>
          <w:divBdr>
            <w:top w:val="none" w:sz="0" w:space="0" w:color="auto"/>
            <w:left w:val="none" w:sz="0" w:space="0" w:color="auto"/>
            <w:bottom w:val="none" w:sz="0" w:space="0" w:color="auto"/>
            <w:right w:val="none" w:sz="0" w:space="0" w:color="auto"/>
          </w:divBdr>
        </w:div>
        <w:div w:id="853151465">
          <w:marLeft w:val="0"/>
          <w:marRight w:val="0"/>
          <w:marTop w:val="0"/>
          <w:marBottom w:val="0"/>
          <w:divBdr>
            <w:top w:val="none" w:sz="0" w:space="0" w:color="auto"/>
            <w:left w:val="none" w:sz="0" w:space="0" w:color="auto"/>
            <w:bottom w:val="none" w:sz="0" w:space="0" w:color="auto"/>
            <w:right w:val="none" w:sz="0" w:space="0" w:color="auto"/>
          </w:divBdr>
          <w:divsChild>
            <w:div w:id="1315141572">
              <w:marLeft w:val="165"/>
              <w:marRight w:val="165"/>
              <w:marTop w:val="0"/>
              <w:marBottom w:val="0"/>
              <w:divBdr>
                <w:top w:val="none" w:sz="0" w:space="0" w:color="auto"/>
                <w:left w:val="none" w:sz="0" w:space="0" w:color="auto"/>
                <w:bottom w:val="none" w:sz="0" w:space="0" w:color="auto"/>
                <w:right w:val="none" w:sz="0" w:space="0" w:color="auto"/>
              </w:divBdr>
              <w:divsChild>
                <w:div w:id="1961063981">
                  <w:marLeft w:val="0"/>
                  <w:marRight w:val="0"/>
                  <w:marTop w:val="0"/>
                  <w:marBottom w:val="0"/>
                  <w:divBdr>
                    <w:top w:val="none" w:sz="0" w:space="0" w:color="auto"/>
                    <w:left w:val="none" w:sz="0" w:space="0" w:color="auto"/>
                    <w:bottom w:val="none" w:sz="0" w:space="0" w:color="auto"/>
                    <w:right w:val="none" w:sz="0" w:space="0" w:color="auto"/>
                  </w:divBdr>
                  <w:divsChild>
                    <w:div w:id="6315180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1448">
      <w:bodyDiv w:val="1"/>
      <w:marLeft w:val="0"/>
      <w:marRight w:val="0"/>
      <w:marTop w:val="0"/>
      <w:marBottom w:val="0"/>
      <w:divBdr>
        <w:top w:val="none" w:sz="0" w:space="0" w:color="auto"/>
        <w:left w:val="none" w:sz="0" w:space="0" w:color="auto"/>
        <w:bottom w:val="none" w:sz="0" w:space="0" w:color="auto"/>
        <w:right w:val="none" w:sz="0" w:space="0" w:color="auto"/>
      </w:divBdr>
      <w:divsChild>
        <w:div w:id="651257695">
          <w:marLeft w:val="0"/>
          <w:marRight w:val="0"/>
          <w:marTop w:val="0"/>
          <w:marBottom w:val="0"/>
          <w:divBdr>
            <w:top w:val="none" w:sz="0" w:space="0" w:color="auto"/>
            <w:left w:val="none" w:sz="0" w:space="0" w:color="auto"/>
            <w:bottom w:val="none" w:sz="0" w:space="0" w:color="auto"/>
            <w:right w:val="none" w:sz="0" w:space="0" w:color="auto"/>
          </w:divBdr>
        </w:div>
        <w:div w:id="1947106990">
          <w:marLeft w:val="0"/>
          <w:marRight w:val="0"/>
          <w:marTop w:val="0"/>
          <w:marBottom w:val="0"/>
          <w:divBdr>
            <w:top w:val="none" w:sz="0" w:space="0" w:color="auto"/>
            <w:left w:val="none" w:sz="0" w:space="0" w:color="auto"/>
            <w:bottom w:val="none" w:sz="0" w:space="0" w:color="auto"/>
            <w:right w:val="none" w:sz="0" w:space="0" w:color="auto"/>
          </w:divBdr>
          <w:divsChild>
            <w:div w:id="638609371">
              <w:marLeft w:val="165"/>
              <w:marRight w:val="165"/>
              <w:marTop w:val="0"/>
              <w:marBottom w:val="0"/>
              <w:divBdr>
                <w:top w:val="none" w:sz="0" w:space="0" w:color="auto"/>
                <w:left w:val="none" w:sz="0" w:space="0" w:color="auto"/>
                <w:bottom w:val="none" w:sz="0" w:space="0" w:color="auto"/>
                <w:right w:val="none" w:sz="0" w:space="0" w:color="auto"/>
              </w:divBdr>
              <w:divsChild>
                <w:div w:id="583270985">
                  <w:marLeft w:val="0"/>
                  <w:marRight w:val="0"/>
                  <w:marTop w:val="0"/>
                  <w:marBottom w:val="0"/>
                  <w:divBdr>
                    <w:top w:val="none" w:sz="0" w:space="0" w:color="auto"/>
                    <w:left w:val="none" w:sz="0" w:space="0" w:color="auto"/>
                    <w:bottom w:val="none" w:sz="0" w:space="0" w:color="auto"/>
                    <w:right w:val="none" w:sz="0" w:space="0" w:color="auto"/>
                  </w:divBdr>
                  <w:divsChild>
                    <w:div w:id="11607301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419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47332357">
      <w:bodyDiv w:val="1"/>
      <w:marLeft w:val="0"/>
      <w:marRight w:val="0"/>
      <w:marTop w:val="0"/>
      <w:marBottom w:val="0"/>
      <w:divBdr>
        <w:top w:val="none" w:sz="0" w:space="0" w:color="auto"/>
        <w:left w:val="none" w:sz="0" w:space="0" w:color="auto"/>
        <w:bottom w:val="none" w:sz="0" w:space="0" w:color="auto"/>
        <w:right w:val="none" w:sz="0" w:space="0" w:color="auto"/>
      </w:divBdr>
      <w:divsChild>
        <w:div w:id="2087456732">
          <w:marLeft w:val="0"/>
          <w:marRight w:val="0"/>
          <w:marTop w:val="0"/>
          <w:marBottom w:val="0"/>
          <w:divBdr>
            <w:top w:val="none" w:sz="0" w:space="0" w:color="auto"/>
            <w:left w:val="none" w:sz="0" w:space="0" w:color="auto"/>
            <w:bottom w:val="none" w:sz="0" w:space="0" w:color="auto"/>
            <w:right w:val="none" w:sz="0" w:space="0" w:color="auto"/>
          </w:divBdr>
        </w:div>
        <w:div w:id="1992366884">
          <w:marLeft w:val="0"/>
          <w:marRight w:val="0"/>
          <w:marTop w:val="0"/>
          <w:marBottom w:val="0"/>
          <w:divBdr>
            <w:top w:val="none" w:sz="0" w:space="0" w:color="auto"/>
            <w:left w:val="none" w:sz="0" w:space="0" w:color="auto"/>
            <w:bottom w:val="none" w:sz="0" w:space="0" w:color="auto"/>
            <w:right w:val="none" w:sz="0" w:space="0" w:color="auto"/>
          </w:divBdr>
          <w:divsChild>
            <w:div w:id="980766955">
              <w:marLeft w:val="165"/>
              <w:marRight w:val="165"/>
              <w:marTop w:val="0"/>
              <w:marBottom w:val="0"/>
              <w:divBdr>
                <w:top w:val="none" w:sz="0" w:space="0" w:color="auto"/>
                <w:left w:val="none" w:sz="0" w:space="0" w:color="auto"/>
                <w:bottom w:val="none" w:sz="0" w:space="0" w:color="auto"/>
                <w:right w:val="none" w:sz="0" w:space="0" w:color="auto"/>
              </w:divBdr>
              <w:divsChild>
                <w:div w:id="1291976745">
                  <w:marLeft w:val="0"/>
                  <w:marRight w:val="0"/>
                  <w:marTop w:val="0"/>
                  <w:marBottom w:val="0"/>
                  <w:divBdr>
                    <w:top w:val="none" w:sz="0" w:space="0" w:color="auto"/>
                    <w:left w:val="none" w:sz="0" w:space="0" w:color="auto"/>
                    <w:bottom w:val="none" w:sz="0" w:space="0" w:color="auto"/>
                    <w:right w:val="none" w:sz="0" w:space="0" w:color="auto"/>
                  </w:divBdr>
                  <w:divsChild>
                    <w:div w:id="1295973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72685">
      <w:bodyDiv w:val="1"/>
      <w:marLeft w:val="0"/>
      <w:marRight w:val="0"/>
      <w:marTop w:val="0"/>
      <w:marBottom w:val="0"/>
      <w:divBdr>
        <w:top w:val="none" w:sz="0" w:space="0" w:color="auto"/>
        <w:left w:val="none" w:sz="0" w:space="0" w:color="auto"/>
        <w:bottom w:val="none" w:sz="0" w:space="0" w:color="auto"/>
        <w:right w:val="none" w:sz="0" w:space="0" w:color="auto"/>
      </w:divBdr>
    </w:div>
    <w:div w:id="979581415">
      <w:bodyDiv w:val="1"/>
      <w:marLeft w:val="0"/>
      <w:marRight w:val="0"/>
      <w:marTop w:val="0"/>
      <w:marBottom w:val="0"/>
      <w:divBdr>
        <w:top w:val="none" w:sz="0" w:space="0" w:color="auto"/>
        <w:left w:val="none" w:sz="0" w:space="0" w:color="auto"/>
        <w:bottom w:val="none" w:sz="0" w:space="0" w:color="auto"/>
        <w:right w:val="none" w:sz="0" w:space="0" w:color="auto"/>
      </w:divBdr>
    </w:div>
    <w:div w:id="1028218869">
      <w:bodyDiv w:val="1"/>
      <w:marLeft w:val="0"/>
      <w:marRight w:val="0"/>
      <w:marTop w:val="0"/>
      <w:marBottom w:val="0"/>
      <w:divBdr>
        <w:top w:val="none" w:sz="0" w:space="0" w:color="auto"/>
        <w:left w:val="none" w:sz="0" w:space="0" w:color="auto"/>
        <w:bottom w:val="none" w:sz="0" w:space="0" w:color="auto"/>
        <w:right w:val="none" w:sz="0" w:space="0" w:color="auto"/>
      </w:divBdr>
    </w:div>
    <w:div w:id="1304123274">
      <w:bodyDiv w:val="1"/>
      <w:marLeft w:val="0"/>
      <w:marRight w:val="0"/>
      <w:marTop w:val="0"/>
      <w:marBottom w:val="0"/>
      <w:divBdr>
        <w:top w:val="none" w:sz="0" w:space="0" w:color="auto"/>
        <w:left w:val="none" w:sz="0" w:space="0" w:color="auto"/>
        <w:bottom w:val="none" w:sz="0" w:space="0" w:color="auto"/>
        <w:right w:val="none" w:sz="0" w:space="0" w:color="auto"/>
      </w:divBdr>
    </w:div>
    <w:div w:id="1374883075">
      <w:bodyDiv w:val="1"/>
      <w:marLeft w:val="0"/>
      <w:marRight w:val="0"/>
      <w:marTop w:val="0"/>
      <w:marBottom w:val="0"/>
      <w:divBdr>
        <w:top w:val="none" w:sz="0" w:space="0" w:color="auto"/>
        <w:left w:val="none" w:sz="0" w:space="0" w:color="auto"/>
        <w:bottom w:val="none" w:sz="0" w:space="0" w:color="auto"/>
        <w:right w:val="none" w:sz="0" w:space="0" w:color="auto"/>
      </w:divBdr>
    </w:div>
    <w:div w:id="1552889257">
      <w:bodyDiv w:val="1"/>
      <w:marLeft w:val="0"/>
      <w:marRight w:val="0"/>
      <w:marTop w:val="0"/>
      <w:marBottom w:val="0"/>
      <w:divBdr>
        <w:top w:val="none" w:sz="0" w:space="0" w:color="auto"/>
        <w:left w:val="none" w:sz="0" w:space="0" w:color="auto"/>
        <w:bottom w:val="none" w:sz="0" w:space="0" w:color="auto"/>
        <w:right w:val="none" w:sz="0" w:space="0" w:color="auto"/>
      </w:divBdr>
      <w:divsChild>
        <w:div w:id="414523305">
          <w:marLeft w:val="0"/>
          <w:marRight w:val="0"/>
          <w:marTop w:val="0"/>
          <w:marBottom w:val="0"/>
          <w:divBdr>
            <w:top w:val="none" w:sz="0" w:space="0" w:color="auto"/>
            <w:left w:val="none" w:sz="0" w:space="0" w:color="auto"/>
            <w:bottom w:val="none" w:sz="0" w:space="0" w:color="auto"/>
            <w:right w:val="none" w:sz="0" w:space="0" w:color="auto"/>
          </w:divBdr>
        </w:div>
        <w:div w:id="1249147595">
          <w:marLeft w:val="0"/>
          <w:marRight w:val="0"/>
          <w:marTop w:val="0"/>
          <w:marBottom w:val="0"/>
          <w:divBdr>
            <w:top w:val="none" w:sz="0" w:space="0" w:color="auto"/>
            <w:left w:val="none" w:sz="0" w:space="0" w:color="auto"/>
            <w:bottom w:val="none" w:sz="0" w:space="0" w:color="auto"/>
            <w:right w:val="none" w:sz="0" w:space="0" w:color="auto"/>
          </w:divBdr>
          <w:divsChild>
            <w:div w:id="2121796667">
              <w:marLeft w:val="165"/>
              <w:marRight w:val="165"/>
              <w:marTop w:val="0"/>
              <w:marBottom w:val="0"/>
              <w:divBdr>
                <w:top w:val="none" w:sz="0" w:space="0" w:color="auto"/>
                <w:left w:val="none" w:sz="0" w:space="0" w:color="auto"/>
                <w:bottom w:val="none" w:sz="0" w:space="0" w:color="auto"/>
                <w:right w:val="none" w:sz="0" w:space="0" w:color="auto"/>
              </w:divBdr>
              <w:divsChild>
                <w:div w:id="854029570">
                  <w:marLeft w:val="0"/>
                  <w:marRight w:val="0"/>
                  <w:marTop w:val="0"/>
                  <w:marBottom w:val="0"/>
                  <w:divBdr>
                    <w:top w:val="none" w:sz="0" w:space="0" w:color="auto"/>
                    <w:left w:val="none" w:sz="0" w:space="0" w:color="auto"/>
                    <w:bottom w:val="none" w:sz="0" w:space="0" w:color="auto"/>
                    <w:right w:val="none" w:sz="0" w:space="0" w:color="auto"/>
                  </w:divBdr>
                  <w:divsChild>
                    <w:div w:id="6377583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58612">
      <w:bodyDiv w:val="1"/>
      <w:marLeft w:val="0"/>
      <w:marRight w:val="0"/>
      <w:marTop w:val="0"/>
      <w:marBottom w:val="0"/>
      <w:divBdr>
        <w:top w:val="none" w:sz="0" w:space="0" w:color="auto"/>
        <w:left w:val="none" w:sz="0" w:space="0" w:color="auto"/>
        <w:bottom w:val="none" w:sz="0" w:space="0" w:color="auto"/>
        <w:right w:val="none" w:sz="0" w:space="0" w:color="auto"/>
      </w:divBdr>
    </w:div>
    <w:div w:id="1820026953">
      <w:bodyDiv w:val="1"/>
      <w:marLeft w:val="0"/>
      <w:marRight w:val="0"/>
      <w:marTop w:val="0"/>
      <w:marBottom w:val="0"/>
      <w:divBdr>
        <w:top w:val="none" w:sz="0" w:space="0" w:color="auto"/>
        <w:left w:val="none" w:sz="0" w:space="0" w:color="auto"/>
        <w:bottom w:val="none" w:sz="0" w:space="0" w:color="auto"/>
        <w:right w:val="none" w:sz="0" w:space="0" w:color="auto"/>
      </w:divBdr>
    </w:div>
    <w:div w:id="1916233718">
      <w:bodyDiv w:val="1"/>
      <w:marLeft w:val="0"/>
      <w:marRight w:val="0"/>
      <w:marTop w:val="0"/>
      <w:marBottom w:val="0"/>
      <w:divBdr>
        <w:top w:val="none" w:sz="0" w:space="0" w:color="auto"/>
        <w:left w:val="none" w:sz="0" w:space="0" w:color="auto"/>
        <w:bottom w:val="none" w:sz="0" w:space="0" w:color="auto"/>
        <w:right w:val="none" w:sz="0" w:space="0" w:color="auto"/>
      </w:divBdr>
      <w:divsChild>
        <w:div w:id="1215192926">
          <w:marLeft w:val="0"/>
          <w:marRight w:val="0"/>
          <w:marTop w:val="0"/>
          <w:marBottom w:val="0"/>
          <w:divBdr>
            <w:top w:val="none" w:sz="0" w:space="0" w:color="auto"/>
            <w:left w:val="none" w:sz="0" w:space="0" w:color="auto"/>
            <w:bottom w:val="none" w:sz="0" w:space="0" w:color="auto"/>
            <w:right w:val="none" w:sz="0" w:space="0" w:color="auto"/>
          </w:divBdr>
        </w:div>
        <w:div w:id="1475876011">
          <w:marLeft w:val="0"/>
          <w:marRight w:val="0"/>
          <w:marTop w:val="0"/>
          <w:marBottom w:val="0"/>
          <w:divBdr>
            <w:top w:val="none" w:sz="0" w:space="0" w:color="auto"/>
            <w:left w:val="none" w:sz="0" w:space="0" w:color="auto"/>
            <w:bottom w:val="none" w:sz="0" w:space="0" w:color="auto"/>
            <w:right w:val="none" w:sz="0" w:space="0" w:color="auto"/>
          </w:divBdr>
          <w:divsChild>
            <w:div w:id="303395573">
              <w:marLeft w:val="165"/>
              <w:marRight w:val="165"/>
              <w:marTop w:val="0"/>
              <w:marBottom w:val="0"/>
              <w:divBdr>
                <w:top w:val="none" w:sz="0" w:space="0" w:color="auto"/>
                <w:left w:val="none" w:sz="0" w:space="0" w:color="auto"/>
                <w:bottom w:val="none" w:sz="0" w:space="0" w:color="auto"/>
                <w:right w:val="none" w:sz="0" w:space="0" w:color="auto"/>
              </w:divBdr>
              <w:divsChild>
                <w:div w:id="603417344">
                  <w:marLeft w:val="0"/>
                  <w:marRight w:val="0"/>
                  <w:marTop w:val="0"/>
                  <w:marBottom w:val="0"/>
                  <w:divBdr>
                    <w:top w:val="none" w:sz="0" w:space="0" w:color="auto"/>
                    <w:left w:val="none" w:sz="0" w:space="0" w:color="auto"/>
                    <w:bottom w:val="none" w:sz="0" w:space="0" w:color="auto"/>
                    <w:right w:val="none" w:sz="0" w:space="0" w:color="auto"/>
                  </w:divBdr>
                  <w:divsChild>
                    <w:div w:id="10657640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8260">
      <w:bodyDiv w:val="1"/>
      <w:marLeft w:val="0"/>
      <w:marRight w:val="0"/>
      <w:marTop w:val="0"/>
      <w:marBottom w:val="0"/>
      <w:divBdr>
        <w:top w:val="none" w:sz="0" w:space="0" w:color="auto"/>
        <w:left w:val="none" w:sz="0" w:space="0" w:color="auto"/>
        <w:bottom w:val="none" w:sz="0" w:space="0" w:color="auto"/>
        <w:right w:val="none" w:sz="0" w:space="0" w:color="auto"/>
      </w:divBdr>
    </w:div>
    <w:div w:id="2027437729">
      <w:bodyDiv w:val="1"/>
      <w:marLeft w:val="0"/>
      <w:marRight w:val="0"/>
      <w:marTop w:val="0"/>
      <w:marBottom w:val="0"/>
      <w:divBdr>
        <w:top w:val="none" w:sz="0" w:space="0" w:color="auto"/>
        <w:left w:val="none" w:sz="0" w:space="0" w:color="auto"/>
        <w:bottom w:val="none" w:sz="0" w:space="0" w:color="auto"/>
        <w:right w:val="none" w:sz="0" w:space="0" w:color="auto"/>
      </w:divBdr>
    </w:div>
    <w:div w:id="2037004578">
      <w:bodyDiv w:val="1"/>
      <w:marLeft w:val="0"/>
      <w:marRight w:val="0"/>
      <w:marTop w:val="0"/>
      <w:marBottom w:val="0"/>
      <w:divBdr>
        <w:top w:val="none" w:sz="0" w:space="0" w:color="auto"/>
        <w:left w:val="none" w:sz="0" w:space="0" w:color="auto"/>
        <w:bottom w:val="none" w:sz="0" w:space="0" w:color="auto"/>
        <w:right w:val="none" w:sz="0" w:space="0" w:color="auto"/>
      </w:divBdr>
      <w:divsChild>
        <w:div w:id="859317904">
          <w:marLeft w:val="0"/>
          <w:marRight w:val="0"/>
          <w:marTop w:val="0"/>
          <w:marBottom w:val="0"/>
          <w:divBdr>
            <w:top w:val="none" w:sz="0" w:space="0" w:color="auto"/>
            <w:left w:val="none" w:sz="0" w:space="0" w:color="auto"/>
            <w:bottom w:val="none" w:sz="0" w:space="0" w:color="auto"/>
            <w:right w:val="none" w:sz="0" w:space="0" w:color="auto"/>
          </w:divBdr>
        </w:div>
        <w:div w:id="957877689">
          <w:marLeft w:val="0"/>
          <w:marRight w:val="0"/>
          <w:marTop w:val="0"/>
          <w:marBottom w:val="0"/>
          <w:divBdr>
            <w:top w:val="none" w:sz="0" w:space="0" w:color="auto"/>
            <w:left w:val="none" w:sz="0" w:space="0" w:color="auto"/>
            <w:bottom w:val="none" w:sz="0" w:space="0" w:color="auto"/>
            <w:right w:val="none" w:sz="0" w:space="0" w:color="auto"/>
          </w:divBdr>
          <w:divsChild>
            <w:div w:id="1397127008">
              <w:marLeft w:val="165"/>
              <w:marRight w:val="165"/>
              <w:marTop w:val="0"/>
              <w:marBottom w:val="0"/>
              <w:divBdr>
                <w:top w:val="none" w:sz="0" w:space="0" w:color="auto"/>
                <w:left w:val="none" w:sz="0" w:space="0" w:color="auto"/>
                <w:bottom w:val="none" w:sz="0" w:space="0" w:color="auto"/>
                <w:right w:val="none" w:sz="0" w:space="0" w:color="auto"/>
              </w:divBdr>
              <w:divsChild>
                <w:div w:id="1733697490">
                  <w:marLeft w:val="0"/>
                  <w:marRight w:val="0"/>
                  <w:marTop w:val="0"/>
                  <w:marBottom w:val="0"/>
                  <w:divBdr>
                    <w:top w:val="none" w:sz="0" w:space="0" w:color="auto"/>
                    <w:left w:val="none" w:sz="0" w:space="0" w:color="auto"/>
                    <w:bottom w:val="none" w:sz="0" w:space="0" w:color="auto"/>
                    <w:right w:val="none" w:sz="0" w:space="0" w:color="auto"/>
                  </w:divBdr>
                  <w:divsChild>
                    <w:div w:id="597128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0555">
      <w:bodyDiv w:val="1"/>
      <w:marLeft w:val="0"/>
      <w:marRight w:val="0"/>
      <w:marTop w:val="0"/>
      <w:marBottom w:val="0"/>
      <w:divBdr>
        <w:top w:val="none" w:sz="0" w:space="0" w:color="auto"/>
        <w:left w:val="none" w:sz="0" w:space="0" w:color="auto"/>
        <w:bottom w:val="none" w:sz="0" w:space="0" w:color="auto"/>
        <w:right w:val="none" w:sz="0" w:space="0" w:color="auto"/>
      </w:divBdr>
    </w:div>
    <w:div w:id="2108228260">
      <w:bodyDiv w:val="1"/>
      <w:marLeft w:val="0"/>
      <w:marRight w:val="0"/>
      <w:marTop w:val="0"/>
      <w:marBottom w:val="0"/>
      <w:divBdr>
        <w:top w:val="none" w:sz="0" w:space="0" w:color="auto"/>
        <w:left w:val="none" w:sz="0" w:space="0" w:color="auto"/>
        <w:bottom w:val="none" w:sz="0" w:space="0" w:color="auto"/>
        <w:right w:val="none" w:sz="0" w:space="0" w:color="auto"/>
      </w:divBdr>
    </w:div>
    <w:div w:id="2116749207">
      <w:bodyDiv w:val="1"/>
      <w:marLeft w:val="0"/>
      <w:marRight w:val="0"/>
      <w:marTop w:val="0"/>
      <w:marBottom w:val="0"/>
      <w:divBdr>
        <w:top w:val="none" w:sz="0" w:space="0" w:color="auto"/>
        <w:left w:val="none" w:sz="0" w:space="0" w:color="auto"/>
        <w:bottom w:val="none" w:sz="0" w:space="0" w:color="auto"/>
        <w:right w:val="none" w:sz="0" w:space="0" w:color="auto"/>
      </w:divBdr>
      <w:divsChild>
        <w:div w:id="167213437">
          <w:marLeft w:val="0"/>
          <w:marRight w:val="0"/>
          <w:marTop w:val="0"/>
          <w:marBottom w:val="0"/>
          <w:divBdr>
            <w:top w:val="none" w:sz="0" w:space="0" w:color="auto"/>
            <w:left w:val="none" w:sz="0" w:space="0" w:color="auto"/>
            <w:bottom w:val="none" w:sz="0" w:space="0" w:color="auto"/>
            <w:right w:val="none" w:sz="0" w:space="0" w:color="auto"/>
          </w:divBdr>
        </w:div>
        <w:div w:id="2040861367">
          <w:marLeft w:val="0"/>
          <w:marRight w:val="0"/>
          <w:marTop w:val="0"/>
          <w:marBottom w:val="0"/>
          <w:divBdr>
            <w:top w:val="none" w:sz="0" w:space="0" w:color="auto"/>
            <w:left w:val="none" w:sz="0" w:space="0" w:color="auto"/>
            <w:bottom w:val="none" w:sz="0" w:space="0" w:color="auto"/>
            <w:right w:val="none" w:sz="0" w:space="0" w:color="auto"/>
          </w:divBdr>
          <w:divsChild>
            <w:div w:id="1603025170">
              <w:marLeft w:val="165"/>
              <w:marRight w:val="165"/>
              <w:marTop w:val="0"/>
              <w:marBottom w:val="0"/>
              <w:divBdr>
                <w:top w:val="none" w:sz="0" w:space="0" w:color="auto"/>
                <w:left w:val="none" w:sz="0" w:space="0" w:color="auto"/>
                <w:bottom w:val="none" w:sz="0" w:space="0" w:color="auto"/>
                <w:right w:val="none" w:sz="0" w:space="0" w:color="auto"/>
              </w:divBdr>
              <w:divsChild>
                <w:div w:id="315257516">
                  <w:marLeft w:val="0"/>
                  <w:marRight w:val="0"/>
                  <w:marTop w:val="0"/>
                  <w:marBottom w:val="0"/>
                  <w:divBdr>
                    <w:top w:val="none" w:sz="0" w:space="0" w:color="auto"/>
                    <w:left w:val="none" w:sz="0" w:space="0" w:color="auto"/>
                    <w:bottom w:val="none" w:sz="0" w:space="0" w:color="auto"/>
                    <w:right w:val="none" w:sz="0" w:space="0" w:color="auto"/>
                  </w:divBdr>
                  <w:divsChild>
                    <w:div w:id="17622884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ra.europa.eu/sites/default/files/fra_uploads/fra-2020-lgbti-equality-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V63NAVDT5PV3-1365199066-7024</_dlc_DocId>
    <_dlc_DocIdUrl xmlns="01cfe264-354f-4f3f-acd0-cf26eb309336">
      <Url>http://dm2016/eesc/2021/_layouts/15/DocIdRedir.aspx?ID=V63NAVDT5PV3-1365199066-7024</Url>
      <Description>V63NAVDT5PV3-1365199066-7024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2021-04-29T12:00:00+00:00</ProductionDate>
    <DocumentNumber xmlns="196ffe2b-9ed3-447e-a11d-182b366da4dc">6</DocumentNumber>
    <FicheYear xmlns="01cfe264-354f-4f3f-acd0-cf26eb309336" xsi:nil="true"/>
    <DocumentVersion xmlns="01cfe264-354f-4f3f-acd0-cf26eb309336">0</DocumentVersion>
    <DossierNumber xmlns="01cfe264-354f-4f3f-acd0-cf26eb309336">667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58</Value>
      <Value>51</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01cfe264-354f-4f3f-acd0-cf26eb309336">BARRERA CHAMORRO &amp; 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43</FicheNumber>
    <DocumentPart xmlns="01cfe264-354f-4f3f-acd0-cf26eb309336">0</DocumentPart>
    <AdoptionDate xmlns="01cfe264-354f-4f3f-acd0-cf26eb309336">2021-04-27T12:00:00+00:00</AdoptionDate>
    <RequestingService xmlns="01cfe264-354f-4f3f-acd0-cf26eb309336">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96ffe2b-9ed3-447e-a11d-182b366da4d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OriginalSender xmlns="01cfe264-354f-4f3f-acd0-cf26eb309336">
      <UserInfo>
        <DisplayName/>
        <AccountId xsi:nil="true"/>
        <AccountType/>
      </UserInfo>
    </OriginalSender>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737E0B42D236040B3344A682183C722" ma:contentTypeVersion="6" ma:contentTypeDescription="Defines the documents for Document Manager V2" ma:contentTypeScope="" ma:versionID="8a3d90eff2c2e71e53f2d9683fff7575">
  <xsd:schema xmlns:xsd="http://www.w3.org/2001/XMLSchema" xmlns:xs="http://www.w3.org/2001/XMLSchema" xmlns:p="http://schemas.microsoft.com/office/2006/metadata/properties" xmlns:ns2="01cfe264-354f-4f3f-acd0-cf26eb309336" xmlns:ns3="http://schemas.microsoft.com/sharepoint/v3/fields" xmlns:ns4="196ffe2b-9ed3-447e-a11d-182b366da4dc" targetNamespace="http://schemas.microsoft.com/office/2006/metadata/properties" ma:root="true" ma:fieldsID="d87ca78c44a082becd4fb66de95a8bc9" ns2:_="" ns3:_="" ns4:_="">
    <xsd:import namespace="01cfe264-354f-4f3f-acd0-cf26eb309336"/>
    <xsd:import namespace="http://schemas.microsoft.com/sharepoint/v3/fields"/>
    <xsd:import namespace="196ffe2b-9ed3-447e-a11d-182b366da4d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6ffe2b-9ed3-447e-a11d-182b366da4dc"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A0D3E-1718-4FCF-AEFF-8E26A331E0D5}"/>
</file>

<file path=customXml/itemProps2.xml><?xml version="1.0" encoding="utf-8"?>
<ds:datastoreItem xmlns:ds="http://schemas.openxmlformats.org/officeDocument/2006/customXml" ds:itemID="{2F8C9227-F1CA-4443-B827-5E4652BE9BFE}"/>
</file>

<file path=customXml/itemProps3.xml><?xml version="1.0" encoding="utf-8"?>
<ds:datastoreItem xmlns:ds="http://schemas.openxmlformats.org/officeDocument/2006/customXml" ds:itemID="{23949DCF-DDD3-4F84-A2BF-A4AC1B980B55}"/>
</file>

<file path=customXml/itemProps4.xml><?xml version="1.0" encoding="utf-8"?>
<ds:datastoreItem xmlns:ds="http://schemas.openxmlformats.org/officeDocument/2006/customXml" ds:itemID="{6BA7E70A-3BF0-4850-94C0-D552A6566845}"/>
</file>

<file path=docProps/app.xml><?xml version="1.0" encoding="utf-8"?>
<Properties xmlns="http://schemas.openxmlformats.org/officeDocument/2006/extended-properties" xmlns:vt="http://schemas.openxmlformats.org/officeDocument/2006/docPropsVTypes">
  <Template>Normal.dotm</Template>
  <TotalTime>5</TotalTime>
  <Pages>11</Pages>
  <Words>3666</Words>
  <Characters>20899</Characters>
  <Application>Microsoft Office Word</Application>
  <DocSecurity>0</DocSecurity>
  <Lines>174</Lines>
  <Paragraphs>49</Paragraphs>
  <ScaleCrop>false</ScaleCrop>
  <HeadingPairs>
    <vt:vector size="6" baseType="variant">
      <vt:variant>
        <vt:lpstr>Title</vt:lpstr>
      </vt:variant>
      <vt:variant>
        <vt:i4>1</vt:i4>
      </vt:variant>
      <vt:variant>
        <vt:lpstr>Título</vt:lpstr>
      </vt:variant>
      <vt:variant>
        <vt:i4>1</vt:i4>
      </vt:variant>
      <vt:variant>
        <vt:lpstr>Titlu</vt:lpstr>
      </vt:variant>
      <vt:variant>
        <vt:i4>1</vt:i4>
      </vt:variant>
    </vt:vector>
  </HeadingPairs>
  <TitlesOfParts>
    <vt:vector size="3" baseType="lpstr">
      <vt:lpstr>LGBTIQ Equality Strategy</vt:lpstr>
      <vt:lpstr>LGBTIQ Equality Strategy</vt:lpstr>
      <vt:lpstr>European Agenda on Migration: Second implementation package - A permanent crisis relocation mechanism under the Dublin system</vt:lpstr>
    </vt:vector>
  </TitlesOfParts>
  <Company>CESE-CdR</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Съюз на равенство: Стратегия за равнопоставеност на ЛГБТИК за 20202025 г.</dc:title>
  <dc:subject>AC</dc:subject>
  <dc:creator/>
  <cp:keywords>EESC-2021-00006-00-00-AC-TRA-EN</cp:keywords>
  <dc:description>Rapporteur: BARRERA CHAMORRO &amp; SIBIAN - Original language: EN - Date of document: 29-04-2021 - Date of meeting:  - External documents: COM(2020)698-final - Administrator: Mme BERKEMEIER Maria Judite</dc:description>
  <cp:lastModifiedBy/>
  <cp:revision>4</cp:revision>
  <cp:lastPrinted>2021-01-20T12:59:00Z</cp:lastPrinted>
  <dcterms:created xsi:type="dcterms:W3CDTF">2021-04-29T09:22:00Z</dcterms:created>
  <dcterms:modified xsi:type="dcterms:W3CDTF">2021-06-03T13:31:00Z</dcterms:modified>
  <cp:category>SOC/667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28/04/2021, 19/04/2021, 19/04/2021, 31/03/2021, 17/03/2021, 27/01/2021, 04/11/2015, 27/10/2015, 19/10/2015, 09/10/2015, 05/10/2015, 05/10/2015, 26/08/2015, 26/08/2015, 25/08/2015</vt:lpwstr>
  </property>
  <property fmtid="{D5CDD505-2E9C-101B-9397-08002B2CF9AE}" pid="4" name="Pref_Time">
    <vt:lpwstr>11:23:30, 11:42:11, 11:36:07, 08:52:56, 16:17:03, 12:07:03, 12:10:07, 14:44:02, 16:04:16, 14:09:30, 16:24:55, 16:04:02, 08:56:14, 07:27:56, 17:31:53</vt:lpwstr>
  </property>
  <property fmtid="{D5CDD505-2E9C-101B-9397-08002B2CF9AE}" pid="5" name="Pref_User">
    <vt:lpwstr>enied, enied, htoo, hnic, enied, hnic, ssex, enied, amett, tvoc, mreg, mreg, amett, enied, ssex</vt:lpwstr>
  </property>
  <property fmtid="{D5CDD505-2E9C-101B-9397-08002B2CF9AE}" pid="6" name="Pref_FileName">
    <vt:lpwstr>EESC-2021-00006-00-00-AC-ORI.docx, EESC-2021-00006-00-00-AS-TRA-EN-CRR.docx, EESC-2021-00006-00-00-AS-CRR-EN.docx, EESC-2021-00006-00-00-PA-ORI.docx, EESC-2021-00006-00-00-APA-ORI.docx, EESC-2021-00006-00-00-DT-ORI.docx, EESC-2015-05408-00-00-PA-CRR-EN.do</vt:lpwstr>
  </property>
  <property fmtid="{D5CDD505-2E9C-101B-9397-08002B2CF9AE}" pid="7" name="ContentTypeId">
    <vt:lpwstr>0x010100EA97B91038054C99906057A708A1480A002737E0B42D236040B3344A682183C722</vt:lpwstr>
  </property>
  <property fmtid="{D5CDD505-2E9C-101B-9397-08002B2CF9AE}" pid="8" name="_dlc_DocIdItemGuid">
    <vt:lpwstr>4c58372a-74a6-44d4-b596-7de87091d5f1</vt:lpwstr>
  </property>
  <property fmtid="{D5CDD505-2E9C-101B-9397-08002B2CF9AE}" pid="9" name="AvailableTranslations">
    <vt:lpwstr>39;#SL|98a412ae-eb01-49e9-ae3d-585a81724cfc;#4;#FR|d2afafd3-4c81-4f60-8f52-ee33f2f54ff3;#37;#EL|6d4f4d51-af9b-4650-94b4-4276bee85c91;#40;#SV|c2ed69e7-a339-43d7-8f22-d93680a92aa0;#19;#SK|46d9fce0-ef79-4f71-b89b-cd6aa82426b8;#35;#PL|1e03da61-4678-4e07-b136-b5024ca9197b;#18;#LV|46f7e311-5d9f-4663-b433-18aeccb7ace7;#9;#EN|f2175f21-25d7-44a3-96da-d6a61b075e1b;#66;#GA|762d2456-c427-4ecb-b312-af3dad8e258c;#58;#MT|7df99101-6854-4a26-b53a-b88c0da02c26;#16;#IT|0774613c-01ed-4e5d-a25d-11d2388de825;#17;#NL|55c6556c-b4f4-441d-9acf-c498d4f838bd;#41;#BG|1a1b3951-7821-4e6a-85f5-5673fc08bd2c;#42;#FI|87606a43-d45f-42d6-b8c9-e1a3457db5b7;#13;#PT|50ccc04a-eadd-42ae-a0cb-acaf45f812ba;#21;#HU|6b229040-c589-4408-b4c1-4285663d20a8;#12;#DA|5d49c027-8956-412b-aa16-e85a0f96ad0e;#45;#RO|feb747a2-64cd-4299-af12-4833ddc30497;#38;#HR|2f555653-ed1a-4fe6-8362-9082d95989e5;#11;#DE|f6b31e5a-26fa-4935-b661-318e46daf27e;#15;#LT|a7ff5ce7-6123-4f68-865a-a57c31810414;#28;#ES|e7a6b05b-ae16-40c8-add9-68b64b03aeba;#25;#CS|72f9705b-0217-4fd3-bea2-cbc7ed80e26e;#14;#ET|ff6c3f4c-b02c-4c3c-ab07-2c37995a7a0a</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6</vt:i4>
  </property>
  <property fmtid="{D5CDD505-2E9C-101B-9397-08002B2CF9AE}" pid="14" name="DocumentVersion">
    <vt:i4>0</vt:i4>
  </property>
  <property fmtid="{D5CDD505-2E9C-101B-9397-08002B2CF9AE}" pid="15" name="DossierNumber">
    <vt:i4>667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51;#SOC|13795804-ecbd-4ce5-9693-9b8be1981b20</vt:lpwstr>
  </property>
  <property fmtid="{D5CDD505-2E9C-101B-9397-08002B2CF9AE}" pid="19" name="DocumentSource">
    <vt:lpwstr>1;#EESC|422833ec-8d7e-4e65-8e4e-8bed07ffb729</vt:lpwstr>
  </property>
  <property fmtid="{D5CDD505-2E9C-101B-9397-08002B2CF9AE}" pid="20" name="AdoptionDate">
    <vt:filetime>2021-04-27T12:00:00Z</vt:filetime>
  </property>
  <property fmtid="{D5CDD505-2E9C-101B-9397-08002B2CF9AE}" pid="21" name="DocumentType">
    <vt:lpwstr>86;#AC|a4cc1d15-fb08-4679-ad46-e4e0cba5fe92</vt:lpwstr>
  </property>
  <property fmtid="{D5CDD505-2E9C-101B-9397-08002B2CF9AE}" pid="22" name="RequestingService">
    <vt:lpwstr>Emploi, affaires sociales, citoyenneté</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EL|6d4f4d51-af9b-4650-94b4-4276bee85c91;SK|46d9fce0-ef79-4f71-b89b-cd6aa82426b8;PL|1e03da61-4678-4e07-b136-b5024ca9197b;EN|f2175f21-25d7-44a3-96da-d6a61b075e1b;IT|0774613c-01ed-4e5d-a25d-11d2388de825;PT|50ccc04a-eadd-42ae-a0cb-acaf45f812ba;DE|f6b31e5a-26f</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14;#ET|ff6c3f4c-b02c-4c3c-ab07-2c37995a7a0a;#35;#PL|1e03da61-4678-4e07-b136-b5024ca9197b;#28;#ES|e7a6b05b-ae16-40c8-add9-68b64b03aeba;#25;#CS|72f9705b-0217-4fd3-bea2-cbc7ed80e26e;#19;#SK|46d9fce0-ef79-4f71-b89b-cd6aa82426b8;#16;#IT|0774613c-01ed-4e5d-a25d</vt:lpwstr>
  </property>
  <property fmtid="{D5CDD505-2E9C-101B-9397-08002B2CF9AE}" pid="32" name="Rapporteur">
    <vt:lpwstr>BARRERA CHAMORRO &amp; SIBIAN</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43</vt:i4>
  </property>
  <property fmtid="{D5CDD505-2E9C-101B-9397-08002B2CF9AE}" pid="37" name="DocumentLanguage">
    <vt:lpwstr>41;#BG|1a1b3951-7821-4e6a-85f5-5673fc08bd2c</vt:lpwstr>
  </property>
  <property fmtid="{D5CDD505-2E9C-101B-9397-08002B2CF9AE}" pid="38" name="_docset_NoMedatataSyncRequired">
    <vt:lpwstr>False</vt:lpwstr>
  </property>
  <property name="OP_sanitized" fmtid="{D5CDD505-2E9C-101B-9397-08002B2CF9AE}" pid="39">
    <vt:lpwstr>True</vt:lpwstr>
  </property>
</Properties>
</file>