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5CF" w:rsidRPr="009D3601" w:rsidRDefault="00D21F74" w:rsidP="00D21F74">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D73D8F59-9B7D-445E-A4F1-8638FFDDCA08" style="width:455.25pt;height:371.25pt">
            <v:imagedata r:id="rId8" o:title=""/>
          </v:shape>
        </w:pict>
      </w:r>
    </w:p>
    <w:p w:rsidR="00C925CF" w:rsidRPr="009D3601" w:rsidRDefault="00C925CF" w:rsidP="009A3D44">
      <w:pPr>
        <w:rPr>
          <w:noProof/>
        </w:rPr>
        <w:sectPr w:rsidR="00C925CF" w:rsidRPr="009D3601" w:rsidSect="00D21F74">
          <w:footerReference w:type="even" r:id="rId9"/>
          <w:footerReference w:type="default" r:id="rId10"/>
          <w:pgSz w:w="11907" w:h="16839"/>
          <w:pgMar w:top="1134" w:right="1417" w:bottom="1134" w:left="1417" w:header="709" w:footer="709" w:gutter="0"/>
          <w:pgNumType w:start="0"/>
          <w:cols w:space="720"/>
          <w:docGrid w:linePitch="360"/>
        </w:sectPr>
      </w:pPr>
    </w:p>
    <w:p w:rsidR="00C97833" w:rsidRPr="009D3601" w:rsidRDefault="00C97833">
      <w:pPr>
        <w:pStyle w:val="Exposdesmotifstitre"/>
        <w:rPr>
          <w:noProof/>
        </w:rPr>
      </w:pPr>
      <w:bookmarkStart w:id="0" w:name="_GoBack"/>
      <w:bookmarkEnd w:id="0"/>
      <w:r w:rsidRPr="009D3601">
        <w:rPr>
          <w:noProof/>
        </w:rPr>
        <w:lastRenderedPageBreak/>
        <w:t>ОБЯСНИТЕЛЕН МЕМОРАНДУМ</w:t>
      </w:r>
    </w:p>
    <w:p w:rsidR="00C97833" w:rsidRPr="009D3601" w:rsidRDefault="00C97833">
      <w:pPr>
        <w:pStyle w:val="ManualHeading1"/>
        <w:rPr>
          <w:noProof/>
        </w:rPr>
      </w:pPr>
      <w:r w:rsidRPr="009D3601">
        <w:rPr>
          <w:noProof/>
        </w:rPr>
        <w:t>1.</w:t>
      </w:r>
      <w:r w:rsidRPr="009D3601">
        <w:rPr>
          <w:noProof/>
        </w:rPr>
        <w:tab/>
        <w:t>КОНТЕКСТ НА ПРЕДЛОЖЕНИЕТО</w:t>
      </w:r>
    </w:p>
    <w:p w:rsidR="00C97833" w:rsidRPr="009D3601" w:rsidRDefault="00C97833">
      <w:pPr>
        <w:pStyle w:val="ManualHeading2"/>
        <w:rPr>
          <w:rFonts w:eastAsia="Arial Unicode MS"/>
          <w:noProof/>
        </w:rPr>
      </w:pPr>
      <w:r w:rsidRPr="009D3601">
        <w:rPr>
          <w:noProof/>
          <w:u w:color="000000"/>
          <w:bdr w:val="nil"/>
        </w:rPr>
        <w:t>•</w:t>
      </w:r>
      <w:r w:rsidRPr="009D3601">
        <w:rPr>
          <w:noProof/>
        </w:rPr>
        <w:tab/>
        <w:t>Основания и цели на предложението</w:t>
      </w:r>
    </w:p>
    <w:p w:rsidR="00717B37" w:rsidRPr="009D3601" w:rsidRDefault="00717B37" w:rsidP="0064083E">
      <w:pPr>
        <w:rPr>
          <w:b/>
          <w:noProof/>
        </w:rPr>
      </w:pPr>
      <w:r w:rsidRPr="009D3601">
        <w:rPr>
          <w:noProof/>
        </w:rPr>
        <w:t>В съответствие с член 25а, параграф 2 от Регламент (ЕО) № 810/2009 („Визовия кодекс“)</w:t>
      </w:r>
      <w:r w:rsidRPr="009D3601">
        <w:rPr>
          <w:rStyle w:val="FootnoteReference"/>
          <w:noProof/>
        </w:rPr>
        <w:footnoteReference w:id="1"/>
      </w:r>
      <w:r w:rsidRPr="009D3601">
        <w:rPr>
          <w:noProof/>
        </w:rPr>
        <w:t xml:space="preserve"> Комисията редовно извършва оценка на сътрудничеството на трети държави в областта на обратното приемане и докладва на Съвета най-малко веднъж годишно. </w:t>
      </w:r>
    </w:p>
    <w:p w:rsidR="00717B37" w:rsidRPr="009D3601" w:rsidRDefault="00717B37" w:rsidP="0064083E">
      <w:pPr>
        <w:rPr>
          <w:b/>
          <w:noProof/>
        </w:rPr>
      </w:pPr>
      <w:r w:rsidRPr="009D3601">
        <w:rPr>
          <w:noProof/>
        </w:rPr>
        <w:t>Въз основа на четвъртата оценка на сътрудничеството, приета през 2023 г. и обхващаща референтната 2022 година, и като взе предвид стъпките, предприети от Комисията за подобряване на степента на сътрудничество на съответната трета държава в областта на обратното приемане и цялостните отношения на Съюза със съответната трета държава, Комисията стигна до заключението, че Етиопия не е оказала достатъчно съдействие и следователно е необходимо да се предприемат действия. На 27 септември 2023 г., в съответствие с член 25а, параграф 5, буква а) от Визовия кодекс, Комисията прие предложение за решение за изпълнение на Съвета за спиране на прилагането на разпоредбите на член 14, параграф 6, буква б), член 16, параграф 5, член 23, параграф 1 и член 24, параграфи 2 и 2в от Визовия кодекс по отношение на гражданите на Етиопия. На 29 април 2024 г. Съветът прие Решение за изпълнение (ЕС) 2024/1341</w:t>
      </w:r>
      <w:r w:rsidRPr="009D3601">
        <w:rPr>
          <w:rStyle w:val="FootnoteReference"/>
          <w:noProof/>
        </w:rPr>
        <w:footnoteReference w:id="2"/>
      </w:r>
      <w:r w:rsidRPr="009D3601">
        <w:rPr>
          <w:noProof/>
        </w:rPr>
        <w:t>.</w:t>
      </w:r>
    </w:p>
    <w:p w:rsidR="00717B37" w:rsidRPr="009D3601" w:rsidRDefault="00C72925" w:rsidP="00C72925">
      <w:pPr>
        <w:rPr>
          <w:noProof/>
        </w:rPr>
      </w:pPr>
      <w:r w:rsidRPr="009D3601">
        <w:rPr>
          <w:noProof/>
        </w:rPr>
        <w:t xml:space="preserve">В съответствие с член 25а, параграф 6 от Визовия кодекс Комисията постоянно оценява и докладва, въз основа на посочените в параграф 2 от същия член показатели, , дали може да бъде установено съществено и устойчиво подобрение в сътрудничеството на съответната трета държава, и като отчита цялостните отношения на Съюза с тази трета държава, може да представи на Съвета предложение за отмяна или изменение на посоченото в параграф 5 от същия член решение за изпълнение. </w:t>
      </w:r>
    </w:p>
    <w:p w:rsidR="002750AD" w:rsidRPr="009D3601" w:rsidRDefault="00D00CFE" w:rsidP="0064083E">
      <w:pPr>
        <w:rPr>
          <w:noProof/>
        </w:rPr>
      </w:pPr>
      <w:r w:rsidRPr="009D3601">
        <w:rPr>
          <w:noProof/>
        </w:rPr>
        <w:t>Въз основа на шестата годишна оценка на сътрудничеството, приета през 2025 г.</w:t>
      </w:r>
      <w:r w:rsidRPr="009D3601">
        <w:rPr>
          <w:rStyle w:val="FootnoteReference"/>
          <w:noProof/>
        </w:rPr>
        <w:footnoteReference w:id="3"/>
      </w:r>
      <w:r w:rsidRPr="009D3601">
        <w:rPr>
          <w:noProof/>
        </w:rPr>
        <w:t xml:space="preserve"> и обхващаща референтната 2024 година, Комисията взе под внимание съществените действия, предприети от Етиопия, и положителната тенденция за подобряване на сътрудничеството, която трябваше да се превърне в устойчив напредък. </w:t>
      </w:r>
    </w:p>
    <w:p w:rsidR="00A50ED8" w:rsidRPr="009D3601" w:rsidRDefault="00DE281C" w:rsidP="0064083E">
      <w:pPr>
        <w:rPr>
          <w:noProof/>
        </w:rPr>
      </w:pPr>
      <w:r w:rsidRPr="009D3601">
        <w:rPr>
          <w:noProof/>
        </w:rPr>
        <w:t>Въз основа на постоянната оценка на сътрудничеството, включително в съответните технически експертни групи и работни групи на Съвета, и на устойчивия напредък, отбелязан в рамките на шестата съвместна работна група, проведена на 18 февруари 2026 г., Комисията счита, че след влизането в сила на Решение за изпълнение (ЕС) 2024/1341 на Съвета може да бъде установено съществено и устойчиво подобрение в сътрудничеството във връзка с обратното приемане при установяването на самоличността на граждани на Етиопия, които пребивават незаконно на територията на държавите членки, при издаването на временни документи за пътуване и при редовното организиране на операции по връщане. Поради това Комисията счита, че е целесъобразно да внесе предложение за решение за изпълнение на Съвета за отмяна на Решение за изпълнение (ЕС) 2024/1341 на Съвета.</w:t>
      </w:r>
    </w:p>
    <w:p w:rsidR="00A50ED8" w:rsidRPr="009D3601" w:rsidRDefault="00A50ED8" w:rsidP="0064083E">
      <w:pPr>
        <w:rPr>
          <w:bCs/>
          <w:i/>
          <w:iCs/>
          <w:noProof/>
        </w:rPr>
      </w:pPr>
      <w:r w:rsidRPr="009D3601">
        <w:rPr>
          <w:i/>
          <w:noProof/>
        </w:rPr>
        <w:t>Случаят на Етиопия</w:t>
      </w:r>
    </w:p>
    <w:p w:rsidR="00745E9F" w:rsidRPr="009D3601" w:rsidRDefault="006313D2" w:rsidP="006313D2">
      <w:pPr>
        <w:rPr>
          <w:rFonts w:eastAsia="Times New Roman"/>
          <w:noProof/>
          <w:szCs w:val="24"/>
        </w:rPr>
      </w:pPr>
      <w:r w:rsidRPr="009D3601">
        <w:rPr>
          <w:noProof/>
        </w:rPr>
        <w:t xml:space="preserve">През февруари 2018 г. ЕС сключи необвързваща договореност за обратно приемане с Етиопия („Процедура по приемане за връщане на етиопци от държави — членки на Европейския съюз“). Оттогава се проведоха шест заседания на съвместната работна група за наблюдение на изпълнението на споразумението. </w:t>
      </w:r>
    </w:p>
    <w:p w:rsidR="00F635B2" w:rsidRPr="009D3601" w:rsidRDefault="00584CE8" w:rsidP="006313D2">
      <w:pPr>
        <w:rPr>
          <w:rFonts w:eastAsia="Times New Roman"/>
          <w:noProof/>
          <w:szCs w:val="24"/>
        </w:rPr>
      </w:pPr>
      <w:r w:rsidRPr="009D3601">
        <w:rPr>
          <w:noProof/>
        </w:rPr>
        <w:t>В четвъртия доклад по член 25а от 2023 г. Комисията счете, че сътрудничеството на Етиопия във връзка с обратното приемане през 2022 г. е недостатъчно. Продължаваха да съществуват предизвикателства при установяването на самоличността на граждани на Етиопия, които пребивават незаконно на територията на държавите членки, поради липсата на отговор от страна на етиопските органи на исканията за обратно приемане, трудностите при издаването на временни документи за пътуване, включително когато гражданството е било потвърдено преди това, и трудности с организирането на операции по връщане за доброволно и принудително връщане с редовни и чартърни полети.</w:t>
      </w:r>
    </w:p>
    <w:p w:rsidR="000B394C" w:rsidRPr="009D3601" w:rsidRDefault="004B247B" w:rsidP="000B394C">
      <w:pPr>
        <w:rPr>
          <w:rFonts w:eastAsia="Times New Roman"/>
          <w:noProof/>
          <w:szCs w:val="24"/>
        </w:rPr>
      </w:pPr>
      <w:r w:rsidRPr="009D3601">
        <w:rPr>
          <w:noProof/>
        </w:rPr>
        <w:t>Въпреки усилията за засилване на ангажимента за обратно приемане и предоставянето на техническа помощ от страна на ЕС сътрудничеството с Етиопия във връзка с обратното приемане не се подобри. ЕС отправи до Етиопия ясни послания относно необходимостта да подобри сътрудничеството си при обратното приемане на своите граждани, които нямат право да останат в държавите — членки на ЕС, и да изпълнява в пълна степен договореността за обратно приемане, включително чрез бързото установяване и чрез издаването на временни документи за пътуване за всички връщания, включително принудителните. Поради липсата на подобрение въпреки непрекъснатите стъпки, предприети от Комисията, и като се вземат предвид цялостните отношения на ЕС с Етиопия, се счете, че сътрудничеството на Етиопия с ЕС в областта на обратното приемане не е достатъчно и че са необходими допълнителни действия. Поради това през септември 2023 г. Комисията предложи визови мерки, които бяха приети от Съвета през април 2024 г.</w:t>
      </w:r>
    </w:p>
    <w:p w:rsidR="009022BD" w:rsidRPr="009D3601" w:rsidRDefault="009022BD" w:rsidP="000B394C">
      <w:pPr>
        <w:rPr>
          <w:rFonts w:eastAsia="Times New Roman"/>
          <w:noProof/>
          <w:szCs w:val="24"/>
        </w:rPr>
      </w:pPr>
      <w:r w:rsidRPr="009D3601">
        <w:rPr>
          <w:noProof/>
        </w:rPr>
        <w:t>В шестия доклад по член 25а, приет през юли 2025 г. и обхващащ референтната 2024 година, Комисията взе под внимание съществените действия, предприети от Етиопия, и положителната тенденция за подобряване на сътрудничеството, която трябваше да се превърне в устойчив напредък. Етиопия възобнови обработването на случаите на принудително връщане и издаването на временни документи за пътуване с подходяща валидност (както е посочено в споразумението за обратно приемане) и подобри способността си да реагира на исканията на органите на държавите членки. През 2024 г. бяха проведени три мисии за установяване на самоличността, а през 2025 г. — една, като бяха отбелязани положителни резултати по отношение на потвърждаването на гражданството и подобряването на сроковете за съобщаване на резултатите, както и на поетия пред държавите членки ангажимент временните документи за пътуване да се издават при поискване за всички случаи. Първата операция с чартърен полет от 2021 г. насам се проведе през декември 2024 г., а сътрудничеството чрез чартърни полети продължи през 2025 г. През декември 2025 г. ЕС организира в Брюксел успешно обучение по техники за проверка на националността за националната администрация и консулствата на Етиопия в Европа.</w:t>
      </w:r>
    </w:p>
    <w:p w:rsidR="006E4D06" w:rsidRPr="009D3601" w:rsidRDefault="00647B04" w:rsidP="004F6171">
      <w:pPr>
        <w:rPr>
          <w:noProof/>
          <w:szCs w:val="24"/>
        </w:rPr>
      </w:pPr>
      <w:r w:rsidRPr="009D3601">
        <w:rPr>
          <w:noProof/>
        </w:rPr>
        <w:t xml:space="preserve">Въз основа на всичко изложено по-горе Комисията смята, че може да бъде установено съществено и устойчиво подобрение в сътрудничеството в областта на обратното приемане, и предлага Решение за изпълнение 2024/1341 на Съвета да бъде отменено. </w:t>
      </w:r>
    </w:p>
    <w:p w:rsidR="001D4BEF" w:rsidRPr="009D3601" w:rsidRDefault="001D4BEF" w:rsidP="0064083E">
      <w:pPr>
        <w:rPr>
          <w:bCs/>
          <w:i/>
          <w:iCs/>
          <w:noProof/>
        </w:rPr>
      </w:pPr>
      <w:r w:rsidRPr="009D3601">
        <w:rPr>
          <w:i/>
          <w:noProof/>
        </w:rPr>
        <w:t>Цялостни отношения на Съюза с Етиопия</w:t>
      </w:r>
    </w:p>
    <w:p w:rsidR="001C20B2" w:rsidRPr="009D3601" w:rsidRDefault="001C20B2" w:rsidP="001A55FA">
      <w:pPr>
        <w:rPr>
          <w:noProof/>
        </w:rPr>
      </w:pPr>
      <w:r w:rsidRPr="009D3601">
        <w:rPr>
          <w:noProof/>
        </w:rPr>
        <w:t xml:space="preserve">Етиопия е ключова държава за стабилността в Африканския рог. Това е втората най-населена държава в Африка (110 милиона жители), която също така приютява близо 1,1 милиона бежанци от региона. От ноември 2020 г. насам в Етиопия е налице вътрешен конфликт, който доведе до подписването в Претория, Южна Африка на 2 ноември 2022 г. на споразумението за окончателно прекратяване на военните действия. По време на критичния етап от конфликта в Судан, избухнал през април 2023 г., етиопските органи предоставиха значителна помощ за издаването на визи и за обектите по границата по време на евакуацията на граждани на ЕС от Судан. </w:t>
      </w:r>
    </w:p>
    <w:p w:rsidR="001C20B2" w:rsidRPr="009D3601" w:rsidRDefault="001C20B2" w:rsidP="001A55FA">
      <w:pPr>
        <w:rPr>
          <w:noProof/>
        </w:rPr>
      </w:pPr>
      <w:r w:rsidRPr="009D3601">
        <w:rPr>
          <w:noProof/>
        </w:rPr>
        <w:t xml:space="preserve">Държавата се ползва от безмитен и безквотен достъп до европейския пазар в рамките на режима „Всичко освен оръжие“. </w:t>
      </w:r>
    </w:p>
    <w:p w:rsidR="0064083E" w:rsidRPr="009D3601" w:rsidRDefault="001C20B2" w:rsidP="001A55FA">
      <w:pPr>
        <w:rPr>
          <w:noProof/>
        </w:rPr>
      </w:pPr>
      <w:r w:rsidRPr="009D3601">
        <w:rPr>
          <w:noProof/>
        </w:rPr>
        <w:t xml:space="preserve">Етиопия е член на Междуправителствения орган за развитие и член на управителния комитет на процеса от Хартум. Тя е страна по Споразумението от Самоа. Етиопия е важен партньор за Европейския съюз, като дългогодишното партньорство датира отпреди повече от 40 години. През 2016 г. ЕС и Етиопия подписаха „стратегически ангажимент“, с който и двете страни се ангажираха да си сътрудничат тясно в различни области, вариращи от регионален мир и сигурност до търговия и инвестиции и включващи миграцията и принудителното разселване. ЕС подпомага Етиопия чрез многогодишната индикативна програма (МИП) за Етиопия за периода 2024—2027 г., първоначално определена на 650 милиона евро и преразгледана на 609 милиона евро след междинен преглед. Тази инициатива бележи значителен напредък във взаимодействието на ЕС с Етиопия, като чрез нея се преминава от подкрепа за реакция при кризи и възстановяване към устойчиво, дългосрочно инвестиционно партньорство. Тя обхваща 3 приоритетни области: Зеления пакт, човешко развитие (включително миграция и принудително разселване) и управление/изграждане на мира. </w:t>
      </w:r>
    </w:p>
    <w:p w:rsidR="00C97833" w:rsidRPr="009D3601" w:rsidRDefault="00C97833" w:rsidP="00717B37">
      <w:pPr>
        <w:pStyle w:val="ManualHeading2"/>
        <w:rPr>
          <w:rFonts w:eastAsia="Arial Unicode MS"/>
          <w:noProof/>
          <w:u w:color="000000"/>
          <w:bdr w:val="nil"/>
        </w:rPr>
      </w:pPr>
      <w:r w:rsidRPr="009D3601">
        <w:rPr>
          <w:noProof/>
          <w:u w:color="000000"/>
          <w:bdr w:val="nil"/>
        </w:rPr>
        <w:t>•</w:t>
      </w:r>
      <w:r w:rsidRPr="009D3601">
        <w:rPr>
          <w:noProof/>
        </w:rPr>
        <w:tab/>
        <w:t>Съгласуваност с действащите разпоредби в тази област на политиката</w:t>
      </w:r>
    </w:p>
    <w:p w:rsidR="00C97833" w:rsidRPr="009D3601" w:rsidRDefault="00A50ED8" w:rsidP="00A50ED8">
      <w:pPr>
        <w:pBdr>
          <w:top w:val="nil"/>
          <w:left w:val="nil"/>
          <w:bottom w:val="nil"/>
          <w:right w:val="nil"/>
          <w:between w:val="nil"/>
          <w:bar w:val="nil"/>
        </w:pBdr>
        <w:spacing w:before="0" w:after="240"/>
        <w:rPr>
          <w:rFonts w:eastAsia="Arial Unicode MS"/>
          <w:noProof/>
        </w:rPr>
      </w:pPr>
      <w:r w:rsidRPr="009D3601">
        <w:rPr>
          <w:noProof/>
        </w:rPr>
        <w:t>Предложеното решение е в съответствие с Визовия кодекс, с който се определят хармонизираните правила на общата визова политика, уреждащи реда и условията за издаване на визи за планиран престой на територията на държавите членки с продължителност не повече от 90 дни в рамките на всеки 180-дневен период. Предложеното решение е в съответствие и с предишното предложение за установяване на мерките</w:t>
      </w:r>
      <w:r w:rsidRPr="009D3601">
        <w:rPr>
          <w:rStyle w:val="FootnoteReference"/>
          <w:rFonts w:eastAsia="Arial Unicode MS"/>
          <w:noProof/>
        </w:rPr>
        <w:footnoteReference w:id="4"/>
      </w:r>
      <w:r w:rsidRPr="009D3601">
        <w:rPr>
          <w:noProof/>
        </w:rPr>
        <w:t xml:space="preserve">. </w:t>
      </w:r>
    </w:p>
    <w:p w:rsidR="00C97833" w:rsidRPr="009D3601" w:rsidRDefault="00C97833">
      <w:pPr>
        <w:pStyle w:val="ManualHeading2"/>
        <w:rPr>
          <w:rFonts w:eastAsia="Arial Unicode MS"/>
          <w:noProof/>
        </w:rPr>
      </w:pPr>
      <w:r w:rsidRPr="009D3601">
        <w:rPr>
          <w:noProof/>
          <w:u w:color="000000"/>
          <w:bdr w:val="nil"/>
        </w:rPr>
        <w:t>•</w:t>
      </w:r>
      <w:r w:rsidRPr="009D3601">
        <w:rPr>
          <w:noProof/>
        </w:rPr>
        <w:tab/>
        <w:t>Съгласуваност с други политики на Съюза</w:t>
      </w:r>
    </w:p>
    <w:p w:rsidR="00A50ED8" w:rsidRPr="009D3601" w:rsidRDefault="00A50ED8" w:rsidP="00A50ED8">
      <w:pPr>
        <w:pBdr>
          <w:top w:val="nil"/>
          <w:left w:val="nil"/>
          <w:bottom w:val="nil"/>
          <w:right w:val="nil"/>
          <w:between w:val="nil"/>
          <w:bar w:val="nil"/>
        </w:pBdr>
        <w:spacing w:before="0" w:after="240"/>
        <w:rPr>
          <w:rFonts w:eastAsia="Arial Unicode MS"/>
          <w:noProof/>
        </w:rPr>
      </w:pPr>
      <w:r w:rsidRPr="009D3601">
        <w:rPr>
          <w:noProof/>
        </w:rPr>
        <w:t xml:space="preserve">ЕС поддържа всеобхватен подход към миграцията и принудителното разселване, основан на споделени ценности и отговорности. В Новия пакт за миграцията и убежището се предвижда разработване и задълбочаване на съобразени с нуждите всеобхватни и балансирани партньорства за насърчаване на сътрудничеството по всички съответни аспекти: </w:t>
      </w:r>
    </w:p>
    <w:p w:rsidR="005F7B1A" w:rsidRPr="009D3601" w:rsidRDefault="00A50ED8" w:rsidP="001D60E4">
      <w:pPr>
        <w:pStyle w:val="Tiret0"/>
        <w:numPr>
          <w:ilvl w:val="0"/>
          <w:numId w:val="6"/>
        </w:numPr>
        <w:rPr>
          <w:noProof/>
        </w:rPr>
      </w:pPr>
      <w:r w:rsidRPr="009D3601">
        <w:rPr>
          <w:noProof/>
        </w:rPr>
        <w:t>осигуряване на закрила за нуждаещите се и оказване на подкрепа на приемащите държави и общности;</w:t>
      </w:r>
    </w:p>
    <w:p w:rsidR="005F7B1A" w:rsidRPr="009D3601" w:rsidRDefault="00A50ED8" w:rsidP="001D60E4">
      <w:pPr>
        <w:pStyle w:val="Tiret0"/>
        <w:numPr>
          <w:ilvl w:val="0"/>
          <w:numId w:val="6"/>
        </w:numPr>
        <w:pBdr>
          <w:top w:val="nil"/>
          <w:left w:val="nil"/>
          <w:bottom w:val="nil"/>
          <w:right w:val="nil"/>
          <w:between w:val="nil"/>
          <w:bar w:val="nil"/>
        </w:pBdr>
        <w:spacing w:before="0" w:after="240"/>
        <w:rPr>
          <w:rFonts w:eastAsia="Arial Unicode MS"/>
          <w:noProof/>
        </w:rPr>
      </w:pPr>
      <w:r w:rsidRPr="009D3601">
        <w:rPr>
          <w:noProof/>
        </w:rPr>
        <w:t>създаване на икономически възможности и справяне с първопричините за незаконната миграция и принудителното разселване;</w:t>
      </w:r>
    </w:p>
    <w:p w:rsidR="005F7B1A" w:rsidRPr="009D3601" w:rsidRDefault="00A50ED8" w:rsidP="001D60E4">
      <w:pPr>
        <w:pStyle w:val="Tiret0"/>
        <w:numPr>
          <w:ilvl w:val="0"/>
          <w:numId w:val="6"/>
        </w:numPr>
        <w:pBdr>
          <w:top w:val="nil"/>
          <w:left w:val="nil"/>
          <w:bottom w:val="nil"/>
          <w:right w:val="nil"/>
          <w:between w:val="nil"/>
          <w:bar w:val="nil"/>
        </w:pBdr>
        <w:spacing w:before="0" w:after="240"/>
        <w:rPr>
          <w:rFonts w:eastAsia="Arial Unicode MS"/>
          <w:noProof/>
        </w:rPr>
      </w:pPr>
      <w:r w:rsidRPr="009D3601">
        <w:rPr>
          <w:noProof/>
        </w:rPr>
        <w:t>подкрепа за партньорите с цел укрепване на ръководството и управлението в областта на миграцията;</w:t>
      </w:r>
    </w:p>
    <w:p w:rsidR="005F7B1A" w:rsidRPr="009D3601" w:rsidRDefault="00A50ED8" w:rsidP="001D60E4">
      <w:pPr>
        <w:pStyle w:val="Tiret0"/>
        <w:numPr>
          <w:ilvl w:val="0"/>
          <w:numId w:val="6"/>
        </w:numPr>
        <w:pBdr>
          <w:top w:val="nil"/>
          <w:left w:val="nil"/>
          <w:bottom w:val="nil"/>
          <w:right w:val="nil"/>
          <w:between w:val="nil"/>
          <w:bar w:val="nil"/>
        </w:pBdr>
        <w:spacing w:before="0" w:after="240"/>
        <w:rPr>
          <w:rFonts w:eastAsia="Arial Unicode MS"/>
          <w:noProof/>
        </w:rPr>
      </w:pPr>
      <w:r w:rsidRPr="009D3601">
        <w:rPr>
          <w:noProof/>
        </w:rPr>
        <w:t>насърчаване на сътрудничеството в областта на връщането и обратното приемане;</w:t>
      </w:r>
    </w:p>
    <w:p w:rsidR="00A50ED8" w:rsidRPr="009D3601" w:rsidRDefault="00A50ED8" w:rsidP="001D60E4">
      <w:pPr>
        <w:pStyle w:val="Tiret0"/>
        <w:numPr>
          <w:ilvl w:val="0"/>
          <w:numId w:val="6"/>
        </w:numPr>
        <w:pBdr>
          <w:top w:val="nil"/>
          <w:left w:val="nil"/>
          <w:bottom w:val="nil"/>
          <w:right w:val="nil"/>
          <w:between w:val="nil"/>
          <w:bar w:val="nil"/>
        </w:pBdr>
        <w:spacing w:before="0" w:after="240"/>
        <w:rPr>
          <w:rFonts w:eastAsia="Arial Unicode MS"/>
          <w:noProof/>
        </w:rPr>
      </w:pPr>
      <w:r w:rsidRPr="009D3601">
        <w:rPr>
          <w:noProof/>
        </w:rPr>
        <w:t>развиване на законните пътища за миграция към Европа.</w:t>
      </w:r>
    </w:p>
    <w:p w:rsidR="00C97833" w:rsidRPr="009D3601" w:rsidRDefault="00A50ED8" w:rsidP="009A3AE5">
      <w:pPr>
        <w:pBdr>
          <w:top w:val="nil"/>
          <w:left w:val="nil"/>
          <w:bottom w:val="nil"/>
          <w:right w:val="nil"/>
          <w:between w:val="nil"/>
          <w:bar w:val="nil"/>
        </w:pBdr>
        <w:spacing w:before="0" w:after="240"/>
        <w:rPr>
          <w:rFonts w:eastAsia="Arial Unicode MS"/>
          <w:noProof/>
        </w:rPr>
      </w:pPr>
      <w:r w:rsidRPr="009D3601">
        <w:rPr>
          <w:noProof/>
        </w:rPr>
        <w:t>Сътрудничеството между държавите членки и трети държави в областта на обратното приемане на незаконно пребиваващи граждани на трети държави е важен елемент от тази политика. В заключенията си от октомври 2024 г. Европейският съвет настоя за решителни действия на всички равнища с цел улесняване, увеличаване и ускоряване на връщането от Европейския съюз, като се използват всички съответни политики, инструменти и средства на ЕС, включително в областите на дипломацията, развитието, търговията и визите</w:t>
      </w:r>
      <w:r w:rsidRPr="009D3601">
        <w:rPr>
          <w:rStyle w:val="FootnoteReference"/>
          <w:rFonts w:eastAsia="Arial Unicode MS"/>
          <w:noProof/>
        </w:rPr>
        <w:footnoteReference w:id="5"/>
      </w:r>
      <w:r w:rsidRPr="009D3601">
        <w:rPr>
          <w:noProof/>
        </w:rPr>
        <w:t>.</w:t>
      </w:r>
    </w:p>
    <w:p w:rsidR="00C97833" w:rsidRPr="009D3601" w:rsidRDefault="00C97833">
      <w:pPr>
        <w:pStyle w:val="ManualHeading1"/>
        <w:rPr>
          <w:noProof/>
        </w:rPr>
      </w:pPr>
      <w:r w:rsidRPr="009D3601">
        <w:rPr>
          <w:noProof/>
        </w:rPr>
        <w:t>2.</w:t>
      </w:r>
      <w:r w:rsidRPr="009D3601">
        <w:rPr>
          <w:noProof/>
        </w:rPr>
        <w:tab/>
        <w:t>ПРАВНО ОСНОВАНИЕ, СУБСИДИАРНОСТ И ПРОПОРЦИОНАЛНОСТ</w:t>
      </w:r>
    </w:p>
    <w:p w:rsidR="00C97833" w:rsidRPr="009D3601" w:rsidRDefault="00C97833">
      <w:pPr>
        <w:pStyle w:val="ManualHeading2"/>
        <w:rPr>
          <w:rFonts w:eastAsia="Arial Unicode MS"/>
          <w:noProof/>
          <w:u w:color="000000"/>
          <w:bdr w:val="nil"/>
        </w:rPr>
      </w:pPr>
      <w:r w:rsidRPr="009D3601">
        <w:rPr>
          <w:noProof/>
          <w:u w:color="000000"/>
          <w:bdr w:val="nil"/>
        </w:rPr>
        <w:t>•</w:t>
      </w:r>
      <w:r w:rsidRPr="009D3601">
        <w:rPr>
          <w:noProof/>
        </w:rPr>
        <w:tab/>
      </w:r>
      <w:r w:rsidRPr="009D3601">
        <w:rPr>
          <w:noProof/>
          <w:u w:color="000000"/>
          <w:bdr w:val="nil"/>
        </w:rPr>
        <w:t>Правно основание</w:t>
      </w:r>
    </w:p>
    <w:p w:rsidR="00D43783" w:rsidRPr="009D3601" w:rsidRDefault="00D43783" w:rsidP="001A55FA">
      <w:pPr>
        <w:pBdr>
          <w:top w:val="nil"/>
          <w:left w:val="nil"/>
          <w:bottom w:val="nil"/>
          <w:right w:val="nil"/>
          <w:between w:val="nil"/>
          <w:bar w:val="nil"/>
        </w:pBdr>
        <w:spacing w:before="0" w:after="240"/>
        <w:rPr>
          <w:rFonts w:eastAsia="Arial Unicode MS"/>
          <w:noProof/>
        </w:rPr>
      </w:pPr>
      <w:r w:rsidRPr="009D3601">
        <w:rPr>
          <w:noProof/>
        </w:rPr>
        <w:t>Регламент (ЕО) № 810/2009 на Европейския Парламент и на Съвета от 13 юли 2009 г. за създаване на Визов кодекс на Общността (Визов кодекс), член 25а, параграф 6.</w:t>
      </w:r>
    </w:p>
    <w:p w:rsidR="00C97833" w:rsidRPr="009D3601" w:rsidRDefault="00C97833" w:rsidP="00D43783">
      <w:pPr>
        <w:pStyle w:val="ManualHeading2"/>
        <w:rPr>
          <w:rFonts w:eastAsia="Arial Unicode MS"/>
          <w:noProof/>
          <w:u w:color="000000"/>
          <w:bdr w:val="nil"/>
        </w:rPr>
      </w:pPr>
      <w:r w:rsidRPr="009D3601">
        <w:rPr>
          <w:noProof/>
          <w:u w:color="000000"/>
          <w:bdr w:val="nil"/>
        </w:rPr>
        <w:t>•</w:t>
      </w:r>
      <w:r w:rsidRPr="009D3601">
        <w:rPr>
          <w:noProof/>
        </w:rPr>
        <w:tab/>
      </w:r>
      <w:r w:rsidRPr="009D3601">
        <w:rPr>
          <w:noProof/>
          <w:u w:color="000000"/>
          <w:bdr w:val="nil"/>
        </w:rPr>
        <w:t xml:space="preserve">Субсидиарност (при неизключителна компетентност) </w:t>
      </w:r>
    </w:p>
    <w:p w:rsidR="00C97833" w:rsidRPr="009D3601" w:rsidRDefault="00D43783">
      <w:pPr>
        <w:pBdr>
          <w:top w:val="nil"/>
          <w:left w:val="nil"/>
          <w:bottom w:val="nil"/>
          <w:right w:val="nil"/>
          <w:between w:val="nil"/>
          <w:bar w:val="nil"/>
        </w:pBdr>
        <w:spacing w:before="0" w:after="240"/>
        <w:rPr>
          <w:rFonts w:eastAsia="Arial Unicode MS"/>
          <w:noProof/>
        </w:rPr>
      </w:pPr>
      <w:r w:rsidRPr="009D3601">
        <w:rPr>
          <w:noProof/>
        </w:rPr>
        <w:t>Не се прилага.</w:t>
      </w:r>
    </w:p>
    <w:p w:rsidR="00C97833" w:rsidRPr="009D3601" w:rsidRDefault="00C97833">
      <w:pPr>
        <w:pStyle w:val="ManualHeading2"/>
        <w:rPr>
          <w:rFonts w:eastAsia="Arial Unicode MS"/>
          <w:noProof/>
          <w:u w:color="000000"/>
          <w:bdr w:val="nil"/>
        </w:rPr>
      </w:pPr>
      <w:r w:rsidRPr="009D3601">
        <w:rPr>
          <w:noProof/>
          <w:u w:color="000000"/>
          <w:bdr w:val="nil"/>
        </w:rPr>
        <w:t>•</w:t>
      </w:r>
      <w:r w:rsidRPr="009D3601">
        <w:rPr>
          <w:noProof/>
        </w:rPr>
        <w:tab/>
      </w:r>
      <w:r w:rsidRPr="009D3601">
        <w:rPr>
          <w:noProof/>
          <w:u w:color="000000"/>
          <w:bdr w:val="nil"/>
        </w:rPr>
        <w:t>Пропорционалност</w:t>
      </w:r>
    </w:p>
    <w:p w:rsidR="00C97833" w:rsidRPr="009D3601" w:rsidRDefault="00D43783" w:rsidP="00D43783">
      <w:pPr>
        <w:pBdr>
          <w:top w:val="nil"/>
          <w:left w:val="nil"/>
          <w:bottom w:val="nil"/>
          <w:right w:val="nil"/>
          <w:between w:val="nil"/>
          <w:bar w:val="nil"/>
        </w:pBdr>
        <w:spacing w:before="0" w:after="240"/>
        <w:rPr>
          <w:rFonts w:eastAsia="Arial Unicode MS"/>
          <w:noProof/>
        </w:rPr>
      </w:pPr>
      <w:r w:rsidRPr="009D3601">
        <w:rPr>
          <w:noProof/>
        </w:rPr>
        <w:t xml:space="preserve">Целта на предложената мярка е да се отменят визовите мерки, като се признае постигнатият от Етиопия съществен и устойчив напредък в сътрудничеството, по-специално по отношение на установените недостатъци и интензивността на усилията. Мярката е пропорционална на поставената цел. </w:t>
      </w:r>
    </w:p>
    <w:p w:rsidR="00C97833" w:rsidRPr="009D3601" w:rsidRDefault="00C97833">
      <w:pPr>
        <w:pStyle w:val="ManualHeading1"/>
        <w:rPr>
          <w:noProof/>
        </w:rPr>
      </w:pPr>
      <w:r w:rsidRPr="009D3601">
        <w:rPr>
          <w:noProof/>
        </w:rPr>
        <w:t>3.</w:t>
      </w:r>
      <w:r w:rsidRPr="009D3601">
        <w:rPr>
          <w:noProof/>
        </w:rPr>
        <w:tab/>
        <w:t>РЕЗУЛТАТИ ОТ ПОСЛЕДВАЩИТЕ ОЦЕНКИ, КОНСУЛТАЦИИТЕ СЪС ЗАИНТЕРЕСОВАНИТЕ СТРАНИ И ОЦЕНКИТЕ НА ВЪЗДЕЙСТВИЕТО</w:t>
      </w:r>
    </w:p>
    <w:p w:rsidR="00C97833" w:rsidRPr="009D3601" w:rsidRDefault="00C97833">
      <w:pPr>
        <w:pStyle w:val="ManualHeading2"/>
        <w:rPr>
          <w:rFonts w:eastAsia="Arial Unicode MS"/>
          <w:noProof/>
          <w:u w:color="000000"/>
          <w:bdr w:val="nil"/>
        </w:rPr>
      </w:pPr>
      <w:r w:rsidRPr="009D3601">
        <w:rPr>
          <w:noProof/>
          <w:u w:color="000000"/>
          <w:bdr w:val="nil"/>
        </w:rPr>
        <w:t>•</w:t>
      </w:r>
      <w:r w:rsidRPr="009D3601">
        <w:rPr>
          <w:noProof/>
        </w:rPr>
        <w:tab/>
      </w:r>
      <w:r w:rsidRPr="009D3601">
        <w:rPr>
          <w:noProof/>
          <w:u w:color="000000"/>
          <w:bdr w:val="nil"/>
        </w:rPr>
        <w:t>Последващи оценки/проверки за пригодност на действащото законодателство</w:t>
      </w:r>
    </w:p>
    <w:p w:rsidR="00C97833" w:rsidRPr="009D3601" w:rsidRDefault="00D43783" w:rsidP="00D43783">
      <w:pPr>
        <w:pBdr>
          <w:top w:val="nil"/>
          <w:left w:val="nil"/>
          <w:bottom w:val="nil"/>
          <w:right w:val="nil"/>
          <w:between w:val="nil"/>
          <w:bar w:val="nil"/>
        </w:pBdr>
        <w:spacing w:before="0" w:after="240"/>
        <w:rPr>
          <w:rFonts w:eastAsia="Arial Unicode MS"/>
          <w:noProof/>
        </w:rPr>
      </w:pPr>
      <w:r w:rsidRPr="009D3601">
        <w:rPr>
          <w:noProof/>
        </w:rPr>
        <w:t xml:space="preserve">Не се прилага. </w:t>
      </w:r>
    </w:p>
    <w:p w:rsidR="00C97833" w:rsidRPr="009D3601" w:rsidRDefault="00C97833">
      <w:pPr>
        <w:pStyle w:val="ManualHeading2"/>
        <w:rPr>
          <w:rFonts w:eastAsia="Arial Unicode MS"/>
          <w:noProof/>
          <w:u w:color="000000"/>
          <w:bdr w:val="nil"/>
        </w:rPr>
      </w:pPr>
      <w:r w:rsidRPr="009D3601">
        <w:rPr>
          <w:noProof/>
          <w:u w:color="000000"/>
          <w:bdr w:val="nil"/>
        </w:rPr>
        <w:t>•</w:t>
      </w:r>
      <w:r w:rsidRPr="009D3601">
        <w:rPr>
          <w:noProof/>
        </w:rPr>
        <w:tab/>
      </w:r>
      <w:r w:rsidRPr="009D3601">
        <w:rPr>
          <w:noProof/>
          <w:u w:color="000000"/>
          <w:bdr w:val="nil"/>
        </w:rPr>
        <w:t>Консултации със заинтересованите страни</w:t>
      </w:r>
    </w:p>
    <w:p w:rsidR="00C97833" w:rsidRPr="009D3601" w:rsidRDefault="00D43783" w:rsidP="00D43783">
      <w:pPr>
        <w:pBdr>
          <w:top w:val="nil"/>
          <w:left w:val="nil"/>
          <w:bottom w:val="nil"/>
          <w:right w:val="nil"/>
          <w:between w:val="nil"/>
          <w:bar w:val="nil"/>
        </w:pBdr>
        <w:spacing w:before="0" w:after="240"/>
        <w:rPr>
          <w:rFonts w:eastAsia="Arial Unicode MS"/>
          <w:noProof/>
        </w:rPr>
      </w:pPr>
      <w:r w:rsidRPr="009D3601">
        <w:rPr>
          <w:noProof/>
        </w:rPr>
        <w:t xml:space="preserve">Не се прилага. </w:t>
      </w:r>
    </w:p>
    <w:p w:rsidR="00C97833" w:rsidRPr="009D3601" w:rsidRDefault="00C97833">
      <w:pPr>
        <w:pStyle w:val="ManualHeading2"/>
        <w:rPr>
          <w:rFonts w:eastAsia="Arial Unicode MS"/>
          <w:noProof/>
          <w:u w:color="000000"/>
          <w:bdr w:val="nil"/>
        </w:rPr>
      </w:pPr>
      <w:r w:rsidRPr="009D3601">
        <w:rPr>
          <w:noProof/>
          <w:u w:color="000000"/>
          <w:bdr w:val="nil"/>
        </w:rPr>
        <w:t>•</w:t>
      </w:r>
      <w:r w:rsidRPr="009D3601">
        <w:rPr>
          <w:noProof/>
        </w:rPr>
        <w:tab/>
      </w:r>
      <w:r w:rsidRPr="009D3601">
        <w:rPr>
          <w:noProof/>
          <w:u w:color="000000"/>
          <w:bdr w:val="nil"/>
        </w:rPr>
        <w:t>Събиране и използване на експертни становища</w:t>
      </w:r>
    </w:p>
    <w:p w:rsidR="00C97833" w:rsidRPr="009D3601" w:rsidRDefault="00D43783" w:rsidP="00D43783">
      <w:pPr>
        <w:pBdr>
          <w:top w:val="nil"/>
          <w:left w:val="nil"/>
          <w:bottom w:val="nil"/>
          <w:right w:val="nil"/>
          <w:between w:val="nil"/>
          <w:bar w:val="nil"/>
        </w:pBdr>
        <w:spacing w:before="0" w:after="240"/>
        <w:rPr>
          <w:rFonts w:eastAsia="Arial Unicode MS"/>
          <w:noProof/>
        </w:rPr>
      </w:pPr>
      <w:r w:rsidRPr="009D3601">
        <w:rPr>
          <w:noProof/>
        </w:rPr>
        <w:t xml:space="preserve">Не се прилага. </w:t>
      </w:r>
    </w:p>
    <w:p w:rsidR="00C97833" w:rsidRPr="009D3601" w:rsidRDefault="00C97833">
      <w:pPr>
        <w:pStyle w:val="ManualHeading2"/>
        <w:rPr>
          <w:rFonts w:eastAsia="Arial Unicode MS"/>
          <w:noProof/>
          <w:u w:color="000000"/>
          <w:bdr w:val="nil"/>
        </w:rPr>
      </w:pPr>
      <w:r w:rsidRPr="009D3601">
        <w:rPr>
          <w:noProof/>
          <w:u w:color="000000"/>
          <w:bdr w:val="nil"/>
        </w:rPr>
        <w:t>•</w:t>
      </w:r>
      <w:r w:rsidRPr="009D3601">
        <w:rPr>
          <w:noProof/>
        </w:rPr>
        <w:tab/>
      </w:r>
      <w:r w:rsidRPr="009D3601">
        <w:rPr>
          <w:noProof/>
          <w:u w:color="000000"/>
          <w:bdr w:val="nil"/>
        </w:rPr>
        <w:t>Оценка на въздействието</w:t>
      </w:r>
    </w:p>
    <w:p w:rsidR="00C97833" w:rsidRPr="009D3601" w:rsidRDefault="00D43783" w:rsidP="00D43783">
      <w:pPr>
        <w:pBdr>
          <w:top w:val="nil"/>
          <w:left w:val="nil"/>
          <w:bottom w:val="nil"/>
          <w:right w:val="nil"/>
          <w:between w:val="nil"/>
          <w:bar w:val="nil"/>
        </w:pBdr>
        <w:spacing w:before="0" w:after="240"/>
        <w:rPr>
          <w:rFonts w:eastAsia="Arial Unicode MS"/>
          <w:noProof/>
        </w:rPr>
      </w:pPr>
      <w:r w:rsidRPr="009D3601">
        <w:rPr>
          <w:noProof/>
        </w:rPr>
        <w:t xml:space="preserve">Не се прилага. </w:t>
      </w:r>
    </w:p>
    <w:p w:rsidR="00C97833" w:rsidRPr="009D3601" w:rsidRDefault="00C97833">
      <w:pPr>
        <w:pStyle w:val="ManualHeading2"/>
        <w:rPr>
          <w:rFonts w:eastAsia="Arial Unicode MS"/>
          <w:noProof/>
          <w:u w:color="000000"/>
          <w:bdr w:val="nil"/>
        </w:rPr>
      </w:pPr>
      <w:r w:rsidRPr="009D3601">
        <w:rPr>
          <w:noProof/>
          <w:u w:color="000000"/>
          <w:bdr w:val="nil"/>
        </w:rPr>
        <w:t>•</w:t>
      </w:r>
      <w:r w:rsidRPr="009D3601">
        <w:rPr>
          <w:noProof/>
        </w:rPr>
        <w:tab/>
      </w:r>
      <w:r w:rsidRPr="009D3601">
        <w:rPr>
          <w:noProof/>
          <w:u w:color="000000"/>
          <w:bdr w:val="nil"/>
        </w:rPr>
        <w:t>Пригодност и опростяване на законодателството</w:t>
      </w:r>
    </w:p>
    <w:p w:rsidR="00C97833" w:rsidRPr="009D3601" w:rsidRDefault="00D43783" w:rsidP="00D43783">
      <w:pPr>
        <w:pBdr>
          <w:top w:val="nil"/>
          <w:left w:val="nil"/>
          <w:bottom w:val="nil"/>
          <w:right w:val="nil"/>
          <w:between w:val="nil"/>
          <w:bar w:val="nil"/>
        </w:pBdr>
        <w:spacing w:before="0" w:after="240"/>
        <w:rPr>
          <w:rFonts w:eastAsia="Arial Unicode MS"/>
          <w:noProof/>
        </w:rPr>
      </w:pPr>
      <w:r w:rsidRPr="009D3601">
        <w:rPr>
          <w:noProof/>
        </w:rPr>
        <w:t xml:space="preserve">Не се прилага. </w:t>
      </w:r>
    </w:p>
    <w:p w:rsidR="00C97833" w:rsidRPr="009D3601" w:rsidRDefault="00C97833">
      <w:pPr>
        <w:pStyle w:val="ManualHeading2"/>
        <w:rPr>
          <w:rFonts w:eastAsia="Arial Unicode MS"/>
          <w:noProof/>
          <w:u w:color="000000"/>
          <w:bdr w:val="nil"/>
        </w:rPr>
      </w:pPr>
      <w:r w:rsidRPr="009D3601">
        <w:rPr>
          <w:noProof/>
          <w:u w:color="000000"/>
          <w:bdr w:val="nil"/>
        </w:rPr>
        <w:t>•</w:t>
      </w:r>
      <w:r w:rsidRPr="009D3601">
        <w:rPr>
          <w:noProof/>
        </w:rPr>
        <w:tab/>
      </w:r>
      <w:r w:rsidRPr="009D3601">
        <w:rPr>
          <w:noProof/>
          <w:u w:color="000000"/>
          <w:bdr w:val="nil"/>
        </w:rPr>
        <w:t>Основни права</w:t>
      </w:r>
    </w:p>
    <w:p w:rsidR="00C97833" w:rsidRPr="009D3601" w:rsidRDefault="007F28C2" w:rsidP="00D43783">
      <w:pPr>
        <w:pBdr>
          <w:top w:val="nil"/>
          <w:left w:val="nil"/>
          <w:bottom w:val="nil"/>
          <w:right w:val="nil"/>
          <w:between w:val="nil"/>
          <w:bar w:val="nil"/>
        </w:pBdr>
        <w:spacing w:before="0" w:after="240"/>
        <w:rPr>
          <w:rFonts w:eastAsia="Arial Unicode MS"/>
          <w:noProof/>
        </w:rPr>
      </w:pPr>
      <w:r w:rsidRPr="009D3601">
        <w:rPr>
          <w:noProof/>
        </w:rPr>
        <w:t xml:space="preserve">Отмяната на визовите мерки означава, че заявленията за издаване на виза отново ще бъдат обработвани съгласно стандартните правила на Визовия кодекс, поради което основните права няма да бъдат засегнати. </w:t>
      </w:r>
    </w:p>
    <w:p w:rsidR="00C97833" w:rsidRPr="009D3601" w:rsidRDefault="00C97833">
      <w:pPr>
        <w:pStyle w:val="ManualHeading1"/>
        <w:rPr>
          <w:noProof/>
        </w:rPr>
      </w:pPr>
      <w:r w:rsidRPr="009D3601">
        <w:rPr>
          <w:noProof/>
        </w:rPr>
        <w:t>4.</w:t>
      </w:r>
      <w:r w:rsidRPr="009D3601">
        <w:rPr>
          <w:noProof/>
        </w:rPr>
        <w:tab/>
        <w:t>ОТРАЖЕНИЕ ВЪРХУ БЮДЖЕТА</w:t>
      </w:r>
    </w:p>
    <w:p w:rsidR="00C97833" w:rsidRPr="009D3601" w:rsidRDefault="00D43783" w:rsidP="00D43783">
      <w:pPr>
        <w:pBdr>
          <w:top w:val="nil"/>
          <w:left w:val="nil"/>
          <w:bottom w:val="nil"/>
          <w:right w:val="nil"/>
          <w:between w:val="nil"/>
          <w:bar w:val="nil"/>
        </w:pBdr>
        <w:spacing w:before="0" w:after="240"/>
        <w:rPr>
          <w:rFonts w:eastAsia="Arial Unicode MS"/>
          <w:noProof/>
        </w:rPr>
      </w:pPr>
      <w:r w:rsidRPr="009D3601">
        <w:rPr>
          <w:noProof/>
        </w:rPr>
        <w:t xml:space="preserve">Не се прилага. </w:t>
      </w:r>
    </w:p>
    <w:p w:rsidR="00C97833" w:rsidRPr="009D3601" w:rsidRDefault="00C97833">
      <w:pPr>
        <w:pStyle w:val="ManualHeading1"/>
        <w:rPr>
          <w:noProof/>
        </w:rPr>
      </w:pPr>
      <w:r w:rsidRPr="009D3601">
        <w:rPr>
          <w:noProof/>
        </w:rPr>
        <w:t>5.</w:t>
      </w:r>
      <w:r w:rsidRPr="009D3601">
        <w:rPr>
          <w:noProof/>
        </w:rPr>
        <w:tab/>
        <w:t>ДРУГИ ЕЛЕМЕНТИ</w:t>
      </w:r>
    </w:p>
    <w:p w:rsidR="00C97833" w:rsidRPr="009D3601" w:rsidRDefault="00C97833">
      <w:pPr>
        <w:pStyle w:val="ManualHeading2"/>
        <w:rPr>
          <w:rFonts w:eastAsia="Arial Unicode MS"/>
          <w:noProof/>
          <w:u w:color="000000"/>
          <w:bdr w:val="nil"/>
        </w:rPr>
      </w:pPr>
      <w:r w:rsidRPr="009D3601">
        <w:rPr>
          <w:noProof/>
          <w:u w:color="000000"/>
          <w:bdr w:val="nil"/>
        </w:rPr>
        <w:t>•</w:t>
      </w:r>
      <w:r w:rsidRPr="009D3601">
        <w:rPr>
          <w:noProof/>
        </w:rPr>
        <w:tab/>
      </w:r>
      <w:r w:rsidRPr="009D3601">
        <w:rPr>
          <w:noProof/>
          <w:u w:color="000000"/>
          <w:bdr w:val="nil"/>
        </w:rPr>
        <w:t>Планове за изпълнение и механизъм за мониторинг, оценка и докладване</w:t>
      </w:r>
    </w:p>
    <w:p w:rsidR="00C97833" w:rsidRPr="009D3601" w:rsidRDefault="00D43783" w:rsidP="00D43783">
      <w:pPr>
        <w:pBdr>
          <w:top w:val="nil"/>
          <w:left w:val="nil"/>
          <w:bottom w:val="nil"/>
          <w:right w:val="nil"/>
          <w:between w:val="nil"/>
          <w:bar w:val="nil"/>
        </w:pBdr>
        <w:spacing w:before="0" w:after="240"/>
        <w:rPr>
          <w:rFonts w:eastAsia="Arial Unicode MS"/>
          <w:noProof/>
        </w:rPr>
      </w:pPr>
      <w:r w:rsidRPr="009D3601">
        <w:rPr>
          <w:noProof/>
        </w:rPr>
        <w:t xml:space="preserve">Не се прилага. </w:t>
      </w:r>
    </w:p>
    <w:p w:rsidR="00C97833" w:rsidRPr="009D3601" w:rsidRDefault="00C97833">
      <w:pPr>
        <w:pStyle w:val="ManualHeading2"/>
        <w:rPr>
          <w:rFonts w:eastAsia="Arial Unicode MS"/>
          <w:noProof/>
          <w:u w:color="000000"/>
          <w:bdr w:val="nil"/>
        </w:rPr>
      </w:pPr>
      <w:r w:rsidRPr="009D3601">
        <w:rPr>
          <w:noProof/>
          <w:u w:color="000000"/>
          <w:bdr w:val="nil"/>
        </w:rPr>
        <w:t>•</w:t>
      </w:r>
      <w:r w:rsidRPr="009D3601">
        <w:rPr>
          <w:noProof/>
        </w:rPr>
        <w:tab/>
      </w:r>
      <w:r w:rsidRPr="009D3601">
        <w:rPr>
          <w:noProof/>
          <w:u w:color="000000"/>
          <w:bdr w:val="nil"/>
        </w:rPr>
        <w:t>Обяснителни документи (за директивите)</w:t>
      </w:r>
    </w:p>
    <w:p w:rsidR="00C97833" w:rsidRPr="009D3601" w:rsidRDefault="00D43783" w:rsidP="00D43783">
      <w:pPr>
        <w:pBdr>
          <w:top w:val="nil"/>
          <w:left w:val="nil"/>
          <w:bottom w:val="nil"/>
          <w:right w:val="nil"/>
          <w:between w:val="nil"/>
          <w:bar w:val="nil"/>
        </w:pBdr>
        <w:spacing w:before="0" w:after="240"/>
        <w:rPr>
          <w:rFonts w:eastAsia="Arial Unicode MS"/>
          <w:noProof/>
        </w:rPr>
      </w:pPr>
      <w:r w:rsidRPr="009D3601">
        <w:rPr>
          <w:noProof/>
        </w:rPr>
        <w:t xml:space="preserve">Не се прилага. </w:t>
      </w:r>
    </w:p>
    <w:p w:rsidR="00C97833" w:rsidRPr="009D3601" w:rsidRDefault="00C97833">
      <w:pPr>
        <w:pStyle w:val="ManualHeading2"/>
        <w:rPr>
          <w:rFonts w:eastAsia="Arial Unicode MS"/>
          <w:noProof/>
          <w:u w:color="000000"/>
          <w:bdr w:val="nil"/>
        </w:rPr>
      </w:pPr>
      <w:r w:rsidRPr="009D3601">
        <w:rPr>
          <w:noProof/>
          <w:u w:color="000000"/>
          <w:bdr w:val="nil"/>
        </w:rPr>
        <w:t>•</w:t>
      </w:r>
      <w:r w:rsidRPr="009D3601">
        <w:rPr>
          <w:noProof/>
        </w:rPr>
        <w:tab/>
      </w:r>
      <w:r w:rsidRPr="009D3601">
        <w:rPr>
          <w:noProof/>
          <w:u w:color="000000"/>
          <w:bdr w:val="nil"/>
        </w:rPr>
        <w:t>Подробно разяснение на отделните разпоредби на предложението</w:t>
      </w:r>
    </w:p>
    <w:p w:rsidR="00270553" w:rsidRPr="009D3601" w:rsidRDefault="00270553" w:rsidP="00270553">
      <w:pPr>
        <w:pBdr>
          <w:top w:val="nil"/>
          <w:left w:val="nil"/>
          <w:bottom w:val="nil"/>
          <w:right w:val="nil"/>
          <w:between w:val="nil"/>
          <w:bar w:val="nil"/>
        </w:pBdr>
        <w:spacing w:before="0" w:after="240"/>
        <w:rPr>
          <w:rFonts w:eastAsia="Arial Unicode MS"/>
          <w:noProof/>
        </w:rPr>
      </w:pPr>
      <w:r w:rsidRPr="009D3601">
        <w:rPr>
          <w:noProof/>
        </w:rPr>
        <w:t xml:space="preserve">В </w:t>
      </w:r>
      <w:r w:rsidRPr="009D3601">
        <w:rPr>
          <w:i/>
          <w:iCs/>
          <w:noProof/>
        </w:rPr>
        <w:t>член 1</w:t>
      </w:r>
      <w:r w:rsidRPr="009D3601">
        <w:rPr>
          <w:noProof/>
        </w:rPr>
        <w:t xml:space="preserve"> се посочва, че Решение за изпълнение (ЕС) </w:t>
      </w:r>
      <w:bookmarkStart w:id="1" w:name="_Hlk215485218"/>
      <w:r w:rsidRPr="009D3601">
        <w:rPr>
          <w:noProof/>
        </w:rPr>
        <w:t>2024/1341</w:t>
      </w:r>
      <w:bookmarkEnd w:id="1"/>
      <w:r w:rsidRPr="009D3601">
        <w:rPr>
          <w:noProof/>
        </w:rPr>
        <w:t xml:space="preserve"> на Съвета от 29 април 2024 г. за спиране на прилагането на някои разпоредби на Регламент (ЕО) № 810/2009 по отношение на Етиопия се отменя. </w:t>
      </w:r>
    </w:p>
    <w:p w:rsidR="00C97833" w:rsidRPr="009D3601" w:rsidRDefault="00270553" w:rsidP="00465AAF">
      <w:pPr>
        <w:pBdr>
          <w:top w:val="nil"/>
          <w:left w:val="nil"/>
          <w:bottom w:val="nil"/>
          <w:right w:val="nil"/>
          <w:between w:val="nil"/>
          <w:bar w:val="nil"/>
        </w:pBdr>
        <w:spacing w:before="0" w:after="240"/>
        <w:rPr>
          <w:noProof/>
        </w:rPr>
      </w:pPr>
      <w:r w:rsidRPr="009D3601">
        <w:rPr>
          <w:noProof/>
        </w:rPr>
        <w:t xml:space="preserve">В </w:t>
      </w:r>
      <w:r w:rsidRPr="009D3601">
        <w:rPr>
          <w:i/>
          <w:iCs/>
          <w:noProof/>
        </w:rPr>
        <w:t>член 2</w:t>
      </w:r>
      <w:r w:rsidRPr="009D3601">
        <w:rPr>
          <w:noProof/>
        </w:rPr>
        <w:t xml:space="preserve"> се съдържа списък на адресатите на предложеното решение, т.е. съответните държави членки.</w:t>
      </w:r>
    </w:p>
    <w:p w:rsidR="00C97833" w:rsidRPr="009D3601" w:rsidRDefault="00C97833">
      <w:pPr>
        <w:rPr>
          <w:noProof/>
        </w:rPr>
        <w:sectPr w:rsidR="00C97833" w:rsidRPr="009D3601" w:rsidSect="00D21F74">
          <w:headerReference w:type="even" r:id="rId11"/>
          <w:footerReference w:type="even" r:id="rId12"/>
          <w:footerReference w:type="default" r:id="rId13"/>
          <w:headerReference w:type="first" r:id="rId14"/>
          <w:footerReference w:type="first" r:id="rId15"/>
          <w:pgSz w:w="11907" w:h="16839"/>
          <w:pgMar w:top="1134" w:right="1417" w:bottom="1134" w:left="1417" w:header="709" w:footer="709" w:gutter="0"/>
          <w:cols w:space="708"/>
          <w:docGrid w:linePitch="360"/>
        </w:sectPr>
      </w:pPr>
    </w:p>
    <w:p w:rsidR="00D07EEB" w:rsidRDefault="004D3319">
      <w:pPr>
        <w:pStyle w:val="Rfrenceinterinstitutionnelle"/>
        <w:rPr>
          <w:noProof/>
        </w:rPr>
      </w:pPr>
      <w:r>
        <w:rPr>
          <w:noProof/>
        </w:rPr>
        <w:t>2026/0092 (NLE)</w:t>
      </w:r>
    </w:p>
    <w:p w:rsidR="00C97833" w:rsidRPr="009D3601" w:rsidRDefault="009D3601" w:rsidP="009D3601">
      <w:pPr>
        <w:pStyle w:val="Statut"/>
        <w:rPr>
          <w:noProof/>
        </w:rPr>
      </w:pPr>
      <w:r w:rsidRPr="009D3601">
        <w:rPr>
          <w:noProof/>
        </w:rPr>
        <w:t>Предложение за</w:t>
      </w:r>
    </w:p>
    <w:p w:rsidR="00C97833" w:rsidRPr="009D3601" w:rsidRDefault="009D3601" w:rsidP="009D3601">
      <w:pPr>
        <w:pStyle w:val="Typedudocument"/>
        <w:rPr>
          <w:noProof/>
        </w:rPr>
      </w:pPr>
      <w:r w:rsidRPr="009D3601">
        <w:rPr>
          <w:noProof/>
        </w:rPr>
        <w:t>РЕШЕНИЕ ЗА ИЗПЪЛНЕНИЕ НА СЪВЕТА</w:t>
      </w:r>
    </w:p>
    <w:p w:rsidR="00C97833" w:rsidRPr="009D3601" w:rsidRDefault="009D3601" w:rsidP="009D3601">
      <w:pPr>
        <w:pStyle w:val="Titreobjet"/>
        <w:rPr>
          <w:noProof/>
        </w:rPr>
      </w:pPr>
      <w:r w:rsidRPr="009D3601">
        <w:rPr>
          <w:noProof/>
        </w:rPr>
        <w:t xml:space="preserve">за отмяна на Решение за изпълнение (ЕС) 2024/1341 на Съвета за спиране на прилагането на някои разпоредби на Регламент (ЕО) № 810/2009 на Европейския парламент и на Съвета по отношение на Етиопия </w:t>
      </w:r>
      <w:r w:rsidRPr="009D3601">
        <w:rPr>
          <w:noProof/>
        </w:rPr>
        <w:br/>
      </w:r>
    </w:p>
    <w:p w:rsidR="00C97833" w:rsidRPr="009D3601" w:rsidRDefault="00C97833">
      <w:pPr>
        <w:pStyle w:val="Institutionquiagit"/>
        <w:rPr>
          <w:noProof/>
        </w:rPr>
      </w:pPr>
      <w:r w:rsidRPr="009D3601">
        <w:rPr>
          <w:noProof/>
        </w:rPr>
        <w:t>СЪВЕТЪТ НА ЕВРОПЕЙСКИЯ СЪЮЗ,</w:t>
      </w:r>
    </w:p>
    <w:p w:rsidR="00C97833" w:rsidRPr="009D3601" w:rsidRDefault="00C97833">
      <w:pPr>
        <w:rPr>
          <w:noProof/>
        </w:rPr>
      </w:pPr>
      <w:r w:rsidRPr="009D3601">
        <w:rPr>
          <w:noProof/>
        </w:rPr>
        <w:t xml:space="preserve">като взе предвид Договора за функционирането на Европейския съюз, </w:t>
      </w:r>
    </w:p>
    <w:p w:rsidR="00C97833" w:rsidRPr="009D3601" w:rsidRDefault="00C97833" w:rsidP="00EA1A11">
      <w:pPr>
        <w:rPr>
          <w:noProof/>
        </w:rPr>
      </w:pPr>
      <w:r w:rsidRPr="009D3601">
        <w:rPr>
          <w:noProof/>
        </w:rPr>
        <w:t>като взе предвид Регламент (ЕО) № 810/2009 на Европейския парламент и на Съвета от 13 юли 2009 г. за създаване на Визов кодекс на Общността (Визов кодекс)</w:t>
      </w:r>
      <w:r w:rsidRPr="009D3601">
        <w:rPr>
          <w:rStyle w:val="FootnoteReference"/>
          <w:noProof/>
        </w:rPr>
        <w:footnoteReference w:id="6"/>
      </w:r>
      <w:r w:rsidRPr="009D3601">
        <w:rPr>
          <w:noProof/>
        </w:rPr>
        <w:t xml:space="preserve">, и по-специално член 25а, параграф 6 от него, </w:t>
      </w:r>
    </w:p>
    <w:p w:rsidR="00C97833" w:rsidRPr="009D3601" w:rsidRDefault="00C97833">
      <w:pPr>
        <w:rPr>
          <w:noProof/>
        </w:rPr>
      </w:pPr>
      <w:r w:rsidRPr="009D3601">
        <w:rPr>
          <w:noProof/>
        </w:rPr>
        <w:t>като взе предвид предложението на Европейската комисия,</w:t>
      </w:r>
    </w:p>
    <w:p w:rsidR="00C97833" w:rsidRPr="009D3601" w:rsidRDefault="00C97833">
      <w:pPr>
        <w:rPr>
          <w:noProof/>
        </w:rPr>
      </w:pPr>
      <w:r w:rsidRPr="009D3601">
        <w:rPr>
          <w:noProof/>
        </w:rPr>
        <w:t>като има предвид, че:</w:t>
      </w:r>
    </w:p>
    <w:p w:rsidR="00AC557F" w:rsidRPr="009D3601" w:rsidRDefault="00EF6A0C" w:rsidP="00140FFE">
      <w:pPr>
        <w:pStyle w:val="ManualConsidrant"/>
        <w:rPr>
          <w:noProof/>
        </w:rPr>
      </w:pPr>
      <w:r>
        <w:rPr>
          <w:noProof/>
        </w:rPr>
        <w:t>(1)</w:t>
      </w:r>
      <w:r>
        <w:rPr>
          <w:noProof/>
        </w:rPr>
        <w:tab/>
      </w:r>
      <w:r w:rsidRPr="009D3601">
        <w:rPr>
          <w:noProof/>
        </w:rPr>
        <w:t>Сътрудничеството с Етиопия във връзка с обратното приемане през 2022 г. беше оценено като недостатъчно в съответствие с член 25а, параграф 2 от Регламент (ЕО) № 810/2009. Бяха необходими значителни подобрения в сътрудничеството на всички етапи от процеса на обратно приемане, включително за да се гарантира, че в областта на установяването на самоличността и издаването на документи за задгранично пътуване, както и при операциите по връщане, Етиопия си сътрудничи ефективно с всички държави членки по навременен и предвидим начин.</w:t>
      </w:r>
    </w:p>
    <w:p w:rsidR="00C97833" w:rsidRPr="009D3601" w:rsidRDefault="001D1F8B" w:rsidP="00140FFE">
      <w:pPr>
        <w:pStyle w:val="ManualConsidrant"/>
        <w:rPr>
          <w:noProof/>
        </w:rPr>
      </w:pPr>
      <w:r>
        <w:rPr>
          <w:noProof/>
        </w:rPr>
        <w:t>(2)</w:t>
      </w:r>
      <w:r>
        <w:rPr>
          <w:noProof/>
        </w:rPr>
        <w:tab/>
      </w:r>
      <w:r w:rsidRPr="009D3601">
        <w:rPr>
          <w:noProof/>
        </w:rPr>
        <w:t>Като се имат предвид предприетите от Комисията стъпки за подобряване на степента на сътрудничество и цялостните отношения на Съюза с Етиопия, беше счетено, че е необходимо да се предприемат действия от страна на Съюза.</w:t>
      </w:r>
    </w:p>
    <w:p w:rsidR="00721BE4" w:rsidRPr="009D3601" w:rsidRDefault="00721BE4" w:rsidP="00721BE4">
      <w:pPr>
        <w:pStyle w:val="ManualConsidrant"/>
        <w:rPr>
          <w:noProof/>
        </w:rPr>
      </w:pPr>
      <w:r>
        <w:rPr>
          <w:noProof/>
        </w:rPr>
        <w:t>(3)</w:t>
      </w:r>
      <w:r>
        <w:rPr>
          <w:noProof/>
        </w:rPr>
        <w:tab/>
      </w:r>
      <w:r w:rsidRPr="009D3601">
        <w:rPr>
          <w:noProof/>
        </w:rPr>
        <w:t>С Решение за изпълнение (ЕС) 2024/1341 на Съвета</w:t>
      </w:r>
      <w:r w:rsidRPr="009D3601">
        <w:rPr>
          <w:rStyle w:val="FootnoteReference"/>
          <w:noProof/>
        </w:rPr>
        <w:footnoteReference w:id="7"/>
      </w:r>
      <w:r w:rsidRPr="009D3601">
        <w:rPr>
          <w:noProof/>
        </w:rPr>
        <w:t xml:space="preserve"> временно бе спряно прилагането на някои разпоредби на Регламент (ЕО) № 810/2009 по отношение на гражданите на Етиопия. Целта бе Етиопия да бъде насърчена да предприеме необходимите действия за подобряване на сътрудничеството във връзка с обратното приемане.</w:t>
      </w:r>
    </w:p>
    <w:p w:rsidR="00AC557F" w:rsidRPr="009D3601" w:rsidRDefault="00AC557F" w:rsidP="00721BE4">
      <w:pPr>
        <w:pStyle w:val="ManualConsidrant"/>
        <w:rPr>
          <w:noProof/>
        </w:rPr>
      </w:pPr>
      <w:r>
        <w:rPr>
          <w:noProof/>
        </w:rPr>
        <w:t>(4)</w:t>
      </w:r>
      <w:r>
        <w:rPr>
          <w:noProof/>
        </w:rPr>
        <w:tab/>
      </w:r>
      <w:r w:rsidRPr="009D3601">
        <w:rPr>
          <w:noProof/>
        </w:rPr>
        <w:t>Временно спрените разпоредби бяха посочените в член 25а, параграф 5, буква а) от Регламент (ЕО) № 810/2009: спиране на прилагането на предвидената в член 14, параграф 6 възможност за освобождаване от изискванията по отношение на документните доказателства, които трябва да бъдат представени от кандидатите за виза, спиране на общия срок за обработване от 15 календарни дни, посочен в член 23, параграф 1 (като в резултат на това се изключва и прилагането на правилото, позволяващо удължаването на този срок до 45 дни само в отделни случаи, което означава, че стандартният срок за обработване става 45 дни), спиране на издаването на многократни визи в съответствие с член 24, параграфи 2 и 2в и спиране на незадължителното освобождаване от визова такса за притежателите на дипломатически и служебни паспорти в съответствие с член 16, параграф 5, буква б).</w:t>
      </w:r>
    </w:p>
    <w:p w:rsidR="00961DD5" w:rsidRPr="009D3601" w:rsidRDefault="00C724BB" w:rsidP="00961DD5">
      <w:pPr>
        <w:pStyle w:val="ManualConsidrant"/>
        <w:rPr>
          <w:noProof/>
        </w:rPr>
      </w:pPr>
      <w:r>
        <w:rPr>
          <w:noProof/>
        </w:rPr>
        <w:t>(5)</w:t>
      </w:r>
      <w:r>
        <w:rPr>
          <w:noProof/>
        </w:rPr>
        <w:tab/>
      </w:r>
      <w:r w:rsidRPr="009D3601">
        <w:rPr>
          <w:noProof/>
        </w:rPr>
        <w:t>Постоянната оценка на Комисията на сътрудничеството на Етиопия в областта на обратното приемане след влизането в сила на Решение за изпълнение (ЕС) 2024/1341 на Съвета показва, че може да се постигне съществено и устойчиво подобрение в сътрудничеството във връзка с приемане при установяването на самоличността на граждани на Етиопия, които пребивават незаконно на територията на държавите членки, при издаването на временни документи за пътуване и при редовното организиране на операции по връщане. Поради това вече не е необходимо да се прилагат визови мерки за гражданите на Етиопия и Решение за изпълнение (ЕС) 2024/1341 следва да бъде отменено.</w:t>
      </w:r>
    </w:p>
    <w:p w:rsidR="004D1D6E" w:rsidRPr="009D3601" w:rsidRDefault="004D1D6E" w:rsidP="00C313A6">
      <w:pPr>
        <w:pStyle w:val="ManualConsidrant"/>
        <w:rPr>
          <w:noProof/>
        </w:rPr>
      </w:pPr>
      <w:r>
        <w:rPr>
          <w:noProof/>
        </w:rPr>
        <w:t>(6)</w:t>
      </w:r>
      <w:r>
        <w:rPr>
          <w:noProof/>
        </w:rPr>
        <w:tab/>
      </w:r>
      <w:r w:rsidRPr="009D3601">
        <w:rPr>
          <w:noProof/>
        </w:rPr>
        <w:t>В съответствие с членове 1 и 2 от Протокол № 22 относно позицията на Дания, приложен към Договора за Европейския съюз и към Договора за функционирането на Европейския съюз, Дания не участва в приемането на настоящото решение и не е обвързана от него, нито от неговото прилагане. Доколкото настоящото решение представлява развитие на достиженията на правото от Шенген, в срок от шест месеца след вземането на решение от Съвета относно настоящото решение Дания взема решение, в съответствие с член 4 от посочения протокол, дали да го въведе в националното си право.</w:t>
      </w:r>
    </w:p>
    <w:p w:rsidR="004D1D6E" w:rsidRPr="009D3601" w:rsidRDefault="004D1D6E" w:rsidP="00C313A6">
      <w:pPr>
        <w:pStyle w:val="ManualConsidrant"/>
        <w:rPr>
          <w:noProof/>
        </w:rPr>
      </w:pPr>
      <w:r>
        <w:rPr>
          <w:noProof/>
        </w:rPr>
        <w:t>(7)</w:t>
      </w:r>
      <w:r>
        <w:rPr>
          <w:noProof/>
        </w:rPr>
        <w:tab/>
      </w:r>
      <w:r w:rsidRPr="009D3601">
        <w:rPr>
          <w:noProof/>
        </w:rPr>
        <w:t>Настоящото решение представлява развитие на разпоредбите на достиженията на правото от Шенген, в които Ирландия не участва в съответствие с Решение 2002/192/ЕО на Съвета</w:t>
      </w:r>
      <w:r w:rsidRPr="009D3601">
        <w:rPr>
          <w:rStyle w:val="FootnoteReference"/>
          <w:noProof/>
        </w:rPr>
        <w:footnoteReference w:id="8"/>
      </w:r>
      <w:r w:rsidRPr="009D3601">
        <w:rPr>
          <w:noProof/>
        </w:rPr>
        <w:t>; следователно Ирландия не участва в приемането на настоящото решение и не е обвързана от него, нито от неговото прилагане.</w:t>
      </w:r>
    </w:p>
    <w:p w:rsidR="004D1D6E" w:rsidRPr="009D3601" w:rsidRDefault="004D1D6E" w:rsidP="00C313A6">
      <w:pPr>
        <w:pStyle w:val="ManualConsidrant"/>
        <w:rPr>
          <w:noProof/>
        </w:rPr>
      </w:pPr>
      <w:r>
        <w:rPr>
          <w:noProof/>
        </w:rPr>
        <w:t>(8)</w:t>
      </w:r>
      <w:r>
        <w:rPr>
          <w:noProof/>
        </w:rPr>
        <w:tab/>
      </w:r>
      <w:r w:rsidRPr="009D3601">
        <w:rPr>
          <w:noProof/>
        </w:rPr>
        <w:t>По отношение на Исландия и Норвегия настоящото решение представлява развитие на разпоредбите на достиженията на правото от Шенген по смисъла на Споразумението, сключено от Съвета на Европейския съюз, от една страна, и Република Исландия и Кралство Норвегия, от друга страна, за асоциирането на последните в процеса на изпълнение, прилагане и развитие на достиженията на правото от Шенген</w:t>
      </w:r>
      <w:r w:rsidRPr="009D3601">
        <w:rPr>
          <w:rStyle w:val="FootnoteReference"/>
          <w:noProof/>
        </w:rPr>
        <w:footnoteReference w:id="9"/>
      </w:r>
      <w:r w:rsidRPr="009D3601">
        <w:rPr>
          <w:noProof/>
        </w:rPr>
        <w:t>, които попадат в областта, посочена в член 1, буква Б от Решение 1999/437/ЕО на Съвета</w:t>
      </w:r>
      <w:r w:rsidRPr="009D3601">
        <w:rPr>
          <w:rStyle w:val="FootnoteReference"/>
          <w:noProof/>
        </w:rPr>
        <w:footnoteReference w:id="10"/>
      </w:r>
      <w:r w:rsidRPr="009D3601">
        <w:rPr>
          <w:noProof/>
        </w:rPr>
        <w:t>.</w:t>
      </w:r>
    </w:p>
    <w:p w:rsidR="004D1D6E" w:rsidRPr="009D3601" w:rsidRDefault="004D1D6E" w:rsidP="00C313A6">
      <w:pPr>
        <w:pStyle w:val="ManualConsidrant"/>
        <w:rPr>
          <w:noProof/>
        </w:rPr>
      </w:pPr>
      <w:r>
        <w:rPr>
          <w:noProof/>
        </w:rPr>
        <w:t>(9)</w:t>
      </w:r>
      <w:r>
        <w:rPr>
          <w:noProof/>
        </w:rPr>
        <w:tab/>
      </w:r>
      <w:r w:rsidRPr="009D3601">
        <w:rPr>
          <w:noProof/>
        </w:rPr>
        <w:t>По отношение на Швейцария настоящото решение представлява развитие на разпоредбите на достиженията на правото от Шенген по смисъла на Споразумението между Европейския съюз, Европейската общност и Конфедерация Швейцария относно асоциирането на Конфедерация Швейцария към изпълнението, прилагането и развитието на достиженията на правото от Шенген</w:t>
      </w:r>
      <w:r w:rsidRPr="009D3601">
        <w:rPr>
          <w:rStyle w:val="FootnoteReference"/>
          <w:noProof/>
        </w:rPr>
        <w:footnoteReference w:id="11"/>
      </w:r>
      <w:r w:rsidRPr="009D3601">
        <w:rPr>
          <w:noProof/>
        </w:rPr>
        <w:t>, които попадат в областта, посочена в член 1, буква Б от Решение 1999/437/ЕО, във връзка с член 3 от Решение 2008/146/ЕО на Съвета</w:t>
      </w:r>
      <w:r w:rsidRPr="009D3601">
        <w:rPr>
          <w:rStyle w:val="FootnoteReference"/>
          <w:noProof/>
        </w:rPr>
        <w:footnoteReference w:id="12"/>
      </w:r>
      <w:r w:rsidRPr="009D3601">
        <w:rPr>
          <w:noProof/>
        </w:rPr>
        <w:t>.</w:t>
      </w:r>
    </w:p>
    <w:p w:rsidR="004D1D6E" w:rsidRPr="009D3601" w:rsidRDefault="004D1D6E" w:rsidP="00C313A6">
      <w:pPr>
        <w:pStyle w:val="ManualConsidrant"/>
        <w:rPr>
          <w:noProof/>
        </w:rPr>
      </w:pPr>
      <w:r>
        <w:rPr>
          <w:noProof/>
        </w:rPr>
        <w:t>(10)</w:t>
      </w:r>
      <w:r>
        <w:rPr>
          <w:noProof/>
        </w:rPr>
        <w:tab/>
      </w:r>
      <w:r w:rsidRPr="009D3601">
        <w:rPr>
          <w:noProof/>
        </w:rPr>
        <w:t>По отношение на Лихтенщайн настоящото решение представлява развитие на разпоредбите на достиженията на правото от Шенген по смисъла на Протокола между Европейския съюз, Европейската общност, Конфедерация Швейцария и Княжество Лихтенщайн относно присъединяването на Княжество Лихтенщайн към Споразумението между Европейския съюз, Европейската общност и Конфедерация Швейцария относно асоциирането на Конфедерация Швейцария към изпълнението, прилагането и развитието на достиженията на правото от Шенген</w:t>
      </w:r>
      <w:r w:rsidRPr="009D3601">
        <w:rPr>
          <w:rStyle w:val="FootnoteReference"/>
          <w:noProof/>
        </w:rPr>
        <w:footnoteReference w:id="13"/>
      </w:r>
      <w:r w:rsidRPr="009D3601">
        <w:rPr>
          <w:noProof/>
        </w:rPr>
        <w:t>, които попадат в областта, посочена в член 1, буква Б от Решение 1999/437/ЕО, във връзка с член 3 от Решение 2011/350/ЕС на Съвета</w:t>
      </w:r>
      <w:r w:rsidRPr="009D3601">
        <w:rPr>
          <w:rStyle w:val="FootnoteReference"/>
          <w:noProof/>
        </w:rPr>
        <w:footnoteReference w:id="14"/>
      </w:r>
      <w:r w:rsidRPr="009D3601">
        <w:rPr>
          <w:noProof/>
        </w:rPr>
        <w:t>.</w:t>
      </w:r>
    </w:p>
    <w:p w:rsidR="004D1D6E" w:rsidRPr="009D3601" w:rsidRDefault="002055FF" w:rsidP="00C313A6">
      <w:pPr>
        <w:pStyle w:val="ManualConsidrant"/>
        <w:rPr>
          <w:noProof/>
        </w:rPr>
      </w:pPr>
      <w:r>
        <w:rPr>
          <w:noProof/>
        </w:rPr>
        <w:t>(11)</w:t>
      </w:r>
      <w:r>
        <w:rPr>
          <w:noProof/>
        </w:rPr>
        <w:tab/>
      </w:r>
      <w:r w:rsidRPr="009D3601">
        <w:rPr>
          <w:noProof/>
        </w:rPr>
        <w:t>По отношение на Кипър настоящото решение представлява акт, който се основава на достиженията на правото от Шенген или по друг начин е свързан с тях по смисъла на член 3, параграф 2 от Акта за присъединяване от 2003 г.,</w:t>
      </w:r>
    </w:p>
    <w:p w:rsidR="00572EAF" w:rsidRPr="009D3601" w:rsidRDefault="00572EAF" w:rsidP="00572EAF">
      <w:pPr>
        <w:pStyle w:val="Formuledadoption"/>
        <w:rPr>
          <w:noProof/>
        </w:rPr>
      </w:pPr>
      <w:r w:rsidRPr="009D3601">
        <w:rPr>
          <w:noProof/>
        </w:rPr>
        <w:t xml:space="preserve">ПРИЕ НАСТОЯЩОТО РЕШЕНИЕ: </w:t>
      </w:r>
    </w:p>
    <w:p w:rsidR="00572EAF" w:rsidRPr="009D3601" w:rsidRDefault="00572EAF" w:rsidP="00572EAF">
      <w:pPr>
        <w:pStyle w:val="Titrearticle"/>
        <w:rPr>
          <w:noProof/>
        </w:rPr>
      </w:pPr>
      <w:r w:rsidRPr="009D3601">
        <w:rPr>
          <w:noProof/>
        </w:rPr>
        <w:t>Член 1</w:t>
      </w:r>
    </w:p>
    <w:p w:rsidR="00572EAF" w:rsidRPr="009D3601" w:rsidRDefault="00572EAF" w:rsidP="00572EAF">
      <w:pPr>
        <w:rPr>
          <w:noProof/>
        </w:rPr>
      </w:pPr>
      <w:r w:rsidRPr="009D3601">
        <w:rPr>
          <w:noProof/>
        </w:rPr>
        <w:t>Решение за изпълнение (ЕС) 2024/1341 на Съвета се отменя.</w:t>
      </w:r>
    </w:p>
    <w:p w:rsidR="00572EAF" w:rsidRPr="009D3601" w:rsidRDefault="00572EAF" w:rsidP="00240430">
      <w:pPr>
        <w:pStyle w:val="Titrearticle"/>
        <w:rPr>
          <w:noProof/>
        </w:rPr>
      </w:pPr>
      <w:r w:rsidRPr="009D3601">
        <w:rPr>
          <w:noProof/>
        </w:rPr>
        <w:t>Член 2</w:t>
      </w:r>
    </w:p>
    <w:p w:rsidR="00572EAF" w:rsidRPr="009D3601" w:rsidRDefault="00572EAF" w:rsidP="00572EAF">
      <w:pPr>
        <w:rPr>
          <w:noProof/>
        </w:rPr>
      </w:pPr>
      <w:r w:rsidRPr="009D3601">
        <w:rPr>
          <w:noProof/>
        </w:rPr>
        <w:t>Адресати на настоящото решение са Кралство Белгия, Република България, Република Хърватия, Чешката република, Федерална република Германия, Република Естония, Република Гърция, Кралство Испания, Френската република, Италианската република, Република Кипър, Република Латвия, Република Литва, Великото херцогство Люксембург, Унгария, Република Малта, Кралство Нидерландия, Република Австрия, Република Полша, Португалската република, Румъния, Република Словения, Словашката република, Република Финландия и Кралство Швеция.</w:t>
      </w:r>
    </w:p>
    <w:p w:rsidR="00572EAF" w:rsidRPr="009D3601" w:rsidRDefault="009D3601" w:rsidP="00240430">
      <w:pPr>
        <w:pStyle w:val="Fait"/>
        <w:rPr>
          <w:noProof/>
        </w:rPr>
      </w:pPr>
      <w:r>
        <w:rPr>
          <w:noProof/>
        </w:rPr>
        <w:t>Съставено в Брюксел на  година.</w:t>
      </w:r>
    </w:p>
    <w:p w:rsidR="00572EAF" w:rsidRPr="009D3601" w:rsidRDefault="00572EAF" w:rsidP="00240430">
      <w:pPr>
        <w:pStyle w:val="Institutionquisigne"/>
        <w:rPr>
          <w:noProof/>
        </w:rPr>
      </w:pPr>
      <w:r w:rsidRPr="009D3601">
        <w:rPr>
          <w:noProof/>
        </w:rPr>
        <w:tab/>
        <w:t>За Съвета</w:t>
      </w:r>
    </w:p>
    <w:p w:rsidR="00572EAF" w:rsidRPr="009D3601" w:rsidRDefault="00572EAF" w:rsidP="00572EAF">
      <w:pPr>
        <w:pStyle w:val="Personnequisigne"/>
        <w:rPr>
          <w:noProof/>
        </w:rPr>
      </w:pPr>
      <w:r w:rsidRPr="009D3601">
        <w:rPr>
          <w:noProof/>
        </w:rPr>
        <w:tab/>
        <w:t>Председател</w:t>
      </w:r>
    </w:p>
    <w:sectPr w:rsidR="00572EAF" w:rsidRPr="009D3601" w:rsidSect="00D21F74">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4E24" w:rsidRDefault="00CF4E24" w:rsidP="00C97833">
      <w:pPr>
        <w:spacing w:before="0" w:after="0"/>
      </w:pPr>
      <w:r>
        <w:separator/>
      </w:r>
    </w:p>
  </w:endnote>
  <w:endnote w:type="continuationSeparator" w:id="0">
    <w:p w:rsidR="00CF4E24" w:rsidRDefault="00CF4E24" w:rsidP="00C9783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F74" w:rsidRPr="00D21F74" w:rsidRDefault="00D21F74" w:rsidP="00D21F74">
    <w:pPr>
      <w:pStyle w:val="Footer"/>
      <w:rPr>
        <w:rFonts w:ascii="Arial" w:hAnsi="Arial" w:cs="Arial"/>
        <w:b/>
        <w:sz w:val="48"/>
      </w:rPr>
    </w:pPr>
    <w:r w:rsidRPr="00D21F74">
      <w:rPr>
        <w:rFonts w:ascii="Arial" w:hAnsi="Arial" w:cs="Arial"/>
        <w:b/>
        <w:sz w:val="48"/>
      </w:rPr>
      <w:t>BG</w:t>
    </w:r>
    <w:r w:rsidRPr="00D21F74">
      <w:rPr>
        <w:rFonts w:ascii="Arial" w:hAnsi="Arial" w:cs="Arial"/>
        <w:b/>
        <w:sz w:val="48"/>
      </w:rPr>
      <w:tab/>
    </w:r>
    <w:r w:rsidRPr="00D21F74">
      <w:rPr>
        <w:rFonts w:ascii="Arial" w:hAnsi="Arial" w:cs="Arial"/>
        <w:b/>
        <w:sz w:val="48"/>
      </w:rPr>
      <w:tab/>
    </w:r>
    <w:r w:rsidRPr="00D21F74">
      <w:tab/>
    </w:r>
    <w:r w:rsidRPr="00D21F74">
      <w:rPr>
        <w:rFonts w:ascii="Arial" w:hAnsi="Arial" w:cs="Arial"/>
        <w:b/>
        <w:sz w:val="48"/>
      </w:rPr>
      <w:t>BG</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F74" w:rsidRPr="00D21F74" w:rsidRDefault="00D21F74" w:rsidP="00D21F74">
    <w:pPr>
      <w:pStyle w:val="Footer"/>
      <w:rPr>
        <w:rFonts w:ascii="Arial" w:hAnsi="Arial" w:cs="Arial"/>
        <w:b/>
        <w:sz w:val="48"/>
      </w:rPr>
    </w:pPr>
    <w:r w:rsidRPr="00D21F74">
      <w:rPr>
        <w:rFonts w:ascii="Arial" w:hAnsi="Arial" w:cs="Arial"/>
        <w:b/>
        <w:sz w:val="48"/>
      </w:rPr>
      <w:t>BG</w:t>
    </w:r>
    <w:r w:rsidRPr="00D21F74">
      <w:rPr>
        <w:rFonts w:ascii="Arial" w:hAnsi="Arial" w:cs="Arial"/>
        <w:b/>
        <w:sz w:val="48"/>
      </w:rPr>
      <w:tab/>
    </w:r>
    <w:r w:rsidRPr="00D21F74">
      <w:rPr>
        <w:rFonts w:ascii="Arial" w:hAnsi="Arial" w:cs="Arial"/>
        <w:b/>
        <w:sz w:val="48"/>
      </w:rPr>
      <w:tab/>
    </w:r>
    <w:r w:rsidRPr="00D21F74">
      <w:tab/>
    </w:r>
    <w:r w:rsidRPr="00D21F74">
      <w:rPr>
        <w:rFonts w:ascii="Arial" w:hAnsi="Arial" w:cs="Arial"/>
        <w:b/>
        <w:sz w:val="48"/>
      </w:rPr>
      <w:t>BG</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F74" w:rsidRDefault="00D21F7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F74" w:rsidRPr="00D21F74" w:rsidRDefault="00D21F74" w:rsidP="00D21F74">
    <w:pPr>
      <w:pStyle w:val="Footer"/>
      <w:rPr>
        <w:rFonts w:ascii="Arial" w:hAnsi="Arial" w:cs="Arial"/>
        <w:b/>
        <w:sz w:val="48"/>
      </w:rPr>
    </w:pPr>
    <w:r w:rsidRPr="00D21F74">
      <w:rPr>
        <w:rFonts w:ascii="Arial" w:hAnsi="Arial" w:cs="Arial"/>
        <w:b/>
        <w:sz w:val="48"/>
      </w:rPr>
      <w:t>BG</w:t>
    </w:r>
    <w:r w:rsidRPr="00D21F74">
      <w:rPr>
        <w:rFonts w:ascii="Arial" w:hAnsi="Arial" w:cs="Arial"/>
        <w:b/>
        <w:sz w:val="48"/>
      </w:rPr>
      <w:tab/>
    </w:r>
    <w:r>
      <w:fldChar w:fldCharType="begin"/>
    </w:r>
    <w:r>
      <w:instrText xml:space="preserve"> PAGE  \* MERGEFORMAT </w:instrText>
    </w:r>
    <w:r>
      <w:fldChar w:fldCharType="separate"/>
    </w:r>
    <w:r w:rsidR="00240430">
      <w:rPr>
        <w:noProof/>
      </w:rPr>
      <w:t>8</w:t>
    </w:r>
    <w:r>
      <w:fldChar w:fldCharType="end"/>
    </w:r>
    <w:r>
      <w:tab/>
    </w:r>
    <w:r w:rsidRPr="00D21F74">
      <w:tab/>
    </w:r>
    <w:r w:rsidRPr="00D21F74">
      <w:rPr>
        <w:rFonts w:ascii="Arial" w:hAnsi="Arial" w:cs="Arial"/>
        <w:b/>
        <w:sz w:val="48"/>
      </w:rPr>
      <w:t>BG</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F74" w:rsidRDefault="00D21F74" w:rsidP="00D21F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4E24" w:rsidRDefault="00CF4E24" w:rsidP="00C97833">
      <w:pPr>
        <w:spacing w:before="0" w:after="0"/>
      </w:pPr>
      <w:r>
        <w:separator/>
      </w:r>
    </w:p>
  </w:footnote>
  <w:footnote w:type="continuationSeparator" w:id="0">
    <w:p w:rsidR="00CF4E24" w:rsidRDefault="00CF4E24" w:rsidP="00C97833">
      <w:pPr>
        <w:spacing w:before="0" w:after="0"/>
      </w:pPr>
      <w:r>
        <w:continuationSeparator/>
      </w:r>
    </w:p>
  </w:footnote>
  <w:footnote w:id="1">
    <w:p w:rsidR="00717B37" w:rsidRPr="009D3601" w:rsidRDefault="00717B37" w:rsidP="00F36DE4">
      <w:pPr>
        <w:pStyle w:val="FootnoteText"/>
        <w:rPr>
          <w:lang w:val="ru-RU"/>
        </w:rPr>
      </w:pPr>
      <w:r>
        <w:rPr>
          <w:rStyle w:val="FootnoteReference"/>
        </w:rPr>
        <w:footnoteRef/>
      </w:r>
      <w:r w:rsidRPr="009D3601">
        <w:rPr>
          <w:lang w:val="ru-RU"/>
        </w:rPr>
        <w:tab/>
        <w:t xml:space="preserve">Регламент (ЕО) № 810/2009 на Европейския парламент и на Съвета от 13 юли 2009 г. за създаване на Визов кодекс на Общността (Визов кодекс) (ОВ </w:t>
      </w:r>
      <w:r>
        <w:t>L</w:t>
      </w:r>
      <w:r w:rsidRPr="009D3601">
        <w:rPr>
          <w:lang w:val="ru-RU"/>
        </w:rPr>
        <w:t xml:space="preserve"> 243, 15.9.2009 г., стр. 1).</w:t>
      </w:r>
    </w:p>
  </w:footnote>
  <w:footnote w:id="2">
    <w:p w:rsidR="00A50ED8" w:rsidRPr="009D3601" w:rsidRDefault="00A50ED8" w:rsidP="00F57C7D">
      <w:pPr>
        <w:pStyle w:val="FootnoteText"/>
        <w:rPr>
          <w:lang w:val="ru-RU"/>
        </w:rPr>
      </w:pPr>
      <w:r>
        <w:rPr>
          <w:rStyle w:val="FootnoteReference"/>
        </w:rPr>
        <w:footnoteRef/>
      </w:r>
      <w:r w:rsidRPr="009D3601">
        <w:rPr>
          <w:lang w:val="ru-RU"/>
        </w:rPr>
        <w:tab/>
        <w:t>РЕШЕНИЕ ЗА ИЗПЪЛНЕНИЕ (ЕС) 2024/1341 на Съвета от 29 април 2024 г. за спиране на прилагането на някои разпоредби на Регламент (ЕО) № 810/2009 на Европейския парламент и на Съвета по отношение на Етиопия.</w:t>
      </w:r>
    </w:p>
  </w:footnote>
  <w:footnote w:id="3">
    <w:p w:rsidR="00D00CFE" w:rsidRPr="009D3601" w:rsidRDefault="00D00CFE">
      <w:pPr>
        <w:pStyle w:val="FootnoteText"/>
        <w:rPr>
          <w:lang w:val="ru-RU"/>
        </w:rPr>
      </w:pPr>
      <w:r>
        <w:rPr>
          <w:rStyle w:val="FootnoteReference"/>
        </w:rPr>
        <w:footnoteRef/>
      </w:r>
      <w:r w:rsidRPr="009D3601">
        <w:rPr>
          <w:lang w:val="ru-RU"/>
        </w:rPr>
        <w:tab/>
      </w:r>
      <w:r>
        <w:t>COM</w:t>
      </w:r>
      <w:r w:rsidRPr="009D3601">
        <w:rPr>
          <w:lang w:val="ru-RU"/>
        </w:rPr>
        <w:t>(2025)</w:t>
      </w:r>
      <w:r>
        <w:t> </w:t>
      </w:r>
      <w:r w:rsidRPr="009D3601">
        <w:rPr>
          <w:lang w:val="ru-RU"/>
        </w:rPr>
        <w:t>416</w:t>
      </w:r>
      <w:r>
        <w:t> final</w:t>
      </w:r>
      <w:r w:rsidRPr="009D3601">
        <w:rPr>
          <w:lang w:val="ru-RU"/>
        </w:rPr>
        <w:t>, 15 юли 2025 г.</w:t>
      </w:r>
    </w:p>
  </w:footnote>
  <w:footnote w:id="4">
    <w:p w:rsidR="009128E8" w:rsidRPr="009D3601" w:rsidRDefault="009128E8" w:rsidP="009128E8">
      <w:pPr>
        <w:pStyle w:val="FootnoteText"/>
        <w:rPr>
          <w:lang w:val="ru-RU"/>
        </w:rPr>
      </w:pPr>
      <w:r>
        <w:rPr>
          <w:rStyle w:val="FootnoteReference"/>
        </w:rPr>
        <w:footnoteRef/>
      </w:r>
      <w:r w:rsidRPr="009D3601">
        <w:rPr>
          <w:lang w:val="ru-RU"/>
        </w:rPr>
        <w:tab/>
        <w:t>Предложение за РЕШЕНИЕ ЗА ИЗПЪЛНЕНИЕ НА СЪВЕТА за спиране на прилагането на някои разпоредби на Регламент (ЕО) № 810/2009 на Европейския парламент и на Съвета по отношение на Етиопия (</w:t>
      </w:r>
      <w:r>
        <w:t>COM</w:t>
      </w:r>
      <w:r w:rsidRPr="009D3601">
        <w:rPr>
          <w:lang w:val="ru-RU"/>
        </w:rPr>
        <w:t xml:space="preserve">(2023) 568 </w:t>
      </w:r>
      <w:r>
        <w:t>final</w:t>
      </w:r>
      <w:r w:rsidRPr="009D3601">
        <w:rPr>
          <w:lang w:val="ru-RU"/>
        </w:rPr>
        <w:t xml:space="preserve"> 2023/0344)</w:t>
      </w:r>
    </w:p>
  </w:footnote>
  <w:footnote w:id="5">
    <w:p w:rsidR="009A3AE5" w:rsidRPr="009D3601" w:rsidRDefault="009A3AE5">
      <w:pPr>
        <w:pStyle w:val="FootnoteText"/>
        <w:rPr>
          <w:lang w:val="ru-RU"/>
        </w:rPr>
      </w:pPr>
      <w:r>
        <w:rPr>
          <w:rStyle w:val="FootnoteReference"/>
        </w:rPr>
        <w:footnoteRef/>
      </w:r>
      <w:r w:rsidRPr="009D3601">
        <w:rPr>
          <w:lang w:val="ru-RU"/>
        </w:rPr>
        <w:tab/>
        <w:t xml:space="preserve">Документ </w:t>
      </w:r>
      <w:r>
        <w:t>EUCO</w:t>
      </w:r>
      <w:r w:rsidRPr="009D3601">
        <w:rPr>
          <w:lang w:val="ru-RU"/>
        </w:rPr>
        <w:t xml:space="preserve"> 25/24.</w:t>
      </w:r>
    </w:p>
  </w:footnote>
  <w:footnote w:id="6">
    <w:p w:rsidR="00E84785" w:rsidRPr="009D3601" w:rsidRDefault="00E84785">
      <w:pPr>
        <w:pStyle w:val="FootnoteText"/>
        <w:rPr>
          <w:lang w:val="ru-RU"/>
        </w:rPr>
      </w:pPr>
      <w:r>
        <w:rPr>
          <w:rStyle w:val="FootnoteReference"/>
        </w:rPr>
        <w:footnoteRef/>
      </w:r>
      <w:r w:rsidR="00A31CE1" w:rsidRPr="00A31CE1">
        <w:rPr>
          <w:lang w:val="ru-RU"/>
        </w:rPr>
        <w:tab/>
      </w:r>
      <w:r w:rsidRPr="009D3601">
        <w:rPr>
          <w:lang w:val="ru-RU"/>
        </w:rPr>
        <w:t xml:space="preserve">ОВ </w:t>
      </w:r>
      <w:r>
        <w:t>L</w:t>
      </w:r>
      <w:r w:rsidRPr="009D3601">
        <w:rPr>
          <w:lang w:val="ru-RU"/>
        </w:rPr>
        <w:t xml:space="preserve"> 243, 15.9.2009 г., стр. 1.</w:t>
      </w:r>
    </w:p>
  </w:footnote>
  <w:footnote w:id="7">
    <w:p w:rsidR="00721BE4" w:rsidRPr="009D3601" w:rsidRDefault="00721BE4" w:rsidP="00721BE4">
      <w:pPr>
        <w:pStyle w:val="FootnoteText"/>
        <w:rPr>
          <w:lang w:val="ru-RU"/>
        </w:rPr>
      </w:pPr>
      <w:r>
        <w:rPr>
          <w:rStyle w:val="FootnoteReference"/>
        </w:rPr>
        <w:footnoteRef/>
      </w:r>
      <w:r w:rsidRPr="009D3601">
        <w:rPr>
          <w:lang w:val="ru-RU"/>
        </w:rPr>
        <w:tab/>
        <w:t>РЕШЕНИЕ ЗА ИЗПЪЛНЕНИЕ (ЕС) 2024/1341 на Съвета от 29 април 2024 г. за спиране на прилагането на някои разпоредби на Регламент (ЕО) № 810/2009 на Европейския парламент и на Съвета по отношение на Етиопия.</w:t>
      </w:r>
    </w:p>
  </w:footnote>
  <w:footnote w:id="8">
    <w:p w:rsidR="003F4844" w:rsidRPr="009D3601" w:rsidRDefault="003F4844" w:rsidP="00F36DE4">
      <w:pPr>
        <w:pStyle w:val="FootnoteText"/>
        <w:rPr>
          <w:lang w:val="ru-RU"/>
        </w:rPr>
      </w:pPr>
      <w:r>
        <w:rPr>
          <w:rStyle w:val="FootnoteReference"/>
        </w:rPr>
        <w:footnoteRef/>
      </w:r>
      <w:r w:rsidRPr="009D3601">
        <w:rPr>
          <w:lang w:val="ru-RU"/>
        </w:rPr>
        <w:tab/>
        <w:t>Решение 2002/192/ЕО на Съвета от 28</w:t>
      </w:r>
      <w:r>
        <w:t> </w:t>
      </w:r>
      <w:r w:rsidRPr="009D3601">
        <w:rPr>
          <w:lang w:val="ru-RU"/>
        </w:rPr>
        <w:t>февруари 2002</w:t>
      </w:r>
      <w:r>
        <w:t> </w:t>
      </w:r>
      <w:r w:rsidRPr="009D3601">
        <w:rPr>
          <w:lang w:val="ru-RU"/>
        </w:rPr>
        <w:t>г. относно искането на Ирландия да участва в</w:t>
      </w:r>
      <w:r>
        <w:t> </w:t>
      </w:r>
      <w:r w:rsidRPr="009D3601">
        <w:rPr>
          <w:lang w:val="ru-RU"/>
        </w:rPr>
        <w:t xml:space="preserve">някои разпоредби от достиженията на правото от Шенген (ОВ </w:t>
      </w:r>
      <w:r>
        <w:t>L </w:t>
      </w:r>
      <w:r w:rsidRPr="009D3601">
        <w:rPr>
          <w:lang w:val="ru-RU"/>
        </w:rPr>
        <w:t>64, 7.3.2002</w:t>
      </w:r>
      <w:r>
        <w:t> </w:t>
      </w:r>
      <w:r w:rsidRPr="009D3601">
        <w:rPr>
          <w:lang w:val="ru-RU"/>
        </w:rPr>
        <w:t>г., стр.</w:t>
      </w:r>
      <w:r>
        <w:t> </w:t>
      </w:r>
      <w:r w:rsidRPr="009D3601">
        <w:rPr>
          <w:lang w:val="ru-RU"/>
        </w:rPr>
        <w:t>20).</w:t>
      </w:r>
    </w:p>
  </w:footnote>
  <w:footnote w:id="9">
    <w:p w:rsidR="003F4844" w:rsidRPr="009D3601" w:rsidRDefault="003F4844">
      <w:pPr>
        <w:pStyle w:val="FootnoteText"/>
        <w:rPr>
          <w:lang w:val="ru-RU"/>
        </w:rPr>
      </w:pPr>
      <w:r>
        <w:rPr>
          <w:rStyle w:val="FootnoteReference"/>
        </w:rPr>
        <w:footnoteRef/>
      </w:r>
      <w:r w:rsidRPr="009D3601">
        <w:rPr>
          <w:lang w:val="ru-RU"/>
        </w:rPr>
        <w:tab/>
        <w:t xml:space="preserve">ОВ </w:t>
      </w:r>
      <w:r>
        <w:t>L</w:t>
      </w:r>
      <w:r w:rsidRPr="009D3601">
        <w:rPr>
          <w:lang w:val="ru-RU"/>
        </w:rPr>
        <w:t xml:space="preserve"> 176, 10.7.1999 г., стр. 36.</w:t>
      </w:r>
    </w:p>
  </w:footnote>
  <w:footnote w:id="10">
    <w:p w:rsidR="003F4844" w:rsidRPr="009D3601" w:rsidRDefault="003F4844" w:rsidP="00F36DE4">
      <w:pPr>
        <w:pStyle w:val="FootnoteText"/>
        <w:rPr>
          <w:lang w:val="ru-RU"/>
        </w:rPr>
      </w:pPr>
      <w:r>
        <w:rPr>
          <w:rStyle w:val="FootnoteReference"/>
        </w:rPr>
        <w:footnoteRef/>
      </w:r>
      <w:r w:rsidRPr="009D3601">
        <w:rPr>
          <w:lang w:val="ru-RU"/>
        </w:rPr>
        <w:tab/>
        <w:t>Решение 1999/437/ЕО на Съвета от 17</w:t>
      </w:r>
      <w:r>
        <w:t> </w:t>
      </w:r>
      <w:r w:rsidRPr="009D3601">
        <w:rPr>
          <w:lang w:val="ru-RU"/>
        </w:rPr>
        <w:t>май 1999</w:t>
      </w:r>
      <w:r>
        <w:t> </w:t>
      </w:r>
      <w:r w:rsidRPr="009D3601">
        <w:rPr>
          <w:lang w:val="ru-RU"/>
        </w:rPr>
        <w:t>г. относно определени условия по прилагането на Споразумението между Европейския съюз и</w:t>
      </w:r>
      <w:r>
        <w:t> </w:t>
      </w:r>
      <w:r w:rsidRPr="009D3601">
        <w:rPr>
          <w:lang w:val="ru-RU"/>
        </w:rPr>
        <w:t>Република Исландия и</w:t>
      </w:r>
      <w:r>
        <w:t> </w:t>
      </w:r>
      <w:r w:rsidRPr="009D3601">
        <w:rPr>
          <w:lang w:val="ru-RU"/>
        </w:rPr>
        <w:t>Кралство Норвегия за асоцииране на тези две държави при изпълнението, прилагането и</w:t>
      </w:r>
      <w:r>
        <w:t> </w:t>
      </w:r>
      <w:r w:rsidRPr="009D3601">
        <w:rPr>
          <w:lang w:val="ru-RU"/>
        </w:rPr>
        <w:t xml:space="preserve">развитието на достиженията на правото от Шенген (ОВ </w:t>
      </w:r>
      <w:r>
        <w:t>L </w:t>
      </w:r>
      <w:r w:rsidRPr="009D3601">
        <w:rPr>
          <w:lang w:val="ru-RU"/>
        </w:rPr>
        <w:t>176, 10.7.1999</w:t>
      </w:r>
      <w:r>
        <w:t> </w:t>
      </w:r>
      <w:r w:rsidRPr="009D3601">
        <w:rPr>
          <w:lang w:val="ru-RU"/>
        </w:rPr>
        <w:t>г., стр.</w:t>
      </w:r>
      <w:r>
        <w:t> </w:t>
      </w:r>
      <w:r w:rsidRPr="009D3601">
        <w:rPr>
          <w:lang w:val="ru-RU"/>
        </w:rPr>
        <w:t>31).</w:t>
      </w:r>
    </w:p>
  </w:footnote>
  <w:footnote w:id="11">
    <w:p w:rsidR="003F4844" w:rsidRPr="009D3601" w:rsidRDefault="003F4844" w:rsidP="00F36DE4">
      <w:pPr>
        <w:pStyle w:val="FootnoteText"/>
        <w:ind w:left="0" w:firstLine="0"/>
        <w:rPr>
          <w:lang w:val="ru-RU"/>
        </w:rPr>
      </w:pPr>
      <w:r>
        <w:rPr>
          <w:rStyle w:val="FootnoteReference"/>
        </w:rPr>
        <w:footnoteRef/>
      </w:r>
      <w:r w:rsidRPr="009D3601">
        <w:rPr>
          <w:lang w:val="ru-RU"/>
        </w:rPr>
        <w:tab/>
        <w:t xml:space="preserve">ОВ </w:t>
      </w:r>
      <w:r>
        <w:t>L</w:t>
      </w:r>
      <w:r w:rsidRPr="009D3601">
        <w:rPr>
          <w:lang w:val="ru-RU"/>
        </w:rPr>
        <w:t xml:space="preserve"> 53, 27.2.2008 г., стр. 52.</w:t>
      </w:r>
    </w:p>
  </w:footnote>
  <w:footnote w:id="12">
    <w:p w:rsidR="003F4844" w:rsidRPr="009D3601" w:rsidRDefault="003F4844" w:rsidP="00F36DE4">
      <w:pPr>
        <w:pStyle w:val="FootnoteText"/>
        <w:rPr>
          <w:lang w:val="ru-RU"/>
        </w:rPr>
      </w:pPr>
      <w:r>
        <w:rPr>
          <w:rStyle w:val="FootnoteReference"/>
        </w:rPr>
        <w:footnoteRef/>
      </w:r>
      <w:r w:rsidRPr="009D3601">
        <w:rPr>
          <w:lang w:val="ru-RU"/>
        </w:rPr>
        <w:tab/>
        <w:t>Решение 2008/146/ЕО на Съвета от 28</w:t>
      </w:r>
      <w:r>
        <w:t> </w:t>
      </w:r>
      <w:r w:rsidRPr="009D3601">
        <w:rPr>
          <w:lang w:val="ru-RU"/>
        </w:rPr>
        <w:t>януари 2008</w:t>
      </w:r>
      <w:r>
        <w:t> </w:t>
      </w:r>
      <w:r w:rsidRPr="009D3601">
        <w:rPr>
          <w:lang w:val="ru-RU"/>
        </w:rPr>
        <w:t>г. за сключване от името на Европейската общност на Споразумение между Европейския съюз, Европейската общност и</w:t>
      </w:r>
      <w:r>
        <w:t> </w:t>
      </w:r>
      <w:r w:rsidRPr="009D3601">
        <w:rPr>
          <w:lang w:val="ru-RU"/>
        </w:rPr>
        <w:t>Конфедерация Швейцария за асоцииране на Конфедерация Швейцария към въвеждането, прилагането и</w:t>
      </w:r>
      <w:r>
        <w:t> </w:t>
      </w:r>
      <w:r w:rsidRPr="009D3601">
        <w:rPr>
          <w:lang w:val="ru-RU"/>
        </w:rPr>
        <w:t xml:space="preserve">развитието на достиженията на правото от Шенген (ОВ </w:t>
      </w:r>
      <w:r>
        <w:t>L </w:t>
      </w:r>
      <w:r w:rsidRPr="009D3601">
        <w:rPr>
          <w:lang w:val="ru-RU"/>
        </w:rPr>
        <w:t>53, 27.2.2008</w:t>
      </w:r>
      <w:r>
        <w:t> </w:t>
      </w:r>
      <w:r w:rsidRPr="009D3601">
        <w:rPr>
          <w:lang w:val="ru-RU"/>
        </w:rPr>
        <w:t>г., стр.</w:t>
      </w:r>
      <w:r>
        <w:t> </w:t>
      </w:r>
      <w:r w:rsidRPr="009D3601">
        <w:rPr>
          <w:lang w:val="ru-RU"/>
        </w:rPr>
        <w:t>1).</w:t>
      </w:r>
    </w:p>
  </w:footnote>
  <w:footnote w:id="13">
    <w:p w:rsidR="003F4844" w:rsidRPr="009D3601" w:rsidRDefault="003F4844">
      <w:pPr>
        <w:pStyle w:val="FootnoteText"/>
        <w:rPr>
          <w:lang w:val="ru-RU"/>
        </w:rPr>
      </w:pPr>
      <w:r>
        <w:rPr>
          <w:rStyle w:val="FootnoteReference"/>
        </w:rPr>
        <w:footnoteRef/>
      </w:r>
      <w:r w:rsidRPr="009D3601">
        <w:rPr>
          <w:lang w:val="ru-RU"/>
        </w:rPr>
        <w:tab/>
        <w:t xml:space="preserve">ОВ </w:t>
      </w:r>
      <w:r>
        <w:t>L</w:t>
      </w:r>
      <w:r w:rsidRPr="009D3601">
        <w:rPr>
          <w:lang w:val="ru-RU"/>
        </w:rPr>
        <w:t xml:space="preserve"> 160, 18.6.2011 г., стр. 21.</w:t>
      </w:r>
    </w:p>
  </w:footnote>
  <w:footnote w:id="14">
    <w:p w:rsidR="003F4844" w:rsidRPr="009D3601" w:rsidRDefault="003F4844" w:rsidP="00F36DE4">
      <w:pPr>
        <w:pStyle w:val="FootnoteText"/>
        <w:rPr>
          <w:lang w:val="ru-RU"/>
        </w:rPr>
      </w:pPr>
      <w:r>
        <w:rPr>
          <w:rStyle w:val="FootnoteReference"/>
        </w:rPr>
        <w:footnoteRef/>
      </w:r>
      <w:r w:rsidRPr="009D3601">
        <w:rPr>
          <w:lang w:val="ru-RU"/>
        </w:rPr>
        <w:tab/>
        <w:t>Решение 2011/350/ЕС на Съвета от 7</w:t>
      </w:r>
      <w:r>
        <w:t> </w:t>
      </w:r>
      <w:r w:rsidRPr="009D3601">
        <w:rPr>
          <w:lang w:val="ru-RU"/>
        </w:rPr>
        <w:t>март 2011</w:t>
      </w:r>
      <w:r>
        <w:t> </w:t>
      </w:r>
      <w:r w:rsidRPr="009D3601">
        <w:rPr>
          <w:lang w:val="ru-RU"/>
        </w:rPr>
        <w:t>г. за сключване от името на Европейския съюз на Протокола между Европейския съюз, Европейската общност, Конфедерация Швейцария и</w:t>
      </w:r>
      <w:r>
        <w:t> </w:t>
      </w:r>
      <w:r w:rsidRPr="009D3601">
        <w:rPr>
          <w:lang w:val="ru-RU"/>
        </w:rPr>
        <w:t>Княжество Лихтенщайн относно присъединяването на Княжество Лихтенщайн към Споразумението между Европейския съюз, Европейската общност и</w:t>
      </w:r>
      <w:r>
        <w:t> </w:t>
      </w:r>
      <w:r w:rsidRPr="009D3601">
        <w:rPr>
          <w:lang w:val="ru-RU"/>
        </w:rPr>
        <w:t>Конфедерация Швейцария относно асоциирането на Конфедерация Швейцария към изпълнението, прилагането и</w:t>
      </w:r>
      <w:r>
        <w:t> </w:t>
      </w:r>
      <w:r w:rsidRPr="009D3601">
        <w:rPr>
          <w:lang w:val="ru-RU"/>
        </w:rPr>
        <w:t>развитието на достиженията на правото от Шенген, по отношение на премахването на проверките по вътрешните граници и</w:t>
      </w:r>
      <w:r>
        <w:t> </w:t>
      </w:r>
      <w:r w:rsidRPr="009D3601">
        <w:rPr>
          <w:lang w:val="ru-RU"/>
        </w:rPr>
        <w:t xml:space="preserve">движението на хора (ОВ </w:t>
      </w:r>
      <w:r>
        <w:t>L </w:t>
      </w:r>
      <w:r w:rsidRPr="009D3601">
        <w:rPr>
          <w:lang w:val="ru-RU"/>
        </w:rPr>
        <w:t>160, 18.6.2011</w:t>
      </w:r>
      <w:r>
        <w:t> </w:t>
      </w:r>
      <w:r w:rsidRPr="009D3601">
        <w:rPr>
          <w:lang w:val="ru-RU"/>
        </w:rPr>
        <w:t>г., стр.</w:t>
      </w:r>
      <w:r>
        <w:t> </w:t>
      </w:r>
      <w:r w:rsidRPr="009D3601">
        <w:rPr>
          <w:lang w:val="ru-RU"/>
        </w:rPr>
        <w:t>19).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F74" w:rsidRDefault="00D21F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F74" w:rsidRDefault="00D21F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3ADED162"/>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A1E7200"/>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91DAC62E"/>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538C9B0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2"/>
  </w:num>
  <w:num w:numId="3">
    <w:abstractNumId w:val="1"/>
  </w:num>
  <w:num w:numId="4">
    <w:abstractNumId w:val="0"/>
  </w:num>
  <w:num w:numId="5">
    <w:abstractNumId w:val="18"/>
    <w:lvlOverride w:ilvl="0">
      <w:startOverride w:val="1"/>
    </w:lvlOverride>
  </w:num>
  <w:num w:numId="6">
    <w:abstractNumId w:val="15"/>
    <w:lvlOverride w:ilvl="0">
      <w:startOverride w:val="1"/>
    </w:lvlOverride>
  </w:num>
  <w:num w:numId="7">
    <w:abstractNumId w:val="15"/>
  </w:num>
  <w:num w:numId="8">
    <w:abstractNumId w:val="8"/>
  </w:num>
  <w:num w:numId="9">
    <w:abstractNumId w:val="17"/>
  </w:num>
  <w:num w:numId="10">
    <w:abstractNumId w:val="7"/>
  </w:num>
  <w:num w:numId="11">
    <w:abstractNumId w:val="9"/>
  </w:num>
  <w:num w:numId="12">
    <w:abstractNumId w:val="10"/>
  </w:num>
  <w:num w:numId="13">
    <w:abstractNumId w:val="5"/>
  </w:num>
  <w:num w:numId="14">
    <w:abstractNumId w:val="16"/>
  </w:num>
  <w:num w:numId="15">
    <w:abstractNumId w:val="4"/>
  </w:num>
  <w:num w:numId="16">
    <w:abstractNumId w:val="11"/>
  </w:num>
  <w:num w:numId="17">
    <w:abstractNumId w:val="13"/>
  </w:num>
  <w:num w:numId="18">
    <w:abstractNumId w:val="14"/>
  </w:num>
  <w:num w:numId="19">
    <w:abstractNumId w:val="6"/>
  </w:num>
  <w:num w:numId="20">
    <w:abstractNumId w:val="12"/>
  </w:num>
  <w:num w:numId="21">
    <w:abstractNumId w:val="18"/>
  </w:num>
  <w:num w:numId="22">
    <w:abstractNumId w:val="15"/>
  </w:num>
  <w:num w:numId="23">
    <w:abstractNumId w:val="8"/>
  </w:num>
  <w:num w:numId="24">
    <w:abstractNumId w:val="17"/>
  </w:num>
  <w:num w:numId="25">
    <w:abstractNumId w:val="7"/>
  </w:num>
  <w:num w:numId="26">
    <w:abstractNumId w:val="9"/>
  </w:num>
  <w:num w:numId="27">
    <w:abstractNumId w:val="10"/>
  </w:num>
  <w:num w:numId="28">
    <w:abstractNumId w:val="5"/>
  </w:num>
  <w:num w:numId="29">
    <w:abstractNumId w:val="16"/>
  </w:num>
  <w:num w:numId="30">
    <w:abstractNumId w:val="4"/>
  </w:num>
  <w:num w:numId="31">
    <w:abstractNumId w:val="11"/>
  </w:num>
  <w:num w:numId="32">
    <w:abstractNumId w:val="13"/>
  </w:num>
  <w:num w:numId="33">
    <w:abstractNumId w:val="14"/>
  </w:num>
  <w:num w:numId="34">
    <w:abstractNumId w:val="6"/>
  </w:num>
  <w:num w:numId="35">
    <w:abstractNumId w:val="12"/>
  </w:num>
  <w:num w:numId="36">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6-04-15 10:03:06"/>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D73D8F59-9B7D-445E-A4F1-8638FFDDCA08"/>
    <w:docVar w:name="LW_COVERPAGE_TYPE" w:val="1"/>
    <w:docVar w:name="LW_CROSSREFERENCE" w:val="&lt;UNUSED&gt;"/>
    <w:docVar w:name="LW_DocType" w:val="COM"/>
    <w:docVar w:name="LW_EMISSION" w:val="20.4.2026"/>
    <w:docVar w:name="LW_EMISSION_ISODATE" w:val="2026-04-20"/>
    <w:docVar w:name="LW_EMISSION_LOCATION" w:val="BRX"/>
    <w:docVar w:name="LW_EMISSION_PREFIX" w:val="\u1041?\u1088?\u1102?\u1082?\u1089?\u1077?\u1083?, "/>
    <w:docVar w:name="LW_EMISSION_SUFFIX" w:val=" \u1075?."/>
    <w:docVar w:name="LW_ID_DOCMODEL" w:val="SJ-020"/>
    <w:docVar w:name="LW_ID_DOCSIGNATURE" w:val="SJ-020"/>
    <w:docVar w:name="LW_ID_DOCSTRUCTURE" w:val="COM/PL/ORG"/>
    <w:docVar w:name="LW_ID_DOCTYPE" w:val="SJ-020"/>
    <w:docVar w:name="LW_ID_STATUT" w:val="SJ-020"/>
    <w:docVar w:name="LW_INSERT_EXP.MOTIFS.NEW" w:val="1"/>
    <w:docVar w:name="LW_INTERETEEE.CP" w:val="&lt;UNUSED&gt;"/>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I.NEW.CP" w:val="NLE"/>
    <w:docVar w:name="LW_REF.II.NEW.CP_NUMBER" w:val="0092"/>
    <w:docVar w:name="LW_REF.II.NEW.CP_YEAR" w:val="2026"/>
    <w:docVar w:name="LW_REF.INST.NEW" w:val="COM"/>
    <w:docVar w:name="LW_REF.INST.NEW_ADOPTED" w:val="final"/>
    <w:docVar w:name="LW_REF.INST.NEW_TEXT" w:val="(2026) 16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u1055?\u1088?\u1077?\u1076?\u1083?\u1086?\u1078?\u1077?\u1085?\u1080?\u1077? \u1079?\u1072?"/>
    <w:docVar w:name="LW_SUPERTITRE" w:val="&lt;UNUSED&gt;"/>
    <w:docVar w:name="LW_TITRE.OBJ.CP" w:val="\u1079?\u1072? \u1086?\u1090?\u1084?\u1103?\u1085?\u1072? \u1085?\u1072? \u1056?\u1077?\u1096?\u1077?\u1085?\u1080?\u1077? \u1079?\u1072? \u1080?\u1079?\u1087?\u1098?\u1083?\u1085?\u1077?\u1085?\u1080?\u1077? (\u1045?\u1057?) 2024/1341 \u1085?\u1072? \u1057?\u1098?\u1074?\u1077?\u1090?\u1072? \u1079?\u1072? \u1089?\u1087?\u1080?\u1088?\u1072?\u1085?\u1077? \u1085?\u1072? \u1087?\u1088?\u1080?\u1083?\u1072?\u1075?\u1072?\u1085?\u1077?\u1090?\u1086? \u1085?\u1072? \u1085?\u1103?\u1082?\u1086?\u1080? \u1088?\u1072?\u1079?\u1087?\u1086?\u1088?\u1077?\u1076?\u1073?\u1080? \u1085?\u1072? \u1056?\u1077?\u1075?\u1083?\u1072?\u1084?\u1077?\u1085?\u1090? (\u1045?\u1054?) \u8470? 810/2009 \u1085?\u1072? \u1045?\u1074?\u1088?\u1086?\u1087?\u1077?\u1081?\u1089?\u1082?\u1080?\u1103? \u1087?\u1072?\u1088?\u1083?\u1072?\u1084?\u1077?\u1085?\u1090? \u1080? \u1085?\u1072? \u1057?\u1098?\u1074?\u1077?\u1090?\u1072? \u1087?\u1086? \u1086?\u1090?\u1085?\u1086?\u1096?\u1077?\u1085?\u1080?\u1077? \u1085?\u1072? \u1045?\u1090?\u1080?\u1086?\u1087?\u1080?\u1103? _x000b_"/>
    <w:docVar w:name="LW_TYPE.DOC.CP" w:val="\u1056?\u1045?\u1064?\u1045?\u1053?\u1048?\u1045? \u1047?\u1040? \u1048?\u1047?\u1055?\u1066?\u1051?\u1053?\u1045?\u1053?\u1048?\u1045? \u1053?\u1040? \u1057?\u1066?\u1042?\u1045?\u1058?\u1040?"/>
    <w:docVar w:name="LwApiVersions" w:val="LW4CoDe 1.24.5.0; LW 9.2, Build 20251112"/>
  </w:docVars>
  <w:rsids>
    <w:rsidRoot w:val="00C97833"/>
    <w:rsid w:val="00001357"/>
    <w:rsid w:val="000021C9"/>
    <w:rsid w:val="000036CA"/>
    <w:rsid w:val="00006D03"/>
    <w:rsid w:val="00011AF0"/>
    <w:rsid w:val="00014F59"/>
    <w:rsid w:val="0001609F"/>
    <w:rsid w:val="00032B9D"/>
    <w:rsid w:val="00033811"/>
    <w:rsid w:val="000428A5"/>
    <w:rsid w:val="00047941"/>
    <w:rsid w:val="000545D5"/>
    <w:rsid w:val="00073CBF"/>
    <w:rsid w:val="00077CDE"/>
    <w:rsid w:val="000823BB"/>
    <w:rsid w:val="00084EAF"/>
    <w:rsid w:val="0009641D"/>
    <w:rsid w:val="000A6E46"/>
    <w:rsid w:val="000B394C"/>
    <w:rsid w:val="000B4C1E"/>
    <w:rsid w:val="000C2069"/>
    <w:rsid w:val="000D24F8"/>
    <w:rsid w:val="000E6458"/>
    <w:rsid w:val="000E6540"/>
    <w:rsid w:val="000F1D15"/>
    <w:rsid w:val="000F5C95"/>
    <w:rsid w:val="0010137A"/>
    <w:rsid w:val="0010189F"/>
    <w:rsid w:val="00103011"/>
    <w:rsid w:val="001065F5"/>
    <w:rsid w:val="001072A5"/>
    <w:rsid w:val="001105BF"/>
    <w:rsid w:val="001238EF"/>
    <w:rsid w:val="00140FFE"/>
    <w:rsid w:val="00163393"/>
    <w:rsid w:val="00176E44"/>
    <w:rsid w:val="001907A5"/>
    <w:rsid w:val="00191E18"/>
    <w:rsid w:val="00197613"/>
    <w:rsid w:val="001A55FA"/>
    <w:rsid w:val="001B5881"/>
    <w:rsid w:val="001C20B2"/>
    <w:rsid w:val="001C3551"/>
    <w:rsid w:val="001C5282"/>
    <w:rsid w:val="001C5D23"/>
    <w:rsid w:val="001D1F8B"/>
    <w:rsid w:val="001D4BEF"/>
    <w:rsid w:val="001D54F4"/>
    <w:rsid w:val="001D60E4"/>
    <w:rsid w:val="001E069D"/>
    <w:rsid w:val="001E1E0D"/>
    <w:rsid w:val="00203C27"/>
    <w:rsid w:val="002055FF"/>
    <w:rsid w:val="00207D35"/>
    <w:rsid w:val="0021006C"/>
    <w:rsid w:val="002109F0"/>
    <w:rsid w:val="00233543"/>
    <w:rsid w:val="00233DC7"/>
    <w:rsid w:val="00235FE5"/>
    <w:rsid w:val="00237798"/>
    <w:rsid w:val="00240430"/>
    <w:rsid w:val="00247779"/>
    <w:rsid w:val="002514ED"/>
    <w:rsid w:val="00264E0C"/>
    <w:rsid w:val="00270553"/>
    <w:rsid w:val="0027149D"/>
    <w:rsid w:val="002750AD"/>
    <w:rsid w:val="00281FE8"/>
    <w:rsid w:val="0028294E"/>
    <w:rsid w:val="00285BEE"/>
    <w:rsid w:val="00293C72"/>
    <w:rsid w:val="0029533F"/>
    <w:rsid w:val="00296AF8"/>
    <w:rsid w:val="002A0414"/>
    <w:rsid w:val="002B0B9A"/>
    <w:rsid w:val="002B13CC"/>
    <w:rsid w:val="002B27B6"/>
    <w:rsid w:val="002B30AF"/>
    <w:rsid w:val="002C2BCC"/>
    <w:rsid w:val="002D4FA1"/>
    <w:rsid w:val="002D5D92"/>
    <w:rsid w:val="002E3D13"/>
    <w:rsid w:val="002E7C49"/>
    <w:rsid w:val="002F3C8C"/>
    <w:rsid w:val="0030072D"/>
    <w:rsid w:val="003075BD"/>
    <w:rsid w:val="00310CFD"/>
    <w:rsid w:val="00316EFE"/>
    <w:rsid w:val="003331F2"/>
    <w:rsid w:val="0033329C"/>
    <w:rsid w:val="0033344A"/>
    <w:rsid w:val="00336A4D"/>
    <w:rsid w:val="00337C75"/>
    <w:rsid w:val="003474D1"/>
    <w:rsid w:val="00351DDE"/>
    <w:rsid w:val="00352557"/>
    <w:rsid w:val="0035773F"/>
    <w:rsid w:val="0038282E"/>
    <w:rsid w:val="00383635"/>
    <w:rsid w:val="003908FF"/>
    <w:rsid w:val="003934D7"/>
    <w:rsid w:val="00393B2A"/>
    <w:rsid w:val="0039474A"/>
    <w:rsid w:val="00395B01"/>
    <w:rsid w:val="003A4E19"/>
    <w:rsid w:val="003B4561"/>
    <w:rsid w:val="003B4ADB"/>
    <w:rsid w:val="003C2FD3"/>
    <w:rsid w:val="003C5006"/>
    <w:rsid w:val="003E379E"/>
    <w:rsid w:val="003E3B1A"/>
    <w:rsid w:val="003E47F7"/>
    <w:rsid w:val="003E5A1B"/>
    <w:rsid w:val="003E6633"/>
    <w:rsid w:val="003F1F80"/>
    <w:rsid w:val="003F4844"/>
    <w:rsid w:val="003F6015"/>
    <w:rsid w:val="003F7E38"/>
    <w:rsid w:val="00401DF3"/>
    <w:rsid w:val="00404CC2"/>
    <w:rsid w:val="0042040D"/>
    <w:rsid w:val="004243BB"/>
    <w:rsid w:val="0042648E"/>
    <w:rsid w:val="00430AEE"/>
    <w:rsid w:val="00440CAD"/>
    <w:rsid w:val="00455251"/>
    <w:rsid w:val="0046507F"/>
    <w:rsid w:val="00465AAF"/>
    <w:rsid w:val="0048240B"/>
    <w:rsid w:val="004835EE"/>
    <w:rsid w:val="00486007"/>
    <w:rsid w:val="004936D2"/>
    <w:rsid w:val="004939FE"/>
    <w:rsid w:val="0049709A"/>
    <w:rsid w:val="004A02BC"/>
    <w:rsid w:val="004A054C"/>
    <w:rsid w:val="004A08DA"/>
    <w:rsid w:val="004A1446"/>
    <w:rsid w:val="004A31CF"/>
    <w:rsid w:val="004A410E"/>
    <w:rsid w:val="004A45BB"/>
    <w:rsid w:val="004A4C96"/>
    <w:rsid w:val="004B247B"/>
    <w:rsid w:val="004B24C0"/>
    <w:rsid w:val="004B4580"/>
    <w:rsid w:val="004B5CE0"/>
    <w:rsid w:val="004C1D45"/>
    <w:rsid w:val="004C4AF6"/>
    <w:rsid w:val="004C729D"/>
    <w:rsid w:val="004D1D6E"/>
    <w:rsid w:val="004E0780"/>
    <w:rsid w:val="004E27AF"/>
    <w:rsid w:val="004F6171"/>
    <w:rsid w:val="005007CC"/>
    <w:rsid w:val="00501C7D"/>
    <w:rsid w:val="00505CE0"/>
    <w:rsid w:val="00515975"/>
    <w:rsid w:val="00521DD8"/>
    <w:rsid w:val="005247B7"/>
    <w:rsid w:val="00524CEB"/>
    <w:rsid w:val="00525EB3"/>
    <w:rsid w:val="00535DF4"/>
    <w:rsid w:val="00563BE2"/>
    <w:rsid w:val="0057036A"/>
    <w:rsid w:val="00572EAF"/>
    <w:rsid w:val="00574334"/>
    <w:rsid w:val="00574E71"/>
    <w:rsid w:val="00584CE8"/>
    <w:rsid w:val="00590A64"/>
    <w:rsid w:val="00597B2D"/>
    <w:rsid w:val="005A090E"/>
    <w:rsid w:val="005A2542"/>
    <w:rsid w:val="005A2C7A"/>
    <w:rsid w:val="005A5F03"/>
    <w:rsid w:val="005B1EB6"/>
    <w:rsid w:val="005E2353"/>
    <w:rsid w:val="005E29A0"/>
    <w:rsid w:val="005E79BD"/>
    <w:rsid w:val="005F7B1A"/>
    <w:rsid w:val="00602174"/>
    <w:rsid w:val="00604CF2"/>
    <w:rsid w:val="00610704"/>
    <w:rsid w:val="006115F9"/>
    <w:rsid w:val="0061308A"/>
    <w:rsid w:val="006167AE"/>
    <w:rsid w:val="006174D5"/>
    <w:rsid w:val="006313D2"/>
    <w:rsid w:val="0064083E"/>
    <w:rsid w:val="00640A88"/>
    <w:rsid w:val="00647B04"/>
    <w:rsid w:val="00652253"/>
    <w:rsid w:val="00652EA5"/>
    <w:rsid w:val="00662ACF"/>
    <w:rsid w:val="0066626A"/>
    <w:rsid w:val="006719AA"/>
    <w:rsid w:val="006912DC"/>
    <w:rsid w:val="006A1095"/>
    <w:rsid w:val="006B4A4F"/>
    <w:rsid w:val="006C42A5"/>
    <w:rsid w:val="006C4B5D"/>
    <w:rsid w:val="006C51CA"/>
    <w:rsid w:val="006C5330"/>
    <w:rsid w:val="006D2540"/>
    <w:rsid w:val="006E4D06"/>
    <w:rsid w:val="006F187A"/>
    <w:rsid w:val="006F1EB2"/>
    <w:rsid w:val="006F390D"/>
    <w:rsid w:val="00716710"/>
    <w:rsid w:val="0071717B"/>
    <w:rsid w:val="00717B37"/>
    <w:rsid w:val="00720A19"/>
    <w:rsid w:val="00721BE4"/>
    <w:rsid w:val="007314EE"/>
    <w:rsid w:val="00734693"/>
    <w:rsid w:val="00734DA7"/>
    <w:rsid w:val="00737832"/>
    <w:rsid w:val="00737DDF"/>
    <w:rsid w:val="007444BF"/>
    <w:rsid w:val="00745E9F"/>
    <w:rsid w:val="007509AE"/>
    <w:rsid w:val="00751B1F"/>
    <w:rsid w:val="00755931"/>
    <w:rsid w:val="007608DC"/>
    <w:rsid w:val="00761510"/>
    <w:rsid w:val="0076742F"/>
    <w:rsid w:val="00767BEB"/>
    <w:rsid w:val="00773331"/>
    <w:rsid w:val="0078226E"/>
    <w:rsid w:val="007932EF"/>
    <w:rsid w:val="007B7CDB"/>
    <w:rsid w:val="007C0994"/>
    <w:rsid w:val="007C109D"/>
    <w:rsid w:val="007C3C30"/>
    <w:rsid w:val="007D3876"/>
    <w:rsid w:val="007E0419"/>
    <w:rsid w:val="007E05B0"/>
    <w:rsid w:val="007E2885"/>
    <w:rsid w:val="007E5DC3"/>
    <w:rsid w:val="007F1E5F"/>
    <w:rsid w:val="007F28C2"/>
    <w:rsid w:val="00805575"/>
    <w:rsid w:val="0080603F"/>
    <w:rsid w:val="00806079"/>
    <w:rsid w:val="00807996"/>
    <w:rsid w:val="00812011"/>
    <w:rsid w:val="008218F1"/>
    <w:rsid w:val="00826F61"/>
    <w:rsid w:val="008521D8"/>
    <w:rsid w:val="00857077"/>
    <w:rsid w:val="00864488"/>
    <w:rsid w:val="008745A8"/>
    <w:rsid w:val="00874D22"/>
    <w:rsid w:val="00876432"/>
    <w:rsid w:val="00877CD3"/>
    <w:rsid w:val="00884AEC"/>
    <w:rsid w:val="00884BE9"/>
    <w:rsid w:val="00887460"/>
    <w:rsid w:val="008A2914"/>
    <w:rsid w:val="008A2FB5"/>
    <w:rsid w:val="008A349A"/>
    <w:rsid w:val="008A4DA6"/>
    <w:rsid w:val="008B0C5F"/>
    <w:rsid w:val="008B6887"/>
    <w:rsid w:val="008D1730"/>
    <w:rsid w:val="008E0434"/>
    <w:rsid w:val="008E4D8E"/>
    <w:rsid w:val="008E6430"/>
    <w:rsid w:val="008F604A"/>
    <w:rsid w:val="009001E7"/>
    <w:rsid w:val="009022BD"/>
    <w:rsid w:val="00907BD9"/>
    <w:rsid w:val="009128E8"/>
    <w:rsid w:val="00925A43"/>
    <w:rsid w:val="0092610F"/>
    <w:rsid w:val="009332C5"/>
    <w:rsid w:val="009457D6"/>
    <w:rsid w:val="009553CE"/>
    <w:rsid w:val="00960591"/>
    <w:rsid w:val="00961DD5"/>
    <w:rsid w:val="00963FAE"/>
    <w:rsid w:val="00964575"/>
    <w:rsid w:val="00974C3E"/>
    <w:rsid w:val="009A0AE5"/>
    <w:rsid w:val="009A3AE5"/>
    <w:rsid w:val="009A3D44"/>
    <w:rsid w:val="009A58BD"/>
    <w:rsid w:val="009A6097"/>
    <w:rsid w:val="009B2404"/>
    <w:rsid w:val="009B5831"/>
    <w:rsid w:val="009B7D25"/>
    <w:rsid w:val="009C0663"/>
    <w:rsid w:val="009D22A7"/>
    <w:rsid w:val="009D3601"/>
    <w:rsid w:val="009E0E7F"/>
    <w:rsid w:val="009E1F10"/>
    <w:rsid w:val="009E537D"/>
    <w:rsid w:val="009E71D2"/>
    <w:rsid w:val="009E7DC8"/>
    <w:rsid w:val="009F2A33"/>
    <w:rsid w:val="00A0493E"/>
    <w:rsid w:val="00A07CCD"/>
    <w:rsid w:val="00A14A11"/>
    <w:rsid w:val="00A17E58"/>
    <w:rsid w:val="00A24096"/>
    <w:rsid w:val="00A31CE1"/>
    <w:rsid w:val="00A33C90"/>
    <w:rsid w:val="00A413F5"/>
    <w:rsid w:val="00A42C66"/>
    <w:rsid w:val="00A4723D"/>
    <w:rsid w:val="00A50ED8"/>
    <w:rsid w:val="00A5101E"/>
    <w:rsid w:val="00A5302E"/>
    <w:rsid w:val="00A55E65"/>
    <w:rsid w:val="00A57C81"/>
    <w:rsid w:val="00A91E83"/>
    <w:rsid w:val="00AA01A6"/>
    <w:rsid w:val="00AA123C"/>
    <w:rsid w:val="00AC1FA4"/>
    <w:rsid w:val="00AC557F"/>
    <w:rsid w:val="00AD5503"/>
    <w:rsid w:val="00AE00CC"/>
    <w:rsid w:val="00AE1015"/>
    <w:rsid w:val="00AE3150"/>
    <w:rsid w:val="00AE4F8C"/>
    <w:rsid w:val="00AE562C"/>
    <w:rsid w:val="00AF3D3D"/>
    <w:rsid w:val="00B0210F"/>
    <w:rsid w:val="00B04493"/>
    <w:rsid w:val="00B12559"/>
    <w:rsid w:val="00B14B19"/>
    <w:rsid w:val="00B2676F"/>
    <w:rsid w:val="00B31A5C"/>
    <w:rsid w:val="00B52FE1"/>
    <w:rsid w:val="00B54E72"/>
    <w:rsid w:val="00B61CB5"/>
    <w:rsid w:val="00B64D2D"/>
    <w:rsid w:val="00B64FB9"/>
    <w:rsid w:val="00B71C91"/>
    <w:rsid w:val="00B71DE1"/>
    <w:rsid w:val="00B74CA8"/>
    <w:rsid w:val="00B80C6E"/>
    <w:rsid w:val="00B9586E"/>
    <w:rsid w:val="00BA72A6"/>
    <w:rsid w:val="00BB4097"/>
    <w:rsid w:val="00BC2A61"/>
    <w:rsid w:val="00BC7B5C"/>
    <w:rsid w:val="00BE4635"/>
    <w:rsid w:val="00BE58F2"/>
    <w:rsid w:val="00C01707"/>
    <w:rsid w:val="00C07851"/>
    <w:rsid w:val="00C12301"/>
    <w:rsid w:val="00C15F72"/>
    <w:rsid w:val="00C17994"/>
    <w:rsid w:val="00C20BE1"/>
    <w:rsid w:val="00C23AFD"/>
    <w:rsid w:val="00C25995"/>
    <w:rsid w:val="00C313A6"/>
    <w:rsid w:val="00C33729"/>
    <w:rsid w:val="00C35CD3"/>
    <w:rsid w:val="00C445E7"/>
    <w:rsid w:val="00C53B29"/>
    <w:rsid w:val="00C57A14"/>
    <w:rsid w:val="00C60F6C"/>
    <w:rsid w:val="00C72351"/>
    <w:rsid w:val="00C724BB"/>
    <w:rsid w:val="00C72925"/>
    <w:rsid w:val="00C90790"/>
    <w:rsid w:val="00C92258"/>
    <w:rsid w:val="00C925CF"/>
    <w:rsid w:val="00C97833"/>
    <w:rsid w:val="00CA0C9C"/>
    <w:rsid w:val="00CA7102"/>
    <w:rsid w:val="00CA7BB4"/>
    <w:rsid w:val="00CB6D27"/>
    <w:rsid w:val="00CD4461"/>
    <w:rsid w:val="00CF4E24"/>
    <w:rsid w:val="00D00CFE"/>
    <w:rsid w:val="00D07EEB"/>
    <w:rsid w:val="00D11806"/>
    <w:rsid w:val="00D20381"/>
    <w:rsid w:val="00D21F74"/>
    <w:rsid w:val="00D263CB"/>
    <w:rsid w:val="00D3058D"/>
    <w:rsid w:val="00D43783"/>
    <w:rsid w:val="00D45FC2"/>
    <w:rsid w:val="00D46373"/>
    <w:rsid w:val="00D52A03"/>
    <w:rsid w:val="00D52C91"/>
    <w:rsid w:val="00D54107"/>
    <w:rsid w:val="00D618D7"/>
    <w:rsid w:val="00D7100C"/>
    <w:rsid w:val="00D7765B"/>
    <w:rsid w:val="00D81CD9"/>
    <w:rsid w:val="00D86C9D"/>
    <w:rsid w:val="00D90B68"/>
    <w:rsid w:val="00D92912"/>
    <w:rsid w:val="00DA7A81"/>
    <w:rsid w:val="00DB44D7"/>
    <w:rsid w:val="00DC366A"/>
    <w:rsid w:val="00DD1E2E"/>
    <w:rsid w:val="00DD7529"/>
    <w:rsid w:val="00DE281C"/>
    <w:rsid w:val="00DE4DAE"/>
    <w:rsid w:val="00E03103"/>
    <w:rsid w:val="00E1129F"/>
    <w:rsid w:val="00E118B5"/>
    <w:rsid w:val="00E12F36"/>
    <w:rsid w:val="00E24B83"/>
    <w:rsid w:val="00E2654F"/>
    <w:rsid w:val="00E30804"/>
    <w:rsid w:val="00E4672C"/>
    <w:rsid w:val="00E46E97"/>
    <w:rsid w:val="00E53620"/>
    <w:rsid w:val="00E55288"/>
    <w:rsid w:val="00E63303"/>
    <w:rsid w:val="00E75C7A"/>
    <w:rsid w:val="00E76028"/>
    <w:rsid w:val="00E83C21"/>
    <w:rsid w:val="00E84785"/>
    <w:rsid w:val="00E86182"/>
    <w:rsid w:val="00E90F9C"/>
    <w:rsid w:val="00E92B92"/>
    <w:rsid w:val="00EA1A11"/>
    <w:rsid w:val="00EA5DBE"/>
    <w:rsid w:val="00ED6CE7"/>
    <w:rsid w:val="00EE2E8A"/>
    <w:rsid w:val="00EE3141"/>
    <w:rsid w:val="00EF4BD2"/>
    <w:rsid w:val="00EF6A0C"/>
    <w:rsid w:val="00F04B83"/>
    <w:rsid w:val="00F1451E"/>
    <w:rsid w:val="00F256D7"/>
    <w:rsid w:val="00F36DE4"/>
    <w:rsid w:val="00F42F7A"/>
    <w:rsid w:val="00F4402A"/>
    <w:rsid w:val="00F477E0"/>
    <w:rsid w:val="00F51745"/>
    <w:rsid w:val="00F57C7D"/>
    <w:rsid w:val="00F635B2"/>
    <w:rsid w:val="00F63791"/>
    <w:rsid w:val="00F7058A"/>
    <w:rsid w:val="00F96BEA"/>
    <w:rsid w:val="00FC38F8"/>
    <w:rsid w:val="00FC5E08"/>
    <w:rsid w:val="00FD1835"/>
    <w:rsid w:val="00FD614D"/>
    <w:rsid w:val="00FD615E"/>
    <w:rsid w:val="00FE68F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5:docId w15:val="{192D4241-1389-484E-8E39-41698BA6A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bg-BG"/>
    </w:rPr>
  </w:style>
  <w:style w:type="paragraph" w:styleId="Heading1">
    <w:name w:val="heading 1"/>
    <w:basedOn w:val="Normal"/>
    <w:next w:val="Text1"/>
    <w:link w:val="Heading1Char"/>
    <w:uiPriority w:val="9"/>
    <w:qFormat/>
    <w:pPr>
      <w:keepNext/>
      <w:numPr>
        <w:numId w:val="2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9"/>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9"/>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9"/>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9"/>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C97833"/>
    <w:pPr>
      <w:numPr>
        <w:numId w:val="1"/>
      </w:numPr>
    </w:pPr>
    <w:rPr>
      <w:rFonts w:eastAsia="Times New Roman"/>
      <w:lang w:eastAsia="en-GB"/>
    </w:rPr>
  </w:style>
  <w:style w:type="paragraph" w:styleId="EndnoteText">
    <w:name w:val="endnote text"/>
    <w:basedOn w:val="Normal"/>
    <w:link w:val="EndnoteTextChar"/>
    <w:uiPriority w:val="99"/>
    <w:semiHidden/>
    <w:unhideWhenUsed/>
    <w:rsid w:val="00C97833"/>
    <w:pPr>
      <w:spacing w:before="0" w:after="0"/>
    </w:pPr>
    <w:rPr>
      <w:sz w:val="20"/>
      <w:szCs w:val="20"/>
    </w:rPr>
  </w:style>
  <w:style w:type="character" w:customStyle="1" w:styleId="EndnoteTextChar">
    <w:name w:val="Endnote Text Char"/>
    <w:basedOn w:val="DefaultParagraphFont"/>
    <w:link w:val="EndnoteText"/>
    <w:uiPriority w:val="99"/>
    <w:semiHidden/>
    <w:rsid w:val="00C97833"/>
    <w:rPr>
      <w:rFonts w:ascii="Times New Roman" w:hAnsi="Times New Roman" w:cs="Times New Roman"/>
      <w:sz w:val="20"/>
      <w:szCs w:val="20"/>
      <w:lang w:val="bg-BG"/>
    </w:rPr>
  </w:style>
  <w:style w:type="character" w:styleId="EndnoteReference">
    <w:name w:val="endnote reference"/>
    <w:basedOn w:val="DefaultParagraphFont"/>
    <w:uiPriority w:val="99"/>
    <w:semiHidden/>
    <w:unhideWhenUsed/>
    <w:rsid w:val="00C97833"/>
    <w:rPr>
      <w:vertAlign w:val="superscript"/>
    </w:rPr>
  </w:style>
  <w:style w:type="character" w:styleId="Hyperlink">
    <w:name w:val="Hyperlink"/>
    <w:basedOn w:val="DefaultParagraphFont"/>
    <w:uiPriority w:val="99"/>
    <w:unhideWhenUsed/>
    <w:rsid w:val="004A1446"/>
    <w:rPr>
      <w:color w:val="0000FF" w:themeColor="hyperlink"/>
      <w:u w:val="single"/>
    </w:rPr>
  </w:style>
  <w:style w:type="character" w:styleId="CommentReference">
    <w:name w:val="annotation reference"/>
    <w:basedOn w:val="DefaultParagraphFont"/>
    <w:uiPriority w:val="99"/>
    <w:semiHidden/>
    <w:unhideWhenUsed/>
    <w:rsid w:val="004A1446"/>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bg-BG"/>
    </w:rPr>
  </w:style>
  <w:style w:type="paragraph" w:styleId="BalloonText">
    <w:name w:val="Balloon Text"/>
    <w:basedOn w:val="Normal"/>
    <w:link w:val="BalloonTextChar"/>
    <w:uiPriority w:val="99"/>
    <w:semiHidden/>
    <w:unhideWhenUsed/>
    <w:rsid w:val="001D4BEF"/>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4BEF"/>
    <w:rPr>
      <w:rFonts w:ascii="Segoe UI" w:hAnsi="Segoe UI" w:cs="Segoe UI"/>
      <w:sz w:val="18"/>
      <w:szCs w:val="18"/>
      <w:lang w:val="bg-BG"/>
    </w:rPr>
  </w:style>
  <w:style w:type="paragraph" w:styleId="ListBullet2">
    <w:name w:val="List Bullet 2"/>
    <w:basedOn w:val="Normal"/>
    <w:uiPriority w:val="99"/>
    <w:semiHidden/>
    <w:unhideWhenUsed/>
    <w:rsid w:val="00BE4635"/>
    <w:pPr>
      <w:numPr>
        <w:numId w:val="2"/>
      </w:numPr>
      <w:contextualSpacing/>
    </w:pPr>
  </w:style>
  <w:style w:type="paragraph" w:styleId="ListBullet3">
    <w:name w:val="List Bullet 3"/>
    <w:basedOn w:val="Normal"/>
    <w:uiPriority w:val="99"/>
    <w:semiHidden/>
    <w:unhideWhenUsed/>
    <w:rsid w:val="00BE4635"/>
    <w:pPr>
      <w:numPr>
        <w:numId w:val="3"/>
      </w:numPr>
      <w:contextualSpacing/>
    </w:pPr>
  </w:style>
  <w:style w:type="paragraph" w:styleId="ListBullet4">
    <w:name w:val="List Bullet 4"/>
    <w:basedOn w:val="Normal"/>
    <w:uiPriority w:val="99"/>
    <w:semiHidden/>
    <w:unhideWhenUsed/>
    <w:rsid w:val="00BE4635"/>
    <w:pPr>
      <w:numPr>
        <w:numId w:val="4"/>
      </w:numPr>
      <w:contextualSpacing/>
    </w:pPr>
  </w:style>
  <w:style w:type="paragraph" w:styleId="CommentSubject">
    <w:name w:val="annotation subject"/>
    <w:basedOn w:val="CommentText"/>
    <w:next w:val="CommentText"/>
    <w:link w:val="CommentSubjectChar"/>
    <w:uiPriority w:val="99"/>
    <w:semiHidden/>
    <w:unhideWhenUsed/>
    <w:rsid w:val="00E63303"/>
    <w:rPr>
      <w:b/>
      <w:bCs/>
    </w:rPr>
  </w:style>
  <w:style w:type="character" w:customStyle="1" w:styleId="CommentSubjectChar">
    <w:name w:val="Comment Subject Char"/>
    <w:basedOn w:val="CommentTextChar"/>
    <w:link w:val="CommentSubject"/>
    <w:uiPriority w:val="99"/>
    <w:semiHidden/>
    <w:rsid w:val="00E63303"/>
    <w:rPr>
      <w:rFonts w:ascii="Times New Roman" w:hAnsi="Times New Roman" w:cs="Times New Roman"/>
      <w:b/>
      <w:bCs/>
      <w:sz w:val="20"/>
      <w:szCs w:val="20"/>
      <w:lang w:val="bg-BG"/>
    </w:rPr>
  </w:style>
  <w:style w:type="character" w:customStyle="1" w:styleId="UnresolvedMention1">
    <w:name w:val="Unresolved Mention1"/>
    <w:basedOn w:val="DefaultParagraphFont"/>
    <w:uiPriority w:val="99"/>
    <w:semiHidden/>
    <w:unhideWhenUsed/>
    <w:rsid w:val="001105BF"/>
    <w:rPr>
      <w:color w:val="605E5C"/>
      <w:shd w:val="clear" w:color="auto" w:fill="E1DFDD"/>
    </w:rPr>
  </w:style>
  <w:style w:type="paragraph" w:styleId="Revision">
    <w:name w:val="Revision"/>
    <w:hidden/>
    <w:uiPriority w:val="99"/>
    <w:semiHidden/>
    <w:rsid w:val="0035773F"/>
    <w:pPr>
      <w:spacing w:after="0" w:line="240" w:lineRule="auto"/>
    </w:pPr>
    <w:rPr>
      <w:rFonts w:ascii="Times New Roman" w:hAnsi="Times New Roman" w:cs="Times New Roman"/>
      <w:sz w:val="24"/>
    </w:rPr>
  </w:style>
  <w:style w:type="character" w:customStyle="1" w:styleId="markedcontent">
    <w:name w:val="markedcontent"/>
    <w:basedOn w:val="DefaultParagraphFont"/>
    <w:rsid w:val="007C109D"/>
  </w:style>
  <w:style w:type="character" w:customStyle="1" w:styleId="UnresolvedMention">
    <w:name w:val="Unresolved Mention"/>
    <w:basedOn w:val="DefaultParagraphFont"/>
    <w:uiPriority w:val="99"/>
    <w:semiHidden/>
    <w:unhideWhenUsed/>
    <w:rsid w:val="00F42F7A"/>
    <w:rPr>
      <w:color w:val="605E5C"/>
      <w:shd w:val="clear" w:color="auto" w:fill="E1DFDD"/>
    </w:rPr>
  </w:style>
  <w:style w:type="character" w:customStyle="1" w:styleId="HeaderChar">
    <w:name w:val="Header Char"/>
    <w:basedOn w:val="DefaultParagraphFont"/>
    <w:link w:val="Header"/>
    <w:uiPriority w:val="99"/>
    <w:rsid w:val="00D21F74"/>
    <w:rPr>
      <w:rFonts w:ascii="Times New Roman" w:hAnsi="Times New Roman" w:cs="Times New Roman"/>
      <w:sz w:val="24"/>
      <w:lang w:val="bg-BG"/>
    </w:rPr>
  </w:style>
  <w:style w:type="character" w:customStyle="1" w:styleId="FooterChar">
    <w:name w:val="Footer Char"/>
    <w:basedOn w:val="DefaultParagraphFont"/>
    <w:link w:val="Footer"/>
    <w:uiPriority w:val="99"/>
    <w:rsid w:val="00D21F74"/>
    <w:rPr>
      <w:rFonts w:ascii="Times New Roman" w:hAnsi="Times New Roman" w:cs="Times New Roman"/>
      <w:sz w:val="24"/>
      <w:lang w:val="bg-BG"/>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D21F74"/>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D21F74"/>
    <w:pPr>
      <w:spacing w:before="0"/>
      <w:jc w:val="right"/>
    </w:pPr>
    <w:rPr>
      <w:sz w:val="28"/>
    </w:rPr>
  </w:style>
  <w:style w:type="paragraph" w:customStyle="1" w:styleId="FooterSensitivity">
    <w:name w:val="Footer Sensitivity"/>
    <w:basedOn w:val="Normal"/>
    <w:rsid w:val="00D21F74"/>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2"/>
      </w:numPr>
    </w:pPr>
  </w:style>
  <w:style w:type="paragraph" w:customStyle="1" w:styleId="Tiret1">
    <w:name w:val="Tiret 1"/>
    <w:basedOn w:val="Point1"/>
    <w:pPr>
      <w:numPr>
        <w:numId w:val="23"/>
      </w:numPr>
    </w:pPr>
  </w:style>
  <w:style w:type="paragraph" w:customStyle="1" w:styleId="Tiret2">
    <w:name w:val="Tiret 2"/>
    <w:basedOn w:val="Point2"/>
    <w:pPr>
      <w:numPr>
        <w:numId w:val="24"/>
      </w:numPr>
    </w:pPr>
  </w:style>
  <w:style w:type="paragraph" w:customStyle="1" w:styleId="Tiret3">
    <w:name w:val="Tiret 3"/>
    <w:basedOn w:val="Point3"/>
    <w:pPr>
      <w:numPr>
        <w:numId w:val="25"/>
      </w:numPr>
    </w:pPr>
  </w:style>
  <w:style w:type="paragraph" w:customStyle="1" w:styleId="Tiret4">
    <w:name w:val="Tiret 4"/>
    <w:basedOn w:val="Point4"/>
    <w:pPr>
      <w:numPr>
        <w:numId w:val="26"/>
      </w:numPr>
    </w:pPr>
  </w:style>
  <w:style w:type="paragraph" w:customStyle="1" w:styleId="Tiret5">
    <w:name w:val="Tiret 5"/>
    <w:basedOn w:val="Point5"/>
    <w:pPr>
      <w:numPr>
        <w:numId w:val="2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8"/>
      </w:numPr>
    </w:pPr>
  </w:style>
  <w:style w:type="paragraph" w:customStyle="1" w:styleId="NumPar2">
    <w:name w:val="NumPar 2"/>
    <w:basedOn w:val="Normal"/>
    <w:next w:val="Text1"/>
    <w:pPr>
      <w:numPr>
        <w:ilvl w:val="1"/>
        <w:numId w:val="28"/>
      </w:numPr>
    </w:pPr>
  </w:style>
  <w:style w:type="paragraph" w:customStyle="1" w:styleId="NumPar3">
    <w:name w:val="NumPar 3"/>
    <w:basedOn w:val="Normal"/>
    <w:next w:val="Text1"/>
    <w:pPr>
      <w:numPr>
        <w:ilvl w:val="2"/>
        <w:numId w:val="28"/>
      </w:numPr>
    </w:pPr>
  </w:style>
  <w:style w:type="paragraph" w:customStyle="1" w:styleId="NumPar4">
    <w:name w:val="NumPar 4"/>
    <w:basedOn w:val="Normal"/>
    <w:next w:val="Text1"/>
    <w:pPr>
      <w:numPr>
        <w:ilvl w:val="3"/>
        <w:numId w:val="28"/>
      </w:numPr>
    </w:pPr>
  </w:style>
  <w:style w:type="paragraph" w:customStyle="1" w:styleId="NumPar5">
    <w:name w:val="NumPar 5"/>
    <w:basedOn w:val="Normal"/>
    <w:next w:val="Text2"/>
    <w:pPr>
      <w:numPr>
        <w:ilvl w:val="4"/>
        <w:numId w:val="28"/>
      </w:numPr>
    </w:pPr>
  </w:style>
  <w:style w:type="paragraph" w:customStyle="1" w:styleId="NumPar6">
    <w:name w:val="NumPar 6"/>
    <w:basedOn w:val="Normal"/>
    <w:next w:val="Text2"/>
    <w:pPr>
      <w:numPr>
        <w:ilvl w:val="5"/>
        <w:numId w:val="28"/>
      </w:numPr>
    </w:pPr>
  </w:style>
  <w:style w:type="paragraph" w:customStyle="1" w:styleId="NumPar7">
    <w:name w:val="NumPar 7"/>
    <w:basedOn w:val="Normal"/>
    <w:next w:val="Text2"/>
    <w:pPr>
      <w:numPr>
        <w:ilvl w:val="6"/>
        <w:numId w:val="2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0"/>
      </w:numPr>
    </w:pPr>
  </w:style>
  <w:style w:type="paragraph" w:customStyle="1" w:styleId="Point1number">
    <w:name w:val="Point 1 (number)"/>
    <w:basedOn w:val="Normal"/>
    <w:pPr>
      <w:numPr>
        <w:ilvl w:val="2"/>
        <w:numId w:val="30"/>
      </w:numPr>
    </w:pPr>
  </w:style>
  <w:style w:type="paragraph" w:customStyle="1" w:styleId="Point2number">
    <w:name w:val="Point 2 (number)"/>
    <w:basedOn w:val="Normal"/>
    <w:pPr>
      <w:numPr>
        <w:ilvl w:val="4"/>
        <w:numId w:val="30"/>
      </w:numPr>
    </w:pPr>
  </w:style>
  <w:style w:type="paragraph" w:customStyle="1" w:styleId="Point3number">
    <w:name w:val="Point 3 (number)"/>
    <w:basedOn w:val="Normal"/>
    <w:pPr>
      <w:numPr>
        <w:ilvl w:val="6"/>
        <w:numId w:val="30"/>
      </w:numPr>
    </w:pPr>
  </w:style>
  <w:style w:type="paragraph" w:customStyle="1" w:styleId="Point0letter">
    <w:name w:val="Point 0 (letter)"/>
    <w:basedOn w:val="Normal"/>
    <w:pPr>
      <w:numPr>
        <w:ilvl w:val="1"/>
        <w:numId w:val="30"/>
      </w:numPr>
    </w:pPr>
  </w:style>
  <w:style w:type="paragraph" w:customStyle="1" w:styleId="Point1letter">
    <w:name w:val="Point 1 (letter)"/>
    <w:basedOn w:val="Normal"/>
    <w:pPr>
      <w:numPr>
        <w:ilvl w:val="3"/>
        <w:numId w:val="30"/>
      </w:numPr>
    </w:pPr>
  </w:style>
  <w:style w:type="paragraph" w:customStyle="1" w:styleId="Point2letter">
    <w:name w:val="Point 2 (letter)"/>
    <w:basedOn w:val="Normal"/>
    <w:pPr>
      <w:numPr>
        <w:ilvl w:val="5"/>
        <w:numId w:val="30"/>
      </w:numPr>
    </w:pPr>
  </w:style>
  <w:style w:type="paragraph" w:customStyle="1" w:styleId="Point3letter">
    <w:name w:val="Point 3 (letter)"/>
    <w:basedOn w:val="Normal"/>
    <w:pPr>
      <w:numPr>
        <w:ilvl w:val="7"/>
        <w:numId w:val="30"/>
      </w:numPr>
    </w:pPr>
  </w:style>
  <w:style w:type="paragraph" w:customStyle="1" w:styleId="Point4letter">
    <w:name w:val="Point 4 (letter)"/>
    <w:basedOn w:val="Normal"/>
    <w:pPr>
      <w:numPr>
        <w:ilvl w:val="8"/>
        <w:numId w:val="30"/>
      </w:numPr>
    </w:pPr>
  </w:style>
  <w:style w:type="paragraph" w:customStyle="1" w:styleId="Bullet0">
    <w:name w:val="Bullet 0"/>
    <w:basedOn w:val="Normal"/>
    <w:pPr>
      <w:numPr>
        <w:numId w:val="31"/>
      </w:numPr>
    </w:pPr>
  </w:style>
  <w:style w:type="paragraph" w:customStyle="1" w:styleId="Bullet1">
    <w:name w:val="Bullet 1"/>
    <w:basedOn w:val="Normal"/>
    <w:pPr>
      <w:numPr>
        <w:numId w:val="32"/>
      </w:numPr>
    </w:pPr>
  </w:style>
  <w:style w:type="paragraph" w:customStyle="1" w:styleId="Bullet2">
    <w:name w:val="Bullet 2"/>
    <w:basedOn w:val="Normal"/>
    <w:pPr>
      <w:numPr>
        <w:numId w:val="33"/>
      </w:numPr>
    </w:pPr>
  </w:style>
  <w:style w:type="paragraph" w:customStyle="1" w:styleId="Bullet3">
    <w:name w:val="Bullet 3"/>
    <w:basedOn w:val="Normal"/>
    <w:pPr>
      <w:numPr>
        <w:numId w:val="34"/>
      </w:numPr>
    </w:pPr>
  </w:style>
  <w:style w:type="paragraph" w:customStyle="1" w:styleId="Bullet4">
    <w:name w:val="Bullet 4"/>
    <w:basedOn w:val="Normal"/>
    <w:pPr>
      <w:numPr>
        <w:numId w:val="3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rsid w:val="00E664ED"/>
    <w:pPr>
      <w:spacing w:before="360" w:after="24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rsid w:val="00E664ED"/>
    <w:pPr>
      <w:spacing w:after="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Normal"/>
    <w:rsid w:val="00E664ED"/>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Rfrencecroise"/>
    <w:rsid w:val="00E664ED"/>
    <w:pPr>
      <w:spacing w:before="360" w:after="240"/>
      <w:jc w:val="center"/>
    </w:pPr>
  </w:style>
  <w:style w:type="paragraph" w:styleId="Header">
    <w:name w:val="header"/>
    <w:basedOn w:val="Normal"/>
    <w:link w:val="HeaderChar"/>
    <w:uiPriority w:val="99"/>
    <w:unhideWhenUsed/>
    <w:rsid w:val="00D21F74"/>
    <w:pPr>
      <w:tabs>
        <w:tab w:val="center" w:pos="4535"/>
        <w:tab w:val="right" w:pos="9071"/>
      </w:tabs>
      <w:spacing w:before="0"/>
    </w:pPr>
  </w:style>
  <w:style w:type="paragraph" w:customStyle="1" w:styleId="HeaderLandscape">
    <w:name w:val="HeaderLandscape"/>
    <w:basedOn w:val="Normal"/>
    <w:rsid w:val="00D21F74"/>
    <w:pPr>
      <w:tabs>
        <w:tab w:val="center" w:pos="7285"/>
        <w:tab w:val="right" w:pos="14003"/>
      </w:tabs>
      <w:spacing w:before="0"/>
    </w:pPr>
  </w:style>
  <w:style w:type="paragraph" w:styleId="Footer">
    <w:name w:val="footer"/>
    <w:basedOn w:val="Normal"/>
    <w:link w:val="FooterChar"/>
    <w:uiPriority w:val="99"/>
    <w:unhideWhenUsed/>
    <w:rsid w:val="00D21F74"/>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D21F74"/>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96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AAB5F7-FABD-4F8D-9300-1043EE7DB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4</TotalTime>
  <Pages>9</Pages>
  <Words>2739</Words>
  <Characters>15614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17</cp:revision>
  <cp:lastPrinted>2023-06-12T07:58:00Z</cp:lastPrinted>
  <dcterms:created xsi:type="dcterms:W3CDTF">2026-04-14T12:22:00Z</dcterms:created>
  <dcterms:modified xsi:type="dcterms:W3CDTF">2026-04-15T08:03:00Z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9.2, Build 20250828</vt:lpwstr>
  </property>
  <property fmtid="{D5CDD505-2E9C-101B-9397-08002B2CF9AE}" pid="5" name="Created using">
    <vt:lpwstr>LW 9.0, Build 20230317</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SJ-020</vt:lpwstr>
  </property>
  <property fmtid="{D5CDD505-2E9C-101B-9397-08002B2CF9AE}" pid="10" name="MSIP_Label_6bd9ddd1-4d20-43f6-abfa-fc3c07406f94_Enabled">
    <vt:lpwstr>true</vt:lpwstr>
  </property>
  <property fmtid="{D5CDD505-2E9C-101B-9397-08002B2CF9AE}" pid="11" name="MSIP_Label_6bd9ddd1-4d20-43f6-abfa-fc3c07406f94_SetDate">
    <vt:lpwstr>2023-06-01T14:21:22Z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6755c492-748d-4b2f-b431-6bf71fb82070</vt:lpwstr>
  </property>
  <property fmtid="{D5CDD505-2E9C-101B-9397-08002B2CF9AE}" pid="16" name="MSIP_Label_6bd9ddd1-4d20-43f6-abfa-fc3c07406f94_ContentBits">
    <vt:lpwstr>0</vt:lpwstr>
  </property>
  <property fmtid="{D5CDD505-2E9C-101B-9397-08002B2CF9AE}" pid="17" name="DQCStatus">
    <vt:lpwstr>Green (DQC version 03)</vt:lpwstr>
  </property>
  <property name="OP_sanitized" fmtid="{D5CDD505-2E9C-101B-9397-08002B2CF9AE}" pid="18">
    <vt:lpwstr>True</vt:lpwstr>
  </property>
</Properties>
</file>