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92" w:rsidRPr="007F121C" w:rsidRDefault="000F007F" w:rsidP="000F007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372DFD2-2A06-4C79-B779-B4B4BA7163BA" style="width:455.25pt;height:384.75pt">
            <v:imagedata r:id="rId11" o:title=""/>
          </v:shape>
        </w:pict>
      </w:r>
    </w:p>
    <w:p w:rsidR="00E66492" w:rsidRPr="007F121C" w:rsidRDefault="00E66492" w:rsidP="00E66492">
      <w:pPr>
        <w:rPr>
          <w:noProof/>
        </w:rPr>
        <w:sectPr w:rsidR="00E66492" w:rsidRPr="007F121C" w:rsidSect="000F007F">
          <w:footerReference w:type="even" r:id="rId12"/>
          <w:footerReference w:type="default" r:id="rId13"/>
          <w:pgSz w:w="11907" w:h="16839"/>
          <w:pgMar w:top="1134" w:right="1417" w:bottom="1134" w:left="1417" w:header="709" w:footer="709" w:gutter="0"/>
          <w:pgNumType w:start="0"/>
          <w:cols w:space="720"/>
          <w:docGrid w:linePitch="360"/>
        </w:sectPr>
      </w:pPr>
    </w:p>
    <w:p w:rsidR="00E66492" w:rsidRPr="007F121C" w:rsidRDefault="00E66492" w:rsidP="00BB6B30">
      <w:pPr>
        <w:pStyle w:val="Exposdesmotifstitre"/>
        <w:rPr>
          <w:noProof/>
        </w:rPr>
      </w:pPr>
      <w:bookmarkStart w:id="0" w:name="_GoBack"/>
      <w:bookmarkEnd w:id="0"/>
      <w:r w:rsidRPr="007F121C">
        <w:rPr>
          <w:noProof/>
        </w:rPr>
        <w:lastRenderedPageBreak/>
        <w:t>ОБЯСНИТЕЛЕН МЕМОРАНДУМ</w:t>
      </w:r>
    </w:p>
    <w:p w:rsidR="00E66492" w:rsidRPr="007F121C" w:rsidRDefault="00E66492" w:rsidP="00BB6B30">
      <w:pPr>
        <w:pStyle w:val="ManualHeading1"/>
        <w:rPr>
          <w:noProof/>
        </w:rPr>
      </w:pPr>
      <w:r w:rsidRPr="007F121C">
        <w:rPr>
          <w:noProof/>
        </w:rPr>
        <w:t>1.</w:t>
      </w:r>
      <w:r w:rsidRPr="007F121C">
        <w:rPr>
          <w:noProof/>
        </w:rPr>
        <w:tab/>
        <w:t>КОНТЕКСТ НА ПРЕДЛОЖЕНИЕТО</w:t>
      </w:r>
    </w:p>
    <w:p w:rsidR="00E66492" w:rsidRPr="007F121C" w:rsidRDefault="00E66492" w:rsidP="00044058">
      <w:pPr>
        <w:pStyle w:val="ManualHeading2"/>
        <w:rPr>
          <w:rFonts w:eastAsia="Arial Unicode MS"/>
          <w:noProof/>
        </w:rPr>
      </w:pPr>
      <w:r w:rsidRPr="007F121C">
        <w:rPr>
          <w:noProof/>
          <w:color w:val="000000"/>
          <w:u w:color="000000"/>
          <w:bdr w:val="nil"/>
        </w:rPr>
        <w:t>•</w:t>
      </w:r>
      <w:r w:rsidRPr="007F121C">
        <w:rPr>
          <w:noProof/>
        </w:rPr>
        <w:tab/>
        <w:t>Основания и цели на предложението</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Настоящото решение се отнася до предложение от името на Европейския съюз за включване на веществото бис(2-етилхексилов) тетрабромофталат (TBPH) в приложение А или приложение Б към Стокхолмската конвенция за устойчивите органични замърсители („Конвенцията“). Предложението е първата стъпка в процес, който ще отнеме най-малко три години, преди страните по Конвенцията да могат да вземат обвързващо решение.</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 xml:space="preserve">Предложението се основава на научна оценка, която показва, че веществото отговаря на обективните критерии, установени от Конвенцията с цел идентифициране на устойчивите органични замърсители (УОЗ). Благодарение на усъвършенстваното законодателство на ЕС в областта на химикалите и богатите източници на данни ЕС разполага с много обширни познания за химикалите, включително за тяхната употреба и безопасност. С тези солидни познания за потенциалните УОЗ, които вече са регулирани или са в процес на регулиране в ЕС, Съюзът се стреми да предприеме действия за контрол на рисковете, породени от тези вещества в световен мащаб, както и да осигури еднакви условия на конкуренция за промишлеността на ЕС в световен мащаб. </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Конвенцията, която беше одобрена с Решение 2006/507/ЕО на Съвета</w:t>
      </w:r>
      <w:r w:rsidRPr="007F121C">
        <w:rPr>
          <w:rStyle w:val="FootnoteReference"/>
          <w:noProof/>
        </w:rPr>
        <w:footnoteReference w:id="1"/>
      </w:r>
      <w:r w:rsidRPr="007F121C">
        <w:rPr>
          <w:noProof/>
        </w:rPr>
        <w:t>, влезе в сила на 17 май 2004 г. Целта на Конвенцията е да се опазят човешкото здраве и околната среда от УОЗ. Конвенцията определя рамка, базирана на принципа за предпазливост, с оглед елиминиране на производството, употребата, вноса и износа на УОЗ, безопасното боравене с тяхното безопасно обезвреждане, както и елиминиране или намаляване на някои непреднамерени емисии на УОЗ.</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С Регламент (ЕС) № 2019/1021 на Европейския парламент и на Съвета</w:t>
      </w:r>
      <w:r w:rsidRPr="007F121C">
        <w:rPr>
          <w:rStyle w:val="FootnoteReference"/>
          <w:noProof/>
        </w:rPr>
        <w:footnoteReference w:id="2"/>
      </w:r>
      <w:r w:rsidRPr="007F121C">
        <w:rPr>
          <w:noProof/>
        </w:rPr>
        <w:t xml:space="preserve"> в правото на Съюза се въвеждат задълженията, установени в Конвенцията и в Протокола за устойчивите органични замърсители към Конвенцията за трансгранично замърсяване на въздуха на далечни разстояния от 1979 г. („Протокола“), одобрен с Решение 2004/259/ЕО на Съвета</w:t>
      </w:r>
      <w:r w:rsidRPr="007F121C">
        <w:rPr>
          <w:rStyle w:val="FootnoteReference"/>
          <w:noProof/>
        </w:rPr>
        <w:footnoteReference w:id="3"/>
      </w:r>
      <w:r w:rsidRPr="007F121C">
        <w:rPr>
          <w:noProof/>
        </w:rPr>
        <w:t>.</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 xml:space="preserve">Съгласно член 8, параграф 1 от Конвенцията всяка страна по Конвенцията може да представи предложение пред Секретариата за включване на определено химично вещество в приложение А, Б и/или В към Конвенцията, което впоследствие се разглежда от Комитета за преглед на устойчивите органични замърсители (КПУОЗ) в съответствие с член 8, параграфи 3 и 4. Предложението съдържа информацията, посочена в приложение Г относно „Изисквания към информацията и критерии за </w:t>
      </w:r>
      <w:r w:rsidRPr="007F121C">
        <w:rPr>
          <w:noProof/>
        </w:rPr>
        <w:lastRenderedPageBreak/>
        <w:t xml:space="preserve">проверка“. КПУОЗ разглежда предложението и прилага критериите за проверка, посочена в приложение Г. Когато КПУОЗ реши, че критериите за проверка са спазени, той приканва страните и наблюдателите да представят информацията, определена в </w:t>
      </w:r>
      <w:hyperlink r:id="rId14" w:history="1">
        <w:r w:rsidRPr="007F121C">
          <w:rPr>
            <w:rStyle w:val="Hyperlink"/>
            <w:noProof/>
          </w:rPr>
          <w:t>приложение Д</w:t>
        </w:r>
      </w:hyperlink>
      <w:r w:rsidRPr="007F121C">
        <w:rPr>
          <w:noProof/>
        </w:rPr>
        <w:t xml:space="preserve">, и изготвя профил на риска. Въз основа на профила на риска КПУОЗ взема решение дали има вероятност химичното вещество в резултат на своя пренос на големи разстояния в околната среда да доведе до толкова съществени неблагоприятни въздействия върху здравето на хората и/или върху околната среда, че да се изискват глобални действия. Ако КПУОЗ реши, че предложението се приема, той приканва страните и наблюдателите да представят информация, свързана със социално-икономическите съображения, посочени в </w:t>
      </w:r>
      <w:hyperlink r:id="rId15" w:history="1">
        <w:r w:rsidRPr="007F121C">
          <w:rPr>
            <w:rStyle w:val="Hyperlink"/>
            <w:noProof/>
          </w:rPr>
          <w:t>приложение Е</w:t>
        </w:r>
      </w:hyperlink>
      <w:r w:rsidRPr="007F121C">
        <w:rPr>
          <w:noProof/>
        </w:rPr>
        <w:t>, и изготвя оценка на управлението на риска.</w:t>
      </w:r>
      <w:r w:rsidRPr="007F121C">
        <w:rPr>
          <w:rFonts w:ascii="Roboto" w:hAnsi="Roboto"/>
          <w:noProof/>
          <w:color w:val="000000"/>
          <w:shd w:val="clear" w:color="auto" w:fill="FFFFFF"/>
        </w:rPr>
        <w:t xml:space="preserve"> </w:t>
      </w:r>
      <w:r w:rsidRPr="007F121C">
        <w:rPr>
          <w:noProof/>
        </w:rPr>
        <w:t>Въз основа на профила на риска и оценката на управлението на риска КПУОЗ препоръчва дали химичното вещество да се разгледа от Конференцията на страните за включване в списъците на приложения А, Б и/или В. Въз основа на препоръката на КПУОЗ Конференцията на страните решава дали да включи дадено вещество в приложение А (елиминиране), приложение Б (ограничаване) и/или приложение В (непреднамерено производство). Процедурата за приемане на изменения на приложенията се урежда с член 22 от Конвенцията.</w:t>
      </w:r>
    </w:p>
    <w:p w:rsidR="00137B68" w:rsidRPr="007F121C" w:rsidRDefault="00E56809" w:rsidP="00137B68">
      <w:pPr>
        <w:pBdr>
          <w:top w:val="nil"/>
          <w:left w:val="nil"/>
          <w:bottom w:val="nil"/>
          <w:right w:val="nil"/>
          <w:between w:val="nil"/>
          <w:bar w:val="nil"/>
        </w:pBdr>
        <w:spacing w:before="0" w:after="240"/>
        <w:rPr>
          <w:rFonts w:eastAsia="Arial Unicode MS"/>
          <w:noProof/>
        </w:rPr>
      </w:pPr>
      <w:r w:rsidRPr="007F121C">
        <w:rPr>
          <w:noProof/>
        </w:rPr>
        <w:t>TBPH е бромиран забавител на горенето, идентифициран в ЕС като вещество, пораждащо сериозно безпокойство, в съответствие с член 57, буква д) от Регламент (ЕС) № 1907/2006 поради свойствата си на много устойчиво и много биоакумулиращо (вещество). Според наличните научни данни TBPH е и токсичен и се пренася на големи разстояния, тъй като е бил откриван в отдалечени региони. Поради това TBPH отговаря на критериите от приложение Г към Конвенцията и следва да се смята за потенциален УОЗ. Подробна информация за оценката може да бъде намерена в научното досие, което ще придружава предложението за включване на TBPH в приложение А или приложение Б към Стокхолмската конвенция.</w:t>
      </w:r>
    </w:p>
    <w:p w:rsidR="00137B68" w:rsidRPr="007F121C" w:rsidRDefault="00137B68" w:rsidP="00137B68">
      <w:pPr>
        <w:pBdr>
          <w:top w:val="nil"/>
          <w:left w:val="nil"/>
          <w:bottom w:val="nil"/>
          <w:right w:val="nil"/>
          <w:between w:val="nil"/>
          <w:bar w:val="nil"/>
        </w:pBdr>
        <w:spacing w:before="0" w:after="240"/>
        <w:rPr>
          <w:rFonts w:eastAsia="Arial Unicode MS"/>
          <w:noProof/>
        </w:rPr>
      </w:pPr>
      <w:r w:rsidRPr="007F121C">
        <w:rPr>
          <w:noProof/>
        </w:rPr>
        <w:t>За да може прегледът на досието да започне на следващото заседание на КПУОЗ през октомври 2026 г., крайният срок за представяне на предложение е през април 2026 г. С оглед на компетенциите на ЕС в тази област е целесъобразно Комисията от името на Съюза да представи на Секретариата на Стокхолмската конвенция предложение за включването на TBPH в приложение A или приложение Б. Това научно досие, включено в предложението, ще бъде разгледано в съответствие с критериите и процедурите по Конвенцията преди вземането на евентуално решение за включване в списъка от Конференцията на страните. Научната оценка съгласно Конвенцията отнема най-малко три години и следователно вземането на решение за включването на TBPH в Конвенцията ще бъде възможно най-рано на редовната Конференция на страните през 2029 г.</w:t>
      </w:r>
    </w:p>
    <w:p w:rsidR="00E66492" w:rsidRPr="007F121C" w:rsidRDefault="00E66492" w:rsidP="00044058">
      <w:pPr>
        <w:pStyle w:val="ManualHeading2"/>
        <w:rPr>
          <w:rFonts w:eastAsia="Arial Unicode MS"/>
          <w:noProof/>
          <w:color w:val="000000"/>
          <w:u w:color="000000"/>
          <w:bdr w:val="nil"/>
        </w:rPr>
      </w:pPr>
      <w:r w:rsidRPr="007F121C">
        <w:rPr>
          <w:noProof/>
          <w:color w:val="000000"/>
          <w:u w:color="000000"/>
          <w:bdr w:val="nil"/>
        </w:rPr>
        <w:t>•</w:t>
      </w:r>
      <w:r w:rsidRPr="007F121C">
        <w:rPr>
          <w:noProof/>
        </w:rPr>
        <w:tab/>
        <w:t>Съгласуваност с действащите разпоредби в тази област на политиката</w:t>
      </w:r>
    </w:p>
    <w:p w:rsidR="001249B3" w:rsidRPr="007F121C" w:rsidRDefault="001249B3" w:rsidP="001249B3">
      <w:pPr>
        <w:pBdr>
          <w:top w:val="nil"/>
          <w:left w:val="nil"/>
          <w:bottom w:val="nil"/>
          <w:right w:val="nil"/>
          <w:between w:val="nil"/>
          <w:bar w:val="nil"/>
        </w:pBdr>
        <w:spacing w:before="0" w:after="240"/>
        <w:rPr>
          <w:rFonts w:eastAsia="Arial Unicode MS"/>
          <w:noProof/>
        </w:rPr>
      </w:pPr>
      <w:r w:rsidRPr="007F121C">
        <w:rPr>
          <w:noProof/>
        </w:rPr>
        <w:t>Предложението е в съответствие с Регламент (ЕС) 2019/1021, с който Стокхолмската конвенция се прилага в Съюза, и допълва прилагането му. То е в пълно съответствие с целта за опазване на човешкото здраве и на околната среда от устойчивите органични замърсители.</w:t>
      </w:r>
    </w:p>
    <w:p w:rsidR="00E66492" w:rsidRPr="007F121C" w:rsidRDefault="00E66492" w:rsidP="00A4693B">
      <w:pPr>
        <w:pStyle w:val="ManualHeading2"/>
        <w:rPr>
          <w:rFonts w:eastAsia="Arial Unicode MS"/>
          <w:noProof/>
        </w:rPr>
      </w:pPr>
      <w:r w:rsidRPr="007F121C">
        <w:rPr>
          <w:noProof/>
          <w:color w:val="000000"/>
          <w:u w:color="000000"/>
          <w:bdr w:val="nil"/>
        </w:rPr>
        <w:lastRenderedPageBreak/>
        <w:t>•</w:t>
      </w:r>
      <w:r w:rsidRPr="007F121C">
        <w:rPr>
          <w:noProof/>
        </w:rPr>
        <w:tab/>
        <w:t>Съгласуваност с други политики на Съюза</w:t>
      </w:r>
    </w:p>
    <w:p w:rsidR="00CC6C09" w:rsidRPr="007F121C" w:rsidRDefault="007C112C" w:rsidP="00CC6C09">
      <w:pPr>
        <w:spacing w:before="60" w:after="60"/>
        <w:rPr>
          <w:rFonts w:eastAsia="Arial Unicode MS"/>
          <w:noProof/>
        </w:rPr>
      </w:pPr>
      <w:r w:rsidRPr="007F121C">
        <w:rPr>
          <w:noProof/>
        </w:rPr>
        <w:t>Европейската агенция по химикалите извърши научна оценка на опасността и видовете употреба на група бромирани забавители на горенето</w:t>
      </w:r>
      <w:r w:rsidRPr="007F121C">
        <w:rPr>
          <w:rStyle w:val="FootnoteReference"/>
          <w:rFonts w:eastAsia="Arial Unicode MS"/>
          <w:noProof/>
        </w:rPr>
        <w:footnoteReference w:id="4"/>
      </w:r>
      <w:r w:rsidRPr="007F121C">
        <w:rPr>
          <w:noProof/>
        </w:rPr>
        <w:t xml:space="preserve">, включително TBPH, и въз основа на резултатите от тази работа Комисията е в процес на предоставяне на мандат на ECHA </w:t>
      </w:r>
      <w:bookmarkStart w:id="1" w:name="_Hlk213081748"/>
      <w:r w:rsidRPr="007F121C">
        <w:rPr>
          <w:noProof/>
        </w:rPr>
        <w:t>да изготви досие по приложение XV за ограничаване съгласно REACH</w:t>
      </w:r>
      <w:bookmarkEnd w:id="1"/>
      <w:r w:rsidRPr="007F121C">
        <w:rPr>
          <w:noProof/>
        </w:rPr>
        <w:t xml:space="preserve">. Определянето на TBPH като УОЗ през 2026 г. ще позволи едновременното постигане на напредък по двете ограничения (на равнището на ЕС и на международно равнище), като процесът по Стокхолмската конвенция използва информацията, получена по време на процеса на ограничаване по REACH (включително разходите, ползите и наличието на алтернативи). По този начин ще се избегне период от няколко години, през който веществото би било ограничено в ЕС, но не и в световен мащаб. </w:t>
      </w:r>
    </w:p>
    <w:p w:rsidR="007C112C" w:rsidRPr="007F121C" w:rsidRDefault="00CC6C09" w:rsidP="00CC6C09">
      <w:pPr>
        <w:pBdr>
          <w:top w:val="nil"/>
          <w:left w:val="nil"/>
          <w:bottom w:val="nil"/>
          <w:right w:val="nil"/>
          <w:between w:val="nil"/>
          <w:bar w:val="nil"/>
        </w:pBdr>
        <w:spacing w:before="0" w:after="240"/>
        <w:rPr>
          <w:rFonts w:eastAsia="Arial Unicode MS"/>
          <w:noProof/>
        </w:rPr>
      </w:pPr>
      <w:r w:rsidRPr="007F121C">
        <w:rPr>
          <w:noProof/>
        </w:rPr>
        <w:t>С тази инициатива ще се намали трайното замърсяване на водите на ЕС в една от категориите, определени съгласно Рамковата директива за водите в доклада на Европейската агенция за околна среда за състоянието на водите</w:t>
      </w:r>
      <w:r w:rsidRPr="007F121C">
        <w:rPr>
          <w:rStyle w:val="FootnoteReference"/>
          <w:rFonts w:eastAsia="Arial Unicode MS"/>
          <w:noProof/>
        </w:rPr>
        <w:footnoteReference w:id="5"/>
      </w:r>
      <w:r w:rsidRPr="007F121C">
        <w:rPr>
          <w:noProof/>
        </w:rPr>
        <w:t>, и по този начин ще се допринесе за програмата на ЕС за устойчивост на водните ресурси</w:t>
      </w:r>
      <w:r w:rsidRPr="007F121C">
        <w:rPr>
          <w:rStyle w:val="FootnoteReference"/>
          <w:rFonts w:eastAsia="Arial Unicode MS"/>
          <w:noProof/>
        </w:rPr>
        <w:footnoteReference w:id="6"/>
      </w:r>
      <w:r w:rsidRPr="007F121C">
        <w:rPr>
          <w:noProof/>
        </w:rPr>
        <w:t xml:space="preserve"> и за нулево замърсяване</w:t>
      </w:r>
      <w:r w:rsidRPr="007F121C">
        <w:rPr>
          <w:rStyle w:val="FootnoteReference"/>
          <w:rFonts w:eastAsia="Arial Unicode MS"/>
          <w:noProof/>
        </w:rPr>
        <w:footnoteReference w:id="7"/>
      </w:r>
      <w:r w:rsidRPr="007F121C">
        <w:rPr>
          <w:noProof/>
        </w:rPr>
        <w:t>.  В допълнение към глобалните ползи от включването на TBPH в Стокхолмската конвенция, предложението ще даде възможност бъдещото ограничаване в ЕС, което може да произтече от процеса по REACH, да бъде приведено в съответствие с глобалното ограничение съгласно Стокхолмската конвенция и ще гарантира еднакви условия на конкуренция в световен мащаб за дружествата от ЕС.</w:t>
      </w:r>
    </w:p>
    <w:p w:rsidR="00E66492" w:rsidRPr="007F121C" w:rsidRDefault="00E66492" w:rsidP="00550536">
      <w:pPr>
        <w:pStyle w:val="ManualHeading1"/>
        <w:rPr>
          <w:noProof/>
        </w:rPr>
      </w:pPr>
      <w:r w:rsidRPr="007F121C">
        <w:rPr>
          <w:noProof/>
        </w:rPr>
        <w:t>2.</w:t>
      </w:r>
      <w:r w:rsidRPr="007F121C">
        <w:rPr>
          <w:noProof/>
        </w:rPr>
        <w:tab/>
        <w:t>ПРАВНО ОСНОВАНИЕ, СУБСИДИАРНОСТ И ПРОПОРЦИОНАЛНОСТ</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Правно основание</w:t>
      </w:r>
    </w:p>
    <w:p w:rsidR="007C112C" w:rsidRPr="007F121C" w:rsidRDefault="007C112C" w:rsidP="007C112C">
      <w:pPr>
        <w:pBdr>
          <w:top w:val="nil"/>
          <w:left w:val="nil"/>
          <w:bottom w:val="nil"/>
          <w:right w:val="nil"/>
          <w:between w:val="nil"/>
          <w:bar w:val="nil"/>
        </w:pBdr>
        <w:spacing w:before="0" w:after="240"/>
        <w:rPr>
          <w:noProof/>
        </w:rPr>
      </w:pPr>
      <w:r w:rsidRPr="007F121C">
        <w:rPr>
          <w:noProof/>
        </w:rPr>
        <w:t>Процесуалноправното основание за предложеното решение на Съвета е член 218, параграф 9 от ДФЕС, който е подходящото основание за акт, с който се определя позицията на Европейския съюз по отношение на международно споразумение, в настоящия случай — Стокхолмската конвенция.</w:t>
      </w:r>
    </w:p>
    <w:p w:rsidR="007C112C" w:rsidRPr="007F121C" w:rsidRDefault="007C112C" w:rsidP="007C112C">
      <w:pPr>
        <w:pBdr>
          <w:top w:val="nil"/>
          <w:left w:val="nil"/>
          <w:bottom w:val="nil"/>
          <w:right w:val="nil"/>
          <w:between w:val="nil"/>
          <w:bar w:val="nil"/>
        </w:pBdr>
        <w:spacing w:before="0" w:after="240"/>
        <w:rPr>
          <w:rFonts w:eastAsia="Arial Unicode MS"/>
          <w:noProof/>
        </w:rPr>
      </w:pPr>
      <w:r w:rsidRPr="007F121C">
        <w:rPr>
          <w:noProof/>
        </w:rPr>
        <w:t>Материалноправното основание е член 192, параграф 1 от ДФЕС с оглед на това, че мерките, договаряни по Стокхолмската конвенция, в повечето случаи преследват екологична цел (т.е. контрол на устойчивите органични замърсители).</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 xml:space="preserve">Субсидиарност (при неизключителна компетентност) </w:t>
      </w:r>
    </w:p>
    <w:p w:rsidR="007C112C" w:rsidRPr="007F121C" w:rsidRDefault="007C112C" w:rsidP="007C112C">
      <w:pPr>
        <w:pBdr>
          <w:top w:val="nil"/>
          <w:left w:val="nil"/>
          <w:bottom w:val="nil"/>
          <w:right w:val="nil"/>
          <w:between w:val="nil"/>
          <w:bar w:val="nil"/>
        </w:pBdr>
        <w:spacing w:before="0" w:after="240"/>
        <w:rPr>
          <w:rFonts w:eastAsia="Arial Unicode MS"/>
          <w:noProof/>
        </w:rPr>
      </w:pPr>
      <w:r w:rsidRPr="007F121C">
        <w:rPr>
          <w:noProof/>
        </w:rPr>
        <w:t>Устойчивите органични замърсители са проблем в световен мащаб, а Стокхолмската конвенция се прилага в Съюза чрез Регламент (ЕС) 2019/1021. Тъй като Съюзът е страна по Конвенцията, е целесъобразно предложението за нов химикал да бъде направено от Съюза.</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Пропорционалност</w:t>
      </w:r>
    </w:p>
    <w:p w:rsidR="0038274B" w:rsidRPr="007F121C" w:rsidRDefault="0038274B" w:rsidP="0038274B">
      <w:pPr>
        <w:pBdr>
          <w:top w:val="nil"/>
          <w:left w:val="nil"/>
          <w:bottom w:val="nil"/>
          <w:right w:val="nil"/>
          <w:between w:val="nil"/>
          <w:bar w:val="nil"/>
        </w:pBdr>
        <w:spacing w:before="0" w:after="240"/>
        <w:rPr>
          <w:rFonts w:eastAsia="Arial Unicode MS"/>
          <w:noProof/>
        </w:rPr>
      </w:pPr>
      <w:r w:rsidRPr="007F121C">
        <w:rPr>
          <w:noProof/>
        </w:rPr>
        <w:t xml:space="preserve">Устойчивите органични замърсители са проблем в световен мащаб, а Стокхолмската конвенция има за цел да бъде преустановено производството и употребата им. Поради това е целесъобразно да се предложи включването на посочените химикали в рамките </w:t>
      </w:r>
      <w:r w:rsidRPr="007F121C">
        <w:rPr>
          <w:noProof/>
        </w:rPr>
        <w:lastRenderedPageBreak/>
        <w:t>на Конвенцията с цел да се гарантира предприемането на подходящи действия на световно равнище.</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Избор на инструмент</w:t>
      </w:r>
    </w:p>
    <w:p w:rsidR="00E66492" w:rsidRPr="007F121C" w:rsidRDefault="0038274B" w:rsidP="00550536">
      <w:pPr>
        <w:pBdr>
          <w:top w:val="nil"/>
          <w:left w:val="nil"/>
          <w:bottom w:val="nil"/>
          <w:right w:val="nil"/>
          <w:between w:val="nil"/>
          <w:bar w:val="nil"/>
        </w:pBdr>
        <w:spacing w:before="0" w:after="240"/>
        <w:rPr>
          <w:noProof/>
        </w:rPr>
      </w:pPr>
      <w:r w:rsidRPr="007F121C">
        <w:rPr>
          <w:noProof/>
        </w:rPr>
        <w:t xml:space="preserve">Стокхолмската конвенция е единственият наличен инструмент за ограничаване на устойчивите органични замърсители в световен мащаб. </w:t>
      </w:r>
    </w:p>
    <w:p w:rsidR="00E66492" w:rsidRPr="007F121C" w:rsidRDefault="00E66492" w:rsidP="00550536">
      <w:pPr>
        <w:pStyle w:val="ManualHeading1"/>
        <w:rPr>
          <w:noProof/>
        </w:rPr>
      </w:pPr>
      <w:r w:rsidRPr="007F121C">
        <w:rPr>
          <w:noProof/>
        </w:rPr>
        <w:t>3.</w:t>
      </w:r>
      <w:r w:rsidRPr="007F121C">
        <w:rPr>
          <w:noProof/>
        </w:rPr>
        <w:tab/>
        <w:t>РЕЗУЛТАТИ ОТ ПОСЛЕДВАЩИТЕ ОЦЕНКИ, КОНСУЛТАЦИИТЕ СЪС ЗАИНТЕРЕСОВАНИТЕ СТРАНИ И ОЦЕНКИТЕ НА ВЪЗДЕЙСТВИЕТО</w:t>
      </w:r>
    </w:p>
    <w:p w:rsidR="00E66492" w:rsidRPr="007F121C" w:rsidRDefault="00E66492" w:rsidP="0038274B">
      <w:pPr>
        <w:pStyle w:val="ManualHeading2"/>
        <w:rPr>
          <w:rFonts w:eastAsia="Arial Unicode MS"/>
          <w:noProof/>
        </w:rPr>
      </w:pP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Консултации със заинтересованите страни</w:t>
      </w:r>
    </w:p>
    <w:p w:rsidR="00BF3284" w:rsidRPr="007F121C" w:rsidRDefault="0038274B" w:rsidP="00BF3284">
      <w:pPr>
        <w:rPr>
          <w:noProof/>
        </w:rPr>
      </w:pPr>
      <w:r w:rsidRPr="007F121C">
        <w:rPr>
          <w:noProof/>
        </w:rPr>
        <w:t>Предложението беше обсъдено с държавите членки и други заинтересовани страни на заседанията на компетентните органи за Регламент (ЕС) 2019/1021. То беше предмет на обществена консултация от 18 юни до 13 август 2025 г. и получените коментари бяха разгледани.</w:t>
      </w:r>
    </w:p>
    <w:p w:rsidR="0038274B" w:rsidRPr="007F121C" w:rsidRDefault="00BF3284" w:rsidP="00BF3284">
      <w:pPr>
        <w:rPr>
          <w:noProof/>
        </w:rPr>
      </w:pPr>
      <w:r w:rsidRPr="007F121C">
        <w:rPr>
          <w:noProof/>
        </w:rPr>
        <w:t xml:space="preserve">Получените коментари не промениха общото заключение за TBPH. Разделите за устойчивост и биоакумулация бяха разширени чрез включване на по-подробна и актуализирана информация от научни изследвания. Разделът за неблагоприятното въздействие е актуализиран подробно, като е включена по-подробна информация за проучванията, които вече са оценени от Европейската агенция по химикалите в проекта на досието, и нова информация от последните проучвания. Въз основа на съществуващите данни се приема, че критериите за проверка в приложение Г към Стокхолмската конвенция по отношение на устойчивостта, биоакумулацията, преноса на големи разстояния и неблагоприятните въздействия са изпълнени за TBPH. </w:t>
      </w:r>
      <w:bookmarkStart w:id="2" w:name="_Hlk212477276"/>
      <w:r w:rsidRPr="007F121C">
        <w:rPr>
          <w:noProof/>
        </w:rPr>
        <w:t>В някои коментари се посочва, че веществото не се използва в ЕС. Въпреки това, тъй като вероятно се използва извън ЕС, то може да присъства в някои вносни продукти.</w:t>
      </w:r>
      <w:bookmarkEnd w:id="2"/>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Оценка на въздействието</w:t>
      </w:r>
    </w:p>
    <w:p w:rsidR="00E0477A" w:rsidRPr="007F121C" w:rsidRDefault="00ED1F33" w:rsidP="00BD0286">
      <w:pPr>
        <w:pBdr>
          <w:top w:val="nil"/>
          <w:left w:val="nil"/>
          <w:bottom w:val="nil"/>
          <w:right w:val="nil"/>
          <w:between w:val="nil"/>
          <w:bar w:val="nil"/>
        </w:pBdr>
        <w:spacing w:before="0" w:after="240"/>
        <w:rPr>
          <w:noProof/>
        </w:rPr>
      </w:pPr>
      <w:r w:rsidRPr="007F121C">
        <w:rPr>
          <w:noProof/>
        </w:rPr>
        <w:t>Решението за определяне на TBPH като УОЗ няма да окаже въздействие върху ЕС, тъй като актът единствено дава правомощия на Съюза да предложи TBPH за включване като УОЗ по Стокхолмската конвенция въз основа на неговите опасни свойства. Възможният обхват на всяко бъдещо ограничение или забрана и оценката на въздействието ще бъдат извършени по време на процеса по Стокхолмската конвенция и от ECHA в паралелния процес по ограничаване по REACH.</w:t>
      </w:r>
    </w:p>
    <w:p w:rsidR="00BD0286" w:rsidRPr="007F121C" w:rsidRDefault="00BD0286" w:rsidP="00BD0286">
      <w:pPr>
        <w:pBdr>
          <w:top w:val="nil"/>
          <w:left w:val="nil"/>
          <w:bottom w:val="nil"/>
          <w:right w:val="nil"/>
          <w:between w:val="nil"/>
          <w:bar w:val="nil"/>
        </w:pBdr>
        <w:spacing w:before="0" w:after="240"/>
        <w:rPr>
          <w:noProof/>
        </w:rPr>
      </w:pPr>
      <w:r w:rsidRPr="007F121C">
        <w:rPr>
          <w:noProof/>
        </w:rPr>
        <w:t xml:space="preserve">Решение за евентуално включване в приложение А или приложение Б към Стокхолмската конвенция може да бъде взето само от Конференцията на страните, която се очаква да се проведе най-рано през 2029 г. Съюзът е страна по Конвенцията и позицията на ЕС, която трябва да бъде приета на Конференцията на страните, ще бъде установена с решение на Съвета. Това решение на Съвета ще се основава на предложение на Комисията преди Конференцията на страните през 2029 г. и ще вземе предвид точното предложение за ограничаване, направено от органите по Конвенцията, и процеса на ЕС за ограничаване по REACH. Без да се засягат действащите процедури, ЕС би трябвало да приеме позиция за договаряне на списък, който е в съответствие с политиките и законодателството на ЕС. Това ще включва съответната информация на ЕС, получена по време на процеса на ограничаване по REACH, включително необходимостта от специфични изключения. Ще бъде възможно да се предложат изключения за употребата на TBPH, чиято замяна би била много трудна или твърде </w:t>
      </w:r>
      <w:r w:rsidRPr="007F121C">
        <w:rPr>
          <w:noProof/>
        </w:rPr>
        <w:lastRenderedPageBreak/>
        <w:t>скъпа. Освен това ЕС все още би могъл да оттегли предложението по време на научното обсъждане в рамките на Стокхолмската конвенция, да не подкрепи включването в списъка на Конференцията на страните или да се откаже от него, ако въздействието е твърде голямо.</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Пригодност и опростяване на законодателството</w:t>
      </w:r>
    </w:p>
    <w:p w:rsidR="00BD0286" w:rsidRPr="007F121C" w:rsidRDefault="00BD0286" w:rsidP="00BD0286">
      <w:pPr>
        <w:pStyle w:val="ManualHeading1"/>
        <w:ind w:left="0" w:firstLine="0"/>
        <w:rPr>
          <w:b w:val="0"/>
          <w:smallCaps w:val="0"/>
          <w:noProof/>
        </w:rPr>
      </w:pPr>
      <w:bookmarkStart w:id="3" w:name="_Hlk150266126"/>
      <w:r w:rsidRPr="007F121C">
        <w:rPr>
          <w:b w:val="0"/>
          <w:smallCaps w:val="0"/>
          <w:noProof/>
        </w:rPr>
        <w:t xml:space="preserve">Решението да се предложи включването на TBPH като УОЗ съгласно Стокхолмската конвенция няма въздействие върху пригодността и опростяването на законодателството. </w:t>
      </w:r>
      <w:bookmarkEnd w:id="3"/>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Основни права</w:t>
      </w:r>
    </w:p>
    <w:p w:rsidR="00E66492" w:rsidRPr="007F121C" w:rsidRDefault="00CC0273" w:rsidP="00550536">
      <w:pPr>
        <w:pBdr>
          <w:top w:val="nil"/>
          <w:left w:val="nil"/>
          <w:bottom w:val="nil"/>
          <w:right w:val="nil"/>
          <w:between w:val="nil"/>
          <w:bar w:val="nil"/>
        </w:pBdr>
        <w:spacing w:before="0" w:after="240"/>
        <w:rPr>
          <w:noProof/>
        </w:rPr>
      </w:pPr>
      <w:r w:rsidRPr="007F121C">
        <w:rPr>
          <w:noProof/>
        </w:rPr>
        <w:t>Предложението няма последствия за защитата на основните права.</w:t>
      </w:r>
    </w:p>
    <w:p w:rsidR="00E66492" w:rsidRPr="007F121C" w:rsidRDefault="00E66492" w:rsidP="00550536">
      <w:pPr>
        <w:pStyle w:val="ManualHeading1"/>
        <w:rPr>
          <w:noProof/>
        </w:rPr>
      </w:pPr>
      <w:r w:rsidRPr="007F121C">
        <w:rPr>
          <w:noProof/>
        </w:rPr>
        <w:t>4.</w:t>
      </w:r>
      <w:r w:rsidRPr="007F121C">
        <w:rPr>
          <w:noProof/>
        </w:rPr>
        <w:tab/>
        <w:t>ОТРАЖЕНИЕ ВЪРХУ БЮДЖЕТА</w:t>
      </w:r>
    </w:p>
    <w:p w:rsidR="00CC0273" w:rsidRPr="007F121C" w:rsidRDefault="00CC0273" w:rsidP="00CC0273">
      <w:pPr>
        <w:pBdr>
          <w:top w:val="nil"/>
          <w:left w:val="nil"/>
          <w:bottom w:val="nil"/>
          <w:right w:val="nil"/>
          <w:between w:val="nil"/>
          <w:bar w:val="nil"/>
        </w:pBdr>
        <w:spacing w:before="0" w:after="240"/>
        <w:rPr>
          <w:rFonts w:eastAsia="Arial Unicode MS"/>
          <w:noProof/>
        </w:rPr>
      </w:pPr>
      <w:r w:rsidRPr="007F121C">
        <w:rPr>
          <w:noProof/>
        </w:rPr>
        <w:t>Предложението няма отражение върху бюджета.</w:t>
      </w:r>
    </w:p>
    <w:p w:rsidR="00E66492" w:rsidRPr="007F121C" w:rsidRDefault="00E66492" w:rsidP="00550536">
      <w:pPr>
        <w:pStyle w:val="ManualHeading1"/>
        <w:rPr>
          <w:noProof/>
        </w:rPr>
      </w:pPr>
      <w:r w:rsidRPr="007F121C">
        <w:rPr>
          <w:noProof/>
        </w:rPr>
        <w:t>5.</w:t>
      </w:r>
      <w:r w:rsidRPr="007F121C">
        <w:rPr>
          <w:noProof/>
        </w:rPr>
        <w:tab/>
        <w:t>ДРУГИ ЕЛЕМЕНТИ</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Планове за изпълнение и механизъм за мониторинг, оценка и докладване</w:t>
      </w:r>
    </w:p>
    <w:p w:rsidR="00CC0273" w:rsidRPr="007F121C" w:rsidRDefault="00CC0273" w:rsidP="00CC0273">
      <w:pPr>
        <w:pBdr>
          <w:top w:val="nil"/>
          <w:left w:val="nil"/>
          <w:bottom w:val="nil"/>
          <w:right w:val="nil"/>
          <w:between w:val="nil"/>
          <w:bar w:val="nil"/>
        </w:pBdr>
        <w:spacing w:before="0" w:after="240"/>
        <w:rPr>
          <w:rFonts w:eastAsia="Arial Unicode MS"/>
          <w:noProof/>
        </w:rPr>
      </w:pPr>
      <w:r w:rsidRPr="007F121C">
        <w:rPr>
          <w:noProof/>
        </w:rPr>
        <w:t>Смята се, че няма необходимост от план за изпълнение, нито от мониторинг, оценка и докладване.</w:t>
      </w:r>
    </w:p>
    <w:p w:rsidR="00E66492" w:rsidRPr="007F121C" w:rsidRDefault="00E66492" w:rsidP="00A4693B">
      <w:pPr>
        <w:pStyle w:val="ManualHeading2"/>
        <w:rPr>
          <w:rFonts w:eastAsia="Arial Unicode MS"/>
          <w:noProof/>
          <w:u w:color="000000"/>
          <w:bdr w:val="nil"/>
        </w:rPr>
      </w:pPr>
      <w:r w:rsidRPr="007F121C">
        <w:rPr>
          <w:noProof/>
          <w:u w:color="000000"/>
          <w:bdr w:val="nil"/>
        </w:rPr>
        <w:t>•</w:t>
      </w:r>
      <w:r w:rsidRPr="007F121C">
        <w:rPr>
          <w:noProof/>
        </w:rPr>
        <w:tab/>
      </w:r>
      <w:r w:rsidRPr="007F121C">
        <w:rPr>
          <w:noProof/>
          <w:u w:color="000000"/>
          <w:bdr w:val="nil"/>
        </w:rPr>
        <w:t>Подробно разяснение на конкретните разпоредби на предложението</w:t>
      </w:r>
    </w:p>
    <w:p w:rsidR="00CC0273" w:rsidRPr="007F121C" w:rsidRDefault="00CC0273" w:rsidP="00CC0273">
      <w:pPr>
        <w:pBdr>
          <w:top w:val="nil"/>
          <w:left w:val="nil"/>
          <w:bottom w:val="nil"/>
          <w:right w:val="nil"/>
          <w:between w:val="nil"/>
          <w:bar w:val="nil"/>
        </w:pBdr>
        <w:spacing w:before="0" w:after="240"/>
        <w:rPr>
          <w:rFonts w:eastAsia="Arial Unicode MS"/>
          <w:noProof/>
        </w:rPr>
      </w:pPr>
      <w:r w:rsidRPr="007F121C">
        <w:rPr>
          <w:noProof/>
        </w:rPr>
        <w:t>С предложението Комисията се оправомощава да предложи включването на TBPH в Стокхолмската конвенция от името на Европейския съюз.</w:t>
      </w:r>
    </w:p>
    <w:p w:rsidR="00E66492" w:rsidRPr="007F121C" w:rsidRDefault="00E66492" w:rsidP="00FD40BA">
      <w:pPr>
        <w:rPr>
          <w:noProof/>
        </w:rPr>
        <w:sectPr w:rsidR="00E66492" w:rsidRPr="007F121C" w:rsidSect="000F007F">
          <w:headerReference w:type="even" r:id="rId16"/>
          <w:footerReference w:type="even" r:id="rId17"/>
          <w:footerReference w:type="default" r:id="rId18"/>
          <w:headerReference w:type="first" r:id="rId19"/>
          <w:footerReference w:type="first" r:id="rId20"/>
          <w:pgSz w:w="11907" w:h="16839"/>
          <w:pgMar w:top="1134" w:right="1417" w:bottom="1134" w:left="1417" w:header="709" w:footer="709" w:gutter="0"/>
          <w:pgNumType w:start="1"/>
          <w:cols w:space="708"/>
          <w:docGrid w:linePitch="360"/>
        </w:sectPr>
      </w:pPr>
    </w:p>
    <w:p w:rsidR="00094342" w:rsidRDefault="003511B3">
      <w:pPr>
        <w:pStyle w:val="Rfrenceinterinstitutionnelle"/>
        <w:rPr>
          <w:noProof/>
        </w:rPr>
      </w:pPr>
      <w:r>
        <w:rPr>
          <w:noProof/>
        </w:rPr>
        <w:lastRenderedPageBreak/>
        <w:t>2026/0029 (NLE)</w:t>
      </w:r>
    </w:p>
    <w:p w:rsidR="00E66492" w:rsidRPr="007F121C" w:rsidRDefault="007F121C" w:rsidP="007F121C">
      <w:pPr>
        <w:pStyle w:val="Statut"/>
        <w:rPr>
          <w:noProof/>
        </w:rPr>
      </w:pPr>
      <w:r w:rsidRPr="007F121C">
        <w:rPr>
          <w:noProof/>
        </w:rPr>
        <w:t>Предложение за</w:t>
      </w:r>
    </w:p>
    <w:p w:rsidR="00E66492" w:rsidRPr="007F121C" w:rsidRDefault="007F121C" w:rsidP="007F121C">
      <w:pPr>
        <w:pStyle w:val="Typedudocument"/>
        <w:rPr>
          <w:noProof/>
        </w:rPr>
      </w:pPr>
      <w:r w:rsidRPr="007F121C">
        <w:rPr>
          <w:noProof/>
        </w:rPr>
        <w:t>РЕШЕНИЕ НА СЪВЕТА</w:t>
      </w:r>
    </w:p>
    <w:p w:rsidR="00E66492" w:rsidRPr="007F121C" w:rsidRDefault="007F121C" w:rsidP="007F121C">
      <w:pPr>
        <w:pStyle w:val="Titreobjet"/>
        <w:rPr>
          <w:noProof/>
        </w:rPr>
      </w:pPr>
      <w:r w:rsidRPr="007F121C">
        <w:rPr>
          <w:noProof/>
        </w:rPr>
        <w:t>за представянето от името на Европейския съюз на предложение за включването на бис(2-етилхексилов) тетрабромофталат (TBPH) в приложение А или приложение Б към Стокхолмската конвенция за устойчивите органични замърсители</w:t>
      </w:r>
    </w:p>
    <w:p w:rsidR="00E66492" w:rsidRPr="007F121C" w:rsidRDefault="007F121C" w:rsidP="007F121C">
      <w:pPr>
        <w:pStyle w:val="IntrtEEE"/>
        <w:rPr>
          <w:noProof/>
        </w:rPr>
      </w:pPr>
      <w:r w:rsidRPr="007F121C">
        <w:rPr>
          <w:noProof/>
        </w:rPr>
        <w:t>(текст от значение за ЕИП)</w:t>
      </w:r>
    </w:p>
    <w:p w:rsidR="00E66492" w:rsidRPr="007F121C" w:rsidRDefault="00E66492" w:rsidP="00197315">
      <w:pPr>
        <w:pStyle w:val="Institutionquiagit"/>
        <w:rPr>
          <w:noProof/>
        </w:rPr>
      </w:pPr>
      <w:r w:rsidRPr="007F121C">
        <w:rPr>
          <w:noProof/>
        </w:rPr>
        <w:t>СЪВЕТЪТ НА ЕВРОПЕЙСКИЯ СЪЮЗ,</w:t>
      </w:r>
    </w:p>
    <w:p w:rsidR="00E66492" w:rsidRPr="007F121C" w:rsidRDefault="00E66492" w:rsidP="00197315">
      <w:pPr>
        <w:rPr>
          <w:noProof/>
        </w:rPr>
      </w:pPr>
      <w:r w:rsidRPr="007F121C">
        <w:rPr>
          <w:noProof/>
        </w:rPr>
        <w:t>като взе предвид Договора за функционирането на Европейския съюз, и по-специално член 192, параграф 1, във връзка с член 218, параграф 9 от него,</w:t>
      </w:r>
    </w:p>
    <w:p w:rsidR="00E66492" w:rsidRPr="007F121C" w:rsidRDefault="00E66492" w:rsidP="00197315">
      <w:pPr>
        <w:rPr>
          <w:noProof/>
        </w:rPr>
      </w:pPr>
      <w:r w:rsidRPr="007F121C">
        <w:rPr>
          <w:noProof/>
        </w:rPr>
        <w:t>като взе предвид предложението на Европейската комисия,</w:t>
      </w:r>
    </w:p>
    <w:p w:rsidR="00E66492" w:rsidRPr="007F121C" w:rsidRDefault="00E66492" w:rsidP="00197315">
      <w:pPr>
        <w:rPr>
          <w:noProof/>
        </w:rPr>
      </w:pPr>
      <w:r w:rsidRPr="007F121C">
        <w:rPr>
          <w:noProof/>
        </w:rPr>
        <w:t>като има предвид, че:</w:t>
      </w:r>
    </w:p>
    <w:p w:rsidR="00E66492" w:rsidRPr="007F121C" w:rsidRDefault="006267BC" w:rsidP="00DB41BA">
      <w:pPr>
        <w:pStyle w:val="ManualConsidrant"/>
        <w:rPr>
          <w:noProof/>
        </w:rPr>
      </w:pPr>
      <w:r>
        <w:rPr>
          <w:noProof/>
        </w:rPr>
        <w:t>(1)</w:t>
      </w:r>
      <w:r>
        <w:rPr>
          <w:noProof/>
        </w:rPr>
        <w:tab/>
      </w:r>
      <w:r w:rsidRPr="007F121C">
        <w:rPr>
          <w:noProof/>
        </w:rPr>
        <w:t>Стокхолмската конвенция за устойчивите органични замърсители („Конвенцията“), която влезе в сила на 17 май 2004 г., беше сключена от Европейската общност с Решение 2006/507/ЕО на Съвета</w:t>
      </w:r>
      <w:r w:rsidRPr="007F121C">
        <w:rPr>
          <w:rStyle w:val="FootnoteReference"/>
          <w:noProof/>
        </w:rPr>
        <w:footnoteReference w:id="8"/>
      </w:r>
      <w:r w:rsidRPr="007F121C">
        <w:rPr>
          <w:noProof/>
        </w:rPr>
        <w:t>.</w:t>
      </w:r>
    </w:p>
    <w:p w:rsidR="00CC0273" w:rsidRPr="007F121C" w:rsidRDefault="00455F48" w:rsidP="006F4E5C">
      <w:pPr>
        <w:pStyle w:val="ManualConsidrant"/>
        <w:rPr>
          <w:noProof/>
        </w:rPr>
      </w:pPr>
      <w:r>
        <w:rPr>
          <w:noProof/>
        </w:rPr>
        <w:t>(2)</w:t>
      </w:r>
      <w:r>
        <w:rPr>
          <w:noProof/>
        </w:rPr>
        <w:tab/>
      </w:r>
      <w:r w:rsidRPr="007F121C">
        <w:rPr>
          <w:noProof/>
        </w:rPr>
        <w:t>В съответствие с член 8, параграф 1 от Конвенцията като страна по Конвенцията Съюзът може да представя предложения за изменение на приложенията към нея. В приложение А към Конвенцията са изброени устойчивите органични замърсители, които трябва да бъдат елиминирани, а в приложение Б — устойчивите органични замърсители, които трябва да бъдат ограничени.</w:t>
      </w:r>
    </w:p>
    <w:p w:rsidR="00B130B2" w:rsidRPr="007F121C" w:rsidRDefault="00A96DF6" w:rsidP="00B130B2">
      <w:pPr>
        <w:pStyle w:val="ManualConsidrant"/>
        <w:rPr>
          <w:noProof/>
        </w:rPr>
      </w:pPr>
      <w:r>
        <w:rPr>
          <w:noProof/>
        </w:rPr>
        <w:t>(3)</w:t>
      </w:r>
      <w:r>
        <w:rPr>
          <w:noProof/>
        </w:rPr>
        <w:tab/>
      </w:r>
      <w:r w:rsidRPr="007F121C">
        <w:rPr>
          <w:noProof/>
        </w:rPr>
        <w:t>Бис(2-етилхексиловият) тетрабромофталат (TBPH) е бромиран забавител на горенето, идентифициран в Съюза като вещество, пораждащо сериозно безпокойство, в съответствие с член 57, буква д) от Регламент (ЕС) № 1907/2006 на Европейския парламент и на Съвета</w:t>
      </w:r>
      <w:r w:rsidRPr="007F121C">
        <w:rPr>
          <w:rStyle w:val="FootnoteReference"/>
          <w:noProof/>
        </w:rPr>
        <w:footnoteReference w:id="9"/>
      </w:r>
      <w:r w:rsidRPr="007F121C">
        <w:rPr>
          <w:noProof/>
        </w:rPr>
        <w:t xml:space="preserve"> поради свойствата си на много устойчиво и много биоакумулиращо вещество. Според наличните научни данни TBPH е и токсичен и се пренася на големи разстояния, тъй като е бил откриван в отдалечени региони. Поради това TBPH отговаря на критериите от приложение Г към Конвенцията и следва да се смята за устойчив органичен замърсител.</w:t>
      </w:r>
    </w:p>
    <w:p w:rsidR="00B130B2" w:rsidRPr="007F121C" w:rsidRDefault="00B130B2" w:rsidP="00B130B2">
      <w:pPr>
        <w:pStyle w:val="ManualConsidrant"/>
        <w:rPr>
          <w:noProof/>
        </w:rPr>
      </w:pPr>
      <w:r>
        <w:rPr>
          <w:noProof/>
        </w:rPr>
        <w:lastRenderedPageBreak/>
        <w:t>(4)</w:t>
      </w:r>
      <w:r>
        <w:rPr>
          <w:noProof/>
        </w:rPr>
        <w:tab/>
      </w:r>
      <w:r w:rsidRPr="007F121C">
        <w:rPr>
          <w:noProof/>
        </w:rPr>
        <w:t>Поради това е необходимо Съюзът да представи на секретариата на Конвенцията предложение за включване на TBPH в приложение А или приложение Б към Конвенцията с цел намаляване на глобалните емисии на това вещество,</w:t>
      </w:r>
    </w:p>
    <w:p w:rsidR="00E66492" w:rsidRPr="007F121C" w:rsidRDefault="00E66492" w:rsidP="00197315">
      <w:pPr>
        <w:pStyle w:val="Formuledadoption"/>
        <w:rPr>
          <w:noProof/>
        </w:rPr>
      </w:pPr>
      <w:r w:rsidRPr="007F121C">
        <w:rPr>
          <w:noProof/>
        </w:rPr>
        <w:t xml:space="preserve">ПРИЕ НАСТОЯЩОТО РЕШЕНИЕ: </w:t>
      </w:r>
    </w:p>
    <w:p w:rsidR="00E66492" w:rsidRPr="007F121C" w:rsidRDefault="00E66492" w:rsidP="00197315">
      <w:pPr>
        <w:pStyle w:val="Titrearticle"/>
        <w:rPr>
          <w:noProof/>
        </w:rPr>
      </w:pPr>
      <w:r w:rsidRPr="007F121C">
        <w:rPr>
          <w:noProof/>
        </w:rPr>
        <w:t>Член 1</w:t>
      </w:r>
    </w:p>
    <w:p w:rsidR="00B130B2" w:rsidRPr="007F121C" w:rsidRDefault="00B130B2" w:rsidP="00B130B2">
      <w:pPr>
        <w:outlineLvl w:val="0"/>
        <w:rPr>
          <w:rFonts w:eastAsia="Calibri"/>
          <w:noProof/>
          <w:szCs w:val="24"/>
        </w:rPr>
      </w:pPr>
      <w:r w:rsidRPr="007F121C">
        <w:rPr>
          <w:noProof/>
        </w:rPr>
        <w:t>Съюзът представя предложение за включване на бис(2-етилхексилов) тетрабромофталат (TBPH) в приложение А или приложение Б към Стокхолмската конвенция за устойчивите органични замърсители („Конвенцията“).</w:t>
      </w:r>
    </w:p>
    <w:p w:rsidR="00B130B2" w:rsidRPr="007F121C" w:rsidRDefault="00B130B2" w:rsidP="00B130B2">
      <w:pPr>
        <w:outlineLvl w:val="0"/>
        <w:rPr>
          <w:rFonts w:eastAsia="Calibri"/>
          <w:noProof/>
          <w:szCs w:val="24"/>
        </w:rPr>
      </w:pPr>
      <w:r w:rsidRPr="007F121C">
        <w:rPr>
          <w:noProof/>
        </w:rPr>
        <w:t>Комисията предава предложението от името на Съюза на Секретариата на Конвенцията заедно с цялата информация, която се изисква съгласно приложение Г към нея.</w:t>
      </w:r>
    </w:p>
    <w:p w:rsidR="00E66492" w:rsidRPr="007F121C" w:rsidRDefault="00E66492" w:rsidP="00494456">
      <w:pPr>
        <w:pStyle w:val="Titrearticle"/>
        <w:rPr>
          <w:noProof/>
        </w:rPr>
      </w:pPr>
      <w:r w:rsidRPr="007F121C">
        <w:rPr>
          <w:noProof/>
        </w:rPr>
        <w:t xml:space="preserve">Член 2 </w:t>
      </w:r>
    </w:p>
    <w:p w:rsidR="00E66492" w:rsidRPr="007F121C" w:rsidRDefault="00E66492" w:rsidP="00197315">
      <w:pPr>
        <w:keepNext/>
        <w:keepLines/>
        <w:rPr>
          <w:noProof/>
        </w:rPr>
      </w:pPr>
      <w:r w:rsidRPr="007F121C">
        <w:rPr>
          <w:noProof/>
          <w:color w:val="000000"/>
        </w:rPr>
        <w:t>Адресат на настоящото решение е Комисията</w:t>
      </w:r>
      <w:r w:rsidRPr="007F121C">
        <w:rPr>
          <w:noProof/>
        </w:rPr>
        <w:t>.</w:t>
      </w:r>
    </w:p>
    <w:p w:rsidR="00E66492" w:rsidRPr="007F121C" w:rsidRDefault="007F121C" w:rsidP="00494456">
      <w:pPr>
        <w:pStyle w:val="Fait"/>
        <w:rPr>
          <w:noProof/>
        </w:rPr>
      </w:pPr>
      <w:r>
        <w:rPr>
          <w:noProof/>
        </w:rPr>
        <w:t>Съставено в Брюксел на  година.</w:t>
      </w:r>
    </w:p>
    <w:p w:rsidR="00E66492" w:rsidRPr="007F121C" w:rsidRDefault="00E66492" w:rsidP="00494456">
      <w:pPr>
        <w:pStyle w:val="Institutionquisigne"/>
        <w:rPr>
          <w:noProof/>
        </w:rPr>
      </w:pPr>
      <w:r w:rsidRPr="007F121C">
        <w:rPr>
          <w:noProof/>
        </w:rPr>
        <w:tab/>
        <w:t>За Съвета</w:t>
      </w:r>
    </w:p>
    <w:p w:rsidR="00E66492" w:rsidRPr="007F121C" w:rsidRDefault="00E66492" w:rsidP="00E66492">
      <w:pPr>
        <w:pStyle w:val="Personnequisigne"/>
        <w:rPr>
          <w:noProof/>
        </w:rPr>
      </w:pPr>
      <w:r w:rsidRPr="007F121C">
        <w:rPr>
          <w:noProof/>
        </w:rPr>
        <w:tab/>
        <w:t>Председател</w:t>
      </w:r>
    </w:p>
    <w:sectPr w:rsidR="00E66492" w:rsidRPr="007F121C" w:rsidSect="000F007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891" w:rsidRDefault="00851891" w:rsidP="00E66492">
      <w:pPr>
        <w:spacing w:before="0" w:after="0"/>
      </w:pPr>
      <w:r>
        <w:separator/>
      </w:r>
    </w:p>
  </w:endnote>
  <w:endnote w:type="continuationSeparator" w:id="0">
    <w:p w:rsidR="00851891" w:rsidRDefault="00851891" w:rsidP="00E664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Pr="000F007F" w:rsidRDefault="000F007F" w:rsidP="000F007F">
    <w:pPr>
      <w:pStyle w:val="Footer"/>
      <w:rPr>
        <w:rFonts w:ascii="Arial" w:hAnsi="Arial" w:cs="Arial"/>
        <w:b/>
        <w:sz w:val="48"/>
      </w:rPr>
    </w:pPr>
    <w:r w:rsidRPr="000F007F">
      <w:rPr>
        <w:rFonts w:ascii="Arial" w:hAnsi="Arial" w:cs="Arial"/>
        <w:b/>
        <w:sz w:val="48"/>
      </w:rPr>
      <w:t>BG</w:t>
    </w:r>
    <w:r w:rsidRPr="000F007F">
      <w:rPr>
        <w:rFonts w:ascii="Arial" w:hAnsi="Arial" w:cs="Arial"/>
        <w:b/>
        <w:sz w:val="48"/>
      </w:rPr>
      <w:tab/>
    </w:r>
    <w:r w:rsidRPr="000F007F">
      <w:rPr>
        <w:rFonts w:ascii="Arial" w:hAnsi="Arial" w:cs="Arial"/>
        <w:b/>
        <w:sz w:val="48"/>
      </w:rPr>
      <w:tab/>
    </w:r>
    <w:r w:rsidRPr="000F007F">
      <w:tab/>
    </w:r>
    <w:r w:rsidRPr="000F007F">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Pr="000F007F" w:rsidRDefault="000F007F" w:rsidP="000F007F">
    <w:pPr>
      <w:pStyle w:val="Footer"/>
      <w:rPr>
        <w:rFonts w:ascii="Arial" w:hAnsi="Arial" w:cs="Arial"/>
        <w:b/>
        <w:sz w:val="48"/>
      </w:rPr>
    </w:pPr>
    <w:r w:rsidRPr="000F007F">
      <w:rPr>
        <w:rFonts w:ascii="Arial" w:hAnsi="Arial" w:cs="Arial"/>
        <w:b/>
        <w:sz w:val="48"/>
      </w:rPr>
      <w:t>BG</w:t>
    </w:r>
    <w:r w:rsidRPr="000F007F">
      <w:rPr>
        <w:rFonts w:ascii="Arial" w:hAnsi="Arial" w:cs="Arial"/>
        <w:b/>
        <w:sz w:val="48"/>
      </w:rPr>
      <w:tab/>
    </w:r>
    <w:r w:rsidRPr="000F007F">
      <w:rPr>
        <w:rFonts w:ascii="Arial" w:hAnsi="Arial" w:cs="Arial"/>
        <w:b/>
        <w:sz w:val="48"/>
      </w:rPr>
      <w:tab/>
    </w:r>
    <w:r w:rsidRPr="000F007F">
      <w:tab/>
    </w:r>
    <w:r w:rsidRPr="000F007F">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Default="000F00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Pr="000F007F" w:rsidRDefault="000F007F" w:rsidP="000F007F">
    <w:pPr>
      <w:pStyle w:val="Footer"/>
      <w:rPr>
        <w:rFonts w:ascii="Arial" w:hAnsi="Arial" w:cs="Arial"/>
        <w:b/>
        <w:sz w:val="48"/>
      </w:rPr>
    </w:pPr>
    <w:r w:rsidRPr="000F007F">
      <w:rPr>
        <w:rFonts w:ascii="Arial" w:hAnsi="Arial" w:cs="Arial"/>
        <w:b/>
        <w:sz w:val="48"/>
      </w:rPr>
      <w:t>BG</w:t>
    </w:r>
    <w:r w:rsidRPr="000F007F">
      <w:rPr>
        <w:rFonts w:ascii="Arial" w:hAnsi="Arial" w:cs="Arial"/>
        <w:b/>
        <w:sz w:val="48"/>
      </w:rPr>
      <w:tab/>
    </w:r>
    <w:r>
      <w:fldChar w:fldCharType="begin"/>
    </w:r>
    <w:r>
      <w:instrText xml:space="preserve"> PAGE  \* MERGEFORMAT </w:instrText>
    </w:r>
    <w:r>
      <w:fldChar w:fldCharType="separate"/>
    </w:r>
    <w:r w:rsidR="00494456">
      <w:rPr>
        <w:noProof/>
      </w:rPr>
      <w:t>7</w:t>
    </w:r>
    <w:r>
      <w:fldChar w:fldCharType="end"/>
    </w:r>
    <w:r>
      <w:tab/>
    </w:r>
    <w:r w:rsidRPr="000F007F">
      <w:tab/>
    </w:r>
    <w:r w:rsidRPr="000F007F">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Default="000F007F" w:rsidP="000F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891" w:rsidRDefault="00851891" w:rsidP="00E66492">
      <w:pPr>
        <w:spacing w:before="0" w:after="0"/>
      </w:pPr>
      <w:r>
        <w:separator/>
      </w:r>
    </w:p>
  </w:footnote>
  <w:footnote w:type="continuationSeparator" w:id="0">
    <w:p w:rsidR="00851891" w:rsidRDefault="00851891" w:rsidP="00E66492">
      <w:pPr>
        <w:spacing w:before="0" w:after="0"/>
      </w:pPr>
      <w:r>
        <w:continuationSeparator/>
      </w:r>
    </w:p>
  </w:footnote>
  <w:footnote w:id="1">
    <w:p w:rsidR="00137B68" w:rsidRPr="00A360A6" w:rsidRDefault="00137B68" w:rsidP="00137B68">
      <w:pPr>
        <w:pStyle w:val="FootnoteText"/>
      </w:pPr>
      <w:r>
        <w:rPr>
          <w:rStyle w:val="FootnoteReference"/>
        </w:rPr>
        <w:footnoteRef/>
      </w:r>
      <w:r>
        <w:tab/>
        <w:t>Решение 2006/507/ЕО на Съвета от 14 октомври 2004 г. за сключване от името на Европейската общност на Стокхолмската конвенция за устойчивите органични замърсители (ОВ L 209, 31.7.2006 г., стр. 1).</w:t>
      </w:r>
    </w:p>
  </w:footnote>
  <w:footnote w:id="2">
    <w:p w:rsidR="00137B68" w:rsidRPr="00A360A6" w:rsidRDefault="00137B68" w:rsidP="00137B68">
      <w:pPr>
        <w:pStyle w:val="FootnoteText"/>
      </w:pPr>
      <w:r>
        <w:rPr>
          <w:rStyle w:val="FootnoteReference"/>
        </w:rPr>
        <w:footnoteRef/>
      </w:r>
      <w:r>
        <w:tab/>
        <w:t>Регламент (ЕС) 2019/1021 на Европейския парламент и на Съвета от 20 юни 2019 г. относно устойчивите органични замърсители (ОВ L 169, 25.6.2019 г., стр. 45).</w:t>
      </w:r>
    </w:p>
  </w:footnote>
  <w:footnote w:id="3">
    <w:p w:rsidR="00137B68" w:rsidRPr="00745DD6" w:rsidRDefault="00137B68" w:rsidP="00137B68">
      <w:pPr>
        <w:pStyle w:val="FootnoteText"/>
      </w:pPr>
      <w:r>
        <w:rPr>
          <w:rStyle w:val="FootnoteReference"/>
        </w:rPr>
        <w:footnoteRef/>
      </w:r>
      <w:r>
        <w:tab/>
        <w:t>Решение 2004/259/ЕО на Съвета от 19 февруари 2004 г. относно сключването от името на Европейската общност на Протокола за устойчивите органични замърсители към Конвенцията от 1979 година за трансгранично замърсяване на въздуха на далечни разстояния (ОВ L 81, 19.3.2004 г., стр. 35).</w:t>
      </w:r>
    </w:p>
  </w:footnote>
  <w:footnote w:id="4">
    <w:p w:rsidR="00CC6C09" w:rsidRPr="00CC6C09" w:rsidRDefault="00CC6C09">
      <w:pPr>
        <w:pStyle w:val="FootnoteText"/>
      </w:pPr>
      <w:r>
        <w:rPr>
          <w:rStyle w:val="FootnoteReference"/>
        </w:rPr>
        <w:footnoteRef/>
      </w:r>
      <w:r>
        <w:tab/>
      </w:r>
      <w:hyperlink r:id="rId1" w:history="1">
        <w:r>
          <w:rPr>
            <w:color w:val="0000FF"/>
            <w:u w:val="single"/>
          </w:rPr>
          <w:t>Регулаторна стратегия за забавителите на горенето — Служба за публикации на ЕС</w:t>
        </w:r>
      </w:hyperlink>
      <w:r>
        <w:t xml:space="preserve"> и </w:t>
      </w:r>
      <w:hyperlink r:id="rId2" w:history="1">
        <w:r>
          <w:rPr>
            <w:color w:val="0000FF"/>
            <w:u w:val="single"/>
          </w:rPr>
          <w:t>fe02b4cb-4603—8189-dab6—9975f16b509e</w:t>
        </w:r>
      </w:hyperlink>
    </w:p>
  </w:footnote>
  <w:footnote w:id="5">
    <w:p w:rsidR="008D351C" w:rsidRPr="00263688" w:rsidRDefault="008D351C">
      <w:pPr>
        <w:pStyle w:val="FootnoteText"/>
      </w:pPr>
      <w:r>
        <w:rPr>
          <w:rStyle w:val="FootnoteReference"/>
        </w:rPr>
        <w:footnoteRef/>
      </w:r>
      <w:r>
        <w:tab/>
      </w:r>
      <w:hyperlink r:id="rId3" w:history="1">
        <w:r>
          <w:t>Състоянието на водите в Европа през 2024 г.:</w:t>
        </w:r>
      </w:hyperlink>
      <w:r w:rsidR="007F121C" w:rsidRPr="00263688">
        <w:t xml:space="preserve"> </w:t>
      </w:r>
      <w:hyperlink r:id="rId4" w:history="1">
        <w:r>
          <w:t>необходимост от подобряване на устойчивостта на водните ресурси,</w:t>
        </w:r>
      </w:hyperlink>
      <w:r>
        <w:t xml:space="preserve"> </w:t>
      </w:r>
      <w:hyperlink r:id="rId5" w:history="1">
        <w:r>
          <w:t>| Публикации |</w:t>
        </w:r>
      </w:hyperlink>
      <w:hyperlink r:id="rId6" w:history="1">
        <w:r>
          <w:t xml:space="preserve"> Европейска агенция за околната среда (ЕАОС)</w:t>
        </w:r>
      </w:hyperlink>
      <w:r w:rsidR="00120E12" w:rsidRPr="00263688">
        <w:t>.</w:t>
      </w:r>
    </w:p>
  </w:footnote>
  <w:footnote w:id="6">
    <w:p w:rsidR="008D351C" w:rsidRPr="00263688" w:rsidRDefault="008D351C">
      <w:pPr>
        <w:pStyle w:val="FootnoteText"/>
      </w:pPr>
      <w:r>
        <w:rPr>
          <w:rStyle w:val="FootnoteReference"/>
        </w:rPr>
        <w:footnoteRef/>
      </w:r>
      <w:r>
        <w:tab/>
      </w:r>
      <w:hyperlink r:id="rId7" w:history="1">
        <w:r>
          <w:t>Стратегия за устойчивост на водните ресурси — Европейска комисия</w:t>
        </w:r>
      </w:hyperlink>
      <w:r w:rsidR="00120E12" w:rsidRPr="00263688">
        <w:t>.</w:t>
      </w:r>
    </w:p>
  </w:footnote>
  <w:footnote w:id="7">
    <w:p w:rsidR="008D351C" w:rsidRPr="003C5325" w:rsidRDefault="008D351C">
      <w:pPr>
        <w:pStyle w:val="FootnoteText"/>
      </w:pPr>
      <w:r>
        <w:rPr>
          <w:rStyle w:val="FootnoteReference"/>
        </w:rPr>
        <w:footnoteRef/>
      </w:r>
      <w:r>
        <w:tab/>
      </w:r>
      <w:hyperlink r:id="rId8" w:history="1">
        <w:r>
          <w:rPr>
            <w:color w:val="0000FF"/>
            <w:u w:val="single"/>
          </w:rPr>
          <w:t>План за действие за нулево замърсяване — Околна среда — Европейска комисия</w:t>
        </w:r>
      </w:hyperlink>
    </w:p>
  </w:footnote>
  <w:footnote w:id="8">
    <w:p w:rsidR="00CC0273" w:rsidRPr="001220AD" w:rsidRDefault="00CC0273" w:rsidP="00CC0273">
      <w:pPr>
        <w:pStyle w:val="FootnoteText"/>
      </w:pPr>
      <w:r>
        <w:rPr>
          <w:rStyle w:val="FootnoteReference"/>
        </w:rPr>
        <w:footnoteRef/>
      </w:r>
      <w:r>
        <w:tab/>
        <w:t>Решение 2006/507/ЕО на Съвета от 14 октомври 2004 г. за сключване от името на Европейската общност на Стокхолмската конвенция за устойчивите органични замърсители (ОВ L 209, 31.7.2006 г., стр. 1, ELI: </w:t>
      </w:r>
      <w:hyperlink r:id="rId9" w:tooltip="Gives access to this document through its ELI URI." w:history="1">
        <w:r>
          <w:rPr>
            <w:rStyle w:val="Hyperlink"/>
          </w:rPr>
          <w:t>http://data.europa.eu/eli/dec/2006/507/oj</w:t>
        </w:r>
      </w:hyperlink>
      <w:r>
        <w:t>).</w:t>
      </w:r>
    </w:p>
  </w:footnote>
  <w:footnote w:id="9">
    <w:p w:rsidR="001A4594" w:rsidRPr="00542D9E" w:rsidRDefault="001A4594">
      <w:pPr>
        <w:pStyle w:val="FootnoteText"/>
      </w:pPr>
      <w:r>
        <w:rPr>
          <w:rStyle w:val="FootnoteReference"/>
        </w:rPr>
        <w:footnoteRef/>
      </w:r>
      <w:r>
        <w:tab/>
        <w:t>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(OВ L 396, 30.12.2006 г., стр. 1, ELI: http://data.europa.eu/eli/reg/2006/1907/oj).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Default="000F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7F" w:rsidRDefault="000F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163BF8"/>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26D4F18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0E4123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C5CDC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4708FE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4"/>
  </w:num>
  <w:num w:numId="3">
    <w:abstractNumId w:val="3"/>
  </w:num>
  <w:num w:numId="4">
    <w:abstractNumId w:val="2"/>
  </w:num>
  <w:num w:numId="5">
    <w:abstractNumId w:val="1"/>
  </w:num>
  <w:num w:numId="6">
    <w:abstractNumId w:val="19"/>
    <w:lvlOverride w:ilvl="0">
      <w:startOverride w:val="1"/>
    </w:lvlOverride>
  </w:num>
  <w:num w:numId="7">
    <w:abstractNumId w:val="16"/>
  </w:num>
  <w:num w:numId="8">
    <w:abstractNumId w:val="9"/>
  </w:num>
  <w:num w:numId="9">
    <w:abstractNumId w:val="18"/>
  </w:num>
  <w:num w:numId="10">
    <w:abstractNumId w:val="8"/>
  </w:num>
  <w:num w:numId="11">
    <w:abstractNumId w:val="10"/>
  </w:num>
  <w:num w:numId="12">
    <w:abstractNumId w:val="11"/>
  </w:num>
  <w:num w:numId="13">
    <w:abstractNumId w:val="6"/>
  </w:num>
  <w:num w:numId="14">
    <w:abstractNumId w:val="17"/>
  </w:num>
  <w:num w:numId="15">
    <w:abstractNumId w:val="5"/>
  </w:num>
  <w:num w:numId="16">
    <w:abstractNumId w:val="12"/>
  </w:num>
  <w:num w:numId="17">
    <w:abstractNumId w:val="14"/>
  </w:num>
  <w:num w:numId="18">
    <w:abstractNumId w:val="15"/>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8"/>
  </w:num>
  <w:num w:numId="26">
    <w:abstractNumId w:val="10"/>
  </w:num>
  <w:num w:numId="27">
    <w:abstractNumId w:val="11"/>
  </w:num>
  <w:num w:numId="28">
    <w:abstractNumId w:val="6"/>
  </w:num>
  <w:num w:numId="29">
    <w:abstractNumId w:val="17"/>
  </w:num>
  <w:num w:numId="30">
    <w:abstractNumId w:val="5"/>
  </w:num>
  <w:num w:numId="31">
    <w:abstractNumId w:val="12"/>
  </w:num>
  <w:num w:numId="32">
    <w:abstractNumId w:val="14"/>
  </w:num>
  <w:num w:numId="33">
    <w:abstractNumId w:val="15"/>
  </w:num>
  <w:num w:numId="34">
    <w:abstractNumId w:val="7"/>
  </w:num>
  <w:num w:numId="35">
    <w:abstractNumId w:val="13"/>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1-28 08:56: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372DFD2-2A06-4C79-B779-B4B4BA7163BA"/>
    <w:docVar w:name="LW_COVERPAGE_TYPE" w:val="1"/>
    <w:docVar w:name="LW_CreatedUtc" w:val="2025-10-24T08:50:08.2252190Z"/>
    <w:docVar w:name="LW_CROSSREFERENCE" w:val="&lt;UNUSED&gt;"/>
    <w:docVar w:name="LW_DocType" w:val="COM"/>
    <w:docVar w:name="LW_EMISSION" w:val="4.2.2026"/>
    <w:docVar w:name="LW_EMISSION_ISODATE" w:val="2026-02-04"/>
    <w:docVar w:name="LW_EMISSION_LOCATION" w:val="BRX"/>
    <w:docVar w:name="LW_EMISSION_PREFIX" w:val="\u1041?\u1088?\u1102?\u1082?\u1089?\u1077?\u1083?, "/>
    <w:docVar w:name="LW_EMISSION_SUFFIX" w:val=" \u1075?."/>
    <w:docVar w:name="LW_ID_DOCMODEL" w:val="SJ-019"/>
    <w:docVar w:name="LW_ID_DOCSIGNATURE" w:val="SJ-019"/>
    <w:docVar w:name="LW_ID_DOCSTRUCTURE" w:val="COM/PL/ORG"/>
    <w:docVar w:name="LW_ID_DOCTYPE" w:val="SJ-019"/>
    <w:docVar w:name="LW_ID_STATUT" w:val="SJ-019"/>
    <w:docVar w:name="LW_INSERT_EXP.MOTIFS.NEW" w:val="1"/>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29"/>
    <w:docVar w:name="LW_REF.II.NEW.CP_YEAR" w:val="2026"/>
    <w:docVar w:name="LW_REF.INST.NEW" w:val="COM"/>
    <w:docVar w:name="LW_REF.INST.NEW_ADOPTED" w:val="final"/>
    <w:docVar w:name="LW_REF.INST.NEW_TEXT" w:val="(2026) 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7?\u1088?\u1077?\u1076?\u1089?\u1090?\u1072?\u1074?\u1103?\u1085?\u1077?\u1090?\u1086? \u1086?\u1090? \u1080?\u1084?\u1077?\u1090?\u1086? \u1085?\u1072? \u1045?\u1074?\u1088?\u1086?\u1087?\u1077?\u1081?\u1089?\u1082?\u1080?\u1103? \u1089?\u1098?\u1102?\u1079? \u1085?\u1072? \u1087?\u1088?\u1077?\u1076?\u1083?\u1086?\u1078?\u1077?\u1085?\u1080?\u1077? \u1079?\u1072? \u1074?\u1082?\u1083?\u1102?\u1095?\u1074?\u1072?\u1085?\u1077?\u1090?\u1086? \u1085?\u1072? \u1073?\u1080?\u1089?(2-\u1077?\u1090?\u1080?\u1083?\u1093?\u1077?\u1082?\u1089?\u1080?\u1083?\u1086?\u1074?) \u1090?\u1077?\u1090?\u1088?\u1072?\u1073?\u1088?\u1086?\u1084?\u1086?\u1092?\u1090?\u1072?\u1083?\u1072?\u1090? (TBPH) \u1074? \u1087?\u1088?\u1080?\u1083?\u1086?\u1078?\u1077?\u1085?\u1080?\u1077? \u1040? \u1080?\u1083?\u1080? \u1087?\u1088?\u1080?\u1083?\u1086?\u1078?\u1077?\u1085?\u1080?\u1077? \u1041? \u1082?\u1098?\u1084? \u1057?\u1090?\u1086?\u1082?\u1093?\u1086?\u1083?\u1084?\u1089?\u1082?\u1072?\u1090?\u1072? \u1082?\u1086?\u1085?\u1074?\u1077?\u1085?\u1094?\u1080?\u1103? \u1079?\u1072? \u1091?\u1089?\u1090?\u1086?\u1081?\u1095?\u1080?\u1074?\u1080?\u1090?\u1077? \u1086?\u1088?\u1075?\u1072?\u1085?\u1080?\u1095?\u1085?\u1080? \u1079?\u1072?\u1084?\u1098?\u1088?\u1089?\u1080?\u1090?\u1077?\u1083?\u1080?"/>
    <w:docVar w:name="LW_TYPE.DOC.CP" w:val="\u1056?\u1045?\u1064?\u1045?\u1053?\u1048?\u1045? \u1053?\u1040? \u1057?\u1066?\u1042?\u1045?\u1058?\u1040?"/>
    <w:docVar w:name="LwApiVersions" w:val="LW4CoDe 1.24.5.0; LW 9.2, Build 20251112"/>
  </w:docVars>
  <w:rsids>
    <w:rsidRoot w:val="00E66492"/>
    <w:rsid w:val="00047A76"/>
    <w:rsid w:val="0005426F"/>
    <w:rsid w:val="00057588"/>
    <w:rsid w:val="00061008"/>
    <w:rsid w:val="00094342"/>
    <w:rsid w:val="000A3A20"/>
    <w:rsid w:val="000B2A7B"/>
    <w:rsid w:val="000D045D"/>
    <w:rsid w:val="000E46A1"/>
    <w:rsid w:val="000E5C03"/>
    <w:rsid w:val="000F007F"/>
    <w:rsid w:val="000F260B"/>
    <w:rsid w:val="000F32CD"/>
    <w:rsid w:val="000F6F84"/>
    <w:rsid w:val="000F7982"/>
    <w:rsid w:val="001065F5"/>
    <w:rsid w:val="00120E12"/>
    <w:rsid w:val="001238EF"/>
    <w:rsid w:val="001249B3"/>
    <w:rsid w:val="00137B68"/>
    <w:rsid w:val="0014064E"/>
    <w:rsid w:val="00161FC6"/>
    <w:rsid w:val="00164323"/>
    <w:rsid w:val="0016669F"/>
    <w:rsid w:val="00196AD9"/>
    <w:rsid w:val="00197613"/>
    <w:rsid w:val="001A179E"/>
    <w:rsid w:val="001A4594"/>
    <w:rsid w:val="001B135F"/>
    <w:rsid w:val="001B2A9C"/>
    <w:rsid w:val="001C00AE"/>
    <w:rsid w:val="001D56E3"/>
    <w:rsid w:val="001E1517"/>
    <w:rsid w:val="001F170E"/>
    <w:rsid w:val="001F1D6D"/>
    <w:rsid w:val="00203115"/>
    <w:rsid w:val="0021108F"/>
    <w:rsid w:val="0021311F"/>
    <w:rsid w:val="00222677"/>
    <w:rsid w:val="002232BC"/>
    <w:rsid w:val="00230CFA"/>
    <w:rsid w:val="00232D2A"/>
    <w:rsid w:val="00233DC7"/>
    <w:rsid w:val="00243E51"/>
    <w:rsid w:val="00247779"/>
    <w:rsid w:val="00251E44"/>
    <w:rsid w:val="00253468"/>
    <w:rsid w:val="00263688"/>
    <w:rsid w:val="00285BEE"/>
    <w:rsid w:val="0029254D"/>
    <w:rsid w:val="0029533F"/>
    <w:rsid w:val="002A0A80"/>
    <w:rsid w:val="002B30AF"/>
    <w:rsid w:val="002B6638"/>
    <w:rsid w:val="00313B74"/>
    <w:rsid w:val="003328AB"/>
    <w:rsid w:val="0033344A"/>
    <w:rsid w:val="00356404"/>
    <w:rsid w:val="0036229A"/>
    <w:rsid w:val="0037138F"/>
    <w:rsid w:val="003754C0"/>
    <w:rsid w:val="00381816"/>
    <w:rsid w:val="0038274B"/>
    <w:rsid w:val="003954BC"/>
    <w:rsid w:val="003C5325"/>
    <w:rsid w:val="003D1D03"/>
    <w:rsid w:val="0042055D"/>
    <w:rsid w:val="00424F29"/>
    <w:rsid w:val="0042648E"/>
    <w:rsid w:val="00434B3B"/>
    <w:rsid w:val="0045237C"/>
    <w:rsid w:val="004540C3"/>
    <w:rsid w:val="00455F48"/>
    <w:rsid w:val="00472F43"/>
    <w:rsid w:val="004936D2"/>
    <w:rsid w:val="00494456"/>
    <w:rsid w:val="004B30D2"/>
    <w:rsid w:val="004C1DF5"/>
    <w:rsid w:val="00527280"/>
    <w:rsid w:val="00542D9E"/>
    <w:rsid w:val="00562525"/>
    <w:rsid w:val="00580E45"/>
    <w:rsid w:val="00581E14"/>
    <w:rsid w:val="005964DE"/>
    <w:rsid w:val="005B1EB6"/>
    <w:rsid w:val="006145C5"/>
    <w:rsid w:val="00616E37"/>
    <w:rsid w:val="006267BC"/>
    <w:rsid w:val="00630053"/>
    <w:rsid w:val="006319D9"/>
    <w:rsid w:val="00645CB2"/>
    <w:rsid w:val="00655449"/>
    <w:rsid w:val="006615C2"/>
    <w:rsid w:val="006620F6"/>
    <w:rsid w:val="006827C1"/>
    <w:rsid w:val="006900C6"/>
    <w:rsid w:val="006908FC"/>
    <w:rsid w:val="00691092"/>
    <w:rsid w:val="006A2987"/>
    <w:rsid w:val="006C0CA3"/>
    <w:rsid w:val="00707DEC"/>
    <w:rsid w:val="00741332"/>
    <w:rsid w:val="007462AF"/>
    <w:rsid w:val="00747113"/>
    <w:rsid w:val="00755AF2"/>
    <w:rsid w:val="00770CFB"/>
    <w:rsid w:val="00773308"/>
    <w:rsid w:val="00773331"/>
    <w:rsid w:val="0079179B"/>
    <w:rsid w:val="007932EF"/>
    <w:rsid w:val="007A0F8C"/>
    <w:rsid w:val="007B6181"/>
    <w:rsid w:val="007C112C"/>
    <w:rsid w:val="007E05B0"/>
    <w:rsid w:val="007F121C"/>
    <w:rsid w:val="007F2143"/>
    <w:rsid w:val="008513DA"/>
    <w:rsid w:val="00851891"/>
    <w:rsid w:val="00851CBE"/>
    <w:rsid w:val="00853227"/>
    <w:rsid w:val="00861C09"/>
    <w:rsid w:val="00874D22"/>
    <w:rsid w:val="008A2914"/>
    <w:rsid w:val="008B60D0"/>
    <w:rsid w:val="008D351C"/>
    <w:rsid w:val="008E1C19"/>
    <w:rsid w:val="008E41FE"/>
    <w:rsid w:val="008E4D8E"/>
    <w:rsid w:val="008E7F22"/>
    <w:rsid w:val="008F14C6"/>
    <w:rsid w:val="0091654D"/>
    <w:rsid w:val="00920FD1"/>
    <w:rsid w:val="00926B92"/>
    <w:rsid w:val="009512D8"/>
    <w:rsid w:val="00975025"/>
    <w:rsid w:val="00995377"/>
    <w:rsid w:val="009D761F"/>
    <w:rsid w:val="009E6A71"/>
    <w:rsid w:val="009E7E8B"/>
    <w:rsid w:val="00A47BE6"/>
    <w:rsid w:val="00A535E2"/>
    <w:rsid w:val="00A606B7"/>
    <w:rsid w:val="00A96DF6"/>
    <w:rsid w:val="00A97004"/>
    <w:rsid w:val="00AA403F"/>
    <w:rsid w:val="00AC761C"/>
    <w:rsid w:val="00AE52C2"/>
    <w:rsid w:val="00B130B2"/>
    <w:rsid w:val="00B166FA"/>
    <w:rsid w:val="00B56A11"/>
    <w:rsid w:val="00B5764A"/>
    <w:rsid w:val="00B67366"/>
    <w:rsid w:val="00B70273"/>
    <w:rsid w:val="00B85897"/>
    <w:rsid w:val="00B934FA"/>
    <w:rsid w:val="00BA76F4"/>
    <w:rsid w:val="00BD0286"/>
    <w:rsid w:val="00BF3284"/>
    <w:rsid w:val="00C12301"/>
    <w:rsid w:val="00C31831"/>
    <w:rsid w:val="00C42DD6"/>
    <w:rsid w:val="00C53682"/>
    <w:rsid w:val="00C7665C"/>
    <w:rsid w:val="00C81060"/>
    <w:rsid w:val="00C97510"/>
    <w:rsid w:val="00CC0273"/>
    <w:rsid w:val="00CC31AF"/>
    <w:rsid w:val="00CC6C09"/>
    <w:rsid w:val="00CF028F"/>
    <w:rsid w:val="00CF41FA"/>
    <w:rsid w:val="00D06137"/>
    <w:rsid w:val="00D20381"/>
    <w:rsid w:val="00D33740"/>
    <w:rsid w:val="00D56149"/>
    <w:rsid w:val="00D70131"/>
    <w:rsid w:val="00D72726"/>
    <w:rsid w:val="00D915D1"/>
    <w:rsid w:val="00D950FE"/>
    <w:rsid w:val="00DA41FC"/>
    <w:rsid w:val="00DB1EEF"/>
    <w:rsid w:val="00DB41BA"/>
    <w:rsid w:val="00DD2217"/>
    <w:rsid w:val="00DF098F"/>
    <w:rsid w:val="00E0477A"/>
    <w:rsid w:val="00E17952"/>
    <w:rsid w:val="00E43D94"/>
    <w:rsid w:val="00E47F8A"/>
    <w:rsid w:val="00E56809"/>
    <w:rsid w:val="00E6645A"/>
    <w:rsid w:val="00E66492"/>
    <w:rsid w:val="00E734FE"/>
    <w:rsid w:val="00E7452D"/>
    <w:rsid w:val="00EA6711"/>
    <w:rsid w:val="00EC54C8"/>
    <w:rsid w:val="00ED1F33"/>
    <w:rsid w:val="00EE2CB7"/>
    <w:rsid w:val="00EF3385"/>
    <w:rsid w:val="00F0709E"/>
    <w:rsid w:val="00F51033"/>
    <w:rsid w:val="00F7130A"/>
    <w:rsid w:val="00F816BC"/>
    <w:rsid w:val="00F83FAB"/>
    <w:rsid w:val="00F93471"/>
    <w:rsid w:val="00F96449"/>
    <w:rsid w:val="00FC38F8"/>
    <w:rsid w:val="00FF5A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CF20165-C109-4A88-AAA4-7626D5AC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49B3"/>
    <w:rPr>
      <w:color w:val="0000FF"/>
      <w:u w:val="single"/>
    </w:rPr>
  </w:style>
  <w:style w:type="paragraph" w:styleId="ListNumber4">
    <w:name w:val="List Number 4"/>
    <w:basedOn w:val="Normal"/>
    <w:uiPriority w:val="99"/>
    <w:semiHidden/>
    <w:unhideWhenUsed/>
    <w:rsid w:val="00BD0286"/>
    <w:pPr>
      <w:numPr>
        <w:numId w:val="1"/>
      </w:numPr>
      <w:contextualSpacing/>
    </w:pPr>
  </w:style>
  <w:style w:type="paragraph" w:styleId="ListBullet">
    <w:name w:val="List Bullet"/>
    <w:basedOn w:val="Normal"/>
    <w:uiPriority w:val="99"/>
    <w:semiHidden/>
    <w:unhideWhenUsed/>
    <w:rsid w:val="00BF3284"/>
    <w:pPr>
      <w:numPr>
        <w:numId w:val="2"/>
      </w:numPr>
      <w:contextualSpacing/>
    </w:pPr>
  </w:style>
  <w:style w:type="paragraph" w:styleId="ListBullet2">
    <w:name w:val="List Bullet 2"/>
    <w:basedOn w:val="Normal"/>
    <w:uiPriority w:val="99"/>
    <w:semiHidden/>
    <w:unhideWhenUsed/>
    <w:rsid w:val="00BF3284"/>
    <w:pPr>
      <w:numPr>
        <w:numId w:val="3"/>
      </w:numPr>
      <w:contextualSpacing/>
    </w:pPr>
  </w:style>
  <w:style w:type="paragraph" w:styleId="ListBullet3">
    <w:name w:val="List Bullet 3"/>
    <w:basedOn w:val="Normal"/>
    <w:uiPriority w:val="99"/>
    <w:semiHidden/>
    <w:unhideWhenUsed/>
    <w:rsid w:val="00BF3284"/>
    <w:pPr>
      <w:numPr>
        <w:numId w:val="4"/>
      </w:numPr>
      <w:contextualSpacing/>
    </w:pPr>
  </w:style>
  <w:style w:type="paragraph" w:styleId="ListBullet4">
    <w:name w:val="List Bullet 4"/>
    <w:basedOn w:val="Normal"/>
    <w:uiPriority w:val="99"/>
    <w:semiHidden/>
    <w:unhideWhenUsed/>
    <w:rsid w:val="00BF3284"/>
    <w:pPr>
      <w:numPr>
        <w:numId w:val="5"/>
      </w:numPr>
      <w:contextualSpacing/>
    </w:pPr>
  </w:style>
  <w:style w:type="paragraph" w:styleId="Revision">
    <w:name w:val="Revision"/>
    <w:hidden/>
    <w:uiPriority w:val="99"/>
    <w:semiHidden/>
    <w:rsid w:val="001E1517"/>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1E1517"/>
    <w:rPr>
      <w:sz w:val="16"/>
      <w:szCs w:val="16"/>
    </w:rPr>
  </w:style>
  <w:style w:type="paragraph" w:styleId="CommentText">
    <w:name w:val="annotation text"/>
    <w:basedOn w:val="Normal"/>
    <w:link w:val="CommentTextChar"/>
    <w:uiPriority w:val="99"/>
    <w:unhideWhenUsed/>
    <w:rsid w:val="001E1517"/>
    <w:rPr>
      <w:sz w:val="20"/>
      <w:szCs w:val="20"/>
    </w:rPr>
  </w:style>
  <w:style w:type="character" w:customStyle="1" w:styleId="CommentTextChar">
    <w:name w:val="Comment Text Char"/>
    <w:basedOn w:val="DefaultParagraphFont"/>
    <w:link w:val="CommentText"/>
    <w:uiPriority w:val="99"/>
    <w:rsid w:val="001E1517"/>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E1517"/>
    <w:rPr>
      <w:b/>
      <w:bCs/>
    </w:rPr>
  </w:style>
  <w:style w:type="character" w:customStyle="1" w:styleId="CommentSubjectChar">
    <w:name w:val="Comment Subject Char"/>
    <w:basedOn w:val="CommentTextChar"/>
    <w:link w:val="CommentSubject"/>
    <w:uiPriority w:val="99"/>
    <w:semiHidden/>
    <w:rsid w:val="001E1517"/>
    <w:rPr>
      <w:rFonts w:ascii="Times New Roman" w:hAnsi="Times New Roman" w:cs="Times New Roman"/>
      <w:b/>
      <w:bCs/>
      <w:sz w:val="20"/>
      <w:szCs w:val="20"/>
      <w:lang w:val="bg-BG"/>
    </w:rPr>
  </w:style>
  <w:style w:type="character" w:customStyle="1" w:styleId="UnresolvedMention">
    <w:name w:val="Unresolved Mention"/>
    <w:basedOn w:val="DefaultParagraphFont"/>
    <w:uiPriority w:val="99"/>
    <w:semiHidden/>
    <w:unhideWhenUsed/>
    <w:rsid w:val="00222677"/>
    <w:rPr>
      <w:color w:val="605E5C"/>
      <w:shd w:val="clear" w:color="auto" w:fill="E1DFDD"/>
    </w:rPr>
  </w:style>
  <w:style w:type="paragraph" w:styleId="EndnoteText">
    <w:name w:val="endnote text"/>
    <w:basedOn w:val="Normal"/>
    <w:link w:val="EndnoteTextChar"/>
    <w:uiPriority w:val="99"/>
    <w:semiHidden/>
    <w:unhideWhenUsed/>
    <w:rsid w:val="008D351C"/>
    <w:pPr>
      <w:spacing w:before="0" w:after="0"/>
    </w:pPr>
    <w:rPr>
      <w:sz w:val="20"/>
      <w:szCs w:val="20"/>
    </w:rPr>
  </w:style>
  <w:style w:type="character" w:customStyle="1" w:styleId="EndnoteTextChar">
    <w:name w:val="Endnote Text Char"/>
    <w:basedOn w:val="DefaultParagraphFont"/>
    <w:link w:val="EndnoteText"/>
    <w:uiPriority w:val="99"/>
    <w:semiHidden/>
    <w:rsid w:val="008D351C"/>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sid w:val="008D351C"/>
    <w:rPr>
      <w:vertAlign w:val="superscript"/>
    </w:rPr>
  </w:style>
  <w:style w:type="character" w:styleId="FollowedHyperlink">
    <w:name w:val="FollowedHyperlink"/>
    <w:basedOn w:val="DefaultParagraphFont"/>
    <w:uiPriority w:val="99"/>
    <w:semiHidden/>
    <w:unhideWhenUsed/>
    <w:rsid w:val="00C7665C"/>
    <w:rPr>
      <w:color w:val="800080" w:themeColor="followedHyperlink"/>
      <w:u w:val="single"/>
    </w:rPr>
  </w:style>
  <w:style w:type="character" w:customStyle="1" w:styleId="HeaderChar">
    <w:name w:val="Header Char"/>
    <w:basedOn w:val="DefaultParagraphFont"/>
    <w:link w:val="Header"/>
    <w:uiPriority w:val="99"/>
    <w:rsid w:val="000F007F"/>
    <w:rPr>
      <w:rFonts w:ascii="Times New Roman" w:hAnsi="Times New Roman" w:cs="Times New Roman"/>
      <w:sz w:val="24"/>
      <w:lang w:val="bg-BG"/>
    </w:rPr>
  </w:style>
  <w:style w:type="character" w:customStyle="1" w:styleId="FooterChar">
    <w:name w:val="Footer Char"/>
    <w:basedOn w:val="DefaultParagraphFont"/>
    <w:link w:val="Footer"/>
    <w:uiPriority w:val="99"/>
    <w:rsid w:val="000F007F"/>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F007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F007F"/>
    <w:pPr>
      <w:spacing w:before="0"/>
      <w:jc w:val="right"/>
    </w:pPr>
    <w:rPr>
      <w:sz w:val="28"/>
    </w:rPr>
  </w:style>
  <w:style w:type="paragraph" w:customStyle="1" w:styleId="FooterSensitivity">
    <w:name w:val="Footer Sensitivity"/>
    <w:basedOn w:val="Normal"/>
    <w:rsid w:val="000F007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0F007F"/>
    <w:pPr>
      <w:tabs>
        <w:tab w:val="center" w:pos="4535"/>
        <w:tab w:val="right" w:pos="9071"/>
      </w:tabs>
      <w:spacing w:before="0"/>
    </w:pPr>
  </w:style>
  <w:style w:type="paragraph" w:customStyle="1" w:styleId="HeaderLandscape">
    <w:name w:val="HeaderLandscape"/>
    <w:basedOn w:val="Normal"/>
    <w:rsid w:val="000F007F"/>
    <w:pPr>
      <w:tabs>
        <w:tab w:val="center" w:pos="7285"/>
        <w:tab w:val="right" w:pos="14003"/>
      </w:tabs>
      <w:spacing w:before="0"/>
    </w:pPr>
  </w:style>
  <w:style w:type="paragraph" w:styleId="Footer">
    <w:name w:val="footer"/>
    <w:basedOn w:val="Normal"/>
    <w:link w:val="FooterChar"/>
    <w:uiPriority w:val="99"/>
    <w:unhideWhenUsed/>
    <w:rsid w:val="000F007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F007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pops.int/Portals/0/download.aspx?d=UNEP-POPS-COP-CONVTEXT-F.En.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ps.int/Portals/0/download.aspx?d=UNEP-POPS-COP-CONVTEXT-E.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nvironment.ec.europa.eu/strategy/zero-pollution-action-plan_bg" TargetMode="External"/><Relationship Id="rId3" Type="http://schemas.openxmlformats.org/officeDocument/2006/relationships/hyperlink" Target="https://www.eea.europa.eu/en/analysis/publications/europes-state-of-water-2024" TargetMode="External"/><Relationship Id="rId7" Type="http://schemas.openxmlformats.org/officeDocument/2006/relationships/hyperlink" Target="https://commission.europa.eu/topics/environment/water-resilience-strategy_bg" TargetMode="External"/><Relationship Id="rId2" Type="http://schemas.openxmlformats.org/officeDocument/2006/relationships/hyperlink" Target="https://echa.europa.eu/documents/10162/17233/rest_aromatic_brominated_flame_retardants_investigation_report_en.pdf/fe02b4cb-4603-8189-dab6-9975f16b509e?t=1734506465364" TargetMode="External"/><Relationship Id="rId1" Type="http://schemas.openxmlformats.org/officeDocument/2006/relationships/hyperlink" Target="https://op.europa.eu/en/publication-detail/-/publication/24097cfb-cf78-11ed-a05c-01aa75ed71a1/language-en" TargetMode="External"/><Relationship Id="rId6" Type="http://schemas.openxmlformats.org/officeDocument/2006/relationships/hyperlink" Target="https://www.eea.europa.eu/en/analysis/publications/europes-state-of-water-2024" TargetMode="External"/><Relationship Id="rId5" Type="http://schemas.openxmlformats.org/officeDocument/2006/relationships/hyperlink" Target="https://www.eea.europa.eu/en/analysis/publications/europes-state-of-water-2024" TargetMode="External"/><Relationship Id="rId4" Type="http://schemas.openxmlformats.org/officeDocument/2006/relationships/hyperlink" Target="https://www.eea.europa.eu/en/analysis/publications/europes-state-of-water-2024" TargetMode="External"/><Relationship Id="rId9" Type="http://schemas.openxmlformats.org/officeDocument/2006/relationships/hyperlink" Target="http://data.europa.eu/eli/dec/2006/50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53f545d841efbe2c9dab5ef00fcc55e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1b3a6d710fffecef35e5e5af0085c7b2"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366A-8EE0-42BB-8A54-E0F034F6BC5A}">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8F8A66BB-134C-4822-96D9-09E5558B555B}">
  <ds:schemaRefs>
    <ds:schemaRef ds:uri="http://schemas.microsoft.com/sharepoint/v3/contenttype/forms"/>
  </ds:schemaRefs>
</ds:datastoreItem>
</file>

<file path=customXml/itemProps3.xml><?xml version="1.0" encoding="utf-8"?>
<ds:datastoreItem xmlns:ds="http://schemas.openxmlformats.org/officeDocument/2006/customXml" ds:itemID="{510BE1B1-03A8-4371-B477-032257757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3B3BD-8F03-47CE-B28E-8152EDD9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82</TotalTime>
  <Pages>8</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2026-01-13T14:17:00Z</dcterms:created>
  <dcterms:modified xsi:type="dcterms:W3CDTF">2026-01-28T07:56:00Z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2025-10-24T08:51:46Z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8b353eac-ae1e-4f4e-aab4-5e5bac122789</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y fmtid="{D5CDD505-2E9C-101B-9397-08002B2CF9AE}" pid="20" name="DQCStatus">
    <vt:lpwstr>Green (DQC version 03)</vt:lpwstr>
  </property>
</Properties>
</file>