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595" w:rsidRPr="00F03970" w:rsidRDefault="002E292A" w:rsidP="002E292A">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3F76531A-CB6E-4ED3-B3C5-B03F8AC7BA4B" style="width:455.25pt;height:330pt">
            <v:imagedata r:id="rId11" o:title=""/>
          </v:shape>
        </w:pict>
      </w:r>
    </w:p>
    <w:p w:rsidR="00920595" w:rsidRPr="00F03970" w:rsidRDefault="00920595" w:rsidP="00723A68">
      <w:pPr>
        <w:pStyle w:val="Pagedecouverture"/>
        <w:rPr>
          <w:noProof/>
        </w:rPr>
        <w:sectPr w:rsidR="00920595" w:rsidRPr="00F03970" w:rsidSect="002E292A">
          <w:headerReference w:type="even" r:id="rId12"/>
          <w:headerReference w:type="default" r:id="rId13"/>
          <w:footerReference w:type="even" r:id="rId14"/>
          <w:footerReference w:type="default" r:id="rId15"/>
          <w:headerReference w:type="first" r:id="rId16"/>
          <w:footerReference w:type="first" r:id="rId17"/>
          <w:pgSz w:w="11907" w:h="16839"/>
          <w:pgMar w:top="1134" w:right="1417" w:bottom="1134" w:left="1417" w:header="709" w:footer="709" w:gutter="0"/>
          <w:pgNumType w:start="0"/>
          <w:cols w:space="720"/>
          <w:docGrid w:linePitch="360"/>
        </w:sectPr>
      </w:pPr>
    </w:p>
    <w:p w:rsidR="00D76766" w:rsidRDefault="00A9605B">
      <w:pPr>
        <w:pStyle w:val="Rfrenceinterinstitutionnelle"/>
        <w:rPr>
          <w:noProof/>
        </w:rPr>
      </w:pPr>
      <w:bookmarkStart w:id="0" w:name="_GoBack"/>
      <w:bookmarkEnd w:id="0"/>
      <w:r>
        <w:rPr>
          <w:noProof/>
        </w:rPr>
        <w:lastRenderedPageBreak/>
        <w:t>2026/0022 (NLE)</w:t>
      </w:r>
    </w:p>
    <w:p w:rsidR="00920595" w:rsidRPr="00F03970" w:rsidRDefault="00F03970" w:rsidP="00F03970">
      <w:pPr>
        <w:pStyle w:val="Statut"/>
        <w:rPr>
          <w:noProof/>
        </w:rPr>
      </w:pPr>
      <w:r w:rsidRPr="00F03970">
        <w:rPr>
          <w:noProof/>
        </w:rPr>
        <w:t>Предложение за</w:t>
      </w:r>
    </w:p>
    <w:p w:rsidR="00920595" w:rsidRPr="00F03970" w:rsidRDefault="00F03970" w:rsidP="00F03970">
      <w:pPr>
        <w:pStyle w:val="Typedudocument"/>
        <w:rPr>
          <w:noProof/>
        </w:rPr>
      </w:pPr>
      <w:r w:rsidRPr="00F03970">
        <w:rPr>
          <w:noProof/>
        </w:rPr>
        <w:t>РЕШЕНИЕ ЗА ИЗПЪЛНЕНИЕ НА СЪВЕТА</w:t>
      </w:r>
    </w:p>
    <w:p w:rsidR="00920595" w:rsidRPr="00F03970" w:rsidRDefault="00F03970" w:rsidP="00F03970">
      <w:pPr>
        <w:pStyle w:val="Titreobjet"/>
        <w:rPr>
          <w:noProof/>
        </w:rPr>
      </w:pPr>
      <w:r w:rsidRPr="00F03970">
        <w:rPr>
          <w:noProof/>
        </w:rPr>
        <w:t>за отпускане на финансовата помощ по Регламент (ЕС) 2025/1106 на Хърватия</w:t>
      </w:r>
    </w:p>
    <w:p w:rsidR="00FE6B92" w:rsidRPr="00F03970" w:rsidRDefault="00FE6B92" w:rsidP="00FE6B92">
      <w:pPr>
        <w:rPr>
          <w:noProof/>
        </w:rPr>
      </w:pPr>
      <w:r w:rsidRPr="00F03970">
        <w:rPr>
          <w:noProof/>
        </w:rPr>
        <w:t>СЪВЕТЪТ НА ЕВРОПЕЙСКИЯ СЪЮЗ,</w:t>
      </w:r>
    </w:p>
    <w:p w:rsidR="00920595" w:rsidRPr="00F03970" w:rsidRDefault="00920595" w:rsidP="00D31C35">
      <w:pPr>
        <w:rPr>
          <w:rFonts w:eastAsia="Times New Roman"/>
          <w:noProof/>
        </w:rPr>
      </w:pPr>
      <w:r w:rsidRPr="00F03970">
        <w:rPr>
          <w:noProof/>
        </w:rPr>
        <w:t>като взе предвид Договора за функционирането на Европейския съюз,</w:t>
      </w:r>
    </w:p>
    <w:p w:rsidR="00920595" w:rsidRPr="00F03970" w:rsidRDefault="00B877D0" w:rsidP="00D31C35">
      <w:pPr>
        <w:rPr>
          <w:rFonts w:eastAsia="Times New Roman"/>
          <w:noProof/>
        </w:rPr>
      </w:pPr>
      <w:bookmarkStart w:id="1" w:name="_Hlk218870434"/>
      <w:r w:rsidRPr="00F03970">
        <w:rPr>
          <w:noProof/>
        </w:rPr>
        <w:t xml:space="preserve"> като взе предвид Регламент (ЕС) 2025/1106 на Съвета от 27 май 2025 г. за създаване на инструмента „Мерки за сигурността на Европа (SAFE) чрез укрепване на европейската отбранителна промишленост“</w:t>
      </w:r>
      <w:r w:rsidRPr="00F03970">
        <w:rPr>
          <w:rStyle w:val="FootnoteReference"/>
          <w:noProof/>
        </w:rPr>
        <w:footnoteReference w:id="1"/>
      </w:r>
      <w:r w:rsidRPr="00F03970">
        <w:rPr>
          <w:noProof/>
        </w:rPr>
        <w:t>, и по-специално член 8, параграф 6 от него</w:t>
      </w:r>
      <w:bookmarkEnd w:id="1"/>
      <w:r w:rsidRPr="00F03970">
        <w:rPr>
          <w:noProof/>
        </w:rPr>
        <w:t>,</w:t>
      </w:r>
    </w:p>
    <w:p w:rsidR="00920595" w:rsidRPr="00F03970" w:rsidRDefault="00920595" w:rsidP="00D31C35">
      <w:pPr>
        <w:rPr>
          <w:rFonts w:eastAsia="Times New Roman"/>
          <w:noProof/>
        </w:rPr>
      </w:pPr>
      <w:r w:rsidRPr="00F03970">
        <w:rPr>
          <w:noProof/>
        </w:rPr>
        <w:t>като взе предвид предложението на Европейската комисия,</w:t>
      </w:r>
    </w:p>
    <w:p w:rsidR="00920595" w:rsidRPr="00F03970" w:rsidRDefault="00920595" w:rsidP="00D31C35">
      <w:pPr>
        <w:rPr>
          <w:rFonts w:eastAsia="Times New Roman"/>
          <w:noProof/>
        </w:rPr>
      </w:pPr>
      <w:bookmarkStart w:id="2" w:name="_Hlk216364633"/>
      <w:r w:rsidRPr="00F03970">
        <w:rPr>
          <w:noProof/>
        </w:rPr>
        <w:t>като има предвид, че:</w:t>
      </w:r>
    </w:p>
    <w:p w:rsidR="00B877D0" w:rsidRPr="00F03970" w:rsidRDefault="00180632" w:rsidP="00180632">
      <w:pPr>
        <w:pStyle w:val="Point0"/>
        <w:rPr>
          <w:noProof/>
        </w:rPr>
      </w:pPr>
      <w:r>
        <w:rPr>
          <w:noProof/>
        </w:rPr>
        <w:t>1)</w:t>
      </w:r>
      <w:r>
        <w:rPr>
          <w:noProof/>
        </w:rPr>
        <w:tab/>
      </w:r>
      <w:r w:rsidR="00B877D0" w:rsidRPr="00F03970">
        <w:rPr>
          <w:noProof/>
        </w:rPr>
        <w:t xml:space="preserve">Комисията обяви покана за изразяване на интерес за получаване на финансова помощ по линия на </w:t>
      </w:r>
      <w:bookmarkStart w:id="3" w:name="_Hlk218868365"/>
      <w:r w:rsidR="00B877D0" w:rsidRPr="00F03970">
        <w:rPr>
          <w:noProof/>
        </w:rPr>
        <w:t>инструмента „Мерки за сигурността на Европа (SAFE) чрез укрепване на европейската отбранителна промишленост“</w:t>
      </w:r>
      <w:bookmarkEnd w:id="3"/>
      <w:r w:rsidR="00B877D0" w:rsidRPr="00F03970">
        <w:rPr>
          <w:noProof/>
        </w:rPr>
        <w:t xml:space="preserve"> (наричан по-нататък „инструментът SAFE“), като поиска от държавите членки да посочат примерен максимален и минимален размер на заема. До 29 август 2025 г. 19 държави членки бяха изразили интерес да получат финансова помощ по Регламент (ЕС) 2025/1106.</w:t>
      </w:r>
    </w:p>
    <w:p w:rsidR="00B877D0" w:rsidRPr="00F03970" w:rsidRDefault="00180632" w:rsidP="00180632">
      <w:pPr>
        <w:pStyle w:val="Point0"/>
        <w:rPr>
          <w:noProof/>
        </w:rPr>
      </w:pPr>
      <w:bookmarkStart w:id="4" w:name="_Hlk218868880"/>
      <w:r>
        <w:rPr>
          <w:noProof/>
        </w:rPr>
        <w:t>2)</w:t>
      </w:r>
      <w:r>
        <w:rPr>
          <w:noProof/>
        </w:rPr>
        <w:tab/>
      </w:r>
      <w:r w:rsidR="00B877D0" w:rsidRPr="00F03970">
        <w:rPr>
          <w:noProof/>
        </w:rPr>
        <w:t>На 9 септември 2025 г. Комисията уведоми отправилите искане държави членки за предварителното</w:t>
      </w:r>
      <w:bookmarkEnd w:id="4"/>
      <w:r w:rsidR="00B877D0" w:rsidRPr="00F03970">
        <w:rPr>
          <w:noProof/>
        </w:rPr>
        <w:t xml:space="preserve"> разпределение на сумите по заемите по държави членки.</w:t>
      </w:r>
    </w:p>
    <w:p w:rsidR="00920595" w:rsidRPr="00F03970" w:rsidRDefault="00180632" w:rsidP="00180632">
      <w:pPr>
        <w:pStyle w:val="Point0"/>
        <w:rPr>
          <w:noProof/>
        </w:rPr>
      </w:pPr>
      <w:bookmarkStart w:id="5" w:name="_Hlk218870488"/>
      <w:r>
        <w:rPr>
          <w:noProof/>
        </w:rPr>
        <w:t>3)</w:t>
      </w:r>
      <w:r>
        <w:rPr>
          <w:noProof/>
        </w:rPr>
        <w:tab/>
      </w:r>
      <w:r w:rsidR="00B877D0" w:rsidRPr="00F03970">
        <w:rPr>
          <w:noProof/>
        </w:rPr>
        <w:t>На 28 ноември 2025 г. Хърватия подаде искане за финансова помощ по член 7, параграф 1 от Регламент (ЕС) 2025/1106 (наричано по-нататък „искането“),</w:t>
      </w:r>
      <w:bookmarkEnd w:id="5"/>
      <w:r w:rsidR="00B877D0" w:rsidRPr="00F03970">
        <w:rPr>
          <w:noProof/>
        </w:rPr>
        <w:t xml:space="preserve"> придружено от план за инвестиции в европейската отбранителна промишленост (наричан по-нататък „планът“).</w:t>
      </w:r>
    </w:p>
    <w:p w:rsidR="007B5A04" w:rsidRPr="00F03970" w:rsidRDefault="00180632" w:rsidP="00180632">
      <w:pPr>
        <w:pStyle w:val="Point0"/>
        <w:rPr>
          <w:noProof/>
        </w:rPr>
      </w:pPr>
      <w:bookmarkStart w:id="6" w:name="_Hlk218870606"/>
      <w:r>
        <w:rPr>
          <w:noProof/>
        </w:rPr>
        <w:t>4)</w:t>
      </w:r>
      <w:r>
        <w:rPr>
          <w:noProof/>
        </w:rPr>
        <w:tab/>
      </w:r>
      <w:r w:rsidR="00B877D0" w:rsidRPr="00F03970">
        <w:rPr>
          <w:noProof/>
        </w:rPr>
        <w:t>Комисията разгледа искането въз основа на условията, предвидени в Регламент (ЕС) 2025/1106.</w:t>
      </w:r>
      <w:bookmarkEnd w:id="6"/>
    </w:p>
    <w:p w:rsidR="00AE4AB6" w:rsidRPr="00F03970" w:rsidRDefault="00180632" w:rsidP="00180632">
      <w:pPr>
        <w:pStyle w:val="Point0"/>
        <w:rPr>
          <w:noProof/>
        </w:rPr>
      </w:pPr>
      <w:r>
        <w:rPr>
          <w:noProof/>
        </w:rPr>
        <w:t>5)</w:t>
      </w:r>
      <w:r>
        <w:rPr>
          <w:noProof/>
        </w:rPr>
        <w:tab/>
      </w:r>
      <w:r w:rsidR="00AE4AB6" w:rsidRPr="00F03970">
        <w:rPr>
          <w:noProof/>
        </w:rPr>
        <w:t>В съответствие с член 7 от Регламент (ЕС) 2025/1106 планът е надлежно мотивиран и обоснован и съдържа описание на отбранителните продукти и на други продукти с отбранителна цел.</w:t>
      </w:r>
    </w:p>
    <w:bookmarkEnd w:id="2"/>
    <w:p w:rsidR="00B877D0" w:rsidRPr="00F03970" w:rsidRDefault="00180632" w:rsidP="00180632">
      <w:pPr>
        <w:pStyle w:val="Point0"/>
        <w:rPr>
          <w:noProof/>
        </w:rPr>
      </w:pPr>
      <w:r>
        <w:rPr>
          <w:noProof/>
        </w:rPr>
        <w:t>6)</w:t>
      </w:r>
      <w:r>
        <w:rPr>
          <w:noProof/>
        </w:rPr>
        <w:tab/>
      </w:r>
      <w:r w:rsidR="00B877D0" w:rsidRPr="00F03970">
        <w:rPr>
          <w:noProof/>
        </w:rPr>
        <w:t xml:space="preserve">Комисията установи, че искането отговаря на условията за използването на инструмента SAFE по член 4 от Регламент (ЕС) 2025/1106. В частност, с него се гарантира, че дейностите, разходите и мерките във връзка с отбранителните продукти и другите продукти с отбранителна цел се осъществяват чрез съвместно възлагане на поръчки или отделно възлагане на поръчки. Те са предназначени и за ускоряване на приспособяването на отбранителната промишленост към структурните промени и/или по-успешно и навременно осигуряване на наличност на отбранителни продукти, и/или осигуряване на оперативна съвместимост и взаимозаменяемост в целия Съюз. </w:t>
      </w:r>
    </w:p>
    <w:p w:rsidR="00B877D0" w:rsidRPr="00F03970" w:rsidRDefault="00180632" w:rsidP="00180632">
      <w:pPr>
        <w:pStyle w:val="Point0"/>
        <w:rPr>
          <w:noProof/>
        </w:rPr>
      </w:pPr>
      <w:r>
        <w:rPr>
          <w:noProof/>
        </w:rPr>
        <w:t>7)</w:t>
      </w:r>
      <w:r>
        <w:rPr>
          <w:noProof/>
        </w:rPr>
        <w:tab/>
      </w:r>
      <w:r w:rsidR="00B877D0" w:rsidRPr="00F03970">
        <w:rPr>
          <w:noProof/>
        </w:rPr>
        <w:t>Комисията установи също така, че искането съдържа описание на планираните мерки за осигуряване на спазването на член 16 и на правилата за възлагане на поръчки по Регламент (ЕС) 2025/1106, включително описание на начина, по който ще се осигури спазването.</w:t>
      </w:r>
    </w:p>
    <w:p w:rsidR="00AE4AB6" w:rsidRPr="00F03970" w:rsidRDefault="00180632" w:rsidP="00180632">
      <w:pPr>
        <w:pStyle w:val="Point0"/>
        <w:rPr>
          <w:noProof/>
        </w:rPr>
      </w:pPr>
      <w:r>
        <w:rPr>
          <w:noProof/>
        </w:rPr>
        <w:t>8)</w:t>
      </w:r>
      <w:r>
        <w:rPr>
          <w:noProof/>
        </w:rPr>
        <w:tab/>
      </w:r>
      <w:r w:rsidR="00AE4AB6" w:rsidRPr="00F03970">
        <w:rPr>
          <w:noProof/>
        </w:rPr>
        <w:t>Вследствие на това по силата на член 8, параграф 3 от Регламент (ЕС) 2025/1106 Комисията е в състояние да потвърди, че искането отговаря на условията, предвидени в посочения регламент.</w:t>
      </w:r>
    </w:p>
    <w:p w:rsidR="00AE4AB6" w:rsidRPr="00F03970" w:rsidRDefault="00180632" w:rsidP="00180632">
      <w:pPr>
        <w:pStyle w:val="Point0"/>
        <w:rPr>
          <w:noProof/>
        </w:rPr>
      </w:pPr>
      <w:r>
        <w:rPr>
          <w:noProof/>
        </w:rPr>
        <w:t>9)</w:t>
      </w:r>
      <w:r>
        <w:rPr>
          <w:noProof/>
        </w:rPr>
        <w:tab/>
      </w:r>
      <w:r w:rsidR="00AE4AB6" w:rsidRPr="00F03970">
        <w:rPr>
          <w:noProof/>
        </w:rPr>
        <w:t>По силата на член 8, параграф 5 от Регламент (ЕС) 2025/1106 Комисията взе предвид съществуващите и очакваните потребности от финансиране на Хърватия, както и исканията за финансова помощ по посочения регламент, които са подадени или се планира да бъдат подадени от други държави членки, като приложи принципите на равно третиране, солидарност, пропорционалност и прозрачност.</w:t>
      </w:r>
    </w:p>
    <w:p w:rsidR="008B2C8A" w:rsidRPr="00F03970" w:rsidRDefault="00180632" w:rsidP="00180632">
      <w:pPr>
        <w:pStyle w:val="Point0"/>
        <w:rPr>
          <w:noProof/>
          <w:szCs w:val="24"/>
        </w:rPr>
      </w:pPr>
      <w:r>
        <w:rPr>
          <w:noProof/>
        </w:rPr>
        <w:t>10)</w:t>
      </w:r>
      <w:r>
        <w:rPr>
          <w:noProof/>
        </w:rPr>
        <w:tab/>
      </w:r>
      <w:r w:rsidR="00B877D0" w:rsidRPr="00F03970">
        <w:rPr>
          <w:noProof/>
        </w:rPr>
        <w:t>Настоящото решение следва да не засяга задължението за провеждане на процедури по реда на Регламент (ЕС) 2024/1263 на Европейския парламент и на Съвета</w:t>
      </w:r>
      <w:r w:rsidR="00B877D0" w:rsidRPr="00F03970">
        <w:rPr>
          <w:rStyle w:val="FootnoteReference"/>
          <w:noProof/>
        </w:rPr>
        <w:footnoteReference w:id="2"/>
      </w:r>
      <w:r w:rsidR="00B877D0" w:rsidRPr="00F03970">
        <w:rPr>
          <w:noProof/>
        </w:rPr>
        <w:t xml:space="preserve"> и Регламент (ЕО) № 1467/97 на Съвета</w:t>
      </w:r>
      <w:r w:rsidR="00B877D0" w:rsidRPr="00F03970">
        <w:rPr>
          <w:rStyle w:val="FootnoteReference"/>
          <w:noProof/>
        </w:rPr>
        <w:footnoteReference w:id="3"/>
      </w:r>
      <w:r w:rsidR="00B877D0" w:rsidRPr="00F03970">
        <w:rPr>
          <w:noProof/>
        </w:rPr>
        <w:t>, нито изхода от тези процедури.</w:t>
      </w:r>
    </w:p>
    <w:p w:rsidR="00B877D0" w:rsidRPr="00F03970" w:rsidRDefault="00180632" w:rsidP="00180632">
      <w:pPr>
        <w:pStyle w:val="Point0"/>
        <w:rPr>
          <w:noProof/>
        </w:rPr>
      </w:pPr>
      <w:r>
        <w:rPr>
          <w:noProof/>
        </w:rPr>
        <w:t>11)</w:t>
      </w:r>
      <w:r>
        <w:rPr>
          <w:noProof/>
        </w:rPr>
        <w:tab/>
      </w:r>
      <w:r w:rsidR="008B2C8A" w:rsidRPr="00F03970">
        <w:rPr>
          <w:noProof/>
        </w:rPr>
        <w:t>Настоящото решение не засяга относимите правила, приети по силата на член 322 от ДФЕС, в частност Финансовия регламент и Регламент (ЕС, Евратом) 2020/2092 на Европейския парламент и на Съвета</w:t>
      </w:r>
      <w:r w:rsidR="008B2C8A" w:rsidRPr="00F03970">
        <w:rPr>
          <w:rStyle w:val="FootnoteReference"/>
          <w:noProof/>
        </w:rPr>
        <w:footnoteReference w:id="4"/>
      </w:r>
      <w:r w:rsidR="008B2C8A" w:rsidRPr="00F03970">
        <w:rPr>
          <w:noProof/>
        </w:rPr>
        <w:t>. В съответствие с член 10, параграф 2 от Регламента за инструмента SAFE в споразумението за заем следва да се определят всички целесъобразни мерки, които са необходими за защитата на финансовите интереси на Съюза,</w:t>
      </w:r>
    </w:p>
    <w:p w:rsidR="00920595" w:rsidRPr="00F03970" w:rsidRDefault="00920595" w:rsidP="00B20124">
      <w:pPr>
        <w:pStyle w:val="HeaderLandscape"/>
        <w:rPr>
          <w:noProof/>
        </w:rPr>
      </w:pPr>
      <w:r w:rsidRPr="00F03970">
        <w:rPr>
          <w:noProof/>
        </w:rPr>
        <w:t xml:space="preserve">ПРИЕ НАСТОЯЩОТО РЕШЕНИЕ: </w:t>
      </w:r>
    </w:p>
    <w:p w:rsidR="00B877D0" w:rsidRPr="00F03970" w:rsidRDefault="00B877D0" w:rsidP="00B877D0">
      <w:pPr>
        <w:pStyle w:val="Titrearticle"/>
        <w:rPr>
          <w:noProof/>
        </w:rPr>
      </w:pPr>
      <w:bookmarkStart w:id="7" w:name="_Hlk218870749"/>
      <w:r w:rsidRPr="00F03970">
        <w:rPr>
          <w:noProof/>
        </w:rPr>
        <w:t>Член 1</w:t>
      </w:r>
    </w:p>
    <w:bookmarkEnd w:id="7"/>
    <w:p w:rsidR="00920595" w:rsidRPr="00F03970" w:rsidRDefault="00B877D0" w:rsidP="00D31C35">
      <w:pPr>
        <w:rPr>
          <w:rFonts w:eastAsia="Times New Roman"/>
          <w:noProof/>
        </w:rPr>
      </w:pPr>
      <w:r w:rsidRPr="00F03970">
        <w:rPr>
          <w:noProof/>
        </w:rPr>
        <w:t>Искането за финансова помощ по линия на инструмента „Мерки за сигурността на Европа (SAFE) чрез укрепване на европейската отбранителна промишленост“, подадено от Хърватия на 28 ноември 2025 г., отговаря на условията, предвидени в Регламент (ЕС) 2025/1106, в частност на условията по член 4, член 7, параграф 2 и член 16.</w:t>
      </w:r>
    </w:p>
    <w:p w:rsidR="00920595" w:rsidRPr="00F03970" w:rsidRDefault="00920595" w:rsidP="00D31C35">
      <w:pPr>
        <w:pStyle w:val="Titrearticle"/>
        <w:rPr>
          <w:noProof/>
        </w:rPr>
      </w:pPr>
      <w:r w:rsidRPr="00F03970">
        <w:rPr>
          <w:noProof/>
        </w:rPr>
        <w:t>Член 2</w:t>
      </w:r>
    </w:p>
    <w:p w:rsidR="00920595" w:rsidRPr="00F03970" w:rsidRDefault="00920595" w:rsidP="00D31C35">
      <w:pPr>
        <w:rPr>
          <w:noProof/>
        </w:rPr>
      </w:pPr>
      <w:r w:rsidRPr="00F03970">
        <w:rPr>
          <w:noProof/>
        </w:rPr>
        <w:t>1. Съюзът отпуска на Хърватия заем с максимален размер 1 700 000 000,00 евро.</w:t>
      </w:r>
    </w:p>
    <w:p w:rsidR="00920595" w:rsidRPr="00F03970" w:rsidRDefault="00E53456" w:rsidP="00E53456">
      <w:pPr>
        <w:rPr>
          <w:noProof/>
          <w:highlight w:val="yellow"/>
        </w:rPr>
      </w:pPr>
      <w:r w:rsidRPr="00F03970">
        <w:rPr>
          <w:noProof/>
        </w:rPr>
        <w:t>2. Съюзът предоставя  на Хърватия подкрепата под формата на заем. Той отпуска като плащане за предварително финансиране сума в размер 255 000 000,00 евро.</w:t>
      </w:r>
    </w:p>
    <w:p w:rsidR="00920595" w:rsidRPr="00F03970" w:rsidRDefault="00920595" w:rsidP="00D816C3">
      <w:pPr>
        <w:pStyle w:val="Titrearticle"/>
        <w:rPr>
          <w:noProof/>
        </w:rPr>
      </w:pPr>
      <w:r w:rsidRPr="00F03970">
        <w:rPr>
          <w:noProof/>
        </w:rPr>
        <w:t>Член 3</w:t>
      </w:r>
    </w:p>
    <w:p w:rsidR="00920595" w:rsidRPr="00F03970" w:rsidRDefault="00920595" w:rsidP="00D31C35">
      <w:pPr>
        <w:rPr>
          <w:noProof/>
        </w:rPr>
      </w:pPr>
      <w:r w:rsidRPr="00F03970">
        <w:rPr>
          <w:noProof/>
        </w:rPr>
        <w:t>Адресат на настоящото решение е Република Хърватия.</w:t>
      </w:r>
    </w:p>
    <w:p w:rsidR="00920595" w:rsidRPr="00F03970" w:rsidRDefault="00F03970" w:rsidP="00D816C3">
      <w:pPr>
        <w:pStyle w:val="Fait"/>
        <w:rPr>
          <w:noProof/>
        </w:rPr>
      </w:pPr>
      <w:r>
        <w:rPr>
          <w:noProof/>
        </w:rPr>
        <w:t>Съставено в Брюксел на  година.</w:t>
      </w:r>
    </w:p>
    <w:p w:rsidR="00920595" w:rsidRPr="00F03970" w:rsidRDefault="00920595" w:rsidP="00D816C3">
      <w:pPr>
        <w:pStyle w:val="Institutionquisigne"/>
        <w:rPr>
          <w:noProof/>
        </w:rPr>
      </w:pPr>
      <w:r w:rsidRPr="00F03970">
        <w:rPr>
          <w:noProof/>
        </w:rPr>
        <w:tab/>
        <w:t>За Съвета</w:t>
      </w:r>
    </w:p>
    <w:p w:rsidR="00920595" w:rsidRPr="00F03970" w:rsidRDefault="00920595" w:rsidP="00D31C35">
      <w:pPr>
        <w:pStyle w:val="Personnequisigne"/>
        <w:rPr>
          <w:noProof/>
        </w:rPr>
      </w:pPr>
      <w:r w:rsidRPr="00F03970">
        <w:rPr>
          <w:noProof/>
        </w:rPr>
        <w:tab/>
        <w:t>Председател</w:t>
      </w:r>
    </w:p>
    <w:sectPr w:rsidR="00920595" w:rsidRPr="00F03970" w:rsidSect="002E292A">
      <w:headerReference w:type="even" r:id="rId18"/>
      <w:footerReference w:type="even" r:id="rId19"/>
      <w:footerReference w:type="default" r:id="rId20"/>
      <w:headerReference w:type="first" r:id="rId21"/>
      <w:footerReference w:type="first" r:id="rId22"/>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2B1" w:rsidRPr="005A2D96" w:rsidRDefault="00D762B1" w:rsidP="00D31C35">
      <w:pPr>
        <w:spacing w:before="0" w:after="0"/>
      </w:pPr>
      <w:r>
        <w:separator/>
      </w:r>
    </w:p>
  </w:endnote>
  <w:endnote w:type="continuationSeparator" w:id="0">
    <w:p w:rsidR="00D762B1" w:rsidRPr="005A2D96" w:rsidRDefault="00D762B1" w:rsidP="00D31C3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92A" w:rsidRPr="002E292A" w:rsidRDefault="002E292A" w:rsidP="002E292A">
    <w:pPr>
      <w:pStyle w:val="Footer"/>
      <w:rPr>
        <w:rFonts w:ascii="Arial" w:hAnsi="Arial" w:cs="Arial"/>
        <w:b/>
        <w:sz w:val="48"/>
      </w:rPr>
    </w:pPr>
    <w:r w:rsidRPr="002E292A">
      <w:rPr>
        <w:rFonts w:ascii="Arial" w:hAnsi="Arial" w:cs="Arial"/>
        <w:b/>
        <w:sz w:val="48"/>
      </w:rPr>
      <w:t>BG</w:t>
    </w:r>
    <w:r w:rsidRPr="002E292A">
      <w:rPr>
        <w:rFonts w:ascii="Arial" w:hAnsi="Arial" w:cs="Arial"/>
        <w:b/>
        <w:sz w:val="48"/>
      </w:rPr>
      <w:tab/>
    </w:r>
    <w:r w:rsidRPr="002E292A">
      <w:rPr>
        <w:rFonts w:ascii="Arial" w:hAnsi="Arial" w:cs="Arial"/>
        <w:b/>
        <w:sz w:val="48"/>
      </w:rPr>
      <w:tab/>
    </w:r>
    <w:r w:rsidRPr="002E292A">
      <w:tab/>
    </w:r>
    <w:r w:rsidRPr="002E292A">
      <w:rPr>
        <w:rFonts w:ascii="Arial" w:hAnsi="Arial" w:cs="Arial"/>
        <w:b/>
        <w:sz w:val="48"/>
      </w:rPr>
      <w:t>BG</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92A" w:rsidRPr="002E292A" w:rsidRDefault="002E292A" w:rsidP="002E292A">
    <w:pPr>
      <w:pStyle w:val="Footer"/>
      <w:rPr>
        <w:rFonts w:ascii="Arial" w:hAnsi="Arial" w:cs="Arial"/>
        <w:b/>
        <w:sz w:val="48"/>
      </w:rPr>
    </w:pPr>
    <w:r w:rsidRPr="002E292A">
      <w:rPr>
        <w:rFonts w:ascii="Arial" w:hAnsi="Arial" w:cs="Arial"/>
        <w:b/>
        <w:sz w:val="48"/>
      </w:rPr>
      <w:t>BG</w:t>
    </w:r>
    <w:r w:rsidRPr="002E292A">
      <w:rPr>
        <w:rFonts w:ascii="Arial" w:hAnsi="Arial" w:cs="Arial"/>
        <w:b/>
        <w:sz w:val="48"/>
      </w:rPr>
      <w:tab/>
    </w:r>
    <w:r w:rsidRPr="002E292A">
      <w:rPr>
        <w:rFonts w:ascii="Arial" w:hAnsi="Arial" w:cs="Arial"/>
        <w:b/>
        <w:sz w:val="48"/>
      </w:rPr>
      <w:tab/>
    </w:r>
    <w:r w:rsidRPr="002E292A">
      <w:tab/>
    </w:r>
    <w:r w:rsidRPr="002E292A">
      <w:rPr>
        <w:rFonts w:ascii="Arial" w:hAnsi="Arial" w:cs="Arial"/>
        <w:b/>
        <w:sz w:val="48"/>
      </w:rPr>
      <w:t>BG</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92A" w:rsidRPr="002E292A" w:rsidRDefault="002E292A" w:rsidP="002E29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92A" w:rsidRDefault="002E292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92A" w:rsidRPr="002E292A" w:rsidRDefault="002E292A" w:rsidP="002E292A">
    <w:pPr>
      <w:pStyle w:val="Footer"/>
      <w:rPr>
        <w:rFonts w:ascii="Arial" w:hAnsi="Arial" w:cs="Arial"/>
        <w:b/>
        <w:sz w:val="48"/>
      </w:rPr>
    </w:pPr>
    <w:r w:rsidRPr="002E292A">
      <w:rPr>
        <w:rFonts w:ascii="Arial" w:hAnsi="Arial" w:cs="Arial"/>
        <w:b/>
        <w:sz w:val="48"/>
      </w:rPr>
      <w:t>BG</w:t>
    </w:r>
    <w:r w:rsidRPr="002E292A">
      <w:rPr>
        <w:rFonts w:ascii="Arial" w:hAnsi="Arial" w:cs="Arial"/>
        <w:b/>
        <w:sz w:val="48"/>
      </w:rPr>
      <w:tab/>
    </w:r>
    <w:r>
      <w:fldChar w:fldCharType="begin"/>
    </w:r>
    <w:r>
      <w:instrText xml:space="preserve"> PAGE  \* MERGEFORMAT </w:instrText>
    </w:r>
    <w:r>
      <w:fldChar w:fldCharType="separate"/>
    </w:r>
    <w:r w:rsidR="00D816C3">
      <w:rPr>
        <w:noProof/>
      </w:rPr>
      <w:t>3</w:t>
    </w:r>
    <w:r>
      <w:fldChar w:fldCharType="end"/>
    </w:r>
    <w:r>
      <w:tab/>
    </w:r>
    <w:r w:rsidRPr="002E292A">
      <w:tab/>
    </w:r>
    <w:r w:rsidRPr="002E292A">
      <w:rPr>
        <w:rFonts w:ascii="Arial" w:hAnsi="Arial" w:cs="Arial"/>
        <w:b/>
        <w:sz w:val="48"/>
      </w:rPr>
      <w:t>BG</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92A" w:rsidRDefault="002E292A" w:rsidP="002E2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2B1" w:rsidRPr="005A2D96" w:rsidRDefault="00D762B1" w:rsidP="00D31C35">
      <w:pPr>
        <w:spacing w:before="0" w:after="0"/>
      </w:pPr>
      <w:r>
        <w:separator/>
      </w:r>
    </w:p>
  </w:footnote>
  <w:footnote w:type="continuationSeparator" w:id="0">
    <w:p w:rsidR="00D762B1" w:rsidRPr="005A2D96" w:rsidRDefault="00D762B1" w:rsidP="00D31C35">
      <w:pPr>
        <w:spacing w:before="0" w:after="0"/>
      </w:pPr>
      <w:r>
        <w:continuationSeparator/>
      </w:r>
    </w:p>
  </w:footnote>
  <w:footnote w:id="1">
    <w:p w:rsidR="00B877D0" w:rsidRPr="00F03970" w:rsidRDefault="00B877D0" w:rsidP="00B877D0">
      <w:pPr>
        <w:pStyle w:val="FootnoteText"/>
        <w:rPr>
          <w:lang w:val="ru-RU"/>
        </w:rPr>
      </w:pPr>
      <w:r>
        <w:rPr>
          <w:rStyle w:val="FootnoteReference"/>
        </w:rPr>
        <w:footnoteRef/>
      </w:r>
      <w:r w:rsidRPr="00F03970">
        <w:rPr>
          <w:lang w:val="ru-RU"/>
        </w:rPr>
        <w:tab/>
        <w:t>Регламент</w:t>
      </w:r>
      <w:r>
        <w:t> </w:t>
      </w:r>
      <w:r w:rsidRPr="00F03970">
        <w:rPr>
          <w:lang w:val="ru-RU"/>
        </w:rPr>
        <w:t>(ЕС) 2025/1106 на Съвета от 27</w:t>
      </w:r>
      <w:r>
        <w:t> </w:t>
      </w:r>
      <w:r w:rsidRPr="00F03970">
        <w:rPr>
          <w:lang w:val="ru-RU"/>
        </w:rPr>
        <w:t>май 2025</w:t>
      </w:r>
      <w:r>
        <w:t> </w:t>
      </w:r>
      <w:r w:rsidRPr="00F03970">
        <w:rPr>
          <w:lang w:val="ru-RU"/>
        </w:rPr>
        <w:t>г. за създаване на инструмента „Мерки за сигурността на Европа (</w:t>
      </w:r>
      <w:r>
        <w:t>SAFE</w:t>
      </w:r>
      <w:r w:rsidRPr="00F03970">
        <w:rPr>
          <w:lang w:val="ru-RU"/>
        </w:rPr>
        <w:t>) чрез укрепване на европейската отбранителна промишленост“ (</w:t>
      </w:r>
      <w:r>
        <w:t>O</w:t>
      </w:r>
      <w:r w:rsidRPr="00F03970">
        <w:rPr>
          <w:lang w:val="ru-RU"/>
        </w:rPr>
        <w:t>В</w:t>
      </w:r>
      <w:r>
        <w:t> L</w:t>
      </w:r>
      <w:r w:rsidRPr="00F03970">
        <w:rPr>
          <w:lang w:val="ru-RU"/>
        </w:rPr>
        <w:t>, 2025/1106, 28.5.2025</w:t>
      </w:r>
      <w:r>
        <w:t> </w:t>
      </w:r>
      <w:r w:rsidRPr="00F03970">
        <w:rPr>
          <w:lang w:val="ru-RU"/>
        </w:rPr>
        <w:t xml:space="preserve">г., </w:t>
      </w:r>
      <w:r>
        <w:t>ELI</w:t>
      </w:r>
      <w:r w:rsidRPr="00F03970">
        <w:rPr>
          <w:lang w:val="ru-RU"/>
        </w:rPr>
        <w:t>:</w:t>
      </w:r>
      <w:r>
        <w:t> </w:t>
      </w:r>
      <w:hyperlink r:id="rId1" w:tgtFrame="_blank" w:tooltip="Дава достъп до този документ чрез неговия URI на ELI." w:history="1">
        <w:r>
          <w:rPr>
            <w:rStyle w:val="Hyperlink"/>
          </w:rPr>
          <w:t>http</w:t>
        </w:r>
        <w:r w:rsidRPr="00F03970">
          <w:rPr>
            <w:rStyle w:val="Hyperlink"/>
            <w:lang w:val="ru-RU"/>
          </w:rPr>
          <w:t>://</w:t>
        </w:r>
        <w:r>
          <w:rPr>
            <w:rStyle w:val="Hyperlink"/>
          </w:rPr>
          <w:t>data</w:t>
        </w:r>
        <w:r w:rsidRPr="00F03970">
          <w:rPr>
            <w:rStyle w:val="Hyperlink"/>
            <w:lang w:val="ru-RU"/>
          </w:rPr>
          <w:t>.</w:t>
        </w:r>
        <w:r>
          <w:rPr>
            <w:rStyle w:val="Hyperlink"/>
          </w:rPr>
          <w:t>europa</w:t>
        </w:r>
        <w:r w:rsidRPr="00F03970">
          <w:rPr>
            <w:rStyle w:val="Hyperlink"/>
            <w:lang w:val="ru-RU"/>
          </w:rPr>
          <w:t>.</w:t>
        </w:r>
        <w:r>
          <w:rPr>
            <w:rStyle w:val="Hyperlink"/>
          </w:rPr>
          <w:t>eu</w:t>
        </w:r>
        <w:r w:rsidRPr="00F03970">
          <w:rPr>
            <w:rStyle w:val="Hyperlink"/>
            <w:lang w:val="ru-RU"/>
          </w:rPr>
          <w:t>/</w:t>
        </w:r>
        <w:r>
          <w:rPr>
            <w:rStyle w:val="Hyperlink"/>
          </w:rPr>
          <w:t>eli</w:t>
        </w:r>
        <w:r w:rsidRPr="00F03970">
          <w:rPr>
            <w:rStyle w:val="Hyperlink"/>
            <w:lang w:val="ru-RU"/>
          </w:rPr>
          <w:t>/</w:t>
        </w:r>
        <w:r>
          <w:rPr>
            <w:rStyle w:val="Hyperlink"/>
          </w:rPr>
          <w:t>reg</w:t>
        </w:r>
        <w:r w:rsidRPr="00F03970">
          <w:rPr>
            <w:rStyle w:val="Hyperlink"/>
            <w:lang w:val="ru-RU"/>
          </w:rPr>
          <w:t>/2025/1106/</w:t>
        </w:r>
        <w:r>
          <w:rPr>
            <w:rStyle w:val="Hyperlink"/>
          </w:rPr>
          <w:t>oj</w:t>
        </w:r>
      </w:hyperlink>
      <w:r w:rsidRPr="00F03970">
        <w:rPr>
          <w:lang w:val="ru-RU"/>
        </w:rPr>
        <w:t>).</w:t>
      </w:r>
    </w:p>
  </w:footnote>
  <w:footnote w:id="2">
    <w:p w:rsidR="00B877D0" w:rsidRPr="00F03970" w:rsidRDefault="00B877D0" w:rsidP="00B877D0">
      <w:pPr>
        <w:pStyle w:val="FootnoteText"/>
        <w:rPr>
          <w:lang w:val="ru-RU"/>
        </w:rPr>
      </w:pPr>
      <w:r>
        <w:rPr>
          <w:rStyle w:val="FootnoteReference"/>
        </w:rPr>
        <w:footnoteRef/>
      </w:r>
      <w:r w:rsidRPr="00F03970">
        <w:rPr>
          <w:lang w:val="ru-RU"/>
        </w:rPr>
        <w:tab/>
        <w:t>Регламент (ЕС) 2024/1263 на Европейския парламент и</w:t>
      </w:r>
      <w:r>
        <w:t> </w:t>
      </w:r>
      <w:r w:rsidRPr="00F03970">
        <w:rPr>
          <w:lang w:val="ru-RU"/>
        </w:rPr>
        <w:t>на Съвета от 29 април 2024</w:t>
      </w:r>
      <w:r>
        <w:t> </w:t>
      </w:r>
      <w:r w:rsidRPr="00F03970">
        <w:rPr>
          <w:lang w:val="ru-RU"/>
        </w:rPr>
        <w:t>г.</w:t>
      </w:r>
      <w:r>
        <w:t> </w:t>
      </w:r>
      <w:r w:rsidRPr="00F03970">
        <w:rPr>
          <w:lang w:val="ru-RU"/>
        </w:rPr>
        <w:t>за ефективна координация на икономическите политики и за многостранно бюджетно наблюдение и за отмяна на Регламент (ЕО) № 1466/97 на Съвета (ОВ</w:t>
      </w:r>
      <w:r>
        <w:t> L</w:t>
      </w:r>
      <w:r w:rsidRPr="00F03970">
        <w:rPr>
          <w:lang w:val="ru-RU"/>
        </w:rPr>
        <w:t>, 2024/1263, 30.4.2024</w:t>
      </w:r>
      <w:r>
        <w:t> </w:t>
      </w:r>
      <w:r w:rsidRPr="00F03970">
        <w:rPr>
          <w:lang w:val="ru-RU"/>
        </w:rPr>
        <w:t xml:space="preserve">г., </w:t>
      </w:r>
      <w:r>
        <w:t>ELI</w:t>
      </w:r>
      <w:r w:rsidRPr="00F03970">
        <w:rPr>
          <w:lang w:val="ru-RU"/>
        </w:rPr>
        <w:t>:</w:t>
      </w:r>
      <w:r>
        <w:t> </w:t>
      </w:r>
      <w:hyperlink r:id="rId2" w:tgtFrame="_blank" w:tooltip="Дава достъп до този документ чрез неговия URI на ELI." w:history="1">
        <w:r>
          <w:rPr>
            <w:rStyle w:val="Hyperlink"/>
          </w:rPr>
          <w:t>http</w:t>
        </w:r>
        <w:r w:rsidRPr="00F03970">
          <w:rPr>
            <w:rStyle w:val="Hyperlink"/>
            <w:lang w:val="ru-RU"/>
          </w:rPr>
          <w:t>://</w:t>
        </w:r>
        <w:r>
          <w:rPr>
            <w:rStyle w:val="Hyperlink"/>
          </w:rPr>
          <w:t>data</w:t>
        </w:r>
        <w:r w:rsidRPr="00F03970">
          <w:rPr>
            <w:rStyle w:val="Hyperlink"/>
            <w:lang w:val="ru-RU"/>
          </w:rPr>
          <w:t>.</w:t>
        </w:r>
        <w:r>
          <w:rPr>
            <w:rStyle w:val="Hyperlink"/>
          </w:rPr>
          <w:t>europa</w:t>
        </w:r>
        <w:r w:rsidRPr="00F03970">
          <w:rPr>
            <w:rStyle w:val="Hyperlink"/>
            <w:lang w:val="ru-RU"/>
          </w:rPr>
          <w:t>.</w:t>
        </w:r>
        <w:r>
          <w:rPr>
            <w:rStyle w:val="Hyperlink"/>
          </w:rPr>
          <w:t>eu</w:t>
        </w:r>
        <w:r w:rsidRPr="00F03970">
          <w:rPr>
            <w:rStyle w:val="Hyperlink"/>
            <w:lang w:val="ru-RU"/>
          </w:rPr>
          <w:t>/</w:t>
        </w:r>
        <w:r>
          <w:rPr>
            <w:rStyle w:val="Hyperlink"/>
          </w:rPr>
          <w:t>eli</w:t>
        </w:r>
        <w:r w:rsidRPr="00F03970">
          <w:rPr>
            <w:rStyle w:val="Hyperlink"/>
            <w:lang w:val="ru-RU"/>
          </w:rPr>
          <w:t>/</w:t>
        </w:r>
        <w:r>
          <w:rPr>
            <w:rStyle w:val="Hyperlink"/>
          </w:rPr>
          <w:t>reg</w:t>
        </w:r>
        <w:r w:rsidRPr="00F03970">
          <w:rPr>
            <w:rStyle w:val="Hyperlink"/>
            <w:lang w:val="ru-RU"/>
          </w:rPr>
          <w:t>/2024/1263/</w:t>
        </w:r>
        <w:r>
          <w:rPr>
            <w:rStyle w:val="Hyperlink"/>
          </w:rPr>
          <w:t>oj</w:t>
        </w:r>
      </w:hyperlink>
      <w:r w:rsidRPr="00F03970">
        <w:rPr>
          <w:lang w:val="ru-RU"/>
        </w:rPr>
        <w:t>).</w:t>
      </w:r>
    </w:p>
  </w:footnote>
  <w:footnote w:id="3">
    <w:p w:rsidR="00B877D0" w:rsidRPr="00F03970" w:rsidRDefault="00B877D0" w:rsidP="00B877D0">
      <w:pPr>
        <w:pStyle w:val="FootnoteText"/>
        <w:rPr>
          <w:lang w:val="ru-RU"/>
        </w:rPr>
      </w:pPr>
      <w:r>
        <w:rPr>
          <w:rStyle w:val="FootnoteReference"/>
        </w:rPr>
        <w:footnoteRef/>
      </w:r>
      <w:r w:rsidRPr="00F03970">
        <w:rPr>
          <w:lang w:val="ru-RU"/>
        </w:rPr>
        <w:tab/>
        <w:t>Регламент (ЕО) №</w:t>
      </w:r>
      <w:r>
        <w:t> </w:t>
      </w:r>
      <w:r w:rsidRPr="00F03970">
        <w:rPr>
          <w:lang w:val="ru-RU"/>
        </w:rPr>
        <w:t>1467/97 на Съвета от 7</w:t>
      </w:r>
      <w:r>
        <w:t> </w:t>
      </w:r>
      <w:r w:rsidRPr="00F03970">
        <w:rPr>
          <w:lang w:val="ru-RU"/>
        </w:rPr>
        <w:t>юли 1997</w:t>
      </w:r>
      <w:r>
        <w:t> </w:t>
      </w:r>
      <w:r w:rsidRPr="00F03970">
        <w:rPr>
          <w:lang w:val="ru-RU"/>
        </w:rPr>
        <w:t>г. за ускоряване и изясняване на прилагането на процедурата при прекомерен дефицит (</w:t>
      </w:r>
      <w:r>
        <w:t>O</w:t>
      </w:r>
      <w:r w:rsidRPr="00F03970">
        <w:rPr>
          <w:lang w:val="ru-RU"/>
        </w:rPr>
        <w:t xml:space="preserve">В </w:t>
      </w:r>
      <w:r>
        <w:t>L</w:t>
      </w:r>
      <w:r w:rsidRPr="00F03970">
        <w:rPr>
          <w:lang w:val="ru-RU"/>
        </w:rPr>
        <w:t xml:space="preserve"> 209, 2.8.1997 г., стр.</w:t>
      </w:r>
      <w:r>
        <w:t> </w:t>
      </w:r>
      <w:r w:rsidRPr="00F03970">
        <w:rPr>
          <w:lang w:val="ru-RU"/>
        </w:rPr>
        <w:t xml:space="preserve">6, </w:t>
      </w:r>
      <w:r>
        <w:t>ELI</w:t>
      </w:r>
      <w:r w:rsidRPr="00F03970">
        <w:rPr>
          <w:lang w:val="ru-RU"/>
        </w:rPr>
        <w:t xml:space="preserve">: </w:t>
      </w:r>
      <w:r>
        <w:t>http</w:t>
      </w:r>
      <w:r w:rsidRPr="00F03970">
        <w:rPr>
          <w:lang w:val="ru-RU"/>
        </w:rPr>
        <w:t>://</w:t>
      </w:r>
      <w:r>
        <w:t>data</w:t>
      </w:r>
      <w:r w:rsidRPr="00F03970">
        <w:rPr>
          <w:lang w:val="ru-RU"/>
        </w:rPr>
        <w:t>.</w:t>
      </w:r>
      <w:r>
        <w:t>europa</w:t>
      </w:r>
      <w:r w:rsidRPr="00F03970">
        <w:rPr>
          <w:lang w:val="ru-RU"/>
        </w:rPr>
        <w:t>.</w:t>
      </w:r>
      <w:r>
        <w:t>eu</w:t>
      </w:r>
      <w:r w:rsidRPr="00F03970">
        <w:rPr>
          <w:lang w:val="ru-RU"/>
        </w:rPr>
        <w:t>/</w:t>
      </w:r>
      <w:r>
        <w:t>eli</w:t>
      </w:r>
      <w:r w:rsidRPr="00F03970">
        <w:rPr>
          <w:lang w:val="ru-RU"/>
        </w:rPr>
        <w:t>/</w:t>
      </w:r>
      <w:r>
        <w:t>reg</w:t>
      </w:r>
      <w:r w:rsidRPr="00F03970">
        <w:rPr>
          <w:lang w:val="ru-RU"/>
        </w:rPr>
        <w:t>/1997/1467/</w:t>
      </w:r>
      <w:r>
        <w:t>oj</w:t>
      </w:r>
      <w:r w:rsidRPr="00F03970">
        <w:rPr>
          <w:lang w:val="ru-RU"/>
        </w:rPr>
        <w:t>).</w:t>
      </w:r>
    </w:p>
  </w:footnote>
  <w:footnote w:id="4">
    <w:p w:rsidR="008B2C8A" w:rsidRPr="00F03970" w:rsidRDefault="008B2C8A">
      <w:pPr>
        <w:pStyle w:val="FootnoteText"/>
        <w:rPr>
          <w:lang w:val="ru-RU"/>
        </w:rPr>
      </w:pPr>
      <w:r w:rsidRPr="00E3699E">
        <w:rPr>
          <w:rStyle w:val="FootnoteReference"/>
        </w:rPr>
        <w:footnoteRef/>
      </w:r>
      <w:r w:rsidR="00E3699E">
        <w:rPr>
          <w:lang w:val="ru-RU"/>
        </w:rPr>
        <w:tab/>
      </w:r>
      <w:r w:rsidRPr="00F03970">
        <w:rPr>
          <w:lang w:val="ru-RU"/>
        </w:rPr>
        <w:t>Регламент (ЕС, Евратом)</w:t>
      </w:r>
      <w:r>
        <w:t> </w:t>
      </w:r>
      <w:r w:rsidRPr="00F03970">
        <w:rPr>
          <w:lang w:val="ru-RU"/>
        </w:rPr>
        <w:t>2024/2509 на Европейския парламент и на Съвета от 23</w:t>
      </w:r>
      <w:r>
        <w:t> </w:t>
      </w:r>
      <w:r w:rsidRPr="00F03970">
        <w:rPr>
          <w:lang w:val="ru-RU"/>
        </w:rPr>
        <w:t>септември</w:t>
      </w:r>
      <w:r>
        <w:t> </w:t>
      </w:r>
      <w:r w:rsidRPr="00F03970">
        <w:rPr>
          <w:lang w:val="ru-RU"/>
        </w:rPr>
        <w:t>2024</w:t>
      </w:r>
      <w:r>
        <w:t> </w:t>
      </w:r>
      <w:r w:rsidRPr="00F03970">
        <w:rPr>
          <w:lang w:val="ru-RU"/>
        </w:rPr>
        <w:t>г. за финансовите правила, приложими за общия бюджет на Съюза (ОВ</w:t>
      </w:r>
      <w:r>
        <w:t> L </w:t>
      </w:r>
      <w:r w:rsidRPr="00F03970">
        <w:rPr>
          <w:lang w:val="ru-RU"/>
        </w:rPr>
        <w:t>239, 26.9.2024</w:t>
      </w:r>
      <w:r>
        <w:t> </w:t>
      </w:r>
      <w:r w:rsidRPr="00F03970">
        <w:rPr>
          <w:lang w:val="ru-RU"/>
        </w:rPr>
        <w:t>г.) и Регламент (ЕС, Евратом) 2020/2092 на Европейския парламент и на Съвета от 16 декември 2020 година относно общ режим на обвързаност с условия за защита на бюджета на Съюза (</w:t>
      </w:r>
      <w:r>
        <w:t>OB</w:t>
      </w:r>
      <w:r w:rsidRPr="00F03970">
        <w:rPr>
          <w:lang w:val="ru-RU"/>
        </w:rPr>
        <w:t xml:space="preserve"> </w:t>
      </w:r>
      <w:r>
        <w:t>L </w:t>
      </w:r>
      <w:r w:rsidRPr="00F03970">
        <w:rPr>
          <w:lang w:val="ru-RU"/>
        </w:rPr>
        <w:t>433</w:t>
      </w:r>
      <w:r>
        <w:t>I</w:t>
      </w:r>
      <w:r w:rsidRPr="00F03970">
        <w:rPr>
          <w:lang w:val="ru-RU"/>
        </w:rPr>
        <w:t>, 22.12.2020</w:t>
      </w:r>
      <w:r>
        <w:t> </w:t>
      </w:r>
      <w:r w:rsidRPr="00F03970">
        <w:rPr>
          <w:lang w:val="ru-RU"/>
        </w:rPr>
        <w:t>г., стр.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92A" w:rsidRPr="002E292A" w:rsidRDefault="002E292A" w:rsidP="002E2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92A" w:rsidRPr="002E292A" w:rsidRDefault="002E292A" w:rsidP="002E29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92A" w:rsidRPr="002E292A" w:rsidRDefault="002E292A" w:rsidP="002E29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92A" w:rsidRDefault="002E292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92A" w:rsidRDefault="002E2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7D"/>
    <w:multiLevelType w:val="singleLevel"/>
    <w:tmpl w:val="ED740FEA"/>
    <w:lvl w:ilvl="0">
      <w:start w:val="1"/>
      <w:numFmt w:val="decimal"/>
      <w:pStyle w:val="ListNumber4"/>
      <w:lvlText w:val="%1."/>
      <w:lvlJc w:val="left"/>
      <w:pPr>
        <w:tabs>
          <w:tab w:val="num" w:pos="1209"/>
        </w:tabs>
        <w:ind w:left="1209" w:hanging="360"/>
      </w:pPr>
    </w:lvl>
  </w:abstractNum>
  <w:abstractNum w:abstractNumId="1" w15:restartNumberingAfterBreak="1">
    <w:nsid w:val="FFFFFF7E"/>
    <w:multiLevelType w:val="singleLevel"/>
    <w:tmpl w:val="99B8AECE"/>
    <w:lvl w:ilvl="0">
      <w:start w:val="1"/>
      <w:numFmt w:val="decimal"/>
      <w:pStyle w:val="ListNumber3"/>
      <w:lvlText w:val="%1."/>
      <w:lvlJc w:val="left"/>
      <w:pPr>
        <w:tabs>
          <w:tab w:val="num" w:pos="926"/>
        </w:tabs>
        <w:ind w:left="926" w:hanging="360"/>
      </w:pPr>
    </w:lvl>
  </w:abstractNum>
  <w:abstractNum w:abstractNumId="2" w15:restartNumberingAfterBreak="1">
    <w:nsid w:val="FFFFFF7F"/>
    <w:multiLevelType w:val="singleLevel"/>
    <w:tmpl w:val="EDC68A36"/>
    <w:lvl w:ilvl="0">
      <w:start w:val="1"/>
      <w:numFmt w:val="decimal"/>
      <w:pStyle w:val="ListNumber2"/>
      <w:lvlText w:val="%1."/>
      <w:lvlJc w:val="left"/>
      <w:pPr>
        <w:tabs>
          <w:tab w:val="num" w:pos="643"/>
        </w:tabs>
        <w:ind w:left="643" w:hanging="360"/>
      </w:pPr>
    </w:lvl>
  </w:abstractNum>
  <w:abstractNum w:abstractNumId="3" w15:restartNumberingAfterBreak="1">
    <w:nsid w:val="FFFFFF81"/>
    <w:multiLevelType w:val="singleLevel"/>
    <w:tmpl w:val="2B7A447E"/>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1">
    <w:nsid w:val="FFFFFF82"/>
    <w:multiLevelType w:val="singleLevel"/>
    <w:tmpl w:val="F57415A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1">
    <w:nsid w:val="FFFFFF83"/>
    <w:multiLevelType w:val="singleLevel"/>
    <w:tmpl w:val="06C292D6"/>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1">
    <w:nsid w:val="FFFFFF88"/>
    <w:multiLevelType w:val="singleLevel"/>
    <w:tmpl w:val="2ED60E72"/>
    <w:lvl w:ilvl="0">
      <w:start w:val="1"/>
      <w:numFmt w:val="decimal"/>
      <w:pStyle w:val="ListNumber"/>
      <w:lvlText w:val="%1."/>
      <w:lvlJc w:val="left"/>
      <w:pPr>
        <w:tabs>
          <w:tab w:val="num" w:pos="360"/>
        </w:tabs>
        <w:ind w:left="360" w:hanging="360"/>
      </w:pPr>
    </w:lvl>
  </w:abstractNum>
  <w:abstractNum w:abstractNumId="7" w15:restartNumberingAfterBreak="1">
    <w:nsid w:val="FFFFFF89"/>
    <w:multiLevelType w:val="singleLevel"/>
    <w:tmpl w:val="538C9B0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9"/>
  </w:num>
  <w:num w:numId="10">
    <w:abstractNumId w:val="12"/>
  </w:num>
  <w:num w:numId="11">
    <w:abstractNumId w:val="21"/>
  </w:num>
  <w:num w:numId="12">
    <w:abstractNumId w:val="11"/>
  </w:num>
  <w:num w:numId="13">
    <w:abstractNumId w:val="13"/>
  </w:num>
  <w:num w:numId="14">
    <w:abstractNumId w:val="14"/>
  </w:num>
  <w:num w:numId="15">
    <w:abstractNumId w:val="9"/>
  </w:num>
  <w:num w:numId="16">
    <w:abstractNumId w:val="20"/>
  </w:num>
  <w:num w:numId="17">
    <w:abstractNumId w:val="8"/>
  </w:num>
  <w:num w:numId="18">
    <w:abstractNumId w:val="15"/>
  </w:num>
  <w:num w:numId="19">
    <w:abstractNumId w:val="17"/>
  </w:num>
  <w:num w:numId="20">
    <w:abstractNumId w:val="18"/>
  </w:num>
  <w:num w:numId="21">
    <w:abstractNumId w:val="10"/>
  </w:num>
  <w:num w:numId="22">
    <w:abstractNumId w:val="16"/>
  </w:num>
  <w:num w:numId="2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6-01-22 17:56:45"/>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3F76531A-CB6E-4ED3-B3C5-B03F8AC7BA4B"/>
    <w:docVar w:name="LW_COVERPAGE_TYPE" w:val="1"/>
    <w:docVar w:name="LW_CreatedUtc" w:val="2025-11-28T15:49:49.0267806Z"/>
    <w:docVar w:name="LW_CROSSREFERENCE" w:val="&lt;UNUSED&gt;"/>
    <w:docVar w:name="LW_DocType" w:val="COM"/>
    <w:docVar w:name="LW_EMISSION" w:val="15.1.2026"/>
    <w:docVar w:name="LW_EMISSION_ISODATE" w:val="2026-01-15"/>
    <w:docVar w:name="LW_EMISSION_LOCATION" w:val="BRX"/>
    <w:docVar w:name="LW_EMISSION_PREFIX" w:val="\u1041?\u1088?\u1102?\u1082?\u1089?\u1077?\u1083?, "/>
    <w:docVar w:name="LW_EMISSION_SUFFIX" w:val=" \u1075?."/>
    <w:docVar w:name="LW_ID_DOCMODEL" w:val="SJ-020"/>
    <w:docVar w:name="LW_ID_DOCSIGNATURE" w:val="SJ-020"/>
    <w:docVar w:name="LW_ID_DOCSTRUCTURE" w:val="COM/PL/ORG"/>
    <w:docVar w:name="LW_ID_DOCTYPE" w:val="SJ-020"/>
    <w:docVar w:name="LW_ID_STATUT" w:val="SJ-020"/>
    <w:docVar w:name="LW_INSERT_EXP.MOTIFS.NEW" w:val="1"/>
    <w:docVar w:name="LW_INTERETEEE.CP" w:val="&lt;UNUSED&gt;"/>
    <w:docVar w:name="LW_LANGUE" w:val="BG"/>
    <w:docVar w:name="LW_LEVEL_OF_SENSITIVITY" w:val="Standard treatment"/>
    <w:docVar w:name="LW_NOM.INST" w:val="\u1045?\u1042?\u1056?\u1054?\u1055?\u1045?\u1049?\u1057?\u1050?\u1040? \u1050?\u1054?\u1052?\u1048?\u1057?\u1048?\u1071?"/>
    <w:docVar w:name="LW_NOM.INST_JOINTDOC" w:val="&lt;EMPTY&gt;"/>
    <w:docVar w:name="LW_PART_NBR" w:val="1"/>
    <w:docVar w:name="LW_PART_NBR_TOTAL" w:val="1"/>
    <w:docVar w:name="LW_REF.II.NEW.CP" w:val="NLE"/>
    <w:docVar w:name="LW_REF.II.NEW.CP_NUMBER" w:val="0022"/>
    <w:docVar w:name="LW_REF.II.NEW.CP_YEAR" w:val="2026"/>
    <w:docVar w:name="LW_REF.INST.NEW" w:val="COM"/>
    <w:docVar w:name="LW_REF.INST.NEW_ADOPTED" w:val="final"/>
    <w:docVar w:name="LW_REF.INST.NEW_TEXT" w:val="(2026) 30"/>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u1055?\u1088?\u1077?\u1076?\u1083?\u1086?\u1078?\u1077?\u1085?\u1080?\u1077? \u1079?\u1072?"/>
    <w:docVar w:name="LW_SUPERTITRE" w:val="&lt;UNUSED&gt;"/>
    <w:docVar w:name="LW_TITRE.OBJ.CP" w:val="\u1079?\u1072? \u1086?\u1090?\u1087?\u1091?\u1089?\u1082?\u1072?\u1085?\u1077? \u1085?\u1072? \u1092?\u1080?\u1085?\u1072?\u1085?\u1089?\u1086?\u1074?\u1072?\u1090?\u1072? \u1087?\u1086?\u1084?\u1086?\u1097? \u1087?\u1086? \u1056?\u1077?\u1075?\u1083?\u1072?\u1084?\u1077?\u1085?\u1090? (\u1045?\u1057?) 2025/1106 \u1085?\u1072? \u1061?\u1098?\u1088?\u1074?\u1072?\u1090?\u1080?\u1103?"/>
    <w:docVar w:name="LW_TYPE.DOC.CP" w:val="\u1056?\u1045?\u1064?\u1045?\u1053?\u1048?\u1045? \u1047?\u1040? \u1048?\u1047?\u1055?\u1066?\u1051?\u1053?\u1045?\u1053?\u1048?\u1045? \u1053?\u1040? \u1057?\u1066?\u1042?\u1045?\u1058?\u1040?"/>
    <w:docVar w:name="LwApiVersions" w:val="LW4CoDe 1.24.5.0; LW 9.2, Build 20251112"/>
  </w:docVars>
  <w:rsids>
    <w:rsidRoot w:val="00D31C35"/>
    <w:rsid w:val="00013DCF"/>
    <w:rsid w:val="00041798"/>
    <w:rsid w:val="00044636"/>
    <w:rsid w:val="0004481F"/>
    <w:rsid w:val="000451E8"/>
    <w:rsid w:val="00052D64"/>
    <w:rsid w:val="000546BC"/>
    <w:rsid w:val="00056091"/>
    <w:rsid w:val="00061D8A"/>
    <w:rsid w:val="00062F72"/>
    <w:rsid w:val="00063BD8"/>
    <w:rsid w:val="00065D76"/>
    <w:rsid w:val="00067138"/>
    <w:rsid w:val="000734E5"/>
    <w:rsid w:val="0008275D"/>
    <w:rsid w:val="00084F77"/>
    <w:rsid w:val="00085500"/>
    <w:rsid w:val="000A094F"/>
    <w:rsid w:val="000B3287"/>
    <w:rsid w:val="000C3D45"/>
    <w:rsid w:val="000C6756"/>
    <w:rsid w:val="000D7D98"/>
    <w:rsid w:val="00101BF0"/>
    <w:rsid w:val="00102573"/>
    <w:rsid w:val="001065F5"/>
    <w:rsid w:val="00106A2F"/>
    <w:rsid w:val="00120CA5"/>
    <w:rsid w:val="001238EF"/>
    <w:rsid w:val="001329FA"/>
    <w:rsid w:val="00132A96"/>
    <w:rsid w:val="001441D7"/>
    <w:rsid w:val="00154E62"/>
    <w:rsid w:val="00160BC8"/>
    <w:rsid w:val="00162A07"/>
    <w:rsid w:val="001727F5"/>
    <w:rsid w:val="001745FC"/>
    <w:rsid w:val="00175CE7"/>
    <w:rsid w:val="00180632"/>
    <w:rsid w:val="0018505F"/>
    <w:rsid w:val="00186407"/>
    <w:rsid w:val="00195762"/>
    <w:rsid w:val="00197613"/>
    <w:rsid w:val="001A2B5B"/>
    <w:rsid w:val="001A32E0"/>
    <w:rsid w:val="001A3BCF"/>
    <w:rsid w:val="001C0950"/>
    <w:rsid w:val="001C2E71"/>
    <w:rsid w:val="001E37DF"/>
    <w:rsid w:val="001E76BC"/>
    <w:rsid w:val="001F7F53"/>
    <w:rsid w:val="00210512"/>
    <w:rsid w:val="00215E60"/>
    <w:rsid w:val="00222DD0"/>
    <w:rsid w:val="002242AB"/>
    <w:rsid w:val="00224C1F"/>
    <w:rsid w:val="0022590B"/>
    <w:rsid w:val="00233923"/>
    <w:rsid w:val="00233DC7"/>
    <w:rsid w:val="00242AC1"/>
    <w:rsid w:val="00245C58"/>
    <w:rsid w:val="00247779"/>
    <w:rsid w:val="00253706"/>
    <w:rsid w:val="00256613"/>
    <w:rsid w:val="00260578"/>
    <w:rsid w:val="00262B55"/>
    <w:rsid w:val="00266D1F"/>
    <w:rsid w:val="00285BEE"/>
    <w:rsid w:val="00292708"/>
    <w:rsid w:val="0029533F"/>
    <w:rsid w:val="002A6CBA"/>
    <w:rsid w:val="002B30AF"/>
    <w:rsid w:val="002B722F"/>
    <w:rsid w:val="002C373D"/>
    <w:rsid w:val="002D2458"/>
    <w:rsid w:val="002E292A"/>
    <w:rsid w:val="002E4240"/>
    <w:rsid w:val="002E46FD"/>
    <w:rsid w:val="002E5541"/>
    <w:rsid w:val="002F6053"/>
    <w:rsid w:val="00300224"/>
    <w:rsid w:val="00300A8A"/>
    <w:rsid w:val="00303111"/>
    <w:rsid w:val="0031165F"/>
    <w:rsid w:val="0031373D"/>
    <w:rsid w:val="003243F5"/>
    <w:rsid w:val="0033088C"/>
    <w:rsid w:val="003328E1"/>
    <w:rsid w:val="003332B3"/>
    <w:rsid w:val="0033344A"/>
    <w:rsid w:val="0034714E"/>
    <w:rsid w:val="00353838"/>
    <w:rsid w:val="003558B4"/>
    <w:rsid w:val="0035755B"/>
    <w:rsid w:val="00360FD8"/>
    <w:rsid w:val="00366CA6"/>
    <w:rsid w:val="00372F04"/>
    <w:rsid w:val="00376167"/>
    <w:rsid w:val="003771FA"/>
    <w:rsid w:val="00380F7E"/>
    <w:rsid w:val="00383F20"/>
    <w:rsid w:val="0038429B"/>
    <w:rsid w:val="003867BE"/>
    <w:rsid w:val="003907B7"/>
    <w:rsid w:val="003917CE"/>
    <w:rsid w:val="003A16F9"/>
    <w:rsid w:val="003A3027"/>
    <w:rsid w:val="003B3980"/>
    <w:rsid w:val="003B3D76"/>
    <w:rsid w:val="003B6926"/>
    <w:rsid w:val="003C07A7"/>
    <w:rsid w:val="003C702A"/>
    <w:rsid w:val="003D44C1"/>
    <w:rsid w:val="003E04C7"/>
    <w:rsid w:val="003E4698"/>
    <w:rsid w:val="003F39C9"/>
    <w:rsid w:val="0040604C"/>
    <w:rsid w:val="00406187"/>
    <w:rsid w:val="004203E0"/>
    <w:rsid w:val="004220AD"/>
    <w:rsid w:val="00422C20"/>
    <w:rsid w:val="0042648E"/>
    <w:rsid w:val="00427ED6"/>
    <w:rsid w:val="004337FD"/>
    <w:rsid w:val="00462B13"/>
    <w:rsid w:val="00464C84"/>
    <w:rsid w:val="004656DA"/>
    <w:rsid w:val="00467087"/>
    <w:rsid w:val="00474A5D"/>
    <w:rsid w:val="00486BAC"/>
    <w:rsid w:val="004936D2"/>
    <w:rsid w:val="004A1CA7"/>
    <w:rsid w:val="004A3C4E"/>
    <w:rsid w:val="004A4627"/>
    <w:rsid w:val="004B053E"/>
    <w:rsid w:val="004B0948"/>
    <w:rsid w:val="004B525C"/>
    <w:rsid w:val="004C2FFE"/>
    <w:rsid w:val="004C6A80"/>
    <w:rsid w:val="004D7F6B"/>
    <w:rsid w:val="004E0C4C"/>
    <w:rsid w:val="004F2D0F"/>
    <w:rsid w:val="005136DE"/>
    <w:rsid w:val="00514EC4"/>
    <w:rsid w:val="0051597B"/>
    <w:rsid w:val="00517C38"/>
    <w:rsid w:val="00525C30"/>
    <w:rsid w:val="005326BD"/>
    <w:rsid w:val="005338EE"/>
    <w:rsid w:val="005370E0"/>
    <w:rsid w:val="00554E71"/>
    <w:rsid w:val="00563676"/>
    <w:rsid w:val="00567388"/>
    <w:rsid w:val="00576487"/>
    <w:rsid w:val="005829EE"/>
    <w:rsid w:val="005A2D96"/>
    <w:rsid w:val="005B1EB6"/>
    <w:rsid w:val="005B23A5"/>
    <w:rsid w:val="005B5370"/>
    <w:rsid w:val="005B63E2"/>
    <w:rsid w:val="005D0FC9"/>
    <w:rsid w:val="005D1F90"/>
    <w:rsid w:val="005E4A2F"/>
    <w:rsid w:val="005E5067"/>
    <w:rsid w:val="005E68EB"/>
    <w:rsid w:val="005F2EB3"/>
    <w:rsid w:val="005F62F4"/>
    <w:rsid w:val="006039E5"/>
    <w:rsid w:val="00612378"/>
    <w:rsid w:val="0061287A"/>
    <w:rsid w:val="0061326F"/>
    <w:rsid w:val="00621535"/>
    <w:rsid w:val="00625F6A"/>
    <w:rsid w:val="00631AC0"/>
    <w:rsid w:val="0063593A"/>
    <w:rsid w:val="00647F57"/>
    <w:rsid w:val="00653DA2"/>
    <w:rsid w:val="006547C6"/>
    <w:rsid w:val="00671DCA"/>
    <w:rsid w:val="006743AD"/>
    <w:rsid w:val="006746B5"/>
    <w:rsid w:val="00683CE7"/>
    <w:rsid w:val="0068500D"/>
    <w:rsid w:val="006958C5"/>
    <w:rsid w:val="0069594B"/>
    <w:rsid w:val="006972E9"/>
    <w:rsid w:val="006C00A7"/>
    <w:rsid w:val="006C124C"/>
    <w:rsid w:val="006C64F2"/>
    <w:rsid w:val="006C6D36"/>
    <w:rsid w:val="006D0E97"/>
    <w:rsid w:val="006E0DE0"/>
    <w:rsid w:val="006E26B1"/>
    <w:rsid w:val="006E4161"/>
    <w:rsid w:val="006F34E7"/>
    <w:rsid w:val="006F35B3"/>
    <w:rsid w:val="00701A73"/>
    <w:rsid w:val="00702F5E"/>
    <w:rsid w:val="00705BBF"/>
    <w:rsid w:val="007169E9"/>
    <w:rsid w:val="007179F7"/>
    <w:rsid w:val="00720CCC"/>
    <w:rsid w:val="00723A68"/>
    <w:rsid w:val="00724598"/>
    <w:rsid w:val="00736EB1"/>
    <w:rsid w:val="00742314"/>
    <w:rsid w:val="00764997"/>
    <w:rsid w:val="00773331"/>
    <w:rsid w:val="00780678"/>
    <w:rsid w:val="0078224A"/>
    <w:rsid w:val="0079286A"/>
    <w:rsid w:val="007932EF"/>
    <w:rsid w:val="0079339C"/>
    <w:rsid w:val="007B5A04"/>
    <w:rsid w:val="007C0CB8"/>
    <w:rsid w:val="007C4B72"/>
    <w:rsid w:val="007D63F2"/>
    <w:rsid w:val="007D7614"/>
    <w:rsid w:val="007D7D8B"/>
    <w:rsid w:val="007E05B0"/>
    <w:rsid w:val="007E28E0"/>
    <w:rsid w:val="007E475D"/>
    <w:rsid w:val="007F22EB"/>
    <w:rsid w:val="00815F5B"/>
    <w:rsid w:val="0081616B"/>
    <w:rsid w:val="00823DF6"/>
    <w:rsid w:val="00824065"/>
    <w:rsid w:val="00824DF8"/>
    <w:rsid w:val="0083135C"/>
    <w:rsid w:val="0083659F"/>
    <w:rsid w:val="00850743"/>
    <w:rsid w:val="00855816"/>
    <w:rsid w:val="00855B01"/>
    <w:rsid w:val="0087318A"/>
    <w:rsid w:val="00874D22"/>
    <w:rsid w:val="00887F76"/>
    <w:rsid w:val="008A1986"/>
    <w:rsid w:val="008A2914"/>
    <w:rsid w:val="008A5A22"/>
    <w:rsid w:val="008A65FB"/>
    <w:rsid w:val="008B2C8A"/>
    <w:rsid w:val="008B3E15"/>
    <w:rsid w:val="008C5AEE"/>
    <w:rsid w:val="008C5B6D"/>
    <w:rsid w:val="008E4C53"/>
    <w:rsid w:val="008E4D8E"/>
    <w:rsid w:val="008F232D"/>
    <w:rsid w:val="0090283E"/>
    <w:rsid w:val="00911264"/>
    <w:rsid w:val="00915191"/>
    <w:rsid w:val="00920595"/>
    <w:rsid w:val="00922DB7"/>
    <w:rsid w:val="00930F91"/>
    <w:rsid w:val="00943323"/>
    <w:rsid w:val="009615F9"/>
    <w:rsid w:val="00973318"/>
    <w:rsid w:val="00990A08"/>
    <w:rsid w:val="00995282"/>
    <w:rsid w:val="0099627F"/>
    <w:rsid w:val="0099664F"/>
    <w:rsid w:val="009B28B1"/>
    <w:rsid w:val="009C128D"/>
    <w:rsid w:val="009C3F06"/>
    <w:rsid w:val="009D126D"/>
    <w:rsid w:val="009F755E"/>
    <w:rsid w:val="00A101B8"/>
    <w:rsid w:val="00A10FC7"/>
    <w:rsid w:val="00A12687"/>
    <w:rsid w:val="00A21E11"/>
    <w:rsid w:val="00A22507"/>
    <w:rsid w:val="00A23C77"/>
    <w:rsid w:val="00A26901"/>
    <w:rsid w:val="00A33427"/>
    <w:rsid w:val="00A42D5C"/>
    <w:rsid w:val="00A6328F"/>
    <w:rsid w:val="00A6623D"/>
    <w:rsid w:val="00A66ADD"/>
    <w:rsid w:val="00A70346"/>
    <w:rsid w:val="00A71B03"/>
    <w:rsid w:val="00A77164"/>
    <w:rsid w:val="00A85F9B"/>
    <w:rsid w:val="00A920D1"/>
    <w:rsid w:val="00A9224A"/>
    <w:rsid w:val="00A97B21"/>
    <w:rsid w:val="00AA3585"/>
    <w:rsid w:val="00AA698C"/>
    <w:rsid w:val="00AA6B3A"/>
    <w:rsid w:val="00AB3995"/>
    <w:rsid w:val="00AC1EC1"/>
    <w:rsid w:val="00AC7277"/>
    <w:rsid w:val="00AC78D5"/>
    <w:rsid w:val="00AD7A78"/>
    <w:rsid w:val="00AE0C87"/>
    <w:rsid w:val="00AE2AFE"/>
    <w:rsid w:val="00AE4AB6"/>
    <w:rsid w:val="00AF5ED1"/>
    <w:rsid w:val="00B02A7B"/>
    <w:rsid w:val="00B10759"/>
    <w:rsid w:val="00B20124"/>
    <w:rsid w:val="00B30909"/>
    <w:rsid w:val="00B34A53"/>
    <w:rsid w:val="00B34EDF"/>
    <w:rsid w:val="00B459FD"/>
    <w:rsid w:val="00B47D28"/>
    <w:rsid w:val="00B5303B"/>
    <w:rsid w:val="00B860E3"/>
    <w:rsid w:val="00B861C8"/>
    <w:rsid w:val="00B8740E"/>
    <w:rsid w:val="00B877AD"/>
    <w:rsid w:val="00B877D0"/>
    <w:rsid w:val="00B922AB"/>
    <w:rsid w:val="00B938D8"/>
    <w:rsid w:val="00BA723C"/>
    <w:rsid w:val="00BB1994"/>
    <w:rsid w:val="00BB5431"/>
    <w:rsid w:val="00BC2651"/>
    <w:rsid w:val="00BC3714"/>
    <w:rsid w:val="00BC41C7"/>
    <w:rsid w:val="00BD389C"/>
    <w:rsid w:val="00C020B0"/>
    <w:rsid w:val="00C063A8"/>
    <w:rsid w:val="00C06C69"/>
    <w:rsid w:val="00C12301"/>
    <w:rsid w:val="00C17991"/>
    <w:rsid w:val="00C20AEE"/>
    <w:rsid w:val="00C22A1C"/>
    <w:rsid w:val="00C3233E"/>
    <w:rsid w:val="00C360CC"/>
    <w:rsid w:val="00C45188"/>
    <w:rsid w:val="00C64AA0"/>
    <w:rsid w:val="00C75322"/>
    <w:rsid w:val="00C8524B"/>
    <w:rsid w:val="00C85A96"/>
    <w:rsid w:val="00C86A9C"/>
    <w:rsid w:val="00C86EB6"/>
    <w:rsid w:val="00CA2EB2"/>
    <w:rsid w:val="00CB4A09"/>
    <w:rsid w:val="00CC4020"/>
    <w:rsid w:val="00CC4ED2"/>
    <w:rsid w:val="00CC60B9"/>
    <w:rsid w:val="00CD7376"/>
    <w:rsid w:val="00CE1B3F"/>
    <w:rsid w:val="00CE225D"/>
    <w:rsid w:val="00CE79EF"/>
    <w:rsid w:val="00CF6E11"/>
    <w:rsid w:val="00CF73EC"/>
    <w:rsid w:val="00D0484E"/>
    <w:rsid w:val="00D05579"/>
    <w:rsid w:val="00D070AC"/>
    <w:rsid w:val="00D0748C"/>
    <w:rsid w:val="00D10516"/>
    <w:rsid w:val="00D10808"/>
    <w:rsid w:val="00D11520"/>
    <w:rsid w:val="00D17151"/>
    <w:rsid w:val="00D20381"/>
    <w:rsid w:val="00D23467"/>
    <w:rsid w:val="00D2376C"/>
    <w:rsid w:val="00D30D0F"/>
    <w:rsid w:val="00D31581"/>
    <w:rsid w:val="00D31C35"/>
    <w:rsid w:val="00D44A8A"/>
    <w:rsid w:val="00D55690"/>
    <w:rsid w:val="00D601C5"/>
    <w:rsid w:val="00D622C1"/>
    <w:rsid w:val="00D761A7"/>
    <w:rsid w:val="00D762B1"/>
    <w:rsid w:val="00D76766"/>
    <w:rsid w:val="00D807AE"/>
    <w:rsid w:val="00D816C3"/>
    <w:rsid w:val="00D87B8E"/>
    <w:rsid w:val="00DB457E"/>
    <w:rsid w:val="00DD0804"/>
    <w:rsid w:val="00DD6FA8"/>
    <w:rsid w:val="00DE10A2"/>
    <w:rsid w:val="00DE6B69"/>
    <w:rsid w:val="00DF27A4"/>
    <w:rsid w:val="00DF39CE"/>
    <w:rsid w:val="00DF4808"/>
    <w:rsid w:val="00DF485D"/>
    <w:rsid w:val="00DF67CF"/>
    <w:rsid w:val="00E10169"/>
    <w:rsid w:val="00E12876"/>
    <w:rsid w:val="00E13151"/>
    <w:rsid w:val="00E17287"/>
    <w:rsid w:val="00E218A1"/>
    <w:rsid w:val="00E25DB1"/>
    <w:rsid w:val="00E31786"/>
    <w:rsid w:val="00E33132"/>
    <w:rsid w:val="00E33907"/>
    <w:rsid w:val="00E3699E"/>
    <w:rsid w:val="00E452B7"/>
    <w:rsid w:val="00E45F99"/>
    <w:rsid w:val="00E46EEA"/>
    <w:rsid w:val="00E53456"/>
    <w:rsid w:val="00E53B7D"/>
    <w:rsid w:val="00E62214"/>
    <w:rsid w:val="00E664ED"/>
    <w:rsid w:val="00E72DC8"/>
    <w:rsid w:val="00E74E62"/>
    <w:rsid w:val="00E913B6"/>
    <w:rsid w:val="00EA2C25"/>
    <w:rsid w:val="00EA47FF"/>
    <w:rsid w:val="00EA5DDF"/>
    <w:rsid w:val="00EA5EAB"/>
    <w:rsid w:val="00EC65F1"/>
    <w:rsid w:val="00ED1C2C"/>
    <w:rsid w:val="00ED667C"/>
    <w:rsid w:val="00EE4329"/>
    <w:rsid w:val="00EE620D"/>
    <w:rsid w:val="00F02A7C"/>
    <w:rsid w:val="00F02CCD"/>
    <w:rsid w:val="00F0379A"/>
    <w:rsid w:val="00F03970"/>
    <w:rsid w:val="00F07502"/>
    <w:rsid w:val="00F1017E"/>
    <w:rsid w:val="00F12C99"/>
    <w:rsid w:val="00F26003"/>
    <w:rsid w:val="00F36D7C"/>
    <w:rsid w:val="00F430F8"/>
    <w:rsid w:val="00F5343C"/>
    <w:rsid w:val="00F55211"/>
    <w:rsid w:val="00F60C88"/>
    <w:rsid w:val="00F657EA"/>
    <w:rsid w:val="00F6721B"/>
    <w:rsid w:val="00F7715C"/>
    <w:rsid w:val="00F822C9"/>
    <w:rsid w:val="00F93286"/>
    <w:rsid w:val="00F9659C"/>
    <w:rsid w:val="00FA0913"/>
    <w:rsid w:val="00FA4D60"/>
    <w:rsid w:val="00FA7339"/>
    <w:rsid w:val="00FC0C89"/>
    <w:rsid w:val="00FC242F"/>
    <w:rsid w:val="00FC3100"/>
    <w:rsid w:val="00FC38F8"/>
    <w:rsid w:val="00FD608B"/>
    <w:rsid w:val="00FE6B92"/>
    <w:rsid w:val="00FE7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EBC1511E-FC11-4245-8FAA-77BC1327D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bg-BG"/>
    </w:rPr>
  </w:style>
  <w:style w:type="paragraph" w:styleId="Heading1">
    <w:name w:val="heading 1"/>
    <w:basedOn w:val="Normal"/>
    <w:next w:val="Text1"/>
    <w:link w:val="Heading1Char"/>
    <w:uiPriority w:val="9"/>
    <w:qFormat/>
    <w:pPr>
      <w:keepNext/>
      <w:numPr>
        <w:numId w:val="1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6"/>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6"/>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6"/>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6"/>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D31C35"/>
    <w:pPr>
      <w:numPr>
        <w:numId w:val="1"/>
      </w:numPr>
    </w:pPr>
    <w:rPr>
      <w:rFonts w:eastAsia="Times New Roman"/>
      <w:lang w:eastAsia="en-GB"/>
    </w:rPr>
  </w:style>
  <w:style w:type="character" w:styleId="Hyperlink">
    <w:name w:val="Hyperlink"/>
    <w:basedOn w:val="DefaultParagraphFont"/>
    <w:uiPriority w:val="99"/>
    <w:unhideWhenUsed/>
    <w:rsid w:val="00D31C35"/>
    <w:rPr>
      <w:color w:val="0000FF" w:themeColor="hyperlink"/>
      <w:u w:val="single"/>
    </w:rPr>
  </w:style>
  <w:style w:type="paragraph" w:styleId="Caption">
    <w:name w:val="caption"/>
    <w:basedOn w:val="Normal"/>
    <w:next w:val="Normal"/>
    <w:uiPriority w:val="35"/>
    <w:semiHidden/>
    <w:unhideWhenUsed/>
    <w:qFormat/>
    <w:rsid w:val="002B722F"/>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2B722F"/>
    <w:pPr>
      <w:spacing w:after="0"/>
    </w:pPr>
  </w:style>
  <w:style w:type="paragraph" w:styleId="ListBullet2">
    <w:name w:val="List Bullet 2"/>
    <w:basedOn w:val="Normal"/>
    <w:uiPriority w:val="99"/>
    <w:semiHidden/>
    <w:unhideWhenUsed/>
    <w:rsid w:val="002B722F"/>
    <w:pPr>
      <w:numPr>
        <w:numId w:val="2"/>
      </w:numPr>
      <w:contextualSpacing/>
    </w:pPr>
  </w:style>
  <w:style w:type="paragraph" w:styleId="ListBullet3">
    <w:name w:val="List Bullet 3"/>
    <w:basedOn w:val="Normal"/>
    <w:uiPriority w:val="99"/>
    <w:semiHidden/>
    <w:unhideWhenUsed/>
    <w:rsid w:val="002B722F"/>
    <w:pPr>
      <w:numPr>
        <w:numId w:val="3"/>
      </w:numPr>
      <w:contextualSpacing/>
    </w:pPr>
  </w:style>
  <w:style w:type="paragraph" w:styleId="ListBullet4">
    <w:name w:val="List Bullet 4"/>
    <w:basedOn w:val="Normal"/>
    <w:uiPriority w:val="99"/>
    <w:semiHidden/>
    <w:unhideWhenUsed/>
    <w:rsid w:val="002B722F"/>
    <w:pPr>
      <w:numPr>
        <w:numId w:val="4"/>
      </w:numPr>
      <w:contextualSpacing/>
    </w:pPr>
  </w:style>
  <w:style w:type="paragraph" w:styleId="ListNumber">
    <w:name w:val="List Number"/>
    <w:basedOn w:val="Normal"/>
    <w:uiPriority w:val="99"/>
    <w:semiHidden/>
    <w:unhideWhenUsed/>
    <w:rsid w:val="002B722F"/>
    <w:pPr>
      <w:numPr>
        <w:numId w:val="5"/>
      </w:numPr>
      <w:contextualSpacing/>
    </w:pPr>
  </w:style>
  <w:style w:type="paragraph" w:styleId="ListNumber2">
    <w:name w:val="List Number 2"/>
    <w:basedOn w:val="Normal"/>
    <w:uiPriority w:val="99"/>
    <w:semiHidden/>
    <w:unhideWhenUsed/>
    <w:rsid w:val="002B722F"/>
    <w:pPr>
      <w:numPr>
        <w:numId w:val="6"/>
      </w:numPr>
      <w:contextualSpacing/>
    </w:pPr>
  </w:style>
  <w:style w:type="paragraph" w:styleId="ListNumber3">
    <w:name w:val="List Number 3"/>
    <w:basedOn w:val="Normal"/>
    <w:uiPriority w:val="99"/>
    <w:semiHidden/>
    <w:unhideWhenUsed/>
    <w:rsid w:val="002B722F"/>
    <w:pPr>
      <w:numPr>
        <w:numId w:val="7"/>
      </w:numPr>
      <w:contextualSpacing/>
    </w:pPr>
  </w:style>
  <w:style w:type="paragraph" w:styleId="ListNumber4">
    <w:name w:val="List Number 4"/>
    <w:basedOn w:val="Normal"/>
    <w:uiPriority w:val="99"/>
    <w:semiHidden/>
    <w:unhideWhenUsed/>
    <w:rsid w:val="002B722F"/>
    <w:pPr>
      <w:numPr>
        <w:numId w:val="8"/>
      </w:numPr>
      <w:contextualSpacing/>
    </w:pPr>
  </w:style>
  <w:style w:type="character" w:styleId="CommentReference">
    <w:name w:val="annotation reference"/>
    <w:basedOn w:val="DefaultParagraphFont"/>
    <w:uiPriority w:val="99"/>
    <w:semiHidden/>
    <w:unhideWhenUsed/>
    <w:rsid w:val="00C45188"/>
    <w:rPr>
      <w:sz w:val="16"/>
      <w:szCs w:val="16"/>
    </w:rPr>
  </w:style>
  <w:style w:type="paragraph" w:styleId="CommentText">
    <w:name w:val="annotation text"/>
    <w:basedOn w:val="Normal"/>
    <w:link w:val="CommentTextChar"/>
    <w:uiPriority w:val="99"/>
    <w:unhideWhenUsed/>
    <w:rsid w:val="00C45188"/>
    <w:rPr>
      <w:sz w:val="20"/>
      <w:szCs w:val="20"/>
    </w:rPr>
  </w:style>
  <w:style w:type="character" w:customStyle="1" w:styleId="CommentTextChar">
    <w:name w:val="Comment Text Char"/>
    <w:basedOn w:val="DefaultParagraphFont"/>
    <w:link w:val="CommentText"/>
    <w:uiPriority w:val="99"/>
    <w:rsid w:val="00C45188"/>
    <w:rPr>
      <w:rFonts w:ascii="Times New Roman" w:hAnsi="Times New Roman" w:cs="Times New Roman"/>
      <w:sz w:val="20"/>
      <w:szCs w:val="20"/>
      <w:lang w:val="bg-BG"/>
    </w:rPr>
  </w:style>
  <w:style w:type="paragraph" w:styleId="CommentSubject">
    <w:name w:val="annotation subject"/>
    <w:basedOn w:val="CommentText"/>
    <w:next w:val="CommentText"/>
    <w:link w:val="CommentSubjectChar"/>
    <w:uiPriority w:val="99"/>
    <w:semiHidden/>
    <w:unhideWhenUsed/>
    <w:rsid w:val="00C45188"/>
    <w:rPr>
      <w:b/>
      <w:bCs/>
    </w:rPr>
  </w:style>
  <w:style w:type="character" w:customStyle="1" w:styleId="CommentSubjectChar">
    <w:name w:val="Comment Subject Char"/>
    <w:basedOn w:val="CommentTextChar"/>
    <w:link w:val="CommentSubject"/>
    <w:uiPriority w:val="99"/>
    <w:semiHidden/>
    <w:rsid w:val="00C45188"/>
    <w:rPr>
      <w:rFonts w:ascii="Times New Roman" w:hAnsi="Times New Roman" w:cs="Times New Roman"/>
      <w:b/>
      <w:bCs/>
      <w:sz w:val="20"/>
      <w:szCs w:val="20"/>
      <w:lang w:val="bg-BG"/>
    </w:rPr>
  </w:style>
  <w:style w:type="character" w:customStyle="1" w:styleId="UnresolvedMention">
    <w:name w:val="Unresolved Mention"/>
    <w:basedOn w:val="DefaultParagraphFont"/>
    <w:uiPriority w:val="99"/>
    <w:semiHidden/>
    <w:unhideWhenUsed/>
    <w:rsid w:val="00C45188"/>
    <w:rPr>
      <w:color w:val="605E5C"/>
      <w:shd w:val="clear" w:color="auto" w:fill="E1DFDD"/>
    </w:rPr>
  </w:style>
  <w:style w:type="paragraph" w:customStyle="1" w:styleId="Bnorma">
    <w:name w:val="Bnorma"/>
    <w:basedOn w:val="Statut"/>
    <w:rsid w:val="006F35B3"/>
  </w:style>
  <w:style w:type="paragraph" w:styleId="Revision">
    <w:name w:val="Revision"/>
    <w:hidden/>
    <w:uiPriority w:val="99"/>
    <w:semiHidden/>
    <w:rsid w:val="00C063A8"/>
    <w:pPr>
      <w:spacing w:after="0" w:line="240" w:lineRule="auto"/>
    </w:pPr>
    <w:rPr>
      <w:rFonts w:ascii="Times New Roman" w:hAnsi="Times New Roman" w:cs="Times New Roman"/>
      <w:sz w:val="24"/>
    </w:rPr>
  </w:style>
  <w:style w:type="paragraph" w:styleId="ListParagraph">
    <w:name w:val="List Paragraph"/>
    <w:basedOn w:val="Normal"/>
    <w:uiPriority w:val="34"/>
    <w:qFormat/>
    <w:rsid w:val="009B28B1"/>
    <w:pPr>
      <w:ind w:left="720"/>
      <w:contextualSpacing/>
    </w:pPr>
  </w:style>
  <w:style w:type="character" w:customStyle="1" w:styleId="HeaderChar">
    <w:name w:val="Header Char"/>
    <w:basedOn w:val="DefaultParagraphFont"/>
    <w:link w:val="Header"/>
    <w:uiPriority w:val="99"/>
    <w:rsid w:val="002E292A"/>
    <w:rPr>
      <w:rFonts w:ascii="Times New Roman" w:hAnsi="Times New Roman" w:cs="Times New Roman"/>
      <w:sz w:val="24"/>
      <w:lang w:val="bg-BG"/>
    </w:rPr>
  </w:style>
  <w:style w:type="character" w:customStyle="1" w:styleId="FooterChar">
    <w:name w:val="Footer Char"/>
    <w:basedOn w:val="DefaultParagraphFont"/>
    <w:link w:val="Footer"/>
    <w:uiPriority w:val="99"/>
    <w:rsid w:val="002E292A"/>
    <w:rPr>
      <w:rFonts w:ascii="Times New Roman" w:hAnsi="Times New Roman" w:cs="Times New Roman"/>
      <w:sz w:val="24"/>
      <w:lang w:val="bg-BG"/>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bg-BG"/>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bg-BG"/>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bg-BG"/>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bg-BG"/>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bg-BG"/>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bg-BG"/>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bg-BG"/>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2E292A"/>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2E292A"/>
    <w:pPr>
      <w:spacing w:before="0"/>
      <w:jc w:val="right"/>
    </w:pPr>
    <w:rPr>
      <w:sz w:val="28"/>
    </w:rPr>
  </w:style>
  <w:style w:type="paragraph" w:customStyle="1" w:styleId="FooterSensitivity">
    <w:name w:val="Footer Sensitivity"/>
    <w:basedOn w:val="Normal"/>
    <w:rsid w:val="002E292A"/>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Tiret5">
    <w:name w:val="Tiret 5"/>
    <w:basedOn w:val="Point5"/>
    <w:pPr>
      <w:numPr>
        <w:numId w:val="1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5"/>
      </w:numPr>
    </w:pPr>
  </w:style>
  <w:style w:type="paragraph" w:customStyle="1" w:styleId="NumPar2">
    <w:name w:val="NumPar 2"/>
    <w:basedOn w:val="Normal"/>
    <w:next w:val="Text1"/>
    <w:pPr>
      <w:numPr>
        <w:ilvl w:val="1"/>
        <w:numId w:val="15"/>
      </w:numPr>
    </w:pPr>
  </w:style>
  <w:style w:type="paragraph" w:customStyle="1" w:styleId="NumPar3">
    <w:name w:val="NumPar 3"/>
    <w:basedOn w:val="Normal"/>
    <w:next w:val="Text1"/>
    <w:pPr>
      <w:numPr>
        <w:ilvl w:val="2"/>
        <w:numId w:val="15"/>
      </w:numPr>
    </w:pPr>
  </w:style>
  <w:style w:type="paragraph" w:customStyle="1" w:styleId="NumPar4">
    <w:name w:val="NumPar 4"/>
    <w:basedOn w:val="Normal"/>
    <w:next w:val="Text1"/>
    <w:pPr>
      <w:numPr>
        <w:ilvl w:val="3"/>
        <w:numId w:val="15"/>
      </w:numPr>
    </w:pPr>
  </w:style>
  <w:style w:type="paragraph" w:customStyle="1" w:styleId="NumPar5">
    <w:name w:val="NumPar 5"/>
    <w:basedOn w:val="Normal"/>
    <w:next w:val="Text2"/>
    <w:pPr>
      <w:numPr>
        <w:ilvl w:val="4"/>
        <w:numId w:val="15"/>
      </w:numPr>
    </w:pPr>
  </w:style>
  <w:style w:type="paragraph" w:customStyle="1" w:styleId="NumPar6">
    <w:name w:val="NumPar 6"/>
    <w:basedOn w:val="Normal"/>
    <w:next w:val="Text2"/>
    <w:pPr>
      <w:numPr>
        <w:ilvl w:val="5"/>
        <w:numId w:val="15"/>
      </w:numPr>
    </w:pPr>
  </w:style>
  <w:style w:type="paragraph" w:customStyle="1" w:styleId="NumPar7">
    <w:name w:val="NumPar 7"/>
    <w:basedOn w:val="Normal"/>
    <w:next w:val="Text2"/>
    <w:pPr>
      <w:numPr>
        <w:ilvl w:val="6"/>
        <w:numId w:val="1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7"/>
      </w:numPr>
    </w:pPr>
  </w:style>
  <w:style w:type="paragraph" w:customStyle="1" w:styleId="Point1number">
    <w:name w:val="Point 1 (number)"/>
    <w:basedOn w:val="Normal"/>
    <w:pPr>
      <w:numPr>
        <w:ilvl w:val="2"/>
        <w:numId w:val="17"/>
      </w:numPr>
    </w:pPr>
  </w:style>
  <w:style w:type="paragraph" w:customStyle="1" w:styleId="Point2number">
    <w:name w:val="Point 2 (number)"/>
    <w:basedOn w:val="Normal"/>
    <w:pPr>
      <w:numPr>
        <w:ilvl w:val="4"/>
        <w:numId w:val="17"/>
      </w:numPr>
    </w:pPr>
  </w:style>
  <w:style w:type="paragraph" w:customStyle="1" w:styleId="Point3number">
    <w:name w:val="Point 3 (number)"/>
    <w:basedOn w:val="Normal"/>
    <w:pPr>
      <w:numPr>
        <w:ilvl w:val="6"/>
        <w:numId w:val="17"/>
      </w:numPr>
    </w:pPr>
  </w:style>
  <w:style w:type="paragraph" w:customStyle="1" w:styleId="Point0letter">
    <w:name w:val="Point 0 (letter)"/>
    <w:basedOn w:val="Normal"/>
    <w:pPr>
      <w:numPr>
        <w:ilvl w:val="1"/>
        <w:numId w:val="17"/>
      </w:numPr>
    </w:pPr>
  </w:style>
  <w:style w:type="paragraph" w:customStyle="1" w:styleId="Point1letter">
    <w:name w:val="Point 1 (letter)"/>
    <w:basedOn w:val="Normal"/>
    <w:pPr>
      <w:numPr>
        <w:ilvl w:val="3"/>
        <w:numId w:val="17"/>
      </w:numPr>
    </w:pPr>
  </w:style>
  <w:style w:type="paragraph" w:customStyle="1" w:styleId="Point2letter">
    <w:name w:val="Point 2 (letter)"/>
    <w:basedOn w:val="Normal"/>
    <w:pPr>
      <w:numPr>
        <w:ilvl w:val="5"/>
        <w:numId w:val="17"/>
      </w:numPr>
    </w:pPr>
  </w:style>
  <w:style w:type="paragraph" w:customStyle="1" w:styleId="Point3letter">
    <w:name w:val="Point 3 (letter)"/>
    <w:basedOn w:val="Normal"/>
    <w:pPr>
      <w:numPr>
        <w:ilvl w:val="7"/>
        <w:numId w:val="17"/>
      </w:numPr>
    </w:pPr>
  </w:style>
  <w:style w:type="paragraph" w:customStyle="1" w:styleId="Point4letter">
    <w:name w:val="Point 4 (letter)"/>
    <w:basedOn w:val="Normal"/>
    <w:pPr>
      <w:numPr>
        <w:ilvl w:val="8"/>
        <w:numId w:val="17"/>
      </w:numPr>
    </w:pPr>
  </w:style>
  <w:style w:type="paragraph" w:customStyle="1" w:styleId="Bullet0">
    <w:name w:val="Bullet 0"/>
    <w:basedOn w:val="Normal"/>
    <w:pPr>
      <w:numPr>
        <w:numId w:val="18"/>
      </w:numPr>
    </w:pPr>
  </w:style>
  <w:style w:type="paragraph" w:customStyle="1" w:styleId="Bullet1">
    <w:name w:val="Bullet 1"/>
    <w:basedOn w:val="Normal"/>
    <w:pPr>
      <w:numPr>
        <w:numId w:val="19"/>
      </w:numPr>
    </w:pPr>
  </w:style>
  <w:style w:type="paragraph" w:customStyle="1" w:styleId="Bullet2">
    <w:name w:val="Bullet 2"/>
    <w:basedOn w:val="Normal"/>
    <w:pPr>
      <w:numPr>
        <w:numId w:val="20"/>
      </w:numPr>
    </w:pPr>
  </w:style>
  <w:style w:type="paragraph" w:customStyle="1" w:styleId="Bullet3">
    <w:name w:val="Bullet 3"/>
    <w:basedOn w:val="Normal"/>
    <w:pPr>
      <w:numPr>
        <w:numId w:val="21"/>
      </w:numPr>
    </w:pPr>
  </w:style>
  <w:style w:type="paragraph" w:customStyle="1" w:styleId="Bullet4">
    <w:name w:val="Bullet 4"/>
    <w:basedOn w:val="Normal"/>
    <w:pPr>
      <w:numPr>
        <w:numId w:val="2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rsid w:val="00E664ED"/>
    <w:pPr>
      <w:spacing w:before="360" w:after="24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rsid w:val="00E664ED"/>
    <w:pPr>
      <w:spacing w:after="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Normal"/>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Rfrencecroise"/>
    <w:rsid w:val="00E664ED"/>
    <w:pPr>
      <w:spacing w:before="360" w:after="240"/>
      <w:jc w:val="center"/>
    </w:pPr>
  </w:style>
  <w:style w:type="paragraph" w:styleId="Header">
    <w:name w:val="header"/>
    <w:basedOn w:val="Normal"/>
    <w:link w:val="HeaderChar"/>
    <w:uiPriority w:val="99"/>
    <w:unhideWhenUsed/>
    <w:rsid w:val="002E292A"/>
    <w:pPr>
      <w:tabs>
        <w:tab w:val="center" w:pos="4535"/>
        <w:tab w:val="right" w:pos="9071"/>
      </w:tabs>
      <w:spacing w:before="0"/>
    </w:pPr>
  </w:style>
  <w:style w:type="paragraph" w:customStyle="1" w:styleId="HeaderLandscape">
    <w:name w:val="HeaderLandscape"/>
    <w:basedOn w:val="Normal"/>
    <w:rsid w:val="002E292A"/>
    <w:pPr>
      <w:tabs>
        <w:tab w:val="center" w:pos="7285"/>
        <w:tab w:val="right" w:pos="14003"/>
      </w:tabs>
      <w:spacing w:before="0"/>
    </w:pPr>
  </w:style>
  <w:style w:type="paragraph" w:styleId="Footer">
    <w:name w:val="footer"/>
    <w:basedOn w:val="Normal"/>
    <w:link w:val="FooterChar"/>
    <w:uiPriority w:val="99"/>
    <w:unhideWhenUsed/>
    <w:rsid w:val="002E292A"/>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2E292A"/>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739870">
      <w:bodyDiv w:val="1"/>
      <w:marLeft w:val="0"/>
      <w:marRight w:val="0"/>
      <w:marTop w:val="0"/>
      <w:marBottom w:val="0"/>
      <w:divBdr>
        <w:top w:val="none" w:sz="0" w:space="0" w:color="auto"/>
        <w:left w:val="none" w:sz="0" w:space="0" w:color="auto"/>
        <w:bottom w:val="none" w:sz="0" w:space="0" w:color="auto"/>
        <w:right w:val="none" w:sz="0" w:space="0" w:color="auto"/>
      </w:divBdr>
    </w:div>
    <w:div w:id="1022821962">
      <w:bodyDiv w:val="1"/>
      <w:marLeft w:val="0"/>
      <w:marRight w:val="0"/>
      <w:marTop w:val="0"/>
      <w:marBottom w:val="0"/>
      <w:divBdr>
        <w:top w:val="none" w:sz="0" w:space="0" w:color="auto"/>
        <w:left w:val="none" w:sz="0" w:space="0" w:color="auto"/>
        <w:bottom w:val="none" w:sz="0" w:space="0" w:color="auto"/>
        <w:right w:val="none" w:sz="0" w:space="0" w:color="auto"/>
      </w:divBdr>
    </w:div>
    <w:div w:id="172479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1263/oj" TargetMode="External"/><Relationship Id="rId1" Type="http://schemas.openxmlformats.org/officeDocument/2006/relationships/hyperlink" Target="http://data.europa.eu/eli/reg/2025/1106/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2C27A92ABE24488EA583CFD08DCF90" ma:contentTypeVersion="2" ma:contentTypeDescription="Create a new document." ma:contentTypeScope="" ma:versionID="d582813bc283a2b8186060a620db32cb">
  <xsd:schema xmlns:xsd="http://www.w3.org/2001/XMLSchema" xmlns:xs="http://www.w3.org/2001/XMLSchema" xmlns:p="http://schemas.microsoft.com/office/2006/metadata/properties" xmlns:ns2="a20ec63f-8aa4-4fd8-bfc8-ccb9f9a0dbe7" targetNamespace="http://schemas.microsoft.com/office/2006/metadata/properties" ma:root="true" ma:fieldsID="884729f5c59b25300f15593d03b75cb5" ns2:_="">
    <xsd:import namespace="a20ec63f-8aa4-4fd8-bfc8-ccb9f9a0dbe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ec63f-8aa4-4fd8-bfc8-ccb9f9a0db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22D47-2D93-4DA1-A24F-4A111EDE6F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8827F1-ACB5-42E3-8BF3-FEED724BF86C}">
  <ds:schemaRefs>
    <ds:schemaRef ds:uri="http://schemas.microsoft.com/sharepoint/v3/contenttype/forms"/>
  </ds:schemaRefs>
</ds:datastoreItem>
</file>

<file path=customXml/itemProps3.xml><?xml version="1.0" encoding="utf-8"?>
<ds:datastoreItem xmlns:ds="http://schemas.openxmlformats.org/officeDocument/2006/customXml" ds:itemID="{FB3BEEE0-4B25-43C9-A938-EE722F0E6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ec63f-8aa4-4fd8-bfc8-ccb9f9a0d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C81B65-BAFF-4E8E-AC6D-F2844046F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7</TotalTime>
  <Pages>4</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26</cp:revision>
  <dcterms:created xsi:type="dcterms:W3CDTF">2026-01-14T14:52:00Z</dcterms:created>
  <dcterms:modified xsi:type="dcterms:W3CDTF">2026-01-22T16:56:00Z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9.2, Build 20250828</vt:lpwstr>
  </property>
  <property fmtid="{D5CDD505-2E9C-101B-9397-08002B2CF9AE}" pid="5" name="Created using">
    <vt:lpwstr>LW 9.2, Build 20250828</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SJ-020</vt:lpwstr>
  </property>
  <property fmtid="{D5CDD505-2E9C-101B-9397-08002B2CF9AE}" pid="10" name="MSIP_Label_6bd9ddd1-4d20-43f6-abfa-fc3c07406f94_Enabled">
    <vt:lpwstr>true</vt:lpwstr>
  </property>
  <property fmtid="{D5CDD505-2E9C-101B-9397-08002B2CF9AE}" pid="11" name="MSIP_Label_6bd9ddd1-4d20-43f6-abfa-fc3c07406f94_SetDate">
    <vt:lpwstr>2025-11-28T15:51:11Z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ab4a71aa-8701-4965-8615-9596dba371c2</vt:lpwstr>
  </property>
  <property fmtid="{D5CDD505-2E9C-101B-9397-08002B2CF9AE}" pid="16" name="MSIP_Label_6bd9ddd1-4d20-43f6-abfa-fc3c07406f94_ContentBits">
    <vt:lpwstr>0</vt:lpwstr>
  </property>
  <property fmtid="{D5CDD505-2E9C-101B-9397-08002B2CF9AE}" pid="17" name="MSIP_Label_6bd9ddd1-4d20-43f6-abfa-fc3c07406f94_Tag">
    <vt:lpwstr>10, 3, 0, 1</vt:lpwstr>
  </property>
  <property fmtid="{D5CDD505-2E9C-101B-9397-08002B2CF9AE}" pid="18" name="ContentTypeId">
    <vt:lpwstr>0x010100192C27A92ABE24488EA583CFD08DCF90</vt:lpwstr>
  </property>
  <property fmtid="{D5CDD505-2E9C-101B-9397-08002B2CF9AE}" pid="19" name="DQCStatus">
    <vt:lpwstr>Green (DQC version 03)</vt:lpwstr>
  </property>
</Properties>
</file>