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D389" w14:textId="0243BA6E" w:rsidR="00F9231E" w:rsidRPr="00597673" w:rsidRDefault="00BE53DF" w:rsidP="00BE53DF">
      <w:pPr>
        <w:pStyle w:val="Pagedecouverture"/>
      </w:pPr>
      <w:r>
        <w:pict w14:anchorId="0B886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38286BD-EE1E-46CC-B142-5CBBD62C2837" style="width:455.4pt;height:357.6pt">
            <v:imagedata r:id="rId8" o:title=""/>
          </v:shape>
        </w:pict>
      </w:r>
    </w:p>
    <w:p w14:paraId="57CF07AC" w14:textId="77777777" w:rsidR="00BD10AD" w:rsidRPr="00597673" w:rsidRDefault="00BD10AD" w:rsidP="00BD10AD">
      <w:pPr>
        <w:pStyle w:val="Pagedecouverture"/>
        <w:sectPr w:rsidR="00BD10AD" w:rsidRPr="00597673" w:rsidSect="00BE53DF">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6B2BFA9" w14:textId="77777777" w:rsidR="00AC2BE5" w:rsidRPr="00597673" w:rsidRDefault="00AC2BE5">
      <w:pPr>
        <w:pStyle w:val="Exposdesmotifstitre"/>
      </w:pPr>
      <w:r w:rsidRPr="00597673">
        <w:lastRenderedPageBreak/>
        <w:t>ОБЯСНИТЕЛЕН МЕМОРАНДУМ</w:t>
      </w:r>
    </w:p>
    <w:p w14:paraId="026F9110" w14:textId="77777777" w:rsidR="00AC2BE5" w:rsidRPr="00597673" w:rsidRDefault="00AC2BE5">
      <w:pPr>
        <w:pStyle w:val="ManualHeading1"/>
      </w:pPr>
      <w:r w:rsidRPr="00597673">
        <w:t>1.</w:t>
      </w:r>
      <w:r w:rsidRPr="00597673">
        <w:tab/>
        <w:t>КОНТЕКСТ НА ПРЕДЛОЖЕНИЕТО</w:t>
      </w:r>
    </w:p>
    <w:p w14:paraId="0D1CBE0D" w14:textId="77777777" w:rsidR="00AC2BE5" w:rsidRPr="00597673" w:rsidRDefault="00AC2BE5">
      <w:pPr>
        <w:pStyle w:val="ManualHeading2"/>
        <w:rPr>
          <w:rFonts w:eastAsia="Arial Unicode MS"/>
        </w:rPr>
      </w:pPr>
      <w:r w:rsidRPr="00597673">
        <w:rPr>
          <w:color w:val="000000"/>
          <w:u w:color="000000"/>
          <w:bdr w:val="nil"/>
        </w:rPr>
        <w:t>•</w:t>
      </w:r>
      <w:r w:rsidRPr="00597673">
        <w:tab/>
        <w:t>Основания и цели на предложението</w:t>
      </w:r>
    </w:p>
    <w:p w14:paraId="22B3A4C9" w14:textId="77777777" w:rsidR="00C72017" w:rsidRPr="00597673" w:rsidRDefault="005D6D32" w:rsidP="00C72017">
      <w:pPr>
        <w:pBdr>
          <w:top w:val="nil"/>
          <w:left w:val="nil"/>
          <w:bottom w:val="nil"/>
          <w:right w:val="nil"/>
          <w:between w:val="nil"/>
          <w:bar w:val="nil"/>
        </w:pBdr>
        <w:spacing w:before="0" w:after="240"/>
      </w:pPr>
      <w:r w:rsidRPr="00597673">
        <w:t>Гарантирането, че хората в ЕС могат да се пенсионират достойно, да се чувстват осигурени и с адекватни доходи, е в основата на социалната и икономическата стратегия на ЕС. Тъй като гражданите на ЕС живеят по-дълго, поддържането на достоен стандарт на живот при пенсиониране се оказва все по-голямо предизвикателство. Гражданите очакват, че след трудовия си стаж  ще имат достъп до стабилни доходи, които са достатъчни, за да поддържат достойно качество на живот. Въпреки това устойчивостта на пенсионните системи и адекватността на пенсионните доходи в ЕС са подложени на все по-голям натиск в резултат на застаряването на населението и новите форми на труд. Населението на ЕС живее по-дълго, докато населението в трудоспособна възраст намалява. Тази структурна промяна означава, че по-малко трудещи се ще трябва да финансират пенсиите на все повече пенсионери, което създава фискален и социален натиск, който, ако не бъде преодолян, би могъл да подкопае стандарта на живот и справедливостта между поколенията.</w:t>
      </w:r>
    </w:p>
    <w:p w14:paraId="60C575FF" w14:textId="77777777" w:rsidR="00742551" w:rsidRPr="00597673" w:rsidRDefault="00742551" w:rsidP="005D0C3B">
      <w:pPr>
        <w:spacing w:before="0" w:after="160" w:line="259" w:lineRule="auto"/>
      </w:pPr>
      <w:r w:rsidRPr="00597673">
        <w:t>Поради това ЕС трябва да предприеме действия, за да помогне на гражданите да си осигурят пенсионния доход и да запазят стандарта си на живот в условията на неблагоприятни демографски промени, слаб ръст на производителността и по-широки трансформиращи предизвикателства, свързани с изменението на климата, цифровизацията и геополитическата несигурност. Капацитетът за ефективно справяне с предизвикателството пред пенсионната система ще оформи икономическата устойчивост и социалното сближаване на ЕС през следващите десетилетия.</w:t>
      </w:r>
    </w:p>
    <w:p w14:paraId="124C9111" w14:textId="77777777" w:rsidR="00C72017" w:rsidRPr="00597673" w:rsidRDefault="00C72017" w:rsidP="00C72017">
      <w:pPr>
        <w:pBdr>
          <w:top w:val="nil"/>
          <w:left w:val="nil"/>
          <w:bottom w:val="nil"/>
          <w:right w:val="nil"/>
          <w:between w:val="nil"/>
          <w:bar w:val="nil"/>
        </w:pBdr>
        <w:spacing w:before="0" w:after="240"/>
      </w:pPr>
      <w:r w:rsidRPr="00597673">
        <w:t>Следователно въпросното предизвикателство е от основно значение за икономическото и социалното бъдеще на ЕС. То се отнася до начина, по който нарастващ дял от населението може да поддържа адекватен стандарт на живот след пенсиониране, без при това да нараства тежестта върху бъдещите поколения. Европейският стълб на социалните права</w:t>
      </w:r>
      <w:r w:rsidRPr="00597673">
        <w:rPr>
          <w:rStyle w:val="FootnoteReference"/>
          <w:rFonts w:eastAsia="Arial Unicode MS"/>
        </w:rPr>
        <w:footnoteReference w:id="2"/>
      </w:r>
      <w:r w:rsidRPr="00597673">
        <w:t>, по-специално принцип 15 „Доходи и пенсии за старост“, утвърждава правото на наетите и самостоятелно заетите лица на пенсия, която е съизмерима с техните вноски и гарантира адекватен доход, с равни възможности за жените и мъжете да придобиват пенсионни права.</w:t>
      </w:r>
    </w:p>
    <w:p w14:paraId="1E65F7AB" w14:textId="77777777" w:rsidR="00C72017" w:rsidRPr="00597673" w:rsidRDefault="00D26062" w:rsidP="00C72017">
      <w:pPr>
        <w:pBdr>
          <w:top w:val="nil"/>
          <w:left w:val="nil"/>
          <w:bottom w:val="nil"/>
          <w:right w:val="nil"/>
          <w:between w:val="nil"/>
          <w:bar w:val="nil"/>
        </w:pBdr>
        <w:spacing w:before="0" w:after="240"/>
      </w:pPr>
      <w:r w:rsidRPr="00597673">
        <w:t>Обещанието за адекватна и устойчива пенсия продължава да бъде подложено на натиск въпреки многобройните реформи на национално равнище. Много държави членки намалиха коефициентите на заместване на дохода при пенсиите в публичния сектор, увеличиха законоустановената пенсионна възраст или преминаха от схеми с предварително определен размер на пенсията към схеми за пенсионни плащания в зависимост от постигнатата доходност. Поради това от физическите лица все повече се очаква да допълват задължителното пенсионно осигуряване с професионални или лични спестявания. Това създава „двойна тежест“ за населението в трудоспособна възраст, което трябва да финансира настоящите пенсионери, като същевременно спестява за собствения си пенсионен доход.</w:t>
      </w:r>
    </w:p>
    <w:p w14:paraId="48DB2154" w14:textId="77777777" w:rsidR="00C72017" w:rsidRPr="00597673" w:rsidRDefault="00F5323E" w:rsidP="00C72017">
      <w:pPr>
        <w:pBdr>
          <w:top w:val="nil"/>
          <w:left w:val="nil"/>
          <w:bottom w:val="nil"/>
          <w:right w:val="nil"/>
          <w:between w:val="nil"/>
          <w:bar w:val="nil"/>
        </w:pBdr>
        <w:spacing w:before="0" w:after="240"/>
      </w:pPr>
      <w:r w:rsidRPr="00597673">
        <w:t>Хората трябва да имат достъп до сигурни, ефективни, прозрачни и резултатни пенсионни продукти, за да съберат достатъчно спестявания с оглед на пенсионирането си. Пренасочването на спестяванията на домакинствата от нискодоходни депозити към продукти за допълнително пенсионно осигуряване, които предлагат възможности за дългосрочни инвестиции, може да помогне на хората да постигнат по-висок и по-стабилен пенсионен доход. В същото време тези спестявания, когато се осъществяват чрез добре управлявани и ефективно управлявани пенсионни институции, представляват важен източник на дългосрочен капитал за европейската икономика. Секторът на допълнителното пенсионно осигуряване играе двойна роля: гарантиране на финансовата сигурност на физическите лица при пенсиониране и допринасяне за дългосрочната икономическа устойчивост на ЕС.</w:t>
      </w:r>
    </w:p>
    <w:p w14:paraId="199A74ED" w14:textId="77777777" w:rsidR="00C72017" w:rsidRPr="00597673" w:rsidRDefault="00C72017" w:rsidP="00C72017">
      <w:pPr>
        <w:pBdr>
          <w:top w:val="nil"/>
          <w:left w:val="nil"/>
          <w:bottom w:val="nil"/>
          <w:right w:val="nil"/>
          <w:between w:val="nil"/>
          <w:bar w:val="nil"/>
        </w:pBdr>
        <w:spacing w:before="0" w:after="240"/>
      </w:pPr>
      <w:r w:rsidRPr="00597673">
        <w:t>Последните анализи на високо равнище подчертаха значението на укрепването на този канал между спестяванията и инвестициите. В докладите на Марио Драги</w:t>
      </w:r>
      <w:r w:rsidRPr="00597673">
        <w:rPr>
          <w:rStyle w:val="FootnoteReference"/>
          <w:rFonts w:eastAsia="Arial Unicode MS"/>
        </w:rPr>
        <w:footnoteReference w:id="3"/>
      </w:r>
      <w:r w:rsidRPr="00597673">
        <w:t xml:space="preserve"> и Енрико Лета</w:t>
      </w:r>
      <w:r w:rsidRPr="00597673">
        <w:rPr>
          <w:rStyle w:val="FootnoteReference"/>
          <w:rFonts w:eastAsia="Arial Unicode MS"/>
        </w:rPr>
        <w:footnoteReference w:id="4"/>
      </w:r>
      <w:r w:rsidRPr="00597673">
        <w:t xml:space="preserve"> се подчертава, че поддържането на жизнения стандарт на ЕС в контекста на намаляваща работна сила ще изисква по-голяма производителност и повече инвестиции. По-специално в доклада на Драги се призовава за по-ефективно мобилизиране на спестяванията на домакинствата чрез дългосрочни спестовни продукти, като например професионално пенсионно осигуряване, като се посочват успешни национални примери, които биха могли да стимулират по-широк подход на ЕС.</w:t>
      </w:r>
    </w:p>
    <w:p w14:paraId="558460AB" w14:textId="77777777" w:rsidR="00C72017" w:rsidRPr="00597673" w:rsidRDefault="00A675F5" w:rsidP="00C72017">
      <w:pPr>
        <w:pBdr>
          <w:top w:val="nil"/>
          <w:left w:val="nil"/>
          <w:bottom w:val="nil"/>
          <w:right w:val="nil"/>
          <w:between w:val="nil"/>
          <w:bar w:val="nil"/>
        </w:pBdr>
        <w:spacing w:before="0" w:after="240"/>
      </w:pPr>
      <w:r w:rsidRPr="00597673">
        <w:t>Налице е силна необходимост от укрепване на схемите за допълнително пенсионно осигуряване като част от по-широкия социален договор на ЕС. В заключенията на Европейския съвет от 17—18 април 2024 г.</w:t>
      </w:r>
      <w:r w:rsidRPr="00597673">
        <w:rPr>
          <w:rStyle w:val="FootnoteReference"/>
          <w:rFonts w:eastAsia="Arial Unicode MS"/>
        </w:rPr>
        <w:footnoteReference w:id="5"/>
      </w:r>
      <w:r w:rsidRPr="00597673">
        <w:t xml:space="preserve"> се призовава за по-нататъшна работа по разработването на пенсионни и дългосрочни спестовни продукти, като се отчита техният принос за екологичния и цифровия преход и за растежа на предприятията в ЕС. В заключенията си от 20 март 2025 г.</w:t>
      </w:r>
      <w:r w:rsidRPr="00597673">
        <w:rPr>
          <w:rStyle w:val="FootnoteReference"/>
          <w:rFonts w:eastAsia="Arial Unicode MS"/>
        </w:rPr>
        <w:footnoteReference w:id="6"/>
      </w:r>
      <w:r w:rsidRPr="00597673">
        <w:t xml:space="preserve"> Европейският съвет изтъкна отново значението на увеличаването на участието на частния капитал в подкрепа на инвестициите и конкурентоспособността и прикани Комисията да насърчава по-голямо участие на непрофесионалните инвеститори на капиталовите пазари, включително чрез пенсионни продукти.</w:t>
      </w:r>
    </w:p>
    <w:p w14:paraId="527D5F47" w14:textId="77777777" w:rsidR="00757FF1" w:rsidRPr="00597673" w:rsidRDefault="00C72017" w:rsidP="00C72017">
      <w:pPr>
        <w:pBdr>
          <w:top w:val="nil"/>
          <w:left w:val="nil"/>
          <w:bottom w:val="nil"/>
          <w:right w:val="nil"/>
          <w:between w:val="nil"/>
          <w:bar w:val="nil"/>
        </w:pBdr>
        <w:spacing w:before="0" w:after="240"/>
      </w:pPr>
      <w:r w:rsidRPr="00597673">
        <w:t>През 2019 г. Групата на високо равнище от експерти по въпросите на пенсиите</w:t>
      </w:r>
      <w:r w:rsidRPr="00597673">
        <w:rPr>
          <w:rStyle w:val="FootnoteReference"/>
          <w:rFonts w:eastAsia="Arial Unicode MS"/>
        </w:rPr>
        <w:footnoteReference w:id="7"/>
      </w:r>
      <w:r w:rsidRPr="00597673">
        <w:t>, в която участваха социалните партньори, предостави стратегически съвети за това как допълнителното пенсионно осигуряване може да допринесе за адекватността на доходите в напреднала възраст и за развитието на пенсионния пазар на ЕС. В доклад от 2024 г. Европейската сметна палата заключи</w:t>
      </w:r>
      <w:r w:rsidRPr="00597673">
        <w:rPr>
          <w:rStyle w:val="FootnoteReference"/>
          <w:rFonts w:eastAsia="Arial Unicode MS"/>
        </w:rPr>
        <w:footnoteReference w:id="8"/>
      </w:r>
      <w:r w:rsidRPr="00597673">
        <w:t xml:space="preserve">, че досега действията на ЕС са били ограничени по отношение на тяхната ефективност, и призова за повече усилия за укрепване на професионалното пенсионно осигуряване като допълнение към публичните схеми. </w:t>
      </w:r>
    </w:p>
    <w:p w14:paraId="2EBD1ADC" w14:textId="77777777" w:rsidR="00C72017" w:rsidRPr="00597673" w:rsidRDefault="00651D74" w:rsidP="00C72017">
      <w:pPr>
        <w:pBdr>
          <w:top w:val="nil"/>
          <w:left w:val="nil"/>
          <w:bottom w:val="nil"/>
          <w:right w:val="nil"/>
          <w:between w:val="nil"/>
          <w:bar w:val="nil"/>
        </w:pBdr>
        <w:spacing w:before="0" w:after="240"/>
      </w:pPr>
      <w:r w:rsidRPr="00597673">
        <w:t xml:space="preserve">Разработването на пенсионните системи остава в областта на компетентност на държавите членки, но мерките на равнище ЕС могат да подкрепят и допълват националните усилия за осигуряване на адекватен пенсионен доход. Рамката на институциите за професионално пенсионно осигуряване (ИППО) осигури регулаторната основа за професионалното пенсионно осигуряване в ЕС, като установи стандарти за пруденциален надзор, управление и защита на членовете и бенефициерите. Въпреки че не всички дружества, предлагащи професионално пенсионно осигуряване, попадат в обхвата на Директивата ИППО II, членовете и бенефициерите в схеми извън ИППО следва да подлежат на добро управление и надзор и биха могли да се възползват от това, че попадат в обхвата на Директивата ИППО II. </w:t>
      </w:r>
    </w:p>
    <w:p w14:paraId="27BC2B43" w14:textId="77777777" w:rsidR="00C72017" w:rsidRPr="00597673" w:rsidRDefault="00C72017" w:rsidP="00C72017">
      <w:pPr>
        <w:pBdr>
          <w:top w:val="nil"/>
          <w:left w:val="nil"/>
          <w:bottom w:val="nil"/>
          <w:right w:val="nil"/>
          <w:between w:val="nil"/>
          <w:bar w:val="nil"/>
        </w:pBdr>
        <w:spacing w:before="0" w:after="240"/>
      </w:pPr>
      <w:r w:rsidRPr="00597673">
        <w:t>В политическите насоки за периода 2024—2029 г.</w:t>
      </w:r>
      <w:r w:rsidRPr="00597673">
        <w:rPr>
          <w:rStyle w:val="FootnoteReference"/>
          <w:rFonts w:eastAsia="Arial Unicode MS"/>
        </w:rPr>
        <w:footnoteReference w:id="9"/>
      </w:r>
      <w:r w:rsidRPr="00597673">
        <w:t xml:space="preserve"> председателката на Комисията г-жа Фон дер Лайен обяви създаването на Европейски съюз на спестяванията и инвестициите, чиято цел е спестяванията в ЕС да работят по-ефективно за дългосрочен растеж и просперитет. В своето съобщение от 19 март 2025 г. относно съюза на спестяванията и инвестициите Комисията призна потенциала на сектора на допълнителното пенсионно осигуряване да допринесе за постигането на тази цел, като мобилизира частни спестявания за продуктивни инвестиции и гарантира, че ползите от тези инвестиции се насочват обратно към гражданите под формата на по-високи и надеждни пенсионни доходи. Освен това, в писмото за определяне на ресора</w:t>
      </w:r>
      <w:r w:rsidRPr="00597673">
        <w:rPr>
          <w:rStyle w:val="FootnoteReference"/>
        </w:rPr>
        <w:footnoteReference w:id="10"/>
      </w:r>
      <w:r w:rsidRPr="00597673">
        <w:t>, адресирано до тогавашния кандидат за член на Комисията, отговарящ за финансовите услуги и съюза на спестяванията и инвестициите, г-жа Фон дер Лайен подчерта значението на използването на потенциала на частните и професионалните пенсии за подпомагане на гражданите на ЕС при осигуряването на тяхното пенсиониране и за улесняване на насочването на спестяванията към икономиката като цяло.</w:t>
      </w:r>
    </w:p>
    <w:p w14:paraId="78D46BCC" w14:textId="77777777" w:rsidR="00F201C0" w:rsidRPr="00597673" w:rsidRDefault="00E549BA" w:rsidP="00C72017">
      <w:pPr>
        <w:pBdr>
          <w:top w:val="nil"/>
          <w:left w:val="nil"/>
          <w:bottom w:val="nil"/>
          <w:right w:val="nil"/>
          <w:between w:val="nil"/>
          <w:bar w:val="nil"/>
        </w:pBdr>
        <w:spacing w:before="0" w:after="240"/>
      </w:pPr>
      <w:r w:rsidRPr="00597673">
        <w:t>Директива 2008/94/ЕО</w:t>
      </w:r>
      <w:r w:rsidRPr="00597673">
        <w:rPr>
          <w:rStyle w:val="FootnoteReference"/>
        </w:rPr>
        <w:footnoteReference w:id="11"/>
      </w:r>
      <w:r w:rsidRPr="00597673">
        <w:t xml:space="preserve"> относно закрилата на работниците и служителите в случай на неплатежоспособност на техния работодател предвижда, че държавите членки трябва да гарантират защитата на пенсионните права на работниците и служителите в случай на неплатежоспособност на работодателя.</w:t>
      </w:r>
    </w:p>
    <w:p w14:paraId="083875BC" w14:textId="77777777" w:rsidR="004026FF" w:rsidRPr="00597673" w:rsidRDefault="00DD6433" w:rsidP="00C72017">
      <w:pPr>
        <w:pBdr>
          <w:top w:val="nil"/>
          <w:left w:val="nil"/>
          <w:bottom w:val="nil"/>
          <w:right w:val="nil"/>
          <w:between w:val="nil"/>
          <w:bar w:val="nil"/>
        </w:pBdr>
        <w:spacing w:before="0" w:after="240"/>
      </w:pPr>
      <w:r w:rsidRPr="00597673">
        <w:t>Директива 2003/41/ЕО</w:t>
      </w:r>
      <w:r w:rsidRPr="00597673">
        <w:rPr>
          <w:rStyle w:val="FootnoteReference"/>
          <w:rFonts w:eastAsia="Arial Unicode MS"/>
        </w:rPr>
        <w:footnoteReference w:id="12"/>
      </w:r>
      <w:r w:rsidRPr="00597673">
        <w:t xml:space="preserve"> относно дейностите и надзора на институциите за професионално пенсионно осигуряване (първата директива относно ИППО) беше въведена с цел създаване на последователна пруденциална рамка за институциите за професионално пенсионно осигуряване в рамките на вътрешния пазар. Основните ѝ цели включваха подобряване на защитата на членовете и бенефициерите, насърчаване на доброто управление и прозрачността и преодоляване на разпокъсаността, причинена от различните национални надзорни и регулаторни режими. Като установява минимални общи стандарти и дава възможност за трансгранично управление на схемите за професионално пенсионно осигуряване, Директивата относно ИППО има за цел да създаде вътрешен пазар за професионално пенсионно осигуряване. Тя насърчи консервативно и резултатно инвестиране на пенсионните активи, с което подкрепи дългосрочната устойчивост на пенсионните системи и мобилизирането на спестявания за продуктивни инвестиции в икономиката на ЕС.</w:t>
      </w:r>
    </w:p>
    <w:p w14:paraId="79097440" w14:textId="77777777" w:rsidR="007C7CA9" w:rsidRPr="00597673" w:rsidRDefault="00B4133C" w:rsidP="00C72017">
      <w:pPr>
        <w:pBdr>
          <w:top w:val="nil"/>
          <w:left w:val="nil"/>
          <w:bottom w:val="nil"/>
          <w:right w:val="nil"/>
          <w:between w:val="nil"/>
          <w:bar w:val="nil"/>
        </w:pBdr>
        <w:spacing w:before="0" w:after="240"/>
      </w:pPr>
      <w:r w:rsidRPr="00597673">
        <w:t>Директива 2016/2341</w:t>
      </w:r>
      <w:r w:rsidRPr="00597673">
        <w:rPr>
          <w:rStyle w:val="FootnoteReference"/>
          <w:rFonts w:eastAsia="Arial Unicode MS"/>
        </w:rPr>
        <w:footnoteReference w:id="13"/>
      </w:r>
      <w:r w:rsidRPr="00597673">
        <w:t xml:space="preserve"> (Директивата ИППО II), с която се преработва и отменя първата директива относно ИППО, се ръководи от необходимостта от подобряване на управлението, прозрачността и трансграничната оперативна ефективност на фондовете за професионално пенсионно осигуряване в рамките на ЕС. Изводите, получени от прилагането на първата директива относно ИППО, откроиха значителни различия в изпълнението между различните държави членки и показаха недостатъци в равнището на защита, предлагано на членовете и бенефициерите. В отговор на това в Директивата ИППО II се определят по-строги пруденциални и управленски стандарти, както и подобрени изисквания за оповестяване и прозрачност, и се включват мерки за улесняване на трансграничното управление на пенсионните схеми. Тези подобрения имаха за цел да гарантират, че схемите за професионално пенсионно осигуряване остават сигурни, устойчиви и ефективни на все по-мобилния и интегриран пазар на труда в ЕС.</w:t>
      </w:r>
    </w:p>
    <w:p w14:paraId="7ABDBBF9" w14:textId="77777777" w:rsidR="00AC2BE5" w:rsidRPr="00597673" w:rsidRDefault="00C72017" w:rsidP="00C72017">
      <w:pPr>
        <w:pBdr>
          <w:top w:val="nil"/>
          <w:left w:val="nil"/>
          <w:bottom w:val="nil"/>
          <w:right w:val="nil"/>
          <w:between w:val="nil"/>
          <w:bar w:val="nil"/>
        </w:pBdr>
        <w:spacing w:before="0" w:after="240"/>
      </w:pPr>
      <w:r w:rsidRPr="00597673">
        <w:t xml:space="preserve">Амбицията за преразглеждане на Директивата ИППО II е в отговор на продължаващите икономически, демографски и политически предизвикателства, с подновен акцент върху сигурността при пенсиониране на гражданите. Тя има за цел да укрепи капацитета на професионалните пенсионни фондове да осигуряват адекватни пенсионни доходи, да действат като стабилни дългосрочни инвеститори в подкрепа на устойчивия растеж и да допринасят за устойчивостта и задълбочаването на капиталовите пазари в ЕС. Поради това преразглеждането на Директивата ИППО II има за цел да укрепи рамката за обезпечено с активи пенсионно осигуряване и да насърчи по-добри дългосрочни инвестиционни резултати за членовете и бенефициерите. То има за цел да направи ИППО по-подходящи и достъпни за държавите членки, в които понастоящем те са недостатъчно развити, като същевременно насърчава по-силни и по-устойчиви инвестиционни резултати в целия ЕС. То също така има за цел да повиши прозрачността по отношение както на разходите, така и на възвръщаемостта, да укрепи практиките за управление на риска и да премахне пречките, които понастоящем възпрепятстват ефективните инвестиции. По този начин изменената рамка ще подпомогне по-ефективното разпределение на активите и ще осигури по-голяма стойност за членовете. По този начин предложената реформа има за цел да повиши стандартите в областта на допълнителното пенсионно осигуряване, като насърчава по-голяма стойност, повишена устойчивост и дългосрочна сигурност за членовете. Тя може да спомогне за преодоляване на продължаващата разпокъсаност, да даде възможност за по-ефективни и продуктивни дългосрочни инвестиции и да гарантира, че по-широк набор от схеми за пенсионно осигуряване функционират при стабилни стандарти за управление и прозрачност. Изменението също така ще допринесе за постигането на целите на съюза на спестяванията и инвестициите чрез даване на възможност за продуктивни дългосрочни инвестиции, засилване на пазарната интеграция и подкрепа за устойчивия растеж в рамките на ЕС. </w:t>
      </w:r>
    </w:p>
    <w:p w14:paraId="5BE1420E" w14:textId="77777777" w:rsidR="00AC2BE5" w:rsidRPr="00597673" w:rsidRDefault="00AC2BE5">
      <w:pPr>
        <w:pStyle w:val="ManualHeading2"/>
        <w:rPr>
          <w:rFonts w:eastAsia="Arial Unicode MS"/>
          <w:u w:color="000000"/>
          <w:bdr w:val="nil"/>
        </w:rPr>
      </w:pPr>
      <w:r w:rsidRPr="00597673">
        <w:rPr>
          <w:u w:color="000000"/>
          <w:bdr w:val="nil"/>
        </w:rPr>
        <w:t>•</w:t>
      </w:r>
      <w:r w:rsidRPr="00597673">
        <w:tab/>
        <w:t>Съгласуваност с действащите разпоредби в тази област на политиката</w:t>
      </w:r>
    </w:p>
    <w:p w14:paraId="6BB00400" w14:textId="77777777" w:rsidR="006F1891" w:rsidRPr="00597673" w:rsidRDefault="00182B12" w:rsidP="006F1891">
      <w:pPr>
        <w:pBdr>
          <w:top w:val="nil"/>
          <w:left w:val="nil"/>
          <w:bottom w:val="nil"/>
          <w:right w:val="nil"/>
          <w:between w:val="nil"/>
          <w:bar w:val="nil"/>
        </w:pBdr>
        <w:spacing w:before="0" w:after="240"/>
      </w:pPr>
      <w:r w:rsidRPr="00597673">
        <w:t>ЕС осъществи няколко ключови инициативи за укрепване на системата на допълнителното пенсионно осигуряване:</w:t>
      </w:r>
    </w:p>
    <w:p w14:paraId="5A9669F0" w14:textId="77777777" w:rsidR="004272BC" w:rsidRPr="00597673" w:rsidRDefault="006F1891" w:rsidP="005D0C3B">
      <w:pPr>
        <w:pStyle w:val="ListBullet1"/>
      </w:pPr>
      <w:r w:rsidRPr="00597673">
        <w:t>Директива 98/49/ЕО от 29 юни 1998 година за запазване на правото на допълнителна пенсия на заети лица и самостоятелно заети лица, движещи се в границите на ЕС</w:t>
      </w:r>
      <w:r w:rsidRPr="00597673">
        <w:rPr>
          <w:rStyle w:val="FootnoteReference"/>
        </w:rPr>
        <w:footnoteReference w:id="14"/>
      </w:r>
      <w:r w:rsidRPr="00597673">
        <w:t>;</w:t>
      </w:r>
    </w:p>
    <w:p w14:paraId="576AF26E" w14:textId="77777777" w:rsidR="004272BC" w:rsidRPr="00597673" w:rsidRDefault="006F1891" w:rsidP="005D0C3B">
      <w:pPr>
        <w:pStyle w:val="ListBullet1"/>
      </w:pPr>
      <w:r w:rsidRPr="00597673">
        <w:t>Директива 2014/50/ЕС от 16 април 2014 г. относно минималните изисквания за повишаване на мобилността на работниците между държавите членки чрез подобряване на придобиването и запазването на допълнителни пенсионни права</w:t>
      </w:r>
      <w:r w:rsidRPr="00597673">
        <w:rPr>
          <w:rStyle w:val="FootnoteReference"/>
        </w:rPr>
        <w:footnoteReference w:id="15"/>
      </w:r>
      <w:r w:rsidRPr="00597673">
        <w:t>;</w:t>
      </w:r>
    </w:p>
    <w:p w14:paraId="3CE3426C" w14:textId="77777777" w:rsidR="006F1891" w:rsidRPr="00597673" w:rsidRDefault="006F1891" w:rsidP="005D0C3B">
      <w:pPr>
        <w:pStyle w:val="ListBullet1"/>
      </w:pPr>
      <w:r w:rsidRPr="00597673">
        <w:t>Директива (ЕС) 2016/2341 от 14 декември 2016 г. относно дейностите и надзора на институциите за професионално пенсионно осигуряване (ИППО), известна като ИППО II, с която се укрепват управлението, оповестяването на информация и трансграничните изисквания за професионалното пенсионно осигуряване</w:t>
      </w:r>
      <w:r w:rsidRPr="00597673">
        <w:rPr>
          <w:rStyle w:val="FootnoteReference"/>
        </w:rPr>
        <w:footnoteReference w:id="16"/>
      </w:r>
      <w:r w:rsidRPr="00597673">
        <w:t>;</w:t>
      </w:r>
    </w:p>
    <w:p w14:paraId="7578089D" w14:textId="77777777" w:rsidR="003A6FCF" w:rsidRPr="00597673" w:rsidRDefault="006F1891" w:rsidP="005D0C3B">
      <w:pPr>
        <w:pStyle w:val="ListBullet1"/>
      </w:pPr>
      <w:r w:rsidRPr="00597673">
        <w:t>Регламент (ЕС) 2019/1238 от 20 юни 2019 г. относно паневропейски персонален пенсионен продукт (ПЕПП), с който беше създадена доброволна, стандартизирана рамка за лично пенсионно осигуряване в целия ЕС</w:t>
      </w:r>
      <w:r w:rsidRPr="00597673">
        <w:rPr>
          <w:rStyle w:val="FootnoteReference"/>
        </w:rPr>
        <w:footnoteReference w:id="17"/>
      </w:r>
      <w:r w:rsidRPr="00597673">
        <w:t xml:space="preserve">. </w:t>
      </w:r>
    </w:p>
    <w:p w14:paraId="18EF7802" w14:textId="77777777" w:rsidR="00AC2BE5" w:rsidRPr="00597673" w:rsidRDefault="003A6FCF" w:rsidP="00C9746B">
      <w:pPr>
        <w:rPr>
          <w:rFonts w:eastAsia="Arial Unicode MS"/>
        </w:rPr>
      </w:pPr>
      <w:r w:rsidRPr="00597673">
        <w:t>Настоящото предложение надгражда и укрепва рамката за ИППО, определена в Директивата ИППО II, както е обяснено по-подробно в раздел 3 по-долу. То е част от по-широк пенсионен пакет, който включва прегледа на Регламент (ЕС) 2019/1238 (Регламента за ПЕПП), препоръките на Комисията относно информационните табла за пенсиите, системите за проследяване на пенсиите и автоматичното включване, както и общото съобщение относно допълнителния пенсионен пакет. Пенсионният пакет е един от основните резултати в рамките на програмата за съюз на спестяванията и инвестициите. Предложените промени и препоръки са изготвени с цел да се гарантира съгласуваност между различните законодателни актове и с оглед на една и съща обща цел.</w:t>
      </w:r>
    </w:p>
    <w:p w14:paraId="35DB99B4" w14:textId="77777777" w:rsidR="00AC2BE5" w:rsidRPr="00597673" w:rsidRDefault="00AC2BE5">
      <w:pPr>
        <w:pStyle w:val="ManualHeading2"/>
        <w:rPr>
          <w:rFonts w:eastAsia="Arial Unicode MS"/>
        </w:rPr>
      </w:pPr>
      <w:r w:rsidRPr="00597673">
        <w:rPr>
          <w:u w:color="000000"/>
          <w:bdr w:val="nil"/>
        </w:rPr>
        <w:t>•</w:t>
      </w:r>
      <w:r w:rsidRPr="00597673">
        <w:tab/>
        <w:t>Съгласуваност с други политики на ЕС</w:t>
      </w:r>
    </w:p>
    <w:p w14:paraId="44A451FA" w14:textId="6E855E20" w:rsidR="003A36A1" w:rsidRPr="00597673" w:rsidRDefault="003A36A1" w:rsidP="003A36A1">
      <w:pPr>
        <w:pBdr>
          <w:top w:val="nil"/>
          <w:left w:val="nil"/>
          <w:bottom w:val="nil"/>
          <w:right w:val="nil"/>
          <w:between w:val="nil"/>
          <w:bar w:val="nil"/>
        </w:pBdr>
        <w:spacing w:before="0" w:after="240"/>
      </w:pPr>
      <w:r w:rsidRPr="00597673">
        <w:t xml:space="preserve">Прилагането на съюза на спестяванията и инвестициите изисква всеобхватен набор от мерки, които засягат различни измерения на финансовата система на ЕС. Тези политически мерки могат да бъдат групирани в четири отделни, но взаимосвързани направления: а) граждани и спестявания, б) инвестиции и финансиране, в) интеграция и мащаб и г) ефективен надзор на единния пазар. </w:t>
      </w:r>
      <w:r w:rsidR="00597673" w:rsidRPr="00597673">
        <w:t>Всяко</w:t>
      </w:r>
      <w:r w:rsidRPr="00597673">
        <w:t xml:space="preserve"> от тези направления е разгледано в следващите раздели.</w:t>
      </w:r>
    </w:p>
    <w:p w14:paraId="6EE9B783" w14:textId="77777777" w:rsidR="00573D41" w:rsidRPr="00597673" w:rsidRDefault="003A36A1" w:rsidP="003A36A1">
      <w:pPr>
        <w:pBdr>
          <w:top w:val="nil"/>
          <w:left w:val="nil"/>
          <w:bottom w:val="nil"/>
          <w:right w:val="nil"/>
          <w:between w:val="nil"/>
          <w:bar w:val="nil"/>
        </w:pBdr>
        <w:spacing w:before="0" w:after="240"/>
      </w:pPr>
      <w:r w:rsidRPr="00597673">
        <w:t>Пенсионният пакет попада в направление „Граждани и спестявания“. Чрез укрепване на рамката за ИППО Комисията допринася за целта на съюза на спестяванията и инвестициите за предоставяне на възможност на гражданите да спестяват и инвестират в своето бъдеще чрез прозрачни, конкурентни и достъпни продукти. Укрепването на рамката на ИППО подкрепя увеличаването на мащаба, консолидирането и трансграничната ефективност в сектора на допълнителното пенсионно осигуряване чрез засилен надзорен контрол и по-широк тематичен преглед. Като улеснява по-голямото участие на плащащите пенсионни осигуровки на капиталовите пазари, Пенсионният пакет допринася и за постигането на по-широките цели на ССИ за мобилизиране на спестяванията на домакинствата за продуктивни инвестиции; увеличаване на възможностите за финансиране на икономиката на ЕС, включително чрез привличане на средства от пенсионните фондове в програми като InvestEU и подпомагане на финансовите институции да постигнат мащаб, конкурентоспособност в световен план и диверсификация. По този начин той подкрепя капацитета на ЕС да отговори на дългосрочните си нужди от инвестиции, по-специално в контекста на екологичния, социалния и цифровия преход.</w:t>
      </w:r>
    </w:p>
    <w:p w14:paraId="173218AD" w14:textId="77777777" w:rsidR="004D2251" w:rsidRPr="00597673" w:rsidRDefault="00C5309C" w:rsidP="00BC3DF1">
      <w:r w:rsidRPr="00597673">
        <w:t>Развитието и растежът на ИППО могат да спомогнат за насочването на повече дългосрочен капитал към капиталовите пазари на ЕС и чрез тях към икономиката като цяло — в момент, в който икономиката на ЕС спешно трябва да разгърне инвестиции, за да укрепи своята конкурентоспособност. Поради това преразглеждането на Директивата ИППО II е в съответствие също с по-широката стратегия на Комисията за съживяване на икономиката на ЕС, както е посочено в компаса за конкурентоспособността</w:t>
      </w:r>
      <w:r w:rsidRPr="00597673">
        <w:rPr>
          <w:rStyle w:val="FootnoteReference"/>
          <w:rFonts w:eastAsia="Arial Unicode MS"/>
        </w:rPr>
        <w:footnoteReference w:id="18"/>
      </w:r>
      <w:r w:rsidRPr="00597673">
        <w:t>.</w:t>
      </w:r>
    </w:p>
    <w:p w14:paraId="77E95087" w14:textId="77777777" w:rsidR="00B32F8A" w:rsidRPr="00597673" w:rsidRDefault="00B32F8A" w:rsidP="00BC3DF1">
      <w:r w:rsidRPr="00597673">
        <w:t>Преразглеждането на Директивата ИППО II е в съответствие с прилагането на Европейския стълб на социалните права (ЕССП), по-специално принцип 15 от него, който утвърждава „правото на адекватен доход за старост“ и „достоен стандарт на живот“ за пенсионерите. Въпреки че Директивата ИППО II е преди всичко пруденциална и управленска рамка, нейните основни цели — укрепване на капацитета на професионалните фондове за осигуряване на адекватни доходи, защита на интересите на членовете и бенефициерите и подобряване на прозрачността както по отношение на разходите, така и по отношение на възвръщаемостта — са от съществено значение за осигуряването на устойчиви и адекватни схеми за допълнително пенсионно осигуряване.</w:t>
      </w:r>
    </w:p>
    <w:p w14:paraId="4CC34746" w14:textId="77777777" w:rsidR="00AC2BE5" w:rsidRPr="00597673" w:rsidRDefault="00AC2BE5">
      <w:pPr>
        <w:pStyle w:val="ManualHeading1"/>
      </w:pPr>
      <w:r w:rsidRPr="00597673">
        <w:t>2.</w:t>
      </w:r>
      <w:r w:rsidRPr="00597673">
        <w:tab/>
        <w:t>ПРАВНО ОСНОВАНИЕ, СУБСИДИАРНОСТ И ПРОПОРЦИОНАЛНОСТ</w:t>
      </w:r>
    </w:p>
    <w:p w14:paraId="7A92288F"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Правно основание</w:t>
      </w:r>
    </w:p>
    <w:p w14:paraId="542AF7E0" w14:textId="77777777" w:rsidR="00271AD5" w:rsidRPr="00597673" w:rsidRDefault="00E97A4E" w:rsidP="001C21D5">
      <w:r w:rsidRPr="00597673">
        <w:t>Правното основание за изменение на Директивата ИППО II са членове 53, 62 и член 114, параграф 1 от Договора за функционирането на Европейския съюз (ДФЕС). Членове 53 и 62 предвиждат координирането на националните разпоредби, уреждащи започването и упражняването на дейности като самостоятелно заети лица и свободното предоставяне на услуги. Тези разпоредби дават възможност за създаване и трансгранична дейност на ИППО в рамките на вътрешния пазар при последователни пруденциални, управленски и надзорни стандарти. Член 114, параграф 1 позволява приемането на мерки за сближаване на националните разпоредби с оглед на създаването и функционирането на вътрешния пазар.</w:t>
      </w:r>
    </w:p>
    <w:p w14:paraId="0F742505" w14:textId="77777777" w:rsidR="004D2251" w:rsidRPr="00597673" w:rsidRDefault="00D93859" w:rsidP="00BC3DF1">
      <w:r w:rsidRPr="00597673">
        <w:t>Възможността доставчиците да се възползват от правото на установяване и свободно предоставяне на услуги все още е възпрепятствана от липсата на стандартизация на съществуващите продукти за професионално пенсионно осигуряване. Поради това предложението има за цел да подобри основните елементи на рамката за ИППО, за да се създаде по-съгласуван модел. Това ще даде възможност на техните членове и бенефициери да използват пълноценно вътрешния пазар, като им предложи по-голям избор от доставчици, включително в други държави членки на ЕС. С предложението се хармонизират основните характеристики на ИППО: повишена прозрачност по отношение както на разходите, така и на възвръщаемостта, практиките за управление на риска и ефективните инвестиционни политики.</w:t>
      </w:r>
    </w:p>
    <w:p w14:paraId="75BCDFB8" w14:textId="77777777" w:rsidR="00AC2BE5" w:rsidRPr="00597673" w:rsidRDefault="00AC2BE5">
      <w:pPr>
        <w:pStyle w:val="ManualHeading2"/>
        <w:rPr>
          <w:rFonts w:eastAsia="Arial Unicode MS"/>
          <w:bdr w:val="nil"/>
        </w:rPr>
      </w:pPr>
      <w:r w:rsidRPr="00597673">
        <w:rPr>
          <w:bdr w:val="nil"/>
        </w:rPr>
        <w:t>•</w:t>
      </w:r>
      <w:r w:rsidRPr="00597673">
        <w:tab/>
      </w:r>
      <w:r w:rsidRPr="00597673">
        <w:rPr>
          <w:bdr w:val="nil"/>
        </w:rPr>
        <w:t>Субсидиарност</w:t>
      </w:r>
    </w:p>
    <w:p w14:paraId="69DF8ACE" w14:textId="77777777" w:rsidR="00AC2BE5" w:rsidRPr="00597673" w:rsidRDefault="003C5637">
      <w:pPr>
        <w:pBdr>
          <w:top w:val="nil"/>
          <w:left w:val="nil"/>
          <w:bottom w:val="nil"/>
          <w:right w:val="nil"/>
          <w:between w:val="nil"/>
          <w:bar w:val="nil"/>
        </w:pBdr>
        <w:spacing w:before="0" w:after="240"/>
        <w:rPr>
          <w:rFonts w:eastAsia="Arial Unicode MS"/>
        </w:rPr>
      </w:pPr>
      <w:r w:rsidRPr="00597673">
        <w:t xml:space="preserve">Съгласно принципа на субсидиарност действия на равнището на ЕС могат да бъдат предприети само когато поставените цели не могат да бъдат постигнати индивидуално от държавите членки. Директивата ИППО II е създадена на равнището на ЕС от 2019 г. насам, тъй като само действия на равнището на ЕС могат да определят обща регулаторна рамка за ИППО. В това отношение настоящото предложение, както и Директивата ИППО ІІ, която то има за цел да измени, е в пълно съответствие с принципа на субсидиарност. </w:t>
      </w:r>
    </w:p>
    <w:p w14:paraId="3FDCEF81"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Пропорционалност</w:t>
      </w:r>
    </w:p>
    <w:p w14:paraId="19DD0C92" w14:textId="77777777" w:rsidR="00013FE3" w:rsidRPr="00597673" w:rsidRDefault="00013FE3" w:rsidP="00013FE3">
      <w:pPr>
        <w:pBdr>
          <w:top w:val="nil"/>
          <w:left w:val="nil"/>
          <w:bottom w:val="nil"/>
          <w:right w:val="nil"/>
          <w:between w:val="nil"/>
          <w:bar w:val="nil"/>
        </w:pBdr>
        <w:spacing w:before="0" w:after="240"/>
      </w:pPr>
      <w:r w:rsidRPr="00597673">
        <w:t xml:space="preserve">Съгласно принципа на пропорционалност съдържанието и формата на действията на ЕС следва да не надхвърлят необходимото за постигането на целите на Договорите. </w:t>
      </w:r>
    </w:p>
    <w:p w14:paraId="5037F54F" w14:textId="77777777" w:rsidR="00013FE3" w:rsidRPr="00597673" w:rsidRDefault="00641BB7" w:rsidP="00013FE3">
      <w:pPr>
        <w:pBdr>
          <w:top w:val="nil"/>
          <w:left w:val="nil"/>
          <w:bottom w:val="nil"/>
          <w:right w:val="nil"/>
          <w:between w:val="nil"/>
          <w:bar w:val="nil"/>
        </w:pBdr>
        <w:spacing w:before="0" w:after="240"/>
      </w:pPr>
      <w:r w:rsidRPr="00597673">
        <w:t xml:space="preserve">ИППО по принцип вече могат да бъдат установени във всички държави членки, но те не са реализирали пълния си потенциал по отношение на насочването на достатъчно спестявания към капиталовите пазари и приноса към съюза на спестяванията и инвестициите. Това е от особено значение предвид демографския натиск и нарастващата необходимост от осигуряване на устойчиви и адекватни доходи след пенсиониране. </w:t>
      </w:r>
    </w:p>
    <w:p w14:paraId="0DCAC15A" w14:textId="77777777" w:rsidR="00D700A3" w:rsidRPr="00597673" w:rsidRDefault="00013FE3" w:rsidP="00013FE3">
      <w:pPr>
        <w:pBdr>
          <w:top w:val="nil"/>
          <w:left w:val="nil"/>
          <w:bottom w:val="nil"/>
          <w:right w:val="nil"/>
          <w:between w:val="nil"/>
          <w:bar w:val="nil"/>
        </w:pBdr>
        <w:spacing w:before="0" w:after="240"/>
      </w:pPr>
      <w:r w:rsidRPr="00597673">
        <w:t>Рамката, установена с Директивата ИППО II, не е достигнала достатъчен мащаб, което е ключово условие за подобряване на дългосрочните резултати за членовете и бенефициерите. Поради това в работния документ на службите на Комисията, придружаващ настоящото предложение, бяха разгледани няколко варианта на политиката.</w:t>
      </w:r>
    </w:p>
    <w:p w14:paraId="36685185" w14:textId="77777777" w:rsidR="00D700A3" w:rsidRPr="00597673" w:rsidRDefault="00D700A3" w:rsidP="00D700A3">
      <w:pPr>
        <w:pBdr>
          <w:top w:val="nil"/>
          <w:left w:val="nil"/>
          <w:bottom w:val="nil"/>
          <w:right w:val="nil"/>
          <w:between w:val="nil"/>
          <w:bar w:val="nil"/>
        </w:pBdr>
        <w:spacing w:before="0" w:after="240"/>
      </w:pPr>
      <w:r w:rsidRPr="00597673">
        <w:t>Сценарият „без действие от страна на ЕС“ няма да успее да постигне целите на ЕС. Пълната хармонизация на националните режими за професионално пенсионно осигуряване обаче би била непропорционална, като се има предвид разнообразието на националните пазари и различните равнища на развитие на пенсионните системи.</w:t>
      </w:r>
    </w:p>
    <w:p w14:paraId="5B0C1B27" w14:textId="77777777" w:rsidR="00CF6417" w:rsidRPr="00597673" w:rsidRDefault="00CF6417" w:rsidP="00CF6417">
      <w:pPr>
        <w:pBdr>
          <w:top w:val="nil"/>
          <w:left w:val="nil"/>
          <w:bottom w:val="nil"/>
          <w:right w:val="nil"/>
          <w:between w:val="nil"/>
          <w:bar w:val="nil"/>
        </w:pBdr>
        <w:spacing w:before="0" w:after="240"/>
      </w:pPr>
      <w:r w:rsidRPr="00597673">
        <w:t xml:space="preserve">В този контекст целенасоченото преразглеждане на рамката за ИППО е пропорционален отговор. Предложеният подход допълва съществуващите национални режими, но също така гарантира достатъчно равнище на хармонизация, за да се улесни разширяването и да се подобрят резултатите от инвестициите. Основните характеристики — повишена прозрачност на разходите и възвръщаемостта, засилени стабилни практики за управление на риска и премахване на пречките, които понастоящем възпрепятстват ефективните инвестиции — са разработени така, че да се гарантира достатъчна защита на потребителите, без да се налага ненужна регулаторна тежест. </w:t>
      </w:r>
    </w:p>
    <w:p w14:paraId="7A7A9E13" w14:textId="77777777" w:rsidR="00CF6417" w:rsidRPr="00597673" w:rsidRDefault="0027428D" w:rsidP="00D700A3">
      <w:pPr>
        <w:pBdr>
          <w:top w:val="nil"/>
          <w:left w:val="nil"/>
          <w:bottom w:val="nil"/>
          <w:right w:val="nil"/>
          <w:between w:val="nil"/>
          <w:bar w:val="nil"/>
        </w:pBdr>
        <w:spacing w:before="0" w:after="240"/>
      </w:pPr>
      <w:r w:rsidRPr="00597673">
        <w:t>Очаква се административната тежест на предложението да остане ограничена, тъй като то само коригира характеристиките на съществуващите правила за ИППО в целия ЕС. Тези субекти вече подлежат на регулаторен надзор от страна на националните компетентни органи (НКО) съгласно съществуващите секторни рамки. Всички нови задължения за докладване ще бъдат пропорционални на рисковете от нарастваща трансграничната дейност, и ще подкрепят ефективното наблюдение на пазара и защитата на потребителите. Като цяло предложението ще рационализира съществуващите практики в целия ЕС.</w:t>
      </w:r>
    </w:p>
    <w:p w14:paraId="4D0F4938"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Избор на инструмент</w:t>
      </w:r>
    </w:p>
    <w:p w14:paraId="5E78CF2B" w14:textId="77777777" w:rsidR="00AC2BE5" w:rsidRPr="00597673" w:rsidRDefault="000437CA">
      <w:pPr>
        <w:pBdr>
          <w:top w:val="nil"/>
          <w:left w:val="nil"/>
          <w:bottom w:val="nil"/>
          <w:right w:val="nil"/>
          <w:between w:val="nil"/>
          <w:bar w:val="nil"/>
        </w:pBdr>
        <w:spacing w:before="0" w:after="240"/>
        <w:rPr>
          <w:rFonts w:eastAsia="Arial Unicode MS"/>
        </w:rPr>
      </w:pPr>
      <w:r w:rsidRPr="00597673">
        <w:t xml:space="preserve">Настоящото предложение е изменение на Директивата ИППО II. Следователно избраният инструмент е директива за изменение, тъй като не могат да се използват алтернативни средства — законодателни или оперативни — за постигане на целите на настоящото предложение. </w:t>
      </w:r>
    </w:p>
    <w:p w14:paraId="5BB09F0D" w14:textId="77777777" w:rsidR="00AC2BE5" w:rsidRPr="00597673" w:rsidRDefault="00AC2BE5" w:rsidP="00D00B5B">
      <w:pPr>
        <w:pStyle w:val="ManualHeading1"/>
      </w:pPr>
      <w:r w:rsidRPr="00597673">
        <w:t>3.</w:t>
      </w:r>
      <w:r w:rsidRPr="00597673">
        <w:tab/>
        <w:t>РЕЗУЛТАТИ ОТ ПОСЛЕДВАЩИТЕ ОЦЕНКИ, КОНСУЛТАЦИИТЕ СЪС ЗАИНТЕРЕСОВАНИТЕ СТРАНИ И ОЦЕНКИТЕ НА ВЪЗДЕЙСТВИЕТО</w:t>
      </w:r>
    </w:p>
    <w:p w14:paraId="21D2AE49"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Консултации със заинтересованите страни</w:t>
      </w:r>
    </w:p>
    <w:p w14:paraId="2A74E3F6" w14:textId="77777777" w:rsidR="00806052" w:rsidRPr="00597673" w:rsidRDefault="00806052" w:rsidP="00806052">
      <w:pPr>
        <w:pBdr>
          <w:top w:val="nil"/>
          <w:left w:val="nil"/>
          <w:bottom w:val="nil"/>
          <w:right w:val="nil"/>
          <w:between w:val="nil"/>
          <w:bar w:val="nil"/>
        </w:pBdr>
        <w:spacing w:before="0" w:after="240"/>
      </w:pPr>
      <w:r w:rsidRPr="00597673">
        <w:t>Комисията започна целева обществена консултация от 13 юни 2025 г. до 29 август 2025 г. с цел получаване на обратна информация относно евентуални преразглеждания на Директивата за ИППО ІІ. В рамките на консултацията бяха получени общо 112 становища от различни групи заинтересовани страни, включително стопански асоциации, дружества, потребителски организации, НПО, публични органи и граждани, представляващи 11 държави — членки на ЕС, и две държави извън ЕС. Заинтересованите страни посочиха, че гъвкавостта и диверсификацията на инвестициите, заедно със силно управление и по-голяма прозрачност, ще подобрят настоящата рамка.</w:t>
      </w:r>
    </w:p>
    <w:p w14:paraId="615A2C1B" w14:textId="77777777" w:rsidR="00D00B5B" w:rsidRPr="00597673" w:rsidRDefault="004F2264" w:rsidP="005D0C3B">
      <w:pPr>
        <w:rPr>
          <w:rFonts w:eastAsia="Arial Unicode MS"/>
          <w:u w:color="000000"/>
          <w:bdr w:val="nil"/>
        </w:rPr>
      </w:pPr>
      <w:r w:rsidRPr="00597673">
        <w:t xml:space="preserve">На 23 юни 2025 г. Комисията отправи покана за представяне на данни с краен срок 21 юли 2025 г., за да събере общи коментари, становища и мнения относно подобряването на съществуващата рамка за допълнително пенсионно осигуряване и да сподели информация за най-добри практики. В рамките на поканата бяха получени общо 47 становища, поместени в 35 индивидуални отговора, от различни организации, като например сдружения на предприятия и работодатели, НПО, организации на потребителите и граждани, от 12 държави членки на ЕС, и четири държави извън ЕС. Като цяло по-голямата част от участниците са съгласни, че са необходими подобрения на допълнителното пенсионно осигуряване, за да се разгърне пълният им потенциал в полза на гражданите и икономиката на ЕС. </w:t>
      </w:r>
    </w:p>
    <w:p w14:paraId="5B5AFC8C" w14:textId="77777777" w:rsidR="00AC2BE5" w:rsidRPr="00597673" w:rsidRDefault="00D00B5B" w:rsidP="00D00B5B">
      <w:pPr>
        <w:pStyle w:val="ManualHeading2"/>
        <w:rPr>
          <w:rFonts w:eastAsia="Arial Unicode MS"/>
          <w:u w:color="000000"/>
          <w:bdr w:val="nil"/>
        </w:rPr>
      </w:pPr>
      <w:r w:rsidRPr="00597673">
        <w:rPr>
          <w:u w:color="000000"/>
          <w:bdr w:val="nil"/>
        </w:rPr>
        <w:t>•</w:t>
      </w:r>
      <w:r w:rsidRPr="00597673">
        <w:tab/>
      </w:r>
      <w:r w:rsidRPr="00597673">
        <w:rPr>
          <w:u w:color="000000"/>
          <w:bdr w:val="nil"/>
        </w:rPr>
        <w:t>Събиране и използване на експертни становища</w:t>
      </w:r>
    </w:p>
    <w:p w14:paraId="4C97608C" w14:textId="77777777" w:rsidR="00EF1EA2" w:rsidRPr="00597673" w:rsidRDefault="0097090D" w:rsidP="001F1B99">
      <w:pPr>
        <w:pBdr>
          <w:top w:val="nil"/>
          <w:left w:val="nil"/>
          <w:bottom w:val="nil"/>
          <w:right w:val="nil"/>
          <w:between w:val="nil"/>
          <w:bar w:val="nil"/>
        </w:pBdr>
        <w:spacing w:before="0" w:after="240"/>
        <w:rPr>
          <w:highlight w:val="yellow"/>
        </w:rPr>
      </w:pPr>
      <w:r w:rsidRPr="00597673">
        <w:t>На 28 септември 2023 г. ЕОЗППО предостави техническо становище за прегледа на Директивата ИППО II</w:t>
      </w:r>
      <w:r w:rsidRPr="00597673">
        <w:rPr>
          <w:rStyle w:val="FootnoteReference"/>
          <w:rFonts w:eastAsia="Arial Unicode MS"/>
        </w:rPr>
        <w:footnoteReference w:id="19"/>
      </w:r>
      <w:r w:rsidRPr="00597673">
        <w:t>. Той препоръча i) актуализиране на нормативната уредба на ИППО в отговор на прехода от пенсионни схеми с предварително определен размер на пенсията към такива, при които плащанията са в зависимост от постигнатата доходност, и на социално-екологичните предизвикателства; ii) повишаване на прозрачността на разходите, устойчивостта на инвестициите и правилното регулиране на схемите с предварително определен размер на пенсията; и iii) подобряване на целесъобразността на изискванията.</w:t>
      </w:r>
    </w:p>
    <w:p w14:paraId="665FC4F5" w14:textId="77777777" w:rsidR="001F1B99" w:rsidRPr="00597673" w:rsidRDefault="001F1B99" w:rsidP="001F1B99">
      <w:pPr>
        <w:pBdr>
          <w:top w:val="nil"/>
          <w:left w:val="nil"/>
          <w:bottom w:val="nil"/>
          <w:right w:val="nil"/>
          <w:between w:val="nil"/>
          <w:bar w:val="nil"/>
        </w:pBdr>
        <w:spacing w:before="0" w:after="240"/>
      </w:pPr>
      <w:r w:rsidRPr="00597673">
        <w:t>На 16 юни 2025 г. Комисията беше домакин на форум на заинтересованите страни</w:t>
      </w:r>
      <w:r w:rsidRPr="00597673">
        <w:rPr>
          <w:rStyle w:val="FootnoteReference"/>
          <w:rFonts w:eastAsia="Arial Unicode MS"/>
        </w:rPr>
        <w:footnoteReference w:id="20"/>
      </w:r>
      <w:r w:rsidRPr="00597673">
        <w:t xml:space="preserve"> за проучване на нововъзникващите тенденции в пенсионното осигуряване в целия ЕС. На този форум бяха изтъкнати най-добрите практики от държавите членки и беше проправен пътят за споделяне на успешни стратегии в целия ЕС. При проверката на действителното състояние бяха представени успешни примери в областта на пенсионното осигуряване по втория и третия стълб и беше проучено как най-добрите практики могат да се използват като насоки за по-нататъшни реформи. По време на обсъжданията беше получена обратна информация от всички заинтересовани страни, работещи в областта на предоставянето на пенсионни продукти. Участниците се съгласиха, че е необходимо преразглеждане на Директивата ИППО II, за да се подобрят резултатите за пенсионерите.</w:t>
      </w:r>
    </w:p>
    <w:p w14:paraId="0313CCA4" w14:textId="77777777" w:rsidR="00F15079" w:rsidRPr="00597673" w:rsidRDefault="00AF47E8" w:rsidP="005D0C3B">
      <w:r w:rsidRPr="00597673">
        <w:t>На 5 септември 2025 г. ЕОЗППО представи поисканата от Комисията техническа информация</w:t>
      </w:r>
      <w:r w:rsidRPr="00597673">
        <w:rPr>
          <w:rStyle w:val="FootnoteReference"/>
          <w:rFonts w:eastAsia="Arial Unicode MS"/>
        </w:rPr>
        <w:footnoteReference w:id="21"/>
      </w:r>
      <w:r w:rsidRPr="00597673">
        <w:t xml:space="preserve"> в подкрепа на разработването на допълнително пенсионно осигуряване и за подобряване на системата за допълнително пенсионно осигуряване. ЕОЗППО се застъпи за i) по-строг надзор, ii) използване на подход, основан в по-голяма степен на риска, за насърчаване на възможностите за инвестиции в алтернативни активи и iii) изясняване на обхвата на Директивата ИППО II с цел допълнително разкриване на ползите от дългосрочните спестявания. </w:t>
      </w:r>
    </w:p>
    <w:p w14:paraId="299E56B1"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Оценка на въздействието</w:t>
      </w:r>
    </w:p>
    <w:p w14:paraId="3A709719" w14:textId="77777777" w:rsidR="00D75B99" w:rsidRPr="00597673" w:rsidRDefault="00053262" w:rsidP="00D75B99">
      <w:pPr>
        <w:pBdr>
          <w:top w:val="nil"/>
          <w:left w:val="nil"/>
          <w:bottom w:val="nil"/>
          <w:right w:val="nil"/>
          <w:between w:val="nil"/>
          <w:bar w:val="nil"/>
        </w:pBdr>
        <w:spacing w:before="0" w:after="240"/>
      </w:pPr>
      <w:r w:rsidRPr="00597673">
        <w:t xml:space="preserve">Предложението е подкрепено от работен документ на службите на Комисията, в който се оценява въздействието на предложените изменения. </w:t>
      </w:r>
    </w:p>
    <w:p w14:paraId="0C617FEA" w14:textId="77777777" w:rsidR="00AC2BE5" w:rsidRPr="00597673" w:rsidRDefault="00053262" w:rsidP="00053262">
      <w:pPr>
        <w:pBdr>
          <w:top w:val="nil"/>
          <w:left w:val="nil"/>
          <w:bottom w:val="nil"/>
          <w:right w:val="nil"/>
          <w:between w:val="nil"/>
          <w:bar w:val="nil"/>
        </w:pBdr>
        <w:spacing w:before="0" w:after="240"/>
      </w:pPr>
      <w:r w:rsidRPr="00597673">
        <w:t>В работния документ на службите на Комисията се разглеждат четири варианта на предложената директива за изменение:</w:t>
      </w:r>
    </w:p>
    <w:p w14:paraId="1374E1B8" w14:textId="77777777" w:rsidR="005C177F" w:rsidRPr="00597673" w:rsidRDefault="00395530" w:rsidP="00395530">
      <w:pPr>
        <w:pBdr>
          <w:top w:val="nil"/>
          <w:left w:val="nil"/>
          <w:bottom w:val="nil"/>
          <w:right w:val="nil"/>
          <w:between w:val="nil"/>
          <w:bar w:val="nil"/>
        </w:pBdr>
        <w:spacing w:before="0" w:after="240"/>
        <w:rPr>
          <w:rFonts w:eastAsia="Arial Unicode MS"/>
        </w:rPr>
      </w:pPr>
      <w:r w:rsidRPr="00597673">
        <w:rPr>
          <w:b/>
        </w:rPr>
        <w:t>Вариант 1</w:t>
      </w:r>
      <w:r w:rsidRPr="00597673">
        <w:t xml:space="preserve"> запазва настоящата уредба на Директивата ИППО II без изменения и разчита на бавен, органичен растеж с цел разширяване и подобрения с течение на времето. Този вариант бе отхвърлен поради необходимостта от засилване на Закона за схемите за допълнително пенсионно осигуряване на гражданите на ЕС, както е описано по-горе.</w:t>
      </w:r>
    </w:p>
    <w:p w14:paraId="0603FBAE" w14:textId="77777777" w:rsidR="00E04C24" w:rsidRPr="00597673" w:rsidRDefault="000C14FD" w:rsidP="00395530">
      <w:pPr>
        <w:pBdr>
          <w:top w:val="nil"/>
          <w:left w:val="nil"/>
          <w:bottom w:val="nil"/>
          <w:right w:val="nil"/>
          <w:between w:val="nil"/>
          <w:bar w:val="nil"/>
        </w:pBdr>
        <w:spacing w:before="0" w:after="240"/>
        <w:rPr>
          <w:rStyle w:val="normaltextrun"/>
          <w:rFonts w:eastAsia="Times New Roman"/>
        </w:rPr>
      </w:pPr>
      <w:r w:rsidRPr="00597673">
        <w:rPr>
          <w:rStyle w:val="normaltextrun"/>
          <w:b/>
        </w:rPr>
        <w:t>Вариант 2</w:t>
      </w:r>
      <w:r w:rsidRPr="00597673">
        <w:rPr>
          <w:rStyle w:val="normaltextrun"/>
        </w:rPr>
        <w:t xml:space="preserve"> изяснява принципа на консервативния инвеститор. Вследствие на това фокусът на инвестиционните политики на ИППО се насочва от опростенческото консервативно разпределение на активите, при което се пренебрегва възвръщаемостта на целите на пенсионните фондове, към по-балансирани инвестиционни стратегии за риска и възвръщаемостта, които: i) преследват дългосрочна стойност за членовете на пенсионните схеми чрез диверсифициране на рисковете, включително между класовете активи; и ii) се ръководят от доброто управление и знанията и способността за управление на поетите рискове. Следва да се подчертае, че постигането на подходящ мащаб повишава способността на ИППО да се диверсифицират ефективно, да управляват рисковете цялостно и да имат достъп до по-широк набор от инвестиционни възможности, като същевременно поддържат добро управление и стандарти за управление на риска.</w:t>
      </w:r>
    </w:p>
    <w:p w14:paraId="61DAFFA7" w14:textId="77777777" w:rsidR="00B45C1F" w:rsidRPr="00597673" w:rsidRDefault="00B45C1F" w:rsidP="00395530">
      <w:pPr>
        <w:pBdr>
          <w:top w:val="nil"/>
          <w:left w:val="nil"/>
          <w:bottom w:val="nil"/>
          <w:right w:val="nil"/>
          <w:between w:val="nil"/>
          <w:bar w:val="nil"/>
        </w:pBdr>
        <w:spacing w:before="0" w:after="240"/>
        <w:rPr>
          <w:rFonts w:eastAsia="Arial Unicode MS"/>
        </w:rPr>
      </w:pPr>
      <w:r w:rsidRPr="00597673">
        <w:rPr>
          <w:b/>
        </w:rPr>
        <w:t>Вариант 3</w:t>
      </w:r>
      <w:r w:rsidRPr="00597673">
        <w:t xml:space="preserve"> предвижда изменение на Директивата ИППО II с цел да се засилят надзорът, стандартите за управление и прозрачността, като същевременно се разчита предимно на надзорния диалог и моралното убеждаване, за да се насърчат подобренията в мащаба, ефективността и качеството на схемата. Тук НКО използват надзорни мерки и извършват редовни тематични прегледи на възлови за ефективността области, като например инвестиционни резултати, ефективност на разходите, прилагане на индексация и ограничаване на изплащанията. При прегледите се оценява и как инвестиционните стратегии отчитат задълженията на пенсионните фондове, както и компетентността на попечителите или управителните съвети, упражняващи надзор върху схемите. След като плановете за отстраняване на недостатъците трябва да бъдат договорени и по тях да бъдат предприети действия, този процес би могъл – когато е необходимо – да включва разглеждане на потенциални средства за разрастване. Правилата за прехвърляне се опростяват, за да се улесни прилагането на ИППО II, в частност в държавите членки, в които секторът на професионалното пенсионно осигуряване е недостатъчно развит. </w:t>
      </w:r>
    </w:p>
    <w:p w14:paraId="298E8169" w14:textId="77777777" w:rsidR="00627AC2" w:rsidRPr="00597673" w:rsidRDefault="00627AC2" w:rsidP="00627AC2">
      <w:pPr>
        <w:spacing w:before="0" w:after="160" w:line="259" w:lineRule="auto"/>
      </w:pPr>
      <w:r w:rsidRPr="00597673">
        <w:t xml:space="preserve">Освен моралното въздействие, този вариант отразява основните елементи от техническите препоръки на ЕОЗППО с цел постепенно подобряване на инвестиционните практики, прозрачността и управлението във всички схеми за допълнително пенсионно осигуряване. Акцентът се поставя върху по-стриктни изисквания за управление на риска, подобряване на оповестяването на разходите и възвръщаемостта и насърчаване на по-устойчиви и балансирани инвестиционни стратегии. </w:t>
      </w:r>
      <w:r w:rsidRPr="00597673">
        <w:rPr>
          <w:rStyle w:val="normaltextrun"/>
        </w:rPr>
        <w:t>С измененията се цели и да се преодолеят структурните пречки, които ограничават ефективността и мащаба, сред които са разпокъсаността, ограниченото сътрудничество между схемите и различният надзорен капацитет.</w:t>
      </w:r>
      <w:r w:rsidRPr="00597673">
        <w:t xml:space="preserve"> Тези мерки не трансформират радикално системата в краткосрочен план, но постепенно ще подобрят резултатността, устойчивостта и ефективността на ИППО. С течение на времето уредбата ще подкрепя по-ефективните трансгранични операции, по-добрите инвестиционни резултати и по-високата защита за членовете и бенефициерите.</w:t>
      </w:r>
    </w:p>
    <w:p w14:paraId="5B076785" w14:textId="77777777" w:rsidR="004F052E" w:rsidRPr="00597673" w:rsidRDefault="008D702C" w:rsidP="004F052E">
      <w:pPr>
        <w:spacing w:line="259" w:lineRule="auto"/>
        <w:rPr>
          <w:rStyle w:val="normaltextrun"/>
          <w:rFonts w:eastAsia="Times New Roman"/>
        </w:rPr>
      </w:pPr>
      <w:r w:rsidRPr="00597673">
        <w:t xml:space="preserve">При </w:t>
      </w:r>
      <w:r w:rsidRPr="00597673">
        <w:rPr>
          <w:b/>
        </w:rPr>
        <w:t>вариант 4</w:t>
      </w:r>
      <w:r w:rsidRPr="00597673">
        <w:t xml:space="preserve"> </w:t>
      </w:r>
      <w:r w:rsidRPr="00597673">
        <w:rPr>
          <w:rStyle w:val="normaltextrun"/>
        </w:rPr>
        <w:t>се запазват всички елементи на вариант 3, в т.ч. тематичните прегледи, стимулиращите подходи, подобрените надзорни практики и изпълнението на повечето препоръки на ЕОЗППО. Той обаче отива по-далеч, като въвежда задължителни регулаторни изисквания и специфични надзорни интервенции за преодоляване на трайната структурна неефективност. Една от ключовите мерки е установяването на задължителен минимален ефективен мащаб за ИППО. Тук спада предоставянето на образци за схеми за ликвидация или сливане при незадоволителен праг на ефективност и резултатност. Евентуална допълнителна мярка е задължителното назначаване на попечители на схеми, ако съществуващите свободни длъжности не се запълнят своевременно или ако заемащите съответните длъжности нямат необходимите умения за ефективно стратегическо управление на инвестиционните портфейли. Този подход обаче въвежда значителни изисквания по отношение на надзорния капацитет и може да изложи надзорните органи на рискове, свързани с отговорността, ако пенсионноосигурителните дружества поискат съдебен контрол. Освен това, установяването на задължителен минимален ефективен мащаб за ИППО изисква значително време и ресурси, докато оптималният мащаб все още може да се различава в отделните ИППО. Подобна мярка противоречи на пазарно ориентирания подход, тъй като би наложила консолидация „отгоре-надолу“, която не е съвместима с настоящите структури за управление на ИППО</w:t>
      </w:r>
      <w:r w:rsidRPr="00597673">
        <w:rPr>
          <w:rStyle w:val="FootnoteReference"/>
          <w:rFonts w:eastAsia="Arial Unicode MS"/>
        </w:rPr>
        <w:footnoteReference w:id="22"/>
      </w:r>
      <w:r w:rsidRPr="00597673">
        <w:rPr>
          <w:rStyle w:val="normaltextrun"/>
        </w:rPr>
        <w:t>.</w:t>
      </w:r>
      <w:r w:rsidRPr="00597673">
        <w:t xml:space="preserve"> </w:t>
      </w:r>
    </w:p>
    <w:p w14:paraId="461B3301" w14:textId="77777777" w:rsidR="00627AC2" w:rsidRPr="00597673" w:rsidRDefault="008337FD" w:rsidP="005D0C3B">
      <w:pPr>
        <w:spacing w:line="259" w:lineRule="auto"/>
        <w:rPr>
          <w:rFonts w:eastAsia="Arial Unicode MS"/>
        </w:rPr>
      </w:pPr>
      <w:r w:rsidRPr="00597673">
        <w:rPr>
          <w:rStyle w:val="normaltextrun"/>
          <w:b/>
          <w:u w:val="single"/>
        </w:rPr>
        <w:t xml:space="preserve">Вариант 3 е избраният вариант. </w:t>
      </w:r>
    </w:p>
    <w:p w14:paraId="1C809777"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Основни права</w:t>
      </w:r>
    </w:p>
    <w:p w14:paraId="0C3F6B81" w14:textId="77777777" w:rsidR="00F15079" w:rsidRPr="00597673" w:rsidRDefault="004701C1" w:rsidP="00D00B5B">
      <w:r w:rsidRPr="00597673">
        <w:t>Предложението зачита основните права и съблюдава принципите, залегнали в Хартата на основните права на Европейския съюз, и по-специално правото на защита на личните данни, правото на собственост, свободата на стопанска инициатива и принципа на равенство между мъжете и жените. То допринася за постигането на целите на член 38 от Хартата, в който се предвижда високо равнище на защита на потребителите.</w:t>
      </w:r>
    </w:p>
    <w:p w14:paraId="780BDAF9" w14:textId="77777777" w:rsidR="00AC2BE5" w:rsidRPr="00597673" w:rsidRDefault="00AC2BE5">
      <w:pPr>
        <w:pStyle w:val="ManualHeading1"/>
      </w:pPr>
      <w:r w:rsidRPr="00597673">
        <w:t>4.</w:t>
      </w:r>
      <w:r w:rsidRPr="00597673">
        <w:tab/>
        <w:t>ОТРАЖЕНИЕ ВЪРХУ БЮДЖЕТА</w:t>
      </w:r>
    </w:p>
    <w:p w14:paraId="79DC7B9D" w14:textId="77777777" w:rsidR="004D2251" w:rsidRPr="00597673" w:rsidRDefault="00CE1236" w:rsidP="00D00B5B">
      <w:r w:rsidRPr="00597673">
        <w:t>Настоящото предложение няма съществено отражение върху бюджета на Съюза. ЕОЗППО следва да може да включи допълнителните задачи, свързани с координацията и сближаването на надзорните практики, включително създаването на платформи за сътрудничество, в рамките на съществуващите си ресурси.</w:t>
      </w:r>
    </w:p>
    <w:p w14:paraId="1A7F2B4D" w14:textId="77777777" w:rsidR="00AC2BE5" w:rsidRPr="00597673" w:rsidRDefault="00AC2BE5">
      <w:pPr>
        <w:pStyle w:val="ManualHeading1"/>
      </w:pPr>
      <w:r w:rsidRPr="00597673">
        <w:t>5.</w:t>
      </w:r>
      <w:r w:rsidRPr="00597673">
        <w:tab/>
        <w:t>ДРУГИ ЕЛЕМЕНТИ</w:t>
      </w:r>
    </w:p>
    <w:p w14:paraId="1BACE6CB"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Планове за изпълнение и механизъм за мониторинг, оценка и докладване</w:t>
      </w:r>
    </w:p>
    <w:p w14:paraId="531EA79A" w14:textId="77777777" w:rsidR="00AC2BE5" w:rsidRPr="00597673" w:rsidRDefault="00F1507A">
      <w:pPr>
        <w:pBdr>
          <w:top w:val="nil"/>
          <w:left w:val="nil"/>
          <w:bottom w:val="nil"/>
          <w:right w:val="nil"/>
          <w:between w:val="nil"/>
          <w:bar w:val="nil"/>
        </w:pBdr>
        <w:spacing w:before="0" w:after="240"/>
        <w:rPr>
          <w:rFonts w:eastAsia="Arial Unicode MS"/>
        </w:rPr>
      </w:pPr>
      <w:r w:rsidRPr="00597673">
        <w:t>От държавите членки ще се изисква да транспонират директивата в срок от една година от датата на влизане в сила на измененията на Директивата ИППО II. След това държавите членки ще съобщят на Комисията текстовете на основните приети разпоредби от националното законодателство.</w:t>
      </w:r>
      <w:r w:rsidRPr="00597673">
        <w:rPr>
          <w:highlight w:val="yellow"/>
        </w:rPr>
        <w:t xml:space="preserve"> </w:t>
      </w:r>
    </w:p>
    <w:p w14:paraId="5A109F14" w14:textId="77777777" w:rsidR="00AC2BE5" w:rsidRPr="00597673" w:rsidRDefault="00AC2BE5">
      <w:pPr>
        <w:pStyle w:val="ManualHeading2"/>
        <w:rPr>
          <w:rFonts w:eastAsia="Arial Unicode MS"/>
          <w:u w:color="000000"/>
          <w:bdr w:val="nil"/>
        </w:rPr>
      </w:pPr>
      <w:r w:rsidRPr="00597673">
        <w:rPr>
          <w:u w:color="000000"/>
          <w:bdr w:val="nil"/>
        </w:rPr>
        <w:t>•</w:t>
      </w:r>
      <w:r w:rsidRPr="00597673">
        <w:tab/>
      </w:r>
      <w:r w:rsidRPr="00597673">
        <w:rPr>
          <w:u w:color="000000"/>
          <w:bdr w:val="nil"/>
        </w:rPr>
        <w:t xml:space="preserve">Обяснителни документи </w:t>
      </w:r>
    </w:p>
    <w:p w14:paraId="4AB39DD4" w14:textId="77777777" w:rsidR="004D2251" w:rsidRPr="00597673" w:rsidRDefault="0010629D" w:rsidP="005D0C3B">
      <w:r w:rsidRPr="00597673">
        <w:t>Предложената директива ще внесе конкретни изменения в съществуваща директива. Поради това държавите членки следва или да съобщят на Комисията текста на съответните изменения на своите национални разпоредби, или, ако считат, че такива изменения не са необходими, да обяснят кои конкретни разпоредби на националното право вече прилагат измененията, предвидени в предложението.</w:t>
      </w:r>
    </w:p>
    <w:p w14:paraId="67BAA681" w14:textId="77777777" w:rsidR="00AC2BE5" w:rsidRPr="00597673" w:rsidRDefault="4F3BDE54">
      <w:pPr>
        <w:pStyle w:val="ManualHeading2"/>
        <w:rPr>
          <w:rFonts w:eastAsia="Arial Unicode MS"/>
          <w:u w:color="000000"/>
          <w:bdr w:val="nil"/>
        </w:rPr>
      </w:pPr>
      <w:r w:rsidRPr="00597673">
        <w:rPr>
          <w:bdr w:val="nil"/>
        </w:rPr>
        <w:t>•</w:t>
      </w:r>
      <w:r w:rsidRPr="00597673">
        <w:tab/>
      </w:r>
      <w:r w:rsidRPr="00597673">
        <w:rPr>
          <w:bdr w:val="nil"/>
        </w:rPr>
        <w:t>Подробно разяснение на конкретните разпоредби на предложението</w:t>
      </w:r>
    </w:p>
    <w:p w14:paraId="7E92908E" w14:textId="77777777" w:rsidR="006D4ACE" w:rsidRPr="00597673" w:rsidRDefault="007178AA" w:rsidP="005D0C3B">
      <w:r w:rsidRPr="00597673">
        <w:rPr>
          <w:b/>
        </w:rPr>
        <w:t>С член 1 от предложението се изменя Директива (ЕС) 2016/2341</w:t>
      </w:r>
      <w:r w:rsidRPr="00597673">
        <w:t>. Конкретните разпоредби, които се изменят, са следните:</w:t>
      </w:r>
    </w:p>
    <w:p w14:paraId="57C094CA" w14:textId="77777777" w:rsidR="00D7633E" w:rsidRPr="00597673" w:rsidRDefault="00D7633E" w:rsidP="005D0C3B">
      <w:pPr>
        <w:pStyle w:val="ListDash"/>
      </w:pPr>
      <w:r w:rsidRPr="00597673">
        <w:t>Член 4 позволява на държавите членки да прилагат Директива (ЕС) 2016/2341 по отношение на финансирани институции, предоставящи пенсионни обезщетения, които иначе не са обхванати от пруденциалното законодателство на Съюза.</w:t>
      </w:r>
    </w:p>
    <w:p w14:paraId="1218F74E" w14:textId="77777777" w:rsidR="00243A55" w:rsidRPr="00597673" w:rsidRDefault="00243A55">
      <w:pPr>
        <w:pStyle w:val="ListDash"/>
      </w:pPr>
      <w:r w:rsidRPr="00597673">
        <w:t>В член 9 се изисква ИППО да преминат през процедура за лицензиране от компетентния орган, която включва пруденциална оценка и изготвяне на бизнес план.</w:t>
      </w:r>
    </w:p>
    <w:p w14:paraId="62D430B8" w14:textId="77777777" w:rsidR="001567CF" w:rsidRPr="00597673" w:rsidRDefault="001567CF" w:rsidP="005D0C3B">
      <w:pPr>
        <w:pStyle w:val="ListDash"/>
      </w:pPr>
      <w:r w:rsidRPr="00597673">
        <w:t>Член 9а гарантира, че ИППО имат право да управляват различни схеми за пенсионно осигуряване, включително такива с различни инвестиционни политики, и да приемат спонсорство от множество осигурителни дружества в рамките на една и съща пенсионна схема.</w:t>
      </w:r>
    </w:p>
    <w:p w14:paraId="015DE454" w14:textId="77777777" w:rsidR="0076038C" w:rsidRPr="00597673" w:rsidRDefault="00B84FC3" w:rsidP="005D0C3B">
      <w:pPr>
        <w:pStyle w:val="ListDash"/>
      </w:pPr>
      <w:r w:rsidRPr="00597673">
        <w:t>Членове 11 и 11а рационализират трансграничните процедури за ИППО чрез въвеждане на по-ясни срокове, подобрена координация между компетентните органи, както и опростен процес на уведомяване за разширяване на съществуващите трансгранични дейности в рамките на една и съща приемаща държава членка.</w:t>
      </w:r>
    </w:p>
    <w:p w14:paraId="0A0D2A0F" w14:textId="77777777" w:rsidR="00B84FC3" w:rsidRPr="00597673" w:rsidRDefault="00B84FC3" w:rsidP="005D0C3B">
      <w:pPr>
        <w:pStyle w:val="ListDash"/>
      </w:pPr>
      <w:r w:rsidRPr="00597673">
        <w:t>С член 12 се опростяват правилата, уреждащи прехвърлянето на пенсионни схеми, като се намаляват ненужните пречки пред консолидирането и мащаба и същевременно се гарантира адекватна защита на членовете и бенефициерите.</w:t>
      </w:r>
    </w:p>
    <w:p w14:paraId="36133620" w14:textId="77777777" w:rsidR="00121564" w:rsidRPr="00597673" w:rsidRDefault="00121564">
      <w:pPr>
        <w:pStyle w:val="ListDash"/>
      </w:pPr>
      <w:r w:rsidRPr="00597673">
        <w:t>В член 14 се предвижда, че компетентните органи имат правомощието да разрешават недостатъчно финансиране за ограничен период, определен съгласно националното право, който във всеки случай не следва да надвишава десет години, и се премахват допълнителните изисквания за трансграничните ИППО.</w:t>
      </w:r>
    </w:p>
    <w:p w14:paraId="1A104334" w14:textId="77777777" w:rsidR="001567CF" w:rsidRPr="00597673" w:rsidRDefault="001567CF" w:rsidP="005D0C3B">
      <w:pPr>
        <w:pStyle w:val="ListDash"/>
      </w:pPr>
      <w:r w:rsidRPr="00597673">
        <w:t>С член 17 на Комисията се предоставя правомощието да приеме делегиран акт за изменение на броя и процентните стойности на изискваната граница на платежоспособност с цел адаптиране към развитието на пазара.</w:t>
      </w:r>
    </w:p>
    <w:p w14:paraId="7CEEEE50" w14:textId="77777777" w:rsidR="009F606D" w:rsidRPr="00597673" w:rsidRDefault="009F606D" w:rsidP="005D0C3B">
      <w:pPr>
        <w:pStyle w:val="ListDash"/>
      </w:pPr>
      <w:r w:rsidRPr="00597673">
        <w:t xml:space="preserve">В член 18а се изисква ИППО, които не подлежат на основани на риска регулаторни капиталови изисквания и които поемат биометрични рискове или предоставят гаранции, да извършват стрес тест най-малко на всеки три години, като оценяват способността си да изпълняват задълженията си при неблагоприятни пазарни и демографски сценарии. Компетентните органи могат да изискват по-често тестване при установяване на уязвимости. Разпоредбата определя стандартни кризисни сценарии и позволява на държавите членки да налагат по-дълги прогнозни хоризонти или по-строги допускания. В този член се предвижда също така, че когато резултатите от стрес тестовете показват недостатъчни активи или налични граници на платежоспособност, ИППО представят план за сближаване, в който се посочват корективни мерки. В крайна сметка компетентните органи могат да изискват по-високи граници на платежоспособност, ако планът не е надежден или не е представен. </w:t>
      </w:r>
    </w:p>
    <w:p w14:paraId="75397DC0" w14:textId="77777777" w:rsidR="004A226F" w:rsidRPr="00597673" w:rsidRDefault="004A226F" w:rsidP="005D0C3B">
      <w:pPr>
        <w:pStyle w:val="ListDash"/>
      </w:pPr>
      <w:r w:rsidRPr="00597673">
        <w:t>С член 19 се въвежда принцип на консервативния инвеститор, основан в по-голяма степен на принципи, и се ограничава възможността за определяне на по-подробни правила до схеми, при които членовете и бенефициерите носят инвестиционния риск, без възможност за ограничаване на видовете активи, в които дадена ИППО може да инвестира. Това не засяга възможността компетентните органи да изискват ограничения, когато рисковете се поемат от членовете и бенефициерите и доколкото тези ограничения не представляват пълни забрани.</w:t>
      </w:r>
    </w:p>
    <w:p w14:paraId="399A3758" w14:textId="77777777" w:rsidR="006849D6" w:rsidRPr="00597673" w:rsidRDefault="006849D6" w:rsidP="005D0C3B">
      <w:pPr>
        <w:pStyle w:val="ListDash"/>
      </w:pPr>
      <w:r w:rsidRPr="00597673">
        <w:t>В член 21 се предвижда, че системата на управление трябва да включва ефективен механизъм за управление на конфликти на интереси и да включва функция за съблюдаване на нормативните изисквания.</w:t>
      </w:r>
    </w:p>
    <w:p w14:paraId="6C4A09E7" w14:textId="77777777" w:rsidR="0031335F" w:rsidRPr="00597673" w:rsidRDefault="0031335F" w:rsidP="005D0C3B">
      <w:pPr>
        <w:pStyle w:val="ListDash"/>
        <w:rPr>
          <w:szCs w:val="24"/>
        </w:rPr>
      </w:pPr>
      <w:r w:rsidRPr="00597673">
        <w:t>С член 22 се засилват изискванията за квалификация и надеждност. Запазва се параметърът, че взети за всички членове на административния, управителния или надзорния орган, квалификацията, знанията и опитът им продължават да се приемат за достатъчни за ефективното изпълнение на задълженията им. Повишават се обаче изискванията за лицата, които действително ръководят ИППО: всеки ще трябва индивидуално да отговаря на необходимите стандарти за професионална пригодност и благонадеждност.</w:t>
      </w:r>
    </w:p>
    <w:p w14:paraId="6F6AC213" w14:textId="77777777" w:rsidR="00B97833" w:rsidRPr="00597673" w:rsidRDefault="00B97833" w:rsidP="005D0C3B">
      <w:pPr>
        <w:pStyle w:val="ListDash"/>
        <w:rPr>
          <w:szCs w:val="24"/>
        </w:rPr>
      </w:pPr>
      <w:r w:rsidRPr="00597673">
        <w:t>В член 26 се предвижда, че констатациите и препоръките на вътрешния одит се докладват на административния, управителния или надзорния орган, който определя подходящите действия по всяка констатация и препоръка и отговаря за ефективното им изпълнение.</w:t>
      </w:r>
    </w:p>
    <w:p w14:paraId="6DA4471D" w14:textId="71DF9AD6" w:rsidR="00056B60" w:rsidRPr="00597673" w:rsidRDefault="00056B60" w:rsidP="005D0C3B">
      <w:pPr>
        <w:pStyle w:val="ListDash"/>
        <w:rPr>
          <w:szCs w:val="24"/>
        </w:rPr>
      </w:pPr>
      <w:r w:rsidRPr="00597673">
        <w:t xml:space="preserve">С член 28 ИППО се задължават да </w:t>
      </w:r>
      <w:r w:rsidR="00597673" w:rsidRPr="00597673">
        <w:t>въведат</w:t>
      </w:r>
      <w:r w:rsidRPr="00597673">
        <w:t xml:space="preserve"> писмена политика за собствена оценка на риска, съдържаща процесите и процедурите за извършване на оценката, честотата на извършването ѝ и оценъчните методи.</w:t>
      </w:r>
    </w:p>
    <w:p w14:paraId="5249193F" w14:textId="77777777" w:rsidR="009C74DE" w:rsidRPr="00597673" w:rsidRDefault="009C74DE" w:rsidP="005D0C3B">
      <w:pPr>
        <w:pStyle w:val="ListDash"/>
        <w:rPr>
          <w:szCs w:val="24"/>
        </w:rPr>
      </w:pPr>
      <w:r w:rsidRPr="00597673">
        <w:t>В член 30 се изисква в декларацията за принципите на инвестиционната политика ясно да се определят инвестиционните цели, съответстващи на целите за пенсионния доход на всяка схема, и да се определят допустими отклонения от разпределението на активите и целите за ефективност в съответствие с основните принципи на Регламента на ОИСР относно частното пенсионно осигуряване и насоките за неговото прилагане.</w:t>
      </w:r>
    </w:p>
    <w:p w14:paraId="595A6D83" w14:textId="3D8137F3" w:rsidR="00417462" w:rsidRPr="00597673" w:rsidRDefault="00417462" w:rsidP="005D0C3B">
      <w:pPr>
        <w:pStyle w:val="ListDash"/>
      </w:pPr>
      <w:r w:rsidRPr="00597673">
        <w:t>С член 33 се гарантира, че в случай на пенсионна схема, при която членовете и бенефициерите носят изцяло инвестиционния риск, се засилват съхранението на активите и задълженията за надзор.</w:t>
      </w:r>
    </w:p>
    <w:p w14:paraId="7D281C71" w14:textId="77777777" w:rsidR="00527492" w:rsidRPr="00597673" w:rsidRDefault="00E77BD8" w:rsidP="005D0C3B">
      <w:pPr>
        <w:pStyle w:val="ListDash"/>
      </w:pPr>
      <w:r w:rsidRPr="00597673">
        <w:t>Членове 36—44 укрепват информацията за членовете и бенефициерите по време на етапите на натрупване и изплащане. По-специално в член 37а от ИППО се изисква да споделят съответната информация със системите за проследяване на пенсиите, за да се повиши прозрачността и да се улесни осведомеността на членовете и бенефициерите относно техните права.</w:t>
      </w:r>
    </w:p>
    <w:p w14:paraId="06D823CC" w14:textId="77777777" w:rsidR="00E77BD8" w:rsidRPr="00597673" w:rsidRDefault="00E77BD8" w:rsidP="005D0C3B">
      <w:pPr>
        <w:pStyle w:val="ListDash"/>
      </w:pPr>
      <w:r w:rsidRPr="00597673">
        <w:t>С член 44а се въвежда изрично задължение за полагане на грижа за ИППО, като от тях се изисква да действат честно, справедливо и професионално в интерес на членовете и бенефициерите.</w:t>
      </w:r>
    </w:p>
    <w:p w14:paraId="2CE20F9E" w14:textId="77777777" w:rsidR="00E750B0" w:rsidRPr="00597673" w:rsidRDefault="00E750B0" w:rsidP="005D0C3B">
      <w:pPr>
        <w:pStyle w:val="ListDash"/>
        <w:rPr>
          <w:szCs w:val="24"/>
        </w:rPr>
      </w:pPr>
      <w:r w:rsidRPr="00597673">
        <w:t>В членове 44в и 44г от ИППО се изисква да установят ефективни процедури за разглеждане на жалби, а от държавите членки — да гарантират наличието на подходящи, независими и безпристрастни органи за решаване на спорове, включително при трансгранични случаи.</w:t>
      </w:r>
    </w:p>
    <w:p w14:paraId="777DF750" w14:textId="77777777" w:rsidR="00372D60" w:rsidRPr="00597673" w:rsidRDefault="006800C0" w:rsidP="005D0C3B">
      <w:pPr>
        <w:pStyle w:val="ListDash"/>
        <w:rPr>
          <w:szCs w:val="24"/>
        </w:rPr>
      </w:pPr>
      <w:r w:rsidRPr="00597673">
        <w:t>С членове 45—51 се засилва надзорът и се разширяват правомощията на компетентните органи. По-специално с член 49а се въвежда редовен надзорен диалог, насочен към насърчаване на стратегически размисъл относно дългосрочната адекватност, ефикасност и устойчивост на ИППО.</w:t>
      </w:r>
    </w:p>
    <w:p w14:paraId="3685ACE0" w14:textId="77777777" w:rsidR="002B0C12" w:rsidRPr="00597673" w:rsidRDefault="002B0C12" w:rsidP="005D0C3B">
      <w:pPr>
        <w:pStyle w:val="ListDash"/>
      </w:pPr>
      <w:r w:rsidRPr="00597673">
        <w:t>В членове 6, 7, 13, 16, 36, 47, 50 и 51 се признава, че в някои държави членки ИППО имат право да предоставят персонални пенсионни продукти, включително паневропейски персонален пенсионен продукт (ПЕПП), и се гарантира, че пруденциалната рамка отразява тази възможност за насърчаване на съгласуваността, стабилната организация и ефективния надзор във всички форми на пенсионно осигуряване.</w:t>
      </w:r>
    </w:p>
    <w:p w14:paraId="4145EE1C" w14:textId="77777777" w:rsidR="00675445" w:rsidRPr="00597673" w:rsidRDefault="002C1F73" w:rsidP="005D0C3B">
      <w:pPr>
        <w:pStyle w:val="ListDash"/>
        <w:rPr>
          <w:szCs w:val="24"/>
        </w:rPr>
      </w:pPr>
      <w:r w:rsidRPr="00597673">
        <w:t>Членове 19, 21, 23—26, 28, 47 и 49 се изменят, така че позоваванията на „размер, естество, мащаб и сложност“ да се заменят с „естество, мащаб и сложност“, тъй като „размер“ не е подходящ критерий за ИППО, чиито пруденциални и управленски изисквания следва да отразяват техния рисков профил, а не абсолютния им размер, в съответствие с принципа на надзор, основан на риска.</w:t>
      </w:r>
    </w:p>
    <w:p w14:paraId="32CC6EC1" w14:textId="77777777" w:rsidR="00DE3802" w:rsidRPr="00597673" w:rsidRDefault="00E750B0" w:rsidP="005D0C3B">
      <w:r w:rsidRPr="00597673">
        <w:t xml:space="preserve">Други разпоредби се изменят за актуализации и корекции. </w:t>
      </w:r>
    </w:p>
    <w:p w14:paraId="67C1BFFF" w14:textId="77777777" w:rsidR="00AC2BE5" w:rsidRPr="00597673" w:rsidRDefault="00E750B0" w:rsidP="00E04C24">
      <w:r w:rsidRPr="00597673">
        <w:rPr>
          <w:b/>
        </w:rPr>
        <w:t xml:space="preserve">С член 2 от предложението се изменя Директива (ЕС) 2016/97. </w:t>
      </w:r>
      <w:r w:rsidRPr="00597673">
        <w:t>С него се гарантира, че членовете и бенефициерите на схеми за професионално пенсионно осигуряване, управлявани от застрахователни предприятия, имат достъп най-малко до същата информация като членовете и бенефициерите, както в случай на схеми, управлявани от ИППО, и че застрахователните предприятия и застрахователните посредници имат подходящо правно основание да споделят информация със системите за проследяване на пенсиите.</w:t>
      </w:r>
    </w:p>
    <w:p w14:paraId="0EEF8A55" w14:textId="77777777" w:rsidR="005F0281" w:rsidRPr="00597673" w:rsidRDefault="005F0281" w:rsidP="005F0281">
      <w:r w:rsidRPr="00597673">
        <w:rPr>
          <w:b/>
        </w:rPr>
        <w:t>С член 3 от предложението се въвеждат разпоредби за запазване на придобитите права</w:t>
      </w:r>
      <w:r w:rsidRPr="00597673">
        <w:t>, така че за ИППО, регистрирани или лицензирани съгласно Директива (ЕС) 2016/2341 преди промяната на правилата за лицензиране, да не се изисква нов лиценз.</w:t>
      </w:r>
    </w:p>
    <w:p w14:paraId="169A998D" w14:textId="77777777" w:rsidR="00AC2BE5" w:rsidRPr="00597673" w:rsidRDefault="00AC2BE5" w:rsidP="0048259C">
      <w:pPr>
        <w:sectPr w:rsidR="00AC2BE5" w:rsidRPr="00597673" w:rsidSect="00F222D4">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p w14:paraId="3CB19A11" w14:textId="54A99C93" w:rsidR="00FE2E28" w:rsidRPr="00597673" w:rsidRDefault="00597673" w:rsidP="00597673">
      <w:pPr>
        <w:pStyle w:val="Rfrenceinterinstitutionnelle"/>
      </w:pPr>
      <w:bookmarkStart w:id="0" w:name="_Hlk213863869"/>
      <w:r>
        <w:t>2025/0362 (COD)</w:t>
      </w:r>
    </w:p>
    <w:p w14:paraId="44017251" w14:textId="3BD81A2B" w:rsidR="00AC2BE5" w:rsidRPr="00597673" w:rsidRDefault="00597673" w:rsidP="00597673">
      <w:pPr>
        <w:pStyle w:val="Statut"/>
      </w:pPr>
      <w:r w:rsidRPr="00597673">
        <w:t>Предложение за</w:t>
      </w:r>
    </w:p>
    <w:p w14:paraId="068B5AD5" w14:textId="3977E831" w:rsidR="00AC2BE5" w:rsidRPr="00597673" w:rsidRDefault="00597673" w:rsidP="00597673">
      <w:pPr>
        <w:pStyle w:val="Typedudocument"/>
      </w:pPr>
      <w:r w:rsidRPr="00597673">
        <w:t>ДИРЕКТИВА НА ЕВРОПЕЙСКИЯ ПАРЛАМЕНТ И НА СЪВЕТА</w:t>
      </w:r>
    </w:p>
    <w:p w14:paraId="2B2842D8" w14:textId="2B03BEB9" w:rsidR="00AC2BE5" w:rsidRPr="00597673" w:rsidRDefault="00597673" w:rsidP="00597673">
      <w:pPr>
        <w:pStyle w:val="Titreobjet"/>
      </w:pPr>
      <w:r w:rsidRPr="00597673">
        <w:t>за изменение на директиви (ЕС) 2016/2341 и 2016/97 с цел засилване на уредбата на професионалното пенсионно осигуряване</w:t>
      </w:r>
    </w:p>
    <w:bookmarkEnd w:id="0"/>
    <w:p w14:paraId="42992B6A" w14:textId="45B262A0" w:rsidR="00AC2BE5" w:rsidRPr="00597673" w:rsidRDefault="00597673" w:rsidP="00597673">
      <w:pPr>
        <w:pStyle w:val="IntrtEEE"/>
      </w:pPr>
      <w:r w:rsidRPr="00597673">
        <w:t>(текст от значение за ЕИП)</w:t>
      </w:r>
    </w:p>
    <w:p w14:paraId="09235E46" w14:textId="77777777" w:rsidR="00AC2BE5" w:rsidRPr="00597673" w:rsidRDefault="00AC2BE5">
      <w:pPr>
        <w:pStyle w:val="Institutionquiagit"/>
      </w:pPr>
      <w:r w:rsidRPr="00597673">
        <w:t>ЕВРОПЕЙСКИЯТ ПАРЛАМЕНТ И СЪВЕТЪТ НА ЕВРОПЕЙСКИЯ СЪЮЗ,</w:t>
      </w:r>
    </w:p>
    <w:p w14:paraId="2CE451F6" w14:textId="77777777" w:rsidR="00AC2BE5" w:rsidRPr="00597673" w:rsidRDefault="00AC2BE5">
      <w:r w:rsidRPr="00597673">
        <w:t>като взеха предвид Договора за функционирането на Европейския съюз, и по-специално член 53, член 62, член 114, параграф 1 от него,</w:t>
      </w:r>
    </w:p>
    <w:p w14:paraId="4E291C7D" w14:textId="77777777" w:rsidR="00AC2BE5" w:rsidRPr="00597673" w:rsidRDefault="00AC2BE5">
      <w:r w:rsidRPr="00597673">
        <w:t>като взеха предвид предложението на Европейската комисия,</w:t>
      </w:r>
    </w:p>
    <w:p w14:paraId="1A36C440" w14:textId="32FED2C3" w:rsidR="00983496" w:rsidRPr="00597673" w:rsidRDefault="00983496">
      <w:r w:rsidRPr="00597673">
        <w:t>след предаване на проекта на законодателния акт на националните парламенти,</w:t>
      </w:r>
    </w:p>
    <w:p w14:paraId="421380C0" w14:textId="267DE89F" w:rsidR="00983496" w:rsidRPr="00597673" w:rsidRDefault="00983496">
      <w:r w:rsidRPr="00597673">
        <w:t>като взеха предвид становището на Европейския икономически и социален комитет</w:t>
      </w:r>
      <w:bookmarkStart w:id="1" w:name="_Hlk214029965"/>
      <w:r w:rsidRPr="00597673">
        <w:rPr>
          <w:rStyle w:val="FootnoteReference"/>
        </w:rPr>
        <w:footnoteReference w:id="23"/>
      </w:r>
      <w:bookmarkEnd w:id="1"/>
      <w:r w:rsidRPr="00597673">
        <w:t>,</w:t>
      </w:r>
    </w:p>
    <w:p w14:paraId="50F183AB" w14:textId="6D709A3C" w:rsidR="00E91AB1" w:rsidRPr="00597673" w:rsidRDefault="00E91AB1">
      <w:r w:rsidRPr="00597673">
        <w:t>след консултация с Европейския надзорен орган по защита на данните,</w:t>
      </w:r>
    </w:p>
    <w:p w14:paraId="013F13C1" w14:textId="385A7715" w:rsidR="00AC2BE5" w:rsidRPr="00597673" w:rsidRDefault="00AC2BE5">
      <w:r w:rsidRPr="00597673">
        <w:t>в съответствие с обикновената законодателна процедура</w:t>
      </w:r>
      <w:r w:rsidRPr="00597673">
        <w:rPr>
          <w:rStyle w:val="FootnoteReference"/>
        </w:rPr>
        <w:footnoteReference w:id="24"/>
      </w:r>
      <w:r w:rsidRPr="00597673">
        <w:t>,</w:t>
      </w:r>
    </w:p>
    <w:p w14:paraId="6BE589F5" w14:textId="77777777" w:rsidR="00AC2BE5" w:rsidRPr="00597673" w:rsidRDefault="00AC2BE5">
      <w:r w:rsidRPr="00597673">
        <w:t>като имат предвид, че:</w:t>
      </w:r>
    </w:p>
    <w:p w14:paraId="5FEA7AB5" w14:textId="77777777" w:rsidR="00215979" w:rsidRPr="00597673" w:rsidRDefault="00215979" w:rsidP="008F5617">
      <w:pPr>
        <w:pStyle w:val="ManualConsidrant"/>
      </w:pPr>
      <w:r>
        <w:t>(1)</w:t>
      </w:r>
      <w:r>
        <w:tab/>
      </w:r>
      <w:r w:rsidRPr="00597673">
        <w:t>С оглед на застаряващото население на Европейския съюз и нарастващия коефициент на зависимост укрепването на допълнителните източници на пенсионен доход стана абсолютно необходимо за запазване на солидарността между поколенията, социалното сближаване и дългосрочната стабилност на пенсионните системи в целия Съюз.</w:t>
      </w:r>
    </w:p>
    <w:p w14:paraId="41725D20" w14:textId="77777777" w:rsidR="00D70652" w:rsidRPr="00597673" w:rsidRDefault="00D70652" w:rsidP="00D70652">
      <w:pPr>
        <w:pStyle w:val="ManualConsidrant"/>
      </w:pPr>
      <w:r>
        <w:t>(2)</w:t>
      </w:r>
      <w:r>
        <w:tab/>
      </w:r>
      <w:r w:rsidRPr="00597673">
        <w:t>Въпреки че организацията на пенсионните системи е национална компетентност, адекватността и финансовата устойчивост на пенсиите са от общ интерес за стабилността и сближаването на Съюза. Осигуряването на достъп на гражданите до добре разработени продукти за лично пенсионно осигуряване допринася както за индивидуалната финансова сигурност, така и за устойчивостта на икономиката на Съюза.</w:t>
      </w:r>
    </w:p>
    <w:p w14:paraId="5B6B79A1" w14:textId="09D78099" w:rsidR="00D70652" w:rsidRPr="00597673" w:rsidRDefault="00D70652" w:rsidP="00D70652">
      <w:pPr>
        <w:pStyle w:val="ManualConsidrant"/>
      </w:pPr>
      <w:r>
        <w:t>(3)</w:t>
      </w:r>
      <w:r>
        <w:tab/>
      </w:r>
      <w:r w:rsidRPr="00597673">
        <w:t xml:space="preserve">Въпреки че са сред най-големите спестители в света, домакинствата в Съюза все още държат голям дял от финансовото си богатство в краткосрочни банкови депозити с ограничена възвръщаемост. Разработването на привлекателни продукти за професионално и лично пенсионно </w:t>
      </w:r>
      <w:r w:rsidR="00597673" w:rsidRPr="00597673">
        <w:t>осигуряване</w:t>
      </w:r>
      <w:r w:rsidRPr="00597673">
        <w:t xml:space="preserve"> може да спомогне за мобилизирането на тези спестявания за дългосрочни инвестиции, като генерира по-висока възвръщаемост за осигурените лица и насочи капитал към продуктивни употреби, които подкрепят растежа, иновациите и екологичния и цифровия преход.</w:t>
      </w:r>
    </w:p>
    <w:p w14:paraId="4525E9A2" w14:textId="77777777" w:rsidR="00B76F0C" w:rsidRPr="00597673" w:rsidRDefault="007A3E2F">
      <w:pPr>
        <w:pStyle w:val="ManualConsidrant"/>
      </w:pPr>
      <w:r>
        <w:t>(4)</w:t>
      </w:r>
      <w:r>
        <w:tab/>
      </w:r>
      <w:r w:rsidRPr="00597673">
        <w:t>Подходящата нормативна уредба и надзорът на равнището на Съюза и на национално равнище продължават да бъдат важни за развитието на стабилно и сигурно професионално пенсионно осигуряване във всички държави членки. Директива (ЕС) 2016/2341 на Европейския парламент и на Съвета</w:t>
      </w:r>
      <w:r w:rsidRPr="00597673">
        <w:rPr>
          <w:rStyle w:val="FootnoteReference"/>
        </w:rPr>
        <w:footnoteReference w:id="25"/>
      </w:r>
      <w:r w:rsidRPr="00597673">
        <w:t xml:space="preserve"> допринесе за по-хармонизирана пруденциална рамка за институциите за професионално пенсионно осигуряване (ИППО). Секторът на допълнителното пенсионно осигуряване обаче остава недостатъчно развит в много държави членки, което би могло да застраши финансовата сигурност на гражданите, по-специално с оглед на текущите демографски тенденции в Съюза. Като част от стабилните многостълбови пенсионни системи, разработени в диалог със социалните партньори, от съществено значение е да се насърчи популяризирането на допълнителното пенсионно осигуряване, като например ИППО, и да се спомогне за постигането на по-добри резултати за дългосрочно осигурените лица. Това изисква политически действия както на национално равнище, така и на равнището на Съюза.</w:t>
      </w:r>
    </w:p>
    <w:p w14:paraId="5A80C504" w14:textId="77777777" w:rsidR="007B2405" w:rsidRPr="00597673" w:rsidRDefault="007B2405" w:rsidP="1FA00472">
      <w:pPr>
        <w:pStyle w:val="ManualConsidrant"/>
      </w:pPr>
      <w:r>
        <w:t>(5)</w:t>
      </w:r>
      <w:r>
        <w:tab/>
      </w:r>
      <w:r w:rsidRPr="00597673">
        <w:t>Съюзът на спестяванията и инвестициите (ССИ), обявен от Комисията в нейното съобщение от 19 март 2015 г.</w:t>
      </w:r>
      <w:r w:rsidRPr="00597673">
        <w:rPr>
          <w:rStyle w:val="FootnoteReference"/>
        </w:rPr>
        <w:footnoteReference w:id="26"/>
      </w:r>
      <w:r w:rsidRPr="00597673">
        <w:t xml:space="preserve">, има за цел да позволи на гражданите да спестяват и инвестират в своето бъдеще, да насочи инвестиции към приоритетите на Съюза, да задълбочи интеграцията и мащаба на капиталовите пазари в Съюза и да осигури ефективен надзор в рамките на единния пазар. Сред тези четири направления подпомагането на гражданите да спестяват и инвестират за своето бъдеще е в основата на амбицията на ССИ. Да се гарантира, че гражданите на Съюза могат да си осигурят адекватен пенсионен доход, е един от най-конкретните начини, по които Съюзът може да промени живота им. Работата по допълнителното пенсионно осигуряване, и по-специално по професионалното пенсионно осигуряване, въплъщава този подход, в чийто основа са хората. </w:t>
      </w:r>
    </w:p>
    <w:p w14:paraId="19130A24" w14:textId="77777777" w:rsidR="001071BA" w:rsidRPr="00597673" w:rsidRDefault="001071BA" w:rsidP="1FA00472">
      <w:pPr>
        <w:pStyle w:val="ManualConsidrant"/>
      </w:pPr>
      <w:r>
        <w:t>(6)</w:t>
      </w:r>
      <w:r>
        <w:tab/>
      </w:r>
      <w:r w:rsidRPr="00597673">
        <w:t>С управлявани активи в размер на приблизително три трилиона евро институциите за професионално пенсионно осигуряване (ИППО) играят съществена роля във финансовата система на Съюза, но обикновено са по-малко активни на фондовите борси и пазарите на частни дялови инвестиции, рисков капитал и инфраструктура. При условие че инвестициите в капиталови инструменти и алтернативни класове активи се управляват консервативно, тези инвестиции могат да бъдат ценен компонент от техните портфейли, предлагащ диверсификация, по-висока дългосрочна възвръщаемост за осигурените по схемите за пенсионно осигуряване лица и защита срещу инфлацията, като същевременно осигуряват на реалната икономика жизненоважно финансиране. Поради това е важно да не се допуснат неоправдани регулаторни пречки пред тези инвестиции.</w:t>
      </w:r>
    </w:p>
    <w:p w14:paraId="0A78B8D6" w14:textId="77777777" w:rsidR="5C3C8FEA" w:rsidRPr="00597673" w:rsidRDefault="00586E69" w:rsidP="1FA00472">
      <w:pPr>
        <w:pStyle w:val="ManualConsidrant"/>
      </w:pPr>
      <w:r>
        <w:t>(7)</w:t>
      </w:r>
      <w:r>
        <w:tab/>
      </w:r>
      <w:r w:rsidRPr="00597673">
        <w:t>Преразглеждането на Директива (ЕС) 2016/2341 се основава на техническото становище на Европейския орган за застраховане и професионално пенсионно осигуряване (ЕОЗППО) от 2023 г. за преразглеждането на Директивата ИППО II</w:t>
      </w:r>
      <w:r w:rsidRPr="00597673">
        <w:rPr>
          <w:rStyle w:val="FootnoteReference"/>
        </w:rPr>
        <w:footnoteReference w:id="27"/>
      </w:r>
      <w:r w:rsidRPr="00597673">
        <w:t xml:space="preserve"> и на неговото „техническо становище от 2025 г. относно преразглеждането на Директивата ИППО II и на Регламента за ПЕПП в контекста на съюза на спестяванията и инвестициите“</w:t>
      </w:r>
      <w:r w:rsidRPr="00597673">
        <w:rPr>
          <w:rStyle w:val="FootnoteReference"/>
        </w:rPr>
        <w:footnoteReference w:id="28"/>
      </w:r>
      <w:r w:rsidRPr="00597673">
        <w:t>. В него са взети предвид и неотдавнашните констатации и препоръки от Специален доклад № 14/2025 на Европейската сметна палата относно развитието на допълнителното пенсионно осигуряване в Съюза</w:t>
      </w:r>
      <w:r w:rsidRPr="00597673">
        <w:rPr>
          <w:rStyle w:val="FootnoteReference"/>
        </w:rPr>
        <w:footnoteReference w:id="29"/>
      </w:r>
      <w:r w:rsidRPr="00597673">
        <w:t>, както и основните принципи на ОИСР за регулиране на частното пенсионно осигуряване</w:t>
      </w:r>
      <w:r w:rsidRPr="00597673">
        <w:rPr>
          <w:rStyle w:val="FootnoteReference"/>
        </w:rPr>
        <w:footnoteReference w:id="30"/>
      </w:r>
      <w:r w:rsidRPr="00597673">
        <w:t xml:space="preserve">, в които се определят международно признати стандарти за управление, прозрачност и надзор на професионалното пенсионно осигуряване. </w:t>
      </w:r>
    </w:p>
    <w:p w14:paraId="54578E3B" w14:textId="77777777" w:rsidR="70B036D0" w:rsidRPr="00597673" w:rsidRDefault="2DB1F536" w:rsidP="70B036D0">
      <w:pPr>
        <w:pStyle w:val="ManualConsidrant"/>
      </w:pPr>
      <w:r>
        <w:t>(8)</w:t>
      </w:r>
      <w:r>
        <w:tab/>
      </w:r>
      <w:r w:rsidRPr="00597673">
        <w:t xml:space="preserve">Постигането на достатъчен мащаб често е предпоставка за ефективното и устойчиво функциониране на ИППО. По-малките ИППО могат да бъдат изправени пред по-високи административни и инвестиционни разходи, ограничена диверсификация и трудности при привличането или задържането на необходимия професионален опит. По-големият мащаб може да спомогне за смекчаване на тези ограничения чрез подобряване на обединяването на риска, капацитета за управление и достъпа до по-широк набор от инвестиционни възможности, като по този начин допринесе за по-стабилни и икономически ефективни резултати за членовете и бенефициерите. </w:t>
      </w:r>
    </w:p>
    <w:p w14:paraId="3DF858E2" w14:textId="77777777" w:rsidR="006E463E" w:rsidRPr="00597673" w:rsidRDefault="006E463E" w:rsidP="006E463E">
      <w:pPr>
        <w:pStyle w:val="ManualConsidrant"/>
      </w:pPr>
      <w:r>
        <w:t>(9)</w:t>
      </w:r>
      <w:r>
        <w:tab/>
      </w:r>
      <w:r w:rsidRPr="00597673">
        <w:t>Директива (ЕС) 2016/2341 обаче не е достатъчно ефективна за насърчаване на икономии от мащаба, което води до това, че пенсионните институции често са твърде малки, за да се възползват от диверсификацията или повишаването на ефективността, и следователно излагат членовете и бенефициерите на по-високи разходи и по-ниска нетна възвръщаемост. Поради това е необходимо да се улеснят такива икономии от мащаба.</w:t>
      </w:r>
    </w:p>
    <w:p w14:paraId="7B769BB5" w14:textId="77777777" w:rsidR="00463474" w:rsidRPr="00597673" w:rsidRDefault="00463474" w:rsidP="00463474">
      <w:pPr>
        <w:pStyle w:val="ManualConsidrant"/>
      </w:pPr>
      <w:r>
        <w:t>(10)</w:t>
      </w:r>
      <w:r>
        <w:tab/>
      </w:r>
      <w:r w:rsidRPr="00597673">
        <w:t>Директива (ЕС) 2016/2341 следва да се прилага за всички ИППО, освен ако те не са изрично изключени по силата на член 2, параграф 2. Нейното прилагане следва да отразява целите, преследвани от посочената директива, и разнообразието от договорености в рамките на държавите членки и следва да се осъществява по начин, който признава пълния спектър на съществуващото професионално пенсионно осигуряване.</w:t>
      </w:r>
    </w:p>
    <w:p w14:paraId="10406525" w14:textId="77777777" w:rsidR="00844930" w:rsidRPr="00597673" w:rsidRDefault="001A4963" w:rsidP="007E377A">
      <w:pPr>
        <w:pStyle w:val="ManualConsidrant"/>
      </w:pPr>
      <w:r>
        <w:t>(11)</w:t>
      </w:r>
      <w:r>
        <w:tab/>
      </w:r>
      <w:r w:rsidRPr="00597673">
        <w:t xml:space="preserve">В някои държави членки националното право предвижда, че ИППО, въпреки че имат правосубектност, се управляват от оправомощени субекти, които отговарят за действията от тяхно име. Поради това е целесъобразно член 2, параграф 1 от Директива (ЕС) 2016/2341 да се отнася изрично не само до случаите, в които ИППО нямат правосубектност, които следва да продължат да бъдат обхванати, но и до случаите, в които ИППО все още имат правосубектност и в съответствие с националното право трябва да се управляват от такива оправомощени субекти. </w:t>
      </w:r>
    </w:p>
    <w:p w14:paraId="1174EF9F" w14:textId="77777777" w:rsidR="00844930" w:rsidRPr="00597673" w:rsidRDefault="00370ABF" w:rsidP="00844930">
      <w:pPr>
        <w:pStyle w:val="ManualConsidrant"/>
      </w:pPr>
      <w:r>
        <w:t>(12)</w:t>
      </w:r>
      <w:r>
        <w:tab/>
      </w:r>
      <w:r w:rsidRPr="00597673">
        <w:t xml:space="preserve">В някои държави членки отговорността за функционирането на ИППО може да бъде поделена между самата ИППО и упълномощения субект, действащ от нейно име, като всеки от тях изпълнява отделни, но допълващи се функции. Прилагането на Директива (ЕС) 2016/2341 следва да бъде съгласувано с това разпределение на отговорностите съгласно националното право и да гарантира, че всички отговорни лица изцяло спазват нейните изисквания, независимо от правната форма на ИППО. Това положение обаче следва да се разграничава от възлагането на дейности на външни изпълнители, както е посочено в член 31 от посочената директива, тъй като споделеното упражняване на отговорности в тези случаи произтича от институционалната структура на ИППО, както е определена в националното право, а не от договорно възлагане на функции на външни изпълнители. Държавите членки следва също така да предвидят правно обособяване на активите на ИППО от активите на оправомощените да ги управляват субекти. </w:t>
      </w:r>
    </w:p>
    <w:p w14:paraId="4E195C8F" w14:textId="77777777" w:rsidR="002261E4" w:rsidRPr="00597673" w:rsidRDefault="00CE430A" w:rsidP="00B973F1">
      <w:pPr>
        <w:pStyle w:val="ManualConsidrant"/>
      </w:pPr>
      <w:r>
        <w:t>(13)</w:t>
      </w:r>
      <w:r>
        <w:tab/>
      </w:r>
      <w:r w:rsidRPr="00597673">
        <w:t>Определянето на това дали дадена институция отговаря на условията за ИППО следва да зависи от извършваните дейности, независимо от нейната правна форма или определяне съгласно националното право. В няколко държави членки свързаното със заетостта пенсионно осигуряване се предоставя от финансирани институции, които са изключени от обхвата на Директива (ЕС) 2016/2341 съгласно член 2, параграф 2 от нея или по друг начин не са обхванати от посочената директива, без да са предмет на друго пруденциално законодателство на Съюза. Някои от тези институции вече са обхванати от Регламент (ЕС) 2018/231 на Европейската централна банка</w:t>
      </w:r>
      <w:r w:rsidRPr="00597673">
        <w:rPr>
          <w:rStyle w:val="FootnoteReference"/>
        </w:rPr>
        <w:footnoteReference w:id="31"/>
      </w:r>
      <w:r w:rsidRPr="00597673">
        <w:t xml:space="preserve"> относно изискванията за статистическа отчетност за пенсионни фондове, което отразява тяхното икономическо значение и необходимостта от изчерпателна и последователна информация за всички видове пенсионни институции. Взети заедно, тези институции, изключени от обхвата на Директива (ЕС) 2016/2341, притежават много значителни активи и представляват важен компонент от общата пенсионна среда, свързана със заетостта, наред с ИППО. С оглед на техния мащаб и значението им за финансовата стабилност и адекватността на пенсиите е важно държавите членки да гарантират, че за всички институции, управляващи пенсионни спестявания, независимо дали са професионални или лични, се прилага добро управление, ефективен надзор и пруденциални изисквания, съизмерими с естеството и мащаба на рисковете, които носят. С оглед на стабилната уредба на Директива (ЕС) 2016/2341 и за да се насърчи съгласуваността на надзорните практики, да се осигурят еднакви условия на конкуренция и високи стандарти на управление и управление на риска при всички форми на пенсионно осигуряване, като същевременно се зачита многообразието на националните пенсионни системи и съществуващите институционални договорености, държавите членки следва да имат възможност да прилагат посочената директива по отношение на институциите, които иначе са изключени от нейния обхват, а и не са обхванати от друга пруденциална уредба на Съюза. Това е от особено значение, когато осигурителните плащания, предлагани на членовете и бенефициерите, зависят от резултатите на институцията при управлението на активите и не е гарантирано от публичен орган. Държавите членки следва да уведомят Комисията и Европейския орган за застраховане и професионално пенсионно осигуряване за използването на тази възможност.</w:t>
      </w:r>
    </w:p>
    <w:p w14:paraId="3E00C3D3" w14:textId="77777777" w:rsidR="00D64D0D" w:rsidRPr="00597673" w:rsidRDefault="00734070" w:rsidP="00305CCD">
      <w:pPr>
        <w:pStyle w:val="ManualConsidrant"/>
        <w:rPr>
          <w:b/>
          <w:bCs/>
        </w:rPr>
      </w:pPr>
      <w:r>
        <w:t>(14)</w:t>
      </w:r>
      <w:r>
        <w:tab/>
      </w:r>
      <w:r w:rsidRPr="00597673">
        <w:t>В някои държави членки на ИППО може също така да бъде разрешено да предоставят продукти за лично пенсионно осигуряване, включително паневропейски персонален пенсионен продукт, както е отразено в Регламент (ЕС) 2019/1238 на Европейския парламент и на Съвета</w:t>
      </w:r>
      <w:r w:rsidRPr="00597673">
        <w:rPr>
          <w:rStyle w:val="FootnoteReference"/>
        </w:rPr>
        <w:footnoteReference w:id="32"/>
      </w:r>
      <w:r w:rsidRPr="00597673">
        <w:t>. Следователно, с оглед на ясната и стабилна организация на тези дейности, както и на последователния и ефективен надзор върху различните форми на пенсионно осигуряване, е целесъобразно това да бъде отразено в Директива (ЕС) 2016/2341.</w:t>
      </w:r>
    </w:p>
    <w:p w14:paraId="3E654261" w14:textId="77777777" w:rsidR="008608CF" w:rsidRPr="00597673" w:rsidRDefault="00FA7AEC" w:rsidP="008608CF">
      <w:pPr>
        <w:pStyle w:val="ManualConsidrant"/>
      </w:pPr>
      <w:r>
        <w:t>(15)</w:t>
      </w:r>
      <w:r>
        <w:tab/>
      </w:r>
      <w:r w:rsidRPr="00597673">
        <w:t>Организацията на професионалното пенсионно осигуряване може да се възползва от по-голяма гъвкавост в начина, по който ИППО структурират и управляват пенсионните схеми и схемите за спонсорство. Поради това държавите членки следва да предоставят на ИППО правото да управляват различни пенсионни схеми, включително такива с различни инвестиционни политики, и да приемат спонсорство от множество осигурителни дружества, в т.ч. в рамките на една и съща пенсионна схема. Тази гъвкавост може да улесни постигането на по-голям мащаб, като по този начин повиши ефективността на разходите, диверсификацията на риска и капацитета за управление в полза на членовете и бенефициерите.</w:t>
      </w:r>
    </w:p>
    <w:p w14:paraId="4DB05D14" w14:textId="14E1D9EF" w:rsidR="00635C7D" w:rsidRPr="00597673" w:rsidRDefault="00635C7D">
      <w:pPr>
        <w:pStyle w:val="ManualConsidrant"/>
      </w:pPr>
      <w:r>
        <w:t>(16)</w:t>
      </w:r>
      <w:r>
        <w:tab/>
      </w:r>
      <w:r w:rsidRPr="00597673">
        <w:t>В Директива (ЕС) 2016/2341 се прави разграничение между лицензиране и регистрация на ИППО, но не се дава определение на нито едно от двете понятия, като същевременно от държавите членки се изисква да поддържат национален регистър на ИППО. Това доведе до различаващи се надзорни практики, в т.ч. в случаите, когато компетентните органи не извършват предварително пруденциална оценка или в някои случаи, когато пруденциална оценка изобщо не се извършва. Липсата на пруденциална оценка като част от процеса на регистрация или лицензиране може да наруши коректното функциониране на вътрешния пазар и защитата на правата на членовете и бенефициерите. За да се избегне регулаторен арбитраж и да се защитят интересите на осигурените по схеми за пенсионно осигуряване лица, всички ИППО следва да подлежат на лицензиране, което включва подходяща пруденциална оценка от компетентния орган. В съответствие с техническото становище на ЕОЗППО по прегледа на Директивата ИППО II и с насоките за прилагане на Препоръката на ОИСР относно основните принципи за регламентиране на частното пенсионно осигуряване, лицензирането следва да задължава ИППО да изготвят и поддържат бизнес план за всички планирани дейности.</w:t>
      </w:r>
    </w:p>
    <w:p w14:paraId="01EF99F1" w14:textId="77777777" w:rsidR="000A400D" w:rsidRPr="00597673" w:rsidRDefault="00853775" w:rsidP="00D00B5B">
      <w:pPr>
        <w:pStyle w:val="ManualConsidrant"/>
        <w:rPr>
          <w:b/>
          <w:bCs/>
        </w:rPr>
      </w:pPr>
      <w:r>
        <w:t>(17)</w:t>
      </w:r>
      <w:r>
        <w:tab/>
      </w:r>
      <w:r w:rsidRPr="00597673">
        <w:t>С цел да се подобри предлагането на ефективно и гъвкаво професионално пенсионно осигуряване, както и икономиите от мащаба, на ИППО следва да бъде разрешено да управляват няколко пенсионни схеми, включително такива с различни инвестиционни подходи, и да приемат спонсорство от няколко дружества в рамките на една и съща схема, като същевременно гарантират подходящо управление и защита на членовете и бенефициерите.</w:t>
      </w:r>
    </w:p>
    <w:p w14:paraId="5FF16593" w14:textId="77777777" w:rsidR="001D38BE" w:rsidRPr="00597673" w:rsidRDefault="00945435" w:rsidP="00D00B5B">
      <w:pPr>
        <w:pStyle w:val="ManualConsidrant"/>
        <w:rPr>
          <w:b/>
          <w:bCs/>
        </w:rPr>
      </w:pPr>
      <w:r>
        <w:t>(18)</w:t>
      </w:r>
      <w:r>
        <w:tab/>
      </w:r>
      <w:r w:rsidRPr="00597673">
        <w:t>Опитът с функционирането на Директива (ЕС) 2016/2341 показа, че процедурите, уреждащи лицензирането и надзора на ИППО, по-специално в контекста на трансграничните дейности, могат да доведат до забавяния и несъответствия между държавите членки, което може да възпрепятства ИППО да започнат или да разширят трансграничните си дейности.</w:t>
      </w:r>
      <w:r w:rsidRPr="00597673">
        <w:rPr>
          <w:b/>
        </w:rPr>
        <w:t xml:space="preserve"> </w:t>
      </w:r>
      <w:r w:rsidRPr="00597673">
        <w:t>Поради това, за да се подобри функционирането и надзорът на трансграничните дейности на ИППО, процедурните стъпки за лицензиране и трансгранични дейности следва да бъдат допълнени и оптимизирани. Сроковете следва да бъдат по-ясни, а обменът на информация между компетентните органи на държавата по произход и на приемащата държава следва да бъде ускорен, което ще позволи по-тясна координация, включително, когато е целесъобразно, чрез участието на Европейския орган за застраховане и професионално пенсионно осигуряване (ЕОЗППО).</w:t>
      </w:r>
    </w:p>
    <w:p w14:paraId="4AD2ACFE" w14:textId="77777777" w:rsidR="00D65C66" w:rsidRPr="00597673" w:rsidRDefault="00C17914" w:rsidP="0071494D">
      <w:pPr>
        <w:pStyle w:val="ManualConsidrant"/>
        <w:rPr>
          <w:b/>
          <w:bCs/>
        </w:rPr>
      </w:pPr>
      <w:r>
        <w:t>(19)</w:t>
      </w:r>
      <w:r>
        <w:tab/>
      </w:r>
      <w:r w:rsidRPr="00597673">
        <w:t>Налагането на ИППО, която извършва трансгранична дейност в приемаща държава членка и желае да я разшири в нея, като се обхванат допълнителни осигурителни дружества или схеми, на задължение за пълни първоначални трансгранични процедури е ненужно обременяващо. Подобен подход би могъл да доведе до дублиране на процедурите, увеличаване на административните разходи и забавяния, без да се подобрява защитата на членовете и бенефициерите. С цел да се улесни целесъобразността и ефикасността на надзора и да се осигури ефективно сътрудничество между компетентните органи на държавата членка по произход и на приемащата държава членка, тези разширявания на обхвата на дейността следва да подлежат на опростена процедура за уведомяване, която да може да приключи до месец. Този график позволява на компетентните органи да извършват необходимата координация и надзор, без да се създава ненужно забавяне или бреме за ИППО.</w:t>
      </w:r>
    </w:p>
    <w:p w14:paraId="0F436F08" w14:textId="77777777" w:rsidR="0071494D" w:rsidRPr="00597673" w:rsidRDefault="001F4489" w:rsidP="0071494D">
      <w:pPr>
        <w:pStyle w:val="ManualConsidrant"/>
      </w:pPr>
      <w:r>
        <w:t>(20)</w:t>
      </w:r>
      <w:r>
        <w:tab/>
      </w:r>
      <w:r w:rsidRPr="00597673">
        <w:t>Уреждането на колективното прехвърляне – пълно или частично – на пасивите на пенсионната схема, техническите резерви и другите задължения и права, играе възлова роля за насърчаване на консолидирането и постигането на мащаб в професионалното пенсионно осигуряване. Ако разпоредбите са прекалено строги, те излишно затрудняват постигането на мащаб и консолидацията, което може да бъде в ущърб на дългосрочните интереси на осигурените лица. В същото време е важно членовете и бенефициерите или техните представители да могат ефективно да изразяват мнението си по предложените трансгранични прехвърляния. Поради това, за да се улеснят тези прехвърляния, е целесъобразно да се изяснят и опростят съответните правни норми на Съюза, така че да се запазят процедурната прозрачност, целесъобразност и насоченост към защитата на членовете и бенефициерите, като същевременно се повиши ефективността и интеграцията на вътрешния пазар. Тук спадат разпоредби за своевременно уведомяване, одобрение от осигурителното дружество, когато е приложимо, и възможност членовете и бенефициерите официално да изразяват несъгласие.</w:t>
      </w:r>
    </w:p>
    <w:p w14:paraId="290748D2" w14:textId="77777777" w:rsidR="0072599A" w:rsidRPr="00597673" w:rsidRDefault="0072599A" w:rsidP="0071494D">
      <w:pPr>
        <w:pStyle w:val="ManualConsidrant"/>
      </w:pPr>
      <w:r>
        <w:t>(21)</w:t>
      </w:r>
      <w:r>
        <w:tab/>
      </w:r>
      <w:r w:rsidRPr="00597673">
        <w:t>По отношение на националните колективни прехвърляния от една ИППО към друга държавите членки следва да въведат опростени, прозрачни и оперативно ефективни процедури за консолидиране и преструктуриране на пенсионните схеми на тяхна територия. Тези процедури следва да улесняват постигането на мащаб и ефективност на разходите, без при това да са по-ограничаващи от процедурите при трансграничните прехвърляния.</w:t>
      </w:r>
    </w:p>
    <w:p w14:paraId="17815BA3" w14:textId="77777777" w:rsidR="00797CEF" w:rsidRPr="00597673" w:rsidRDefault="00394517" w:rsidP="00A04EE6">
      <w:pPr>
        <w:pStyle w:val="ManualConsidrant"/>
        <w:rPr>
          <w:b/>
          <w:bCs/>
        </w:rPr>
      </w:pPr>
      <w:r>
        <w:t>(22)</w:t>
      </w:r>
      <w:r>
        <w:tab/>
      </w:r>
      <w:r w:rsidRPr="00597673">
        <w:t>Държавите членки могат да разрешават временен недостиг на финансиране на схеми за професионално пенсионно осигуряване. Някои държави членки използват тази възможност по различни начини, а други – не, което води до несъответствия, които могат да засегнат защитата на членовете и бенефициерите. Въпреки че предотвратяването на недостига на финансиране е важно, абсолютната забрана би могла в някои случаи да доведе до рязко намаляване на перспективите за пенсия, което може да бъде в ущърб на членовете и бенефициерите. С цел да се осигури балансиран и целесъобразен подход и адекватна защита на членовете и бенефициерите, държавите членки следва да могат да разрешават временен недостиг на финансиране за ограничен период, определен от националното право, който във всеки случай не следва да надвишава десет години.</w:t>
      </w:r>
    </w:p>
    <w:p w14:paraId="58A52A4B" w14:textId="77777777" w:rsidR="003726D1" w:rsidRPr="00597673" w:rsidRDefault="00B048DC" w:rsidP="00A04EE6">
      <w:pPr>
        <w:pStyle w:val="ManualConsidrant"/>
        <w:rPr>
          <w:b/>
          <w:bCs/>
        </w:rPr>
      </w:pPr>
      <w:r>
        <w:t>(23)</w:t>
      </w:r>
      <w:r>
        <w:tab/>
      </w:r>
      <w:r w:rsidRPr="00597673">
        <w:t>Някои технически параметри в Директива (ЕС) 2016/2341 произтичат от Директива 79/267/ЕИО</w:t>
      </w:r>
      <w:r w:rsidRPr="00597673">
        <w:rPr>
          <w:rStyle w:val="FootnoteReference"/>
        </w:rPr>
        <w:footnoteReference w:id="33"/>
      </w:r>
      <w:r w:rsidRPr="00597673">
        <w:t xml:space="preserve"> на Съвета, първата директива за животозастраховането, и са останали непроменени след въвеждането им. Поради това е целесъобразно да се предвиди възможност за изменянето им чрез делегирани актове, ако това се смята за необходимо, така че те да продължават да съответстват на развитието на пазара и на надзорните практики.</w:t>
      </w:r>
    </w:p>
    <w:p w14:paraId="53547449" w14:textId="77777777" w:rsidR="00D67501" w:rsidRPr="00597673" w:rsidRDefault="00D67501">
      <w:pPr>
        <w:pStyle w:val="ManualConsidrant"/>
      </w:pPr>
      <w:r>
        <w:t>(24)</w:t>
      </w:r>
      <w:r>
        <w:tab/>
      </w:r>
      <w:r w:rsidRPr="00597673">
        <w:t>Директива (ЕС) 2016/2341 изисква ИППО да поддържат адекватна налична граница на платежоспособност. Тази граница на платежоспособност не обхваща напълно експозициите към пазарни рискове и рискове от дълголетие, включително когато ИППО поема биометричен риск или гарантира определен резултат от инвестицията или равнище на плащания. Някои държави членки изискват от ИППО да поддържат допълнителни изискуеми собствени средства, основани на риска, над изискваната граница на платежоспособност. В държавите членки, в които не съществуват такива основани на риска изисквания, следва да се осигури съпоставима защита за осигурените лица и бенефициерите. По-специално ИППО, които покриват биометричен риск или предлагат гаранции и които не подлежат на основани на риска капиталови изисквания, следва да извършват редовни тестове за устойчивост, за да оценяват капацитета си да остават финансирани в дългосрочен план, включително при неблагоприятни пазарни и демографски сценарии, а компетентните органи следва да имат правото да изискват корективни мерки при установен недостиг на финансиране.</w:t>
      </w:r>
    </w:p>
    <w:p w14:paraId="69FDE3B7" w14:textId="77777777" w:rsidR="002F1389" w:rsidRPr="00597673" w:rsidRDefault="00963472" w:rsidP="007B13F4">
      <w:pPr>
        <w:pStyle w:val="ManualConsidrant"/>
      </w:pPr>
      <w:r>
        <w:t>(25)</w:t>
      </w:r>
      <w:r>
        <w:tab/>
      </w:r>
      <w:r w:rsidRPr="00597673">
        <w:t>Частните активи, включително частното дялово финансиране, частният дълг и рисковият капитал, могат да подобрят характеристиките на риска и възвръщаемостта на инвестиционните портфейли чрез засилване на диверсификацията и потенциалното постигане на по-висока дългосрочна възвръщаемост. Тези активи обаче често са по-сложни за оценяване и преценка от гледна точка на риска, поради което изискват значителен професионален опит. По силата на член 19 от Директива (ЕС) 2016/2341 ИППО следва да инвестират с оглед на дългосрочния интерес на членовете и бенефициерите и по принципа на консервативния инвеститор. Това правило обаче не е достатъчно конкретизирано и няколко държави членки са въвели, в съответствие с посочения член, подробни и понякога ограничителни граници за инвестициите. Подобни общи ограничения могат да попречат на добре управляваните институции с подходящ капацитет за управление на риска да инвестират ефективно в алтернативни активи. Поради това следва да се определи, че основното инвестиционно изискване е отчитащият риска принцип на консервативния инвеститор, който позволява на институциите да инвестират във всякакъв вид активи, стига да могат подходящо да установяват, измерват, наблюдават, управляват и докладват свързаните с тях рискове. Съответно, като предпазна мярка за членовете и бенефициерите, възможността държавите членки да прилагат инвестиционни ограничения следва да обхваща само случаите, в които инвестиционният риск се поема от членовете и бенефициерите, като при това ограниченията не следва да водят до обща забрана за инвестиране в определени класове активи. В уводното съобщение от 19 ноември 2025 г.</w:t>
      </w:r>
      <w:r w:rsidRPr="00597673">
        <w:rPr>
          <w:rStyle w:val="FootnoteReference"/>
        </w:rPr>
        <w:footnoteReference w:id="34"/>
      </w:r>
      <w:r w:rsidRPr="00597673">
        <w:t xml:space="preserve"> се предоставят допълнителни необвързващи насоки за прилагането на принципа на консервативния инвеститор, в т.ч. за начина, по който този принцип следва да насърчава ефективното разпределяне на дългосрочните спестявания. </w:t>
      </w:r>
    </w:p>
    <w:p w14:paraId="4C15E375" w14:textId="77777777" w:rsidR="003D2E0A" w:rsidRPr="00597673" w:rsidRDefault="003D2E0A" w:rsidP="00E338B6">
      <w:pPr>
        <w:pStyle w:val="ManualConsidrant"/>
      </w:pPr>
      <w:r>
        <w:t>(26)</w:t>
      </w:r>
      <w:r>
        <w:tab/>
      </w:r>
      <w:r w:rsidRPr="00597673">
        <w:t>Опитът показва, че изискванията за управление, определени в Директива (ЕС) 2016/2341, невинаги осигуряват съгласувани стандарти за добро управление и ефективен надзор на всички ИППО. По-специално различията във функциите за вътрешен контрол, справянето с конфликтите на интереси и съставът и ефективността на административните, управителните или надзорните органи могат да отслабят защитеността на членовете и бенефициерите и почтеността на управлението на пенсионните схеми. За да се повиши устойчивостта, прозрачността и отчетността на ИППО, системата на управление следва да бъде доуточнена и компетентните органи следва да разполагат с необходимите правомощия за оценка и, когато е целесъобразно, засилване на системите за управление на ИППО.</w:t>
      </w:r>
    </w:p>
    <w:p w14:paraId="7EC3E2A1" w14:textId="77777777" w:rsidR="008B4BAA" w:rsidRPr="00597673" w:rsidRDefault="00B407F3" w:rsidP="00B407F3">
      <w:pPr>
        <w:pStyle w:val="ManualConsidrant"/>
      </w:pPr>
      <w:r>
        <w:t>(27)</w:t>
      </w:r>
      <w:r>
        <w:tab/>
      </w:r>
      <w:r w:rsidRPr="00597673">
        <w:t>Ефективното и консервативно управление на ИППО зависи от професионалната пригодност и подходящите качества на лицата, които фактически ръководят ИППО, на нейния административен, управителен и надзорен орган, и  на лицата на възлови длъжности, включително тези извън ИППО. Директива (ЕС) 2016/2341 се позовава на концепцията за колективна пригодност за лицата, които фактически ръководят ИППО. Необходимо е допълнително изясняване, така че тази концепция да се прилага с отчитане на разнообразието от управленски структури в държавите членки. По-специално колективната професионална пригодност следва да се прилага, когато административният, управителният или надзорният орган действа като колективен орган, чиито членове съвместно изпълняват стратегически или надзорни функции. Когато функциите са обособени или се упражняват индивидуално, оценката на пригодността следва да зависи от специфичната роля, отговорности и правомощия за взимане на решения на всяко лице. Освен това действащите разпоредби не предвиждат изрично текущо наблюдение или своевременно уведомяване за промени, което може да доведе и до пропуски в управлението, недостатъчен надзор на рисковете или нерешени конфликти на интереси. С цел адекватно да се защитят членовете и бенефициерите и да се осигури ефективен надзор от страна на компетентните органи, следва да бъдат определени изискванията за пригодност и квалифицираност, на компетентните органи следва да бъде възложена отговорността да оценяват постоянно пригодността и те следва да имат правомощието да изискват отстраняването на лица, които вече не отговарят на тези изисквания.</w:t>
      </w:r>
    </w:p>
    <w:p w14:paraId="3BDA469B" w14:textId="77777777" w:rsidR="00700C17" w:rsidRPr="00597673" w:rsidRDefault="00700C17" w:rsidP="00FA5826">
      <w:pPr>
        <w:pStyle w:val="ManualConsidrant"/>
      </w:pPr>
      <w:r>
        <w:t>(28)</w:t>
      </w:r>
      <w:r>
        <w:tab/>
      </w:r>
      <w:r w:rsidRPr="00597673">
        <w:t>Ефективното управление на риска е от съществено значение за стабилното и консервативно управление на ИППО и защитата на членовете и бенефициерите. Оперативният и структурният избор на ИППО, включително участието в обединени инвестиционни структури, споделени услуги или прехвърляния, могат да повлияят на цялостния им рисков профил. С оглед на стабилното и консервативно управление ИППО следва да оценяват рисковете, на които са или биха могли да бъдат изложени, спрямо ограниченията за поемане на риск, одобрени от техния управителен или надзорен орган, като вземат предвид капацитета и склонността към поемане на риск на членовете и бенефициерите. Икономиите от мащаба и вариантите за ефективност могат да намалят оперативните и инвестиционните рискове за членовете и бенефициерите и поради това следва да бъдат взети предвид при собствената оценка на риска.</w:t>
      </w:r>
    </w:p>
    <w:p w14:paraId="3FD3758F" w14:textId="77777777" w:rsidR="00893DB9" w:rsidRPr="00597673" w:rsidRDefault="008C6129" w:rsidP="00FA5826">
      <w:pPr>
        <w:pStyle w:val="ManualConsidrant"/>
      </w:pPr>
      <w:r>
        <w:t>(29)</w:t>
      </w:r>
      <w:r>
        <w:tab/>
      </w:r>
      <w:r w:rsidRPr="00597673">
        <w:t>В съответствие с основните принципи на ОИСР за регулиране на частното пенсионно осигуряване и насоките за тяхното прилагане е целесъобразно да се засилят допълнително изискванията за декларацията за принципите на инвестиционната политика, като се изиска в нея да се определят ясни инвестиционни цели, съответстващи на целта за пенсионния доход на всяка схема, пасивите и допустимото за всяка схема равнище на риск, както и целева резултатност и методи за наблюдението ѝ, а и да се обсъжда използването на сложни или алтернативни класове активи и свързания с тях риск от неизпълнение от страна на контрагента. Когато членовете могат да избират инвестиции, в декларацията следва също така да се предвиди подходящ набор от варианти, включително вариант по подразбиране.</w:t>
      </w:r>
    </w:p>
    <w:p w14:paraId="2E51D334" w14:textId="77777777" w:rsidR="007B7CE5" w:rsidRPr="00597673" w:rsidRDefault="00E4592E" w:rsidP="00E338B6">
      <w:pPr>
        <w:pStyle w:val="ManualConsidrant"/>
      </w:pPr>
      <w:r>
        <w:t>(30)</w:t>
      </w:r>
      <w:r>
        <w:tab/>
      </w:r>
      <w:r w:rsidRPr="00597673">
        <w:t>Обединяването на активи може да доведе до икономии от мащаба, да подобри резултатите от инвестициите и да намали разходите за членовете и бенефициерите. Член 31 от Директива (ЕС) 2016/2341 обаче позволява на държавите членки да забранят възлагането на външни изпълнители на дейности от ИППО, включително възлагането на управлението на инвестициите на външни изпълнители. Използването на този вариант доведе до регулаторни пречки пред повишаването на ефективността и икономиите от мащаба. Един подход, отчитащ риска в по-голяма степен, би принципно позволил или изискал да се възлагат дейности на външен изпълнител, стига това да не влошава качеството на управлението, да не увеличава неоснователно оперативния риск, да не нарушава непрекъснатото и задоволително обслужване на членовете и бенефициерите и да не пречи на ефективния надзор. Поради това следва да се позволи на държавите членки да разрешат на такива институции и по целесъобразност – да изискат от тях, да възлагат дейности на външен изпълнител, без да се засягат недопускащите такова възлагане специални договорености в отделни случаи въз основа на надлежно обосновани съображения за финансова предпазливост.</w:t>
      </w:r>
    </w:p>
    <w:p w14:paraId="14204D15" w14:textId="4F0ED933" w:rsidR="0099662F" w:rsidRPr="00597673" w:rsidRDefault="00631B6B" w:rsidP="0099662F">
      <w:pPr>
        <w:pStyle w:val="ManualConsidrant"/>
      </w:pPr>
      <w:r>
        <w:t>(31)</w:t>
      </w:r>
      <w:r>
        <w:tab/>
      </w:r>
      <w:r w:rsidRPr="00597673">
        <w:t>Депозитарите осигуряват подходящо средство за защита на активите и за надзор на управлението на схемите за професионално пенсионно осигуряване, в частност тези с дефинирани вноски, при които членовете и бенефициерите изцяло носят инвестиционния риск. Съгласно Директива (ЕС) 2016/2341 държавите членки разполагат със свобода на преценка да изискват, като общо правило, това от депозитар или да позволяват на ИППО сами да изпълняват тези функции. Тази свобода на преценка доведе до несъответствия и предизвикателства пред надзора при трансграничните дейности. Различията в националните норми относно видовете субекти, които могат да действат като депозитари, и обхвата на техните отговорности могат да нарушат ефективния пруденциален надзор, да намалят прозрачността и да увеличат риска от конфликти на интереси или оперативни проблеми. През последните години правилата относно депозитарите, установени в Директива № 2009/65/ЕО на Европейския парламент и на Съвета</w:t>
      </w:r>
      <w:r w:rsidRPr="00597673">
        <w:rPr>
          <w:rStyle w:val="FootnoteReference"/>
        </w:rPr>
        <w:footnoteReference w:id="35"/>
      </w:r>
      <w:r w:rsidRPr="00597673">
        <w:t>, бяха актуализирани и засилени, за да се осигури високо равнище на защита на инвеститорите. Членовете и бенефициерите на ИППО, които по подобен начин поверяват пенсионните си спестявания на професионални управители, следва да се ползват с не по-малко защита от инвеститорите, обхванати от Директива 2009/65/ЕО. Следователно, с цел да се осигури съгласувана защита на членовете и бенефициерите, да се повиши доверието в пенсионната система и да се улеснят трансграничните дейности, в Директива (ЕС) 2016/2341 следва да се изиска определянето на професионален депозитар за схемите за професионално пенсионно осигуряване, при които членовете и бенефициерите поемат изцяло инвестиционния риск. С измененията следва да се установят ясни правила за такъв депозитар по отношение на съхранението на активите и надзорните задължения, като същевременно се позволи по-голяма гъвкавост за други схеми и се избегнат неоснователни ограничения, от страна на компетентните органи, на избора на депозитари, установени в друга държава членка. От друга страна, за да се избегне ненужно бреме за ИППО, държавите членки могат да запазят съществуващите мерки за съхранение, осигуряващи ниво на защита, сравнимо с това на депозитарите.</w:t>
      </w:r>
    </w:p>
    <w:p w14:paraId="3639D447" w14:textId="77777777" w:rsidR="00EE24A5" w:rsidRPr="00597673" w:rsidRDefault="00EE24A5" w:rsidP="00EE24A5">
      <w:pPr>
        <w:pStyle w:val="ManualConsidrant"/>
      </w:pPr>
      <w:r>
        <w:t>(32)</w:t>
      </w:r>
      <w:r>
        <w:tab/>
      </w:r>
      <w:r w:rsidRPr="00597673">
        <w:t>Откъслечният или непълен характер на информацията за натрупаните и прогнозните пенсионни права затруднява членовете и бенефициерите да получат ясна представа за бъдещия си пенсионен доход, особено когато участват в няколко схеми за допълнително пенсионно осигуряване. Тази липса на прозрачност може да застраши ангажираността с планирането на пенсионирането и доверието в пенсионната система. За да се осигури на спестителите изчерпателна, надеждна и актуална информация, държавите членки следва да изискат от ИППО да предоставят данни на националните системи за проследяване на пенсиите, когато такива системи съществуват, в стандартизиран и оперативно съвместим формат. Тези системи следва да позволяват на членовете и бенефициерите да имат достъп по съгласуван и съпоставим начин до информация относно придобитите от тях права, натрупания капитал и прогнозните доходи, като същевременно се гарантира, че ИППО продължават да носят отговорност за точността и пълнотата на предаваните данни. За да се избегне дублиране на изискванията за докладване за ИППО, форматът и структурата на информацията следва да съответстват на информацията, включена в извлеченията от индивидуални пенсионни партиди.</w:t>
      </w:r>
    </w:p>
    <w:p w14:paraId="639183BA" w14:textId="77777777" w:rsidR="00170086" w:rsidRPr="00597673" w:rsidRDefault="00171C00" w:rsidP="001A6B0D">
      <w:pPr>
        <w:pStyle w:val="ManualConsidrant"/>
      </w:pPr>
      <w:r>
        <w:t>(33)</w:t>
      </w:r>
      <w:r>
        <w:tab/>
      </w:r>
      <w:r w:rsidRPr="00597673">
        <w:t xml:space="preserve">Извлечението от индивидуалната пенсионна партида е основен инструмент, който позволява на членовете и бенефициерите да разберат как пенсионните им права се изменят във времето и между различните схеми. То следва да предоставя ясна, изчерпателна и уместна информация, която да позволява на членовете и бенефициерите да оценяват финансовото си състояние и да предприемат всички необходими действия за осигуряване на адекватна пенсия. Понастоящем липсата на единен подход в държавите членки и фактът, че повечето членове натрупват пенсии с множество ИППО по време на трудовия си стаж води до различаващи се по формат и изглед извлечения от индивидуални пенсионни партиди, което затруднява съпоставимостта и сумирането им. Действащите разпоредби също така не изискват включването на информация за разходите, резултатите от инвестициите или наличните инвестиционни варианти и свързаните с тях рискове. За да се повиши прозрачността и да се подпомогне информираното взимане на решения, е необходимо да се въведат изисквания за изготвянето на извлеченията от индивидуалната пенсионна партида и за предоставянето на информация за разходите, възвръщаемостта на инвестициите и инвестиционните варианти. По същата причина е необходимо да се повиши стандартизацията и, когато е възможно, съответствието с извлечението от индивидуалната партида за ПЕПП, посочено в член 36 от Регламент (ЕС) 2019/1238, като същевременно се вземат предвид характеристиките на схемите с предварително определен размер на пенсията или при които плащанията са в зависимост от постигнатата доходност, и особеностите на професионалното пенсионно осигуряване. </w:t>
      </w:r>
    </w:p>
    <w:p w14:paraId="607771E7" w14:textId="77777777" w:rsidR="0017444A" w:rsidRPr="00597673" w:rsidRDefault="00170C65" w:rsidP="00CC2ED9">
      <w:pPr>
        <w:pStyle w:val="ManualConsidrant"/>
      </w:pPr>
      <w:r>
        <w:t>(34)</w:t>
      </w:r>
      <w:r>
        <w:tab/>
      </w:r>
      <w:r w:rsidRPr="00597673">
        <w:t>Постоянните незадоволителни резултати на ИППО могат да намалят стойността на придобитите права на членовете и бенефициентите и да застрашат доверието в схемите за допълнително пенсионно осигуряване. В съответствие с насоките за прилагане на Препоръката на ОИСР относно основните принципи на регулирането на частното пенсионно осигуряване резултатите следва да се оповестяват по съпоставим начин и да се оценяват спрямо ясни и обективни референтни показатели, отразяващи инвестиционната политика. Понастоящем няма еднообразни изисквания за уведомяване на членовете и бенефициерите за незадоволителни резултати. За да се преодолее това, от ИППО следва да се изиска незабавно да информират своя компетентен орган и да представят доказателства, че разходите и таксите на схемата са обосновани и пропорционални и че схемата е в съответствие с допустимото за нейните членове и бенефициери равнище на риск. Когато компетентният орган не е удовлетворен от тази обосновка или незадоволителните резултати продължават най-малко три години, ИППО следва да информират ясно членовете и бенефициерите за тези незадоволителни резултати, да обяснят причините за това и да очертаят мерки за коригиране на ситуацията. Държавите членки следва да гарантират установяването на обективни референтни показатели за оценка на незадоволителните резултати.</w:t>
      </w:r>
    </w:p>
    <w:p w14:paraId="61598402" w14:textId="77777777" w:rsidR="001843B0" w:rsidRPr="00597673" w:rsidRDefault="00582A76" w:rsidP="001843B0">
      <w:pPr>
        <w:pStyle w:val="ManualConsidrant"/>
      </w:pPr>
      <w:r>
        <w:t>(35)</w:t>
      </w:r>
      <w:r>
        <w:tab/>
      </w:r>
      <w:r w:rsidRPr="00597673">
        <w:t>С увеличаването на очакваната продължителност на живота членовете и бенефициерите може да се изправят пред по-голяма необходимост от управление на риска от дълголетие, а пенсионните спестявания трябва да се управляват ефективно, за да се осигурят адекватни доходи по време на фазата на изплащане. Директива (ЕС) 2016/2341 изисква ИППО да предоставят обща информация по време на предпенсионния етап и етапа на изплащане, но не уточнява вида на информацията, необходима за подпомагане на членовете и бенефициерите при информираното вземане на решения по време на изплащането. За да се повишат прозрачността, съпоставимостта и информираното вземане на решения, ИППО следва да спазват минимални изисквания за оповестяване за етапа на изплащане. Тези оповестявания следва да бъдат ясни, достъпни и пропорционални, като се вземат предвид националните особености, и следва да обхващат вариантите за изплащане, свързаните разходи и такси, приложимите данъци, рискове и прогнози, включително за променливите анюитети.</w:t>
      </w:r>
    </w:p>
    <w:p w14:paraId="422A1971" w14:textId="77777777" w:rsidR="00422E7D" w:rsidRPr="00597673" w:rsidRDefault="0068702C" w:rsidP="006F46E3">
      <w:pPr>
        <w:pStyle w:val="ManualConsidrant"/>
      </w:pPr>
      <w:r>
        <w:t>(36)</w:t>
      </w:r>
      <w:r>
        <w:tab/>
      </w:r>
      <w:r w:rsidRPr="00597673">
        <w:t>Преминаването от пенсионни схеми с предварително определен размер на пенсията към схеми, при които пенсионните плащания са в зависимост от постигнатата доходност създава по-голям финансов риск за членовете и бенефициерите, тъй като променливите плащания заместват гарантираните преди това такива. Членовете и бенефициерите често са изправени пред сложен избор по отношение на осигурителните плащания или инвестициите и способността им да вземат подходящи решения може да бъде нарушена от информационни асиметрии, ограничени знания или разбиране, поведенчески предубеждения или сложни и неподходящи условия за избор. Съчетаването на множество варианти допълнително увеличава трудностите за членовете и бенефициерите да оценят потенциалните последици от своите решения. ИППО имат възлова роля за защитата на дългосрочните интереси на членовете и бенефициерите чрез консервативно и стабилно управление на активите им. За да се укрепи доверието в системата и да се гарантира, че инвестиционните решения са съобразени с интереса на членовете, следва да се засилят фидуциарните задължения, свързани с управлението на риска и инвестиционната политика. За да се подобри защитата на членовете и бенефициерите чрез осигуряването от пенсионните схеми на резултатност, която те могат основателно да очакват, ИППО следва да подлежат на общо задължение за полагане на дължима грижа. Това задължение следва да изисква от институциите да действат честно, обективно и професионално в интерес на членовете и бенефициерите, да се стремят към адекватна, съобразена с риска и икономически целесъобразна възвръщаемост в дългосрочен план и да предоставят насоки и гаранции в подкрепа на информираното и подходящо вземане на решения, като вземат предвид естеството на пенсионната схема, рисковете, поемани от членовете и бенефициерите, отговорностите на институцията и, когато е приложимо, ролята на социалните партньори и осигурителите.</w:t>
      </w:r>
    </w:p>
    <w:p w14:paraId="641EE049" w14:textId="77777777" w:rsidR="00D9270F" w:rsidRPr="00597673" w:rsidRDefault="009A5641" w:rsidP="00E36FAC">
      <w:pPr>
        <w:pStyle w:val="ManualConsidrant"/>
      </w:pPr>
      <w:r>
        <w:t>(37)</w:t>
      </w:r>
      <w:r>
        <w:tab/>
      </w:r>
      <w:r w:rsidRPr="00597673">
        <w:t xml:space="preserve">Професионалното пенсионно осигуряване е дългосрочна схема, на която работниците разчитат, за да си осигурят адекватен доход след пенсиониране. Членовете на схеми за пенсионни плащания в зависимост от постигнатата доходност са изправени пред специфични рискове, включително риск, свързан с пенсионния доход, инвестиционен риск, разходи и такси, административни и управленски рискове и пропуски в познанията. За да разработят целесъобразни инвестиционни стратегии и да предложат подходящи инвестиционни варианти, които са съобразени с капацитета на членовете да понасят загуби и предпочитанията им по отношение на риска и възвръщаемостта, ИППО играят централна роля при оценката на тези рискове от гледна точка на членовете и бенефициерите. За да подпомогнат информираното вземане на решения и да защитят интересите на членовете, ИППО следва да извършват дългосрочни оценки на риска, да предоставят подходящ инвестиционен избор и да предоставят ключова информация, включително всички разходи, такси и прогнози, като вземат предвид националните особености. </w:t>
      </w:r>
    </w:p>
    <w:p w14:paraId="0F8F415D" w14:textId="77777777" w:rsidR="00BD698A" w:rsidRPr="00597673" w:rsidRDefault="00BD698A" w:rsidP="00BD698A">
      <w:pPr>
        <w:pStyle w:val="ManualConsidrant"/>
      </w:pPr>
      <w:r>
        <w:t>(38)</w:t>
      </w:r>
      <w:r>
        <w:tab/>
      </w:r>
      <w:r w:rsidRPr="00597673">
        <w:t>За да се осигури на членовете и бенефициерите ефективно упражняване на правата си и достъп до справедлива и навременна правна защита, ИППО следва да въведат ефективни процедури за разглеждане на жалби и да предоставят информация за наличните механизми за алтернативно разрешаване на спорове. По същата причина държавите членки следва да разполагат с подходящи, независими и безпристрастни органи за алтернативно решаване на спорове, включително за трансгранични случаи, и да гарантират, че компетентните органи могат да получават и отговарят на жалби за нарушения на Директива (ЕС) 2016/2341.</w:t>
      </w:r>
    </w:p>
    <w:p w14:paraId="05CB5565" w14:textId="77777777" w:rsidR="008131D4" w:rsidRPr="00597673" w:rsidRDefault="008131D4" w:rsidP="00E8215D">
      <w:pPr>
        <w:pStyle w:val="ManualConsidrant"/>
      </w:pPr>
      <w:r>
        <w:t>(39)</w:t>
      </w:r>
      <w:r>
        <w:tab/>
      </w:r>
      <w:r w:rsidRPr="00597673">
        <w:t>Различията в правомощията, инструментите и практиките, с които разполагат компетентните органи в отделните държави членки, могат да възпрепятстват ефективния надзор на ИППО и навременното предотвратяване или отстраняване на нарушения. Без правомощията да получават необходимата информация, да изискват спазване на приложимите законови и подзаконови актове, да преразглеждат и оценяват стратегиите, процесите и процедурите за докладване на ИППО или да налагат санкции, компетентните органи може да не са в състояние да гарантират, че ИППО поддържат достатъчно финансови ресурси, спазват изискванията за ръководене и управление на риска или могат да устоят на неблагоприятни събития или промени в икономическите условия. За да се справят с тези рискове, държавите членки следва да предоставят на компетентните си органи всички необходими правомощия, за да получават информация, да извършват систематични и отчитащи риска прегледи и оценки, да наблюдават влошаването на финансовите условия, да участват в редовен надзорен диалог, да предприемат своевременно превантивни и корективни мерки и да налагат ефективни, съразмерни и възпиращи административни санкции. </w:t>
      </w:r>
    </w:p>
    <w:p w14:paraId="6497B78A" w14:textId="77777777" w:rsidR="0039669E" w:rsidRPr="00597673" w:rsidRDefault="00C102EF" w:rsidP="25F88385">
      <w:pPr>
        <w:pStyle w:val="ManualConsidrant"/>
      </w:pPr>
      <w:r>
        <w:t>(40)</w:t>
      </w:r>
      <w:r>
        <w:tab/>
      </w:r>
      <w:r w:rsidRPr="00597673">
        <w:t>ИППО се различават значително по мащаб, оперативна ефективност и организационна структура. По-малките или фрагментирани ИППО могат да срещнат трудности при постигането на икономии от мащаба, участието в ефективно обединяване на активи или оптимизирането на оперативната и инвестиционната ефективност. Поради това ранното установяване на структурните предизвикателства и уязвимости е от съществено значение, за да се гарантира, че ИППО могат да осигурят стойност за членовете и бенефициерите в дългосрочен план. Компетентните органи играят важна роля за насърчаване на стратегическия размисъл на ИППО относно тяхната дългосрочна устойчивост, включително по аспекти като мащаб, организационна конфигурация и потенциал за консолидация или сътрудничество, когато това са начини за преодоляване на установените недостатъци. Поради това компетентните органи следва да провеждат редовни структурирани надзорни диалози с ИППО, по време на които ИППО могат да установяват потенциални слабости и да разглеждат стратегически варианти, включително мерки за повишаване на ефективността, мащаба и споделянето на ресурси, като същевременно запазват основната отговорност да гарантират, че членовете и бенефициерите получават адекватни пенсионни плащания.</w:t>
      </w:r>
    </w:p>
    <w:p w14:paraId="2B691DA6" w14:textId="77777777" w:rsidR="002823FB" w:rsidRPr="00597673" w:rsidRDefault="002823FB" w:rsidP="002823FB">
      <w:pPr>
        <w:pStyle w:val="ManualConsidrant"/>
        <w:rPr>
          <w:b/>
          <w:bCs/>
        </w:rPr>
      </w:pPr>
      <w:r>
        <w:t>(41)</w:t>
      </w:r>
      <w:r>
        <w:tab/>
      </w:r>
      <w:r w:rsidRPr="00597673">
        <w:t>Без навременна, пълна и сравнима информация компетентните органи може да не са в състояние да оценят спазването на изискванията, да наблюдават рисковете или да предприемат ефективно превантивни и корективни мерки. За да се реши този проблем, държавите членки следва да предоставят на компетентните си органи правомощия да изискват от ИППО да представят цялата необходима за надзора информация, да извършват проверки на място и да получават подробни доклади за разходите, таксите и възвръщаемостта на инвестициите.</w:t>
      </w:r>
    </w:p>
    <w:p w14:paraId="7AA32E16" w14:textId="77777777" w:rsidR="006B42D0" w:rsidRPr="00597673" w:rsidRDefault="005024F9" w:rsidP="006B42D0">
      <w:pPr>
        <w:pStyle w:val="ManualConsidrant"/>
      </w:pPr>
      <w:r>
        <w:t>(42)</w:t>
      </w:r>
      <w:r>
        <w:tab/>
      </w:r>
      <w:r w:rsidRPr="00597673">
        <w:t>Възлагането от ИППО на възлови функции или други дейности на външен изпълнител може да донесе икономии от мащаба и рентабилност или по-ниски разходи за членовете и бенефициерите. То обаче може да създаде и допълнителни рискове и да възпрепятства ефективния надзор. Без достъп до съответната информация и служебни помещения и без съдействие от страна на доставчиците на услуги компетентните органи може да не са в състояние да наблюдават възложените на външни изпълнители дейности или да осигурят спазването на изискванията. За да се справят с тези рискове, държавите членки следва да задължат ИППО да осигуряват на компетентните органи достъп до данните и служебните помещения на доставчиците на услуги и да извършват проверки на място пряко или чрез оправомощени органи. ИППО следва също така да си сътрудничат пълноценно по време на надзора. С оглед на ефективността на трансграничния надзор на възложените на външен изпълнител функции ЕОЗППО следва да може да подпомага компетентните органи при съвместни проверки на място.</w:t>
      </w:r>
    </w:p>
    <w:p w14:paraId="612BF874" w14:textId="77777777" w:rsidR="00A425E1" w:rsidRPr="00597673" w:rsidRDefault="00712AA9" w:rsidP="00712AA9">
      <w:pPr>
        <w:pStyle w:val="ManualConsidrant"/>
      </w:pPr>
      <w:r>
        <w:t>(43)</w:t>
      </w:r>
      <w:r>
        <w:tab/>
      </w:r>
      <w:r w:rsidRPr="00597673">
        <w:t>Прозрачната, съпоставима и лесно достъпна информация относно общите годишни разходи, резултатите от минали периоди и рисковите профили на пенсионните схеми, управлявани от ИППО, е от съществено значение, за да могат членовете и бенефициерите да взимат информирани решения относно своите пенсионни спестявания. Такова оповестяване би могло да насърчи ефикасността, разходната ефективност и потенциала за постигане на икономии от мащаба, които в крайна сметка са от полза за членовете и бенефициерите. С цел да се осигури съпоставимост и достъпност, компетентните органи следва да публикуват тази информация на единен публичен уебсайт за всички съответни пенсионни схеми или инвестиционни варианти, обхващащ поне предходните десет години.</w:t>
      </w:r>
    </w:p>
    <w:p w14:paraId="6EE75AB8" w14:textId="77777777" w:rsidR="009B1FAD" w:rsidRPr="00597673" w:rsidRDefault="009B1FAD" w:rsidP="009D30F7">
      <w:pPr>
        <w:pStyle w:val="ManualConsidrant"/>
        <w:rPr>
          <w:b/>
          <w:bCs/>
        </w:rPr>
      </w:pPr>
      <w:r>
        <w:t>(44)</w:t>
      </w:r>
      <w:r>
        <w:tab/>
      </w:r>
      <w:r w:rsidRPr="00597673">
        <w:t>Когато трансграничните дейности са значителни за пазара на приемащата държава членка и налагат тясно сътрудничество между компетентните органи на държавата членка по произход и приемащата държава членка, особено когато има риск дадена ИППО да изпадне във финансови затруднения, което може да нанесе ущърб на членовете и бенефициерите, ЕОЗППО следва да може да създава и координира платформи за сътрудничество по начин, подобен на предвидения в Директива 2009/138/ЕО на Европейския парламент и на Съвета</w:t>
      </w:r>
      <w:r w:rsidRPr="00597673">
        <w:rPr>
          <w:rStyle w:val="FootnoteReference"/>
        </w:rPr>
        <w:footnoteReference w:id="36"/>
      </w:r>
      <w:r w:rsidRPr="00597673">
        <w:t>.</w:t>
      </w:r>
    </w:p>
    <w:p w14:paraId="3C904A37" w14:textId="09402ABF" w:rsidR="00C319DF" w:rsidRPr="00597673" w:rsidRDefault="000D2EB2" w:rsidP="00C319DF">
      <w:pPr>
        <w:pStyle w:val="ManualConsidrant"/>
      </w:pPr>
      <w:r>
        <w:t>(45)</w:t>
      </w:r>
      <w:r>
        <w:tab/>
      </w:r>
      <w:r w:rsidRPr="00597673">
        <w:t xml:space="preserve">Застрахователните дружества и застрахователните посредници също могат да предлагат продукти за професионално пенсионно осигуряване. С цел да се осигури еднаква информираност и защита на всички потенциални членове и настоящи членове и бенефициери, за тези дружества и посредници следва да се въведат </w:t>
      </w:r>
      <w:r w:rsidRPr="00597673">
        <w:rPr>
          <w:rStyle w:val="Strong"/>
          <w:b w:val="0"/>
        </w:rPr>
        <w:t>изисквания за информиране, подобни на съответните изисквания за ИППО, включително за предоставяне на информация на системите за проследяване на пенсиите</w:t>
      </w:r>
      <w:r w:rsidRPr="00597673">
        <w:t xml:space="preserve">. </w:t>
      </w:r>
    </w:p>
    <w:p w14:paraId="067C061D" w14:textId="77777777" w:rsidR="00F562E0" w:rsidRPr="00597673" w:rsidRDefault="00F562E0" w:rsidP="00F562E0">
      <w:pPr>
        <w:pStyle w:val="ManualConsidrant"/>
      </w:pPr>
      <w:r>
        <w:t>(46)</w:t>
      </w:r>
      <w:r>
        <w:tab/>
      </w:r>
      <w:r w:rsidRPr="00597673">
        <w:t>За да се постигнат целите, определени в Директива (ЕС) 2016/2341 и в настоящата директива, Комисията следва да бъде оправомощена да приема актове по силата на член 290 от Договора за функционирането на Европейския съюз във връзка с някои технически параметри в Директива (ЕС) 2016/2341, произтичащи от Директива 79/267/ЕИО на Съвета, които са останали непроменени след въвеждането им, както и във връзка с извлечението от индивидуалната пенсионна партида. От особена важност е по време на подготвителната си работа Комисията да проведе подходящи консултации, включително на експертно равнище. При подготовката и изготвянето на делегираните актове Комисията следва да осигури едновременно и своевременно предаване по подходящ начин на съответните документи на Европейския парламент и на Съвета.</w:t>
      </w:r>
    </w:p>
    <w:p w14:paraId="5F0329C0" w14:textId="77777777" w:rsidR="00F562E0" w:rsidRPr="00597673" w:rsidRDefault="00F562E0" w:rsidP="00F562E0">
      <w:pPr>
        <w:pStyle w:val="ManualConsidrant"/>
      </w:pPr>
      <w:r>
        <w:t>(47)</w:t>
      </w:r>
      <w:r>
        <w:tab/>
      </w:r>
      <w:r w:rsidRPr="00597673">
        <w:t>С цел да се осигурят еднакви условия за изпълнение на разпоредбите относно отчитането на възвръщаемостта на инвестициите, нетните инвестиционни разходи и всички разходи и такси, направени във връзка с дейностите на ИППО, на Комисията следва да бъдат предоставени изпълнителни правомощия. Тези правомощия следва да бъдат упражнявани в съответствие с Регламент (ЕС) № 180/2011 на Европейския парламент и на Съвета</w:t>
      </w:r>
      <w:r w:rsidRPr="00597673">
        <w:rPr>
          <w:rStyle w:val="FootnoteReference"/>
        </w:rPr>
        <w:footnoteReference w:id="37"/>
      </w:r>
      <w:r w:rsidRPr="00597673">
        <w:t>.</w:t>
      </w:r>
    </w:p>
    <w:p w14:paraId="176592D4" w14:textId="77777777" w:rsidR="00D77992" w:rsidRPr="00597673" w:rsidRDefault="00F562E0" w:rsidP="00D77992">
      <w:pPr>
        <w:pStyle w:val="ManualConsidrant"/>
      </w:pPr>
      <w:r>
        <w:t>(48)</w:t>
      </w:r>
      <w:r>
        <w:tab/>
      </w:r>
      <w:r w:rsidRPr="00597673">
        <w:t>Директиви (ЕС) 2016/97 и (ЕС) 2016/2341 следва да бъдат съответно изменени.</w:t>
      </w:r>
    </w:p>
    <w:p w14:paraId="2EBE8DF5" w14:textId="77777777" w:rsidR="003B7C99" w:rsidRPr="00597673" w:rsidRDefault="007A6723" w:rsidP="009F1BB4">
      <w:pPr>
        <w:pStyle w:val="ManualConsidrant"/>
      </w:pPr>
      <w:r>
        <w:t>(49)</w:t>
      </w:r>
      <w:r>
        <w:tab/>
      </w:r>
      <w:r w:rsidRPr="00597673">
        <w:t xml:space="preserve">Измененията на Директива (ЕС) 2016/2341 по отношение на лицензирането на ИППО следва да заменят настоящия режим на регистрация или лицензиране, за да се съгласуват надзорните стандарти в целия Съюз. Би било твърде обременително обаче да се изисква от всички ИППО да кандидатстват за нов лиценз. ИППО, които вече са регистрирани или лицензирани съгласно посочената директива, следва да бъдат признати. Поради това, държавите членки следва да предвидят автоматично признаване на ИППО, които вече са регистрирани или лицензирани съгласно посочената директива. </w:t>
      </w:r>
    </w:p>
    <w:p w14:paraId="5F58B9A8" w14:textId="77777777" w:rsidR="001A7050" w:rsidRPr="00597673" w:rsidRDefault="004A14E8" w:rsidP="00D77992">
      <w:pPr>
        <w:pStyle w:val="ManualConsidrant"/>
      </w:pPr>
      <w:r>
        <w:t>(50)</w:t>
      </w:r>
      <w:r>
        <w:tab/>
      </w:r>
      <w:r w:rsidRPr="00597673">
        <w:t>По отношение на обработването на лични данни за целите на настоящата директива се прилага Регламент (ЕС) 2016/679 на Европейския парламент и на Съвета. Държавите членки следва да се уверят, че обработването на данни, извършвано в изпълнение на настоящата директива, е изцяло съобразено с Директива 2002/58/ЕО на Европейския парламент и на Съвета</w:t>
      </w:r>
      <w:r w:rsidRPr="00597673">
        <w:rPr>
          <w:rStyle w:val="FootnoteReference"/>
        </w:rPr>
        <w:footnoteReference w:id="38"/>
      </w:r>
      <w:r w:rsidRPr="00597673">
        <w:t>, когато тази директива е приложима,</w:t>
      </w:r>
    </w:p>
    <w:p w14:paraId="69D75113" w14:textId="77777777" w:rsidR="00AC2BE5" w:rsidRPr="00597673" w:rsidRDefault="00AC2BE5">
      <w:pPr>
        <w:pStyle w:val="Formuledadoption"/>
      </w:pPr>
      <w:r w:rsidRPr="00597673">
        <w:t>ПРИЕХА НАСТОЯЩАТА ДИРЕКТИВА:</w:t>
      </w:r>
    </w:p>
    <w:p w14:paraId="044E2717" w14:textId="77777777" w:rsidR="00AC2BE5" w:rsidRPr="00597673" w:rsidRDefault="00AC2BE5">
      <w:pPr>
        <w:pStyle w:val="Titrearticle"/>
      </w:pPr>
      <w:r w:rsidRPr="00597673">
        <w:t>Член 1</w:t>
      </w:r>
    </w:p>
    <w:p w14:paraId="453E4105" w14:textId="77777777" w:rsidR="00362BC9" w:rsidRPr="00597673" w:rsidRDefault="00297A29" w:rsidP="00297A29">
      <w:pPr>
        <w:jc w:val="center"/>
        <w:rPr>
          <w:b/>
          <w:bCs/>
        </w:rPr>
      </w:pPr>
      <w:r w:rsidRPr="00597673">
        <w:rPr>
          <w:b/>
        </w:rPr>
        <w:t>Изменения на Директива (ЕС) 2016/2341</w:t>
      </w:r>
    </w:p>
    <w:p w14:paraId="00514858" w14:textId="77777777" w:rsidR="00A14774" w:rsidRPr="00597673" w:rsidRDefault="00771D71">
      <w:r w:rsidRPr="00597673">
        <w:t>Директива (ЕС) 2016/2341 се изменя, както следва:</w:t>
      </w:r>
    </w:p>
    <w:p w14:paraId="4950FE2F" w14:textId="78F9579D" w:rsidR="172002BE" w:rsidRPr="00597673" w:rsidRDefault="000F5AC5" w:rsidP="000F5AC5">
      <w:pPr>
        <w:pStyle w:val="Point0"/>
      </w:pPr>
      <w:r>
        <w:t>1)</w:t>
      </w:r>
      <w:r>
        <w:tab/>
      </w:r>
      <w:r w:rsidR="00001A83" w:rsidRPr="00597673">
        <w:t>навсякъде в директивата думите „регистрирани или лицензирани“ се заменят с „лицензирани“;</w:t>
      </w:r>
    </w:p>
    <w:p w14:paraId="43341CFA" w14:textId="337A073F" w:rsidR="1602773E" w:rsidRPr="00597673" w:rsidRDefault="000F5AC5" w:rsidP="000F5AC5">
      <w:pPr>
        <w:pStyle w:val="Point0"/>
      </w:pPr>
      <w:r>
        <w:t>2)</w:t>
      </w:r>
      <w:r>
        <w:tab/>
      </w:r>
      <w:r w:rsidR="004D79C3" w:rsidRPr="00597673">
        <w:t>в цялата директива думите „размер, естество, мащаб и сложност“ се заменят с „естество, мащаб и сложност“;</w:t>
      </w:r>
    </w:p>
    <w:p w14:paraId="41488B1F" w14:textId="52905F03" w:rsidR="29F0AA92" w:rsidRPr="00597673" w:rsidRDefault="000F5AC5" w:rsidP="000F5AC5">
      <w:pPr>
        <w:pStyle w:val="Point0"/>
      </w:pPr>
      <w:r>
        <w:t>3)</w:t>
      </w:r>
      <w:r>
        <w:tab/>
      </w:r>
      <w:r w:rsidR="002B15F8" w:rsidRPr="00597673">
        <w:t>в цялата директива думите „техния размер и вътрешна организация, както и размера, естеството, мащаба и сложността на техните дейности“ се заменят с „естеството, мащаба и сложността на техните дейности“;</w:t>
      </w:r>
    </w:p>
    <w:p w14:paraId="170DF81C" w14:textId="3B0BF24E" w:rsidR="000D56A8" w:rsidRPr="00597673" w:rsidRDefault="000F5AC5" w:rsidP="000F5AC5">
      <w:pPr>
        <w:pStyle w:val="Point0"/>
      </w:pPr>
      <w:r>
        <w:t>4)</w:t>
      </w:r>
      <w:r>
        <w:tab/>
      </w:r>
      <w:r w:rsidR="00164FFB" w:rsidRPr="00597673">
        <w:t>член 2 се изменя, както следва:</w:t>
      </w:r>
    </w:p>
    <w:p w14:paraId="0DF40777" w14:textId="63150752" w:rsidR="00E51DD1" w:rsidRPr="00597673" w:rsidRDefault="000F5AC5" w:rsidP="000F5AC5">
      <w:pPr>
        <w:pStyle w:val="Point1"/>
      </w:pPr>
      <w:r>
        <w:t>а)</w:t>
      </w:r>
      <w:r>
        <w:tab/>
      </w:r>
      <w:r w:rsidR="002446FB" w:rsidRPr="00597673">
        <w:t>в параграф 1 второто изречение се заменя със следното:</w:t>
      </w:r>
    </w:p>
    <w:p w14:paraId="65CF2A08" w14:textId="77777777" w:rsidR="00706D2D" w:rsidRPr="00597673" w:rsidRDefault="00706D2D">
      <w:pPr>
        <w:pStyle w:val="Text1"/>
      </w:pPr>
      <w:r w:rsidRPr="00597673">
        <w:t>„Когато в съответствие с националното право ИППО са учредени във форма, при която лицензирани субекти отговарят за тяхното управление и които действат от тяхно име, държавите членки прилагат настоящата директива по отношение на тези ИППО, или, при спазване на разпоредбите на параграф 2, по отношение на тези лицензирани субекти, или и по отношение на двете, в зависимост от случая.“;</w:t>
      </w:r>
    </w:p>
    <w:p w14:paraId="578C71E3" w14:textId="15EFCFB0" w:rsidR="00AF4478" w:rsidRPr="00597673" w:rsidRDefault="000F5AC5" w:rsidP="000F5AC5">
      <w:pPr>
        <w:pStyle w:val="Point1"/>
      </w:pPr>
      <w:r>
        <w:t>б)</w:t>
      </w:r>
      <w:r>
        <w:tab/>
      </w:r>
      <w:r w:rsidR="001D0A1B" w:rsidRPr="00597673">
        <w:t>добавя се следният параграф 3:</w:t>
      </w:r>
    </w:p>
    <w:p w14:paraId="41F9EA68" w14:textId="77777777" w:rsidR="00C4414D" w:rsidRPr="00597673" w:rsidRDefault="00164FFB" w:rsidP="00732D73">
      <w:pPr>
        <w:pStyle w:val="Text1"/>
      </w:pPr>
      <w:r w:rsidRPr="00597673">
        <w:t>„3.</w:t>
      </w:r>
      <w:r w:rsidRPr="00597673">
        <w:tab/>
        <w:t xml:space="preserve">Когато по силата на параграф 1 лицензиран субект отговаря за управлението на дадена ИППО и действа от нейно име, държавите членки предвиждат активите на ИППО да са правно обособени от тези на лицензирания субект. </w:t>
      </w:r>
    </w:p>
    <w:p w14:paraId="2BA26290" w14:textId="77777777" w:rsidR="00164FFB" w:rsidRPr="00597673" w:rsidRDefault="000E231A" w:rsidP="00315F22">
      <w:pPr>
        <w:pStyle w:val="Text1"/>
      </w:pPr>
      <w:r w:rsidRPr="00597673">
        <w:t>За целите на първа алинея, когато лицензиран субект по параграф 2, буква б) управлява ИППО и действа от нейно име, държавите членки не възпрепятстват подобни лицензирани субекти, установени в друга държава членка, да извършват тези дейности.“;</w:t>
      </w:r>
    </w:p>
    <w:p w14:paraId="0FABEC6E" w14:textId="03475BD9" w:rsidR="006D3707" w:rsidRPr="00597673" w:rsidRDefault="000F5AC5" w:rsidP="000F5AC5">
      <w:pPr>
        <w:pStyle w:val="Point0"/>
      </w:pPr>
      <w:r>
        <w:t>5)</w:t>
      </w:r>
      <w:r>
        <w:tab/>
      </w:r>
      <w:r w:rsidR="006D3707" w:rsidRPr="00597673">
        <w:t>членове 3 и 4 се заменят със следното:</w:t>
      </w:r>
    </w:p>
    <w:p w14:paraId="519A01B1" w14:textId="77777777" w:rsidR="00754E44" w:rsidRPr="00597673" w:rsidRDefault="00754E44" w:rsidP="005D0C3B">
      <w:pPr>
        <w:pStyle w:val="Titrearticle"/>
        <w:rPr>
          <w:b/>
          <w:bCs/>
          <w:iCs/>
        </w:rPr>
      </w:pPr>
      <w:r w:rsidRPr="00597673">
        <w:t xml:space="preserve">„Член 3 </w:t>
      </w:r>
      <w:r w:rsidRPr="00597673">
        <w:br/>
      </w:r>
      <w:r w:rsidRPr="00597673">
        <w:rPr>
          <w:b/>
          <w:i w:val="0"/>
        </w:rPr>
        <w:t>Прилагане спрямо ИППО, управляващи схеми за социална сигурност</w:t>
      </w:r>
    </w:p>
    <w:p w14:paraId="1C3FB2F4" w14:textId="77777777" w:rsidR="00315F22" w:rsidRPr="00597673" w:rsidRDefault="00943528" w:rsidP="00E338B6">
      <w:pPr>
        <w:pStyle w:val="Text1"/>
      </w:pPr>
      <w:r w:rsidRPr="00597673">
        <w:t>ИППО, които управляват и пенсионни схеми, считани за схеми за социална сигурност, обхванати от регламенти (ЕО) № 883/2004 и (ЕО) № 987/2009, попадат в обхвата на настоящата директива по отношение на дейността си по пенсионно осигуряване, която не е обхваната от посочените регламенти. В този случай задълженията и съответстващите им активи се обособяват и не е възможно да се прехвърлят към пенсионни схеми, които се считат за схеми за социална сигурност, или обратно.</w:t>
      </w:r>
    </w:p>
    <w:p w14:paraId="52C0F156" w14:textId="77777777" w:rsidR="009D070E" w:rsidRPr="00597673" w:rsidRDefault="009D070E" w:rsidP="008A4847">
      <w:pPr>
        <w:pStyle w:val="Titrearticle"/>
      </w:pPr>
      <w:r w:rsidRPr="00597673">
        <w:t xml:space="preserve">Член 4 </w:t>
      </w:r>
      <w:r w:rsidRPr="00597673">
        <w:br/>
      </w:r>
      <w:r w:rsidRPr="00597673">
        <w:rPr>
          <w:b/>
          <w:i w:val="0"/>
        </w:rPr>
        <w:t>Незадължително прилагане</w:t>
      </w:r>
    </w:p>
    <w:p w14:paraId="4EF76102" w14:textId="77777777" w:rsidR="00E6249B" w:rsidRPr="00597673" w:rsidRDefault="000D6F2B" w:rsidP="00BE7678">
      <w:pPr>
        <w:pStyle w:val="Text1"/>
      </w:pPr>
      <w:r w:rsidRPr="00597673">
        <w:t>Държавите членки могат да прилагат някои или всички разпоредби на настоящата директива спрямо институциите, независимо от правната им форма, които извършват дейност на капиталова основа с цел предоставяне на пенсионни плащания:</w:t>
      </w:r>
    </w:p>
    <w:p w14:paraId="035171BB" w14:textId="72F8E97C" w:rsidR="00FA1339" w:rsidRPr="00597673" w:rsidRDefault="000F5AC5" w:rsidP="000F5AC5">
      <w:pPr>
        <w:pStyle w:val="Point1"/>
      </w:pPr>
      <w:r>
        <w:t>а)</w:t>
      </w:r>
      <w:r>
        <w:tab/>
      </w:r>
      <w:r w:rsidR="005774F4" w:rsidRPr="00597673">
        <w:t xml:space="preserve">които са изключени от обхвата на настоящата директива съгласно член 2, параграф 2, букви а) и г); или </w:t>
      </w:r>
    </w:p>
    <w:p w14:paraId="6684CAE7" w14:textId="42369839" w:rsidR="00EE22C3" w:rsidRPr="00597673" w:rsidRDefault="000F5AC5" w:rsidP="000F5AC5">
      <w:pPr>
        <w:pStyle w:val="Point1"/>
      </w:pPr>
      <w:r>
        <w:t>б)</w:t>
      </w:r>
      <w:r>
        <w:tab/>
      </w:r>
      <w:r w:rsidR="005774F4" w:rsidRPr="00597673">
        <w:t xml:space="preserve">които не са обхванати от настоящата директива или от директиви 2009/65/ЕО, 2009/138/ЕО, 2011/61/ЕС, 2013/36/ЕС и 2014/65/ЕС. </w:t>
      </w:r>
    </w:p>
    <w:p w14:paraId="0F68F410" w14:textId="77777777" w:rsidR="003E4ED3" w:rsidRPr="00597673" w:rsidRDefault="003E4ED3" w:rsidP="00BE7678">
      <w:pPr>
        <w:pStyle w:val="Text1"/>
      </w:pPr>
      <w:r w:rsidRPr="00597673">
        <w:t>За посочените в член 2, параграф 2, буква а) институции държавите членки могат да решат да прилагат разпоредбите на настоящата директива само доколкото това прилагане е съвместимо с регламенти (ЕО) № 883/2004 и (ЕО) № 987/2009.</w:t>
      </w:r>
    </w:p>
    <w:p w14:paraId="4867C2C2" w14:textId="77777777" w:rsidR="00046CC4" w:rsidRPr="00597673" w:rsidRDefault="00AF48F9" w:rsidP="00BE7678">
      <w:pPr>
        <w:pStyle w:val="Text1"/>
      </w:pPr>
      <w:r w:rsidRPr="00597673">
        <w:t>Когато съгласно националното право институциите по първа алинея се управляват от лицензирани субекти, които отговарят за действията от тяхно име, държавите членки могат да решат да прилагат настоящата директива спрямо тези институции или спрямо лицензираните субекти, които отговарят за тяхното управление и които действат от тяхно име, или спрямо и двете, в зависимост от случая.</w:t>
      </w:r>
    </w:p>
    <w:p w14:paraId="4FA7681D" w14:textId="77777777" w:rsidR="001D3E5B" w:rsidRPr="00597673" w:rsidRDefault="00DC2354" w:rsidP="00BE7678">
      <w:pPr>
        <w:pStyle w:val="Text1"/>
      </w:pPr>
      <w:r w:rsidRPr="00597673">
        <w:t>Държавите членки могат, по силата на настоящия член, да решат да прилагат членове 11 и 11а само ако са приложими всички разпоредби на настоящата директива.</w:t>
      </w:r>
    </w:p>
    <w:p w14:paraId="6451FFFE" w14:textId="77777777" w:rsidR="00927706" w:rsidRPr="00597673" w:rsidRDefault="00046CC4" w:rsidP="00BE7678">
      <w:pPr>
        <w:pStyle w:val="Text1"/>
      </w:pPr>
      <w:r w:rsidRPr="00597673">
        <w:t xml:space="preserve">Ако използват посочените в първа и втора алинея възможности, държавите членки уведомяват Комисията и ЕОЗППО, като посочват видовете институции или, когато е приложимо, лицензирани субекти, обхванати от използването на тези възможности, както и приложимите за тях разпоредби на настоящата директива. </w:t>
      </w:r>
    </w:p>
    <w:p w14:paraId="38D69CD9" w14:textId="77777777" w:rsidR="00C72DC4" w:rsidRPr="00597673" w:rsidRDefault="00F22CB0" w:rsidP="00BE7678">
      <w:pPr>
        <w:pStyle w:val="Text1"/>
      </w:pPr>
      <w:r w:rsidRPr="00597673">
        <w:t>Комисията прави тази информация публично достъпна.“;</w:t>
      </w:r>
    </w:p>
    <w:p w14:paraId="1C4C080D" w14:textId="7C23A065" w:rsidR="00004720" w:rsidRPr="00597673" w:rsidRDefault="000F5AC5" w:rsidP="000F5AC5">
      <w:pPr>
        <w:pStyle w:val="Point0"/>
      </w:pPr>
      <w:r>
        <w:t>6)</w:t>
      </w:r>
      <w:r>
        <w:tab/>
      </w:r>
      <w:r w:rsidR="008D723E" w:rsidRPr="00597673">
        <w:t>член 5 се изменя, както следва:</w:t>
      </w:r>
    </w:p>
    <w:p w14:paraId="2BDD9EAF" w14:textId="41B3C596" w:rsidR="00A37E4A" w:rsidRPr="00597673" w:rsidRDefault="000F5AC5" w:rsidP="000F5AC5">
      <w:pPr>
        <w:pStyle w:val="Point1"/>
      </w:pPr>
      <w:r>
        <w:t>а)</w:t>
      </w:r>
      <w:r>
        <w:tab/>
      </w:r>
      <w:r w:rsidR="00A37E4A" w:rsidRPr="00597673">
        <w:t>заглавието се заменя със следното:</w:t>
      </w:r>
    </w:p>
    <w:p w14:paraId="701D6FBF" w14:textId="77777777" w:rsidR="00A37E4A" w:rsidRPr="00597673" w:rsidRDefault="00687113" w:rsidP="002E1B25">
      <w:pPr>
        <w:pStyle w:val="Titrearticle"/>
        <w:rPr>
          <w:b/>
          <w:bCs/>
        </w:rPr>
      </w:pPr>
      <w:r w:rsidRPr="00597673">
        <w:rPr>
          <w:b/>
        </w:rPr>
        <w:t>„</w:t>
      </w:r>
      <w:r w:rsidRPr="00597673">
        <w:rPr>
          <w:b/>
          <w:i w:val="0"/>
        </w:rPr>
        <w:t>Малки ИППО</w:t>
      </w:r>
      <w:r w:rsidRPr="00597673">
        <w:rPr>
          <w:b/>
        </w:rPr>
        <w:t>“;</w:t>
      </w:r>
    </w:p>
    <w:p w14:paraId="3454D9DD" w14:textId="20E9A202" w:rsidR="00213036" w:rsidRPr="00597673" w:rsidRDefault="000F5AC5" w:rsidP="000F5AC5">
      <w:pPr>
        <w:pStyle w:val="Point1"/>
      </w:pPr>
      <w:r>
        <w:t>б)</w:t>
      </w:r>
      <w:r>
        <w:tab/>
      </w:r>
      <w:r w:rsidR="00213036" w:rsidRPr="00597673">
        <w:t xml:space="preserve"> втора алинея се заличава;</w:t>
      </w:r>
    </w:p>
    <w:p w14:paraId="3636C748" w14:textId="5FD827C3" w:rsidR="001449B4" w:rsidRPr="00597673" w:rsidRDefault="000F5AC5" w:rsidP="000F5AC5">
      <w:pPr>
        <w:pStyle w:val="Point0"/>
      </w:pPr>
      <w:r>
        <w:t>7)</w:t>
      </w:r>
      <w:r>
        <w:tab/>
      </w:r>
      <w:r w:rsidR="001449B4" w:rsidRPr="00597673">
        <w:t>член 6 се изменя, както следва:</w:t>
      </w:r>
    </w:p>
    <w:p w14:paraId="6E87E062" w14:textId="75A80B69" w:rsidR="00451CF3" w:rsidRPr="00597673" w:rsidRDefault="000F5AC5" w:rsidP="000F5AC5">
      <w:pPr>
        <w:pStyle w:val="Point1"/>
      </w:pPr>
      <w:r>
        <w:t>а)</w:t>
      </w:r>
      <w:r>
        <w:tab/>
      </w:r>
      <w:r w:rsidR="00451CF3" w:rsidRPr="00597673">
        <w:t>в точка 1 думите „и която извършва дейности, които произтичат пряко от тази цел;“ се заменят с „и която извършва дейности, които произтичат пряко от тази цел, и, когато националното законодателство го позволява, лично пенсионно осигуряване;“;</w:t>
      </w:r>
    </w:p>
    <w:p w14:paraId="6DB7F786" w14:textId="76520D4C" w:rsidR="00B86D44" w:rsidRPr="00597673" w:rsidRDefault="000F5AC5" w:rsidP="000F5AC5">
      <w:pPr>
        <w:pStyle w:val="Point1"/>
      </w:pPr>
      <w:r>
        <w:t>б)</w:t>
      </w:r>
      <w:r>
        <w:tab/>
      </w:r>
      <w:r w:rsidR="00F27B29" w:rsidRPr="00597673">
        <w:t>точка 3 се заменя със следното:</w:t>
      </w:r>
    </w:p>
    <w:p w14:paraId="459FCD7C" w14:textId="77777777" w:rsidR="00F92BD8" w:rsidRPr="00597673" w:rsidRDefault="00B86D44" w:rsidP="002E1B25">
      <w:pPr>
        <w:pStyle w:val="Point1"/>
      </w:pPr>
      <w:r w:rsidRPr="00597673">
        <w:t xml:space="preserve">„3) </w:t>
      </w:r>
      <w:r w:rsidRPr="00597673">
        <w:tab/>
        <w:t>„осигурително дружество“ означава дружество или друга организация, независимо дали включва или се състои от едно или повече физически или юридически лица, която действа като работодател, професионална организация или орган, или като самостоятелно заето лице, или съчетава тези две качества и която предлага пенсионна схема или плаща вноски на ИППО;“;</w:t>
      </w:r>
    </w:p>
    <w:p w14:paraId="1E9AE6FD" w14:textId="4C729562" w:rsidR="00283D94" w:rsidRPr="00597673" w:rsidRDefault="000F5AC5" w:rsidP="000F5AC5">
      <w:pPr>
        <w:pStyle w:val="Point1"/>
      </w:pPr>
      <w:r>
        <w:t>в)</w:t>
      </w:r>
      <w:r>
        <w:tab/>
      </w:r>
      <w:r w:rsidR="00283D94" w:rsidRPr="00597673">
        <w:t>точка 5 се заменя със следното:</w:t>
      </w:r>
    </w:p>
    <w:p w14:paraId="379C42B0" w14:textId="77777777" w:rsidR="0029517D" w:rsidRPr="00597673" w:rsidRDefault="07FF5032" w:rsidP="002E1B25">
      <w:pPr>
        <w:pStyle w:val="Point1"/>
      </w:pPr>
      <w:r w:rsidRPr="00597673">
        <w:t xml:space="preserve">„5) </w:t>
      </w:r>
      <w:r w:rsidRPr="00597673">
        <w:tab/>
        <w:t>„член“ означава лице, което не е нито бенефициер, нито потенциален член и чиято минала или настояща професионална дейност му дава или ще му даде право на пенсионни доходи според условията на пенсионна схема, с изключение на това, че за целите на дялове I, II, III, V и VI „член“ означава също така лице, осигурявано по схема за лично пенсионно осигуряване, когато предоставянето на лично пенсионно осигуряване от ИППО е разрешено съгласно националното законодателство;“</w:t>
      </w:r>
    </w:p>
    <w:p w14:paraId="00B73E6C" w14:textId="46E5BBAE" w:rsidR="001449B4" w:rsidRPr="00597673" w:rsidRDefault="000F5AC5" w:rsidP="000F5AC5">
      <w:pPr>
        <w:pStyle w:val="Point1"/>
      </w:pPr>
      <w:r>
        <w:t>г)</w:t>
      </w:r>
      <w:r>
        <w:tab/>
      </w:r>
      <w:r w:rsidR="00642E63" w:rsidRPr="00597673">
        <w:t>добавят се следните точки 20, 21 и 22:</w:t>
      </w:r>
    </w:p>
    <w:p w14:paraId="10E2589B" w14:textId="77777777" w:rsidR="00AD66D8" w:rsidRPr="00597673" w:rsidRDefault="00642E63" w:rsidP="00CF38C2">
      <w:pPr>
        <w:pStyle w:val="Point1"/>
      </w:pPr>
      <w:r w:rsidRPr="00597673">
        <w:t xml:space="preserve">„20) </w:t>
      </w:r>
      <w:r w:rsidRPr="00597673">
        <w:tab/>
        <w:t>„доставчик на услуги“ означава дружество, на което ИППО е възложила дейности, обхванати от настоящата директива;</w:t>
      </w:r>
    </w:p>
    <w:p w14:paraId="566DDB98" w14:textId="77777777" w:rsidR="00A456E7" w:rsidRPr="00597673" w:rsidRDefault="00AD66D8" w:rsidP="005D0C3B">
      <w:pPr>
        <w:pStyle w:val="Point1"/>
      </w:pPr>
      <w:r w:rsidRPr="00597673">
        <w:t>21) „продукт за лично пенсионно осигуряване“ означава продукт за лично пенсионно осигуряване, както е определен в член 2, точка 1 от Регламент (ЕС) 2019/1238 на Европейския парламент и на Съвета*.</w:t>
      </w:r>
    </w:p>
    <w:p w14:paraId="4F8E3EC8" w14:textId="77777777" w:rsidR="00B06D71" w:rsidRPr="00597673" w:rsidRDefault="002B626C" w:rsidP="00CF38C2">
      <w:pPr>
        <w:pStyle w:val="Point1"/>
      </w:pPr>
      <w:r w:rsidRPr="00597673">
        <w:t>22) „система за проследяване на пенсиите“ означава цифров инструмент, в повечето случаи защитен уеб портал или мобилно приложение, които предоставят на дадено лице цялостен поглед върху натрупаните му индивидуални пенсионни права, както и прогноза за бъдещите плащания по пенсионните схеми, в които участва или от които получава пенсия.</w:t>
      </w:r>
    </w:p>
    <w:p w14:paraId="1F0B57AC" w14:textId="77777777" w:rsidR="00691AD7" w:rsidRPr="00597673" w:rsidRDefault="00691AD7" w:rsidP="005D0C3B">
      <w:pPr>
        <w:pStyle w:val="Text2"/>
      </w:pPr>
      <w:r w:rsidRPr="00597673">
        <w:t>__________</w:t>
      </w:r>
    </w:p>
    <w:p w14:paraId="112F333C" w14:textId="77777777" w:rsidR="00691AD7" w:rsidRPr="00597673" w:rsidRDefault="00691AD7" w:rsidP="005D0C3B">
      <w:pPr>
        <w:pStyle w:val="Text2"/>
        <w:rPr>
          <w:sz w:val="20"/>
          <w:szCs w:val="18"/>
        </w:rPr>
      </w:pPr>
      <w:r w:rsidRPr="00597673">
        <w:rPr>
          <w:sz w:val="20"/>
        </w:rPr>
        <w:t xml:space="preserve">* </w:t>
      </w:r>
      <w:r w:rsidRPr="00597673">
        <w:tab/>
      </w:r>
      <w:r w:rsidRPr="00597673">
        <w:rPr>
          <w:sz w:val="20"/>
        </w:rPr>
        <w:t>Регламент (ЕС) 2019/1238 на Европейския парламент и на Съвета от 20 юни 2019 г. относно паневропейски персонален пенсионен продукт (ПЕПП) (ОВ L 198, 25.7.2019 г., стр. 1, ELI: http://data.europa.eu/eli/reg/2019/1238/oj).“;</w:t>
      </w:r>
    </w:p>
    <w:p w14:paraId="5ACD3ECA" w14:textId="10034287" w:rsidR="00EF7E2A" w:rsidRPr="00597673" w:rsidRDefault="000F5AC5" w:rsidP="000F5AC5">
      <w:pPr>
        <w:pStyle w:val="Point0"/>
      </w:pPr>
      <w:r>
        <w:t>8)</w:t>
      </w:r>
      <w:r>
        <w:tab/>
      </w:r>
      <w:r w:rsidR="005B0C1D" w:rsidRPr="00597673">
        <w:t>в член 7 втора алинея се заменя със следния текст:</w:t>
      </w:r>
    </w:p>
    <w:p w14:paraId="0EEEBBDA" w14:textId="77777777" w:rsidR="00DE37DE" w:rsidRPr="00597673" w:rsidRDefault="00DE37DE" w:rsidP="005B0C1D">
      <w:pPr>
        <w:pStyle w:val="Text1"/>
      </w:pPr>
      <w:r w:rsidRPr="00597673">
        <w:t>„Когато съгласно националното право ИППО са лицензирани да предоставят продукти за лично пенсионно осигуряване, всички активи и пасиви, съответстващи на дейността по предоставяне на лични пенсии, се обособяват, без възможност за прехвърляне на тези активи и пасиви към друга дейност на институцията по предоставяне на пенсии.“;</w:t>
      </w:r>
    </w:p>
    <w:p w14:paraId="77A96652" w14:textId="45238DF5" w:rsidR="00553436" w:rsidRPr="00597673" w:rsidRDefault="000F5AC5" w:rsidP="000F5AC5">
      <w:pPr>
        <w:pStyle w:val="Point0"/>
      </w:pPr>
      <w:r>
        <w:t>9)</w:t>
      </w:r>
      <w:r>
        <w:tab/>
      </w:r>
      <w:r w:rsidR="00553436" w:rsidRPr="00597673">
        <w:t xml:space="preserve">вмъква се следният член 8a: </w:t>
      </w:r>
    </w:p>
    <w:p w14:paraId="38C7469C" w14:textId="77777777" w:rsidR="00304E76" w:rsidRPr="00597673" w:rsidRDefault="00304E76" w:rsidP="00304E76">
      <w:pPr>
        <w:pStyle w:val="Titrearticle"/>
        <w:rPr>
          <w:i w:val="0"/>
          <w:iCs/>
        </w:rPr>
      </w:pPr>
      <w:r w:rsidRPr="00597673">
        <w:t xml:space="preserve">„Член 8а </w:t>
      </w:r>
      <w:r w:rsidRPr="00597673">
        <w:br/>
      </w:r>
      <w:r w:rsidRPr="00597673">
        <w:rPr>
          <w:b/>
          <w:i w:val="0"/>
        </w:rPr>
        <w:t>Право на установяване и свобода на предоставяне на услуги</w:t>
      </w:r>
    </w:p>
    <w:p w14:paraId="4FEC9B06" w14:textId="77777777" w:rsidR="00733BD3" w:rsidRPr="00597673" w:rsidRDefault="00733BD3" w:rsidP="00304E76">
      <w:pPr>
        <w:pStyle w:val="Text1"/>
      </w:pPr>
      <w:r w:rsidRPr="00597673">
        <w:t>1.</w:t>
      </w:r>
      <w:r w:rsidRPr="00597673">
        <w:tab/>
        <w:t>По силата на членове 11 и 11а ИППО имат право да предоставят услуги в целия Съюз.</w:t>
      </w:r>
    </w:p>
    <w:p w14:paraId="4304128A" w14:textId="77777777" w:rsidR="00304E76" w:rsidRPr="00597673" w:rsidRDefault="00733BD3" w:rsidP="00304E76">
      <w:pPr>
        <w:pStyle w:val="Text1"/>
      </w:pPr>
      <w:r w:rsidRPr="00597673">
        <w:t>2.</w:t>
      </w:r>
      <w:r w:rsidRPr="00597673">
        <w:tab/>
        <w:t>Държавите членки не възпрепятстват установяването на ИППО на тяхна територия.“;</w:t>
      </w:r>
    </w:p>
    <w:p w14:paraId="0E481E6A" w14:textId="22A157A6" w:rsidR="0062154E" w:rsidRPr="00597673" w:rsidRDefault="000F5AC5" w:rsidP="000F5AC5">
      <w:pPr>
        <w:pStyle w:val="Point0"/>
      </w:pPr>
      <w:r>
        <w:t>10)</w:t>
      </w:r>
      <w:r>
        <w:tab/>
      </w:r>
      <w:r w:rsidR="0062154E" w:rsidRPr="00597673">
        <w:t>член 9 се изменя, както следва:</w:t>
      </w:r>
    </w:p>
    <w:p w14:paraId="7FC379A8" w14:textId="18D6BF65" w:rsidR="00950E28" w:rsidRPr="00597673" w:rsidRDefault="000F5AC5" w:rsidP="000F5AC5">
      <w:pPr>
        <w:pStyle w:val="Point1"/>
      </w:pPr>
      <w:r>
        <w:t>а)</w:t>
      </w:r>
      <w:r>
        <w:tab/>
      </w:r>
      <w:r w:rsidR="00BF629B" w:rsidRPr="00597673">
        <w:t>заглавието се заменя със следното:</w:t>
      </w:r>
    </w:p>
    <w:p w14:paraId="091F283B" w14:textId="77777777" w:rsidR="00BF629B" w:rsidRPr="00597673" w:rsidRDefault="00BF629B" w:rsidP="00003763">
      <w:pPr>
        <w:pStyle w:val="Titrearticle"/>
        <w:rPr>
          <w:i w:val="0"/>
          <w:iCs/>
        </w:rPr>
      </w:pPr>
      <w:r w:rsidRPr="00597673">
        <w:rPr>
          <w:b/>
          <w:i w:val="0"/>
        </w:rPr>
        <w:t>„Лицензиране“</w:t>
      </w:r>
      <w:r w:rsidRPr="00597673">
        <w:rPr>
          <w:i w:val="0"/>
        </w:rPr>
        <w:t>;</w:t>
      </w:r>
    </w:p>
    <w:p w14:paraId="0B571F33" w14:textId="6112CE02" w:rsidR="00950E28" w:rsidRPr="00597673" w:rsidRDefault="000F5AC5" w:rsidP="000F5AC5">
      <w:pPr>
        <w:pStyle w:val="Point1"/>
      </w:pPr>
      <w:r>
        <w:t>б)</w:t>
      </w:r>
      <w:r>
        <w:tab/>
      </w:r>
      <w:r w:rsidR="00950E28" w:rsidRPr="00597673">
        <w:t>параграф 1 се заменя със следното:</w:t>
      </w:r>
    </w:p>
    <w:p w14:paraId="2854B11C" w14:textId="77777777" w:rsidR="003B53FA" w:rsidRPr="00597673" w:rsidRDefault="00AF77C9" w:rsidP="00F31A0D">
      <w:pPr>
        <w:pStyle w:val="Text1"/>
      </w:pPr>
      <w:r w:rsidRPr="00597673">
        <w:t>„1.</w:t>
      </w:r>
      <w:r w:rsidRPr="00597673">
        <w:tab/>
        <w:t>Държавите членки изискват от всяка ИППО, чието основно управление се намира на тяхна територия, да е лицензирана от компетентния орган и да е включена в национален регистър.</w:t>
      </w:r>
    </w:p>
    <w:p w14:paraId="541B40E2" w14:textId="77777777" w:rsidR="00087D09" w:rsidRPr="00597673" w:rsidRDefault="006F7523" w:rsidP="00F31A0D">
      <w:pPr>
        <w:pStyle w:val="Text1"/>
      </w:pPr>
      <w:r w:rsidRPr="00597673">
        <w:t>За местоположение на главното управление се приема мястото, където се взимат основните стратегически решения на ИППО.</w:t>
      </w:r>
    </w:p>
    <w:p w14:paraId="34950368" w14:textId="77777777" w:rsidR="006F161E" w:rsidRPr="00597673" w:rsidRDefault="00C723C9" w:rsidP="00F31A0D">
      <w:pPr>
        <w:pStyle w:val="Text1"/>
      </w:pPr>
      <w:r w:rsidRPr="00597673">
        <w:t xml:space="preserve">Държавите членки изискват от компетентните органи да извършват пруденциална оценка при лицензирането на ИППО. При оценката се взимат предвид естеството, мащабът и сложността на дейностите на съответната ИППО. </w:t>
      </w:r>
    </w:p>
    <w:p w14:paraId="53B0766F" w14:textId="77777777" w:rsidR="0037761D" w:rsidRPr="00597673" w:rsidRDefault="00161D26" w:rsidP="00560365">
      <w:pPr>
        <w:pStyle w:val="Text1"/>
      </w:pPr>
      <w:r w:rsidRPr="00597673">
        <w:t>ИППО, които желаят да получат лиценз, изготвят и представят на компетентния орган финансово-икономически план за всички планирани дейности, в който подробно се описват наличните финансови ресурси за покриване на текущите и бъдещите оперативни разходи. Финансово-икономическият план съдържа прогнози за приходите и разходите на ИППО за период от най-малко три години и разбивка на оперативните разходи на ИППО, включително, когато е приложимо, разходите за дистрибуция и придобиване, както и всякакви други елементи, които биха помогнали на компетентните органи да оценят спазването на оперативните изисквания.</w:t>
      </w:r>
    </w:p>
    <w:p w14:paraId="33BC6F5E" w14:textId="77777777" w:rsidR="00C1417F" w:rsidRPr="00597673" w:rsidRDefault="00AF544C" w:rsidP="00F31A0D">
      <w:pPr>
        <w:pStyle w:val="Text1"/>
      </w:pPr>
      <w:r w:rsidRPr="00597673">
        <w:t>Последващото приемане на едно или повече осигурителни дружества не задължава ИППО да премине през нова лицензионна процедура.“;</w:t>
      </w:r>
    </w:p>
    <w:p w14:paraId="5F094A54" w14:textId="16C43516" w:rsidR="00CE4A61" w:rsidRPr="00597673" w:rsidRDefault="000F5AC5" w:rsidP="000F5AC5">
      <w:pPr>
        <w:pStyle w:val="Point1"/>
      </w:pPr>
      <w:r>
        <w:t>в)</w:t>
      </w:r>
      <w:r>
        <w:tab/>
      </w:r>
      <w:r w:rsidR="00CE4A61" w:rsidRPr="00597673">
        <w:t>вмъква се следният параграф 1a:</w:t>
      </w:r>
    </w:p>
    <w:p w14:paraId="027568EA" w14:textId="77777777" w:rsidR="00BE4240" w:rsidRPr="00597673" w:rsidRDefault="00CE4A61" w:rsidP="00CE4A61">
      <w:pPr>
        <w:pStyle w:val="Text1"/>
      </w:pPr>
      <w:r w:rsidRPr="00597673">
        <w:t>„1a.</w:t>
      </w:r>
      <w:r w:rsidRPr="00597673">
        <w:tab/>
        <w:t>Всяко решение за отказ на лиценз се придружава от подробна обосновка и се съобщава на съответната ИППО.</w:t>
      </w:r>
    </w:p>
    <w:p w14:paraId="6D4677CD" w14:textId="77777777" w:rsidR="00CE4A61" w:rsidRPr="00597673" w:rsidRDefault="00E14DB1" w:rsidP="00CE4A61">
      <w:pPr>
        <w:pStyle w:val="Text1"/>
      </w:pPr>
      <w:r w:rsidRPr="00597673">
        <w:t>Без да се засяга член 48, параграф 9, всяка държава членка предвижда възможност за обжалване по съдебен ред, в случай че компетентните ѝ органи не са разгледали заявление за лиценз в срок от шест месеца от датата на получаването му.“;</w:t>
      </w:r>
    </w:p>
    <w:p w14:paraId="436EE66A" w14:textId="63F7E6F9" w:rsidR="00CC136D" w:rsidRPr="00597673" w:rsidRDefault="000F5AC5" w:rsidP="000F5AC5">
      <w:pPr>
        <w:pStyle w:val="Point0"/>
      </w:pPr>
      <w:r>
        <w:t>11)</w:t>
      </w:r>
      <w:r>
        <w:tab/>
      </w:r>
      <w:r w:rsidR="2C0DFB81" w:rsidRPr="00597673">
        <w:t>добавя се следният член 9а:</w:t>
      </w:r>
    </w:p>
    <w:p w14:paraId="108A537E" w14:textId="77777777" w:rsidR="00CC136D" w:rsidRPr="00597673" w:rsidRDefault="00CC136D" w:rsidP="00C9746B">
      <w:pPr>
        <w:pStyle w:val="Titrearticle"/>
      </w:pPr>
      <w:r w:rsidRPr="00597673">
        <w:t xml:space="preserve">„Член 9а </w:t>
      </w:r>
      <w:r w:rsidRPr="00597673">
        <w:br/>
      </w:r>
      <w:r w:rsidRPr="00597673">
        <w:rPr>
          <w:b/>
          <w:i w:val="0"/>
        </w:rPr>
        <w:t>ИППО с няколко осигурителни дружества</w:t>
      </w:r>
    </w:p>
    <w:p w14:paraId="7E74CFA1" w14:textId="77777777" w:rsidR="00E91AB1" w:rsidRPr="00597673" w:rsidRDefault="00D134E9" w:rsidP="073AE836">
      <w:pPr>
        <w:pStyle w:val="Text1"/>
      </w:pPr>
      <w:r w:rsidRPr="00597673">
        <w:t>Държавите членки разрешават на ИППО да управляват различни схеми за пенсионно осигуряване, включително такива с различни инвестиционни политики, и да приемат спонсорство от няколко осигурителни дружества в рамките на една и съща пенсионна схема.</w:t>
      </w:r>
    </w:p>
    <w:p w14:paraId="25B1BA3A" w14:textId="4F52FB52" w:rsidR="006D776B" w:rsidRPr="00597673" w:rsidRDefault="00E91AB1" w:rsidP="073AE836">
      <w:pPr>
        <w:pStyle w:val="Text1"/>
      </w:pPr>
      <w:r w:rsidRPr="00597673">
        <w:t>Първата алинея не засяга решението на държава членка да изисква схемите с няколко осигурителни дружества да се управляват съгласно Директива 2009/138/ЕО.“;</w:t>
      </w:r>
    </w:p>
    <w:p w14:paraId="2E42186A" w14:textId="1F954868" w:rsidR="000A5A2A" w:rsidRPr="00597673" w:rsidRDefault="000F5AC5" w:rsidP="000F5AC5">
      <w:pPr>
        <w:pStyle w:val="Point0"/>
      </w:pPr>
      <w:r>
        <w:t>12)</w:t>
      </w:r>
      <w:r>
        <w:tab/>
      </w:r>
      <w:r w:rsidR="006F161E" w:rsidRPr="00597673">
        <w:t>член 10 се изменя, както следва:</w:t>
      </w:r>
    </w:p>
    <w:p w14:paraId="38AF7014" w14:textId="2D2DFE3C" w:rsidR="007E0997" w:rsidRPr="00597673" w:rsidRDefault="000F5AC5" w:rsidP="000F5AC5">
      <w:pPr>
        <w:pStyle w:val="Point1"/>
      </w:pPr>
      <w:r>
        <w:t>а)</w:t>
      </w:r>
      <w:r>
        <w:tab/>
      </w:r>
      <w:r w:rsidR="009A2CA6" w:rsidRPr="00597673">
        <w:t>в параграф 1 се добавя следната буква в):</w:t>
      </w:r>
    </w:p>
    <w:p w14:paraId="3D6B7360" w14:textId="77777777" w:rsidR="00B76782" w:rsidRPr="00597673" w:rsidRDefault="00767114" w:rsidP="00A13488">
      <w:pPr>
        <w:pStyle w:val="Point1"/>
      </w:pPr>
      <w:r w:rsidRPr="00597673">
        <w:t xml:space="preserve">„в) </w:t>
      </w:r>
      <w:r w:rsidRPr="00597673">
        <w:tab/>
        <w:t>ИППО разполага с достатъчно финансови ресурси, за да покрива текущите и бъдещите си оперативни разходи.“;</w:t>
      </w:r>
    </w:p>
    <w:p w14:paraId="5E3607FC" w14:textId="382B1CC4" w:rsidR="00EB63D6" w:rsidRPr="00597673" w:rsidRDefault="000F5AC5" w:rsidP="000F5AC5">
      <w:pPr>
        <w:pStyle w:val="Point1"/>
      </w:pPr>
      <w:r>
        <w:t>б)</w:t>
      </w:r>
      <w:r>
        <w:tab/>
      </w:r>
      <w:r w:rsidR="33024F7A" w:rsidRPr="00597673">
        <w:t>добавя се следният параграф 3:</w:t>
      </w:r>
    </w:p>
    <w:p w14:paraId="59DD2DC8" w14:textId="77777777" w:rsidR="00D00B5B" w:rsidRPr="00597673" w:rsidRDefault="33024F7A" w:rsidP="00D00B5B">
      <w:pPr>
        <w:pStyle w:val="Text1"/>
      </w:pPr>
      <w:r w:rsidRPr="00597673">
        <w:t>„3.</w:t>
      </w:r>
      <w:r w:rsidRPr="00597673">
        <w:tab/>
        <w:t>ЕОЗППО издава в съответствие с член 16 от Регламент (ЕС) № 1094/2010 насоки за пруденциалната оценка, която трябва да се извърши като част от лицензирането на ИППО, както и за изискванията, предвидени в дялове II и III.“;</w:t>
      </w:r>
    </w:p>
    <w:p w14:paraId="15322654" w14:textId="64F6EFD0" w:rsidR="00A018CF" w:rsidRPr="00597673" w:rsidRDefault="000F5AC5" w:rsidP="000F5AC5">
      <w:pPr>
        <w:pStyle w:val="Point0"/>
      </w:pPr>
      <w:r>
        <w:t>13)</w:t>
      </w:r>
      <w:r>
        <w:tab/>
      </w:r>
      <w:r w:rsidR="006E00E2" w:rsidRPr="00597673">
        <w:t>член 11 се изменя както следва:</w:t>
      </w:r>
    </w:p>
    <w:p w14:paraId="3FF521BB" w14:textId="62C62C26" w:rsidR="00054267" w:rsidRPr="00597673" w:rsidRDefault="000F5AC5" w:rsidP="000F5AC5">
      <w:pPr>
        <w:pStyle w:val="Point1"/>
      </w:pPr>
      <w:r>
        <w:t>а)</w:t>
      </w:r>
      <w:r>
        <w:tab/>
      </w:r>
      <w:r w:rsidR="003362C6" w:rsidRPr="00597673">
        <w:t>параграф 2 се заличава;</w:t>
      </w:r>
    </w:p>
    <w:p w14:paraId="3A1BEC22" w14:textId="4147DCF6" w:rsidR="00B32703" w:rsidRPr="00597673" w:rsidRDefault="000F5AC5" w:rsidP="000F5AC5">
      <w:pPr>
        <w:pStyle w:val="Point1"/>
      </w:pPr>
      <w:r>
        <w:t>б)</w:t>
      </w:r>
      <w:r>
        <w:tab/>
      </w:r>
      <w:r w:rsidR="00D45CA8" w:rsidRPr="00597673">
        <w:t>параграфи 3 и 4 се заменят със следното:</w:t>
      </w:r>
    </w:p>
    <w:p w14:paraId="5C3EAF17" w14:textId="77777777" w:rsidR="00054267" w:rsidRPr="00597673" w:rsidRDefault="00441D9B" w:rsidP="00F31A0D">
      <w:pPr>
        <w:pStyle w:val="Text1"/>
      </w:pPr>
      <w:r w:rsidRPr="00597673">
        <w:t>„3.</w:t>
      </w:r>
      <w:r w:rsidRPr="00597673">
        <w:tab/>
        <w:t xml:space="preserve">Държавите членки по произход задължават всяка ИППО да уведомява компетентния орган за намерението си да извършва трансгранична дейност. </w:t>
      </w:r>
    </w:p>
    <w:p w14:paraId="6BCFDDEB" w14:textId="77777777" w:rsidR="0021430A" w:rsidRPr="00597673" w:rsidRDefault="0021430A" w:rsidP="00F31A0D">
      <w:pPr>
        <w:pStyle w:val="Text1"/>
      </w:pPr>
      <w:r w:rsidRPr="00597673">
        <w:t>Държавите членки изискват от ИППО да предоставят следната информация при изпращане на уведомлението:</w:t>
      </w:r>
    </w:p>
    <w:p w14:paraId="20817509" w14:textId="77777777" w:rsidR="0021430A" w:rsidRPr="00597673" w:rsidRDefault="0021430A" w:rsidP="005D0C3B">
      <w:pPr>
        <w:pStyle w:val="Point1"/>
      </w:pPr>
      <w:r w:rsidRPr="00597673">
        <w:t xml:space="preserve">а) </w:t>
      </w:r>
      <w:r w:rsidRPr="00597673">
        <w:tab/>
        <w:t>наименованието на приемащата или приемащите държави членки, които, когато е приложимо, определя осигурителното дружество;</w:t>
      </w:r>
    </w:p>
    <w:p w14:paraId="2173AD11" w14:textId="77777777" w:rsidR="007D481E" w:rsidRPr="00597673" w:rsidRDefault="0021430A" w:rsidP="005D0C3B">
      <w:pPr>
        <w:pStyle w:val="Point1"/>
      </w:pPr>
      <w:r w:rsidRPr="00597673">
        <w:t xml:space="preserve">б) </w:t>
      </w:r>
      <w:r w:rsidRPr="00597673">
        <w:tab/>
        <w:t>наименованието и местоположението на главните управления на осигурителните дружества;</w:t>
      </w:r>
    </w:p>
    <w:p w14:paraId="6DC333FF" w14:textId="77777777" w:rsidR="009A1225" w:rsidRPr="00597673" w:rsidRDefault="007D481E" w:rsidP="005D0C3B">
      <w:pPr>
        <w:pStyle w:val="Point1"/>
      </w:pPr>
      <w:r w:rsidRPr="00597673">
        <w:t xml:space="preserve">в) </w:t>
      </w:r>
      <w:r w:rsidRPr="00597673">
        <w:tab/>
        <w:t>основните характеристики на пенсионната схема или схеми, управлявани за осигурителните дружества.</w:t>
      </w:r>
    </w:p>
    <w:p w14:paraId="74AEC122" w14:textId="77777777" w:rsidR="007B4C28" w:rsidRPr="00597673" w:rsidRDefault="00D64D78" w:rsidP="0094694A">
      <w:pPr>
        <w:pStyle w:val="Text1"/>
      </w:pPr>
      <w:r w:rsidRPr="00597673">
        <w:t>4.</w:t>
      </w:r>
      <w:r w:rsidRPr="00597673">
        <w:tab/>
        <w:t>Държавите членки предвиждат компетентният орган на държавата членка по произход, който е уведомен съгласно параграф 3 и не е издал мотивирано решение, че административната структура или финансовото състояние на ИППО или добрата репутация или професионалните квалификации или опит на лицата, управляващи ИППО, са несъвместими с предложените трансгранични дейности, да съобщава информацията, посочена в параграф 3, на компетентния орган на приемащата държава членка в срок от два месеца от получаването на тази информация. Държавите членки предвиждат компетентният орган на приемащата държава членка да потвърждава незабавно получаването на тази информация. Държавите членки предвиждат компетентният орган на държавата членка по произход да уведомява писмено ИППО, че информацията е получена от компетентния орган на приемащата държава членка.</w:t>
      </w:r>
    </w:p>
    <w:p w14:paraId="6F342D29" w14:textId="77777777" w:rsidR="005E340B" w:rsidRPr="00597673" w:rsidRDefault="00C45E3C" w:rsidP="0094694A">
      <w:pPr>
        <w:pStyle w:val="Text1"/>
      </w:pPr>
      <w:r w:rsidRPr="00597673">
        <w:t>Държавите членки предвиждат компетентният орган на държавата членка по произход да издаде мотивираното решение, посочено в първа алинея, в срок от един месец от получаването на цялата информация, посочена в параграф 3.“;</w:t>
      </w:r>
    </w:p>
    <w:p w14:paraId="3FB568D1" w14:textId="47B4E34A" w:rsidR="009A6174" w:rsidRPr="00597673" w:rsidRDefault="000F5AC5" w:rsidP="000F5AC5">
      <w:pPr>
        <w:pStyle w:val="Point1"/>
      </w:pPr>
      <w:r>
        <w:t>в)</w:t>
      </w:r>
      <w:r>
        <w:tab/>
      </w:r>
      <w:r w:rsidR="00C32031" w:rsidRPr="00597673">
        <w:t>параграфи 6 и 7 се заменят със следното:</w:t>
      </w:r>
    </w:p>
    <w:p w14:paraId="2D82FB8F" w14:textId="77777777" w:rsidR="00151D67" w:rsidRPr="00597673" w:rsidRDefault="00446E34" w:rsidP="00470DE3">
      <w:pPr>
        <w:pStyle w:val="Text1"/>
        <w:rPr>
          <w:b/>
          <w:bCs/>
        </w:rPr>
      </w:pPr>
      <w:r w:rsidRPr="00597673">
        <w:t>„6.</w:t>
      </w:r>
      <w:r w:rsidRPr="00597673">
        <w:tab/>
        <w:t>ИППО, които извършват трансгранична дейност, подлежат на изискванията за предоставяне на информация, посочени в дял IV, наложени от приемащата държава членка по отношение на потенциалните членове, потенциалните членове и бенефициерите, за които се отнася тази трансгранична дейност, с изключение на извлечението от индивидуалната пенсионна партида, посочено в член 38, за което се прилагат хармонизираните изисквания на Съюза в съответствие с параграф 6 от същия член.</w:t>
      </w:r>
    </w:p>
    <w:p w14:paraId="14F96A6E" w14:textId="77777777" w:rsidR="004C2575" w:rsidRPr="00597673" w:rsidRDefault="008C7687" w:rsidP="004C2575">
      <w:pPr>
        <w:pStyle w:val="Text1"/>
      </w:pPr>
      <w:r w:rsidRPr="00597673">
        <w:t>7.</w:t>
      </w:r>
      <w:r w:rsidRPr="00597673">
        <w:tab/>
        <w:t>Преди ИППО да започне да извършва трансгранична дейност, компетентният орган на приемащата държава членка, в срок от един месец след получаване на информацията, посочена в параграф 3, се подготвя за надзора на съответните трансгранични дейности. Тази подготовка се отнася до изискванията на социалното и трудовото законодателство в областта на схемите за професионално пенсионно осигуряване, съгласно които трябва да се управлява пенсионната схема, спонсорирана от дружество в приемащата държава членка, и до посочените в дял IV изисквания на приемащата държава членка за предоставяне на информация, които се прилагат за трансграничната дейност. Освен това компетентният орган на приемащата държава членка съобщава на компетентния орган на държавата членка по произход чрез средствата, посочени в член 59, параграфи 3 и 4, приложимите на нейна територия правни разпоредби, посочени в член 59, параграф 1. Компетентният орган на държавата членка по произход незабавно съобщава тази информация на ИППО.“;</w:t>
      </w:r>
    </w:p>
    <w:p w14:paraId="3F74AA65" w14:textId="253D1D5E" w:rsidR="0007495C" w:rsidRPr="00597673" w:rsidRDefault="000F5AC5" w:rsidP="000F5AC5">
      <w:pPr>
        <w:pStyle w:val="Point1"/>
      </w:pPr>
      <w:r>
        <w:t>г)</w:t>
      </w:r>
      <w:r>
        <w:tab/>
      </w:r>
      <w:r w:rsidR="00107433" w:rsidRPr="00597673">
        <w:t>вмъква се следният параграф 9a:</w:t>
      </w:r>
    </w:p>
    <w:p w14:paraId="79B9B383" w14:textId="77777777" w:rsidR="00C35F24" w:rsidRPr="00597673" w:rsidRDefault="00C35F24" w:rsidP="00D00B5B">
      <w:pPr>
        <w:pStyle w:val="Text1"/>
      </w:pPr>
      <w:r w:rsidRPr="00597673">
        <w:t>„9а.</w:t>
      </w:r>
      <w:r w:rsidRPr="00597673">
        <w:tab/>
        <w:t>Държавите членки осигуряват лесно извършване по електронен път на всички процедури и формалности, свързани с трансгранични дейности и процедури.“;</w:t>
      </w:r>
    </w:p>
    <w:p w14:paraId="6428AC16" w14:textId="2BF8BADA" w:rsidR="00897432" w:rsidRPr="00597673" w:rsidRDefault="000F5AC5" w:rsidP="000F5AC5">
      <w:pPr>
        <w:pStyle w:val="Point1"/>
      </w:pPr>
      <w:r>
        <w:t>д)</w:t>
      </w:r>
      <w:r>
        <w:tab/>
      </w:r>
      <w:r w:rsidR="00897432" w:rsidRPr="00597673">
        <w:t>параграф 10 се заменя със следното:</w:t>
      </w:r>
    </w:p>
    <w:p w14:paraId="075EBFCE" w14:textId="77777777" w:rsidR="00897432" w:rsidRPr="00597673" w:rsidRDefault="000F3052" w:rsidP="003420AE">
      <w:pPr>
        <w:pStyle w:val="Text1"/>
      </w:pPr>
      <w:r w:rsidRPr="00597673">
        <w:t>„10.</w:t>
      </w:r>
      <w:r w:rsidRPr="00597673">
        <w:tab/>
        <w:t>Компетентният орган на приемащата държава членка, който има основания да счита, че дадена ИППО, която извършва дейност на територията на тази приемаща държава членка, не спазва изискванията на социалното и трудовото ѝ законодателство в областта на схемите за професионално пенсионно осигуряване, незабавно уведомява за това компетентния орган на държавата членка по произход.</w:t>
      </w:r>
    </w:p>
    <w:p w14:paraId="58F10652" w14:textId="77777777" w:rsidR="00094CBD" w:rsidRPr="00597673" w:rsidRDefault="00094CBD" w:rsidP="00D00B5B">
      <w:pPr>
        <w:pStyle w:val="Text1"/>
      </w:pPr>
      <w:r w:rsidRPr="00597673">
        <w:t>Компетентният орган на държавата членка по произход, в координация с компетентния орган на приемащата държава членка, предприема необходимите мерки с цел ИППО да прекрати установеното нарушаване.“;</w:t>
      </w:r>
    </w:p>
    <w:p w14:paraId="318C5261" w14:textId="60F33354" w:rsidR="00D52D75" w:rsidRPr="00597673" w:rsidRDefault="000F5AC5" w:rsidP="000F5AC5">
      <w:pPr>
        <w:pStyle w:val="Point1"/>
      </w:pPr>
      <w:r>
        <w:t>е)</w:t>
      </w:r>
      <w:r>
        <w:tab/>
      </w:r>
      <w:r w:rsidR="00CF685E" w:rsidRPr="00597673">
        <w:t>в параграф 11 се добавят следните алинеи:</w:t>
      </w:r>
    </w:p>
    <w:p w14:paraId="6F411DDD" w14:textId="77777777" w:rsidR="008A2943" w:rsidRPr="00597673" w:rsidRDefault="00D00B5B" w:rsidP="585743C4">
      <w:pPr>
        <w:pStyle w:val="Text1"/>
      </w:pPr>
      <w:r w:rsidRPr="00597673">
        <w:t>Държавите членки предвиждат възможност за връчване на тяхна територия на необходимите правни документи за прилагане на такива мерки срещу ИППО.</w:t>
      </w:r>
    </w:p>
    <w:p w14:paraId="3023A431" w14:textId="77777777" w:rsidR="008A2943" w:rsidRPr="00597673" w:rsidRDefault="5742D885" w:rsidP="6BC8F8DE">
      <w:pPr>
        <w:pStyle w:val="Text1"/>
      </w:pPr>
      <w:r w:rsidRPr="00597673">
        <w:t>В допълнение към това компетентният орган на държавата членка по произход може да отнесе въпроса до ЕОЗППО и да поиска от него съдействие по силата на член 19 от Регламент (ЕС) № 1094/2010. В този случай ЕОЗППО може да упражни правомощията, предоставени му по силата на посочения член.“;</w:t>
      </w:r>
    </w:p>
    <w:p w14:paraId="625EBDD8" w14:textId="5AAFFF3D" w:rsidR="007548C5" w:rsidRPr="00597673" w:rsidRDefault="000F5AC5" w:rsidP="000F5AC5">
      <w:pPr>
        <w:pStyle w:val="Point1"/>
      </w:pPr>
      <w:r>
        <w:t>ж)</w:t>
      </w:r>
      <w:r>
        <w:tab/>
      </w:r>
      <w:r w:rsidR="004A523D" w:rsidRPr="00597673">
        <w:t>добавят се следните параграфи 12 и 13:</w:t>
      </w:r>
    </w:p>
    <w:p w14:paraId="67A603B3" w14:textId="77777777" w:rsidR="00C26EFC" w:rsidRPr="00597673" w:rsidRDefault="00BC76FC" w:rsidP="0094694A">
      <w:pPr>
        <w:pStyle w:val="Text1"/>
      </w:pPr>
      <w:r w:rsidRPr="00597673">
        <w:t>„12.</w:t>
      </w:r>
      <w:r w:rsidRPr="00597673">
        <w:tab/>
        <w:t>Параграфи 10 и 11 не засягат правомощията на приемащите държави членки да предприемат подходящи и недискриминационни спешни мерки за предотвратяване или санкциониране на нередности на тяхна територия в ситуации, в които са строго необходими незабавни действия, за да се защитят правата на членовете и бенефициерите и в които равностойните мерки на държавите членки по произход са неподходящи или липсват. Това правомощие включва възможността да се попречи на ИППО, доколкото това е строго необходимо, да извършват дейност в приемащата държава членка за осигурителното дружество.</w:t>
      </w:r>
    </w:p>
    <w:p w14:paraId="66E8CA02" w14:textId="77777777" w:rsidR="0040576B" w:rsidRPr="00597673" w:rsidRDefault="00C26EFC" w:rsidP="003420AE">
      <w:pPr>
        <w:pStyle w:val="Text1"/>
      </w:pPr>
      <w:r w:rsidRPr="00597673">
        <w:t>13.</w:t>
      </w:r>
      <w:r w:rsidRPr="00597673">
        <w:tab/>
        <w:t>Всички мерки, предприети съгласно параграфи 10—13, които включват ограничения на дейностите на ИППО, трябва да бъдат добре обосновани и съобщени на съответната ИППО без ненужно забавяне. Компетентният орган на приемащата държава членка, който приема такава мярка, я съобщава на компетентния орган на държавата членка по произход, а в контекста на параграф 11, трета алинея – на ЕОЗППО.“;</w:t>
      </w:r>
    </w:p>
    <w:p w14:paraId="0B9AA2B8" w14:textId="1FB2CBF4" w:rsidR="001E719C" w:rsidRPr="00597673" w:rsidRDefault="000F5AC5" w:rsidP="000F5AC5">
      <w:pPr>
        <w:pStyle w:val="Point0"/>
      </w:pPr>
      <w:r>
        <w:t>14)</w:t>
      </w:r>
      <w:r>
        <w:tab/>
      </w:r>
      <w:r w:rsidR="2B130474" w:rsidRPr="00597673">
        <w:t>вмъква се следният член 11а:</w:t>
      </w:r>
    </w:p>
    <w:p w14:paraId="46612736" w14:textId="77777777" w:rsidR="00700632" w:rsidRPr="00597673" w:rsidRDefault="00CC508C" w:rsidP="003420AE">
      <w:pPr>
        <w:pStyle w:val="Titrearticle"/>
      </w:pPr>
      <w:r w:rsidRPr="00597673">
        <w:t xml:space="preserve">„Член 11a </w:t>
      </w:r>
      <w:r w:rsidRPr="00597673">
        <w:br/>
      </w:r>
      <w:r w:rsidRPr="00597673">
        <w:rPr>
          <w:b/>
          <w:i w:val="0"/>
        </w:rPr>
        <w:t>Промени в съобщената информация</w:t>
      </w:r>
    </w:p>
    <w:p w14:paraId="182A2F91" w14:textId="77777777" w:rsidR="00154B60" w:rsidRPr="00597673" w:rsidRDefault="00454EAA" w:rsidP="0094694A">
      <w:pPr>
        <w:pStyle w:val="Text1"/>
      </w:pPr>
      <w:r w:rsidRPr="00597673">
        <w:t>1.</w:t>
      </w:r>
      <w:r w:rsidRPr="00597673">
        <w:tab/>
        <w:t>Държавите членки задължават ИППО, при промяна в съобщаваните по силата на член 11, параграф 3, буква б) или в) данни да уведоми писмено компетентните органи на държавата членка по произход и на приемащата държава членка за промяната най-малко един месец преди извършването ѝ, така че компетентните органи на държавата членка по произход и на приемащата държава членка да могат да изпълнят съответните си задължения по член 11.</w:t>
      </w:r>
    </w:p>
    <w:p w14:paraId="256F8533" w14:textId="77777777" w:rsidR="009F6934" w:rsidRPr="00597673" w:rsidRDefault="00454EAA" w:rsidP="0094694A">
      <w:pPr>
        <w:pStyle w:val="Text1"/>
      </w:pPr>
      <w:r w:rsidRPr="00597673">
        <w:t>2.</w:t>
      </w:r>
      <w:r w:rsidRPr="00597673">
        <w:tab/>
        <w:t>В случаите, когато членовете и бенефициерите поемат изцяло инвестиционния риск, държавите членки въвеждат опростена уведомителна процедура за уведомяване на едно или повече допълнителни осигурителни дружества към пенсионна схема, за която е постъпило предварително уведомление, или за уведомяване за несъществени изменения в характеристиките на тази схема.“;</w:t>
      </w:r>
    </w:p>
    <w:p w14:paraId="4255BFDB" w14:textId="252D07CF" w:rsidR="00CB223C" w:rsidRPr="00597673" w:rsidRDefault="000F5AC5" w:rsidP="000F5AC5">
      <w:pPr>
        <w:pStyle w:val="Point0"/>
      </w:pPr>
      <w:r>
        <w:t>15)</w:t>
      </w:r>
      <w:r>
        <w:tab/>
      </w:r>
      <w:r w:rsidR="0016732A" w:rsidRPr="00597673">
        <w:t>член 12 се изменя, както следва:</w:t>
      </w:r>
    </w:p>
    <w:p w14:paraId="6EAE1597" w14:textId="615F0D41" w:rsidR="00A3591E" w:rsidRPr="00597673" w:rsidRDefault="000F5AC5" w:rsidP="000F5AC5">
      <w:pPr>
        <w:pStyle w:val="Point1"/>
      </w:pPr>
      <w:r>
        <w:t>а)</w:t>
      </w:r>
      <w:r>
        <w:tab/>
      </w:r>
      <w:r w:rsidR="00A3591E" w:rsidRPr="00597673">
        <w:t>вмъква се следният параграф 2a:</w:t>
      </w:r>
    </w:p>
    <w:p w14:paraId="277F2450" w14:textId="77777777" w:rsidR="00A3591E" w:rsidRPr="00597673" w:rsidRDefault="00A3591E" w:rsidP="005D0C3B">
      <w:pPr>
        <w:pStyle w:val="Text1"/>
      </w:pPr>
      <w:r w:rsidRPr="00597673">
        <w:t>„2a.</w:t>
      </w:r>
      <w:r w:rsidRPr="00597673">
        <w:tab/>
        <w:t>Държавите членки задължават прехвърлящата ИППО да съобщи на съответните членове и бенефициери и, когато е приложимо, на техните представители условията на прехвърлянето своевременно и преди подаването на заявлението, посочено в параграф 4.“;</w:t>
      </w:r>
    </w:p>
    <w:p w14:paraId="53A0DE9D" w14:textId="793E9D32" w:rsidR="0016732A" w:rsidRPr="00597673" w:rsidRDefault="000F5AC5" w:rsidP="000F5AC5">
      <w:pPr>
        <w:pStyle w:val="Point1"/>
      </w:pPr>
      <w:r>
        <w:t>б)</w:t>
      </w:r>
      <w:r>
        <w:tab/>
      </w:r>
      <w:r w:rsidR="00374EA3" w:rsidRPr="00597673">
        <w:t>параграф 3 се заменя със следното:</w:t>
      </w:r>
    </w:p>
    <w:p w14:paraId="5D8906CC" w14:textId="77777777" w:rsidR="00DD7A0B" w:rsidRPr="00597673" w:rsidRDefault="00243340" w:rsidP="005D0C3B">
      <w:pPr>
        <w:pStyle w:val="Text1"/>
      </w:pPr>
      <w:r w:rsidRPr="00597673">
        <w:t>„3.</w:t>
      </w:r>
      <w:r w:rsidRPr="00597673">
        <w:tab/>
        <w:t xml:space="preserve"> Трансграничното прехвърляне подлежи на предварително одобрение от:</w:t>
      </w:r>
    </w:p>
    <w:p w14:paraId="6CD6B12C" w14:textId="78B69FA0" w:rsidR="00CA5003" w:rsidRPr="00597673" w:rsidRDefault="00151E89" w:rsidP="00DD7A0B">
      <w:pPr>
        <w:pStyle w:val="Point1"/>
      </w:pPr>
      <w:r w:rsidRPr="00597673">
        <w:t xml:space="preserve">а) </w:t>
      </w:r>
      <w:r w:rsidRPr="00597673">
        <w:tab/>
        <w:t>обикновено мнозинство от съответните членове и бенефициери или, когато е приложимо, обикновено мнозинство от техни представители; и</w:t>
      </w:r>
    </w:p>
    <w:p w14:paraId="0357E8DD" w14:textId="77777777" w:rsidR="00DD7A0B" w:rsidRPr="00597673" w:rsidRDefault="00DD7A0B" w:rsidP="00DD7A0B">
      <w:pPr>
        <w:pStyle w:val="Point1"/>
      </w:pPr>
      <w:r w:rsidRPr="00597673">
        <w:t xml:space="preserve">б) </w:t>
      </w:r>
      <w:r w:rsidRPr="00597673">
        <w:tab/>
        <w:t>осигурителното дружество, когато е приложимо.</w:t>
      </w:r>
    </w:p>
    <w:p w14:paraId="640C8657" w14:textId="77777777" w:rsidR="00E91AB1" w:rsidRPr="00597673" w:rsidRDefault="00E44EB6" w:rsidP="006B1868">
      <w:pPr>
        <w:pStyle w:val="Text1"/>
      </w:pPr>
      <w:r w:rsidRPr="00597673">
        <w:t xml:space="preserve">За целите на първа алинея, буква а) обикновеното мнозинство се изчислява въз основа на получените отговори. </w:t>
      </w:r>
    </w:p>
    <w:p w14:paraId="5E8D0DC5" w14:textId="7E9C3FEA" w:rsidR="00151E89" w:rsidRPr="00597673" w:rsidRDefault="00E91AB1" w:rsidP="006B1868">
      <w:pPr>
        <w:pStyle w:val="Text1"/>
      </w:pPr>
      <w:r w:rsidRPr="00597673">
        <w:t>Държавите членки могат да предвидят, че за да бъде одобрено прехвърляне, трябва да бъде достигнат праг на участие в размер до 25 % от съответните членове и бенефициери.“;</w:t>
      </w:r>
    </w:p>
    <w:p w14:paraId="64563434" w14:textId="533CD53E" w:rsidR="007E3840" w:rsidRPr="00597673" w:rsidRDefault="000F5AC5" w:rsidP="000F5AC5">
      <w:pPr>
        <w:pStyle w:val="Point1"/>
      </w:pPr>
      <w:r>
        <w:t>в)</w:t>
      </w:r>
      <w:r>
        <w:tab/>
      </w:r>
      <w:r w:rsidR="007E3840" w:rsidRPr="00597673">
        <w:t>в параграф 11 втората алинея се заменя със следното:</w:t>
      </w:r>
    </w:p>
    <w:p w14:paraId="5A1D8F79" w14:textId="77777777" w:rsidR="004C2575" w:rsidRPr="00597673" w:rsidRDefault="007E3840" w:rsidP="004C2575">
      <w:pPr>
        <w:pStyle w:val="Text1"/>
      </w:pPr>
      <w:r w:rsidRPr="00597673">
        <w:t>Когато прехвърлянето води до трансгранична дейност, компетентният орган на държавата членка по произход на прехвърлящата ИППО уведомява и компетентния орган на държавата членка по произход на приемащата ИППО за изискванията на социалното и трудовото законодателство в областта на професионалните пенсионни схеми, съгласно които трябва да бъде управлявана пенсионната схема, и за изискванията за предоставяне на информация на приемащата държава членка, посочени в дял IV, които се прилагат за трансграничната дейност. Това се съобщава в рамките на допълнителни четири седмици.“;</w:t>
      </w:r>
    </w:p>
    <w:p w14:paraId="3B15F3F7" w14:textId="497E65AA" w:rsidR="002443F5" w:rsidRPr="00597673" w:rsidRDefault="000F5AC5" w:rsidP="000F5AC5">
      <w:pPr>
        <w:pStyle w:val="Point0"/>
      </w:pPr>
      <w:r>
        <w:t>16)</w:t>
      </w:r>
      <w:r>
        <w:tab/>
      </w:r>
      <w:r w:rsidR="002443F5" w:rsidRPr="00597673">
        <w:t>вмъква се следният член 12a:</w:t>
      </w:r>
    </w:p>
    <w:p w14:paraId="543D30DB" w14:textId="77777777" w:rsidR="002443F5" w:rsidRPr="00597673" w:rsidRDefault="002443F5" w:rsidP="005D0C3B">
      <w:pPr>
        <w:pStyle w:val="Titrearticle"/>
      </w:pPr>
      <w:r w:rsidRPr="00597673">
        <w:t xml:space="preserve">„Член 12a </w:t>
      </w:r>
      <w:r w:rsidRPr="00597673">
        <w:br/>
      </w:r>
      <w:r w:rsidRPr="00597673">
        <w:rPr>
          <w:b/>
          <w:i w:val="0"/>
        </w:rPr>
        <w:t>Вътрешни прехвърляния</w:t>
      </w:r>
    </w:p>
    <w:p w14:paraId="4A883180" w14:textId="77777777" w:rsidR="00D156B6" w:rsidRPr="00597673" w:rsidRDefault="00D156B6" w:rsidP="00C57B1A">
      <w:pPr>
        <w:pStyle w:val="Text1"/>
      </w:pPr>
      <w:r w:rsidRPr="00597673">
        <w:t>Държавите членки предвиждат пълното или частично прехвърляне, между лицензирани в една и съща държава членка ИППО, на пасиви, технически резерви и други задължения и права на дадена пенсионна схема, както и на съответните им активи или паричната им равностойност, да се урежда от прости и прозрачни процедури, които защитават членовете и бенефициерите и осигуряват непрекъснато добро управление на дадената пенсионна схема.</w:t>
      </w:r>
    </w:p>
    <w:p w14:paraId="65DFE393" w14:textId="77777777" w:rsidR="006153EF" w:rsidRPr="00597673" w:rsidRDefault="00D156B6" w:rsidP="00C57B1A">
      <w:pPr>
        <w:pStyle w:val="Text1"/>
      </w:pPr>
      <w:r w:rsidRPr="00597673">
        <w:t>Такива прехвърляния подлежат на предварително одобрение от компетентния орган, който проверява най-малко всички изброени по-долу елементи:</w:t>
      </w:r>
    </w:p>
    <w:p w14:paraId="592A63B4" w14:textId="77777777" w:rsidR="006153EF" w:rsidRPr="00597673" w:rsidRDefault="006153EF" w:rsidP="005D0C3B">
      <w:pPr>
        <w:pStyle w:val="Point1"/>
      </w:pPr>
      <w:r w:rsidRPr="00597673">
        <w:t xml:space="preserve">а) </w:t>
      </w:r>
      <w:r w:rsidRPr="00597673">
        <w:tab/>
        <w:t>дали предоставената информация е пълна и точна;</w:t>
      </w:r>
    </w:p>
    <w:p w14:paraId="4A3FE068" w14:textId="77777777" w:rsidR="006153EF" w:rsidRPr="00597673" w:rsidRDefault="006153EF" w:rsidP="005D0C3B">
      <w:pPr>
        <w:pStyle w:val="Point1"/>
      </w:pPr>
      <w:r w:rsidRPr="00597673">
        <w:t>б)</w:t>
      </w:r>
      <w:r w:rsidRPr="00597673">
        <w:tab/>
        <w:t>дали административната структура, финансовото състояние и добрата репутация или професионалната квалификация и опит на лицата, действително ръководещи съответните ИППО, са съвместими с предложеното прехвърляне;</w:t>
      </w:r>
    </w:p>
    <w:p w14:paraId="0F90E4D4" w14:textId="77777777" w:rsidR="006153EF" w:rsidRPr="00597673" w:rsidRDefault="006153EF" w:rsidP="005D0C3B">
      <w:pPr>
        <w:pStyle w:val="Point1"/>
      </w:pPr>
      <w:r w:rsidRPr="00597673">
        <w:t xml:space="preserve">в) </w:t>
      </w:r>
      <w:r w:rsidRPr="00597673">
        <w:tab/>
        <w:t>дали дългосрочните интереси на членовете и бенефициерите са защитени по подходящ начин;</w:t>
      </w:r>
    </w:p>
    <w:p w14:paraId="44A753D6" w14:textId="77777777" w:rsidR="00455452" w:rsidRPr="00597673" w:rsidRDefault="006153EF">
      <w:pPr>
        <w:pStyle w:val="Point1"/>
      </w:pPr>
      <w:r w:rsidRPr="00597673">
        <w:t xml:space="preserve">г) </w:t>
      </w:r>
      <w:r w:rsidRPr="00597673">
        <w:tab/>
        <w:t>дали активите, които ще бъдат прехвърлени, са достатъчни и подходящи за покриване на съответните пасиви, технически резерви и други задължения и права.</w:t>
      </w:r>
    </w:p>
    <w:p w14:paraId="624802C5" w14:textId="77777777" w:rsidR="006451F8" w:rsidRPr="00597673" w:rsidRDefault="00455452" w:rsidP="005D0C3B">
      <w:pPr>
        <w:pStyle w:val="Text1"/>
      </w:pPr>
      <w:r w:rsidRPr="00597673">
        <w:t>Когато държава членка обвързва вътрешните прехвърляния с предварителното одобрение на съответните членове и бенефициери, процедурата за одобрение не може да бъде по-строга от процедурата, предвидена в член 12, параграф 3.“;</w:t>
      </w:r>
    </w:p>
    <w:p w14:paraId="7F9F2B16" w14:textId="2B33E553" w:rsidR="00A93E4B" w:rsidRPr="00597673" w:rsidRDefault="000F5AC5" w:rsidP="000F5AC5">
      <w:pPr>
        <w:pStyle w:val="Point0"/>
      </w:pPr>
      <w:r>
        <w:t>17)</w:t>
      </w:r>
      <w:r>
        <w:tab/>
      </w:r>
      <w:r w:rsidR="00781F8E" w:rsidRPr="00597673">
        <w:t>в член 13 параграфи 1 и 2 се заменят със следното:</w:t>
      </w:r>
    </w:p>
    <w:p w14:paraId="1844DDEF" w14:textId="77777777" w:rsidR="00765E00" w:rsidRPr="00597673" w:rsidRDefault="00A93E4B" w:rsidP="00781F8E">
      <w:pPr>
        <w:pStyle w:val="Text1"/>
      </w:pPr>
      <w:r w:rsidRPr="00597673">
        <w:t>„1.</w:t>
      </w:r>
      <w:r w:rsidRPr="00597673">
        <w:tab/>
        <w:t>Държавата членка по произход задължава ИППО, управляващи пенсионни схеми, да разполагат по всяко време по отношение на цялата гама предлагани от тях схеми за професионално пенсионно осигуряване и, когато националното право го позволява, схеми за лично пенсионно осигуряване, с адекватен размер на задълженията, съответстващ на финансовите задължения, които произтичат от техния портфейл от съществуващи пенсионни договори.</w:t>
      </w:r>
    </w:p>
    <w:p w14:paraId="2502E5E1" w14:textId="77777777" w:rsidR="00A93E4B" w:rsidRPr="00597673" w:rsidRDefault="00765E00" w:rsidP="00781F8E">
      <w:pPr>
        <w:pStyle w:val="Text1"/>
      </w:pPr>
      <w:r w:rsidRPr="00597673">
        <w:t>2.</w:t>
      </w:r>
      <w:r w:rsidRPr="00597673">
        <w:tab/>
        <w:t>Държавата членка по произход се уверява, че ИППО, управляващи схеми за пенсионно осигуряване, по които те покриват биометрични рискове или гарантират доходността на вложенията или определено равнище на плащания, разполагат с технически резерви, достатъчни за целия набор такива схеми.“;</w:t>
      </w:r>
    </w:p>
    <w:p w14:paraId="7B39AA39" w14:textId="5748C4AB" w:rsidR="00CD047C" w:rsidRPr="00597673" w:rsidRDefault="000F5AC5" w:rsidP="000F5AC5">
      <w:pPr>
        <w:pStyle w:val="Point0"/>
      </w:pPr>
      <w:r>
        <w:t>18)</w:t>
      </w:r>
      <w:r>
        <w:tab/>
      </w:r>
      <w:r w:rsidR="008E4634" w:rsidRPr="00597673">
        <w:t>член 14 се изменя, както следва:</w:t>
      </w:r>
    </w:p>
    <w:p w14:paraId="6E444377" w14:textId="0F6CC43D" w:rsidR="00CD047C" w:rsidRPr="00597673" w:rsidRDefault="000F5AC5" w:rsidP="000F5AC5">
      <w:pPr>
        <w:pStyle w:val="Point1"/>
      </w:pPr>
      <w:r>
        <w:t>а)</w:t>
      </w:r>
      <w:r>
        <w:tab/>
      </w:r>
      <w:r w:rsidR="00CD047C" w:rsidRPr="00597673">
        <w:t>параграф 2 се изменя, както следва:</w:t>
      </w:r>
    </w:p>
    <w:p w14:paraId="4BDD28B0" w14:textId="77777777" w:rsidR="00D07C5F" w:rsidRPr="00597673" w:rsidRDefault="003B1703" w:rsidP="073AE836">
      <w:pPr>
        <w:pStyle w:val="Point2"/>
      </w:pPr>
      <w:r w:rsidRPr="00597673">
        <w:t>i)</w:t>
      </w:r>
      <w:r w:rsidRPr="00597673">
        <w:tab/>
        <w:t>в първа алинея уводният текст се заменя със следното:</w:t>
      </w:r>
    </w:p>
    <w:p w14:paraId="7E6EB689" w14:textId="77777777" w:rsidR="0013625B" w:rsidRPr="00597673" w:rsidRDefault="004F5074" w:rsidP="005D0C3B">
      <w:pPr>
        <w:pStyle w:val="Text1"/>
      </w:pPr>
      <w:r w:rsidRPr="00597673">
        <w:t>„Държавите членки по произход предоставят на компетентните си органи необходимите правомощия, за да разрешават на дадена ИППО, за ограничен период от време, да не разполага с достатъчно активи за покриване на техническите резерви. В този случай компетентният орган задължава ИППО да приеме конкретен и реалистичен план-график за възстановяване, за да възобнови съблюдаването на разпоредбите на параграф 1. Планът зависи от следните условия:“;</w:t>
      </w:r>
    </w:p>
    <w:p w14:paraId="785D945C" w14:textId="77777777" w:rsidR="200CE08A" w:rsidRPr="00597673" w:rsidRDefault="00AA1E94" w:rsidP="00C9746B">
      <w:pPr>
        <w:pStyle w:val="Point2"/>
      </w:pPr>
      <w:r w:rsidRPr="00597673">
        <w:t>ii)</w:t>
      </w:r>
      <w:r w:rsidRPr="00597673">
        <w:tab/>
        <w:t>добавя се следната алинея:</w:t>
      </w:r>
    </w:p>
    <w:p w14:paraId="39119185" w14:textId="77777777" w:rsidR="14B72212" w:rsidRPr="00597673" w:rsidRDefault="14B72212" w:rsidP="073AE836">
      <w:pPr>
        <w:pStyle w:val="Text1"/>
      </w:pPr>
      <w:r w:rsidRPr="00597673">
        <w:t>„Ограниченият период, посочен в уводната част на първа алинея, се определя от националното право и при всички случаи не надвишава десет години.“;</w:t>
      </w:r>
    </w:p>
    <w:p w14:paraId="72087E25" w14:textId="2FC61DEB" w:rsidR="008E4634" w:rsidRPr="00597673" w:rsidRDefault="000F5AC5" w:rsidP="000F5AC5">
      <w:pPr>
        <w:pStyle w:val="Point1"/>
      </w:pPr>
      <w:r>
        <w:t>б)</w:t>
      </w:r>
      <w:r>
        <w:tab/>
      </w:r>
      <w:r w:rsidR="00CD047C" w:rsidRPr="00597673">
        <w:t>параграф 3 се заличава;</w:t>
      </w:r>
    </w:p>
    <w:p w14:paraId="4ADC41AF" w14:textId="47F15043" w:rsidR="00E70D69" w:rsidRPr="00597673" w:rsidRDefault="000F5AC5" w:rsidP="000F5AC5">
      <w:pPr>
        <w:pStyle w:val="Point0"/>
      </w:pPr>
      <w:r>
        <w:t>19)</w:t>
      </w:r>
      <w:r>
        <w:tab/>
      </w:r>
      <w:r w:rsidR="00E70D69" w:rsidRPr="00597673">
        <w:t>член 16 се изменя, както следва:</w:t>
      </w:r>
    </w:p>
    <w:p w14:paraId="7ED0B44E" w14:textId="5C280BD6" w:rsidR="000700AF" w:rsidRPr="00597673" w:rsidRDefault="000F5AC5" w:rsidP="000F5AC5">
      <w:pPr>
        <w:pStyle w:val="Point1"/>
      </w:pPr>
      <w:r>
        <w:t>а)</w:t>
      </w:r>
      <w:r>
        <w:tab/>
      </w:r>
      <w:r w:rsidR="00DD0C8A" w:rsidRPr="00597673">
        <w:t>параграф 1 се заменя със следното:</w:t>
      </w:r>
    </w:p>
    <w:p w14:paraId="27A21D75" w14:textId="77777777" w:rsidR="00E70D69" w:rsidRPr="00597673" w:rsidRDefault="008A43AB" w:rsidP="00C9746B">
      <w:pPr>
        <w:pStyle w:val="Text1"/>
      </w:pPr>
      <w:r w:rsidRPr="00597673">
        <w:t>„1.</w:t>
      </w:r>
      <w:r w:rsidRPr="00597673">
        <w:tab/>
        <w:t>Държавите членки изискват от всяка лицензирана на тяхна територия посочена в член 15, параграф 1 ИППО да разполага по всяко време с адекватна налична граница на платежоспособност по отношение на цялата си дейност, която е най-малко равна на изискванията на настоящата директива, за да се гарантира дългосрочна устойчивост на предоставянето на професионални пенсии и, когато националното право го позволява, на личното пенсионно осигуряване.“;</w:t>
      </w:r>
    </w:p>
    <w:p w14:paraId="1150D491" w14:textId="59022765" w:rsidR="000700AF" w:rsidRPr="00597673" w:rsidRDefault="000F5AC5" w:rsidP="000F5AC5">
      <w:pPr>
        <w:pStyle w:val="Point1"/>
      </w:pPr>
      <w:r>
        <w:t>б)</w:t>
      </w:r>
      <w:r>
        <w:tab/>
      </w:r>
      <w:r w:rsidR="007760DC" w:rsidRPr="00597673">
        <w:t>в параграф 4 втората алинея се заменя със следното:</w:t>
      </w:r>
    </w:p>
    <w:p w14:paraId="64F787F4" w14:textId="77777777" w:rsidR="00A1222D" w:rsidRPr="00597673" w:rsidRDefault="00A1222D" w:rsidP="00C9746B">
      <w:pPr>
        <w:pStyle w:val="Text1"/>
      </w:pPr>
      <w:r w:rsidRPr="00597673">
        <w:t>„Стойността в първа алинея, буква а) не надвишава 3,5 % от сумата на разликите между, от една страна, съответните капиталови суми за животозастраховане, професионално пенсионно осигуряване и, когато това е разрешено съгласно националното право, дейностите по предоставяне на лични пенсии и, от друга страна, математическите резерви по всички полици, за които е възможно цилмериране. Разликата се намалява с размера на неамортизираните разходи за придобиване, отчетени като актив.“;</w:t>
      </w:r>
    </w:p>
    <w:p w14:paraId="07278E36" w14:textId="6D7969C9" w:rsidR="008658BA" w:rsidRPr="00597673" w:rsidRDefault="000F5AC5" w:rsidP="000F5AC5">
      <w:pPr>
        <w:pStyle w:val="Point0"/>
      </w:pPr>
      <w:r>
        <w:t>20)</w:t>
      </w:r>
      <w:r>
        <w:tab/>
      </w:r>
      <w:r w:rsidR="008658BA" w:rsidRPr="00597673">
        <w:t>в член 17 се добавя следният параграф 7:</w:t>
      </w:r>
    </w:p>
    <w:p w14:paraId="138756AE" w14:textId="77777777" w:rsidR="008658BA" w:rsidRPr="00597673" w:rsidRDefault="008658BA" w:rsidP="008658BA">
      <w:pPr>
        <w:pStyle w:val="Text1"/>
      </w:pPr>
      <w:r w:rsidRPr="00597673">
        <w:t>„7.</w:t>
      </w:r>
      <w:r w:rsidRPr="00597673">
        <w:tab/>
        <w:t>Комисията се оправомощава да приема делегирани актове по силата на член 64а за изменение на числата и процентните стойности, посочени в настоящия член и в член 18.“;</w:t>
      </w:r>
    </w:p>
    <w:p w14:paraId="4A15195E" w14:textId="2357F98B" w:rsidR="00AF2273" w:rsidRPr="00597673" w:rsidRDefault="000F5AC5" w:rsidP="000F5AC5">
      <w:pPr>
        <w:pStyle w:val="Point0"/>
      </w:pPr>
      <w:r>
        <w:t>21)</w:t>
      </w:r>
      <w:r>
        <w:tab/>
      </w:r>
      <w:r w:rsidR="774B2141" w:rsidRPr="00597673">
        <w:t>вмъква се следният член 18a:</w:t>
      </w:r>
    </w:p>
    <w:p w14:paraId="267B01EB" w14:textId="77777777" w:rsidR="00AF2273" w:rsidRPr="00597673" w:rsidRDefault="005B70C7" w:rsidP="00AF2273">
      <w:pPr>
        <w:pStyle w:val="Titrearticle"/>
      </w:pPr>
      <w:r w:rsidRPr="00597673">
        <w:t xml:space="preserve">„Член 18а </w:t>
      </w:r>
      <w:r w:rsidRPr="00597673">
        <w:br/>
      </w:r>
      <w:r w:rsidRPr="00597673">
        <w:rPr>
          <w:b/>
          <w:i w:val="0"/>
        </w:rPr>
        <w:t>Вътрешни тестове за устойчивост</w:t>
      </w:r>
    </w:p>
    <w:p w14:paraId="580554E2" w14:textId="77777777" w:rsidR="00AF2273" w:rsidRPr="00597673" w:rsidRDefault="00AF2273" w:rsidP="00AF2273">
      <w:pPr>
        <w:pStyle w:val="Text1"/>
      </w:pPr>
      <w:r w:rsidRPr="00597673">
        <w:t>1.</w:t>
      </w:r>
      <w:r w:rsidRPr="00597673">
        <w:tab/>
        <w:t>Компетентните органи на държавите членки по произход изискват от ИППО, управляващи пенсионни схеми, при които самата ИППО, а не осигурителното дружество, поема задължението да покрие биометричния риск или гарантира определени инвестиционни резултати или равнище на плащания, да провеждат тест за устойчивост най-малко на всеки три години, за да оценят капацитета си да изпълняват задълженията си към членовете и бенефициерите, включително при сценарии на неблагоприятно пазарно и демографско развитие.</w:t>
      </w:r>
    </w:p>
    <w:p w14:paraId="5F964B00" w14:textId="77777777" w:rsidR="00AF2273" w:rsidRPr="00597673" w:rsidRDefault="00E55088" w:rsidP="00AF2273">
      <w:pPr>
        <w:pStyle w:val="Text1"/>
      </w:pPr>
      <w:r w:rsidRPr="00597673">
        <w:t>Независимо от първа алинея, компетентният орган на държавата членка по произход има право да изиска от ИППО да извършва тестове за устойчивост по-често, най-малко ако се окаже, че тестовете за устойчивост от предходни години са показали риск от липса на достатъчни и подходящи активи за покриване на техническите резерви в рамките на следващите десет години.</w:t>
      </w:r>
    </w:p>
    <w:p w14:paraId="23C8243B" w14:textId="77777777" w:rsidR="002F5C0F" w:rsidRPr="00597673" w:rsidRDefault="00E73A2E" w:rsidP="00AF2273">
      <w:pPr>
        <w:pStyle w:val="Text1"/>
      </w:pPr>
      <w:r w:rsidRPr="00597673">
        <w:t>Държавите членки могат също така да изискат от ИППО да оцени дали нейната прогнозна налична граница на платежоспособност надвишава изискуемата граница на платежоспособност или, когато е приложимо, предвиденото в националното право по силата на член 15 по-високо равнище на изискуеми собствени средства.</w:t>
      </w:r>
    </w:p>
    <w:p w14:paraId="5022AE1E" w14:textId="77777777" w:rsidR="00AF2273" w:rsidRPr="00597673" w:rsidRDefault="00AF2273" w:rsidP="00AF2273">
      <w:pPr>
        <w:pStyle w:val="Text1"/>
      </w:pPr>
      <w:r w:rsidRPr="00597673">
        <w:t>2.</w:t>
      </w:r>
      <w:r w:rsidRPr="00597673">
        <w:tab/>
        <w:t>За целите на параграф 1 ИППО изготвят прогнози за активите и пасивите през следващите десет финансови години, считано от датата на последните финансови отчети, при всеки от следните сценарии:</w:t>
      </w:r>
    </w:p>
    <w:p w14:paraId="5D7EA810" w14:textId="041C01BA" w:rsidR="00AF2273" w:rsidRPr="00597673" w:rsidRDefault="000F5AC5" w:rsidP="000F5AC5">
      <w:pPr>
        <w:pStyle w:val="Point1"/>
      </w:pPr>
      <w:r>
        <w:t>а)</w:t>
      </w:r>
      <w:r>
        <w:tab/>
      </w:r>
      <w:r w:rsidR="00AF2273" w:rsidRPr="00597673">
        <w:t>базов сценарий, разширяващ икономическите условия, преобладаващи към датата на последните финансови отчети;</w:t>
      </w:r>
    </w:p>
    <w:p w14:paraId="5F024E9E" w14:textId="74F6D86F" w:rsidR="00AF2273" w:rsidRPr="00597673" w:rsidRDefault="000F5AC5" w:rsidP="000F5AC5">
      <w:pPr>
        <w:pStyle w:val="Point1"/>
      </w:pPr>
      <w:r>
        <w:t>б)</w:t>
      </w:r>
      <w:r>
        <w:tab/>
      </w:r>
      <w:r w:rsidR="00AF2273" w:rsidRPr="00597673">
        <w:t>неблагоприятен сценарий на постоянно относително намаление на лихвените проценти с 40 % или абсолютно намаление с 0,75 процентни пункта, в зависимост от това кое от двете е по-тежко, без лихвените проценти да падат под 0 % или над 3,5 %;</w:t>
      </w:r>
    </w:p>
    <w:p w14:paraId="768EF74F" w14:textId="59FDBEC5" w:rsidR="00AF2273" w:rsidRPr="00597673" w:rsidRDefault="000F5AC5" w:rsidP="000F5AC5">
      <w:pPr>
        <w:pStyle w:val="Point1"/>
      </w:pPr>
      <w:r>
        <w:t>в)</w:t>
      </w:r>
      <w:r>
        <w:tab/>
      </w:r>
      <w:r w:rsidR="00AF2273" w:rsidRPr="00597673">
        <w:t xml:space="preserve">неблагоприятен сценарий за спад с 30 % на възвръщаемостта на инвестициите в неамортизируеми активи; </w:t>
      </w:r>
    </w:p>
    <w:p w14:paraId="65B291D3" w14:textId="0CE96177" w:rsidR="00AF2273" w:rsidRPr="00597673" w:rsidRDefault="000F5AC5" w:rsidP="000F5AC5">
      <w:pPr>
        <w:pStyle w:val="Point1"/>
      </w:pPr>
      <w:r>
        <w:t>г)</w:t>
      </w:r>
      <w:r>
        <w:tab/>
      </w:r>
      <w:r w:rsidR="00AF2273" w:rsidRPr="00597673">
        <w:t xml:space="preserve">намаляване на смъртността сред членовете и бенефициерите на всички възрасти с 10 %. </w:t>
      </w:r>
    </w:p>
    <w:p w14:paraId="0E913CDF" w14:textId="77777777" w:rsidR="00B12566" w:rsidRPr="00597673" w:rsidRDefault="23760E02" w:rsidP="00AF2273">
      <w:pPr>
        <w:pStyle w:val="Text1"/>
      </w:pPr>
      <w:r w:rsidRPr="00597673">
        <w:t>Чрез дерогация от първа алинея държавите членки могат да изискат от ИППО:</w:t>
      </w:r>
    </w:p>
    <w:p w14:paraId="74D8FC18" w14:textId="3AA241D6" w:rsidR="00B12566" w:rsidRPr="00597673" w:rsidRDefault="000F5AC5" w:rsidP="000F5AC5">
      <w:pPr>
        <w:pStyle w:val="Point1"/>
      </w:pPr>
      <w:r>
        <w:t>а)</w:t>
      </w:r>
      <w:r>
        <w:tab/>
      </w:r>
      <w:r w:rsidR="006A4DD4" w:rsidRPr="00597673">
        <w:t>изготвяне на прогнози за повече от десет финансови години;</w:t>
      </w:r>
    </w:p>
    <w:p w14:paraId="434C10B1" w14:textId="7C57E25B" w:rsidR="00394ED5" w:rsidRPr="00597673" w:rsidRDefault="000F5AC5" w:rsidP="000F5AC5">
      <w:pPr>
        <w:pStyle w:val="Point1"/>
      </w:pPr>
      <w:r>
        <w:t>б)</w:t>
      </w:r>
      <w:r>
        <w:tab/>
      </w:r>
      <w:r w:rsidR="00EC3802" w:rsidRPr="00597673">
        <w:t>изготвяне на прогнози при неблагоприятни сценарии, които са по-сериозни от сценариите, посочени в първа алинея, букви б), в) или г);</w:t>
      </w:r>
    </w:p>
    <w:p w14:paraId="58292666" w14:textId="158E4AFD" w:rsidR="00B12566" w:rsidRPr="00597673" w:rsidRDefault="000F5AC5" w:rsidP="000F5AC5">
      <w:pPr>
        <w:pStyle w:val="Point1"/>
      </w:pPr>
      <w:r>
        <w:t>в)</w:t>
      </w:r>
      <w:r>
        <w:tab/>
      </w:r>
      <w:r w:rsidR="00394ED5" w:rsidRPr="00597673">
        <w:t xml:space="preserve">изготвяне на прогнози при допълнителни кризисни сценарии. </w:t>
      </w:r>
    </w:p>
    <w:p w14:paraId="3DB2F790" w14:textId="77777777" w:rsidR="00AF2273" w:rsidRPr="00597673" w:rsidRDefault="00AF2273" w:rsidP="00AF2273">
      <w:pPr>
        <w:pStyle w:val="Text1"/>
      </w:pPr>
      <w:r w:rsidRPr="00597673">
        <w:t>3</w:t>
      </w:r>
      <w:r w:rsidRPr="00597673">
        <w:tab/>
        <w:t xml:space="preserve">Ако тестът за устойчивост по параграф 1 покаже, че при който и да е от сценариите, посочени в параграф 2, ИППО няма да разполага с достатъчно активи, за да покрие техническите резерви, или, когато е приложимо, няма достатъчно налични граници на платежоспособност, за да покрие изискуемата граница на платежоспособност или предвиденото в националното право по силата на член 15 по-високо равнище на изискуеми собствени средства за всяка планирана година, държавите членки задължават компетентния орган да изиска от ИППО да представи конвергентен план. </w:t>
      </w:r>
    </w:p>
    <w:p w14:paraId="15D0275B" w14:textId="77777777" w:rsidR="00AF2273" w:rsidRPr="00597673" w:rsidRDefault="00AF2273" w:rsidP="00AF2273">
      <w:pPr>
        <w:pStyle w:val="Text1"/>
      </w:pPr>
      <w:r w:rsidRPr="00597673">
        <w:t xml:space="preserve">В този план се определят мерките, които ИППО възнамерява да предприеме, за да възстанови през прогнозния период капацитета си да поддържа достатъчно активи за покриване на техническите резерви или, когато е приложимо, да разполага с налична граница на платежоспособност, надвишаваща изискваната граница на платежоспособност, при всички сценарии, посочени в параграф 2. </w:t>
      </w:r>
    </w:p>
    <w:p w14:paraId="6D8291F1" w14:textId="77777777" w:rsidR="00AF2273" w:rsidRPr="00597673" w:rsidRDefault="00340AA2" w:rsidP="00AF2273">
      <w:pPr>
        <w:pStyle w:val="Text1"/>
      </w:pPr>
      <w:r w:rsidRPr="00597673">
        <w:t>Държавите членки задължават ИППО да представи конвергентния си план на компетентния орган в срок от три месеца от датата на провеждане на теста за устойчивост.</w:t>
      </w:r>
    </w:p>
    <w:p w14:paraId="4525BA1E" w14:textId="12D9BE4E" w:rsidR="00AF2273" w:rsidRPr="00597673" w:rsidRDefault="00917453" w:rsidP="00AF2273">
      <w:pPr>
        <w:pStyle w:val="Text1"/>
      </w:pPr>
      <w:r w:rsidRPr="00597673">
        <w:t xml:space="preserve">Ако конвергентният план не бъде представен в срок от три месеца или ако той не съдържа надеждни действия за преодоляване на установения недостиг на финансиране или, когато е приложимо, на недостатъчната налична граница на платежоспособност при теста за устойчивост, държавите членки оправомощават компетентните си органи да </w:t>
      </w:r>
      <w:r w:rsidR="00597673" w:rsidRPr="00597673">
        <w:t>изискат</w:t>
      </w:r>
      <w:r w:rsidRPr="00597673">
        <w:t xml:space="preserve"> от ИППО да поддържа по-висока налична граница на платежоспособност.</w:t>
      </w:r>
    </w:p>
    <w:p w14:paraId="5361FC92" w14:textId="77777777" w:rsidR="00BE7D00" w:rsidRPr="00597673" w:rsidRDefault="00AF2273" w:rsidP="68337133">
      <w:pPr>
        <w:pStyle w:val="Text1"/>
        <w:rPr>
          <w:rFonts w:eastAsia="Times New Roman"/>
          <w:u w:val="single"/>
        </w:rPr>
      </w:pPr>
      <w:r w:rsidRPr="00597673">
        <w:t>4.</w:t>
      </w:r>
      <w:r w:rsidRPr="00597673">
        <w:tab/>
        <w:t>Параграф 3 не се прилага, когато по силата на член 14, параграф 2 на ИППО е разрешено да не разполага, за ограничен период, с достатъчно активи за покриване на техническите резерви. В този случай държавите членки предвиждат приетият по силата на член 14, параграф 2 план за възстановяване да отразява резултата от теста за устойчивост по параграф 1 от настоящия член и при необходимост да се актуализира, по-специално при определянето на мерките и периода за възстановяване на пълното финансиране.</w:t>
      </w:r>
    </w:p>
    <w:p w14:paraId="7123478D" w14:textId="77777777" w:rsidR="00BE7D00" w:rsidRPr="00597673" w:rsidRDefault="57456929" w:rsidP="00E95E33">
      <w:pPr>
        <w:pStyle w:val="Text1"/>
      </w:pPr>
      <w:r w:rsidRPr="00597673">
        <w:t>5.</w:t>
      </w:r>
      <w:r w:rsidRPr="00597673">
        <w:tab/>
        <w:t xml:space="preserve">Държавите членки могат да решат да не прилагат параграфи 1—3, когато задължават ИППО на тяхна територия да разполагат с изискуеми собствени средства над изискуемата граница на платежоспособност, посочена в член 17, стига тези капиталови изисквания да отчитат поне пазарния риск и риска от дълголетие.“; </w:t>
      </w:r>
    </w:p>
    <w:p w14:paraId="717CD63E" w14:textId="79D5C2DE" w:rsidR="007C30F8" w:rsidRPr="00597673" w:rsidRDefault="000F5AC5" w:rsidP="000F5AC5">
      <w:pPr>
        <w:pStyle w:val="Point0"/>
      </w:pPr>
      <w:r>
        <w:t>22)</w:t>
      </w:r>
      <w:r>
        <w:tab/>
      </w:r>
      <w:r w:rsidR="007C30F8" w:rsidRPr="00597673">
        <w:t>член 19 се изменя, както следва:</w:t>
      </w:r>
    </w:p>
    <w:p w14:paraId="5D3409A0" w14:textId="2B5C8067" w:rsidR="005843CE" w:rsidRPr="00597673" w:rsidRDefault="000F5AC5" w:rsidP="000F5AC5">
      <w:pPr>
        <w:pStyle w:val="Point1"/>
      </w:pPr>
      <w:r>
        <w:t>а)</w:t>
      </w:r>
      <w:r>
        <w:tab/>
      </w:r>
      <w:r w:rsidR="005843CE" w:rsidRPr="00597673">
        <w:t>параграф 1 се изменя, както следва:</w:t>
      </w:r>
    </w:p>
    <w:p w14:paraId="306217C4" w14:textId="1627A679" w:rsidR="00682EF2" w:rsidRPr="00597673" w:rsidRDefault="000F5AC5" w:rsidP="000F5AC5">
      <w:pPr>
        <w:pStyle w:val="Point2"/>
      </w:pPr>
      <w:r>
        <w:t>а)</w:t>
      </w:r>
      <w:r>
        <w:tab/>
      </w:r>
      <w:r w:rsidR="00682EF2" w:rsidRPr="00597673">
        <w:t>уводният текст се заменя със следното:</w:t>
      </w:r>
    </w:p>
    <w:p w14:paraId="3E368F79" w14:textId="77777777" w:rsidR="00553F8E" w:rsidRPr="00597673" w:rsidRDefault="00553F8E" w:rsidP="00C9746B">
      <w:pPr>
        <w:pStyle w:val="Text1"/>
      </w:pPr>
      <w:r w:rsidRPr="00597673">
        <w:t>„1.</w:t>
      </w:r>
      <w:r w:rsidRPr="00597673">
        <w:tab/>
        <w:t>Държавите членки изискват от ИППО, лицензирани на тяхна територия, да инвестират в съответствие с принципа на консервативния инвеститор, по-специално в съответствие със следните правила:“;</w:t>
      </w:r>
    </w:p>
    <w:p w14:paraId="4E2AE38E" w14:textId="724EDD53" w:rsidR="00AA578A" w:rsidRPr="00597673" w:rsidRDefault="000F5AC5" w:rsidP="000F5AC5">
      <w:pPr>
        <w:pStyle w:val="Point2"/>
      </w:pPr>
      <w:r>
        <w:t>б)</w:t>
      </w:r>
      <w:r>
        <w:tab/>
      </w:r>
      <w:r w:rsidR="00E8110E" w:rsidRPr="00597673">
        <w:t>буква б) се заменя със следното:</w:t>
      </w:r>
    </w:p>
    <w:p w14:paraId="5E68AD2E" w14:textId="77777777" w:rsidR="0013520E" w:rsidRPr="00597673" w:rsidRDefault="0013520E" w:rsidP="00DC79C9">
      <w:pPr>
        <w:pStyle w:val="Point1"/>
      </w:pPr>
      <w:r w:rsidRPr="00597673">
        <w:t xml:space="preserve">„б) </w:t>
      </w:r>
      <w:r w:rsidRPr="00597673">
        <w:tab/>
        <w:t>в рамките на принципа на консервативния инвеститор ИППО отчитат рисковете за устойчивостта по смисъла на член 2, точка 22 от Регламент (ЕС) 2019/2088 на Европейския парламент и на Съвета</w:t>
      </w:r>
      <w:r w:rsidRPr="00597673">
        <w:rPr>
          <w:vertAlign w:val="superscript"/>
        </w:rPr>
        <w:t>*</w:t>
      </w:r>
      <w:r w:rsidRPr="00597673">
        <w:t xml:space="preserve"> в своите инвестиционни решения и за тази цел ИППО отчитат потенциалното дългосрочно въздействие на своята инвестиционна стратегия и решения върху факторите на устойчивост по смисъла на член 2, точка 24 от Регламент (ЕС) 2019/2088. Това се извършва по целесъобразен начин, като се вземат предвид естеството, мащабът и сложността на дейностите на ИППО.“;</w:t>
      </w:r>
    </w:p>
    <w:p w14:paraId="70C89B72" w14:textId="7965F3E5" w:rsidR="00BA4D74" w:rsidRPr="00597673" w:rsidRDefault="000F5AC5" w:rsidP="000F5AC5">
      <w:pPr>
        <w:pStyle w:val="Point2"/>
      </w:pPr>
      <w:r>
        <w:t>в)</w:t>
      </w:r>
      <w:r>
        <w:tab/>
      </w:r>
      <w:r w:rsidR="00641E41" w:rsidRPr="00597673">
        <w:t>буква г) се заменя със следното:</w:t>
      </w:r>
    </w:p>
    <w:p w14:paraId="5B00472B" w14:textId="77777777" w:rsidR="00C443F0" w:rsidRPr="00597673" w:rsidRDefault="00C443F0" w:rsidP="00DC79C9">
      <w:pPr>
        <w:pStyle w:val="Point1"/>
      </w:pPr>
      <w:r w:rsidRPr="00597673">
        <w:t xml:space="preserve">„г) </w:t>
      </w:r>
      <w:r w:rsidRPr="00597673">
        <w:tab/>
        <w:t>активите се инвестират основно на регулирани пазари, МСТ или ОСТ;“;</w:t>
      </w:r>
    </w:p>
    <w:p w14:paraId="34B7260C" w14:textId="0F82A003" w:rsidR="006E16FB" w:rsidRPr="00597673" w:rsidRDefault="000F5AC5" w:rsidP="000F5AC5">
      <w:pPr>
        <w:pStyle w:val="Point1"/>
      </w:pPr>
      <w:r>
        <w:t>б)</w:t>
      </w:r>
      <w:r>
        <w:tab/>
      </w:r>
      <w:r w:rsidR="00CD580B" w:rsidRPr="00597673">
        <w:t>вмъкват се следните параграфи 1а—1г:</w:t>
      </w:r>
    </w:p>
    <w:p w14:paraId="713B63A3" w14:textId="77777777" w:rsidR="00945D81" w:rsidRPr="00597673" w:rsidRDefault="00EE6452" w:rsidP="003420AE">
      <w:pPr>
        <w:pStyle w:val="Text1"/>
      </w:pPr>
      <w:r w:rsidRPr="00597673">
        <w:t>„1a.</w:t>
      </w:r>
      <w:r w:rsidRPr="00597673">
        <w:tab/>
        <w:t>Държавите членки изискват от ИППО всички активи в портфейла им да представляват само активи и инструменти, чиито рискове те са в състояние правилно да установяват, измерват, наблюдават, управляват, контролират и докладват, както и подходящо да оценяват цялостните си нужди от финансиране и рисковете за членовете и бенефициерите, свързани с техните пенсионни плащания в съответствие с член 28.</w:t>
      </w:r>
    </w:p>
    <w:p w14:paraId="0E6A56C9" w14:textId="77777777" w:rsidR="005257FB" w:rsidRPr="00597673" w:rsidRDefault="00945D81" w:rsidP="003420AE">
      <w:pPr>
        <w:pStyle w:val="Text1"/>
      </w:pPr>
      <w:r w:rsidRPr="00597673">
        <w:t>1б.</w:t>
      </w:r>
      <w:r w:rsidRPr="00597673">
        <w:tab/>
        <w:t>Държавите членки изискват активите, държани за покриване на техническите резерви, също да бъдат инвестирани по начин, съответстващ на естеството и продължителността на задълженията, поети от ИППО.</w:t>
      </w:r>
    </w:p>
    <w:p w14:paraId="20900628" w14:textId="77777777" w:rsidR="00911401" w:rsidRPr="00597673" w:rsidRDefault="005257FB" w:rsidP="003420AE">
      <w:pPr>
        <w:pStyle w:val="Text1"/>
      </w:pPr>
      <w:r w:rsidRPr="00597673">
        <w:t>1в.</w:t>
      </w:r>
      <w:r w:rsidRPr="00597673">
        <w:tab/>
        <w:t>Държавите членки изискват инвестиционните решения на ИППО да отразяват предпочитанията на членовете и бенефициерите във връзка с устойчивостта, когато ИППО са в състояние да оценят тези предпочитания на членовете и доколкото тези предпочитания са в съответствие с инвестиционните принципи, посочени в параграф 1.</w:t>
      </w:r>
    </w:p>
    <w:p w14:paraId="5048FBA8" w14:textId="77777777" w:rsidR="00911401" w:rsidRPr="00597673" w:rsidRDefault="00911401" w:rsidP="005D0C3B">
      <w:pPr>
        <w:pStyle w:val="Text1"/>
      </w:pPr>
      <w:r w:rsidRPr="00597673">
        <w:t>1г.</w:t>
      </w:r>
      <w:r w:rsidRPr="00597673">
        <w:tab/>
        <w:t>За целите на параграф 1в предпочитания във връзка с устойчивостта означава изборът на даден член, бенефициер или потенциален член дали и до каква степен един или повече от следните финансови инструменти да бъдат интегрирани в неговата инвестиция:</w:t>
      </w:r>
    </w:p>
    <w:p w14:paraId="1AEB2EAE" w14:textId="77777777" w:rsidR="00911401" w:rsidRPr="00597673" w:rsidRDefault="00911401" w:rsidP="005D0C3B">
      <w:pPr>
        <w:pStyle w:val="Point1"/>
      </w:pPr>
      <w:r w:rsidRPr="00597673">
        <w:t>а)</w:t>
      </w:r>
      <w:r w:rsidRPr="00597673">
        <w:tab/>
        <w:t>финансов инструмент, за който клиентът или потенциалният клиент е определил, че негов минимален дял трябва да бъде инвестиран в екологично устойчиви инвестиции, както са определени в член 2, точка 1 от Регламент (ЕС) 2020/852 на Европейския парламент и на Съвета</w:t>
      </w:r>
      <w:r w:rsidRPr="00597673">
        <w:rPr>
          <w:vertAlign w:val="superscript"/>
        </w:rPr>
        <w:t>**</w:t>
      </w:r>
      <w:r w:rsidRPr="00597673">
        <w:t>;</w:t>
      </w:r>
    </w:p>
    <w:p w14:paraId="4B6A8A19" w14:textId="77777777" w:rsidR="00911401" w:rsidRPr="00597673" w:rsidRDefault="00911401" w:rsidP="005D0C3B">
      <w:pPr>
        <w:pStyle w:val="Point1"/>
      </w:pPr>
      <w:r w:rsidRPr="00597673">
        <w:t>б)</w:t>
      </w:r>
      <w:r w:rsidRPr="00597673">
        <w:tab/>
        <w:t>финансов инструмент, за който клиентът или потенциалният клиент е определил, че негов минимален дял трябва да бъде инвестиран в устойчиви инвестиции, както са определени в член 2, точка 17 от Регламент (ЕС) 2019/2088;</w:t>
      </w:r>
    </w:p>
    <w:p w14:paraId="5140C676" w14:textId="77777777" w:rsidR="00EE6452" w:rsidRPr="00597673" w:rsidRDefault="00911401" w:rsidP="005D0C3B">
      <w:pPr>
        <w:pStyle w:val="Point1"/>
      </w:pPr>
      <w:r w:rsidRPr="00597673">
        <w:t>в)</w:t>
      </w:r>
      <w:r w:rsidRPr="00597673">
        <w:tab/>
        <w:t>финансов инструмент, при който се отчитат основните неблагоприятни въздействия върху факторите на устойчивост съгласно определението в член 2, точка 24 от Регламент (ЕС) 2019/2088, когато качествените или количествените елементи, доказващи това отчитане, са определени от клиента или потенциалния клиент.“;</w:t>
      </w:r>
    </w:p>
    <w:p w14:paraId="3D0A6D7E" w14:textId="7E2CE739" w:rsidR="00516B50" w:rsidRPr="00597673" w:rsidRDefault="000F5AC5" w:rsidP="000F5AC5">
      <w:pPr>
        <w:pStyle w:val="Point1"/>
      </w:pPr>
      <w:r>
        <w:t>в)</w:t>
      </w:r>
      <w:r>
        <w:tab/>
      </w:r>
      <w:r w:rsidR="00162C1B" w:rsidRPr="00597673">
        <w:t>параграф 6 се заменя със следното:</w:t>
      </w:r>
    </w:p>
    <w:p w14:paraId="54173F55" w14:textId="77777777" w:rsidR="00AE061E" w:rsidRPr="00597673" w:rsidRDefault="00E26AEE" w:rsidP="00016EBB">
      <w:pPr>
        <w:pStyle w:val="Text1"/>
      </w:pPr>
      <w:r w:rsidRPr="00597673">
        <w:t xml:space="preserve">„В съответствие с разпоредбите на параграфи 1—5 държавите членки могат да оправомощят компетентния орган за ИППО, лицензирани на тяхна територия, да установи по-подробни правила, при условие че те са обосновани от пруденциална гледна точка. </w:t>
      </w:r>
    </w:p>
    <w:p w14:paraId="1AE58170" w14:textId="77777777" w:rsidR="00DC1569" w:rsidRPr="00597673" w:rsidRDefault="001F619E" w:rsidP="00016EBB">
      <w:pPr>
        <w:pStyle w:val="Text1"/>
      </w:pPr>
      <w:r w:rsidRPr="00597673">
        <w:t xml:space="preserve">Тези правила се прилагат само когато инвестиционният риск се поема от членовете и бенефициерите. В такива случаи обаче ИППО не са възпрепятствани: </w:t>
      </w:r>
    </w:p>
    <w:p w14:paraId="71A36C31" w14:textId="77777777" w:rsidR="00F01F11" w:rsidRPr="00597673" w:rsidRDefault="001A4D76" w:rsidP="0017735C">
      <w:pPr>
        <w:pStyle w:val="Point1"/>
      </w:pPr>
      <w:r w:rsidRPr="00597673">
        <w:t xml:space="preserve">а)  </w:t>
      </w:r>
      <w:r w:rsidRPr="00597673">
        <w:tab/>
        <w:t>да инвестират до 70 % от активите, представляващи техническите резерви или от целия портфейл за схеми, при които инвестиционният риск се носи от членовете, в акции, в търгуеми ценни книжа, приравнени на акции и в корпоративни облигации, които се търгуват на регулирани пазари, или чрез МСТ или ОСТ, и да решават сами за относителната тежест на тези ценни книжа в инвестиционния портфейл;</w:t>
      </w:r>
    </w:p>
    <w:p w14:paraId="257A9115" w14:textId="77777777" w:rsidR="009C5D3D" w:rsidRPr="00597673" w:rsidRDefault="00F01F11" w:rsidP="0017735C">
      <w:pPr>
        <w:pStyle w:val="Point1"/>
      </w:pPr>
      <w:r w:rsidRPr="00597673">
        <w:t xml:space="preserve">б) </w:t>
      </w:r>
      <w:r w:rsidRPr="00597673">
        <w:tab/>
        <w:t>да инвестират до 30 % от активите, покриващи техническите резерви, в активи, деноминирани във валути, различни от тези, в които са изразени пасивите;</w:t>
      </w:r>
    </w:p>
    <w:p w14:paraId="6A1CA114" w14:textId="77777777" w:rsidR="009C74BA" w:rsidRPr="00597673" w:rsidRDefault="009C5D3D" w:rsidP="0017735C">
      <w:pPr>
        <w:pStyle w:val="Point1"/>
      </w:pPr>
      <w:r w:rsidRPr="00597673">
        <w:t xml:space="preserve">в) </w:t>
      </w:r>
      <w:r w:rsidRPr="00597673">
        <w:tab/>
        <w:t>да инвестират в инструменти, които имат дългосрочен инвестиционен хоризонт и не се търгуват на регулирани пазари, МСТ или ОСТ;</w:t>
      </w:r>
    </w:p>
    <w:p w14:paraId="675C5CEC" w14:textId="77777777" w:rsidR="00E26AEE" w:rsidRPr="00597673" w:rsidRDefault="009C74BA" w:rsidP="0017735C">
      <w:pPr>
        <w:pStyle w:val="Point1"/>
      </w:pPr>
      <w:r w:rsidRPr="00597673">
        <w:t xml:space="preserve">г) </w:t>
      </w:r>
      <w:r w:rsidRPr="00597673">
        <w:tab/>
        <w:t>да инвестират в инструменти, които са издадени или гарантирани от ЕИБ, предоставени в рамките на Европейския фонд за стратегически инвестиции, европейските фондове за дългосрочни инвестиции, европейските фондове за социално предприемачество и европейските фондове за рисков капитал.“;</w:t>
      </w:r>
    </w:p>
    <w:p w14:paraId="5D65AFB6" w14:textId="1B3849E8" w:rsidR="001A2968" w:rsidRPr="00597673" w:rsidRDefault="000F5AC5" w:rsidP="000F5AC5">
      <w:pPr>
        <w:pStyle w:val="Point1"/>
      </w:pPr>
      <w:r>
        <w:t>г)</w:t>
      </w:r>
      <w:r>
        <w:tab/>
      </w:r>
      <w:r w:rsidR="00E26AEE" w:rsidRPr="00597673">
        <w:t>параграфи 7 и 8 се заличават;</w:t>
      </w:r>
    </w:p>
    <w:p w14:paraId="2112BB20" w14:textId="77777777" w:rsidR="008041D2" w:rsidRPr="00597673" w:rsidRDefault="008041D2" w:rsidP="005D0C3B">
      <w:pPr>
        <w:pStyle w:val="Text1"/>
      </w:pPr>
      <w:r w:rsidRPr="00597673">
        <w:t>___________________________________________</w:t>
      </w:r>
    </w:p>
    <w:p w14:paraId="66A18494" w14:textId="77777777" w:rsidR="008041D2" w:rsidRPr="00597673" w:rsidRDefault="008041D2" w:rsidP="005D0C3B">
      <w:pPr>
        <w:pStyle w:val="Text1"/>
        <w:rPr>
          <w:sz w:val="20"/>
          <w:szCs w:val="20"/>
        </w:rPr>
      </w:pPr>
      <w:r w:rsidRPr="00597673">
        <w:rPr>
          <w:sz w:val="20"/>
        </w:rPr>
        <w:t>*</w:t>
      </w:r>
      <w:r w:rsidRPr="00597673">
        <w:tab/>
      </w:r>
      <w:r w:rsidRPr="00597673">
        <w:rPr>
          <w:sz w:val="20"/>
        </w:rPr>
        <w:t>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 9.12.2019 г., стр. 1, ELI: </w:t>
      </w:r>
      <w:hyperlink r:id="rId21" w:history="1">
        <w:r w:rsidRPr="00597673">
          <w:rPr>
            <w:rStyle w:val="Hyperlink"/>
            <w:sz w:val="20"/>
          </w:rPr>
          <w:t>http://data.europa.eu/eli/reg/2019/2088/oj</w:t>
        </w:r>
      </w:hyperlink>
      <w:r w:rsidRPr="00597673">
        <w:rPr>
          <w:sz w:val="20"/>
        </w:rPr>
        <w:t>).;</w:t>
      </w:r>
    </w:p>
    <w:p w14:paraId="5D680651" w14:textId="77777777" w:rsidR="0072424F" w:rsidRPr="00597673" w:rsidRDefault="008041D2" w:rsidP="005D0C3B">
      <w:pPr>
        <w:pStyle w:val="Text1"/>
        <w:rPr>
          <w:sz w:val="20"/>
          <w:szCs w:val="20"/>
        </w:rPr>
      </w:pPr>
      <w:r w:rsidRPr="00597673">
        <w:rPr>
          <w:sz w:val="20"/>
        </w:rPr>
        <w:t>**</w:t>
      </w:r>
      <w:r w:rsidRPr="00597673">
        <w:tab/>
      </w:r>
      <w:r w:rsidRPr="00597673">
        <w:rPr>
          <w:sz w:val="20"/>
        </w:rPr>
        <w:t>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(ОВ L 198, 22.6.2020 г., стр. 13, ELI: </w:t>
      </w:r>
      <w:hyperlink r:id="rId22" w:history="1">
        <w:r w:rsidRPr="00597673">
          <w:rPr>
            <w:rStyle w:val="Hyperlink"/>
            <w:sz w:val="20"/>
          </w:rPr>
          <w:t>http://data.europa.eu/eli/reg/2020/852/oj</w:t>
        </w:r>
      </w:hyperlink>
      <w:r w:rsidRPr="00597673">
        <w:rPr>
          <w:sz w:val="20"/>
        </w:rPr>
        <w:t>).</w:t>
      </w:r>
    </w:p>
    <w:p w14:paraId="7AC7487C" w14:textId="4BB59BFC" w:rsidR="00C00685" w:rsidRPr="00597673" w:rsidRDefault="000F5AC5" w:rsidP="000F5AC5">
      <w:pPr>
        <w:pStyle w:val="Point0"/>
      </w:pPr>
      <w:r>
        <w:t>23)</w:t>
      </w:r>
      <w:r>
        <w:tab/>
      </w:r>
      <w:r w:rsidR="00C00685" w:rsidRPr="00597673">
        <w:t>член 21 се изменя, както следва:</w:t>
      </w:r>
    </w:p>
    <w:p w14:paraId="4A34AEF0" w14:textId="3E883938" w:rsidR="00327CD2" w:rsidRPr="00597673" w:rsidRDefault="000F5AC5" w:rsidP="000F5AC5">
      <w:pPr>
        <w:pStyle w:val="Point1"/>
      </w:pPr>
      <w:r>
        <w:t>а)</w:t>
      </w:r>
      <w:r>
        <w:tab/>
      </w:r>
      <w:r w:rsidR="00144DC5" w:rsidRPr="00597673">
        <w:t>параграф 1 се заменя със следното:</w:t>
      </w:r>
    </w:p>
    <w:p w14:paraId="62280A9F" w14:textId="77777777" w:rsidR="00AC5BB2" w:rsidRPr="00597673" w:rsidRDefault="00144DC5" w:rsidP="00CD580B">
      <w:pPr>
        <w:pStyle w:val="Text1"/>
      </w:pPr>
      <w:r w:rsidRPr="00597673">
        <w:t>„1.</w:t>
      </w:r>
      <w:r w:rsidRPr="00597673">
        <w:tab/>
        <w:t xml:space="preserve">Държавите членки изискват от всички ИППО да разполагат с ефективна система на управление, която осигурява стабилно и консервативно управление на дейността им. Тази система трябва да има най-малко: </w:t>
      </w:r>
    </w:p>
    <w:p w14:paraId="352C6302" w14:textId="77777777" w:rsidR="00540150" w:rsidRPr="00597673" w:rsidRDefault="00540150" w:rsidP="00540150">
      <w:pPr>
        <w:pStyle w:val="Point1"/>
      </w:pPr>
      <w:r w:rsidRPr="00597673">
        <w:t>а)</w:t>
      </w:r>
      <w:r w:rsidRPr="00597673">
        <w:tab/>
        <w:t>адекватна и прозрачна организационна структура с ясно разпределение и целесъобразно разделение на отговорностите;</w:t>
      </w:r>
    </w:p>
    <w:p w14:paraId="02DF1720" w14:textId="77777777" w:rsidR="00A91C6E" w:rsidRPr="00597673" w:rsidRDefault="00540150" w:rsidP="005D0C3B">
      <w:pPr>
        <w:pStyle w:val="Point1"/>
      </w:pPr>
      <w:r w:rsidRPr="00597673">
        <w:t>б)</w:t>
      </w:r>
      <w:r w:rsidRPr="00597673">
        <w:tab/>
        <w:t xml:space="preserve">ефективна система за осигуряване на предаването на информация и управлението на конфликти на интереси. </w:t>
      </w:r>
    </w:p>
    <w:p w14:paraId="4386E078" w14:textId="77777777" w:rsidR="00BB45A6" w:rsidRPr="00597673" w:rsidRDefault="00540150" w:rsidP="00CD580B">
      <w:pPr>
        <w:pStyle w:val="Text1"/>
      </w:pPr>
      <w:r w:rsidRPr="00597673">
        <w:t>Тази система на управление гарантира, че факторите, свързани с околната среда, социалните въпроси и управлението, които имат отношение към инвестиционните активи, се вземат предвид при инвестиционните решения и са предмет на редовни вътрешни прегледи.</w:t>
      </w:r>
    </w:p>
    <w:p w14:paraId="285E3E21" w14:textId="77777777" w:rsidR="00144DC5" w:rsidRPr="00597673" w:rsidRDefault="00A91C6E" w:rsidP="00CD580B">
      <w:pPr>
        <w:pStyle w:val="Text1"/>
      </w:pPr>
      <w:r w:rsidRPr="00597673">
        <w:t>Този вътрешен преглед оценява адекватността на състава, ефективността и вътрешното управление на административния, управителния или надзорния орган, като се вземат предвид естеството, мащабът и сложността на рисковете, свързани с дейностите на ИППО.“;</w:t>
      </w:r>
    </w:p>
    <w:p w14:paraId="42823CFF" w14:textId="50AF0ECF" w:rsidR="004A395F" w:rsidRPr="00597673" w:rsidRDefault="000F5AC5" w:rsidP="000F5AC5">
      <w:pPr>
        <w:pStyle w:val="Point1"/>
      </w:pPr>
      <w:r>
        <w:t>б)</w:t>
      </w:r>
      <w:r>
        <w:tab/>
      </w:r>
      <w:r w:rsidR="004A395F" w:rsidRPr="00597673">
        <w:t>параграфи 3 и 4 се заменят със следното:</w:t>
      </w:r>
    </w:p>
    <w:p w14:paraId="196AE7A5" w14:textId="77777777" w:rsidR="004A395F" w:rsidRPr="00597673" w:rsidRDefault="004A395F" w:rsidP="00016EBB">
      <w:pPr>
        <w:pStyle w:val="Text1"/>
      </w:pPr>
      <w:r w:rsidRPr="00597673">
        <w:t>„3.</w:t>
      </w:r>
      <w:r w:rsidRPr="00597673">
        <w:tab/>
        <w:t>Държавите членки изискват от ИППО да въведат и прилагат писмени политики за управление на риска, за вътрешен контрол, за вътрешен одит, за възнагражденията и, когато е уместно, за актюерските дейности и за дейностите, възлагани на външен изпълнител, както и че тези политики се изпълняват. Тези писмени политики подлежат на предварително одобрение от управителния или надзорния орган на ИППО и се преразглеждат поне на всеки три години, като се изменят при всяка значителна промяна в системата или в съответната област на дейност.</w:t>
      </w:r>
    </w:p>
    <w:p w14:paraId="354552B9" w14:textId="77777777" w:rsidR="00F47CE7" w:rsidRPr="00597673" w:rsidRDefault="00CD580B" w:rsidP="00016EBB">
      <w:pPr>
        <w:pStyle w:val="Text1"/>
      </w:pPr>
      <w:r w:rsidRPr="00597673">
        <w:t>4.</w:t>
      </w:r>
      <w:r w:rsidRPr="00597673">
        <w:tab/>
        <w:t>Държавите членки изискват от ИППО да разполагат с ефективна система на вътрешен контрол. Тази система има административни и счетоводни процедури, рамка на вътрешния контрол и подходящи механизми за докладване на всички нива на ИППО, както и функция, следяща за спазването на изискванията.“;</w:t>
      </w:r>
    </w:p>
    <w:p w14:paraId="3F835C5F" w14:textId="2C93F0F9" w:rsidR="00F47CE7" w:rsidRPr="00597673" w:rsidRDefault="000F5AC5" w:rsidP="000F5AC5">
      <w:pPr>
        <w:pStyle w:val="Point1"/>
      </w:pPr>
      <w:r>
        <w:t>в)</w:t>
      </w:r>
      <w:r>
        <w:tab/>
      </w:r>
      <w:r w:rsidR="00F47CE7" w:rsidRPr="00597673">
        <w:t>вмъква се следният параграф 4a:</w:t>
      </w:r>
    </w:p>
    <w:p w14:paraId="2D7B8832" w14:textId="77777777" w:rsidR="004F5DF0" w:rsidRPr="00597673" w:rsidRDefault="004F5DF0" w:rsidP="00016EBB">
      <w:pPr>
        <w:pStyle w:val="Text1"/>
      </w:pPr>
      <w:r w:rsidRPr="00597673">
        <w:t>„4а. Функцията, следяща за спазването на изискванията, включва консултационен механизъм на административния, управителния или надзорния орган за спазването на законовите, подзаконовите и административните разпоредби приети в изпълнение на настоящата директива. В нея също така се оценява възможното въздействие на всяко изменение в правното статукво върху операциите на съответната ИППО и се определя оценката на риска, свързан със спазването на изискванията.“</w:t>
      </w:r>
    </w:p>
    <w:p w14:paraId="7724BE47" w14:textId="37273995" w:rsidR="0007600A" w:rsidRPr="00597673" w:rsidRDefault="000F5AC5" w:rsidP="000F5AC5">
      <w:pPr>
        <w:pStyle w:val="Point1"/>
      </w:pPr>
      <w:r>
        <w:t>г)</w:t>
      </w:r>
      <w:r>
        <w:tab/>
      </w:r>
      <w:r w:rsidR="0007600A" w:rsidRPr="00597673">
        <w:t>в параграф 6 второто и третото изречение се заличават;</w:t>
      </w:r>
    </w:p>
    <w:p w14:paraId="57A49B02" w14:textId="3EF4591D" w:rsidR="00316D1A" w:rsidRPr="00597673" w:rsidRDefault="000F5AC5" w:rsidP="000F5AC5">
      <w:pPr>
        <w:pStyle w:val="Point1"/>
      </w:pPr>
      <w:r>
        <w:t>д)</w:t>
      </w:r>
      <w:r>
        <w:tab/>
      </w:r>
      <w:r w:rsidR="00DF480A" w:rsidRPr="00597673">
        <w:t>добавят се следните параграфи 7—10:</w:t>
      </w:r>
    </w:p>
    <w:p w14:paraId="60DB873F" w14:textId="77777777" w:rsidR="00E764BE" w:rsidRPr="00597673" w:rsidRDefault="008A46F8" w:rsidP="00016EBB">
      <w:pPr>
        <w:pStyle w:val="Text1"/>
      </w:pPr>
      <w:r w:rsidRPr="00597673">
        <w:t>„7.</w:t>
      </w:r>
      <w:r w:rsidRPr="00597673">
        <w:tab/>
        <w:t>При потенциален или действителен конфликт на интереси, произтичащ от отношенията между ИППО и доставчик на услуги на ИППО, държавите членки изискват лицата, които действително ръководят ИППО, да взимат независими решения единствено в интерес на членовете и бенефициерите.</w:t>
      </w:r>
    </w:p>
    <w:p w14:paraId="60E06ED3" w14:textId="77777777" w:rsidR="007425FA" w:rsidRPr="00597673" w:rsidRDefault="007425FA" w:rsidP="00016EBB">
      <w:pPr>
        <w:pStyle w:val="Text1"/>
      </w:pPr>
      <w:r w:rsidRPr="00597673">
        <w:t>8.</w:t>
      </w:r>
      <w:r w:rsidRPr="00597673">
        <w:tab/>
        <w:t xml:space="preserve">Държавите членки изискват от ИППО и, когато е приложимо, от съответните им комитети за подбор на кандидати да включват широк набор от качества и компетентности при подбора на членове на управителния или надзорния орган, като се осигурява балансирано представителство на жените и мъжете. </w:t>
      </w:r>
    </w:p>
    <w:p w14:paraId="1D0886EC" w14:textId="77777777" w:rsidR="007425FA" w:rsidRPr="00597673" w:rsidRDefault="00EB4CFD" w:rsidP="00016EBB">
      <w:pPr>
        <w:pStyle w:val="Text1"/>
      </w:pPr>
      <w:r w:rsidRPr="00597673">
        <w:t>Държавите членки изискват от ИППО и, когато е приложимо, от съответните им комитети за подбор на кандидати, да въведат политика, която насърчава многообразието и приобщаването в управителния или надзорния орган. Когато е уместно, в тази политика се взема предвид, че административният, управителният или надзорният орган включва представители на социалните партньори, и тя се прилага по начин, който е съизмерим с естеството, мащаба и сложността на дейностите на ИППО.</w:t>
      </w:r>
    </w:p>
    <w:p w14:paraId="6B2CBF48" w14:textId="77777777" w:rsidR="006E4590" w:rsidRPr="00597673" w:rsidRDefault="00EB4CFD" w:rsidP="00016EBB">
      <w:pPr>
        <w:pStyle w:val="Text1"/>
      </w:pPr>
      <w:r w:rsidRPr="00597673">
        <w:t>Държавите членки изискват също така политиката да определя индивидуални количествени цели, свързани с баланса между половете, по начин, който е съизмерим с естеството, мащаба и сложността на дейностите на ИППО. За целта се взема предвид членовете на управителния или надзорния орган, избрани от спонсора на ИППО, и не се прилага за ИППО, когато броят на членовете на управителния или надзорния орган, избрани от спонсора на ИППО, е трима или по-малко.</w:t>
      </w:r>
    </w:p>
    <w:p w14:paraId="2EB32C29" w14:textId="77777777" w:rsidR="00F65FE1" w:rsidRPr="00597673" w:rsidRDefault="67C25EA3" w:rsidP="00016EBB">
      <w:pPr>
        <w:pStyle w:val="Text1"/>
      </w:pPr>
      <w:r w:rsidRPr="00597673">
        <w:t>9.</w:t>
      </w:r>
      <w:r w:rsidRPr="00597673">
        <w:tab/>
        <w:t>Държавите членки изискват от ИППО да оповестяват публично целта за равномерно представителство на по-слабо представения пол в управителния или надзорния орган, политиката за увеличаване на броя на по-слабо представения пол в управителния или надзорния орган и нейното изпълнение в годишните отчети.</w:t>
      </w:r>
    </w:p>
    <w:p w14:paraId="2AB1F63D" w14:textId="77777777" w:rsidR="00AD5F2A" w:rsidRPr="00597673" w:rsidRDefault="0BFBE404" w:rsidP="00016EBB">
      <w:pPr>
        <w:pStyle w:val="Text1"/>
      </w:pPr>
      <w:r w:rsidRPr="00597673">
        <w:t>10.</w:t>
      </w:r>
      <w:r w:rsidRPr="00597673">
        <w:tab/>
        <w:t>Държавите членки предоставят на компетентните си органи подходящи средства, методи и правомощия за проверка на системата на управление на ИППО и за оценка на нововъзникващите рискове, установени от тези ИППО, които биха могли да застрашат финансовата стабилност на ИППО.</w:t>
      </w:r>
    </w:p>
    <w:p w14:paraId="084057BB" w14:textId="77777777" w:rsidR="00DF480A" w:rsidRPr="00597673" w:rsidRDefault="00AD5F2A" w:rsidP="00016EBB">
      <w:pPr>
        <w:pStyle w:val="Text1"/>
      </w:pPr>
      <w:r w:rsidRPr="00597673">
        <w:t>Държавите членки предоставят на компетентните си органи необходимите правомощия да изискват подобряване и подсилване на системата на управление с оглед на спазването на предвидените в членове 20—32 изисквания.“;</w:t>
      </w:r>
    </w:p>
    <w:p w14:paraId="2772650C" w14:textId="794D9023" w:rsidR="00AE639B" w:rsidRPr="00597673" w:rsidRDefault="000F5AC5" w:rsidP="000F5AC5">
      <w:pPr>
        <w:pStyle w:val="Point0"/>
      </w:pPr>
      <w:r>
        <w:t>24)</w:t>
      </w:r>
      <w:r>
        <w:tab/>
      </w:r>
      <w:r w:rsidR="00DA5CC4" w:rsidRPr="00597673">
        <w:t>член 22 се изменя, както следва:</w:t>
      </w:r>
    </w:p>
    <w:p w14:paraId="6A9B351B" w14:textId="1847319B" w:rsidR="00610007" w:rsidRPr="00597673" w:rsidRDefault="000F5AC5" w:rsidP="000F5AC5">
      <w:pPr>
        <w:pStyle w:val="Point1"/>
      </w:pPr>
      <w:r>
        <w:t>а)</w:t>
      </w:r>
      <w:r>
        <w:tab/>
      </w:r>
      <w:r w:rsidR="003A1DDE" w:rsidRPr="00597673">
        <w:t>параграф 1 се заменя със следното:</w:t>
      </w:r>
    </w:p>
    <w:p w14:paraId="5F512C0A" w14:textId="77777777" w:rsidR="000B579B" w:rsidRPr="00597673" w:rsidRDefault="000B579B" w:rsidP="00C9746B">
      <w:pPr>
        <w:pStyle w:val="Text1"/>
      </w:pPr>
      <w:r w:rsidRPr="00597673">
        <w:t>„1.</w:t>
      </w:r>
      <w:r w:rsidRPr="00597673">
        <w:tab/>
        <w:t>Държавите членки изискват от ИППО да гарантират, че лица, които ефективно ръководят ИППО, административните, управителните или надзорните органи, лицата, които изпълняват ключови функции, и когато е приложимо, лицата или образуванията, на които е възложена възлова функция в качеството им на външни изпълнители в съответствие с член 31, отговарят на следните изисквания при изпълнението на своите задачи:</w:t>
      </w:r>
    </w:p>
    <w:p w14:paraId="481376AA" w14:textId="77777777" w:rsidR="000B579B" w:rsidRPr="00597673" w:rsidRDefault="000B579B" w:rsidP="005D0C3B">
      <w:pPr>
        <w:pStyle w:val="Point1"/>
      </w:pPr>
      <w:r w:rsidRPr="00597673">
        <w:t xml:space="preserve">а) </w:t>
      </w:r>
      <w:r w:rsidRPr="00597673">
        <w:tab/>
        <w:t>изискването за квалификация:</w:t>
      </w:r>
    </w:p>
    <w:p w14:paraId="2DBC3B57" w14:textId="77777777" w:rsidR="000B579B" w:rsidRPr="00597673" w:rsidRDefault="00DA0D35" w:rsidP="00C9746B">
      <w:pPr>
        <w:pStyle w:val="Point2"/>
      </w:pPr>
      <w:r w:rsidRPr="00597673">
        <w:t xml:space="preserve">i) </w:t>
      </w:r>
      <w:r w:rsidRPr="00597673">
        <w:tab/>
        <w:t>за лицата, които действително ръководят ИППО, това означава, че техните квалификации, знания и опит са достатъчни, за да им позволят да осигурят стабилно и консервативно управление на ИППО, което включва знанията и компетентностите, позволяващи им да се справят с различните нива на риск, на които са изложени членовете и бенефициерите, в зависимост от естеството на схемите, от които са част;</w:t>
      </w:r>
    </w:p>
    <w:p w14:paraId="293D3B71" w14:textId="77777777" w:rsidR="000B579B" w:rsidRPr="00597673" w:rsidRDefault="000B579B" w:rsidP="00C9746B">
      <w:pPr>
        <w:pStyle w:val="Point2"/>
      </w:pPr>
      <w:r w:rsidRPr="00597673">
        <w:t xml:space="preserve">ii) </w:t>
      </w:r>
      <w:r w:rsidRPr="00597673">
        <w:tab/>
        <w:t>за лицата, които изпълняват възлови функции във връзка с актюерски дейности или вътрешен одит, това означава техните професионални квалификации, знания и опит да са адекватни, за да изпълняват надлежно своите възлови функции;</w:t>
      </w:r>
    </w:p>
    <w:p w14:paraId="2D1E38CA" w14:textId="77777777" w:rsidR="000B579B" w:rsidRPr="00597673" w:rsidRDefault="000B579B" w:rsidP="00C9746B">
      <w:pPr>
        <w:pStyle w:val="Point2"/>
      </w:pPr>
      <w:r w:rsidRPr="00597673">
        <w:t xml:space="preserve">iii) </w:t>
      </w:r>
      <w:r w:rsidRPr="00597673">
        <w:tab/>
        <w:t xml:space="preserve">за лицата, които изпълняват други възлови функции, това означава техните квалификации, знания и опит да са адекватни за надлежното изпълнение на техните възлови функции; </w:t>
      </w:r>
    </w:p>
    <w:p w14:paraId="7B7575F2" w14:textId="77777777" w:rsidR="00052750" w:rsidRPr="00597673" w:rsidRDefault="00052750" w:rsidP="00052750">
      <w:pPr>
        <w:pStyle w:val="Point2"/>
      </w:pPr>
      <w:r w:rsidRPr="00597673">
        <w:t xml:space="preserve">iv) </w:t>
      </w:r>
      <w:r w:rsidRPr="00597673">
        <w:tab/>
        <w:t xml:space="preserve">за административните, управителните или надзорните органи това означава, че квалификациите, знанията и опитът на техните членове като цяло са адекватни, за да им позволят да изпълняват задълженията си; </w:t>
      </w:r>
    </w:p>
    <w:p w14:paraId="643AB993" w14:textId="77777777" w:rsidR="00AA4F01" w:rsidRPr="00597673" w:rsidRDefault="000B579B" w:rsidP="005D0C3B">
      <w:pPr>
        <w:pStyle w:val="Point1"/>
      </w:pPr>
      <w:r w:rsidRPr="00597673">
        <w:t xml:space="preserve">б) </w:t>
      </w:r>
      <w:r w:rsidRPr="00597673">
        <w:tab/>
        <w:t>изискването за надеждност: имат добра репутация и са почтени.“;</w:t>
      </w:r>
    </w:p>
    <w:p w14:paraId="3BEE3590" w14:textId="1B42FE19" w:rsidR="00A83A60" w:rsidRPr="00597673" w:rsidRDefault="000F5AC5" w:rsidP="000F5AC5">
      <w:pPr>
        <w:pStyle w:val="Point1"/>
      </w:pPr>
      <w:r>
        <w:t>б)</w:t>
      </w:r>
      <w:r>
        <w:tab/>
      </w:r>
      <w:r w:rsidR="00A91826" w:rsidRPr="00597673">
        <w:t>вмъкват се следните параграфи 1а и 1б:</w:t>
      </w:r>
    </w:p>
    <w:p w14:paraId="3C89A423" w14:textId="77777777" w:rsidR="00360BF4" w:rsidRPr="00597673" w:rsidRDefault="00360BF4" w:rsidP="00C66812">
      <w:pPr>
        <w:pStyle w:val="Text1"/>
      </w:pPr>
      <w:r w:rsidRPr="00597673">
        <w:t>„1a.</w:t>
      </w:r>
      <w:r w:rsidRPr="00597673">
        <w:tab/>
        <w:t>Държавите членки изискват от ИППО да уведомяват своите компетентни органи за всякакви промени в самоличността на лицата, посочени в параграф 1, заедно с причините за промените и цялата информация, необходима, за да се прецени дали новоназначените лица отговарят на изискванията за квалификация и надеждност.</w:t>
      </w:r>
    </w:p>
    <w:p w14:paraId="076AAFDB" w14:textId="77777777" w:rsidR="00C62057" w:rsidRPr="00597673" w:rsidRDefault="002D6891" w:rsidP="00C66812">
      <w:pPr>
        <w:pStyle w:val="Text1"/>
      </w:pPr>
      <w:r w:rsidRPr="00597673">
        <w:t>1б.</w:t>
      </w:r>
      <w:r w:rsidRPr="00597673">
        <w:tab/>
        <w:t>Държавите членки изискват от ИППО да уведомяват своите компетентни органи, когато някое от лицата, посочени в параграф 1, вече не отговаря на изискванията, предвидени в същия параграф, или поради тази причина е било заменено.“;</w:t>
      </w:r>
    </w:p>
    <w:p w14:paraId="22E90F92" w14:textId="1D9D42F6" w:rsidR="00DA5CC4" w:rsidRPr="00597673" w:rsidRDefault="000F5AC5" w:rsidP="000F5AC5">
      <w:pPr>
        <w:pStyle w:val="Point1"/>
      </w:pPr>
      <w:r>
        <w:t>в)</w:t>
      </w:r>
      <w:r>
        <w:tab/>
      </w:r>
      <w:r w:rsidR="00AE639B" w:rsidRPr="00597673">
        <w:t xml:space="preserve">параграф 2 се заменя със следното: </w:t>
      </w:r>
    </w:p>
    <w:p w14:paraId="6207118E" w14:textId="77777777" w:rsidR="00DA5CC4" w:rsidRPr="00597673" w:rsidRDefault="00DA5CC4" w:rsidP="00C66812">
      <w:pPr>
        <w:pStyle w:val="Text1"/>
      </w:pPr>
      <w:r w:rsidRPr="00597673">
        <w:t>„2.</w:t>
      </w:r>
      <w:r w:rsidRPr="00597673">
        <w:tab/>
        <w:t>Държавите членки предоставят на компетентните си органи средствата за преценка дали лицата, посочени в параграф 1, неотклонно удовлетворяват изискванията, предвидени в параграф 1, и дали съществуват действителни или потенциални конфликти на интереси и как те се предотвратяват или управляват.“;</w:t>
      </w:r>
    </w:p>
    <w:p w14:paraId="4439534C" w14:textId="4C8AA41D" w:rsidR="00A91826" w:rsidRPr="00597673" w:rsidRDefault="000F5AC5" w:rsidP="000F5AC5">
      <w:pPr>
        <w:pStyle w:val="Point1"/>
      </w:pPr>
      <w:r>
        <w:t>г)</w:t>
      </w:r>
      <w:r>
        <w:tab/>
      </w:r>
      <w:r w:rsidR="00A91826" w:rsidRPr="00597673">
        <w:t>вмъква се следният параграф 2a:</w:t>
      </w:r>
    </w:p>
    <w:p w14:paraId="663D54DC" w14:textId="77777777" w:rsidR="00A91826" w:rsidRPr="00597673" w:rsidRDefault="00A91826" w:rsidP="00C66812">
      <w:pPr>
        <w:pStyle w:val="Text1"/>
      </w:pPr>
      <w:r w:rsidRPr="00597673">
        <w:t>„2a.</w:t>
      </w:r>
      <w:r w:rsidRPr="00597673">
        <w:tab/>
        <w:t>Когато лице, което действително ръководи ИППО или изпълнява други възлови функции, не удовлетворява изискванията по параграф 1, компетентните органи разполагат с правомощието да изискат от ИППО да отстрани това лице от тази длъжност.“;</w:t>
      </w:r>
    </w:p>
    <w:p w14:paraId="59ED7C59" w14:textId="0CEBDB36" w:rsidR="0007600A" w:rsidRPr="00597673" w:rsidRDefault="000F5AC5" w:rsidP="000F5AC5">
      <w:pPr>
        <w:pStyle w:val="Point0"/>
      </w:pPr>
      <w:r>
        <w:t>25)</w:t>
      </w:r>
      <w:r>
        <w:tab/>
      </w:r>
      <w:r w:rsidR="780D3AD9" w:rsidRPr="00597673">
        <w:t>в член 23, параграф 3 се добавят следните букви з) и и):</w:t>
      </w:r>
    </w:p>
    <w:p w14:paraId="06C848EA" w14:textId="77777777" w:rsidR="00C64B14" w:rsidRPr="00597673" w:rsidRDefault="00F57D11" w:rsidP="005D0C3B">
      <w:pPr>
        <w:pStyle w:val="Point1"/>
      </w:pPr>
      <w:r w:rsidRPr="00597673">
        <w:t xml:space="preserve">„з) </w:t>
      </w:r>
      <w:r w:rsidRPr="00597673">
        <w:tab/>
        <w:t>в политиката за възнагражденията се посочва как ИППО взема предвид включването на рисковете за устойчивостта, определени в член 2, точка 22 от Регламент (ЕС) 2019/2088 на Европейския парламент и на Съвета, в системата за управление на риска;</w:t>
      </w:r>
    </w:p>
    <w:p w14:paraId="4CA1DFAC" w14:textId="77777777" w:rsidR="00053899" w:rsidRPr="00597673" w:rsidRDefault="008A46F8" w:rsidP="00053899">
      <w:pPr>
        <w:pStyle w:val="Point1"/>
      </w:pPr>
      <w:r w:rsidRPr="00597673">
        <w:t>и)</w:t>
      </w:r>
      <w:r w:rsidRPr="00597673">
        <w:tab/>
        <w:t>политиките и практиките за възнагражденията са обективни и недискриминационни и се основават на принципа на равно заплащане на мъжете и жените за равен труд или за труд с равна стойност за жените и мъжете.“;</w:t>
      </w:r>
    </w:p>
    <w:p w14:paraId="790E98D5" w14:textId="07F8C030" w:rsidR="00F46062" w:rsidRPr="00597673" w:rsidRDefault="000F5AC5" w:rsidP="000F5AC5">
      <w:pPr>
        <w:pStyle w:val="Point0"/>
      </w:pPr>
      <w:r>
        <w:t>26)</w:t>
      </w:r>
      <w:r>
        <w:tab/>
      </w:r>
      <w:r w:rsidR="00053899" w:rsidRPr="00597673">
        <w:t>в член 25, параграф 2, уводните думи се заменят със следното:</w:t>
      </w:r>
    </w:p>
    <w:p w14:paraId="400A0AEE" w14:textId="77777777" w:rsidR="00F46062" w:rsidRPr="00597673" w:rsidRDefault="00F46062" w:rsidP="00C66812">
      <w:pPr>
        <w:pStyle w:val="Text1"/>
      </w:pPr>
      <w:r w:rsidRPr="00597673">
        <w:t>„Системата за управление на риска обхваща по начин, съизмерим с естеството, мащаба и сложността на дейностите на ИППО, рисковете, които могат да възникнат в ИППО или в дружествата, на които са възложени задачи или дейности на ИППО, най-малко в следните области, когато е приложимо:“;</w:t>
      </w:r>
    </w:p>
    <w:p w14:paraId="5C52277F" w14:textId="7CEF72D3" w:rsidR="004C5291" w:rsidRPr="00597673" w:rsidRDefault="000F5AC5" w:rsidP="000F5AC5">
      <w:pPr>
        <w:pStyle w:val="Point0"/>
      </w:pPr>
      <w:r>
        <w:t>27)</w:t>
      </w:r>
      <w:r>
        <w:tab/>
      </w:r>
      <w:r w:rsidR="00597673">
        <w:t>ч</w:t>
      </w:r>
      <w:r w:rsidR="00043359" w:rsidRPr="00597673">
        <w:t>лен 26 се заменя със следното:</w:t>
      </w:r>
    </w:p>
    <w:p w14:paraId="56C22793" w14:textId="77777777" w:rsidR="0086216F" w:rsidRPr="00597673" w:rsidRDefault="0089026B" w:rsidP="00C66812">
      <w:pPr>
        <w:pStyle w:val="Titrearticle"/>
      </w:pPr>
      <w:r w:rsidRPr="00597673">
        <w:t xml:space="preserve">„Член 26 </w:t>
      </w:r>
      <w:r w:rsidRPr="00597673">
        <w:br/>
      </w:r>
      <w:r w:rsidRPr="00597673">
        <w:rPr>
          <w:b/>
          <w:i w:val="0"/>
        </w:rPr>
        <w:t>Функция за вътрешен одит</w:t>
      </w:r>
    </w:p>
    <w:p w14:paraId="71751694" w14:textId="77777777" w:rsidR="0089026B" w:rsidRPr="00597673" w:rsidRDefault="0089026B" w:rsidP="00C66812">
      <w:pPr>
        <w:pStyle w:val="Text1"/>
      </w:pPr>
      <w:r w:rsidRPr="00597673">
        <w:t>1.</w:t>
      </w:r>
      <w:r w:rsidRPr="00597673">
        <w:tab/>
        <w:t xml:space="preserve">Държавите членки изискват от ИППО да осигурят ефективна функция по вътрешен одит по начин, който е пропорционален на естеството, мащаба и сложността на техните дейности. </w:t>
      </w:r>
    </w:p>
    <w:p w14:paraId="33F02659" w14:textId="77777777" w:rsidR="00DF47A3" w:rsidRPr="00597673" w:rsidRDefault="0089026B" w:rsidP="00C66812">
      <w:pPr>
        <w:pStyle w:val="Text1"/>
      </w:pPr>
      <w:r w:rsidRPr="00597673">
        <w:t>Функцията по вътрешен одит включва оценка на адекватността и ефективността на системата за вътрешен контрол и на други елементи от системата на управление, включително, когато е приложимо, на възлагането на дейности на външни изпълнители.</w:t>
      </w:r>
    </w:p>
    <w:p w14:paraId="1EFC0478" w14:textId="77777777" w:rsidR="00043359" w:rsidRPr="00597673" w:rsidRDefault="00813E32" w:rsidP="00C66812">
      <w:pPr>
        <w:pStyle w:val="Text1"/>
      </w:pPr>
      <w:r w:rsidRPr="00597673">
        <w:t>2.</w:t>
      </w:r>
      <w:r w:rsidRPr="00597673">
        <w:tab/>
        <w:t>Всички констатации и препоръки на вътрешния одит се докладват на административния, управителния или надзорния орган, който определя какви действия се предприемат по отношение на констатациите и препоръките на вътрешния одит и гарантира, че тези действия се извършват.“;</w:t>
      </w:r>
    </w:p>
    <w:p w14:paraId="454424CB" w14:textId="4433CCA3" w:rsidR="00590842" w:rsidRPr="00597673" w:rsidRDefault="000F5AC5" w:rsidP="000F5AC5">
      <w:pPr>
        <w:pStyle w:val="Point0"/>
      </w:pPr>
      <w:r>
        <w:t>28)</w:t>
      </w:r>
      <w:r>
        <w:tab/>
      </w:r>
      <w:r w:rsidR="00590842" w:rsidRPr="00597673">
        <w:t>член 28 се изменя, както следва:</w:t>
      </w:r>
    </w:p>
    <w:p w14:paraId="6244583C" w14:textId="398C9CCA" w:rsidR="008A46F8" w:rsidRPr="00597673" w:rsidRDefault="000F5AC5" w:rsidP="000F5AC5">
      <w:pPr>
        <w:pStyle w:val="Point1"/>
      </w:pPr>
      <w:r>
        <w:t>а)</w:t>
      </w:r>
      <w:r>
        <w:tab/>
      </w:r>
      <w:r w:rsidR="27D7739B" w:rsidRPr="00597673">
        <w:t xml:space="preserve">в параграф 1 се добавя следната алинея: </w:t>
      </w:r>
    </w:p>
    <w:p w14:paraId="72F9E37D" w14:textId="77777777" w:rsidR="0059213B" w:rsidRPr="00597673" w:rsidRDefault="0059213B" w:rsidP="008A46F8">
      <w:pPr>
        <w:pStyle w:val="Text1"/>
      </w:pPr>
      <w:r w:rsidRPr="00597673">
        <w:t>„Държавите членки гарантират, че ИППО установяват писмена политика за собствена оценка на риска, съдържаща процесите и процедурите за извършване на оценката, честотата на оценката и методите.“;</w:t>
      </w:r>
    </w:p>
    <w:p w14:paraId="77992F9D" w14:textId="0130467B" w:rsidR="00010EA1" w:rsidRPr="00597673" w:rsidRDefault="000F5AC5" w:rsidP="000F5AC5">
      <w:pPr>
        <w:pStyle w:val="Point1"/>
      </w:pPr>
      <w:r>
        <w:t>б)</w:t>
      </w:r>
      <w:r>
        <w:tab/>
      </w:r>
      <w:r w:rsidR="00590842" w:rsidRPr="00597673">
        <w:t>параграф 2 се изменя, както следва:</w:t>
      </w:r>
    </w:p>
    <w:p w14:paraId="4AC487F4" w14:textId="77777777" w:rsidR="008B549E" w:rsidRPr="00597673" w:rsidRDefault="00694E75" w:rsidP="005D0C3B">
      <w:pPr>
        <w:pStyle w:val="Point2"/>
      </w:pPr>
      <w:r w:rsidRPr="00597673">
        <w:t>i)</w:t>
      </w:r>
      <w:r w:rsidRPr="00597673">
        <w:tab/>
        <w:t>уводният текст се заменя със следното:</w:t>
      </w:r>
    </w:p>
    <w:p w14:paraId="70A08776" w14:textId="77777777" w:rsidR="00590842" w:rsidRPr="00597673" w:rsidRDefault="008B549E" w:rsidP="005D0C3B">
      <w:pPr>
        <w:pStyle w:val="Text1"/>
      </w:pPr>
      <w:r w:rsidRPr="00597673">
        <w:t>„Държавите членки предвиждат оценката на риска, посочена в параграф 1, отчитаща естеството, мащаба и сложността на дейностите на ИППО, да включва следното:“;</w:t>
      </w:r>
    </w:p>
    <w:p w14:paraId="5979A251" w14:textId="77777777" w:rsidR="00010EA1" w:rsidRPr="00597673" w:rsidRDefault="00694E75" w:rsidP="005D0C3B">
      <w:pPr>
        <w:pStyle w:val="Point2"/>
      </w:pPr>
      <w:r w:rsidRPr="00597673">
        <w:t>ii)</w:t>
      </w:r>
      <w:r w:rsidRPr="00597673">
        <w:tab/>
        <w:t>добавят се следните букви и), й) и к):</w:t>
      </w:r>
    </w:p>
    <w:p w14:paraId="2A54DF5C" w14:textId="77777777" w:rsidR="00627775" w:rsidRPr="00597673" w:rsidRDefault="00E109F5" w:rsidP="00C9746B">
      <w:pPr>
        <w:pStyle w:val="Point2"/>
      </w:pPr>
      <w:r w:rsidRPr="00597673">
        <w:t xml:space="preserve">„i) </w:t>
      </w:r>
      <w:r w:rsidRPr="00597673">
        <w:tab/>
        <w:t>оценка на това как рисковете, на които дадена ИППО е – или би могла – да бъде изложена, се сравняват с границите на допустимия риск, одобрени от нейния административен, управителен или надзорен орган;</w:t>
      </w:r>
    </w:p>
    <w:p w14:paraId="15098F69" w14:textId="77777777" w:rsidR="00A47095" w:rsidRPr="00597673" w:rsidRDefault="00627775">
      <w:pPr>
        <w:pStyle w:val="Point2"/>
      </w:pPr>
      <w:r w:rsidRPr="00597673">
        <w:t>й)</w:t>
      </w:r>
      <w:r w:rsidRPr="00597673">
        <w:tab/>
        <w:t>оценката, посочена в член 44б, параграф 2;</w:t>
      </w:r>
    </w:p>
    <w:p w14:paraId="2ACF7175" w14:textId="77777777" w:rsidR="00E109F5" w:rsidRPr="00597673" w:rsidRDefault="00A47095" w:rsidP="00C9746B">
      <w:pPr>
        <w:pStyle w:val="Point2"/>
      </w:pPr>
      <w:r w:rsidRPr="00597673">
        <w:t>к)</w:t>
      </w:r>
      <w:r w:rsidRPr="00597673">
        <w:tab/>
        <w:t>оценка на вариантите за икономии от мащаба и ефективност, включително участието в обединени инвестиционни структури, споделени услуги или трансфери, и на тяхното въздействие върху членовете и бенефициерите.“;</w:t>
      </w:r>
    </w:p>
    <w:p w14:paraId="734065D3" w14:textId="77777777" w:rsidR="003E57D5" w:rsidRPr="00597673" w:rsidRDefault="00694E75" w:rsidP="00694E75">
      <w:pPr>
        <w:pStyle w:val="Point2"/>
      </w:pPr>
      <w:r w:rsidRPr="00597673">
        <w:t>iii)</w:t>
      </w:r>
      <w:r w:rsidRPr="00597673">
        <w:tab/>
        <w:t>добавя се следната алинея:</w:t>
      </w:r>
    </w:p>
    <w:p w14:paraId="088F4512" w14:textId="77777777" w:rsidR="00707681" w:rsidRPr="00597673" w:rsidRDefault="003E57D5" w:rsidP="005D0C3B">
      <w:pPr>
        <w:pStyle w:val="Text1"/>
      </w:pPr>
      <w:r w:rsidRPr="00597673">
        <w:t>„За целите на първа алинея, буква и) държавите членки изискват, когато в съответствие с условията на пенсионната схема членовете и бенефициерите поемат рискове, да се вземат предвид рисковете и ограниченията за поемане на риск от гледна точка на членовете и бенефициерите, като се отчита капацитета им да поемат риск и склонността им към поемане на риск.“;</w:t>
      </w:r>
    </w:p>
    <w:p w14:paraId="7B5968ED" w14:textId="6D4D1CF8" w:rsidR="5F7B2053" w:rsidRPr="00597673" w:rsidRDefault="000F5AC5" w:rsidP="000F5AC5">
      <w:pPr>
        <w:pStyle w:val="Point0"/>
      </w:pPr>
      <w:r>
        <w:t>29)</w:t>
      </w:r>
      <w:r>
        <w:tab/>
      </w:r>
      <w:r w:rsidR="5F7B2053" w:rsidRPr="00597673">
        <w:t>в член 30 се добавят следните параграфи:</w:t>
      </w:r>
    </w:p>
    <w:p w14:paraId="301B3E71" w14:textId="77777777" w:rsidR="00546D52" w:rsidRPr="00597673" w:rsidDel="00546D52" w:rsidRDefault="5F7B2053" w:rsidP="00546D52">
      <w:pPr>
        <w:pStyle w:val="Text1"/>
      </w:pPr>
      <w:r w:rsidRPr="00597673">
        <w:t>„Държавите членки изискват в отчета да се посочват ясни инвестиционни цели за всяка пенсионна схема, които са в съответствие с нейната цел по отношение на пенсионните доходи, общите цели за ефективност на схемата и средствата за наблюдение на резултатите. В отчета също така се посочва кога могат да се толерират отклонения от стратегията за разпределение на активите и целите за ефективност и до каква степен. Инвестиционната политика включва също така всички всеобхватни решения относно тактическото разпределение на активи, подбора на ценни книжа и изпълнението на сделките.</w:t>
      </w:r>
    </w:p>
    <w:p w14:paraId="20372FB9" w14:textId="77777777" w:rsidR="536A12B8" w:rsidRPr="00597673" w:rsidRDefault="536A12B8" w:rsidP="000D6F2B">
      <w:pPr>
        <w:pStyle w:val="Text1"/>
      </w:pPr>
      <w:r w:rsidRPr="00597673">
        <w:t>В отчета се разглежда също така дали, защо, до каква степен и как ще се използват по-сложни класове активи, включително алтернативни класове активи, и се посочва подходящата степен на експозиция към риск от неизпълнение от страна на контрагента.</w:t>
      </w:r>
    </w:p>
    <w:p w14:paraId="002E884E" w14:textId="77777777" w:rsidR="00B2158F" w:rsidRPr="00597673" w:rsidRDefault="00B2158F" w:rsidP="00546D52">
      <w:pPr>
        <w:pStyle w:val="Text1"/>
      </w:pPr>
      <w:r w:rsidRPr="00597673">
        <w:t>Държавите членки изискват от ИППО да въведат процедури и критерии за преглед на ефективността на инвестиционната политика и за преценка на необходимостта от изменения на политиката, на процедурите за нейното прилагане или на структурата за взимане на решения.</w:t>
      </w:r>
    </w:p>
    <w:p w14:paraId="142FBF60" w14:textId="77777777" w:rsidR="001059AC" w:rsidRPr="00597673" w:rsidRDefault="00453DAC" w:rsidP="000D6F2B">
      <w:pPr>
        <w:pStyle w:val="Text1"/>
      </w:pPr>
      <w:r w:rsidRPr="00597673">
        <w:t>Отчетът се приема от административния, управителния или надзорния орган на ИППО. Когато ИППО управлява няколко пенсионни схеми, за всяка от тях се изготвя отделен отчет за инвестиционната политика.</w:t>
      </w:r>
    </w:p>
    <w:p w14:paraId="06CD91B5" w14:textId="77777777" w:rsidR="5F7B2053" w:rsidRPr="00597673" w:rsidRDefault="001059AC" w:rsidP="000D6F2B">
      <w:pPr>
        <w:pStyle w:val="Text1"/>
      </w:pPr>
      <w:r w:rsidRPr="00597673">
        <w:t>Държавите членки предвиждат отчетът при пенсионните схеми, в които членовете имат право да правят инвестиционен избор, да обхваща подходящ набор от инвестиционни варианти, в т.ч. основен вариант, да класифицира тези варианти според естеството и степента на инвестиционния риск, поет от членовете, и да съдържа достатъчно информация за взимането на информирано инвестиционно решение.“;</w:t>
      </w:r>
    </w:p>
    <w:p w14:paraId="175B87B5" w14:textId="6CA59795" w:rsidR="00D26815" w:rsidRPr="00597673" w:rsidRDefault="000F5AC5" w:rsidP="000F5AC5">
      <w:pPr>
        <w:pStyle w:val="Point0"/>
      </w:pPr>
      <w:r>
        <w:t>30)</w:t>
      </w:r>
      <w:r>
        <w:tab/>
      </w:r>
      <w:r w:rsidR="00D26815" w:rsidRPr="00597673">
        <w:t>член 31 се изменя, както следва:</w:t>
      </w:r>
    </w:p>
    <w:p w14:paraId="2D71E435" w14:textId="290CD5C7" w:rsidR="005D18AE" w:rsidRPr="00597673" w:rsidRDefault="000F5AC5" w:rsidP="000F5AC5">
      <w:pPr>
        <w:pStyle w:val="Point1"/>
      </w:pPr>
      <w:r>
        <w:t>а)</w:t>
      </w:r>
      <w:r>
        <w:tab/>
      </w:r>
      <w:r w:rsidR="00FF3475" w:rsidRPr="00597673">
        <w:t>параграф 1 се заменя със следното:</w:t>
      </w:r>
    </w:p>
    <w:p w14:paraId="054C8CCC" w14:textId="77777777" w:rsidR="00FF3475" w:rsidRPr="00597673" w:rsidRDefault="00FF3475" w:rsidP="00356536">
      <w:pPr>
        <w:pStyle w:val="Text1"/>
      </w:pPr>
      <w:r w:rsidRPr="00597673">
        <w:t>„1.</w:t>
      </w:r>
      <w:r w:rsidRPr="00597673">
        <w:tab/>
        <w:t>Държавите членки разрешават на лицензираните на тяхна територия ИППО или изискват от тях да поверяват всички дейности, включително ключови функции и управлението на тези ИППО, изцяло или частично, на доставчици на услуги, извършващи дейност от името на тези ИППО, при условие че споразуменията за възлагане на дейности на външни изпълнители са в съответствие с параграфи 2—7.“;</w:t>
      </w:r>
    </w:p>
    <w:p w14:paraId="64C214FF" w14:textId="3C5859F3" w:rsidR="005D18AE" w:rsidRPr="00597673" w:rsidRDefault="000F5AC5" w:rsidP="000F5AC5">
      <w:pPr>
        <w:pStyle w:val="Point1"/>
      </w:pPr>
      <w:r>
        <w:t>б)</w:t>
      </w:r>
      <w:r>
        <w:tab/>
      </w:r>
      <w:r w:rsidR="005D18AE" w:rsidRPr="00597673">
        <w:t>параграф 5 се заменя със следното:</w:t>
      </w:r>
    </w:p>
    <w:p w14:paraId="04AC5EE5" w14:textId="77777777" w:rsidR="00D26815" w:rsidRPr="00597673" w:rsidRDefault="00D26815" w:rsidP="00356536">
      <w:pPr>
        <w:pStyle w:val="Text1"/>
      </w:pPr>
      <w:r w:rsidRPr="00597673">
        <w:t>„5.</w:t>
      </w:r>
      <w:r w:rsidRPr="00597673">
        <w:tab/>
        <w:t>Държавите членки задължават ИППО, които възлагат ключови функции, управлението на ИППО, или други дейности, попадащи в обхвата на настоящата директива, на външни изпълнители, да сключват правно обвързващо писмено споразумение с доставчика на услуги. Това споразумение включва разбивка на преките и непреките разходи и ясно определя правата и задълженията на ИППО и на доставчика на услуги. В случай на потенциален конфликт на интереси с доставчика на услуги ИППО документират и прилагат процедури за предотвратяване или управление на конфликти на интереси.“;</w:t>
      </w:r>
    </w:p>
    <w:p w14:paraId="63C12C04" w14:textId="6B66A213" w:rsidR="007B1A19" w:rsidRPr="00597673" w:rsidRDefault="000F5AC5" w:rsidP="000F5AC5">
      <w:pPr>
        <w:pStyle w:val="Point1"/>
      </w:pPr>
      <w:r>
        <w:t>в)</w:t>
      </w:r>
      <w:r>
        <w:tab/>
      </w:r>
      <w:r w:rsidR="007B1A19" w:rsidRPr="00597673">
        <w:t>параграф 7 се заличава;</w:t>
      </w:r>
    </w:p>
    <w:p w14:paraId="04C27178" w14:textId="6DC66211" w:rsidR="003E59CE" w:rsidRPr="00597673" w:rsidRDefault="000F5AC5" w:rsidP="000F5AC5">
      <w:pPr>
        <w:pStyle w:val="Point0"/>
      </w:pPr>
      <w:r>
        <w:t>31)</w:t>
      </w:r>
      <w:r>
        <w:tab/>
      </w:r>
      <w:r w:rsidR="00CF139B" w:rsidRPr="00597673">
        <w:t>член 33 се изменя, както следва:</w:t>
      </w:r>
    </w:p>
    <w:p w14:paraId="3287BE2B" w14:textId="6B6D23CA" w:rsidR="008D478F" w:rsidRPr="00597673" w:rsidRDefault="000F5AC5" w:rsidP="000F5AC5">
      <w:pPr>
        <w:pStyle w:val="Point1"/>
      </w:pPr>
      <w:r>
        <w:t>а)</w:t>
      </w:r>
      <w:r>
        <w:tab/>
      </w:r>
      <w:r w:rsidR="008F3308" w:rsidRPr="00597673">
        <w:t>параграфи 1, 2 и 3 се заменят със следното:</w:t>
      </w:r>
    </w:p>
    <w:p w14:paraId="1C974C98" w14:textId="55CE04A5" w:rsidR="00C81797" w:rsidRPr="00597673" w:rsidRDefault="008D478F" w:rsidP="00356536">
      <w:pPr>
        <w:pStyle w:val="Text1"/>
      </w:pPr>
      <w:r w:rsidRPr="00597673">
        <w:t>„1.</w:t>
      </w:r>
      <w:r w:rsidRPr="00597673">
        <w:tab/>
        <w:t>При пенсионните схеми, където членовете и бенефициерите изцяло носят инвестиционния риск, компетентният орган на държавата членка по произход изисква от ИППО да определи по един депозитар за всяка пенсионна схема, който да съхранява активите и да изпълнява надзорни функции в съответствие с членове 34 и 35, или, ако самата ИППО съхранява активите в съответствие с член 34, параграф 2, изисква от ИППО да има попечител, който изпълнява задължения по надзора в съответствие с член 35 и за който компетентният орган е уведомен.</w:t>
      </w:r>
    </w:p>
    <w:p w14:paraId="736215F1" w14:textId="77777777" w:rsidR="003E7B07" w:rsidRPr="00597673" w:rsidRDefault="00370B09" w:rsidP="00356536">
      <w:pPr>
        <w:pStyle w:val="Text1"/>
      </w:pPr>
      <w:r w:rsidRPr="00597673">
        <w:t>За целите на първа алинея ИППО или, когато е приложимо, оправомощеният субект, посочен в член 2, параграф 1, не действа като депозитар на тази схема.</w:t>
      </w:r>
    </w:p>
    <w:p w14:paraId="14F0BDA2" w14:textId="77777777" w:rsidR="005079B6" w:rsidRPr="00597673" w:rsidRDefault="00D25994" w:rsidP="00356536">
      <w:pPr>
        <w:pStyle w:val="Text1"/>
      </w:pPr>
      <w:r w:rsidRPr="00597673">
        <w:t>2.</w:t>
      </w:r>
      <w:r w:rsidRPr="00597673">
        <w:tab/>
        <w:t>При пенсионните схеми, където членовете и бенефициерите не носят изцяло инвестиционния риск, държавата членка по произход може да изиска от ИППО да определи по един депозитар за всяка пенсионна схема, който да съхранява активите или да съхранява активите и да изпълнява задължения по надзора в съответствие с членове 34 и 35.</w:t>
      </w:r>
    </w:p>
    <w:p w14:paraId="72A7A5B9" w14:textId="77777777" w:rsidR="005E3EED" w:rsidRPr="00597673" w:rsidRDefault="00536EAE" w:rsidP="00356536">
      <w:pPr>
        <w:pStyle w:val="Text1"/>
      </w:pPr>
      <w:r w:rsidRPr="00597673">
        <w:t>3.</w:t>
      </w:r>
      <w:r w:rsidRPr="00597673">
        <w:tab/>
        <w:t>Освен ако в настоящата глава не е предвидено друго, за определянето на депозитар се прилага съответно глава IV от Директива 2009/65/ЕО.</w:t>
      </w:r>
    </w:p>
    <w:p w14:paraId="248D9B0D" w14:textId="77777777" w:rsidR="003E59CE" w:rsidRPr="00597673" w:rsidRDefault="00022241" w:rsidP="00451D09">
      <w:pPr>
        <w:pStyle w:val="Text1"/>
      </w:pPr>
      <w:r w:rsidRPr="00597673">
        <w:t>Държавите членки не ограничават правото на ИППО да определят депозитари, установени в друга държава членка.“;</w:t>
      </w:r>
    </w:p>
    <w:p w14:paraId="67820A7A" w14:textId="052C9662" w:rsidR="00D007B1" w:rsidRPr="00597673" w:rsidRDefault="000F5AC5" w:rsidP="000F5AC5">
      <w:pPr>
        <w:pStyle w:val="Point0"/>
      </w:pPr>
      <w:r>
        <w:t>32)</w:t>
      </w:r>
      <w:r>
        <w:tab/>
      </w:r>
      <w:r w:rsidR="00D007B1" w:rsidRPr="00597673">
        <w:t>член 34 се заменя със следното:</w:t>
      </w:r>
    </w:p>
    <w:p w14:paraId="02D8D27A" w14:textId="77777777" w:rsidR="009357C9" w:rsidRPr="00597673" w:rsidRDefault="009357C9" w:rsidP="001B2ED5">
      <w:pPr>
        <w:pStyle w:val="Titrearticle"/>
      </w:pPr>
      <w:r w:rsidRPr="00597673">
        <w:t xml:space="preserve">„Член 34 </w:t>
      </w:r>
      <w:r w:rsidRPr="00597673">
        <w:br/>
      </w:r>
      <w:r w:rsidRPr="00597673">
        <w:rPr>
          <w:b/>
          <w:i w:val="0"/>
        </w:rPr>
        <w:t>Съхранение на активите и отговорност на депозитаря</w:t>
      </w:r>
    </w:p>
    <w:p w14:paraId="530F31DD" w14:textId="77777777" w:rsidR="001B2ED5" w:rsidRPr="00597673" w:rsidRDefault="001B2ED5" w:rsidP="00AD6975">
      <w:pPr>
        <w:pStyle w:val="Text1"/>
      </w:pPr>
      <w:r w:rsidRPr="00597673">
        <w:t>1.</w:t>
      </w:r>
      <w:r w:rsidRPr="00597673">
        <w:tab/>
        <w:t>Освен ако в настоящата глава не е предвидено друго, за изпълнението на задачите на депозитарите във връзка със съхранението на активите и отговорността на депозитаря се прилага съответно глава IV от Директива 2009/65/ЕО.</w:t>
      </w:r>
    </w:p>
    <w:p w14:paraId="08F8D730" w14:textId="77777777" w:rsidR="00381C1A" w:rsidRPr="00597673" w:rsidRDefault="001B2ED5" w:rsidP="005D0C3B">
      <w:pPr>
        <w:pStyle w:val="Text1"/>
      </w:pPr>
      <w:r w:rsidRPr="00597673">
        <w:t>2.</w:t>
      </w:r>
      <w:r w:rsidRPr="00597673">
        <w:tab/>
        <w:t>Когато не е определен депозитар за съхранението на активите, ИППО трябва най-малко да:</w:t>
      </w:r>
    </w:p>
    <w:p w14:paraId="4D640622" w14:textId="77777777" w:rsidR="00AD6975" w:rsidRPr="00597673" w:rsidRDefault="00AD6975" w:rsidP="005D0C3B">
      <w:pPr>
        <w:pStyle w:val="Point1"/>
      </w:pPr>
      <w:r w:rsidRPr="00597673">
        <w:t xml:space="preserve">а) </w:t>
      </w:r>
      <w:r w:rsidRPr="00597673">
        <w:tab/>
        <w:t>гарантират, че финансовите инструменти са предмет на надлежна грижа и защита;</w:t>
      </w:r>
    </w:p>
    <w:p w14:paraId="114C1AF3" w14:textId="77777777" w:rsidR="00AD6975" w:rsidRPr="00597673" w:rsidRDefault="00AD6975" w:rsidP="005D0C3B">
      <w:pPr>
        <w:pStyle w:val="Point1"/>
      </w:pPr>
      <w:r w:rsidRPr="00597673">
        <w:t xml:space="preserve">б) </w:t>
      </w:r>
      <w:r w:rsidRPr="00597673">
        <w:tab/>
        <w:t>водят отчети, които позволяват на ИППО по всяко време и незабавно да идентифицира всички активи;</w:t>
      </w:r>
    </w:p>
    <w:p w14:paraId="2FB29287" w14:textId="77777777" w:rsidR="00AD6975" w:rsidRPr="00597673" w:rsidRDefault="00AD6975" w:rsidP="005D0C3B">
      <w:pPr>
        <w:pStyle w:val="Point1"/>
      </w:pPr>
      <w:r w:rsidRPr="00597673">
        <w:t xml:space="preserve">в) </w:t>
      </w:r>
      <w:r w:rsidRPr="00597673">
        <w:tab/>
        <w:t>предприемат необходимите мерки, за да избегнат конфликт на интереси във връзка с доверително съхранение на активите;</w:t>
      </w:r>
    </w:p>
    <w:p w14:paraId="70AC0BFF" w14:textId="77777777" w:rsidR="00AD6975" w:rsidRPr="00597673" w:rsidRDefault="00AD6975" w:rsidP="005D0C3B">
      <w:pPr>
        <w:pStyle w:val="Point1"/>
      </w:pPr>
      <w:r w:rsidRPr="00597673">
        <w:t xml:space="preserve">г) </w:t>
      </w:r>
      <w:r w:rsidRPr="00597673">
        <w:tab/>
        <w:t>уведомяват, при поискване, компетентните органи за начина, по който се съхраняват активите.“;</w:t>
      </w:r>
    </w:p>
    <w:p w14:paraId="1355365E" w14:textId="75090EB8" w:rsidR="00AD6975" w:rsidRPr="00597673" w:rsidRDefault="000F5AC5" w:rsidP="000F5AC5">
      <w:pPr>
        <w:pStyle w:val="Point0"/>
      </w:pPr>
      <w:r>
        <w:t>33)</w:t>
      </w:r>
      <w:r>
        <w:tab/>
      </w:r>
      <w:r w:rsidR="00E04C24" w:rsidRPr="00597673">
        <w:t xml:space="preserve">в член 35 параграф 1 се заменя със следното: </w:t>
      </w:r>
    </w:p>
    <w:p w14:paraId="47136A06" w14:textId="77777777" w:rsidR="001A40EC" w:rsidRPr="00597673" w:rsidRDefault="009F7CBD" w:rsidP="0048259C">
      <w:pPr>
        <w:pStyle w:val="Text1"/>
      </w:pPr>
      <w:r w:rsidRPr="00597673">
        <w:t>„1.</w:t>
      </w:r>
      <w:r w:rsidRPr="00597673">
        <w:tab/>
        <w:t>Освен ако в настоящата глава не е предвидено друго, по отношение на надзорните задължения на депозитаря се прилага съответно глава IV от Директива 2009/65/ЕО.“;</w:t>
      </w:r>
    </w:p>
    <w:p w14:paraId="4ED732A8" w14:textId="7301E502" w:rsidR="001C60D3" w:rsidRPr="00597673" w:rsidRDefault="000F5AC5" w:rsidP="000F5AC5">
      <w:pPr>
        <w:pStyle w:val="Point0"/>
      </w:pPr>
      <w:r>
        <w:t>34)</w:t>
      </w:r>
      <w:r>
        <w:tab/>
      </w:r>
      <w:r w:rsidR="00A86F39" w:rsidRPr="00597673">
        <w:t>заглавието на дял IV се заменя със следното:</w:t>
      </w:r>
    </w:p>
    <w:p w14:paraId="30BF4600" w14:textId="77777777" w:rsidR="00A7692E" w:rsidRPr="00597673" w:rsidRDefault="008A4774" w:rsidP="005D0C3B">
      <w:pPr>
        <w:pStyle w:val="PartTitle"/>
      </w:pPr>
      <w:r w:rsidRPr="00597673">
        <w:t>„</w:t>
      </w:r>
      <w:r w:rsidRPr="00597673">
        <w:rPr>
          <w:sz w:val="28"/>
        </w:rPr>
        <w:t>ДЯЛ IV</w:t>
      </w:r>
      <w:r w:rsidRPr="00597673">
        <w:t xml:space="preserve"> </w:t>
      </w:r>
      <w:r w:rsidRPr="00597673">
        <w:br/>
      </w:r>
      <w:r w:rsidRPr="00597673">
        <w:rPr>
          <w:sz w:val="28"/>
        </w:rPr>
        <w:t>ИНФОРМАЦИЯ, КОЯТО СЕ ПРЕДОСТАВЯ НА ПОТЕНЦИАЛНИТЕ ЧЛЕНОВЕ, ЧЛЕНОВЕТЕ И БЕНЕФИЦИЕРИТЕ, И ПРАВИЛА ЗА ПРОФЕСИОНАЛНО ПОВЕДЕНИЕ</w:t>
      </w:r>
      <w:r w:rsidRPr="00597673">
        <w:t>“;</w:t>
      </w:r>
    </w:p>
    <w:p w14:paraId="34ED4837" w14:textId="6CF64B7B" w:rsidR="00126428" w:rsidRPr="00597673" w:rsidRDefault="000F5AC5" w:rsidP="000F5AC5">
      <w:pPr>
        <w:pStyle w:val="Point0"/>
      </w:pPr>
      <w:r>
        <w:t>35)</w:t>
      </w:r>
      <w:r>
        <w:tab/>
      </w:r>
      <w:r w:rsidR="00805566" w:rsidRPr="00597673">
        <w:t>член 36 се изменя, както следва:</w:t>
      </w:r>
    </w:p>
    <w:p w14:paraId="0DF83422" w14:textId="34A020BA" w:rsidR="00906FD6" w:rsidRPr="00597673" w:rsidRDefault="000F5AC5" w:rsidP="000F5AC5">
      <w:pPr>
        <w:pStyle w:val="Point1"/>
      </w:pPr>
      <w:r>
        <w:t>а)</w:t>
      </w:r>
      <w:r>
        <w:tab/>
      </w:r>
      <w:r w:rsidR="32003207" w:rsidRPr="00597673">
        <w:t>параграф 1 се заменя със следното:</w:t>
      </w:r>
    </w:p>
    <w:p w14:paraId="05F4C124" w14:textId="77777777" w:rsidR="000D151F" w:rsidRPr="00597673" w:rsidRDefault="00805566">
      <w:pPr>
        <w:pStyle w:val="Text1"/>
      </w:pPr>
      <w:r w:rsidRPr="00597673">
        <w:t>„1.</w:t>
      </w:r>
      <w:r w:rsidRPr="00597673">
        <w:tab/>
        <w:t>Като вземат предвид естеството на установената пенсионна схема, държавите членки задължават всяка ИППО, лицензирана на тяхна територия, която управлява схеми за професионално пенсионно осигуряване, да предоставя:</w:t>
      </w:r>
    </w:p>
    <w:p w14:paraId="19A22BD1" w14:textId="77777777" w:rsidR="000D151F" w:rsidRPr="00597673" w:rsidRDefault="000D151F" w:rsidP="005D0C3B">
      <w:pPr>
        <w:pStyle w:val="Point1"/>
      </w:pPr>
      <w:r w:rsidRPr="00597673">
        <w:t xml:space="preserve">а) </w:t>
      </w:r>
      <w:r w:rsidRPr="00597673">
        <w:tab/>
        <w:t>на потенциалните членове: най-малко информацията, посочена в член 41;</w:t>
      </w:r>
    </w:p>
    <w:p w14:paraId="7D77AB11" w14:textId="77777777" w:rsidR="000D151F" w:rsidRPr="00597673" w:rsidRDefault="000D151F" w:rsidP="005D0C3B">
      <w:pPr>
        <w:pStyle w:val="Point1"/>
      </w:pPr>
      <w:r w:rsidRPr="00597673">
        <w:t xml:space="preserve">б) </w:t>
      </w:r>
      <w:r w:rsidRPr="00597673">
        <w:tab/>
        <w:t>на членовете: поне информацията, посочена в членове 37—40,  41а, 42 и  44; и</w:t>
      </w:r>
    </w:p>
    <w:p w14:paraId="72EAA994" w14:textId="77777777" w:rsidR="00D7189D" w:rsidRPr="00597673" w:rsidRDefault="000D151F" w:rsidP="005D0C3B">
      <w:pPr>
        <w:pStyle w:val="Point1"/>
      </w:pPr>
      <w:r w:rsidRPr="00597673">
        <w:t xml:space="preserve">в) </w:t>
      </w:r>
      <w:r w:rsidRPr="00597673">
        <w:tab/>
        <w:t>на бенефициерите: поне информацията, посочена в членове 37,  41а, 43 и  44.</w:t>
      </w:r>
    </w:p>
    <w:p w14:paraId="2F787D17" w14:textId="77777777" w:rsidR="000D76D2" w:rsidRPr="00597673" w:rsidRDefault="00A3453A" w:rsidP="000D76D2">
      <w:pPr>
        <w:pStyle w:val="Text1"/>
      </w:pPr>
      <w:r w:rsidRPr="00597673">
        <w:t>Когато съгласно националното право ИППО имат право да предоставят продукти за лично пенсионно осигуряване, държавите членки задължават всяка лицензирана на тяхна територия ИППО, която предоставя продукти, различни от паневропейски персонален пенсионен продукт, както е определен в член 2, точка 1 от Регламент (ЕС) 2019/1238, да предоставя на потенциалните осигурени лица и на потенциалните пенсионно осигурени лица и бенефициери информация, която е ясна, обективна, неподвеждаща и подходяща за естеството на продукта, канала за дистрибуция и характеристиките на осигуреното лице или на бенефициера. Тази информация трябва да осигурява степен на прозрачност и защита, равностойна на предвидената в националното право за дистрибуцията на продукти за лично пенсионно осигуряване от други субекти или институции, най-малко по отношение на следните елементи:</w:t>
      </w:r>
    </w:p>
    <w:p w14:paraId="3C63AB9B" w14:textId="77777777" w:rsidR="004F6E51" w:rsidRPr="00597673" w:rsidRDefault="005F3474" w:rsidP="004F6E51">
      <w:pPr>
        <w:pStyle w:val="Point1"/>
      </w:pPr>
      <w:r w:rsidRPr="00597673">
        <w:t xml:space="preserve">а) </w:t>
      </w:r>
      <w:r w:rsidRPr="00597673">
        <w:tab/>
        <w:t>идентификационните данни, правната форма и лицензионния статут на ИППО;</w:t>
      </w:r>
    </w:p>
    <w:p w14:paraId="56BB2163" w14:textId="77777777" w:rsidR="004F6E51" w:rsidRPr="00597673" w:rsidRDefault="005F3474" w:rsidP="004F6E51">
      <w:pPr>
        <w:pStyle w:val="Point1"/>
      </w:pPr>
      <w:r w:rsidRPr="00597673">
        <w:t xml:space="preserve">б) </w:t>
      </w:r>
      <w:r w:rsidRPr="00597673">
        <w:tab/>
        <w:t>основните характеристики, разходи и рискове на предлагания продукт за лично пенсионно осигуряване;</w:t>
      </w:r>
    </w:p>
    <w:p w14:paraId="63FCC920" w14:textId="77777777" w:rsidR="004F6E51" w:rsidRPr="00597673" w:rsidRDefault="005F3474" w:rsidP="004F6E51">
      <w:pPr>
        <w:pStyle w:val="Point1"/>
      </w:pPr>
      <w:r w:rsidRPr="00597673">
        <w:t xml:space="preserve">в) </w:t>
      </w:r>
      <w:r w:rsidRPr="00597673">
        <w:tab/>
        <w:t>наличието и естеството на предоставените съвети или препоръки;</w:t>
      </w:r>
    </w:p>
    <w:p w14:paraId="73BCBB9F" w14:textId="77777777" w:rsidR="004F6E51" w:rsidRPr="00597673" w:rsidRDefault="005F3474" w:rsidP="004F6E51">
      <w:pPr>
        <w:pStyle w:val="Point1"/>
      </w:pPr>
      <w:r w:rsidRPr="00597673">
        <w:t xml:space="preserve">г) </w:t>
      </w:r>
      <w:r w:rsidRPr="00597673">
        <w:tab/>
        <w:t xml:space="preserve">естеството на всяко възнаграждение, получено във връзка с продукта; </w:t>
      </w:r>
    </w:p>
    <w:p w14:paraId="2A76AB4A" w14:textId="77777777" w:rsidR="005F3474" w:rsidRPr="00597673" w:rsidRDefault="005F3474" w:rsidP="005D0C3B">
      <w:pPr>
        <w:pStyle w:val="Point1"/>
      </w:pPr>
      <w:r w:rsidRPr="00597673">
        <w:t xml:space="preserve">д) </w:t>
      </w:r>
      <w:r w:rsidRPr="00597673">
        <w:tab/>
        <w:t>процедурите за подаване на жалби и правна защита.</w:t>
      </w:r>
    </w:p>
    <w:p w14:paraId="2595F859" w14:textId="77777777" w:rsidR="005F3474" w:rsidRPr="00597673" w:rsidRDefault="005F3474" w:rsidP="004F6E51">
      <w:pPr>
        <w:pStyle w:val="Text1"/>
      </w:pPr>
      <w:r w:rsidRPr="00597673">
        <w:t>Държавите членки могат да съобразят тези изисквания със специфичните характеристики на ИППО и разнообразието на каналите за дистрибуция на лично пенсионно осигуряване.“;</w:t>
      </w:r>
    </w:p>
    <w:p w14:paraId="0565263C" w14:textId="60482E0D" w:rsidR="59C4FC92" w:rsidRPr="00597673" w:rsidRDefault="000F5AC5" w:rsidP="000F5AC5">
      <w:pPr>
        <w:pStyle w:val="Point1"/>
      </w:pPr>
      <w:r>
        <w:t>б)</w:t>
      </w:r>
      <w:r>
        <w:tab/>
      </w:r>
      <w:r w:rsidR="38E3E38E" w:rsidRPr="00597673">
        <w:t>добавя се следният параграф 4:</w:t>
      </w:r>
    </w:p>
    <w:p w14:paraId="14786C3E" w14:textId="77777777" w:rsidR="0080615A" w:rsidRPr="00597673" w:rsidRDefault="38E3E38E" w:rsidP="008A46F8">
      <w:pPr>
        <w:pStyle w:val="Text1"/>
      </w:pPr>
      <w:r w:rsidRPr="00597673">
        <w:t>„4.</w:t>
      </w:r>
      <w:r w:rsidRPr="00597673">
        <w:tab/>
        <w:t>ЕОЗППО издава насоки в съответствие с член 16 от Регламент (ЕС) № 1094/2010 относно информацията, която трябва да бъде предоставена в съответствие с членове 41, 42 и 43.“;</w:t>
      </w:r>
    </w:p>
    <w:p w14:paraId="6ADD52F3" w14:textId="24484190" w:rsidR="005D3FE5" w:rsidRPr="00597673" w:rsidRDefault="000F5AC5" w:rsidP="000F5AC5">
      <w:pPr>
        <w:pStyle w:val="Point0"/>
      </w:pPr>
      <w:r>
        <w:t>36)</w:t>
      </w:r>
      <w:r>
        <w:tab/>
      </w:r>
      <w:r w:rsidR="008A46F8" w:rsidRPr="00597673">
        <w:t>в член 37, параграф 1 буква ж) се заменя със следното:</w:t>
      </w:r>
    </w:p>
    <w:p w14:paraId="47C4189B" w14:textId="77777777" w:rsidR="006C05D9" w:rsidRPr="00597673" w:rsidRDefault="006C05D9" w:rsidP="005D0C3B">
      <w:pPr>
        <w:pStyle w:val="Point1"/>
      </w:pPr>
      <w:r w:rsidRPr="00597673">
        <w:t xml:space="preserve">„ж) </w:t>
      </w:r>
      <w:r w:rsidRPr="00597673">
        <w:tab/>
        <w:t>когато членовете носят инвестиционен риск или могат да взимат инвестиционни решения, информация за резултатите от минали свързани с пенсионната схема инвестиционни периоди за най-малко десет години, или, когато този срок е по-кратък от десет години, за всички години, в които схемата функционира;“;</w:t>
      </w:r>
    </w:p>
    <w:p w14:paraId="48F0D48A" w14:textId="1914BC9E" w:rsidR="00055AC4" w:rsidRPr="00597673" w:rsidRDefault="000F5AC5" w:rsidP="000F5AC5">
      <w:pPr>
        <w:pStyle w:val="Point0"/>
      </w:pPr>
      <w:r>
        <w:t>37)</w:t>
      </w:r>
      <w:r>
        <w:tab/>
      </w:r>
      <w:r w:rsidR="47E467D4" w:rsidRPr="00597673">
        <w:t>вмъква се следният член 37a:</w:t>
      </w:r>
    </w:p>
    <w:p w14:paraId="5A1690FE" w14:textId="77777777" w:rsidR="00055AC4" w:rsidRPr="00597673" w:rsidRDefault="00055AC4" w:rsidP="00C9746B">
      <w:pPr>
        <w:pStyle w:val="Titrearticle"/>
      </w:pPr>
      <w:r w:rsidRPr="00597673">
        <w:t xml:space="preserve">„Член 37a </w:t>
      </w:r>
      <w:r w:rsidRPr="00597673">
        <w:br/>
      </w:r>
      <w:r w:rsidRPr="00597673">
        <w:rPr>
          <w:b/>
          <w:i w:val="0"/>
        </w:rPr>
        <w:t>Системи за проследяване на пенсиите</w:t>
      </w:r>
    </w:p>
    <w:p w14:paraId="2EC53877" w14:textId="77777777" w:rsidR="004E47ED" w:rsidRPr="00597673" w:rsidRDefault="00055AC4" w:rsidP="00B038BD">
      <w:pPr>
        <w:pStyle w:val="Text1"/>
      </w:pPr>
      <w:r w:rsidRPr="00597673">
        <w:t>1.</w:t>
      </w:r>
      <w:r w:rsidRPr="00597673">
        <w:tab/>
        <w:t>Държавите членки включват в обхвата на системите за проследяване на пенсиите, когато има такива системи, пенсионните права, управлявани от ИППО.</w:t>
      </w:r>
    </w:p>
    <w:p w14:paraId="5F13FF0D" w14:textId="77777777" w:rsidR="00055AC4" w:rsidRPr="00597673" w:rsidRDefault="004E47ED" w:rsidP="00B038BD">
      <w:pPr>
        <w:pStyle w:val="Text1"/>
      </w:pPr>
      <w:r w:rsidRPr="00597673">
        <w:t>2.</w:t>
      </w:r>
      <w:r w:rsidRPr="00597673">
        <w:tab/>
        <w:t>За целите на параграф 1 държавите членки изискват от ИППО да предоставят на системите за проследяване на пенсиите, когато има такива системи, цялата информация, от която членовете и бенефициерите се нуждаят, за да получат цялостна, надеждна и актуална представа за своите професионални и лични пенсионни права, доколкото тези права се управляват от ИППО.</w:t>
      </w:r>
    </w:p>
    <w:p w14:paraId="1D2C7D0D" w14:textId="77777777" w:rsidR="00055AC4" w:rsidRPr="00597673" w:rsidRDefault="004E47ED" w:rsidP="00B038BD">
      <w:pPr>
        <w:pStyle w:val="Text1"/>
      </w:pPr>
      <w:r w:rsidRPr="00597673">
        <w:t>3.</w:t>
      </w:r>
      <w:r w:rsidRPr="00597673">
        <w:tab/>
        <w:t>Държавите членки предвиждат за предоставянето на информацията, посочена в параграф 2, стандартизиран, машинночетим и оперативно съвместим формат, който позволява на системите за проследяване на пенсиите да обобщават данни за придобитите права, натрупания капитал и прогнозните плащания по съгласуван и съпоставим начин.</w:t>
      </w:r>
    </w:p>
    <w:p w14:paraId="4EC621B5" w14:textId="77777777" w:rsidR="00055AC4" w:rsidRPr="00597673" w:rsidRDefault="004E47ED" w:rsidP="00B038BD">
      <w:pPr>
        <w:pStyle w:val="Text1"/>
      </w:pPr>
      <w:r w:rsidRPr="00597673">
        <w:t>4.</w:t>
      </w:r>
      <w:r w:rsidRPr="00597673">
        <w:tab/>
        <w:t>Държавите членки предвиждат, че ИППО остават изцяло отговорни за пълнотата и точността на предаваните данни и за изпълнението на всички задължения за комуникация, предвидени в настоящия член.</w:t>
      </w:r>
    </w:p>
    <w:p w14:paraId="2207E942" w14:textId="77777777" w:rsidR="009C63DF" w:rsidRPr="00597673" w:rsidRDefault="004E47ED" w:rsidP="00B038BD">
      <w:pPr>
        <w:pStyle w:val="Text1"/>
      </w:pPr>
      <w:r w:rsidRPr="00597673">
        <w:t>5.</w:t>
      </w:r>
      <w:r w:rsidRPr="00597673">
        <w:tab/>
        <w:t>Държавите членки изискват от компетентните органи да наблюдават и налагат спазването на разпоредбите на настоящия член и да предприемат корективни мерки, ако ИППО не предоставят пълна, точна или актуална информация.</w:t>
      </w:r>
    </w:p>
    <w:p w14:paraId="248C4DEA" w14:textId="77777777" w:rsidR="00055AC4" w:rsidRPr="00597673" w:rsidRDefault="004E47ED" w:rsidP="00B038BD">
      <w:pPr>
        <w:pStyle w:val="Text1"/>
      </w:pPr>
      <w:r w:rsidRPr="00597673">
        <w:t>6.</w:t>
      </w:r>
      <w:r w:rsidRPr="00597673">
        <w:tab/>
        <w:t>Форматът и структурата на информацията, която трябва да се предоставя на системите за проследяване на пенсиите, са определените в делегирания регламент, приет по силата на член 38.“;</w:t>
      </w:r>
    </w:p>
    <w:p w14:paraId="3595C1AE" w14:textId="05B4554E" w:rsidR="00F60F72" w:rsidRPr="00597673" w:rsidRDefault="000F5AC5" w:rsidP="000F5AC5">
      <w:pPr>
        <w:pStyle w:val="Point0"/>
      </w:pPr>
      <w:r>
        <w:t>38)</w:t>
      </w:r>
      <w:r>
        <w:tab/>
      </w:r>
      <w:r w:rsidR="00F60F72" w:rsidRPr="00597673">
        <w:t xml:space="preserve">член 38 се изменя, както следва: </w:t>
      </w:r>
    </w:p>
    <w:p w14:paraId="4D34087A" w14:textId="65AA3D76" w:rsidR="00552C4A" w:rsidRPr="00597673" w:rsidRDefault="000F5AC5" w:rsidP="000F5AC5">
      <w:pPr>
        <w:pStyle w:val="Point1"/>
      </w:pPr>
      <w:r>
        <w:t>а)</w:t>
      </w:r>
      <w:r>
        <w:tab/>
      </w:r>
      <w:r w:rsidR="00264E5F" w:rsidRPr="00597673">
        <w:t>параграфи 1, 2 и 3 се заменят със следното:</w:t>
      </w:r>
    </w:p>
    <w:p w14:paraId="6036091C" w14:textId="77777777" w:rsidR="00264E5F" w:rsidRPr="00597673" w:rsidRDefault="00264E5F" w:rsidP="00EE22DA">
      <w:pPr>
        <w:pStyle w:val="Text1"/>
      </w:pPr>
      <w:r w:rsidRPr="00597673">
        <w:t>„1.</w:t>
      </w:r>
      <w:r w:rsidRPr="00597673">
        <w:tab/>
        <w:t>Държавите членки изискват от ИППО да изготвят кратък документ, съдържащ основна информация за всеки член. В този документ се съдържа информация за степента на риск, поет от члена, като се отчита спецификата на националните пенсионни системи и на съответното национално социално, трудово и данъчно право („извлечение от индивидуалната пенсионна партида“). Заглавието на документа съдържа думите „извлечение от индивидуалната пенсионна партида“.</w:t>
      </w:r>
    </w:p>
    <w:p w14:paraId="14085A61" w14:textId="77777777" w:rsidR="006C32EA" w:rsidRPr="00597673" w:rsidRDefault="00F66503" w:rsidP="00EE22DA">
      <w:pPr>
        <w:pStyle w:val="Text1"/>
      </w:pPr>
      <w:r w:rsidRPr="00597673">
        <w:t>2.</w:t>
      </w:r>
      <w:r w:rsidRPr="00597673">
        <w:tab/>
        <w:t>На видно място се посочват точната дата и период, към които се отнася информацията в извлечението от индивидуалната пенсионна партида.</w:t>
      </w:r>
    </w:p>
    <w:p w14:paraId="1F800199" w14:textId="77777777" w:rsidR="003A210D" w:rsidRPr="00597673" w:rsidRDefault="00F66503" w:rsidP="008A46F8">
      <w:pPr>
        <w:pStyle w:val="Text1"/>
      </w:pPr>
      <w:r w:rsidRPr="00597673">
        <w:t>3.</w:t>
      </w:r>
      <w:r w:rsidRPr="00597673">
        <w:tab/>
        <w:t>Държавите членки изискват съдържащата се в извлечението от индивидуалната пенсионна партида информация да бъде точна, актуална, в съответствие с направения избор и пълна. За да се улесни разбирането, представената информация трябва да бъде многопластова и да следва принципите на добро представяне. Извлечението от индивидуалната пенсионна партида се предоставя на всеки член безплатно на хартиен носител или по електронен път, включително на траен носител или чрез уебсайт, най-малко веднъж годишно, в съответствие с предпочитанието на члена. Предпочитанието трябва да бъде получено най-малко в началото на членството.“;</w:t>
      </w:r>
    </w:p>
    <w:p w14:paraId="0CCA1391" w14:textId="35C62897" w:rsidR="00552C4A" w:rsidRPr="00597673" w:rsidRDefault="000F5AC5" w:rsidP="000F5AC5">
      <w:pPr>
        <w:pStyle w:val="Point1"/>
      </w:pPr>
      <w:r>
        <w:t>б)</w:t>
      </w:r>
      <w:r>
        <w:tab/>
      </w:r>
      <w:r w:rsidR="00692AD9" w:rsidRPr="00597673">
        <w:t xml:space="preserve"> добавя се следният параграф 6:</w:t>
      </w:r>
    </w:p>
    <w:p w14:paraId="3F5D5201" w14:textId="77777777" w:rsidR="00754B9A" w:rsidRPr="00597673" w:rsidRDefault="00B60CDB" w:rsidP="00A43863">
      <w:pPr>
        <w:pStyle w:val="Text1"/>
      </w:pPr>
      <w:r w:rsidRPr="00597673">
        <w:t>„6.</w:t>
      </w:r>
      <w:r w:rsidRPr="00597673">
        <w:tab/>
        <w:t>Форматът и структурата на извлечението от индивидуалната пенсионна партида се предоставят на членовете и бенефициерите, като се използва стандартизиран формат на Съюза и същевременно се вземат предвид характеристиките на различните видове пенсионни схеми.</w:t>
      </w:r>
    </w:p>
    <w:p w14:paraId="7A1FD045" w14:textId="77777777" w:rsidR="00377141" w:rsidRPr="00597673" w:rsidRDefault="00754B9A" w:rsidP="00B83B3F">
      <w:pPr>
        <w:pStyle w:val="Text1"/>
      </w:pPr>
      <w:r w:rsidRPr="00597673">
        <w:t xml:space="preserve">След провеждане на проучвания сред потребителите и сред представителите на сектора ЕОЗППО разработва проект на регулаторни технически стандарти, за да определи подробностите за представянето на информацията, посочена в членове 38—40. Във връзка с представянето на информацията за резултатите от минали периоди, както е посочено в член 39, параграф 1, буква и), при изготвянето на тези регулаторни технически стандарти ЕОЗППО взима предвид спецификите на различните видове схеми, по-специално дали членовете и бенефициерите носят инвестиционен риск или дали инвестиционната стратегия зависи от възрастта или включва съгласуване на сроковете. </w:t>
      </w:r>
    </w:p>
    <w:p w14:paraId="3185D417" w14:textId="77777777" w:rsidR="00CA6E77" w:rsidRPr="00597673" w:rsidRDefault="00CA6E77" w:rsidP="00B17C2F">
      <w:pPr>
        <w:pStyle w:val="Text1"/>
      </w:pPr>
      <w:r w:rsidRPr="00597673">
        <w:t>За да се сведе до минимум дублирането на изискванията за докладване, при разработването на проекта на регулаторни стандарти ЕОЗППО се съобразява във възможно най-голяма степен с Делегиран регламент (ЕС) 2021/473 на Комисията</w:t>
      </w:r>
      <w:r w:rsidRPr="00597673">
        <w:rPr>
          <w:vertAlign w:val="superscript"/>
        </w:rPr>
        <w:t>*</w:t>
      </w:r>
      <w:r w:rsidRPr="00597673">
        <w:t xml:space="preserve"> и се стреми да улесни въвеждането на информацията от извлечението от индивидуалната пенсионна партида в системите за проследяване на пенсиите и да осигури използваемостта ѝ от членовете и бенефициерите. </w:t>
      </w:r>
    </w:p>
    <w:p w14:paraId="762634EB" w14:textId="77777777" w:rsidR="00752842" w:rsidRPr="00597673" w:rsidRDefault="00752842" w:rsidP="00752842">
      <w:pPr>
        <w:pStyle w:val="Text1"/>
      </w:pPr>
      <w:r w:rsidRPr="00597673">
        <w:t>ЕОЗППО представя този проект на регулаторни технически стандарти на Комисията до [Служба за публикации: моля, въведете дата 18 месеца след датата на влизане в сила].</w:t>
      </w:r>
    </w:p>
    <w:p w14:paraId="32C90EE9" w14:textId="77777777" w:rsidR="002E1943" w:rsidRPr="00597673" w:rsidRDefault="00752842" w:rsidP="00EE22DA">
      <w:pPr>
        <w:pStyle w:val="Text1"/>
      </w:pPr>
      <w:r w:rsidRPr="00597673">
        <w:t>Комисията се оправомощава да допълни настоящата директива, като приеме в съответствие с член 10 от Регламент (ЕС) № 1094/2010 посочените в трета алинея регулаторни технически стандарти.</w:t>
      </w:r>
    </w:p>
    <w:p w14:paraId="664DDE14" w14:textId="77777777" w:rsidR="002E1943" w:rsidRPr="00597673" w:rsidRDefault="002E1943" w:rsidP="002E1943">
      <w:pPr>
        <w:pStyle w:val="Text1"/>
        <w:tabs>
          <w:tab w:val="left" w:pos="1701"/>
        </w:tabs>
        <w:ind w:left="1134" w:right="568"/>
      </w:pPr>
      <w:r w:rsidRPr="00597673">
        <w:t>_____________________________________________</w:t>
      </w:r>
    </w:p>
    <w:p w14:paraId="544D9283" w14:textId="77777777" w:rsidR="002E1943" w:rsidRPr="00597673" w:rsidRDefault="002E1943" w:rsidP="002E1943">
      <w:pPr>
        <w:pStyle w:val="Text1"/>
        <w:rPr>
          <w:sz w:val="20"/>
          <w:szCs w:val="20"/>
        </w:rPr>
      </w:pPr>
      <w:r w:rsidRPr="00597673">
        <w:rPr>
          <w:sz w:val="20"/>
          <w:vertAlign w:val="superscript"/>
        </w:rPr>
        <w:t>*</w:t>
      </w:r>
      <w:r w:rsidRPr="00597673">
        <w:tab/>
      </w:r>
      <w:r w:rsidRPr="00597673">
        <w:rPr>
          <w:sz w:val="20"/>
        </w:rPr>
        <w:t>Делегиран регламент (ЕС) 2021/473 на Комисията от 18 декември 2020 г. за допълнение на Регламент (ЕС) 2019/1238 на Европейския парламент и на Съвета по отношение на регулаторните технически стандарти, уточняващи изискванията относно информационните документи, разходите и таксите, включени в тавана на разходите, и относно техниките за намаляване на риска за паневропейския персонален пенсионен продукт (ПЕПП) (ОВ L 99, 22.3.2021 г., стр. 1, ELI: </w:t>
      </w:r>
      <w:hyperlink r:id="rId23" w:tooltip="Gives access to this document through its ELI URI." w:history="1">
        <w:r w:rsidRPr="00597673">
          <w:rPr>
            <w:rStyle w:val="Hyperlink"/>
            <w:sz w:val="20"/>
          </w:rPr>
          <w:t>http://data.europa.eu/eli/reg_del/2021/473/oj</w:t>
        </w:r>
      </w:hyperlink>
      <w:r w:rsidRPr="00597673">
        <w:rPr>
          <w:sz w:val="20"/>
        </w:rPr>
        <w:t>).“;</w:t>
      </w:r>
    </w:p>
    <w:p w14:paraId="3EFA7EFC" w14:textId="5FB0A3DA" w:rsidR="00AC518F" w:rsidRPr="00597673" w:rsidRDefault="000F5AC5" w:rsidP="000F5AC5">
      <w:pPr>
        <w:pStyle w:val="Point0"/>
      </w:pPr>
      <w:r>
        <w:t>39)</w:t>
      </w:r>
      <w:r>
        <w:tab/>
      </w:r>
      <w:r w:rsidR="001411DC" w:rsidRPr="00597673">
        <w:t>в член 39 параграф 1 се изменя, както следва:</w:t>
      </w:r>
    </w:p>
    <w:p w14:paraId="2AE669C2" w14:textId="3834030C" w:rsidR="007422BD" w:rsidRPr="00597673" w:rsidRDefault="000F5AC5" w:rsidP="000F5AC5">
      <w:pPr>
        <w:pStyle w:val="Point1"/>
      </w:pPr>
      <w:r>
        <w:t>а)</w:t>
      </w:r>
      <w:r>
        <w:tab/>
      </w:r>
      <w:r w:rsidR="007422BD" w:rsidRPr="00597673">
        <w:t>вмъква се следната буква ба):</w:t>
      </w:r>
    </w:p>
    <w:p w14:paraId="6473F3A4" w14:textId="77777777" w:rsidR="00A66F13" w:rsidRPr="00597673" w:rsidRDefault="00A66F13" w:rsidP="005D0C3B">
      <w:pPr>
        <w:pStyle w:val="Point1"/>
      </w:pPr>
      <w:r w:rsidRPr="00597673">
        <w:t>„ба) държавата членка, в която ИППО е лицензирана, и наименованията на компетентните органи на тази държава членка“;</w:t>
      </w:r>
    </w:p>
    <w:p w14:paraId="4F56D54F" w14:textId="5E5497B3" w:rsidR="00FC03CE" w:rsidRPr="00597673" w:rsidRDefault="000F5AC5" w:rsidP="000F5AC5">
      <w:pPr>
        <w:pStyle w:val="Point1"/>
      </w:pPr>
      <w:r>
        <w:t>б)</w:t>
      </w:r>
      <w:r>
        <w:tab/>
      </w:r>
      <w:r w:rsidR="00FC03CE" w:rsidRPr="00597673">
        <w:t>буква г) се заменя със следното:</w:t>
      </w:r>
    </w:p>
    <w:p w14:paraId="514225C5" w14:textId="77777777" w:rsidR="00FC03CE" w:rsidRPr="00597673" w:rsidRDefault="00FC03CE" w:rsidP="005D0C3B">
      <w:pPr>
        <w:pStyle w:val="Point1"/>
      </w:pPr>
      <w:r w:rsidRPr="00597673">
        <w:t xml:space="preserve">„г) </w:t>
      </w:r>
      <w:r w:rsidRPr="00597673">
        <w:tab/>
        <w:t>информация за прогнозите за пенсионните плащания, основани на пенсионната възраст, както е посочено в буква а), и декларация, че тези прогнози могат да се различават от крайната стойност на получените плащания, включително, когато е приложимо, че пенсионното плащане може да бъде променливо;“;</w:t>
      </w:r>
    </w:p>
    <w:p w14:paraId="71AFC9E2" w14:textId="1EE712AB" w:rsidR="00B6551F" w:rsidRPr="00597673" w:rsidRDefault="000F5AC5" w:rsidP="000F5AC5">
      <w:pPr>
        <w:pStyle w:val="Point1"/>
      </w:pPr>
      <w:r>
        <w:t>в)</w:t>
      </w:r>
      <w:r>
        <w:tab/>
      </w:r>
      <w:r w:rsidR="00121E10" w:rsidRPr="00597673">
        <w:t>буква ж) се заменя със следното:</w:t>
      </w:r>
    </w:p>
    <w:p w14:paraId="7FE0E2B3" w14:textId="77777777" w:rsidR="00121E10" w:rsidRPr="00597673" w:rsidRDefault="00121E10" w:rsidP="005D0C3B">
      <w:pPr>
        <w:pStyle w:val="Point1"/>
      </w:pPr>
      <w:r w:rsidRPr="00597673">
        <w:t xml:space="preserve">„ж) </w:t>
      </w:r>
      <w:r w:rsidRPr="00597673">
        <w:tab/>
        <w:t>когато членовете носят инвестиционен риск или могат да взимат инвестиционни решения, информация за наложените разходи и тяхното въздействие, включително:</w:t>
      </w:r>
    </w:p>
    <w:p w14:paraId="7165FA1D" w14:textId="77777777" w:rsidR="000F7DAF" w:rsidRPr="00597673" w:rsidRDefault="00EA681F" w:rsidP="005666BA">
      <w:pPr>
        <w:pStyle w:val="Point2"/>
      </w:pPr>
      <w:r w:rsidRPr="00597673">
        <w:t xml:space="preserve">i) </w:t>
      </w:r>
      <w:r w:rsidRPr="00597673">
        <w:tab/>
        <w:t>разбивка на всички разходи, направени пряко или непряко от членовете и бенефициерите през предходните 12 месеца и с натрупване след присъединяването на члена към съответната схема, като се посочват най-малко разходите за управление, разходите за съхранение на активите и инвестиционните разходи, направени във връзка с управлението на активите и трансакциите в портфейла;</w:t>
      </w:r>
    </w:p>
    <w:p w14:paraId="70392BEF" w14:textId="77777777" w:rsidR="00083554" w:rsidRPr="00597673" w:rsidRDefault="00083554" w:rsidP="00C9746B">
      <w:pPr>
        <w:pStyle w:val="Point2"/>
      </w:pPr>
      <w:r w:rsidRPr="00597673">
        <w:t xml:space="preserve">ii) </w:t>
      </w:r>
      <w:r w:rsidRPr="00597673">
        <w:tab/>
        <w:t>оценка на въздействието на разходите върху окончателния натрупан капитал;“;</w:t>
      </w:r>
    </w:p>
    <w:p w14:paraId="5C576456" w14:textId="6E73F2D6" w:rsidR="00B6551F" w:rsidRPr="00597673" w:rsidRDefault="000F5AC5" w:rsidP="000F5AC5">
      <w:pPr>
        <w:pStyle w:val="Point1"/>
      </w:pPr>
      <w:r>
        <w:t>г)</w:t>
      </w:r>
      <w:r>
        <w:tab/>
      </w:r>
      <w:r w:rsidR="00B6551F" w:rsidRPr="00597673">
        <w:t>добавят се следните букви и) и й):</w:t>
      </w:r>
    </w:p>
    <w:p w14:paraId="1FB12278" w14:textId="77777777" w:rsidR="0058435E" w:rsidRPr="00597673" w:rsidRDefault="00800DCB" w:rsidP="005D0C3B">
      <w:pPr>
        <w:pStyle w:val="Point1"/>
      </w:pPr>
      <w:r w:rsidRPr="00597673">
        <w:t xml:space="preserve">„i) </w:t>
      </w:r>
      <w:r w:rsidRPr="00597673">
        <w:tab/>
        <w:t>когато членовете носят инвестиционен риск – информация за резултатите от минали периоди на пенсионната схема или, когато е приложимо, за направения подбор на инвестиции, обхващащ резултатите от най-малко 10 години, или, ако схемата или съответният инвестиционен вариант са били предоставяни за по-малко от 10 години, обхващащ всички години, за които е била предоставена пенсионната схема или съответният инвестиционен вариант;“;</w:t>
      </w:r>
    </w:p>
    <w:p w14:paraId="6984064C" w14:textId="77777777" w:rsidR="00E02A8C" w:rsidRPr="00597673" w:rsidRDefault="00171E5A" w:rsidP="00786480">
      <w:pPr>
        <w:pStyle w:val="Point1"/>
      </w:pPr>
      <w:r w:rsidRPr="00597673">
        <w:t xml:space="preserve">й) </w:t>
      </w:r>
      <w:r w:rsidRPr="00597673">
        <w:tab/>
        <w:t>когато членовете носят инвестиционен риск и са в състояние да избират между инвестиционни варианти, кратко описание на направения инвестиционен избор, включително броя на избраните варианти, дела на активите, инвестирани във всеки вариант, и посочване на нивото на риска на направения в обобщена форма подбор.“;</w:t>
      </w:r>
    </w:p>
    <w:p w14:paraId="08F26E00" w14:textId="6C88CCCA" w:rsidR="004A30BF" w:rsidRPr="00597673" w:rsidRDefault="000F5AC5" w:rsidP="000F5AC5">
      <w:pPr>
        <w:pStyle w:val="Point1"/>
      </w:pPr>
      <w:r>
        <w:t>д)</w:t>
      </w:r>
      <w:r>
        <w:tab/>
      </w:r>
      <w:r w:rsidR="004A30BF" w:rsidRPr="00597673">
        <w:t>добавят се следните алинеи:</w:t>
      </w:r>
    </w:p>
    <w:p w14:paraId="5772A80D" w14:textId="77777777" w:rsidR="004A30BF" w:rsidRPr="00597673" w:rsidRDefault="004A30BF" w:rsidP="004A30BF">
      <w:pPr>
        <w:pStyle w:val="Text1"/>
      </w:pPr>
      <w:r w:rsidRPr="00597673">
        <w:t>„За целите на буква г), когато прогнозите за пенсионните плащания се основават на икономически сценарии, тази информация включва поне най-вероятен сценарий, оптимистичен сценарий и неблагоприятен сценарий. Прогнозната бъдеща стойност на пенсионните плащания се представя в реално изражение заедно с кратко разяснение.</w:t>
      </w:r>
    </w:p>
    <w:p w14:paraId="64A5E173" w14:textId="77777777" w:rsidR="00EC337E" w:rsidRPr="00597673" w:rsidRDefault="00EC337E" w:rsidP="004A30BF">
      <w:pPr>
        <w:pStyle w:val="Text1"/>
      </w:pPr>
      <w:r w:rsidRPr="00597673">
        <w:t>За целите на буква ж), подточка ii) разходите се отразяват най-малко в парично изражение и като процент от вноските съответно през предходните 12 месеца и след присъединяването на члена към схемата.</w:t>
      </w:r>
    </w:p>
    <w:p w14:paraId="4AC6D3BD" w14:textId="77777777" w:rsidR="0037689F" w:rsidRPr="00597673" w:rsidRDefault="0037689F" w:rsidP="005D0C3B">
      <w:pPr>
        <w:pStyle w:val="Text1"/>
      </w:pPr>
      <w:r w:rsidRPr="00597673">
        <w:t>За целите на подточка i) информацията относно резултатите от минали периоди се придружава от декларация, че „резултатите от минали периоди не са показателни за бъдещите резултати“.;</w:t>
      </w:r>
    </w:p>
    <w:p w14:paraId="48B5E721" w14:textId="3171C5A5" w:rsidR="00497277" w:rsidRPr="00597673" w:rsidRDefault="000F5AC5" w:rsidP="000F5AC5">
      <w:pPr>
        <w:pStyle w:val="Point0"/>
      </w:pPr>
      <w:r>
        <w:t>40)</w:t>
      </w:r>
      <w:r>
        <w:tab/>
      </w:r>
      <w:r w:rsidR="00497277" w:rsidRPr="00597673">
        <w:t>в член 40, параграф 1 буква в) се заменя със следното:</w:t>
      </w:r>
    </w:p>
    <w:p w14:paraId="0570C54B" w14:textId="77777777" w:rsidR="007E41BA" w:rsidRPr="00597673" w:rsidRDefault="008D06E5" w:rsidP="005D0C3B">
      <w:pPr>
        <w:pStyle w:val="Point1"/>
      </w:pPr>
      <w:r w:rsidRPr="00597673">
        <w:t>„в)</w:t>
      </w:r>
      <w:r w:rsidRPr="00597673">
        <w:tab/>
        <w:t>информация за допусканията, използвани за прогнозите за пенсионните обезщетения, и където е приложимо, информация относно допусканията, използвани за изчисляване на сумите, изразени в анюитети, по-специално по отношение на лихвения процент, вида на доставчика и продължителността на периода на изплащане на анюитетите;“</w:t>
      </w:r>
    </w:p>
    <w:p w14:paraId="524D7BBA" w14:textId="1D19C422" w:rsidR="00807297" w:rsidRPr="00597673" w:rsidRDefault="000F5AC5" w:rsidP="000F5AC5">
      <w:pPr>
        <w:pStyle w:val="Point0"/>
      </w:pPr>
      <w:r>
        <w:t>41)</w:t>
      </w:r>
      <w:r>
        <w:tab/>
      </w:r>
      <w:r w:rsidR="00807297" w:rsidRPr="00597673">
        <w:t>член 41 се изменя, както следва:</w:t>
      </w:r>
    </w:p>
    <w:p w14:paraId="0190723B" w14:textId="2ACE56E6" w:rsidR="00807297" w:rsidRPr="00597673" w:rsidRDefault="000F5AC5" w:rsidP="000F5AC5">
      <w:pPr>
        <w:pStyle w:val="Point1"/>
      </w:pPr>
      <w:r>
        <w:t>а)</w:t>
      </w:r>
      <w:r>
        <w:tab/>
      </w:r>
      <w:r w:rsidR="005C583B" w:rsidRPr="00597673">
        <w:t>в параграф 1, буква а) се заменя със следното:</w:t>
      </w:r>
    </w:p>
    <w:p w14:paraId="1D7AE4E1" w14:textId="77777777" w:rsidR="00B640AE" w:rsidRPr="00597673" w:rsidRDefault="00B640AE" w:rsidP="005D0C3B">
      <w:pPr>
        <w:pStyle w:val="Point1"/>
      </w:pPr>
      <w:r w:rsidRPr="00597673">
        <w:t>„а)</w:t>
      </w:r>
      <w:r w:rsidRPr="00597673">
        <w:tab/>
        <w:t>всички съответни варианти, с които разполагат, включително инвестиционни варианти, и свързаните с тях рискове;“;</w:t>
      </w:r>
    </w:p>
    <w:p w14:paraId="0EAB3BFF" w14:textId="0185FF80" w:rsidR="005467CA" w:rsidRPr="00597673" w:rsidRDefault="000F5AC5" w:rsidP="000F5AC5">
      <w:pPr>
        <w:pStyle w:val="Point1"/>
      </w:pPr>
      <w:r>
        <w:t>б)</w:t>
      </w:r>
      <w:r>
        <w:tab/>
      </w:r>
      <w:r w:rsidR="00034057" w:rsidRPr="00597673">
        <w:t>параграф 2 се заменя със следното:</w:t>
      </w:r>
    </w:p>
    <w:p w14:paraId="5A2963B7" w14:textId="77777777" w:rsidR="00C95842" w:rsidRPr="00597673" w:rsidRDefault="00034057" w:rsidP="005666BA">
      <w:pPr>
        <w:pStyle w:val="Text1"/>
      </w:pPr>
      <w:r w:rsidRPr="00597673">
        <w:t>„2.</w:t>
      </w:r>
      <w:r w:rsidRPr="00597673">
        <w:tab/>
        <w:t>На потенциалните членове, посочени в параграфи 1 и 3, се предоставя следното:</w:t>
      </w:r>
    </w:p>
    <w:p w14:paraId="00E33CE9" w14:textId="77777777" w:rsidR="00E06447" w:rsidRPr="00597673" w:rsidRDefault="00C95842" w:rsidP="005D0C3B">
      <w:pPr>
        <w:pStyle w:val="Point1"/>
      </w:pPr>
      <w:r w:rsidRPr="00597673">
        <w:t xml:space="preserve">а) </w:t>
      </w:r>
      <w:r w:rsidRPr="00597673">
        <w:tab/>
        <w:t>информация за резултатите от минали периоди на инвестиции, свързани с пенсионната схема в продължение на най-малко десет години, или за всички години, в които схемата функционира, когато този срок е по-кратък от десет години;</w:t>
      </w:r>
    </w:p>
    <w:p w14:paraId="28A47523" w14:textId="77777777" w:rsidR="0085762C" w:rsidRPr="00597673" w:rsidRDefault="0085762C" w:rsidP="005D0C3B">
      <w:pPr>
        <w:pStyle w:val="Point1"/>
      </w:pPr>
      <w:r w:rsidRPr="00597673">
        <w:t xml:space="preserve">б) </w:t>
      </w:r>
      <w:r w:rsidRPr="00597673">
        <w:tab/>
        <w:t xml:space="preserve">информация за всички преки и непреки разходи, които членовете и бенефициерите са понесли през предходните 12 месеца, включително разходите за всеки инвестиционен вариант поотделно, представени поне в парично изражение, и оценка на въздействието на разходите върху окончателния натрупан капитал; </w:t>
      </w:r>
    </w:p>
    <w:p w14:paraId="482E85EC" w14:textId="77777777" w:rsidR="00034057" w:rsidRPr="00597673" w:rsidRDefault="0085762C" w:rsidP="005D0C3B">
      <w:pPr>
        <w:pStyle w:val="Point1"/>
      </w:pPr>
      <w:r w:rsidRPr="00597673">
        <w:t>в)</w:t>
      </w:r>
      <w:r w:rsidRPr="00597673">
        <w:tab/>
        <w:t xml:space="preserve"> информация за наличните инвестиционни варианти и свързаните с тях рискове.“;</w:t>
      </w:r>
    </w:p>
    <w:p w14:paraId="3BD49BA5" w14:textId="582E23BA" w:rsidR="00F27C8E" w:rsidRPr="00597673" w:rsidRDefault="000F5AC5" w:rsidP="000F5AC5">
      <w:pPr>
        <w:pStyle w:val="Point1"/>
      </w:pPr>
      <w:r>
        <w:t>в)</w:t>
      </w:r>
      <w:r>
        <w:tab/>
      </w:r>
      <w:r w:rsidR="00F27C8E" w:rsidRPr="00597673">
        <w:t>в параграф 3 буква а) се заменя със следното:</w:t>
      </w:r>
    </w:p>
    <w:p w14:paraId="6663D01F" w14:textId="77777777" w:rsidR="00F27C8E" w:rsidRPr="00597673" w:rsidRDefault="00F27C8E" w:rsidP="005D0C3B">
      <w:pPr>
        <w:pStyle w:val="Point1"/>
      </w:pPr>
      <w:r w:rsidRPr="00597673">
        <w:t xml:space="preserve">„а) </w:t>
      </w:r>
      <w:r w:rsidRPr="00597673">
        <w:tab/>
        <w:t>всички съответни варианти, с които разполагат, включително инвестиционни варианти, и свързаните с тях рискове и разходи;“;</w:t>
      </w:r>
    </w:p>
    <w:p w14:paraId="1E342488" w14:textId="5B7405D7" w:rsidR="00744502" w:rsidRPr="00597673" w:rsidRDefault="000F5AC5" w:rsidP="000F5AC5">
      <w:pPr>
        <w:pStyle w:val="Point0"/>
      </w:pPr>
      <w:r>
        <w:t>42)</w:t>
      </w:r>
      <w:r>
        <w:tab/>
      </w:r>
      <w:r w:rsidR="5D15683D" w:rsidRPr="00597673">
        <w:t>вмъква се следният член 41а:</w:t>
      </w:r>
    </w:p>
    <w:p w14:paraId="516A4521" w14:textId="77777777" w:rsidR="00744502" w:rsidRPr="00597673" w:rsidRDefault="008A46F8" w:rsidP="008A46F8">
      <w:pPr>
        <w:pStyle w:val="Titrearticle"/>
      </w:pPr>
      <w:r w:rsidRPr="00597673">
        <w:t xml:space="preserve">„Член 41a </w:t>
      </w:r>
      <w:r w:rsidRPr="00597673">
        <w:br/>
      </w:r>
      <w:r w:rsidRPr="00597673">
        <w:rPr>
          <w:b/>
          <w:i w:val="0"/>
        </w:rPr>
        <w:t>Информация, която се предоставя на членовете и бенефициерите при незадоволителни резултати</w:t>
      </w:r>
    </w:p>
    <w:p w14:paraId="74EAE704" w14:textId="77777777" w:rsidR="0074112E" w:rsidRPr="00597673" w:rsidRDefault="00257FDF" w:rsidP="00C9746B">
      <w:pPr>
        <w:pStyle w:val="Text1"/>
      </w:pPr>
      <w:r w:rsidRPr="00597673">
        <w:t>1.</w:t>
      </w:r>
      <w:r w:rsidRPr="00597673">
        <w:tab/>
        <w:t>Държавите членки задължават ИППО редовно да отчитат резултатите си спрямо референтни показатели, установени от техния компетентен орган в съответствие с параграф 4. Държавите членки задължават ИППО незабавно да уведомява компетентния си орган при установяване на съществено отклонение на резултатите ѝ от приложимия референтен показател и да предоставя доказателства, че разходите и таксите на схемата са обосновани и съизмерими, както и че схемата е съобразена с допустимото за нейните членове и бенефициери равнище на риск.</w:t>
      </w:r>
    </w:p>
    <w:p w14:paraId="72AD7119" w14:textId="77777777" w:rsidR="00257FDF" w:rsidRPr="00597673" w:rsidRDefault="00C923C6" w:rsidP="00C9746B">
      <w:pPr>
        <w:pStyle w:val="Text1"/>
      </w:pPr>
      <w:r w:rsidRPr="00597673">
        <w:t>Ако компетентният орган сметне, че доказателствата за разходите и таксите на схемата не са обосновани и съизмерими или че схемата не е съобразена с допустимото за нейните членове и бенефициери равнище на риск, или когато незадоволителните резултати продължават най-малко три години, държавите членки задължават ИППО своевременно да информира своите членове и бенефициери за това положение по ясен, обективен и разбираем начин.</w:t>
      </w:r>
    </w:p>
    <w:p w14:paraId="02D8B49C" w14:textId="77777777" w:rsidR="00B85A34" w:rsidRPr="00597673" w:rsidRDefault="00B85A34" w:rsidP="00C9746B">
      <w:pPr>
        <w:pStyle w:val="Text1"/>
      </w:pPr>
      <w:r w:rsidRPr="00597673">
        <w:t>2.</w:t>
      </w:r>
      <w:r w:rsidRPr="00597673">
        <w:tab/>
        <w:t>Държавите членки изискват информацията, посочена в параграф 1, втора алинея, да дава възможност на членовете и бенефициерите да разберат как функционира схемата по отношение на сравними ИППО. Държавите членки изискват в предоставената информация да се обясняват разбираемо причините за незадоволителните резултати, как разходите и таксите са съизмерими и обосновани, както и предприеманите действия за подобряване на резултатите и за защита на стойността на придобитите от членовете права. Държавите членки предвиждат лесен достъп до информацията дотогава, докато ИППО не демонстрира устойчиво подобрение.</w:t>
      </w:r>
    </w:p>
    <w:p w14:paraId="4E958722" w14:textId="77777777" w:rsidR="0077614C" w:rsidRPr="00597673" w:rsidRDefault="00346FAA" w:rsidP="00C9746B">
      <w:pPr>
        <w:pStyle w:val="Text1"/>
      </w:pPr>
      <w:r w:rsidRPr="00597673">
        <w:t>3.</w:t>
      </w:r>
      <w:r w:rsidRPr="00597673">
        <w:tab/>
        <w:t>Държавите членки изискват от ИППО да предоставят информацията, посочена в параграф 1, втора алинея, чрез същите канали, които обикновено се използват за предоставяне на извлечението от индивидуалната пенсионна партида и за друга редовна комуникация, както и да уведомяват членовете и бенефициерите за това как да получат допълнителни подробности, ако желаят това.</w:t>
      </w:r>
    </w:p>
    <w:p w14:paraId="596E019D" w14:textId="77777777" w:rsidR="00346FAA" w:rsidRPr="00597673" w:rsidRDefault="00174AA1">
      <w:pPr>
        <w:pStyle w:val="Text1"/>
      </w:pPr>
      <w:r w:rsidRPr="00597673">
        <w:t>4.</w:t>
      </w:r>
      <w:r w:rsidRPr="00597673">
        <w:tab/>
        <w:t>Всяка държава членка задължава компетентния си орган да разработи ясни, обективни и прозрачни референтни показатели за оценка на незадоволителните резултати, включително по отношение на административните, инвестиционните и трансакционните разходи, брутната и нетната възвръщаемост на инвестициите и резултатите от финансирането за определени периоди.</w:t>
      </w:r>
    </w:p>
    <w:p w14:paraId="6C40C1D8" w14:textId="77777777" w:rsidR="00A82B18" w:rsidRPr="00597673" w:rsidRDefault="00A82B18" w:rsidP="00C9746B">
      <w:pPr>
        <w:pStyle w:val="Text1"/>
      </w:pPr>
      <w:r w:rsidRPr="00597673">
        <w:t>5.</w:t>
      </w:r>
      <w:r w:rsidRPr="00597673">
        <w:tab/>
        <w:t>За целите на настоящия член ЕОЗППО приема насоки в съответствие с член 16 от Регламент (ЕС) № 1094/2010 относно методологиите за определяне на незадоволителните резултати в държавите членки.“;</w:t>
      </w:r>
    </w:p>
    <w:p w14:paraId="0B596532" w14:textId="7357147A" w:rsidR="00D76B3D" w:rsidRPr="00597673" w:rsidRDefault="000F5AC5" w:rsidP="000F5AC5">
      <w:pPr>
        <w:pStyle w:val="Point0"/>
      </w:pPr>
      <w:r>
        <w:t>43)</w:t>
      </w:r>
      <w:r>
        <w:tab/>
      </w:r>
      <w:r w:rsidR="005B2476" w:rsidRPr="00597673">
        <w:t>член 42 се заменя със следното:</w:t>
      </w:r>
    </w:p>
    <w:p w14:paraId="7F8BEE06" w14:textId="77777777" w:rsidR="00B83C39" w:rsidRPr="00597673" w:rsidRDefault="00D76B3D" w:rsidP="005666BA">
      <w:pPr>
        <w:pStyle w:val="Titrearticle"/>
        <w:rPr>
          <w:i w:val="0"/>
          <w:iCs/>
        </w:rPr>
      </w:pPr>
      <w:r w:rsidRPr="00597673">
        <w:t xml:space="preserve">„Член 42 </w:t>
      </w:r>
      <w:r w:rsidRPr="00597673">
        <w:br/>
      </w:r>
      <w:r w:rsidRPr="00597673">
        <w:rPr>
          <w:b/>
          <w:i w:val="0"/>
        </w:rPr>
        <w:t>Информация, която се предоставя на членовете по време на предпенсионния етап</w:t>
      </w:r>
    </w:p>
    <w:p w14:paraId="36376B98" w14:textId="77777777" w:rsidR="00370EF8" w:rsidRPr="00597673" w:rsidRDefault="00B210BF" w:rsidP="005666BA">
      <w:pPr>
        <w:pStyle w:val="Text1"/>
      </w:pPr>
      <w:r w:rsidRPr="00597673">
        <w:t xml:space="preserve">В допълнение към извлечението от индивидуалната пенсионна партида ИППО предоставят на всеки член своевременно преди пенсионна възраст, както е посочено в член 39, параграф 1, буква а), или по искане на члена, информация за предстоящото начало на етапа на изплащане и наличните възможности за изплащане на доходите при получаване на неговите пенсионни обезщетения, включително разходите и таксите, свързани с всеки вариант, и приложимото данъчно третиране. </w:t>
      </w:r>
    </w:p>
    <w:p w14:paraId="0727732D" w14:textId="77777777" w:rsidR="008E1585" w:rsidRPr="00597673" w:rsidRDefault="00F133D2" w:rsidP="005666BA">
      <w:pPr>
        <w:pStyle w:val="Text1"/>
      </w:pPr>
      <w:r w:rsidRPr="00597673">
        <w:t>Държавите членки предвиждат информацията, посочена в първа алинея, да се придружава от кратък обяснителен пакет, който съдържа всички посочени по-долу сведения:</w:t>
      </w:r>
    </w:p>
    <w:p w14:paraId="0F7A275E" w14:textId="08F38BF9" w:rsidR="00586CA1" w:rsidRPr="00597673" w:rsidRDefault="000F5AC5" w:rsidP="000F5AC5">
      <w:pPr>
        <w:pStyle w:val="Point1"/>
      </w:pPr>
      <w:r>
        <w:t>а)</w:t>
      </w:r>
      <w:r>
        <w:tab/>
      </w:r>
      <w:r w:rsidR="00586CA1" w:rsidRPr="00597673">
        <w:t>основните характеристики, последици и потенциални ефекти от всеки вариант за изплащане на доходи, който е на разположение на члена и, когато е приложимо, на бенефициерите;</w:t>
      </w:r>
    </w:p>
    <w:p w14:paraId="5C450675" w14:textId="29292738" w:rsidR="0073037C" w:rsidRPr="00597673" w:rsidRDefault="000F5AC5" w:rsidP="000F5AC5">
      <w:pPr>
        <w:pStyle w:val="Point1"/>
      </w:pPr>
      <w:r>
        <w:t>б)</w:t>
      </w:r>
      <w:r>
        <w:tab/>
      </w:r>
      <w:r w:rsidR="0073037C" w:rsidRPr="00597673">
        <w:t xml:space="preserve">рисковете и факторите, които биха могли да окажат неблагоприятно въздействие върху равнището, стабилността или продължителността на пенсионния доход; </w:t>
      </w:r>
    </w:p>
    <w:p w14:paraId="5F159104" w14:textId="207E8067" w:rsidR="0073037C" w:rsidRPr="00597673" w:rsidRDefault="000F5AC5" w:rsidP="000F5AC5">
      <w:pPr>
        <w:pStyle w:val="Point1"/>
      </w:pPr>
      <w:r>
        <w:t>в)</w:t>
      </w:r>
      <w:r>
        <w:tab/>
      </w:r>
      <w:r w:rsidR="008545DC" w:rsidRPr="00597673">
        <w:t>обстоятелствата и критериите, които членовете трябва да вземат предвид, когато преценяват дали различните варианти за изплащане на доходите са подходящи за тяхното индивидуално състояние.</w:t>
      </w:r>
    </w:p>
    <w:p w14:paraId="5969307A" w14:textId="77777777" w:rsidR="0050675D" w:rsidRPr="00597673" w:rsidRDefault="007B44D2" w:rsidP="005D0C3B">
      <w:pPr>
        <w:pStyle w:val="Text1"/>
      </w:pPr>
      <w:r w:rsidRPr="00597673">
        <w:t>Когато един от предлаганите от ИППО варианти за изплащане на доходи е променлив анюитет, държавите членки изискват от ИППО да предоставя на всеки член своевременно преди пенсионната възраст, както е посочено в член 39, параграф 1, буква а), прогнози, които илюстрират потенциалните промени в размера на плащанията в течение на времето.“;</w:t>
      </w:r>
    </w:p>
    <w:p w14:paraId="337592FC" w14:textId="19F08EAD" w:rsidR="00571175" w:rsidRPr="00597673" w:rsidRDefault="000F5AC5" w:rsidP="000F5AC5">
      <w:pPr>
        <w:pStyle w:val="Point0"/>
      </w:pPr>
      <w:r>
        <w:t>44)</w:t>
      </w:r>
      <w:r>
        <w:tab/>
      </w:r>
      <w:r w:rsidR="00544BA5" w:rsidRPr="00597673">
        <w:t>член 43 се изменя, както следва:</w:t>
      </w:r>
    </w:p>
    <w:p w14:paraId="40949F25" w14:textId="3B2A7B08" w:rsidR="00E9196B" w:rsidRPr="00597673" w:rsidRDefault="000F5AC5" w:rsidP="000F5AC5">
      <w:pPr>
        <w:pStyle w:val="Point1"/>
      </w:pPr>
      <w:r>
        <w:t>а)</w:t>
      </w:r>
      <w:r>
        <w:tab/>
      </w:r>
      <w:r w:rsidR="000E7488" w:rsidRPr="00597673">
        <w:t>параграф 1 се заменя със следното:</w:t>
      </w:r>
    </w:p>
    <w:p w14:paraId="20AA20DD" w14:textId="77777777" w:rsidR="00E96E51" w:rsidRPr="00597673" w:rsidRDefault="008E4883" w:rsidP="000E7488">
      <w:pPr>
        <w:pStyle w:val="Text1"/>
      </w:pPr>
      <w:r w:rsidRPr="00597673">
        <w:t>„1.</w:t>
      </w:r>
      <w:r w:rsidRPr="00597673">
        <w:tab/>
        <w:t xml:space="preserve">Държавите членки изискват от ИППО ежегодно да предоставят на бенефициерите информация за дължимите плащания, съответните варианти за изплащане и разбивка на всички направени разходи, както и информация за резултатите от минали периоди, както е посочено в член 39, букви ж) и и). </w:t>
      </w:r>
    </w:p>
    <w:p w14:paraId="39BB90A2" w14:textId="77777777" w:rsidR="008E4883" w:rsidRPr="00597673" w:rsidRDefault="001A3A1D" w:rsidP="000E7488">
      <w:pPr>
        <w:pStyle w:val="Text1"/>
      </w:pPr>
      <w:r w:rsidRPr="00597673">
        <w:t>В информацията се описват и основните фактори, които биха могли да повлияят на равнището или продължителността на пенсионния доход, включително инвестиционните рискове и рисковете, свързани с очакваната продължителност на живота, и се посочва, когато е уместно, правото на промяна на варианта на изплащане.“;</w:t>
      </w:r>
    </w:p>
    <w:p w14:paraId="6BA8623A" w14:textId="4528D8B0" w:rsidR="00794AD4" w:rsidRPr="00597673" w:rsidRDefault="000F5AC5" w:rsidP="000F5AC5">
      <w:pPr>
        <w:pStyle w:val="Point1"/>
      </w:pPr>
      <w:r>
        <w:t>б)</w:t>
      </w:r>
      <w:r>
        <w:tab/>
      </w:r>
      <w:r w:rsidR="00123A6A" w:rsidRPr="00597673">
        <w:t>параграф 3 се заменя със следното:</w:t>
      </w:r>
    </w:p>
    <w:p w14:paraId="35CD40EF" w14:textId="77777777" w:rsidR="00123A6A" w:rsidRPr="00597673" w:rsidRDefault="00123A6A" w:rsidP="000E7488">
      <w:pPr>
        <w:pStyle w:val="Text1"/>
      </w:pPr>
      <w:r w:rsidRPr="00597673">
        <w:t>„3.</w:t>
      </w:r>
      <w:r w:rsidRPr="00597673">
        <w:tab/>
        <w:t>Когато бенефициерите продължават да правят вноски или да носят инвестиционен риск по време на етапа на изплащане, държавите членки гарантират, че ИППО продължават да предоставят извлечението от индивидуалната пенсионна партида, което съдържа и информацията, посочена в параграф 1.“;</w:t>
      </w:r>
    </w:p>
    <w:p w14:paraId="1E40E007" w14:textId="61589798" w:rsidR="00032059" w:rsidRPr="00597673" w:rsidRDefault="000F5AC5" w:rsidP="000F5AC5">
      <w:pPr>
        <w:pStyle w:val="Point0"/>
      </w:pPr>
      <w:r>
        <w:t>45)</w:t>
      </w:r>
      <w:r>
        <w:tab/>
      </w:r>
      <w:r w:rsidR="003C6C87" w:rsidRPr="00597673">
        <w:t>в дял IV се добавя следната глава:</w:t>
      </w:r>
    </w:p>
    <w:p w14:paraId="39DF1FCB" w14:textId="77777777" w:rsidR="00D77020" w:rsidRPr="00597673" w:rsidRDefault="00D77020" w:rsidP="00C9746B">
      <w:pPr>
        <w:pStyle w:val="ChapterTitle"/>
        <w:rPr>
          <w:i/>
          <w:iCs/>
        </w:rPr>
      </w:pPr>
      <w:r w:rsidRPr="00597673">
        <w:rPr>
          <w:i/>
        </w:rPr>
        <w:t>„ГЛАВА 4</w:t>
      </w:r>
      <w:r w:rsidRPr="00597673">
        <w:t xml:space="preserve"> </w:t>
      </w:r>
      <w:r w:rsidRPr="00597673">
        <w:br/>
      </w:r>
      <w:r w:rsidRPr="00597673">
        <w:rPr>
          <w:i/>
        </w:rPr>
        <w:t>Правила за професионално поведение</w:t>
      </w:r>
    </w:p>
    <w:p w14:paraId="3FD391E0" w14:textId="77777777" w:rsidR="007A7BB3" w:rsidRPr="00597673" w:rsidRDefault="007A7BB3" w:rsidP="007A7BB3">
      <w:pPr>
        <w:pStyle w:val="Titrearticle"/>
      </w:pPr>
      <w:r w:rsidRPr="00597673">
        <w:t xml:space="preserve">Член 44а </w:t>
      </w:r>
      <w:r w:rsidRPr="00597673">
        <w:br/>
      </w:r>
      <w:r w:rsidRPr="00597673">
        <w:rPr>
          <w:b/>
          <w:i w:val="0"/>
        </w:rPr>
        <w:t>Задължение за полагане на грижи</w:t>
      </w:r>
    </w:p>
    <w:p w14:paraId="32902421" w14:textId="77777777" w:rsidR="00E1487B" w:rsidRPr="00597673" w:rsidRDefault="00C4722B" w:rsidP="000E7488">
      <w:pPr>
        <w:pStyle w:val="Text1"/>
      </w:pPr>
      <w:r w:rsidRPr="00597673">
        <w:t>1.</w:t>
      </w:r>
      <w:r w:rsidRPr="00597673">
        <w:tab/>
        <w:t>Държавите членки, като вземат предвид естеството на пенсионната схема, изискват от всяка лицензирана на тяхна територия ИППО винаги да действа честно, справедливо и професионално и с оглед на интереса на своите членове и бенефициери. Тези интереси включват целта за осигуряване на адекватна, отчитаща риска и икономически целесъобразна възвръщаемост в дългосрочен план, съответстваща на дългосрочния характер на пенсионните задължения.</w:t>
      </w:r>
    </w:p>
    <w:p w14:paraId="5EC6D317" w14:textId="77777777" w:rsidR="00DA0B99" w:rsidRPr="00597673" w:rsidRDefault="00C4722B" w:rsidP="000E7488">
      <w:pPr>
        <w:pStyle w:val="Text1"/>
      </w:pPr>
      <w:r w:rsidRPr="00597673">
        <w:t>2.</w:t>
      </w:r>
      <w:r w:rsidRPr="00597673">
        <w:tab/>
        <w:t>Държавите членки изискват от ИППО да въведат защитни мерки, включително насоки в подкрепа на потенциалните членове, членовете и бенефициерите, когато взимат решение за възможностите, с които разполагат, и да ги информират за потенциалните последици от своите решения.</w:t>
      </w:r>
    </w:p>
    <w:p w14:paraId="0C9CEFAD" w14:textId="77777777" w:rsidR="00751F49" w:rsidRPr="00597673" w:rsidRDefault="005E5F7C" w:rsidP="000E7488">
      <w:pPr>
        <w:pStyle w:val="Titrearticle"/>
      </w:pPr>
      <w:r w:rsidRPr="00597673">
        <w:t xml:space="preserve">Член 44б </w:t>
      </w:r>
      <w:r w:rsidRPr="00597673">
        <w:br/>
      </w:r>
      <w:r w:rsidRPr="00597673">
        <w:rPr>
          <w:b/>
          <w:i w:val="0"/>
        </w:rPr>
        <w:t>Подходяща структура и прилагане на пенсионните схеми</w:t>
      </w:r>
    </w:p>
    <w:p w14:paraId="7BA37CE9" w14:textId="77777777" w:rsidR="00FC4F0B" w:rsidRPr="00597673" w:rsidRDefault="00F82A45" w:rsidP="001B57C4">
      <w:pPr>
        <w:pStyle w:val="Text1"/>
      </w:pPr>
      <w:r w:rsidRPr="00597673">
        <w:t>1.</w:t>
      </w:r>
      <w:r w:rsidRPr="00597673">
        <w:tab/>
        <w:t xml:space="preserve">Без да се засягат разпоредбите на националното социално и трудово законодателство относно организацията на пенсионните системи, в т.ч. задължителното членство и колективните трудови договорености, държавите членки изискват: </w:t>
      </w:r>
    </w:p>
    <w:p w14:paraId="49FBF845" w14:textId="77777777" w:rsidR="00905CF8" w:rsidRPr="00597673" w:rsidRDefault="005C1400" w:rsidP="005D0C3B">
      <w:pPr>
        <w:pStyle w:val="Point1"/>
      </w:pPr>
      <w:r w:rsidRPr="00597673">
        <w:t xml:space="preserve">а) </w:t>
      </w:r>
      <w:r w:rsidRPr="00597673">
        <w:tab/>
        <w:t>ИППО да гарантират, че структурата, замисъла и прилагането на пенсионните схеми са подходящи с оглед на установените потребности, характеристики и рисков профил на членовете и бенефициерите по начин, който е пропорционален на естеството, мащаба и сложността на схемата.</w:t>
      </w:r>
    </w:p>
    <w:p w14:paraId="62705232" w14:textId="77777777" w:rsidR="00B20FCC" w:rsidRPr="00597673" w:rsidRDefault="005C1400" w:rsidP="005D0C3B">
      <w:pPr>
        <w:pStyle w:val="Point1"/>
      </w:pPr>
      <w:r w:rsidRPr="00597673">
        <w:t xml:space="preserve">б) </w:t>
      </w:r>
      <w:r w:rsidRPr="00597673">
        <w:tab/>
        <w:t>ИППО редовно да преразглеждат и при необходимост да адаптират структурата, замисъла и прилагането на пенсионната схема, като вземат предвид всички съществени промени, за да гарантират, че схемата продължава да бъде подходяща и съобразена с потребностите, характеристиките и рисковия профил на членовете и бенефициерите по начин, който е пропорционален на естеството, мащаба и сложността на схемата.</w:t>
      </w:r>
    </w:p>
    <w:p w14:paraId="0A0E2DEC" w14:textId="77777777" w:rsidR="001952ED" w:rsidRPr="00597673" w:rsidRDefault="001952ED" w:rsidP="000E7488">
      <w:pPr>
        <w:pStyle w:val="Text1"/>
      </w:pPr>
      <w:r w:rsidRPr="00597673">
        <w:t>ИППО да документират оценката на това дали структурата, замисълът и прилагането на пенсионните схеми са подходящи, както е посочено в първа алинея, буква а).</w:t>
      </w:r>
    </w:p>
    <w:p w14:paraId="5D045D79" w14:textId="77777777" w:rsidR="00A70EA1" w:rsidRPr="00597673" w:rsidRDefault="00106B79" w:rsidP="000E7488">
      <w:pPr>
        <w:pStyle w:val="Text1"/>
      </w:pPr>
      <w:r w:rsidRPr="00597673">
        <w:t>2.</w:t>
      </w:r>
      <w:r w:rsidRPr="00597673">
        <w:tab/>
        <w:t>Държавите членки задължават ИППО да оценяват дългосрочния риск от гледна точка на членовете и бенефициерите, когато те поемат инвестиционен риск, в т.ч.:</w:t>
      </w:r>
    </w:p>
    <w:p w14:paraId="0B82C147" w14:textId="77777777" w:rsidR="002D1EF8" w:rsidRPr="00597673" w:rsidRDefault="00F520ED" w:rsidP="005D0C3B">
      <w:pPr>
        <w:pStyle w:val="Point1"/>
      </w:pPr>
      <w:r w:rsidRPr="00597673">
        <w:t xml:space="preserve">а) </w:t>
      </w:r>
      <w:r w:rsidRPr="00597673">
        <w:tab/>
        <w:t>да определят допустимото равнище на риск за членовете и бенефициерите, които поемат риск;</w:t>
      </w:r>
    </w:p>
    <w:p w14:paraId="323D7DDC" w14:textId="77777777" w:rsidR="002D1EF8" w:rsidRPr="00597673" w:rsidRDefault="002D1EF8" w:rsidP="005D0C3B">
      <w:pPr>
        <w:pStyle w:val="Point1"/>
      </w:pPr>
      <w:r w:rsidRPr="00597673">
        <w:t xml:space="preserve">б) </w:t>
      </w:r>
      <w:r w:rsidRPr="00597673">
        <w:tab/>
        <w:t>въвеждане на използването на прогнози за пенсиите в оценката на риска от гледна точка на членовете и бенефициерите;</w:t>
      </w:r>
    </w:p>
    <w:p w14:paraId="7C123C2E" w14:textId="77777777" w:rsidR="00002F51" w:rsidRPr="00597673" w:rsidRDefault="00CC3A07" w:rsidP="005D0C3B">
      <w:pPr>
        <w:pStyle w:val="Point1"/>
      </w:pPr>
      <w:r w:rsidRPr="00597673">
        <w:t xml:space="preserve">в) </w:t>
      </w:r>
      <w:r w:rsidRPr="00597673">
        <w:tab/>
        <w:t>когато ИППО предлагат няколко инвестиционни варианта – периодичен преглед на пригодността на инвестиционните варианти за членовете в съответствие с допустимата за тях степен на риск, а при наличието на основен вариант – преглед на пригодността му;</w:t>
      </w:r>
    </w:p>
    <w:p w14:paraId="629BBA0D" w14:textId="77777777" w:rsidR="009B7EE5" w:rsidRPr="00597673" w:rsidRDefault="006F6FB9" w:rsidP="005D0C3B">
      <w:pPr>
        <w:pStyle w:val="Point1"/>
      </w:pPr>
      <w:r w:rsidRPr="00597673">
        <w:t xml:space="preserve">г) </w:t>
      </w:r>
      <w:r w:rsidRPr="00597673">
        <w:tab/>
        <w:t>когато ИППО не предлагат няколко инвестиционни варианта – периодичен преглед на инвестиционната стратегия, за да се вземе предвид дългосрочната оценка на риска от гледна точка на членовете и бенефициерите.</w:t>
      </w:r>
    </w:p>
    <w:p w14:paraId="0B3D82FB" w14:textId="77777777" w:rsidR="003A7B60" w:rsidRPr="00597673" w:rsidRDefault="003A7B60" w:rsidP="004C1E7B">
      <w:pPr>
        <w:pStyle w:val="Titrearticle"/>
      </w:pPr>
      <w:r w:rsidRPr="00597673">
        <w:t xml:space="preserve">Член 44в </w:t>
      </w:r>
      <w:r w:rsidRPr="00597673">
        <w:br/>
      </w:r>
      <w:r w:rsidRPr="00597673">
        <w:rPr>
          <w:b/>
          <w:i w:val="0"/>
        </w:rPr>
        <w:t>Жалби</w:t>
      </w:r>
    </w:p>
    <w:p w14:paraId="51D68D22" w14:textId="77777777" w:rsidR="003A7B60" w:rsidRPr="00597673" w:rsidRDefault="1D8493C9" w:rsidP="00164E39">
      <w:pPr>
        <w:pStyle w:val="Text1"/>
      </w:pPr>
      <w:r w:rsidRPr="00597673">
        <w:t>1.</w:t>
      </w:r>
      <w:r w:rsidRPr="00597673">
        <w:tab/>
        <w:t>Държавите членки изискват от ИППО да въведат и прилагат ефективни процедури и механизми, които са подходящи за разглеждането на жалби, подадени от членове и бенефициери във връзка с техните права и задължения, предвидени в настоящата директива.</w:t>
      </w:r>
    </w:p>
    <w:p w14:paraId="2EF122CD" w14:textId="77777777" w:rsidR="009E17E9" w:rsidRPr="00597673" w:rsidRDefault="009E17E9" w:rsidP="00164E39">
      <w:pPr>
        <w:pStyle w:val="Text1"/>
      </w:pPr>
      <w:r w:rsidRPr="00597673">
        <w:t>2.</w:t>
      </w:r>
      <w:r w:rsidRPr="00597673">
        <w:tab/>
        <w:t>Процедурите и разпоредбите, посочени в параграф 1, са достъпни на официалните езици на съответната държава членка или на друг език, приет от компетентните органи на тази държава членка или договорен между ИППО и нейните членове и бенефициери.</w:t>
      </w:r>
    </w:p>
    <w:p w14:paraId="73D0D6F4" w14:textId="77777777" w:rsidR="00576EA5" w:rsidRPr="00597673" w:rsidRDefault="00576EA5" w:rsidP="00164E39">
      <w:pPr>
        <w:pStyle w:val="Text1"/>
      </w:pPr>
      <w:r w:rsidRPr="00597673">
        <w:t>3.</w:t>
      </w:r>
      <w:r w:rsidRPr="00597673">
        <w:tab/>
        <w:t>Държавите членки изискват от ИППО да отговарят, по електронен път или на друг траен носител, на жалбите на членовете и бенефициерите. В отговора се разглеждат всички повдигнати въпроси в срок от максимум 40 работни дни.</w:t>
      </w:r>
    </w:p>
    <w:p w14:paraId="2DD34F98" w14:textId="77777777" w:rsidR="0088631A" w:rsidRPr="00597673" w:rsidRDefault="0088631A" w:rsidP="00164E39">
      <w:pPr>
        <w:pStyle w:val="Text1"/>
      </w:pPr>
      <w:r w:rsidRPr="00597673">
        <w:t>4.</w:t>
      </w:r>
      <w:r w:rsidRPr="00597673">
        <w:tab/>
        <w:t>Държавите членки изискват от ИППО да уведомяват жалбоподателите за поне един орган за алтернативно решаване на спорове (АРС), който е компетентен да разглежда спорове по предвидените в настоящата директива права и задълженията на членовете и бенефициерите.</w:t>
      </w:r>
    </w:p>
    <w:p w14:paraId="1EA144ED" w14:textId="77777777" w:rsidR="009A722F" w:rsidRPr="00597673" w:rsidRDefault="009A722F" w:rsidP="00164E39">
      <w:pPr>
        <w:pStyle w:val="Text1"/>
      </w:pPr>
      <w:r w:rsidRPr="00597673">
        <w:t>5.</w:t>
      </w:r>
      <w:r w:rsidRPr="00597673">
        <w:tab/>
        <w:t>Държавите членки предвиждат информацията за процедурите, посочени в параграф 1, да е ясна и изчерпателна, да се предоставя на членовете и бенефициерите безплатно и по лесно достъпен начин чрез електронни средства, в т.ч. на траен носител или чрез уебсайт, или на хартиен носител. В тази информация се съдържат указания къде може да бъде намерена повече информация за органа за АРС и условията за неговото сезиране.</w:t>
      </w:r>
    </w:p>
    <w:p w14:paraId="2BDDEF3F" w14:textId="77777777" w:rsidR="00FB1AE4" w:rsidRPr="00597673" w:rsidRDefault="00FB1AE4" w:rsidP="00164E39">
      <w:pPr>
        <w:pStyle w:val="Text1"/>
      </w:pPr>
      <w:r w:rsidRPr="00597673">
        <w:t>6.</w:t>
      </w:r>
      <w:r w:rsidRPr="00597673">
        <w:tab/>
        <w:t>Държавите членки задължават компетентните органи да създадат процедури за подаване до тях на жалби от членовете, бенефициерите и други заинтересовани страни, в т.ч. сдружения на потребителите, във връзка с евентуални нарушения на настоящата директива от страна на ИППО. Държавите членки задължават компетентните органи да отговарят на жалбоподателите във всички случаи.</w:t>
      </w:r>
    </w:p>
    <w:p w14:paraId="7C3011BC" w14:textId="77777777" w:rsidR="00164E39" w:rsidRPr="00597673" w:rsidRDefault="00FF665F" w:rsidP="005057F7">
      <w:pPr>
        <w:pStyle w:val="Text1"/>
      </w:pPr>
      <w:r w:rsidRPr="00597673">
        <w:t>7.</w:t>
      </w:r>
      <w:r w:rsidRPr="00597673">
        <w:tab/>
        <w:t>Държавите членки предвиждат, че в случаи, които засягат повече от една държава членка, жалбоподателят може да избере да подаде жалбата си чрез компетентните органи на своята държава членка на пребиваване, независимо от мястото на извършване на нарушението.</w:t>
      </w:r>
    </w:p>
    <w:p w14:paraId="5B254EEF" w14:textId="77777777" w:rsidR="003A7B60" w:rsidRPr="00597673" w:rsidRDefault="003A7B60" w:rsidP="000E7488">
      <w:pPr>
        <w:pStyle w:val="Titrearticle"/>
      </w:pPr>
      <w:r w:rsidRPr="00597673">
        <w:t xml:space="preserve">Член 44г </w:t>
      </w:r>
      <w:r w:rsidRPr="00597673">
        <w:br/>
      </w:r>
      <w:r w:rsidRPr="00597673">
        <w:rPr>
          <w:b/>
          <w:i w:val="0"/>
        </w:rPr>
        <w:t>Правна защита по извънсъдебен ред</w:t>
      </w:r>
    </w:p>
    <w:p w14:paraId="4152078F" w14:textId="77777777" w:rsidR="005712CE" w:rsidRPr="00597673" w:rsidRDefault="005712CE" w:rsidP="005712CE">
      <w:pPr>
        <w:pStyle w:val="Text1"/>
      </w:pPr>
      <w:r w:rsidRPr="00597673">
        <w:t>1.</w:t>
      </w:r>
      <w:r w:rsidRPr="00597673">
        <w:tab/>
        <w:t>Държавите членки установяват подходящи, независими, безпристрастни, прозрачни и ефективни процедури за АРС за уреждането на спорове между ИППО и техните членове и бенефициери във връзка с правата и задълженията, предвидени в настоящата директива. Когато е целесъобразно, тези процедури се прилагат от съществуващите компетентни органи. Държавите членки предвиждат тези процедури за АРС да са приложими спрямо ИППО, срещу които са образувани подобни процедури, и тези ИППО да попадат в сферата на правомощията на съответния орган за АРС.</w:t>
      </w:r>
    </w:p>
    <w:p w14:paraId="02F8BF89" w14:textId="77777777" w:rsidR="00034B8C" w:rsidRPr="00597673" w:rsidRDefault="00034B8C" w:rsidP="005712CE">
      <w:pPr>
        <w:pStyle w:val="Text1"/>
      </w:pPr>
      <w:r w:rsidRPr="00597673">
        <w:t>2.</w:t>
      </w:r>
      <w:r w:rsidRPr="00597673">
        <w:tab/>
        <w:t>Посочените в параграф 1 органи си сътрудничат ефективно за уреждането на трансгранични спорове във връзка с правата и задълженията, произтичащи от настоящата директива.“;</w:t>
      </w:r>
    </w:p>
    <w:p w14:paraId="1BD8A24B" w14:textId="41DCB85D" w:rsidR="00263902" w:rsidRPr="00597673" w:rsidRDefault="000F5AC5" w:rsidP="000F5AC5">
      <w:pPr>
        <w:pStyle w:val="Point0"/>
      </w:pPr>
      <w:r>
        <w:t>46)</w:t>
      </w:r>
      <w:r>
        <w:tab/>
      </w:r>
      <w:r w:rsidR="00CB099D" w:rsidRPr="00597673">
        <w:t>заглавието на дял V се заменя със следното:</w:t>
      </w:r>
    </w:p>
    <w:p w14:paraId="60D6E193" w14:textId="77777777" w:rsidR="00263902" w:rsidRPr="00597673" w:rsidRDefault="00263902" w:rsidP="005D0C3B">
      <w:pPr>
        <w:pStyle w:val="PartTitle"/>
      </w:pPr>
      <w:r w:rsidRPr="00597673">
        <w:t xml:space="preserve">„ДЯЛ V </w:t>
      </w:r>
      <w:r w:rsidRPr="00597673">
        <w:br/>
        <w:t>НАДЗОР“</w:t>
      </w:r>
    </w:p>
    <w:p w14:paraId="2E98BC70" w14:textId="1DA4EF19" w:rsidR="00C16F1D" w:rsidRPr="00597673" w:rsidRDefault="000F5AC5" w:rsidP="000F5AC5">
      <w:pPr>
        <w:pStyle w:val="Point0"/>
      </w:pPr>
      <w:r>
        <w:t>47)</w:t>
      </w:r>
      <w:r>
        <w:tab/>
      </w:r>
      <w:r w:rsidR="00E45A92" w:rsidRPr="00597673">
        <w:t>в дял V заглавието на глава 1 се заменя със следното:</w:t>
      </w:r>
    </w:p>
    <w:p w14:paraId="3481EE14" w14:textId="77777777" w:rsidR="00C16F1D" w:rsidRPr="00597673" w:rsidRDefault="00C16F1D" w:rsidP="00C9746B">
      <w:pPr>
        <w:pStyle w:val="ChapterTitle"/>
        <w:rPr>
          <w:i/>
          <w:iCs/>
        </w:rPr>
      </w:pPr>
      <w:r w:rsidRPr="00597673">
        <w:rPr>
          <w:i/>
        </w:rPr>
        <w:t>„ГЛАВА 1</w:t>
      </w:r>
      <w:r w:rsidRPr="00597673">
        <w:t xml:space="preserve"> </w:t>
      </w:r>
      <w:r w:rsidRPr="00597673">
        <w:br/>
      </w:r>
      <w:r w:rsidRPr="00597673">
        <w:rPr>
          <w:i/>
        </w:rPr>
        <w:t>Общи правила за надзор“</w:t>
      </w:r>
    </w:p>
    <w:p w14:paraId="7797437D" w14:textId="432A12F7" w:rsidR="00C82253" w:rsidRPr="00597673" w:rsidRDefault="000F5AC5" w:rsidP="000F5AC5">
      <w:pPr>
        <w:pStyle w:val="Point0"/>
      </w:pPr>
      <w:r>
        <w:t>48)</w:t>
      </w:r>
      <w:r>
        <w:tab/>
      </w:r>
      <w:r w:rsidR="00C82253" w:rsidRPr="00597673">
        <w:t>член 45 се заменя със следното:</w:t>
      </w:r>
    </w:p>
    <w:p w14:paraId="01050488" w14:textId="77777777" w:rsidR="00057582" w:rsidRPr="00597673" w:rsidRDefault="005E3907" w:rsidP="00C9746B">
      <w:pPr>
        <w:pStyle w:val="Titrearticle"/>
      </w:pPr>
      <w:r w:rsidRPr="00597673">
        <w:t xml:space="preserve">„Член 45 </w:t>
      </w:r>
      <w:r w:rsidRPr="00597673">
        <w:br/>
      </w:r>
      <w:r w:rsidRPr="00597673">
        <w:rPr>
          <w:b/>
          <w:i w:val="0"/>
        </w:rPr>
        <w:t>Правомощия, ресурси и основна надзорна цел на компетентните органи</w:t>
      </w:r>
    </w:p>
    <w:p w14:paraId="388B7B19" w14:textId="77777777" w:rsidR="00662E39" w:rsidRPr="00597673" w:rsidRDefault="00A21F94" w:rsidP="00662E39">
      <w:pPr>
        <w:pStyle w:val="Text1"/>
      </w:pPr>
      <w:r w:rsidRPr="00597673">
        <w:t>Държавите членки предоставят на компетентните си органи всички необходими средства и правомощия за изпълнение на задълженията си съгласно настоящата директива, както и със съответния експертен опит, капацитет и мандат за постигане на основната надзорна цел – защитата на правата на членовете и бенефициерите и гарантирането на стабилността и доброто състояние на ИППО.“;</w:t>
      </w:r>
    </w:p>
    <w:p w14:paraId="59FE2F92" w14:textId="0C97ACA7" w:rsidR="00C45E62" w:rsidRPr="00597673" w:rsidRDefault="000F5AC5" w:rsidP="000F5AC5">
      <w:pPr>
        <w:pStyle w:val="Point0"/>
      </w:pPr>
      <w:r>
        <w:t>49)</w:t>
      </w:r>
      <w:r>
        <w:tab/>
      </w:r>
      <w:r w:rsidR="00662E39" w:rsidRPr="00597673">
        <w:t>вмъква се следният член 45а:</w:t>
      </w:r>
    </w:p>
    <w:p w14:paraId="0773CFE8" w14:textId="77777777" w:rsidR="00C45E62" w:rsidRPr="00597673" w:rsidRDefault="00C45E62" w:rsidP="00C45E62">
      <w:pPr>
        <w:pStyle w:val="Titrearticle"/>
      </w:pPr>
      <w:r w:rsidRPr="00597673">
        <w:t xml:space="preserve">„Член 45а </w:t>
      </w:r>
      <w:r w:rsidRPr="00597673">
        <w:br/>
      </w:r>
      <w:r w:rsidRPr="00597673">
        <w:rPr>
          <w:b/>
          <w:i w:val="0"/>
        </w:rPr>
        <w:t>Компетентни органи</w:t>
      </w:r>
    </w:p>
    <w:p w14:paraId="00FB9EEC" w14:textId="77777777" w:rsidR="00E92AAE" w:rsidRPr="00597673" w:rsidRDefault="00C45E62" w:rsidP="006D14CE">
      <w:pPr>
        <w:pStyle w:val="Text1"/>
      </w:pPr>
      <w:r w:rsidRPr="00597673">
        <w:t>1.</w:t>
      </w:r>
      <w:r w:rsidRPr="00597673">
        <w:tab/>
        <w:t>Държавите членки определят компетентните органи, оправомощени да осигуряват изпълнението на настоящата директива. Държавите членки уведомяват съответно Комисията, като посочват евентуалното разпределение на задълженията.</w:t>
      </w:r>
    </w:p>
    <w:p w14:paraId="500C7A95" w14:textId="77777777" w:rsidR="00F9775D" w:rsidRPr="00597673" w:rsidRDefault="00C45E62" w:rsidP="006D14CE">
      <w:pPr>
        <w:pStyle w:val="Text1"/>
      </w:pPr>
      <w:r w:rsidRPr="00597673">
        <w:t>2.</w:t>
      </w:r>
      <w:r w:rsidRPr="00597673">
        <w:tab/>
        <w:t>Когато на територията на държава членка действа повече от един компетентен орган, държавата членка предвижда тези органи да си взаимодействат тясно помежду си, за да могат да изпълняват ефективно съответните си задължения.</w:t>
      </w:r>
    </w:p>
    <w:p w14:paraId="09C77E79" w14:textId="77777777" w:rsidR="005E3907" w:rsidRPr="00597673" w:rsidRDefault="00F9775D" w:rsidP="006D14CE">
      <w:pPr>
        <w:pStyle w:val="Text1"/>
      </w:pPr>
      <w:r w:rsidRPr="00597673">
        <w:t>3. Държавите членки предвиждат компетентните органи да разполагат с достатъчен на брой квалифициран персонал и ресурси, които са необходими за ефективното изпълнение на техните задължения.“;</w:t>
      </w:r>
    </w:p>
    <w:p w14:paraId="454BACD1" w14:textId="2C670346" w:rsidR="00BD2DB1" w:rsidRPr="00597673" w:rsidRDefault="000F5AC5" w:rsidP="000F5AC5">
      <w:pPr>
        <w:pStyle w:val="Point0"/>
      </w:pPr>
      <w:r>
        <w:t>50)</w:t>
      </w:r>
      <w:r>
        <w:tab/>
      </w:r>
      <w:r w:rsidR="00661436" w:rsidRPr="00597673">
        <w:t>член 46 се изменя, както следва:</w:t>
      </w:r>
    </w:p>
    <w:p w14:paraId="0331A4FF" w14:textId="32F579D7" w:rsidR="00661436" w:rsidRPr="00597673" w:rsidRDefault="000F5AC5" w:rsidP="000F5AC5">
      <w:pPr>
        <w:pStyle w:val="Point1"/>
      </w:pPr>
      <w:r>
        <w:t>а)</w:t>
      </w:r>
      <w:r>
        <w:tab/>
      </w:r>
      <w:r w:rsidR="003B2AA0" w:rsidRPr="00597673">
        <w:t>заглавието се заменя със следното:</w:t>
      </w:r>
    </w:p>
    <w:p w14:paraId="229380AA" w14:textId="77777777" w:rsidR="00661436" w:rsidRPr="00597673" w:rsidRDefault="00661436" w:rsidP="00C9746B">
      <w:pPr>
        <w:pStyle w:val="Titrearticle"/>
      </w:pPr>
      <w:r w:rsidRPr="00597673">
        <w:t>„</w:t>
      </w:r>
      <w:r w:rsidRPr="00597673">
        <w:rPr>
          <w:b/>
          <w:i w:val="0"/>
        </w:rPr>
        <w:t>Надзорен обхват“</w:t>
      </w:r>
      <w:r w:rsidRPr="00597673">
        <w:rPr>
          <w:i w:val="0"/>
        </w:rPr>
        <w:t>;</w:t>
      </w:r>
    </w:p>
    <w:p w14:paraId="0FBBABD1" w14:textId="46CD4260" w:rsidR="00661436" w:rsidRPr="00597673" w:rsidRDefault="000F5AC5" w:rsidP="000F5AC5">
      <w:pPr>
        <w:pStyle w:val="Point1"/>
      </w:pPr>
      <w:r>
        <w:t>б)</w:t>
      </w:r>
      <w:r>
        <w:tab/>
      </w:r>
      <w:r w:rsidR="003B2AA0" w:rsidRPr="00597673">
        <w:t>уводният текст се заменя със следното:</w:t>
      </w:r>
    </w:p>
    <w:p w14:paraId="2DBB21EE" w14:textId="77777777" w:rsidR="000A2E20" w:rsidRPr="00597673" w:rsidRDefault="000A2E20" w:rsidP="00C9746B">
      <w:pPr>
        <w:pStyle w:val="Text1"/>
      </w:pPr>
      <w:r w:rsidRPr="00597673">
        <w:t>Държавите членки предвиждат ИППО да подлежат на пруденциален надзор, включително, по целесъобразност, надзор върху:“;</w:t>
      </w:r>
    </w:p>
    <w:p w14:paraId="7F11795B" w14:textId="52B0BA18" w:rsidR="009709D5" w:rsidRPr="00597673" w:rsidRDefault="000F5AC5" w:rsidP="000F5AC5">
      <w:pPr>
        <w:pStyle w:val="Point1"/>
      </w:pPr>
      <w:r>
        <w:t>в)</w:t>
      </w:r>
      <w:r>
        <w:tab/>
      </w:r>
      <w:r w:rsidR="00572CFB" w:rsidRPr="00597673">
        <w:t>добавя се втора алинея със следния текст:</w:t>
      </w:r>
    </w:p>
    <w:p w14:paraId="5C69865A" w14:textId="77777777" w:rsidR="009709D5" w:rsidRPr="00597673" w:rsidRDefault="00586F6D" w:rsidP="00C9746B">
      <w:pPr>
        <w:pStyle w:val="Text1"/>
      </w:pPr>
      <w:r w:rsidRPr="00597673">
        <w:t>„Държавите членки също предвиждат надзор за спазването на всички други разпоредби на настоящата директива.“;</w:t>
      </w:r>
    </w:p>
    <w:p w14:paraId="575412EB" w14:textId="6C0FC131" w:rsidR="00EF117E" w:rsidRPr="00597673" w:rsidRDefault="000F5AC5" w:rsidP="000F5AC5">
      <w:pPr>
        <w:pStyle w:val="Point0"/>
      </w:pPr>
      <w:r>
        <w:t>51)</w:t>
      </w:r>
      <w:r>
        <w:tab/>
      </w:r>
      <w:r w:rsidR="00CA5D79" w:rsidRPr="00597673">
        <w:t>член 47 се изменя, както следва:</w:t>
      </w:r>
    </w:p>
    <w:p w14:paraId="4F66B49C" w14:textId="1E527B5F" w:rsidR="003B2AA0" w:rsidRPr="00597673" w:rsidRDefault="000F5AC5" w:rsidP="000F5AC5">
      <w:pPr>
        <w:pStyle w:val="Point1"/>
      </w:pPr>
      <w:r>
        <w:t>а)</w:t>
      </w:r>
      <w:r>
        <w:tab/>
      </w:r>
      <w:r w:rsidR="003B2AA0" w:rsidRPr="00597673">
        <w:t>заглавието се заменя със следното:</w:t>
      </w:r>
    </w:p>
    <w:p w14:paraId="322BAC73" w14:textId="77777777" w:rsidR="003B2AA0" w:rsidRPr="00597673" w:rsidRDefault="003B2AA0" w:rsidP="00C9746B">
      <w:pPr>
        <w:pStyle w:val="Titrearticle"/>
      </w:pPr>
      <w:r w:rsidRPr="00597673">
        <w:t>„</w:t>
      </w:r>
      <w:r w:rsidRPr="00597673">
        <w:rPr>
          <w:b/>
          <w:i w:val="0"/>
        </w:rPr>
        <w:t>Общи надзорни принципи“</w:t>
      </w:r>
    </w:p>
    <w:p w14:paraId="50838135" w14:textId="6928DF8A" w:rsidR="00EF117E" w:rsidRPr="00597673" w:rsidRDefault="000F5AC5" w:rsidP="000F5AC5">
      <w:pPr>
        <w:pStyle w:val="Point1"/>
      </w:pPr>
      <w:r>
        <w:t>б)</w:t>
      </w:r>
      <w:r>
        <w:tab/>
      </w:r>
      <w:r w:rsidR="00EF117E" w:rsidRPr="00597673">
        <w:t>в параграф 2 се добавя следното изречение:</w:t>
      </w:r>
    </w:p>
    <w:p w14:paraId="6000A864" w14:textId="77777777" w:rsidR="00EF117E" w:rsidRPr="00597673" w:rsidRDefault="00EF117E" w:rsidP="00C9746B">
      <w:pPr>
        <w:pStyle w:val="Text1"/>
      </w:pPr>
      <w:r w:rsidRPr="00597673">
        <w:t>„Той включва редовната проверка на правилното функциониране на дейностите на ИППО и на спазването на надзорните правила от страна на ИППО.“;</w:t>
      </w:r>
    </w:p>
    <w:p w14:paraId="1448F1E0" w14:textId="7F00651F" w:rsidR="00CA5D79" w:rsidRPr="00597673" w:rsidRDefault="000F5AC5" w:rsidP="000F5AC5">
      <w:pPr>
        <w:pStyle w:val="Point1"/>
      </w:pPr>
      <w:r>
        <w:t>в)</w:t>
      </w:r>
      <w:r>
        <w:tab/>
      </w:r>
      <w:r w:rsidR="00EF117E" w:rsidRPr="00597673">
        <w:t>параграф 4 се заменя със следното:</w:t>
      </w:r>
    </w:p>
    <w:p w14:paraId="4D73E748" w14:textId="77777777" w:rsidR="00F3328E" w:rsidRPr="00597673" w:rsidRDefault="00F3328E" w:rsidP="00F3328E">
      <w:pPr>
        <w:pStyle w:val="Text1"/>
      </w:pPr>
      <w:r w:rsidRPr="00597673">
        <w:t>„4.</w:t>
      </w:r>
      <w:r w:rsidRPr="00597673">
        <w:tab/>
        <w:t>Надзорните правомощия обхващат цялата дейност по пенсионно осигуряване на ИППО, включително, когато съгласно националното право ИППО имат право да предоставят продукти за лично пенсионно осигуряване, дейността им по предоставяне на лични пенсии. Държавите членки изискват тези правомощия да се прилагат по начин, който е своевременен и съизмерим с естеството, мащаба и сложността на дейностите на ИППО.“;</w:t>
      </w:r>
    </w:p>
    <w:p w14:paraId="727C84E1" w14:textId="120FBE1F" w:rsidR="001048F9" w:rsidRPr="00597673" w:rsidRDefault="000F5AC5" w:rsidP="000F5AC5">
      <w:pPr>
        <w:pStyle w:val="Point1"/>
      </w:pPr>
      <w:r>
        <w:t>г)</w:t>
      </w:r>
      <w:r>
        <w:tab/>
      </w:r>
      <w:r w:rsidR="001048F9" w:rsidRPr="00597673">
        <w:t>добавя се следният параграф 6:</w:t>
      </w:r>
    </w:p>
    <w:p w14:paraId="2E028FC5" w14:textId="77777777" w:rsidR="001048F9" w:rsidRPr="00597673" w:rsidRDefault="001048F9" w:rsidP="006D14CE">
      <w:pPr>
        <w:pStyle w:val="Text1"/>
      </w:pPr>
      <w:r w:rsidRPr="00597673">
        <w:t>„6.</w:t>
      </w:r>
      <w:r w:rsidRPr="00597673">
        <w:tab/>
        <w:t>Държавите членки задължават компетентните органи да наблюдават пазарните тенденции, свързани с мащаба на ИППО.“;</w:t>
      </w:r>
    </w:p>
    <w:p w14:paraId="33523EED" w14:textId="1CB27EAB" w:rsidR="00030016" w:rsidRPr="00597673" w:rsidRDefault="000F5AC5" w:rsidP="000F5AC5">
      <w:pPr>
        <w:pStyle w:val="Point0"/>
      </w:pPr>
      <w:r>
        <w:t>52)</w:t>
      </w:r>
      <w:r>
        <w:tab/>
      </w:r>
      <w:r w:rsidR="00BA3E4C" w:rsidRPr="00597673">
        <w:t>член 48 се изменя, както следва:</w:t>
      </w:r>
    </w:p>
    <w:p w14:paraId="7544D313" w14:textId="5BDEA497" w:rsidR="00D96D91" w:rsidRPr="00597673" w:rsidRDefault="000F5AC5" w:rsidP="000F5AC5">
      <w:pPr>
        <w:pStyle w:val="Point1"/>
      </w:pPr>
      <w:r>
        <w:t>а)</w:t>
      </w:r>
      <w:r>
        <w:tab/>
      </w:r>
      <w:r w:rsidR="00D96D91" w:rsidRPr="00597673">
        <w:t>вмъкват се следните параграфи 1а и 1б:</w:t>
      </w:r>
    </w:p>
    <w:p w14:paraId="6C627CF5" w14:textId="77777777" w:rsidR="000C381D" w:rsidRPr="00597673" w:rsidRDefault="00D96D91" w:rsidP="00C9746B">
      <w:pPr>
        <w:pStyle w:val="Text1"/>
      </w:pPr>
      <w:r w:rsidRPr="00597673">
        <w:t>„1a.</w:t>
      </w:r>
      <w:r w:rsidRPr="00597673">
        <w:tab/>
        <w:t>Държавите членки оправомощават компетентните си органи да изискват цялата информация, необходима за провеждане на надзора по член 50.</w:t>
      </w:r>
    </w:p>
    <w:p w14:paraId="1960A2FD" w14:textId="77777777" w:rsidR="00D96D91" w:rsidRPr="00597673" w:rsidRDefault="000C381D" w:rsidP="00C9746B">
      <w:pPr>
        <w:pStyle w:val="Text1"/>
      </w:pPr>
      <w:r w:rsidRPr="00597673">
        <w:t>1б.</w:t>
      </w:r>
      <w:r w:rsidRPr="00597673">
        <w:tab/>
        <w:t>Държавите членки задължават компетентните си органи да упражняват надзорните си правомощия своевременно и целесъобразно.“;</w:t>
      </w:r>
    </w:p>
    <w:p w14:paraId="2B59919D" w14:textId="5F9556E6" w:rsidR="0061120E" w:rsidRPr="00597673" w:rsidRDefault="000F5AC5" w:rsidP="000F5AC5">
      <w:pPr>
        <w:pStyle w:val="Point1"/>
      </w:pPr>
      <w:r>
        <w:t>б)</w:t>
      </w:r>
      <w:r>
        <w:tab/>
      </w:r>
      <w:r w:rsidR="00A74219" w:rsidRPr="00597673">
        <w:t>параграф 2 се заменя със следното:</w:t>
      </w:r>
    </w:p>
    <w:p w14:paraId="2633F560" w14:textId="77777777" w:rsidR="00B43825" w:rsidRPr="00597673" w:rsidRDefault="0061120E" w:rsidP="00C9746B">
      <w:pPr>
        <w:pStyle w:val="Text1"/>
      </w:pPr>
      <w:r w:rsidRPr="00597673">
        <w:t>„2.</w:t>
      </w:r>
      <w:r w:rsidRPr="00597673">
        <w:tab/>
        <w:t xml:space="preserve">Държавите членки оправомощават компетентните си органи: </w:t>
      </w:r>
    </w:p>
    <w:p w14:paraId="32592656" w14:textId="77777777" w:rsidR="003A1DC4" w:rsidRPr="00597673" w:rsidRDefault="00B43825" w:rsidP="005D0C3B">
      <w:pPr>
        <w:pStyle w:val="Point1"/>
      </w:pPr>
      <w:r w:rsidRPr="00597673">
        <w:t>а)</w:t>
      </w:r>
      <w:r w:rsidRPr="00597673">
        <w:tab/>
        <w:t>да предприемат превантивни и корективни мерки с оглед на спазването от ИППО на съответните национални законови, подзаконови и административни разпоредби;</w:t>
      </w:r>
    </w:p>
    <w:p w14:paraId="21208F81" w14:textId="77777777" w:rsidR="002904CB" w:rsidRPr="00597673" w:rsidRDefault="00157BF0" w:rsidP="005D0C3B">
      <w:pPr>
        <w:pStyle w:val="Point1"/>
      </w:pPr>
      <w:r w:rsidRPr="00597673">
        <w:t>б)</w:t>
      </w:r>
      <w:r w:rsidRPr="00597673">
        <w:tab/>
        <w:t xml:space="preserve">да предприемат всички необходими мерки, включително, ако е целесъобразно, от административен или финансов характер, по отношение на ИППО и членовете на техния административен, управителен или надзорен орган. </w:t>
      </w:r>
    </w:p>
    <w:p w14:paraId="792E0EAB" w14:textId="77777777" w:rsidR="0061120E" w:rsidRPr="00597673" w:rsidRDefault="00886F31" w:rsidP="00C9746B">
      <w:pPr>
        <w:pStyle w:val="Text1"/>
      </w:pPr>
      <w:r w:rsidRPr="00597673">
        <w:t>Без да се засягат надзорните правомощия на компетентните органи и правото на държавите членки да предвиждат и налагат наказателни санкции, държавите членки оправомощават компетентните си органи да налагат административни санкции и други мерки за нарушаване на националните разпоредби за прилагането на настоящата директива и предприемат всички необходими правоприлагащи мерки в тази връзка. Държавите членки се уверяват, че предвидените от тях административни санкции и други мерки са ефективни, съизмерими с целта и възпиращи.“;</w:t>
      </w:r>
    </w:p>
    <w:p w14:paraId="76F5A8E9" w14:textId="5B53163F" w:rsidR="00FE0909" w:rsidRPr="00597673" w:rsidRDefault="000F5AC5" w:rsidP="000F5AC5">
      <w:pPr>
        <w:pStyle w:val="Point0"/>
      </w:pPr>
      <w:r>
        <w:t>53)</w:t>
      </w:r>
      <w:r>
        <w:tab/>
      </w:r>
      <w:r w:rsidR="00FE0909" w:rsidRPr="00597673">
        <w:t>член 49 се изменя, както следва:</w:t>
      </w:r>
    </w:p>
    <w:p w14:paraId="495DD6F9" w14:textId="3A7AAB84" w:rsidR="00083A8C" w:rsidRPr="00597673" w:rsidRDefault="000F5AC5" w:rsidP="000F5AC5">
      <w:pPr>
        <w:pStyle w:val="Point1"/>
      </w:pPr>
      <w:r>
        <w:t>а)</w:t>
      </w:r>
      <w:r>
        <w:tab/>
      </w:r>
      <w:r w:rsidR="00FE0909" w:rsidRPr="00597673">
        <w:t>параграф 1 се изменя, както следва:</w:t>
      </w:r>
    </w:p>
    <w:p w14:paraId="300CF0B0" w14:textId="77777777" w:rsidR="00FE0909" w:rsidRPr="00597673" w:rsidRDefault="008A46F8" w:rsidP="008A46F8">
      <w:pPr>
        <w:pStyle w:val="Point2"/>
      </w:pPr>
      <w:r w:rsidRPr="00597673">
        <w:t>i)</w:t>
      </w:r>
      <w:r w:rsidRPr="00597673">
        <w:tab/>
        <w:t>първата алинея се заменя със следното:</w:t>
      </w:r>
    </w:p>
    <w:p w14:paraId="7B7A6ECB" w14:textId="77777777" w:rsidR="0093577A" w:rsidRPr="00597673" w:rsidRDefault="0093577A" w:rsidP="00C9746B">
      <w:pPr>
        <w:pStyle w:val="Text1"/>
      </w:pPr>
      <w:r w:rsidRPr="00597673">
        <w:t>Държавите членки изискват от компетентните органи да правят, като отчитат естеството, мащаба и сложността на дейностите на ИППО, преглед и оценка на стратегиите, процесите и отчетните процедури, установени от ИППО с оглед спазването на законовите, подзаконовите и административните разпоредби, приети по силата на настоящата директива.“;</w:t>
      </w:r>
    </w:p>
    <w:p w14:paraId="22F9604D" w14:textId="77777777" w:rsidR="00083A8C" w:rsidRPr="00597673" w:rsidRDefault="008A46F8" w:rsidP="00B45281">
      <w:pPr>
        <w:pStyle w:val="Point2"/>
      </w:pPr>
      <w:r w:rsidRPr="00597673">
        <w:t>ii)</w:t>
      </w:r>
      <w:r w:rsidRPr="00597673">
        <w:tab/>
        <w:t>добавя се следната алинея:</w:t>
      </w:r>
    </w:p>
    <w:p w14:paraId="53F03BDE" w14:textId="77777777" w:rsidR="0033310C" w:rsidRPr="00597673" w:rsidRDefault="0033310C" w:rsidP="0054253A">
      <w:pPr>
        <w:pStyle w:val="Text1"/>
      </w:pPr>
      <w:r w:rsidRPr="00597673">
        <w:t>„В оценките, посочени във втора алинея, букви б) и в), се отчита рискът ИППО да не разполага с достатъчно финансови ресурси за покриване на настоящите и бъдещите си оперативни разходи.“;</w:t>
      </w:r>
    </w:p>
    <w:p w14:paraId="4235A1F1" w14:textId="14A55965" w:rsidR="00470B69" w:rsidRPr="00597673" w:rsidRDefault="000F5AC5" w:rsidP="000F5AC5">
      <w:pPr>
        <w:pStyle w:val="Point1"/>
      </w:pPr>
      <w:r>
        <w:t>б)</w:t>
      </w:r>
      <w:r>
        <w:tab/>
      </w:r>
      <w:r w:rsidR="00DB66AB" w:rsidRPr="00597673">
        <w:t>вмъкват се следните параграфи 1а и 1б:</w:t>
      </w:r>
    </w:p>
    <w:p w14:paraId="1E9282C7" w14:textId="77777777" w:rsidR="0004711F" w:rsidRPr="00597673" w:rsidRDefault="00470B69" w:rsidP="0054253A">
      <w:pPr>
        <w:pStyle w:val="Text1"/>
      </w:pPr>
      <w:r w:rsidRPr="00597673">
        <w:t>„1a.</w:t>
      </w:r>
      <w:r w:rsidRPr="00597673">
        <w:tab/>
        <w:t>Държавите членки изискват от компетентните органи да преглеждат и оценяват спазването на всички елементи, посочени в член 46.</w:t>
      </w:r>
    </w:p>
    <w:p w14:paraId="75AFD92B" w14:textId="77777777" w:rsidR="00B91DC3" w:rsidRPr="00597673" w:rsidRDefault="00B91DC3" w:rsidP="0054253A">
      <w:pPr>
        <w:pStyle w:val="Text1"/>
      </w:pPr>
      <w:r w:rsidRPr="00597673">
        <w:t>1б.</w:t>
      </w:r>
      <w:r w:rsidRPr="00597673">
        <w:tab/>
        <w:t>В рамките на прегледа компетентният орган и всяка ИППО провеждат редовен надзорен диалог най-малко на всеки три години.“;</w:t>
      </w:r>
    </w:p>
    <w:p w14:paraId="762B2E65" w14:textId="3774C882" w:rsidR="0031577F" w:rsidRPr="00597673" w:rsidRDefault="000F5AC5" w:rsidP="000F5AC5">
      <w:pPr>
        <w:pStyle w:val="Point1"/>
      </w:pPr>
      <w:r>
        <w:t>в)</w:t>
      </w:r>
      <w:r>
        <w:tab/>
      </w:r>
      <w:r w:rsidR="00A142BD" w:rsidRPr="00597673">
        <w:t>параграф 2 се заменя със следното:</w:t>
      </w:r>
    </w:p>
    <w:p w14:paraId="719FC88F" w14:textId="77777777" w:rsidR="00644231" w:rsidRPr="00597673" w:rsidRDefault="00A142BD" w:rsidP="00C9746B">
      <w:pPr>
        <w:pStyle w:val="Text1"/>
      </w:pPr>
      <w:r w:rsidRPr="00597673">
        <w:t>„2.</w:t>
      </w:r>
      <w:r w:rsidRPr="00597673">
        <w:tab/>
        <w:t xml:space="preserve">Държавите членки изискват от ИППО да разполагат с процедури за установяване на влошаване на финансовите условия и незабавно да уведомяват компетентните органи при настъпването на такова влошаване. </w:t>
      </w:r>
    </w:p>
    <w:p w14:paraId="19DDF722" w14:textId="77777777" w:rsidR="00A142BD" w:rsidRPr="00597673" w:rsidRDefault="00403059" w:rsidP="00C9746B">
      <w:pPr>
        <w:pStyle w:val="Text1"/>
      </w:pPr>
      <w:r w:rsidRPr="00597673">
        <w:t>Държавите членки предоставят на компетентните органи подходящи инструменти за наблюдение, включително тестове за устойчивост, за да могат да установяват влошаване на финансовите условия на дадена ИППО и да проследяват какви корективни мерки се предприемат.“;</w:t>
      </w:r>
    </w:p>
    <w:p w14:paraId="735E9D74" w14:textId="7943436B" w:rsidR="00E15975" w:rsidRPr="00597673" w:rsidRDefault="000F5AC5" w:rsidP="000F5AC5">
      <w:pPr>
        <w:pStyle w:val="Point1"/>
      </w:pPr>
      <w:r>
        <w:t>г)</w:t>
      </w:r>
      <w:r>
        <w:tab/>
      </w:r>
      <w:r w:rsidR="0054253A" w:rsidRPr="00597673">
        <w:t>вмъква се следният параграф 2a:</w:t>
      </w:r>
    </w:p>
    <w:p w14:paraId="0FCB5DA2" w14:textId="77777777" w:rsidR="00AD240D" w:rsidRPr="00597673" w:rsidRDefault="00AD240D" w:rsidP="00C9746B">
      <w:pPr>
        <w:pStyle w:val="Text1"/>
      </w:pPr>
      <w:r w:rsidRPr="00597673">
        <w:t>„2a.</w:t>
      </w:r>
      <w:r w:rsidRPr="00597673">
        <w:tab/>
        <w:t>Компетентните органи оценяват адекватността на методите и практиките на ИППО, предназначени за установяване на възможни събития или бъдещи изменения на икономическите условия, които биха могли да имат неблагоприятен ефект върху цялостната финансова позиция на съответната ИППО.</w:t>
      </w:r>
    </w:p>
    <w:p w14:paraId="07D3D850" w14:textId="77777777" w:rsidR="00AD240D" w:rsidRPr="00597673" w:rsidRDefault="00AD240D" w:rsidP="00C9746B">
      <w:pPr>
        <w:pStyle w:val="Text1"/>
      </w:pPr>
      <w:r w:rsidRPr="00597673">
        <w:t>Надзорните органи оценяват способността на ИППО да издържат на тези възможни събития или бъдещи изменения на икономическите условия.“;</w:t>
      </w:r>
    </w:p>
    <w:p w14:paraId="651E1AF9" w14:textId="6461CF07" w:rsidR="00B96C76" w:rsidRPr="00597673" w:rsidRDefault="000F5AC5" w:rsidP="000F5AC5">
      <w:pPr>
        <w:pStyle w:val="Point1"/>
      </w:pPr>
      <w:r>
        <w:t>д)</w:t>
      </w:r>
      <w:r>
        <w:tab/>
      </w:r>
      <w:r w:rsidR="00534469" w:rsidRPr="00597673">
        <w:t>параграф 4 се заменя със следното:</w:t>
      </w:r>
    </w:p>
    <w:p w14:paraId="4EFDBF36" w14:textId="77777777" w:rsidR="002D1AAA" w:rsidRPr="00597673" w:rsidRDefault="00534469" w:rsidP="00C9746B">
      <w:pPr>
        <w:pStyle w:val="Text1"/>
      </w:pPr>
      <w:r w:rsidRPr="00597673">
        <w:t>„4.</w:t>
      </w:r>
      <w:r w:rsidRPr="00597673">
        <w:tab/>
        <w:t>Прегледите, оценяването и оценките, посочени в параграфи 1 и 1а, се извършват редовно.</w:t>
      </w:r>
    </w:p>
    <w:p w14:paraId="779D6503" w14:textId="77777777" w:rsidR="00534469" w:rsidRPr="00597673" w:rsidRDefault="00E22185" w:rsidP="00C9746B">
      <w:pPr>
        <w:pStyle w:val="Text1"/>
      </w:pPr>
      <w:r w:rsidRPr="00597673">
        <w:t>Компетентните органи определят минималната честота и обхвата на прегледите, оценките и преценките, като вземат предвид естеството, мащаба и сложността на дейностите на съответните ИППО.“</w:t>
      </w:r>
    </w:p>
    <w:p w14:paraId="6C392198" w14:textId="3AEFA44A" w:rsidR="007061C2" w:rsidRPr="00597673" w:rsidRDefault="000F5AC5" w:rsidP="000F5AC5">
      <w:pPr>
        <w:pStyle w:val="Point0"/>
      </w:pPr>
      <w:r>
        <w:t>54)</w:t>
      </w:r>
      <w:r>
        <w:tab/>
      </w:r>
      <w:r w:rsidR="3A93D77C" w:rsidRPr="00597673">
        <w:t>вмъкват се следните членове 49а и 49б:</w:t>
      </w:r>
    </w:p>
    <w:p w14:paraId="66CAA7A6" w14:textId="77777777" w:rsidR="007061C2" w:rsidRPr="00597673" w:rsidRDefault="00AE399E" w:rsidP="00944F90">
      <w:pPr>
        <w:pStyle w:val="Titrearticle"/>
      </w:pPr>
      <w:r w:rsidRPr="00597673">
        <w:t xml:space="preserve">„Член 49а </w:t>
      </w:r>
      <w:r w:rsidRPr="00597673">
        <w:br/>
      </w:r>
      <w:r w:rsidRPr="00597673">
        <w:rPr>
          <w:b/>
          <w:i w:val="0"/>
        </w:rPr>
        <w:t>Редовен надзорен диалог</w:t>
      </w:r>
    </w:p>
    <w:p w14:paraId="078E66A5" w14:textId="77777777" w:rsidR="00FC207E" w:rsidRPr="00597673" w:rsidRDefault="007061C2" w:rsidP="00D25372">
      <w:pPr>
        <w:pStyle w:val="Text1"/>
      </w:pPr>
      <w:r w:rsidRPr="00597673">
        <w:t>1.</w:t>
      </w:r>
      <w:r w:rsidRPr="00597673">
        <w:tab/>
        <w:t>Редовният надзорен диалог, посочен в член 49, параграф 1б, обхваща ранното установяване на уязвимости, неефективност и структурни предизвикателства и насърчава стратегическия размисъл относно дългосрочната адекватност, ефикасност и устойчивост на ИППО, включително адекватността на нейния мащаб, капацитета ѝ за консолидация, сътрудничество или обединяване на активи, както и целесъобразността на организационната ѝ конфигурация да функционира ефективно и да носи стойност за членовете и бенефициерите.</w:t>
      </w:r>
    </w:p>
    <w:p w14:paraId="7D048B86" w14:textId="77777777" w:rsidR="00E603FB" w:rsidRPr="00597673" w:rsidRDefault="003C3B00" w:rsidP="00D25372">
      <w:pPr>
        <w:pStyle w:val="Text1"/>
      </w:pPr>
      <w:r w:rsidRPr="00597673">
        <w:t>2.</w:t>
      </w:r>
      <w:r w:rsidRPr="00597673">
        <w:tab/>
        <w:t>Държавите членки предвиждат редовният надзорен диалог, посочен в член 49, параграф 1б, да се основава на набор от параметри за ранно предупреждение, в т.ч. най-малко всички изброени по-долу елементи:</w:t>
      </w:r>
    </w:p>
    <w:p w14:paraId="32698DBD" w14:textId="77777777" w:rsidR="007B59D0" w:rsidRPr="00597673" w:rsidRDefault="00E603FB" w:rsidP="005D0C3B">
      <w:pPr>
        <w:pStyle w:val="Point1"/>
      </w:pPr>
      <w:r w:rsidRPr="00597673">
        <w:t xml:space="preserve">а) </w:t>
      </w:r>
      <w:r w:rsidRPr="00597673">
        <w:tab/>
        <w:t>равнище и развитие на административните, трансакционните и инвестиционните разходи на ИППО;</w:t>
      </w:r>
    </w:p>
    <w:p w14:paraId="166F6175" w14:textId="77777777" w:rsidR="00823382" w:rsidRPr="00597673" w:rsidRDefault="007B59D0" w:rsidP="005D0C3B">
      <w:pPr>
        <w:pStyle w:val="Point1"/>
      </w:pPr>
      <w:r w:rsidRPr="00597673">
        <w:t xml:space="preserve">б) </w:t>
      </w:r>
      <w:r w:rsidRPr="00597673">
        <w:tab/>
        <w:t>нетна и коригирана с отчитане на риска норма на възвръщаемост на активите на ИППО;</w:t>
      </w:r>
    </w:p>
    <w:p w14:paraId="49FA7828" w14:textId="77777777" w:rsidR="00823382" w:rsidRPr="00597673" w:rsidRDefault="00823382" w:rsidP="005D0C3B">
      <w:pPr>
        <w:pStyle w:val="Point1"/>
      </w:pPr>
      <w:r w:rsidRPr="00597673">
        <w:t xml:space="preserve">в) </w:t>
      </w:r>
      <w:r w:rsidRPr="00597673">
        <w:tab/>
        <w:t>евентуален недостиг или отклонение от обещаните или целевите равнища на плащанията;</w:t>
      </w:r>
    </w:p>
    <w:p w14:paraId="28E06848" w14:textId="77777777" w:rsidR="00710AED" w:rsidRPr="00597673" w:rsidRDefault="00823382" w:rsidP="005D0C3B">
      <w:pPr>
        <w:pStyle w:val="Point1"/>
      </w:pPr>
      <w:r w:rsidRPr="00597673">
        <w:t xml:space="preserve">г) </w:t>
      </w:r>
      <w:r w:rsidRPr="00597673">
        <w:tab/>
        <w:t xml:space="preserve">брой и увеличение на активните членове и бенефициерите; </w:t>
      </w:r>
    </w:p>
    <w:p w14:paraId="440D4C27" w14:textId="77777777" w:rsidR="003C3B00" w:rsidRPr="00597673" w:rsidRDefault="00710AED" w:rsidP="005D0C3B">
      <w:pPr>
        <w:pStyle w:val="Point1"/>
      </w:pPr>
      <w:r w:rsidRPr="00597673">
        <w:t xml:space="preserve">д) </w:t>
      </w:r>
      <w:r w:rsidRPr="00597673">
        <w:tab/>
        <w:t>показатели за оперативна ефективност, концентрация на риска и институционална устойчивост.</w:t>
      </w:r>
    </w:p>
    <w:p w14:paraId="4D2F3E46" w14:textId="77777777" w:rsidR="002010E0" w:rsidRPr="00597673" w:rsidRDefault="00A206BC" w:rsidP="00D25372">
      <w:pPr>
        <w:pStyle w:val="Text1"/>
      </w:pPr>
      <w:r w:rsidRPr="00597673">
        <w:t>3.</w:t>
      </w:r>
      <w:r w:rsidRPr="00597673">
        <w:tab/>
        <w:t>Държавите членки задължават компетентните си органи да приканят ИППО, за която редовният надзорен диалог е показал потенциални слабости или недостатъци, да проучи подходящи стратегически варианти за укрепване на дългосрочната ѝ жизнеспособност и ефективното предоставяне на пенсионни плащания на членовете и бенефициерите, в т.ч. мерки за увеличаване на оперативния мащаб, консолидация, сътрудничество, споразумения за обединяване на активи или за поделяне на ресурси.</w:t>
      </w:r>
    </w:p>
    <w:p w14:paraId="2874CF8F" w14:textId="77777777" w:rsidR="00705E8B" w:rsidRPr="00597673" w:rsidRDefault="00653109" w:rsidP="00D25372">
      <w:pPr>
        <w:pStyle w:val="Text1"/>
      </w:pPr>
      <w:r w:rsidRPr="00597673">
        <w:t>4.</w:t>
      </w:r>
      <w:r w:rsidRPr="00597673">
        <w:tab/>
        <w:t xml:space="preserve">Държавите членки задължават компетентните си органи да изискат от ИППО, при която са установени съществени недостатъци или незадоволителни резултати, както е посочено в член 41а, параграф 1, да изготви план за преодоляването им със съответните мерки, срокове и управленски механизми. В този план се проучват структурните мерки за подобряване на ефективността и доброто управление, включително, когато е целесъобразно, евентуални пътища за консолидация, сътрудничество, обединяване на активи или поделяне на ресурси. </w:t>
      </w:r>
    </w:p>
    <w:p w14:paraId="244B6968" w14:textId="77777777" w:rsidR="00705E8B" w:rsidRPr="00597673" w:rsidRDefault="00CD0D40" w:rsidP="00D25372">
      <w:pPr>
        <w:pStyle w:val="Text1"/>
      </w:pPr>
      <w:r w:rsidRPr="00597673">
        <w:t>Държавите членки предвиждат административният, управителният или надзорният орган на ИППО да приема плана, посочен в първа алинея, и да го представя на компетентния орган за преглед и одобрение.</w:t>
      </w:r>
    </w:p>
    <w:p w14:paraId="7C17870E" w14:textId="77777777" w:rsidR="001F30A0" w:rsidRPr="00597673" w:rsidRDefault="003E55B3" w:rsidP="00A2225A">
      <w:pPr>
        <w:pStyle w:val="Text1"/>
      </w:pPr>
      <w:r w:rsidRPr="00597673">
        <w:t>Държавите членки изискват от ИППО периодично да докладва за изпълнението на плана, посочен в първа алинея, и, при поискване от компетентния орган, за постигнатия напредък в изпълнението му.</w:t>
      </w:r>
    </w:p>
    <w:p w14:paraId="2DA520D8" w14:textId="77777777" w:rsidR="00FE4A82" w:rsidRPr="00597673" w:rsidRDefault="00186E39" w:rsidP="00A2225A">
      <w:pPr>
        <w:pStyle w:val="Text1"/>
      </w:pPr>
      <w:r w:rsidRPr="00597673">
        <w:t>5.</w:t>
      </w:r>
      <w:r w:rsidRPr="00597673">
        <w:tab/>
        <w:t>Държавите членки предвиждат, че компетентният орган:</w:t>
      </w:r>
    </w:p>
    <w:p w14:paraId="32E9C294" w14:textId="77777777" w:rsidR="00FE4A82" w:rsidRPr="00597673" w:rsidRDefault="00FE4A82" w:rsidP="005D0C3B">
      <w:pPr>
        <w:pStyle w:val="Point2"/>
      </w:pPr>
      <w:r w:rsidRPr="00597673">
        <w:t xml:space="preserve">а) </w:t>
      </w:r>
      <w:r w:rsidRPr="00597673">
        <w:tab/>
        <w:t>документира резултатите от всеки редовен надзорен диалог;</w:t>
      </w:r>
    </w:p>
    <w:p w14:paraId="4CDA85E0" w14:textId="77777777" w:rsidR="00FE4A82" w:rsidRPr="00597673" w:rsidRDefault="00FE4A82" w:rsidP="005D0C3B">
      <w:pPr>
        <w:pStyle w:val="Point2"/>
      </w:pPr>
      <w:r w:rsidRPr="00597673">
        <w:t xml:space="preserve">б) </w:t>
      </w:r>
      <w:r w:rsidRPr="00597673">
        <w:tab/>
        <w:t xml:space="preserve">може да издава препоръки до съответната ИППО. </w:t>
      </w:r>
    </w:p>
    <w:p w14:paraId="764EC19B" w14:textId="77777777" w:rsidR="00475752" w:rsidRPr="00597673" w:rsidRDefault="00FE4A82" w:rsidP="00A2225A">
      <w:pPr>
        <w:pStyle w:val="Text1"/>
      </w:pPr>
      <w:r w:rsidRPr="00597673">
        <w:t>Препоръките, посочени в първа алинея, буква б), не засягат правомощията на компетентния орган да приема обвързващи надзорни мерки.</w:t>
      </w:r>
    </w:p>
    <w:p w14:paraId="46665257" w14:textId="77777777" w:rsidR="00475752" w:rsidRPr="00597673" w:rsidRDefault="00475752" w:rsidP="00C9746B">
      <w:pPr>
        <w:pStyle w:val="Titrearticle"/>
      </w:pPr>
      <w:r w:rsidRPr="00597673">
        <w:t xml:space="preserve">Член 49б </w:t>
      </w:r>
      <w:r w:rsidRPr="00597673">
        <w:br/>
      </w:r>
      <w:r w:rsidRPr="00597673">
        <w:rPr>
          <w:b/>
          <w:i w:val="0"/>
        </w:rPr>
        <w:t>Отнемане на лиценз</w:t>
      </w:r>
    </w:p>
    <w:p w14:paraId="5E71B755" w14:textId="77777777" w:rsidR="00475752" w:rsidRPr="00597673" w:rsidRDefault="00475752" w:rsidP="00475752">
      <w:pPr>
        <w:pStyle w:val="Text1"/>
      </w:pPr>
      <w:r w:rsidRPr="00597673">
        <w:t>1.</w:t>
      </w:r>
      <w:r w:rsidRPr="00597673">
        <w:tab/>
        <w:t>Компетентният орган на държавата членка по произход може да отнеме издадения на ИППО лиценз в следните случаи:</w:t>
      </w:r>
    </w:p>
    <w:p w14:paraId="4B932F04" w14:textId="6D36AF8E" w:rsidR="00653109" w:rsidRPr="00597673" w:rsidRDefault="000F5AC5" w:rsidP="000F5AC5">
      <w:pPr>
        <w:pStyle w:val="Point1"/>
      </w:pPr>
      <w:r>
        <w:t>а)</w:t>
      </w:r>
      <w:r>
        <w:tab/>
      </w:r>
      <w:r w:rsidR="00A564F2" w:rsidRPr="00597673">
        <w:t>съответната ИППО не използва лиценза си в срок от 12 месеца, изрично се откаже от него или не извършва дейност от повече от шест последователни месеца, освен ако съответната държава членка не е предвидила изтичането на валидност на лиценза в такива случаи;</w:t>
      </w:r>
    </w:p>
    <w:p w14:paraId="687F7EF2" w14:textId="3E017CA5" w:rsidR="00C11336" w:rsidRPr="00597673" w:rsidRDefault="000F5AC5" w:rsidP="000F5AC5">
      <w:pPr>
        <w:pStyle w:val="Point1"/>
      </w:pPr>
      <w:r>
        <w:t>б)</w:t>
      </w:r>
      <w:r>
        <w:tab/>
      </w:r>
      <w:r w:rsidR="00C11336" w:rsidRPr="00597673">
        <w:t>съответната ИППО престава да отговаря на условията за лицензиране;</w:t>
      </w:r>
    </w:p>
    <w:p w14:paraId="7E360997" w14:textId="0EC734F0" w:rsidR="00C11336" w:rsidRPr="00597673" w:rsidRDefault="000F5AC5" w:rsidP="000F5AC5">
      <w:pPr>
        <w:pStyle w:val="Point1"/>
      </w:pPr>
      <w:r>
        <w:t>в)</w:t>
      </w:r>
      <w:r>
        <w:tab/>
      </w:r>
      <w:r w:rsidR="00C11336" w:rsidRPr="00597673">
        <w:t>съответната ИППО грубо не спазва задълженията си по разпоредбите, на които е предмет.</w:t>
      </w:r>
    </w:p>
    <w:p w14:paraId="7A1AD379" w14:textId="77777777" w:rsidR="004A2399" w:rsidRPr="00597673" w:rsidRDefault="00121ED1" w:rsidP="00475752">
      <w:pPr>
        <w:pStyle w:val="Text1"/>
      </w:pPr>
      <w:r w:rsidRPr="00597673">
        <w:t>2.</w:t>
      </w:r>
      <w:r w:rsidRPr="00597673">
        <w:tab/>
        <w:t>При отнемане или изтичане на валидността на лиценза компетентният орган на държавата членка по произход уведомява съответно компетентните органи на другите държави членки и тези органи вземат подходящи мерки за възпрепятстване започването на нови операции от ИППО на тяхна територия.</w:t>
      </w:r>
    </w:p>
    <w:p w14:paraId="722FBF44" w14:textId="77777777" w:rsidR="00C47D1E" w:rsidRPr="00597673" w:rsidRDefault="008433B2" w:rsidP="00475752">
      <w:pPr>
        <w:pStyle w:val="Text1"/>
      </w:pPr>
      <w:r w:rsidRPr="00597673">
        <w:t>Компетентният орган на държавата членка по произход, съвместно с тези органи, вземат всички необходими мерки за защита на интересите на членовете и бенефициерите, и по-специално ограничава свободното разпореждане с активите на ИППО.</w:t>
      </w:r>
    </w:p>
    <w:p w14:paraId="2CC98CB7" w14:textId="77777777" w:rsidR="00E50A4C" w:rsidRPr="00597673" w:rsidRDefault="00E50A4C" w:rsidP="00475752">
      <w:pPr>
        <w:pStyle w:val="Text1"/>
      </w:pPr>
      <w:r w:rsidRPr="00597673">
        <w:t>3.</w:t>
      </w:r>
      <w:r w:rsidRPr="00597673">
        <w:tab/>
        <w:t>Всяко решение за отнемане на лиценз съдържа подробни мотиви и се съобщава на съответната ИППО. ЕОЗППО бива уведомяван за всеки отнет лиценз.“;</w:t>
      </w:r>
    </w:p>
    <w:p w14:paraId="4B280971" w14:textId="36A4F7BB" w:rsidR="00844381" w:rsidRPr="00597673" w:rsidRDefault="000F5AC5" w:rsidP="000F5AC5">
      <w:pPr>
        <w:pStyle w:val="Point0"/>
      </w:pPr>
      <w:r>
        <w:t>55)</w:t>
      </w:r>
      <w:r>
        <w:tab/>
      </w:r>
      <w:r w:rsidR="00285F07" w:rsidRPr="00597673">
        <w:t xml:space="preserve">член 50 се изменя, както следва: </w:t>
      </w:r>
    </w:p>
    <w:p w14:paraId="59FF2065" w14:textId="635F07F3" w:rsidR="00387EF3" w:rsidRPr="00597673" w:rsidRDefault="000F5AC5" w:rsidP="000F5AC5">
      <w:pPr>
        <w:pStyle w:val="Point1"/>
      </w:pPr>
      <w:r>
        <w:t>а)</w:t>
      </w:r>
      <w:r>
        <w:tab/>
      </w:r>
      <w:r w:rsidR="00387EF3" w:rsidRPr="00597673">
        <w:t>след заглавието се вмъкват следните параграфи:</w:t>
      </w:r>
    </w:p>
    <w:p w14:paraId="2B8AB58F" w14:textId="77777777" w:rsidR="00546EE9" w:rsidRPr="00597673" w:rsidRDefault="00387EF3" w:rsidP="00387EF3">
      <w:pPr>
        <w:pStyle w:val="Text1"/>
      </w:pPr>
      <w:r w:rsidRPr="00597673">
        <w:t xml:space="preserve">„Държавите членки изискват от ИППО да представят на компетентните органи количествената и качествената информация, необходима с оглед на надзора и по-специално на предвидените в член 45 надзорни цели, предвидения в член 46 надзорен обхват и предвидените в член 47 общи надзорни принципи, по-специално принципа на съизмеримост. </w:t>
      </w:r>
    </w:p>
    <w:p w14:paraId="0363F3E3" w14:textId="77777777" w:rsidR="00A70058" w:rsidRPr="00597673" w:rsidRDefault="00AF69AC" w:rsidP="00C9746B">
      <w:pPr>
        <w:pStyle w:val="Text1"/>
      </w:pPr>
      <w:r w:rsidRPr="00597673">
        <w:t>Държавите членки оправомощават компетентните си органи:</w:t>
      </w:r>
    </w:p>
    <w:p w14:paraId="2C900323" w14:textId="77777777" w:rsidR="000F4062" w:rsidRPr="00597673" w:rsidRDefault="00566F3E" w:rsidP="005D0C3B">
      <w:pPr>
        <w:pStyle w:val="Point1"/>
      </w:pPr>
      <w:r w:rsidRPr="00597673">
        <w:t xml:space="preserve">а) </w:t>
      </w:r>
      <w:r w:rsidRPr="00597673">
        <w:tab/>
        <w:t>да определят естеството, обхвата и формата на информацията, посочена в първа алинея, която те изискват от ИППО да предоставят редовно или при поискване;</w:t>
      </w:r>
    </w:p>
    <w:p w14:paraId="2BD52DFB" w14:textId="77777777" w:rsidR="00AE7256" w:rsidRPr="00597673" w:rsidRDefault="00E75873" w:rsidP="005D0C3B">
      <w:pPr>
        <w:pStyle w:val="Point1"/>
      </w:pPr>
      <w:r w:rsidRPr="00597673">
        <w:t xml:space="preserve">б) </w:t>
      </w:r>
      <w:r w:rsidRPr="00597673">
        <w:tab/>
        <w:t>да получават цялата информация за договорите, сключени с трети страни; и</w:t>
      </w:r>
    </w:p>
    <w:p w14:paraId="2C51CEFA" w14:textId="77777777" w:rsidR="00E75873" w:rsidRPr="00597673" w:rsidRDefault="00E75873" w:rsidP="005D0C3B">
      <w:pPr>
        <w:pStyle w:val="Point1"/>
      </w:pPr>
      <w:r w:rsidRPr="00597673">
        <w:t xml:space="preserve">в) </w:t>
      </w:r>
      <w:r w:rsidRPr="00597673">
        <w:tab/>
        <w:t>да изискват информация от външни експерти, като например одитори или актюери.“;</w:t>
      </w:r>
    </w:p>
    <w:p w14:paraId="597E09A9" w14:textId="3C741A58" w:rsidR="00F70300" w:rsidRPr="00597673" w:rsidRDefault="000F5AC5" w:rsidP="000F5AC5">
      <w:pPr>
        <w:pStyle w:val="Point1"/>
      </w:pPr>
      <w:r>
        <w:t>б)</w:t>
      </w:r>
      <w:r>
        <w:tab/>
      </w:r>
      <w:r w:rsidR="00D45554" w:rsidRPr="00597673">
        <w:t>третата алинея се изменя, както следва:</w:t>
      </w:r>
    </w:p>
    <w:p w14:paraId="5345851D" w14:textId="77777777" w:rsidR="00675DFB" w:rsidRPr="00597673" w:rsidRDefault="00675DFB" w:rsidP="00BC3DF1">
      <w:pPr>
        <w:pStyle w:val="Point2"/>
      </w:pPr>
      <w:r w:rsidRPr="00597673">
        <w:t>i)</w:t>
      </w:r>
      <w:r w:rsidRPr="00597673">
        <w:tab/>
        <w:t>в буква г) се добавя следната точка:</w:t>
      </w:r>
    </w:p>
    <w:p w14:paraId="2D1098E1" w14:textId="77777777" w:rsidR="00166871" w:rsidRPr="00597673" w:rsidRDefault="00B9000B" w:rsidP="005D0C3B">
      <w:pPr>
        <w:pStyle w:val="Point1"/>
      </w:pPr>
      <w:r w:rsidRPr="00597673">
        <w:t xml:space="preserve">„vii) </w:t>
      </w:r>
      <w:r w:rsidRPr="00597673">
        <w:tab/>
        <w:t>финансово-икономически планове, посочени в член 9;“;</w:t>
      </w:r>
    </w:p>
    <w:p w14:paraId="70C5C66D" w14:textId="77777777" w:rsidR="002329E7" w:rsidRPr="00597673" w:rsidRDefault="002329E7" w:rsidP="002329E7">
      <w:pPr>
        <w:pStyle w:val="Point2"/>
      </w:pPr>
      <w:r w:rsidRPr="00597673">
        <w:t>ii)</w:t>
      </w:r>
      <w:r w:rsidRPr="00597673">
        <w:tab/>
        <w:t>добавя се следната буква ж):</w:t>
      </w:r>
    </w:p>
    <w:p w14:paraId="6E5A49DE" w14:textId="77777777" w:rsidR="00F8535C" w:rsidRPr="00597673" w:rsidRDefault="002329E7" w:rsidP="00346105">
      <w:pPr>
        <w:pStyle w:val="Point1"/>
      </w:pPr>
      <w:r w:rsidRPr="00597673">
        <w:t xml:space="preserve">„ж) </w:t>
      </w:r>
      <w:r w:rsidRPr="00597673">
        <w:tab/>
        <w:t>да изискват от ИППО редовно да представят образци с количествени данни, представящи по-подробно и допълващи информацията в документите, посочени в букви в) и г), в т.ч. информацията, изисквана по силата на член 35 от Регламент (ЕС) № 1094/2010, необходима за изпълнението на задълженията, възложени на ЕОЗППО съгласно посочения регламент и съгласно настоящата директива.“;</w:t>
      </w:r>
    </w:p>
    <w:p w14:paraId="18D0B6AC" w14:textId="77777777" w:rsidR="00711125" w:rsidRPr="00597673" w:rsidRDefault="00711125" w:rsidP="00F8535C">
      <w:pPr>
        <w:pStyle w:val="Point2"/>
      </w:pPr>
      <w:r w:rsidRPr="00597673">
        <w:t>iii)</w:t>
      </w:r>
      <w:r w:rsidRPr="00597673">
        <w:tab/>
        <w:t>добавят се следните параграфи:</w:t>
      </w:r>
    </w:p>
    <w:p w14:paraId="19FCA30D" w14:textId="77777777" w:rsidR="002624DF" w:rsidRPr="00597673" w:rsidRDefault="00711125" w:rsidP="00944F90">
      <w:pPr>
        <w:pStyle w:val="Text1"/>
      </w:pPr>
      <w:r w:rsidRPr="00597673">
        <w:t>„Държавите членки изискват от ИППО ежегодно да информират компетентните органи за възвръщаемостта на инвестициите след приспадане на инвестиционните разходи и понесените във връзка с дейността им разходи и такси.</w:t>
      </w:r>
    </w:p>
    <w:p w14:paraId="0C07F6E7" w14:textId="77777777" w:rsidR="00013EEA" w:rsidRPr="00597673" w:rsidRDefault="00013EEA" w:rsidP="00944F90">
      <w:pPr>
        <w:pStyle w:val="Text1"/>
      </w:pPr>
      <w:r w:rsidRPr="00597673">
        <w:t>Държавите членки задължават компетентните органи да изискат от ИППО да прилагат подход на обстоен преглед, който гарантира, че са включени всички разходи и такси, направени на равнище инвестиционни фондове, управители на активи и сделки, и че се прилага принципът на компенсиране.</w:t>
      </w:r>
    </w:p>
    <w:p w14:paraId="2897B2D8" w14:textId="77777777" w:rsidR="0011387B" w:rsidRPr="00597673" w:rsidRDefault="0011387B" w:rsidP="00944F90">
      <w:pPr>
        <w:pStyle w:val="Text1"/>
      </w:pPr>
      <w:r w:rsidRPr="00597673">
        <w:t>За да се осигурят еднакви условия на прилагане на настоящия член, ЕОЗППО разработва проект на технически стандарти за изпълнение за процедурите, форматите и образците, в които, когато е приложимо, се прави разграничение между професионалното и личното пенсионно осигуряване.</w:t>
      </w:r>
    </w:p>
    <w:p w14:paraId="5EB4C16A" w14:textId="77777777" w:rsidR="00304084" w:rsidRPr="00597673" w:rsidRDefault="00CE45F3" w:rsidP="00944F90">
      <w:pPr>
        <w:pStyle w:val="Text1"/>
      </w:pPr>
      <w:r w:rsidRPr="00597673">
        <w:t>Комисията се оправомощава да приеме в съответствие с член 15 от Регламент (ЕС) № 1094/2010 посочените в четвърта алинея технически стандарти за изпълнение.“;</w:t>
      </w:r>
    </w:p>
    <w:p w14:paraId="576CDB25" w14:textId="65C12BAF" w:rsidR="009149D5" w:rsidRPr="00597673" w:rsidRDefault="000F5AC5" w:rsidP="000F5AC5">
      <w:pPr>
        <w:pStyle w:val="Point0"/>
      </w:pPr>
      <w:r>
        <w:t>56)</w:t>
      </w:r>
      <w:r>
        <w:tab/>
      </w:r>
      <w:r w:rsidR="1EE882D9" w:rsidRPr="00597673">
        <w:t>вмъква се следният член 50а:</w:t>
      </w:r>
    </w:p>
    <w:p w14:paraId="061FF9E7" w14:textId="77777777" w:rsidR="009149D5" w:rsidRPr="00597673" w:rsidRDefault="009149D5" w:rsidP="00C9746B">
      <w:pPr>
        <w:pStyle w:val="Titrearticle"/>
      </w:pPr>
      <w:r w:rsidRPr="00597673">
        <w:t xml:space="preserve">Член 50а </w:t>
      </w:r>
      <w:r w:rsidRPr="00597673">
        <w:br/>
      </w:r>
      <w:r w:rsidRPr="00597673">
        <w:rPr>
          <w:b/>
          <w:i w:val="0"/>
        </w:rPr>
        <w:t>Надзор на възложените на външни изпълнители функции и дейности</w:t>
      </w:r>
    </w:p>
    <w:p w14:paraId="13C2D622" w14:textId="77777777" w:rsidR="009149D5" w:rsidRPr="00597673" w:rsidRDefault="009149D5" w:rsidP="00E07A5F">
      <w:pPr>
        <w:pStyle w:val="Text1"/>
      </w:pPr>
      <w:r w:rsidRPr="00597673">
        <w:t>1.</w:t>
      </w:r>
      <w:r w:rsidRPr="00597673">
        <w:tab/>
        <w:t>Държавите членки задължават ИППО, които възлагат на външен изпълнител функция или дейност, да предприемат необходимите мерки, така че да са изпълнени следните условия:</w:t>
      </w:r>
    </w:p>
    <w:p w14:paraId="349D8735" w14:textId="77777777" w:rsidR="00436959" w:rsidRPr="00597673" w:rsidRDefault="00436959" w:rsidP="005D0C3B">
      <w:pPr>
        <w:pStyle w:val="Point1"/>
      </w:pPr>
      <w:r w:rsidRPr="00597673">
        <w:t xml:space="preserve">а) </w:t>
      </w:r>
      <w:r w:rsidRPr="00597673">
        <w:tab/>
        <w:t>доставчикът на услуги сътрудничи с надзорните органи на ИППО с оглед на надзора на възложената му функция или дейност;</w:t>
      </w:r>
    </w:p>
    <w:p w14:paraId="1A58C037" w14:textId="77777777" w:rsidR="00BE299A" w:rsidRPr="00597673" w:rsidRDefault="00BE299A" w:rsidP="005D0C3B">
      <w:pPr>
        <w:pStyle w:val="Point1"/>
      </w:pPr>
      <w:r w:rsidRPr="00597673">
        <w:t xml:space="preserve">б) </w:t>
      </w:r>
      <w:r w:rsidRPr="00597673">
        <w:tab/>
        <w:t>ИППО, нейните одитори и компетентните органи имат ефективен достъп до сведенията за възложените на външен изпълнител функции или дейности, в т.ч. правото да изискват по всяко време информация от ИППО и от доставчиците на услуги за възложените на външен изпълнител възлови функции или други дейности;</w:t>
      </w:r>
    </w:p>
    <w:p w14:paraId="59D2CE27" w14:textId="77777777" w:rsidR="00AC2212" w:rsidRPr="00597673" w:rsidRDefault="00AC2212" w:rsidP="005D0C3B">
      <w:pPr>
        <w:pStyle w:val="Point1"/>
      </w:pPr>
      <w:r w:rsidRPr="00597673">
        <w:t xml:space="preserve">в) </w:t>
      </w:r>
      <w:r w:rsidRPr="00597673">
        <w:tab/>
        <w:t>компетентните органи имат ефективен достъп до работните помещения на доставчика на услуги и са в състояние да упражнят това право на достъп.</w:t>
      </w:r>
    </w:p>
    <w:p w14:paraId="073B95A6" w14:textId="77777777" w:rsidR="00EA0D04" w:rsidRPr="00597673" w:rsidRDefault="00EA0D04" w:rsidP="00E07A5F">
      <w:pPr>
        <w:pStyle w:val="Text1"/>
      </w:pPr>
      <w:r w:rsidRPr="00597673">
        <w:t>2.</w:t>
      </w:r>
      <w:r w:rsidRPr="00597673">
        <w:tab/>
        <w:t>Държавата членка, в която е местоположението на доставчика на услуги, позволява на компетентните органи на ИППО да провеждат, самостоятелно или чрез посредничеството на назначени от тях за тази цел лица, проверки на място в помещенията на доставчика на услуги. Преди провеждането на проверка на място, компетентните органи на ИППО уведомяват съответния орган на държавата членка на доставчика на услуги. Ако дружеството не е обект на надзор, подходящият орган е компетентният орган.</w:t>
      </w:r>
    </w:p>
    <w:p w14:paraId="13E8AEDD" w14:textId="77777777" w:rsidR="00EA0D04" w:rsidRPr="00597673" w:rsidRDefault="00EA0D04" w:rsidP="00C533F9">
      <w:pPr>
        <w:pStyle w:val="Text1"/>
      </w:pPr>
      <w:r w:rsidRPr="00597673">
        <w:t>Компетентните органи на държавата членка на ИППО могат да оправомощят компетентните органи на държавата членка, в която е местоположението на доставчика на услуги, да провеждат такива проверки на място.</w:t>
      </w:r>
    </w:p>
    <w:p w14:paraId="6089188B" w14:textId="77777777" w:rsidR="009453F6" w:rsidRPr="00597673" w:rsidRDefault="009453F6" w:rsidP="00C533F9">
      <w:pPr>
        <w:pStyle w:val="Text1"/>
      </w:pPr>
      <w:r w:rsidRPr="00597673">
        <w:t>3.</w:t>
      </w:r>
      <w:r w:rsidRPr="00597673">
        <w:tab/>
        <w:t>Ако компетентен орган, след като уведоми съответните органи на държавата членка на доставчика на услуги, че възнамерява по силата на настоящия параграф да извърши проверка на място или че извършва по силата на първа алинея проверка на място, се окаже, че на практика не е в състояние да упражни това свое право, той може да отнесе въпроса до ЕОЗППО и по силата на член 19 от Регламент (ЕС) № 1094/2010 да поиска съдействие. В този случай ЕОЗППО може да действа съгласно правомощията, предоставени му по силата на посочения член.</w:t>
      </w:r>
    </w:p>
    <w:p w14:paraId="067F788C" w14:textId="77777777" w:rsidR="006D53B3" w:rsidRPr="00597673" w:rsidRDefault="006D53B3" w:rsidP="00C9746B">
      <w:pPr>
        <w:pStyle w:val="Text1"/>
      </w:pPr>
      <w:r w:rsidRPr="00597673">
        <w:t>Член 21 от Регламент (ЕС) № 1094/2010 оправомощава ЕОЗППО да участва в проверките на място, когато те се провеждат съвместно от два или повече надзорни органа.“;</w:t>
      </w:r>
    </w:p>
    <w:p w14:paraId="6340437C" w14:textId="420A0868" w:rsidR="0059324B" w:rsidRPr="00597673" w:rsidRDefault="000F5AC5" w:rsidP="000F5AC5">
      <w:pPr>
        <w:pStyle w:val="Point0"/>
      </w:pPr>
      <w:r>
        <w:t>57)</w:t>
      </w:r>
      <w:r>
        <w:tab/>
      </w:r>
      <w:r w:rsidR="005C5189" w:rsidRPr="00597673">
        <w:t>член 51 се изменя, както следва:</w:t>
      </w:r>
    </w:p>
    <w:p w14:paraId="3369E7D4" w14:textId="316A56B0" w:rsidR="003B0996" w:rsidRPr="00597673" w:rsidRDefault="000F5AC5" w:rsidP="000F5AC5">
      <w:pPr>
        <w:pStyle w:val="Point1"/>
      </w:pPr>
      <w:r>
        <w:t>а)</w:t>
      </w:r>
      <w:r>
        <w:tab/>
      </w:r>
      <w:r w:rsidR="0007081B" w:rsidRPr="00597673">
        <w:t>параграф 2 се изменя, както следва:</w:t>
      </w:r>
    </w:p>
    <w:p w14:paraId="00EF8C8E" w14:textId="00443583" w:rsidR="004847D8" w:rsidRPr="00597673" w:rsidRDefault="000F5AC5" w:rsidP="000F5AC5">
      <w:pPr>
        <w:pStyle w:val="Point2"/>
      </w:pPr>
      <w:r>
        <w:t>а)</w:t>
      </w:r>
      <w:r>
        <w:tab/>
      </w:r>
      <w:r w:rsidR="004847D8" w:rsidRPr="00597673">
        <w:t>букви а) и б) се заменят със следното:</w:t>
      </w:r>
    </w:p>
    <w:p w14:paraId="00EFE394" w14:textId="77777777" w:rsidR="00430D3D" w:rsidRPr="00597673" w:rsidRDefault="004F233E" w:rsidP="00430D3D">
      <w:pPr>
        <w:pStyle w:val="Point2"/>
      </w:pPr>
      <w:r w:rsidRPr="00597673">
        <w:t xml:space="preserve">„а) </w:t>
      </w:r>
      <w:r w:rsidRPr="00597673">
        <w:tab/>
        <w:t>текстовете на законовите и подзаконовите актове, административните правила и общите насоки в областта на схемите за професионално пенсионно осигуряване и, когато е приложимо, продуктите за лично пенсионно осигуряване, както и информация дали държавата членка избира да прилага настоящата директива в съответствие с членове 4 и 5;“</w:t>
      </w:r>
    </w:p>
    <w:p w14:paraId="0DFA5CE4" w14:textId="77777777" w:rsidR="00A247A1" w:rsidRPr="00597673" w:rsidRDefault="004F233E" w:rsidP="00430D3D">
      <w:pPr>
        <w:pStyle w:val="Point2"/>
      </w:pPr>
      <w:r w:rsidRPr="00597673">
        <w:t xml:space="preserve">б) </w:t>
      </w:r>
      <w:r w:rsidRPr="00597673">
        <w:tab/>
        <w:t>общите критерии и методи, използвани в процеса на надзорен преглед съгласно член 49, включително по-специално преглед на тяхната рамка за оценка на риска.“;</w:t>
      </w:r>
    </w:p>
    <w:p w14:paraId="58CA57AD" w14:textId="16DF4E96" w:rsidR="00C8563E" w:rsidRPr="00597673" w:rsidRDefault="000F5AC5" w:rsidP="000F5AC5">
      <w:pPr>
        <w:pStyle w:val="Point2"/>
      </w:pPr>
      <w:r>
        <w:t>б)</w:t>
      </w:r>
      <w:r>
        <w:tab/>
      </w:r>
      <w:r w:rsidR="00C8563E" w:rsidRPr="00597673">
        <w:t>буква г) се заменя със следното:</w:t>
      </w:r>
    </w:p>
    <w:p w14:paraId="659265EB" w14:textId="77777777" w:rsidR="00C8563E" w:rsidRPr="00597673" w:rsidRDefault="00C8563E" w:rsidP="073AE836">
      <w:pPr>
        <w:pStyle w:val="Point2"/>
      </w:pPr>
      <w:r w:rsidRPr="00597673">
        <w:t>„г)</w:t>
      </w:r>
      <w:r w:rsidRPr="00597673">
        <w:tab/>
        <w:t>основната надзорна цел, информация за основните функции и годишен доклад за дейността на техните компетентни органи;“;</w:t>
      </w:r>
    </w:p>
    <w:p w14:paraId="3C5CD744" w14:textId="317C5DD3" w:rsidR="00A1448A" w:rsidRPr="00597673" w:rsidRDefault="000F5AC5" w:rsidP="000F5AC5">
      <w:pPr>
        <w:pStyle w:val="Point2"/>
      </w:pPr>
      <w:r>
        <w:t>в)</w:t>
      </w:r>
      <w:r>
        <w:tab/>
      </w:r>
      <w:r w:rsidR="0007081B" w:rsidRPr="00597673">
        <w:t>добавят се следните алинеи:</w:t>
      </w:r>
    </w:p>
    <w:p w14:paraId="50BB1EF3" w14:textId="77777777" w:rsidR="00650F3F" w:rsidRPr="00597673" w:rsidRDefault="00650F3F" w:rsidP="005D0C3B">
      <w:pPr>
        <w:pStyle w:val="Text1"/>
      </w:pPr>
      <w:r w:rsidRPr="00597673">
        <w:t>Предвиденото в първа алинея оповестяване е достатъчно, за да могат да се съпоставят надзорните подходи, приети от компетентните органи на различни държави членки.</w:t>
      </w:r>
    </w:p>
    <w:p w14:paraId="359F228D" w14:textId="77777777" w:rsidR="0099713F" w:rsidRPr="00597673" w:rsidRDefault="007C2970" w:rsidP="005D0C3B">
      <w:pPr>
        <w:pStyle w:val="Text1"/>
      </w:pPr>
      <w:r w:rsidRPr="00597673">
        <w:t xml:space="preserve"> Информацията, посочена в първа алинея, букви а) до д), е достъпна на един електронен адрес във всяка държава членка.“;</w:t>
      </w:r>
    </w:p>
    <w:p w14:paraId="34FD3FA2" w14:textId="5CFE9071" w:rsidR="00624E24" w:rsidRPr="00597673" w:rsidRDefault="000F5AC5" w:rsidP="000F5AC5">
      <w:pPr>
        <w:pStyle w:val="Point1"/>
      </w:pPr>
      <w:r>
        <w:t>б)</w:t>
      </w:r>
      <w:r>
        <w:tab/>
      </w:r>
      <w:r w:rsidR="00624E24" w:rsidRPr="00597673">
        <w:t>в параграф 3 се добавя следната алинея:</w:t>
      </w:r>
    </w:p>
    <w:p w14:paraId="727EFD78" w14:textId="77777777" w:rsidR="00624E24" w:rsidRPr="00597673" w:rsidRDefault="00624E24" w:rsidP="005D0C3B">
      <w:pPr>
        <w:pStyle w:val="Text1"/>
      </w:pPr>
      <w:r w:rsidRPr="00597673">
        <w:t>„Членовете на ръководните и управителните структури на компетентните органи притежават квалификацията, опита и уменията, необходими за изпълнението на задълженията и упражняването на правомощията си, и не могат да бъдат освобождавани от длъжност по причини, свързани с коректното изпълнение на задълженията или упражняване на правомощията си. Те могат да бъдат освобождавани от длъжност само ако вече не отговарят на условията, необходими за изпълнението на техните задължения или ако са били признати за виновни за извършването на тежко нарушение съгласно националното право. Условията, необходими за изпълнението на техните задължения, и това какво представлява сериозно нарушение, се определят предварително в националното право.“;</w:t>
      </w:r>
    </w:p>
    <w:p w14:paraId="0CCED9B6" w14:textId="2FD1A3C8" w:rsidR="003B0996" w:rsidRPr="00597673" w:rsidRDefault="000F5AC5" w:rsidP="000F5AC5">
      <w:pPr>
        <w:pStyle w:val="Point1"/>
      </w:pPr>
      <w:r>
        <w:t>в)</w:t>
      </w:r>
      <w:r>
        <w:tab/>
      </w:r>
      <w:r w:rsidR="0007081B" w:rsidRPr="00597673">
        <w:t>добавя се следният параграф 4:</w:t>
      </w:r>
    </w:p>
    <w:p w14:paraId="7682CAFE" w14:textId="77777777" w:rsidR="003B0996" w:rsidRPr="00597673" w:rsidRDefault="00223A24" w:rsidP="00430D3D">
      <w:pPr>
        <w:pStyle w:val="Text1"/>
      </w:pPr>
      <w:r w:rsidRPr="00597673">
        <w:t>„4.</w:t>
      </w:r>
      <w:r w:rsidRPr="00597673">
        <w:tab/>
        <w:t>Държавите членки задължават компетентните органи да публикуват на един-единствен достъпен за обществеността уебсайт ясна, съпоставима и лесно достъпна информация за общите годишни разходи, резултатите от минали периоди и рисковия профил на всички пенсионни схеми, управлявани от ИППО.</w:t>
      </w:r>
    </w:p>
    <w:p w14:paraId="12B2751A" w14:textId="77777777" w:rsidR="00F7293D" w:rsidRPr="00597673" w:rsidRDefault="00F7293D" w:rsidP="00430D3D">
      <w:pPr>
        <w:pStyle w:val="Text1"/>
      </w:pPr>
      <w:r w:rsidRPr="00597673">
        <w:t xml:space="preserve">За всяка пенсионна схема и, когато е приложимо, инвестиционен вариант, публикуваната информация включва най-малко: </w:t>
      </w:r>
    </w:p>
    <w:p w14:paraId="63431F9D" w14:textId="77777777" w:rsidR="00900CE3" w:rsidRPr="00597673" w:rsidRDefault="00900CE3" w:rsidP="005D0C3B">
      <w:pPr>
        <w:pStyle w:val="Point1"/>
      </w:pPr>
      <w:r w:rsidRPr="00597673">
        <w:t xml:space="preserve">а) </w:t>
      </w:r>
      <w:r w:rsidRPr="00597673">
        <w:tab/>
        <w:t>класификацията на схемата по рисков профил;</w:t>
      </w:r>
    </w:p>
    <w:p w14:paraId="2120BA94" w14:textId="77777777" w:rsidR="00900CE3" w:rsidRPr="00597673" w:rsidRDefault="00900CE3" w:rsidP="005D0C3B">
      <w:pPr>
        <w:pStyle w:val="Point1"/>
      </w:pPr>
      <w:r w:rsidRPr="00597673">
        <w:t xml:space="preserve">б) </w:t>
      </w:r>
      <w:r w:rsidRPr="00597673">
        <w:tab/>
        <w:t>общите разходи и такси, докладвани на националните компетентни органи в съответствие с член 50, параграф 7, изразени като единен годишен процент от общите вноски за предходните дванадесет месеца; и</w:t>
      </w:r>
    </w:p>
    <w:p w14:paraId="7FA292DC" w14:textId="77777777" w:rsidR="00916CF7" w:rsidRPr="00597673" w:rsidRDefault="00916CF7" w:rsidP="005D0C3B">
      <w:pPr>
        <w:pStyle w:val="Point1"/>
      </w:pPr>
      <w:r w:rsidRPr="00597673">
        <w:t xml:space="preserve">в) </w:t>
      </w:r>
      <w:r w:rsidRPr="00597673">
        <w:tab/>
        <w:t>резултати от минали периоди за приключили финансови години, включително последната година.</w:t>
      </w:r>
    </w:p>
    <w:p w14:paraId="1AE8EC9F" w14:textId="77777777" w:rsidR="72B02D3A" w:rsidRPr="00597673" w:rsidRDefault="72B02D3A" w:rsidP="00430D3D">
      <w:pPr>
        <w:pStyle w:val="Text1"/>
      </w:pPr>
      <w:r w:rsidRPr="00597673">
        <w:t>Информацията, посочена във втора алинея, букви б) и в), се предоставя най-малко за предходните 10 години, а ако схемата е била предоставяна по-малко от 10 години – за всички години, през които схемата е била предоставяна.</w:t>
      </w:r>
    </w:p>
    <w:p w14:paraId="74CA5C69" w14:textId="77777777" w:rsidR="00626C44" w:rsidRPr="00597673" w:rsidRDefault="00626C44" w:rsidP="00430D3D">
      <w:pPr>
        <w:pStyle w:val="Text1"/>
      </w:pPr>
      <w:r w:rsidRPr="00597673">
        <w:t>Компетентните органи проверяват точността и навременността на информацията и след приключването на тази проверка незабавно я публикуват.“;</w:t>
      </w:r>
    </w:p>
    <w:p w14:paraId="12482162" w14:textId="197F0B4C" w:rsidR="5D7DA77F" w:rsidRPr="00597673" w:rsidRDefault="000F5AC5" w:rsidP="000F5AC5">
      <w:pPr>
        <w:pStyle w:val="Point0"/>
      </w:pPr>
      <w:r>
        <w:t>58)</w:t>
      </w:r>
      <w:r>
        <w:tab/>
      </w:r>
      <w:r w:rsidR="5FD6CC98" w:rsidRPr="00597673">
        <w:t>вмъква се следният член 55a:</w:t>
      </w:r>
    </w:p>
    <w:p w14:paraId="74355C2E" w14:textId="77777777" w:rsidR="5D7DA77F" w:rsidRPr="00597673" w:rsidRDefault="5D7DA77F" w:rsidP="008A46F8">
      <w:pPr>
        <w:pStyle w:val="Titrearticle"/>
        <w:rPr>
          <w:iCs/>
        </w:rPr>
      </w:pPr>
      <w:r w:rsidRPr="00597673">
        <w:t xml:space="preserve">„Член 55a </w:t>
      </w:r>
      <w:r w:rsidRPr="00597673">
        <w:br/>
      </w:r>
      <w:r w:rsidRPr="00597673">
        <w:rPr>
          <w:b/>
          <w:i w:val="0"/>
        </w:rPr>
        <w:t>Платформи за сътрудничество</w:t>
      </w:r>
    </w:p>
    <w:p w14:paraId="3E1E37AA" w14:textId="77777777" w:rsidR="5D7DA77F" w:rsidRPr="00597673" w:rsidRDefault="5D7DA77F" w:rsidP="00BC3DF1">
      <w:pPr>
        <w:pStyle w:val="Text1"/>
      </w:pPr>
      <w:r w:rsidRPr="00597673">
        <w:t>1.</w:t>
      </w:r>
      <w:r w:rsidRPr="00597673">
        <w:tab/>
        <w:t>При основателно опасение за отрицателни последици за членовете и бенефициерите ЕОЗППО може, по собствена инициатива или по искане на един или повече от съответните компетентни органи, да създаде и да координира платформа за сътрудничество за засилване на обмена на информация и сътрудничеството между съответните компетентни органи, когато трансграничната дейност, която ИППО извършва или възнамерява да извършва, е от значение за пазара на приемащата държава членка.</w:t>
      </w:r>
    </w:p>
    <w:p w14:paraId="284A3E6A" w14:textId="77777777" w:rsidR="13E6C14C" w:rsidRPr="00597673" w:rsidRDefault="13E6C14C" w:rsidP="00BC3DF1">
      <w:pPr>
        <w:pStyle w:val="Text1"/>
      </w:pPr>
      <w:r w:rsidRPr="00597673">
        <w:t>2.</w:t>
      </w:r>
      <w:r w:rsidRPr="00597673">
        <w:tab/>
        <w:t>Параграф 1 не засяга правото на съответните компетентни органи да създадат платформа за сътрудничество, когато всички те са съгласни с това.</w:t>
      </w:r>
    </w:p>
    <w:p w14:paraId="43493130" w14:textId="77777777" w:rsidR="0FC3482E" w:rsidRPr="00597673" w:rsidRDefault="13E6C14C" w:rsidP="00BC3DF1">
      <w:pPr>
        <w:pStyle w:val="Text1"/>
      </w:pPr>
      <w:r w:rsidRPr="00597673">
        <w:t>3.</w:t>
      </w:r>
      <w:r w:rsidRPr="00597673">
        <w:tab/>
        <w:t>Създаването на платформа за сътрудничество съгласно параграфи 1 и 2 не засяга мандата за упражняване на надзор, предоставен на компетентните органи на държавата членка по произход и на приемащата държава членка съгласно настоящата директива.</w:t>
      </w:r>
    </w:p>
    <w:p w14:paraId="69F0DF9E" w14:textId="77777777" w:rsidR="13E6C14C" w:rsidRPr="00597673" w:rsidRDefault="13E6C14C" w:rsidP="00BC3DF1">
      <w:pPr>
        <w:pStyle w:val="Text1"/>
        <w:rPr>
          <w:szCs w:val="24"/>
        </w:rPr>
      </w:pPr>
      <w:r w:rsidRPr="00597673">
        <w:t>4.</w:t>
      </w:r>
      <w:r w:rsidRPr="00597673">
        <w:tab/>
        <w:t>Без да се засяга член 35 от Регламент (ЕС) № 1094/2010, по искане на ЕОЗППО съответните компетентни органи предоставят своевременно цялата необходима информация.</w:t>
      </w:r>
    </w:p>
    <w:p w14:paraId="58BFA0CA" w14:textId="77777777" w:rsidR="13E6C14C" w:rsidRPr="00597673" w:rsidRDefault="13E6C14C" w:rsidP="00BC3DF1">
      <w:pPr>
        <w:pStyle w:val="Text1"/>
      </w:pPr>
      <w:r w:rsidRPr="00597673">
        <w:t>5.</w:t>
      </w:r>
      <w:r w:rsidRPr="00597673">
        <w:tab/>
        <w:t>Когато два или повече компетентни органа в рамките на платформа за сътрудничество не са съгласни относно процедурата или съдържанието на действие, което трябва да бъде предприето, или бездействието, ЕОЗППО може, по искане на всеки съответен компетентен орган или по своя собствена инициатива, да съдейства на компетентните органи при постигането на споразумение в съответствие с член 19, параграф 1 от Регламент (ЕС) № 1094/2010.</w:t>
      </w:r>
    </w:p>
    <w:p w14:paraId="4A8850E8" w14:textId="77777777" w:rsidR="482E0F0E" w:rsidRPr="00597673" w:rsidRDefault="13E6C14C" w:rsidP="00BC3DF1">
      <w:pPr>
        <w:pStyle w:val="Text1"/>
      </w:pPr>
      <w:r w:rsidRPr="00597673">
        <w:t>6.</w:t>
      </w:r>
      <w:r w:rsidRPr="00597673">
        <w:tab/>
        <w:t>В случай на несъгласие в рамките на платформата и когато са налице сериозни опасения във връзка с отрицателните последици за членовете и бенефициерите или във връзка със съдържанието на действие, което трябва да бъде предприето, или бездействие по отношение на ИППО, ЕОЗППО може да поиска от компетентния орган на държавата членка по произход да започне проверка на място на ИППО. Компетентният орган на държавата членка по произход незабавно започва проверката на място и кани ЕОЗППО и другите заинтересовани компетентни органи да участват в нея.“;</w:t>
      </w:r>
    </w:p>
    <w:p w14:paraId="6A94A0DB" w14:textId="09A838D2" w:rsidR="001D5C55" w:rsidRPr="00597673" w:rsidRDefault="000F5AC5" w:rsidP="000F5AC5">
      <w:pPr>
        <w:pStyle w:val="Point0"/>
      </w:pPr>
      <w:r>
        <w:t>59)</w:t>
      </w:r>
      <w:r>
        <w:tab/>
      </w:r>
      <w:r w:rsidR="0023436F" w:rsidRPr="00597673">
        <w:t>член 59 се заменя със следното:</w:t>
      </w:r>
    </w:p>
    <w:p w14:paraId="62EBE3D3" w14:textId="77777777" w:rsidR="003B230A" w:rsidRPr="00597673" w:rsidRDefault="00762BE3" w:rsidP="00C9746B">
      <w:pPr>
        <w:pStyle w:val="Titrearticle"/>
      </w:pPr>
      <w:r w:rsidRPr="00597673">
        <w:t xml:space="preserve">„Член 59 </w:t>
      </w:r>
      <w:r w:rsidRPr="00597673">
        <w:br/>
      </w:r>
      <w:r w:rsidRPr="00597673">
        <w:rPr>
          <w:b/>
          <w:i w:val="0"/>
        </w:rPr>
        <w:t>Публикуване на националните разпоредби</w:t>
      </w:r>
    </w:p>
    <w:p w14:paraId="0E8FEF92" w14:textId="77777777" w:rsidR="00586D9E" w:rsidRPr="00597673" w:rsidRDefault="003B230A" w:rsidP="00C9746B">
      <w:pPr>
        <w:pStyle w:val="Text1"/>
      </w:pPr>
      <w:r w:rsidRPr="00597673">
        <w:t>1.</w:t>
      </w:r>
      <w:r w:rsidRPr="00597673">
        <w:tab/>
        <w:t xml:space="preserve">Държавите членки задължават компетентните си органи да публикуват по подходящ начин изискванията на социалното и трудовото законодателство в областта на схемите за професионално пенсионно осигуряване, съгласно които трябва да функционира пенсионна схема, спонсорирана от дружество в приемащата държава членка, които се прилагат за трансграничните дейности на ИППО, посочени в член 11, параграф 1. </w:t>
      </w:r>
    </w:p>
    <w:p w14:paraId="42E66651" w14:textId="77777777" w:rsidR="003B230A" w:rsidRPr="00597673" w:rsidRDefault="00586D9E" w:rsidP="00C9746B">
      <w:pPr>
        <w:pStyle w:val="Text1"/>
      </w:pPr>
      <w:r w:rsidRPr="00597673">
        <w:t>2.</w:t>
      </w:r>
      <w:r w:rsidRPr="00597673">
        <w:tab/>
        <w:t>ЕОЗППО включва на своя уебсайт електронни препратки към уебсайтовете на компетентните органи, на които се публикува информация за тези разпоредби. Тази информация е актуална и ЕОЗППО предоставя достъп до нея на своя уебсайт, като всички такива разпоредби са категоризирани в различни съответни области на правото.</w:t>
      </w:r>
    </w:p>
    <w:p w14:paraId="1BF006B2" w14:textId="77777777" w:rsidR="003B230A" w:rsidRPr="00597673" w:rsidRDefault="001C500A" w:rsidP="00C9746B">
      <w:pPr>
        <w:pStyle w:val="Text1"/>
      </w:pPr>
      <w:r w:rsidRPr="00597673">
        <w:t>3.</w:t>
      </w:r>
      <w:r w:rsidRPr="00597673">
        <w:tab/>
        <w:t>Държавите членки създават единно звено за контакт, което отговаря за предоставянето на информация за изискванията на социалното и трудовото законодателство в областта на схемите за професионално пенсионно осигуряване, съгласно които трябва да функционира пенсионна схема, спонсорирана от дружество в приемащата държава членка, които се прилагат за трансграничните дейности на ИППО в съответната държава членка. Това звено за контакти следва да бъде подходящ компетентен орган.</w:t>
      </w:r>
    </w:p>
    <w:p w14:paraId="623DA943" w14:textId="77777777" w:rsidR="00D95CD0" w:rsidRPr="00597673" w:rsidRDefault="00FB6FB6" w:rsidP="008A46F8">
      <w:pPr>
        <w:pStyle w:val="Text1"/>
      </w:pPr>
      <w:r w:rsidRPr="00597673">
        <w:t>4.</w:t>
      </w:r>
      <w:r w:rsidRPr="00597673">
        <w:tab/>
        <w:t xml:space="preserve">ЕОЗППО разглежда в доклад и информира Комисията за  публикуваните от държавите членки разпоредби, както е посочено в настоящия член, в контекста на правилното функциониране на настоящата директива и на вътрешния пазар преди [до Службата за публикации: </w:t>
      </w:r>
      <w:r w:rsidRPr="00597673">
        <w:rPr>
          <w:i/>
        </w:rPr>
        <w:t>въвежда се следната дата: 6 месеца след датата на прилагане на настоящата директива</w:t>
      </w:r>
      <w:r w:rsidRPr="00597673">
        <w:t>].;</w:t>
      </w:r>
    </w:p>
    <w:p w14:paraId="72935DEE" w14:textId="41403692" w:rsidR="00681417" w:rsidRPr="00597673" w:rsidRDefault="000F5AC5" w:rsidP="000F5AC5">
      <w:pPr>
        <w:pStyle w:val="Point0"/>
      </w:pPr>
      <w:r>
        <w:t>60)</w:t>
      </w:r>
      <w:r>
        <w:tab/>
      </w:r>
      <w:r w:rsidR="00681417" w:rsidRPr="00597673">
        <w:t>членове 61 и 62 се заменят със следното:</w:t>
      </w:r>
    </w:p>
    <w:p w14:paraId="1A877790" w14:textId="77777777" w:rsidR="00406A2A" w:rsidRPr="00597673" w:rsidRDefault="00406A2A" w:rsidP="00406A2A">
      <w:pPr>
        <w:pStyle w:val="Titrearticle"/>
      </w:pPr>
      <w:r w:rsidRPr="00597673">
        <w:t xml:space="preserve">„Член 61 </w:t>
      </w:r>
      <w:r w:rsidRPr="00597673">
        <w:br/>
      </w:r>
      <w:r w:rsidRPr="00597673">
        <w:rPr>
          <w:b/>
          <w:i w:val="0"/>
        </w:rPr>
        <w:t>Обработване на лични данни</w:t>
      </w:r>
    </w:p>
    <w:p w14:paraId="5A028BC7" w14:textId="77777777" w:rsidR="00406A2A" w:rsidRPr="00597673" w:rsidRDefault="00835510" w:rsidP="00406A2A">
      <w:pPr>
        <w:pStyle w:val="Text1"/>
      </w:pPr>
      <w:r w:rsidRPr="00597673">
        <w:t>С оглед на обработването на лични данни в рамките на настоящата директива ИППО и компетентните органи изпълняват своите задачи по реда на Регламент (ЕС) 2016/679. По отношение на обработването на личните данни от ЕОЗППО в рамките на настоящата директива ЕОЗППО спазва Регламент (ЕС) 2018/1725.</w:t>
      </w:r>
    </w:p>
    <w:p w14:paraId="2EB94189" w14:textId="77777777" w:rsidR="00B27731" w:rsidRPr="00597673" w:rsidRDefault="00B27731" w:rsidP="00B27731">
      <w:pPr>
        <w:pStyle w:val="Titrearticle"/>
      </w:pPr>
      <w:r w:rsidRPr="00597673">
        <w:t xml:space="preserve">Член 62 </w:t>
      </w:r>
      <w:r w:rsidRPr="00597673">
        <w:br/>
      </w:r>
      <w:r w:rsidRPr="00597673">
        <w:rPr>
          <w:b/>
          <w:i w:val="0"/>
        </w:rPr>
        <w:t>Оценка</w:t>
      </w:r>
    </w:p>
    <w:p w14:paraId="1414025C" w14:textId="77777777" w:rsidR="00454DC2" w:rsidRPr="00597673" w:rsidRDefault="00B27731" w:rsidP="005D0C3B">
      <w:pPr>
        <w:pStyle w:val="Text1"/>
      </w:pPr>
      <w:r w:rsidRPr="00597673">
        <w:t>До [до Службата за публикации: въвежда се следната дата: четири години след началната дата на прилагане на настоящата директива] ЕОЗППО представя на Комисията, Европейския парламент и Съвета доклад относно прилагането на настоящата директива, по-специално по отношение на следните аспекти:</w:t>
      </w:r>
    </w:p>
    <w:p w14:paraId="5EAB31E0" w14:textId="77777777" w:rsidR="007334EB" w:rsidRPr="00597673" w:rsidRDefault="00677453" w:rsidP="0048259C">
      <w:pPr>
        <w:pStyle w:val="Point1"/>
      </w:pPr>
      <w:r w:rsidRPr="00597673">
        <w:t>а)</w:t>
      </w:r>
      <w:r w:rsidRPr="00597673">
        <w:tab/>
        <w:t>степента, в която настоящата директива допринася за интеграцията, ефективността и разширяването на професионалното пенсионно осигуряване в рамките на вътрешния пазар, включително тенденциите в консолидирането и сътрудничеството между ИППО;</w:t>
      </w:r>
    </w:p>
    <w:p w14:paraId="68A54FE4" w14:textId="77777777" w:rsidR="007334EB" w:rsidRPr="00597673" w:rsidRDefault="0060308B" w:rsidP="0048259C">
      <w:pPr>
        <w:pStyle w:val="Point1"/>
      </w:pPr>
      <w:r w:rsidRPr="00597673">
        <w:t>б)</w:t>
      </w:r>
      <w:r w:rsidRPr="00597673">
        <w:tab/>
        <w:t>опита, придобит при прилагането на настоящата директива, включително нейното въздействие върху размера, разходната ефективност, консолидирането и професионализацията на ИППО, както и ролята ѝ за насърчаване на доверието, прозрачността и доброто управление на риска в интерес на членовете и бенефициерите;</w:t>
      </w:r>
    </w:p>
    <w:p w14:paraId="28F6BEC9" w14:textId="77777777" w:rsidR="003F4EDC" w:rsidRPr="00597673" w:rsidRDefault="007334EB" w:rsidP="0048259C">
      <w:pPr>
        <w:pStyle w:val="Point1"/>
      </w:pPr>
      <w:r w:rsidRPr="00597673">
        <w:t>в)</w:t>
      </w:r>
      <w:r w:rsidRPr="00597673">
        <w:tab/>
        <w:t xml:space="preserve">незадължителното разширяване на приложното поле на настоящата директива в съответствие с член 4 и неговото въздействие върху пазара на схеми за допълнително пенсионно осигуряване.“; </w:t>
      </w:r>
    </w:p>
    <w:p w14:paraId="1D020082" w14:textId="264AEF20" w:rsidR="00DF45DD" w:rsidRPr="00597673" w:rsidRDefault="000F5AC5" w:rsidP="000F5AC5">
      <w:pPr>
        <w:pStyle w:val="Point0"/>
      </w:pPr>
      <w:r>
        <w:t>61)</w:t>
      </w:r>
      <w:r>
        <w:tab/>
      </w:r>
      <w:r w:rsidR="00DF45DD" w:rsidRPr="00597673">
        <w:t>вмъква се следният член 64а:</w:t>
      </w:r>
    </w:p>
    <w:p w14:paraId="70DA4CBF" w14:textId="77777777" w:rsidR="00A61B05" w:rsidRPr="00597673" w:rsidRDefault="00A61B05" w:rsidP="005D0C3B">
      <w:pPr>
        <w:pStyle w:val="Confidence"/>
      </w:pPr>
      <w:r w:rsidRPr="00597673">
        <w:rPr>
          <w:i/>
        </w:rPr>
        <w:t xml:space="preserve">Член 64а </w:t>
      </w:r>
      <w:r w:rsidRPr="00597673">
        <w:br/>
      </w:r>
      <w:r w:rsidRPr="00597673">
        <w:rPr>
          <w:b/>
        </w:rPr>
        <w:t>Упражняване на предоставените правомощия</w:t>
      </w:r>
    </w:p>
    <w:p w14:paraId="01BF2D35" w14:textId="77777777" w:rsidR="00D95CD0" w:rsidRPr="00597673" w:rsidRDefault="00D95CD0" w:rsidP="005D0C3B">
      <w:pPr>
        <w:pStyle w:val="Text1"/>
      </w:pPr>
      <w:r w:rsidRPr="00597673">
        <w:t>1.</w:t>
      </w:r>
      <w:r w:rsidRPr="00597673">
        <w:tab/>
        <w:t>Комисията се оправомощава да приема делегирани актове при спазване на предвидените в настоящия член условия. </w:t>
      </w:r>
    </w:p>
    <w:p w14:paraId="1E35FA6F" w14:textId="77777777" w:rsidR="00D95CD0" w:rsidRPr="00597673" w:rsidRDefault="00D95CD0" w:rsidP="005D0C3B">
      <w:pPr>
        <w:pStyle w:val="Text1"/>
      </w:pPr>
      <w:r w:rsidRPr="00597673">
        <w:t>2.</w:t>
      </w:r>
      <w:r w:rsidRPr="00597673">
        <w:tab/>
        <w:t>Правомощието да приема делегирани актове, посочено в член 17, параграф 7 и член 38, параграф 6, се предоставя на Комисията за неопределен срок, считано от [Служба за публикации: въвежда се датата на влизане в сила]. </w:t>
      </w:r>
    </w:p>
    <w:p w14:paraId="17D5464D" w14:textId="77777777" w:rsidR="00D95CD0" w:rsidRPr="00597673" w:rsidRDefault="00D95CD0" w:rsidP="005D0C3B">
      <w:pPr>
        <w:pStyle w:val="Text1"/>
      </w:pPr>
      <w:r w:rsidRPr="00597673">
        <w:t>3.</w:t>
      </w:r>
      <w:r w:rsidRPr="00597673">
        <w:tab/>
        <w:t>Предоставените по силата на член 17, параграф 7 и член 38, параграф 6 правомощия могат да бъдат оттеглени по всяко време от Европейския парламент или от Съвета. С решението за оттегляне се прекратява посоченото в него оправомощаване. Оттеглянето поражда действие в деня след публикуването на решението в Официален вестник на Европейския съюз или на по-късна посочена в него дата. То не засяга действителността на делегираните актове, които вече са в сила. </w:t>
      </w:r>
    </w:p>
    <w:p w14:paraId="6BF6B782" w14:textId="77777777" w:rsidR="00D95CD0" w:rsidRPr="00597673" w:rsidRDefault="00D95CD0" w:rsidP="005D0C3B">
      <w:pPr>
        <w:pStyle w:val="Text1"/>
      </w:pPr>
      <w:r w:rsidRPr="00597673">
        <w:t>4.</w:t>
      </w:r>
      <w:r w:rsidRPr="00597673">
        <w:tab/>
        <w:t>Веднага след като приеме делегиран акт, Комисията уведомява за него едновременно Европейския парламент и Съвета. </w:t>
      </w:r>
    </w:p>
    <w:p w14:paraId="72EAF7A0" w14:textId="77777777" w:rsidR="55A4BDA3" w:rsidRPr="00597673" w:rsidRDefault="00D95CD0" w:rsidP="008A46F8">
      <w:pPr>
        <w:pStyle w:val="Text1"/>
      </w:pPr>
      <w:r w:rsidRPr="00597673">
        <w:t>5.</w:t>
      </w:r>
      <w:r w:rsidRPr="00597673">
        <w:tab/>
        <w:t>Делегиран акт, приет по силата на член 17, параграф 7 и член 38, параграф 6, влиза в сила единствено ако в срок от три месеца след като бъдат уведомени за него нито Европейският парламент, нито Съветът възразят или ако преди изтичането на този срок и Европейският парламент, и Съветът уведомят Комисията, че нямат възражения. Този срок се удължава с три месеца по инициатива на Европейския парламент или на Съвета.“.</w:t>
      </w:r>
    </w:p>
    <w:p w14:paraId="3B2AA9A4" w14:textId="77777777" w:rsidR="00397D7B" w:rsidRPr="00597673" w:rsidRDefault="00397D7B" w:rsidP="00397D7B">
      <w:pPr>
        <w:pStyle w:val="Titrearticle"/>
        <w:keepLines/>
        <w:rPr>
          <w:i w:val="0"/>
          <w:iCs/>
        </w:rPr>
      </w:pPr>
      <w:r w:rsidRPr="00597673">
        <w:t xml:space="preserve">Член 2 </w:t>
      </w:r>
      <w:r w:rsidRPr="00597673">
        <w:br/>
      </w:r>
      <w:r w:rsidRPr="00597673">
        <w:rPr>
          <w:b/>
          <w:i w:val="0"/>
        </w:rPr>
        <w:t>Изменения на Директива (ЕС)</w:t>
      </w:r>
      <w:r w:rsidRPr="00597673">
        <w:rPr>
          <w:b/>
        </w:rPr>
        <w:t> </w:t>
      </w:r>
      <w:r w:rsidRPr="00597673">
        <w:rPr>
          <w:b/>
          <w:i w:val="0"/>
        </w:rPr>
        <w:t>2016/97</w:t>
      </w:r>
    </w:p>
    <w:p w14:paraId="6EBABD6F" w14:textId="77777777" w:rsidR="007C6A30" w:rsidRPr="00597673" w:rsidRDefault="007C6A30" w:rsidP="007C6A30">
      <w:r w:rsidRPr="00597673">
        <w:t>Директива (ЕС) 2016/97 се изменя, както следва:</w:t>
      </w:r>
    </w:p>
    <w:p w14:paraId="0D0248C2" w14:textId="3A23F751" w:rsidR="00261FEF" w:rsidRPr="00597673" w:rsidRDefault="000F5AC5" w:rsidP="000F5AC5">
      <w:pPr>
        <w:pStyle w:val="Point0"/>
      </w:pPr>
      <w:r>
        <w:t>1)</w:t>
      </w:r>
      <w:r>
        <w:tab/>
      </w:r>
      <w:r w:rsidR="005E763D" w:rsidRPr="00597673">
        <w:t>в член 2, параграф 1 се добавят следните точки 19 и 20:</w:t>
      </w:r>
    </w:p>
    <w:p w14:paraId="2BADF0A7" w14:textId="77777777" w:rsidR="008D4EDF" w:rsidRPr="00597673" w:rsidRDefault="008D4EDF" w:rsidP="005D0C3B">
      <w:pPr>
        <w:pStyle w:val="Point1"/>
      </w:pPr>
      <w:r w:rsidRPr="00597673">
        <w:t>„19)</w:t>
      </w:r>
      <w:r w:rsidRPr="00597673">
        <w:tab/>
        <w:t>„продукт за лично пенсионно осигуряване“ означава продукт за лично пенсионно осигуряване, както е определен в член 2, точка 1 от Регламент (ЕС) 2019/1238 на Европейския парламент и на Съвета*;</w:t>
      </w:r>
    </w:p>
    <w:p w14:paraId="4AF5F6A8" w14:textId="77777777" w:rsidR="00470A36" w:rsidRPr="00597673" w:rsidRDefault="00470A36">
      <w:pPr>
        <w:pStyle w:val="Point1"/>
      </w:pPr>
      <w:r w:rsidRPr="00597673">
        <w:t>20) „система за проследяване на пенсиите“ означава цифров инструмент, в повечето случаи защитен уеб портал или мобилно приложение, който предоставя на дадено лице цялостен поглед върху натрупаните му индивидуални пенсионни права, както и прогноза за бъдещите плащания по пенсионните схеми, в които участва или от които получава пенсия.</w:t>
      </w:r>
    </w:p>
    <w:p w14:paraId="59046984" w14:textId="77777777" w:rsidR="00C7386D" w:rsidRPr="00597673" w:rsidRDefault="00C7386D" w:rsidP="00C7386D">
      <w:pPr>
        <w:pStyle w:val="Text2"/>
      </w:pPr>
      <w:r w:rsidRPr="00597673">
        <w:t>__________</w:t>
      </w:r>
    </w:p>
    <w:p w14:paraId="1950C8AB" w14:textId="77777777" w:rsidR="00C7386D" w:rsidRPr="00597673" w:rsidRDefault="00C7386D" w:rsidP="005D0C3B">
      <w:pPr>
        <w:pStyle w:val="Text2"/>
        <w:rPr>
          <w:sz w:val="20"/>
          <w:szCs w:val="18"/>
        </w:rPr>
      </w:pPr>
      <w:r w:rsidRPr="00597673">
        <w:rPr>
          <w:sz w:val="20"/>
        </w:rPr>
        <w:t xml:space="preserve">* </w:t>
      </w:r>
      <w:r w:rsidRPr="00597673">
        <w:tab/>
      </w:r>
      <w:r w:rsidRPr="00597673">
        <w:rPr>
          <w:sz w:val="20"/>
        </w:rPr>
        <w:t>Регламент (ЕС) 2019/1238 на Европейския парламент и на Съвета от 20 юни 2019 г. относно паневропейски персонален пенсионен продукт (ПЕПП) (ОВ L 198, 25.7.2019 г., стр. 1, ELI: http://data.europa.eu/eli/reg/2019/1238/oj).“;</w:t>
      </w:r>
    </w:p>
    <w:p w14:paraId="4B2F082F" w14:textId="543F352E" w:rsidR="002C7D56" w:rsidRPr="00597673" w:rsidRDefault="000F5AC5" w:rsidP="000F5AC5">
      <w:pPr>
        <w:pStyle w:val="Point0"/>
      </w:pPr>
      <w:r>
        <w:t>2)</w:t>
      </w:r>
      <w:r>
        <w:tab/>
      </w:r>
      <w:r w:rsidR="00A35386" w:rsidRPr="00597673">
        <w:t>член 22 се изменя, както следва:</w:t>
      </w:r>
    </w:p>
    <w:p w14:paraId="6659D886" w14:textId="057D0761" w:rsidR="00A23DE6" w:rsidRPr="00597673" w:rsidRDefault="000F5AC5" w:rsidP="000F5AC5">
      <w:pPr>
        <w:pStyle w:val="Point1"/>
      </w:pPr>
      <w:r>
        <w:t>а)</w:t>
      </w:r>
      <w:r>
        <w:tab/>
      </w:r>
      <w:r w:rsidR="00A35386" w:rsidRPr="00597673">
        <w:t>в параграф 5 думата „задължително“ се заличава;</w:t>
      </w:r>
    </w:p>
    <w:p w14:paraId="1FD48AA3" w14:textId="7145BDC4" w:rsidR="00551E4B" w:rsidRPr="00597673" w:rsidRDefault="000F5AC5" w:rsidP="000F5AC5">
      <w:pPr>
        <w:pStyle w:val="Point1"/>
      </w:pPr>
      <w:r>
        <w:t>б)</w:t>
      </w:r>
      <w:r>
        <w:tab/>
      </w:r>
      <w:r w:rsidR="00551E4B" w:rsidRPr="00597673">
        <w:t>добавя се следният параграф:</w:t>
      </w:r>
    </w:p>
    <w:p w14:paraId="37D74FA7" w14:textId="77777777" w:rsidR="00724073" w:rsidRPr="00597673" w:rsidRDefault="008A5D56" w:rsidP="00944C8F">
      <w:pPr>
        <w:pStyle w:val="Text1"/>
      </w:pPr>
      <w:r w:rsidRPr="00597673">
        <w:t>„6.</w:t>
      </w:r>
      <w:r w:rsidRPr="00597673">
        <w:tab/>
        <w:t>Държавите членки задължават дистрибуторите на застрахователни продукти, които отговарят за предоставянето на схеми за професионално пенсионно осигуряване, предоставя на потенциалните членове, членовете и бенефициерите на такива схеми поне информацията, посочена в членове 36—44 от Директива (ЕС) 2016/2341.“;</w:t>
      </w:r>
    </w:p>
    <w:p w14:paraId="5A179B99" w14:textId="3F0A5EE2" w:rsidR="00BB79A7" w:rsidRPr="00597673" w:rsidRDefault="000F5AC5" w:rsidP="000F5AC5">
      <w:pPr>
        <w:pStyle w:val="Point0"/>
      </w:pPr>
      <w:r>
        <w:t>3)</w:t>
      </w:r>
      <w:r>
        <w:tab/>
      </w:r>
      <w:r w:rsidR="3B13FDD1" w:rsidRPr="00597673">
        <w:t>вмъква се следният член 22a:</w:t>
      </w:r>
    </w:p>
    <w:p w14:paraId="56B925EE" w14:textId="77777777" w:rsidR="00BB79A7" w:rsidRPr="00597673" w:rsidRDefault="00BB79A7" w:rsidP="00944C8F">
      <w:pPr>
        <w:pStyle w:val="Titrearticle"/>
      </w:pPr>
      <w:r w:rsidRPr="00597673">
        <w:t xml:space="preserve">„Член 22а </w:t>
      </w:r>
      <w:r w:rsidRPr="00597673">
        <w:br/>
      </w:r>
      <w:r w:rsidRPr="00597673">
        <w:rPr>
          <w:b/>
          <w:i w:val="0"/>
        </w:rPr>
        <w:t>Системи за проследяване на пенсиите</w:t>
      </w:r>
    </w:p>
    <w:p w14:paraId="17F10423" w14:textId="77777777" w:rsidR="002E6DEC" w:rsidRPr="00597673" w:rsidRDefault="00944C8F">
      <w:pPr>
        <w:pStyle w:val="Text1"/>
      </w:pPr>
      <w:r w:rsidRPr="00597673">
        <w:t>1.</w:t>
      </w:r>
      <w:r w:rsidRPr="00597673">
        <w:tab/>
        <w:t>Държавите членки включват в обхвата на системите за проследяване на пенсиите, когато са налице такива системи, управляваните от застрахователни дружества и застрахователни посредници пенсионни права.</w:t>
      </w:r>
    </w:p>
    <w:p w14:paraId="1438830A" w14:textId="77777777" w:rsidR="00701FB4" w:rsidRPr="00597673" w:rsidRDefault="002E6DEC" w:rsidP="008A46F8">
      <w:pPr>
        <w:pStyle w:val="Text1"/>
      </w:pPr>
      <w:r w:rsidRPr="00597673">
        <w:t>2. За целите на параграф 1 държавите членки задължават застрахователните дружества и застрахователните посредници, които предоставят или предлагат схеми за професионално пенсионно осигуряване или продукти за лично пенсионно осигуряване, да предават на системите за проследяване на пенсиите, когато са налице такива системи, цялата необходима информация, за да получат клиентите цялостна, надеждна и актуална представа за произтичащите от тези схеми или продукти свои лични и професионални права.</w:t>
      </w:r>
    </w:p>
    <w:p w14:paraId="5707E5AE" w14:textId="77777777" w:rsidR="003E1BE4" w:rsidRPr="00597673" w:rsidRDefault="002E6DEC" w:rsidP="008A46F8">
      <w:pPr>
        <w:pStyle w:val="Text1"/>
      </w:pPr>
      <w:r w:rsidRPr="00597673">
        <w:t>3.</w:t>
      </w:r>
      <w:r w:rsidRPr="00597673">
        <w:tab/>
        <w:t>За предаването на информацията по параграф 2 държавите членки предвиждат стандартизиран и оперативно съвместим формат, който позволява на системите за проследяване на пенсиите да обобщават данни за натрупаната стойност, придобитите права и прогнозните плащания по съгласуван и съпоставим начин.</w:t>
      </w:r>
    </w:p>
    <w:p w14:paraId="65033640" w14:textId="77777777" w:rsidR="0086579E" w:rsidRPr="00597673" w:rsidRDefault="002E6DEC" w:rsidP="008A46F8">
      <w:pPr>
        <w:pStyle w:val="Text1"/>
      </w:pPr>
      <w:r w:rsidRPr="00597673">
        <w:t>4.</w:t>
      </w:r>
      <w:r w:rsidRPr="00597673">
        <w:tab/>
        <w:t>Държавите членки предвиждат застрахователните дружества и застрахователните посредници да остават изцяло отговорни за пълнотата и точността на предаваните данни и за изпълнението на всички комуникационни задължения, предвидени в настоящия член.</w:t>
      </w:r>
    </w:p>
    <w:p w14:paraId="4745209F" w14:textId="77777777" w:rsidR="00336762" w:rsidRPr="00597673" w:rsidRDefault="002E6DEC" w:rsidP="008A46F8">
      <w:pPr>
        <w:pStyle w:val="Text1"/>
      </w:pPr>
      <w:r w:rsidRPr="00597673">
        <w:t>5.</w:t>
      </w:r>
      <w:r w:rsidRPr="00597673">
        <w:tab/>
        <w:t>Държавите членки възлагат на компетентните органи да наблюдават спазването на разпоредбите на настоящия член и да предприемат корективни правоприлагащи мерки, когато застрахователно дружество или застрахователен посредник не предоставя пълна, точна и актуална информация.</w:t>
      </w:r>
    </w:p>
    <w:p w14:paraId="420158C4" w14:textId="77777777" w:rsidR="0086579E" w:rsidRPr="00597673" w:rsidRDefault="002E6DEC" w:rsidP="008A46F8">
      <w:pPr>
        <w:pStyle w:val="Text1"/>
      </w:pPr>
      <w:r w:rsidRPr="00597673">
        <w:t>6.</w:t>
      </w:r>
      <w:r w:rsidRPr="00597673">
        <w:tab/>
        <w:t>Форматът и структурата на информацията, която се предава на системите за проследяване на пенсиите, са в съответствие с член 29.“.</w:t>
      </w:r>
    </w:p>
    <w:p w14:paraId="48B72B59" w14:textId="77777777" w:rsidR="00307E1C" w:rsidRPr="00597673" w:rsidRDefault="00307E1C" w:rsidP="00B61E98">
      <w:pPr>
        <w:pStyle w:val="Titrearticle"/>
        <w:keepLines/>
        <w:rPr>
          <w:b/>
          <w:bCs/>
          <w:i w:val="0"/>
          <w:iCs/>
        </w:rPr>
      </w:pPr>
      <w:r w:rsidRPr="00597673">
        <w:t xml:space="preserve">Член 3 </w:t>
      </w:r>
      <w:r w:rsidRPr="00597673">
        <w:br/>
      </w:r>
      <w:r w:rsidRPr="00597673">
        <w:rPr>
          <w:b/>
          <w:i w:val="0"/>
        </w:rPr>
        <w:t>Запазване на придобитите права</w:t>
      </w:r>
    </w:p>
    <w:p w14:paraId="3606CE7F" w14:textId="77777777" w:rsidR="00CF3DE5" w:rsidRPr="00597673" w:rsidRDefault="00E56F40" w:rsidP="00CF3DE5">
      <w:pPr>
        <w:pStyle w:val="Text1"/>
      </w:pPr>
      <w:r w:rsidRPr="00597673">
        <w:t xml:space="preserve">ИППО, регистрирани или лицензирани съгласно Директива (ЕС) 2016/2341 преди [до Службата за публикации: въвежда се следната дата: 1 ден преди датата на прилагане на настоящата директива], се признават автоматично за ИППО, лицензирани съгласно националните разпоредби за транспониране на настоящата директива. </w:t>
      </w:r>
    </w:p>
    <w:p w14:paraId="3E2CBDD2" w14:textId="77777777" w:rsidR="00AC2BE5" w:rsidRPr="00597673" w:rsidRDefault="00AC2BE5">
      <w:pPr>
        <w:pStyle w:val="Titrearticle"/>
        <w:keepLines/>
        <w:rPr>
          <w:i w:val="0"/>
          <w:iCs/>
        </w:rPr>
      </w:pPr>
      <w:r w:rsidRPr="00597673">
        <w:t xml:space="preserve">Член 4 </w:t>
      </w:r>
      <w:r w:rsidRPr="00597673">
        <w:br/>
      </w:r>
      <w:r w:rsidRPr="00597673">
        <w:rPr>
          <w:b/>
          <w:i w:val="0"/>
        </w:rPr>
        <w:t>Транспониране</w:t>
      </w:r>
    </w:p>
    <w:p w14:paraId="557AF967" w14:textId="77777777" w:rsidR="00AC2BE5" w:rsidRPr="00597673" w:rsidRDefault="001C712A" w:rsidP="005D0C3B">
      <w:pPr>
        <w:pStyle w:val="Text1"/>
      </w:pPr>
      <w:r w:rsidRPr="00597673">
        <w:t>1.</w:t>
      </w:r>
      <w:r w:rsidRPr="00597673">
        <w:tab/>
        <w:t>Държавите членки въвеждат в сила законовите, подзаконовите и административните разпоредби, необходими, за да се съобразят с настоящата директива най-късно до [Служба за публикации: 2 години след влизането в сила]. Те незабавно съобщават на Комисията текста на тези разпоредби.</w:t>
      </w:r>
    </w:p>
    <w:p w14:paraId="69BED5A2" w14:textId="77777777" w:rsidR="00AC2BE5" w:rsidRPr="00597673" w:rsidRDefault="00AC2BE5">
      <w:pPr>
        <w:pStyle w:val="Text1"/>
      </w:pPr>
      <w:r w:rsidRPr="00597673">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p w14:paraId="5916934C" w14:textId="77777777" w:rsidR="00AC2BE5" w:rsidRPr="00597673" w:rsidRDefault="00AC2BE5" w:rsidP="005D0C3B">
      <w:pPr>
        <w:pStyle w:val="Text1"/>
      </w:pPr>
      <w:r w:rsidRPr="00597673">
        <w:t>2.</w:t>
      </w:r>
      <w:r w:rsidRPr="00597673">
        <w:tab/>
        <w:t>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p w14:paraId="521DB695" w14:textId="77777777" w:rsidR="00AC2BE5" w:rsidRPr="00597673" w:rsidRDefault="00AC2BE5">
      <w:pPr>
        <w:pStyle w:val="Titrearticle"/>
        <w:rPr>
          <w:i w:val="0"/>
          <w:iCs/>
        </w:rPr>
      </w:pPr>
      <w:r w:rsidRPr="00597673">
        <w:t xml:space="preserve">Член 5 </w:t>
      </w:r>
      <w:r w:rsidRPr="00597673">
        <w:br/>
      </w:r>
      <w:r w:rsidRPr="00597673">
        <w:rPr>
          <w:b/>
        </w:rPr>
        <w:t>Влизане в сила</w:t>
      </w:r>
    </w:p>
    <w:p w14:paraId="58F24227" w14:textId="77777777" w:rsidR="00AC2BE5" w:rsidRPr="00597673" w:rsidRDefault="00AC2BE5">
      <w:r w:rsidRPr="00597673">
        <w:t xml:space="preserve">Настоящата директива влиза в сила на двадесетия ден след деня на публикуването ѝ в </w:t>
      </w:r>
      <w:r w:rsidRPr="00597673">
        <w:rPr>
          <w:i/>
        </w:rPr>
        <w:t>Официален вестник на Европейския съюз</w:t>
      </w:r>
      <w:r w:rsidRPr="00597673">
        <w:t>.</w:t>
      </w:r>
    </w:p>
    <w:p w14:paraId="60E0ABB5" w14:textId="77777777" w:rsidR="00AC2BE5" w:rsidRPr="00597673" w:rsidRDefault="00AC2BE5">
      <w:pPr>
        <w:pStyle w:val="Titrearticle"/>
        <w:rPr>
          <w:i w:val="0"/>
          <w:iCs/>
        </w:rPr>
      </w:pPr>
      <w:r w:rsidRPr="00597673">
        <w:t xml:space="preserve">Член 6 </w:t>
      </w:r>
      <w:r w:rsidRPr="00597673">
        <w:br/>
      </w:r>
      <w:r w:rsidRPr="00597673">
        <w:rPr>
          <w:b/>
          <w:i w:val="0"/>
        </w:rPr>
        <w:t>Адресати</w:t>
      </w:r>
    </w:p>
    <w:p w14:paraId="26281AEB" w14:textId="77777777" w:rsidR="00AC2BE5" w:rsidRPr="00597673" w:rsidRDefault="00AC2BE5">
      <w:pPr>
        <w:keepNext/>
        <w:keepLines/>
      </w:pPr>
      <w:r w:rsidRPr="00597673">
        <w:t>Адресати на настоящата директива са държавите членки.</w:t>
      </w:r>
    </w:p>
    <w:p w14:paraId="6B9D6CE1" w14:textId="7C4408DB" w:rsidR="00AC2BE5" w:rsidRPr="00597673" w:rsidRDefault="00597673" w:rsidP="00597673">
      <w:pPr>
        <w:pStyle w:val="Fait"/>
      </w:pPr>
      <w:r>
        <w:t>Съставено в Брюксел на  година.</w:t>
      </w:r>
    </w:p>
    <w:p w14:paraId="1166E6D5" w14:textId="77777777" w:rsidR="00AC2BE5" w:rsidRPr="00597673" w:rsidRDefault="00AC2BE5" w:rsidP="00AC2BE5">
      <w:pPr>
        <w:pStyle w:val="Institutionquisigne"/>
      </w:pPr>
      <w:r w:rsidRPr="00597673">
        <w:t>За Европейския парламент</w:t>
      </w:r>
      <w:r w:rsidRPr="00597673">
        <w:tab/>
        <w:t>За Съвета</w:t>
      </w:r>
    </w:p>
    <w:p w14:paraId="33B22CDB" w14:textId="77777777" w:rsidR="00AC2BE5" w:rsidRPr="00597673" w:rsidRDefault="00AC2BE5" w:rsidP="00AC2BE5">
      <w:pPr>
        <w:pStyle w:val="Personnequisigne"/>
      </w:pPr>
      <w:r w:rsidRPr="00597673">
        <w:t>Председател</w:t>
      </w:r>
      <w:r w:rsidRPr="00597673">
        <w:tab/>
        <w:t>Председател</w:t>
      </w:r>
    </w:p>
    <w:p w14:paraId="556F9F3B" w14:textId="77777777" w:rsidR="00AC2BE5" w:rsidRPr="00597673" w:rsidRDefault="00AC2BE5" w:rsidP="00AC2BE5">
      <w:pPr>
        <w:sectPr w:rsidR="00AC2BE5" w:rsidRPr="00597673" w:rsidSect="00F222D4">
          <w:footnotePr>
            <w:numRestart w:val="eachSect"/>
          </w:footnotePr>
          <w:pgSz w:w="11907" w:h="16839"/>
          <w:pgMar w:top="1134" w:right="1417" w:bottom="1134" w:left="1417" w:header="709" w:footer="709" w:gutter="0"/>
          <w:cols w:space="708"/>
          <w:docGrid w:linePitch="360"/>
        </w:sectPr>
      </w:pPr>
    </w:p>
    <w:p w14:paraId="363C73D3" w14:textId="77777777" w:rsidR="00AC2BE5" w:rsidRPr="00597673" w:rsidRDefault="00AC2BE5">
      <w:pPr>
        <w:pStyle w:val="Fichefinanciretitre"/>
        <w:keepNext/>
        <w:rPr>
          <w:noProof/>
        </w:rPr>
      </w:pPr>
      <w:r w:rsidRPr="00597673">
        <w:t>ЗАКОНОДАТЕЛНА ОБОСНОВКА ЗА ФИНАНСОВОТО И ЦИФРОВОТО ОТРАЖЕНИЕ</w:t>
      </w:r>
    </w:p>
    <w:p w14:paraId="483433E1" w14:textId="77777777" w:rsidR="00AC2BE5" w:rsidRPr="00597673" w:rsidRDefault="00AC2BE5">
      <w:pPr>
        <w:pStyle w:val="TOC1"/>
        <w:rPr>
          <w:rFonts w:asciiTheme="minorHAnsi" w:eastAsiaTheme="minorEastAsia" w:hAnsiTheme="minorHAnsi" w:cstheme="minorBidi"/>
          <w:noProof/>
          <w:kern w:val="2"/>
          <w:sz w:val="22"/>
          <w14:ligatures w14:val="standardContextual"/>
        </w:rPr>
      </w:pPr>
      <w:r w:rsidRPr="00597673">
        <w:t>1.</w:t>
      </w:r>
      <w:r w:rsidRPr="00597673">
        <w:tab/>
        <w:t>РАМКА НА ПРЕДЛОЖЕНИЕТО/ИНИЦИАТИВАТА</w:t>
      </w:r>
      <w:r w:rsidRPr="00597673">
        <w:tab/>
      </w:r>
      <w:r w:rsidRPr="00597673">
        <w:rPr>
          <w:webHidden/>
        </w:rPr>
        <w:t>3</w:t>
      </w:r>
    </w:p>
    <w:p w14:paraId="15B70A7E" w14:textId="77777777"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1.1.</w:t>
      </w:r>
      <w:r w:rsidRPr="00597673">
        <w:tab/>
        <w:t>Наименование на предложението/инициативата</w:t>
      </w:r>
      <w:r w:rsidRPr="00597673">
        <w:tab/>
      </w:r>
      <w:r w:rsidRPr="00597673">
        <w:rPr>
          <w:webHidden/>
        </w:rPr>
        <w:t>3</w:t>
      </w:r>
    </w:p>
    <w:p w14:paraId="2A1A4FC1" w14:textId="77777777"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1.2.</w:t>
      </w:r>
      <w:r w:rsidRPr="00597673">
        <w:tab/>
        <w:t>Съответни области на политиката</w:t>
      </w:r>
      <w:r w:rsidRPr="00597673">
        <w:tab/>
      </w:r>
      <w:r w:rsidRPr="00597673">
        <w:rPr>
          <w:webHidden/>
        </w:rPr>
        <w:t>3</w:t>
      </w:r>
    </w:p>
    <w:p w14:paraId="4E7259A2" w14:textId="77777777"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1.3.</w:t>
      </w:r>
      <w:r w:rsidRPr="00597673">
        <w:tab/>
        <w:t>Цел(и)</w:t>
      </w:r>
      <w:r w:rsidRPr="00597673">
        <w:tab/>
      </w:r>
      <w:r w:rsidRPr="00597673">
        <w:rPr>
          <w:webHidden/>
        </w:rPr>
        <w:t>3</w:t>
      </w:r>
    </w:p>
    <w:p w14:paraId="13E57060" w14:textId="77777777"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1.3.1.</w:t>
      </w:r>
      <w:r w:rsidRPr="00597673">
        <w:tab/>
        <w:t>Обща цел/общи цели</w:t>
      </w:r>
      <w:r w:rsidRPr="00597673">
        <w:tab/>
      </w:r>
      <w:r w:rsidRPr="00597673">
        <w:rPr>
          <w:webHidden/>
        </w:rPr>
        <w:t>3</w:t>
      </w:r>
    </w:p>
    <w:p w14:paraId="6414C227" w14:textId="77777777"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1.3.2.</w:t>
      </w:r>
      <w:r w:rsidRPr="00597673">
        <w:tab/>
        <w:t>Конкретна цел/конкретни цели</w:t>
      </w:r>
      <w:r w:rsidRPr="00597673">
        <w:tab/>
      </w:r>
      <w:r w:rsidRPr="00597673">
        <w:rPr>
          <w:webHidden/>
        </w:rPr>
        <w:t>3</w:t>
      </w:r>
    </w:p>
    <w:p w14:paraId="0B69439D" w14:textId="77777777"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1.3.3.</w:t>
      </w:r>
      <w:r w:rsidRPr="00597673">
        <w:tab/>
        <w:t>Очаквани резултати и отражение</w:t>
      </w:r>
      <w:r w:rsidRPr="00597673">
        <w:tab/>
      </w:r>
      <w:r w:rsidRPr="00597673">
        <w:rPr>
          <w:webHidden/>
        </w:rPr>
        <w:t>3</w:t>
      </w:r>
    </w:p>
    <w:p w14:paraId="605391A9" w14:textId="61DBD3CF"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1.3.4.</w:t>
      </w:r>
      <w:r w:rsidRPr="00597673">
        <w:tab/>
        <w:t>Показатели за изпълнението</w:t>
      </w:r>
      <w:r w:rsidRPr="00597673">
        <w:tab/>
      </w:r>
      <w:r w:rsidRPr="00597673">
        <w:rPr>
          <w:webHidden/>
        </w:rPr>
        <w:t>4</w:t>
      </w:r>
    </w:p>
    <w:p w14:paraId="0107E002" w14:textId="77777777"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1.4.</w:t>
      </w:r>
      <w:r w:rsidRPr="00597673">
        <w:tab/>
        <w:t>Предложението/инициативата е във връзка с:</w:t>
      </w:r>
      <w:r w:rsidRPr="00597673">
        <w:tab/>
      </w:r>
      <w:r w:rsidRPr="00597673">
        <w:rPr>
          <w:webHidden/>
        </w:rPr>
        <w:t>4</w:t>
      </w:r>
    </w:p>
    <w:p w14:paraId="26295783" w14:textId="2B5F630F"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1.5.</w:t>
      </w:r>
      <w:r w:rsidRPr="00597673">
        <w:tab/>
        <w:t>Мотиви за предложението/инициативата</w:t>
      </w:r>
      <w:r w:rsidRPr="00597673">
        <w:tab/>
      </w:r>
      <w:r w:rsidRPr="00597673">
        <w:rPr>
          <w:webHidden/>
        </w:rPr>
        <w:t>5</w:t>
      </w:r>
    </w:p>
    <w:p w14:paraId="1B0F0B91" w14:textId="3F276517"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1.5.1.</w:t>
      </w:r>
      <w:r w:rsidRPr="00597673">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r w:rsidRPr="00597673">
        <w:tab/>
      </w:r>
      <w:r w:rsidRPr="00597673">
        <w:rPr>
          <w:webHidden/>
        </w:rPr>
        <w:t>5</w:t>
      </w:r>
    </w:p>
    <w:p w14:paraId="2B3B89E3" w14:textId="2C00AFA9"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1.5.2.</w:t>
      </w:r>
      <w:r w:rsidRPr="00597673">
        <w:tab/>
        <w:t>Добавена стойност от участието на ЕС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този раздел „добавена стойност от участието на ЕС“ е стойността, която е резултат от действието на равнище ЕС и е допълнителна спрямо стойността, която би била създадена само от отделните държави членки.</w:t>
      </w:r>
      <w:r w:rsidRPr="00597673">
        <w:tab/>
      </w:r>
      <w:r w:rsidRPr="00597673">
        <w:rPr>
          <w:webHidden/>
        </w:rPr>
        <w:t>5</w:t>
      </w:r>
    </w:p>
    <w:p w14:paraId="2625A13F" w14:textId="4F25A469"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1.5.3.</w:t>
      </w:r>
      <w:r w:rsidRPr="00597673">
        <w:tab/>
        <w:t>Изводи от подобен опит в миналото</w:t>
      </w:r>
      <w:r w:rsidRPr="00597673">
        <w:tab/>
      </w:r>
      <w:r w:rsidRPr="00597673">
        <w:rPr>
          <w:webHidden/>
        </w:rPr>
        <w:t>5</w:t>
      </w:r>
    </w:p>
    <w:p w14:paraId="0CA7AC91" w14:textId="77777777"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1.5.4.</w:t>
      </w:r>
      <w:r w:rsidRPr="00597673">
        <w:tab/>
        <w:t>Съвместимост с многогодишната финансова рамка и евентуални синергии с други подходящи инструменти</w:t>
      </w:r>
      <w:r w:rsidRPr="00597673">
        <w:tab/>
      </w:r>
      <w:r w:rsidRPr="00597673">
        <w:rPr>
          <w:webHidden/>
        </w:rPr>
        <w:t>5</w:t>
      </w:r>
    </w:p>
    <w:p w14:paraId="1793FB20" w14:textId="77777777"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1.5.5.</w:t>
      </w:r>
      <w:r w:rsidRPr="00597673">
        <w:tab/>
        <w:t>Оценка на различните налични варианти за финансиране, включително възможностите за преразпределяне на средства</w:t>
      </w:r>
      <w:r w:rsidRPr="00597673">
        <w:tab/>
      </w:r>
      <w:r w:rsidRPr="00597673">
        <w:rPr>
          <w:webHidden/>
        </w:rPr>
        <w:t>5</w:t>
      </w:r>
    </w:p>
    <w:p w14:paraId="2315BE8D" w14:textId="77777777"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1.6.</w:t>
      </w:r>
      <w:r w:rsidRPr="00597673">
        <w:tab/>
        <w:t>Продължителност на предложението/инициативата и на неговото/нейното финансово отражение</w:t>
      </w:r>
      <w:r w:rsidRPr="00597673">
        <w:tab/>
      </w:r>
      <w:r w:rsidRPr="00597673">
        <w:rPr>
          <w:webHidden/>
        </w:rPr>
        <w:t>6</w:t>
      </w:r>
    </w:p>
    <w:p w14:paraId="143BE0BC" w14:textId="77777777"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1.7.</w:t>
      </w:r>
      <w:r w:rsidRPr="00597673">
        <w:tab/>
        <w:t>Планирани методи на изпълнение на бюджета</w:t>
      </w:r>
      <w:r w:rsidRPr="00597673">
        <w:tab/>
      </w:r>
      <w:r w:rsidRPr="00597673">
        <w:rPr>
          <w:webHidden/>
        </w:rPr>
        <w:t>6</w:t>
      </w:r>
    </w:p>
    <w:p w14:paraId="58293C4A" w14:textId="3B508904" w:rsidR="00AC2BE5" w:rsidRPr="00597673" w:rsidRDefault="00AC2BE5">
      <w:pPr>
        <w:pStyle w:val="TOC1"/>
        <w:rPr>
          <w:rFonts w:asciiTheme="minorHAnsi" w:eastAsiaTheme="minorEastAsia" w:hAnsiTheme="minorHAnsi" w:cstheme="minorBidi"/>
          <w:noProof/>
          <w:kern w:val="2"/>
          <w:sz w:val="22"/>
          <w14:ligatures w14:val="standardContextual"/>
        </w:rPr>
      </w:pPr>
      <w:r w:rsidRPr="00597673">
        <w:t>2.</w:t>
      </w:r>
      <w:r w:rsidRPr="00597673">
        <w:tab/>
        <w:t>МЕРКИ ЗА УПРАВЛЕНИЕ</w:t>
      </w:r>
      <w:r w:rsidRPr="00597673">
        <w:tab/>
      </w:r>
      <w:r w:rsidRPr="00597673">
        <w:rPr>
          <w:webHidden/>
        </w:rPr>
        <w:t>7</w:t>
      </w:r>
    </w:p>
    <w:p w14:paraId="40FAB69E" w14:textId="277C02DD"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2.1.</w:t>
      </w:r>
      <w:r w:rsidRPr="00597673">
        <w:tab/>
        <w:t>Правила за мониторинг и докладване</w:t>
      </w:r>
      <w:r w:rsidRPr="00597673">
        <w:tab/>
      </w:r>
      <w:r w:rsidRPr="00597673">
        <w:rPr>
          <w:webHidden/>
        </w:rPr>
        <w:t>7</w:t>
      </w:r>
    </w:p>
    <w:p w14:paraId="6D3C9161" w14:textId="4492935A"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2.2.</w:t>
      </w:r>
      <w:r w:rsidRPr="00597673">
        <w:tab/>
        <w:t>Системи за управление и контрол</w:t>
      </w:r>
      <w:r w:rsidRPr="00597673">
        <w:tab/>
      </w:r>
      <w:r w:rsidRPr="00597673">
        <w:rPr>
          <w:webHidden/>
        </w:rPr>
        <w:t>7</w:t>
      </w:r>
    </w:p>
    <w:p w14:paraId="47A2291A" w14:textId="45FFFCDB"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2.2.1.</w:t>
      </w:r>
      <w:r w:rsidRPr="00597673">
        <w:tab/>
        <w:t>Обосновка на предложените методи на изпълнение на бюджета, механизми за осъществяване на финансирането, начини за плащане и стратегия за контрол</w:t>
      </w:r>
      <w:r w:rsidRPr="00597673">
        <w:tab/>
      </w:r>
      <w:r w:rsidRPr="00597673">
        <w:rPr>
          <w:webHidden/>
        </w:rPr>
        <w:t>7</w:t>
      </w:r>
    </w:p>
    <w:p w14:paraId="330FB5D2" w14:textId="170055C2"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2.2.2.</w:t>
      </w:r>
      <w:r w:rsidRPr="00597673">
        <w:tab/>
        <w:t>Информация за установените рискове и системите за вътрешен контрол, създадени с цел намаляването им</w:t>
      </w:r>
      <w:r w:rsidRPr="00597673">
        <w:tab/>
      </w:r>
      <w:r w:rsidRPr="00597673">
        <w:rPr>
          <w:webHidden/>
        </w:rPr>
        <w:t>7</w:t>
      </w:r>
    </w:p>
    <w:p w14:paraId="7CBEF7ED" w14:textId="60D963C6" w:rsidR="00AC2BE5" w:rsidRPr="00597673" w:rsidRDefault="00AC2BE5">
      <w:pPr>
        <w:pStyle w:val="TOC3"/>
        <w:rPr>
          <w:rFonts w:asciiTheme="minorHAnsi" w:eastAsiaTheme="minorEastAsia" w:hAnsiTheme="minorHAnsi" w:cstheme="minorBidi"/>
          <w:noProof/>
          <w:kern w:val="2"/>
          <w:sz w:val="22"/>
          <w14:ligatures w14:val="standardContextual"/>
        </w:rPr>
      </w:pPr>
      <w:r w:rsidRPr="00597673">
        <w:t>2.2.3.</w:t>
      </w:r>
      <w:r w:rsidRPr="00597673">
        <w:tab/>
        <w:t>Оценка и обосновка на разходната ефективност на контрола (съотношение между разходите за контрол и стойността на съответните управлявани средства) и оценка на очакваната степен на риска от грешки (при плащане и при приключване)</w:t>
      </w:r>
      <w:r w:rsidRPr="00597673">
        <w:tab/>
      </w:r>
      <w:r w:rsidRPr="00597673">
        <w:rPr>
          <w:webHidden/>
        </w:rPr>
        <w:t>7</w:t>
      </w:r>
    </w:p>
    <w:p w14:paraId="453A399B" w14:textId="1411730E"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2.3.</w:t>
      </w:r>
      <w:r w:rsidRPr="00597673">
        <w:tab/>
        <w:t>Мерки за предотвратяване на измами и нередности</w:t>
      </w:r>
      <w:r w:rsidRPr="00597673">
        <w:tab/>
      </w:r>
      <w:r w:rsidRPr="00597673">
        <w:rPr>
          <w:webHidden/>
        </w:rPr>
        <w:t>7</w:t>
      </w:r>
    </w:p>
    <w:p w14:paraId="65C0C88C" w14:textId="61277034" w:rsidR="00AC2BE5" w:rsidRPr="00597673" w:rsidRDefault="00AC2BE5">
      <w:pPr>
        <w:pStyle w:val="TOC1"/>
        <w:rPr>
          <w:rFonts w:asciiTheme="minorHAnsi" w:eastAsiaTheme="minorEastAsia" w:hAnsiTheme="minorHAnsi" w:cstheme="minorBidi"/>
          <w:noProof/>
          <w:kern w:val="2"/>
          <w:sz w:val="22"/>
          <w14:ligatures w14:val="standardContextual"/>
        </w:rPr>
      </w:pPr>
      <w:r w:rsidRPr="00597673">
        <w:t>3.</w:t>
      </w:r>
      <w:r w:rsidRPr="00597673">
        <w:tab/>
        <w:t>ОЧАКВАНО ФИНАНСОВО ОТРАЖЕНИЕ НА ПРЕДЛОЖЕНИЕТО/ИНИЦИАТИВАТА</w:t>
      </w:r>
      <w:r w:rsidRPr="00597673">
        <w:tab/>
      </w:r>
      <w:r w:rsidRPr="00597673">
        <w:rPr>
          <w:webHidden/>
        </w:rPr>
        <w:t>8</w:t>
      </w:r>
    </w:p>
    <w:p w14:paraId="2FDA8983" w14:textId="1D8E5A0D" w:rsidR="00AC2BE5" w:rsidRPr="00597673" w:rsidRDefault="00AC2BE5" w:rsidP="0017604B">
      <w:pPr>
        <w:pStyle w:val="TOC2"/>
        <w:rPr>
          <w:rFonts w:asciiTheme="minorHAnsi" w:eastAsiaTheme="minorEastAsia" w:hAnsiTheme="minorHAnsi" w:cstheme="minorBidi"/>
          <w:noProof/>
          <w:kern w:val="2"/>
          <w:sz w:val="22"/>
          <w14:ligatures w14:val="standardContextual"/>
        </w:rPr>
      </w:pPr>
      <w:r w:rsidRPr="00597673">
        <w:t>3.1.</w:t>
      </w:r>
      <w:r w:rsidRPr="00597673">
        <w:tab/>
        <w:t>Съответни функции от многогодишната финансова рамка и разходни бюджетни редове</w:t>
      </w:r>
      <w:r w:rsidRPr="00597673">
        <w:tab/>
      </w:r>
      <w:r w:rsidRPr="00597673">
        <w:rPr>
          <w:webHidden/>
        </w:rPr>
        <w:t>8</w:t>
      </w:r>
    </w:p>
    <w:p w14:paraId="6DDA3A95" w14:textId="482E312B" w:rsidR="00AC2BE5" w:rsidRPr="00597673" w:rsidRDefault="00AC2BE5" w:rsidP="0017604B">
      <w:pPr>
        <w:pStyle w:val="TOC2"/>
        <w:rPr>
          <w:rFonts w:asciiTheme="minorHAnsi" w:eastAsiaTheme="minorEastAsia" w:hAnsiTheme="minorHAnsi" w:cstheme="minorBidi"/>
          <w:noProof/>
          <w:kern w:val="2"/>
          <w:sz w:val="22"/>
          <w14:ligatures w14:val="standardContextual"/>
        </w:rPr>
      </w:pPr>
      <w:r w:rsidRPr="00597673">
        <w:t>3.2.</w:t>
      </w:r>
      <w:r w:rsidRPr="00597673">
        <w:tab/>
        <w:t>Очаквано финансово отражение на предложението върху бюджетните кредити</w:t>
      </w:r>
      <w:r w:rsidRPr="00597673">
        <w:tab/>
      </w:r>
      <w:r w:rsidRPr="00597673">
        <w:rPr>
          <w:webHidden/>
        </w:rPr>
        <w:t>9</w:t>
      </w:r>
    </w:p>
    <w:p w14:paraId="680657B8" w14:textId="019CBF35"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3.2.1.</w:t>
      </w:r>
      <w:r w:rsidRPr="00597673">
        <w:tab/>
        <w:t>Обобщение на очакваното отражение върху бюджетните кредити за оперативни разходи</w:t>
      </w:r>
      <w:r w:rsidRPr="00597673">
        <w:tab/>
      </w:r>
      <w:r w:rsidRPr="00597673">
        <w:rPr>
          <w:webHidden/>
        </w:rPr>
        <w:t>9</w:t>
      </w:r>
    </w:p>
    <w:p w14:paraId="566015C5" w14:textId="28CD9496"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3.2.1.1.</w:t>
      </w:r>
      <w:r w:rsidRPr="00597673">
        <w:tab/>
        <w:t>Бюджетни кредити от гласувания бюджет</w:t>
      </w:r>
      <w:r w:rsidRPr="00597673">
        <w:tab/>
      </w:r>
      <w:r w:rsidRPr="00597673">
        <w:rPr>
          <w:webHidden/>
        </w:rPr>
        <w:t>9</w:t>
      </w:r>
    </w:p>
    <w:p w14:paraId="3F2FFDEF" w14:textId="564EAB14"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3.2.1.2.</w:t>
      </w:r>
      <w:r w:rsidRPr="00597673">
        <w:tab/>
        <w:t>Бюджетни кредити от външни целеви приходи</w:t>
      </w:r>
      <w:r w:rsidRPr="00597673">
        <w:tab/>
      </w:r>
      <w:r w:rsidRPr="00597673">
        <w:rPr>
          <w:webHidden/>
        </w:rPr>
        <w:t>13</w:t>
      </w:r>
    </w:p>
    <w:p w14:paraId="2F2D8BB9" w14:textId="3A5BFD26"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3.2.2.</w:t>
      </w:r>
      <w:r w:rsidRPr="00597673">
        <w:tab/>
        <w:t>Очакван резултат, финансиран с бюджетни кредити за оперативни разходи</w:t>
      </w:r>
      <w:r w:rsidRPr="00597673">
        <w:tab/>
      </w:r>
      <w:r w:rsidRPr="00597673">
        <w:rPr>
          <w:webHidden/>
        </w:rPr>
        <w:t>18</w:t>
      </w:r>
    </w:p>
    <w:p w14:paraId="01560024" w14:textId="6AC25B57"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3.2.3.</w:t>
      </w:r>
      <w:r w:rsidRPr="00597673">
        <w:tab/>
        <w:t>Обобщение на очакваното отражение върху бюджетните кредити за административни разходи</w:t>
      </w:r>
      <w:r w:rsidRPr="00597673">
        <w:tab/>
      </w:r>
      <w:r w:rsidRPr="00597673">
        <w:rPr>
          <w:webHidden/>
        </w:rPr>
        <w:t>20</w:t>
      </w:r>
    </w:p>
    <w:p w14:paraId="5B5026F0" w14:textId="553D1101"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3.2.3.1. Бюджетни кредити от гласувания бюджет</w:t>
      </w:r>
      <w:r w:rsidRPr="00597673">
        <w:tab/>
      </w:r>
      <w:r w:rsidRPr="00597673">
        <w:rPr>
          <w:webHidden/>
        </w:rPr>
        <w:t>20</w:t>
      </w:r>
    </w:p>
    <w:p w14:paraId="2CF2B86E" w14:textId="75FD5FFB"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3.2.3.2.</w:t>
      </w:r>
      <w:r w:rsidRPr="00597673">
        <w:tab/>
        <w:t>Бюджетни кредити от външни целеви приходи</w:t>
      </w:r>
      <w:r w:rsidRPr="00597673">
        <w:tab/>
      </w:r>
      <w:r w:rsidRPr="00597673">
        <w:rPr>
          <w:webHidden/>
        </w:rPr>
        <w:t>20</w:t>
      </w:r>
    </w:p>
    <w:p w14:paraId="769A20D6" w14:textId="63B37D49"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3.2.3.3.</w:t>
      </w:r>
      <w:r w:rsidRPr="00597673">
        <w:tab/>
        <w:t>Общо бюджетни кредити</w:t>
      </w:r>
      <w:r w:rsidRPr="00597673">
        <w:tab/>
      </w:r>
      <w:r w:rsidRPr="00597673">
        <w:rPr>
          <w:webHidden/>
        </w:rPr>
        <w:t>20</w:t>
      </w:r>
    </w:p>
    <w:p w14:paraId="11EA9985" w14:textId="0FE34337"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3.2.4.</w:t>
      </w:r>
      <w:r w:rsidRPr="00597673">
        <w:tab/>
        <w:t>Очаквани нужди от човешки ресурси</w:t>
      </w:r>
      <w:r w:rsidRPr="00597673">
        <w:tab/>
      </w:r>
      <w:r w:rsidRPr="00597673">
        <w:rPr>
          <w:webHidden/>
        </w:rPr>
        <w:t>21</w:t>
      </w:r>
    </w:p>
    <w:p w14:paraId="70104CD2" w14:textId="2535850F"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3.2.4.1.</w:t>
      </w:r>
      <w:r w:rsidRPr="00597673">
        <w:tab/>
        <w:t>Финансирани от гласувания бюджет</w:t>
      </w:r>
      <w:r w:rsidRPr="00597673">
        <w:tab/>
      </w:r>
      <w:r w:rsidRPr="00597673">
        <w:rPr>
          <w:webHidden/>
        </w:rPr>
        <w:t>21</w:t>
      </w:r>
    </w:p>
    <w:p w14:paraId="3C5FF566" w14:textId="0392C8E8"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3.2.4.2.</w:t>
      </w:r>
      <w:r w:rsidRPr="00597673">
        <w:tab/>
        <w:t>Финансирани от външни целеви приходи</w:t>
      </w:r>
      <w:r w:rsidRPr="00597673">
        <w:tab/>
      </w:r>
      <w:r w:rsidRPr="00597673">
        <w:rPr>
          <w:webHidden/>
        </w:rPr>
        <w:t>21</w:t>
      </w:r>
    </w:p>
    <w:p w14:paraId="48560D1E" w14:textId="48069CEE" w:rsidR="00AC2BE5" w:rsidRPr="00597673" w:rsidRDefault="00AC2BE5" w:rsidP="005D0C3B">
      <w:pPr>
        <w:pStyle w:val="TOC4"/>
        <w:rPr>
          <w:rFonts w:asciiTheme="minorHAnsi" w:eastAsiaTheme="minorEastAsia" w:hAnsiTheme="minorHAnsi" w:cstheme="minorBidi"/>
          <w:noProof/>
          <w:kern w:val="2"/>
          <w:sz w:val="22"/>
          <w14:ligatures w14:val="standardContextual"/>
        </w:rPr>
      </w:pPr>
      <w:r w:rsidRPr="00597673">
        <w:t>3.2.4.3.</w:t>
      </w:r>
      <w:r w:rsidRPr="00597673">
        <w:tab/>
        <w:t>Общо нужди от човешки ресурси</w:t>
      </w:r>
      <w:r w:rsidRPr="00597673">
        <w:tab/>
      </w:r>
      <w:r w:rsidRPr="00597673">
        <w:rPr>
          <w:webHidden/>
        </w:rPr>
        <w:t>22</w:t>
      </w:r>
    </w:p>
    <w:p w14:paraId="2842012E" w14:textId="19E04C9B"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3.2.5.</w:t>
      </w:r>
      <w:r w:rsidRPr="00597673">
        <w:tab/>
        <w:t>Преглед на очакваното отражение върху инвестициите, свързани с цифрови технологии</w:t>
      </w:r>
      <w:r w:rsidRPr="00597673">
        <w:tab/>
      </w:r>
      <w:r w:rsidRPr="00597673">
        <w:rPr>
          <w:webHidden/>
        </w:rPr>
        <w:t>23</w:t>
      </w:r>
    </w:p>
    <w:p w14:paraId="07340DEB" w14:textId="276A4FEE"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3.2.6.</w:t>
      </w:r>
      <w:r w:rsidRPr="00597673">
        <w:tab/>
        <w:t>Съвместимост с настоящата многогодишна финансова рамка</w:t>
      </w:r>
      <w:r w:rsidRPr="00597673">
        <w:tab/>
      </w:r>
      <w:r w:rsidRPr="00597673">
        <w:rPr>
          <w:webHidden/>
        </w:rPr>
        <w:t>23</w:t>
      </w:r>
    </w:p>
    <w:p w14:paraId="7306996E" w14:textId="5C22B6AE" w:rsidR="00AC2BE5" w:rsidRPr="00597673" w:rsidRDefault="00AC2BE5" w:rsidP="0017604B">
      <w:pPr>
        <w:pStyle w:val="TOC3"/>
        <w:rPr>
          <w:rFonts w:asciiTheme="minorHAnsi" w:eastAsiaTheme="minorEastAsia" w:hAnsiTheme="minorHAnsi" w:cstheme="minorBidi"/>
          <w:noProof/>
          <w:kern w:val="2"/>
          <w:sz w:val="22"/>
          <w14:ligatures w14:val="standardContextual"/>
        </w:rPr>
      </w:pPr>
      <w:r w:rsidRPr="00597673">
        <w:t>3.2.7.</w:t>
      </w:r>
      <w:r w:rsidRPr="00597673">
        <w:tab/>
        <w:t>Финансов принос от трети страни</w:t>
      </w:r>
      <w:r w:rsidRPr="00597673">
        <w:tab/>
      </w:r>
      <w:r w:rsidRPr="00597673">
        <w:rPr>
          <w:webHidden/>
        </w:rPr>
        <w:t>23</w:t>
      </w:r>
    </w:p>
    <w:p w14:paraId="5F38FF7B" w14:textId="4EC569F6" w:rsidR="00AC2BE5" w:rsidRPr="00597673" w:rsidRDefault="00AC2BE5" w:rsidP="0017604B">
      <w:pPr>
        <w:pStyle w:val="TOC2"/>
        <w:rPr>
          <w:rFonts w:asciiTheme="minorHAnsi" w:eastAsiaTheme="minorEastAsia" w:hAnsiTheme="minorHAnsi" w:cstheme="minorBidi"/>
          <w:noProof/>
          <w:kern w:val="2"/>
          <w:sz w:val="22"/>
          <w14:ligatures w14:val="standardContextual"/>
        </w:rPr>
      </w:pPr>
      <w:r w:rsidRPr="00597673">
        <w:t>3.3.</w:t>
      </w:r>
      <w:r w:rsidRPr="00597673">
        <w:tab/>
        <w:t>Очаквано отражение върху приходите</w:t>
      </w:r>
      <w:r w:rsidRPr="00597673">
        <w:tab/>
      </w:r>
      <w:r w:rsidRPr="00597673">
        <w:rPr>
          <w:webHidden/>
        </w:rPr>
        <w:t>24</w:t>
      </w:r>
    </w:p>
    <w:p w14:paraId="28ADE887" w14:textId="1C1E7C03" w:rsidR="00AC2BE5" w:rsidRPr="00597673" w:rsidRDefault="00AC2BE5">
      <w:pPr>
        <w:pStyle w:val="TOC1"/>
        <w:rPr>
          <w:rFonts w:asciiTheme="minorHAnsi" w:eastAsiaTheme="minorEastAsia" w:hAnsiTheme="minorHAnsi" w:cstheme="minorBidi"/>
          <w:noProof/>
          <w:kern w:val="2"/>
          <w:sz w:val="22"/>
          <w14:ligatures w14:val="standardContextual"/>
        </w:rPr>
      </w:pPr>
      <w:r w:rsidRPr="00597673">
        <w:t>4.</w:t>
      </w:r>
      <w:r w:rsidRPr="00597673">
        <w:tab/>
      </w:r>
      <w:r w:rsidRPr="00597673">
        <w:rPr>
          <w:caps/>
        </w:rPr>
        <w:t>Цифрово измерение</w:t>
      </w:r>
      <w:r w:rsidRPr="00597673">
        <w:tab/>
      </w:r>
      <w:r w:rsidRPr="00597673">
        <w:rPr>
          <w:webHidden/>
        </w:rPr>
        <w:t>25</w:t>
      </w:r>
    </w:p>
    <w:p w14:paraId="32BE4A87" w14:textId="6C5FCCA0"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4.1.</w:t>
      </w:r>
      <w:r w:rsidRPr="00597673">
        <w:tab/>
        <w:t>Изисквания, свързани с цифрови аспекти</w:t>
      </w:r>
      <w:r w:rsidRPr="00597673">
        <w:tab/>
      </w:r>
      <w:r w:rsidRPr="00597673">
        <w:rPr>
          <w:webHidden/>
        </w:rPr>
        <w:t>25</w:t>
      </w:r>
    </w:p>
    <w:p w14:paraId="493DDB75" w14:textId="7E509B1D"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4.2.</w:t>
      </w:r>
      <w:r w:rsidRPr="00597673">
        <w:tab/>
        <w:t>Данни</w:t>
      </w:r>
      <w:r w:rsidRPr="00597673">
        <w:tab/>
      </w:r>
      <w:r w:rsidRPr="00597673">
        <w:rPr>
          <w:webHidden/>
        </w:rPr>
        <w:t>26</w:t>
      </w:r>
    </w:p>
    <w:p w14:paraId="6518FD1B" w14:textId="16A5A76B"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4.3.</w:t>
      </w:r>
      <w:r w:rsidRPr="00597673">
        <w:tab/>
        <w:t>Цифрови решения</w:t>
      </w:r>
      <w:r w:rsidRPr="00597673">
        <w:tab/>
      </w:r>
      <w:r w:rsidRPr="00597673">
        <w:rPr>
          <w:webHidden/>
        </w:rPr>
        <w:t>27</w:t>
      </w:r>
    </w:p>
    <w:p w14:paraId="0AB2DA57" w14:textId="1E1B015C"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4.4.</w:t>
      </w:r>
      <w:r w:rsidRPr="00597673">
        <w:tab/>
        <w:t>Оценка на оперативната съвместимост</w:t>
      </w:r>
      <w:r w:rsidRPr="00597673">
        <w:tab/>
      </w:r>
      <w:r w:rsidRPr="00597673">
        <w:rPr>
          <w:webHidden/>
        </w:rPr>
        <w:t>29</w:t>
      </w:r>
    </w:p>
    <w:p w14:paraId="0A6EF3CE" w14:textId="1233A930" w:rsidR="00AC2BE5" w:rsidRPr="00597673" w:rsidRDefault="00AC2BE5">
      <w:pPr>
        <w:pStyle w:val="TOC2"/>
        <w:rPr>
          <w:rFonts w:asciiTheme="minorHAnsi" w:eastAsiaTheme="minorEastAsia" w:hAnsiTheme="minorHAnsi" w:cstheme="minorBidi"/>
          <w:noProof/>
          <w:kern w:val="2"/>
          <w:sz w:val="22"/>
          <w14:ligatures w14:val="standardContextual"/>
        </w:rPr>
      </w:pPr>
      <w:r w:rsidRPr="00597673">
        <w:t>4.5.</w:t>
      </w:r>
      <w:r w:rsidRPr="00597673">
        <w:tab/>
        <w:t>Мерки в подкрепа на цифровото изпълнение</w:t>
      </w:r>
      <w:r w:rsidRPr="00597673">
        <w:tab/>
      </w:r>
      <w:r w:rsidRPr="00597673">
        <w:rPr>
          <w:webHidden/>
        </w:rPr>
        <w:t>29</w:t>
      </w:r>
    </w:p>
    <w:p w14:paraId="5D8BE227" w14:textId="77777777" w:rsidR="00AC2BE5" w:rsidRPr="00597673" w:rsidRDefault="00AC2BE5">
      <w:pPr>
        <w:pStyle w:val="TOC1"/>
        <w:ind w:left="0" w:firstLine="0"/>
        <w:rPr>
          <w:noProof/>
        </w:rPr>
        <w:sectPr w:rsidR="00AC2BE5" w:rsidRPr="00597673" w:rsidSect="00F222D4">
          <w:pgSz w:w="11907" w:h="16840" w:code="9"/>
          <w:pgMar w:top="1134" w:right="1418" w:bottom="1134" w:left="1418" w:header="709" w:footer="709" w:gutter="0"/>
          <w:pgNumType w:start="1"/>
          <w:cols w:space="720"/>
          <w:docGrid w:linePitch="360"/>
        </w:sectPr>
      </w:pPr>
    </w:p>
    <w:p w14:paraId="5A6FD479" w14:textId="77777777" w:rsidR="00AC2BE5" w:rsidRPr="00597673" w:rsidRDefault="00AC2BE5">
      <w:pPr>
        <w:pStyle w:val="ManualHeading1"/>
        <w:rPr>
          <w:noProof/>
        </w:rPr>
      </w:pPr>
      <w:bookmarkStart w:id="2" w:name="_Toc514938007"/>
      <w:bookmarkStart w:id="3" w:name="_Toc520485025"/>
      <w:bookmarkStart w:id="4" w:name="_Toc160804567"/>
      <w:bookmarkStart w:id="5" w:name="_Toc167220259"/>
      <w:bookmarkStart w:id="6" w:name="_Toc177548992"/>
      <w:r w:rsidRPr="00597673">
        <w:t>1.</w:t>
      </w:r>
      <w:r w:rsidRPr="00597673">
        <w:tab/>
        <w:t>РАМКА НА ПРЕДЛОЖЕНИЕТО/ИНИЦИАТИВАТА</w:t>
      </w:r>
      <w:bookmarkEnd w:id="2"/>
      <w:bookmarkEnd w:id="3"/>
      <w:bookmarkEnd w:id="4"/>
      <w:bookmarkEnd w:id="5"/>
      <w:bookmarkEnd w:id="6"/>
      <w:r w:rsidRPr="00597673">
        <w:t xml:space="preserve"> </w:t>
      </w:r>
    </w:p>
    <w:p w14:paraId="0F370BCA" w14:textId="77777777" w:rsidR="00AC2BE5" w:rsidRPr="00597673" w:rsidRDefault="00AC2BE5">
      <w:pPr>
        <w:pStyle w:val="ManualHeading2"/>
      </w:pPr>
      <w:bookmarkStart w:id="7" w:name="_Toc514938008"/>
      <w:bookmarkStart w:id="8" w:name="_Toc520485026"/>
      <w:bookmarkStart w:id="9" w:name="_Toc160804568"/>
      <w:bookmarkStart w:id="10" w:name="_Toc167220260"/>
      <w:bookmarkStart w:id="11" w:name="_Toc177548993"/>
      <w:r w:rsidRPr="00597673">
        <w:t>1.1.</w:t>
      </w:r>
      <w:r w:rsidRPr="00597673">
        <w:tab/>
        <w:t>Наименование на предложението/инициативата</w:t>
      </w:r>
      <w:bookmarkEnd w:id="7"/>
      <w:bookmarkEnd w:id="8"/>
      <w:bookmarkEnd w:id="9"/>
      <w:bookmarkEnd w:id="10"/>
      <w:bookmarkEnd w:id="11"/>
    </w:p>
    <w:p w14:paraId="4DCBF217" w14:textId="77777777" w:rsidR="009F3E59" w:rsidRPr="00597673" w:rsidRDefault="004916FC" w:rsidP="009F3E59">
      <w:pPr>
        <w:pStyle w:val="Text1"/>
        <w:pBdr>
          <w:top w:val="single" w:sz="4" w:space="1" w:color="auto"/>
          <w:left w:val="single" w:sz="4" w:space="4" w:color="auto"/>
          <w:bottom w:val="single" w:sz="4" w:space="1" w:color="auto"/>
          <w:right w:val="single" w:sz="4" w:space="4" w:color="auto"/>
        </w:pBdr>
        <w:rPr>
          <w:noProof/>
        </w:rPr>
      </w:pPr>
      <w:r w:rsidRPr="00597673">
        <w:t>Предложение за Директива за изменение на директиви (ЕС) 2016/2341 и 2016/97 с цел засилване на уредбата на професионалното пенсионно осигуряване</w:t>
      </w:r>
      <w:r w:rsidRPr="00597673">
        <w:tab/>
        <w:t xml:space="preserve">Съответни области на политиката </w:t>
      </w:r>
    </w:p>
    <w:p w14:paraId="24132E8E" w14:textId="77777777" w:rsidR="00AC2BE5" w:rsidRPr="00597673" w:rsidRDefault="00BB10C2">
      <w:pPr>
        <w:pStyle w:val="Text1"/>
        <w:pBdr>
          <w:top w:val="single" w:sz="4" w:space="1" w:color="auto"/>
          <w:left w:val="single" w:sz="4" w:space="4" w:color="auto"/>
          <w:bottom w:val="single" w:sz="4" w:space="1" w:color="auto"/>
          <w:right w:val="single" w:sz="4" w:space="4" w:color="auto"/>
        </w:pBdr>
        <w:rPr>
          <w:noProof/>
        </w:rPr>
      </w:pPr>
      <w:r w:rsidRPr="00597673">
        <w:t>Съюз на капиталовите пазари, съюз на спестяванията и инвестициите, допълнително пенсионно осигуряване</w:t>
      </w:r>
    </w:p>
    <w:p w14:paraId="0EEDBB08" w14:textId="77777777" w:rsidR="00AC2BE5" w:rsidRPr="00597673" w:rsidRDefault="00AC2BE5">
      <w:pPr>
        <w:pStyle w:val="ManualHeading2"/>
        <w:rPr>
          <w:noProof/>
        </w:rPr>
      </w:pPr>
      <w:bookmarkStart w:id="12" w:name="_Toc514938015"/>
      <w:bookmarkStart w:id="13" w:name="_Toc520485029"/>
      <w:bookmarkStart w:id="14" w:name="_Toc160804571"/>
      <w:bookmarkStart w:id="15" w:name="_Toc167220263"/>
      <w:bookmarkStart w:id="16" w:name="_Toc177548995"/>
      <w:r w:rsidRPr="00597673">
        <w:t>1.3.</w:t>
      </w:r>
      <w:r w:rsidRPr="00597673">
        <w:tab/>
        <w:t>Цел(и)</w:t>
      </w:r>
      <w:bookmarkEnd w:id="12"/>
      <w:bookmarkEnd w:id="13"/>
      <w:bookmarkEnd w:id="14"/>
      <w:bookmarkEnd w:id="15"/>
      <w:bookmarkEnd w:id="16"/>
    </w:p>
    <w:p w14:paraId="512CD349" w14:textId="77777777" w:rsidR="00AC2BE5" w:rsidRPr="00597673" w:rsidRDefault="00AC2BE5">
      <w:pPr>
        <w:pStyle w:val="ManualHeading3"/>
        <w:rPr>
          <w:noProof/>
        </w:rPr>
      </w:pPr>
      <w:bookmarkStart w:id="17" w:name="_Toc514938016"/>
      <w:bookmarkStart w:id="18" w:name="_Toc520485030"/>
      <w:bookmarkStart w:id="19" w:name="_Toc160804572"/>
      <w:bookmarkStart w:id="20" w:name="_Toc167220264"/>
      <w:bookmarkStart w:id="21" w:name="_Toc177548996"/>
      <w:r w:rsidRPr="00597673">
        <w:t>1.3.1.</w:t>
      </w:r>
      <w:r w:rsidRPr="00597673">
        <w:tab/>
        <w:t>Обща цел/общи цели</w:t>
      </w:r>
      <w:bookmarkEnd w:id="17"/>
      <w:bookmarkEnd w:id="18"/>
      <w:bookmarkEnd w:id="19"/>
      <w:bookmarkEnd w:id="20"/>
      <w:bookmarkEnd w:id="21"/>
    </w:p>
    <w:p w14:paraId="3FB265E5" w14:textId="77777777" w:rsidR="0026258A" w:rsidRPr="00597673" w:rsidRDefault="0026258A" w:rsidP="00B214DF">
      <w:pPr>
        <w:pStyle w:val="Text1"/>
        <w:pBdr>
          <w:top w:val="single" w:sz="4" w:space="1" w:color="auto"/>
          <w:left w:val="single" w:sz="4" w:space="4" w:color="auto"/>
          <w:bottom w:val="single" w:sz="4" w:space="1" w:color="auto"/>
          <w:right w:val="single" w:sz="4" w:space="4" w:color="auto"/>
        </w:pBdr>
      </w:pPr>
      <w:r w:rsidRPr="00597673">
        <w:t>Основните цели, преследвани с настоящото законодателно предложение за изменение на Директива (ЕС) 2016/2341 (Директива ИППО II), са насърчаване на по-добри и по-устойчиви резултати от пенсионните спестявания за бенефициерите, повишаване на прозрачността по отношение както на разходите, така и на възвръщаемостта, и укрепване на практиките за управление на риска във всички схеми за допълнително пенсионно осигуряване. Освен това прегледът има за цел да премахне пречките, които възпрепятстват ефективните инвестиции в реалната икономика, и да улесни разрастването на пенсионните институции, като им даде възможност да се възползват от икономии от мащаба, да подобрят разпределението на активите и да осигурят по-голяма стойност за членовете и бенефициерите. По този начин реформата има за цел да повиши стандартите в областта на допълнителното пенсионно осигуряване, като насърчава по-голяма стойност, повишена устойчивост и повишена дългосрочна сигурност за членовете.</w:t>
      </w:r>
    </w:p>
    <w:p w14:paraId="39FBDBE2" w14:textId="77777777" w:rsidR="00AC2BE5" w:rsidRPr="00597673" w:rsidRDefault="00AC2BE5">
      <w:pPr>
        <w:pStyle w:val="ManualHeading3"/>
        <w:rPr>
          <w:noProof/>
        </w:rPr>
      </w:pPr>
      <w:bookmarkStart w:id="22" w:name="_Toc514938018"/>
      <w:bookmarkStart w:id="23" w:name="_Toc520485031"/>
      <w:bookmarkStart w:id="24" w:name="_Toc160804573"/>
      <w:bookmarkStart w:id="25" w:name="_Toc167220265"/>
      <w:bookmarkStart w:id="26" w:name="_Toc177548997"/>
      <w:r w:rsidRPr="00597673">
        <w:t>1.3.2.</w:t>
      </w:r>
      <w:r w:rsidRPr="00597673">
        <w:tab/>
        <w:t>Конкретна цел/конкретни цели</w:t>
      </w:r>
      <w:bookmarkEnd w:id="22"/>
      <w:bookmarkEnd w:id="23"/>
      <w:bookmarkEnd w:id="24"/>
      <w:bookmarkEnd w:id="25"/>
      <w:bookmarkEnd w:id="26"/>
    </w:p>
    <w:p w14:paraId="0E2F30D7" w14:textId="77777777" w:rsidR="00622721" w:rsidRPr="00597673" w:rsidRDefault="00622721" w:rsidP="00622721">
      <w:pPr>
        <w:pStyle w:val="Text1"/>
        <w:pBdr>
          <w:top w:val="single" w:sz="4" w:space="1" w:color="auto"/>
          <w:left w:val="single" w:sz="4" w:space="4" w:color="auto"/>
          <w:bottom w:val="single" w:sz="4" w:space="1" w:color="auto"/>
          <w:right w:val="single" w:sz="4" w:space="4" w:color="auto"/>
        </w:pBdr>
        <w:rPr>
          <w:noProof/>
        </w:rPr>
      </w:pPr>
      <w:r w:rsidRPr="00597673">
        <w:t>Конкретните цели на предложените изменения на Директива (ЕС) 2016/2341 са следните:</w:t>
      </w:r>
    </w:p>
    <w:p w14:paraId="43716360" w14:textId="77777777" w:rsidR="002E0513" w:rsidRPr="00597673" w:rsidRDefault="00396D7D" w:rsidP="005D0C3B">
      <w:pPr>
        <w:pStyle w:val="Text1"/>
        <w:pBdr>
          <w:top w:val="single" w:sz="4" w:space="1" w:color="auto"/>
          <w:left w:val="single" w:sz="4" w:space="4" w:color="auto"/>
          <w:bottom w:val="single" w:sz="4" w:space="1" w:color="auto"/>
          <w:right w:val="single" w:sz="4" w:space="4" w:color="auto"/>
        </w:pBdr>
      </w:pPr>
      <w:r w:rsidRPr="00597673">
        <w:t xml:space="preserve">— Рационализиране на правилата за инвестиране, за да се премахнат ненужните регулаторни ограничения, които възпрепятстват способността на частните доставчици на пенсионни услуги да инвестират ефективно, дори когато членовете и бенефициерите не носят инвестиционни рискове. </w:t>
      </w:r>
    </w:p>
    <w:p w14:paraId="6FFE2759" w14:textId="77777777" w:rsidR="00622721" w:rsidRPr="00597673" w:rsidRDefault="00396D7D" w:rsidP="005D0C3B">
      <w:pPr>
        <w:pStyle w:val="Text1"/>
        <w:pBdr>
          <w:top w:val="single" w:sz="4" w:space="1" w:color="auto"/>
          <w:left w:val="single" w:sz="4" w:space="4" w:color="auto"/>
          <w:bottom w:val="single" w:sz="4" w:space="1" w:color="auto"/>
          <w:right w:val="single" w:sz="4" w:space="4" w:color="auto"/>
        </w:pBdr>
      </w:pPr>
      <w:r w:rsidRPr="00597673">
        <w:t>Насърчаване на икономии от мащаба, които определят способността на ИППО да инвестират в усъвършенствани, по-рискови и неликвидни финансови инструменти.</w:t>
      </w:r>
    </w:p>
    <w:p w14:paraId="04387A7F" w14:textId="77777777" w:rsidR="00D459A2" w:rsidRPr="00597673" w:rsidRDefault="00396D7D" w:rsidP="005D0C3B">
      <w:pPr>
        <w:pStyle w:val="Text1"/>
        <w:pBdr>
          <w:top w:val="single" w:sz="4" w:space="1" w:color="auto"/>
          <w:left w:val="single" w:sz="4" w:space="4" w:color="auto"/>
          <w:bottom w:val="single" w:sz="4" w:space="1" w:color="auto"/>
          <w:right w:val="single" w:sz="4" w:space="4" w:color="auto"/>
        </w:pBdr>
      </w:pPr>
      <w:r w:rsidRPr="00597673">
        <w:t>— Предоставяне на възможност на държавите членки да разширят прилагането на Директива (ЕС) 2016/2341 по отношение на институции, които иначе са изключени от нейното приложно поле, когато тези институции не са обхванати от друга пруденциална рамка на Съюза.</w:t>
      </w:r>
    </w:p>
    <w:p w14:paraId="05C002AD" w14:textId="77777777" w:rsidR="00AC2BE5" w:rsidRPr="00597673" w:rsidRDefault="00396D7D" w:rsidP="00396D7D">
      <w:pPr>
        <w:pStyle w:val="Text1"/>
        <w:pBdr>
          <w:top w:val="single" w:sz="4" w:space="1" w:color="auto"/>
          <w:left w:val="single" w:sz="4" w:space="4" w:color="auto"/>
          <w:bottom w:val="single" w:sz="4" w:space="1" w:color="auto"/>
          <w:right w:val="single" w:sz="4" w:space="4" w:color="auto"/>
        </w:pBdr>
        <w:rPr>
          <w:noProof/>
        </w:rPr>
      </w:pPr>
      <w:r w:rsidRPr="00597673">
        <w:t xml:space="preserve">— Насърчаване на по-професионално и ефективно управление на пенсионните спестявания и засилване на надзора. Въпреки че пенсионно осигурените лица не са в състояние да наблюдават дейността на пенсионните институции и да изискват корективни мерки, надзорните органи могат и техният мандат следва да включва по-строг надзор на системата на управление и резултатите от инвестициите. </w:t>
      </w:r>
    </w:p>
    <w:p w14:paraId="32336497" w14:textId="77777777" w:rsidR="00AC2BE5" w:rsidRPr="00597673" w:rsidRDefault="00AC2BE5">
      <w:pPr>
        <w:pStyle w:val="ManualHeading3"/>
        <w:rPr>
          <w:noProof/>
        </w:rPr>
      </w:pPr>
      <w:bookmarkStart w:id="27" w:name="_Toc514938019"/>
      <w:bookmarkStart w:id="28" w:name="_Toc520485032"/>
      <w:bookmarkStart w:id="29" w:name="_Toc160804574"/>
      <w:bookmarkStart w:id="30" w:name="_Toc167220266"/>
      <w:bookmarkStart w:id="31" w:name="_Toc177548998"/>
      <w:r w:rsidRPr="00597673">
        <w:t>1.3.3.</w:t>
      </w:r>
      <w:r w:rsidRPr="00597673">
        <w:tab/>
        <w:t>Очаквани резултати и отражение</w:t>
      </w:r>
      <w:bookmarkEnd w:id="27"/>
      <w:bookmarkEnd w:id="28"/>
      <w:bookmarkEnd w:id="29"/>
      <w:bookmarkEnd w:id="30"/>
      <w:bookmarkEnd w:id="31"/>
    </w:p>
    <w:p w14:paraId="78A6C21A" w14:textId="77777777" w:rsidR="00F95E65" w:rsidRPr="00597673" w:rsidRDefault="00396D7D" w:rsidP="005D0C3B">
      <w:pPr>
        <w:pStyle w:val="Text1"/>
        <w:pBdr>
          <w:top w:val="single" w:sz="4" w:space="1" w:color="auto"/>
          <w:left w:val="single" w:sz="4" w:space="4" w:color="auto"/>
          <w:bottom w:val="single" w:sz="4" w:space="1" w:color="auto"/>
          <w:right w:val="single" w:sz="4" w:space="4" w:color="auto"/>
        </w:pBdr>
        <w:rPr>
          <w:noProof/>
        </w:rPr>
      </w:pPr>
      <w:r w:rsidRPr="00597673">
        <w:t>— По-ефективно управление и надзор на пенсионните спестявания</w:t>
      </w:r>
    </w:p>
    <w:p w14:paraId="30716A10" w14:textId="77777777" w:rsidR="00F95E65" w:rsidRPr="00597673" w:rsidRDefault="00396D7D" w:rsidP="005D0C3B">
      <w:pPr>
        <w:pStyle w:val="Text1"/>
        <w:pBdr>
          <w:top w:val="single" w:sz="4" w:space="1" w:color="auto"/>
          <w:left w:val="single" w:sz="4" w:space="4" w:color="auto"/>
          <w:bottom w:val="single" w:sz="4" w:space="1" w:color="auto"/>
          <w:right w:val="single" w:sz="4" w:space="4" w:color="auto"/>
        </w:pBdr>
      </w:pPr>
      <w:r w:rsidRPr="00597673">
        <w:t>Насърчаване на мащаба и консервативния достъп до по-големи дългосрочни инвестиции на капиталовия пазар чрез подобряване на регулаторната среда, в която оперират ИППО</w:t>
      </w:r>
    </w:p>
    <w:p w14:paraId="09FEC327" w14:textId="77777777" w:rsidR="000D7D36" w:rsidRPr="00597673" w:rsidRDefault="00396D7D" w:rsidP="005D0C3B">
      <w:pPr>
        <w:pStyle w:val="Text1"/>
        <w:pBdr>
          <w:top w:val="single" w:sz="4" w:space="1" w:color="auto"/>
          <w:left w:val="single" w:sz="4" w:space="4" w:color="auto"/>
          <w:bottom w:val="single" w:sz="4" w:space="1" w:color="auto"/>
          <w:right w:val="single" w:sz="4" w:space="4" w:color="auto"/>
        </w:pBdr>
        <w:rPr>
          <w:noProof/>
        </w:rPr>
      </w:pPr>
      <w:r w:rsidRPr="00597673">
        <w:t>— По-голям мащаб и трансгранична ефективност в сектора на допълнителното пенсионно осигуряване</w:t>
      </w:r>
    </w:p>
    <w:p w14:paraId="0D9172C2" w14:textId="77777777" w:rsidR="000D7D36" w:rsidRPr="00597673" w:rsidRDefault="00396D7D" w:rsidP="00396D7D">
      <w:pPr>
        <w:pStyle w:val="Text1"/>
        <w:pBdr>
          <w:top w:val="single" w:sz="4" w:space="1" w:color="auto"/>
          <w:left w:val="single" w:sz="4" w:space="4" w:color="auto"/>
          <w:bottom w:val="single" w:sz="4" w:space="1" w:color="auto"/>
          <w:right w:val="single" w:sz="4" w:space="4" w:color="auto"/>
        </w:pBdr>
        <w:rPr>
          <w:noProof/>
        </w:rPr>
      </w:pPr>
      <w:r w:rsidRPr="00597673">
        <w:t xml:space="preserve">— По-ясно прилагане на принципа на консервативния инвеститор, който може да насочи ИППО към инвестиционни политики, които ефикасно и ефективно съчетават намаляването на риска с дългосрочните цели за възвръщаемост. </w:t>
      </w:r>
    </w:p>
    <w:p w14:paraId="1FEC29CF" w14:textId="77777777" w:rsidR="00AC2BE5" w:rsidRPr="00597673" w:rsidRDefault="00AC2BE5">
      <w:pPr>
        <w:pStyle w:val="ManualHeading3"/>
        <w:rPr>
          <w:noProof/>
        </w:rPr>
      </w:pPr>
      <w:bookmarkStart w:id="32" w:name="_Toc514938023"/>
      <w:bookmarkStart w:id="33" w:name="_Toc520485033"/>
      <w:bookmarkStart w:id="34" w:name="_Toc160804575"/>
      <w:bookmarkStart w:id="35" w:name="_Toc167220267"/>
      <w:bookmarkStart w:id="36" w:name="_Toc177548999"/>
      <w:r w:rsidRPr="00597673">
        <w:t>1.3.4.</w:t>
      </w:r>
      <w:r w:rsidRPr="00597673">
        <w:tab/>
        <w:t>Показатели за изпълнението</w:t>
      </w:r>
      <w:bookmarkEnd w:id="32"/>
      <w:bookmarkEnd w:id="33"/>
      <w:bookmarkEnd w:id="34"/>
      <w:bookmarkEnd w:id="35"/>
      <w:bookmarkEnd w:id="36"/>
    </w:p>
    <w:p w14:paraId="420CBFEB" w14:textId="77777777" w:rsidR="00C50FC2" w:rsidRPr="00597673" w:rsidRDefault="00C50FC2" w:rsidP="00C50FC2">
      <w:pPr>
        <w:pStyle w:val="Text1"/>
        <w:pBdr>
          <w:top w:val="single" w:sz="4" w:space="1" w:color="auto"/>
          <w:left w:val="single" w:sz="4" w:space="4" w:color="auto"/>
          <w:bottom w:val="single" w:sz="4" w:space="1" w:color="auto"/>
          <w:right w:val="single" w:sz="4" w:space="4" w:color="auto"/>
        </w:pBdr>
      </w:pPr>
      <w:r w:rsidRPr="00597673">
        <w:t xml:space="preserve">Чрез настоящото предложение Комисията има за цел да даде възможност — и ще наблюдава — следното: </w:t>
      </w:r>
    </w:p>
    <w:p w14:paraId="7E2B6C6A" w14:textId="77777777" w:rsidR="00E16B0E" w:rsidRPr="00597673" w:rsidRDefault="00396D7D" w:rsidP="005D0C3B">
      <w:pPr>
        <w:pStyle w:val="Text1"/>
        <w:pBdr>
          <w:top w:val="single" w:sz="4" w:space="1" w:color="auto"/>
          <w:left w:val="single" w:sz="4" w:space="4" w:color="auto"/>
          <w:bottom w:val="single" w:sz="4" w:space="1" w:color="auto"/>
          <w:right w:val="single" w:sz="4" w:space="4" w:color="auto"/>
        </w:pBdr>
      </w:pPr>
      <w:r w:rsidRPr="00597673">
        <w:t>По-нататъшна консолидация и разрастване на пенсионните институции</w:t>
      </w:r>
    </w:p>
    <w:p w14:paraId="62EB1ABD" w14:textId="77777777" w:rsidR="00AC2BE5" w:rsidRPr="00597673" w:rsidRDefault="00396D7D" w:rsidP="005D0C3B">
      <w:pPr>
        <w:pStyle w:val="Text1"/>
        <w:pBdr>
          <w:top w:val="single" w:sz="4" w:space="1" w:color="auto"/>
          <w:left w:val="single" w:sz="4" w:space="4" w:color="auto"/>
          <w:bottom w:val="single" w:sz="4" w:space="1" w:color="auto"/>
          <w:right w:val="single" w:sz="4" w:space="4" w:color="auto"/>
        </w:pBdr>
      </w:pPr>
      <w:r w:rsidRPr="00597673">
        <w:t>По-високи дългосрочни инвестиции на капиталовите пазари и в реалната икономика</w:t>
      </w:r>
    </w:p>
    <w:p w14:paraId="706DA4CA" w14:textId="77777777" w:rsidR="002D0B28" w:rsidRPr="00597673" w:rsidRDefault="00396D7D" w:rsidP="005D0C3B">
      <w:pPr>
        <w:pStyle w:val="Text1"/>
        <w:pBdr>
          <w:top w:val="single" w:sz="4" w:space="1" w:color="auto"/>
          <w:left w:val="single" w:sz="4" w:space="4" w:color="auto"/>
          <w:bottom w:val="single" w:sz="4" w:space="1" w:color="auto"/>
          <w:right w:val="single" w:sz="4" w:space="4" w:color="auto"/>
        </w:pBdr>
        <w:rPr>
          <w:noProof/>
        </w:rPr>
      </w:pPr>
      <w:r w:rsidRPr="00597673">
        <w:t>По-ниски разходи и по-добри резултати по отношение на пенсионните спестявания, оповестени от компетентните органи</w:t>
      </w:r>
    </w:p>
    <w:p w14:paraId="3957DB4F" w14:textId="77777777" w:rsidR="00AC2BE5" w:rsidRPr="00597673" w:rsidRDefault="00AC2BE5">
      <w:pPr>
        <w:pStyle w:val="ManualHeading2"/>
        <w:rPr>
          <w:noProof/>
        </w:rPr>
      </w:pPr>
      <w:bookmarkStart w:id="37" w:name="_Toc177549000"/>
      <w:r w:rsidRPr="00597673">
        <w:t>1.4.</w:t>
      </w:r>
      <w:r w:rsidRPr="00597673">
        <w:tab/>
        <w:t>Предложението/инициативата е във връзка с:</w:t>
      </w:r>
      <w:bookmarkEnd w:id="37"/>
      <w:r w:rsidRPr="00597673">
        <w:t xml:space="preserve"> </w:t>
      </w:r>
    </w:p>
    <w:p w14:paraId="7A853E56" w14:textId="77777777" w:rsidR="00AC2BE5" w:rsidRPr="00597673" w:rsidRDefault="00AC2BE5">
      <w:pPr>
        <w:pStyle w:val="Text1"/>
        <w:rPr>
          <w:noProof/>
          <w:sz w:val="22"/>
        </w:rPr>
      </w:pPr>
      <w:r w:rsidRPr="00597673">
        <w:rPr>
          <w:rFonts w:ascii="Wingdings" w:hAnsi="Wingdings"/>
          <w:sz w:val="22"/>
        </w:rPr>
        <w:t>¨</w:t>
      </w:r>
      <w:r w:rsidRPr="00597673">
        <w:rPr>
          <w:i/>
          <w:sz w:val="22"/>
        </w:rPr>
        <w:t xml:space="preserve"> </w:t>
      </w:r>
      <w:r w:rsidRPr="00597673">
        <w:t>ново действие</w:t>
      </w:r>
      <w:r w:rsidRPr="00597673">
        <w:rPr>
          <w:sz w:val="22"/>
        </w:rPr>
        <w:t xml:space="preserve"> </w:t>
      </w:r>
    </w:p>
    <w:p w14:paraId="06C59EC6" w14:textId="77777777" w:rsidR="0063367A" w:rsidRPr="00597673" w:rsidRDefault="00AC2BE5">
      <w:pPr>
        <w:pStyle w:val="Text1"/>
        <w:rPr>
          <w:noProof/>
        </w:rPr>
        <w:sectPr w:rsidR="0063367A" w:rsidRPr="00597673" w:rsidSect="00F222D4">
          <w:pgSz w:w="11907" w:h="16840" w:code="9"/>
          <w:pgMar w:top="1134" w:right="1418" w:bottom="1134" w:left="1418" w:header="709" w:footer="709" w:gutter="0"/>
          <w:cols w:space="708"/>
          <w:docGrid w:linePitch="360"/>
        </w:sectPr>
      </w:pPr>
      <w:r w:rsidRPr="00597673">
        <w:rPr>
          <w:rFonts w:ascii="Wingdings" w:hAnsi="Wingdings"/>
          <w:sz w:val="22"/>
        </w:rPr>
        <w:t>¨</w:t>
      </w:r>
      <w:r w:rsidRPr="00597673">
        <w:rPr>
          <w:i/>
          <w:sz w:val="22"/>
        </w:rPr>
        <w:t xml:space="preserve"> </w:t>
      </w:r>
      <w:r w:rsidRPr="00597673">
        <w:t>ново действие след пилотен проект/подготвително действие</w:t>
      </w:r>
    </w:p>
    <w:p w14:paraId="64B564DF" w14:textId="77777777" w:rsidR="00AC2BE5" w:rsidRPr="00597673" w:rsidRDefault="00AC2BE5">
      <w:pPr>
        <w:pStyle w:val="Text1"/>
        <w:rPr>
          <w:noProof/>
          <w:sz w:val="22"/>
        </w:rPr>
      </w:pPr>
      <w:r w:rsidRPr="00597673">
        <w:rPr>
          <w:rStyle w:val="FootnoteReference"/>
          <w:noProof/>
        </w:rPr>
        <w:footnoteReference w:id="39"/>
      </w:r>
      <w:r w:rsidRPr="00597673">
        <w:rPr>
          <w:sz w:val="22"/>
        </w:rPr>
        <w:t xml:space="preserve"> </w:t>
      </w:r>
    </w:p>
    <w:p w14:paraId="1DEBB421" w14:textId="77777777" w:rsidR="00AC2BE5" w:rsidRPr="00597673" w:rsidRDefault="00B36ED3">
      <w:pPr>
        <w:pStyle w:val="Text1"/>
        <w:rPr>
          <w:noProof/>
          <w:sz w:val="22"/>
        </w:rPr>
      </w:pPr>
      <w:r w:rsidRPr="00597673">
        <w:rPr>
          <w:rFonts w:ascii="Segoe UI Symbol" w:hAnsi="Segoe UI Symbol"/>
          <w:sz w:val="28"/>
        </w:rPr>
        <w:t>☑</w:t>
      </w:r>
      <w:r w:rsidRPr="00597673">
        <w:rPr>
          <w:rFonts w:asciiTheme="majorHAnsi" w:hAnsiTheme="majorHAnsi"/>
          <w:sz w:val="28"/>
        </w:rPr>
        <w:t>︎</w:t>
      </w:r>
      <w:r w:rsidRPr="00597673">
        <w:rPr>
          <w:i/>
          <w:sz w:val="22"/>
        </w:rPr>
        <w:t xml:space="preserve"> </w:t>
      </w:r>
      <w:r w:rsidRPr="00597673">
        <w:t>продължаване на съществуващо действие</w:t>
      </w:r>
      <w:r w:rsidRPr="00597673">
        <w:rPr>
          <w:sz w:val="22"/>
        </w:rPr>
        <w:t xml:space="preserve"> </w:t>
      </w:r>
    </w:p>
    <w:p w14:paraId="766A05CA" w14:textId="77777777" w:rsidR="00AC2BE5" w:rsidRPr="00597673" w:rsidRDefault="00AC2BE5">
      <w:pPr>
        <w:pStyle w:val="Text1"/>
        <w:rPr>
          <w:noProof/>
        </w:rPr>
      </w:pPr>
      <w:r w:rsidRPr="00597673">
        <w:rPr>
          <w:rFonts w:ascii="Wingdings" w:hAnsi="Wingdings"/>
          <w:sz w:val="22"/>
        </w:rPr>
        <w:t>¨</w:t>
      </w:r>
      <w:r w:rsidRPr="00597673">
        <w:rPr>
          <w:i/>
          <w:sz w:val="22"/>
        </w:rPr>
        <w:t xml:space="preserve"> </w:t>
      </w:r>
      <w:r w:rsidRPr="00597673">
        <w:t>сливане или пренасочване на едно или няколко действия към друго/ново действие</w:t>
      </w:r>
    </w:p>
    <w:p w14:paraId="5C6D123D" w14:textId="77777777" w:rsidR="00AC2BE5" w:rsidRPr="00597673" w:rsidRDefault="00AC2BE5">
      <w:pPr>
        <w:pStyle w:val="ManualHeading2"/>
        <w:rPr>
          <w:bCs/>
          <w:noProof/>
          <w:szCs w:val="24"/>
        </w:rPr>
      </w:pPr>
      <w:bookmarkStart w:id="38" w:name="_Toc514938025"/>
      <w:bookmarkStart w:id="39" w:name="_Toc520485034"/>
      <w:bookmarkStart w:id="40" w:name="_Toc160804576"/>
      <w:bookmarkStart w:id="41" w:name="_Toc167220268"/>
      <w:bookmarkStart w:id="42" w:name="_Toc177549001"/>
      <w:r w:rsidRPr="00597673">
        <w:t>1.5.</w:t>
      </w:r>
      <w:r w:rsidRPr="00597673">
        <w:tab/>
        <w:t>Мотиви за предложението/инициативата</w:t>
      </w:r>
      <w:bookmarkEnd w:id="38"/>
      <w:bookmarkEnd w:id="39"/>
      <w:bookmarkEnd w:id="40"/>
      <w:bookmarkEnd w:id="41"/>
      <w:bookmarkEnd w:id="42"/>
      <w:r w:rsidRPr="00597673">
        <w:t xml:space="preserve"> </w:t>
      </w:r>
    </w:p>
    <w:p w14:paraId="5F6191BD" w14:textId="77777777" w:rsidR="00AC2BE5" w:rsidRPr="00597673" w:rsidRDefault="00AC2BE5">
      <w:pPr>
        <w:pStyle w:val="ManualHeading3"/>
        <w:rPr>
          <w:noProof/>
        </w:rPr>
      </w:pPr>
      <w:bookmarkStart w:id="43" w:name="_Toc514938026"/>
      <w:bookmarkStart w:id="44" w:name="_Toc520485035"/>
      <w:bookmarkStart w:id="45" w:name="_Toc160804577"/>
      <w:bookmarkStart w:id="46" w:name="_Toc167220269"/>
      <w:bookmarkStart w:id="47" w:name="_Toc177549002"/>
      <w:r w:rsidRPr="00597673">
        <w:t>1.5.1.</w:t>
      </w:r>
      <w:r w:rsidRPr="00597673">
        <w:tab/>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43"/>
      <w:bookmarkEnd w:id="44"/>
      <w:bookmarkEnd w:id="45"/>
      <w:bookmarkEnd w:id="46"/>
      <w:bookmarkEnd w:id="47"/>
    </w:p>
    <w:p w14:paraId="3D20E8DC" w14:textId="77777777" w:rsidR="00AC2BE5" w:rsidRPr="00597673" w:rsidRDefault="003752A9">
      <w:pPr>
        <w:pStyle w:val="Text1"/>
        <w:pBdr>
          <w:top w:val="single" w:sz="4" w:space="1" w:color="auto"/>
          <w:left w:val="single" w:sz="4" w:space="4" w:color="auto"/>
          <w:bottom w:val="single" w:sz="4" w:space="1" w:color="auto"/>
          <w:right w:val="single" w:sz="4" w:space="4" w:color="auto"/>
        </w:pBdr>
        <w:rPr>
          <w:noProof/>
        </w:rPr>
      </w:pPr>
      <w:r w:rsidRPr="00597673">
        <w:t>С настоящото предложение Комисията предлага директива за изменение на Директива (ЕС) 2016/2341. Държавите членки ще разполагат с 12 месеца, за да транспонират измененията, въведени с настоящата директива, от влизането ѝ в сила.</w:t>
      </w:r>
    </w:p>
    <w:p w14:paraId="32921AA9" w14:textId="77777777" w:rsidR="00AC2BE5" w:rsidRPr="00597673" w:rsidRDefault="00AC2BE5">
      <w:pPr>
        <w:pStyle w:val="ManualHeading3"/>
        <w:rPr>
          <w:bCs/>
          <w:noProof/>
          <w:szCs w:val="24"/>
        </w:rPr>
      </w:pPr>
      <w:bookmarkStart w:id="48" w:name="_Toc514938029"/>
      <w:bookmarkStart w:id="49" w:name="_Toc520485036"/>
      <w:bookmarkStart w:id="50" w:name="_Toc160804578"/>
      <w:bookmarkStart w:id="51" w:name="_Toc167220270"/>
      <w:bookmarkStart w:id="52" w:name="_Toc177549003"/>
      <w:r w:rsidRPr="00597673">
        <w:t>1.5.2.</w:t>
      </w:r>
      <w:r w:rsidRPr="00597673">
        <w:tab/>
        <w:t>Добавена стойност от участието на ЕС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този раздел „добавена стойност от участието на ЕС“ е стойността, която е резултат от действието на равнище ЕС и е допълнителна спрямо стойността, която би била създадена само от отделните държави членки.</w:t>
      </w:r>
      <w:bookmarkEnd w:id="48"/>
      <w:bookmarkEnd w:id="49"/>
      <w:bookmarkEnd w:id="50"/>
      <w:bookmarkEnd w:id="51"/>
      <w:bookmarkEnd w:id="52"/>
    </w:p>
    <w:p w14:paraId="2A159DF6" w14:textId="77777777" w:rsidR="00AC2BE5" w:rsidRPr="00597673" w:rsidRDefault="000F498F">
      <w:pPr>
        <w:pStyle w:val="Text1"/>
        <w:pBdr>
          <w:top w:val="single" w:sz="4" w:space="1" w:color="auto"/>
          <w:left w:val="single" w:sz="4" w:space="4" w:color="auto"/>
          <w:bottom w:val="single" w:sz="4" w:space="1" w:color="auto"/>
          <w:right w:val="single" w:sz="4" w:space="4" w:color="auto"/>
        </w:pBdr>
        <w:rPr>
          <w:noProof/>
        </w:rPr>
      </w:pPr>
      <w:r w:rsidRPr="00597673">
        <w:t>Директивата относно дейностите и надзора на институциите за професионално пенсионно осигуряване (ИППО) е създадена на равнището на ЕС от 2016 г. насам, тъй като само действия на равнището на Съюза могат да определят обща регулаторна рамка за доставчиците на ИППО. Във връзка с това, за да се преразгледат правилата, включително по отношение на трансграничните дейности, са необходими действия на равнището на ЕС чрез директива за изменение.</w:t>
      </w:r>
    </w:p>
    <w:p w14:paraId="1A59B4AB" w14:textId="77777777" w:rsidR="00AC2BE5" w:rsidRPr="00597673" w:rsidRDefault="00AC2BE5">
      <w:pPr>
        <w:pStyle w:val="ManualHeading3"/>
        <w:rPr>
          <w:noProof/>
        </w:rPr>
      </w:pPr>
      <w:bookmarkStart w:id="53" w:name="_Toc514938030"/>
      <w:bookmarkStart w:id="54" w:name="_Toc520485037"/>
      <w:bookmarkStart w:id="55" w:name="_Toc160804579"/>
      <w:bookmarkStart w:id="56" w:name="_Toc167220271"/>
      <w:bookmarkStart w:id="57" w:name="_Toc177549004"/>
      <w:r w:rsidRPr="00597673">
        <w:t>1.5.3.</w:t>
      </w:r>
      <w:r w:rsidRPr="00597673">
        <w:tab/>
        <w:t>Изводи от подобен опит в миналото</w:t>
      </w:r>
      <w:bookmarkEnd w:id="53"/>
      <w:bookmarkEnd w:id="54"/>
      <w:bookmarkEnd w:id="55"/>
      <w:bookmarkEnd w:id="56"/>
      <w:bookmarkEnd w:id="57"/>
    </w:p>
    <w:p w14:paraId="7E74D6D7" w14:textId="77777777" w:rsidR="00AC2BE5" w:rsidRPr="00597673" w:rsidRDefault="00DF0C3B">
      <w:pPr>
        <w:pStyle w:val="Text1"/>
        <w:pBdr>
          <w:top w:val="single" w:sz="4" w:space="1" w:color="auto"/>
          <w:left w:val="single" w:sz="4" w:space="4" w:color="auto"/>
          <w:bottom w:val="single" w:sz="4" w:space="1" w:color="auto"/>
          <w:right w:val="single" w:sz="4" w:space="4" w:color="auto"/>
        </w:pBdr>
        <w:rPr>
          <w:noProof/>
        </w:rPr>
      </w:pPr>
      <w:r w:rsidRPr="00597673">
        <w:t>не е приложимо</w:t>
      </w:r>
    </w:p>
    <w:p w14:paraId="6362E453" w14:textId="77777777" w:rsidR="00AC2BE5" w:rsidRPr="00597673" w:rsidRDefault="00AC2BE5">
      <w:pPr>
        <w:pStyle w:val="ManualHeading3"/>
        <w:rPr>
          <w:noProof/>
        </w:rPr>
      </w:pPr>
      <w:bookmarkStart w:id="58" w:name="_Toc514938033"/>
      <w:bookmarkStart w:id="59" w:name="_Toc520485038"/>
      <w:bookmarkStart w:id="60" w:name="_Toc160804580"/>
      <w:bookmarkStart w:id="61" w:name="_Toc167220272"/>
      <w:bookmarkStart w:id="62" w:name="_Toc177549005"/>
      <w:r w:rsidRPr="00597673">
        <w:t>1.5.4.</w:t>
      </w:r>
      <w:r w:rsidRPr="00597673">
        <w:tab/>
        <w:t>Съвместимост с многогодишната финансова рамка и евентуални синергии с други подходящи инструменти</w:t>
      </w:r>
      <w:bookmarkEnd w:id="58"/>
      <w:bookmarkEnd w:id="59"/>
      <w:bookmarkEnd w:id="60"/>
      <w:bookmarkEnd w:id="61"/>
      <w:bookmarkEnd w:id="62"/>
    </w:p>
    <w:p w14:paraId="63DE257B" w14:textId="77777777" w:rsidR="00AC2BE5" w:rsidRPr="00597673" w:rsidRDefault="00DF0C3B">
      <w:pPr>
        <w:pStyle w:val="Text1"/>
        <w:pBdr>
          <w:top w:val="single" w:sz="4" w:space="1" w:color="auto"/>
          <w:left w:val="single" w:sz="4" w:space="4" w:color="auto"/>
          <w:bottom w:val="single" w:sz="4" w:space="1" w:color="auto"/>
          <w:right w:val="single" w:sz="4" w:space="4" w:color="auto"/>
        </w:pBdr>
        <w:rPr>
          <w:noProof/>
        </w:rPr>
      </w:pPr>
      <w:r w:rsidRPr="00597673">
        <w:t>не е приложимо</w:t>
      </w:r>
    </w:p>
    <w:p w14:paraId="5C50DE03" w14:textId="77777777" w:rsidR="00AC2BE5" w:rsidRPr="00597673" w:rsidRDefault="00AC2BE5">
      <w:pPr>
        <w:pStyle w:val="ManualHeading3"/>
        <w:rPr>
          <w:noProof/>
        </w:rPr>
      </w:pPr>
      <w:bookmarkStart w:id="63" w:name="_Toc514938036"/>
      <w:bookmarkStart w:id="64" w:name="_Toc520485039"/>
      <w:bookmarkStart w:id="65" w:name="_Toc160804581"/>
      <w:bookmarkStart w:id="66" w:name="_Toc167220273"/>
      <w:bookmarkStart w:id="67" w:name="_Toc177549006"/>
      <w:r w:rsidRPr="00597673">
        <w:t>1.5.5.</w:t>
      </w:r>
      <w:r w:rsidRPr="00597673">
        <w:tab/>
        <w:t>Оценка на различните налични варианти за финансиране, включително възможностите за преразпределяне на средства</w:t>
      </w:r>
      <w:bookmarkEnd w:id="63"/>
      <w:bookmarkEnd w:id="64"/>
      <w:bookmarkEnd w:id="65"/>
      <w:bookmarkEnd w:id="66"/>
      <w:bookmarkEnd w:id="67"/>
    </w:p>
    <w:p w14:paraId="2561FC5F" w14:textId="77777777" w:rsidR="00AC2BE5" w:rsidRPr="00597673" w:rsidRDefault="00DF0C3B">
      <w:pPr>
        <w:pStyle w:val="Text1"/>
        <w:pBdr>
          <w:top w:val="single" w:sz="4" w:space="1" w:color="auto"/>
          <w:left w:val="single" w:sz="4" w:space="4" w:color="auto"/>
          <w:bottom w:val="single" w:sz="4" w:space="1" w:color="auto"/>
          <w:right w:val="single" w:sz="4" w:space="4" w:color="auto"/>
        </w:pBdr>
        <w:rPr>
          <w:noProof/>
        </w:rPr>
      </w:pPr>
      <w:r w:rsidRPr="00597673">
        <w:t>В предложението допълнително се изяснява ролята на ЕОЗППО в координацията на надзора, която вече е неразделна част от неговия мандат. Изричното въвеждане на възможността за създаване на платформа за сътрудничество не променя мандата на ЕОЗППО и не се очаква да засегне способността му да изпълнява мандата си в рамките на съществуващите ресурси.</w:t>
      </w:r>
    </w:p>
    <w:p w14:paraId="3B1B95D7" w14:textId="77777777" w:rsidR="00AC2BE5" w:rsidRPr="00597673" w:rsidRDefault="00AC2BE5">
      <w:pPr>
        <w:pStyle w:val="ManualHeading2"/>
        <w:rPr>
          <w:bCs/>
          <w:noProof/>
          <w:szCs w:val="24"/>
        </w:rPr>
      </w:pPr>
      <w:r w:rsidRPr="00597673">
        <w:br w:type="page"/>
      </w:r>
      <w:bookmarkStart w:id="68" w:name="_Toc514938039"/>
      <w:bookmarkStart w:id="69" w:name="_Toc520485040"/>
      <w:bookmarkStart w:id="70" w:name="_Toc160804582"/>
      <w:bookmarkStart w:id="71" w:name="_Toc167220274"/>
      <w:bookmarkStart w:id="72" w:name="_Toc177549007"/>
      <w:r w:rsidRPr="00597673">
        <w:t>1.6.</w:t>
      </w:r>
      <w:r w:rsidRPr="00597673">
        <w:tab/>
        <w:t>Продължителност на предложението/инициативата</w:t>
      </w:r>
      <w:bookmarkEnd w:id="68"/>
      <w:bookmarkEnd w:id="69"/>
      <w:r w:rsidRPr="00597673">
        <w:t xml:space="preserve"> и на неговото/нейното финансово отражение</w:t>
      </w:r>
      <w:bookmarkEnd w:id="70"/>
      <w:bookmarkEnd w:id="71"/>
      <w:bookmarkEnd w:id="72"/>
    </w:p>
    <w:p w14:paraId="2C501DF7" w14:textId="77777777" w:rsidR="00AC2BE5" w:rsidRPr="00597673" w:rsidRDefault="00AC2BE5">
      <w:pPr>
        <w:pStyle w:val="Text1"/>
        <w:rPr>
          <w:noProof/>
        </w:rPr>
      </w:pPr>
      <w:r w:rsidRPr="00597673">
        <w:rPr>
          <w:rFonts w:ascii="Wingdings" w:hAnsi="Wingdings"/>
        </w:rPr>
        <w:t>¨</w:t>
      </w:r>
      <w:r w:rsidRPr="00597673">
        <w:rPr>
          <w:b/>
          <w:i/>
        </w:rPr>
        <w:t xml:space="preserve"> </w:t>
      </w:r>
      <w:r w:rsidRPr="00597673">
        <w:rPr>
          <w:b/>
        </w:rPr>
        <w:t xml:space="preserve">ограничена продължителност </w:t>
      </w:r>
    </w:p>
    <w:p w14:paraId="189A63CD" w14:textId="77777777" w:rsidR="00AC2BE5" w:rsidRPr="00597673" w:rsidRDefault="00AC2BE5">
      <w:pPr>
        <w:pStyle w:val="ListDash2"/>
        <w:rPr>
          <w:noProof/>
        </w:rPr>
      </w:pPr>
      <w:r w:rsidRPr="00597673">
        <w:rPr>
          <w:rFonts w:ascii="Wingdings" w:hAnsi="Wingdings"/>
        </w:rPr>
        <w:t>¨</w:t>
      </w:r>
      <w:r w:rsidRPr="00597673">
        <w:tab/>
        <w:t xml:space="preserve">в сила от [ДД/ММ]ГГГГ до [ДД/ММ]ГГГГ </w:t>
      </w:r>
    </w:p>
    <w:p w14:paraId="75F3657E" w14:textId="77777777" w:rsidR="00AC2BE5" w:rsidRPr="00597673" w:rsidRDefault="00AC2BE5">
      <w:pPr>
        <w:pStyle w:val="ListDash2"/>
        <w:rPr>
          <w:noProof/>
        </w:rPr>
      </w:pPr>
      <w:r w:rsidRPr="00597673">
        <w:rPr>
          <w:rFonts w:ascii="Wingdings" w:hAnsi="Wingdings"/>
        </w:rPr>
        <w:t>¨</w:t>
      </w:r>
      <w:r w:rsidRPr="00597673">
        <w:tab/>
        <w:t xml:space="preserve">финансово отражение от ГГГГ до ГГГГ за бюджетните кредити за поети задължения и от ГГГГ до ГГГГ за бюджетните кредити за плащания. </w:t>
      </w:r>
    </w:p>
    <w:p w14:paraId="1589918E" w14:textId="77777777" w:rsidR="00AC2BE5" w:rsidRPr="00597673" w:rsidRDefault="00AC2BE5">
      <w:pPr>
        <w:pStyle w:val="Text1"/>
        <w:rPr>
          <w:noProof/>
        </w:rPr>
      </w:pPr>
      <w:r w:rsidRPr="00597673">
        <w:rPr>
          <w:rFonts w:ascii="Wingdings" w:hAnsi="Wingdings"/>
        </w:rPr>
        <w:t>¨</w:t>
      </w:r>
      <w:r w:rsidRPr="00597673">
        <w:rPr>
          <w:b/>
          <w:i/>
        </w:rPr>
        <w:t xml:space="preserve"> </w:t>
      </w:r>
      <w:r w:rsidRPr="00597673">
        <w:rPr>
          <w:b/>
        </w:rPr>
        <w:t>неограничена продължителност</w:t>
      </w:r>
    </w:p>
    <w:p w14:paraId="59A1B4F3" w14:textId="77777777" w:rsidR="00AC2BE5" w:rsidRPr="00597673" w:rsidRDefault="00AC2BE5">
      <w:pPr>
        <w:pStyle w:val="ListDash1"/>
        <w:rPr>
          <w:noProof/>
        </w:rPr>
      </w:pPr>
      <w:r w:rsidRPr="00597673">
        <w:t>Изпълнение с период на започване на дейност от ГГГГ до ГГГГ,</w:t>
      </w:r>
    </w:p>
    <w:p w14:paraId="2BA7A93E" w14:textId="77777777" w:rsidR="00AC2BE5" w:rsidRPr="00597673" w:rsidRDefault="00AC2BE5">
      <w:pPr>
        <w:pStyle w:val="ListDash1"/>
        <w:rPr>
          <w:noProof/>
        </w:rPr>
      </w:pPr>
      <w:r w:rsidRPr="00597673">
        <w:t>последван от функциониране с пълен капацитет.</w:t>
      </w:r>
    </w:p>
    <w:p w14:paraId="5A1476A1" w14:textId="77777777" w:rsidR="00AC2BE5" w:rsidRPr="00597673" w:rsidRDefault="00AC2BE5">
      <w:pPr>
        <w:pStyle w:val="ManualHeading2"/>
        <w:rPr>
          <w:bCs/>
          <w:noProof/>
          <w:szCs w:val="24"/>
        </w:rPr>
      </w:pPr>
      <w:bookmarkStart w:id="73" w:name="_Toc514938040"/>
      <w:bookmarkStart w:id="74" w:name="_Toc520485041"/>
      <w:bookmarkStart w:id="75" w:name="_Toc160804583"/>
      <w:bookmarkStart w:id="76" w:name="_Toc167220275"/>
      <w:bookmarkStart w:id="77" w:name="_Toc177549008"/>
      <w:r w:rsidRPr="00597673">
        <w:t>1.7.</w:t>
      </w:r>
      <w:r w:rsidRPr="00597673">
        <w:tab/>
        <w:t>Планирани методи на изпълнение на бюджета</w:t>
      </w:r>
      <w:bookmarkEnd w:id="73"/>
      <w:bookmarkEnd w:id="74"/>
      <w:bookmarkEnd w:id="75"/>
      <w:bookmarkEnd w:id="76"/>
      <w:bookmarkEnd w:id="77"/>
      <w:r w:rsidRPr="00597673">
        <w:t xml:space="preserve"> </w:t>
      </w:r>
    </w:p>
    <w:p w14:paraId="5E17E6C9" w14:textId="77777777" w:rsidR="00AC2BE5" w:rsidRPr="00597673" w:rsidRDefault="00AC2BE5">
      <w:pPr>
        <w:pStyle w:val="Text1"/>
        <w:rPr>
          <w:noProof/>
        </w:rPr>
      </w:pPr>
      <w:r w:rsidRPr="00597673">
        <w:rPr>
          <w:rFonts w:ascii="Wingdings" w:hAnsi="Wingdings"/>
        </w:rPr>
        <w:t>¨</w:t>
      </w:r>
      <w:r w:rsidRPr="00597673">
        <w:rPr>
          <w:i/>
        </w:rPr>
        <w:t xml:space="preserve"> </w:t>
      </w:r>
      <w:r w:rsidRPr="00597673">
        <w:rPr>
          <w:b/>
        </w:rPr>
        <w:t>Пряко управление</w:t>
      </w:r>
      <w:r w:rsidRPr="00597673">
        <w:t xml:space="preserve"> от Комисията</w:t>
      </w:r>
    </w:p>
    <w:p w14:paraId="55FDA73A" w14:textId="77777777" w:rsidR="00AC2BE5" w:rsidRPr="00597673" w:rsidRDefault="00AC2BE5">
      <w:pPr>
        <w:pStyle w:val="ListDash2"/>
        <w:rPr>
          <w:rFonts w:cs="EUAlbertina"/>
          <w:noProof/>
        </w:rPr>
      </w:pPr>
      <w:r w:rsidRPr="00597673">
        <w:rPr>
          <w:rFonts w:ascii="Wingdings" w:hAnsi="Wingdings"/>
        </w:rPr>
        <w:t>¨</w:t>
      </w:r>
      <w:r w:rsidRPr="00597673">
        <w:t xml:space="preserve"> от нейните служби, включително от нейния персонал в делегациите на Съюза; </w:t>
      </w:r>
    </w:p>
    <w:p w14:paraId="7F053FB9" w14:textId="77777777" w:rsidR="00AC2BE5" w:rsidRPr="00597673" w:rsidRDefault="00AC2BE5">
      <w:pPr>
        <w:pStyle w:val="ListDash2"/>
        <w:rPr>
          <w:noProof/>
        </w:rPr>
      </w:pPr>
      <w:r w:rsidRPr="00597673">
        <w:rPr>
          <w:rFonts w:ascii="Wingdings" w:hAnsi="Wingdings"/>
        </w:rPr>
        <w:t>¨</w:t>
      </w:r>
      <w:r w:rsidRPr="00597673">
        <w:tab/>
        <w:t xml:space="preserve">от изпълнителните агенции </w:t>
      </w:r>
    </w:p>
    <w:p w14:paraId="076A8C61" w14:textId="77777777" w:rsidR="00AC2BE5" w:rsidRPr="00597673" w:rsidRDefault="00AC2BE5">
      <w:pPr>
        <w:pStyle w:val="Text1"/>
        <w:rPr>
          <w:noProof/>
        </w:rPr>
      </w:pPr>
      <w:r w:rsidRPr="00597673">
        <w:rPr>
          <w:rFonts w:ascii="Wingdings" w:hAnsi="Wingdings"/>
        </w:rPr>
        <w:t>¨</w:t>
      </w:r>
      <w:r w:rsidRPr="00597673">
        <w:rPr>
          <w:b/>
          <w:i/>
        </w:rPr>
        <w:t xml:space="preserve"> </w:t>
      </w:r>
      <w:r w:rsidRPr="00597673">
        <w:rPr>
          <w:b/>
        </w:rPr>
        <w:t>Споделено управление</w:t>
      </w:r>
      <w:r w:rsidRPr="00597673">
        <w:t xml:space="preserve"> с държавите членки </w:t>
      </w:r>
    </w:p>
    <w:p w14:paraId="1D981592" w14:textId="77777777" w:rsidR="00AC2BE5" w:rsidRPr="00597673" w:rsidRDefault="00AC2BE5">
      <w:pPr>
        <w:pStyle w:val="Text1"/>
        <w:rPr>
          <w:noProof/>
        </w:rPr>
      </w:pPr>
      <w:r w:rsidRPr="00597673">
        <w:rPr>
          <w:rFonts w:ascii="Wingdings" w:hAnsi="Wingdings"/>
        </w:rPr>
        <w:t>¨</w:t>
      </w:r>
      <w:r w:rsidRPr="00597673">
        <w:rPr>
          <w:i/>
        </w:rPr>
        <w:t xml:space="preserve"> </w:t>
      </w:r>
      <w:r w:rsidRPr="00597673">
        <w:rPr>
          <w:b/>
        </w:rPr>
        <w:t>Непряко управление</w:t>
      </w:r>
      <w:r w:rsidRPr="00597673">
        <w:t xml:space="preserve"> чрез възлагане на задачи по изпълнението на бюджета на:</w:t>
      </w:r>
    </w:p>
    <w:p w14:paraId="6E803B95" w14:textId="77777777" w:rsidR="00AC2BE5" w:rsidRPr="00597673" w:rsidRDefault="00AC2BE5">
      <w:pPr>
        <w:pStyle w:val="ListDash2"/>
        <w:rPr>
          <w:noProof/>
        </w:rPr>
      </w:pPr>
      <w:r w:rsidRPr="00597673">
        <w:rPr>
          <w:rFonts w:ascii="Wingdings" w:hAnsi="Wingdings"/>
        </w:rPr>
        <w:t>¨</w:t>
      </w:r>
      <w:r w:rsidRPr="00597673">
        <w:t xml:space="preserve"> трети държави или на органите, определени от тях</w:t>
      </w:r>
    </w:p>
    <w:p w14:paraId="487AB026" w14:textId="77777777" w:rsidR="00AC2BE5" w:rsidRPr="00597673" w:rsidRDefault="00AC2BE5">
      <w:pPr>
        <w:pStyle w:val="ListDash2"/>
        <w:rPr>
          <w:noProof/>
        </w:rPr>
      </w:pPr>
      <w:r w:rsidRPr="00597673">
        <w:rPr>
          <w:rFonts w:ascii="Wingdings" w:hAnsi="Wingdings"/>
        </w:rPr>
        <w:t>¨</w:t>
      </w:r>
      <w:r w:rsidRPr="00597673">
        <w:t xml:space="preserve"> международни организации и техните агенции (да се уточни)</w:t>
      </w:r>
    </w:p>
    <w:p w14:paraId="25C486BC" w14:textId="77777777" w:rsidR="00AC2BE5" w:rsidRPr="00597673" w:rsidRDefault="00AC2BE5">
      <w:pPr>
        <w:pStyle w:val="ListDash2"/>
        <w:rPr>
          <w:noProof/>
        </w:rPr>
      </w:pPr>
      <w:r w:rsidRPr="00597673">
        <w:rPr>
          <w:rFonts w:ascii="Wingdings" w:hAnsi="Wingdings"/>
        </w:rPr>
        <w:t>¨</w:t>
      </w:r>
      <w:r w:rsidRPr="00597673">
        <w:t xml:space="preserve"> Европейската инвестиционна банка и Европейския инвестиционен фонд</w:t>
      </w:r>
    </w:p>
    <w:p w14:paraId="7F71A778" w14:textId="77777777" w:rsidR="00AC2BE5" w:rsidRPr="00597673" w:rsidRDefault="00AC2BE5">
      <w:pPr>
        <w:pStyle w:val="ListDash2"/>
        <w:rPr>
          <w:noProof/>
        </w:rPr>
      </w:pPr>
      <w:r w:rsidRPr="00597673">
        <w:rPr>
          <w:rFonts w:ascii="Wingdings" w:hAnsi="Wingdings"/>
        </w:rPr>
        <w:t>¨</w:t>
      </w:r>
      <w:r w:rsidRPr="00597673">
        <w:t xml:space="preserve"> органите, посочени в членове 70 и 71 от Финансовия регламент</w:t>
      </w:r>
    </w:p>
    <w:p w14:paraId="4632AA3E" w14:textId="77777777" w:rsidR="00AC2BE5" w:rsidRPr="00597673" w:rsidRDefault="00AC2BE5">
      <w:pPr>
        <w:pStyle w:val="ListDash2"/>
        <w:rPr>
          <w:noProof/>
        </w:rPr>
      </w:pPr>
      <w:r w:rsidRPr="00597673">
        <w:rPr>
          <w:rFonts w:ascii="Wingdings" w:hAnsi="Wingdings"/>
        </w:rPr>
        <w:t>¨</w:t>
      </w:r>
      <w:r w:rsidRPr="00597673">
        <w:t xml:space="preserve"> публичноправни органи</w:t>
      </w:r>
    </w:p>
    <w:p w14:paraId="20B9EBE9" w14:textId="77777777" w:rsidR="00AC2BE5" w:rsidRPr="00597673" w:rsidRDefault="00AC2BE5">
      <w:pPr>
        <w:pStyle w:val="ListDash2"/>
        <w:rPr>
          <w:noProof/>
        </w:rPr>
      </w:pPr>
      <w:r w:rsidRPr="00597673">
        <w:rPr>
          <w:rFonts w:ascii="Wingdings" w:hAnsi="Wingdings"/>
        </w:rPr>
        <w:t>¨</w:t>
      </w:r>
      <w:r w:rsidRPr="00597673">
        <w:t xml:space="preserve"> частноправни органи със задължение за обществена услуга, доколкото са им предоставени подходящи финансови гаранции</w:t>
      </w:r>
    </w:p>
    <w:p w14:paraId="179C05E4" w14:textId="77777777" w:rsidR="00AC2BE5" w:rsidRPr="00597673" w:rsidRDefault="00AC2BE5">
      <w:pPr>
        <w:pStyle w:val="ListDash2"/>
        <w:rPr>
          <w:noProof/>
        </w:rPr>
      </w:pPr>
      <w:r w:rsidRPr="00597673">
        <w:rPr>
          <w:rFonts w:ascii="Wingdings" w:hAnsi="Wingdings"/>
        </w:rPr>
        <w:t>¨</w:t>
      </w:r>
      <w:r w:rsidRPr="00597673">
        <w:t xml:space="preserve"> органи, уредени в частното право на държава членка, на които е възложено осъществяването на публично-частно партньорство и на които са предоставени подходящи финансови гаранции</w:t>
      </w:r>
    </w:p>
    <w:p w14:paraId="579AB0CD" w14:textId="77777777" w:rsidR="00AC2BE5" w:rsidRPr="00597673" w:rsidRDefault="00AC2BE5">
      <w:pPr>
        <w:pStyle w:val="ListDash2"/>
        <w:rPr>
          <w:noProof/>
        </w:rPr>
      </w:pPr>
      <w:r w:rsidRPr="00597673">
        <w:rPr>
          <w:rFonts w:ascii="Wingdings" w:hAnsi="Wingdings"/>
        </w:rPr>
        <w:t>¨</w:t>
      </w:r>
      <w:r w:rsidRPr="00597673">
        <w:t xml:space="preserve"> органи или лица, на които е възложено изпълнението на специфични дейности в областта на общата външна политика и политика на сигурност съгласно дял V от Договора за Европейския съюз и които са посочени в съответния основен акт</w:t>
      </w:r>
    </w:p>
    <w:p w14:paraId="647D926B" w14:textId="77777777" w:rsidR="00AC2BE5" w:rsidRPr="00597673" w:rsidRDefault="00AC2BE5">
      <w:pPr>
        <w:pStyle w:val="ListDash2"/>
        <w:rPr>
          <w:noProof/>
        </w:rPr>
      </w:pPr>
      <w:r w:rsidRPr="00597673">
        <w:t>̈</w:t>
      </w:r>
      <w:r w:rsidRPr="00597673">
        <w:rPr>
          <w:rFonts w:ascii="Wingdings" w:hAnsi="Wingdings"/>
        </w:rPr>
        <w:t>¨ </w:t>
      </w:r>
      <w:r w:rsidRPr="00597673">
        <w:t>субекти, установени в държава членка и уредени от националното частно право или от правото на Съюза, които удовлетворяват съответните секторни условия за възлагане на усвояването на средства или бюджетни гаранции на Съюза, доколкото тези субекти са контролирани от публичноправни органи или от частноправни органи със задължение за обществена услуга и разполагат с подходящи финансови гаранции, които са под формата на солидарна отговорност на контролните органи или еквивалентни финансови гаранции и които за всяко действие може да бъдат ограничени до максималния размер на подкрепата от Съюза.</w:t>
      </w:r>
    </w:p>
    <w:p w14:paraId="40670CEE" w14:textId="77777777" w:rsidR="00AC2BE5" w:rsidRPr="00597673" w:rsidRDefault="00AC2BE5">
      <w:pPr>
        <w:rPr>
          <w:noProof/>
        </w:rPr>
      </w:pPr>
      <w:r w:rsidRPr="00597673">
        <w:t xml:space="preserve">Забележки </w:t>
      </w:r>
    </w:p>
    <w:p w14:paraId="4C67DC2E" w14:textId="77777777" w:rsidR="00AC2BE5" w:rsidRPr="00597673" w:rsidRDefault="00EA013E" w:rsidP="001D17F1">
      <w:pPr>
        <w:pStyle w:val="Text1"/>
        <w:pBdr>
          <w:top w:val="single" w:sz="4" w:space="1" w:color="auto"/>
          <w:left w:val="single" w:sz="4" w:space="4" w:color="auto"/>
          <w:bottom w:val="single" w:sz="4" w:space="1" w:color="auto"/>
          <w:right w:val="single" w:sz="4" w:space="4" w:color="auto"/>
        </w:pBdr>
      </w:pPr>
      <w:r w:rsidRPr="00597673">
        <w:t>не е приложимо</w:t>
      </w:r>
    </w:p>
    <w:p w14:paraId="4776A2C2" w14:textId="77777777" w:rsidR="00AC2BE5" w:rsidRPr="00597673" w:rsidRDefault="00AC2BE5">
      <w:pPr>
        <w:rPr>
          <w:noProof/>
        </w:rPr>
        <w:sectPr w:rsidR="00AC2BE5" w:rsidRPr="00597673" w:rsidSect="00F222D4">
          <w:footnotePr>
            <w:numRestart w:val="eachSect"/>
          </w:footnotePr>
          <w:pgSz w:w="11907" w:h="16840" w:code="9"/>
          <w:pgMar w:top="1134" w:right="1418" w:bottom="1134" w:left="1418" w:header="709" w:footer="709" w:gutter="0"/>
          <w:cols w:space="708"/>
          <w:docGrid w:linePitch="360"/>
        </w:sectPr>
      </w:pPr>
    </w:p>
    <w:p w14:paraId="2D4EC259" w14:textId="77777777" w:rsidR="00AC2BE5" w:rsidRPr="00597673" w:rsidRDefault="00AC2BE5">
      <w:pPr>
        <w:pStyle w:val="ManualHeading1"/>
        <w:rPr>
          <w:bCs/>
          <w:noProof/>
          <w:szCs w:val="24"/>
        </w:rPr>
      </w:pPr>
      <w:bookmarkStart w:id="78" w:name="_Toc514938041"/>
      <w:bookmarkStart w:id="79" w:name="_Toc520485042"/>
      <w:bookmarkStart w:id="80" w:name="_Toc160804584"/>
      <w:bookmarkStart w:id="81" w:name="_Toc167220276"/>
      <w:bookmarkStart w:id="82" w:name="_Toc177549009"/>
      <w:r w:rsidRPr="00597673">
        <w:t>2.</w:t>
      </w:r>
      <w:r w:rsidRPr="00597673">
        <w:tab/>
        <w:t>МЕРКИ ЗА УПРАВЛЕНИЕ</w:t>
      </w:r>
      <w:bookmarkEnd w:id="78"/>
      <w:bookmarkEnd w:id="79"/>
      <w:bookmarkEnd w:id="80"/>
      <w:bookmarkEnd w:id="81"/>
      <w:bookmarkEnd w:id="82"/>
      <w:r w:rsidRPr="00597673">
        <w:t xml:space="preserve"> </w:t>
      </w:r>
    </w:p>
    <w:p w14:paraId="418289F4" w14:textId="77777777" w:rsidR="00AC2BE5" w:rsidRPr="00597673" w:rsidRDefault="00AC2BE5">
      <w:pPr>
        <w:pStyle w:val="ManualHeading2"/>
        <w:rPr>
          <w:noProof/>
        </w:rPr>
      </w:pPr>
      <w:bookmarkStart w:id="83" w:name="_Toc514938042"/>
      <w:bookmarkStart w:id="84" w:name="_Toc520485043"/>
      <w:bookmarkStart w:id="85" w:name="_Toc160804585"/>
      <w:bookmarkStart w:id="86" w:name="_Toc167220277"/>
      <w:bookmarkStart w:id="87" w:name="_Toc177549010"/>
      <w:r w:rsidRPr="00597673">
        <w:t>2.1.</w:t>
      </w:r>
      <w:r w:rsidRPr="00597673">
        <w:tab/>
        <w:t>Правила за мониторинг и докладване</w:t>
      </w:r>
      <w:bookmarkEnd w:id="83"/>
      <w:bookmarkEnd w:id="84"/>
      <w:bookmarkEnd w:id="85"/>
      <w:bookmarkEnd w:id="86"/>
      <w:bookmarkEnd w:id="87"/>
      <w:r w:rsidRPr="00597673">
        <w:t xml:space="preserve"> </w:t>
      </w:r>
    </w:p>
    <w:p w14:paraId="47F32344" w14:textId="77777777" w:rsidR="00AC2BE5" w:rsidRPr="00597673" w:rsidRDefault="00EA013E">
      <w:pPr>
        <w:pStyle w:val="Text1"/>
        <w:pBdr>
          <w:top w:val="single" w:sz="4" w:space="1" w:color="auto"/>
          <w:left w:val="single" w:sz="4" w:space="4" w:color="auto"/>
          <w:bottom w:val="single" w:sz="4" w:space="1" w:color="auto"/>
          <w:right w:val="single" w:sz="4" w:space="4" w:color="auto"/>
        </w:pBdr>
        <w:rPr>
          <w:noProof/>
        </w:rPr>
      </w:pPr>
      <w:r w:rsidRPr="00597673">
        <w:t>не е приложимо</w:t>
      </w:r>
    </w:p>
    <w:p w14:paraId="559CC86F" w14:textId="77777777" w:rsidR="00AC2BE5" w:rsidRPr="00597673" w:rsidRDefault="00AC2BE5">
      <w:pPr>
        <w:pStyle w:val="ManualHeading2"/>
        <w:rPr>
          <w:bCs/>
          <w:noProof/>
          <w:szCs w:val="24"/>
        </w:rPr>
      </w:pPr>
      <w:bookmarkStart w:id="88" w:name="_Toc514938045"/>
      <w:bookmarkStart w:id="89" w:name="_Toc520485044"/>
      <w:bookmarkStart w:id="90" w:name="_Toc160804586"/>
      <w:bookmarkStart w:id="91" w:name="_Toc167220278"/>
      <w:bookmarkStart w:id="92" w:name="_Toc177549011"/>
      <w:r w:rsidRPr="00597673">
        <w:t>2.2.</w:t>
      </w:r>
      <w:r w:rsidRPr="00597673">
        <w:tab/>
        <w:t>Системи за управление и контрол</w:t>
      </w:r>
      <w:bookmarkEnd w:id="88"/>
      <w:bookmarkEnd w:id="89"/>
      <w:bookmarkEnd w:id="90"/>
      <w:bookmarkEnd w:id="91"/>
      <w:bookmarkEnd w:id="92"/>
      <w:r w:rsidRPr="00597673">
        <w:t xml:space="preserve"> </w:t>
      </w:r>
    </w:p>
    <w:p w14:paraId="7AC23744" w14:textId="77777777" w:rsidR="00AC2BE5" w:rsidRPr="00597673" w:rsidRDefault="00AC2BE5">
      <w:pPr>
        <w:pStyle w:val="ManualHeading3"/>
        <w:rPr>
          <w:noProof/>
        </w:rPr>
      </w:pPr>
      <w:bookmarkStart w:id="93" w:name="_Toc514938046"/>
      <w:bookmarkStart w:id="94" w:name="_Toc520485045"/>
      <w:bookmarkStart w:id="95" w:name="_Toc160804587"/>
      <w:bookmarkStart w:id="96" w:name="_Toc167220279"/>
      <w:bookmarkStart w:id="97" w:name="_Toc177549012"/>
      <w:r w:rsidRPr="00597673">
        <w:t>2.2.1.</w:t>
      </w:r>
      <w:r w:rsidRPr="00597673">
        <w:tab/>
        <w:t>Обосновка на предложените методи на изпълнение на бюджета, механизми за осъществяване на финансирането, начини за плащане и стратегия за контрол</w:t>
      </w:r>
      <w:bookmarkEnd w:id="93"/>
      <w:bookmarkEnd w:id="94"/>
      <w:bookmarkEnd w:id="95"/>
      <w:bookmarkEnd w:id="96"/>
      <w:bookmarkEnd w:id="97"/>
    </w:p>
    <w:p w14:paraId="07CF2FF5" w14:textId="77777777" w:rsidR="00EA013E" w:rsidRPr="00597673" w:rsidRDefault="00EA013E" w:rsidP="00EA013E">
      <w:pPr>
        <w:pStyle w:val="Text1"/>
        <w:pBdr>
          <w:top w:val="single" w:sz="4" w:space="1" w:color="auto"/>
          <w:left w:val="single" w:sz="4" w:space="4" w:color="auto"/>
          <w:bottom w:val="single" w:sz="4" w:space="1" w:color="auto"/>
          <w:right w:val="single" w:sz="4" w:space="4" w:color="auto"/>
        </w:pBdr>
        <w:rPr>
          <w:noProof/>
        </w:rPr>
      </w:pPr>
      <w:r w:rsidRPr="00597673">
        <w:t>не е приложимо</w:t>
      </w:r>
    </w:p>
    <w:p w14:paraId="326F6E0C" w14:textId="77777777" w:rsidR="001D17F1" w:rsidRPr="00597673" w:rsidRDefault="00AC2BE5" w:rsidP="001D17F1">
      <w:pPr>
        <w:pStyle w:val="ManualHeading3"/>
      </w:pPr>
      <w:r w:rsidRPr="00597673">
        <w:t>2.2.2.</w:t>
      </w:r>
      <w:r w:rsidRPr="00597673">
        <w:tab/>
        <w:t>Информация относно установените рискове и системите за вътрешен контрол, създадени с цел намаляването им</w:t>
      </w:r>
    </w:p>
    <w:p w14:paraId="77DD83FE" w14:textId="77777777" w:rsidR="001D17F1" w:rsidRPr="00597673" w:rsidRDefault="00EA013E" w:rsidP="001D17F1">
      <w:pPr>
        <w:pStyle w:val="Text1"/>
        <w:pBdr>
          <w:top w:val="single" w:sz="4" w:space="1" w:color="auto"/>
          <w:left w:val="single" w:sz="4" w:space="4" w:color="auto"/>
          <w:bottom w:val="single" w:sz="4" w:space="1" w:color="auto"/>
          <w:right w:val="single" w:sz="4" w:space="4" w:color="auto"/>
        </w:pBdr>
      </w:pPr>
      <w:r w:rsidRPr="00597673">
        <w:t>не е приложимо</w:t>
      </w:r>
    </w:p>
    <w:p w14:paraId="081DABFA" w14:textId="77777777" w:rsidR="001D17F1" w:rsidRPr="00597673" w:rsidRDefault="00AC2BE5" w:rsidP="005D0C3B">
      <w:pPr>
        <w:pStyle w:val="Text1"/>
        <w:ind w:left="0"/>
        <w:rPr>
          <w:noProof/>
        </w:rPr>
      </w:pPr>
      <w:r w:rsidRPr="00597673">
        <w:t>2</w:t>
      </w:r>
      <w:r w:rsidRPr="00597673">
        <w:rPr>
          <w:i/>
        </w:rPr>
        <w:t>.2.3.</w:t>
      </w:r>
      <w:r w:rsidRPr="00597673">
        <w:tab/>
      </w:r>
      <w:r w:rsidRPr="00597673">
        <w:rPr>
          <w:i/>
        </w:rPr>
        <w:t>Оценка и обосновка на разходната ефективност на контрола (съотношение между разходите за контрол и стойността на съответните управлявани средства) и оценка на очакваната степен на риска от грешки (при плащане и при приключване)</w:t>
      </w:r>
      <w:r w:rsidRPr="00597673">
        <w:t xml:space="preserve"> </w:t>
      </w:r>
    </w:p>
    <w:p w14:paraId="755B3D4E" w14:textId="77777777" w:rsidR="00AC2BE5" w:rsidRPr="00597673" w:rsidRDefault="00EA013E" w:rsidP="001D17F1">
      <w:pPr>
        <w:pStyle w:val="Text1"/>
        <w:pBdr>
          <w:top w:val="single" w:sz="4" w:space="1" w:color="auto"/>
          <w:left w:val="single" w:sz="4" w:space="4" w:color="auto"/>
          <w:bottom w:val="single" w:sz="4" w:space="1" w:color="auto"/>
          <w:right w:val="single" w:sz="4" w:space="4" w:color="auto"/>
        </w:pBdr>
      </w:pPr>
      <w:r w:rsidRPr="00597673">
        <w:t>не е приложимо</w:t>
      </w:r>
    </w:p>
    <w:p w14:paraId="484BCEF9" w14:textId="77777777" w:rsidR="00AC2BE5" w:rsidRPr="00597673" w:rsidRDefault="00AC2BE5">
      <w:pPr>
        <w:pStyle w:val="ManualHeading2"/>
        <w:rPr>
          <w:bCs/>
          <w:noProof/>
          <w:szCs w:val="24"/>
        </w:rPr>
      </w:pPr>
      <w:bookmarkStart w:id="98" w:name="_Toc514938049"/>
      <w:bookmarkStart w:id="99" w:name="_Toc520485048"/>
      <w:bookmarkStart w:id="100" w:name="_Toc160804590"/>
      <w:bookmarkStart w:id="101" w:name="_Toc167220282"/>
      <w:bookmarkStart w:id="102" w:name="_Toc177549015"/>
      <w:r w:rsidRPr="00597673">
        <w:t>2.3.</w:t>
      </w:r>
      <w:r w:rsidRPr="00597673">
        <w:tab/>
        <w:t>Мерки за предотвратяване на измами и нередности</w:t>
      </w:r>
      <w:bookmarkEnd w:id="98"/>
      <w:bookmarkEnd w:id="99"/>
      <w:bookmarkEnd w:id="100"/>
      <w:bookmarkEnd w:id="101"/>
      <w:bookmarkEnd w:id="102"/>
      <w:r w:rsidRPr="00597673">
        <w:t xml:space="preserve"> </w:t>
      </w:r>
    </w:p>
    <w:p w14:paraId="1F500731" w14:textId="77777777" w:rsidR="00EA013E" w:rsidRPr="00597673" w:rsidRDefault="00EA013E" w:rsidP="00EA013E">
      <w:pPr>
        <w:pStyle w:val="Text1"/>
        <w:pBdr>
          <w:top w:val="single" w:sz="4" w:space="1" w:color="auto"/>
          <w:left w:val="single" w:sz="4" w:space="4" w:color="auto"/>
          <w:bottom w:val="single" w:sz="4" w:space="1" w:color="auto"/>
          <w:right w:val="single" w:sz="4" w:space="4" w:color="auto"/>
        </w:pBdr>
      </w:pPr>
      <w:r w:rsidRPr="00597673">
        <w:t>не е приложимо</w:t>
      </w:r>
    </w:p>
    <w:p w14:paraId="5C30A962" w14:textId="77777777" w:rsidR="00AC2BE5" w:rsidRPr="00597673" w:rsidRDefault="00AC2BE5">
      <w:pPr>
        <w:rPr>
          <w:noProof/>
        </w:rPr>
        <w:sectPr w:rsidR="00AC2BE5" w:rsidRPr="00597673" w:rsidSect="00F222D4">
          <w:pgSz w:w="11907" w:h="16840" w:code="9"/>
          <w:pgMar w:top="1134" w:right="1418" w:bottom="1134" w:left="1418" w:header="709" w:footer="709" w:gutter="0"/>
          <w:cols w:space="708"/>
          <w:docGrid w:linePitch="360"/>
        </w:sectPr>
      </w:pPr>
    </w:p>
    <w:p w14:paraId="51DEF27C" w14:textId="77777777" w:rsidR="00044D5B" w:rsidRPr="00597673" w:rsidRDefault="00AC2BE5" w:rsidP="00044D5B">
      <w:pPr>
        <w:pStyle w:val="ManualHeading2"/>
        <w:rPr>
          <w:noProof/>
        </w:rPr>
      </w:pPr>
      <w:bookmarkStart w:id="103" w:name="_Toc514938050"/>
      <w:bookmarkStart w:id="104" w:name="_Toc520485049"/>
      <w:bookmarkStart w:id="105" w:name="_Toc160804591"/>
      <w:bookmarkStart w:id="106" w:name="_Toc167220283"/>
      <w:bookmarkStart w:id="107" w:name="_Toc177549016"/>
      <w:r w:rsidRPr="00597673">
        <w:t>3.</w:t>
      </w:r>
      <w:r w:rsidRPr="00597673">
        <w:tab/>
        <w:t>ОЧАКВАНО ФИНАНСОВО ОТРАЖЕНИЕ НА ПРЕДЛОЖЕНИЕТО/ИНИЦИАТИВАТА</w:t>
      </w:r>
      <w:bookmarkEnd w:id="103"/>
      <w:bookmarkEnd w:id="104"/>
      <w:bookmarkEnd w:id="105"/>
      <w:bookmarkEnd w:id="106"/>
      <w:bookmarkEnd w:id="107"/>
      <w:r w:rsidRPr="00597673">
        <w:t> 3.1.</w:t>
      </w:r>
      <w:r w:rsidRPr="00597673">
        <w:tab/>
        <w:t xml:space="preserve">Съответни функции от многогодишната финансова рамка и разходни бюджетни редове </w:t>
      </w:r>
    </w:p>
    <w:p w14:paraId="71096FBD" w14:textId="77777777" w:rsidR="00044D5B" w:rsidRPr="00597673" w:rsidRDefault="00044D5B" w:rsidP="00044D5B">
      <w:pPr>
        <w:pStyle w:val="ListBullet1"/>
        <w:rPr>
          <w:noProof/>
        </w:rPr>
      </w:pPr>
      <w:r w:rsidRPr="00597673">
        <w:t xml:space="preserve">Съществуващи бюджетни редове </w:t>
      </w:r>
    </w:p>
    <w:p w14:paraId="121086B2" w14:textId="77777777" w:rsidR="00044D5B" w:rsidRPr="00597673" w:rsidRDefault="00044D5B" w:rsidP="00044D5B">
      <w:pPr>
        <w:pStyle w:val="Text1"/>
        <w:rPr>
          <w:i/>
          <w:noProof/>
        </w:rPr>
      </w:pPr>
      <w:r w:rsidRPr="00597673">
        <w:rPr>
          <w:i/>
          <w:u w:val="single"/>
        </w:rPr>
        <w:t>По реда</w:t>
      </w:r>
      <w:r w:rsidRPr="00597673">
        <w:rPr>
          <w:i/>
        </w:rPr>
        <w:t xml:space="preserve"> на функциите от многогодишната финансова рамка и на бюджетните редове.</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2"/>
        <w:gridCol w:w="4002"/>
        <w:gridCol w:w="1092"/>
        <w:gridCol w:w="966"/>
        <w:gridCol w:w="1092"/>
        <w:gridCol w:w="966"/>
        <w:gridCol w:w="1463"/>
      </w:tblGrid>
      <w:tr w:rsidR="008B3C27" w:rsidRPr="00597673" w14:paraId="0A3DECE5" w14:textId="77777777">
        <w:trPr>
          <w:jc w:val="center"/>
        </w:trPr>
        <w:tc>
          <w:tcPr>
            <w:tcW w:w="1092" w:type="dxa"/>
            <w:vMerge w:val="restart"/>
            <w:vAlign w:val="center"/>
          </w:tcPr>
          <w:p w14:paraId="1F0C16D5" w14:textId="77777777" w:rsidR="00044D5B" w:rsidRPr="00597673" w:rsidRDefault="00044D5B">
            <w:pPr>
              <w:spacing w:before="60" w:after="60"/>
              <w:jc w:val="center"/>
              <w:rPr>
                <w:noProof/>
              </w:rPr>
            </w:pPr>
            <w:r w:rsidRPr="00597673">
              <w:rPr>
                <w:sz w:val="18"/>
              </w:rPr>
              <w:t>Функция от многогодишната финансова рамка</w:t>
            </w:r>
          </w:p>
        </w:tc>
        <w:tc>
          <w:tcPr>
            <w:tcW w:w="4002" w:type="dxa"/>
            <w:vAlign w:val="center"/>
          </w:tcPr>
          <w:p w14:paraId="2DD4BDC0" w14:textId="77777777" w:rsidR="00044D5B" w:rsidRPr="00597673" w:rsidRDefault="00044D5B">
            <w:pPr>
              <w:spacing w:before="60" w:after="60"/>
              <w:jc w:val="center"/>
              <w:rPr>
                <w:noProof/>
              </w:rPr>
            </w:pPr>
            <w:r w:rsidRPr="00597673">
              <w:rPr>
                <w:sz w:val="20"/>
              </w:rPr>
              <w:t>Бюджетен ред</w:t>
            </w:r>
          </w:p>
        </w:tc>
        <w:tc>
          <w:tcPr>
            <w:tcW w:w="1092" w:type="dxa"/>
            <w:vAlign w:val="center"/>
          </w:tcPr>
          <w:p w14:paraId="55803675" w14:textId="77777777" w:rsidR="00044D5B" w:rsidRPr="00597673" w:rsidRDefault="00044D5B">
            <w:pPr>
              <w:spacing w:before="60" w:after="60"/>
              <w:jc w:val="center"/>
              <w:rPr>
                <w:noProof/>
              </w:rPr>
            </w:pPr>
            <w:r w:rsidRPr="00597673">
              <w:rPr>
                <w:sz w:val="18"/>
              </w:rPr>
              <w:t>Вид на разхода</w:t>
            </w:r>
          </w:p>
        </w:tc>
        <w:tc>
          <w:tcPr>
            <w:tcW w:w="4487" w:type="dxa"/>
            <w:gridSpan w:val="4"/>
            <w:vAlign w:val="center"/>
          </w:tcPr>
          <w:p w14:paraId="32B5F9D3" w14:textId="77777777" w:rsidR="00044D5B" w:rsidRPr="00597673" w:rsidRDefault="00044D5B">
            <w:pPr>
              <w:spacing w:before="60" w:after="60"/>
              <w:jc w:val="center"/>
              <w:rPr>
                <w:noProof/>
              </w:rPr>
            </w:pPr>
            <w:r w:rsidRPr="00597673">
              <w:rPr>
                <w:sz w:val="20"/>
              </w:rPr>
              <w:t xml:space="preserve">Финансов принос </w:t>
            </w:r>
          </w:p>
        </w:tc>
      </w:tr>
      <w:tr w:rsidR="008B3C27" w:rsidRPr="00597673" w14:paraId="20DBDC53" w14:textId="77777777">
        <w:trPr>
          <w:cantSplit/>
          <w:jc w:val="center"/>
        </w:trPr>
        <w:tc>
          <w:tcPr>
            <w:tcW w:w="1092" w:type="dxa"/>
            <w:vMerge/>
            <w:vAlign w:val="center"/>
          </w:tcPr>
          <w:p w14:paraId="04B5CD7C" w14:textId="77777777" w:rsidR="00044D5B" w:rsidRPr="00597673" w:rsidRDefault="00044D5B">
            <w:pPr>
              <w:jc w:val="center"/>
              <w:rPr>
                <w:noProof/>
              </w:rPr>
            </w:pPr>
          </w:p>
        </w:tc>
        <w:tc>
          <w:tcPr>
            <w:tcW w:w="4002" w:type="dxa"/>
            <w:vAlign w:val="center"/>
          </w:tcPr>
          <w:p w14:paraId="4D98BBAD" w14:textId="77777777" w:rsidR="00044D5B" w:rsidRPr="00597673" w:rsidRDefault="00044D5B">
            <w:pPr>
              <w:rPr>
                <w:noProof/>
              </w:rPr>
            </w:pPr>
            <w:r w:rsidRPr="00597673">
              <w:rPr>
                <w:sz w:val="20"/>
              </w:rPr>
              <w:t xml:space="preserve">Номер </w:t>
            </w:r>
            <w:r w:rsidRPr="00597673">
              <w:t xml:space="preserve"> </w:t>
            </w:r>
            <w:r w:rsidRPr="00597673">
              <w:br/>
            </w:r>
          </w:p>
        </w:tc>
        <w:tc>
          <w:tcPr>
            <w:tcW w:w="1092" w:type="dxa"/>
            <w:vAlign w:val="center"/>
          </w:tcPr>
          <w:p w14:paraId="7764CD70" w14:textId="77777777" w:rsidR="00044D5B" w:rsidRPr="00597673" w:rsidRDefault="00044D5B">
            <w:pPr>
              <w:jc w:val="center"/>
              <w:rPr>
                <w:noProof/>
              </w:rPr>
            </w:pPr>
            <w:r w:rsidRPr="00597673">
              <w:rPr>
                <w:sz w:val="18"/>
              </w:rPr>
              <w:t>Многогод./едногод.</w:t>
            </w:r>
            <w:r w:rsidRPr="00597673">
              <w:rPr>
                <w:rStyle w:val="FootnoteReference"/>
                <w:noProof/>
                <w:sz w:val="18"/>
              </w:rPr>
              <w:footnoteReference w:id="40"/>
            </w:r>
          </w:p>
        </w:tc>
        <w:tc>
          <w:tcPr>
            <w:tcW w:w="966" w:type="dxa"/>
            <w:vAlign w:val="center"/>
          </w:tcPr>
          <w:p w14:paraId="712A299C" w14:textId="77777777" w:rsidR="00044D5B" w:rsidRPr="00597673" w:rsidRDefault="00044D5B">
            <w:pPr>
              <w:jc w:val="center"/>
              <w:rPr>
                <w:b/>
                <w:noProof/>
                <w:sz w:val="18"/>
              </w:rPr>
            </w:pPr>
            <w:r w:rsidRPr="00597673">
              <w:rPr>
                <w:sz w:val="18"/>
              </w:rPr>
              <w:t>от държави от ЕАСТ</w:t>
            </w:r>
            <w:r w:rsidRPr="00597673">
              <w:rPr>
                <w:rStyle w:val="FootnoteReference"/>
                <w:noProof/>
                <w:sz w:val="18"/>
              </w:rPr>
              <w:footnoteReference w:id="41"/>
            </w:r>
          </w:p>
        </w:tc>
        <w:tc>
          <w:tcPr>
            <w:tcW w:w="1092" w:type="dxa"/>
            <w:vAlign w:val="center"/>
          </w:tcPr>
          <w:p w14:paraId="798B4379" w14:textId="77777777" w:rsidR="00044D5B" w:rsidRPr="00597673" w:rsidRDefault="00044D5B">
            <w:pPr>
              <w:jc w:val="center"/>
              <w:rPr>
                <w:noProof/>
                <w:sz w:val="18"/>
              </w:rPr>
            </w:pPr>
            <w:r w:rsidRPr="00597673">
              <w:rPr>
                <w:sz w:val="18"/>
              </w:rPr>
              <w:t>от държави кандидатки и потенциални кандидати</w:t>
            </w:r>
            <w:r w:rsidRPr="00597673">
              <w:rPr>
                <w:rStyle w:val="FootnoteReference"/>
                <w:noProof/>
                <w:sz w:val="18"/>
              </w:rPr>
              <w:footnoteReference w:id="42"/>
            </w:r>
          </w:p>
        </w:tc>
        <w:tc>
          <w:tcPr>
            <w:tcW w:w="966" w:type="dxa"/>
            <w:vAlign w:val="center"/>
          </w:tcPr>
          <w:p w14:paraId="6EA87842" w14:textId="77777777" w:rsidR="00044D5B" w:rsidRPr="00597673" w:rsidRDefault="00044D5B">
            <w:pPr>
              <w:jc w:val="center"/>
              <w:rPr>
                <w:noProof/>
                <w:sz w:val="18"/>
              </w:rPr>
            </w:pPr>
            <w:r w:rsidRPr="00597673">
              <w:rPr>
                <w:sz w:val="18"/>
              </w:rPr>
              <w:t>От други трети държави</w:t>
            </w:r>
          </w:p>
        </w:tc>
        <w:tc>
          <w:tcPr>
            <w:tcW w:w="1463" w:type="dxa"/>
            <w:vAlign w:val="center"/>
          </w:tcPr>
          <w:p w14:paraId="501A6D31" w14:textId="77777777" w:rsidR="00044D5B" w:rsidRPr="00597673" w:rsidRDefault="00044D5B">
            <w:pPr>
              <w:jc w:val="center"/>
              <w:rPr>
                <w:noProof/>
              </w:rPr>
            </w:pPr>
            <w:r w:rsidRPr="00597673">
              <w:rPr>
                <w:sz w:val="18"/>
              </w:rPr>
              <w:t>други целеви приходи</w:t>
            </w:r>
          </w:p>
        </w:tc>
      </w:tr>
      <w:tr w:rsidR="00983E98" w:rsidRPr="00597673" w14:paraId="030EFE53" w14:textId="77777777">
        <w:trPr>
          <w:jc w:val="center"/>
        </w:trPr>
        <w:tc>
          <w:tcPr>
            <w:tcW w:w="1092" w:type="dxa"/>
            <w:vAlign w:val="center"/>
          </w:tcPr>
          <w:p w14:paraId="2DA028BB" w14:textId="77777777" w:rsidR="00044D5B" w:rsidRPr="00597673" w:rsidRDefault="00044D5B">
            <w:pPr>
              <w:jc w:val="center"/>
              <w:rPr>
                <w:noProof/>
                <w:color w:val="0000FF"/>
              </w:rPr>
            </w:pPr>
          </w:p>
        </w:tc>
        <w:tc>
          <w:tcPr>
            <w:tcW w:w="4002" w:type="dxa"/>
            <w:vAlign w:val="center"/>
          </w:tcPr>
          <w:p w14:paraId="744759D5" w14:textId="77777777" w:rsidR="00044D5B" w:rsidRPr="00597673" w:rsidRDefault="00044D5B">
            <w:pPr>
              <w:spacing w:before="60"/>
              <w:rPr>
                <w:noProof/>
              </w:rPr>
            </w:pPr>
            <w:r w:rsidRPr="00597673">
              <w:rPr>
                <w:sz w:val="22"/>
              </w:rPr>
              <w:t>[XX.YY.YY.YY]</w:t>
            </w:r>
          </w:p>
          <w:p w14:paraId="704E40A7" w14:textId="77777777" w:rsidR="00044D5B" w:rsidRPr="00597673" w:rsidRDefault="00044D5B">
            <w:pPr>
              <w:spacing w:after="60"/>
              <w:rPr>
                <w:noProof/>
              </w:rPr>
            </w:pPr>
          </w:p>
        </w:tc>
        <w:tc>
          <w:tcPr>
            <w:tcW w:w="1092" w:type="dxa"/>
            <w:vAlign w:val="center"/>
          </w:tcPr>
          <w:p w14:paraId="051345AD" w14:textId="77777777" w:rsidR="00044D5B" w:rsidRPr="00597673" w:rsidRDefault="00044D5B">
            <w:pPr>
              <w:jc w:val="center"/>
              <w:rPr>
                <w:noProof/>
                <w:color w:val="0000FF"/>
              </w:rPr>
            </w:pPr>
            <w:r w:rsidRPr="00597673">
              <w:rPr>
                <w:sz w:val="22"/>
              </w:rPr>
              <w:t>Многогод./едногод.</w:t>
            </w:r>
          </w:p>
        </w:tc>
        <w:tc>
          <w:tcPr>
            <w:tcW w:w="966" w:type="dxa"/>
            <w:vAlign w:val="center"/>
          </w:tcPr>
          <w:p w14:paraId="4F64ACD4" w14:textId="77777777" w:rsidR="00044D5B" w:rsidRPr="00597673" w:rsidRDefault="00044D5B">
            <w:pPr>
              <w:jc w:val="center"/>
              <w:rPr>
                <w:noProof/>
                <w:sz w:val="20"/>
                <w:szCs w:val="20"/>
              </w:rPr>
            </w:pPr>
            <w:r w:rsidRPr="00597673">
              <w:rPr>
                <w:sz w:val="20"/>
              </w:rPr>
              <w:t>ДА/НЕ</w:t>
            </w:r>
          </w:p>
        </w:tc>
        <w:tc>
          <w:tcPr>
            <w:tcW w:w="1092" w:type="dxa"/>
            <w:vAlign w:val="center"/>
          </w:tcPr>
          <w:p w14:paraId="64471695" w14:textId="77777777" w:rsidR="00044D5B" w:rsidRPr="00597673" w:rsidRDefault="00044D5B">
            <w:pPr>
              <w:jc w:val="center"/>
              <w:rPr>
                <w:noProof/>
                <w:sz w:val="20"/>
                <w:szCs w:val="20"/>
              </w:rPr>
            </w:pPr>
            <w:r w:rsidRPr="00597673">
              <w:rPr>
                <w:sz w:val="20"/>
              </w:rPr>
              <w:t>ДА/НЕ</w:t>
            </w:r>
          </w:p>
        </w:tc>
        <w:tc>
          <w:tcPr>
            <w:tcW w:w="966" w:type="dxa"/>
            <w:vAlign w:val="center"/>
          </w:tcPr>
          <w:p w14:paraId="163A3C9B" w14:textId="77777777" w:rsidR="00044D5B" w:rsidRPr="00597673" w:rsidRDefault="00044D5B">
            <w:pPr>
              <w:jc w:val="center"/>
              <w:rPr>
                <w:noProof/>
                <w:sz w:val="20"/>
                <w:szCs w:val="20"/>
              </w:rPr>
            </w:pPr>
            <w:r w:rsidRPr="00597673">
              <w:rPr>
                <w:sz w:val="20"/>
              </w:rPr>
              <w:t>ДА/НЕ</w:t>
            </w:r>
          </w:p>
        </w:tc>
        <w:tc>
          <w:tcPr>
            <w:tcW w:w="1463" w:type="dxa"/>
            <w:vAlign w:val="center"/>
          </w:tcPr>
          <w:p w14:paraId="5333BE0E" w14:textId="77777777" w:rsidR="00044D5B" w:rsidRPr="00597673" w:rsidRDefault="00044D5B">
            <w:pPr>
              <w:jc w:val="center"/>
              <w:rPr>
                <w:noProof/>
                <w:sz w:val="20"/>
                <w:szCs w:val="20"/>
              </w:rPr>
            </w:pPr>
            <w:r w:rsidRPr="00597673">
              <w:rPr>
                <w:sz w:val="20"/>
              </w:rPr>
              <w:t>ДА/НЕ</w:t>
            </w:r>
          </w:p>
        </w:tc>
      </w:tr>
      <w:tr w:rsidR="00983E98" w:rsidRPr="00597673" w14:paraId="68DD8A0B" w14:textId="77777777">
        <w:trPr>
          <w:jc w:val="center"/>
        </w:trPr>
        <w:tc>
          <w:tcPr>
            <w:tcW w:w="1092" w:type="dxa"/>
            <w:vAlign w:val="center"/>
          </w:tcPr>
          <w:p w14:paraId="713F6475" w14:textId="77777777" w:rsidR="00044D5B" w:rsidRPr="00597673" w:rsidRDefault="00044D5B">
            <w:pPr>
              <w:jc w:val="center"/>
              <w:rPr>
                <w:noProof/>
                <w:color w:val="0000FF"/>
              </w:rPr>
            </w:pPr>
          </w:p>
        </w:tc>
        <w:tc>
          <w:tcPr>
            <w:tcW w:w="4002" w:type="dxa"/>
            <w:vAlign w:val="center"/>
          </w:tcPr>
          <w:p w14:paraId="27FDC016" w14:textId="77777777" w:rsidR="00044D5B" w:rsidRPr="00597673" w:rsidRDefault="00044D5B">
            <w:pPr>
              <w:spacing w:before="60"/>
              <w:rPr>
                <w:noProof/>
              </w:rPr>
            </w:pPr>
            <w:r w:rsidRPr="00597673">
              <w:rPr>
                <w:sz w:val="22"/>
              </w:rPr>
              <w:t>[XX.YY.YY.YY]</w:t>
            </w:r>
          </w:p>
          <w:p w14:paraId="4CBEE5D5" w14:textId="77777777" w:rsidR="00044D5B" w:rsidRPr="00597673" w:rsidRDefault="00044D5B">
            <w:pPr>
              <w:spacing w:after="60"/>
              <w:rPr>
                <w:noProof/>
              </w:rPr>
            </w:pPr>
          </w:p>
        </w:tc>
        <w:tc>
          <w:tcPr>
            <w:tcW w:w="1092" w:type="dxa"/>
            <w:vAlign w:val="center"/>
          </w:tcPr>
          <w:p w14:paraId="5283EE0D" w14:textId="77777777" w:rsidR="00044D5B" w:rsidRPr="00597673" w:rsidRDefault="00044D5B">
            <w:pPr>
              <w:jc w:val="center"/>
              <w:rPr>
                <w:noProof/>
                <w:color w:val="0000FF"/>
              </w:rPr>
            </w:pPr>
            <w:r w:rsidRPr="00597673">
              <w:rPr>
                <w:sz w:val="22"/>
              </w:rPr>
              <w:t>Многогод./едногод.</w:t>
            </w:r>
          </w:p>
        </w:tc>
        <w:tc>
          <w:tcPr>
            <w:tcW w:w="966" w:type="dxa"/>
            <w:vAlign w:val="center"/>
          </w:tcPr>
          <w:p w14:paraId="2A50421D" w14:textId="77777777" w:rsidR="00044D5B" w:rsidRPr="00597673" w:rsidRDefault="00044D5B">
            <w:pPr>
              <w:jc w:val="center"/>
              <w:rPr>
                <w:noProof/>
                <w:sz w:val="20"/>
                <w:szCs w:val="20"/>
              </w:rPr>
            </w:pPr>
            <w:r w:rsidRPr="00597673">
              <w:rPr>
                <w:sz w:val="20"/>
              </w:rPr>
              <w:t>ДА/НЕ</w:t>
            </w:r>
          </w:p>
        </w:tc>
        <w:tc>
          <w:tcPr>
            <w:tcW w:w="1092" w:type="dxa"/>
            <w:vAlign w:val="center"/>
          </w:tcPr>
          <w:p w14:paraId="640520C2" w14:textId="77777777" w:rsidR="00044D5B" w:rsidRPr="00597673" w:rsidRDefault="00044D5B">
            <w:pPr>
              <w:jc w:val="center"/>
              <w:rPr>
                <w:noProof/>
                <w:sz w:val="20"/>
                <w:szCs w:val="20"/>
              </w:rPr>
            </w:pPr>
            <w:r w:rsidRPr="00597673">
              <w:rPr>
                <w:sz w:val="20"/>
              </w:rPr>
              <w:t>ДА/НЕ</w:t>
            </w:r>
          </w:p>
        </w:tc>
        <w:tc>
          <w:tcPr>
            <w:tcW w:w="966" w:type="dxa"/>
            <w:vAlign w:val="center"/>
          </w:tcPr>
          <w:p w14:paraId="33C6A498" w14:textId="77777777" w:rsidR="00044D5B" w:rsidRPr="00597673" w:rsidRDefault="00044D5B">
            <w:pPr>
              <w:jc w:val="center"/>
              <w:rPr>
                <w:noProof/>
                <w:sz w:val="20"/>
                <w:szCs w:val="20"/>
              </w:rPr>
            </w:pPr>
            <w:r w:rsidRPr="00597673">
              <w:rPr>
                <w:sz w:val="20"/>
              </w:rPr>
              <w:t>ДА/НЕ</w:t>
            </w:r>
          </w:p>
        </w:tc>
        <w:tc>
          <w:tcPr>
            <w:tcW w:w="1463" w:type="dxa"/>
            <w:vAlign w:val="center"/>
          </w:tcPr>
          <w:p w14:paraId="66A52732" w14:textId="77777777" w:rsidR="00044D5B" w:rsidRPr="00597673" w:rsidRDefault="00044D5B">
            <w:pPr>
              <w:jc w:val="center"/>
              <w:rPr>
                <w:noProof/>
                <w:sz w:val="20"/>
                <w:szCs w:val="20"/>
              </w:rPr>
            </w:pPr>
            <w:r w:rsidRPr="00597673">
              <w:rPr>
                <w:sz w:val="20"/>
              </w:rPr>
              <w:t>ДА/НЕ</w:t>
            </w:r>
          </w:p>
        </w:tc>
      </w:tr>
      <w:tr w:rsidR="00983E98" w:rsidRPr="00597673" w14:paraId="2CA2E88F" w14:textId="77777777">
        <w:trPr>
          <w:jc w:val="center"/>
        </w:trPr>
        <w:tc>
          <w:tcPr>
            <w:tcW w:w="1092" w:type="dxa"/>
            <w:vAlign w:val="center"/>
          </w:tcPr>
          <w:p w14:paraId="1605C2E2" w14:textId="77777777" w:rsidR="00044D5B" w:rsidRPr="00597673" w:rsidRDefault="00044D5B">
            <w:pPr>
              <w:jc w:val="center"/>
              <w:rPr>
                <w:noProof/>
                <w:color w:val="0000FF"/>
              </w:rPr>
            </w:pPr>
          </w:p>
        </w:tc>
        <w:tc>
          <w:tcPr>
            <w:tcW w:w="4002" w:type="dxa"/>
            <w:vAlign w:val="center"/>
          </w:tcPr>
          <w:p w14:paraId="76120761" w14:textId="77777777" w:rsidR="00044D5B" w:rsidRPr="00597673" w:rsidRDefault="00044D5B">
            <w:pPr>
              <w:spacing w:before="60"/>
              <w:rPr>
                <w:noProof/>
              </w:rPr>
            </w:pPr>
            <w:r w:rsidRPr="00597673">
              <w:rPr>
                <w:sz w:val="22"/>
              </w:rPr>
              <w:t>[XX.YY.YY.YY]</w:t>
            </w:r>
          </w:p>
          <w:p w14:paraId="2CB205AE" w14:textId="77777777" w:rsidR="00044D5B" w:rsidRPr="00597673" w:rsidRDefault="00044D5B">
            <w:pPr>
              <w:spacing w:after="60"/>
              <w:rPr>
                <w:noProof/>
              </w:rPr>
            </w:pPr>
          </w:p>
        </w:tc>
        <w:tc>
          <w:tcPr>
            <w:tcW w:w="1092" w:type="dxa"/>
            <w:vAlign w:val="center"/>
          </w:tcPr>
          <w:p w14:paraId="4490BE5A" w14:textId="77777777" w:rsidR="00044D5B" w:rsidRPr="00597673" w:rsidRDefault="00044D5B">
            <w:pPr>
              <w:jc w:val="center"/>
              <w:rPr>
                <w:noProof/>
                <w:color w:val="0000FF"/>
              </w:rPr>
            </w:pPr>
            <w:r w:rsidRPr="00597673">
              <w:rPr>
                <w:sz w:val="22"/>
              </w:rPr>
              <w:t>Многогод./едногод.</w:t>
            </w:r>
          </w:p>
        </w:tc>
        <w:tc>
          <w:tcPr>
            <w:tcW w:w="966" w:type="dxa"/>
            <w:vAlign w:val="center"/>
          </w:tcPr>
          <w:p w14:paraId="7FE349E0" w14:textId="77777777" w:rsidR="00044D5B" w:rsidRPr="00597673" w:rsidRDefault="00044D5B">
            <w:pPr>
              <w:jc w:val="center"/>
              <w:rPr>
                <w:noProof/>
                <w:sz w:val="20"/>
                <w:szCs w:val="20"/>
              </w:rPr>
            </w:pPr>
            <w:r w:rsidRPr="00597673">
              <w:rPr>
                <w:sz w:val="20"/>
              </w:rPr>
              <w:t>ДА/НЕ</w:t>
            </w:r>
          </w:p>
        </w:tc>
        <w:tc>
          <w:tcPr>
            <w:tcW w:w="1092" w:type="dxa"/>
            <w:vAlign w:val="center"/>
          </w:tcPr>
          <w:p w14:paraId="4D9605A5" w14:textId="77777777" w:rsidR="00044D5B" w:rsidRPr="00597673" w:rsidRDefault="00044D5B">
            <w:pPr>
              <w:jc w:val="center"/>
              <w:rPr>
                <w:noProof/>
                <w:sz w:val="20"/>
                <w:szCs w:val="20"/>
              </w:rPr>
            </w:pPr>
            <w:r w:rsidRPr="00597673">
              <w:rPr>
                <w:sz w:val="20"/>
              </w:rPr>
              <w:t>ДА/НЕ</w:t>
            </w:r>
          </w:p>
        </w:tc>
        <w:tc>
          <w:tcPr>
            <w:tcW w:w="966" w:type="dxa"/>
            <w:vAlign w:val="center"/>
          </w:tcPr>
          <w:p w14:paraId="0F635ABE" w14:textId="77777777" w:rsidR="00044D5B" w:rsidRPr="00597673" w:rsidRDefault="00044D5B">
            <w:pPr>
              <w:jc w:val="center"/>
              <w:rPr>
                <w:noProof/>
                <w:sz w:val="20"/>
                <w:szCs w:val="20"/>
              </w:rPr>
            </w:pPr>
            <w:r w:rsidRPr="00597673">
              <w:rPr>
                <w:sz w:val="20"/>
              </w:rPr>
              <w:t>ДА/НЕ</w:t>
            </w:r>
          </w:p>
        </w:tc>
        <w:tc>
          <w:tcPr>
            <w:tcW w:w="1463" w:type="dxa"/>
            <w:vAlign w:val="center"/>
          </w:tcPr>
          <w:p w14:paraId="719CEFA8" w14:textId="77777777" w:rsidR="00044D5B" w:rsidRPr="00597673" w:rsidRDefault="00044D5B">
            <w:pPr>
              <w:jc w:val="center"/>
              <w:rPr>
                <w:noProof/>
                <w:sz w:val="20"/>
                <w:szCs w:val="20"/>
              </w:rPr>
            </w:pPr>
            <w:r w:rsidRPr="00597673">
              <w:rPr>
                <w:sz w:val="20"/>
              </w:rPr>
              <w:t>ДА/НЕ</w:t>
            </w:r>
          </w:p>
        </w:tc>
      </w:tr>
    </w:tbl>
    <w:p w14:paraId="00C0786A" w14:textId="77777777" w:rsidR="00044D5B" w:rsidRPr="00597673" w:rsidRDefault="00044D5B" w:rsidP="00044D5B">
      <w:pPr>
        <w:pStyle w:val="ListBullet1"/>
        <w:rPr>
          <w:noProof/>
        </w:rPr>
      </w:pPr>
      <w:bookmarkStart w:id="108" w:name="_Toc514938051"/>
      <w:bookmarkStart w:id="109" w:name="_Toc520485050"/>
      <w:bookmarkStart w:id="110" w:name="_Toc160804592"/>
      <w:bookmarkStart w:id="111" w:name="_Toc167220284"/>
      <w:bookmarkStart w:id="112" w:name="_Toc177549017"/>
      <w:r w:rsidRPr="00597673">
        <w:t xml:space="preserve">Поискани нови бюджетни редове </w:t>
      </w:r>
    </w:p>
    <w:p w14:paraId="72D83267" w14:textId="77777777" w:rsidR="00044D5B" w:rsidRPr="00597673" w:rsidRDefault="00044D5B" w:rsidP="00044D5B">
      <w:pPr>
        <w:pStyle w:val="Text1"/>
        <w:rPr>
          <w:i/>
          <w:noProof/>
          <w:sz w:val="20"/>
        </w:rPr>
      </w:pPr>
      <w:r w:rsidRPr="00597673">
        <w:rPr>
          <w:i/>
          <w:u w:val="single"/>
        </w:rPr>
        <w:t>По реда</w:t>
      </w:r>
      <w:r w:rsidRPr="00597673">
        <w:rPr>
          <w:i/>
        </w:rPr>
        <w:t xml:space="preserve"> на функциите от многогодишната финансова рамка и на бюджетните редове.</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2"/>
        <w:gridCol w:w="4002"/>
        <w:gridCol w:w="1092"/>
        <w:gridCol w:w="966"/>
        <w:gridCol w:w="1092"/>
        <w:gridCol w:w="966"/>
        <w:gridCol w:w="1463"/>
      </w:tblGrid>
      <w:tr w:rsidR="008B3C27" w:rsidRPr="00597673" w14:paraId="4B97FC40" w14:textId="77777777">
        <w:trPr>
          <w:jc w:val="center"/>
        </w:trPr>
        <w:tc>
          <w:tcPr>
            <w:tcW w:w="1080" w:type="dxa"/>
            <w:vMerge w:val="restart"/>
            <w:vAlign w:val="center"/>
          </w:tcPr>
          <w:p w14:paraId="6B128696" w14:textId="77777777" w:rsidR="00044D5B" w:rsidRPr="00597673" w:rsidRDefault="00044D5B">
            <w:pPr>
              <w:spacing w:before="60" w:after="60"/>
              <w:jc w:val="center"/>
              <w:rPr>
                <w:noProof/>
                <w:sz w:val="18"/>
                <w:szCs w:val="18"/>
              </w:rPr>
            </w:pPr>
            <w:r w:rsidRPr="00597673">
              <w:rPr>
                <w:sz w:val="18"/>
              </w:rPr>
              <w:t>Функция от многогодишната финансова рамка</w:t>
            </w:r>
          </w:p>
        </w:tc>
        <w:tc>
          <w:tcPr>
            <w:tcW w:w="3960" w:type="dxa"/>
            <w:vAlign w:val="center"/>
          </w:tcPr>
          <w:p w14:paraId="40C226E6" w14:textId="77777777" w:rsidR="00044D5B" w:rsidRPr="00597673" w:rsidRDefault="00044D5B">
            <w:pPr>
              <w:spacing w:before="60" w:after="60"/>
              <w:jc w:val="center"/>
              <w:rPr>
                <w:noProof/>
              </w:rPr>
            </w:pPr>
            <w:r w:rsidRPr="00597673">
              <w:rPr>
                <w:sz w:val="20"/>
              </w:rPr>
              <w:t>Бюджетен ред</w:t>
            </w:r>
          </w:p>
        </w:tc>
        <w:tc>
          <w:tcPr>
            <w:tcW w:w="1080" w:type="dxa"/>
            <w:vAlign w:val="center"/>
          </w:tcPr>
          <w:p w14:paraId="735B0983" w14:textId="77777777" w:rsidR="00044D5B" w:rsidRPr="00597673" w:rsidRDefault="00044D5B">
            <w:pPr>
              <w:spacing w:before="60" w:after="60"/>
              <w:jc w:val="center"/>
              <w:rPr>
                <w:noProof/>
              </w:rPr>
            </w:pPr>
            <w:r w:rsidRPr="00597673">
              <w:rPr>
                <w:sz w:val="18"/>
              </w:rPr>
              <w:t>Вид на разхода</w:t>
            </w:r>
          </w:p>
        </w:tc>
        <w:tc>
          <w:tcPr>
            <w:tcW w:w="4440" w:type="dxa"/>
            <w:gridSpan w:val="4"/>
            <w:vAlign w:val="center"/>
          </w:tcPr>
          <w:p w14:paraId="0688DD21" w14:textId="77777777" w:rsidR="00044D5B" w:rsidRPr="00597673" w:rsidRDefault="00044D5B">
            <w:pPr>
              <w:spacing w:before="60" w:after="60"/>
              <w:jc w:val="center"/>
              <w:rPr>
                <w:noProof/>
              </w:rPr>
            </w:pPr>
            <w:r w:rsidRPr="00597673">
              <w:rPr>
                <w:sz w:val="20"/>
              </w:rPr>
              <w:t xml:space="preserve">Финансов принос </w:t>
            </w:r>
          </w:p>
        </w:tc>
      </w:tr>
      <w:tr w:rsidR="008B3C27" w:rsidRPr="00597673" w14:paraId="534C033A" w14:textId="77777777">
        <w:trPr>
          <w:cantSplit/>
          <w:jc w:val="center"/>
        </w:trPr>
        <w:tc>
          <w:tcPr>
            <w:tcW w:w="1080" w:type="dxa"/>
            <w:vMerge/>
            <w:vAlign w:val="center"/>
          </w:tcPr>
          <w:p w14:paraId="20B5051C" w14:textId="77777777" w:rsidR="00044D5B" w:rsidRPr="00597673" w:rsidRDefault="00044D5B">
            <w:pPr>
              <w:jc w:val="center"/>
              <w:rPr>
                <w:noProof/>
              </w:rPr>
            </w:pPr>
          </w:p>
        </w:tc>
        <w:tc>
          <w:tcPr>
            <w:tcW w:w="3960" w:type="dxa"/>
            <w:vAlign w:val="center"/>
          </w:tcPr>
          <w:p w14:paraId="5B91BF30" w14:textId="77777777" w:rsidR="00044D5B" w:rsidRPr="00597673" w:rsidRDefault="00044D5B">
            <w:pPr>
              <w:rPr>
                <w:noProof/>
              </w:rPr>
            </w:pPr>
            <w:r w:rsidRPr="00597673">
              <w:rPr>
                <w:sz w:val="20"/>
              </w:rPr>
              <w:t xml:space="preserve">Номер </w:t>
            </w:r>
            <w:r w:rsidRPr="00597673">
              <w:t xml:space="preserve"> </w:t>
            </w:r>
            <w:r w:rsidRPr="00597673">
              <w:br/>
            </w:r>
          </w:p>
        </w:tc>
        <w:tc>
          <w:tcPr>
            <w:tcW w:w="1080" w:type="dxa"/>
            <w:vAlign w:val="center"/>
          </w:tcPr>
          <w:p w14:paraId="0160813D" w14:textId="77777777" w:rsidR="00044D5B" w:rsidRPr="00597673" w:rsidRDefault="00044D5B">
            <w:pPr>
              <w:jc w:val="center"/>
              <w:rPr>
                <w:noProof/>
              </w:rPr>
            </w:pPr>
            <w:r w:rsidRPr="00597673">
              <w:rPr>
                <w:sz w:val="18"/>
              </w:rPr>
              <w:t>Многогод./едногод.</w:t>
            </w:r>
          </w:p>
        </w:tc>
        <w:tc>
          <w:tcPr>
            <w:tcW w:w="956" w:type="dxa"/>
            <w:vAlign w:val="center"/>
          </w:tcPr>
          <w:p w14:paraId="6E4AAABE" w14:textId="77777777" w:rsidR="00044D5B" w:rsidRPr="00597673" w:rsidRDefault="00044D5B">
            <w:pPr>
              <w:jc w:val="center"/>
              <w:rPr>
                <w:noProof/>
                <w:sz w:val="18"/>
              </w:rPr>
            </w:pPr>
            <w:r w:rsidRPr="00597673">
              <w:rPr>
                <w:sz w:val="18"/>
              </w:rPr>
              <w:t>от държави от ЕАСТ</w:t>
            </w:r>
          </w:p>
        </w:tc>
        <w:tc>
          <w:tcPr>
            <w:tcW w:w="1080" w:type="dxa"/>
            <w:vAlign w:val="center"/>
          </w:tcPr>
          <w:p w14:paraId="418533F6" w14:textId="77777777" w:rsidR="00044D5B" w:rsidRPr="00597673" w:rsidRDefault="00044D5B">
            <w:pPr>
              <w:jc w:val="center"/>
              <w:rPr>
                <w:noProof/>
                <w:sz w:val="18"/>
              </w:rPr>
            </w:pPr>
            <w:r w:rsidRPr="00597673">
              <w:rPr>
                <w:sz w:val="18"/>
              </w:rPr>
              <w:t>от държави кандидатки и потенциални кандидати</w:t>
            </w:r>
          </w:p>
        </w:tc>
        <w:tc>
          <w:tcPr>
            <w:tcW w:w="956" w:type="dxa"/>
            <w:vAlign w:val="center"/>
          </w:tcPr>
          <w:p w14:paraId="2E2729D4" w14:textId="77777777" w:rsidR="00044D5B" w:rsidRPr="00597673" w:rsidRDefault="00044D5B">
            <w:pPr>
              <w:jc w:val="center"/>
              <w:rPr>
                <w:noProof/>
                <w:sz w:val="18"/>
              </w:rPr>
            </w:pPr>
            <w:r w:rsidRPr="00597673">
              <w:rPr>
                <w:sz w:val="18"/>
              </w:rPr>
              <w:t>от други трети държави</w:t>
            </w:r>
          </w:p>
        </w:tc>
        <w:tc>
          <w:tcPr>
            <w:tcW w:w="1448" w:type="dxa"/>
            <w:vAlign w:val="center"/>
          </w:tcPr>
          <w:p w14:paraId="2F7C6C1B" w14:textId="77777777" w:rsidR="00044D5B" w:rsidRPr="00597673" w:rsidRDefault="00044D5B">
            <w:pPr>
              <w:jc w:val="center"/>
              <w:rPr>
                <w:noProof/>
              </w:rPr>
            </w:pPr>
            <w:r w:rsidRPr="00597673">
              <w:rPr>
                <w:sz w:val="18"/>
              </w:rPr>
              <w:t xml:space="preserve">други целеви приходи </w:t>
            </w:r>
          </w:p>
        </w:tc>
      </w:tr>
      <w:tr w:rsidR="008B3C27" w:rsidRPr="00597673" w14:paraId="545109B7" w14:textId="77777777">
        <w:trPr>
          <w:cantSplit/>
          <w:jc w:val="center"/>
        </w:trPr>
        <w:tc>
          <w:tcPr>
            <w:tcW w:w="1080" w:type="dxa"/>
            <w:vAlign w:val="center"/>
          </w:tcPr>
          <w:p w14:paraId="2624A37C" w14:textId="77777777" w:rsidR="00044D5B" w:rsidRPr="00597673" w:rsidRDefault="00044D5B">
            <w:pPr>
              <w:jc w:val="center"/>
              <w:rPr>
                <w:noProof/>
                <w:color w:val="0000FF"/>
              </w:rPr>
            </w:pPr>
          </w:p>
        </w:tc>
        <w:tc>
          <w:tcPr>
            <w:tcW w:w="3960" w:type="dxa"/>
            <w:vAlign w:val="center"/>
          </w:tcPr>
          <w:p w14:paraId="66A09699" w14:textId="77777777" w:rsidR="00044D5B" w:rsidRPr="00597673" w:rsidRDefault="00044D5B">
            <w:pPr>
              <w:spacing w:before="60"/>
              <w:rPr>
                <w:noProof/>
              </w:rPr>
            </w:pPr>
            <w:r w:rsidRPr="00597673">
              <w:rPr>
                <w:sz w:val="22"/>
              </w:rPr>
              <w:t>[XX.YY.YY.YY]</w:t>
            </w:r>
          </w:p>
          <w:p w14:paraId="39BE6185" w14:textId="77777777" w:rsidR="00044D5B" w:rsidRPr="00597673" w:rsidRDefault="00044D5B">
            <w:pPr>
              <w:spacing w:after="60"/>
              <w:rPr>
                <w:noProof/>
              </w:rPr>
            </w:pPr>
          </w:p>
        </w:tc>
        <w:tc>
          <w:tcPr>
            <w:tcW w:w="1080" w:type="dxa"/>
            <w:vAlign w:val="center"/>
          </w:tcPr>
          <w:p w14:paraId="57B00168" w14:textId="77777777" w:rsidR="00044D5B" w:rsidRPr="00597673" w:rsidRDefault="00044D5B">
            <w:pPr>
              <w:jc w:val="center"/>
              <w:rPr>
                <w:noProof/>
                <w:color w:val="0000FF"/>
              </w:rPr>
            </w:pPr>
            <w:r w:rsidRPr="00597673">
              <w:rPr>
                <w:sz w:val="22"/>
              </w:rPr>
              <w:t>Многогод./едногод.</w:t>
            </w:r>
          </w:p>
        </w:tc>
        <w:tc>
          <w:tcPr>
            <w:tcW w:w="956" w:type="dxa"/>
            <w:vAlign w:val="center"/>
          </w:tcPr>
          <w:p w14:paraId="1632E7AC" w14:textId="77777777" w:rsidR="00044D5B" w:rsidRPr="00597673" w:rsidRDefault="00044D5B">
            <w:pPr>
              <w:jc w:val="center"/>
              <w:rPr>
                <w:noProof/>
                <w:sz w:val="20"/>
                <w:szCs w:val="20"/>
              </w:rPr>
            </w:pPr>
            <w:r w:rsidRPr="00597673">
              <w:rPr>
                <w:sz w:val="20"/>
              </w:rPr>
              <w:t>ДА/НЕ</w:t>
            </w:r>
          </w:p>
        </w:tc>
        <w:tc>
          <w:tcPr>
            <w:tcW w:w="1080" w:type="dxa"/>
            <w:vAlign w:val="center"/>
          </w:tcPr>
          <w:p w14:paraId="39EE72BF" w14:textId="77777777" w:rsidR="00044D5B" w:rsidRPr="00597673" w:rsidRDefault="00044D5B">
            <w:pPr>
              <w:jc w:val="center"/>
              <w:rPr>
                <w:noProof/>
                <w:sz w:val="20"/>
                <w:szCs w:val="20"/>
              </w:rPr>
            </w:pPr>
            <w:r w:rsidRPr="00597673">
              <w:rPr>
                <w:sz w:val="20"/>
              </w:rPr>
              <w:t>ДА/НЕ</w:t>
            </w:r>
          </w:p>
        </w:tc>
        <w:tc>
          <w:tcPr>
            <w:tcW w:w="956" w:type="dxa"/>
            <w:vAlign w:val="center"/>
          </w:tcPr>
          <w:p w14:paraId="0BB4EB3F" w14:textId="77777777" w:rsidR="00044D5B" w:rsidRPr="00597673" w:rsidRDefault="00044D5B">
            <w:pPr>
              <w:jc w:val="center"/>
              <w:rPr>
                <w:noProof/>
                <w:sz w:val="20"/>
                <w:szCs w:val="20"/>
              </w:rPr>
            </w:pPr>
            <w:r w:rsidRPr="00597673">
              <w:rPr>
                <w:sz w:val="20"/>
              </w:rPr>
              <w:t>ДА/НЕ</w:t>
            </w:r>
          </w:p>
        </w:tc>
        <w:tc>
          <w:tcPr>
            <w:tcW w:w="1448" w:type="dxa"/>
            <w:vAlign w:val="center"/>
          </w:tcPr>
          <w:p w14:paraId="36B18BE8" w14:textId="77777777" w:rsidR="00044D5B" w:rsidRPr="00597673" w:rsidRDefault="00044D5B">
            <w:pPr>
              <w:jc w:val="center"/>
              <w:rPr>
                <w:noProof/>
                <w:sz w:val="20"/>
                <w:szCs w:val="20"/>
              </w:rPr>
            </w:pPr>
            <w:r w:rsidRPr="00597673">
              <w:rPr>
                <w:sz w:val="20"/>
              </w:rPr>
              <w:t>ДА/НЕ</w:t>
            </w:r>
          </w:p>
        </w:tc>
      </w:tr>
      <w:tr w:rsidR="008B3C27" w:rsidRPr="00597673" w14:paraId="3D8565E2" w14:textId="77777777">
        <w:trPr>
          <w:cantSplit/>
          <w:jc w:val="center"/>
        </w:trPr>
        <w:tc>
          <w:tcPr>
            <w:tcW w:w="1080" w:type="dxa"/>
            <w:vAlign w:val="center"/>
          </w:tcPr>
          <w:p w14:paraId="43EE816E" w14:textId="77777777" w:rsidR="00044D5B" w:rsidRPr="00597673" w:rsidRDefault="00044D5B">
            <w:pPr>
              <w:jc w:val="center"/>
              <w:rPr>
                <w:noProof/>
                <w:color w:val="0000FF"/>
              </w:rPr>
            </w:pPr>
          </w:p>
        </w:tc>
        <w:tc>
          <w:tcPr>
            <w:tcW w:w="3960" w:type="dxa"/>
            <w:vAlign w:val="center"/>
          </w:tcPr>
          <w:p w14:paraId="2FE82B89" w14:textId="77777777" w:rsidR="00044D5B" w:rsidRPr="00597673" w:rsidRDefault="00044D5B">
            <w:pPr>
              <w:spacing w:before="60"/>
              <w:rPr>
                <w:noProof/>
              </w:rPr>
            </w:pPr>
            <w:r w:rsidRPr="00597673">
              <w:rPr>
                <w:sz w:val="22"/>
              </w:rPr>
              <w:t>[XX.YY.YY.YY]</w:t>
            </w:r>
          </w:p>
          <w:p w14:paraId="78DAE0B0" w14:textId="77777777" w:rsidR="00044D5B" w:rsidRPr="00597673" w:rsidRDefault="00044D5B">
            <w:pPr>
              <w:spacing w:after="60"/>
              <w:rPr>
                <w:noProof/>
              </w:rPr>
            </w:pPr>
          </w:p>
        </w:tc>
        <w:tc>
          <w:tcPr>
            <w:tcW w:w="1080" w:type="dxa"/>
            <w:vAlign w:val="center"/>
          </w:tcPr>
          <w:p w14:paraId="7FEAA96F" w14:textId="77777777" w:rsidR="00044D5B" w:rsidRPr="00597673" w:rsidRDefault="00044D5B">
            <w:pPr>
              <w:jc w:val="center"/>
              <w:rPr>
                <w:noProof/>
                <w:color w:val="0000FF"/>
              </w:rPr>
            </w:pPr>
            <w:r w:rsidRPr="00597673">
              <w:rPr>
                <w:sz w:val="22"/>
              </w:rPr>
              <w:t>Многогод./едногод.</w:t>
            </w:r>
          </w:p>
        </w:tc>
        <w:tc>
          <w:tcPr>
            <w:tcW w:w="956" w:type="dxa"/>
            <w:vAlign w:val="center"/>
          </w:tcPr>
          <w:p w14:paraId="6872FDEF" w14:textId="77777777" w:rsidR="00044D5B" w:rsidRPr="00597673" w:rsidRDefault="00044D5B">
            <w:pPr>
              <w:jc w:val="center"/>
              <w:rPr>
                <w:noProof/>
                <w:sz w:val="20"/>
                <w:szCs w:val="20"/>
              </w:rPr>
            </w:pPr>
            <w:r w:rsidRPr="00597673">
              <w:rPr>
                <w:sz w:val="20"/>
              </w:rPr>
              <w:t>ДА/НЕ</w:t>
            </w:r>
          </w:p>
        </w:tc>
        <w:tc>
          <w:tcPr>
            <w:tcW w:w="1080" w:type="dxa"/>
            <w:vAlign w:val="center"/>
          </w:tcPr>
          <w:p w14:paraId="1E84A859" w14:textId="77777777" w:rsidR="00044D5B" w:rsidRPr="00597673" w:rsidRDefault="00044D5B">
            <w:pPr>
              <w:jc w:val="center"/>
              <w:rPr>
                <w:noProof/>
                <w:sz w:val="20"/>
                <w:szCs w:val="20"/>
              </w:rPr>
            </w:pPr>
            <w:r w:rsidRPr="00597673">
              <w:rPr>
                <w:sz w:val="20"/>
              </w:rPr>
              <w:t>ДА/НЕ</w:t>
            </w:r>
          </w:p>
        </w:tc>
        <w:tc>
          <w:tcPr>
            <w:tcW w:w="956" w:type="dxa"/>
            <w:vAlign w:val="center"/>
          </w:tcPr>
          <w:p w14:paraId="623B0EBC" w14:textId="77777777" w:rsidR="00044D5B" w:rsidRPr="00597673" w:rsidRDefault="00044D5B">
            <w:pPr>
              <w:jc w:val="center"/>
              <w:rPr>
                <w:noProof/>
                <w:sz w:val="20"/>
                <w:szCs w:val="20"/>
              </w:rPr>
            </w:pPr>
            <w:r w:rsidRPr="00597673">
              <w:rPr>
                <w:sz w:val="20"/>
              </w:rPr>
              <w:t>ДА/НЕ</w:t>
            </w:r>
          </w:p>
        </w:tc>
        <w:tc>
          <w:tcPr>
            <w:tcW w:w="1448" w:type="dxa"/>
            <w:vAlign w:val="center"/>
          </w:tcPr>
          <w:p w14:paraId="0EB1292D" w14:textId="77777777" w:rsidR="00044D5B" w:rsidRPr="00597673" w:rsidRDefault="00044D5B">
            <w:pPr>
              <w:jc w:val="center"/>
              <w:rPr>
                <w:noProof/>
                <w:sz w:val="20"/>
                <w:szCs w:val="20"/>
              </w:rPr>
            </w:pPr>
            <w:r w:rsidRPr="00597673">
              <w:rPr>
                <w:sz w:val="20"/>
              </w:rPr>
              <w:t>ДА/НЕ</w:t>
            </w:r>
          </w:p>
        </w:tc>
      </w:tr>
      <w:tr w:rsidR="00983E98" w:rsidRPr="00597673" w14:paraId="5FAB8D42" w14:textId="77777777">
        <w:trPr>
          <w:jc w:val="center"/>
        </w:trPr>
        <w:tc>
          <w:tcPr>
            <w:tcW w:w="1080" w:type="dxa"/>
            <w:vAlign w:val="center"/>
          </w:tcPr>
          <w:p w14:paraId="41A27454" w14:textId="77777777" w:rsidR="00044D5B" w:rsidRPr="00597673" w:rsidRDefault="00044D5B">
            <w:pPr>
              <w:jc w:val="center"/>
              <w:rPr>
                <w:noProof/>
                <w:color w:val="0000FF"/>
              </w:rPr>
            </w:pPr>
          </w:p>
        </w:tc>
        <w:tc>
          <w:tcPr>
            <w:tcW w:w="3960" w:type="dxa"/>
            <w:vAlign w:val="center"/>
          </w:tcPr>
          <w:p w14:paraId="1055A391" w14:textId="77777777" w:rsidR="00044D5B" w:rsidRPr="00597673" w:rsidRDefault="00044D5B">
            <w:pPr>
              <w:spacing w:before="60"/>
              <w:rPr>
                <w:noProof/>
              </w:rPr>
            </w:pPr>
            <w:r w:rsidRPr="00597673">
              <w:rPr>
                <w:sz w:val="22"/>
              </w:rPr>
              <w:t>[XX.YY.YY.YY]</w:t>
            </w:r>
          </w:p>
          <w:p w14:paraId="4070BE7A" w14:textId="77777777" w:rsidR="00044D5B" w:rsidRPr="00597673" w:rsidRDefault="00044D5B">
            <w:pPr>
              <w:spacing w:after="60"/>
              <w:rPr>
                <w:noProof/>
                <w:color w:val="0000FF"/>
              </w:rPr>
            </w:pPr>
          </w:p>
        </w:tc>
        <w:tc>
          <w:tcPr>
            <w:tcW w:w="1080" w:type="dxa"/>
            <w:vAlign w:val="center"/>
          </w:tcPr>
          <w:p w14:paraId="40482F21" w14:textId="77777777" w:rsidR="00044D5B" w:rsidRPr="00597673" w:rsidRDefault="00044D5B">
            <w:pPr>
              <w:jc w:val="center"/>
              <w:rPr>
                <w:noProof/>
                <w:color w:val="0000FF"/>
              </w:rPr>
            </w:pPr>
            <w:r w:rsidRPr="00597673">
              <w:rPr>
                <w:sz w:val="22"/>
              </w:rPr>
              <w:t>Многогод./едногод.</w:t>
            </w:r>
          </w:p>
        </w:tc>
        <w:tc>
          <w:tcPr>
            <w:tcW w:w="956" w:type="dxa"/>
            <w:vAlign w:val="center"/>
          </w:tcPr>
          <w:p w14:paraId="2C44D28A" w14:textId="77777777" w:rsidR="00044D5B" w:rsidRPr="00597673" w:rsidRDefault="00044D5B">
            <w:pPr>
              <w:jc w:val="center"/>
              <w:rPr>
                <w:noProof/>
                <w:sz w:val="20"/>
                <w:szCs w:val="20"/>
              </w:rPr>
            </w:pPr>
            <w:r w:rsidRPr="00597673">
              <w:rPr>
                <w:sz w:val="20"/>
              </w:rPr>
              <w:t>ДА/НЕ</w:t>
            </w:r>
          </w:p>
        </w:tc>
        <w:tc>
          <w:tcPr>
            <w:tcW w:w="1080" w:type="dxa"/>
            <w:vAlign w:val="center"/>
          </w:tcPr>
          <w:p w14:paraId="674DD1E5" w14:textId="77777777" w:rsidR="00044D5B" w:rsidRPr="00597673" w:rsidRDefault="00044D5B">
            <w:pPr>
              <w:jc w:val="center"/>
              <w:rPr>
                <w:noProof/>
                <w:color w:val="0000FF"/>
                <w:sz w:val="20"/>
                <w:szCs w:val="20"/>
              </w:rPr>
            </w:pPr>
            <w:r w:rsidRPr="00597673">
              <w:rPr>
                <w:sz w:val="20"/>
              </w:rPr>
              <w:t>ДА/НЕ</w:t>
            </w:r>
          </w:p>
        </w:tc>
        <w:tc>
          <w:tcPr>
            <w:tcW w:w="956" w:type="dxa"/>
            <w:vAlign w:val="center"/>
          </w:tcPr>
          <w:p w14:paraId="2F7A2F42" w14:textId="77777777" w:rsidR="00044D5B" w:rsidRPr="00597673" w:rsidRDefault="00044D5B">
            <w:pPr>
              <w:jc w:val="center"/>
              <w:rPr>
                <w:noProof/>
                <w:color w:val="0000FF"/>
                <w:sz w:val="20"/>
                <w:szCs w:val="20"/>
              </w:rPr>
            </w:pPr>
            <w:r w:rsidRPr="00597673">
              <w:rPr>
                <w:sz w:val="20"/>
              </w:rPr>
              <w:t>ДА/НЕ</w:t>
            </w:r>
          </w:p>
        </w:tc>
        <w:tc>
          <w:tcPr>
            <w:tcW w:w="1448" w:type="dxa"/>
            <w:vAlign w:val="center"/>
          </w:tcPr>
          <w:p w14:paraId="7D73D47C" w14:textId="77777777" w:rsidR="00044D5B" w:rsidRPr="00597673" w:rsidRDefault="00044D5B">
            <w:pPr>
              <w:jc w:val="center"/>
              <w:rPr>
                <w:noProof/>
                <w:sz w:val="20"/>
                <w:szCs w:val="20"/>
              </w:rPr>
            </w:pPr>
            <w:r w:rsidRPr="00597673">
              <w:rPr>
                <w:sz w:val="20"/>
              </w:rPr>
              <w:t>ДА/НЕ</w:t>
            </w:r>
          </w:p>
        </w:tc>
      </w:tr>
    </w:tbl>
    <w:p w14:paraId="535712B0" w14:textId="77777777" w:rsidR="00044D5B" w:rsidRPr="00597673" w:rsidRDefault="00044D5B" w:rsidP="00044D5B">
      <w:pPr>
        <w:rPr>
          <w:noProof/>
        </w:rPr>
        <w:sectPr w:rsidR="00044D5B" w:rsidRPr="00597673" w:rsidSect="00F222D4">
          <w:pgSz w:w="11907" w:h="16840" w:code="1"/>
          <w:pgMar w:top="1134" w:right="1418" w:bottom="1134" w:left="1418" w:header="709" w:footer="709" w:gutter="0"/>
          <w:cols w:space="708"/>
          <w:docGrid w:linePitch="360"/>
        </w:sectPr>
      </w:pPr>
    </w:p>
    <w:p w14:paraId="4E74D17D" w14:textId="77777777" w:rsidR="00044D5B" w:rsidRPr="00597673" w:rsidRDefault="00044D5B" w:rsidP="00044D5B">
      <w:pPr>
        <w:pStyle w:val="ManualHeading2"/>
        <w:rPr>
          <w:bCs/>
          <w:noProof/>
          <w:szCs w:val="24"/>
        </w:rPr>
      </w:pPr>
      <w:r w:rsidRPr="00597673">
        <w:t>3.2.</w:t>
      </w:r>
      <w:r w:rsidRPr="00597673">
        <w:tab/>
        <w:t xml:space="preserve">Очаквано финансово отражение на предложението върху бюджетните кредити </w:t>
      </w:r>
    </w:p>
    <w:p w14:paraId="7295834C" w14:textId="77777777" w:rsidR="00044D5B" w:rsidRPr="00597673" w:rsidRDefault="00044D5B" w:rsidP="00044D5B">
      <w:pPr>
        <w:pStyle w:val="ManualHeading3"/>
        <w:rPr>
          <w:noProof/>
        </w:rPr>
      </w:pPr>
      <w:r w:rsidRPr="00597673">
        <w:t>3.2.1.</w:t>
      </w:r>
      <w:r w:rsidRPr="00597673">
        <w:tab/>
        <w:t xml:space="preserve">Обобщение на очакваното отражение върху бюджетните кредити за оперативни разходи </w:t>
      </w:r>
    </w:p>
    <w:p w14:paraId="6CDAE11C" w14:textId="77777777" w:rsidR="00044D5B" w:rsidRPr="00597673" w:rsidRDefault="00044D5B" w:rsidP="00044D5B">
      <w:pPr>
        <w:pStyle w:val="ListDash1"/>
        <w:rPr>
          <w:noProof/>
        </w:rPr>
      </w:pPr>
      <w:r w:rsidRPr="00597673">
        <w:rPr>
          <w:rFonts w:ascii="Wingdings" w:hAnsi="Wingdings"/>
        </w:rPr>
        <w:t>¨</w:t>
      </w:r>
      <w:r w:rsidRPr="00597673">
        <w:tab/>
        <w:t xml:space="preserve">Предложението/инициативата не налага използване на бюджетни кредити за оперативни разходи </w:t>
      </w:r>
    </w:p>
    <w:p w14:paraId="23FADB98" w14:textId="77777777" w:rsidR="00044D5B" w:rsidRPr="00597673" w:rsidRDefault="00044D5B" w:rsidP="00044D5B">
      <w:pPr>
        <w:pStyle w:val="ListDash1"/>
        <w:rPr>
          <w:noProof/>
        </w:rPr>
      </w:pPr>
      <w:r w:rsidRPr="00597673">
        <w:rPr>
          <w:rFonts w:ascii="Wingdings" w:hAnsi="Wingdings"/>
        </w:rPr>
        <w:t>¨</w:t>
      </w:r>
      <w:r w:rsidRPr="00597673">
        <w:tab/>
        <w:t>Предложението/инициативата налага използване на бюджетни кредити за оперативни разходи съгласно обяснението по-долу</w:t>
      </w:r>
    </w:p>
    <w:p w14:paraId="69C729C3" w14:textId="77777777" w:rsidR="00044D5B" w:rsidRPr="00597673" w:rsidRDefault="00044D5B" w:rsidP="00044D5B">
      <w:pPr>
        <w:pStyle w:val="ManualHeading3"/>
      </w:pPr>
      <w:r w:rsidRPr="00597673">
        <w:t>3.2.1.1.</w:t>
      </w:r>
      <w:r w:rsidRPr="00597673">
        <w:tab/>
        <w:t>Бюджетни кредити от гласувания бюджет</w:t>
      </w:r>
    </w:p>
    <w:p w14:paraId="189A0BFD" w14:textId="77777777" w:rsidR="00044D5B" w:rsidRPr="00597673" w:rsidRDefault="00044D5B" w:rsidP="00044D5B">
      <w:pPr>
        <w:jc w:val="right"/>
        <w:rPr>
          <w:noProof/>
          <w:sz w:val="18"/>
          <w:szCs w:val="18"/>
        </w:rPr>
      </w:pPr>
      <w:r w:rsidRPr="00597673">
        <w:rPr>
          <w:sz w:val="18"/>
        </w:rPr>
        <w:t>млн. евро (до третия знак след десетичната запетая)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470A36" w:rsidRPr="00597673" w14:paraId="49B282C0" w14:textId="77777777">
        <w:tc>
          <w:tcPr>
            <w:tcW w:w="1739" w:type="pct"/>
            <w:shd w:val="thinDiagStripe" w:color="C0C0C0" w:fill="auto"/>
            <w:vAlign w:val="center"/>
          </w:tcPr>
          <w:p w14:paraId="68CA9CD5" w14:textId="77777777" w:rsidR="00044D5B" w:rsidRPr="00597673" w:rsidRDefault="00044D5B">
            <w:pPr>
              <w:spacing w:before="60" w:after="60"/>
              <w:jc w:val="center"/>
              <w:rPr>
                <w:b/>
                <w:noProof/>
              </w:rPr>
            </w:pPr>
            <w:r w:rsidRPr="00597673">
              <w:rPr>
                <w:b/>
                <w:sz w:val="22"/>
              </w:rPr>
              <w:t xml:space="preserve">Функция от многогодишната финансова рамка </w:t>
            </w:r>
          </w:p>
        </w:tc>
        <w:tc>
          <w:tcPr>
            <w:tcW w:w="396" w:type="pct"/>
            <w:vAlign w:val="center"/>
          </w:tcPr>
          <w:p w14:paraId="3FEF92DC" w14:textId="77777777" w:rsidR="00044D5B" w:rsidRPr="00597673" w:rsidRDefault="00044D5B">
            <w:pPr>
              <w:spacing w:before="60" w:after="60"/>
              <w:jc w:val="center"/>
              <w:rPr>
                <w:noProof/>
              </w:rPr>
            </w:pPr>
            <w:r w:rsidRPr="00597673">
              <w:rPr>
                <w:sz w:val="22"/>
              </w:rPr>
              <w:t>Номер</w:t>
            </w:r>
          </w:p>
        </w:tc>
        <w:tc>
          <w:tcPr>
            <w:tcW w:w="2865" w:type="pct"/>
            <w:vAlign w:val="center"/>
          </w:tcPr>
          <w:p w14:paraId="64E1E8F2" w14:textId="77777777" w:rsidR="00044D5B" w:rsidRPr="00597673" w:rsidRDefault="00044D5B">
            <w:pPr>
              <w:spacing w:before="60" w:after="60"/>
              <w:rPr>
                <w:noProof/>
              </w:rPr>
            </w:pPr>
          </w:p>
        </w:tc>
      </w:tr>
    </w:tbl>
    <w:p w14:paraId="604EDCBC" w14:textId="77777777" w:rsidR="00044D5B" w:rsidRPr="00597673" w:rsidRDefault="00044D5B" w:rsidP="00044D5B">
      <w:pPr>
        <w:rPr>
          <w:noProof/>
          <w:sz w:val="16"/>
        </w:rPr>
      </w:pPr>
    </w:p>
    <w:tbl>
      <w:tblPr>
        <w:tblW w:w="5000" w:type="pct"/>
        <w:tblInd w:w="-118" w:type="dxa"/>
        <w:tblCellMar>
          <w:left w:w="0" w:type="dxa"/>
          <w:right w:w="0" w:type="dxa"/>
        </w:tblCellMar>
        <w:tblLook w:val="04A0" w:firstRow="1" w:lastRow="0" w:firstColumn="1" w:lastColumn="0" w:noHBand="0" w:noVBand="1"/>
      </w:tblPr>
      <w:tblGrid>
        <w:gridCol w:w="3938"/>
        <w:gridCol w:w="1416"/>
        <w:gridCol w:w="18"/>
        <w:gridCol w:w="1383"/>
        <w:gridCol w:w="1339"/>
        <w:gridCol w:w="7"/>
        <w:gridCol w:w="1294"/>
        <w:gridCol w:w="12"/>
        <w:gridCol w:w="1289"/>
        <w:gridCol w:w="18"/>
        <w:gridCol w:w="1283"/>
        <w:gridCol w:w="1342"/>
        <w:gridCol w:w="685"/>
      </w:tblGrid>
      <w:tr w:rsidR="00504273" w:rsidRPr="00597673" w14:paraId="609FFE90" w14:textId="77777777">
        <w:trPr>
          <w:trHeight w:val="420"/>
        </w:trPr>
        <w:tc>
          <w:tcPr>
            <w:tcW w:w="2444"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4C770218" w14:textId="77777777" w:rsidR="00044D5B" w:rsidRPr="00597673" w:rsidRDefault="00044D5B">
            <w:pPr>
              <w:spacing w:before="0" w:after="0"/>
              <w:jc w:val="center"/>
              <w:rPr>
                <w:color w:val="000000"/>
                <w:sz w:val="22"/>
              </w:rPr>
            </w:pPr>
            <w:r w:rsidRPr="00597673">
              <w:rPr>
                <w:color w:val="000000"/>
                <w:sz w:val="22"/>
              </w:rPr>
              <w:t>ГД: &lt;…….&gt;</w:t>
            </w:r>
          </w:p>
        </w:tc>
        <w:tc>
          <w:tcPr>
            <w:tcW w:w="496" w:type="pct"/>
            <w:gridSpan w:val="2"/>
            <w:tcBorders>
              <w:top w:val="single" w:sz="8" w:space="0" w:color="auto"/>
              <w:left w:val="nil"/>
              <w:bottom w:val="single" w:sz="8" w:space="0" w:color="auto"/>
              <w:right w:val="single" w:sz="8" w:space="0" w:color="auto"/>
            </w:tcBorders>
            <w:vAlign w:val="center"/>
            <w:hideMark/>
          </w:tcPr>
          <w:p w14:paraId="0C983ED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47AF9C1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37030979"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78" w:type="pct"/>
            <w:tcBorders>
              <w:top w:val="single" w:sz="8" w:space="0" w:color="auto"/>
              <w:left w:val="nil"/>
              <w:bottom w:val="single" w:sz="8" w:space="0" w:color="auto"/>
              <w:right w:val="single" w:sz="8" w:space="0" w:color="auto"/>
            </w:tcBorders>
            <w:vAlign w:val="center"/>
            <w:hideMark/>
          </w:tcPr>
          <w:p w14:paraId="0A8F43DF"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52B7E7B"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7081D7C6" w14:textId="77777777">
        <w:trPr>
          <w:trHeight w:val="288"/>
        </w:trPr>
        <w:tc>
          <w:tcPr>
            <w:tcW w:w="2444" w:type="pct"/>
            <w:gridSpan w:val="4"/>
            <w:vMerge/>
            <w:tcBorders>
              <w:top w:val="single" w:sz="8" w:space="0" w:color="auto"/>
              <w:left w:val="single" w:sz="8" w:space="0" w:color="auto"/>
              <w:bottom w:val="single" w:sz="8" w:space="0" w:color="auto"/>
              <w:right w:val="single" w:sz="8" w:space="0" w:color="auto"/>
            </w:tcBorders>
            <w:vAlign w:val="center"/>
            <w:hideMark/>
          </w:tcPr>
          <w:p w14:paraId="74F5B7E5" w14:textId="77777777" w:rsidR="00044D5B" w:rsidRPr="00597673"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119CC760"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6" w:type="pct"/>
            <w:gridSpan w:val="2"/>
            <w:tcBorders>
              <w:top w:val="nil"/>
              <w:left w:val="nil"/>
              <w:bottom w:val="single" w:sz="8" w:space="0" w:color="auto"/>
              <w:right w:val="single" w:sz="8" w:space="0" w:color="auto"/>
            </w:tcBorders>
            <w:vAlign w:val="center"/>
            <w:hideMark/>
          </w:tcPr>
          <w:p w14:paraId="46997907"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6" w:type="pct"/>
            <w:gridSpan w:val="2"/>
            <w:tcBorders>
              <w:top w:val="nil"/>
              <w:left w:val="nil"/>
              <w:bottom w:val="single" w:sz="8" w:space="0" w:color="auto"/>
              <w:right w:val="single" w:sz="8" w:space="0" w:color="auto"/>
            </w:tcBorders>
            <w:vAlign w:val="center"/>
            <w:hideMark/>
          </w:tcPr>
          <w:p w14:paraId="08C4E281"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78" w:type="pct"/>
            <w:tcBorders>
              <w:top w:val="nil"/>
              <w:left w:val="nil"/>
              <w:bottom w:val="single" w:sz="8" w:space="0" w:color="auto"/>
              <w:right w:val="single" w:sz="8" w:space="0" w:color="auto"/>
            </w:tcBorders>
            <w:vAlign w:val="center"/>
            <w:hideMark/>
          </w:tcPr>
          <w:p w14:paraId="043223FE"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129B726F" w14:textId="77777777" w:rsidR="00044D5B" w:rsidRPr="00597673" w:rsidRDefault="00044D5B">
            <w:pPr>
              <w:spacing w:before="0" w:after="0"/>
              <w:jc w:val="left"/>
              <w:rPr>
                <w:b/>
                <w:bCs/>
                <w:color w:val="000000"/>
                <w:sz w:val="20"/>
                <w:szCs w:val="20"/>
                <w:lang w:eastAsia="en-IE"/>
              </w:rPr>
            </w:pPr>
          </w:p>
        </w:tc>
      </w:tr>
      <w:tr w:rsidR="00511981" w:rsidRPr="00597673" w14:paraId="6945DAFE" w14:textId="77777777">
        <w:trPr>
          <w:trHeight w:val="300"/>
        </w:trPr>
        <w:tc>
          <w:tcPr>
            <w:tcW w:w="5000" w:type="pct"/>
            <w:gridSpan w:val="13"/>
            <w:tcBorders>
              <w:top w:val="single" w:sz="8" w:space="0" w:color="auto"/>
              <w:left w:val="single" w:sz="8" w:space="0" w:color="auto"/>
              <w:bottom w:val="single" w:sz="8" w:space="0" w:color="auto"/>
              <w:right w:val="single" w:sz="8" w:space="0" w:color="auto"/>
            </w:tcBorders>
            <w:vAlign w:val="center"/>
            <w:hideMark/>
          </w:tcPr>
          <w:p w14:paraId="403FC3C3" w14:textId="77777777" w:rsidR="00044D5B" w:rsidRPr="00597673" w:rsidRDefault="00044D5B">
            <w:pPr>
              <w:spacing w:before="0" w:after="0"/>
              <w:jc w:val="left"/>
              <w:rPr>
                <w:color w:val="000000"/>
                <w:sz w:val="21"/>
                <w:szCs w:val="21"/>
              </w:rPr>
            </w:pPr>
            <w:r w:rsidRPr="00597673">
              <w:rPr>
                <w:color w:val="000000"/>
                <w:sz w:val="21"/>
              </w:rPr>
              <w:t xml:space="preserve">Бюджетни кредити за оперативни разходи </w:t>
            </w:r>
          </w:p>
        </w:tc>
      </w:tr>
      <w:tr w:rsidR="00E62D64" w:rsidRPr="00597673" w14:paraId="354AD1DD"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37EF233B" w14:textId="77777777" w:rsidR="00044D5B" w:rsidRPr="00597673" w:rsidRDefault="00044D5B">
            <w:pPr>
              <w:spacing w:before="0" w:after="0"/>
              <w:jc w:val="left"/>
              <w:rPr>
                <w:color w:val="000000"/>
                <w:sz w:val="22"/>
              </w:rPr>
            </w:pPr>
            <w:r w:rsidRPr="00597673">
              <w:rPr>
                <w:color w:val="000000"/>
                <w:sz w:val="22"/>
              </w:rPr>
              <w:t>Бюджетен ред</w:t>
            </w:r>
          </w:p>
        </w:tc>
        <w:tc>
          <w:tcPr>
            <w:tcW w:w="529" w:type="pct"/>
            <w:gridSpan w:val="2"/>
            <w:tcBorders>
              <w:top w:val="nil"/>
              <w:left w:val="nil"/>
              <w:bottom w:val="single" w:sz="8" w:space="0" w:color="auto"/>
              <w:right w:val="single" w:sz="8" w:space="0" w:color="auto"/>
            </w:tcBorders>
            <w:vAlign w:val="center"/>
            <w:hideMark/>
          </w:tcPr>
          <w:p w14:paraId="6C2769EB"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3F175442" w14:textId="77777777" w:rsidR="00044D5B" w:rsidRPr="00597673" w:rsidRDefault="00044D5B">
            <w:pPr>
              <w:spacing w:before="0" w:after="0"/>
              <w:jc w:val="center"/>
              <w:rPr>
                <w:color w:val="000000"/>
                <w:sz w:val="14"/>
                <w:szCs w:val="14"/>
              </w:rPr>
            </w:pPr>
            <w:r w:rsidRPr="00597673">
              <w:rPr>
                <w:color w:val="000000"/>
                <w:sz w:val="14"/>
              </w:rPr>
              <w:t>(1а)</w:t>
            </w:r>
          </w:p>
        </w:tc>
        <w:tc>
          <w:tcPr>
            <w:tcW w:w="496" w:type="pct"/>
            <w:gridSpan w:val="2"/>
            <w:tcBorders>
              <w:top w:val="nil"/>
              <w:left w:val="nil"/>
              <w:bottom w:val="single" w:sz="8" w:space="0" w:color="auto"/>
              <w:right w:val="single" w:sz="8" w:space="0" w:color="auto"/>
            </w:tcBorders>
            <w:vAlign w:val="center"/>
            <w:hideMark/>
          </w:tcPr>
          <w:p w14:paraId="7D08336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EA9D96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5071C1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CCE657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5186E43"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5962845D"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1261D6BE" w14:textId="77777777" w:rsidR="00044D5B" w:rsidRPr="00597673"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4E77E720"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68EAA7FD" w14:textId="77777777" w:rsidR="00044D5B" w:rsidRPr="00597673" w:rsidRDefault="00044D5B">
            <w:pPr>
              <w:spacing w:before="0" w:after="0"/>
              <w:jc w:val="center"/>
              <w:rPr>
                <w:color w:val="000000"/>
                <w:sz w:val="14"/>
                <w:szCs w:val="14"/>
              </w:rPr>
            </w:pPr>
            <w:r w:rsidRPr="00597673">
              <w:rPr>
                <w:color w:val="000000"/>
                <w:sz w:val="14"/>
              </w:rPr>
              <w:t>(2а)</w:t>
            </w:r>
          </w:p>
        </w:tc>
        <w:tc>
          <w:tcPr>
            <w:tcW w:w="496" w:type="pct"/>
            <w:gridSpan w:val="2"/>
            <w:tcBorders>
              <w:top w:val="nil"/>
              <w:left w:val="nil"/>
              <w:bottom w:val="single" w:sz="8" w:space="0" w:color="auto"/>
              <w:right w:val="single" w:sz="8" w:space="0" w:color="auto"/>
            </w:tcBorders>
            <w:vAlign w:val="center"/>
            <w:hideMark/>
          </w:tcPr>
          <w:p w14:paraId="0D3B8E4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0CEB6F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54E659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B9C4AB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5EB27CB"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094E716E"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337CDA19"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57C7C3A7"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25A9BDF4" w14:textId="77777777" w:rsidR="00044D5B" w:rsidRPr="00597673" w:rsidRDefault="00044D5B">
            <w:pPr>
              <w:spacing w:before="0" w:after="0"/>
              <w:jc w:val="center"/>
              <w:rPr>
                <w:color w:val="000000"/>
                <w:sz w:val="14"/>
                <w:szCs w:val="14"/>
              </w:rPr>
            </w:pPr>
            <w:r w:rsidRPr="00597673">
              <w:rPr>
                <w:color w:val="000000"/>
                <w:sz w:val="14"/>
              </w:rPr>
              <w:t>(1б)</w:t>
            </w:r>
          </w:p>
        </w:tc>
        <w:tc>
          <w:tcPr>
            <w:tcW w:w="496" w:type="pct"/>
            <w:gridSpan w:val="2"/>
            <w:tcBorders>
              <w:top w:val="nil"/>
              <w:left w:val="nil"/>
              <w:bottom w:val="single" w:sz="8" w:space="0" w:color="auto"/>
              <w:right w:val="single" w:sz="8" w:space="0" w:color="auto"/>
            </w:tcBorders>
            <w:vAlign w:val="center"/>
            <w:hideMark/>
          </w:tcPr>
          <w:p w14:paraId="7BE8FCC6"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4362E8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DA452A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403A76F"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5B3B3433"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59E9B821"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216247D4" w14:textId="77777777" w:rsidR="00044D5B" w:rsidRPr="00597673"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526A52B3"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53F39031" w14:textId="77777777" w:rsidR="00044D5B" w:rsidRPr="00597673" w:rsidRDefault="00044D5B">
            <w:pPr>
              <w:spacing w:before="0" w:after="0"/>
              <w:jc w:val="center"/>
              <w:rPr>
                <w:color w:val="000000"/>
                <w:sz w:val="14"/>
                <w:szCs w:val="14"/>
              </w:rPr>
            </w:pPr>
            <w:r w:rsidRPr="00597673">
              <w:rPr>
                <w:color w:val="000000"/>
                <w:sz w:val="14"/>
              </w:rPr>
              <w:t>(2б)</w:t>
            </w:r>
          </w:p>
        </w:tc>
        <w:tc>
          <w:tcPr>
            <w:tcW w:w="496" w:type="pct"/>
            <w:gridSpan w:val="2"/>
            <w:tcBorders>
              <w:top w:val="nil"/>
              <w:left w:val="nil"/>
              <w:bottom w:val="single" w:sz="8" w:space="0" w:color="auto"/>
              <w:right w:val="single" w:sz="8" w:space="0" w:color="auto"/>
            </w:tcBorders>
            <w:vAlign w:val="center"/>
            <w:hideMark/>
          </w:tcPr>
          <w:p w14:paraId="41EF889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D58963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A87E27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7A0806A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0F45EE8"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511981" w:rsidRPr="00597673" w14:paraId="06493DB6" w14:textId="77777777">
        <w:trPr>
          <w:trHeight w:val="288"/>
        </w:trPr>
        <w:tc>
          <w:tcPr>
            <w:tcW w:w="5000" w:type="pct"/>
            <w:gridSpan w:val="13"/>
            <w:tcBorders>
              <w:top w:val="single" w:sz="8" w:space="0" w:color="auto"/>
              <w:left w:val="single" w:sz="8" w:space="0" w:color="auto"/>
              <w:bottom w:val="single" w:sz="8" w:space="0" w:color="auto"/>
              <w:right w:val="single" w:sz="8" w:space="0" w:color="auto"/>
            </w:tcBorders>
            <w:noWrap/>
            <w:vAlign w:val="bottom"/>
            <w:hideMark/>
          </w:tcPr>
          <w:p w14:paraId="7649BF9F"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p>
        </w:tc>
      </w:tr>
      <w:tr w:rsidR="00E62D64" w:rsidRPr="00597673" w14:paraId="4B201AF5"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42D127D7"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6CF229D6"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213BE291" w14:textId="77777777" w:rsidR="00044D5B" w:rsidRPr="00597673" w:rsidRDefault="00044D5B">
            <w:pPr>
              <w:spacing w:before="0" w:after="0"/>
              <w:jc w:val="center"/>
              <w:rPr>
                <w:color w:val="000000"/>
                <w:sz w:val="14"/>
                <w:szCs w:val="14"/>
              </w:rPr>
            </w:pPr>
            <w:r w:rsidRPr="00597673">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116F96D7"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0FA787F"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3ED5111"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24BC41A"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0FAF175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57D510F8" w14:textId="77777777">
        <w:trPr>
          <w:trHeight w:val="288"/>
        </w:trPr>
        <w:tc>
          <w:tcPr>
            <w:tcW w:w="1419" w:type="pct"/>
            <w:vMerge w:val="restart"/>
            <w:tcBorders>
              <w:top w:val="nil"/>
              <w:left w:val="single" w:sz="8" w:space="0" w:color="auto"/>
              <w:right w:val="single" w:sz="8" w:space="0" w:color="auto"/>
            </w:tcBorders>
            <w:vAlign w:val="center"/>
            <w:hideMark/>
          </w:tcPr>
          <w:p w14:paraId="29B7107B"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p w14:paraId="6F00129A"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70D68891"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71420ECB" w14:textId="77777777" w:rsidR="00044D5B" w:rsidRPr="00597673" w:rsidRDefault="00044D5B">
            <w:pPr>
              <w:spacing w:before="0" w:after="0"/>
              <w:jc w:val="center"/>
              <w:rPr>
                <w:color w:val="000000"/>
                <w:sz w:val="14"/>
                <w:szCs w:val="14"/>
              </w:rPr>
            </w:pPr>
            <w:r w:rsidRPr="00597673">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E3E8626"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FAD11C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D90056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192C929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5E00980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723E616D" w14:textId="77777777">
        <w:trPr>
          <w:trHeight w:val="288"/>
        </w:trPr>
        <w:tc>
          <w:tcPr>
            <w:tcW w:w="1419" w:type="pct"/>
            <w:vMerge/>
            <w:tcBorders>
              <w:left w:val="single" w:sz="8" w:space="0" w:color="auto"/>
              <w:bottom w:val="single" w:sz="4" w:space="0" w:color="auto"/>
              <w:right w:val="single" w:sz="8" w:space="0" w:color="auto"/>
            </w:tcBorders>
            <w:vAlign w:val="center"/>
            <w:hideMark/>
          </w:tcPr>
          <w:p w14:paraId="23F8DE6D" w14:textId="77777777" w:rsidR="00044D5B" w:rsidRPr="00597673" w:rsidRDefault="00044D5B">
            <w:pPr>
              <w:spacing w:before="0" w:after="0"/>
              <w:jc w:val="center"/>
              <w:rPr>
                <w:b/>
                <w:bCs/>
                <w:color w:val="000000"/>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14:paraId="1D79B765"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617D4F38" w14:textId="77777777" w:rsidR="00044D5B" w:rsidRPr="00597673" w:rsidRDefault="00044D5B">
            <w:pPr>
              <w:spacing w:before="0" w:after="0"/>
              <w:jc w:val="center"/>
              <w:rPr>
                <w:color w:val="000000"/>
                <w:sz w:val="14"/>
                <w:szCs w:val="14"/>
              </w:rPr>
            </w:pPr>
            <w:r w:rsidRPr="00597673">
              <w:rPr>
                <w:color w:val="000000"/>
                <w:sz w:val="14"/>
              </w:rPr>
              <w:t>=2а+2б+3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F54F3A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914457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9BA442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39D60036"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61D2E23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504273" w:rsidRPr="00597673" w14:paraId="4DAF0D8C" w14:textId="77777777">
        <w:trPr>
          <w:trHeight w:val="420"/>
        </w:trPr>
        <w:tc>
          <w:tcPr>
            <w:tcW w:w="2444"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6DDAC1DF" w14:textId="77777777" w:rsidR="00044D5B" w:rsidRPr="00597673" w:rsidRDefault="00044D5B">
            <w:pPr>
              <w:spacing w:before="0" w:after="0"/>
              <w:jc w:val="center"/>
              <w:rPr>
                <w:color w:val="000000"/>
                <w:sz w:val="22"/>
              </w:rPr>
            </w:pPr>
            <w:r w:rsidRPr="00597673">
              <w:rPr>
                <w:color w:val="000000"/>
                <w:sz w:val="22"/>
              </w:rPr>
              <w:t>ГД: &lt;…….&gt;</w:t>
            </w:r>
          </w:p>
        </w:tc>
        <w:tc>
          <w:tcPr>
            <w:tcW w:w="496" w:type="pct"/>
            <w:gridSpan w:val="2"/>
            <w:tcBorders>
              <w:top w:val="single" w:sz="8" w:space="0" w:color="auto"/>
              <w:left w:val="nil"/>
              <w:bottom w:val="single" w:sz="8" w:space="0" w:color="auto"/>
              <w:right w:val="single" w:sz="8" w:space="0" w:color="auto"/>
            </w:tcBorders>
            <w:vAlign w:val="center"/>
            <w:hideMark/>
          </w:tcPr>
          <w:p w14:paraId="7C4C7A0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1CF3303F"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388EAD8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78" w:type="pct"/>
            <w:tcBorders>
              <w:top w:val="single" w:sz="8" w:space="0" w:color="auto"/>
              <w:left w:val="nil"/>
              <w:bottom w:val="single" w:sz="8" w:space="0" w:color="auto"/>
              <w:right w:val="single" w:sz="8" w:space="0" w:color="auto"/>
            </w:tcBorders>
            <w:vAlign w:val="center"/>
            <w:hideMark/>
          </w:tcPr>
          <w:p w14:paraId="54A45A0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401DAE28"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6B8F3E0B" w14:textId="77777777">
        <w:trPr>
          <w:trHeight w:val="288"/>
        </w:trPr>
        <w:tc>
          <w:tcPr>
            <w:tcW w:w="2444" w:type="pct"/>
            <w:gridSpan w:val="4"/>
            <w:vMerge/>
            <w:tcBorders>
              <w:top w:val="single" w:sz="8" w:space="0" w:color="auto"/>
              <w:left w:val="single" w:sz="8" w:space="0" w:color="auto"/>
              <w:bottom w:val="single" w:sz="8" w:space="0" w:color="auto"/>
              <w:right w:val="single" w:sz="8" w:space="0" w:color="auto"/>
            </w:tcBorders>
            <w:vAlign w:val="center"/>
            <w:hideMark/>
          </w:tcPr>
          <w:p w14:paraId="4FA7859B" w14:textId="77777777" w:rsidR="00044D5B" w:rsidRPr="00597673"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68BD6BAA"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6" w:type="pct"/>
            <w:gridSpan w:val="2"/>
            <w:tcBorders>
              <w:top w:val="nil"/>
              <w:left w:val="nil"/>
              <w:bottom w:val="single" w:sz="8" w:space="0" w:color="auto"/>
              <w:right w:val="single" w:sz="8" w:space="0" w:color="auto"/>
            </w:tcBorders>
            <w:vAlign w:val="center"/>
            <w:hideMark/>
          </w:tcPr>
          <w:p w14:paraId="45D8493A"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6" w:type="pct"/>
            <w:gridSpan w:val="2"/>
            <w:tcBorders>
              <w:top w:val="nil"/>
              <w:left w:val="nil"/>
              <w:bottom w:val="single" w:sz="8" w:space="0" w:color="auto"/>
              <w:right w:val="single" w:sz="8" w:space="0" w:color="auto"/>
            </w:tcBorders>
            <w:vAlign w:val="center"/>
            <w:hideMark/>
          </w:tcPr>
          <w:p w14:paraId="157E0233"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78" w:type="pct"/>
            <w:tcBorders>
              <w:top w:val="nil"/>
              <w:left w:val="nil"/>
              <w:bottom w:val="single" w:sz="8" w:space="0" w:color="auto"/>
              <w:right w:val="single" w:sz="8" w:space="0" w:color="auto"/>
            </w:tcBorders>
            <w:vAlign w:val="center"/>
            <w:hideMark/>
          </w:tcPr>
          <w:p w14:paraId="1E2726FC"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5F0F5DD3" w14:textId="77777777" w:rsidR="00044D5B" w:rsidRPr="00597673" w:rsidRDefault="00044D5B">
            <w:pPr>
              <w:spacing w:before="0" w:after="0"/>
              <w:jc w:val="left"/>
              <w:rPr>
                <w:b/>
                <w:bCs/>
                <w:color w:val="000000"/>
                <w:sz w:val="20"/>
                <w:szCs w:val="20"/>
                <w:lang w:eastAsia="en-IE"/>
              </w:rPr>
            </w:pPr>
          </w:p>
        </w:tc>
      </w:tr>
      <w:tr w:rsidR="00511981" w:rsidRPr="00597673" w14:paraId="0F03F7D6" w14:textId="77777777">
        <w:trPr>
          <w:trHeight w:val="300"/>
        </w:trPr>
        <w:tc>
          <w:tcPr>
            <w:tcW w:w="5000" w:type="pct"/>
            <w:gridSpan w:val="13"/>
            <w:tcBorders>
              <w:top w:val="single" w:sz="8" w:space="0" w:color="auto"/>
              <w:left w:val="single" w:sz="8" w:space="0" w:color="auto"/>
              <w:bottom w:val="single" w:sz="8" w:space="0" w:color="auto"/>
              <w:right w:val="single" w:sz="8" w:space="0" w:color="auto"/>
            </w:tcBorders>
            <w:vAlign w:val="center"/>
            <w:hideMark/>
          </w:tcPr>
          <w:p w14:paraId="714C1664" w14:textId="77777777" w:rsidR="00044D5B" w:rsidRPr="00597673" w:rsidRDefault="00044D5B">
            <w:pPr>
              <w:spacing w:before="0" w:after="0"/>
              <w:jc w:val="left"/>
              <w:rPr>
                <w:color w:val="000000"/>
                <w:sz w:val="21"/>
                <w:szCs w:val="21"/>
              </w:rPr>
            </w:pPr>
            <w:r w:rsidRPr="00597673">
              <w:rPr>
                <w:color w:val="000000"/>
                <w:sz w:val="21"/>
              </w:rPr>
              <w:t xml:space="preserve">Бюджетни кредити за оперативни разходи </w:t>
            </w:r>
          </w:p>
        </w:tc>
      </w:tr>
      <w:tr w:rsidR="00E62D64" w:rsidRPr="00597673" w14:paraId="5F1C8DC3"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264789D0" w14:textId="77777777" w:rsidR="00044D5B" w:rsidRPr="00597673" w:rsidRDefault="00044D5B">
            <w:pPr>
              <w:spacing w:before="0" w:after="0"/>
              <w:jc w:val="left"/>
              <w:rPr>
                <w:color w:val="000000"/>
                <w:sz w:val="22"/>
              </w:rPr>
            </w:pPr>
            <w:r w:rsidRPr="00597673">
              <w:rPr>
                <w:color w:val="000000"/>
                <w:sz w:val="22"/>
              </w:rPr>
              <w:t>Бюджетен ред</w:t>
            </w:r>
          </w:p>
        </w:tc>
        <w:tc>
          <w:tcPr>
            <w:tcW w:w="529" w:type="pct"/>
            <w:gridSpan w:val="2"/>
            <w:tcBorders>
              <w:top w:val="nil"/>
              <w:left w:val="nil"/>
              <w:bottom w:val="single" w:sz="8" w:space="0" w:color="auto"/>
              <w:right w:val="single" w:sz="8" w:space="0" w:color="auto"/>
            </w:tcBorders>
            <w:vAlign w:val="center"/>
            <w:hideMark/>
          </w:tcPr>
          <w:p w14:paraId="217EA577"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129E82DA" w14:textId="77777777" w:rsidR="00044D5B" w:rsidRPr="00597673" w:rsidRDefault="00044D5B">
            <w:pPr>
              <w:spacing w:before="0" w:after="0"/>
              <w:jc w:val="center"/>
              <w:rPr>
                <w:color w:val="000000"/>
                <w:sz w:val="14"/>
                <w:szCs w:val="14"/>
              </w:rPr>
            </w:pPr>
            <w:r w:rsidRPr="00597673">
              <w:rPr>
                <w:color w:val="000000"/>
                <w:sz w:val="14"/>
              </w:rPr>
              <w:t>(1а)</w:t>
            </w:r>
          </w:p>
        </w:tc>
        <w:tc>
          <w:tcPr>
            <w:tcW w:w="496" w:type="pct"/>
            <w:gridSpan w:val="2"/>
            <w:tcBorders>
              <w:top w:val="nil"/>
              <w:left w:val="nil"/>
              <w:bottom w:val="single" w:sz="8" w:space="0" w:color="auto"/>
              <w:right w:val="single" w:sz="8" w:space="0" w:color="auto"/>
            </w:tcBorders>
            <w:vAlign w:val="center"/>
            <w:hideMark/>
          </w:tcPr>
          <w:p w14:paraId="660E96A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8B633A6"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0E83CDF"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874217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A357029"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702BD55D"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65776CDF" w14:textId="77777777" w:rsidR="00044D5B" w:rsidRPr="00597673"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31988A98"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4409AC0E" w14:textId="77777777" w:rsidR="00044D5B" w:rsidRPr="00597673" w:rsidRDefault="00044D5B">
            <w:pPr>
              <w:spacing w:before="0" w:after="0"/>
              <w:jc w:val="center"/>
              <w:rPr>
                <w:color w:val="000000"/>
                <w:sz w:val="14"/>
                <w:szCs w:val="14"/>
              </w:rPr>
            </w:pPr>
            <w:r w:rsidRPr="00597673">
              <w:rPr>
                <w:color w:val="000000"/>
                <w:sz w:val="14"/>
              </w:rPr>
              <w:t>(2а)</w:t>
            </w:r>
          </w:p>
        </w:tc>
        <w:tc>
          <w:tcPr>
            <w:tcW w:w="496" w:type="pct"/>
            <w:gridSpan w:val="2"/>
            <w:tcBorders>
              <w:top w:val="nil"/>
              <w:left w:val="nil"/>
              <w:bottom w:val="single" w:sz="8" w:space="0" w:color="auto"/>
              <w:right w:val="single" w:sz="8" w:space="0" w:color="auto"/>
            </w:tcBorders>
            <w:vAlign w:val="center"/>
            <w:hideMark/>
          </w:tcPr>
          <w:p w14:paraId="421A6FD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B40CA3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F9A94A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784550A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634519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1CA07E55"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5CA54F1D"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4CD8EEF7"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395454FE" w14:textId="77777777" w:rsidR="00044D5B" w:rsidRPr="00597673" w:rsidRDefault="00044D5B">
            <w:pPr>
              <w:spacing w:before="0" w:after="0"/>
              <w:jc w:val="center"/>
              <w:rPr>
                <w:color w:val="000000"/>
                <w:sz w:val="14"/>
                <w:szCs w:val="14"/>
              </w:rPr>
            </w:pPr>
            <w:r w:rsidRPr="00597673">
              <w:rPr>
                <w:color w:val="000000"/>
                <w:sz w:val="14"/>
              </w:rPr>
              <w:t>(1б)</w:t>
            </w:r>
          </w:p>
        </w:tc>
        <w:tc>
          <w:tcPr>
            <w:tcW w:w="496" w:type="pct"/>
            <w:gridSpan w:val="2"/>
            <w:tcBorders>
              <w:top w:val="nil"/>
              <w:left w:val="nil"/>
              <w:bottom w:val="single" w:sz="8" w:space="0" w:color="auto"/>
              <w:right w:val="single" w:sz="8" w:space="0" w:color="auto"/>
            </w:tcBorders>
            <w:vAlign w:val="center"/>
            <w:hideMark/>
          </w:tcPr>
          <w:p w14:paraId="734D7740"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DE4D06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E1CE14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4FC42F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CA26244"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0E39B176"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541B3C20" w14:textId="77777777" w:rsidR="00044D5B" w:rsidRPr="00597673"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33DE68C6"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766642E7" w14:textId="77777777" w:rsidR="00044D5B" w:rsidRPr="00597673" w:rsidRDefault="00044D5B">
            <w:pPr>
              <w:spacing w:before="0" w:after="0"/>
              <w:jc w:val="center"/>
              <w:rPr>
                <w:color w:val="000000"/>
                <w:sz w:val="14"/>
                <w:szCs w:val="14"/>
              </w:rPr>
            </w:pPr>
            <w:r w:rsidRPr="00597673">
              <w:rPr>
                <w:color w:val="000000"/>
                <w:sz w:val="14"/>
              </w:rPr>
              <w:t>(2б)</w:t>
            </w:r>
          </w:p>
        </w:tc>
        <w:tc>
          <w:tcPr>
            <w:tcW w:w="496" w:type="pct"/>
            <w:gridSpan w:val="2"/>
            <w:tcBorders>
              <w:top w:val="nil"/>
              <w:left w:val="nil"/>
              <w:bottom w:val="single" w:sz="8" w:space="0" w:color="auto"/>
              <w:right w:val="single" w:sz="8" w:space="0" w:color="auto"/>
            </w:tcBorders>
            <w:vAlign w:val="center"/>
            <w:hideMark/>
          </w:tcPr>
          <w:p w14:paraId="4C2182F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CAB137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A171AE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3707CE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D750B2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511981" w:rsidRPr="00597673" w14:paraId="48F65CA9" w14:textId="77777777">
        <w:trPr>
          <w:trHeight w:val="288"/>
        </w:trPr>
        <w:tc>
          <w:tcPr>
            <w:tcW w:w="5000" w:type="pct"/>
            <w:gridSpan w:val="13"/>
            <w:tcBorders>
              <w:top w:val="single" w:sz="8" w:space="0" w:color="auto"/>
              <w:left w:val="single" w:sz="8" w:space="0" w:color="auto"/>
              <w:bottom w:val="single" w:sz="8" w:space="0" w:color="auto"/>
              <w:right w:val="single" w:sz="8" w:space="0" w:color="auto"/>
            </w:tcBorders>
            <w:noWrap/>
            <w:vAlign w:val="bottom"/>
            <w:hideMark/>
          </w:tcPr>
          <w:p w14:paraId="5659AAB2"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3DB449D3"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2E4D8BBF"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6FF6FBBF"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7124B4A9" w14:textId="77777777" w:rsidR="00044D5B" w:rsidRPr="00597673" w:rsidRDefault="00044D5B">
            <w:pPr>
              <w:spacing w:before="0" w:after="0"/>
              <w:jc w:val="center"/>
              <w:rPr>
                <w:color w:val="000000"/>
                <w:sz w:val="14"/>
                <w:szCs w:val="14"/>
              </w:rPr>
            </w:pPr>
            <w:r w:rsidRPr="00597673">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2833B55A"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2C0FE35"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0E52028"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10F5D66"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57ED4B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4360336A" w14:textId="77777777">
        <w:trPr>
          <w:trHeight w:val="288"/>
        </w:trPr>
        <w:tc>
          <w:tcPr>
            <w:tcW w:w="1419" w:type="pct"/>
            <w:vMerge w:val="restart"/>
            <w:tcBorders>
              <w:top w:val="nil"/>
              <w:left w:val="single" w:sz="8" w:space="0" w:color="auto"/>
              <w:right w:val="single" w:sz="8" w:space="0" w:color="auto"/>
            </w:tcBorders>
            <w:vAlign w:val="center"/>
            <w:hideMark/>
          </w:tcPr>
          <w:p w14:paraId="48810476"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p w14:paraId="1894F06C"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24D812A3"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104FC1EC" w14:textId="77777777" w:rsidR="00044D5B" w:rsidRPr="00597673" w:rsidRDefault="00044D5B">
            <w:pPr>
              <w:spacing w:before="0" w:after="0"/>
              <w:jc w:val="center"/>
              <w:rPr>
                <w:color w:val="000000"/>
                <w:sz w:val="14"/>
                <w:szCs w:val="14"/>
              </w:rPr>
            </w:pPr>
            <w:r w:rsidRPr="00597673">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ECF31E1"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DB978F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F61F7E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4C70AC97"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999FBD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38C1D729" w14:textId="77777777">
        <w:trPr>
          <w:trHeight w:val="288"/>
        </w:trPr>
        <w:tc>
          <w:tcPr>
            <w:tcW w:w="1419" w:type="pct"/>
            <w:vMerge/>
            <w:tcBorders>
              <w:left w:val="single" w:sz="8" w:space="0" w:color="auto"/>
              <w:bottom w:val="single" w:sz="8" w:space="0" w:color="auto"/>
              <w:right w:val="single" w:sz="8" w:space="0" w:color="auto"/>
            </w:tcBorders>
            <w:vAlign w:val="center"/>
            <w:hideMark/>
          </w:tcPr>
          <w:p w14:paraId="5CA13316" w14:textId="77777777" w:rsidR="00044D5B" w:rsidRPr="00597673"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2F31BB12"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21E2607B" w14:textId="77777777" w:rsidR="00044D5B" w:rsidRPr="00597673" w:rsidRDefault="00044D5B">
            <w:pPr>
              <w:spacing w:before="0" w:after="0"/>
              <w:jc w:val="center"/>
              <w:rPr>
                <w:color w:val="000000"/>
                <w:sz w:val="14"/>
                <w:szCs w:val="14"/>
              </w:rPr>
            </w:pPr>
            <w:r w:rsidRPr="00597673">
              <w:rPr>
                <w:color w:val="000000"/>
                <w:sz w:val="14"/>
              </w:rPr>
              <w:t>=2а+2б+3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49C185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35E8A4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CEBF3B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52F10A7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042C7645"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733BD3" w:rsidRPr="00597673" w14:paraId="1DC20D65" w14:textId="77777777">
        <w:trPr>
          <w:trHeight w:val="300"/>
        </w:trPr>
        <w:tc>
          <w:tcPr>
            <w:tcW w:w="2432"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55A7CA60" w14:textId="77777777" w:rsidR="00044D5B" w:rsidRPr="00597673" w:rsidRDefault="00044D5B">
            <w:pPr>
              <w:spacing w:before="0" w:after="0"/>
              <w:jc w:val="center"/>
              <w:rPr>
                <w:b/>
                <w:bCs/>
                <w:color w:val="000000"/>
                <w:sz w:val="22"/>
              </w:rPr>
            </w:pPr>
            <w:r w:rsidRPr="00597673">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210BAF5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5852C77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7ABA194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tcBorders>
              <w:top w:val="single" w:sz="8" w:space="0" w:color="auto"/>
              <w:left w:val="nil"/>
              <w:bottom w:val="single" w:sz="8" w:space="0" w:color="auto"/>
              <w:right w:val="single" w:sz="8" w:space="0" w:color="auto"/>
            </w:tcBorders>
            <w:vAlign w:val="center"/>
            <w:hideMark/>
          </w:tcPr>
          <w:p w14:paraId="5068DA30"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6" w:type="pct"/>
            <w:vMerge w:val="restart"/>
            <w:tcBorders>
              <w:top w:val="single" w:sz="8" w:space="0" w:color="auto"/>
              <w:left w:val="single" w:sz="8" w:space="0" w:color="auto"/>
              <w:bottom w:val="single" w:sz="8" w:space="0" w:color="auto"/>
              <w:right w:val="single" w:sz="8" w:space="0" w:color="auto"/>
            </w:tcBorders>
            <w:vAlign w:val="center"/>
            <w:hideMark/>
          </w:tcPr>
          <w:p w14:paraId="6187472A"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504273" w:rsidRPr="00597673" w14:paraId="59B3C368" w14:textId="77777777">
        <w:trPr>
          <w:trHeight w:val="300"/>
        </w:trPr>
        <w:tc>
          <w:tcPr>
            <w:tcW w:w="2432" w:type="pct"/>
            <w:gridSpan w:val="5"/>
            <w:vMerge/>
            <w:tcBorders>
              <w:top w:val="single" w:sz="8" w:space="0" w:color="auto"/>
              <w:left w:val="single" w:sz="8" w:space="0" w:color="auto"/>
              <w:bottom w:val="single" w:sz="8" w:space="0" w:color="000000"/>
              <w:right w:val="single" w:sz="8" w:space="0" w:color="000000"/>
            </w:tcBorders>
            <w:vAlign w:val="center"/>
            <w:hideMark/>
          </w:tcPr>
          <w:p w14:paraId="3888AE30" w14:textId="77777777" w:rsidR="00044D5B" w:rsidRPr="00597673" w:rsidRDefault="00044D5B">
            <w:pPr>
              <w:spacing w:before="0" w:after="0"/>
              <w:jc w:val="left"/>
              <w:rPr>
                <w:b/>
                <w:bCs/>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6E8F40C0"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3" w:type="pct"/>
            <w:gridSpan w:val="2"/>
            <w:tcBorders>
              <w:top w:val="nil"/>
              <w:left w:val="nil"/>
              <w:bottom w:val="single" w:sz="8" w:space="0" w:color="auto"/>
              <w:right w:val="single" w:sz="8" w:space="0" w:color="auto"/>
            </w:tcBorders>
            <w:vAlign w:val="center"/>
            <w:hideMark/>
          </w:tcPr>
          <w:p w14:paraId="08B3F360"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3" w:type="pct"/>
            <w:gridSpan w:val="2"/>
            <w:tcBorders>
              <w:top w:val="nil"/>
              <w:left w:val="nil"/>
              <w:bottom w:val="single" w:sz="8" w:space="0" w:color="auto"/>
              <w:right w:val="single" w:sz="8" w:space="0" w:color="auto"/>
            </w:tcBorders>
            <w:vAlign w:val="center"/>
            <w:hideMark/>
          </w:tcPr>
          <w:p w14:paraId="7A8C5375"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93" w:type="pct"/>
            <w:tcBorders>
              <w:top w:val="nil"/>
              <w:left w:val="nil"/>
              <w:bottom w:val="single" w:sz="8" w:space="0" w:color="auto"/>
              <w:right w:val="single" w:sz="8" w:space="0" w:color="auto"/>
            </w:tcBorders>
            <w:vAlign w:val="center"/>
            <w:hideMark/>
          </w:tcPr>
          <w:p w14:paraId="746AA86F"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6" w:type="pct"/>
            <w:vMerge/>
            <w:tcBorders>
              <w:top w:val="single" w:sz="8" w:space="0" w:color="auto"/>
              <w:left w:val="single" w:sz="8" w:space="0" w:color="auto"/>
              <w:bottom w:val="single" w:sz="8" w:space="0" w:color="auto"/>
              <w:right w:val="single" w:sz="8" w:space="0" w:color="auto"/>
            </w:tcBorders>
            <w:vAlign w:val="center"/>
            <w:hideMark/>
          </w:tcPr>
          <w:p w14:paraId="3ACCB11F" w14:textId="77777777" w:rsidR="00044D5B" w:rsidRPr="00597673" w:rsidRDefault="00044D5B">
            <w:pPr>
              <w:spacing w:before="0" w:after="0"/>
              <w:jc w:val="left"/>
              <w:rPr>
                <w:b/>
                <w:bCs/>
                <w:color w:val="000000"/>
                <w:sz w:val="20"/>
                <w:szCs w:val="20"/>
                <w:lang w:eastAsia="en-IE"/>
              </w:rPr>
            </w:pPr>
          </w:p>
        </w:tc>
      </w:tr>
      <w:tr w:rsidR="00983E98" w:rsidRPr="00597673" w14:paraId="7EC98A91" w14:textId="77777777">
        <w:trPr>
          <w:trHeight w:val="432"/>
        </w:trPr>
        <w:tc>
          <w:tcPr>
            <w:tcW w:w="1411" w:type="pct"/>
            <w:gridSpan w:val="2"/>
            <w:vMerge w:val="restart"/>
            <w:tcBorders>
              <w:top w:val="nil"/>
              <w:left w:val="single" w:sz="8" w:space="0" w:color="auto"/>
              <w:bottom w:val="single" w:sz="8" w:space="0" w:color="auto"/>
              <w:right w:val="single" w:sz="8" w:space="0" w:color="auto"/>
            </w:tcBorders>
            <w:vAlign w:val="center"/>
            <w:hideMark/>
          </w:tcPr>
          <w:p w14:paraId="605C621E"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оперативни разходи </w:t>
            </w:r>
            <w:r w:rsidRPr="00597673">
              <w:t xml:space="preserve"> </w:t>
            </w:r>
            <w:r w:rsidRPr="00597673">
              <w:br/>
            </w:r>
          </w:p>
        </w:tc>
        <w:tc>
          <w:tcPr>
            <w:tcW w:w="529" w:type="pct"/>
            <w:gridSpan w:val="2"/>
            <w:tcBorders>
              <w:top w:val="nil"/>
              <w:left w:val="nil"/>
              <w:bottom w:val="single" w:sz="8" w:space="0" w:color="auto"/>
              <w:right w:val="single" w:sz="8" w:space="0" w:color="auto"/>
            </w:tcBorders>
            <w:vAlign w:val="center"/>
            <w:hideMark/>
          </w:tcPr>
          <w:p w14:paraId="532D03F8"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tcBorders>
              <w:top w:val="single" w:sz="8" w:space="0" w:color="auto"/>
              <w:left w:val="nil"/>
              <w:bottom w:val="single" w:sz="8" w:space="0" w:color="auto"/>
              <w:right w:val="single" w:sz="8" w:space="0" w:color="auto"/>
            </w:tcBorders>
            <w:vAlign w:val="center"/>
            <w:hideMark/>
          </w:tcPr>
          <w:p w14:paraId="00FE3097" w14:textId="77777777" w:rsidR="00044D5B" w:rsidRPr="00597673" w:rsidRDefault="00044D5B">
            <w:pPr>
              <w:spacing w:before="0" w:after="0"/>
              <w:jc w:val="center"/>
              <w:rPr>
                <w:color w:val="000000"/>
                <w:sz w:val="14"/>
                <w:szCs w:val="14"/>
              </w:rPr>
            </w:pPr>
            <w:r w:rsidRPr="00597673">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29ACF1F"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808AFED"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0521060"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674AD2B8"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3C82BE41"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5597AE3F" w14:textId="77777777">
        <w:trPr>
          <w:trHeight w:val="456"/>
        </w:trPr>
        <w:tc>
          <w:tcPr>
            <w:tcW w:w="1411" w:type="pct"/>
            <w:gridSpan w:val="2"/>
            <w:vMerge/>
            <w:tcBorders>
              <w:top w:val="nil"/>
              <w:left w:val="single" w:sz="8" w:space="0" w:color="auto"/>
              <w:bottom w:val="single" w:sz="8" w:space="0" w:color="auto"/>
              <w:right w:val="single" w:sz="8" w:space="0" w:color="auto"/>
            </w:tcBorders>
            <w:vAlign w:val="center"/>
            <w:hideMark/>
          </w:tcPr>
          <w:p w14:paraId="14D5DD68" w14:textId="77777777" w:rsidR="00044D5B" w:rsidRPr="00597673" w:rsidRDefault="00044D5B">
            <w:pPr>
              <w:spacing w:before="0" w:after="0"/>
              <w:jc w:val="left"/>
              <w:rPr>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6B9B94A7"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tcBorders>
              <w:top w:val="single" w:sz="8" w:space="0" w:color="auto"/>
              <w:left w:val="nil"/>
              <w:bottom w:val="single" w:sz="8" w:space="0" w:color="auto"/>
              <w:right w:val="single" w:sz="8" w:space="0" w:color="auto"/>
            </w:tcBorders>
            <w:vAlign w:val="center"/>
            <w:hideMark/>
          </w:tcPr>
          <w:p w14:paraId="4AA2BB82" w14:textId="77777777" w:rsidR="00044D5B" w:rsidRPr="00597673" w:rsidRDefault="00044D5B">
            <w:pPr>
              <w:spacing w:before="0" w:after="0"/>
              <w:jc w:val="center"/>
              <w:rPr>
                <w:color w:val="000000"/>
                <w:sz w:val="14"/>
                <w:szCs w:val="14"/>
              </w:rPr>
            </w:pPr>
            <w:r w:rsidRPr="00597673">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0005958"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8706D1F"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C17042B"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A07D184"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18FDA46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4C518483" w14:textId="77777777">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370489A5"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административни разходи, финансирани от пакета за определени програми </w:t>
            </w:r>
          </w:p>
        </w:tc>
        <w:tc>
          <w:tcPr>
            <w:tcW w:w="492" w:type="pct"/>
            <w:gridSpan w:val="3"/>
            <w:tcBorders>
              <w:top w:val="single" w:sz="8" w:space="0" w:color="auto"/>
              <w:left w:val="nil"/>
              <w:bottom w:val="single" w:sz="8" w:space="0" w:color="auto"/>
              <w:right w:val="single" w:sz="8" w:space="0" w:color="auto"/>
            </w:tcBorders>
            <w:vAlign w:val="center"/>
            <w:hideMark/>
          </w:tcPr>
          <w:p w14:paraId="442141DA" w14:textId="77777777" w:rsidR="00044D5B" w:rsidRPr="00597673" w:rsidRDefault="00044D5B">
            <w:pPr>
              <w:spacing w:before="0" w:after="0"/>
              <w:jc w:val="center"/>
              <w:rPr>
                <w:color w:val="000000"/>
                <w:sz w:val="14"/>
                <w:szCs w:val="14"/>
              </w:rPr>
            </w:pPr>
            <w:r w:rsidRPr="00597673">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AE829E7"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79C575D"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3D0597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B04D310"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03220CCB"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C87C1DB" w14:textId="77777777">
        <w:trPr>
          <w:trHeight w:val="564"/>
        </w:trPr>
        <w:tc>
          <w:tcPr>
            <w:tcW w:w="1411" w:type="pct"/>
            <w:gridSpan w:val="2"/>
            <w:tcBorders>
              <w:top w:val="nil"/>
              <w:left w:val="single" w:sz="8" w:space="0" w:color="auto"/>
              <w:bottom w:val="nil"/>
              <w:right w:val="single" w:sz="8" w:space="0" w:color="auto"/>
            </w:tcBorders>
            <w:shd w:val="thinDiagStripe" w:color="C0C0C0" w:fill="F1F1F1"/>
            <w:vAlign w:val="center"/>
            <w:hideMark/>
          </w:tcPr>
          <w:p w14:paraId="6E557B58"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ФУНКЦИЯ &lt;….&gt;</w:t>
            </w:r>
          </w:p>
        </w:tc>
        <w:tc>
          <w:tcPr>
            <w:tcW w:w="529" w:type="pct"/>
            <w:gridSpan w:val="2"/>
            <w:tcBorders>
              <w:top w:val="nil"/>
              <w:left w:val="nil"/>
              <w:bottom w:val="single" w:sz="8" w:space="0" w:color="auto"/>
              <w:right w:val="single" w:sz="8" w:space="0" w:color="auto"/>
            </w:tcBorders>
            <w:vAlign w:val="center"/>
            <w:hideMark/>
          </w:tcPr>
          <w:p w14:paraId="6069C312"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tcBorders>
              <w:top w:val="single" w:sz="8" w:space="0" w:color="auto"/>
              <w:left w:val="nil"/>
              <w:bottom w:val="single" w:sz="8" w:space="0" w:color="auto"/>
              <w:right w:val="single" w:sz="8" w:space="0" w:color="auto"/>
            </w:tcBorders>
            <w:vAlign w:val="center"/>
            <w:hideMark/>
          </w:tcPr>
          <w:p w14:paraId="546D7D27" w14:textId="77777777" w:rsidR="00044D5B" w:rsidRPr="00597673" w:rsidRDefault="00044D5B">
            <w:pPr>
              <w:spacing w:before="0" w:after="0"/>
              <w:jc w:val="center"/>
              <w:rPr>
                <w:color w:val="000000"/>
                <w:sz w:val="14"/>
                <w:szCs w:val="14"/>
              </w:rPr>
            </w:pPr>
            <w:r w:rsidRPr="00597673">
              <w:rPr>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767256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B137B6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572BA3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2D5FDED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51F4199F"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721CA47C" w14:textId="77777777">
        <w:trPr>
          <w:trHeight w:val="528"/>
        </w:trPr>
        <w:tc>
          <w:tcPr>
            <w:tcW w:w="141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1F24A0EA" w14:textId="77777777" w:rsidR="00044D5B" w:rsidRPr="00597673" w:rsidRDefault="00044D5B">
            <w:pPr>
              <w:spacing w:before="0" w:after="0"/>
              <w:jc w:val="center"/>
              <w:rPr>
                <w:color w:val="000000"/>
                <w:sz w:val="22"/>
              </w:rPr>
            </w:pPr>
            <w:r w:rsidRPr="00597673">
              <w:rPr>
                <w:color w:val="000000"/>
                <w:sz w:val="22"/>
              </w:rPr>
              <w:t>от многогодишната финансова рамка</w:t>
            </w:r>
          </w:p>
        </w:tc>
        <w:tc>
          <w:tcPr>
            <w:tcW w:w="529" w:type="pct"/>
            <w:gridSpan w:val="2"/>
            <w:tcBorders>
              <w:top w:val="nil"/>
              <w:left w:val="nil"/>
              <w:bottom w:val="single" w:sz="8" w:space="0" w:color="auto"/>
              <w:right w:val="single" w:sz="8" w:space="0" w:color="auto"/>
            </w:tcBorders>
            <w:vAlign w:val="center"/>
            <w:hideMark/>
          </w:tcPr>
          <w:p w14:paraId="5B3DE6E1"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tcBorders>
              <w:top w:val="single" w:sz="8" w:space="0" w:color="auto"/>
              <w:left w:val="nil"/>
              <w:bottom w:val="single" w:sz="8" w:space="0" w:color="auto"/>
              <w:right w:val="single" w:sz="8" w:space="0" w:color="auto"/>
            </w:tcBorders>
            <w:vAlign w:val="center"/>
            <w:hideMark/>
          </w:tcPr>
          <w:p w14:paraId="70CF3694" w14:textId="77777777" w:rsidR="00044D5B" w:rsidRPr="00597673" w:rsidRDefault="00044D5B">
            <w:pPr>
              <w:spacing w:before="0" w:after="0"/>
              <w:jc w:val="center"/>
              <w:rPr>
                <w:color w:val="000000"/>
                <w:sz w:val="14"/>
                <w:szCs w:val="14"/>
              </w:rPr>
            </w:pPr>
            <w:r w:rsidRPr="00597673">
              <w:rPr>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86DBABC"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4A19897"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667879C"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CCA52B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48D36D80"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4FDF12D8" w14:textId="77777777" w:rsidR="00044D5B" w:rsidRPr="00597673" w:rsidRDefault="00044D5B" w:rsidP="00044D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470A36" w:rsidRPr="00597673" w14:paraId="2942309F" w14:textId="77777777">
        <w:trPr>
          <w:jc w:val="center"/>
        </w:trPr>
        <w:tc>
          <w:tcPr>
            <w:tcW w:w="1739" w:type="pct"/>
            <w:shd w:val="thinDiagStripe" w:color="C0C0C0" w:fill="auto"/>
            <w:vAlign w:val="center"/>
          </w:tcPr>
          <w:p w14:paraId="3BE2D497" w14:textId="77777777" w:rsidR="00044D5B" w:rsidRPr="00597673" w:rsidRDefault="00044D5B">
            <w:pPr>
              <w:spacing w:before="60" w:after="60"/>
              <w:jc w:val="center"/>
              <w:rPr>
                <w:b/>
                <w:noProof/>
              </w:rPr>
            </w:pPr>
            <w:r w:rsidRPr="00597673">
              <w:rPr>
                <w:b/>
                <w:sz w:val="22"/>
              </w:rPr>
              <w:t xml:space="preserve">Функция от многогодишната финансова </w:t>
            </w:r>
            <w:r w:rsidRPr="00597673">
              <w:t xml:space="preserve"> </w:t>
            </w:r>
            <w:r w:rsidRPr="00597673">
              <w:br/>
            </w:r>
            <w:r w:rsidRPr="00597673">
              <w:rPr>
                <w:b/>
                <w:sz w:val="22"/>
              </w:rPr>
              <w:t xml:space="preserve">рамка </w:t>
            </w:r>
          </w:p>
        </w:tc>
        <w:tc>
          <w:tcPr>
            <w:tcW w:w="396" w:type="pct"/>
            <w:vAlign w:val="center"/>
          </w:tcPr>
          <w:p w14:paraId="080282D2" w14:textId="77777777" w:rsidR="00044D5B" w:rsidRPr="00597673" w:rsidRDefault="00044D5B">
            <w:pPr>
              <w:spacing w:before="60" w:after="60"/>
              <w:jc w:val="center"/>
              <w:rPr>
                <w:noProof/>
              </w:rPr>
            </w:pPr>
            <w:r w:rsidRPr="00597673">
              <w:rPr>
                <w:sz w:val="22"/>
              </w:rPr>
              <w:t>Номер</w:t>
            </w:r>
          </w:p>
        </w:tc>
        <w:tc>
          <w:tcPr>
            <w:tcW w:w="2865" w:type="pct"/>
            <w:vAlign w:val="center"/>
          </w:tcPr>
          <w:p w14:paraId="63615D39" w14:textId="77777777" w:rsidR="00044D5B" w:rsidRPr="00597673" w:rsidRDefault="00044D5B">
            <w:pPr>
              <w:spacing w:before="60" w:after="60"/>
              <w:rPr>
                <w:noProof/>
              </w:rPr>
            </w:pPr>
          </w:p>
        </w:tc>
      </w:tr>
    </w:tbl>
    <w:p w14:paraId="6B50003A" w14:textId="77777777" w:rsidR="00044D5B" w:rsidRPr="00597673" w:rsidRDefault="00044D5B" w:rsidP="00044D5B"/>
    <w:tbl>
      <w:tblPr>
        <w:tblW w:w="5000" w:type="pct"/>
        <w:tblInd w:w="-118" w:type="dxa"/>
        <w:tblCellMar>
          <w:left w:w="0" w:type="dxa"/>
          <w:right w:w="0" w:type="dxa"/>
        </w:tblCellMar>
        <w:tblLook w:val="04A0" w:firstRow="1" w:lastRow="0" w:firstColumn="1" w:lastColumn="0" w:noHBand="0" w:noVBand="1"/>
      </w:tblPr>
      <w:tblGrid>
        <w:gridCol w:w="4268"/>
        <w:gridCol w:w="1380"/>
        <w:gridCol w:w="1933"/>
        <w:gridCol w:w="1237"/>
        <w:gridCol w:w="1237"/>
        <w:gridCol w:w="1237"/>
        <w:gridCol w:w="1237"/>
        <w:gridCol w:w="1495"/>
      </w:tblGrid>
      <w:tr w:rsidR="00B55C7B" w:rsidRPr="00597673" w14:paraId="025E0492" w14:textId="77777777">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725A14F" w14:textId="77777777" w:rsidR="00044D5B" w:rsidRPr="00597673" w:rsidRDefault="00044D5B">
            <w:pPr>
              <w:spacing w:before="0" w:after="0"/>
              <w:jc w:val="center"/>
              <w:rPr>
                <w:color w:val="000000"/>
                <w:sz w:val="22"/>
              </w:rPr>
            </w:pPr>
            <w:r w:rsidRPr="00597673">
              <w:rPr>
                <w:color w:val="000000"/>
                <w:sz w:val="22"/>
              </w:rPr>
              <w:t>ГД: &lt;…….&gt;</w:t>
            </w:r>
          </w:p>
        </w:tc>
        <w:tc>
          <w:tcPr>
            <w:tcW w:w="441" w:type="pct"/>
            <w:tcBorders>
              <w:top w:val="single" w:sz="8" w:space="0" w:color="auto"/>
              <w:left w:val="nil"/>
              <w:bottom w:val="nil"/>
              <w:right w:val="single" w:sz="8" w:space="0" w:color="auto"/>
            </w:tcBorders>
            <w:vAlign w:val="center"/>
            <w:hideMark/>
          </w:tcPr>
          <w:p w14:paraId="79AA57CB"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16F70FF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1F2B5A8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5D3BEB6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5EC33891"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504273" w:rsidRPr="00597673" w14:paraId="05CC4234" w14:textId="77777777">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6BE20C1C" w14:textId="77777777" w:rsidR="00044D5B" w:rsidRPr="00597673" w:rsidRDefault="00044D5B">
            <w:pPr>
              <w:spacing w:before="0" w:after="0"/>
              <w:jc w:val="left"/>
              <w:rPr>
                <w:color w:val="000000"/>
                <w:sz w:val="22"/>
                <w:lang w:eastAsia="en-IE"/>
              </w:rPr>
            </w:pPr>
          </w:p>
        </w:tc>
        <w:tc>
          <w:tcPr>
            <w:tcW w:w="441" w:type="pct"/>
            <w:tcBorders>
              <w:top w:val="nil"/>
              <w:left w:val="nil"/>
              <w:bottom w:val="single" w:sz="8" w:space="0" w:color="auto"/>
              <w:right w:val="single" w:sz="8" w:space="0" w:color="auto"/>
            </w:tcBorders>
            <w:vAlign w:val="center"/>
            <w:hideMark/>
          </w:tcPr>
          <w:p w14:paraId="59F77B6B"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41" w:type="pct"/>
            <w:tcBorders>
              <w:top w:val="nil"/>
              <w:left w:val="nil"/>
              <w:bottom w:val="single" w:sz="8" w:space="0" w:color="auto"/>
              <w:right w:val="single" w:sz="8" w:space="0" w:color="auto"/>
            </w:tcBorders>
            <w:vAlign w:val="center"/>
            <w:hideMark/>
          </w:tcPr>
          <w:p w14:paraId="0646A259"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41" w:type="pct"/>
            <w:tcBorders>
              <w:top w:val="nil"/>
              <w:left w:val="nil"/>
              <w:bottom w:val="single" w:sz="8" w:space="0" w:color="auto"/>
              <w:right w:val="single" w:sz="8" w:space="0" w:color="auto"/>
            </w:tcBorders>
            <w:vAlign w:val="center"/>
            <w:hideMark/>
          </w:tcPr>
          <w:p w14:paraId="5ECEE814"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41" w:type="pct"/>
            <w:tcBorders>
              <w:top w:val="nil"/>
              <w:left w:val="nil"/>
              <w:bottom w:val="single" w:sz="8" w:space="0" w:color="auto"/>
              <w:right w:val="single" w:sz="8" w:space="0" w:color="auto"/>
            </w:tcBorders>
            <w:vAlign w:val="center"/>
            <w:hideMark/>
          </w:tcPr>
          <w:p w14:paraId="42AA2680"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1493D12C" w14:textId="77777777" w:rsidR="00044D5B" w:rsidRPr="00597673" w:rsidRDefault="00044D5B">
            <w:pPr>
              <w:spacing w:before="0" w:after="0"/>
              <w:jc w:val="left"/>
              <w:rPr>
                <w:b/>
                <w:bCs/>
                <w:color w:val="000000"/>
                <w:sz w:val="20"/>
                <w:szCs w:val="20"/>
                <w:lang w:eastAsia="en-IE"/>
              </w:rPr>
            </w:pPr>
          </w:p>
        </w:tc>
      </w:tr>
      <w:tr w:rsidR="00E6355E" w:rsidRPr="00597673" w14:paraId="18130917" w14:textId="77777777">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081487BB" w14:textId="77777777" w:rsidR="00044D5B" w:rsidRPr="00597673" w:rsidRDefault="00044D5B">
            <w:pPr>
              <w:spacing w:before="0" w:after="0"/>
              <w:rPr>
                <w:color w:val="000000"/>
                <w:sz w:val="21"/>
                <w:szCs w:val="21"/>
              </w:rPr>
            </w:pPr>
            <w:r w:rsidRPr="00597673">
              <w:rPr>
                <w:color w:val="000000"/>
                <w:sz w:val="21"/>
              </w:rPr>
              <w:t xml:space="preserve">Бюджетни кредити за оперативни разходи </w:t>
            </w:r>
          </w:p>
        </w:tc>
        <w:tc>
          <w:tcPr>
            <w:tcW w:w="441" w:type="pct"/>
            <w:tcBorders>
              <w:top w:val="nil"/>
              <w:left w:val="nil"/>
              <w:bottom w:val="single" w:sz="8" w:space="0" w:color="auto"/>
              <w:right w:val="single" w:sz="8" w:space="0" w:color="auto"/>
            </w:tcBorders>
            <w:vAlign w:val="center"/>
            <w:hideMark/>
          </w:tcPr>
          <w:p w14:paraId="16A7C550" w14:textId="77777777" w:rsidR="00044D5B" w:rsidRPr="00597673" w:rsidRDefault="00044D5B">
            <w:pPr>
              <w:spacing w:before="0" w:after="0"/>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D494044" w14:textId="77777777" w:rsidR="00044D5B" w:rsidRPr="00597673" w:rsidRDefault="00044D5B">
            <w:pPr>
              <w:spacing w:before="0" w:after="0"/>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E333F01" w14:textId="77777777" w:rsidR="00044D5B" w:rsidRPr="00597673" w:rsidRDefault="00044D5B">
            <w:pPr>
              <w:spacing w:before="0" w:after="0"/>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F04DC15" w14:textId="77777777" w:rsidR="00044D5B" w:rsidRPr="00597673" w:rsidRDefault="00044D5B">
            <w:pPr>
              <w:spacing w:before="0" w:after="0"/>
              <w:rPr>
                <w:b/>
                <w:bCs/>
                <w:color w:val="000000"/>
                <w:sz w:val="20"/>
                <w:szCs w:val="20"/>
              </w:rPr>
            </w:pPr>
            <w:r w:rsidRPr="00597673">
              <w:rPr>
                <w:b/>
                <w:color w:val="000000"/>
                <w:sz w:val="20"/>
              </w:rPr>
              <w:t xml:space="preserve"> </w:t>
            </w:r>
          </w:p>
        </w:tc>
        <w:tc>
          <w:tcPr>
            <w:tcW w:w="534" w:type="pct"/>
            <w:tcBorders>
              <w:top w:val="nil"/>
              <w:left w:val="nil"/>
              <w:bottom w:val="single" w:sz="8" w:space="0" w:color="auto"/>
              <w:right w:val="single" w:sz="8" w:space="0" w:color="auto"/>
            </w:tcBorders>
            <w:vAlign w:val="center"/>
            <w:hideMark/>
          </w:tcPr>
          <w:p w14:paraId="087BFFDA" w14:textId="77777777" w:rsidR="00044D5B" w:rsidRPr="00597673" w:rsidRDefault="00044D5B">
            <w:pPr>
              <w:spacing w:before="0" w:after="0"/>
              <w:rPr>
                <w:b/>
                <w:bCs/>
                <w:color w:val="000000"/>
                <w:sz w:val="20"/>
                <w:szCs w:val="20"/>
              </w:rPr>
            </w:pPr>
            <w:r w:rsidRPr="00597673">
              <w:rPr>
                <w:b/>
                <w:color w:val="000000"/>
                <w:sz w:val="20"/>
              </w:rPr>
              <w:t xml:space="preserve"> </w:t>
            </w:r>
          </w:p>
        </w:tc>
      </w:tr>
      <w:tr w:rsidR="00E62D64" w:rsidRPr="00597673" w14:paraId="35CB3899" w14:textId="77777777">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2D50885B" w14:textId="77777777" w:rsidR="00044D5B" w:rsidRPr="00597673" w:rsidRDefault="00044D5B">
            <w:pPr>
              <w:spacing w:before="0" w:after="0"/>
              <w:jc w:val="left"/>
              <w:rPr>
                <w:color w:val="000000"/>
                <w:sz w:val="22"/>
              </w:rPr>
            </w:pPr>
            <w:r w:rsidRPr="00597673">
              <w:rPr>
                <w:color w:val="000000"/>
                <w:sz w:val="22"/>
              </w:rPr>
              <w:t>Бюджетен ред</w:t>
            </w:r>
          </w:p>
        </w:tc>
        <w:tc>
          <w:tcPr>
            <w:tcW w:w="492" w:type="pct"/>
            <w:tcBorders>
              <w:top w:val="nil"/>
              <w:left w:val="nil"/>
              <w:bottom w:val="single" w:sz="8" w:space="0" w:color="auto"/>
              <w:right w:val="single" w:sz="8" w:space="0" w:color="auto"/>
            </w:tcBorders>
            <w:vAlign w:val="center"/>
            <w:hideMark/>
          </w:tcPr>
          <w:p w14:paraId="058BCC1A"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688" w:type="pct"/>
            <w:tcBorders>
              <w:top w:val="single" w:sz="8" w:space="0" w:color="auto"/>
              <w:left w:val="nil"/>
              <w:bottom w:val="single" w:sz="8" w:space="0" w:color="auto"/>
              <w:right w:val="single" w:sz="8" w:space="0" w:color="000000"/>
            </w:tcBorders>
            <w:vAlign w:val="center"/>
            <w:hideMark/>
          </w:tcPr>
          <w:p w14:paraId="5F21A808" w14:textId="77777777" w:rsidR="00044D5B" w:rsidRPr="00597673" w:rsidRDefault="00044D5B">
            <w:pPr>
              <w:spacing w:before="0" w:after="0"/>
              <w:jc w:val="center"/>
              <w:rPr>
                <w:color w:val="000000"/>
                <w:sz w:val="14"/>
                <w:szCs w:val="14"/>
              </w:rPr>
            </w:pPr>
            <w:r w:rsidRPr="00597673">
              <w:rPr>
                <w:color w:val="000000"/>
                <w:sz w:val="14"/>
              </w:rPr>
              <w:t>(1а)</w:t>
            </w:r>
          </w:p>
        </w:tc>
        <w:tc>
          <w:tcPr>
            <w:tcW w:w="441" w:type="pct"/>
            <w:tcBorders>
              <w:top w:val="nil"/>
              <w:left w:val="nil"/>
              <w:bottom w:val="single" w:sz="8" w:space="0" w:color="auto"/>
              <w:right w:val="single" w:sz="8" w:space="0" w:color="auto"/>
            </w:tcBorders>
            <w:vAlign w:val="center"/>
            <w:hideMark/>
          </w:tcPr>
          <w:p w14:paraId="293829A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AA2B0F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E6C415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A1343E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7020CFA7"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79F88647"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50471408" w14:textId="77777777" w:rsidR="00044D5B" w:rsidRPr="00597673" w:rsidRDefault="00044D5B">
            <w:pPr>
              <w:spacing w:before="0" w:after="0"/>
              <w:jc w:val="left"/>
              <w:rPr>
                <w:color w:val="000000"/>
                <w:sz w:val="22"/>
                <w:lang w:eastAsia="en-IE"/>
              </w:rPr>
            </w:pPr>
          </w:p>
        </w:tc>
        <w:tc>
          <w:tcPr>
            <w:tcW w:w="492" w:type="pct"/>
            <w:tcBorders>
              <w:top w:val="nil"/>
              <w:left w:val="nil"/>
              <w:bottom w:val="single" w:sz="8" w:space="0" w:color="auto"/>
              <w:right w:val="single" w:sz="8" w:space="0" w:color="auto"/>
            </w:tcBorders>
            <w:vAlign w:val="center"/>
            <w:hideMark/>
          </w:tcPr>
          <w:p w14:paraId="51D85790" w14:textId="77777777" w:rsidR="00044D5B" w:rsidRPr="00597673" w:rsidRDefault="00044D5B">
            <w:pPr>
              <w:spacing w:before="0" w:after="0"/>
              <w:rPr>
                <w:color w:val="000000"/>
                <w:sz w:val="18"/>
                <w:szCs w:val="18"/>
              </w:rPr>
            </w:pPr>
            <w:r w:rsidRPr="00597673">
              <w:rPr>
                <w:color w:val="000000"/>
                <w:sz w:val="18"/>
              </w:rPr>
              <w:t>Плащания</w:t>
            </w:r>
          </w:p>
        </w:tc>
        <w:tc>
          <w:tcPr>
            <w:tcW w:w="688" w:type="pct"/>
            <w:tcBorders>
              <w:top w:val="single" w:sz="8" w:space="0" w:color="auto"/>
              <w:left w:val="nil"/>
              <w:bottom w:val="single" w:sz="8" w:space="0" w:color="auto"/>
              <w:right w:val="single" w:sz="8" w:space="0" w:color="000000"/>
            </w:tcBorders>
            <w:vAlign w:val="center"/>
            <w:hideMark/>
          </w:tcPr>
          <w:p w14:paraId="73A41549" w14:textId="77777777" w:rsidR="00044D5B" w:rsidRPr="00597673" w:rsidRDefault="00044D5B">
            <w:pPr>
              <w:spacing w:before="0" w:after="0"/>
              <w:jc w:val="center"/>
              <w:rPr>
                <w:color w:val="000000"/>
                <w:sz w:val="14"/>
                <w:szCs w:val="14"/>
              </w:rPr>
            </w:pPr>
            <w:r w:rsidRPr="00597673">
              <w:rPr>
                <w:color w:val="000000"/>
                <w:sz w:val="14"/>
              </w:rPr>
              <w:t>(2а)</w:t>
            </w:r>
          </w:p>
        </w:tc>
        <w:tc>
          <w:tcPr>
            <w:tcW w:w="441" w:type="pct"/>
            <w:tcBorders>
              <w:top w:val="nil"/>
              <w:left w:val="nil"/>
              <w:bottom w:val="single" w:sz="8" w:space="0" w:color="auto"/>
              <w:right w:val="single" w:sz="8" w:space="0" w:color="auto"/>
            </w:tcBorders>
            <w:vAlign w:val="center"/>
            <w:hideMark/>
          </w:tcPr>
          <w:p w14:paraId="78D199E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C0989C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4F7A24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B19A230"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16FD2D8"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6D0ADF5E" w14:textId="77777777">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4E443B84" w14:textId="77777777" w:rsidR="00044D5B" w:rsidRPr="00597673" w:rsidRDefault="00044D5B">
            <w:pPr>
              <w:spacing w:before="0" w:after="0"/>
              <w:rPr>
                <w:color w:val="000000"/>
                <w:sz w:val="20"/>
                <w:szCs w:val="20"/>
              </w:rPr>
            </w:pPr>
            <w:r w:rsidRPr="00597673">
              <w:rPr>
                <w:color w:val="000000"/>
                <w:sz w:val="20"/>
              </w:rPr>
              <w:t>Бюджетен ред</w:t>
            </w:r>
          </w:p>
        </w:tc>
        <w:tc>
          <w:tcPr>
            <w:tcW w:w="492" w:type="pct"/>
            <w:tcBorders>
              <w:top w:val="nil"/>
              <w:left w:val="nil"/>
              <w:bottom w:val="single" w:sz="8" w:space="0" w:color="auto"/>
              <w:right w:val="single" w:sz="8" w:space="0" w:color="auto"/>
            </w:tcBorders>
            <w:vAlign w:val="center"/>
            <w:hideMark/>
          </w:tcPr>
          <w:p w14:paraId="2AAC1C2F"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688" w:type="pct"/>
            <w:tcBorders>
              <w:top w:val="single" w:sz="8" w:space="0" w:color="auto"/>
              <w:left w:val="nil"/>
              <w:bottom w:val="single" w:sz="8" w:space="0" w:color="auto"/>
              <w:right w:val="single" w:sz="8" w:space="0" w:color="000000"/>
            </w:tcBorders>
            <w:vAlign w:val="center"/>
            <w:hideMark/>
          </w:tcPr>
          <w:p w14:paraId="27C1F9C3" w14:textId="77777777" w:rsidR="00044D5B" w:rsidRPr="00597673" w:rsidRDefault="00044D5B">
            <w:pPr>
              <w:spacing w:before="0" w:after="0"/>
              <w:jc w:val="center"/>
              <w:rPr>
                <w:color w:val="000000"/>
                <w:sz w:val="14"/>
                <w:szCs w:val="14"/>
              </w:rPr>
            </w:pPr>
            <w:r w:rsidRPr="00597673">
              <w:rPr>
                <w:color w:val="000000"/>
                <w:sz w:val="14"/>
              </w:rPr>
              <w:t>(1б)</w:t>
            </w:r>
          </w:p>
        </w:tc>
        <w:tc>
          <w:tcPr>
            <w:tcW w:w="441" w:type="pct"/>
            <w:tcBorders>
              <w:top w:val="nil"/>
              <w:left w:val="nil"/>
              <w:bottom w:val="single" w:sz="8" w:space="0" w:color="auto"/>
              <w:right w:val="single" w:sz="8" w:space="0" w:color="auto"/>
            </w:tcBorders>
            <w:vAlign w:val="center"/>
            <w:hideMark/>
          </w:tcPr>
          <w:p w14:paraId="57977AA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948C66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7EF918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CAE4EB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360EB38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1803A301"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55280D5C" w14:textId="77777777" w:rsidR="00044D5B" w:rsidRPr="00597673" w:rsidRDefault="00044D5B">
            <w:pPr>
              <w:spacing w:before="0" w:after="0"/>
              <w:jc w:val="left"/>
              <w:rPr>
                <w:color w:val="000000"/>
                <w:sz w:val="20"/>
                <w:szCs w:val="20"/>
                <w:lang w:eastAsia="en-IE"/>
              </w:rPr>
            </w:pPr>
          </w:p>
        </w:tc>
        <w:tc>
          <w:tcPr>
            <w:tcW w:w="492" w:type="pct"/>
            <w:tcBorders>
              <w:top w:val="nil"/>
              <w:left w:val="nil"/>
              <w:bottom w:val="single" w:sz="8" w:space="0" w:color="auto"/>
              <w:right w:val="single" w:sz="8" w:space="0" w:color="auto"/>
            </w:tcBorders>
            <w:vAlign w:val="center"/>
            <w:hideMark/>
          </w:tcPr>
          <w:p w14:paraId="7C957821" w14:textId="77777777" w:rsidR="00044D5B" w:rsidRPr="00597673" w:rsidRDefault="00044D5B">
            <w:pPr>
              <w:spacing w:before="0" w:after="0"/>
              <w:rPr>
                <w:color w:val="000000"/>
                <w:sz w:val="18"/>
                <w:szCs w:val="18"/>
              </w:rPr>
            </w:pPr>
            <w:r w:rsidRPr="00597673">
              <w:rPr>
                <w:color w:val="000000"/>
                <w:sz w:val="18"/>
              </w:rPr>
              <w:t>Плащания</w:t>
            </w:r>
          </w:p>
        </w:tc>
        <w:tc>
          <w:tcPr>
            <w:tcW w:w="688" w:type="pct"/>
            <w:tcBorders>
              <w:top w:val="single" w:sz="8" w:space="0" w:color="auto"/>
              <w:left w:val="nil"/>
              <w:bottom w:val="single" w:sz="8" w:space="0" w:color="auto"/>
              <w:right w:val="single" w:sz="8" w:space="0" w:color="000000"/>
            </w:tcBorders>
            <w:vAlign w:val="center"/>
            <w:hideMark/>
          </w:tcPr>
          <w:p w14:paraId="0D2E97E8" w14:textId="77777777" w:rsidR="00044D5B" w:rsidRPr="00597673" w:rsidRDefault="00044D5B">
            <w:pPr>
              <w:spacing w:before="0" w:after="0"/>
              <w:jc w:val="center"/>
              <w:rPr>
                <w:color w:val="000000"/>
                <w:sz w:val="14"/>
                <w:szCs w:val="14"/>
              </w:rPr>
            </w:pPr>
            <w:r w:rsidRPr="00597673">
              <w:rPr>
                <w:color w:val="000000"/>
                <w:sz w:val="14"/>
              </w:rPr>
              <w:t>(2б)</w:t>
            </w:r>
          </w:p>
        </w:tc>
        <w:tc>
          <w:tcPr>
            <w:tcW w:w="441" w:type="pct"/>
            <w:tcBorders>
              <w:top w:val="nil"/>
              <w:left w:val="nil"/>
              <w:bottom w:val="single" w:sz="8" w:space="0" w:color="auto"/>
              <w:right w:val="single" w:sz="8" w:space="0" w:color="auto"/>
            </w:tcBorders>
            <w:vAlign w:val="center"/>
            <w:hideMark/>
          </w:tcPr>
          <w:p w14:paraId="4F8653F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F4FAC1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E895F71"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71F6CB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6B9A42D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404DD3" w:rsidRPr="00597673" w14:paraId="7E1D5B53" w14:textId="77777777">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5E910FF0"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7E6EC8DE"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474589FF" w14:textId="77777777" w:rsidR="00044D5B" w:rsidRPr="00597673" w:rsidRDefault="00044D5B">
            <w:pPr>
              <w:spacing w:before="0" w:after="0"/>
              <w:rPr>
                <w:color w:val="000000"/>
                <w:sz w:val="20"/>
                <w:szCs w:val="20"/>
              </w:rPr>
            </w:pPr>
            <w:r w:rsidRPr="00597673">
              <w:rPr>
                <w:color w:val="000000"/>
                <w:sz w:val="20"/>
              </w:rPr>
              <w:t>Бюджетен ред</w:t>
            </w:r>
          </w:p>
        </w:tc>
        <w:tc>
          <w:tcPr>
            <w:tcW w:w="492" w:type="pct"/>
            <w:tcBorders>
              <w:top w:val="nil"/>
              <w:left w:val="nil"/>
              <w:bottom w:val="single" w:sz="8" w:space="0" w:color="auto"/>
              <w:right w:val="single" w:sz="8" w:space="0" w:color="auto"/>
            </w:tcBorders>
            <w:vAlign w:val="center"/>
            <w:hideMark/>
          </w:tcPr>
          <w:p w14:paraId="51CBC571"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688" w:type="pct"/>
            <w:tcBorders>
              <w:top w:val="nil"/>
              <w:left w:val="nil"/>
              <w:bottom w:val="single" w:sz="8" w:space="0" w:color="auto"/>
              <w:right w:val="single" w:sz="8" w:space="0" w:color="000000"/>
            </w:tcBorders>
            <w:vAlign w:val="center"/>
            <w:hideMark/>
          </w:tcPr>
          <w:p w14:paraId="116256AC" w14:textId="77777777" w:rsidR="00044D5B" w:rsidRPr="00597673" w:rsidRDefault="00044D5B">
            <w:pPr>
              <w:spacing w:before="0" w:after="0"/>
              <w:jc w:val="center"/>
              <w:rPr>
                <w:color w:val="000000"/>
                <w:sz w:val="14"/>
                <w:szCs w:val="14"/>
              </w:rPr>
            </w:pPr>
            <w:r w:rsidRPr="00597673">
              <w:rPr>
                <w:color w:val="000000"/>
                <w:sz w:val="14"/>
              </w:rPr>
              <w:t>(3)</w:t>
            </w:r>
          </w:p>
        </w:tc>
        <w:tc>
          <w:tcPr>
            <w:tcW w:w="441" w:type="pct"/>
            <w:tcBorders>
              <w:top w:val="nil"/>
              <w:left w:val="nil"/>
              <w:bottom w:val="single" w:sz="8" w:space="0" w:color="auto"/>
              <w:right w:val="single" w:sz="8" w:space="0" w:color="auto"/>
            </w:tcBorders>
            <w:vAlign w:val="center"/>
            <w:hideMark/>
          </w:tcPr>
          <w:p w14:paraId="04A3B711"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7B2AB98"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C6DA456"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54640F8"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0337601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64FDDEB8" w14:textId="77777777">
        <w:trPr>
          <w:trHeight w:val="300"/>
        </w:trPr>
        <w:tc>
          <w:tcPr>
            <w:tcW w:w="1522" w:type="pct"/>
            <w:tcBorders>
              <w:top w:val="nil"/>
              <w:left w:val="single" w:sz="8" w:space="0" w:color="auto"/>
              <w:bottom w:val="nil"/>
              <w:right w:val="single" w:sz="8" w:space="0" w:color="auto"/>
            </w:tcBorders>
            <w:vAlign w:val="center"/>
            <w:hideMark/>
          </w:tcPr>
          <w:p w14:paraId="7B1CDD6A"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tc>
        <w:tc>
          <w:tcPr>
            <w:tcW w:w="492" w:type="pct"/>
            <w:tcBorders>
              <w:top w:val="nil"/>
              <w:left w:val="nil"/>
              <w:bottom w:val="single" w:sz="8" w:space="0" w:color="auto"/>
              <w:right w:val="single" w:sz="8" w:space="0" w:color="auto"/>
            </w:tcBorders>
            <w:vAlign w:val="center"/>
            <w:hideMark/>
          </w:tcPr>
          <w:p w14:paraId="1D672A84"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688" w:type="pct"/>
            <w:tcBorders>
              <w:top w:val="single" w:sz="8" w:space="0" w:color="auto"/>
              <w:left w:val="nil"/>
              <w:bottom w:val="single" w:sz="8" w:space="0" w:color="auto"/>
              <w:right w:val="single" w:sz="8" w:space="0" w:color="000000"/>
            </w:tcBorders>
            <w:vAlign w:val="center"/>
            <w:hideMark/>
          </w:tcPr>
          <w:p w14:paraId="19D6B8F0" w14:textId="77777777" w:rsidR="00044D5B" w:rsidRPr="00597673" w:rsidRDefault="00044D5B">
            <w:pPr>
              <w:spacing w:before="0" w:after="0"/>
              <w:jc w:val="center"/>
              <w:rPr>
                <w:color w:val="000000"/>
                <w:sz w:val="14"/>
                <w:szCs w:val="14"/>
              </w:rPr>
            </w:pPr>
            <w:r w:rsidRPr="00597673">
              <w:rPr>
                <w:color w:val="000000"/>
                <w:sz w:val="14"/>
              </w:rPr>
              <w:t>=1а+1б+3</w:t>
            </w:r>
          </w:p>
        </w:tc>
        <w:tc>
          <w:tcPr>
            <w:tcW w:w="441" w:type="pct"/>
            <w:tcBorders>
              <w:top w:val="nil"/>
              <w:left w:val="nil"/>
              <w:bottom w:val="single" w:sz="8" w:space="0" w:color="auto"/>
              <w:right w:val="single" w:sz="8" w:space="0" w:color="auto"/>
            </w:tcBorders>
            <w:shd w:val="clear" w:color="000000" w:fill="D9D9D9"/>
            <w:vAlign w:val="center"/>
            <w:hideMark/>
          </w:tcPr>
          <w:p w14:paraId="5D817E6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BDAACC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F241296"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5E9BD5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33126D75"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2B42D111"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7A56220A"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492" w:type="pct"/>
            <w:tcBorders>
              <w:top w:val="nil"/>
              <w:left w:val="nil"/>
              <w:bottom w:val="single" w:sz="8" w:space="0" w:color="auto"/>
              <w:right w:val="single" w:sz="8" w:space="0" w:color="auto"/>
            </w:tcBorders>
            <w:vAlign w:val="center"/>
            <w:hideMark/>
          </w:tcPr>
          <w:p w14:paraId="5564DABC" w14:textId="77777777" w:rsidR="00044D5B" w:rsidRPr="00597673" w:rsidRDefault="00044D5B">
            <w:pPr>
              <w:spacing w:before="0" w:after="0"/>
              <w:rPr>
                <w:color w:val="000000"/>
                <w:sz w:val="18"/>
                <w:szCs w:val="18"/>
              </w:rPr>
            </w:pPr>
            <w:r w:rsidRPr="00597673">
              <w:rPr>
                <w:color w:val="000000"/>
                <w:sz w:val="18"/>
              </w:rPr>
              <w:t>Плащания</w:t>
            </w:r>
          </w:p>
        </w:tc>
        <w:tc>
          <w:tcPr>
            <w:tcW w:w="688" w:type="pct"/>
            <w:tcBorders>
              <w:top w:val="single" w:sz="8" w:space="0" w:color="auto"/>
              <w:left w:val="nil"/>
              <w:bottom w:val="single" w:sz="8" w:space="0" w:color="auto"/>
              <w:right w:val="single" w:sz="8" w:space="0" w:color="000000"/>
            </w:tcBorders>
            <w:vAlign w:val="center"/>
            <w:hideMark/>
          </w:tcPr>
          <w:p w14:paraId="192836F1" w14:textId="77777777" w:rsidR="00044D5B" w:rsidRPr="00597673" w:rsidRDefault="00044D5B">
            <w:pPr>
              <w:spacing w:before="0" w:after="0"/>
              <w:jc w:val="center"/>
              <w:rPr>
                <w:color w:val="000000"/>
                <w:sz w:val="14"/>
                <w:szCs w:val="14"/>
              </w:rPr>
            </w:pPr>
            <w:r w:rsidRPr="00597673">
              <w:rPr>
                <w:color w:val="000000"/>
                <w:sz w:val="14"/>
              </w:rPr>
              <w:t>=2а+2б+3</w:t>
            </w:r>
          </w:p>
        </w:tc>
        <w:tc>
          <w:tcPr>
            <w:tcW w:w="441" w:type="pct"/>
            <w:tcBorders>
              <w:top w:val="nil"/>
              <w:left w:val="nil"/>
              <w:bottom w:val="single" w:sz="8" w:space="0" w:color="auto"/>
              <w:right w:val="single" w:sz="8" w:space="0" w:color="auto"/>
            </w:tcBorders>
            <w:shd w:val="clear" w:color="000000" w:fill="D9D9D9"/>
            <w:vAlign w:val="center"/>
            <w:hideMark/>
          </w:tcPr>
          <w:p w14:paraId="36D06A7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490D91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3E5A90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C92C25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353772FB"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3D5B3066" w14:textId="77777777" w:rsidR="00044D5B" w:rsidRPr="00597673" w:rsidRDefault="00044D5B" w:rsidP="00044D5B"/>
    <w:tbl>
      <w:tblPr>
        <w:tblW w:w="5000" w:type="pct"/>
        <w:tblInd w:w="-118" w:type="dxa"/>
        <w:tblCellMar>
          <w:left w:w="0" w:type="dxa"/>
          <w:right w:w="0" w:type="dxa"/>
        </w:tblCellMar>
        <w:tblLook w:val="04A0" w:firstRow="1" w:lastRow="0" w:firstColumn="1" w:lastColumn="0" w:noHBand="0" w:noVBand="1"/>
      </w:tblPr>
      <w:tblGrid>
        <w:gridCol w:w="4269"/>
        <w:gridCol w:w="1321"/>
        <w:gridCol w:w="1991"/>
        <w:gridCol w:w="1237"/>
        <w:gridCol w:w="1237"/>
        <w:gridCol w:w="1237"/>
        <w:gridCol w:w="1237"/>
        <w:gridCol w:w="1495"/>
      </w:tblGrid>
      <w:tr w:rsidR="00B55C7B" w:rsidRPr="00597673" w14:paraId="4AAF4DE8" w14:textId="77777777">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6E5C8DDF" w14:textId="77777777" w:rsidR="00044D5B" w:rsidRPr="00597673" w:rsidRDefault="00044D5B">
            <w:pPr>
              <w:spacing w:before="0" w:after="0"/>
              <w:jc w:val="center"/>
              <w:rPr>
                <w:color w:val="000000"/>
                <w:sz w:val="22"/>
              </w:rPr>
            </w:pPr>
            <w:r w:rsidRPr="00597673">
              <w:rPr>
                <w:color w:val="000000"/>
                <w:sz w:val="22"/>
              </w:rPr>
              <w:t>ГД: &lt;…….&gt;</w:t>
            </w:r>
          </w:p>
        </w:tc>
        <w:tc>
          <w:tcPr>
            <w:tcW w:w="441" w:type="pct"/>
            <w:tcBorders>
              <w:top w:val="single" w:sz="8" w:space="0" w:color="auto"/>
              <w:left w:val="nil"/>
              <w:bottom w:val="nil"/>
              <w:right w:val="single" w:sz="8" w:space="0" w:color="auto"/>
            </w:tcBorders>
            <w:vAlign w:val="center"/>
            <w:hideMark/>
          </w:tcPr>
          <w:p w14:paraId="6FBB9587"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0A643D14"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4287E46F"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72534AB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00655660"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B55C7B" w:rsidRPr="00597673" w14:paraId="41C7F570" w14:textId="77777777">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424C9D7E" w14:textId="77777777" w:rsidR="00044D5B" w:rsidRPr="00597673" w:rsidRDefault="00044D5B">
            <w:pPr>
              <w:spacing w:before="0" w:after="0"/>
              <w:jc w:val="left"/>
              <w:rPr>
                <w:color w:val="000000"/>
                <w:sz w:val="22"/>
                <w:lang w:eastAsia="en-IE"/>
              </w:rPr>
            </w:pPr>
          </w:p>
        </w:tc>
        <w:tc>
          <w:tcPr>
            <w:tcW w:w="441" w:type="pct"/>
            <w:tcBorders>
              <w:top w:val="nil"/>
              <w:left w:val="nil"/>
              <w:bottom w:val="single" w:sz="8" w:space="0" w:color="auto"/>
              <w:right w:val="single" w:sz="8" w:space="0" w:color="auto"/>
            </w:tcBorders>
            <w:vAlign w:val="center"/>
            <w:hideMark/>
          </w:tcPr>
          <w:p w14:paraId="1042B555"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41" w:type="pct"/>
            <w:tcBorders>
              <w:top w:val="nil"/>
              <w:left w:val="nil"/>
              <w:bottom w:val="single" w:sz="8" w:space="0" w:color="auto"/>
              <w:right w:val="single" w:sz="8" w:space="0" w:color="auto"/>
            </w:tcBorders>
            <w:vAlign w:val="center"/>
            <w:hideMark/>
          </w:tcPr>
          <w:p w14:paraId="6A332716"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41" w:type="pct"/>
            <w:tcBorders>
              <w:top w:val="nil"/>
              <w:left w:val="nil"/>
              <w:bottom w:val="single" w:sz="8" w:space="0" w:color="auto"/>
              <w:right w:val="single" w:sz="8" w:space="0" w:color="auto"/>
            </w:tcBorders>
            <w:vAlign w:val="center"/>
            <w:hideMark/>
          </w:tcPr>
          <w:p w14:paraId="476F7373"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41" w:type="pct"/>
            <w:tcBorders>
              <w:top w:val="nil"/>
              <w:left w:val="nil"/>
              <w:bottom w:val="single" w:sz="8" w:space="0" w:color="auto"/>
              <w:right w:val="single" w:sz="8" w:space="0" w:color="auto"/>
            </w:tcBorders>
            <w:vAlign w:val="center"/>
            <w:hideMark/>
          </w:tcPr>
          <w:p w14:paraId="19ACD14E"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15E65E9A" w14:textId="77777777" w:rsidR="00044D5B" w:rsidRPr="00597673" w:rsidRDefault="00044D5B">
            <w:pPr>
              <w:spacing w:before="0" w:after="0"/>
              <w:jc w:val="left"/>
              <w:rPr>
                <w:b/>
                <w:bCs/>
                <w:color w:val="000000"/>
                <w:sz w:val="20"/>
                <w:szCs w:val="20"/>
                <w:lang w:eastAsia="en-IE"/>
              </w:rPr>
            </w:pPr>
          </w:p>
        </w:tc>
      </w:tr>
      <w:tr w:rsidR="00E6355E" w:rsidRPr="00597673" w14:paraId="44BAFC21" w14:textId="77777777">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2F1FAC12" w14:textId="77777777" w:rsidR="00044D5B" w:rsidRPr="00597673" w:rsidRDefault="00044D5B">
            <w:pPr>
              <w:spacing w:before="0" w:after="0"/>
              <w:rPr>
                <w:color w:val="000000"/>
                <w:sz w:val="21"/>
                <w:szCs w:val="21"/>
              </w:rPr>
            </w:pPr>
            <w:r w:rsidRPr="00597673">
              <w:rPr>
                <w:color w:val="000000"/>
                <w:sz w:val="21"/>
              </w:rPr>
              <w:t xml:space="preserve">Бюджетни кредити за оперативни разходи </w:t>
            </w:r>
          </w:p>
        </w:tc>
        <w:tc>
          <w:tcPr>
            <w:tcW w:w="441" w:type="pct"/>
            <w:tcBorders>
              <w:top w:val="nil"/>
              <w:left w:val="nil"/>
              <w:bottom w:val="single" w:sz="8" w:space="0" w:color="auto"/>
              <w:right w:val="single" w:sz="8" w:space="0" w:color="auto"/>
            </w:tcBorders>
            <w:vAlign w:val="center"/>
            <w:hideMark/>
          </w:tcPr>
          <w:p w14:paraId="6D18F4F8" w14:textId="77777777" w:rsidR="00044D5B" w:rsidRPr="00597673" w:rsidRDefault="00044D5B">
            <w:pPr>
              <w:spacing w:before="0" w:after="0"/>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17AC467" w14:textId="77777777" w:rsidR="00044D5B" w:rsidRPr="00597673" w:rsidRDefault="00044D5B">
            <w:pPr>
              <w:spacing w:before="0" w:after="0"/>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DCD9C6E" w14:textId="77777777" w:rsidR="00044D5B" w:rsidRPr="00597673" w:rsidRDefault="00044D5B">
            <w:pPr>
              <w:spacing w:before="0" w:after="0"/>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3F6E8ED" w14:textId="77777777" w:rsidR="00044D5B" w:rsidRPr="00597673" w:rsidRDefault="00044D5B">
            <w:pPr>
              <w:spacing w:before="0" w:after="0"/>
              <w:rPr>
                <w:b/>
                <w:bCs/>
                <w:color w:val="000000"/>
                <w:sz w:val="20"/>
                <w:szCs w:val="20"/>
              </w:rPr>
            </w:pPr>
            <w:r w:rsidRPr="00597673">
              <w:rPr>
                <w:b/>
                <w:color w:val="000000"/>
                <w:sz w:val="20"/>
              </w:rPr>
              <w:t xml:space="preserve"> </w:t>
            </w:r>
          </w:p>
        </w:tc>
        <w:tc>
          <w:tcPr>
            <w:tcW w:w="534" w:type="pct"/>
            <w:tcBorders>
              <w:top w:val="nil"/>
              <w:left w:val="nil"/>
              <w:bottom w:val="single" w:sz="8" w:space="0" w:color="auto"/>
              <w:right w:val="single" w:sz="8" w:space="0" w:color="auto"/>
            </w:tcBorders>
            <w:vAlign w:val="center"/>
            <w:hideMark/>
          </w:tcPr>
          <w:p w14:paraId="52529214" w14:textId="77777777" w:rsidR="00044D5B" w:rsidRPr="00597673" w:rsidRDefault="00044D5B">
            <w:pPr>
              <w:spacing w:before="0" w:after="0"/>
              <w:rPr>
                <w:b/>
                <w:bCs/>
                <w:color w:val="000000"/>
                <w:sz w:val="20"/>
                <w:szCs w:val="20"/>
              </w:rPr>
            </w:pPr>
            <w:r w:rsidRPr="00597673">
              <w:rPr>
                <w:b/>
                <w:color w:val="000000"/>
                <w:sz w:val="20"/>
              </w:rPr>
              <w:t xml:space="preserve"> </w:t>
            </w:r>
          </w:p>
        </w:tc>
      </w:tr>
      <w:tr w:rsidR="00E62D64" w:rsidRPr="00597673" w14:paraId="1D05DF05" w14:textId="77777777">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54676949" w14:textId="77777777" w:rsidR="00044D5B" w:rsidRPr="00597673" w:rsidRDefault="00044D5B">
            <w:pPr>
              <w:spacing w:before="0" w:after="0"/>
              <w:jc w:val="left"/>
              <w:rPr>
                <w:color w:val="000000"/>
                <w:sz w:val="22"/>
              </w:rPr>
            </w:pPr>
            <w:r w:rsidRPr="00597673">
              <w:rPr>
                <w:color w:val="000000"/>
                <w:sz w:val="22"/>
              </w:rPr>
              <w:t>Бюджетен ред</w:t>
            </w:r>
          </w:p>
        </w:tc>
        <w:tc>
          <w:tcPr>
            <w:tcW w:w="471" w:type="pct"/>
            <w:tcBorders>
              <w:top w:val="nil"/>
              <w:left w:val="nil"/>
              <w:bottom w:val="single" w:sz="8" w:space="0" w:color="auto"/>
              <w:right w:val="single" w:sz="8" w:space="0" w:color="auto"/>
            </w:tcBorders>
            <w:vAlign w:val="center"/>
            <w:hideMark/>
          </w:tcPr>
          <w:p w14:paraId="1E3EF38F"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09" w:type="pct"/>
            <w:tcBorders>
              <w:top w:val="single" w:sz="8" w:space="0" w:color="auto"/>
              <w:left w:val="nil"/>
              <w:bottom w:val="single" w:sz="8" w:space="0" w:color="auto"/>
              <w:right w:val="single" w:sz="8" w:space="0" w:color="000000"/>
            </w:tcBorders>
            <w:vAlign w:val="center"/>
            <w:hideMark/>
          </w:tcPr>
          <w:p w14:paraId="701266D9" w14:textId="77777777" w:rsidR="00044D5B" w:rsidRPr="00597673" w:rsidRDefault="00044D5B">
            <w:pPr>
              <w:spacing w:before="0" w:after="0"/>
              <w:jc w:val="center"/>
              <w:rPr>
                <w:color w:val="000000"/>
                <w:sz w:val="14"/>
                <w:szCs w:val="14"/>
              </w:rPr>
            </w:pPr>
            <w:r w:rsidRPr="00597673">
              <w:rPr>
                <w:color w:val="000000"/>
                <w:sz w:val="14"/>
              </w:rPr>
              <w:t>(1а)</w:t>
            </w:r>
          </w:p>
        </w:tc>
        <w:tc>
          <w:tcPr>
            <w:tcW w:w="441" w:type="pct"/>
            <w:tcBorders>
              <w:top w:val="nil"/>
              <w:left w:val="nil"/>
              <w:bottom w:val="single" w:sz="8" w:space="0" w:color="auto"/>
              <w:right w:val="single" w:sz="8" w:space="0" w:color="auto"/>
            </w:tcBorders>
            <w:vAlign w:val="center"/>
            <w:hideMark/>
          </w:tcPr>
          <w:p w14:paraId="0D0091F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9ED53D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0B5B95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69429D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5D158115"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224E5324"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054974DF" w14:textId="77777777" w:rsidR="00044D5B" w:rsidRPr="00597673" w:rsidRDefault="00044D5B">
            <w:pPr>
              <w:spacing w:before="0" w:after="0"/>
              <w:jc w:val="left"/>
              <w:rPr>
                <w:color w:val="000000"/>
                <w:sz w:val="22"/>
                <w:lang w:eastAsia="en-IE"/>
              </w:rPr>
            </w:pPr>
          </w:p>
        </w:tc>
        <w:tc>
          <w:tcPr>
            <w:tcW w:w="471" w:type="pct"/>
            <w:tcBorders>
              <w:top w:val="nil"/>
              <w:left w:val="nil"/>
              <w:bottom w:val="single" w:sz="8" w:space="0" w:color="auto"/>
              <w:right w:val="single" w:sz="8" w:space="0" w:color="auto"/>
            </w:tcBorders>
            <w:vAlign w:val="center"/>
            <w:hideMark/>
          </w:tcPr>
          <w:p w14:paraId="6E154F5F" w14:textId="77777777" w:rsidR="00044D5B" w:rsidRPr="00597673" w:rsidRDefault="00044D5B">
            <w:pPr>
              <w:spacing w:before="0" w:after="0"/>
              <w:rPr>
                <w:color w:val="000000"/>
                <w:sz w:val="18"/>
                <w:szCs w:val="18"/>
              </w:rPr>
            </w:pPr>
            <w:r w:rsidRPr="00597673">
              <w:rPr>
                <w:color w:val="000000"/>
                <w:sz w:val="18"/>
              </w:rPr>
              <w:t>Плащания</w:t>
            </w:r>
          </w:p>
        </w:tc>
        <w:tc>
          <w:tcPr>
            <w:tcW w:w="709" w:type="pct"/>
            <w:tcBorders>
              <w:top w:val="single" w:sz="8" w:space="0" w:color="auto"/>
              <w:left w:val="nil"/>
              <w:bottom w:val="single" w:sz="8" w:space="0" w:color="auto"/>
              <w:right w:val="single" w:sz="8" w:space="0" w:color="000000"/>
            </w:tcBorders>
            <w:vAlign w:val="center"/>
            <w:hideMark/>
          </w:tcPr>
          <w:p w14:paraId="4292F0D7" w14:textId="77777777" w:rsidR="00044D5B" w:rsidRPr="00597673" w:rsidRDefault="00044D5B">
            <w:pPr>
              <w:spacing w:before="0" w:after="0"/>
              <w:jc w:val="center"/>
              <w:rPr>
                <w:color w:val="000000"/>
                <w:sz w:val="14"/>
                <w:szCs w:val="14"/>
              </w:rPr>
            </w:pPr>
            <w:r w:rsidRPr="00597673">
              <w:rPr>
                <w:color w:val="000000"/>
                <w:sz w:val="14"/>
              </w:rPr>
              <w:t>(2а)</w:t>
            </w:r>
          </w:p>
        </w:tc>
        <w:tc>
          <w:tcPr>
            <w:tcW w:w="441" w:type="pct"/>
            <w:tcBorders>
              <w:top w:val="nil"/>
              <w:left w:val="nil"/>
              <w:bottom w:val="single" w:sz="8" w:space="0" w:color="auto"/>
              <w:right w:val="single" w:sz="8" w:space="0" w:color="auto"/>
            </w:tcBorders>
            <w:vAlign w:val="center"/>
            <w:hideMark/>
          </w:tcPr>
          <w:p w14:paraId="1A2E2F5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8DBD2A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42D6900"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D21E31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1812BFA1"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0CE98FEE" w14:textId="77777777">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31D842C7" w14:textId="77777777" w:rsidR="00044D5B" w:rsidRPr="00597673" w:rsidRDefault="00044D5B">
            <w:pPr>
              <w:spacing w:before="0" w:after="0"/>
              <w:rPr>
                <w:color w:val="000000"/>
                <w:sz w:val="20"/>
                <w:szCs w:val="20"/>
              </w:rPr>
            </w:pPr>
            <w:r w:rsidRPr="00597673">
              <w:rPr>
                <w:color w:val="000000"/>
                <w:sz w:val="20"/>
              </w:rPr>
              <w:t>Бюджетен ред</w:t>
            </w:r>
          </w:p>
        </w:tc>
        <w:tc>
          <w:tcPr>
            <w:tcW w:w="471" w:type="pct"/>
            <w:tcBorders>
              <w:top w:val="nil"/>
              <w:left w:val="nil"/>
              <w:bottom w:val="single" w:sz="8" w:space="0" w:color="auto"/>
              <w:right w:val="single" w:sz="8" w:space="0" w:color="auto"/>
            </w:tcBorders>
            <w:vAlign w:val="center"/>
            <w:hideMark/>
          </w:tcPr>
          <w:p w14:paraId="508696B2"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09" w:type="pct"/>
            <w:tcBorders>
              <w:top w:val="single" w:sz="8" w:space="0" w:color="auto"/>
              <w:left w:val="nil"/>
              <w:bottom w:val="single" w:sz="8" w:space="0" w:color="auto"/>
              <w:right w:val="single" w:sz="8" w:space="0" w:color="000000"/>
            </w:tcBorders>
            <w:vAlign w:val="center"/>
            <w:hideMark/>
          </w:tcPr>
          <w:p w14:paraId="565012AA" w14:textId="77777777" w:rsidR="00044D5B" w:rsidRPr="00597673" w:rsidRDefault="00044D5B">
            <w:pPr>
              <w:spacing w:before="0" w:after="0"/>
              <w:jc w:val="center"/>
              <w:rPr>
                <w:color w:val="000000"/>
                <w:sz w:val="14"/>
                <w:szCs w:val="14"/>
              </w:rPr>
            </w:pPr>
            <w:r w:rsidRPr="00597673">
              <w:rPr>
                <w:color w:val="000000"/>
                <w:sz w:val="14"/>
              </w:rPr>
              <w:t>(1б)</w:t>
            </w:r>
          </w:p>
        </w:tc>
        <w:tc>
          <w:tcPr>
            <w:tcW w:w="441" w:type="pct"/>
            <w:tcBorders>
              <w:top w:val="nil"/>
              <w:left w:val="nil"/>
              <w:bottom w:val="single" w:sz="8" w:space="0" w:color="auto"/>
              <w:right w:val="single" w:sz="8" w:space="0" w:color="auto"/>
            </w:tcBorders>
            <w:vAlign w:val="center"/>
            <w:hideMark/>
          </w:tcPr>
          <w:p w14:paraId="58E8E21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936807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AEC5071"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6D6E3D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CEF219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31787B6E"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774355A7" w14:textId="77777777" w:rsidR="00044D5B" w:rsidRPr="00597673" w:rsidRDefault="00044D5B">
            <w:pPr>
              <w:spacing w:before="0" w:after="0"/>
              <w:jc w:val="left"/>
              <w:rPr>
                <w:color w:val="000000"/>
                <w:sz w:val="20"/>
                <w:szCs w:val="20"/>
                <w:lang w:eastAsia="en-IE"/>
              </w:rPr>
            </w:pPr>
          </w:p>
        </w:tc>
        <w:tc>
          <w:tcPr>
            <w:tcW w:w="471" w:type="pct"/>
            <w:tcBorders>
              <w:top w:val="nil"/>
              <w:left w:val="nil"/>
              <w:bottom w:val="single" w:sz="8" w:space="0" w:color="auto"/>
              <w:right w:val="single" w:sz="8" w:space="0" w:color="auto"/>
            </w:tcBorders>
            <w:vAlign w:val="center"/>
            <w:hideMark/>
          </w:tcPr>
          <w:p w14:paraId="6D39F0B6" w14:textId="77777777" w:rsidR="00044D5B" w:rsidRPr="00597673" w:rsidRDefault="00044D5B">
            <w:pPr>
              <w:spacing w:before="0" w:after="0"/>
              <w:rPr>
                <w:color w:val="000000"/>
                <w:sz w:val="18"/>
                <w:szCs w:val="18"/>
              </w:rPr>
            </w:pPr>
            <w:r w:rsidRPr="00597673">
              <w:rPr>
                <w:color w:val="000000"/>
                <w:sz w:val="18"/>
              </w:rPr>
              <w:t>Плащания</w:t>
            </w:r>
          </w:p>
        </w:tc>
        <w:tc>
          <w:tcPr>
            <w:tcW w:w="709" w:type="pct"/>
            <w:tcBorders>
              <w:top w:val="single" w:sz="8" w:space="0" w:color="auto"/>
              <w:left w:val="nil"/>
              <w:bottom w:val="single" w:sz="8" w:space="0" w:color="auto"/>
              <w:right w:val="single" w:sz="8" w:space="0" w:color="000000"/>
            </w:tcBorders>
            <w:vAlign w:val="center"/>
            <w:hideMark/>
          </w:tcPr>
          <w:p w14:paraId="62D4587F" w14:textId="77777777" w:rsidR="00044D5B" w:rsidRPr="00597673" w:rsidRDefault="00044D5B">
            <w:pPr>
              <w:spacing w:before="0" w:after="0"/>
              <w:jc w:val="center"/>
              <w:rPr>
                <w:color w:val="000000"/>
                <w:sz w:val="14"/>
                <w:szCs w:val="14"/>
              </w:rPr>
            </w:pPr>
            <w:r w:rsidRPr="00597673">
              <w:rPr>
                <w:color w:val="000000"/>
                <w:sz w:val="14"/>
              </w:rPr>
              <w:t>(2б)</w:t>
            </w:r>
          </w:p>
        </w:tc>
        <w:tc>
          <w:tcPr>
            <w:tcW w:w="441" w:type="pct"/>
            <w:tcBorders>
              <w:top w:val="nil"/>
              <w:left w:val="nil"/>
              <w:bottom w:val="single" w:sz="8" w:space="0" w:color="auto"/>
              <w:right w:val="single" w:sz="8" w:space="0" w:color="auto"/>
            </w:tcBorders>
            <w:vAlign w:val="center"/>
            <w:hideMark/>
          </w:tcPr>
          <w:p w14:paraId="0753ED0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9B83CA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BFB546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3E160F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185289AD"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A7536C" w:rsidRPr="00597673" w14:paraId="5B3B67C9" w14:textId="77777777">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7623ECAC"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1B6BF5F6"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11097A0A" w14:textId="77777777" w:rsidR="00044D5B" w:rsidRPr="00597673" w:rsidRDefault="00044D5B">
            <w:pPr>
              <w:spacing w:before="0" w:after="0"/>
              <w:rPr>
                <w:color w:val="000000"/>
                <w:sz w:val="20"/>
                <w:szCs w:val="20"/>
              </w:rPr>
            </w:pPr>
            <w:r w:rsidRPr="00597673">
              <w:rPr>
                <w:color w:val="000000"/>
                <w:sz w:val="20"/>
              </w:rPr>
              <w:t>Бюджетен ред</w:t>
            </w:r>
          </w:p>
        </w:tc>
        <w:tc>
          <w:tcPr>
            <w:tcW w:w="471" w:type="pct"/>
            <w:tcBorders>
              <w:top w:val="nil"/>
              <w:left w:val="nil"/>
              <w:bottom w:val="single" w:sz="8" w:space="0" w:color="auto"/>
              <w:right w:val="single" w:sz="8" w:space="0" w:color="auto"/>
            </w:tcBorders>
            <w:vAlign w:val="center"/>
            <w:hideMark/>
          </w:tcPr>
          <w:p w14:paraId="339B9A50"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709" w:type="pct"/>
            <w:tcBorders>
              <w:top w:val="nil"/>
              <w:left w:val="nil"/>
              <w:bottom w:val="single" w:sz="8" w:space="0" w:color="auto"/>
              <w:right w:val="single" w:sz="8" w:space="0" w:color="000000"/>
            </w:tcBorders>
            <w:vAlign w:val="center"/>
            <w:hideMark/>
          </w:tcPr>
          <w:p w14:paraId="737BD03E" w14:textId="77777777" w:rsidR="00044D5B" w:rsidRPr="00597673" w:rsidRDefault="00044D5B">
            <w:pPr>
              <w:spacing w:before="0" w:after="0"/>
              <w:jc w:val="center"/>
              <w:rPr>
                <w:color w:val="000000"/>
                <w:sz w:val="14"/>
                <w:szCs w:val="14"/>
              </w:rPr>
            </w:pPr>
            <w:r w:rsidRPr="00597673">
              <w:rPr>
                <w:color w:val="000000"/>
                <w:sz w:val="14"/>
              </w:rPr>
              <w:t>(3)</w:t>
            </w:r>
          </w:p>
        </w:tc>
        <w:tc>
          <w:tcPr>
            <w:tcW w:w="441" w:type="pct"/>
            <w:tcBorders>
              <w:top w:val="nil"/>
              <w:left w:val="nil"/>
              <w:bottom w:val="single" w:sz="8" w:space="0" w:color="auto"/>
              <w:right w:val="single" w:sz="8" w:space="0" w:color="auto"/>
            </w:tcBorders>
            <w:vAlign w:val="center"/>
            <w:hideMark/>
          </w:tcPr>
          <w:p w14:paraId="6FF0CAEA"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3A55E89"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A28540E"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82D9651"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07EC9DB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76232106" w14:textId="77777777">
        <w:trPr>
          <w:trHeight w:val="300"/>
        </w:trPr>
        <w:tc>
          <w:tcPr>
            <w:tcW w:w="1522" w:type="pct"/>
            <w:tcBorders>
              <w:top w:val="nil"/>
              <w:left w:val="single" w:sz="8" w:space="0" w:color="auto"/>
              <w:bottom w:val="nil"/>
              <w:right w:val="single" w:sz="8" w:space="0" w:color="auto"/>
            </w:tcBorders>
            <w:vAlign w:val="center"/>
            <w:hideMark/>
          </w:tcPr>
          <w:p w14:paraId="17C7AED8"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tc>
        <w:tc>
          <w:tcPr>
            <w:tcW w:w="471" w:type="pct"/>
            <w:tcBorders>
              <w:top w:val="nil"/>
              <w:left w:val="nil"/>
              <w:bottom w:val="single" w:sz="8" w:space="0" w:color="auto"/>
              <w:right w:val="single" w:sz="8" w:space="0" w:color="auto"/>
            </w:tcBorders>
            <w:vAlign w:val="center"/>
            <w:hideMark/>
          </w:tcPr>
          <w:p w14:paraId="628B4B17"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09" w:type="pct"/>
            <w:tcBorders>
              <w:top w:val="single" w:sz="8" w:space="0" w:color="auto"/>
              <w:left w:val="nil"/>
              <w:bottom w:val="single" w:sz="8" w:space="0" w:color="auto"/>
              <w:right w:val="single" w:sz="8" w:space="0" w:color="000000"/>
            </w:tcBorders>
            <w:vAlign w:val="center"/>
            <w:hideMark/>
          </w:tcPr>
          <w:p w14:paraId="14CC9B28" w14:textId="77777777" w:rsidR="00044D5B" w:rsidRPr="00597673" w:rsidRDefault="00044D5B">
            <w:pPr>
              <w:spacing w:before="0" w:after="0"/>
              <w:jc w:val="center"/>
              <w:rPr>
                <w:color w:val="000000"/>
                <w:sz w:val="14"/>
                <w:szCs w:val="14"/>
              </w:rPr>
            </w:pPr>
            <w:r w:rsidRPr="00597673">
              <w:rPr>
                <w:color w:val="000000"/>
                <w:sz w:val="14"/>
              </w:rPr>
              <w:t>=1а+1б+3</w:t>
            </w:r>
          </w:p>
        </w:tc>
        <w:tc>
          <w:tcPr>
            <w:tcW w:w="441" w:type="pct"/>
            <w:tcBorders>
              <w:top w:val="nil"/>
              <w:left w:val="nil"/>
              <w:bottom w:val="single" w:sz="8" w:space="0" w:color="auto"/>
              <w:right w:val="single" w:sz="8" w:space="0" w:color="auto"/>
            </w:tcBorders>
            <w:shd w:val="clear" w:color="000000" w:fill="D9D9D9"/>
            <w:vAlign w:val="center"/>
            <w:hideMark/>
          </w:tcPr>
          <w:p w14:paraId="0869134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215DBD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5B9FBEC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A66421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6003355D"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6BCF6404"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3CB6E721"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471" w:type="pct"/>
            <w:tcBorders>
              <w:top w:val="nil"/>
              <w:left w:val="nil"/>
              <w:bottom w:val="single" w:sz="8" w:space="0" w:color="auto"/>
              <w:right w:val="single" w:sz="8" w:space="0" w:color="auto"/>
            </w:tcBorders>
            <w:vAlign w:val="center"/>
            <w:hideMark/>
          </w:tcPr>
          <w:p w14:paraId="4FCDB1E2" w14:textId="77777777" w:rsidR="00044D5B" w:rsidRPr="00597673" w:rsidRDefault="00044D5B">
            <w:pPr>
              <w:spacing w:before="0" w:after="0"/>
              <w:rPr>
                <w:color w:val="000000"/>
                <w:sz w:val="18"/>
                <w:szCs w:val="18"/>
              </w:rPr>
            </w:pPr>
            <w:r w:rsidRPr="00597673">
              <w:rPr>
                <w:color w:val="000000"/>
                <w:sz w:val="18"/>
              </w:rPr>
              <w:t>Плащания</w:t>
            </w:r>
          </w:p>
        </w:tc>
        <w:tc>
          <w:tcPr>
            <w:tcW w:w="709" w:type="pct"/>
            <w:tcBorders>
              <w:top w:val="single" w:sz="8" w:space="0" w:color="auto"/>
              <w:left w:val="nil"/>
              <w:bottom w:val="single" w:sz="8" w:space="0" w:color="auto"/>
              <w:right w:val="single" w:sz="8" w:space="0" w:color="000000"/>
            </w:tcBorders>
            <w:vAlign w:val="center"/>
            <w:hideMark/>
          </w:tcPr>
          <w:p w14:paraId="212DFD3A" w14:textId="77777777" w:rsidR="00044D5B" w:rsidRPr="00597673" w:rsidRDefault="00044D5B">
            <w:pPr>
              <w:spacing w:before="0" w:after="0"/>
              <w:jc w:val="center"/>
              <w:rPr>
                <w:color w:val="000000"/>
                <w:sz w:val="14"/>
                <w:szCs w:val="14"/>
              </w:rPr>
            </w:pPr>
            <w:r w:rsidRPr="00597673">
              <w:rPr>
                <w:color w:val="000000"/>
                <w:sz w:val="14"/>
              </w:rPr>
              <w:t>=2а+2б+3</w:t>
            </w:r>
          </w:p>
        </w:tc>
        <w:tc>
          <w:tcPr>
            <w:tcW w:w="441" w:type="pct"/>
            <w:tcBorders>
              <w:top w:val="nil"/>
              <w:left w:val="nil"/>
              <w:bottom w:val="single" w:sz="8" w:space="0" w:color="auto"/>
              <w:right w:val="single" w:sz="8" w:space="0" w:color="auto"/>
            </w:tcBorders>
            <w:shd w:val="clear" w:color="000000" w:fill="D9D9D9"/>
            <w:vAlign w:val="center"/>
            <w:hideMark/>
          </w:tcPr>
          <w:p w14:paraId="7C58508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6316C05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ADE5792"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3ED26730"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28CD6CB0"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0E3CE39E" w14:textId="77777777" w:rsidR="00044D5B" w:rsidRPr="00597673" w:rsidRDefault="00044D5B" w:rsidP="00044D5B"/>
    <w:tbl>
      <w:tblPr>
        <w:tblW w:w="5000" w:type="pct"/>
        <w:tblInd w:w="-118" w:type="dxa"/>
        <w:tblCellMar>
          <w:left w:w="0" w:type="dxa"/>
          <w:right w:w="0" w:type="dxa"/>
        </w:tblCellMar>
        <w:tblLook w:val="04A0" w:firstRow="1" w:lastRow="0" w:firstColumn="1" w:lastColumn="0" w:noHBand="0" w:noVBand="1"/>
      </w:tblPr>
      <w:tblGrid>
        <w:gridCol w:w="1106"/>
        <w:gridCol w:w="4205"/>
        <w:gridCol w:w="1257"/>
        <w:gridCol w:w="960"/>
        <w:gridCol w:w="963"/>
        <w:gridCol w:w="289"/>
        <w:gridCol w:w="808"/>
        <w:gridCol w:w="446"/>
        <w:gridCol w:w="652"/>
        <w:gridCol w:w="605"/>
        <w:gridCol w:w="495"/>
        <w:gridCol w:w="762"/>
        <w:gridCol w:w="338"/>
        <w:gridCol w:w="455"/>
        <w:gridCol w:w="683"/>
      </w:tblGrid>
      <w:tr w:rsidR="00B55C7B" w:rsidRPr="00597673" w14:paraId="3F26C0A5" w14:textId="77777777">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50F4E91B" w14:textId="77777777" w:rsidR="00044D5B" w:rsidRPr="00597673" w:rsidRDefault="00044D5B">
            <w:pPr>
              <w:spacing w:before="0" w:after="0"/>
              <w:jc w:val="center"/>
              <w:rPr>
                <w:b/>
                <w:bCs/>
                <w:color w:val="000000"/>
                <w:sz w:val="22"/>
              </w:rPr>
            </w:pPr>
            <w:r w:rsidRPr="00597673">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5E9FA04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2CD58E9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17CC819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1B952B7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6" w:type="pct"/>
            <w:vMerge w:val="restart"/>
            <w:tcBorders>
              <w:top w:val="single" w:sz="8" w:space="0" w:color="auto"/>
              <w:left w:val="single" w:sz="8" w:space="0" w:color="auto"/>
              <w:bottom w:val="single" w:sz="8" w:space="0" w:color="auto"/>
              <w:right w:val="single" w:sz="8" w:space="0" w:color="auto"/>
            </w:tcBorders>
            <w:vAlign w:val="center"/>
            <w:hideMark/>
          </w:tcPr>
          <w:p w14:paraId="44B06BDC"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B55C7B" w:rsidRPr="00597673" w14:paraId="3E29CDD7" w14:textId="77777777">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4CB95F18" w14:textId="77777777" w:rsidR="00044D5B" w:rsidRPr="00597673" w:rsidRDefault="00044D5B">
            <w:pPr>
              <w:spacing w:before="0" w:after="0"/>
              <w:jc w:val="left"/>
              <w:rPr>
                <w:b/>
                <w:bCs/>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7E81FDCC"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3" w:type="pct"/>
            <w:gridSpan w:val="2"/>
            <w:tcBorders>
              <w:top w:val="nil"/>
              <w:left w:val="nil"/>
              <w:bottom w:val="single" w:sz="8" w:space="0" w:color="auto"/>
              <w:right w:val="single" w:sz="8" w:space="0" w:color="auto"/>
            </w:tcBorders>
            <w:vAlign w:val="center"/>
            <w:hideMark/>
          </w:tcPr>
          <w:p w14:paraId="5BF27265"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3" w:type="pct"/>
            <w:gridSpan w:val="2"/>
            <w:tcBorders>
              <w:top w:val="nil"/>
              <w:left w:val="nil"/>
              <w:bottom w:val="single" w:sz="8" w:space="0" w:color="auto"/>
              <w:right w:val="single" w:sz="8" w:space="0" w:color="auto"/>
            </w:tcBorders>
            <w:vAlign w:val="center"/>
            <w:hideMark/>
          </w:tcPr>
          <w:p w14:paraId="7F1B6D1F"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93" w:type="pct"/>
            <w:gridSpan w:val="2"/>
            <w:tcBorders>
              <w:top w:val="nil"/>
              <w:left w:val="nil"/>
              <w:bottom w:val="single" w:sz="8" w:space="0" w:color="auto"/>
              <w:right w:val="single" w:sz="8" w:space="0" w:color="auto"/>
            </w:tcBorders>
            <w:vAlign w:val="center"/>
            <w:hideMark/>
          </w:tcPr>
          <w:p w14:paraId="5A3635B2"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6" w:type="pct"/>
            <w:vMerge/>
            <w:tcBorders>
              <w:top w:val="single" w:sz="8" w:space="0" w:color="auto"/>
              <w:left w:val="single" w:sz="8" w:space="0" w:color="auto"/>
              <w:bottom w:val="single" w:sz="8" w:space="0" w:color="auto"/>
              <w:right w:val="single" w:sz="8" w:space="0" w:color="auto"/>
            </w:tcBorders>
            <w:vAlign w:val="center"/>
            <w:hideMark/>
          </w:tcPr>
          <w:p w14:paraId="6CB6DC2E" w14:textId="77777777" w:rsidR="00044D5B" w:rsidRPr="00597673" w:rsidRDefault="00044D5B">
            <w:pPr>
              <w:spacing w:before="0" w:after="0"/>
              <w:jc w:val="left"/>
              <w:rPr>
                <w:b/>
                <w:bCs/>
                <w:color w:val="000000"/>
                <w:sz w:val="20"/>
                <w:szCs w:val="20"/>
                <w:lang w:eastAsia="en-IE"/>
              </w:rPr>
            </w:pPr>
          </w:p>
        </w:tc>
      </w:tr>
      <w:tr w:rsidR="00983E98" w:rsidRPr="00597673" w14:paraId="6F3526D1" w14:textId="77777777">
        <w:trPr>
          <w:trHeight w:val="432"/>
        </w:trPr>
        <w:tc>
          <w:tcPr>
            <w:tcW w:w="1411" w:type="pct"/>
            <w:gridSpan w:val="2"/>
            <w:vMerge w:val="restart"/>
            <w:tcBorders>
              <w:top w:val="nil"/>
              <w:left w:val="single" w:sz="8" w:space="0" w:color="auto"/>
              <w:bottom w:val="single" w:sz="8" w:space="0" w:color="auto"/>
              <w:right w:val="single" w:sz="8" w:space="0" w:color="auto"/>
            </w:tcBorders>
            <w:vAlign w:val="center"/>
            <w:hideMark/>
          </w:tcPr>
          <w:p w14:paraId="64CA9821"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оперативни разходи </w:t>
            </w:r>
            <w:r w:rsidRPr="00597673">
              <w:t xml:space="preserve"> </w:t>
            </w:r>
            <w:r w:rsidRPr="00597673">
              <w:br/>
            </w:r>
          </w:p>
        </w:tc>
        <w:tc>
          <w:tcPr>
            <w:tcW w:w="529" w:type="pct"/>
            <w:gridSpan w:val="2"/>
            <w:tcBorders>
              <w:top w:val="nil"/>
              <w:left w:val="nil"/>
              <w:bottom w:val="single" w:sz="8" w:space="0" w:color="auto"/>
              <w:right w:val="single" w:sz="8" w:space="0" w:color="auto"/>
            </w:tcBorders>
            <w:vAlign w:val="center"/>
            <w:hideMark/>
          </w:tcPr>
          <w:p w14:paraId="4B3B20D3"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gridSpan w:val="2"/>
            <w:tcBorders>
              <w:top w:val="single" w:sz="8" w:space="0" w:color="auto"/>
              <w:left w:val="nil"/>
              <w:bottom w:val="single" w:sz="8" w:space="0" w:color="auto"/>
              <w:right w:val="single" w:sz="8" w:space="0" w:color="auto"/>
            </w:tcBorders>
            <w:vAlign w:val="center"/>
            <w:hideMark/>
          </w:tcPr>
          <w:p w14:paraId="36671BA4" w14:textId="77777777" w:rsidR="00044D5B" w:rsidRPr="00597673" w:rsidRDefault="00044D5B">
            <w:pPr>
              <w:spacing w:before="0" w:after="0"/>
              <w:jc w:val="center"/>
              <w:rPr>
                <w:color w:val="000000"/>
                <w:sz w:val="14"/>
                <w:szCs w:val="14"/>
              </w:rPr>
            </w:pPr>
            <w:r w:rsidRPr="00597673">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C9C2604"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6B2D3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3B24E9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A7D5537"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753AE37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0C938B2A" w14:textId="77777777">
        <w:trPr>
          <w:trHeight w:val="456"/>
        </w:trPr>
        <w:tc>
          <w:tcPr>
            <w:tcW w:w="1411" w:type="pct"/>
            <w:gridSpan w:val="2"/>
            <w:vMerge/>
            <w:tcBorders>
              <w:top w:val="nil"/>
              <w:left w:val="single" w:sz="8" w:space="0" w:color="auto"/>
              <w:bottom w:val="single" w:sz="8" w:space="0" w:color="auto"/>
              <w:right w:val="single" w:sz="8" w:space="0" w:color="auto"/>
            </w:tcBorders>
            <w:vAlign w:val="center"/>
            <w:hideMark/>
          </w:tcPr>
          <w:p w14:paraId="651F10FE" w14:textId="77777777" w:rsidR="00044D5B" w:rsidRPr="00597673" w:rsidRDefault="00044D5B">
            <w:pPr>
              <w:spacing w:before="0" w:after="0"/>
              <w:jc w:val="left"/>
              <w:rPr>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73DBBDDB"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gridSpan w:val="2"/>
            <w:tcBorders>
              <w:top w:val="single" w:sz="8" w:space="0" w:color="auto"/>
              <w:left w:val="nil"/>
              <w:bottom w:val="single" w:sz="8" w:space="0" w:color="auto"/>
              <w:right w:val="single" w:sz="8" w:space="0" w:color="auto"/>
            </w:tcBorders>
            <w:vAlign w:val="center"/>
            <w:hideMark/>
          </w:tcPr>
          <w:p w14:paraId="500F75BD" w14:textId="77777777" w:rsidR="00044D5B" w:rsidRPr="00597673" w:rsidRDefault="00044D5B">
            <w:pPr>
              <w:spacing w:before="0" w:after="0"/>
              <w:jc w:val="center"/>
              <w:rPr>
                <w:color w:val="000000"/>
                <w:sz w:val="14"/>
                <w:szCs w:val="14"/>
              </w:rPr>
            </w:pPr>
            <w:r w:rsidRPr="00597673">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24C52C"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9AD304E"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422FBF8"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295EEA"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372B20B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279E812A" w14:textId="77777777">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134E8CF2"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административни разходи, финансирани от пакета за определени програми </w:t>
            </w:r>
          </w:p>
        </w:tc>
        <w:tc>
          <w:tcPr>
            <w:tcW w:w="492" w:type="pct"/>
            <w:gridSpan w:val="4"/>
            <w:tcBorders>
              <w:top w:val="single" w:sz="8" w:space="0" w:color="auto"/>
              <w:left w:val="nil"/>
              <w:bottom w:val="single" w:sz="8" w:space="0" w:color="auto"/>
              <w:right w:val="single" w:sz="8" w:space="0" w:color="auto"/>
            </w:tcBorders>
            <w:vAlign w:val="center"/>
            <w:hideMark/>
          </w:tcPr>
          <w:p w14:paraId="4781ECB7" w14:textId="77777777" w:rsidR="00044D5B" w:rsidRPr="00597673" w:rsidRDefault="00044D5B">
            <w:pPr>
              <w:spacing w:before="0" w:after="0"/>
              <w:jc w:val="center"/>
              <w:rPr>
                <w:color w:val="000000"/>
                <w:sz w:val="14"/>
                <w:szCs w:val="14"/>
              </w:rPr>
            </w:pPr>
            <w:r w:rsidRPr="00597673">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E630949"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8682970"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F0A6116"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3B7A0E"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10C66F0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059CE08C" w14:textId="77777777">
        <w:trPr>
          <w:trHeight w:val="564"/>
        </w:trPr>
        <w:tc>
          <w:tcPr>
            <w:tcW w:w="1411" w:type="pct"/>
            <w:gridSpan w:val="2"/>
            <w:tcBorders>
              <w:top w:val="nil"/>
              <w:left w:val="single" w:sz="8" w:space="0" w:color="auto"/>
              <w:bottom w:val="nil"/>
              <w:right w:val="single" w:sz="8" w:space="0" w:color="auto"/>
            </w:tcBorders>
            <w:shd w:val="thinDiagStripe" w:color="C0C0C0" w:fill="F1F1F1"/>
            <w:vAlign w:val="center"/>
            <w:hideMark/>
          </w:tcPr>
          <w:p w14:paraId="06CDFA62"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ФУНКЦИЯ &lt;….&gt;</w:t>
            </w:r>
          </w:p>
        </w:tc>
        <w:tc>
          <w:tcPr>
            <w:tcW w:w="529" w:type="pct"/>
            <w:gridSpan w:val="2"/>
            <w:tcBorders>
              <w:top w:val="nil"/>
              <w:left w:val="nil"/>
              <w:bottom w:val="single" w:sz="8" w:space="0" w:color="auto"/>
              <w:right w:val="single" w:sz="8" w:space="0" w:color="auto"/>
            </w:tcBorders>
            <w:vAlign w:val="center"/>
            <w:hideMark/>
          </w:tcPr>
          <w:p w14:paraId="270B3814"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gridSpan w:val="2"/>
            <w:tcBorders>
              <w:top w:val="single" w:sz="8" w:space="0" w:color="auto"/>
              <w:left w:val="nil"/>
              <w:bottom w:val="single" w:sz="8" w:space="0" w:color="auto"/>
              <w:right w:val="single" w:sz="8" w:space="0" w:color="auto"/>
            </w:tcBorders>
            <w:vAlign w:val="center"/>
            <w:hideMark/>
          </w:tcPr>
          <w:p w14:paraId="74730CC3" w14:textId="77777777" w:rsidR="00044D5B" w:rsidRPr="00597673" w:rsidRDefault="00044D5B">
            <w:pPr>
              <w:spacing w:before="0" w:after="0"/>
              <w:jc w:val="center"/>
              <w:rPr>
                <w:color w:val="000000"/>
                <w:sz w:val="14"/>
                <w:szCs w:val="14"/>
              </w:rPr>
            </w:pPr>
            <w:r w:rsidRPr="00597673">
              <w:rPr>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BD893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456D2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87A36BC"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392868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47403778"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240FBD17" w14:textId="77777777">
        <w:trPr>
          <w:trHeight w:val="528"/>
        </w:trPr>
        <w:tc>
          <w:tcPr>
            <w:tcW w:w="141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6E5F0830" w14:textId="77777777" w:rsidR="00044D5B" w:rsidRPr="00597673" w:rsidRDefault="00044D5B">
            <w:pPr>
              <w:spacing w:before="0" w:after="0"/>
              <w:jc w:val="center"/>
              <w:rPr>
                <w:color w:val="000000"/>
                <w:sz w:val="22"/>
              </w:rPr>
            </w:pPr>
            <w:r w:rsidRPr="00597673">
              <w:rPr>
                <w:color w:val="000000"/>
                <w:sz w:val="22"/>
              </w:rPr>
              <w:t>от многогодишната финансова рамка</w:t>
            </w:r>
          </w:p>
        </w:tc>
        <w:tc>
          <w:tcPr>
            <w:tcW w:w="529" w:type="pct"/>
            <w:gridSpan w:val="2"/>
            <w:tcBorders>
              <w:top w:val="nil"/>
              <w:left w:val="nil"/>
              <w:bottom w:val="single" w:sz="8" w:space="0" w:color="auto"/>
              <w:right w:val="single" w:sz="8" w:space="0" w:color="auto"/>
            </w:tcBorders>
            <w:vAlign w:val="center"/>
            <w:hideMark/>
          </w:tcPr>
          <w:p w14:paraId="4ECA1585"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gridSpan w:val="2"/>
            <w:tcBorders>
              <w:top w:val="single" w:sz="8" w:space="0" w:color="auto"/>
              <w:left w:val="nil"/>
              <w:bottom w:val="single" w:sz="8" w:space="0" w:color="auto"/>
              <w:right w:val="single" w:sz="8" w:space="0" w:color="auto"/>
            </w:tcBorders>
            <w:vAlign w:val="center"/>
            <w:hideMark/>
          </w:tcPr>
          <w:p w14:paraId="39A8615D" w14:textId="77777777" w:rsidR="00044D5B" w:rsidRPr="00597673" w:rsidRDefault="00044D5B">
            <w:pPr>
              <w:spacing w:before="0" w:after="0"/>
              <w:jc w:val="center"/>
              <w:rPr>
                <w:color w:val="000000"/>
                <w:sz w:val="14"/>
                <w:szCs w:val="14"/>
              </w:rPr>
            </w:pPr>
            <w:r w:rsidRPr="00597673">
              <w:rPr>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BAC02A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0EEA0A6"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D95F44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CC9C1F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232380C5"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733BD3" w:rsidRPr="00597673" w14:paraId="074E5A14" w14:textId="77777777">
        <w:trPr>
          <w:gridBefore w:val="1"/>
          <w:trHeight w:val="288"/>
        </w:trPr>
        <w:tc>
          <w:tcPr>
            <w:tcW w:w="1522" w:type="pct"/>
            <w:tcBorders>
              <w:top w:val="nil"/>
              <w:left w:val="nil"/>
              <w:bottom w:val="nil"/>
              <w:right w:val="nil"/>
            </w:tcBorders>
            <w:noWrap/>
            <w:vAlign w:val="bottom"/>
            <w:hideMark/>
          </w:tcPr>
          <w:p w14:paraId="4AD94B9B" w14:textId="77777777" w:rsidR="00044D5B" w:rsidRPr="00597673" w:rsidRDefault="00044D5B">
            <w:pPr>
              <w:spacing w:before="0" w:after="0"/>
              <w:jc w:val="left"/>
              <w:rPr>
                <w:sz w:val="20"/>
                <w:szCs w:val="24"/>
                <w:lang w:eastAsia="en-IE"/>
              </w:rPr>
            </w:pPr>
          </w:p>
        </w:tc>
        <w:tc>
          <w:tcPr>
            <w:tcW w:w="471" w:type="pct"/>
            <w:tcBorders>
              <w:top w:val="nil"/>
              <w:left w:val="nil"/>
              <w:bottom w:val="nil"/>
              <w:right w:val="nil"/>
            </w:tcBorders>
            <w:noWrap/>
            <w:vAlign w:val="bottom"/>
            <w:hideMark/>
          </w:tcPr>
          <w:p w14:paraId="0D365BC5" w14:textId="77777777" w:rsidR="00044D5B" w:rsidRPr="00597673"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796B3B9A" w14:textId="77777777" w:rsidR="00044D5B" w:rsidRPr="00597673" w:rsidRDefault="00044D5B">
            <w:pPr>
              <w:spacing w:before="0" w:after="0"/>
              <w:jc w:val="left"/>
              <w:rPr>
                <w:sz w:val="20"/>
                <w:szCs w:val="20"/>
                <w:lang w:eastAsia="en-IE"/>
              </w:rPr>
            </w:pPr>
          </w:p>
        </w:tc>
        <w:tc>
          <w:tcPr>
            <w:tcW w:w="365" w:type="pct"/>
            <w:tcBorders>
              <w:top w:val="nil"/>
              <w:left w:val="nil"/>
              <w:bottom w:val="nil"/>
              <w:right w:val="single" w:sz="4" w:space="0" w:color="auto"/>
            </w:tcBorders>
            <w:noWrap/>
            <w:vAlign w:val="bottom"/>
            <w:hideMark/>
          </w:tcPr>
          <w:p w14:paraId="21DA7523" w14:textId="77777777" w:rsidR="00044D5B" w:rsidRPr="00597673" w:rsidRDefault="00044D5B">
            <w:pPr>
              <w:spacing w:before="0" w:after="0"/>
              <w:jc w:val="left"/>
              <w:rPr>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54CC92A9"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37" w:type="pct"/>
            <w:gridSpan w:val="2"/>
            <w:tcBorders>
              <w:top w:val="single" w:sz="8" w:space="0" w:color="auto"/>
              <w:left w:val="nil"/>
              <w:bottom w:val="nil"/>
              <w:right w:val="single" w:sz="8" w:space="0" w:color="auto"/>
            </w:tcBorders>
            <w:vAlign w:val="center"/>
            <w:hideMark/>
          </w:tcPr>
          <w:p w14:paraId="47233A2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37" w:type="pct"/>
            <w:gridSpan w:val="2"/>
            <w:tcBorders>
              <w:top w:val="single" w:sz="8" w:space="0" w:color="auto"/>
              <w:left w:val="nil"/>
              <w:bottom w:val="nil"/>
              <w:right w:val="single" w:sz="8" w:space="0" w:color="auto"/>
            </w:tcBorders>
            <w:vAlign w:val="center"/>
            <w:hideMark/>
          </w:tcPr>
          <w:p w14:paraId="2D7AE56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37" w:type="pct"/>
            <w:gridSpan w:val="2"/>
            <w:tcBorders>
              <w:top w:val="single" w:sz="8" w:space="0" w:color="auto"/>
              <w:left w:val="nil"/>
              <w:bottom w:val="nil"/>
              <w:right w:val="single" w:sz="8" w:space="0" w:color="auto"/>
            </w:tcBorders>
            <w:vAlign w:val="center"/>
            <w:hideMark/>
          </w:tcPr>
          <w:p w14:paraId="5EC058B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9"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141867AF"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983E98" w:rsidRPr="00597673" w14:paraId="6CDD32B0" w14:textId="77777777">
        <w:trPr>
          <w:gridBefore w:val="1"/>
          <w:trHeight w:val="300"/>
        </w:trPr>
        <w:tc>
          <w:tcPr>
            <w:tcW w:w="1522" w:type="pct"/>
            <w:tcBorders>
              <w:top w:val="nil"/>
              <w:left w:val="nil"/>
              <w:bottom w:val="nil"/>
              <w:right w:val="nil"/>
            </w:tcBorders>
            <w:noWrap/>
            <w:vAlign w:val="bottom"/>
            <w:hideMark/>
          </w:tcPr>
          <w:p w14:paraId="63E258E7" w14:textId="77777777" w:rsidR="00044D5B" w:rsidRPr="00597673" w:rsidRDefault="00044D5B">
            <w:pPr>
              <w:spacing w:before="0" w:after="0"/>
              <w:jc w:val="center"/>
              <w:rPr>
                <w:b/>
                <w:bCs/>
                <w:color w:val="000000"/>
                <w:sz w:val="20"/>
                <w:szCs w:val="20"/>
                <w:lang w:eastAsia="en-IE"/>
              </w:rPr>
            </w:pPr>
          </w:p>
        </w:tc>
        <w:tc>
          <w:tcPr>
            <w:tcW w:w="471" w:type="pct"/>
            <w:tcBorders>
              <w:top w:val="nil"/>
              <w:left w:val="nil"/>
              <w:bottom w:val="nil"/>
              <w:right w:val="nil"/>
            </w:tcBorders>
            <w:noWrap/>
            <w:vAlign w:val="bottom"/>
            <w:hideMark/>
          </w:tcPr>
          <w:p w14:paraId="7D797320" w14:textId="77777777" w:rsidR="00044D5B" w:rsidRPr="00597673"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37429154" w14:textId="77777777" w:rsidR="00044D5B" w:rsidRPr="00597673" w:rsidRDefault="00044D5B">
            <w:pPr>
              <w:spacing w:before="0" w:after="0"/>
              <w:jc w:val="left"/>
              <w:rPr>
                <w:sz w:val="20"/>
                <w:szCs w:val="20"/>
                <w:lang w:eastAsia="en-IE"/>
              </w:rPr>
            </w:pPr>
          </w:p>
        </w:tc>
        <w:tc>
          <w:tcPr>
            <w:tcW w:w="365" w:type="pct"/>
            <w:tcBorders>
              <w:top w:val="nil"/>
              <w:left w:val="nil"/>
              <w:bottom w:val="nil"/>
              <w:right w:val="single" w:sz="4" w:space="0" w:color="auto"/>
            </w:tcBorders>
            <w:noWrap/>
            <w:vAlign w:val="bottom"/>
            <w:hideMark/>
          </w:tcPr>
          <w:p w14:paraId="0FCE235A" w14:textId="77777777" w:rsidR="00044D5B" w:rsidRPr="00597673" w:rsidRDefault="00044D5B">
            <w:pPr>
              <w:spacing w:before="0" w:after="0"/>
              <w:jc w:val="left"/>
              <w:rPr>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722EF362"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37" w:type="pct"/>
            <w:gridSpan w:val="2"/>
            <w:tcBorders>
              <w:top w:val="nil"/>
              <w:left w:val="nil"/>
              <w:bottom w:val="single" w:sz="8" w:space="0" w:color="auto"/>
              <w:right w:val="single" w:sz="8" w:space="0" w:color="auto"/>
            </w:tcBorders>
            <w:vAlign w:val="center"/>
            <w:hideMark/>
          </w:tcPr>
          <w:p w14:paraId="0E3BDF94"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37" w:type="pct"/>
            <w:gridSpan w:val="2"/>
            <w:tcBorders>
              <w:top w:val="nil"/>
              <w:left w:val="nil"/>
              <w:bottom w:val="single" w:sz="8" w:space="0" w:color="auto"/>
              <w:right w:val="single" w:sz="8" w:space="0" w:color="auto"/>
            </w:tcBorders>
            <w:vAlign w:val="center"/>
            <w:hideMark/>
          </w:tcPr>
          <w:p w14:paraId="29FCF6AD"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37" w:type="pct"/>
            <w:gridSpan w:val="2"/>
            <w:tcBorders>
              <w:top w:val="nil"/>
              <w:left w:val="nil"/>
              <w:bottom w:val="single" w:sz="8" w:space="0" w:color="auto"/>
              <w:right w:val="single" w:sz="8" w:space="0" w:color="auto"/>
            </w:tcBorders>
            <w:vAlign w:val="center"/>
            <w:hideMark/>
          </w:tcPr>
          <w:p w14:paraId="68901061"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29" w:type="pct"/>
            <w:gridSpan w:val="2"/>
            <w:vMerge/>
            <w:tcBorders>
              <w:top w:val="single" w:sz="8" w:space="0" w:color="auto"/>
              <w:left w:val="single" w:sz="8" w:space="0" w:color="auto"/>
              <w:bottom w:val="single" w:sz="8" w:space="0" w:color="000000"/>
              <w:right w:val="single" w:sz="8" w:space="0" w:color="auto"/>
            </w:tcBorders>
            <w:vAlign w:val="center"/>
            <w:hideMark/>
          </w:tcPr>
          <w:p w14:paraId="79D148A7" w14:textId="77777777" w:rsidR="00044D5B" w:rsidRPr="00597673" w:rsidRDefault="00044D5B">
            <w:pPr>
              <w:spacing w:before="0" w:after="0"/>
              <w:jc w:val="left"/>
              <w:rPr>
                <w:b/>
                <w:bCs/>
                <w:color w:val="000000"/>
                <w:sz w:val="20"/>
                <w:szCs w:val="20"/>
                <w:lang w:eastAsia="en-IE"/>
              </w:rPr>
            </w:pPr>
          </w:p>
        </w:tc>
      </w:tr>
      <w:tr w:rsidR="00E62D64" w:rsidRPr="00597673" w14:paraId="09024E94" w14:textId="77777777">
        <w:trPr>
          <w:gridBefore w:val="1"/>
          <w:trHeight w:val="300"/>
        </w:trPr>
        <w:tc>
          <w:tcPr>
            <w:tcW w:w="1522" w:type="pct"/>
            <w:vMerge w:val="restart"/>
            <w:tcBorders>
              <w:top w:val="single" w:sz="8" w:space="0" w:color="auto"/>
              <w:left w:val="single" w:sz="8" w:space="0" w:color="auto"/>
              <w:bottom w:val="single" w:sz="8" w:space="0" w:color="auto"/>
              <w:right w:val="single" w:sz="8" w:space="0" w:color="auto"/>
            </w:tcBorders>
            <w:vAlign w:val="center"/>
            <w:hideMark/>
          </w:tcPr>
          <w:p w14:paraId="7CEE8C3C" w14:textId="77777777" w:rsidR="00044D5B" w:rsidRPr="00597673" w:rsidRDefault="00044D5B">
            <w:pPr>
              <w:spacing w:before="0" w:after="0"/>
              <w:rPr>
                <w:color w:val="000000"/>
                <w:sz w:val="21"/>
                <w:szCs w:val="21"/>
              </w:rPr>
            </w:pPr>
            <w:r w:rsidRPr="00597673">
              <w:rPr>
                <w:rFonts w:ascii="Calibri" w:hAnsi="Calibri"/>
                <w:color w:val="000000"/>
                <w:sz w:val="21"/>
              </w:rPr>
              <w:t xml:space="preserve">• </w:t>
            </w:r>
            <w:r w:rsidRPr="00597673">
              <w:rPr>
                <w:color w:val="000000"/>
                <w:sz w:val="21"/>
              </w:rPr>
              <w:t>ОБЩО бюджетни кредити за оперативни разходи (всички оперативни функции)</w:t>
            </w:r>
          </w:p>
        </w:tc>
        <w:tc>
          <w:tcPr>
            <w:tcW w:w="471" w:type="pct"/>
            <w:tcBorders>
              <w:top w:val="single" w:sz="8" w:space="0" w:color="auto"/>
              <w:left w:val="nil"/>
              <w:bottom w:val="single" w:sz="8" w:space="0" w:color="auto"/>
              <w:right w:val="single" w:sz="8" w:space="0" w:color="auto"/>
            </w:tcBorders>
            <w:vAlign w:val="center"/>
            <w:hideMark/>
          </w:tcPr>
          <w:p w14:paraId="6686D534"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31" w:type="pct"/>
            <w:gridSpan w:val="2"/>
            <w:tcBorders>
              <w:top w:val="single" w:sz="8" w:space="0" w:color="auto"/>
              <w:left w:val="nil"/>
              <w:bottom w:val="single" w:sz="8" w:space="0" w:color="auto"/>
              <w:right w:val="single" w:sz="8" w:space="0" w:color="000000"/>
            </w:tcBorders>
            <w:vAlign w:val="center"/>
            <w:hideMark/>
          </w:tcPr>
          <w:p w14:paraId="5DAE0C06" w14:textId="77777777" w:rsidR="00044D5B" w:rsidRPr="00597673" w:rsidRDefault="00044D5B">
            <w:pPr>
              <w:spacing w:before="0" w:after="0"/>
              <w:jc w:val="center"/>
              <w:rPr>
                <w:color w:val="000000"/>
                <w:sz w:val="14"/>
                <w:szCs w:val="14"/>
              </w:rPr>
            </w:pPr>
            <w:r w:rsidRPr="00597673">
              <w:rPr>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9101DBD"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A51DA83"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138C15C"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95EC44E" w14:textId="77777777" w:rsidR="00044D5B" w:rsidRPr="00597673" w:rsidRDefault="00044D5B">
            <w:pPr>
              <w:spacing w:before="0" w:after="0"/>
              <w:jc w:val="right"/>
              <w:rPr>
                <w:color w:val="000000"/>
                <w:sz w:val="20"/>
                <w:szCs w:val="20"/>
              </w:rPr>
            </w:pPr>
            <w:r w:rsidRPr="00597673">
              <w:rPr>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739DD50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42A9C6BF" w14:textId="77777777">
        <w:trPr>
          <w:gridBefore w:val="1"/>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14:paraId="388D3FEF" w14:textId="77777777" w:rsidR="00044D5B" w:rsidRPr="00597673" w:rsidRDefault="00044D5B">
            <w:pPr>
              <w:spacing w:before="0" w:after="0"/>
              <w:jc w:val="left"/>
              <w:rPr>
                <w:color w:val="000000"/>
                <w:sz w:val="21"/>
                <w:szCs w:val="21"/>
                <w:lang w:eastAsia="en-IE"/>
              </w:rPr>
            </w:pPr>
          </w:p>
        </w:tc>
        <w:tc>
          <w:tcPr>
            <w:tcW w:w="471" w:type="pct"/>
            <w:tcBorders>
              <w:top w:val="nil"/>
              <w:left w:val="nil"/>
              <w:bottom w:val="single" w:sz="8" w:space="0" w:color="auto"/>
              <w:right w:val="single" w:sz="8" w:space="0" w:color="auto"/>
            </w:tcBorders>
            <w:vAlign w:val="center"/>
            <w:hideMark/>
          </w:tcPr>
          <w:p w14:paraId="1DDA8832" w14:textId="77777777" w:rsidR="00044D5B" w:rsidRPr="00597673" w:rsidRDefault="00044D5B">
            <w:pPr>
              <w:spacing w:before="0" w:after="0"/>
              <w:rPr>
                <w:color w:val="000000"/>
                <w:sz w:val="18"/>
                <w:szCs w:val="18"/>
              </w:rPr>
            </w:pPr>
            <w:r w:rsidRPr="00597673">
              <w:rPr>
                <w:color w:val="000000"/>
                <w:sz w:val="18"/>
              </w:rPr>
              <w:t>Плащания</w:t>
            </w:r>
          </w:p>
        </w:tc>
        <w:tc>
          <w:tcPr>
            <w:tcW w:w="731" w:type="pct"/>
            <w:gridSpan w:val="2"/>
            <w:tcBorders>
              <w:top w:val="single" w:sz="8" w:space="0" w:color="auto"/>
              <w:left w:val="nil"/>
              <w:bottom w:val="single" w:sz="8" w:space="0" w:color="auto"/>
              <w:right w:val="single" w:sz="8" w:space="0" w:color="000000"/>
            </w:tcBorders>
            <w:vAlign w:val="center"/>
            <w:hideMark/>
          </w:tcPr>
          <w:p w14:paraId="63A7ADDE" w14:textId="77777777" w:rsidR="00044D5B" w:rsidRPr="00597673" w:rsidRDefault="00044D5B">
            <w:pPr>
              <w:spacing w:before="0" w:after="0"/>
              <w:jc w:val="center"/>
              <w:rPr>
                <w:color w:val="000000"/>
                <w:sz w:val="14"/>
                <w:szCs w:val="14"/>
              </w:rPr>
            </w:pPr>
            <w:r w:rsidRPr="00597673">
              <w:rPr>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2C61755"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479F11E"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523F28E"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F1CDF5E" w14:textId="77777777" w:rsidR="00044D5B" w:rsidRPr="00597673" w:rsidRDefault="00044D5B">
            <w:pPr>
              <w:spacing w:before="0" w:after="0"/>
              <w:jc w:val="right"/>
              <w:rPr>
                <w:color w:val="000000"/>
                <w:sz w:val="20"/>
                <w:szCs w:val="20"/>
              </w:rPr>
            </w:pPr>
            <w:r w:rsidRPr="00597673">
              <w:rPr>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21B1F251"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0B2D01F0" w14:textId="77777777">
        <w:trPr>
          <w:gridBefore w:val="1"/>
          <w:trHeight w:val="990"/>
        </w:trPr>
        <w:tc>
          <w:tcPr>
            <w:tcW w:w="1993" w:type="pct"/>
            <w:gridSpan w:val="2"/>
            <w:tcBorders>
              <w:top w:val="single" w:sz="8" w:space="0" w:color="auto"/>
              <w:left w:val="single" w:sz="8" w:space="0" w:color="auto"/>
              <w:bottom w:val="single" w:sz="8" w:space="0" w:color="auto"/>
              <w:right w:val="single" w:sz="8" w:space="0" w:color="000000"/>
            </w:tcBorders>
            <w:vAlign w:val="center"/>
            <w:hideMark/>
          </w:tcPr>
          <w:p w14:paraId="063A6582" w14:textId="77777777" w:rsidR="00044D5B" w:rsidRPr="00597673" w:rsidRDefault="00044D5B">
            <w:pPr>
              <w:spacing w:before="0" w:after="0"/>
              <w:rPr>
                <w:color w:val="000000"/>
                <w:sz w:val="21"/>
                <w:szCs w:val="21"/>
              </w:rPr>
            </w:pPr>
            <w:r w:rsidRPr="00597673">
              <w:rPr>
                <w:rFonts w:ascii="Calibri" w:hAnsi="Calibri"/>
                <w:color w:val="000000"/>
                <w:sz w:val="21"/>
              </w:rPr>
              <w:t>•</w:t>
            </w:r>
            <w:r w:rsidRPr="00597673">
              <w:rPr>
                <w:color w:val="000000"/>
                <w:sz w:val="21"/>
              </w:rPr>
              <w:t xml:space="preserve"> ОБЩО бюджетни кредити за административни разходи, финансирани от пакета за определени програми (всички оперативни функции)</w:t>
            </w:r>
          </w:p>
        </w:tc>
        <w:tc>
          <w:tcPr>
            <w:tcW w:w="731" w:type="pct"/>
            <w:gridSpan w:val="2"/>
            <w:tcBorders>
              <w:top w:val="single" w:sz="8" w:space="0" w:color="auto"/>
              <w:left w:val="nil"/>
              <w:bottom w:val="single" w:sz="8" w:space="0" w:color="auto"/>
              <w:right w:val="single" w:sz="8" w:space="0" w:color="000000"/>
            </w:tcBorders>
            <w:vAlign w:val="center"/>
            <w:hideMark/>
          </w:tcPr>
          <w:p w14:paraId="0954D0B8" w14:textId="77777777" w:rsidR="00044D5B" w:rsidRPr="00597673" w:rsidRDefault="00044D5B">
            <w:pPr>
              <w:spacing w:before="0" w:after="0"/>
              <w:jc w:val="center"/>
              <w:rPr>
                <w:color w:val="000000"/>
                <w:sz w:val="14"/>
                <w:szCs w:val="14"/>
              </w:rPr>
            </w:pPr>
            <w:r w:rsidRPr="00597673">
              <w:rPr>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5D7E7EE"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6E95B12"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1579191"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7781ADA" w14:textId="77777777" w:rsidR="00044D5B" w:rsidRPr="00597673" w:rsidRDefault="00044D5B">
            <w:pPr>
              <w:spacing w:before="0" w:after="0"/>
              <w:jc w:val="right"/>
              <w:rPr>
                <w:color w:val="000000"/>
                <w:sz w:val="20"/>
                <w:szCs w:val="20"/>
              </w:rPr>
            </w:pPr>
            <w:r w:rsidRPr="00597673">
              <w:rPr>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05AAF95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649C7588" w14:textId="77777777">
        <w:trPr>
          <w:gridBefore w:val="1"/>
          <w:trHeight w:val="564"/>
        </w:trPr>
        <w:tc>
          <w:tcPr>
            <w:tcW w:w="1522" w:type="pct"/>
            <w:tcBorders>
              <w:top w:val="nil"/>
              <w:left w:val="single" w:sz="8" w:space="0" w:color="auto"/>
              <w:bottom w:val="nil"/>
              <w:right w:val="single" w:sz="8" w:space="0" w:color="auto"/>
            </w:tcBorders>
            <w:shd w:val="thinDiagStripe" w:color="C0C0C0" w:fill="F1F1F1"/>
            <w:vAlign w:val="center"/>
            <w:hideMark/>
          </w:tcPr>
          <w:p w14:paraId="58AFFA8D"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функции 1—6</w:t>
            </w:r>
          </w:p>
        </w:tc>
        <w:tc>
          <w:tcPr>
            <w:tcW w:w="471" w:type="pct"/>
            <w:tcBorders>
              <w:top w:val="nil"/>
              <w:left w:val="nil"/>
              <w:bottom w:val="nil"/>
              <w:right w:val="single" w:sz="8" w:space="0" w:color="auto"/>
            </w:tcBorders>
            <w:vAlign w:val="center"/>
            <w:hideMark/>
          </w:tcPr>
          <w:p w14:paraId="722BCD0F"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31" w:type="pct"/>
            <w:gridSpan w:val="2"/>
            <w:tcBorders>
              <w:top w:val="single" w:sz="8" w:space="0" w:color="auto"/>
              <w:left w:val="nil"/>
              <w:bottom w:val="nil"/>
              <w:right w:val="single" w:sz="8" w:space="0" w:color="000000"/>
            </w:tcBorders>
            <w:vAlign w:val="center"/>
            <w:hideMark/>
          </w:tcPr>
          <w:p w14:paraId="1566B07D" w14:textId="77777777" w:rsidR="00044D5B" w:rsidRPr="00597673" w:rsidRDefault="00044D5B">
            <w:pPr>
              <w:spacing w:before="0" w:after="0"/>
              <w:jc w:val="center"/>
              <w:rPr>
                <w:color w:val="000000"/>
                <w:sz w:val="14"/>
                <w:szCs w:val="14"/>
              </w:rPr>
            </w:pPr>
            <w:r w:rsidRPr="00597673">
              <w:rPr>
                <w:color w:val="000000"/>
                <w:sz w:val="14"/>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F8D5E97"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D727CA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C24FC8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1F92D3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3F48BD8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7C84ED68" w14:textId="77777777">
        <w:trPr>
          <w:gridBefore w:val="1"/>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14:paraId="6155BBCB" w14:textId="77777777" w:rsidR="00044D5B" w:rsidRPr="00597673" w:rsidRDefault="00044D5B">
            <w:pPr>
              <w:spacing w:before="0" w:after="0"/>
              <w:jc w:val="center"/>
              <w:rPr>
                <w:color w:val="000000"/>
                <w:sz w:val="20"/>
                <w:szCs w:val="20"/>
              </w:rPr>
            </w:pPr>
            <w:r w:rsidRPr="00597673">
              <w:rPr>
                <w:color w:val="000000"/>
                <w:sz w:val="20"/>
              </w:rPr>
              <w:t>от многогодишната финансова рамка</w:t>
            </w:r>
            <w:r w:rsidRPr="00597673">
              <w:t xml:space="preserve"> </w:t>
            </w:r>
            <w:r w:rsidRPr="00597673">
              <w:br/>
            </w:r>
            <w:r w:rsidRPr="00597673">
              <w:rPr>
                <w:color w:val="000000"/>
                <w:sz w:val="20"/>
              </w:rPr>
              <w:t>(референтна стойност)</w:t>
            </w:r>
          </w:p>
        </w:tc>
        <w:tc>
          <w:tcPr>
            <w:tcW w:w="471" w:type="pct"/>
            <w:tcBorders>
              <w:top w:val="nil"/>
              <w:left w:val="nil"/>
              <w:bottom w:val="single" w:sz="8" w:space="0" w:color="auto"/>
              <w:right w:val="single" w:sz="8" w:space="0" w:color="auto"/>
            </w:tcBorders>
            <w:vAlign w:val="center"/>
            <w:hideMark/>
          </w:tcPr>
          <w:p w14:paraId="31124F56" w14:textId="77777777" w:rsidR="00044D5B" w:rsidRPr="00597673" w:rsidRDefault="00044D5B">
            <w:pPr>
              <w:spacing w:before="0" w:after="0"/>
              <w:rPr>
                <w:color w:val="000000"/>
                <w:sz w:val="18"/>
                <w:szCs w:val="18"/>
              </w:rPr>
            </w:pPr>
            <w:r w:rsidRPr="00597673">
              <w:rPr>
                <w:color w:val="000000"/>
                <w:sz w:val="18"/>
              </w:rPr>
              <w:t>Плащания</w:t>
            </w:r>
          </w:p>
        </w:tc>
        <w:tc>
          <w:tcPr>
            <w:tcW w:w="731" w:type="pct"/>
            <w:gridSpan w:val="2"/>
            <w:tcBorders>
              <w:top w:val="single" w:sz="8" w:space="0" w:color="auto"/>
              <w:left w:val="nil"/>
              <w:bottom w:val="single" w:sz="8" w:space="0" w:color="auto"/>
              <w:right w:val="single" w:sz="8" w:space="0" w:color="000000"/>
            </w:tcBorders>
            <w:vAlign w:val="center"/>
            <w:hideMark/>
          </w:tcPr>
          <w:p w14:paraId="267A61FF" w14:textId="77777777" w:rsidR="00044D5B" w:rsidRPr="00597673" w:rsidRDefault="00044D5B">
            <w:pPr>
              <w:spacing w:before="0" w:after="0"/>
              <w:jc w:val="center"/>
              <w:rPr>
                <w:color w:val="000000"/>
                <w:sz w:val="14"/>
                <w:szCs w:val="14"/>
              </w:rPr>
            </w:pPr>
            <w:r w:rsidRPr="00597673">
              <w:rPr>
                <w:color w:val="000000"/>
                <w:sz w:val="14"/>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00E3F9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DAB4AE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F65EDE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464197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3F320209"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12949C54" w14:textId="77777777" w:rsidR="00044D5B" w:rsidRPr="00597673" w:rsidRDefault="00044D5B" w:rsidP="00044D5B">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32"/>
        <w:gridCol w:w="241"/>
        <w:gridCol w:w="1110"/>
        <w:gridCol w:w="1256"/>
        <w:gridCol w:w="628"/>
        <w:gridCol w:w="631"/>
        <w:gridCol w:w="1054"/>
        <w:gridCol w:w="1054"/>
        <w:gridCol w:w="1054"/>
        <w:gridCol w:w="1054"/>
        <w:gridCol w:w="1300"/>
      </w:tblGrid>
      <w:tr w:rsidR="00B55C7B" w:rsidRPr="00597673" w14:paraId="2FC5B3F6" w14:textId="77777777">
        <w:trPr>
          <w:jc w:val="center"/>
        </w:trPr>
        <w:tc>
          <w:tcPr>
            <w:tcW w:w="1739" w:type="pct"/>
            <w:gridSpan w:val="2"/>
            <w:shd w:val="thinDiagStripe" w:color="C0C0C0" w:fill="auto"/>
            <w:vAlign w:val="center"/>
          </w:tcPr>
          <w:p w14:paraId="6A3E0B92" w14:textId="77777777" w:rsidR="00044D5B" w:rsidRPr="00597673" w:rsidRDefault="00044D5B">
            <w:pPr>
              <w:spacing w:before="60" w:after="60"/>
              <w:jc w:val="center"/>
              <w:rPr>
                <w:b/>
                <w:noProof/>
              </w:rPr>
            </w:pPr>
            <w:r w:rsidRPr="00597673">
              <w:br w:type="page"/>
            </w:r>
            <w:r w:rsidRPr="00597673">
              <w:rPr>
                <w:b/>
                <w:sz w:val="22"/>
              </w:rPr>
              <w:t xml:space="preserve">Функция от многогодишната финансова рамка </w:t>
            </w:r>
          </w:p>
        </w:tc>
        <w:tc>
          <w:tcPr>
            <w:tcW w:w="396" w:type="pct"/>
            <w:shd w:val="thinDiagStripe" w:color="C0C0C0" w:fill="auto"/>
            <w:vAlign w:val="center"/>
          </w:tcPr>
          <w:p w14:paraId="694EBDB2" w14:textId="77777777" w:rsidR="00044D5B" w:rsidRPr="00597673" w:rsidRDefault="00044D5B">
            <w:pPr>
              <w:spacing w:before="60" w:after="60"/>
              <w:jc w:val="center"/>
              <w:rPr>
                <w:noProof/>
              </w:rPr>
            </w:pPr>
            <w:r w:rsidRPr="00597673">
              <w:rPr>
                <w:b/>
                <w:sz w:val="22"/>
              </w:rPr>
              <w:t>7</w:t>
            </w:r>
          </w:p>
        </w:tc>
        <w:tc>
          <w:tcPr>
            <w:tcW w:w="2865" w:type="pct"/>
            <w:gridSpan w:val="8"/>
            <w:vAlign w:val="center"/>
          </w:tcPr>
          <w:p w14:paraId="0CD057D1" w14:textId="77777777" w:rsidR="00044D5B" w:rsidRPr="00597673" w:rsidRDefault="00044D5B">
            <w:pPr>
              <w:spacing w:before="60" w:after="60"/>
              <w:rPr>
                <w:noProof/>
              </w:rPr>
            </w:pPr>
            <w:r w:rsidRPr="00597673">
              <w:rPr>
                <w:sz w:val="22"/>
              </w:rPr>
              <w:t>„Административни разходи“</w:t>
            </w:r>
            <w:r w:rsidRPr="00597673">
              <w:t xml:space="preserve"> </w:t>
            </w:r>
          </w:p>
        </w:tc>
      </w:tr>
      <w:tr w:rsidR="00B55C7B" w:rsidRPr="00597673" w14:paraId="4C30D66F"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5D0E7E35" w14:textId="77777777" w:rsidR="00044D5B" w:rsidRPr="00597673" w:rsidRDefault="00044D5B">
            <w:pPr>
              <w:spacing w:before="0" w:after="0"/>
              <w:jc w:val="center"/>
              <w:rPr>
                <w:color w:val="000000"/>
                <w:szCs w:val="24"/>
              </w:rPr>
            </w:pPr>
            <w:r w:rsidRPr="00597673">
              <w:rPr>
                <w:color w:val="000000"/>
              </w:rPr>
              <w:t>ГД: &lt;…….&gt;</w:t>
            </w:r>
          </w:p>
        </w:tc>
        <w:tc>
          <w:tcPr>
            <w:tcW w:w="376" w:type="pct"/>
            <w:tcBorders>
              <w:top w:val="single" w:sz="8" w:space="0" w:color="auto"/>
              <w:left w:val="nil"/>
              <w:bottom w:val="nil"/>
              <w:right w:val="single" w:sz="8" w:space="0" w:color="auto"/>
            </w:tcBorders>
            <w:vAlign w:val="center"/>
            <w:hideMark/>
          </w:tcPr>
          <w:p w14:paraId="100C9A8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376" w:type="pct"/>
            <w:tcBorders>
              <w:top w:val="single" w:sz="8" w:space="0" w:color="auto"/>
              <w:left w:val="nil"/>
              <w:bottom w:val="nil"/>
              <w:right w:val="single" w:sz="8" w:space="0" w:color="auto"/>
            </w:tcBorders>
            <w:vAlign w:val="center"/>
            <w:hideMark/>
          </w:tcPr>
          <w:p w14:paraId="4E91471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376" w:type="pct"/>
            <w:tcBorders>
              <w:top w:val="single" w:sz="8" w:space="0" w:color="auto"/>
              <w:left w:val="nil"/>
              <w:bottom w:val="nil"/>
              <w:right w:val="single" w:sz="8" w:space="0" w:color="auto"/>
            </w:tcBorders>
            <w:vAlign w:val="center"/>
            <w:hideMark/>
          </w:tcPr>
          <w:p w14:paraId="36614EF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376" w:type="pct"/>
            <w:tcBorders>
              <w:top w:val="single" w:sz="8" w:space="0" w:color="auto"/>
              <w:left w:val="nil"/>
              <w:bottom w:val="nil"/>
              <w:right w:val="single" w:sz="8" w:space="0" w:color="auto"/>
            </w:tcBorders>
            <w:vAlign w:val="center"/>
            <w:hideMark/>
          </w:tcPr>
          <w:p w14:paraId="4E1E4A9E"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7B216BC8"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4464F11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089F470E" w14:textId="77777777" w:rsidR="00044D5B" w:rsidRPr="00597673" w:rsidRDefault="00044D5B">
            <w:pPr>
              <w:spacing w:before="0" w:after="0"/>
              <w:jc w:val="left"/>
              <w:rPr>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617598AF"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376" w:type="pct"/>
            <w:tcBorders>
              <w:top w:val="nil"/>
              <w:left w:val="nil"/>
              <w:bottom w:val="single" w:sz="8" w:space="0" w:color="auto"/>
              <w:right w:val="single" w:sz="8" w:space="0" w:color="auto"/>
            </w:tcBorders>
            <w:vAlign w:val="center"/>
            <w:hideMark/>
          </w:tcPr>
          <w:p w14:paraId="776F5F0B"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376" w:type="pct"/>
            <w:tcBorders>
              <w:top w:val="nil"/>
              <w:left w:val="nil"/>
              <w:bottom w:val="single" w:sz="8" w:space="0" w:color="auto"/>
              <w:right w:val="single" w:sz="8" w:space="0" w:color="auto"/>
            </w:tcBorders>
            <w:vAlign w:val="center"/>
            <w:hideMark/>
          </w:tcPr>
          <w:p w14:paraId="069E114D"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376" w:type="pct"/>
            <w:tcBorders>
              <w:top w:val="nil"/>
              <w:left w:val="nil"/>
              <w:bottom w:val="single" w:sz="8" w:space="0" w:color="auto"/>
              <w:right w:val="single" w:sz="8" w:space="0" w:color="auto"/>
            </w:tcBorders>
            <w:vAlign w:val="center"/>
            <w:hideMark/>
          </w:tcPr>
          <w:p w14:paraId="790A6473"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1EBC99CC" w14:textId="77777777" w:rsidR="00044D5B" w:rsidRPr="00597673" w:rsidRDefault="00044D5B">
            <w:pPr>
              <w:spacing w:before="0" w:after="0"/>
              <w:jc w:val="left"/>
              <w:rPr>
                <w:b/>
                <w:bCs/>
                <w:color w:val="000000"/>
                <w:sz w:val="20"/>
                <w:szCs w:val="20"/>
                <w:lang w:eastAsia="en-IE"/>
              </w:rPr>
            </w:pPr>
          </w:p>
        </w:tc>
      </w:tr>
      <w:tr w:rsidR="00E6355E" w:rsidRPr="00597673" w14:paraId="63ACC1E1"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6F80D75D"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Човешки ресурси </w:t>
            </w:r>
          </w:p>
        </w:tc>
        <w:tc>
          <w:tcPr>
            <w:tcW w:w="376" w:type="pct"/>
            <w:tcBorders>
              <w:top w:val="nil"/>
              <w:left w:val="nil"/>
              <w:bottom w:val="single" w:sz="8" w:space="0" w:color="auto"/>
              <w:right w:val="single" w:sz="8" w:space="0" w:color="auto"/>
            </w:tcBorders>
            <w:shd w:val="clear" w:color="000000" w:fill="D9D9D9"/>
            <w:vAlign w:val="center"/>
            <w:hideMark/>
          </w:tcPr>
          <w:p w14:paraId="3CD301D9"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5FAAD70"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CDC5FBA"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D514BB2" w14:textId="77777777" w:rsidR="00044D5B" w:rsidRPr="00597673" w:rsidRDefault="00044D5B">
            <w:pPr>
              <w:spacing w:before="0" w:after="0"/>
              <w:jc w:val="right"/>
              <w:rPr>
                <w:color w:val="000000"/>
                <w:sz w:val="20"/>
                <w:szCs w:val="20"/>
              </w:rPr>
            </w:pPr>
            <w:r w:rsidRPr="00597673">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22D1BF83"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7E6E02B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7596C4E7"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Други административни разходи </w:t>
            </w:r>
          </w:p>
        </w:tc>
        <w:tc>
          <w:tcPr>
            <w:tcW w:w="376" w:type="pct"/>
            <w:tcBorders>
              <w:top w:val="nil"/>
              <w:left w:val="nil"/>
              <w:bottom w:val="single" w:sz="8" w:space="0" w:color="auto"/>
              <w:right w:val="single" w:sz="8" w:space="0" w:color="auto"/>
            </w:tcBorders>
            <w:shd w:val="clear" w:color="000000" w:fill="D9D9D9"/>
            <w:vAlign w:val="center"/>
            <w:hideMark/>
          </w:tcPr>
          <w:p w14:paraId="340CCEE6"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A6A267E"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553A0EB"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451157C" w14:textId="77777777" w:rsidR="00044D5B" w:rsidRPr="00597673" w:rsidRDefault="00044D5B">
            <w:pPr>
              <w:spacing w:before="0" w:after="0"/>
              <w:jc w:val="right"/>
              <w:rPr>
                <w:color w:val="000000"/>
                <w:sz w:val="20"/>
                <w:szCs w:val="20"/>
              </w:rPr>
            </w:pPr>
            <w:r w:rsidRPr="00597673">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5B22623"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50EB46C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5D6B76A1" w14:textId="77777777" w:rsidR="00044D5B" w:rsidRPr="00597673" w:rsidRDefault="00044D5B">
            <w:pPr>
              <w:spacing w:before="0" w:after="0"/>
              <w:jc w:val="center"/>
              <w:rPr>
                <w:b/>
                <w:bCs/>
                <w:color w:val="000000"/>
                <w:sz w:val="22"/>
              </w:rPr>
            </w:pPr>
            <w:r w:rsidRPr="00597673">
              <w:rPr>
                <w:b/>
                <w:color w:val="000000"/>
                <w:sz w:val="22"/>
              </w:rPr>
              <w:t xml:space="preserve">ОБЩО ГД </w:t>
            </w:r>
            <w:r w:rsidRPr="00597673">
              <w:rPr>
                <w:color w:val="000000"/>
                <w:sz w:val="22"/>
              </w:rPr>
              <w:t>&lt;…….&gt;</w:t>
            </w:r>
          </w:p>
        </w:tc>
        <w:tc>
          <w:tcPr>
            <w:tcW w:w="1378" w:type="pct"/>
            <w:gridSpan w:val="5"/>
            <w:tcBorders>
              <w:top w:val="single" w:sz="8" w:space="0" w:color="auto"/>
              <w:left w:val="nil"/>
              <w:bottom w:val="single" w:sz="8" w:space="0" w:color="auto"/>
              <w:right w:val="single" w:sz="8" w:space="0" w:color="auto"/>
            </w:tcBorders>
            <w:vAlign w:val="center"/>
            <w:hideMark/>
          </w:tcPr>
          <w:p w14:paraId="7EB2EF67" w14:textId="77777777" w:rsidR="00044D5B" w:rsidRPr="00597673" w:rsidRDefault="00044D5B">
            <w:pPr>
              <w:spacing w:before="0" w:after="0"/>
              <w:jc w:val="left"/>
              <w:rPr>
                <w:color w:val="000000"/>
                <w:sz w:val="18"/>
                <w:szCs w:val="18"/>
              </w:rPr>
            </w:pPr>
            <w:r w:rsidRPr="00597673">
              <w:rPr>
                <w:color w:val="000000"/>
                <w:sz w:val="18"/>
              </w:rPr>
              <w:t xml:space="preserve">Бюджетни кредити </w:t>
            </w:r>
          </w:p>
        </w:tc>
        <w:tc>
          <w:tcPr>
            <w:tcW w:w="376" w:type="pct"/>
            <w:tcBorders>
              <w:top w:val="nil"/>
              <w:left w:val="nil"/>
              <w:bottom w:val="single" w:sz="8" w:space="0" w:color="auto"/>
              <w:right w:val="single" w:sz="8" w:space="0" w:color="auto"/>
            </w:tcBorders>
            <w:shd w:val="clear" w:color="000000" w:fill="D9D9D9"/>
            <w:vAlign w:val="center"/>
            <w:hideMark/>
          </w:tcPr>
          <w:p w14:paraId="3197385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159D14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DBF536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FF0A8B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7E850A5B"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27EB0" w:rsidRPr="00597673" w14:paraId="35483E2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6D066A7F" w14:textId="77777777" w:rsidR="00044D5B" w:rsidRPr="00597673" w:rsidRDefault="00044D5B">
            <w:pPr>
              <w:spacing w:before="0" w:after="0"/>
              <w:jc w:val="right"/>
              <w:rPr>
                <w:b/>
                <w:bCs/>
                <w:color w:val="000000"/>
                <w:sz w:val="20"/>
                <w:szCs w:val="20"/>
                <w:lang w:eastAsia="en-IE"/>
              </w:rPr>
            </w:pPr>
          </w:p>
        </w:tc>
        <w:tc>
          <w:tcPr>
            <w:tcW w:w="929" w:type="pct"/>
            <w:gridSpan w:val="3"/>
            <w:tcBorders>
              <w:top w:val="nil"/>
              <w:left w:val="nil"/>
              <w:bottom w:val="nil"/>
              <w:right w:val="nil"/>
            </w:tcBorders>
            <w:noWrap/>
            <w:vAlign w:val="bottom"/>
            <w:hideMark/>
          </w:tcPr>
          <w:p w14:paraId="2A308B2A" w14:textId="77777777" w:rsidR="00044D5B" w:rsidRPr="00597673" w:rsidRDefault="00044D5B">
            <w:pPr>
              <w:spacing w:before="0" w:after="0"/>
              <w:jc w:val="left"/>
              <w:rPr>
                <w:sz w:val="20"/>
                <w:szCs w:val="20"/>
                <w:lang w:eastAsia="en-IE"/>
              </w:rPr>
            </w:pPr>
          </w:p>
        </w:tc>
        <w:tc>
          <w:tcPr>
            <w:tcW w:w="224" w:type="pct"/>
            <w:tcBorders>
              <w:top w:val="nil"/>
              <w:left w:val="nil"/>
              <w:bottom w:val="nil"/>
              <w:right w:val="nil"/>
            </w:tcBorders>
            <w:noWrap/>
            <w:vAlign w:val="bottom"/>
            <w:hideMark/>
          </w:tcPr>
          <w:p w14:paraId="23579C02" w14:textId="77777777" w:rsidR="00044D5B" w:rsidRPr="00597673" w:rsidRDefault="00044D5B">
            <w:pPr>
              <w:spacing w:before="0" w:after="0"/>
              <w:jc w:val="left"/>
              <w:rPr>
                <w:sz w:val="20"/>
                <w:szCs w:val="20"/>
                <w:lang w:eastAsia="en-IE"/>
              </w:rPr>
            </w:pPr>
          </w:p>
        </w:tc>
        <w:tc>
          <w:tcPr>
            <w:tcW w:w="225" w:type="pct"/>
            <w:tcBorders>
              <w:top w:val="nil"/>
              <w:left w:val="nil"/>
              <w:bottom w:val="nil"/>
              <w:right w:val="nil"/>
            </w:tcBorders>
            <w:noWrap/>
            <w:vAlign w:val="bottom"/>
            <w:hideMark/>
          </w:tcPr>
          <w:p w14:paraId="7308B2B8"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2FBD2D50"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07802245"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59AF5A20"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37216C25" w14:textId="77777777" w:rsidR="00044D5B" w:rsidRPr="00597673" w:rsidRDefault="00044D5B">
            <w:pPr>
              <w:spacing w:before="0" w:after="0"/>
              <w:jc w:val="left"/>
              <w:rPr>
                <w:sz w:val="20"/>
                <w:szCs w:val="20"/>
                <w:lang w:eastAsia="en-IE"/>
              </w:rPr>
            </w:pPr>
          </w:p>
        </w:tc>
        <w:tc>
          <w:tcPr>
            <w:tcW w:w="465" w:type="pct"/>
            <w:tcBorders>
              <w:top w:val="nil"/>
              <w:left w:val="nil"/>
              <w:bottom w:val="nil"/>
              <w:right w:val="nil"/>
            </w:tcBorders>
            <w:noWrap/>
            <w:vAlign w:val="bottom"/>
            <w:hideMark/>
          </w:tcPr>
          <w:p w14:paraId="183E9E36" w14:textId="77777777" w:rsidR="00044D5B" w:rsidRPr="00597673" w:rsidRDefault="00044D5B">
            <w:pPr>
              <w:spacing w:before="0" w:after="0"/>
              <w:jc w:val="left"/>
              <w:rPr>
                <w:sz w:val="20"/>
                <w:szCs w:val="20"/>
                <w:lang w:eastAsia="en-IE"/>
              </w:rPr>
            </w:pPr>
          </w:p>
        </w:tc>
      </w:tr>
      <w:tr w:rsidR="00B55C7B" w:rsidRPr="00597673" w14:paraId="68AA24FE"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2F8460E4" w14:textId="77777777" w:rsidR="00044D5B" w:rsidRPr="00597673" w:rsidRDefault="00044D5B">
            <w:pPr>
              <w:spacing w:before="0" w:after="0"/>
              <w:jc w:val="center"/>
              <w:rPr>
                <w:color w:val="000000"/>
                <w:szCs w:val="24"/>
              </w:rPr>
            </w:pPr>
            <w:r w:rsidRPr="00597673">
              <w:rPr>
                <w:color w:val="000000"/>
              </w:rPr>
              <w:t>ГД: &lt;…….&gt;</w:t>
            </w:r>
          </w:p>
        </w:tc>
        <w:tc>
          <w:tcPr>
            <w:tcW w:w="376" w:type="pct"/>
            <w:tcBorders>
              <w:top w:val="single" w:sz="8" w:space="0" w:color="auto"/>
              <w:left w:val="nil"/>
              <w:bottom w:val="nil"/>
              <w:right w:val="single" w:sz="8" w:space="0" w:color="auto"/>
            </w:tcBorders>
            <w:vAlign w:val="center"/>
            <w:hideMark/>
          </w:tcPr>
          <w:p w14:paraId="0485C9B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376" w:type="pct"/>
            <w:tcBorders>
              <w:top w:val="single" w:sz="8" w:space="0" w:color="auto"/>
              <w:left w:val="nil"/>
              <w:bottom w:val="nil"/>
              <w:right w:val="single" w:sz="8" w:space="0" w:color="auto"/>
            </w:tcBorders>
            <w:vAlign w:val="center"/>
            <w:hideMark/>
          </w:tcPr>
          <w:p w14:paraId="1B97745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376" w:type="pct"/>
            <w:tcBorders>
              <w:top w:val="single" w:sz="8" w:space="0" w:color="auto"/>
              <w:left w:val="nil"/>
              <w:bottom w:val="nil"/>
              <w:right w:val="single" w:sz="8" w:space="0" w:color="auto"/>
            </w:tcBorders>
            <w:vAlign w:val="center"/>
            <w:hideMark/>
          </w:tcPr>
          <w:p w14:paraId="1C576D80" w14:textId="77777777" w:rsidR="00044D5B" w:rsidRPr="00597673" w:rsidRDefault="00044D5B">
            <w:pPr>
              <w:spacing w:before="0" w:after="0"/>
              <w:jc w:val="center"/>
              <w:rPr>
                <w:color w:val="000000"/>
                <w:sz w:val="20"/>
                <w:szCs w:val="20"/>
              </w:rPr>
            </w:pPr>
            <w:r w:rsidRPr="00597673">
              <w:rPr>
                <w:color w:val="000000"/>
                <w:sz w:val="20"/>
              </w:rPr>
              <w:t>Година</w:t>
            </w:r>
          </w:p>
        </w:tc>
        <w:tc>
          <w:tcPr>
            <w:tcW w:w="376" w:type="pct"/>
            <w:tcBorders>
              <w:top w:val="single" w:sz="8" w:space="0" w:color="auto"/>
              <w:left w:val="nil"/>
              <w:bottom w:val="nil"/>
              <w:right w:val="single" w:sz="8" w:space="0" w:color="auto"/>
            </w:tcBorders>
            <w:vAlign w:val="center"/>
            <w:hideMark/>
          </w:tcPr>
          <w:p w14:paraId="611081F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5155EE77"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114618F6"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625A1557" w14:textId="77777777" w:rsidR="00044D5B" w:rsidRPr="00597673" w:rsidRDefault="00044D5B">
            <w:pPr>
              <w:spacing w:before="0" w:after="0"/>
              <w:jc w:val="left"/>
              <w:rPr>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34F1881E"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376" w:type="pct"/>
            <w:tcBorders>
              <w:top w:val="nil"/>
              <w:left w:val="nil"/>
              <w:bottom w:val="single" w:sz="8" w:space="0" w:color="auto"/>
              <w:right w:val="single" w:sz="8" w:space="0" w:color="auto"/>
            </w:tcBorders>
            <w:vAlign w:val="center"/>
            <w:hideMark/>
          </w:tcPr>
          <w:p w14:paraId="30FFB4C0"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376" w:type="pct"/>
            <w:tcBorders>
              <w:top w:val="nil"/>
              <w:left w:val="nil"/>
              <w:bottom w:val="single" w:sz="8" w:space="0" w:color="auto"/>
              <w:right w:val="single" w:sz="8" w:space="0" w:color="auto"/>
            </w:tcBorders>
            <w:vAlign w:val="center"/>
            <w:hideMark/>
          </w:tcPr>
          <w:p w14:paraId="5CC5F906"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376" w:type="pct"/>
            <w:tcBorders>
              <w:top w:val="nil"/>
              <w:left w:val="nil"/>
              <w:bottom w:val="single" w:sz="8" w:space="0" w:color="auto"/>
              <w:right w:val="single" w:sz="8" w:space="0" w:color="auto"/>
            </w:tcBorders>
            <w:vAlign w:val="center"/>
            <w:hideMark/>
          </w:tcPr>
          <w:p w14:paraId="31EF3BC3"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41D486D9" w14:textId="77777777" w:rsidR="00044D5B" w:rsidRPr="00597673" w:rsidRDefault="00044D5B">
            <w:pPr>
              <w:spacing w:before="0" w:after="0"/>
              <w:jc w:val="left"/>
              <w:rPr>
                <w:b/>
                <w:bCs/>
                <w:color w:val="000000"/>
                <w:sz w:val="20"/>
                <w:szCs w:val="20"/>
                <w:lang w:eastAsia="en-IE"/>
              </w:rPr>
            </w:pPr>
          </w:p>
        </w:tc>
      </w:tr>
      <w:tr w:rsidR="00E6355E" w:rsidRPr="00597673" w14:paraId="5AA312F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49385EF2"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Човешки ресурси </w:t>
            </w:r>
          </w:p>
        </w:tc>
        <w:tc>
          <w:tcPr>
            <w:tcW w:w="376" w:type="pct"/>
            <w:tcBorders>
              <w:top w:val="nil"/>
              <w:left w:val="nil"/>
              <w:bottom w:val="single" w:sz="8" w:space="0" w:color="auto"/>
              <w:right w:val="single" w:sz="8" w:space="0" w:color="auto"/>
            </w:tcBorders>
            <w:shd w:val="clear" w:color="000000" w:fill="D9D9D9"/>
            <w:vAlign w:val="center"/>
            <w:hideMark/>
          </w:tcPr>
          <w:p w14:paraId="129F51FE"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5193C38"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427D3A3"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6EEDCE4" w14:textId="77777777" w:rsidR="00044D5B" w:rsidRPr="00597673" w:rsidRDefault="00044D5B">
            <w:pPr>
              <w:spacing w:before="0" w:after="0"/>
              <w:jc w:val="right"/>
              <w:rPr>
                <w:color w:val="000000"/>
                <w:sz w:val="20"/>
                <w:szCs w:val="20"/>
              </w:rPr>
            </w:pPr>
            <w:r w:rsidRPr="00597673">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49D1E6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3F4545F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3D1BF350"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Други административни разходи </w:t>
            </w:r>
          </w:p>
        </w:tc>
        <w:tc>
          <w:tcPr>
            <w:tcW w:w="376" w:type="pct"/>
            <w:tcBorders>
              <w:top w:val="nil"/>
              <w:left w:val="nil"/>
              <w:bottom w:val="single" w:sz="8" w:space="0" w:color="auto"/>
              <w:right w:val="single" w:sz="8" w:space="0" w:color="auto"/>
            </w:tcBorders>
            <w:shd w:val="clear" w:color="000000" w:fill="D9D9D9"/>
            <w:vAlign w:val="center"/>
            <w:hideMark/>
          </w:tcPr>
          <w:p w14:paraId="74520C84"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AB71699"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CEA9BC3" w14:textId="77777777" w:rsidR="00044D5B" w:rsidRPr="00597673" w:rsidRDefault="00044D5B">
            <w:pPr>
              <w:spacing w:before="0" w:after="0"/>
              <w:jc w:val="right"/>
              <w:rPr>
                <w:color w:val="000000"/>
                <w:sz w:val="20"/>
                <w:szCs w:val="20"/>
              </w:rPr>
            </w:pPr>
            <w:r w:rsidRPr="00597673">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F6659D0" w14:textId="77777777" w:rsidR="00044D5B" w:rsidRPr="00597673" w:rsidRDefault="00044D5B">
            <w:pPr>
              <w:spacing w:before="0" w:after="0"/>
              <w:jc w:val="right"/>
              <w:rPr>
                <w:color w:val="000000"/>
                <w:sz w:val="20"/>
                <w:szCs w:val="20"/>
              </w:rPr>
            </w:pPr>
            <w:r w:rsidRPr="00597673">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54904F7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47E06D7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5F9A2EB5" w14:textId="77777777" w:rsidR="00044D5B" w:rsidRPr="00597673" w:rsidRDefault="00044D5B">
            <w:pPr>
              <w:spacing w:before="0" w:after="0"/>
              <w:jc w:val="center"/>
              <w:rPr>
                <w:b/>
                <w:bCs/>
                <w:color w:val="000000"/>
                <w:sz w:val="22"/>
              </w:rPr>
            </w:pPr>
            <w:r w:rsidRPr="00597673">
              <w:rPr>
                <w:b/>
                <w:color w:val="000000"/>
                <w:sz w:val="22"/>
              </w:rPr>
              <w:t xml:space="preserve">ОБЩО ГД </w:t>
            </w:r>
            <w:r w:rsidRPr="00597673">
              <w:rPr>
                <w:color w:val="000000"/>
                <w:sz w:val="22"/>
              </w:rPr>
              <w:t>&lt;…….&gt;</w:t>
            </w:r>
          </w:p>
        </w:tc>
        <w:tc>
          <w:tcPr>
            <w:tcW w:w="1378" w:type="pct"/>
            <w:gridSpan w:val="5"/>
            <w:tcBorders>
              <w:top w:val="single" w:sz="8" w:space="0" w:color="auto"/>
              <w:left w:val="nil"/>
              <w:bottom w:val="single" w:sz="8" w:space="0" w:color="auto"/>
              <w:right w:val="single" w:sz="8" w:space="0" w:color="auto"/>
            </w:tcBorders>
            <w:vAlign w:val="center"/>
            <w:hideMark/>
          </w:tcPr>
          <w:p w14:paraId="38FEBA02" w14:textId="77777777" w:rsidR="00044D5B" w:rsidRPr="00597673" w:rsidRDefault="00044D5B">
            <w:pPr>
              <w:spacing w:before="0" w:after="0"/>
              <w:jc w:val="left"/>
              <w:rPr>
                <w:color w:val="000000"/>
                <w:sz w:val="18"/>
                <w:szCs w:val="18"/>
              </w:rPr>
            </w:pPr>
            <w:r w:rsidRPr="00597673">
              <w:rPr>
                <w:color w:val="000000"/>
                <w:sz w:val="18"/>
              </w:rPr>
              <w:t xml:space="preserve">Бюджетни кредити </w:t>
            </w:r>
          </w:p>
        </w:tc>
        <w:tc>
          <w:tcPr>
            <w:tcW w:w="376" w:type="pct"/>
            <w:tcBorders>
              <w:top w:val="nil"/>
              <w:left w:val="nil"/>
              <w:bottom w:val="single" w:sz="8" w:space="0" w:color="auto"/>
              <w:right w:val="single" w:sz="8" w:space="0" w:color="auto"/>
            </w:tcBorders>
            <w:shd w:val="clear" w:color="000000" w:fill="D9D9D9"/>
            <w:vAlign w:val="center"/>
            <w:hideMark/>
          </w:tcPr>
          <w:p w14:paraId="1F32B9E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813220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10CF5C2"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93CC22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AF1589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27EB0" w:rsidRPr="00597673" w14:paraId="38DF47B4"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07D3B178" w14:textId="77777777" w:rsidR="00044D5B" w:rsidRPr="00597673" w:rsidRDefault="00044D5B">
            <w:pPr>
              <w:spacing w:before="0" w:after="0"/>
              <w:jc w:val="right"/>
              <w:rPr>
                <w:b/>
                <w:bCs/>
                <w:color w:val="000000"/>
                <w:sz w:val="20"/>
                <w:szCs w:val="20"/>
                <w:lang w:eastAsia="en-IE"/>
              </w:rPr>
            </w:pPr>
          </w:p>
        </w:tc>
        <w:tc>
          <w:tcPr>
            <w:tcW w:w="929" w:type="pct"/>
            <w:gridSpan w:val="3"/>
            <w:tcBorders>
              <w:top w:val="nil"/>
              <w:left w:val="nil"/>
              <w:bottom w:val="nil"/>
              <w:right w:val="nil"/>
            </w:tcBorders>
            <w:noWrap/>
            <w:vAlign w:val="bottom"/>
            <w:hideMark/>
          </w:tcPr>
          <w:p w14:paraId="5F4BF028" w14:textId="77777777" w:rsidR="00044D5B" w:rsidRPr="00597673" w:rsidRDefault="00044D5B">
            <w:pPr>
              <w:spacing w:before="0" w:after="0"/>
              <w:jc w:val="left"/>
              <w:rPr>
                <w:sz w:val="20"/>
                <w:szCs w:val="20"/>
                <w:lang w:eastAsia="en-IE"/>
              </w:rPr>
            </w:pPr>
          </w:p>
        </w:tc>
        <w:tc>
          <w:tcPr>
            <w:tcW w:w="224" w:type="pct"/>
            <w:tcBorders>
              <w:top w:val="nil"/>
              <w:left w:val="nil"/>
              <w:bottom w:val="nil"/>
              <w:right w:val="nil"/>
            </w:tcBorders>
            <w:noWrap/>
            <w:vAlign w:val="bottom"/>
            <w:hideMark/>
          </w:tcPr>
          <w:p w14:paraId="7F4904C5" w14:textId="77777777" w:rsidR="00044D5B" w:rsidRPr="00597673" w:rsidRDefault="00044D5B">
            <w:pPr>
              <w:spacing w:before="0" w:after="0"/>
              <w:jc w:val="left"/>
              <w:rPr>
                <w:sz w:val="20"/>
                <w:szCs w:val="20"/>
                <w:lang w:eastAsia="en-IE"/>
              </w:rPr>
            </w:pPr>
          </w:p>
        </w:tc>
        <w:tc>
          <w:tcPr>
            <w:tcW w:w="225" w:type="pct"/>
            <w:tcBorders>
              <w:top w:val="nil"/>
              <w:left w:val="nil"/>
              <w:bottom w:val="nil"/>
              <w:right w:val="nil"/>
            </w:tcBorders>
            <w:noWrap/>
            <w:vAlign w:val="bottom"/>
            <w:hideMark/>
          </w:tcPr>
          <w:p w14:paraId="2F48FC64"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1E0767DD"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1D285377"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2F16CF54" w14:textId="77777777" w:rsidR="00044D5B" w:rsidRPr="00597673"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191C8DDA" w14:textId="77777777" w:rsidR="00044D5B" w:rsidRPr="00597673" w:rsidRDefault="00044D5B">
            <w:pPr>
              <w:spacing w:before="0" w:after="0"/>
              <w:jc w:val="left"/>
              <w:rPr>
                <w:sz w:val="20"/>
                <w:szCs w:val="20"/>
                <w:lang w:eastAsia="en-IE"/>
              </w:rPr>
            </w:pPr>
          </w:p>
        </w:tc>
        <w:tc>
          <w:tcPr>
            <w:tcW w:w="465" w:type="pct"/>
            <w:tcBorders>
              <w:top w:val="nil"/>
              <w:left w:val="nil"/>
              <w:bottom w:val="nil"/>
              <w:right w:val="nil"/>
            </w:tcBorders>
            <w:noWrap/>
            <w:vAlign w:val="bottom"/>
            <w:hideMark/>
          </w:tcPr>
          <w:p w14:paraId="777AB0D8" w14:textId="77777777" w:rsidR="00044D5B" w:rsidRPr="00597673" w:rsidRDefault="00044D5B">
            <w:pPr>
              <w:spacing w:before="0" w:after="0"/>
              <w:jc w:val="left"/>
              <w:rPr>
                <w:sz w:val="20"/>
                <w:szCs w:val="20"/>
                <w:lang w:eastAsia="en-IE"/>
              </w:rPr>
            </w:pPr>
          </w:p>
        </w:tc>
      </w:tr>
      <w:tr w:rsidR="00983E98" w:rsidRPr="00597673" w14:paraId="07083D5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8CE9A55" w14:textId="77777777" w:rsidR="00044D5B" w:rsidRPr="00597673" w:rsidRDefault="00044D5B">
            <w:pPr>
              <w:spacing w:before="0" w:after="0"/>
              <w:jc w:val="center"/>
              <w:rPr>
                <w:b/>
                <w:bCs/>
                <w:color w:val="000000"/>
                <w:sz w:val="22"/>
              </w:rPr>
            </w:pPr>
            <w:r w:rsidRPr="00597673">
              <w:rPr>
                <w:b/>
                <w:color w:val="000000"/>
                <w:sz w:val="22"/>
              </w:rPr>
              <w:t xml:space="preserve">ОБЩО бюджетни кредити по ФУНКЦИЯ 7 от многогодишната финансова рамка </w:t>
            </w:r>
          </w:p>
        </w:tc>
        <w:tc>
          <w:tcPr>
            <w:tcW w:w="449" w:type="pct"/>
            <w:gridSpan w:val="2"/>
            <w:tcBorders>
              <w:top w:val="single" w:sz="8" w:space="0" w:color="auto"/>
              <w:left w:val="nil"/>
              <w:bottom w:val="single" w:sz="8" w:space="0" w:color="auto"/>
              <w:right w:val="single" w:sz="8" w:space="0" w:color="auto"/>
            </w:tcBorders>
            <w:vAlign w:val="center"/>
            <w:hideMark/>
          </w:tcPr>
          <w:p w14:paraId="590395D4" w14:textId="77777777" w:rsidR="00044D5B" w:rsidRPr="00597673" w:rsidRDefault="00044D5B">
            <w:pPr>
              <w:spacing w:before="0" w:after="0"/>
              <w:jc w:val="center"/>
              <w:rPr>
                <w:color w:val="000000"/>
                <w:sz w:val="18"/>
                <w:szCs w:val="18"/>
              </w:rPr>
            </w:pPr>
            <w:r w:rsidRPr="00597673">
              <w:rPr>
                <w:color w:val="000000"/>
                <w:sz w:val="18"/>
              </w:rPr>
              <w:t>(Общо поети задължения = Общо плащания)</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7997D5E1"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50F5203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66E17AA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732C2E7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010063FB"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622541EA" w14:textId="77777777" w:rsidR="00044D5B" w:rsidRPr="00597673" w:rsidRDefault="00044D5B" w:rsidP="00044D5B">
      <w:pPr>
        <w:jc w:val="right"/>
        <w:rPr>
          <w:noProof/>
          <w:sz w:val="20"/>
        </w:rPr>
      </w:pPr>
      <w:r w:rsidRPr="00597673">
        <w:rPr>
          <w:sz w:val="20"/>
        </w:rPr>
        <w:t>млн. евро (до третия знак след десетичната запетая)</w:t>
      </w:r>
    </w:p>
    <w:tbl>
      <w:tblPr>
        <w:tblW w:w="5000" w:type="pct"/>
        <w:tblInd w:w="-118" w:type="dxa"/>
        <w:tblCellMar>
          <w:left w:w="0" w:type="dxa"/>
          <w:right w:w="0" w:type="dxa"/>
        </w:tblCellMar>
        <w:tblLook w:val="04A0" w:firstRow="1" w:lastRow="0" w:firstColumn="1" w:lastColumn="0" w:noHBand="0" w:noVBand="1"/>
      </w:tblPr>
      <w:tblGrid>
        <w:gridCol w:w="5529"/>
        <w:gridCol w:w="2051"/>
        <w:gridCol w:w="1238"/>
        <w:gridCol w:w="1237"/>
        <w:gridCol w:w="1237"/>
        <w:gridCol w:w="1237"/>
        <w:gridCol w:w="1495"/>
      </w:tblGrid>
      <w:tr w:rsidR="00B55C7B" w:rsidRPr="00597673" w14:paraId="068AC6A5" w14:textId="77777777">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4A5E8C28" w14:textId="77777777" w:rsidR="00044D5B" w:rsidRPr="00597673" w:rsidRDefault="00044D5B">
            <w:pPr>
              <w:spacing w:before="0" w:after="0"/>
              <w:jc w:val="center"/>
              <w:rPr>
                <w:color w:val="000000"/>
                <w:szCs w:val="24"/>
              </w:rPr>
            </w:pPr>
            <w:r w:rsidRPr="00597673">
              <w:rPr>
                <w:color w:val="000000"/>
              </w:rPr>
              <w:t xml:space="preserve"> </w:t>
            </w:r>
          </w:p>
        </w:tc>
        <w:tc>
          <w:tcPr>
            <w:tcW w:w="441" w:type="pct"/>
            <w:tcBorders>
              <w:top w:val="single" w:sz="8" w:space="0" w:color="auto"/>
              <w:left w:val="nil"/>
              <w:bottom w:val="nil"/>
              <w:right w:val="single" w:sz="8" w:space="0" w:color="auto"/>
            </w:tcBorders>
            <w:vAlign w:val="center"/>
            <w:hideMark/>
          </w:tcPr>
          <w:p w14:paraId="2833AA1B"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6111A3E6"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7CC9A370"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41" w:type="pct"/>
            <w:tcBorders>
              <w:top w:val="single" w:sz="8" w:space="0" w:color="auto"/>
              <w:left w:val="nil"/>
              <w:bottom w:val="nil"/>
              <w:right w:val="single" w:sz="8" w:space="0" w:color="auto"/>
            </w:tcBorders>
            <w:vAlign w:val="center"/>
            <w:hideMark/>
          </w:tcPr>
          <w:p w14:paraId="5E900DA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33" w:type="pct"/>
            <w:vMerge w:val="restart"/>
            <w:tcBorders>
              <w:top w:val="single" w:sz="8" w:space="0" w:color="auto"/>
              <w:left w:val="single" w:sz="8" w:space="0" w:color="auto"/>
              <w:bottom w:val="single" w:sz="8" w:space="0" w:color="000000"/>
              <w:right w:val="single" w:sz="8" w:space="0" w:color="auto"/>
            </w:tcBorders>
            <w:vAlign w:val="center"/>
            <w:hideMark/>
          </w:tcPr>
          <w:p w14:paraId="576987C7"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66818446" w14:textId="77777777">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14:paraId="14F36A42" w14:textId="77777777" w:rsidR="00044D5B" w:rsidRPr="00597673" w:rsidRDefault="00044D5B">
            <w:pPr>
              <w:spacing w:before="0" w:after="0"/>
              <w:jc w:val="left"/>
              <w:rPr>
                <w:color w:val="000000"/>
                <w:szCs w:val="24"/>
                <w:lang w:eastAsia="en-IE"/>
              </w:rPr>
            </w:pPr>
          </w:p>
        </w:tc>
        <w:tc>
          <w:tcPr>
            <w:tcW w:w="441" w:type="pct"/>
            <w:tcBorders>
              <w:top w:val="nil"/>
              <w:left w:val="nil"/>
              <w:bottom w:val="single" w:sz="8" w:space="0" w:color="auto"/>
              <w:right w:val="single" w:sz="8" w:space="0" w:color="auto"/>
            </w:tcBorders>
            <w:vAlign w:val="center"/>
            <w:hideMark/>
          </w:tcPr>
          <w:p w14:paraId="59400FEF"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41" w:type="pct"/>
            <w:tcBorders>
              <w:top w:val="nil"/>
              <w:left w:val="nil"/>
              <w:bottom w:val="single" w:sz="8" w:space="0" w:color="auto"/>
              <w:right w:val="single" w:sz="8" w:space="0" w:color="auto"/>
            </w:tcBorders>
            <w:vAlign w:val="center"/>
            <w:hideMark/>
          </w:tcPr>
          <w:p w14:paraId="09B0393E"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41" w:type="pct"/>
            <w:tcBorders>
              <w:top w:val="nil"/>
              <w:left w:val="nil"/>
              <w:bottom w:val="single" w:sz="8" w:space="0" w:color="auto"/>
              <w:right w:val="single" w:sz="8" w:space="0" w:color="auto"/>
            </w:tcBorders>
            <w:vAlign w:val="center"/>
            <w:hideMark/>
          </w:tcPr>
          <w:p w14:paraId="4890A4D6"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41" w:type="pct"/>
            <w:tcBorders>
              <w:top w:val="nil"/>
              <w:left w:val="nil"/>
              <w:bottom w:val="single" w:sz="8" w:space="0" w:color="auto"/>
              <w:right w:val="single" w:sz="8" w:space="0" w:color="auto"/>
            </w:tcBorders>
            <w:vAlign w:val="center"/>
            <w:hideMark/>
          </w:tcPr>
          <w:p w14:paraId="7010911D"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469BEA8A" w14:textId="77777777" w:rsidR="00044D5B" w:rsidRPr="00597673" w:rsidRDefault="00044D5B">
            <w:pPr>
              <w:spacing w:before="0" w:after="0"/>
              <w:jc w:val="left"/>
              <w:rPr>
                <w:b/>
                <w:bCs/>
                <w:color w:val="000000"/>
                <w:sz w:val="20"/>
                <w:szCs w:val="20"/>
                <w:lang w:eastAsia="en-IE"/>
              </w:rPr>
            </w:pPr>
          </w:p>
        </w:tc>
      </w:tr>
      <w:tr w:rsidR="00E6355E" w:rsidRPr="00597673" w14:paraId="1835B9AB" w14:textId="77777777">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11BC70F6"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ФУНКЦИИ 1—7</w:t>
            </w:r>
          </w:p>
        </w:tc>
        <w:tc>
          <w:tcPr>
            <w:tcW w:w="731" w:type="pct"/>
            <w:tcBorders>
              <w:top w:val="single" w:sz="8" w:space="0" w:color="auto"/>
              <w:left w:val="nil"/>
              <w:bottom w:val="single" w:sz="8" w:space="0" w:color="auto"/>
              <w:right w:val="single" w:sz="8" w:space="0" w:color="auto"/>
            </w:tcBorders>
            <w:vAlign w:val="center"/>
            <w:hideMark/>
          </w:tcPr>
          <w:p w14:paraId="054646B1"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41" w:type="pct"/>
            <w:tcBorders>
              <w:top w:val="nil"/>
              <w:left w:val="nil"/>
              <w:bottom w:val="single" w:sz="8" w:space="0" w:color="auto"/>
              <w:right w:val="single" w:sz="8" w:space="0" w:color="auto"/>
            </w:tcBorders>
            <w:shd w:val="clear" w:color="000000" w:fill="D9D9D9"/>
            <w:vAlign w:val="center"/>
            <w:hideMark/>
          </w:tcPr>
          <w:p w14:paraId="7412A60D" w14:textId="77777777" w:rsidR="00044D5B" w:rsidRPr="00597673" w:rsidRDefault="00044D5B">
            <w:pPr>
              <w:spacing w:before="0" w:after="0"/>
              <w:jc w:val="right"/>
              <w:rPr>
                <w:b/>
                <w:bCs/>
                <w:color w:val="000000"/>
                <w:szCs w:val="24"/>
              </w:rPr>
            </w:pPr>
            <w:r w:rsidRPr="00597673">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0A7931F1" w14:textId="77777777" w:rsidR="00044D5B" w:rsidRPr="00597673" w:rsidRDefault="00044D5B">
            <w:pPr>
              <w:spacing w:before="0" w:after="0"/>
              <w:jc w:val="right"/>
              <w:rPr>
                <w:b/>
                <w:bCs/>
                <w:color w:val="000000"/>
                <w:szCs w:val="24"/>
              </w:rPr>
            </w:pPr>
            <w:r w:rsidRPr="00597673">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67DAFB5" w14:textId="77777777" w:rsidR="00044D5B" w:rsidRPr="00597673" w:rsidRDefault="00044D5B">
            <w:pPr>
              <w:spacing w:before="0" w:after="0"/>
              <w:jc w:val="right"/>
              <w:rPr>
                <w:b/>
                <w:bCs/>
                <w:color w:val="000000"/>
                <w:szCs w:val="24"/>
              </w:rPr>
            </w:pPr>
            <w:r w:rsidRPr="00597673">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7ECAA5B1" w14:textId="77777777" w:rsidR="00044D5B" w:rsidRPr="00597673" w:rsidRDefault="00044D5B">
            <w:pPr>
              <w:spacing w:before="0" w:after="0"/>
              <w:jc w:val="right"/>
              <w:rPr>
                <w:b/>
                <w:bCs/>
                <w:color w:val="000000"/>
                <w:szCs w:val="24"/>
              </w:rPr>
            </w:pPr>
            <w:r w:rsidRPr="00597673">
              <w:rPr>
                <w:b/>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3F436991" w14:textId="77777777" w:rsidR="00044D5B" w:rsidRPr="00597673" w:rsidRDefault="00044D5B">
            <w:pPr>
              <w:spacing w:before="0" w:after="0"/>
              <w:jc w:val="right"/>
              <w:rPr>
                <w:b/>
                <w:bCs/>
                <w:color w:val="000000"/>
                <w:szCs w:val="24"/>
              </w:rPr>
            </w:pPr>
            <w:r w:rsidRPr="00597673">
              <w:rPr>
                <w:b/>
                <w:color w:val="000000"/>
              </w:rPr>
              <w:t>0,000</w:t>
            </w:r>
          </w:p>
        </w:tc>
      </w:tr>
      <w:tr w:rsidR="00E6355E" w:rsidRPr="00597673" w14:paraId="27F99C0A" w14:textId="77777777">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60208E5D" w14:textId="77777777" w:rsidR="00044D5B" w:rsidRPr="00597673" w:rsidRDefault="00044D5B">
            <w:pPr>
              <w:spacing w:before="0" w:after="0"/>
              <w:jc w:val="center"/>
              <w:rPr>
                <w:color w:val="000000"/>
                <w:sz w:val="22"/>
              </w:rPr>
            </w:pPr>
            <w:r w:rsidRPr="00597673">
              <w:rPr>
                <w:color w:val="000000"/>
                <w:sz w:val="22"/>
              </w:rPr>
              <w:t>от многогодишната финансова рамка</w:t>
            </w:r>
            <w:r w:rsidRPr="00597673">
              <w:rPr>
                <w:b/>
                <w:color w:val="000000"/>
                <w:sz w:val="22"/>
              </w:rPr>
              <w:t xml:space="preserve"> </w:t>
            </w:r>
          </w:p>
        </w:tc>
        <w:tc>
          <w:tcPr>
            <w:tcW w:w="731" w:type="pct"/>
            <w:tcBorders>
              <w:top w:val="single" w:sz="8" w:space="0" w:color="auto"/>
              <w:left w:val="nil"/>
              <w:bottom w:val="single" w:sz="8" w:space="0" w:color="auto"/>
              <w:right w:val="single" w:sz="8" w:space="0" w:color="auto"/>
            </w:tcBorders>
            <w:vAlign w:val="center"/>
            <w:hideMark/>
          </w:tcPr>
          <w:p w14:paraId="5C027D4B" w14:textId="77777777" w:rsidR="00044D5B" w:rsidRPr="00597673" w:rsidRDefault="00044D5B">
            <w:pPr>
              <w:spacing w:before="0" w:after="0"/>
              <w:rPr>
                <w:color w:val="000000"/>
                <w:sz w:val="18"/>
                <w:szCs w:val="18"/>
              </w:rPr>
            </w:pPr>
            <w:r w:rsidRPr="00597673">
              <w:rPr>
                <w:color w:val="000000"/>
                <w:sz w:val="18"/>
              </w:rPr>
              <w:t>Плащания</w:t>
            </w:r>
          </w:p>
        </w:tc>
        <w:tc>
          <w:tcPr>
            <w:tcW w:w="441" w:type="pct"/>
            <w:tcBorders>
              <w:top w:val="nil"/>
              <w:left w:val="nil"/>
              <w:bottom w:val="single" w:sz="8" w:space="0" w:color="auto"/>
              <w:right w:val="single" w:sz="8" w:space="0" w:color="auto"/>
            </w:tcBorders>
            <w:shd w:val="clear" w:color="000000" w:fill="D9D9D9"/>
            <w:vAlign w:val="center"/>
            <w:hideMark/>
          </w:tcPr>
          <w:p w14:paraId="668D9B95" w14:textId="77777777" w:rsidR="00044D5B" w:rsidRPr="00597673" w:rsidRDefault="00044D5B">
            <w:pPr>
              <w:spacing w:before="0" w:after="0"/>
              <w:jc w:val="right"/>
              <w:rPr>
                <w:b/>
                <w:bCs/>
                <w:color w:val="000000"/>
                <w:szCs w:val="24"/>
              </w:rPr>
            </w:pPr>
            <w:r w:rsidRPr="00597673">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1968E33" w14:textId="77777777" w:rsidR="00044D5B" w:rsidRPr="00597673" w:rsidRDefault="00044D5B">
            <w:pPr>
              <w:spacing w:before="0" w:after="0"/>
              <w:jc w:val="right"/>
              <w:rPr>
                <w:b/>
                <w:bCs/>
                <w:color w:val="000000"/>
                <w:szCs w:val="24"/>
              </w:rPr>
            </w:pPr>
            <w:r w:rsidRPr="00597673">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7DA2A05" w14:textId="77777777" w:rsidR="00044D5B" w:rsidRPr="00597673" w:rsidRDefault="00044D5B">
            <w:pPr>
              <w:spacing w:before="0" w:after="0"/>
              <w:jc w:val="right"/>
              <w:rPr>
                <w:b/>
                <w:bCs/>
                <w:color w:val="000000"/>
                <w:szCs w:val="24"/>
              </w:rPr>
            </w:pPr>
            <w:r w:rsidRPr="00597673">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378AE672" w14:textId="77777777" w:rsidR="00044D5B" w:rsidRPr="00597673" w:rsidRDefault="00044D5B">
            <w:pPr>
              <w:spacing w:before="0" w:after="0"/>
              <w:jc w:val="right"/>
              <w:rPr>
                <w:b/>
                <w:bCs/>
                <w:color w:val="000000"/>
                <w:szCs w:val="24"/>
              </w:rPr>
            </w:pPr>
            <w:r w:rsidRPr="00597673">
              <w:rPr>
                <w:b/>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66B77B14" w14:textId="77777777" w:rsidR="00044D5B" w:rsidRPr="00597673" w:rsidRDefault="00044D5B">
            <w:pPr>
              <w:spacing w:before="0" w:after="0"/>
              <w:jc w:val="right"/>
              <w:rPr>
                <w:b/>
                <w:bCs/>
                <w:color w:val="000000"/>
                <w:szCs w:val="24"/>
              </w:rPr>
            </w:pPr>
            <w:r w:rsidRPr="00597673">
              <w:rPr>
                <w:b/>
                <w:color w:val="000000"/>
              </w:rPr>
              <w:t>0,000</w:t>
            </w:r>
          </w:p>
        </w:tc>
      </w:tr>
    </w:tbl>
    <w:p w14:paraId="2DE3E315" w14:textId="77777777" w:rsidR="00044D5B" w:rsidRPr="00597673" w:rsidRDefault="00044D5B" w:rsidP="00044D5B">
      <w:pPr>
        <w:pStyle w:val="ManualHeading3"/>
      </w:pPr>
      <w:r w:rsidRPr="00597673">
        <w:t>3.2.1.2.</w:t>
      </w:r>
      <w:r w:rsidRPr="00597673">
        <w:tab/>
        <w:t>Бюджетни кредити от външни целеви приходи</w:t>
      </w:r>
    </w:p>
    <w:p w14:paraId="1A8B5FFE" w14:textId="77777777" w:rsidR="00044D5B" w:rsidRPr="00597673" w:rsidRDefault="00044D5B" w:rsidP="00044D5B">
      <w:pPr>
        <w:jc w:val="right"/>
        <w:rPr>
          <w:noProof/>
          <w:sz w:val="18"/>
          <w:szCs w:val="18"/>
        </w:rPr>
      </w:pPr>
      <w:r w:rsidRPr="00597673">
        <w:rPr>
          <w:sz w:val="18"/>
        </w:rPr>
        <w:t>млн. евро (до третия знак след десетичната запетая)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470A36" w:rsidRPr="00597673" w14:paraId="6F60CBD6" w14:textId="77777777">
        <w:trPr>
          <w:jc w:val="center"/>
        </w:trPr>
        <w:tc>
          <w:tcPr>
            <w:tcW w:w="1739" w:type="pct"/>
            <w:shd w:val="thinDiagStripe" w:color="C0C0C0" w:fill="auto"/>
            <w:vAlign w:val="center"/>
          </w:tcPr>
          <w:p w14:paraId="6FEE5210" w14:textId="77777777" w:rsidR="00044D5B" w:rsidRPr="00597673" w:rsidRDefault="00044D5B">
            <w:pPr>
              <w:spacing w:before="60" w:after="60"/>
              <w:jc w:val="center"/>
              <w:rPr>
                <w:b/>
                <w:noProof/>
              </w:rPr>
            </w:pPr>
            <w:r w:rsidRPr="00597673">
              <w:rPr>
                <w:b/>
                <w:sz w:val="22"/>
              </w:rPr>
              <w:t xml:space="preserve">Функция от многогодишната финансова рамка </w:t>
            </w:r>
          </w:p>
        </w:tc>
        <w:tc>
          <w:tcPr>
            <w:tcW w:w="396" w:type="pct"/>
            <w:vAlign w:val="center"/>
          </w:tcPr>
          <w:p w14:paraId="24CF11E5" w14:textId="77777777" w:rsidR="00044D5B" w:rsidRPr="00597673" w:rsidRDefault="00044D5B">
            <w:pPr>
              <w:spacing w:before="60" w:after="60"/>
              <w:jc w:val="center"/>
              <w:rPr>
                <w:noProof/>
              </w:rPr>
            </w:pPr>
            <w:r w:rsidRPr="00597673">
              <w:rPr>
                <w:sz w:val="22"/>
              </w:rPr>
              <w:t>Номер</w:t>
            </w:r>
          </w:p>
        </w:tc>
        <w:tc>
          <w:tcPr>
            <w:tcW w:w="2865" w:type="pct"/>
            <w:vAlign w:val="center"/>
          </w:tcPr>
          <w:p w14:paraId="36EE4F31" w14:textId="77777777" w:rsidR="00044D5B" w:rsidRPr="00597673" w:rsidRDefault="00044D5B">
            <w:pPr>
              <w:spacing w:before="60" w:after="60"/>
              <w:rPr>
                <w:noProof/>
              </w:rPr>
            </w:pPr>
          </w:p>
        </w:tc>
      </w:tr>
    </w:tbl>
    <w:p w14:paraId="6F78C40E" w14:textId="77777777" w:rsidR="00044D5B" w:rsidRPr="00597673" w:rsidRDefault="00044D5B" w:rsidP="00044D5B">
      <w:pPr>
        <w:rPr>
          <w:noProof/>
          <w:sz w:val="16"/>
        </w:rPr>
      </w:pPr>
    </w:p>
    <w:tbl>
      <w:tblPr>
        <w:tblW w:w="5000" w:type="pct"/>
        <w:tblInd w:w="-118" w:type="dxa"/>
        <w:tblCellMar>
          <w:left w:w="0" w:type="dxa"/>
          <w:right w:w="0" w:type="dxa"/>
        </w:tblCellMar>
        <w:tblLook w:val="04A0" w:firstRow="1" w:lastRow="0" w:firstColumn="1" w:lastColumn="0" w:noHBand="0" w:noVBand="1"/>
      </w:tblPr>
      <w:tblGrid>
        <w:gridCol w:w="4795"/>
        <w:gridCol w:w="479"/>
        <w:gridCol w:w="468"/>
        <w:gridCol w:w="785"/>
        <w:gridCol w:w="45"/>
        <w:gridCol w:w="1274"/>
        <w:gridCol w:w="1309"/>
        <w:gridCol w:w="1309"/>
        <w:gridCol w:w="1309"/>
        <w:gridCol w:w="1309"/>
        <w:gridCol w:w="471"/>
        <w:gridCol w:w="471"/>
      </w:tblGrid>
      <w:tr w:rsidR="00470A36" w:rsidRPr="00597673" w14:paraId="5746EA8C" w14:textId="77777777">
        <w:trPr>
          <w:trHeight w:val="420"/>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07063BE9" w14:textId="77777777" w:rsidR="00044D5B" w:rsidRPr="00597673" w:rsidRDefault="00044D5B">
            <w:pPr>
              <w:spacing w:before="0" w:after="0"/>
              <w:jc w:val="center"/>
              <w:rPr>
                <w:color w:val="000000"/>
                <w:sz w:val="22"/>
              </w:rPr>
            </w:pPr>
            <w:r w:rsidRPr="00597673">
              <w:rPr>
                <w:color w:val="000000"/>
                <w:sz w:val="22"/>
              </w:rPr>
              <w:t>ГД: &lt;…….&gt;</w:t>
            </w:r>
          </w:p>
        </w:tc>
        <w:tc>
          <w:tcPr>
            <w:tcW w:w="496" w:type="pct"/>
            <w:gridSpan w:val="2"/>
            <w:tcBorders>
              <w:top w:val="single" w:sz="8" w:space="0" w:color="auto"/>
              <w:left w:val="nil"/>
              <w:bottom w:val="single" w:sz="8" w:space="0" w:color="auto"/>
              <w:right w:val="single" w:sz="8" w:space="0" w:color="auto"/>
            </w:tcBorders>
            <w:vAlign w:val="center"/>
            <w:hideMark/>
          </w:tcPr>
          <w:p w14:paraId="1534FFA3"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tcBorders>
              <w:top w:val="single" w:sz="8" w:space="0" w:color="auto"/>
              <w:left w:val="nil"/>
              <w:bottom w:val="single" w:sz="8" w:space="0" w:color="auto"/>
              <w:right w:val="single" w:sz="8" w:space="0" w:color="auto"/>
            </w:tcBorders>
            <w:vAlign w:val="center"/>
            <w:hideMark/>
          </w:tcPr>
          <w:p w14:paraId="2D3FC737"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tcBorders>
              <w:top w:val="single" w:sz="8" w:space="0" w:color="auto"/>
              <w:left w:val="nil"/>
              <w:bottom w:val="single" w:sz="8" w:space="0" w:color="auto"/>
              <w:right w:val="single" w:sz="8" w:space="0" w:color="auto"/>
            </w:tcBorders>
            <w:vAlign w:val="center"/>
            <w:hideMark/>
          </w:tcPr>
          <w:p w14:paraId="02CA48E6"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78" w:type="pct"/>
            <w:tcBorders>
              <w:top w:val="single" w:sz="8" w:space="0" w:color="auto"/>
              <w:left w:val="nil"/>
              <w:bottom w:val="single" w:sz="8" w:space="0" w:color="auto"/>
              <w:right w:val="single" w:sz="8" w:space="0" w:color="auto"/>
            </w:tcBorders>
            <w:vAlign w:val="center"/>
            <w:hideMark/>
          </w:tcPr>
          <w:p w14:paraId="255B50B6"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3B340F97"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7721DCA4" w14:textId="77777777">
        <w:trPr>
          <w:trHeight w:val="288"/>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56A0DCC4" w14:textId="77777777" w:rsidR="00044D5B" w:rsidRPr="00597673"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74423839"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6" w:type="pct"/>
            <w:tcBorders>
              <w:top w:val="nil"/>
              <w:left w:val="nil"/>
              <w:bottom w:val="single" w:sz="8" w:space="0" w:color="auto"/>
              <w:right w:val="single" w:sz="8" w:space="0" w:color="auto"/>
            </w:tcBorders>
            <w:vAlign w:val="center"/>
            <w:hideMark/>
          </w:tcPr>
          <w:p w14:paraId="2B73C790"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6" w:type="pct"/>
            <w:tcBorders>
              <w:top w:val="nil"/>
              <w:left w:val="nil"/>
              <w:bottom w:val="single" w:sz="8" w:space="0" w:color="auto"/>
              <w:right w:val="single" w:sz="8" w:space="0" w:color="auto"/>
            </w:tcBorders>
            <w:vAlign w:val="center"/>
            <w:hideMark/>
          </w:tcPr>
          <w:p w14:paraId="13BBA5AC"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78" w:type="pct"/>
            <w:tcBorders>
              <w:top w:val="nil"/>
              <w:left w:val="nil"/>
              <w:bottom w:val="single" w:sz="8" w:space="0" w:color="auto"/>
              <w:right w:val="single" w:sz="8" w:space="0" w:color="auto"/>
            </w:tcBorders>
            <w:vAlign w:val="center"/>
            <w:hideMark/>
          </w:tcPr>
          <w:p w14:paraId="20CF8077"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53802BEC" w14:textId="77777777" w:rsidR="00044D5B" w:rsidRPr="00597673" w:rsidRDefault="00044D5B">
            <w:pPr>
              <w:spacing w:before="0" w:after="0"/>
              <w:jc w:val="left"/>
              <w:rPr>
                <w:b/>
                <w:bCs/>
                <w:color w:val="000000"/>
                <w:sz w:val="20"/>
                <w:szCs w:val="20"/>
                <w:lang w:eastAsia="en-IE"/>
              </w:rPr>
            </w:pPr>
          </w:p>
        </w:tc>
      </w:tr>
      <w:tr w:rsidR="0014428F" w:rsidRPr="00597673" w14:paraId="35C50E83" w14:textId="77777777">
        <w:trPr>
          <w:trHeight w:val="300"/>
        </w:trPr>
        <w:tc>
          <w:tcPr>
            <w:tcW w:w="5000" w:type="pct"/>
            <w:gridSpan w:val="12"/>
            <w:tcBorders>
              <w:top w:val="single" w:sz="8" w:space="0" w:color="auto"/>
              <w:left w:val="single" w:sz="8" w:space="0" w:color="auto"/>
              <w:bottom w:val="single" w:sz="8" w:space="0" w:color="auto"/>
              <w:right w:val="single" w:sz="8" w:space="0" w:color="auto"/>
            </w:tcBorders>
            <w:vAlign w:val="center"/>
            <w:hideMark/>
          </w:tcPr>
          <w:p w14:paraId="691A6C99" w14:textId="77777777" w:rsidR="00044D5B" w:rsidRPr="00597673" w:rsidRDefault="00044D5B">
            <w:pPr>
              <w:spacing w:before="0" w:after="0"/>
              <w:jc w:val="left"/>
              <w:rPr>
                <w:color w:val="000000"/>
                <w:sz w:val="21"/>
                <w:szCs w:val="21"/>
              </w:rPr>
            </w:pPr>
            <w:r w:rsidRPr="00597673">
              <w:rPr>
                <w:color w:val="000000"/>
                <w:sz w:val="21"/>
              </w:rPr>
              <w:t xml:space="preserve">Бюджетни кредити за оперативни разходи </w:t>
            </w:r>
          </w:p>
        </w:tc>
      </w:tr>
      <w:tr w:rsidR="00E62D64" w:rsidRPr="00597673" w14:paraId="5558A09B" w14:textId="77777777">
        <w:trPr>
          <w:trHeight w:val="288"/>
        </w:trPr>
        <w:tc>
          <w:tcPr>
            <w:tcW w:w="1419" w:type="pct"/>
            <w:gridSpan w:val="4"/>
            <w:vMerge w:val="restart"/>
            <w:tcBorders>
              <w:top w:val="nil"/>
              <w:left w:val="single" w:sz="8" w:space="0" w:color="auto"/>
              <w:bottom w:val="single" w:sz="8" w:space="0" w:color="auto"/>
              <w:right w:val="single" w:sz="8" w:space="0" w:color="auto"/>
            </w:tcBorders>
            <w:noWrap/>
            <w:vAlign w:val="center"/>
            <w:hideMark/>
          </w:tcPr>
          <w:p w14:paraId="63CA84C4" w14:textId="77777777" w:rsidR="00044D5B" w:rsidRPr="00597673" w:rsidRDefault="00044D5B">
            <w:pPr>
              <w:spacing w:before="0" w:after="0"/>
              <w:jc w:val="left"/>
              <w:rPr>
                <w:color w:val="000000"/>
                <w:sz w:val="22"/>
              </w:rPr>
            </w:pPr>
            <w:r w:rsidRPr="00597673">
              <w:rPr>
                <w:color w:val="000000"/>
                <w:sz w:val="22"/>
              </w:rPr>
              <w:t>Бюджетен ред</w:t>
            </w:r>
          </w:p>
        </w:tc>
        <w:tc>
          <w:tcPr>
            <w:tcW w:w="529" w:type="pct"/>
            <w:gridSpan w:val="2"/>
            <w:tcBorders>
              <w:top w:val="nil"/>
              <w:left w:val="nil"/>
              <w:bottom w:val="single" w:sz="8" w:space="0" w:color="auto"/>
              <w:right w:val="single" w:sz="8" w:space="0" w:color="auto"/>
            </w:tcBorders>
            <w:vAlign w:val="center"/>
            <w:hideMark/>
          </w:tcPr>
          <w:p w14:paraId="6B54307D"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17D50AB9" w14:textId="77777777" w:rsidR="00044D5B" w:rsidRPr="00597673" w:rsidRDefault="00044D5B">
            <w:pPr>
              <w:spacing w:before="0" w:after="0"/>
              <w:jc w:val="center"/>
              <w:rPr>
                <w:color w:val="000000"/>
                <w:sz w:val="14"/>
                <w:szCs w:val="14"/>
              </w:rPr>
            </w:pPr>
            <w:r w:rsidRPr="00597673">
              <w:rPr>
                <w:color w:val="000000"/>
                <w:sz w:val="14"/>
              </w:rPr>
              <w:t>(1а)</w:t>
            </w:r>
          </w:p>
        </w:tc>
        <w:tc>
          <w:tcPr>
            <w:tcW w:w="496" w:type="pct"/>
            <w:tcBorders>
              <w:top w:val="nil"/>
              <w:left w:val="nil"/>
              <w:bottom w:val="single" w:sz="8" w:space="0" w:color="auto"/>
              <w:right w:val="single" w:sz="8" w:space="0" w:color="auto"/>
            </w:tcBorders>
            <w:vAlign w:val="center"/>
            <w:hideMark/>
          </w:tcPr>
          <w:p w14:paraId="6309107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6DCA1E2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DF334A6"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7637C1F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5418C55F"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20E35894"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44164502" w14:textId="77777777" w:rsidR="00044D5B" w:rsidRPr="00597673"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25622A61"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42009E1C" w14:textId="77777777" w:rsidR="00044D5B" w:rsidRPr="00597673" w:rsidRDefault="00044D5B">
            <w:pPr>
              <w:spacing w:before="0" w:after="0"/>
              <w:jc w:val="center"/>
              <w:rPr>
                <w:color w:val="000000"/>
                <w:sz w:val="14"/>
                <w:szCs w:val="14"/>
              </w:rPr>
            </w:pPr>
            <w:r w:rsidRPr="00597673">
              <w:rPr>
                <w:color w:val="000000"/>
                <w:sz w:val="14"/>
              </w:rPr>
              <w:t>(2а)</w:t>
            </w:r>
          </w:p>
        </w:tc>
        <w:tc>
          <w:tcPr>
            <w:tcW w:w="496" w:type="pct"/>
            <w:tcBorders>
              <w:top w:val="nil"/>
              <w:left w:val="nil"/>
              <w:bottom w:val="single" w:sz="8" w:space="0" w:color="auto"/>
              <w:right w:val="single" w:sz="8" w:space="0" w:color="auto"/>
            </w:tcBorders>
            <w:vAlign w:val="center"/>
            <w:hideMark/>
          </w:tcPr>
          <w:p w14:paraId="2CBE6DF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208D75BF"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6DEAF22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957E2B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BA12A5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37A75C8D" w14:textId="77777777">
        <w:trPr>
          <w:trHeight w:val="315"/>
        </w:trPr>
        <w:tc>
          <w:tcPr>
            <w:tcW w:w="1419" w:type="pct"/>
            <w:gridSpan w:val="4"/>
            <w:vMerge w:val="restart"/>
            <w:tcBorders>
              <w:top w:val="nil"/>
              <w:left w:val="single" w:sz="8" w:space="0" w:color="auto"/>
              <w:bottom w:val="single" w:sz="8" w:space="0" w:color="auto"/>
              <w:right w:val="single" w:sz="8" w:space="0" w:color="auto"/>
            </w:tcBorders>
            <w:vAlign w:val="center"/>
            <w:hideMark/>
          </w:tcPr>
          <w:p w14:paraId="4CC9E621"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788E5AF3"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084409C0" w14:textId="77777777" w:rsidR="00044D5B" w:rsidRPr="00597673" w:rsidRDefault="00044D5B">
            <w:pPr>
              <w:spacing w:before="0" w:after="0"/>
              <w:jc w:val="center"/>
              <w:rPr>
                <w:color w:val="000000"/>
                <w:sz w:val="14"/>
                <w:szCs w:val="14"/>
              </w:rPr>
            </w:pPr>
            <w:r w:rsidRPr="00597673">
              <w:rPr>
                <w:color w:val="000000"/>
                <w:sz w:val="14"/>
              </w:rPr>
              <w:t>(1б)</w:t>
            </w:r>
          </w:p>
        </w:tc>
        <w:tc>
          <w:tcPr>
            <w:tcW w:w="496" w:type="pct"/>
            <w:tcBorders>
              <w:top w:val="nil"/>
              <w:left w:val="nil"/>
              <w:bottom w:val="single" w:sz="8" w:space="0" w:color="auto"/>
              <w:right w:val="single" w:sz="8" w:space="0" w:color="auto"/>
            </w:tcBorders>
            <w:vAlign w:val="center"/>
            <w:hideMark/>
          </w:tcPr>
          <w:p w14:paraId="3536CCC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25A2FA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28E2F93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67F0A1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72B227A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22491912"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2A9659E0" w14:textId="77777777" w:rsidR="00044D5B" w:rsidRPr="00597673"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6502B93E"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34897BAE" w14:textId="77777777" w:rsidR="00044D5B" w:rsidRPr="00597673" w:rsidRDefault="00044D5B">
            <w:pPr>
              <w:spacing w:before="0" w:after="0"/>
              <w:jc w:val="center"/>
              <w:rPr>
                <w:color w:val="000000"/>
                <w:sz w:val="14"/>
                <w:szCs w:val="14"/>
              </w:rPr>
            </w:pPr>
            <w:r w:rsidRPr="00597673">
              <w:rPr>
                <w:color w:val="000000"/>
                <w:sz w:val="14"/>
              </w:rPr>
              <w:t>(2б)</w:t>
            </w:r>
          </w:p>
        </w:tc>
        <w:tc>
          <w:tcPr>
            <w:tcW w:w="496" w:type="pct"/>
            <w:tcBorders>
              <w:top w:val="nil"/>
              <w:left w:val="nil"/>
              <w:bottom w:val="single" w:sz="8" w:space="0" w:color="auto"/>
              <w:right w:val="single" w:sz="8" w:space="0" w:color="auto"/>
            </w:tcBorders>
            <w:vAlign w:val="center"/>
            <w:hideMark/>
          </w:tcPr>
          <w:p w14:paraId="195A9B3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401D1D1"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4DB1F4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54BFDA0"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F4DAF41"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14428F" w:rsidRPr="00597673" w14:paraId="465A8F51" w14:textId="77777777">
        <w:trPr>
          <w:trHeight w:val="288"/>
        </w:trPr>
        <w:tc>
          <w:tcPr>
            <w:tcW w:w="5000" w:type="pct"/>
            <w:gridSpan w:val="12"/>
            <w:tcBorders>
              <w:top w:val="single" w:sz="8" w:space="0" w:color="auto"/>
              <w:left w:val="single" w:sz="8" w:space="0" w:color="auto"/>
              <w:bottom w:val="single" w:sz="8" w:space="0" w:color="auto"/>
              <w:right w:val="single" w:sz="8" w:space="0" w:color="auto"/>
            </w:tcBorders>
            <w:noWrap/>
            <w:vAlign w:val="bottom"/>
            <w:hideMark/>
          </w:tcPr>
          <w:p w14:paraId="695393D0"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7ACEC6BA" w14:textId="77777777">
        <w:trPr>
          <w:trHeight w:val="288"/>
        </w:trPr>
        <w:tc>
          <w:tcPr>
            <w:tcW w:w="1419" w:type="pct"/>
            <w:gridSpan w:val="4"/>
            <w:tcBorders>
              <w:top w:val="nil"/>
              <w:left w:val="single" w:sz="8" w:space="0" w:color="auto"/>
              <w:bottom w:val="single" w:sz="8" w:space="0" w:color="auto"/>
              <w:right w:val="single" w:sz="8" w:space="0" w:color="auto"/>
            </w:tcBorders>
            <w:vAlign w:val="center"/>
            <w:hideMark/>
          </w:tcPr>
          <w:p w14:paraId="1B3900D4"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74E175CB"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0870D01B" w14:textId="77777777" w:rsidR="00044D5B" w:rsidRPr="00597673" w:rsidRDefault="00044D5B">
            <w:pPr>
              <w:spacing w:before="0" w:after="0"/>
              <w:jc w:val="center"/>
              <w:rPr>
                <w:color w:val="000000"/>
                <w:sz w:val="14"/>
                <w:szCs w:val="14"/>
              </w:rPr>
            </w:pPr>
            <w:r w:rsidRPr="00597673">
              <w:rPr>
                <w:color w:val="000000"/>
                <w:sz w:val="14"/>
              </w:rPr>
              <w:t>(3)</w:t>
            </w:r>
          </w:p>
        </w:tc>
        <w:tc>
          <w:tcPr>
            <w:tcW w:w="496" w:type="pct"/>
            <w:tcBorders>
              <w:top w:val="nil"/>
              <w:left w:val="nil"/>
              <w:bottom w:val="single" w:sz="8" w:space="0" w:color="auto"/>
              <w:right w:val="single" w:sz="8" w:space="0" w:color="auto"/>
            </w:tcBorders>
            <w:vAlign w:val="center"/>
            <w:hideMark/>
          </w:tcPr>
          <w:p w14:paraId="6AEC49E3"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tcBorders>
              <w:top w:val="nil"/>
              <w:left w:val="nil"/>
              <w:bottom w:val="single" w:sz="8" w:space="0" w:color="auto"/>
              <w:right w:val="single" w:sz="8" w:space="0" w:color="auto"/>
            </w:tcBorders>
            <w:vAlign w:val="center"/>
            <w:hideMark/>
          </w:tcPr>
          <w:p w14:paraId="05DB7E82"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tcBorders>
              <w:top w:val="nil"/>
              <w:left w:val="nil"/>
              <w:bottom w:val="single" w:sz="8" w:space="0" w:color="auto"/>
              <w:right w:val="single" w:sz="8" w:space="0" w:color="auto"/>
            </w:tcBorders>
            <w:vAlign w:val="center"/>
            <w:hideMark/>
          </w:tcPr>
          <w:p w14:paraId="5090EA36"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276012B"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417A98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3B2B6DA" w14:textId="77777777">
        <w:trPr>
          <w:trHeight w:val="288"/>
        </w:trPr>
        <w:tc>
          <w:tcPr>
            <w:tcW w:w="1419" w:type="pct"/>
            <w:gridSpan w:val="4"/>
            <w:vMerge w:val="restart"/>
            <w:tcBorders>
              <w:top w:val="nil"/>
              <w:left w:val="single" w:sz="8" w:space="0" w:color="auto"/>
              <w:right w:val="single" w:sz="8" w:space="0" w:color="auto"/>
            </w:tcBorders>
            <w:vAlign w:val="center"/>
            <w:hideMark/>
          </w:tcPr>
          <w:p w14:paraId="69AAB9FD"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p w14:paraId="55AE18D1"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12FAF813"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410BA4D4" w14:textId="77777777" w:rsidR="00044D5B" w:rsidRPr="00597673" w:rsidRDefault="00044D5B">
            <w:pPr>
              <w:spacing w:before="0" w:after="0"/>
              <w:jc w:val="center"/>
              <w:rPr>
                <w:color w:val="000000"/>
                <w:sz w:val="14"/>
                <w:szCs w:val="14"/>
              </w:rPr>
            </w:pPr>
            <w:r w:rsidRPr="00597673">
              <w:rPr>
                <w:color w:val="000000"/>
                <w:sz w:val="14"/>
              </w:rPr>
              <w:t>=1a+1b+3</w:t>
            </w:r>
          </w:p>
        </w:tc>
        <w:tc>
          <w:tcPr>
            <w:tcW w:w="496" w:type="pct"/>
            <w:tcBorders>
              <w:top w:val="nil"/>
              <w:left w:val="nil"/>
              <w:bottom w:val="single" w:sz="8" w:space="0" w:color="auto"/>
              <w:right w:val="single" w:sz="8" w:space="0" w:color="auto"/>
            </w:tcBorders>
            <w:shd w:val="clear" w:color="000000" w:fill="D9D9D9"/>
            <w:vAlign w:val="center"/>
            <w:hideMark/>
          </w:tcPr>
          <w:p w14:paraId="76BF2E22"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1F59B561"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4F901AC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666074F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1D745A23"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5A7A7AFA" w14:textId="77777777">
        <w:trPr>
          <w:trHeight w:val="288"/>
        </w:trPr>
        <w:tc>
          <w:tcPr>
            <w:tcW w:w="1419" w:type="pct"/>
            <w:gridSpan w:val="4"/>
            <w:vMerge/>
            <w:tcBorders>
              <w:left w:val="single" w:sz="8" w:space="0" w:color="auto"/>
              <w:bottom w:val="single" w:sz="8" w:space="0" w:color="auto"/>
              <w:right w:val="single" w:sz="8" w:space="0" w:color="auto"/>
            </w:tcBorders>
            <w:vAlign w:val="center"/>
            <w:hideMark/>
          </w:tcPr>
          <w:p w14:paraId="4A1D7D45" w14:textId="77777777" w:rsidR="00044D5B" w:rsidRPr="00597673"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685BA31F"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1E8DBB0C" w14:textId="77777777" w:rsidR="00044D5B" w:rsidRPr="00597673" w:rsidRDefault="00044D5B">
            <w:pPr>
              <w:spacing w:before="0" w:after="0"/>
              <w:jc w:val="center"/>
              <w:rPr>
                <w:color w:val="000000"/>
                <w:sz w:val="14"/>
                <w:szCs w:val="14"/>
              </w:rPr>
            </w:pPr>
            <w:r w:rsidRPr="00597673">
              <w:rPr>
                <w:color w:val="000000"/>
                <w:sz w:val="14"/>
              </w:rPr>
              <w:t>=2а+2б+3</w:t>
            </w:r>
          </w:p>
        </w:tc>
        <w:tc>
          <w:tcPr>
            <w:tcW w:w="496" w:type="pct"/>
            <w:tcBorders>
              <w:top w:val="nil"/>
              <w:left w:val="nil"/>
              <w:bottom w:val="single" w:sz="8" w:space="0" w:color="auto"/>
              <w:right w:val="single" w:sz="8" w:space="0" w:color="auto"/>
            </w:tcBorders>
            <w:shd w:val="clear" w:color="000000" w:fill="D9D9D9"/>
            <w:vAlign w:val="center"/>
            <w:hideMark/>
          </w:tcPr>
          <w:p w14:paraId="3E4D8C9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40170612"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4E50C77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0C01F64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4251E2E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470A36" w:rsidRPr="00597673" w14:paraId="7C401CC2" w14:textId="77777777">
        <w:trPr>
          <w:trHeight w:val="420"/>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73CD796E" w14:textId="77777777" w:rsidR="00044D5B" w:rsidRPr="00597673" w:rsidRDefault="00044D5B">
            <w:pPr>
              <w:spacing w:before="0" w:after="0"/>
              <w:jc w:val="center"/>
              <w:rPr>
                <w:color w:val="000000"/>
                <w:sz w:val="22"/>
              </w:rPr>
            </w:pPr>
            <w:r w:rsidRPr="00597673">
              <w:rPr>
                <w:color w:val="000000"/>
                <w:sz w:val="22"/>
              </w:rPr>
              <w:t>ГД: &lt;…….&gt;</w:t>
            </w:r>
          </w:p>
        </w:tc>
        <w:tc>
          <w:tcPr>
            <w:tcW w:w="496" w:type="pct"/>
            <w:gridSpan w:val="2"/>
            <w:tcBorders>
              <w:top w:val="single" w:sz="8" w:space="0" w:color="auto"/>
              <w:left w:val="nil"/>
              <w:bottom w:val="single" w:sz="8" w:space="0" w:color="auto"/>
              <w:right w:val="single" w:sz="8" w:space="0" w:color="auto"/>
            </w:tcBorders>
            <w:vAlign w:val="center"/>
            <w:hideMark/>
          </w:tcPr>
          <w:p w14:paraId="2CB866C0"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tcBorders>
              <w:top w:val="single" w:sz="8" w:space="0" w:color="auto"/>
              <w:left w:val="nil"/>
              <w:bottom w:val="single" w:sz="8" w:space="0" w:color="auto"/>
              <w:right w:val="single" w:sz="8" w:space="0" w:color="auto"/>
            </w:tcBorders>
            <w:vAlign w:val="center"/>
            <w:hideMark/>
          </w:tcPr>
          <w:p w14:paraId="394A9BE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tcBorders>
              <w:top w:val="single" w:sz="8" w:space="0" w:color="auto"/>
              <w:left w:val="nil"/>
              <w:bottom w:val="single" w:sz="8" w:space="0" w:color="auto"/>
              <w:right w:val="single" w:sz="8" w:space="0" w:color="auto"/>
            </w:tcBorders>
            <w:vAlign w:val="center"/>
            <w:hideMark/>
          </w:tcPr>
          <w:p w14:paraId="7E4BEA0B"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78" w:type="pct"/>
            <w:tcBorders>
              <w:top w:val="single" w:sz="8" w:space="0" w:color="auto"/>
              <w:left w:val="nil"/>
              <w:bottom w:val="single" w:sz="8" w:space="0" w:color="auto"/>
              <w:right w:val="single" w:sz="8" w:space="0" w:color="auto"/>
            </w:tcBorders>
            <w:vAlign w:val="center"/>
            <w:hideMark/>
          </w:tcPr>
          <w:p w14:paraId="415EB53C"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695BA7C5"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30E32A47" w14:textId="77777777">
        <w:trPr>
          <w:trHeight w:val="288"/>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429C49C5" w14:textId="77777777" w:rsidR="00044D5B" w:rsidRPr="00597673"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00C6D7D2"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6" w:type="pct"/>
            <w:tcBorders>
              <w:top w:val="nil"/>
              <w:left w:val="nil"/>
              <w:bottom w:val="single" w:sz="8" w:space="0" w:color="auto"/>
              <w:right w:val="single" w:sz="8" w:space="0" w:color="auto"/>
            </w:tcBorders>
            <w:vAlign w:val="center"/>
            <w:hideMark/>
          </w:tcPr>
          <w:p w14:paraId="6752512E"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6" w:type="pct"/>
            <w:tcBorders>
              <w:top w:val="nil"/>
              <w:left w:val="nil"/>
              <w:bottom w:val="single" w:sz="8" w:space="0" w:color="auto"/>
              <w:right w:val="single" w:sz="8" w:space="0" w:color="auto"/>
            </w:tcBorders>
            <w:vAlign w:val="center"/>
            <w:hideMark/>
          </w:tcPr>
          <w:p w14:paraId="5C012CE6"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78" w:type="pct"/>
            <w:tcBorders>
              <w:top w:val="nil"/>
              <w:left w:val="nil"/>
              <w:bottom w:val="single" w:sz="8" w:space="0" w:color="auto"/>
              <w:right w:val="single" w:sz="8" w:space="0" w:color="auto"/>
            </w:tcBorders>
            <w:vAlign w:val="center"/>
            <w:hideMark/>
          </w:tcPr>
          <w:p w14:paraId="34245B08"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71C515D3" w14:textId="77777777" w:rsidR="00044D5B" w:rsidRPr="00597673" w:rsidRDefault="00044D5B">
            <w:pPr>
              <w:spacing w:before="0" w:after="0"/>
              <w:jc w:val="left"/>
              <w:rPr>
                <w:b/>
                <w:bCs/>
                <w:color w:val="000000"/>
                <w:sz w:val="20"/>
                <w:szCs w:val="20"/>
                <w:lang w:eastAsia="en-IE"/>
              </w:rPr>
            </w:pPr>
          </w:p>
        </w:tc>
      </w:tr>
      <w:tr w:rsidR="0014428F" w:rsidRPr="00597673" w14:paraId="5A971E2E" w14:textId="77777777">
        <w:trPr>
          <w:trHeight w:val="300"/>
        </w:trPr>
        <w:tc>
          <w:tcPr>
            <w:tcW w:w="5000" w:type="pct"/>
            <w:gridSpan w:val="12"/>
            <w:tcBorders>
              <w:top w:val="single" w:sz="8" w:space="0" w:color="auto"/>
              <w:left w:val="single" w:sz="8" w:space="0" w:color="auto"/>
              <w:bottom w:val="single" w:sz="8" w:space="0" w:color="auto"/>
              <w:right w:val="single" w:sz="8" w:space="0" w:color="auto"/>
            </w:tcBorders>
            <w:vAlign w:val="center"/>
            <w:hideMark/>
          </w:tcPr>
          <w:p w14:paraId="15D9AB8E" w14:textId="77777777" w:rsidR="00044D5B" w:rsidRPr="00597673" w:rsidRDefault="00044D5B">
            <w:pPr>
              <w:spacing w:before="0" w:after="0"/>
              <w:jc w:val="left"/>
              <w:rPr>
                <w:color w:val="000000"/>
                <w:sz w:val="21"/>
                <w:szCs w:val="21"/>
              </w:rPr>
            </w:pPr>
            <w:r w:rsidRPr="00597673">
              <w:rPr>
                <w:color w:val="000000"/>
                <w:sz w:val="21"/>
              </w:rPr>
              <w:t xml:space="preserve">Бюджетни кредити за оперативни разходи </w:t>
            </w:r>
          </w:p>
        </w:tc>
      </w:tr>
      <w:tr w:rsidR="00E62D64" w:rsidRPr="00597673" w14:paraId="58AEBF8B" w14:textId="77777777">
        <w:trPr>
          <w:trHeight w:val="288"/>
        </w:trPr>
        <w:tc>
          <w:tcPr>
            <w:tcW w:w="1419" w:type="pct"/>
            <w:gridSpan w:val="4"/>
            <w:vMerge w:val="restart"/>
            <w:tcBorders>
              <w:top w:val="nil"/>
              <w:left w:val="single" w:sz="8" w:space="0" w:color="auto"/>
              <w:bottom w:val="single" w:sz="8" w:space="0" w:color="auto"/>
              <w:right w:val="single" w:sz="8" w:space="0" w:color="auto"/>
            </w:tcBorders>
            <w:noWrap/>
            <w:vAlign w:val="center"/>
            <w:hideMark/>
          </w:tcPr>
          <w:p w14:paraId="726DC25E" w14:textId="77777777" w:rsidR="00044D5B" w:rsidRPr="00597673" w:rsidRDefault="00044D5B">
            <w:pPr>
              <w:spacing w:before="0" w:after="0"/>
              <w:jc w:val="left"/>
              <w:rPr>
                <w:color w:val="000000"/>
                <w:sz w:val="22"/>
              </w:rPr>
            </w:pPr>
            <w:r w:rsidRPr="00597673">
              <w:rPr>
                <w:color w:val="000000"/>
                <w:sz w:val="22"/>
              </w:rPr>
              <w:t>Бюджетен ред</w:t>
            </w:r>
          </w:p>
        </w:tc>
        <w:tc>
          <w:tcPr>
            <w:tcW w:w="529" w:type="pct"/>
            <w:gridSpan w:val="2"/>
            <w:tcBorders>
              <w:top w:val="nil"/>
              <w:left w:val="nil"/>
              <w:bottom w:val="single" w:sz="8" w:space="0" w:color="auto"/>
              <w:right w:val="single" w:sz="8" w:space="0" w:color="auto"/>
            </w:tcBorders>
            <w:vAlign w:val="center"/>
            <w:hideMark/>
          </w:tcPr>
          <w:p w14:paraId="77C6936B"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18127911" w14:textId="77777777" w:rsidR="00044D5B" w:rsidRPr="00597673" w:rsidRDefault="00044D5B">
            <w:pPr>
              <w:spacing w:before="0" w:after="0"/>
              <w:jc w:val="center"/>
              <w:rPr>
                <w:color w:val="000000"/>
                <w:sz w:val="14"/>
                <w:szCs w:val="14"/>
              </w:rPr>
            </w:pPr>
            <w:r w:rsidRPr="00597673">
              <w:rPr>
                <w:color w:val="000000"/>
                <w:sz w:val="14"/>
              </w:rPr>
              <w:t>(1а)</w:t>
            </w:r>
          </w:p>
        </w:tc>
        <w:tc>
          <w:tcPr>
            <w:tcW w:w="496" w:type="pct"/>
            <w:tcBorders>
              <w:top w:val="nil"/>
              <w:left w:val="nil"/>
              <w:bottom w:val="single" w:sz="8" w:space="0" w:color="auto"/>
              <w:right w:val="single" w:sz="8" w:space="0" w:color="auto"/>
            </w:tcBorders>
            <w:vAlign w:val="center"/>
            <w:hideMark/>
          </w:tcPr>
          <w:p w14:paraId="17BB4B2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073E158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3CD4631"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50AB7B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2735DEBD"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43BE08E6"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42F70AE4" w14:textId="77777777" w:rsidR="00044D5B" w:rsidRPr="00597673"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1A69AD0A"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632014CC" w14:textId="77777777" w:rsidR="00044D5B" w:rsidRPr="00597673" w:rsidRDefault="00044D5B">
            <w:pPr>
              <w:spacing w:before="0" w:after="0"/>
              <w:jc w:val="center"/>
              <w:rPr>
                <w:color w:val="000000"/>
                <w:sz w:val="14"/>
                <w:szCs w:val="14"/>
              </w:rPr>
            </w:pPr>
            <w:r w:rsidRPr="00597673">
              <w:rPr>
                <w:color w:val="000000"/>
                <w:sz w:val="14"/>
              </w:rPr>
              <w:t>(2а)</w:t>
            </w:r>
          </w:p>
        </w:tc>
        <w:tc>
          <w:tcPr>
            <w:tcW w:w="496" w:type="pct"/>
            <w:tcBorders>
              <w:top w:val="nil"/>
              <w:left w:val="nil"/>
              <w:bottom w:val="single" w:sz="8" w:space="0" w:color="auto"/>
              <w:right w:val="single" w:sz="8" w:space="0" w:color="auto"/>
            </w:tcBorders>
            <w:vAlign w:val="center"/>
            <w:hideMark/>
          </w:tcPr>
          <w:p w14:paraId="60CAD0D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5FBAB62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8EBAFA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4BF0C5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504A0C13"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6FD90D6D" w14:textId="77777777">
        <w:trPr>
          <w:trHeight w:val="315"/>
        </w:trPr>
        <w:tc>
          <w:tcPr>
            <w:tcW w:w="1419" w:type="pct"/>
            <w:gridSpan w:val="4"/>
            <w:vMerge w:val="restart"/>
            <w:tcBorders>
              <w:top w:val="nil"/>
              <w:left w:val="single" w:sz="8" w:space="0" w:color="auto"/>
              <w:bottom w:val="single" w:sz="8" w:space="0" w:color="auto"/>
              <w:right w:val="single" w:sz="8" w:space="0" w:color="auto"/>
            </w:tcBorders>
            <w:vAlign w:val="center"/>
            <w:hideMark/>
          </w:tcPr>
          <w:p w14:paraId="6C682AC8"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733E2294"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31C18592" w14:textId="77777777" w:rsidR="00044D5B" w:rsidRPr="00597673" w:rsidRDefault="00044D5B">
            <w:pPr>
              <w:spacing w:before="0" w:after="0"/>
              <w:jc w:val="center"/>
              <w:rPr>
                <w:color w:val="000000"/>
                <w:sz w:val="14"/>
                <w:szCs w:val="14"/>
              </w:rPr>
            </w:pPr>
            <w:r w:rsidRPr="00597673">
              <w:rPr>
                <w:color w:val="000000"/>
                <w:sz w:val="14"/>
              </w:rPr>
              <w:t>(1б)</w:t>
            </w:r>
          </w:p>
        </w:tc>
        <w:tc>
          <w:tcPr>
            <w:tcW w:w="496" w:type="pct"/>
            <w:tcBorders>
              <w:top w:val="nil"/>
              <w:left w:val="nil"/>
              <w:bottom w:val="single" w:sz="8" w:space="0" w:color="auto"/>
              <w:right w:val="single" w:sz="8" w:space="0" w:color="auto"/>
            </w:tcBorders>
            <w:vAlign w:val="center"/>
            <w:hideMark/>
          </w:tcPr>
          <w:p w14:paraId="682E0AF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96809F6"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375306D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73A7C91"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9C96FF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5A3E8E13"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74E4FF5D" w14:textId="77777777" w:rsidR="00044D5B" w:rsidRPr="00597673"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10257ADD"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08E72F4E" w14:textId="77777777" w:rsidR="00044D5B" w:rsidRPr="00597673" w:rsidRDefault="00044D5B">
            <w:pPr>
              <w:spacing w:before="0" w:after="0"/>
              <w:jc w:val="center"/>
              <w:rPr>
                <w:color w:val="000000"/>
                <w:sz w:val="14"/>
                <w:szCs w:val="14"/>
              </w:rPr>
            </w:pPr>
            <w:r w:rsidRPr="00597673">
              <w:rPr>
                <w:color w:val="000000"/>
                <w:sz w:val="14"/>
              </w:rPr>
              <w:t>(2б)</w:t>
            </w:r>
          </w:p>
        </w:tc>
        <w:tc>
          <w:tcPr>
            <w:tcW w:w="496" w:type="pct"/>
            <w:tcBorders>
              <w:top w:val="nil"/>
              <w:left w:val="nil"/>
              <w:bottom w:val="single" w:sz="8" w:space="0" w:color="auto"/>
              <w:right w:val="single" w:sz="8" w:space="0" w:color="auto"/>
            </w:tcBorders>
            <w:vAlign w:val="center"/>
            <w:hideMark/>
          </w:tcPr>
          <w:p w14:paraId="280E6D9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C8F4B2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304285A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30D84B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8A9842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14428F" w:rsidRPr="00597673" w14:paraId="44B47F39" w14:textId="77777777">
        <w:trPr>
          <w:trHeight w:val="288"/>
        </w:trPr>
        <w:tc>
          <w:tcPr>
            <w:tcW w:w="5000" w:type="pct"/>
            <w:gridSpan w:val="12"/>
            <w:tcBorders>
              <w:top w:val="single" w:sz="8" w:space="0" w:color="auto"/>
              <w:left w:val="single" w:sz="8" w:space="0" w:color="auto"/>
              <w:bottom w:val="single" w:sz="8" w:space="0" w:color="auto"/>
              <w:right w:val="single" w:sz="8" w:space="0" w:color="auto"/>
            </w:tcBorders>
            <w:noWrap/>
            <w:vAlign w:val="bottom"/>
            <w:hideMark/>
          </w:tcPr>
          <w:p w14:paraId="2CDD6690"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4416DB36" w14:textId="77777777">
        <w:trPr>
          <w:trHeight w:val="288"/>
        </w:trPr>
        <w:tc>
          <w:tcPr>
            <w:tcW w:w="1419" w:type="pct"/>
            <w:gridSpan w:val="4"/>
            <w:tcBorders>
              <w:top w:val="nil"/>
              <w:left w:val="single" w:sz="8" w:space="0" w:color="auto"/>
              <w:bottom w:val="single" w:sz="8" w:space="0" w:color="auto"/>
              <w:right w:val="single" w:sz="8" w:space="0" w:color="auto"/>
            </w:tcBorders>
            <w:vAlign w:val="center"/>
            <w:hideMark/>
          </w:tcPr>
          <w:p w14:paraId="5B819089"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1492C804"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5E0FF8AC" w14:textId="77777777" w:rsidR="00044D5B" w:rsidRPr="00597673" w:rsidRDefault="00044D5B">
            <w:pPr>
              <w:spacing w:before="0" w:after="0"/>
              <w:jc w:val="center"/>
              <w:rPr>
                <w:color w:val="000000"/>
                <w:sz w:val="14"/>
                <w:szCs w:val="14"/>
              </w:rPr>
            </w:pPr>
            <w:r w:rsidRPr="00597673">
              <w:rPr>
                <w:color w:val="000000"/>
                <w:sz w:val="14"/>
              </w:rPr>
              <w:t>(3)</w:t>
            </w:r>
          </w:p>
        </w:tc>
        <w:tc>
          <w:tcPr>
            <w:tcW w:w="496" w:type="pct"/>
            <w:tcBorders>
              <w:top w:val="nil"/>
              <w:left w:val="nil"/>
              <w:bottom w:val="single" w:sz="8" w:space="0" w:color="auto"/>
              <w:right w:val="single" w:sz="8" w:space="0" w:color="auto"/>
            </w:tcBorders>
            <w:vAlign w:val="center"/>
            <w:hideMark/>
          </w:tcPr>
          <w:p w14:paraId="25C3D9AB"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tcBorders>
              <w:top w:val="nil"/>
              <w:left w:val="nil"/>
              <w:bottom w:val="single" w:sz="8" w:space="0" w:color="auto"/>
              <w:right w:val="single" w:sz="8" w:space="0" w:color="auto"/>
            </w:tcBorders>
            <w:vAlign w:val="center"/>
            <w:hideMark/>
          </w:tcPr>
          <w:p w14:paraId="65824046"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tcBorders>
              <w:top w:val="nil"/>
              <w:left w:val="nil"/>
              <w:bottom w:val="single" w:sz="8" w:space="0" w:color="auto"/>
              <w:right w:val="single" w:sz="8" w:space="0" w:color="auto"/>
            </w:tcBorders>
            <w:vAlign w:val="center"/>
            <w:hideMark/>
          </w:tcPr>
          <w:p w14:paraId="50E89E63"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7111775"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5BD8EA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351A946A" w14:textId="77777777">
        <w:trPr>
          <w:trHeight w:val="288"/>
        </w:trPr>
        <w:tc>
          <w:tcPr>
            <w:tcW w:w="1419" w:type="pct"/>
            <w:gridSpan w:val="4"/>
            <w:vMerge w:val="restart"/>
            <w:tcBorders>
              <w:top w:val="nil"/>
              <w:left w:val="single" w:sz="8" w:space="0" w:color="auto"/>
              <w:right w:val="single" w:sz="8" w:space="0" w:color="auto"/>
            </w:tcBorders>
            <w:vAlign w:val="center"/>
            <w:hideMark/>
          </w:tcPr>
          <w:p w14:paraId="3BE47D16"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p w14:paraId="479F7FFF"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4CFE2CA8"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tcBorders>
              <w:top w:val="single" w:sz="8" w:space="0" w:color="auto"/>
              <w:left w:val="nil"/>
              <w:bottom w:val="single" w:sz="8" w:space="0" w:color="auto"/>
              <w:right w:val="single" w:sz="8" w:space="0" w:color="auto"/>
            </w:tcBorders>
            <w:vAlign w:val="center"/>
            <w:hideMark/>
          </w:tcPr>
          <w:p w14:paraId="4E040CC3" w14:textId="77777777" w:rsidR="00044D5B" w:rsidRPr="00597673" w:rsidRDefault="00044D5B">
            <w:pPr>
              <w:spacing w:before="0" w:after="0"/>
              <w:jc w:val="center"/>
              <w:rPr>
                <w:color w:val="000000"/>
                <w:sz w:val="14"/>
                <w:szCs w:val="14"/>
              </w:rPr>
            </w:pPr>
            <w:r w:rsidRPr="00597673">
              <w:rPr>
                <w:color w:val="000000"/>
                <w:sz w:val="14"/>
              </w:rPr>
              <w:t>=1a+1b+3</w:t>
            </w:r>
          </w:p>
        </w:tc>
        <w:tc>
          <w:tcPr>
            <w:tcW w:w="496" w:type="pct"/>
            <w:tcBorders>
              <w:top w:val="nil"/>
              <w:left w:val="nil"/>
              <w:bottom w:val="single" w:sz="8" w:space="0" w:color="auto"/>
              <w:right w:val="single" w:sz="8" w:space="0" w:color="auto"/>
            </w:tcBorders>
            <w:shd w:val="clear" w:color="000000" w:fill="D9D9D9"/>
            <w:vAlign w:val="center"/>
            <w:hideMark/>
          </w:tcPr>
          <w:p w14:paraId="0C6A659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68C90A87"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03A5DCB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0D116C7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707AE11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BC6D0CD" w14:textId="77777777">
        <w:trPr>
          <w:trHeight w:val="288"/>
        </w:trPr>
        <w:tc>
          <w:tcPr>
            <w:tcW w:w="1419" w:type="pct"/>
            <w:gridSpan w:val="4"/>
            <w:vMerge/>
            <w:tcBorders>
              <w:left w:val="single" w:sz="8" w:space="0" w:color="auto"/>
              <w:bottom w:val="single" w:sz="8" w:space="0" w:color="auto"/>
              <w:right w:val="single" w:sz="8" w:space="0" w:color="auto"/>
            </w:tcBorders>
            <w:vAlign w:val="center"/>
            <w:hideMark/>
          </w:tcPr>
          <w:p w14:paraId="57BC649F" w14:textId="77777777" w:rsidR="00044D5B" w:rsidRPr="00597673"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716D17DA"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tcBorders>
              <w:top w:val="single" w:sz="8" w:space="0" w:color="auto"/>
              <w:left w:val="nil"/>
              <w:bottom w:val="single" w:sz="8" w:space="0" w:color="auto"/>
              <w:right w:val="single" w:sz="8" w:space="0" w:color="auto"/>
            </w:tcBorders>
            <w:vAlign w:val="center"/>
            <w:hideMark/>
          </w:tcPr>
          <w:p w14:paraId="0138FC36" w14:textId="77777777" w:rsidR="00044D5B" w:rsidRPr="00597673" w:rsidRDefault="00044D5B">
            <w:pPr>
              <w:spacing w:before="0" w:after="0"/>
              <w:jc w:val="center"/>
              <w:rPr>
                <w:color w:val="000000"/>
                <w:sz w:val="14"/>
                <w:szCs w:val="14"/>
              </w:rPr>
            </w:pPr>
            <w:r w:rsidRPr="00597673">
              <w:rPr>
                <w:color w:val="000000"/>
                <w:sz w:val="14"/>
              </w:rPr>
              <w:t>=2а+2б+3</w:t>
            </w:r>
          </w:p>
        </w:tc>
        <w:tc>
          <w:tcPr>
            <w:tcW w:w="496" w:type="pct"/>
            <w:tcBorders>
              <w:top w:val="nil"/>
              <w:left w:val="nil"/>
              <w:bottom w:val="single" w:sz="8" w:space="0" w:color="auto"/>
              <w:right w:val="single" w:sz="8" w:space="0" w:color="auto"/>
            </w:tcBorders>
            <w:shd w:val="clear" w:color="000000" w:fill="D9D9D9"/>
            <w:vAlign w:val="center"/>
            <w:hideMark/>
          </w:tcPr>
          <w:p w14:paraId="02305A6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14087FB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2517E56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20C89D2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4B411B7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B55C7B" w:rsidRPr="00597673" w14:paraId="0D8044BB" w14:textId="77777777">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33E9BAC9" w14:textId="77777777" w:rsidR="00044D5B" w:rsidRPr="00597673" w:rsidRDefault="00044D5B">
            <w:pPr>
              <w:spacing w:before="0" w:after="0"/>
              <w:jc w:val="center"/>
              <w:rPr>
                <w:b/>
                <w:bCs/>
                <w:color w:val="000000"/>
                <w:sz w:val="22"/>
              </w:rPr>
            </w:pPr>
            <w:r w:rsidRPr="00597673">
              <w:rPr>
                <w:b/>
                <w:color w:val="000000"/>
                <w:sz w:val="22"/>
              </w:rPr>
              <w:t xml:space="preserve"> </w:t>
            </w:r>
          </w:p>
        </w:tc>
        <w:tc>
          <w:tcPr>
            <w:tcW w:w="493" w:type="pct"/>
            <w:tcBorders>
              <w:top w:val="single" w:sz="8" w:space="0" w:color="auto"/>
              <w:left w:val="nil"/>
              <w:bottom w:val="single" w:sz="8" w:space="0" w:color="auto"/>
              <w:right w:val="single" w:sz="8" w:space="0" w:color="auto"/>
            </w:tcBorders>
            <w:vAlign w:val="center"/>
            <w:hideMark/>
          </w:tcPr>
          <w:p w14:paraId="28AF7A00"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tcBorders>
              <w:top w:val="single" w:sz="8" w:space="0" w:color="auto"/>
              <w:left w:val="nil"/>
              <w:bottom w:val="single" w:sz="8" w:space="0" w:color="auto"/>
              <w:right w:val="single" w:sz="8" w:space="0" w:color="auto"/>
            </w:tcBorders>
            <w:vAlign w:val="center"/>
            <w:hideMark/>
          </w:tcPr>
          <w:p w14:paraId="6EE828B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tcBorders>
              <w:top w:val="single" w:sz="8" w:space="0" w:color="auto"/>
              <w:left w:val="nil"/>
              <w:bottom w:val="single" w:sz="8" w:space="0" w:color="auto"/>
              <w:right w:val="single" w:sz="8" w:space="0" w:color="auto"/>
            </w:tcBorders>
            <w:vAlign w:val="center"/>
            <w:hideMark/>
          </w:tcPr>
          <w:p w14:paraId="5B6DEE35"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tcBorders>
              <w:top w:val="single" w:sz="8" w:space="0" w:color="auto"/>
              <w:left w:val="nil"/>
              <w:bottom w:val="single" w:sz="8" w:space="0" w:color="auto"/>
              <w:right w:val="single" w:sz="8" w:space="0" w:color="auto"/>
            </w:tcBorders>
            <w:vAlign w:val="center"/>
            <w:hideMark/>
          </w:tcPr>
          <w:p w14:paraId="23585447"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0EA5E649"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B55C7B" w:rsidRPr="00597673" w14:paraId="28B0D72D" w14:textId="77777777">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0CD974FB" w14:textId="77777777" w:rsidR="00044D5B" w:rsidRPr="00597673" w:rsidRDefault="00044D5B">
            <w:pPr>
              <w:spacing w:before="0" w:after="0"/>
              <w:jc w:val="left"/>
              <w:rPr>
                <w:b/>
                <w:bCs/>
                <w:color w:val="000000"/>
                <w:sz w:val="22"/>
                <w:lang w:eastAsia="en-IE"/>
              </w:rPr>
            </w:pPr>
          </w:p>
        </w:tc>
        <w:tc>
          <w:tcPr>
            <w:tcW w:w="493" w:type="pct"/>
            <w:tcBorders>
              <w:top w:val="nil"/>
              <w:left w:val="nil"/>
              <w:bottom w:val="single" w:sz="8" w:space="0" w:color="auto"/>
              <w:right w:val="single" w:sz="8" w:space="0" w:color="auto"/>
            </w:tcBorders>
            <w:vAlign w:val="center"/>
            <w:hideMark/>
          </w:tcPr>
          <w:p w14:paraId="0D6979C2"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3" w:type="pct"/>
            <w:tcBorders>
              <w:top w:val="nil"/>
              <w:left w:val="nil"/>
              <w:bottom w:val="single" w:sz="8" w:space="0" w:color="auto"/>
              <w:right w:val="single" w:sz="8" w:space="0" w:color="auto"/>
            </w:tcBorders>
            <w:vAlign w:val="center"/>
            <w:hideMark/>
          </w:tcPr>
          <w:p w14:paraId="2270C046"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3" w:type="pct"/>
            <w:tcBorders>
              <w:top w:val="nil"/>
              <w:left w:val="nil"/>
              <w:bottom w:val="single" w:sz="8" w:space="0" w:color="auto"/>
              <w:right w:val="single" w:sz="8" w:space="0" w:color="auto"/>
            </w:tcBorders>
            <w:vAlign w:val="center"/>
            <w:hideMark/>
          </w:tcPr>
          <w:p w14:paraId="5A8D0B21"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93" w:type="pct"/>
            <w:tcBorders>
              <w:top w:val="nil"/>
              <w:left w:val="nil"/>
              <w:bottom w:val="single" w:sz="8" w:space="0" w:color="auto"/>
              <w:right w:val="single" w:sz="8" w:space="0" w:color="auto"/>
            </w:tcBorders>
            <w:vAlign w:val="center"/>
            <w:hideMark/>
          </w:tcPr>
          <w:p w14:paraId="6FF0D8B0"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05B5C0C4" w14:textId="77777777" w:rsidR="00044D5B" w:rsidRPr="00597673" w:rsidRDefault="00044D5B">
            <w:pPr>
              <w:spacing w:before="0" w:after="0"/>
              <w:jc w:val="left"/>
              <w:rPr>
                <w:b/>
                <w:bCs/>
                <w:color w:val="000000"/>
                <w:sz w:val="20"/>
                <w:szCs w:val="20"/>
                <w:lang w:eastAsia="en-IE"/>
              </w:rPr>
            </w:pPr>
          </w:p>
        </w:tc>
      </w:tr>
      <w:tr w:rsidR="00983E98" w:rsidRPr="00597673" w14:paraId="3F0A7029" w14:textId="77777777">
        <w:trPr>
          <w:trHeight w:val="432"/>
        </w:trPr>
        <w:tc>
          <w:tcPr>
            <w:tcW w:w="1411" w:type="pct"/>
            <w:gridSpan w:val="2"/>
            <w:vMerge w:val="restart"/>
            <w:tcBorders>
              <w:top w:val="nil"/>
              <w:left w:val="single" w:sz="8" w:space="0" w:color="auto"/>
              <w:bottom w:val="single" w:sz="8" w:space="0" w:color="auto"/>
              <w:right w:val="single" w:sz="8" w:space="0" w:color="auto"/>
            </w:tcBorders>
            <w:vAlign w:val="center"/>
            <w:hideMark/>
          </w:tcPr>
          <w:p w14:paraId="233BA720"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оперативни разходи </w:t>
            </w:r>
            <w:r w:rsidRPr="00597673">
              <w:t xml:space="preserve"> </w:t>
            </w:r>
            <w:r w:rsidRPr="00597673">
              <w:br/>
            </w:r>
          </w:p>
        </w:tc>
        <w:tc>
          <w:tcPr>
            <w:tcW w:w="529" w:type="pct"/>
            <w:gridSpan w:val="3"/>
            <w:tcBorders>
              <w:top w:val="nil"/>
              <w:left w:val="nil"/>
              <w:bottom w:val="single" w:sz="8" w:space="0" w:color="auto"/>
              <w:right w:val="single" w:sz="8" w:space="0" w:color="auto"/>
            </w:tcBorders>
            <w:vAlign w:val="center"/>
            <w:hideMark/>
          </w:tcPr>
          <w:p w14:paraId="42873EEE"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tcBorders>
              <w:top w:val="single" w:sz="8" w:space="0" w:color="auto"/>
              <w:left w:val="nil"/>
              <w:bottom w:val="single" w:sz="8" w:space="0" w:color="auto"/>
              <w:right w:val="single" w:sz="8" w:space="0" w:color="auto"/>
            </w:tcBorders>
            <w:vAlign w:val="center"/>
            <w:hideMark/>
          </w:tcPr>
          <w:p w14:paraId="5986152A" w14:textId="77777777" w:rsidR="00044D5B" w:rsidRPr="00597673" w:rsidRDefault="00044D5B">
            <w:pPr>
              <w:spacing w:before="0" w:after="0"/>
              <w:jc w:val="center"/>
              <w:rPr>
                <w:color w:val="000000"/>
                <w:sz w:val="14"/>
                <w:szCs w:val="14"/>
              </w:rPr>
            </w:pPr>
            <w:r w:rsidRPr="00597673">
              <w:rPr>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14:paraId="07E6CAE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C02767A"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45880481"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E21AF12"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D45EFB9"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23361CB8" w14:textId="77777777">
        <w:trPr>
          <w:trHeight w:val="456"/>
        </w:trPr>
        <w:tc>
          <w:tcPr>
            <w:tcW w:w="1411" w:type="pct"/>
            <w:gridSpan w:val="2"/>
            <w:vMerge/>
            <w:tcBorders>
              <w:top w:val="nil"/>
              <w:left w:val="single" w:sz="8" w:space="0" w:color="auto"/>
              <w:bottom w:val="single" w:sz="8" w:space="0" w:color="auto"/>
              <w:right w:val="single" w:sz="8" w:space="0" w:color="auto"/>
            </w:tcBorders>
            <w:vAlign w:val="center"/>
            <w:hideMark/>
          </w:tcPr>
          <w:p w14:paraId="0E7DBA93" w14:textId="77777777" w:rsidR="00044D5B" w:rsidRPr="00597673" w:rsidRDefault="00044D5B">
            <w:pPr>
              <w:spacing w:before="0" w:after="0"/>
              <w:jc w:val="left"/>
              <w:rPr>
                <w:color w:val="000000"/>
                <w:sz w:val="21"/>
                <w:szCs w:val="21"/>
                <w:lang w:eastAsia="en-IE"/>
              </w:rPr>
            </w:pPr>
          </w:p>
        </w:tc>
        <w:tc>
          <w:tcPr>
            <w:tcW w:w="529" w:type="pct"/>
            <w:gridSpan w:val="3"/>
            <w:tcBorders>
              <w:top w:val="nil"/>
              <w:left w:val="nil"/>
              <w:bottom w:val="single" w:sz="8" w:space="0" w:color="auto"/>
              <w:right w:val="single" w:sz="8" w:space="0" w:color="auto"/>
            </w:tcBorders>
            <w:vAlign w:val="center"/>
            <w:hideMark/>
          </w:tcPr>
          <w:p w14:paraId="086B5F8A"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tcBorders>
              <w:top w:val="single" w:sz="8" w:space="0" w:color="auto"/>
              <w:left w:val="nil"/>
              <w:bottom w:val="single" w:sz="8" w:space="0" w:color="auto"/>
              <w:right w:val="single" w:sz="8" w:space="0" w:color="auto"/>
            </w:tcBorders>
            <w:vAlign w:val="center"/>
            <w:hideMark/>
          </w:tcPr>
          <w:p w14:paraId="1A3CE536" w14:textId="77777777" w:rsidR="00044D5B" w:rsidRPr="00597673" w:rsidRDefault="00044D5B">
            <w:pPr>
              <w:spacing w:before="0" w:after="0"/>
              <w:jc w:val="center"/>
              <w:rPr>
                <w:color w:val="000000"/>
                <w:sz w:val="14"/>
                <w:szCs w:val="14"/>
              </w:rPr>
            </w:pPr>
            <w:r w:rsidRPr="00597673">
              <w:rPr>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14:paraId="2D320550"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302867B"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42EE144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428C7102"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0D840A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15935BD3" w14:textId="77777777">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6DF87996"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административни разходи, финансирани от пакета за определени програми </w:t>
            </w:r>
          </w:p>
        </w:tc>
        <w:tc>
          <w:tcPr>
            <w:tcW w:w="492" w:type="pct"/>
            <w:gridSpan w:val="4"/>
            <w:tcBorders>
              <w:top w:val="single" w:sz="8" w:space="0" w:color="auto"/>
              <w:left w:val="nil"/>
              <w:bottom w:val="single" w:sz="8" w:space="0" w:color="auto"/>
              <w:right w:val="single" w:sz="8" w:space="0" w:color="auto"/>
            </w:tcBorders>
            <w:vAlign w:val="center"/>
            <w:hideMark/>
          </w:tcPr>
          <w:p w14:paraId="705D58EA" w14:textId="77777777" w:rsidR="00044D5B" w:rsidRPr="00597673" w:rsidRDefault="00044D5B">
            <w:pPr>
              <w:spacing w:before="0" w:after="0"/>
              <w:jc w:val="center"/>
              <w:rPr>
                <w:color w:val="000000"/>
                <w:sz w:val="14"/>
                <w:szCs w:val="14"/>
              </w:rPr>
            </w:pPr>
            <w:r w:rsidRPr="00597673">
              <w:rPr>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14:paraId="4828F8BA"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66DACAD0"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2A38632"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66016F1"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F5CC8E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40F03713" w14:textId="77777777">
        <w:trPr>
          <w:trHeight w:val="564"/>
        </w:trPr>
        <w:tc>
          <w:tcPr>
            <w:tcW w:w="1411" w:type="pct"/>
            <w:gridSpan w:val="2"/>
            <w:tcBorders>
              <w:top w:val="nil"/>
              <w:left w:val="single" w:sz="8" w:space="0" w:color="auto"/>
              <w:bottom w:val="nil"/>
              <w:right w:val="single" w:sz="8" w:space="0" w:color="auto"/>
            </w:tcBorders>
            <w:shd w:val="thinDiagStripe" w:color="C0C0C0" w:fill="F1F1F1"/>
            <w:vAlign w:val="center"/>
            <w:hideMark/>
          </w:tcPr>
          <w:p w14:paraId="51365956"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ФУНКЦИЯ &lt;….&gt;</w:t>
            </w:r>
          </w:p>
        </w:tc>
        <w:tc>
          <w:tcPr>
            <w:tcW w:w="529" w:type="pct"/>
            <w:gridSpan w:val="3"/>
            <w:tcBorders>
              <w:top w:val="nil"/>
              <w:left w:val="nil"/>
              <w:bottom w:val="single" w:sz="8" w:space="0" w:color="auto"/>
              <w:right w:val="single" w:sz="8" w:space="0" w:color="auto"/>
            </w:tcBorders>
            <w:vAlign w:val="center"/>
            <w:hideMark/>
          </w:tcPr>
          <w:p w14:paraId="2D0E0E1D"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tcBorders>
              <w:top w:val="single" w:sz="8" w:space="0" w:color="auto"/>
              <w:left w:val="nil"/>
              <w:bottom w:val="single" w:sz="8" w:space="0" w:color="auto"/>
              <w:right w:val="single" w:sz="8" w:space="0" w:color="auto"/>
            </w:tcBorders>
            <w:vAlign w:val="center"/>
            <w:hideMark/>
          </w:tcPr>
          <w:p w14:paraId="0F402829" w14:textId="77777777" w:rsidR="00044D5B" w:rsidRPr="00597673" w:rsidRDefault="00044D5B">
            <w:pPr>
              <w:spacing w:before="0" w:after="0"/>
              <w:jc w:val="center"/>
              <w:rPr>
                <w:color w:val="000000"/>
                <w:sz w:val="14"/>
                <w:szCs w:val="14"/>
              </w:rPr>
            </w:pPr>
            <w:r w:rsidRPr="00597673">
              <w:rPr>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14:paraId="2B51542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6A16634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7EAEE48"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AC4446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681143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008134CA" w14:textId="77777777">
        <w:trPr>
          <w:trHeight w:val="528"/>
        </w:trPr>
        <w:tc>
          <w:tcPr>
            <w:tcW w:w="141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5A7DB23C" w14:textId="77777777" w:rsidR="00044D5B" w:rsidRPr="00597673" w:rsidRDefault="00044D5B">
            <w:pPr>
              <w:spacing w:before="0" w:after="0"/>
              <w:jc w:val="center"/>
              <w:rPr>
                <w:color w:val="000000"/>
                <w:sz w:val="22"/>
              </w:rPr>
            </w:pPr>
            <w:r w:rsidRPr="00597673">
              <w:rPr>
                <w:color w:val="000000"/>
                <w:sz w:val="22"/>
              </w:rPr>
              <w:t>от многогодишната финансова рамка</w:t>
            </w:r>
          </w:p>
        </w:tc>
        <w:tc>
          <w:tcPr>
            <w:tcW w:w="529" w:type="pct"/>
            <w:gridSpan w:val="3"/>
            <w:tcBorders>
              <w:top w:val="nil"/>
              <w:left w:val="nil"/>
              <w:bottom w:val="single" w:sz="8" w:space="0" w:color="auto"/>
              <w:right w:val="single" w:sz="8" w:space="0" w:color="auto"/>
            </w:tcBorders>
            <w:vAlign w:val="center"/>
            <w:hideMark/>
          </w:tcPr>
          <w:p w14:paraId="232B9BF0"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tcBorders>
              <w:top w:val="single" w:sz="8" w:space="0" w:color="auto"/>
              <w:left w:val="nil"/>
              <w:bottom w:val="single" w:sz="8" w:space="0" w:color="auto"/>
              <w:right w:val="single" w:sz="8" w:space="0" w:color="auto"/>
            </w:tcBorders>
            <w:vAlign w:val="center"/>
            <w:hideMark/>
          </w:tcPr>
          <w:p w14:paraId="5B0A0E7E" w14:textId="77777777" w:rsidR="00044D5B" w:rsidRPr="00597673" w:rsidRDefault="00044D5B">
            <w:pPr>
              <w:spacing w:before="0" w:after="0"/>
              <w:jc w:val="center"/>
              <w:rPr>
                <w:color w:val="000000"/>
                <w:sz w:val="14"/>
                <w:szCs w:val="14"/>
              </w:rPr>
            </w:pPr>
            <w:r w:rsidRPr="00597673">
              <w:rPr>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14:paraId="2BDADC7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64912F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C69044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23D66912"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389976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470A36" w:rsidRPr="00597673" w14:paraId="4FA81F86" w14:textId="777777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shd w:val="thinDiagStripe" w:color="C0C0C0" w:fill="auto"/>
            <w:vAlign w:val="center"/>
          </w:tcPr>
          <w:p w14:paraId="70F6A401" w14:textId="77777777" w:rsidR="00044D5B" w:rsidRPr="00597673" w:rsidRDefault="00044D5B">
            <w:pPr>
              <w:spacing w:before="60" w:after="60"/>
              <w:jc w:val="center"/>
              <w:rPr>
                <w:b/>
                <w:noProof/>
              </w:rPr>
            </w:pPr>
            <w:r w:rsidRPr="00597673">
              <w:rPr>
                <w:b/>
                <w:sz w:val="22"/>
              </w:rPr>
              <w:t xml:space="preserve">Функция от многогодишната финансова рамка </w:t>
            </w:r>
          </w:p>
        </w:tc>
        <w:tc>
          <w:tcPr>
            <w:tcW w:w="396" w:type="pct"/>
            <w:gridSpan w:val="2"/>
            <w:vAlign w:val="center"/>
          </w:tcPr>
          <w:p w14:paraId="40FEAE47" w14:textId="77777777" w:rsidR="00044D5B" w:rsidRPr="00597673" w:rsidRDefault="00044D5B">
            <w:pPr>
              <w:spacing w:before="60" w:after="60"/>
              <w:jc w:val="center"/>
              <w:rPr>
                <w:noProof/>
              </w:rPr>
            </w:pPr>
            <w:r w:rsidRPr="00597673">
              <w:rPr>
                <w:sz w:val="22"/>
              </w:rPr>
              <w:t>Номер</w:t>
            </w:r>
          </w:p>
        </w:tc>
        <w:tc>
          <w:tcPr>
            <w:tcW w:w="2865" w:type="pct"/>
            <w:gridSpan w:val="9"/>
            <w:vAlign w:val="center"/>
          </w:tcPr>
          <w:p w14:paraId="0570B3A3" w14:textId="77777777" w:rsidR="00044D5B" w:rsidRPr="00597673" w:rsidRDefault="00044D5B">
            <w:pPr>
              <w:spacing w:before="60" w:after="60"/>
              <w:rPr>
                <w:noProof/>
              </w:rPr>
            </w:pPr>
          </w:p>
        </w:tc>
      </w:tr>
    </w:tbl>
    <w:p w14:paraId="7FCE3111" w14:textId="77777777" w:rsidR="00044D5B" w:rsidRPr="00597673" w:rsidRDefault="00044D5B" w:rsidP="00044D5B">
      <w:pPr>
        <w:spacing w:before="0" w:after="200" w:line="276" w:lineRule="auto"/>
        <w:jc w:val="left"/>
        <w:rPr>
          <w:noProof/>
          <w:sz w:val="16"/>
        </w:rPr>
      </w:pPr>
    </w:p>
    <w:tbl>
      <w:tblPr>
        <w:tblW w:w="5000" w:type="pct"/>
        <w:tblInd w:w="-118" w:type="dxa"/>
        <w:tblCellMar>
          <w:left w:w="0" w:type="dxa"/>
          <w:right w:w="0" w:type="dxa"/>
        </w:tblCellMar>
        <w:tblLook w:val="04A0" w:firstRow="1" w:lastRow="0" w:firstColumn="1" w:lastColumn="0" w:noHBand="0" w:noVBand="1"/>
      </w:tblPr>
      <w:tblGrid>
        <w:gridCol w:w="158"/>
        <w:gridCol w:w="3221"/>
        <w:gridCol w:w="3942"/>
        <w:gridCol w:w="994"/>
        <w:gridCol w:w="697"/>
        <w:gridCol w:w="700"/>
        <w:gridCol w:w="299"/>
        <w:gridCol w:w="503"/>
        <w:gridCol w:w="408"/>
        <w:gridCol w:w="363"/>
        <w:gridCol w:w="413"/>
        <w:gridCol w:w="228"/>
        <w:gridCol w:w="499"/>
        <w:gridCol w:w="142"/>
        <w:gridCol w:w="515"/>
        <w:gridCol w:w="471"/>
        <w:gridCol w:w="471"/>
      </w:tblGrid>
      <w:tr w:rsidR="00B55C7B" w:rsidRPr="00597673" w14:paraId="44443AC7" w14:textId="77777777">
        <w:trPr>
          <w:trHeight w:val="420"/>
        </w:trPr>
        <w:tc>
          <w:tcPr>
            <w:tcW w:w="2444" w:type="pct"/>
            <w:gridSpan w:val="5"/>
            <w:vMerge w:val="restart"/>
            <w:tcBorders>
              <w:top w:val="single" w:sz="8" w:space="0" w:color="auto"/>
              <w:left w:val="single" w:sz="8" w:space="0" w:color="auto"/>
              <w:bottom w:val="single" w:sz="8" w:space="0" w:color="auto"/>
              <w:right w:val="single" w:sz="8" w:space="0" w:color="auto"/>
            </w:tcBorders>
            <w:vAlign w:val="center"/>
            <w:hideMark/>
          </w:tcPr>
          <w:p w14:paraId="243D4DC4" w14:textId="77777777" w:rsidR="00044D5B" w:rsidRPr="00597673" w:rsidRDefault="00044D5B">
            <w:pPr>
              <w:spacing w:before="0" w:after="0"/>
              <w:jc w:val="center"/>
              <w:rPr>
                <w:color w:val="000000"/>
                <w:sz w:val="22"/>
              </w:rPr>
            </w:pPr>
            <w:r w:rsidRPr="00597673">
              <w:rPr>
                <w:color w:val="000000"/>
                <w:sz w:val="22"/>
              </w:rPr>
              <w:t>ГД: &lt;…….&gt;</w:t>
            </w:r>
          </w:p>
        </w:tc>
        <w:tc>
          <w:tcPr>
            <w:tcW w:w="496" w:type="pct"/>
            <w:gridSpan w:val="2"/>
            <w:tcBorders>
              <w:top w:val="single" w:sz="8" w:space="0" w:color="auto"/>
              <w:left w:val="nil"/>
              <w:bottom w:val="single" w:sz="8" w:space="0" w:color="auto"/>
              <w:right w:val="single" w:sz="8" w:space="0" w:color="auto"/>
            </w:tcBorders>
            <w:vAlign w:val="center"/>
            <w:hideMark/>
          </w:tcPr>
          <w:p w14:paraId="5EDD23F4"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64B939FB"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30F2331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78" w:type="pct"/>
            <w:gridSpan w:val="2"/>
            <w:tcBorders>
              <w:top w:val="single" w:sz="8" w:space="0" w:color="auto"/>
              <w:left w:val="nil"/>
              <w:bottom w:val="single" w:sz="8" w:space="0" w:color="auto"/>
              <w:right w:val="single" w:sz="8" w:space="0" w:color="auto"/>
            </w:tcBorders>
            <w:vAlign w:val="center"/>
            <w:hideMark/>
          </w:tcPr>
          <w:p w14:paraId="569DE7B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0"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02CE6D50"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974AF3" w:rsidRPr="00597673" w14:paraId="74CDF639" w14:textId="77777777">
        <w:trPr>
          <w:trHeight w:val="288"/>
        </w:trPr>
        <w:tc>
          <w:tcPr>
            <w:tcW w:w="2444" w:type="pct"/>
            <w:gridSpan w:val="5"/>
            <w:vMerge/>
            <w:vAlign w:val="center"/>
            <w:hideMark/>
          </w:tcPr>
          <w:p w14:paraId="088FBE4A" w14:textId="77777777" w:rsidR="00044D5B" w:rsidRPr="00597673"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0D83C6C5"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6" w:type="pct"/>
            <w:gridSpan w:val="2"/>
            <w:tcBorders>
              <w:top w:val="nil"/>
              <w:left w:val="nil"/>
              <w:bottom w:val="single" w:sz="8" w:space="0" w:color="auto"/>
              <w:right w:val="single" w:sz="8" w:space="0" w:color="auto"/>
            </w:tcBorders>
            <w:vAlign w:val="center"/>
            <w:hideMark/>
          </w:tcPr>
          <w:p w14:paraId="136D3BA7"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6" w:type="pct"/>
            <w:gridSpan w:val="2"/>
            <w:tcBorders>
              <w:top w:val="nil"/>
              <w:left w:val="nil"/>
              <w:bottom w:val="single" w:sz="8" w:space="0" w:color="auto"/>
              <w:right w:val="single" w:sz="8" w:space="0" w:color="auto"/>
            </w:tcBorders>
            <w:vAlign w:val="center"/>
            <w:hideMark/>
          </w:tcPr>
          <w:p w14:paraId="60961F1A"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78" w:type="pct"/>
            <w:gridSpan w:val="2"/>
            <w:tcBorders>
              <w:top w:val="nil"/>
              <w:left w:val="nil"/>
              <w:bottom w:val="single" w:sz="8" w:space="0" w:color="auto"/>
              <w:right w:val="single" w:sz="8" w:space="0" w:color="auto"/>
            </w:tcBorders>
            <w:vAlign w:val="center"/>
            <w:hideMark/>
          </w:tcPr>
          <w:p w14:paraId="7A341371"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0" w:type="pct"/>
            <w:gridSpan w:val="4"/>
            <w:vMerge/>
            <w:vAlign w:val="center"/>
            <w:hideMark/>
          </w:tcPr>
          <w:p w14:paraId="3ADABE94" w14:textId="77777777" w:rsidR="00044D5B" w:rsidRPr="00597673" w:rsidRDefault="00044D5B">
            <w:pPr>
              <w:spacing w:before="0" w:after="0"/>
              <w:jc w:val="left"/>
              <w:rPr>
                <w:b/>
                <w:bCs/>
                <w:color w:val="000000"/>
                <w:sz w:val="20"/>
                <w:szCs w:val="20"/>
                <w:lang w:eastAsia="en-IE"/>
              </w:rPr>
            </w:pPr>
          </w:p>
        </w:tc>
      </w:tr>
      <w:tr w:rsidR="0014428F" w:rsidRPr="00597673" w14:paraId="737C9CD5" w14:textId="77777777">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1C6BED55" w14:textId="77777777" w:rsidR="00044D5B" w:rsidRPr="00597673" w:rsidRDefault="00044D5B">
            <w:pPr>
              <w:spacing w:before="0" w:after="0"/>
              <w:jc w:val="left"/>
              <w:rPr>
                <w:color w:val="000000"/>
                <w:sz w:val="21"/>
                <w:szCs w:val="21"/>
              </w:rPr>
            </w:pPr>
            <w:r w:rsidRPr="00597673">
              <w:rPr>
                <w:color w:val="000000"/>
                <w:sz w:val="21"/>
              </w:rPr>
              <w:t xml:space="preserve">Бюджетни кредити за оперативни разходи </w:t>
            </w:r>
          </w:p>
        </w:tc>
      </w:tr>
      <w:tr w:rsidR="00E62D64" w:rsidRPr="00597673" w14:paraId="32FF7390"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0E99981C" w14:textId="77777777" w:rsidR="00044D5B" w:rsidRPr="00597673" w:rsidRDefault="00044D5B">
            <w:pPr>
              <w:spacing w:before="0" w:after="0"/>
              <w:jc w:val="left"/>
              <w:rPr>
                <w:color w:val="000000"/>
                <w:sz w:val="22"/>
              </w:rPr>
            </w:pPr>
            <w:r w:rsidRPr="00597673">
              <w:rPr>
                <w:color w:val="000000"/>
                <w:sz w:val="22"/>
              </w:rPr>
              <w:t>Бюджетен ред</w:t>
            </w:r>
          </w:p>
        </w:tc>
        <w:tc>
          <w:tcPr>
            <w:tcW w:w="529" w:type="pct"/>
            <w:tcBorders>
              <w:top w:val="nil"/>
              <w:left w:val="nil"/>
              <w:bottom w:val="single" w:sz="8" w:space="0" w:color="auto"/>
              <w:right w:val="single" w:sz="8" w:space="0" w:color="auto"/>
            </w:tcBorders>
            <w:vAlign w:val="center"/>
            <w:hideMark/>
          </w:tcPr>
          <w:p w14:paraId="356D200C"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gridSpan w:val="2"/>
            <w:tcBorders>
              <w:top w:val="single" w:sz="8" w:space="0" w:color="auto"/>
              <w:left w:val="nil"/>
              <w:bottom w:val="single" w:sz="8" w:space="0" w:color="auto"/>
              <w:right w:val="single" w:sz="8" w:space="0" w:color="auto"/>
            </w:tcBorders>
            <w:vAlign w:val="center"/>
            <w:hideMark/>
          </w:tcPr>
          <w:p w14:paraId="367336D7" w14:textId="77777777" w:rsidR="00044D5B" w:rsidRPr="00597673" w:rsidRDefault="00044D5B">
            <w:pPr>
              <w:spacing w:before="0" w:after="0"/>
              <w:jc w:val="center"/>
              <w:rPr>
                <w:color w:val="000000"/>
                <w:sz w:val="14"/>
                <w:szCs w:val="14"/>
              </w:rPr>
            </w:pPr>
            <w:r w:rsidRPr="00597673">
              <w:rPr>
                <w:color w:val="000000"/>
                <w:sz w:val="14"/>
              </w:rPr>
              <w:t>(1а)</w:t>
            </w:r>
          </w:p>
        </w:tc>
        <w:tc>
          <w:tcPr>
            <w:tcW w:w="496" w:type="pct"/>
            <w:gridSpan w:val="2"/>
            <w:tcBorders>
              <w:top w:val="nil"/>
              <w:left w:val="nil"/>
              <w:bottom w:val="single" w:sz="8" w:space="0" w:color="auto"/>
              <w:right w:val="single" w:sz="8" w:space="0" w:color="auto"/>
            </w:tcBorders>
            <w:vAlign w:val="center"/>
            <w:hideMark/>
          </w:tcPr>
          <w:p w14:paraId="7D0B9EB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1D4865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1323908"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EC2ACB1"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1D67D267"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1A9785FB" w14:textId="77777777">
        <w:trPr>
          <w:trHeight w:val="315"/>
        </w:trPr>
        <w:tc>
          <w:tcPr>
            <w:tcW w:w="1419" w:type="pct"/>
            <w:gridSpan w:val="2"/>
            <w:vMerge/>
            <w:vAlign w:val="center"/>
            <w:hideMark/>
          </w:tcPr>
          <w:p w14:paraId="0D01335B" w14:textId="77777777" w:rsidR="00044D5B" w:rsidRPr="00597673" w:rsidRDefault="00044D5B">
            <w:pPr>
              <w:spacing w:before="0" w:after="0"/>
              <w:jc w:val="left"/>
              <w:rPr>
                <w:color w:val="000000"/>
                <w:sz w:val="22"/>
                <w:lang w:eastAsia="en-IE"/>
              </w:rPr>
            </w:pPr>
          </w:p>
        </w:tc>
        <w:tc>
          <w:tcPr>
            <w:tcW w:w="529" w:type="pct"/>
            <w:tcBorders>
              <w:top w:val="nil"/>
              <w:left w:val="nil"/>
              <w:bottom w:val="single" w:sz="8" w:space="0" w:color="auto"/>
              <w:right w:val="single" w:sz="8" w:space="0" w:color="auto"/>
            </w:tcBorders>
            <w:vAlign w:val="center"/>
            <w:hideMark/>
          </w:tcPr>
          <w:p w14:paraId="021BEDF3"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gridSpan w:val="2"/>
            <w:tcBorders>
              <w:top w:val="single" w:sz="8" w:space="0" w:color="auto"/>
              <w:left w:val="nil"/>
              <w:bottom w:val="single" w:sz="8" w:space="0" w:color="auto"/>
              <w:right w:val="single" w:sz="8" w:space="0" w:color="auto"/>
            </w:tcBorders>
            <w:vAlign w:val="center"/>
            <w:hideMark/>
          </w:tcPr>
          <w:p w14:paraId="0484261F" w14:textId="77777777" w:rsidR="00044D5B" w:rsidRPr="00597673" w:rsidRDefault="00044D5B">
            <w:pPr>
              <w:spacing w:before="0" w:after="0"/>
              <w:jc w:val="center"/>
              <w:rPr>
                <w:color w:val="000000"/>
                <w:sz w:val="14"/>
                <w:szCs w:val="14"/>
              </w:rPr>
            </w:pPr>
            <w:r w:rsidRPr="00597673">
              <w:rPr>
                <w:color w:val="000000"/>
                <w:sz w:val="14"/>
              </w:rPr>
              <w:t>(2а)</w:t>
            </w:r>
          </w:p>
        </w:tc>
        <w:tc>
          <w:tcPr>
            <w:tcW w:w="496" w:type="pct"/>
            <w:gridSpan w:val="2"/>
            <w:tcBorders>
              <w:top w:val="nil"/>
              <w:left w:val="nil"/>
              <w:bottom w:val="single" w:sz="8" w:space="0" w:color="auto"/>
              <w:right w:val="single" w:sz="8" w:space="0" w:color="auto"/>
            </w:tcBorders>
            <w:vAlign w:val="center"/>
            <w:hideMark/>
          </w:tcPr>
          <w:p w14:paraId="5CB7387F"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BFF4AA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BE0A4A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41900A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0E3B78D7"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1FDA9BA5"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41FBB8AA"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tcBorders>
              <w:top w:val="nil"/>
              <w:left w:val="nil"/>
              <w:bottom w:val="single" w:sz="8" w:space="0" w:color="auto"/>
              <w:right w:val="single" w:sz="8" w:space="0" w:color="auto"/>
            </w:tcBorders>
            <w:vAlign w:val="center"/>
            <w:hideMark/>
          </w:tcPr>
          <w:p w14:paraId="70E81A5C"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gridSpan w:val="2"/>
            <w:tcBorders>
              <w:top w:val="single" w:sz="8" w:space="0" w:color="auto"/>
              <w:left w:val="nil"/>
              <w:bottom w:val="single" w:sz="8" w:space="0" w:color="auto"/>
              <w:right w:val="single" w:sz="8" w:space="0" w:color="auto"/>
            </w:tcBorders>
            <w:vAlign w:val="center"/>
            <w:hideMark/>
          </w:tcPr>
          <w:p w14:paraId="13483C00" w14:textId="77777777" w:rsidR="00044D5B" w:rsidRPr="00597673" w:rsidRDefault="00044D5B">
            <w:pPr>
              <w:spacing w:before="0" w:after="0"/>
              <w:jc w:val="center"/>
              <w:rPr>
                <w:color w:val="000000"/>
                <w:sz w:val="14"/>
                <w:szCs w:val="14"/>
              </w:rPr>
            </w:pPr>
            <w:r w:rsidRPr="00597673">
              <w:rPr>
                <w:color w:val="000000"/>
                <w:sz w:val="14"/>
              </w:rPr>
              <w:t>(1б)</w:t>
            </w:r>
          </w:p>
        </w:tc>
        <w:tc>
          <w:tcPr>
            <w:tcW w:w="496" w:type="pct"/>
            <w:gridSpan w:val="2"/>
            <w:tcBorders>
              <w:top w:val="nil"/>
              <w:left w:val="nil"/>
              <w:bottom w:val="single" w:sz="8" w:space="0" w:color="auto"/>
              <w:right w:val="single" w:sz="8" w:space="0" w:color="auto"/>
            </w:tcBorders>
            <w:vAlign w:val="center"/>
            <w:hideMark/>
          </w:tcPr>
          <w:p w14:paraId="55329A26"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1508EF5"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A88F6B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36E912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3C3F6A9"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701BDD16" w14:textId="77777777">
        <w:trPr>
          <w:trHeight w:val="315"/>
        </w:trPr>
        <w:tc>
          <w:tcPr>
            <w:tcW w:w="1419" w:type="pct"/>
            <w:gridSpan w:val="2"/>
            <w:vMerge/>
            <w:vAlign w:val="center"/>
            <w:hideMark/>
          </w:tcPr>
          <w:p w14:paraId="2091D226" w14:textId="77777777" w:rsidR="00044D5B" w:rsidRPr="00597673" w:rsidRDefault="00044D5B">
            <w:pPr>
              <w:spacing w:before="0" w:after="0"/>
              <w:jc w:val="left"/>
              <w:rPr>
                <w:color w:val="000000"/>
                <w:sz w:val="20"/>
                <w:szCs w:val="20"/>
                <w:lang w:eastAsia="en-IE"/>
              </w:rPr>
            </w:pPr>
          </w:p>
        </w:tc>
        <w:tc>
          <w:tcPr>
            <w:tcW w:w="529" w:type="pct"/>
            <w:tcBorders>
              <w:top w:val="nil"/>
              <w:left w:val="nil"/>
              <w:bottom w:val="single" w:sz="8" w:space="0" w:color="auto"/>
              <w:right w:val="single" w:sz="8" w:space="0" w:color="auto"/>
            </w:tcBorders>
            <w:vAlign w:val="center"/>
            <w:hideMark/>
          </w:tcPr>
          <w:p w14:paraId="1537C10B"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gridSpan w:val="2"/>
            <w:tcBorders>
              <w:top w:val="single" w:sz="8" w:space="0" w:color="auto"/>
              <w:left w:val="nil"/>
              <w:bottom w:val="single" w:sz="8" w:space="0" w:color="auto"/>
              <w:right w:val="single" w:sz="8" w:space="0" w:color="auto"/>
            </w:tcBorders>
            <w:vAlign w:val="center"/>
            <w:hideMark/>
          </w:tcPr>
          <w:p w14:paraId="16F5702E" w14:textId="77777777" w:rsidR="00044D5B" w:rsidRPr="00597673" w:rsidRDefault="00044D5B">
            <w:pPr>
              <w:spacing w:before="0" w:after="0"/>
              <w:jc w:val="center"/>
              <w:rPr>
                <w:color w:val="000000"/>
                <w:sz w:val="14"/>
                <w:szCs w:val="14"/>
              </w:rPr>
            </w:pPr>
            <w:r w:rsidRPr="00597673">
              <w:rPr>
                <w:color w:val="000000"/>
                <w:sz w:val="14"/>
              </w:rPr>
              <w:t>(2б)</w:t>
            </w:r>
          </w:p>
        </w:tc>
        <w:tc>
          <w:tcPr>
            <w:tcW w:w="496" w:type="pct"/>
            <w:gridSpan w:val="2"/>
            <w:tcBorders>
              <w:top w:val="nil"/>
              <w:left w:val="nil"/>
              <w:bottom w:val="single" w:sz="8" w:space="0" w:color="auto"/>
              <w:right w:val="single" w:sz="8" w:space="0" w:color="auto"/>
            </w:tcBorders>
            <w:vAlign w:val="center"/>
            <w:hideMark/>
          </w:tcPr>
          <w:p w14:paraId="60DD5C7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7322810"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A37C2EE"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83E0B7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F4B8AE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14428F" w:rsidRPr="00597673" w14:paraId="52F5F781" w14:textId="77777777">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77FD7ECA"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6B57E34E"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4124EDE6"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tcBorders>
              <w:top w:val="nil"/>
              <w:left w:val="nil"/>
              <w:bottom w:val="single" w:sz="8" w:space="0" w:color="auto"/>
              <w:right w:val="single" w:sz="8" w:space="0" w:color="auto"/>
            </w:tcBorders>
            <w:vAlign w:val="center"/>
            <w:hideMark/>
          </w:tcPr>
          <w:p w14:paraId="40C768D2"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3D0D1914" w14:textId="77777777" w:rsidR="00044D5B" w:rsidRPr="00597673" w:rsidRDefault="00044D5B">
            <w:pPr>
              <w:spacing w:before="0" w:after="0"/>
              <w:jc w:val="center"/>
              <w:rPr>
                <w:color w:val="000000"/>
                <w:sz w:val="14"/>
                <w:szCs w:val="14"/>
              </w:rPr>
            </w:pPr>
            <w:r w:rsidRPr="00597673">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3A87F779"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D2DA351"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ADF2368"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D5E2379"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2F83B8DE"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548D522"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25B80C31"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p w14:paraId="20B87A29"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529" w:type="pct"/>
            <w:tcBorders>
              <w:top w:val="nil"/>
              <w:left w:val="nil"/>
              <w:bottom w:val="single" w:sz="8" w:space="0" w:color="auto"/>
              <w:right w:val="single" w:sz="8" w:space="0" w:color="auto"/>
            </w:tcBorders>
            <w:vAlign w:val="center"/>
            <w:hideMark/>
          </w:tcPr>
          <w:p w14:paraId="60333FE0"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gridSpan w:val="2"/>
            <w:tcBorders>
              <w:top w:val="single" w:sz="8" w:space="0" w:color="auto"/>
              <w:left w:val="nil"/>
              <w:bottom w:val="single" w:sz="8" w:space="0" w:color="auto"/>
              <w:right w:val="single" w:sz="8" w:space="0" w:color="auto"/>
            </w:tcBorders>
            <w:vAlign w:val="center"/>
            <w:hideMark/>
          </w:tcPr>
          <w:p w14:paraId="29264B12" w14:textId="77777777" w:rsidR="00044D5B" w:rsidRPr="00597673" w:rsidRDefault="00044D5B">
            <w:pPr>
              <w:spacing w:before="0" w:after="0"/>
              <w:jc w:val="center"/>
              <w:rPr>
                <w:color w:val="000000"/>
                <w:sz w:val="14"/>
                <w:szCs w:val="14"/>
              </w:rPr>
            </w:pPr>
            <w:r w:rsidRPr="00597673">
              <w:rPr>
                <w:color w:val="000000"/>
                <w:sz w:val="14"/>
              </w:rPr>
              <w:t>=1a+1b+3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3D1AAB16"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32231A6"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1D7922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60EF51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6DDC7D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41959BD8" w14:textId="77777777">
        <w:trPr>
          <w:trHeight w:val="288"/>
        </w:trPr>
        <w:tc>
          <w:tcPr>
            <w:tcW w:w="1419" w:type="pct"/>
            <w:gridSpan w:val="2"/>
            <w:vMerge/>
            <w:vAlign w:val="center"/>
            <w:hideMark/>
          </w:tcPr>
          <w:p w14:paraId="26253226" w14:textId="77777777" w:rsidR="00044D5B" w:rsidRPr="00597673" w:rsidRDefault="00044D5B">
            <w:pPr>
              <w:spacing w:before="0" w:after="0"/>
              <w:jc w:val="center"/>
              <w:rPr>
                <w:b/>
                <w:bCs/>
                <w:color w:val="000000"/>
                <w:sz w:val="22"/>
                <w:lang w:eastAsia="en-IE"/>
              </w:rPr>
            </w:pPr>
          </w:p>
        </w:tc>
        <w:tc>
          <w:tcPr>
            <w:tcW w:w="529" w:type="pct"/>
            <w:tcBorders>
              <w:top w:val="nil"/>
              <w:left w:val="nil"/>
              <w:bottom w:val="single" w:sz="8" w:space="0" w:color="auto"/>
              <w:right w:val="single" w:sz="8" w:space="0" w:color="auto"/>
            </w:tcBorders>
            <w:vAlign w:val="center"/>
            <w:hideMark/>
          </w:tcPr>
          <w:p w14:paraId="7C01A981"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gridSpan w:val="2"/>
            <w:tcBorders>
              <w:top w:val="single" w:sz="8" w:space="0" w:color="auto"/>
              <w:left w:val="nil"/>
              <w:bottom w:val="single" w:sz="8" w:space="0" w:color="auto"/>
              <w:right w:val="single" w:sz="8" w:space="0" w:color="auto"/>
            </w:tcBorders>
            <w:vAlign w:val="center"/>
            <w:hideMark/>
          </w:tcPr>
          <w:p w14:paraId="66D0A190" w14:textId="77777777" w:rsidR="00044D5B" w:rsidRPr="00597673" w:rsidRDefault="00044D5B">
            <w:pPr>
              <w:spacing w:before="0" w:after="0"/>
              <w:jc w:val="center"/>
              <w:rPr>
                <w:color w:val="000000"/>
                <w:sz w:val="14"/>
                <w:szCs w:val="14"/>
              </w:rPr>
            </w:pPr>
            <w:r w:rsidRPr="00597673">
              <w:rPr>
                <w:color w:val="000000"/>
                <w:sz w:val="14"/>
              </w:rPr>
              <w:t>=2а+2б+3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CD2FA2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4D2EEF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B26B3C7"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6CBB3B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7FBAEFFC"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470A36" w:rsidRPr="00597673" w14:paraId="50CD4A59" w14:textId="77777777">
        <w:trPr>
          <w:trHeight w:val="420"/>
        </w:trPr>
        <w:tc>
          <w:tcPr>
            <w:tcW w:w="2444" w:type="pct"/>
            <w:gridSpan w:val="5"/>
            <w:tcBorders>
              <w:top w:val="single" w:sz="8" w:space="0" w:color="auto"/>
              <w:left w:val="single" w:sz="8" w:space="0" w:color="auto"/>
              <w:bottom w:val="single" w:sz="8" w:space="0" w:color="auto"/>
              <w:right w:val="single" w:sz="8" w:space="0" w:color="auto"/>
            </w:tcBorders>
            <w:vAlign w:val="center"/>
            <w:hideMark/>
          </w:tcPr>
          <w:p w14:paraId="488AAA0F" w14:textId="77777777" w:rsidR="00044D5B" w:rsidRPr="00597673" w:rsidRDefault="00044D5B">
            <w:pPr>
              <w:spacing w:before="0" w:after="0"/>
              <w:jc w:val="center"/>
              <w:rPr>
                <w:color w:val="000000"/>
                <w:sz w:val="22"/>
              </w:rPr>
            </w:pPr>
            <w:r w:rsidRPr="00597673">
              <w:rPr>
                <w:color w:val="000000"/>
                <w:sz w:val="22"/>
              </w:rPr>
              <w:t>ГД: &lt;…….&gt;</w:t>
            </w:r>
          </w:p>
        </w:tc>
        <w:tc>
          <w:tcPr>
            <w:tcW w:w="496" w:type="pct"/>
            <w:gridSpan w:val="2"/>
            <w:tcBorders>
              <w:top w:val="single" w:sz="8" w:space="0" w:color="auto"/>
              <w:left w:val="nil"/>
              <w:bottom w:val="single" w:sz="8" w:space="0" w:color="auto"/>
              <w:right w:val="single" w:sz="8" w:space="0" w:color="auto"/>
            </w:tcBorders>
            <w:vAlign w:val="center"/>
            <w:hideMark/>
          </w:tcPr>
          <w:p w14:paraId="0AAAE50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592126BE"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6" w:type="pct"/>
            <w:gridSpan w:val="2"/>
            <w:tcBorders>
              <w:top w:val="single" w:sz="8" w:space="0" w:color="auto"/>
              <w:left w:val="nil"/>
              <w:bottom w:val="single" w:sz="8" w:space="0" w:color="auto"/>
              <w:right w:val="single" w:sz="8" w:space="0" w:color="auto"/>
            </w:tcBorders>
            <w:vAlign w:val="center"/>
            <w:hideMark/>
          </w:tcPr>
          <w:p w14:paraId="67D821C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78" w:type="pct"/>
            <w:gridSpan w:val="2"/>
            <w:tcBorders>
              <w:top w:val="single" w:sz="8" w:space="0" w:color="auto"/>
              <w:left w:val="nil"/>
              <w:bottom w:val="single" w:sz="8" w:space="0" w:color="auto"/>
              <w:right w:val="single" w:sz="8" w:space="0" w:color="auto"/>
            </w:tcBorders>
            <w:vAlign w:val="center"/>
            <w:hideMark/>
          </w:tcPr>
          <w:p w14:paraId="69940E67"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0" w:type="pct"/>
            <w:gridSpan w:val="4"/>
            <w:tcBorders>
              <w:top w:val="single" w:sz="8" w:space="0" w:color="auto"/>
              <w:left w:val="single" w:sz="8" w:space="0" w:color="auto"/>
              <w:bottom w:val="single" w:sz="8" w:space="0" w:color="auto"/>
              <w:right w:val="single" w:sz="8" w:space="0" w:color="auto"/>
            </w:tcBorders>
            <w:vAlign w:val="center"/>
            <w:hideMark/>
          </w:tcPr>
          <w:p w14:paraId="6FF97A14"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7D5C674A" w14:textId="77777777">
        <w:trPr>
          <w:trHeight w:val="288"/>
        </w:trPr>
        <w:tc>
          <w:tcPr>
            <w:tcW w:w="2444" w:type="pct"/>
            <w:gridSpan w:val="5"/>
            <w:tcBorders>
              <w:top w:val="single" w:sz="8" w:space="0" w:color="auto"/>
              <w:left w:val="single" w:sz="8" w:space="0" w:color="auto"/>
              <w:bottom w:val="single" w:sz="8" w:space="0" w:color="auto"/>
              <w:right w:val="single" w:sz="8" w:space="0" w:color="auto"/>
            </w:tcBorders>
            <w:vAlign w:val="center"/>
            <w:hideMark/>
          </w:tcPr>
          <w:p w14:paraId="6EAA268D" w14:textId="77777777" w:rsidR="00044D5B" w:rsidRPr="00597673"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1095D07C"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6" w:type="pct"/>
            <w:gridSpan w:val="2"/>
            <w:tcBorders>
              <w:top w:val="nil"/>
              <w:left w:val="nil"/>
              <w:bottom w:val="single" w:sz="8" w:space="0" w:color="auto"/>
              <w:right w:val="single" w:sz="8" w:space="0" w:color="auto"/>
            </w:tcBorders>
            <w:vAlign w:val="center"/>
            <w:hideMark/>
          </w:tcPr>
          <w:p w14:paraId="5E6BCFD4"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6" w:type="pct"/>
            <w:gridSpan w:val="2"/>
            <w:tcBorders>
              <w:top w:val="nil"/>
              <w:left w:val="nil"/>
              <w:bottom w:val="single" w:sz="8" w:space="0" w:color="auto"/>
              <w:right w:val="single" w:sz="8" w:space="0" w:color="auto"/>
            </w:tcBorders>
            <w:vAlign w:val="center"/>
            <w:hideMark/>
          </w:tcPr>
          <w:p w14:paraId="6910ED5A"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78" w:type="pct"/>
            <w:gridSpan w:val="2"/>
            <w:tcBorders>
              <w:top w:val="nil"/>
              <w:left w:val="nil"/>
              <w:bottom w:val="single" w:sz="8" w:space="0" w:color="auto"/>
              <w:right w:val="single" w:sz="8" w:space="0" w:color="auto"/>
            </w:tcBorders>
            <w:vAlign w:val="center"/>
            <w:hideMark/>
          </w:tcPr>
          <w:p w14:paraId="496E80C5"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0" w:type="pct"/>
            <w:gridSpan w:val="4"/>
            <w:tcBorders>
              <w:top w:val="single" w:sz="8" w:space="0" w:color="auto"/>
              <w:left w:val="single" w:sz="8" w:space="0" w:color="auto"/>
              <w:bottom w:val="single" w:sz="8" w:space="0" w:color="auto"/>
              <w:right w:val="single" w:sz="8" w:space="0" w:color="auto"/>
            </w:tcBorders>
            <w:vAlign w:val="center"/>
            <w:hideMark/>
          </w:tcPr>
          <w:p w14:paraId="2F4ECEB3" w14:textId="77777777" w:rsidR="00044D5B" w:rsidRPr="00597673" w:rsidRDefault="00044D5B">
            <w:pPr>
              <w:spacing w:before="0" w:after="0"/>
              <w:jc w:val="left"/>
              <w:rPr>
                <w:b/>
                <w:bCs/>
                <w:color w:val="000000"/>
                <w:sz w:val="20"/>
                <w:szCs w:val="20"/>
                <w:lang w:eastAsia="en-IE"/>
              </w:rPr>
            </w:pPr>
          </w:p>
        </w:tc>
      </w:tr>
      <w:tr w:rsidR="0014428F" w:rsidRPr="00597673" w14:paraId="047EFB91" w14:textId="77777777">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5CF37FE9" w14:textId="77777777" w:rsidR="00044D5B" w:rsidRPr="00597673" w:rsidRDefault="00044D5B">
            <w:pPr>
              <w:spacing w:before="0" w:after="0"/>
              <w:jc w:val="left"/>
              <w:rPr>
                <w:color w:val="000000"/>
                <w:sz w:val="21"/>
                <w:szCs w:val="21"/>
              </w:rPr>
            </w:pPr>
            <w:r w:rsidRPr="00597673">
              <w:rPr>
                <w:color w:val="000000"/>
                <w:sz w:val="21"/>
              </w:rPr>
              <w:t xml:space="preserve">Бюджетни кредити за оперативни разходи </w:t>
            </w:r>
          </w:p>
        </w:tc>
      </w:tr>
      <w:tr w:rsidR="00E62D64" w:rsidRPr="00597673" w14:paraId="6EF50BA1" w14:textId="77777777">
        <w:trPr>
          <w:trHeight w:val="288"/>
        </w:trPr>
        <w:tc>
          <w:tcPr>
            <w:tcW w:w="1419" w:type="pct"/>
            <w:gridSpan w:val="5"/>
            <w:vMerge w:val="restart"/>
            <w:tcBorders>
              <w:top w:val="nil"/>
              <w:left w:val="single" w:sz="8" w:space="0" w:color="auto"/>
              <w:bottom w:val="single" w:sz="8" w:space="0" w:color="auto"/>
              <w:right w:val="single" w:sz="8" w:space="0" w:color="auto"/>
            </w:tcBorders>
            <w:noWrap/>
            <w:vAlign w:val="center"/>
            <w:hideMark/>
          </w:tcPr>
          <w:p w14:paraId="1685AF10" w14:textId="77777777" w:rsidR="00044D5B" w:rsidRPr="00597673" w:rsidRDefault="00044D5B">
            <w:pPr>
              <w:spacing w:before="0" w:after="0"/>
              <w:jc w:val="left"/>
              <w:rPr>
                <w:color w:val="000000"/>
                <w:sz w:val="22"/>
              </w:rPr>
            </w:pPr>
            <w:r w:rsidRPr="00597673">
              <w:rPr>
                <w:color w:val="000000"/>
                <w:sz w:val="22"/>
              </w:rPr>
              <w:t>Бюджетен ред</w:t>
            </w:r>
          </w:p>
        </w:tc>
        <w:tc>
          <w:tcPr>
            <w:tcW w:w="529" w:type="pct"/>
            <w:gridSpan w:val="2"/>
            <w:tcBorders>
              <w:top w:val="nil"/>
              <w:left w:val="nil"/>
              <w:bottom w:val="single" w:sz="8" w:space="0" w:color="auto"/>
              <w:right w:val="single" w:sz="8" w:space="0" w:color="auto"/>
            </w:tcBorders>
            <w:vAlign w:val="center"/>
            <w:hideMark/>
          </w:tcPr>
          <w:p w14:paraId="2199B3EF"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gridSpan w:val="2"/>
            <w:tcBorders>
              <w:top w:val="single" w:sz="8" w:space="0" w:color="auto"/>
              <w:left w:val="nil"/>
              <w:bottom w:val="single" w:sz="8" w:space="0" w:color="auto"/>
              <w:right w:val="single" w:sz="8" w:space="0" w:color="auto"/>
            </w:tcBorders>
            <w:vAlign w:val="center"/>
            <w:hideMark/>
          </w:tcPr>
          <w:p w14:paraId="2098975E" w14:textId="77777777" w:rsidR="00044D5B" w:rsidRPr="00597673" w:rsidRDefault="00044D5B">
            <w:pPr>
              <w:spacing w:before="0" w:after="0"/>
              <w:jc w:val="center"/>
              <w:rPr>
                <w:color w:val="000000"/>
                <w:sz w:val="14"/>
                <w:szCs w:val="14"/>
              </w:rPr>
            </w:pPr>
            <w:r w:rsidRPr="00597673">
              <w:rPr>
                <w:color w:val="000000"/>
                <w:sz w:val="14"/>
              </w:rPr>
              <w:t>(1а)</w:t>
            </w:r>
          </w:p>
        </w:tc>
        <w:tc>
          <w:tcPr>
            <w:tcW w:w="496" w:type="pct"/>
            <w:gridSpan w:val="2"/>
            <w:tcBorders>
              <w:top w:val="nil"/>
              <w:left w:val="nil"/>
              <w:bottom w:val="single" w:sz="8" w:space="0" w:color="auto"/>
              <w:right w:val="single" w:sz="8" w:space="0" w:color="auto"/>
            </w:tcBorders>
            <w:vAlign w:val="center"/>
            <w:hideMark/>
          </w:tcPr>
          <w:p w14:paraId="18F3A5D3"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62D5DB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5718CC0"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03175F9"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54878B3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087F04A9" w14:textId="77777777">
        <w:trPr>
          <w:trHeight w:val="315"/>
        </w:trPr>
        <w:tc>
          <w:tcPr>
            <w:tcW w:w="1419" w:type="pct"/>
            <w:gridSpan w:val="5"/>
            <w:vMerge/>
            <w:tcBorders>
              <w:top w:val="nil"/>
              <w:left w:val="single" w:sz="8" w:space="0" w:color="auto"/>
              <w:bottom w:val="single" w:sz="8" w:space="0" w:color="auto"/>
              <w:right w:val="single" w:sz="8" w:space="0" w:color="auto"/>
            </w:tcBorders>
            <w:vAlign w:val="center"/>
            <w:hideMark/>
          </w:tcPr>
          <w:p w14:paraId="49CC1E57" w14:textId="77777777" w:rsidR="00044D5B" w:rsidRPr="00597673"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36B4DD60"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gridSpan w:val="2"/>
            <w:tcBorders>
              <w:top w:val="single" w:sz="8" w:space="0" w:color="auto"/>
              <w:left w:val="nil"/>
              <w:bottom w:val="single" w:sz="8" w:space="0" w:color="auto"/>
              <w:right w:val="single" w:sz="8" w:space="0" w:color="auto"/>
            </w:tcBorders>
            <w:vAlign w:val="center"/>
            <w:hideMark/>
          </w:tcPr>
          <w:p w14:paraId="539D89AF" w14:textId="77777777" w:rsidR="00044D5B" w:rsidRPr="00597673" w:rsidRDefault="00044D5B">
            <w:pPr>
              <w:spacing w:before="0" w:after="0"/>
              <w:jc w:val="center"/>
              <w:rPr>
                <w:color w:val="000000"/>
                <w:sz w:val="14"/>
                <w:szCs w:val="14"/>
              </w:rPr>
            </w:pPr>
            <w:r w:rsidRPr="00597673">
              <w:rPr>
                <w:color w:val="000000"/>
                <w:sz w:val="14"/>
              </w:rPr>
              <w:t>(2а)</w:t>
            </w:r>
          </w:p>
        </w:tc>
        <w:tc>
          <w:tcPr>
            <w:tcW w:w="496" w:type="pct"/>
            <w:gridSpan w:val="2"/>
            <w:tcBorders>
              <w:top w:val="nil"/>
              <w:left w:val="nil"/>
              <w:bottom w:val="single" w:sz="8" w:space="0" w:color="auto"/>
              <w:right w:val="single" w:sz="8" w:space="0" w:color="auto"/>
            </w:tcBorders>
            <w:vAlign w:val="center"/>
            <w:hideMark/>
          </w:tcPr>
          <w:p w14:paraId="5DB7E84C"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35790C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1596AE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E67B0BB"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4AF3DD56"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1969A7D8" w14:textId="77777777">
        <w:trPr>
          <w:trHeight w:val="315"/>
        </w:trPr>
        <w:tc>
          <w:tcPr>
            <w:tcW w:w="1419" w:type="pct"/>
            <w:gridSpan w:val="5"/>
            <w:vMerge w:val="restart"/>
            <w:tcBorders>
              <w:top w:val="nil"/>
              <w:left w:val="single" w:sz="8" w:space="0" w:color="auto"/>
              <w:bottom w:val="single" w:sz="8" w:space="0" w:color="auto"/>
              <w:right w:val="single" w:sz="8" w:space="0" w:color="auto"/>
            </w:tcBorders>
            <w:vAlign w:val="center"/>
            <w:hideMark/>
          </w:tcPr>
          <w:p w14:paraId="0BE287C3"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0C7EF871"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gridSpan w:val="2"/>
            <w:tcBorders>
              <w:top w:val="single" w:sz="8" w:space="0" w:color="auto"/>
              <w:left w:val="nil"/>
              <w:bottom w:val="single" w:sz="8" w:space="0" w:color="auto"/>
              <w:right w:val="single" w:sz="8" w:space="0" w:color="auto"/>
            </w:tcBorders>
            <w:vAlign w:val="center"/>
            <w:hideMark/>
          </w:tcPr>
          <w:p w14:paraId="7E0DCE27" w14:textId="77777777" w:rsidR="00044D5B" w:rsidRPr="00597673" w:rsidRDefault="00044D5B">
            <w:pPr>
              <w:spacing w:before="0" w:after="0"/>
              <w:jc w:val="center"/>
              <w:rPr>
                <w:color w:val="000000"/>
                <w:sz w:val="14"/>
                <w:szCs w:val="14"/>
              </w:rPr>
            </w:pPr>
            <w:r w:rsidRPr="00597673">
              <w:rPr>
                <w:color w:val="000000"/>
                <w:sz w:val="14"/>
              </w:rPr>
              <w:t>(1б)</w:t>
            </w:r>
          </w:p>
        </w:tc>
        <w:tc>
          <w:tcPr>
            <w:tcW w:w="496" w:type="pct"/>
            <w:gridSpan w:val="2"/>
            <w:tcBorders>
              <w:top w:val="nil"/>
              <w:left w:val="nil"/>
              <w:bottom w:val="single" w:sz="8" w:space="0" w:color="auto"/>
              <w:right w:val="single" w:sz="8" w:space="0" w:color="auto"/>
            </w:tcBorders>
            <w:vAlign w:val="center"/>
            <w:hideMark/>
          </w:tcPr>
          <w:p w14:paraId="72AABCD4"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B1B0B3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78A6D6F"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495327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ABDAB84"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2D64" w:rsidRPr="00597673" w14:paraId="504A057C" w14:textId="77777777">
        <w:trPr>
          <w:trHeight w:val="315"/>
        </w:trPr>
        <w:tc>
          <w:tcPr>
            <w:tcW w:w="1419" w:type="pct"/>
            <w:gridSpan w:val="5"/>
            <w:vMerge/>
            <w:tcBorders>
              <w:top w:val="nil"/>
              <w:left w:val="single" w:sz="8" w:space="0" w:color="auto"/>
              <w:bottom w:val="single" w:sz="8" w:space="0" w:color="auto"/>
              <w:right w:val="single" w:sz="8" w:space="0" w:color="auto"/>
            </w:tcBorders>
            <w:vAlign w:val="center"/>
            <w:hideMark/>
          </w:tcPr>
          <w:p w14:paraId="0558C87D" w14:textId="77777777" w:rsidR="00044D5B" w:rsidRPr="00597673"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3A100DAC"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gridSpan w:val="2"/>
            <w:tcBorders>
              <w:top w:val="single" w:sz="8" w:space="0" w:color="auto"/>
              <w:left w:val="nil"/>
              <w:bottom w:val="single" w:sz="8" w:space="0" w:color="auto"/>
              <w:right w:val="single" w:sz="8" w:space="0" w:color="auto"/>
            </w:tcBorders>
            <w:vAlign w:val="center"/>
            <w:hideMark/>
          </w:tcPr>
          <w:p w14:paraId="14E9440C" w14:textId="77777777" w:rsidR="00044D5B" w:rsidRPr="00597673" w:rsidRDefault="00044D5B">
            <w:pPr>
              <w:spacing w:before="0" w:after="0"/>
              <w:jc w:val="center"/>
              <w:rPr>
                <w:color w:val="000000"/>
                <w:sz w:val="14"/>
                <w:szCs w:val="14"/>
              </w:rPr>
            </w:pPr>
            <w:r w:rsidRPr="00597673">
              <w:rPr>
                <w:color w:val="000000"/>
                <w:sz w:val="14"/>
              </w:rPr>
              <w:t>(2б)</w:t>
            </w:r>
          </w:p>
        </w:tc>
        <w:tc>
          <w:tcPr>
            <w:tcW w:w="496" w:type="pct"/>
            <w:gridSpan w:val="2"/>
            <w:tcBorders>
              <w:top w:val="nil"/>
              <w:left w:val="nil"/>
              <w:bottom w:val="single" w:sz="8" w:space="0" w:color="auto"/>
              <w:right w:val="single" w:sz="8" w:space="0" w:color="auto"/>
            </w:tcBorders>
            <w:vAlign w:val="center"/>
            <w:hideMark/>
          </w:tcPr>
          <w:p w14:paraId="53E43B8D"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5CD7D17"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744D8A2"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737B3AA" w14:textId="77777777" w:rsidR="00044D5B" w:rsidRPr="00597673" w:rsidRDefault="00044D5B">
            <w:pPr>
              <w:spacing w:before="0" w:after="0"/>
              <w:jc w:val="right"/>
              <w:rPr>
                <w:color w:val="000000"/>
                <w:sz w:val="20"/>
                <w:szCs w:val="20"/>
              </w:rPr>
            </w:pPr>
            <w:r w:rsidRPr="00597673">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0EF4616B"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14428F" w:rsidRPr="00597673" w14:paraId="0BF60B0B" w14:textId="77777777">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42C1480E" w14:textId="77777777" w:rsidR="00044D5B" w:rsidRPr="00597673" w:rsidRDefault="00044D5B">
            <w:pPr>
              <w:spacing w:before="0" w:after="0"/>
              <w:jc w:val="left"/>
              <w:rPr>
                <w:color w:val="000000"/>
                <w:sz w:val="22"/>
              </w:rPr>
            </w:pPr>
            <w:r w:rsidRPr="00597673">
              <w:rPr>
                <w:color w:val="000000"/>
                <w:sz w:val="22"/>
              </w:rPr>
              <w:t>Бюджетни кредити за административни разходи, финансирани от пакета за определени програми</w:t>
            </w:r>
            <w:r w:rsidRPr="00597673">
              <w:t xml:space="preserve"> </w:t>
            </w:r>
          </w:p>
        </w:tc>
      </w:tr>
      <w:tr w:rsidR="00E62D64" w:rsidRPr="00597673" w14:paraId="1090EDF9" w14:textId="77777777">
        <w:trPr>
          <w:trHeight w:val="288"/>
        </w:trPr>
        <w:tc>
          <w:tcPr>
            <w:tcW w:w="1419" w:type="pct"/>
            <w:gridSpan w:val="5"/>
            <w:tcBorders>
              <w:top w:val="nil"/>
              <w:left w:val="single" w:sz="8" w:space="0" w:color="auto"/>
              <w:bottom w:val="single" w:sz="8" w:space="0" w:color="auto"/>
              <w:right w:val="single" w:sz="8" w:space="0" w:color="auto"/>
            </w:tcBorders>
            <w:vAlign w:val="center"/>
            <w:hideMark/>
          </w:tcPr>
          <w:p w14:paraId="7912632F" w14:textId="77777777" w:rsidR="00044D5B" w:rsidRPr="00597673" w:rsidRDefault="00044D5B">
            <w:pPr>
              <w:spacing w:before="0" w:after="0"/>
              <w:rPr>
                <w:color w:val="000000"/>
                <w:sz w:val="20"/>
                <w:szCs w:val="20"/>
              </w:rPr>
            </w:pPr>
            <w:r w:rsidRPr="00597673">
              <w:rPr>
                <w:color w:val="000000"/>
                <w:sz w:val="20"/>
              </w:rPr>
              <w:t>Бюджетен ред</w:t>
            </w:r>
          </w:p>
        </w:tc>
        <w:tc>
          <w:tcPr>
            <w:tcW w:w="529" w:type="pct"/>
            <w:gridSpan w:val="2"/>
            <w:tcBorders>
              <w:top w:val="nil"/>
              <w:left w:val="nil"/>
              <w:bottom w:val="single" w:sz="8" w:space="0" w:color="auto"/>
              <w:right w:val="single" w:sz="8" w:space="0" w:color="auto"/>
            </w:tcBorders>
            <w:vAlign w:val="center"/>
            <w:hideMark/>
          </w:tcPr>
          <w:p w14:paraId="5173F922" w14:textId="77777777" w:rsidR="00044D5B" w:rsidRPr="00597673" w:rsidRDefault="00044D5B">
            <w:pPr>
              <w:spacing w:before="0" w:after="0"/>
              <w:jc w:val="right"/>
              <w:rPr>
                <w:color w:val="000000"/>
                <w:sz w:val="18"/>
                <w:szCs w:val="18"/>
              </w:rPr>
            </w:pPr>
            <w:r w:rsidRPr="00597673">
              <w:rPr>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69297F51" w14:textId="77777777" w:rsidR="00044D5B" w:rsidRPr="00597673" w:rsidRDefault="00044D5B">
            <w:pPr>
              <w:spacing w:before="0" w:after="0"/>
              <w:jc w:val="center"/>
              <w:rPr>
                <w:color w:val="000000"/>
                <w:sz w:val="14"/>
                <w:szCs w:val="14"/>
              </w:rPr>
            </w:pPr>
            <w:r w:rsidRPr="00597673">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78062AD4"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FA5F024"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BFA68EC"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0980964" w14:textId="77777777" w:rsidR="00044D5B" w:rsidRPr="00597673" w:rsidRDefault="00044D5B">
            <w:pPr>
              <w:spacing w:before="0" w:after="0"/>
              <w:jc w:val="right"/>
              <w:rPr>
                <w:b/>
                <w:bCs/>
                <w:color w:val="000000"/>
                <w:sz w:val="20"/>
                <w:szCs w:val="20"/>
              </w:rPr>
            </w:pPr>
            <w:r w:rsidRPr="00597673">
              <w:rPr>
                <w:b/>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3AD0B2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637FC7AB" w14:textId="77777777">
        <w:trPr>
          <w:trHeight w:val="288"/>
        </w:trPr>
        <w:tc>
          <w:tcPr>
            <w:tcW w:w="1419" w:type="pct"/>
            <w:gridSpan w:val="5"/>
            <w:vMerge w:val="restart"/>
            <w:tcBorders>
              <w:top w:val="nil"/>
              <w:left w:val="single" w:sz="8" w:space="0" w:color="auto"/>
              <w:right w:val="single" w:sz="8" w:space="0" w:color="auto"/>
            </w:tcBorders>
            <w:vAlign w:val="center"/>
            <w:hideMark/>
          </w:tcPr>
          <w:p w14:paraId="23061C09" w14:textId="77777777" w:rsidR="00044D5B" w:rsidRPr="00597673" w:rsidRDefault="00044D5B">
            <w:pPr>
              <w:spacing w:before="0" w:after="0"/>
              <w:jc w:val="center"/>
              <w:rPr>
                <w:b/>
                <w:bCs/>
                <w:color w:val="000000"/>
                <w:sz w:val="22"/>
              </w:rPr>
            </w:pPr>
            <w:r w:rsidRPr="00597673">
              <w:rPr>
                <w:b/>
                <w:color w:val="000000"/>
                <w:sz w:val="22"/>
              </w:rPr>
              <w:t>ОБЩО бюджетни кредити</w:t>
            </w:r>
          </w:p>
          <w:p w14:paraId="3C6E500C" w14:textId="77777777" w:rsidR="00044D5B" w:rsidRPr="00597673" w:rsidRDefault="00044D5B">
            <w:pPr>
              <w:spacing w:before="0" w:after="0"/>
              <w:jc w:val="center"/>
              <w:rPr>
                <w:b/>
                <w:bCs/>
                <w:color w:val="000000"/>
                <w:sz w:val="22"/>
              </w:rPr>
            </w:pPr>
            <w:r w:rsidRPr="00597673">
              <w:rPr>
                <w:b/>
                <w:color w:val="000000"/>
                <w:sz w:val="22"/>
              </w:rPr>
              <w:t xml:space="preserve">за ГД </w:t>
            </w:r>
            <w:r w:rsidRPr="00597673">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6F01C0D6"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6" w:type="pct"/>
            <w:gridSpan w:val="2"/>
            <w:tcBorders>
              <w:top w:val="single" w:sz="8" w:space="0" w:color="auto"/>
              <w:left w:val="nil"/>
              <w:bottom w:val="single" w:sz="8" w:space="0" w:color="auto"/>
              <w:right w:val="single" w:sz="8" w:space="0" w:color="auto"/>
            </w:tcBorders>
            <w:vAlign w:val="center"/>
            <w:hideMark/>
          </w:tcPr>
          <w:p w14:paraId="314FC1D6" w14:textId="77777777" w:rsidR="00044D5B" w:rsidRPr="00597673" w:rsidRDefault="00044D5B">
            <w:pPr>
              <w:spacing w:before="0" w:after="0"/>
              <w:jc w:val="center"/>
              <w:rPr>
                <w:color w:val="000000"/>
                <w:sz w:val="14"/>
                <w:szCs w:val="14"/>
              </w:rPr>
            </w:pPr>
            <w:r w:rsidRPr="00597673">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BCBFE6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BEB1F6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62009B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562232E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7908D928"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0ED28A88" w14:textId="77777777">
        <w:trPr>
          <w:trHeight w:val="288"/>
        </w:trPr>
        <w:tc>
          <w:tcPr>
            <w:tcW w:w="1419" w:type="pct"/>
            <w:gridSpan w:val="5"/>
            <w:vMerge/>
            <w:tcBorders>
              <w:left w:val="single" w:sz="8" w:space="0" w:color="auto"/>
              <w:bottom w:val="single" w:sz="8" w:space="0" w:color="auto"/>
              <w:right w:val="single" w:sz="8" w:space="0" w:color="auto"/>
            </w:tcBorders>
            <w:vAlign w:val="center"/>
            <w:hideMark/>
          </w:tcPr>
          <w:p w14:paraId="381BD9F1" w14:textId="77777777" w:rsidR="00044D5B" w:rsidRPr="00597673"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1F84BED5" w14:textId="77777777" w:rsidR="00044D5B" w:rsidRPr="00597673" w:rsidRDefault="00044D5B">
            <w:pPr>
              <w:spacing w:before="0" w:after="0"/>
              <w:rPr>
                <w:color w:val="000000"/>
                <w:sz w:val="18"/>
                <w:szCs w:val="18"/>
              </w:rPr>
            </w:pPr>
            <w:r w:rsidRPr="00597673">
              <w:rPr>
                <w:color w:val="000000"/>
                <w:sz w:val="18"/>
              </w:rPr>
              <w:t>Плащания</w:t>
            </w:r>
          </w:p>
        </w:tc>
        <w:tc>
          <w:tcPr>
            <w:tcW w:w="496" w:type="pct"/>
            <w:gridSpan w:val="2"/>
            <w:tcBorders>
              <w:top w:val="single" w:sz="8" w:space="0" w:color="auto"/>
              <w:left w:val="nil"/>
              <w:bottom w:val="single" w:sz="8" w:space="0" w:color="auto"/>
              <w:right w:val="single" w:sz="8" w:space="0" w:color="auto"/>
            </w:tcBorders>
            <w:vAlign w:val="center"/>
            <w:hideMark/>
          </w:tcPr>
          <w:p w14:paraId="4299A168" w14:textId="77777777" w:rsidR="00044D5B" w:rsidRPr="00597673" w:rsidRDefault="00044D5B">
            <w:pPr>
              <w:spacing w:before="0" w:after="0"/>
              <w:jc w:val="center"/>
              <w:rPr>
                <w:color w:val="000000"/>
                <w:sz w:val="14"/>
                <w:szCs w:val="14"/>
              </w:rPr>
            </w:pPr>
            <w:r w:rsidRPr="00597673">
              <w:rPr>
                <w:color w:val="000000"/>
                <w:sz w:val="14"/>
              </w:rPr>
              <w:t>=2а+2б+3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AD1FD2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4EAA4D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8C3228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31114F85"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0024620F"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B55C7B" w:rsidRPr="00597673" w14:paraId="137C9A97" w14:textId="77777777">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6835FDD2" w14:textId="77777777" w:rsidR="00044D5B" w:rsidRPr="00597673" w:rsidRDefault="00044D5B">
            <w:pPr>
              <w:spacing w:before="0" w:after="0"/>
              <w:jc w:val="center"/>
              <w:rPr>
                <w:b/>
                <w:bCs/>
                <w:color w:val="000000"/>
                <w:sz w:val="22"/>
              </w:rPr>
            </w:pPr>
            <w:r w:rsidRPr="00597673">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7A574CF5"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023053E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130EC8C4"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93" w:type="pct"/>
            <w:gridSpan w:val="2"/>
            <w:tcBorders>
              <w:top w:val="single" w:sz="8" w:space="0" w:color="auto"/>
              <w:left w:val="nil"/>
              <w:bottom w:val="single" w:sz="8" w:space="0" w:color="auto"/>
              <w:right w:val="single" w:sz="8" w:space="0" w:color="auto"/>
            </w:tcBorders>
            <w:vAlign w:val="center"/>
            <w:hideMark/>
          </w:tcPr>
          <w:p w14:paraId="3938BB8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507E2C76"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B55C7B" w:rsidRPr="00597673" w14:paraId="557C28CC" w14:textId="77777777">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14:paraId="2E433FAA" w14:textId="77777777" w:rsidR="00044D5B" w:rsidRPr="00597673" w:rsidRDefault="00044D5B">
            <w:pPr>
              <w:spacing w:before="0" w:after="0"/>
              <w:jc w:val="left"/>
              <w:rPr>
                <w:b/>
                <w:bCs/>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64EE280F"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93" w:type="pct"/>
            <w:gridSpan w:val="2"/>
            <w:tcBorders>
              <w:top w:val="nil"/>
              <w:left w:val="nil"/>
              <w:bottom w:val="single" w:sz="8" w:space="0" w:color="auto"/>
              <w:right w:val="single" w:sz="8" w:space="0" w:color="auto"/>
            </w:tcBorders>
            <w:vAlign w:val="center"/>
            <w:hideMark/>
          </w:tcPr>
          <w:p w14:paraId="1F83B658"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93" w:type="pct"/>
            <w:gridSpan w:val="2"/>
            <w:tcBorders>
              <w:top w:val="nil"/>
              <w:left w:val="nil"/>
              <w:bottom w:val="single" w:sz="8" w:space="0" w:color="auto"/>
              <w:right w:val="single" w:sz="8" w:space="0" w:color="auto"/>
            </w:tcBorders>
            <w:vAlign w:val="center"/>
            <w:hideMark/>
          </w:tcPr>
          <w:p w14:paraId="1AF72137"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93" w:type="pct"/>
            <w:gridSpan w:val="2"/>
            <w:tcBorders>
              <w:top w:val="nil"/>
              <w:left w:val="nil"/>
              <w:bottom w:val="single" w:sz="8" w:space="0" w:color="auto"/>
              <w:right w:val="single" w:sz="8" w:space="0" w:color="auto"/>
            </w:tcBorders>
            <w:vAlign w:val="center"/>
            <w:hideMark/>
          </w:tcPr>
          <w:p w14:paraId="15C20D41"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50833B06" w14:textId="77777777" w:rsidR="00044D5B" w:rsidRPr="00597673" w:rsidRDefault="00044D5B">
            <w:pPr>
              <w:spacing w:before="0" w:after="0"/>
              <w:jc w:val="left"/>
              <w:rPr>
                <w:b/>
                <w:bCs/>
                <w:color w:val="000000"/>
                <w:sz w:val="20"/>
                <w:szCs w:val="20"/>
                <w:lang w:eastAsia="en-IE"/>
              </w:rPr>
            </w:pPr>
          </w:p>
        </w:tc>
      </w:tr>
      <w:tr w:rsidR="00983E98" w:rsidRPr="00597673" w14:paraId="49EFAA4F" w14:textId="77777777">
        <w:trPr>
          <w:trHeight w:val="432"/>
        </w:trPr>
        <w:tc>
          <w:tcPr>
            <w:tcW w:w="1411" w:type="pct"/>
            <w:gridSpan w:val="3"/>
            <w:vMerge w:val="restart"/>
            <w:tcBorders>
              <w:top w:val="nil"/>
              <w:left w:val="single" w:sz="8" w:space="0" w:color="auto"/>
              <w:bottom w:val="single" w:sz="8" w:space="0" w:color="auto"/>
              <w:right w:val="single" w:sz="8" w:space="0" w:color="auto"/>
            </w:tcBorders>
            <w:vAlign w:val="center"/>
            <w:hideMark/>
          </w:tcPr>
          <w:p w14:paraId="17360F3A"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оперативни разходи </w:t>
            </w:r>
            <w:r w:rsidRPr="00597673">
              <w:t xml:space="preserve"> </w:t>
            </w:r>
            <w:r w:rsidRPr="00597673">
              <w:br/>
            </w:r>
          </w:p>
        </w:tc>
        <w:tc>
          <w:tcPr>
            <w:tcW w:w="529" w:type="pct"/>
            <w:gridSpan w:val="2"/>
            <w:tcBorders>
              <w:top w:val="nil"/>
              <w:left w:val="nil"/>
              <w:bottom w:val="single" w:sz="8" w:space="0" w:color="auto"/>
              <w:right w:val="single" w:sz="8" w:space="0" w:color="auto"/>
            </w:tcBorders>
            <w:vAlign w:val="center"/>
            <w:hideMark/>
          </w:tcPr>
          <w:p w14:paraId="0FF2D3E1"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gridSpan w:val="2"/>
            <w:tcBorders>
              <w:top w:val="single" w:sz="8" w:space="0" w:color="auto"/>
              <w:left w:val="nil"/>
              <w:bottom w:val="single" w:sz="8" w:space="0" w:color="auto"/>
              <w:right w:val="single" w:sz="8" w:space="0" w:color="auto"/>
            </w:tcBorders>
            <w:vAlign w:val="center"/>
            <w:hideMark/>
          </w:tcPr>
          <w:p w14:paraId="71B70DDE" w14:textId="77777777" w:rsidR="00044D5B" w:rsidRPr="00597673" w:rsidRDefault="00044D5B">
            <w:pPr>
              <w:spacing w:before="0" w:after="0"/>
              <w:jc w:val="center"/>
              <w:rPr>
                <w:color w:val="000000"/>
                <w:sz w:val="14"/>
                <w:szCs w:val="14"/>
              </w:rPr>
            </w:pPr>
            <w:r w:rsidRPr="00597673">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69BE128"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519776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D0662E9"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90D835A"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0674CD2B"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A29D349" w14:textId="77777777">
        <w:trPr>
          <w:trHeight w:val="456"/>
        </w:trPr>
        <w:tc>
          <w:tcPr>
            <w:tcW w:w="1411" w:type="pct"/>
            <w:gridSpan w:val="3"/>
            <w:vMerge/>
            <w:tcBorders>
              <w:top w:val="nil"/>
              <w:left w:val="single" w:sz="8" w:space="0" w:color="auto"/>
              <w:bottom w:val="single" w:sz="8" w:space="0" w:color="auto"/>
              <w:right w:val="single" w:sz="8" w:space="0" w:color="auto"/>
            </w:tcBorders>
            <w:vAlign w:val="center"/>
            <w:hideMark/>
          </w:tcPr>
          <w:p w14:paraId="0A6581AD" w14:textId="77777777" w:rsidR="00044D5B" w:rsidRPr="00597673" w:rsidRDefault="00044D5B">
            <w:pPr>
              <w:spacing w:before="0" w:after="0"/>
              <w:jc w:val="left"/>
              <w:rPr>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732C8FAE"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gridSpan w:val="2"/>
            <w:tcBorders>
              <w:top w:val="single" w:sz="8" w:space="0" w:color="auto"/>
              <w:left w:val="nil"/>
              <w:bottom w:val="single" w:sz="8" w:space="0" w:color="auto"/>
              <w:right w:val="single" w:sz="8" w:space="0" w:color="auto"/>
            </w:tcBorders>
            <w:vAlign w:val="center"/>
            <w:hideMark/>
          </w:tcPr>
          <w:p w14:paraId="0F90EB25" w14:textId="77777777" w:rsidR="00044D5B" w:rsidRPr="00597673" w:rsidRDefault="00044D5B">
            <w:pPr>
              <w:spacing w:before="0" w:after="0"/>
              <w:jc w:val="center"/>
              <w:rPr>
                <w:color w:val="000000"/>
                <w:sz w:val="14"/>
                <w:szCs w:val="14"/>
              </w:rPr>
            </w:pPr>
            <w:r w:rsidRPr="00597673">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5999154"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F6927C5"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0278BC0"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8294720"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29A729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5FB54417" w14:textId="77777777">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519B4A3F" w14:textId="77777777" w:rsidR="00044D5B" w:rsidRPr="00597673" w:rsidRDefault="00044D5B">
            <w:pPr>
              <w:spacing w:before="0" w:after="0"/>
              <w:rPr>
                <w:color w:val="000000"/>
                <w:sz w:val="21"/>
                <w:szCs w:val="21"/>
              </w:rPr>
            </w:pPr>
            <w:r w:rsidRPr="00597673">
              <w:rPr>
                <w:color w:val="000000"/>
                <w:sz w:val="21"/>
              </w:rPr>
              <w:t xml:space="preserve">ОБЩО бюджетни кредити за административни разходи, финансирани от пакета за определени програми </w:t>
            </w:r>
          </w:p>
        </w:tc>
        <w:tc>
          <w:tcPr>
            <w:tcW w:w="492" w:type="pct"/>
            <w:gridSpan w:val="4"/>
            <w:tcBorders>
              <w:top w:val="single" w:sz="8" w:space="0" w:color="auto"/>
              <w:left w:val="nil"/>
              <w:bottom w:val="single" w:sz="8" w:space="0" w:color="auto"/>
              <w:right w:val="single" w:sz="8" w:space="0" w:color="auto"/>
            </w:tcBorders>
            <w:vAlign w:val="center"/>
            <w:hideMark/>
          </w:tcPr>
          <w:p w14:paraId="4D7C2B9A" w14:textId="77777777" w:rsidR="00044D5B" w:rsidRPr="00597673" w:rsidRDefault="00044D5B">
            <w:pPr>
              <w:spacing w:before="0" w:after="0"/>
              <w:jc w:val="center"/>
              <w:rPr>
                <w:color w:val="000000"/>
                <w:sz w:val="14"/>
                <w:szCs w:val="14"/>
              </w:rPr>
            </w:pPr>
            <w:r w:rsidRPr="00597673">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FA18F2F"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3FEC88D"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060B831" w14:textId="77777777" w:rsidR="00044D5B" w:rsidRPr="00597673" w:rsidRDefault="00044D5B">
            <w:pPr>
              <w:spacing w:before="0" w:after="0"/>
              <w:jc w:val="right"/>
              <w:rPr>
                <w:color w:val="000000"/>
                <w:sz w:val="20"/>
                <w:szCs w:val="20"/>
              </w:rPr>
            </w:pPr>
            <w:r w:rsidRPr="00597673">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9870A03" w14:textId="77777777" w:rsidR="00044D5B" w:rsidRPr="00597673" w:rsidRDefault="00044D5B">
            <w:pPr>
              <w:spacing w:before="0" w:after="0"/>
              <w:jc w:val="right"/>
              <w:rPr>
                <w:color w:val="000000"/>
                <w:sz w:val="20"/>
                <w:szCs w:val="20"/>
              </w:rPr>
            </w:pPr>
            <w:r w:rsidRPr="00597673">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C98099B"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6177FACA" w14:textId="77777777">
        <w:trPr>
          <w:trHeight w:val="564"/>
        </w:trPr>
        <w:tc>
          <w:tcPr>
            <w:tcW w:w="1411" w:type="pct"/>
            <w:gridSpan w:val="3"/>
            <w:tcBorders>
              <w:top w:val="nil"/>
              <w:left w:val="single" w:sz="8" w:space="0" w:color="auto"/>
              <w:bottom w:val="nil"/>
              <w:right w:val="single" w:sz="8" w:space="0" w:color="auto"/>
            </w:tcBorders>
            <w:shd w:val="thinDiagStripe" w:color="C0C0C0" w:fill="F1F1F1"/>
            <w:vAlign w:val="center"/>
            <w:hideMark/>
          </w:tcPr>
          <w:p w14:paraId="48021CD1"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ФУНКЦИЯ &lt;….&gt;</w:t>
            </w:r>
          </w:p>
        </w:tc>
        <w:tc>
          <w:tcPr>
            <w:tcW w:w="529" w:type="pct"/>
            <w:gridSpan w:val="2"/>
            <w:tcBorders>
              <w:top w:val="nil"/>
              <w:left w:val="nil"/>
              <w:bottom w:val="single" w:sz="8" w:space="0" w:color="auto"/>
              <w:right w:val="single" w:sz="8" w:space="0" w:color="auto"/>
            </w:tcBorders>
            <w:vAlign w:val="center"/>
            <w:hideMark/>
          </w:tcPr>
          <w:p w14:paraId="14185E70"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492" w:type="pct"/>
            <w:gridSpan w:val="2"/>
            <w:tcBorders>
              <w:top w:val="single" w:sz="8" w:space="0" w:color="auto"/>
              <w:left w:val="nil"/>
              <w:bottom w:val="single" w:sz="8" w:space="0" w:color="auto"/>
              <w:right w:val="single" w:sz="8" w:space="0" w:color="auto"/>
            </w:tcBorders>
            <w:vAlign w:val="center"/>
            <w:hideMark/>
          </w:tcPr>
          <w:p w14:paraId="05EBA05E" w14:textId="77777777" w:rsidR="00044D5B" w:rsidRPr="00597673" w:rsidRDefault="00044D5B">
            <w:pPr>
              <w:spacing w:before="0" w:after="0"/>
              <w:jc w:val="center"/>
              <w:rPr>
                <w:color w:val="000000"/>
                <w:sz w:val="14"/>
                <w:szCs w:val="14"/>
              </w:rPr>
            </w:pPr>
            <w:r w:rsidRPr="00597673">
              <w:rPr>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B73FA0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B4BF47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BEEB18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F1E6821"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C8DA821"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20F1CA89" w14:textId="77777777">
        <w:trPr>
          <w:trHeight w:val="528"/>
        </w:trPr>
        <w:tc>
          <w:tcPr>
            <w:tcW w:w="1411"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52DCFA83" w14:textId="77777777" w:rsidR="00044D5B" w:rsidRPr="00597673" w:rsidRDefault="00044D5B">
            <w:pPr>
              <w:spacing w:before="0" w:after="0"/>
              <w:jc w:val="center"/>
              <w:rPr>
                <w:color w:val="000000"/>
                <w:sz w:val="22"/>
              </w:rPr>
            </w:pPr>
            <w:r w:rsidRPr="00597673">
              <w:rPr>
                <w:color w:val="000000"/>
                <w:sz w:val="22"/>
              </w:rPr>
              <w:t>от многогодишната финансова рамка</w:t>
            </w:r>
          </w:p>
        </w:tc>
        <w:tc>
          <w:tcPr>
            <w:tcW w:w="529" w:type="pct"/>
            <w:gridSpan w:val="2"/>
            <w:tcBorders>
              <w:top w:val="nil"/>
              <w:left w:val="nil"/>
              <w:bottom w:val="single" w:sz="8" w:space="0" w:color="auto"/>
              <w:right w:val="single" w:sz="8" w:space="0" w:color="auto"/>
            </w:tcBorders>
            <w:vAlign w:val="center"/>
            <w:hideMark/>
          </w:tcPr>
          <w:p w14:paraId="02835959" w14:textId="77777777" w:rsidR="00044D5B" w:rsidRPr="00597673" w:rsidRDefault="00044D5B">
            <w:pPr>
              <w:spacing w:before="0" w:after="0"/>
              <w:rPr>
                <w:color w:val="000000"/>
                <w:sz w:val="18"/>
                <w:szCs w:val="18"/>
              </w:rPr>
            </w:pPr>
            <w:r w:rsidRPr="00597673">
              <w:rPr>
                <w:color w:val="000000"/>
                <w:sz w:val="18"/>
              </w:rPr>
              <w:t>Плащания</w:t>
            </w:r>
          </w:p>
        </w:tc>
        <w:tc>
          <w:tcPr>
            <w:tcW w:w="492" w:type="pct"/>
            <w:gridSpan w:val="2"/>
            <w:tcBorders>
              <w:top w:val="single" w:sz="8" w:space="0" w:color="auto"/>
              <w:left w:val="nil"/>
              <w:bottom w:val="single" w:sz="8" w:space="0" w:color="auto"/>
              <w:right w:val="single" w:sz="8" w:space="0" w:color="auto"/>
            </w:tcBorders>
            <w:vAlign w:val="center"/>
            <w:hideMark/>
          </w:tcPr>
          <w:p w14:paraId="04075213" w14:textId="77777777" w:rsidR="00044D5B" w:rsidRPr="00597673" w:rsidRDefault="00044D5B">
            <w:pPr>
              <w:spacing w:before="0" w:after="0"/>
              <w:jc w:val="center"/>
              <w:rPr>
                <w:color w:val="000000"/>
                <w:sz w:val="14"/>
                <w:szCs w:val="14"/>
              </w:rPr>
            </w:pPr>
            <w:r w:rsidRPr="00597673">
              <w:rPr>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7E452DC"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4B95F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7C5A77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4B7852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F7D31F2"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733BD3" w:rsidRPr="00597673" w14:paraId="1ABB40B3" w14:textId="77777777">
        <w:trPr>
          <w:gridBefore w:val="1"/>
          <w:trHeight w:val="288"/>
        </w:trPr>
        <w:tc>
          <w:tcPr>
            <w:tcW w:w="1522" w:type="pct"/>
            <w:gridSpan w:val="2"/>
            <w:tcBorders>
              <w:top w:val="nil"/>
              <w:left w:val="nil"/>
              <w:bottom w:val="nil"/>
              <w:right w:val="nil"/>
            </w:tcBorders>
            <w:noWrap/>
            <w:vAlign w:val="bottom"/>
            <w:hideMark/>
          </w:tcPr>
          <w:p w14:paraId="7ECF7E6C" w14:textId="77777777" w:rsidR="00044D5B" w:rsidRPr="00597673" w:rsidRDefault="00044D5B">
            <w:pPr>
              <w:spacing w:before="0" w:after="0"/>
              <w:jc w:val="left"/>
              <w:rPr>
                <w:sz w:val="20"/>
                <w:szCs w:val="24"/>
                <w:lang w:eastAsia="en-IE"/>
              </w:rPr>
            </w:pPr>
          </w:p>
        </w:tc>
        <w:tc>
          <w:tcPr>
            <w:tcW w:w="471" w:type="pct"/>
            <w:tcBorders>
              <w:top w:val="nil"/>
              <w:left w:val="nil"/>
              <w:bottom w:val="nil"/>
              <w:right w:val="nil"/>
            </w:tcBorders>
            <w:noWrap/>
            <w:vAlign w:val="bottom"/>
            <w:hideMark/>
          </w:tcPr>
          <w:p w14:paraId="7931E240" w14:textId="77777777" w:rsidR="00044D5B" w:rsidRPr="00597673"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09C1BC8C" w14:textId="77777777" w:rsidR="00044D5B" w:rsidRPr="00597673" w:rsidRDefault="00044D5B">
            <w:pPr>
              <w:spacing w:before="0" w:after="0"/>
              <w:jc w:val="left"/>
              <w:rPr>
                <w:sz w:val="20"/>
                <w:szCs w:val="20"/>
                <w:lang w:eastAsia="en-IE"/>
              </w:rPr>
            </w:pPr>
          </w:p>
        </w:tc>
        <w:tc>
          <w:tcPr>
            <w:tcW w:w="366" w:type="pct"/>
            <w:tcBorders>
              <w:top w:val="nil"/>
              <w:left w:val="nil"/>
              <w:bottom w:val="nil"/>
              <w:right w:val="single" w:sz="4" w:space="0" w:color="auto"/>
            </w:tcBorders>
            <w:noWrap/>
            <w:vAlign w:val="bottom"/>
            <w:hideMark/>
          </w:tcPr>
          <w:p w14:paraId="686AEDBF" w14:textId="77777777" w:rsidR="00044D5B" w:rsidRPr="00597673" w:rsidRDefault="00044D5B">
            <w:pPr>
              <w:spacing w:before="0" w:after="0"/>
              <w:jc w:val="left"/>
              <w:rPr>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692F9CA3"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37" w:type="pct"/>
            <w:gridSpan w:val="2"/>
            <w:tcBorders>
              <w:top w:val="single" w:sz="8" w:space="0" w:color="auto"/>
              <w:left w:val="nil"/>
              <w:bottom w:val="nil"/>
              <w:right w:val="single" w:sz="8" w:space="0" w:color="auto"/>
            </w:tcBorders>
            <w:vAlign w:val="center"/>
            <w:hideMark/>
          </w:tcPr>
          <w:p w14:paraId="62991AC4"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37" w:type="pct"/>
            <w:gridSpan w:val="2"/>
            <w:tcBorders>
              <w:top w:val="single" w:sz="8" w:space="0" w:color="auto"/>
              <w:left w:val="nil"/>
              <w:bottom w:val="nil"/>
              <w:right w:val="single" w:sz="8" w:space="0" w:color="auto"/>
            </w:tcBorders>
            <w:vAlign w:val="center"/>
            <w:hideMark/>
          </w:tcPr>
          <w:p w14:paraId="26A4AD3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437" w:type="pct"/>
            <w:gridSpan w:val="2"/>
            <w:tcBorders>
              <w:top w:val="single" w:sz="8" w:space="0" w:color="auto"/>
              <w:left w:val="nil"/>
              <w:bottom w:val="nil"/>
              <w:right w:val="single" w:sz="8" w:space="0" w:color="auto"/>
            </w:tcBorders>
            <w:vAlign w:val="center"/>
            <w:hideMark/>
          </w:tcPr>
          <w:p w14:paraId="1695F2EC"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8"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1194F658"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983E98" w:rsidRPr="00597673" w14:paraId="40CBB251" w14:textId="77777777">
        <w:trPr>
          <w:gridBefore w:val="1"/>
          <w:trHeight w:val="300"/>
        </w:trPr>
        <w:tc>
          <w:tcPr>
            <w:tcW w:w="1522" w:type="pct"/>
            <w:gridSpan w:val="2"/>
            <w:tcBorders>
              <w:top w:val="nil"/>
              <w:left w:val="nil"/>
              <w:bottom w:val="nil"/>
              <w:right w:val="nil"/>
            </w:tcBorders>
            <w:noWrap/>
            <w:vAlign w:val="bottom"/>
            <w:hideMark/>
          </w:tcPr>
          <w:p w14:paraId="1CADC562" w14:textId="77777777" w:rsidR="00044D5B" w:rsidRPr="00597673" w:rsidRDefault="00044D5B">
            <w:pPr>
              <w:spacing w:before="0" w:after="0"/>
              <w:jc w:val="center"/>
              <w:rPr>
                <w:b/>
                <w:bCs/>
                <w:color w:val="000000"/>
                <w:sz w:val="20"/>
                <w:szCs w:val="20"/>
                <w:lang w:eastAsia="en-IE"/>
              </w:rPr>
            </w:pPr>
          </w:p>
        </w:tc>
        <w:tc>
          <w:tcPr>
            <w:tcW w:w="471" w:type="pct"/>
            <w:tcBorders>
              <w:top w:val="nil"/>
              <w:left w:val="nil"/>
              <w:bottom w:val="nil"/>
              <w:right w:val="nil"/>
            </w:tcBorders>
            <w:noWrap/>
            <w:vAlign w:val="bottom"/>
            <w:hideMark/>
          </w:tcPr>
          <w:p w14:paraId="5179F679" w14:textId="77777777" w:rsidR="00044D5B" w:rsidRPr="00597673"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4EF170CC" w14:textId="77777777" w:rsidR="00044D5B" w:rsidRPr="00597673" w:rsidRDefault="00044D5B">
            <w:pPr>
              <w:spacing w:before="0" w:after="0"/>
              <w:jc w:val="left"/>
              <w:rPr>
                <w:sz w:val="20"/>
                <w:szCs w:val="20"/>
                <w:lang w:eastAsia="en-IE"/>
              </w:rPr>
            </w:pPr>
          </w:p>
        </w:tc>
        <w:tc>
          <w:tcPr>
            <w:tcW w:w="366" w:type="pct"/>
            <w:tcBorders>
              <w:top w:val="nil"/>
              <w:left w:val="nil"/>
              <w:bottom w:val="nil"/>
              <w:right w:val="single" w:sz="4" w:space="0" w:color="auto"/>
            </w:tcBorders>
            <w:noWrap/>
            <w:vAlign w:val="bottom"/>
            <w:hideMark/>
          </w:tcPr>
          <w:p w14:paraId="1F813115" w14:textId="77777777" w:rsidR="00044D5B" w:rsidRPr="00597673" w:rsidRDefault="00044D5B">
            <w:pPr>
              <w:spacing w:before="0" w:after="0"/>
              <w:jc w:val="left"/>
              <w:rPr>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3A44A67B"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437" w:type="pct"/>
            <w:gridSpan w:val="2"/>
            <w:tcBorders>
              <w:top w:val="nil"/>
              <w:left w:val="nil"/>
              <w:bottom w:val="single" w:sz="8" w:space="0" w:color="auto"/>
              <w:right w:val="single" w:sz="8" w:space="0" w:color="auto"/>
            </w:tcBorders>
            <w:vAlign w:val="center"/>
            <w:hideMark/>
          </w:tcPr>
          <w:p w14:paraId="76B38AD5"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437" w:type="pct"/>
            <w:gridSpan w:val="2"/>
            <w:tcBorders>
              <w:top w:val="nil"/>
              <w:left w:val="nil"/>
              <w:bottom w:val="single" w:sz="8" w:space="0" w:color="auto"/>
              <w:right w:val="single" w:sz="8" w:space="0" w:color="auto"/>
            </w:tcBorders>
            <w:vAlign w:val="center"/>
            <w:hideMark/>
          </w:tcPr>
          <w:p w14:paraId="60E1F886"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437" w:type="pct"/>
            <w:gridSpan w:val="2"/>
            <w:tcBorders>
              <w:top w:val="nil"/>
              <w:left w:val="nil"/>
              <w:bottom w:val="single" w:sz="8" w:space="0" w:color="auto"/>
              <w:right w:val="single" w:sz="8" w:space="0" w:color="auto"/>
            </w:tcBorders>
            <w:vAlign w:val="center"/>
            <w:hideMark/>
          </w:tcPr>
          <w:p w14:paraId="5808234A"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528" w:type="pct"/>
            <w:gridSpan w:val="3"/>
            <w:vMerge/>
            <w:tcBorders>
              <w:top w:val="single" w:sz="8" w:space="0" w:color="auto"/>
              <w:left w:val="single" w:sz="8" w:space="0" w:color="auto"/>
              <w:bottom w:val="single" w:sz="8" w:space="0" w:color="000000"/>
              <w:right w:val="single" w:sz="8" w:space="0" w:color="auto"/>
            </w:tcBorders>
            <w:vAlign w:val="center"/>
            <w:hideMark/>
          </w:tcPr>
          <w:p w14:paraId="4B3EBC54" w14:textId="77777777" w:rsidR="00044D5B" w:rsidRPr="00597673" w:rsidRDefault="00044D5B">
            <w:pPr>
              <w:spacing w:before="0" w:after="0"/>
              <w:jc w:val="left"/>
              <w:rPr>
                <w:b/>
                <w:bCs/>
                <w:color w:val="000000"/>
                <w:sz w:val="20"/>
                <w:szCs w:val="20"/>
                <w:lang w:eastAsia="en-IE"/>
              </w:rPr>
            </w:pPr>
          </w:p>
        </w:tc>
      </w:tr>
      <w:tr w:rsidR="00E62D64" w:rsidRPr="00597673" w14:paraId="23910D26" w14:textId="77777777">
        <w:trPr>
          <w:gridBefore w:val="1"/>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184920F" w14:textId="77777777" w:rsidR="00044D5B" w:rsidRPr="00597673" w:rsidRDefault="00044D5B">
            <w:pPr>
              <w:spacing w:before="0" w:after="0"/>
              <w:rPr>
                <w:color w:val="000000"/>
                <w:sz w:val="21"/>
                <w:szCs w:val="21"/>
              </w:rPr>
            </w:pPr>
            <w:r w:rsidRPr="00597673">
              <w:rPr>
                <w:rFonts w:ascii="Calibri" w:hAnsi="Calibri"/>
                <w:color w:val="000000"/>
                <w:sz w:val="21"/>
              </w:rPr>
              <w:t xml:space="preserve">• </w:t>
            </w:r>
            <w:r w:rsidRPr="00597673">
              <w:rPr>
                <w:color w:val="000000"/>
                <w:sz w:val="21"/>
              </w:rPr>
              <w:t>ОБЩО бюджетни кредити за оперативни разходи (всички оперативни функции)</w:t>
            </w:r>
          </w:p>
        </w:tc>
        <w:tc>
          <w:tcPr>
            <w:tcW w:w="471" w:type="pct"/>
            <w:tcBorders>
              <w:top w:val="single" w:sz="8" w:space="0" w:color="auto"/>
              <w:left w:val="nil"/>
              <w:bottom w:val="single" w:sz="8" w:space="0" w:color="auto"/>
              <w:right w:val="single" w:sz="8" w:space="0" w:color="auto"/>
            </w:tcBorders>
            <w:vAlign w:val="center"/>
            <w:hideMark/>
          </w:tcPr>
          <w:p w14:paraId="35E431FA"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31" w:type="pct"/>
            <w:gridSpan w:val="2"/>
            <w:tcBorders>
              <w:top w:val="single" w:sz="8" w:space="0" w:color="auto"/>
              <w:left w:val="nil"/>
              <w:bottom w:val="single" w:sz="8" w:space="0" w:color="auto"/>
              <w:right w:val="single" w:sz="8" w:space="0" w:color="000000"/>
            </w:tcBorders>
            <w:vAlign w:val="center"/>
            <w:hideMark/>
          </w:tcPr>
          <w:p w14:paraId="0E5E0636" w14:textId="77777777" w:rsidR="00044D5B" w:rsidRPr="00597673" w:rsidRDefault="00044D5B">
            <w:pPr>
              <w:spacing w:before="0" w:after="0"/>
              <w:jc w:val="center"/>
              <w:rPr>
                <w:color w:val="000000"/>
                <w:sz w:val="14"/>
                <w:szCs w:val="14"/>
              </w:rPr>
            </w:pPr>
            <w:r w:rsidRPr="00597673">
              <w:rPr>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820F68C"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39F23CA"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B2CC86F"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012322E" w14:textId="77777777" w:rsidR="00044D5B" w:rsidRPr="00597673" w:rsidRDefault="00044D5B">
            <w:pPr>
              <w:spacing w:before="0" w:after="0"/>
              <w:jc w:val="right"/>
              <w:rPr>
                <w:color w:val="000000"/>
                <w:sz w:val="20"/>
                <w:szCs w:val="20"/>
              </w:rPr>
            </w:pPr>
            <w:r w:rsidRPr="00597673">
              <w:rPr>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551BB8E5"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352132C" w14:textId="77777777">
        <w:trPr>
          <w:gridBefore w:val="1"/>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14:paraId="0EB237C2" w14:textId="77777777" w:rsidR="00044D5B" w:rsidRPr="00597673" w:rsidRDefault="00044D5B">
            <w:pPr>
              <w:spacing w:before="0" w:after="0"/>
              <w:jc w:val="left"/>
              <w:rPr>
                <w:color w:val="000000"/>
                <w:sz w:val="21"/>
                <w:szCs w:val="21"/>
                <w:lang w:eastAsia="en-IE"/>
              </w:rPr>
            </w:pPr>
          </w:p>
        </w:tc>
        <w:tc>
          <w:tcPr>
            <w:tcW w:w="471" w:type="pct"/>
            <w:tcBorders>
              <w:top w:val="nil"/>
              <w:left w:val="nil"/>
              <w:bottom w:val="single" w:sz="8" w:space="0" w:color="auto"/>
              <w:right w:val="single" w:sz="8" w:space="0" w:color="auto"/>
            </w:tcBorders>
            <w:vAlign w:val="center"/>
            <w:hideMark/>
          </w:tcPr>
          <w:p w14:paraId="6611D5DB" w14:textId="77777777" w:rsidR="00044D5B" w:rsidRPr="00597673" w:rsidRDefault="00044D5B">
            <w:pPr>
              <w:spacing w:before="0" w:after="0"/>
              <w:rPr>
                <w:color w:val="000000"/>
                <w:sz w:val="18"/>
                <w:szCs w:val="18"/>
              </w:rPr>
            </w:pPr>
            <w:r w:rsidRPr="00597673">
              <w:rPr>
                <w:color w:val="000000"/>
                <w:sz w:val="18"/>
              </w:rPr>
              <w:t>Плащания</w:t>
            </w:r>
          </w:p>
        </w:tc>
        <w:tc>
          <w:tcPr>
            <w:tcW w:w="731" w:type="pct"/>
            <w:gridSpan w:val="2"/>
            <w:tcBorders>
              <w:top w:val="single" w:sz="8" w:space="0" w:color="auto"/>
              <w:left w:val="nil"/>
              <w:bottom w:val="single" w:sz="8" w:space="0" w:color="auto"/>
              <w:right w:val="single" w:sz="8" w:space="0" w:color="000000"/>
            </w:tcBorders>
            <w:vAlign w:val="center"/>
            <w:hideMark/>
          </w:tcPr>
          <w:p w14:paraId="55461E3B" w14:textId="77777777" w:rsidR="00044D5B" w:rsidRPr="00597673" w:rsidRDefault="00044D5B">
            <w:pPr>
              <w:spacing w:before="0" w:after="0"/>
              <w:jc w:val="center"/>
              <w:rPr>
                <w:color w:val="000000"/>
                <w:sz w:val="14"/>
                <w:szCs w:val="14"/>
              </w:rPr>
            </w:pPr>
            <w:r w:rsidRPr="00597673">
              <w:rPr>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E0297F2"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48C08F0"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B3FB9ED"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6CC91A9" w14:textId="77777777" w:rsidR="00044D5B" w:rsidRPr="00597673" w:rsidRDefault="00044D5B">
            <w:pPr>
              <w:spacing w:before="0" w:after="0"/>
              <w:jc w:val="right"/>
              <w:rPr>
                <w:color w:val="000000"/>
                <w:sz w:val="20"/>
                <w:szCs w:val="20"/>
              </w:rPr>
            </w:pPr>
            <w:r w:rsidRPr="00597673">
              <w:rPr>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50FCF50F"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6A1C762B" w14:textId="77777777">
        <w:trPr>
          <w:gridBefore w:val="1"/>
          <w:trHeight w:val="990"/>
        </w:trPr>
        <w:tc>
          <w:tcPr>
            <w:tcW w:w="1993" w:type="pct"/>
            <w:gridSpan w:val="3"/>
            <w:tcBorders>
              <w:top w:val="single" w:sz="8" w:space="0" w:color="auto"/>
              <w:left w:val="single" w:sz="8" w:space="0" w:color="auto"/>
              <w:bottom w:val="single" w:sz="8" w:space="0" w:color="auto"/>
              <w:right w:val="single" w:sz="8" w:space="0" w:color="000000"/>
            </w:tcBorders>
            <w:vAlign w:val="center"/>
            <w:hideMark/>
          </w:tcPr>
          <w:p w14:paraId="4EB646D7" w14:textId="77777777" w:rsidR="00044D5B" w:rsidRPr="00597673" w:rsidRDefault="00044D5B">
            <w:pPr>
              <w:spacing w:before="0" w:after="0"/>
              <w:rPr>
                <w:color w:val="000000"/>
                <w:sz w:val="21"/>
                <w:szCs w:val="21"/>
              </w:rPr>
            </w:pPr>
            <w:r w:rsidRPr="00597673">
              <w:rPr>
                <w:rFonts w:ascii="Calibri" w:hAnsi="Calibri"/>
                <w:color w:val="000000"/>
                <w:sz w:val="21"/>
              </w:rPr>
              <w:t>•</w:t>
            </w:r>
            <w:r w:rsidRPr="00597673">
              <w:rPr>
                <w:color w:val="000000"/>
                <w:sz w:val="21"/>
              </w:rPr>
              <w:t xml:space="preserve"> ОБЩО бюджетни кредити за административни разходи, финансирани от пакета за определени програми (всички оперативни функции)</w:t>
            </w:r>
          </w:p>
        </w:tc>
        <w:tc>
          <w:tcPr>
            <w:tcW w:w="731" w:type="pct"/>
            <w:gridSpan w:val="2"/>
            <w:tcBorders>
              <w:top w:val="single" w:sz="8" w:space="0" w:color="auto"/>
              <w:left w:val="nil"/>
              <w:bottom w:val="single" w:sz="8" w:space="0" w:color="auto"/>
              <w:right w:val="single" w:sz="8" w:space="0" w:color="000000"/>
            </w:tcBorders>
            <w:vAlign w:val="center"/>
            <w:hideMark/>
          </w:tcPr>
          <w:p w14:paraId="41C8875D" w14:textId="77777777" w:rsidR="00044D5B" w:rsidRPr="00597673" w:rsidRDefault="00044D5B">
            <w:pPr>
              <w:spacing w:before="0" w:after="0"/>
              <w:jc w:val="center"/>
              <w:rPr>
                <w:color w:val="000000"/>
                <w:sz w:val="14"/>
                <w:szCs w:val="14"/>
              </w:rPr>
            </w:pPr>
            <w:r w:rsidRPr="00597673">
              <w:rPr>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4FDCBC8"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77F9F0E"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605CF66" w14:textId="77777777" w:rsidR="00044D5B" w:rsidRPr="00597673" w:rsidRDefault="00044D5B">
            <w:pPr>
              <w:spacing w:before="0" w:after="0"/>
              <w:jc w:val="right"/>
              <w:rPr>
                <w:color w:val="000000"/>
                <w:sz w:val="20"/>
                <w:szCs w:val="20"/>
              </w:rPr>
            </w:pPr>
            <w:r w:rsidRPr="00597673">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7F26ACD" w14:textId="77777777" w:rsidR="00044D5B" w:rsidRPr="00597673" w:rsidRDefault="00044D5B">
            <w:pPr>
              <w:spacing w:before="0" w:after="0"/>
              <w:jc w:val="right"/>
              <w:rPr>
                <w:color w:val="000000"/>
                <w:sz w:val="20"/>
                <w:szCs w:val="20"/>
              </w:rPr>
            </w:pPr>
            <w:r w:rsidRPr="00597673">
              <w:rPr>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69F7FFC7"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19364BF8" w14:textId="77777777">
        <w:trPr>
          <w:gridBefore w:val="1"/>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14:paraId="60EE39A5"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функции 1—6</w:t>
            </w:r>
          </w:p>
        </w:tc>
        <w:tc>
          <w:tcPr>
            <w:tcW w:w="471" w:type="pct"/>
            <w:tcBorders>
              <w:top w:val="nil"/>
              <w:left w:val="nil"/>
              <w:bottom w:val="nil"/>
              <w:right w:val="single" w:sz="8" w:space="0" w:color="auto"/>
            </w:tcBorders>
            <w:vAlign w:val="center"/>
            <w:hideMark/>
          </w:tcPr>
          <w:p w14:paraId="2E26499B"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731" w:type="pct"/>
            <w:gridSpan w:val="2"/>
            <w:tcBorders>
              <w:top w:val="single" w:sz="8" w:space="0" w:color="auto"/>
              <w:left w:val="nil"/>
              <w:bottom w:val="nil"/>
              <w:right w:val="single" w:sz="8" w:space="0" w:color="000000"/>
            </w:tcBorders>
            <w:vAlign w:val="center"/>
            <w:hideMark/>
          </w:tcPr>
          <w:p w14:paraId="0DE290E9" w14:textId="77777777" w:rsidR="00044D5B" w:rsidRPr="00597673" w:rsidRDefault="00044D5B">
            <w:pPr>
              <w:spacing w:before="0" w:after="0"/>
              <w:jc w:val="center"/>
              <w:rPr>
                <w:color w:val="000000"/>
                <w:sz w:val="14"/>
                <w:szCs w:val="14"/>
              </w:rPr>
            </w:pPr>
            <w:r w:rsidRPr="00597673">
              <w:rPr>
                <w:color w:val="000000"/>
                <w:sz w:val="14"/>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7DDE6B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6E859B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AC7730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095162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427EE57A"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83E98" w:rsidRPr="00597673" w14:paraId="65BF514B" w14:textId="77777777">
        <w:trPr>
          <w:gridBefore w:val="1"/>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530D29FB" w14:textId="77777777" w:rsidR="00044D5B" w:rsidRPr="00597673" w:rsidRDefault="00044D5B">
            <w:pPr>
              <w:spacing w:before="0" w:after="0"/>
              <w:jc w:val="center"/>
              <w:rPr>
                <w:color w:val="000000"/>
                <w:sz w:val="20"/>
                <w:szCs w:val="20"/>
              </w:rPr>
            </w:pPr>
            <w:r w:rsidRPr="00597673">
              <w:rPr>
                <w:color w:val="000000"/>
                <w:sz w:val="20"/>
              </w:rPr>
              <w:t>от многогодишната финансова рамка (референтна стойност)</w:t>
            </w:r>
          </w:p>
        </w:tc>
        <w:tc>
          <w:tcPr>
            <w:tcW w:w="471" w:type="pct"/>
            <w:tcBorders>
              <w:top w:val="nil"/>
              <w:left w:val="nil"/>
              <w:bottom w:val="single" w:sz="8" w:space="0" w:color="auto"/>
              <w:right w:val="single" w:sz="8" w:space="0" w:color="auto"/>
            </w:tcBorders>
            <w:vAlign w:val="center"/>
            <w:hideMark/>
          </w:tcPr>
          <w:p w14:paraId="3B106790" w14:textId="77777777" w:rsidR="00044D5B" w:rsidRPr="00597673" w:rsidRDefault="00044D5B">
            <w:pPr>
              <w:spacing w:before="0" w:after="0"/>
              <w:rPr>
                <w:color w:val="000000"/>
                <w:sz w:val="18"/>
                <w:szCs w:val="18"/>
              </w:rPr>
            </w:pPr>
            <w:r w:rsidRPr="00597673">
              <w:rPr>
                <w:color w:val="000000"/>
                <w:sz w:val="18"/>
              </w:rPr>
              <w:t>Плащания</w:t>
            </w:r>
          </w:p>
        </w:tc>
        <w:tc>
          <w:tcPr>
            <w:tcW w:w="731" w:type="pct"/>
            <w:gridSpan w:val="2"/>
            <w:tcBorders>
              <w:top w:val="single" w:sz="8" w:space="0" w:color="auto"/>
              <w:left w:val="nil"/>
              <w:bottom w:val="single" w:sz="8" w:space="0" w:color="auto"/>
              <w:right w:val="single" w:sz="8" w:space="0" w:color="000000"/>
            </w:tcBorders>
            <w:vAlign w:val="center"/>
            <w:hideMark/>
          </w:tcPr>
          <w:p w14:paraId="7F61CFEF" w14:textId="77777777" w:rsidR="00044D5B" w:rsidRPr="00597673" w:rsidRDefault="00044D5B">
            <w:pPr>
              <w:spacing w:before="0" w:after="0"/>
              <w:jc w:val="center"/>
              <w:rPr>
                <w:color w:val="000000"/>
                <w:sz w:val="14"/>
                <w:szCs w:val="14"/>
              </w:rPr>
            </w:pPr>
            <w:r w:rsidRPr="00597673">
              <w:rPr>
                <w:color w:val="000000"/>
                <w:sz w:val="14"/>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672EEB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23DF704"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E3A484A"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CF4380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6016CCE5"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779E9DDB" w14:textId="77777777" w:rsidR="00044D5B" w:rsidRPr="00597673" w:rsidRDefault="00044D5B" w:rsidP="00044D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B55C7B" w:rsidRPr="00597673" w14:paraId="72513986" w14:textId="77777777">
        <w:trPr>
          <w:jc w:val="center"/>
        </w:trPr>
        <w:tc>
          <w:tcPr>
            <w:tcW w:w="1668" w:type="pct"/>
            <w:shd w:val="thinDiagStripe" w:color="C0C0C0" w:fill="auto"/>
            <w:vAlign w:val="center"/>
          </w:tcPr>
          <w:p w14:paraId="1B1AE52E" w14:textId="77777777" w:rsidR="00044D5B" w:rsidRPr="00597673" w:rsidRDefault="00044D5B">
            <w:pPr>
              <w:spacing w:before="60" w:after="60"/>
              <w:jc w:val="center"/>
              <w:rPr>
                <w:b/>
                <w:noProof/>
              </w:rPr>
            </w:pPr>
            <w:r w:rsidRPr="00597673">
              <w:br w:type="page"/>
            </w:r>
            <w:r w:rsidRPr="00597673">
              <w:rPr>
                <w:b/>
                <w:sz w:val="22"/>
              </w:rPr>
              <w:t xml:space="preserve">Функция от многогодишната финансова рамка </w:t>
            </w:r>
          </w:p>
        </w:tc>
        <w:tc>
          <w:tcPr>
            <w:tcW w:w="380" w:type="pct"/>
            <w:shd w:val="thinDiagStripe" w:color="C0C0C0" w:fill="auto"/>
            <w:vAlign w:val="center"/>
          </w:tcPr>
          <w:p w14:paraId="71D6CAAF" w14:textId="77777777" w:rsidR="00044D5B" w:rsidRPr="00597673" w:rsidRDefault="00044D5B">
            <w:pPr>
              <w:spacing w:before="60" w:after="60"/>
              <w:jc w:val="center"/>
              <w:rPr>
                <w:noProof/>
              </w:rPr>
            </w:pPr>
            <w:r w:rsidRPr="00597673">
              <w:rPr>
                <w:b/>
                <w:sz w:val="22"/>
              </w:rPr>
              <w:t>7</w:t>
            </w:r>
          </w:p>
        </w:tc>
        <w:tc>
          <w:tcPr>
            <w:tcW w:w="2749" w:type="pct"/>
            <w:vAlign w:val="center"/>
          </w:tcPr>
          <w:p w14:paraId="582A8586" w14:textId="77777777" w:rsidR="00044D5B" w:rsidRPr="00597673" w:rsidRDefault="00044D5B">
            <w:pPr>
              <w:spacing w:before="60" w:after="60"/>
              <w:rPr>
                <w:noProof/>
              </w:rPr>
            </w:pPr>
            <w:r w:rsidRPr="00597673">
              <w:rPr>
                <w:sz w:val="22"/>
              </w:rPr>
              <w:t>„Административни разходи“</w:t>
            </w:r>
            <w:r w:rsidRPr="00597673">
              <w:t xml:space="preserve"> </w:t>
            </w:r>
          </w:p>
        </w:tc>
      </w:tr>
    </w:tbl>
    <w:p w14:paraId="3118AD56" w14:textId="77777777" w:rsidR="00044D5B" w:rsidRPr="00597673" w:rsidRDefault="00044D5B" w:rsidP="00044D5B">
      <w:pPr>
        <w:jc w:val="right"/>
        <w:rPr>
          <w:noProof/>
          <w:sz w:val="20"/>
        </w:rPr>
      </w:pPr>
      <w:r w:rsidRPr="00597673">
        <w:rPr>
          <w:sz w:val="20"/>
        </w:rPr>
        <w:t>млн. евро (до третия знак след десетичната запетая)</w:t>
      </w:r>
    </w:p>
    <w:tbl>
      <w:tblPr>
        <w:tblW w:w="13140" w:type="dxa"/>
        <w:tblInd w:w="118" w:type="dxa"/>
        <w:tblCellMar>
          <w:left w:w="0" w:type="dxa"/>
          <w:right w:w="0" w:type="dxa"/>
        </w:tblCellMar>
        <w:tblLook w:val="04A0" w:firstRow="1" w:lastRow="0" w:firstColumn="1" w:lastColumn="0" w:noHBand="0" w:noVBand="1"/>
      </w:tblPr>
      <w:tblGrid>
        <w:gridCol w:w="4405"/>
        <w:gridCol w:w="2477"/>
        <w:gridCol w:w="505"/>
        <w:gridCol w:w="505"/>
        <w:gridCol w:w="1001"/>
        <w:gridCol w:w="1001"/>
        <w:gridCol w:w="1001"/>
        <w:gridCol w:w="1001"/>
        <w:gridCol w:w="1244"/>
      </w:tblGrid>
      <w:tr w:rsidR="00B55C7B" w:rsidRPr="00597673" w14:paraId="6A1A9FB3" w14:textId="77777777">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1ABE8633" w14:textId="77777777" w:rsidR="00044D5B" w:rsidRPr="00597673" w:rsidRDefault="00044D5B">
            <w:pPr>
              <w:spacing w:before="0" w:after="0"/>
              <w:jc w:val="center"/>
              <w:rPr>
                <w:color w:val="000000"/>
                <w:szCs w:val="24"/>
              </w:rPr>
            </w:pPr>
            <w:r w:rsidRPr="00597673">
              <w:rPr>
                <w:color w:val="000000"/>
              </w:rPr>
              <w:t>ГД: &lt;…….&gt;</w:t>
            </w:r>
          </w:p>
        </w:tc>
        <w:tc>
          <w:tcPr>
            <w:tcW w:w="1001" w:type="dxa"/>
            <w:tcBorders>
              <w:top w:val="single" w:sz="8" w:space="0" w:color="auto"/>
              <w:left w:val="nil"/>
              <w:bottom w:val="nil"/>
              <w:right w:val="single" w:sz="8" w:space="0" w:color="auto"/>
            </w:tcBorders>
            <w:vAlign w:val="center"/>
            <w:hideMark/>
          </w:tcPr>
          <w:p w14:paraId="1A2F10B8"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001" w:type="dxa"/>
            <w:tcBorders>
              <w:top w:val="single" w:sz="8" w:space="0" w:color="auto"/>
              <w:left w:val="nil"/>
              <w:bottom w:val="nil"/>
              <w:right w:val="single" w:sz="8" w:space="0" w:color="auto"/>
            </w:tcBorders>
            <w:vAlign w:val="center"/>
            <w:hideMark/>
          </w:tcPr>
          <w:p w14:paraId="1AA1338B"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001" w:type="dxa"/>
            <w:tcBorders>
              <w:top w:val="single" w:sz="8" w:space="0" w:color="auto"/>
              <w:left w:val="nil"/>
              <w:bottom w:val="nil"/>
              <w:right w:val="single" w:sz="8" w:space="0" w:color="auto"/>
            </w:tcBorders>
            <w:vAlign w:val="center"/>
            <w:hideMark/>
          </w:tcPr>
          <w:p w14:paraId="35432706"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001" w:type="dxa"/>
            <w:tcBorders>
              <w:top w:val="single" w:sz="8" w:space="0" w:color="auto"/>
              <w:left w:val="nil"/>
              <w:bottom w:val="nil"/>
              <w:right w:val="single" w:sz="8" w:space="0" w:color="auto"/>
            </w:tcBorders>
            <w:vAlign w:val="center"/>
            <w:hideMark/>
          </w:tcPr>
          <w:p w14:paraId="6C3CEE9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789AEA47"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7B15CF23"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1A6D8440" w14:textId="77777777" w:rsidR="00044D5B" w:rsidRPr="00597673" w:rsidRDefault="00044D5B">
            <w:pPr>
              <w:spacing w:before="0" w:after="0"/>
              <w:jc w:val="left"/>
              <w:rPr>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76774624"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1001" w:type="dxa"/>
            <w:tcBorders>
              <w:top w:val="nil"/>
              <w:left w:val="nil"/>
              <w:bottom w:val="single" w:sz="8" w:space="0" w:color="auto"/>
              <w:right w:val="single" w:sz="8" w:space="0" w:color="auto"/>
            </w:tcBorders>
            <w:vAlign w:val="center"/>
            <w:hideMark/>
          </w:tcPr>
          <w:p w14:paraId="58CACA70"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1001" w:type="dxa"/>
            <w:tcBorders>
              <w:top w:val="nil"/>
              <w:left w:val="nil"/>
              <w:bottom w:val="single" w:sz="8" w:space="0" w:color="auto"/>
              <w:right w:val="single" w:sz="8" w:space="0" w:color="auto"/>
            </w:tcBorders>
            <w:vAlign w:val="center"/>
            <w:hideMark/>
          </w:tcPr>
          <w:p w14:paraId="76C51229"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1001" w:type="dxa"/>
            <w:tcBorders>
              <w:top w:val="nil"/>
              <w:left w:val="nil"/>
              <w:bottom w:val="single" w:sz="8" w:space="0" w:color="auto"/>
              <w:right w:val="single" w:sz="8" w:space="0" w:color="auto"/>
            </w:tcBorders>
            <w:vAlign w:val="center"/>
            <w:hideMark/>
          </w:tcPr>
          <w:p w14:paraId="0156A92F"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74A50DF8" w14:textId="77777777" w:rsidR="00044D5B" w:rsidRPr="00597673" w:rsidRDefault="00044D5B">
            <w:pPr>
              <w:spacing w:before="0" w:after="0"/>
              <w:jc w:val="left"/>
              <w:rPr>
                <w:b/>
                <w:bCs/>
                <w:color w:val="000000"/>
                <w:sz w:val="20"/>
                <w:szCs w:val="20"/>
                <w:lang w:eastAsia="en-IE"/>
              </w:rPr>
            </w:pPr>
          </w:p>
        </w:tc>
      </w:tr>
      <w:tr w:rsidR="00E6355E" w:rsidRPr="00597673" w14:paraId="79496D04"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0EB87A9D"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Човешки ресурси </w:t>
            </w:r>
          </w:p>
        </w:tc>
        <w:tc>
          <w:tcPr>
            <w:tcW w:w="1001" w:type="dxa"/>
            <w:tcBorders>
              <w:top w:val="nil"/>
              <w:left w:val="nil"/>
              <w:bottom w:val="single" w:sz="8" w:space="0" w:color="auto"/>
              <w:right w:val="single" w:sz="8" w:space="0" w:color="auto"/>
            </w:tcBorders>
            <w:shd w:val="clear" w:color="000000" w:fill="D9D9D9"/>
            <w:vAlign w:val="center"/>
            <w:hideMark/>
          </w:tcPr>
          <w:p w14:paraId="5644871D"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E005893"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E52CE9B"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9CCC390" w14:textId="77777777" w:rsidR="00044D5B" w:rsidRPr="00597673" w:rsidRDefault="00044D5B">
            <w:pPr>
              <w:spacing w:before="0" w:after="0"/>
              <w:jc w:val="right"/>
              <w:rPr>
                <w:color w:val="000000"/>
                <w:sz w:val="20"/>
                <w:szCs w:val="20"/>
              </w:rPr>
            </w:pPr>
            <w:r w:rsidRPr="00597673">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F772814"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3994E30B"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10E825EC"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Други административни разходи </w:t>
            </w:r>
          </w:p>
        </w:tc>
        <w:tc>
          <w:tcPr>
            <w:tcW w:w="1001" w:type="dxa"/>
            <w:tcBorders>
              <w:top w:val="nil"/>
              <w:left w:val="nil"/>
              <w:bottom w:val="single" w:sz="8" w:space="0" w:color="auto"/>
              <w:right w:val="single" w:sz="8" w:space="0" w:color="auto"/>
            </w:tcBorders>
            <w:shd w:val="clear" w:color="000000" w:fill="D9D9D9"/>
            <w:vAlign w:val="center"/>
            <w:hideMark/>
          </w:tcPr>
          <w:p w14:paraId="35037EC4"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222E93C"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05AA04D"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FC48D53" w14:textId="77777777" w:rsidR="00044D5B" w:rsidRPr="00597673" w:rsidRDefault="00044D5B">
            <w:pPr>
              <w:spacing w:before="0" w:after="0"/>
              <w:jc w:val="right"/>
              <w:rPr>
                <w:color w:val="000000"/>
                <w:sz w:val="20"/>
                <w:szCs w:val="20"/>
              </w:rPr>
            </w:pPr>
            <w:r w:rsidRPr="00597673">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126EA3F7"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5B0C8BE1"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1FD6EC33" w14:textId="77777777" w:rsidR="00044D5B" w:rsidRPr="00597673" w:rsidRDefault="00044D5B">
            <w:pPr>
              <w:spacing w:before="0" w:after="0"/>
              <w:jc w:val="center"/>
              <w:rPr>
                <w:b/>
                <w:bCs/>
                <w:color w:val="000000"/>
                <w:sz w:val="22"/>
              </w:rPr>
            </w:pPr>
            <w:r w:rsidRPr="00597673">
              <w:rPr>
                <w:b/>
                <w:color w:val="000000"/>
                <w:sz w:val="22"/>
              </w:rPr>
              <w:t xml:space="preserve">ОБЩО ГД </w:t>
            </w:r>
            <w:r w:rsidRPr="00597673">
              <w:rPr>
                <w:color w:val="000000"/>
                <w:sz w:val="22"/>
              </w:rPr>
              <w:t>&lt;…….&gt;</w:t>
            </w:r>
          </w:p>
        </w:tc>
        <w:tc>
          <w:tcPr>
            <w:tcW w:w="3487" w:type="dxa"/>
            <w:gridSpan w:val="3"/>
            <w:tcBorders>
              <w:top w:val="single" w:sz="8" w:space="0" w:color="auto"/>
              <w:left w:val="nil"/>
              <w:bottom w:val="single" w:sz="8" w:space="0" w:color="auto"/>
              <w:right w:val="single" w:sz="8" w:space="0" w:color="auto"/>
            </w:tcBorders>
            <w:vAlign w:val="center"/>
            <w:hideMark/>
          </w:tcPr>
          <w:p w14:paraId="133013C8" w14:textId="77777777" w:rsidR="00044D5B" w:rsidRPr="00597673" w:rsidRDefault="00044D5B">
            <w:pPr>
              <w:spacing w:before="0" w:after="0"/>
              <w:jc w:val="left"/>
              <w:rPr>
                <w:color w:val="000000"/>
                <w:sz w:val="18"/>
                <w:szCs w:val="18"/>
              </w:rPr>
            </w:pPr>
            <w:r w:rsidRPr="00597673">
              <w:rPr>
                <w:color w:val="000000"/>
                <w:sz w:val="18"/>
              </w:rPr>
              <w:t xml:space="preserve">Бюджетни кредити </w:t>
            </w:r>
          </w:p>
        </w:tc>
        <w:tc>
          <w:tcPr>
            <w:tcW w:w="1001" w:type="dxa"/>
            <w:tcBorders>
              <w:top w:val="nil"/>
              <w:left w:val="nil"/>
              <w:bottom w:val="single" w:sz="8" w:space="0" w:color="auto"/>
              <w:right w:val="single" w:sz="8" w:space="0" w:color="auto"/>
            </w:tcBorders>
            <w:shd w:val="clear" w:color="000000" w:fill="D9D9D9"/>
            <w:vAlign w:val="center"/>
            <w:hideMark/>
          </w:tcPr>
          <w:p w14:paraId="36739C6D"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C44C0FE"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4AC7703"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75E846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700A6D35"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A0F8D" w:rsidRPr="00597673" w14:paraId="253457F8" w14:textId="77777777">
        <w:trPr>
          <w:trHeight w:val="300"/>
        </w:trPr>
        <w:tc>
          <w:tcPr>
            <w:tcW w:w="4405" w:type="dxa"/>
            <w:tcBorders>
              <w:top w:val="nil"/>
              <w:left w:val="nil"/>
              <w:bottom w:val="nil"/>
              <w:right w:val="nil"/>
            </w:tcBorders>
            <w:noWrap/>
            <w:vAlign w:val="bottom"/>
            <w:hideMark/>
          </w:tcPr>
          <w:p w14:paraId="0B5F19DF" w14:textId="77777777" w:rsidR="00044D5B" w:rsidRPr="00597673" w:rsidRDefault="00044D5B">
            <w:pPr>
              <w:spacing w:before="0" w:after="0"/>
              <w:jc w:val="right"/>
              <w:rPr>
                <w:b/>
                <w:bCs/>
                <w:color w:val="000000"/>
                <w:sz w:val="20"/>
                <w:szCs w:val="20"/>
                <w:lang w:eastAsia="en-IE"/>
              </w:rPr>
            </w:pPr>
          </w:p>
        </w:tc>
        <w:tc>
          <w:tcPr>
            <w:tcW w:w="2477" w:type="dxa"/>
            <w:tcBorders>
              <w:top w:val="nil"/>
              <w:left w:val="nil"/>
              <w:bottom w:val="nil"/>
              <w:right w:val="nil"/>
            </w:tcBorders>
            <w:noWrap/>
            <w:vAlign w:val="bottom"/>
            <w:hideMark/>
          </w:tcPr>
          <w:p w14:paraId="5A703F66" w14:textId="77777777" w:rsidR="00044D5B" w:rsidRPr="00597673"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1F3D1F86" w14:textId="77777777" w:rsidR="00044D5B" w:rsidRPr="00597673"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06EF07A3"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1B04B549"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1EAB666C"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3084F9DA"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7871F802" w14:textId="77777777" w:rsidR="00044D5B" w:rsidRPr="00597673" w:rsidRDefault="00044D5B">
            <w:pPr>
              <w:spacing w:before="0" w:after="0"/>
              <w:jc w:val="left"/>
              <w:rPr>
                <w:sz w:val="20"/>
                <w:szCs w:val="20"/>
                <w:lang w:eastAsia="en-IE"/>
              </w:rPr>
            </w:pPr>
          </w:p>
        </w:tc>
        <w:tc>
          <w:tcPr>
            <w:tcW w:w="1244" w:type="dxa"/>
            <w:tcBorders>
              <w:top w:val="nil"/>
              <w:left w:val="nil"/>
              <w:bottom w:val="nil"/>
              <w:right w:val="nil"/>
            </w:tcBorders>
            <w:noWrap/>
            <w:vAlign w:val="bottom"/>
            <w:hideMark/>
          </w:tcPr>
          <w:p w14:paraId="4744606F" w14:textId="77777777" w:rsidR="00044D5B" w:rsidRPr="00597673" w:rsidRDefault="00044D5B">
            <w:pPr>
              <w:spacing w:before="0" w:after="0"/>
              <w:jc w:val="left"/>
              <w:rPr>
                <w:sz w:val="20"/>
                <w:szCs w:val="20"/>
                <w:lang w:eastAsia="en-IE"/>
              </w:rPr>
            </w:pPr>
          </w:p>
        </w:tc>
      </w:tr>
      <w:tr w:rsidR="00B55C7B" w:rsidRPr="00597673" w14:paraId="733EDF28" w14:textId="77777777">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641F902C" w14:textId="77777777" w:rsidR="00044D5B" w:rsidRPr="00597673" w:rsidRDefault="00044D5B">
            <w:pPr>
              <w:spacing w:before="0" w:after="0"/>
              <w:jc w:val="center"/>
              <w:rPr>
                <w:color w:val="000000"/>
                <w:szCs w:val="24"/>
              </w:rPr>
            </w:pPr>
            <w:r w:rsidRPr="00597673">
              <w:rPr>
                <w:color w:val="000000"/>
              </w:rPr>
              <w:t>ГД: &lt;…….&gt;</w:t>
            </w:r>
          </w:p>
        </w:tc>
        <w:tc>
          <w:tcPr>
            <w:tcW w:w="1001" w:type="dxa"/>
            <w:tcBorders>
              <w:top w:val="single" w:sz="8" w:space="0" w:color="auto"/>
              <w:left w:val="nil"/>
              <w:bottom w:val="nil"/>
              <w:right w:val="single" w:sz="8" w:space="0" w:color="auto"/>
            </w:tcBorders>
            <w:vAlign w:val="center"/>
            <w:hideMark/>
          </w:tcPr>
          <w:p w14:paraId="29EAC1FA"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001" w:type="dxa"/>
            <w:tcBorders>
              <w:top w:val="single" w:sz="8" w:space="0" w:color="auto"/>
              <w:left w:val="nil"/>
              <w:bottom w:val="nil"/>
              <w:right w:val="single" w:sz="8" w:space="0" w:color="auto"/>
            </w:tcBorders>
            <w:vAlign w:val="center"/>
            <w:hideMark/>
          </w:tcPr>
          <w:p w14:paraId="2E204D1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001" w:type="dxa"/>
            <w:tcBorders>
              <w:top w:val="single" w:sz="8" w:space="0" w:color="auto"/>
              <w:left w:val="nil"/>
              <w:bottom w:val="nil"/>
              <w:right w:val="single" w:sz="8" w:space="0" w:color="auto"/>
            </w:tcBorders>
            <w:vAlign w:val="center"/>
            <w:hideMark/>
          </w:tcPr>
          <w:p w14:paraId="28395653"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001" w:type="dxa"/>
            <w:tcBorders>
              <w:top w:val="single" w:sz="8" w:space="0" w:color="auto"/>
              <w:left w:val="nil"/>
              <w:bottom w:val="nil"/>
              <w:right w:val="single" w:sz="8" w:space="0" w:color="auto"/>
            </w:tcBorders>
            <w:vAlign w:val="center"/>
            <w:hideMark/>
          </w:tcPr>
          <w:p w14:paraId="3AB17D2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461A1FB3"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0B274770"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4E03E629" w14:textId="77777777" w:rsidR="00044D5B" w:rsidRPr="00597673" w:rsidRDefault="00044D5B">
            <w:pPr>
              <w:spacing w:before="0" w:after="0"/>
              <w:jc w:val="left"/>
              <w:rPr>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06A18AA4"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1001" w:type="dxa"/>
            <w:tcBorders>
              <w:top w:val="nil"/>
              <w:left w:val="nil"/>
              <w:bottom w:val="single" w:sz="8" w:space="0" w:color="auto"/>
              <w:right w:val="single" w:sz="8" w:space="0" w:color="auto"/>
            </w:tcBorders>
            <w:vAlign w:val="center"/>
            <w:hideMark/>
          </w:tcPr>
          <w:p w14:paraId="7E505D96"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1001" w:type="dxa"/>
            <w:tcBorders>
              <w:top w:val="nil"/>
              <w:left w:val="nil"/>
              <w:bottom w:val="single" w:sz="8" w:space="0" w:color="auto"/>
              <w:right w:val="single" w:sz="8" w:space="0" w:color="auto"/>
            </w:tcBorders>
            <w:vAlign w:val="center"/>
            <w:hideMark/>
          </w:tcPr>
          <w:p w14:paraId="6C23438B"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1001" w:type="dxa"/>
            <w:tcBorders>
              <w:top w:val="nil"/>
              <w:left w:val="nil"/>
              <w:bottom w:val="single" w:sz="8" w:space="0" w:color="auto"/>
              <w:right w:val="single" w:sz="8" w:space="0" w:color="auto"/>
            </w:tcBorders>
            <w:vAlign w:val="center"/>
            <w:hideMark/>
          </w:tcPr>
          <w:p w14:paraId="1FE315AC"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65C329CB" w14:textId="77777777" w:rsidR="00044D5B" w:rsidRPr="00597673" w:rsidRDefault="00044D5B">
            <w:pPr>
              <w:spacing w:before="0" w:after="0"/>
              <w:jc w:val="left"/>
              <w:rPr>
                <w:b/>
                <w:bCs/>
                <w:color w:val="000000"/>
                <w:sz w:val="20"/>
                <w:szCs w:val="20"/>
                <w:lang w:eastAsia="en-IE"/>
              </w:rPr>
            </w:pPr>
          </w:p>
        </w:tc>
      </w:tr>
      <w:tr w:rsidR="00E6355E" w:rsidRPr="00597673" w14:paraId="1B1FB3D9"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7CEC3C5F"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Човешки ресурси </w:t>
            </w:r>
          </w:p>
        </w:tc>
        <w:tc>
          <w:tcPr>
            <w:tcW w:w="1001" w:type="dxa"/>
            <w:tcBorders>
              <w:top w:val="nil"/>
              <w:left w:val="nil"/>
              <w:bottom w:val="single" w:sz="8" w:space="0" w:color="auto"/>
              <w:right w:val="single" w:sz="8" w:space="0" w:color="auto"/>
            </w:tcBorders>
            <w:shd w:val="clear" w:color="000000" w:fill="D9D9D9"/>
            <w:vAlign w:val="center"/>
            <w:hideMark/>
          </w:tcPr>
          <w:p w14:paraId="0DD4FA8E"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E9CDEBF"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31A11F7"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A2FFCA2" w14:textId="77777777" w:rsidR="00044D5B" w:rsidRPr="00597673" w:rsidRDefault="00044D5B">
            <w:pPr>
              <w:spacing w:before="0" w:after="0"/>
              <w:jc w:val="right"/>
              <w:rPr>
                <w:color w:val="000000"/>
                <w:sz w:val="20"/>
                <w:szCs w:val="20"/>
              </w:rPr>
            </w:pPr>
            <w:r w:rsidRPr="00597673">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DFBACC4"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73ED9D89"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2A433ABD" w14:textId="77777777" w:rsidR="00044D5B" w:rsidRPr="00597673" w:rsidRDefault="00044D5B">
            <w:pPr>
              <w:spacing w:before="0" w:after="0"/>
              <w:jc w:val="left"/>
              <w:rPr>
                <w:rFonts w:ascii="Wingdings" w:hAnsi="Wingdings" w:cs="Calibri"/>
                <w:color w:val="000000"/>
                <w:sz w:val="22"/>
              </w:rPr>
            </w:pPr>
            <w:r w:rsidRPr="00597673">
              <w:rPr>
                <w:rFonts w:ascii="Wingdings" w:hAnsi="Wingdings"/>
                <w:color w:val="000000"/>
                <w:sz w:val="22"/>
              </w:rPr>
              <w:t>Ÿ</w:t>
            </w:r>
            <w:r w:rsidRPr="00597673">
              <w:rPr>
                <w:color w:val="000000"/>
                <w:sz w:val="22"/>
              </w:rPr>
              <w:t xml:space="preserve"> Други административни разходи </w:t>
            </w:r>
          </w:p>
        </w:tc>
        <w:tc>
          <w:tcPr>
            <w:tcW w:w="1001" w:type="dxa"/>
            <w:tcBorders>
              <w:top w:val="nil"/>
              <w:left w:val="nil"/>
              <w:bottom w:val="single" w:sz="8" w:space="0" w:color="auto"/>
              <w:right w:val="single" w:sz="8" w:space="0" w:color="auto"/>
            </w:tcBorders>
            <w:shd w:val="clear" w:color="000000" w:fill="D9D9D9"/>
            <w:vAlign w:val="center"/>
            <w:hideMark/>
          </w:tcPr>
          <w:p w14:paraId="70313342"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A885993"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BE113C6" w14:textId="77777777" w:rsidR="00044D5B" w:rsidRPr="00597673" w:rsidRDefault="00044D5B">
            <w:pPr>
              <w:spacing w:before="0" w:after="0"/>
              <w:jc w:val="right"/>
              <w:rPr>
                <w:color w:val="000000"/>
                <w:sz w:val="20"/>
                <w:szCs w:val="20"/>
              </w:rPr>
            </w:pPr>
            <w:r w:rsidRPr="00597673">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4C075B0" w14:textId="77777777" w:rsidR="00044D5B" w:rsidRPr="00597673" w:rsidRDefault="00044D5B">
            <w:pPr>
              <w:spacing w:before="0" w:after="0"/>
              <w:jc w:val="right"/>
              <w:rPr>
                <w:color w:val="000000"/>
                <w:sz w:val="20"/>
                <w:szCs w:val="20"/>
              </w:rPr>
            </w:pPr>
            <w:r w:rsidRPr="00597673">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66FA3D9"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E6355E" w:rsidRPr="00597673" w14:paraId="71B8E9D5"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7DC18B93" w14:textId="77777777" w:rsidR="00044D5B" w:rsidRPr="00597673" w:rsidRDefault="00044D5B">
            <w:pPr>
              <w:spacing w:before="0" w:after="0"/>
              <w:jc w:val="center"/>
              <w:rPr>
                <w:b/>
                <w:bCs/>
                <w:color w:val="000000"/>
                <w:sz w:val="22"/>
              </w:rPr>
            </w:pPr>
            <w:r w:rsidRPr="00597673">
              <w:rPr>
                <w:b/>
                <w:color w:val="000000"/>
                <w:sz w:val="22"/>
              </w:rPr>
              <w:t xml:space="preserve">ОБЩО ГД </w:t>
            </w:r>
            <w:r w:rsidRPr="00597673">
              <w:rPr>
                <w:color w:val="000000"/>
                <w:sz w:val="22"/>
              </w:rPr>
              <w:t>&lt;…….&gt;</w:t>
            </w:r>
          </w:p>
        </w:tc>
        <w:tc>
          <w:tcPr>
            <w:tcW w:w="3487" w:type="dxa"/>
            <w:gridSpan w:val="3"/>
            <w:tcBorders>
              <w:top w:val="single" w:sz="8" w:space="0" w:color="auto"/>
              <w:left w:val="nil"/>
              <w:bottom w:val="single" w:sz="8" w:space="0" w:color="auto"/>
              <w:right w:val="single" w:sz="8" w:space="0" w:color="auto"/>
            </w:tcBorders>
            <w:vAlign w:val="center"/>
            <w:hideMark/>
          </w:tcPr>
          <w:p w14:paraId="05147B85" w14:textId="77777777" w:rsidR="00044D5B" w:rsidRPr="00597673" w:rsidRDefault="00044D5B">
            <w:pPr>
              <w:spacing w:before="0" w:after="0"/>
              <w:jc w:val="left"/>
              <w:rPr>
                <w:color w:val="000000"/>
                <w:sz w:val="18"/>
                <w:szCs w:val="18"/>
              </w:rPr>
            </w:pPr>
            <w:r w:rsidRPr="00597673">
              <w:rPr>
                <w:color w:val="000000"/>
                <w:sz w:val="18"/>
              </w:rPr>
              <w:t xml:space="preserve">Бюджетни кредити </w:t>
            </w:r>
          </w:p>
        </w:tc>
        <w:tc>
          <w:tcPr>
            <w:tcW w:w="1001" w:type="dxa"/>
            <w:tcBorders>
              <w:top w:val="nil"/>
              <w:left w:val="nil"/>
              <w:bottom w:val="single" w:sz="8" w:space="0" w:color="auto"/>
              <w:right w:val="single" w:sz="8" w:space="0" w:color="auto"/>
            </w:tcBorders>
            <w:shd w:val="clear" w:color="000000" w:fill="D9D9D9"/>
            <w:vAlign w:val="center"/>
            <w:hideMark/>
          </w:tcPr>
          <w:p w14:paraId="7DD34D31"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E4553A1"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4A600A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F741D92"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049F6380" w14:textId="77777777" w:rsidR="00044D5B" w:rsidRPr="00597673" w:rsidRDefault="00044D5B">
            <w:pPr>
              <w:spacing w:before="0" w:after="0"/>
              <w:jc w:val="right"/>
              <w:rPr>
                <w:b/>
                <w:bCs/>
                <w:color w:val="000000"/>
                <w:sz w:val="20"/>
                <w:szCs w:val="20"/>
              </w:rPr>
            </w:pPr>
            <w:r w:rsidRPr="00597673">
              <w:rPr>
                <w:b/>
                <w:color w:val="000000"/>
                <w:sz w:val="20"/>
              </w:rPr>
              <w:t>0,000</w:t>
            </w:r>
          </w:p>
        </w:tc>
      </w:tr>
      <w:tr w:rsidR="009A0F8D" w:rsidRPr="00597673" w14:paraId="56C3BA34" w14:textId="77777777">
        <w:trPr>
          <w:trHeight w:val="300"/>
        </w:trPr>
        <w:tc>
          <w:tcPr>
            <w:tcW w:w="4405" w:type="dxa"/>
            <w:tcBorders>
              <w:top w:val="nil"/>
              <w:left w:val="nil"/>
              <w:bottom w:val="nil"/>
              <w:right w:val="nil"/>
            </w:tcBorders>
            <w:noWrap/>
            <w:vAlign w:val="bottom"/>
            <w:hideMark/>
          </w:tcPr>
          <w:p w14:paraId="5DEF8364" w14:textId="77777777" w:rsidR="00044D5B" w:rsidRPr="00597673" w:rsidRDefault="00044D5B">
            <w:pPr>
              <w:spacing w:before="0" w:after="0"/>
              <w:jc w:val="right"/>
              <w:rPr>
                <w:b/>
                <w:bCs/>
                <w:color w:val="000000"/>
                <w:sz w:val="20"/>
                <w:szCs w:val="20"/>
                <w:lang w:eastAsia="en-IE"/>
              </w:rPr>
            </w:pPr>
          </w:p>
        </w:tc>
        <w:tc>
          <w:tcPr>
            <w:tcW w:w="2477" w:type="dxa"/>
            <w:tcBorders>
              <w:top w:val="nil"/>
              <w:left w:val="nil"/>
              <w:bottom w:val="nil"/>
              <w:right w:val="nil"/>
            </w:tcBorders>
            <w:noWrap/>
            <w:vAlign w:val="bottom"/>
            <w:hideMark/>
          </w:tcPr>
          <w:p w14:paraId="48908CA3" w14:textId="77777777" w:rsidR="00044D5B" w:rsidRPr="00597673"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6C7025F9" w14:textId="77777777" w:rsidR="00044D5B" w:rsidRPr="00597673"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256DBCB7"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7DED8AAC"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1CEDF2A8"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6F82C868" w14:textId="77777777" w:rsidR="00044D5B" w:rsidRPr="00597673"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074F3286" w14:textId="77777777" w:rsidR="00044D5B" w:rsidRPr="00597673" w:rsidRDefault="00044D5B">
            <w:pPr>
              <w:spacing w:before="0" w:after="0"/>
              <w:jc w:val="left"/>
              <w:rPr>
                <w:sz w:val="20"/>
                <w:szCs w:val="20"/>
                <w:lang w:eastAsia="en-IE"/>
              </w:rPr>
            </w:pPr>
          </w:p>
        </w:tc>
        <w:tc>
          <w:tcPr>
            <w:tcW w:w="1244" w:type="dxa"/>
            <w:tcBorders>
              <w:top w:val="nil"/>
              <w:left w:val="nil"/>
              <w:bottom w:val="nil"/>
              <w:right w:val="nil"/>
            </w:tcBorders>
            <w:noWrap/>
            <w:vAlign w:val="bottom"/>
            <w:hideMark/>
          </w:tcPr>
          <w:p w14:paraId="0451F229" w14:textId="77777777" w:rsidR="00044D5B" w:rsidRPr="00597673" w:rsidRDefault="00044D5B">
            <w:pPr>
              <w:spacing w:before="0" w:after="0"/>
              <w:jc w:val="left"/>
              <w:rPr>
                <w:sz w:val="20"/>
                <w:szCs w:val="20"/>
                <w:lang w:eastAsia="en-IE"/>
              </w:rPr>
            </w:pPr>
          </w:p>
        </w:tc>
      </w:tr>
      <w:tr w:rsidR="00E62D64" w:rsidRPr="00597673" w14:paraId="5FA15248" w14:textId="77777777">
        <w:trPr>
          <w:trHeight w:val="900"/>
        </w:trPr>
        <w:tc>
          <w:tcPr>
            <w:tcW w:w="6882"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DCB3648" w14:textId="77777777" w:rsidR="00044D5B" w:rsidRPr="00597673" w:rsidRDefault="00044D5B">
            <w:pPr>
              <w:spacing w:before="0" w:after="0"/>
              <w:jc w:val="center"/>
              <w:rPr>
                <w:b/>
                <w:bCs/>
                <w:color w:val="000000"/>
                <w:sz w:val="22"/>
              </w:rPr>
            </w:pPr>
            <w:r w:rsidRPr="00597673">
              <w:rPr>
                <w:b/>
                <w:color w:val="000000"/>
                <w:sz w:val="22"/>
              </w:rPr>
              <w:t xml:space="preserve">ОБЩО бюджетни кредити по ФУНКЦИЯ 7 от многогодишната финансова рамка </w:t>
            </w:r>
          </w:p>
        </w:tc>
        <w:tc>
          <w:tcPr>
            <w:tcW w:w="1010" w:type="dxa"/>
            <w:gridSpan w:val="3"/>
            <w:tcBorders>
              <w:top w:val="single" w:sz="8" w:space="0" w:color="auto"/>
              <w:left w:val="nil"/>
              <w:bottom w:val="single" w:sz="8" w:space="0" w:color="auto"/>
              <w:right w:val="single" w:sz="8" w:space="0" w:color="auto"/>
            </w:tcBorders>
            <w:vAlign w:val="center"/>
            <w:hideMark/>
          </w:tcPr>
          <w:p w14:paraId="67EE3661" w14:textId="77777777" w:rsidR="00044D5B" w:rsidRPr="00597673" w:rsidRDefault="00044D5B">
            <w:pPr>
              <w:spacing w:before="0" w:after="0"/>
              <w:jc w:val="center"/>
              <w:rPr>
                <w:color w:val="000000"/>
                <w:sz w:val="18"/>
                <w:szCs w:val="18"/>
              </w:rPr>
            </w:pPr>
            <w:r w:rsidRPr="00597673">
              <w:rPr>
                <w:color w:val="000000"/>
                <w:sz w:val="18"/>
              </w:rPr>
              <w:t>(Общо поети задължения = Общо плащания)</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38A9195B"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4A3E8409"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5B5C2E27"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7A6362AF" w14:textId="77777777" w:rsidR="00044D5B" w:rsidRPr="00597673" w:rsidRDefault="00044D5B">
            <w:pPr>
              <w:spacing w:before="0" w:after="0"/>
              <w:jc w:val="right"/>
              <w:rPr>
                <w:b/>
                <w:bCs/>
                <w:color w:val="000000"/>
                <w:sz w:val="20"/>
                <w:szCs w:val="20"/>
              </w:rPr>
            </w:pPr>
            <w:r w:rsidRPr="00597673">
              <w:rPr>
                <w:b/>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51CDCF94" w14:textId="77777777" w:rsidR="00044D5B" w:rsidRPr="00597673" w:rsidRDefault="00044D5B">
            <w:pPr>
              <w:spacing w:before="0" w:after="0"/>
              <w:jc w:val="right"/>
              <w:rPr>
                <w:b/>
                <w:bCs/>
                <w:color w:val="000000"/>
                <w:sz w:val="20"/>
                <w:szCs w:val="20"/>
              </w:rPr>
            </w:pPr>
            <w:r w:rsidRPr="00597673">
              <w:rPr>
                <w:b/>
                <w:color w:val="000000"/>
                <w:sz w:val="20"/>
              </w:rPr>
              <w:t>0,000</w:t>
            </w:r>
          </w:p>
        </w:tc>
      </w:tr>
    </w:tbl>
    <w:p w14:paraId="4ADE751D" w14:textId="77777777" w:rsidR="00044D5B" w:rsidRPr="00597673" w:rsidRDefault="00044D5B" w:rsidP="00044D5B">
      <w:pPr>
        <w:jc w:val="right"/>
        <w:rPr>
          <w:noProof/>
          <w:sz w:val="20"/>
        </w:rPr>
      </w:pPr>
      <w:r w:rsidRPr="00597673">
        <w:rPr>
          <w:sz w:val="20"/>
        </w:rPr>
        <w:t>млн. евро (до третия знак след десетичната запетая)</w:t>
      </w:r>
    </w:p>
    <w:tbl>
      <w:tblPr>
        <w:tblW w:w="13140" w:type="dxa"/>
        <w:tblInd w:w="118" w:type="dxa"/>
        <w:tblCellMar>
          <w:left w:w="0" w:type="dxa"/>
          <w:right w:w="0" w:type="dxa"/>
        </w:tblCellMar>
        <w:tblLook w:val="04A0" w:firstRow="1" w:lastRow="0" w:firstColumn="1" w:lastColumn="0" w:noHBand="0" w:noVBand="1"/>
      </w:tblPr>
      <w:tblGrid>
        <w:gridCol w:w="5180"/>
        <w:gridCol w:w="1920"/>
        <w:gridCol w:w="1160"/>
        <w:gridCol w:w="1160"/>
        <w:gridCol w:w="1160"/>
        <w:gridCol w:w="1160"/>
        <w:gridCol w:w="1400"/>
      </w:tblGrid>
      <w:tr w:rsidR="00B55C7B" w:rsidRPr="00597673" w14:paraId="53721005" w14:textId="77777777">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533FB506" w14:textId="77777777" w:rsidR="00044D5B" w:rsidRPr="00597673" w:rsidRDefault="00044D5B">
            <w:pPr>
              <w:spacing w:before="0" w:after="0"/>
              <w:jc w:val="center"/>
              <w:rPr>
                <w:color w:val="000000"/>
                <w:szCs w:val="24"/>
              </w:rPr>
            </w:pPr>
            <w:r w:rsidRPr="00597673">
              <w:rPr>
                <w:color w:val="000000"/>
              </w:rPr>
              <w:t xml:space="preserve"> </w:t>
            </w:r>
          </w:p>
        </w:tc>
        <w:tc>
          <w:tcPr>
            <w:tcW w:w="1160" w:type="dxa"/>
            <w:tcBorders>
              <w:top w:val="single" w:sz="8" w:space="0" w:color="auto"/>
              <w:left w:val="nil"/>
              <w:bottom w:val="nil"/>
              <w:right w:val="single" w:sz="8" w:space="0" w:color="auto"/>
            </w:tcBorders>
            <w:vAlign w:val="center"/>
            <w:hideMark/>
          </w:tcPr>
          <w:p w14:paraId="4E1078B3"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160" w:type="dxa"/>
            <w:tcBorders>
              <w:top w:val="single" w:sz="8" w:space="0" w:color="auto"/>
              <w:left w:val="nil"/>
              <w:bottom w:val="nil"/>
              <w:right w:val="single" w:sz="8" w:space="0" w:color="auto"/>
            </w:tcBorders>
            <w:vAlign w:val="center"/>
            <w:hideMark/>
          </w:tcPr>
          <w:p w14:paraId="68F35CD7"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160" w:type="dxa"/>
            <w:tcBorders>
              <w:top w:val="single" w:sz="8" w:space="0" w:color="auto"/>
              <w:left w:val="nil"/>
              <w:bottom w:val="nil"/>
              <w:right w:val="single" w:sz="8" w:space="0" w:color="auto"/>
            </w:tcBorders>
            <w:vAlign w:val="center"/>
            <w:hideMark/>
          </w:tcPr>
          <w:p w14:paraId="5B3DA0EF"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160" w:type="dxa"/>
            <w:tcBorders>
              <w:top w:val="single" w:sz="8" w:space="0" w:color="auto"/>
              <w:left w:val="nil"/>
              <w:bottom w:val="nil"/>
              <w:right w:val="single" w:sz="8" w:space="0" w:color="auto"/>
            </w:tcBorders>
            <w:vAlign w:val="center"/>
            <w:hideMark/>
          </w:tcPr>
          <w:p w14:paraId="6653E230" w14:textId="77777777" w:rsidR="00044D5B" w:rsidRPr="00597673" w:rsidRDefault="00044D5B">
            <w:pPr>
              <w:spacing w:before="0" w:after="0"/>
              <w:jc w:val="center"/>
              <w:rPr>
                <w:color w:val="000000"/>
                <w:sz w:val="20"/>
                <w:szCs w:val="20"/>
              </w:rPr>
            </w:pPr>
            <w:r w:rsidRPr="00597673">
              <w:rPr>
                <w:color w:val="000000"/>
                <w:sz w:val="20"/>
              </w:rPr>
              <w:t>Година</w:t>
            </w:r>
          </w:p>
        </w:tc>
        <w:tc>
          <w:tcPr>
            <w:tcW w:w="1400" w:type="dxa"/>
            <w:vMerge w:val="restart"/>
            <w:tcBorders>
              <w:top w:val="single" w:sz="8" w:space="0" w:color="auto"/>
              <w:left w:val="single" w:sz="8" w:space="0" w:color="auto"/>
              <w:bottom w:val="single" w:sz="8" w:space="0" w:color="000000"/>
              <w:right w:val="single" w:sz="8" w:space="0" w:color="auto"/>
            </w:tcBorders>
            <w:vAlign w:val="center"/>
            <w:hideMark/>
          </w:tcPr>
          <w:p w14:paraId="3B1944D2" w14:textId="77777777" w:rsidR="00044D5B" w:rsidRPr="00597673" w:rsidRDefault="00044D5B">
            <w:pPr>
              <w:spacing w:before="0" w:after="0"/>
              <w:jc w:val="center"/>
              <w:rPr>
                <w:b/>
                <w:bCs/>
                <w:color w:val="000000"/>
                <w:sz w:val="20"/>
                <w:szCs w:val="20"/>
              </w:rPr>
            </w:pPr>
            <w:r w:rsidRPr="00597673">
              <w:rPr>
                <w:b/>
                <w:color w:val="000000"/>
                <w:sz w:val="20"/>
              </w:rPr>
              <w:t>ОБЩО МФР 2021—2027 г.</w:t>
            </w:r>
          </w:p>
        </w:tc>
      </w:tr>
      <w:tr w:rsidR="00470A36" w:rsidRPr="00597673" w14:paraId="6FC9C6B4" w14:textId="77777777">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14:paraId="59DD6096" w14:textId="77777777" w:rsidR="00044D5B" w:rsidRPr="00597673" w:rsidRDefault="00044D5B">
            <w:pPr>
              <w:spacing w:before="0" w:after="0"/>
              <w:jc w:val="left"/>
              <w:rPr>
                <w:color w:val="000000"/>
                <w:szCs w:val="24"/>
                <w:lang w:eastAsia="en-IE"/>
              </w:rPr>
            </w:pPr>
          </w:p>
        </w:tc>
        <w:tc>
          <w:tcPr>
            <w:tcW w:w="1160" w:type="dxa"/>
            <w:tcBorders>
              <w:top w:val="nil"/>
              <w:left w:val="nil"/>
              <w:bottom w:val="single" w:sz="8" w:space="0" w:color="auto"/>
              <w:right w:val="single" w:sz="8" w:space="0" w:color="auto"/>
            </w:tcBorders>
            <w:vAlign w:val="center"/>
            <w:hideMark/>
          </w:tcPr>
          <w:p w14:paraId="1CCF535B"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1160" w:type="dxa"/>
            <w:tcBorders>
              <w:top w:val="nil"/>
              <w:left w:val="nil"/>
              <w:bottom w:val="single" w:sz="8" w:space="0" w:color="auto"/>
              <w:right w:val="single" w:sz="8" w:space="0" w:color="auto"/>
            </w:tcBorders>
            <w:vAlign w:val="center"/>
            <w:hideMark/>
          </w:tcPr>
          <w:p w14:paraId="58BD7D02"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1160" w:type="dxa"/>
            <w:tcBorders>
              <w:top w:val="nil"/>
              <w:left w:val="nil"/>
              <w:bottom w:val="single" w:sz="8" w:space="0" w:color="auto"/>
              <w:right w:val="single" w:sz="8" w:space="0" w:color="auto"/>
            </w:tcBorders>
            <w:vAlign w:val="center"/>
            <w:hideMark/>
          </w:tcPr>
          <w:p w14:paraId="7871A358"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1160" w:type="dxa"/>
            <w:tcBorders>
              <w:top w:val="nil"/>
              <w:left w:val="nil"/>
              <w:bottom w:val="single" w:sz="8" w:space="0" w:color="auto"/>
              <w:right w:val="single" w:sz="8" w:space="0" w:color="auto"/>
            </w:tcBorders>
            <w:vAlign w:val="center"/>
            <w:hideMark/>
          </w:tcPr>
          <w:p w14:paraId="3A945D35" w14:textId="77777777" w:rsidR="00044D5B" w:rsidRPr="00597673" w:rsidRDefault="00044D5B">
            <w:pPr>
              <w:spacing w:before="0" w:after="0"/>
              <w:jc w:val="center"/>
              <w:rPr>
                <w:b/>
                <w:bCs/>
                <w:color w:val="000000"/>
                <w:sz w:val="20"/>
                <w:szCs w:val="20"/>
              </w:rPr>
            </w:pPr>
            <w:r w:rsidRPr="00597673">
              <w:rPr>
                <w:b/>
                <w:color w:val="000000"/>
                <w:sz w:val="20"/>
              </w:rPr>
              <w:t>2027 г.</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68C88601" w14:textId="77777777" w:rsidR="00044D5B" w:rsidRPr="00597673" w:rsidRDefault="00044D5B">
            <w:pPr>
              <w:spacing w:before="0" w:after="0"/>
              <w:jc w:val="left"/>
              <w:rPr>
                <w:b/>
                <w:bCs/>
                <w:color w:val="000000"/>
                <w:sz w:val="20"/>
                <w:szCs w:val="20"/>
                <w:lang w:eastAsia="en-IE"/>
              </w:rPr>
            </w:pPr>
          </w:p>
        </w:tc>
      </w:tr>
      <w:tr w:rsidR="00E62D64" w:rsidRPr="00597673" w14:paraId="5CAF7B2C" w14:textId="77777777">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2AD8C846" w14:textId="77777777" w:rsidR="00044D5B" w:rsidRPr="00597673" w:rsidRDefault="00044D5B">
            <w:pPr>
              <w:spacing w:before="0" w:after="0"/>
              <w:jc w:val="center"/>
              <w:rPr>
                <w:b/>
                <w:bCs/>
                <w:color w:val="000000"/>
                <w:sz w:val="22"/>
              </w:rPr>
            </w:pPr>
            <w:r w:rsidRPr="00597673">
              <w:rPr>
                <w:b/>
                <w:color w:val="000000"/>
                <w:sz w:val="22"/>
              </w:rPr>
              <w:t>ОБЩО бюджетни кредити по ФУНКЦИИ 1—7</w:t>
            </w:r>
          </w:p>
        </w:tc>
        <w:tc>
          <w:tcPr>
            <w:tcW w:w="1920" w:type="dxa"/>
            <w:tcBorders>
              <w:top w:val="single" w:sz="8" w:space="0" w:color="auto"/>
              <w:left w:val="nil"/>
              <w:bottom w:val="single" w:sz="8" w:space="0" w:color="auto"/>
              <w:right w:val="single" w:sz="8" w:space="0" w:color="auto"/>
            </w:tcBorders>
            <w:vAlign w:val="center"/>
            <w:hideMark/>
          </w:tcPr>
          <w:p w14:paraId="5987FA06" w14:textId="77777777" w:rsidR="00044D5B" w:rsidRPr="00597673" w:rsidRDefault="00044D5B">
            <w:pPr>
              <w:spacing w:before="0" w:after="0"/>
              <w:rPr>
                <w:color w:val="000000"/>
                <w:sz w:val="18"/>
                <w:szCs w:val="18"/>
              </w:rPr>
            </w:pPr>
            <w:r w:rsidRPr="00597673">
              <w:rPr>
                <w:color w:val="000000"/>
                <w:sz w:val="18"/>
              </w:rPr>
              <w:t>Поети задължения</w:t>
            </w:r>
          </w:p>
        </w:tc>
        <w:tc>
          <w:tcPr>
            <w:tcW w:w="1160" w:type="dxa"/>
            <w:tcBorders>
              <w:top w:val="nil"/>
              <w:left w:val="nil"/>
              <w:bottom w:val="single" w:sz="8" w:space="0" w:color="auto"/>
              <w:right w:val="single" w:sz="8" w:space="0" w:color="auto"/>
            </w:tcBorders>
            <w:shd w:val="clear" w:color="000000" w:fill="D9D9D9"/>
            <w:vAlign w:val="center"/>
            <w:hideMark/>
          </w:tcPr>
          <w:p w14:paraId="508F94CA" w14:textId="77777777" w:rsidR="00044D5B" w:rsidRPr="00597673" w:rsidRDefault="00044D5B">
            <w:pPr>
              <w:spacing w:before="0" w:after="0"/>
              <w:jc w:val="right"/>
              <w:rPr>
                <w:b/>
                <w:bCs/>
                <w:color w:val="000000"/>
                <w:szCs w:val="24"/>
              </w:rPr>
            </w:pPr>
            <w:r w:rsidRPr="00597673">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F4BF6B4" w14:textId="77777777" w:rsidR="00044D5B" w:rsidRPr="00597673" w:rsidRDefault="00044D5B">
            <w:pPr>
              <w:spacing w:before="0" w:after="0"/>
              <w:jc w:val="right"/>
              <w:rPr>
                <w:b/>
                <w:bCs/>
                <w:color w:val="000000"/>
                <w:szCs w:val="24"/>
              </w:rPr>
            </w:pPr>
            <w:r w:rsidRPr="00597673">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104431C2" w14:textId="77777777" w:rsidR="00044D5B" w:rsidRPr="00597673" w:rsidRDefault="00044D5B">
            <w:pPr>
              <w:spacing w:before="0" w:after="0"/>
              <w:jc w:val="right"/>
              <w:rPr>
                <w:b/>
                <w:bCs/>
                <w:color w:val="000000"/>
                <w:szCs w:val="24"/>
              </w:rPr>
            </w:pPr>
            <w:r w:rsidRPr="00597673">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3359534" w14:textId="77777777" w:rsidR="00044D5B" w:rsidRPr="00597673" w:rsidRDefault="00044D5B">
            <w:pPr>
              <w:spacing w:before="0" w:after="0"/>
              <w:jc w:val="right"/>
              <w:rPr>
                <w:b/>
                <w:bCs/>
                <w:color w:val="000000"/>
                <w:szCs w:val="24"/>
              </w:rPr>
            </w:pPr>
            <w:r w:rsidRPr="00597673">
              <w:rPr>
                <w:b/>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59A9A86E" w14:textId="77777777" w:rsidR="00044D5B" w:rsidRPr="00597673" w:rsidRDefault="00044D5B">
            <w:pPr>
              <w:spacing w:before="0" w:after="0"/>
              <w:jc w:val="right"/>
              <w:rPr>
                <w:b/>
                <w:bCs/>
                <w:color w:val="000000"/>
                <w:szCs w:val="24"/>
              </w:rPr>
            </w:pPr>
            <w:r w:rsidRPr="00597673">
              <w:rPr>
                <w:b/>
                <w:color w:val="000000"/>
              </w:rPr>
              <w:t>0,000</w:t>
            </w:r>
          </w:p>
        </w:tc>
      </w:tr>
      <w:tr w:rsidR="00E62D64" w:rsidRPr="00597673" w14:paraId="6CFE9B19" w14:textId="77777777">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53152073" w14:textId="77777777" w:rsidR="00044D5B" w:rsidRPr="00597673" w:rsidRDefault="00044D5B">
            <w:pPr>
              <w:spacing w:before="0" w:after="0"/>
              <w:jc w:val="center"/>
              <w:rPr>
                <w:color w:val="000000"/>
                <w:sz w:val="22"/>
              </w:rPr>
            </w:pPr>
            <w:r w:rsidRPr="00597673">
              <w:rPr>
                <w:color w:val="000000"/>
                <w:sz w:val="22"/>
              </w:rPr>
              <w:t>от многогодишната финансова рамка</w:t>
            </w:r>
            <w:r w:rsidRPr="00597673">
              <w:rPr>
                <w:b/>
                <w:color w:val="000000"/>
                <w:sz w:val="22"/>
              </w:rPr>
              <w:t xml:space="preserve"> </w:t>
            </w:r>
          </w:p>
        </w:tc>
        <w:tc>
          <w:tcPr>
            <w:tcW w:w="1920" w:type="dxa"/>
            <w:tcBorders>
              <w:top w:val="single" w:sz="8" w:space="0" w:color="auto"/>
              <w:left w:val="nil"/>
              <w:bottom w:val="single" w:sz="8" w:space="0" w:color="auto"/>
              <w:right w:val="single" w:sz="8" w:space="0" w:color="auto"/>
            </w:tcBorders>
            <w:vAlign w:val="center"/>
            <w:hideMark/>
          </w:tcPr>
          <w:p w14:paraId="6C8AB0F8" w14:textId="77777777" w:rsidR="00044D5B" w:rsidRPr="00597673" w:rsidRDefault="00044D5B">
            <w:pPr>
              <w:spacing w:before="0" w:after="0"/>
              <w:rPr>
                <w:color w:val="000000"/>
                <w:sz w:val="18"/>
                <w:szCs w:val="18"/>
              </w:rPr>
            </w:pPr>
            <w:r w:rsidRPr="00597673">
              <w:rPr>
                <w:color w:val="000000"/>
                <w:sz w:val="18"/>
              </w:rPr>
              <w:t>Плащания</w:t>
            </w:r>
          </w:p>
        </w:tc>
        <w:tc>
          <w:tcPr>
            <w:tcW w:w="1160" w:type="dxa"/>
            <w:tcBorders>
              <w:top w:val="nil"/>
              <w:left w:val="nil"/>
              <w:bottom w:val="single" w:sz="8" w:space="0" w:color="auto"/>
              <w:right w:val="single" w:sz="8" w:space="0" w:color="auto"/>
            </w:tcBorders>
            <w:shd w:val="clear" w:color="000000" w:fill="D9D9D9"/>
            <w:vAlign w:val="center"/>
            <w:hideMark/>
          </w:tcPr>
          <w:p w14:paraId="1FB40817" w14:textId="77777777" w:rsidR="00044D5B" w:rsidRPr="00597673" w:rsidRDefault="00044D5B">
            <w:pPr>
              <w:spacing w:before="0" w:after="0"/>
              <w:jc w:val="right"/>
              <w:rPr>
                <w:b/>
                <w:bCs/>
                <w:color w:val="000000"/>
                <w:szCs w:val="24"/>
              </w:rPr>
            </w:pPr>
            <w:r w:rsidRPr="00597673">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58A726B5" w14:textId="77777777" w:rsidR="00044D5B" w:rsidRPr="00597673" w:rsidRDefault="00044D5B">
            <w:pPr>
              <w:spacing w:before="0" w:after="0"/>
              <w:jc w:val="right"/>
              <w:rPr>
                <w:b/>
                <w:bCs/>
                <w:color w:val="000000"/>
                <w:szCs w:val="24"/>
              </w:rPr>
            </w:pPr>
            <w:r w:rsidRPr="00597673">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1F84CB1E" w14:textId="77777777" w:rsidR="00044D5B" w:rsidRPr="00597673" w:rsidRDefault="00044D5B">
            <w:pPr>
              <w:spacing w:before="0" w:after="0"/>
              <w:jc w:val="right"/>
              <w:rPr>
                <w:b/>
                <w:bCs/>
                <w:color w:val="000000"/>
                <w:szCs w:val="24"/>
              </w:rPr>
            </w:pPr>
            <w:r w:rsidRPr="00597673">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470FDD0" w14:textId="77777777" w:rsidR="00044D5B" w:rsidRPr="00597673" w:rsidRDefault="00044D5B">
            <w:pPr>
              <w:spacing w:before="0" w:after="0"/>
              <w:jc w:val="right"/>
              <w:rPr>
                <w:b/>
                <w:bCs/>
                <w:color w:val="000000"/>
                <w:szCs w:val="24"/>
              </w:rPr>
            </w:pPr>
            <w:r w:rsidRPr="00597673">
              <w:rPr>
                <w:b/>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3DC5EC14" w14:textId="77777777" w:rsidR="00044D5B" w:rsidRPr="00597673" w:rsidRDefault="00044D5B">
            <w:pPr>
              <w:spacing w:before="0" w:after="0"/>
              <w:jc w:val="right"/>
              <w:rPr>
                <w:b/>
                <w:bCs/>
                <w:color w:val="000000"/>
                <w:szCs w:val="24"/>
              </w:rPr>
            </w:pPr>
            <w:r w:rsidRPr="00597673">
              <w:rPr>
                <w:b/>
                <w:color w:val="000000"/>
              </w:rPr>
              <w:t>0,000</w:t>
            </w:r>
          </w:p>
        </w:tc>
      </w:tr>
    </w:tbl>
    <w:p w14:paraId="7E90F422" w14:textId="77777777" w:rsidR="00044D5B" w:rsidRPr="00597673" w:rsidRDefault="00044D5B" w:rsidP="00044D5B">
      <w:pPr>
        <w:pStyle w:val="ManualHeading3"/>
        <w:rPr>
          <w:bCs/>
          <w:noProof/>
          <w:szCs w:val="24"/>
        </w:rPr>
      </w:pPr>
      <w:r w:rsidRPr="00597673">
        <w:t>3.2.2.</w:t>
      </w:r>
      <w:r w:rsidRPr="00597673">
        <w:tab/>
        <w:t>Прогнозен краен продукт, финансиран с бюджетни кредити за оперативни разходи (не се попълва за децентрализираните агенции)</w:t>
      </w:r>
    </w:p>
    <w:p w14:paraId="19F2A57B" w14:textId="77777777" w:rsidR="00044D5B" w:rsidRPr="00597673" w:rsidRDefault="00044D5B" w:rsidP="00044D5B">
      <w:pPr>
        <w:jc w:val="right"/>
        <w:rPr>
          <w:noProof/>
          <w:sz w:val="20"/>
        </w:rPr>
      </w:pPr>
      <w:r w:rsidRPr="00597673">
        <w:rPr>
          <w:sz w:val="20"/>
        </w:rPr>
        <w:t>Бюджетни кредити за поети задължения в милиони евро (до третия знак след десетичната запетая)</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9"/>
        <w:gridCol w:w="718"/>
        <w:gridCol w:w="699"/>
        <w:gridCol w:w="502"/>
        <w:gridCol w:w="717"/>
        <w:gridCol w:w="538"/>
        <w:gridCol w:w="717"/>
        <w:gridCol w:w="717"/>
        <w:gridCol w:w="717"/>
        <w:gridCol w:w="947"/>
        <w:gridCol w:w="717"/>
        <w:gridCol w:w="538"/>
        <w:gridCol w:w="646"/>
        <w:gridCol w:w="430"/>
        <w:gridCol w:w="717"/>
        <w:gridCol w:w="538"/>
        <w:gridCol w:w="717"/>
        <w:gridCol w:w="717"/>
        <w:gridCol w:w="897"/>
      </w:tblGrid>
      <w:tr w:rsidR="00504273" w:rsidRPr="00597673" w14:paraId="5E0D1950" w14:textId="77777777">
        <w:trPr>
          <w:jc w:val="center"/>
        </w:trPr>
        <w:tc>
          <w:tcPr>
            <w:tcW w:w="1423" w:type="dxa"/>
            <w:vAlign w:val="center"/>
          </w:tcPr>
          <w:p w14:paraId="0CC30D2B" w14:textId="77777777" w:rsidR="00044D5B" w:rsidRPr="00597673" w:rsidRDefault="00044D5B">
            <w:pPr>
              <w:ind w:right="-29"/>
              <w:jc w:val="center"/>
              <w:rPr>
                <w:b/>
                <w:noProof/>
                <w:sz w:val="18"/>
                <w:szCs w:val="18"/>
              </w:rPr>
            </w:pPr>
            <w:r w:rsidRPr="00597673">
              <w:rPr>
                <w:b/>
                <w:sz w:val="18"/>
              </w:rPr>
              <w:t xml:space="preserve">Да се посочат целите и резултатите </w:t>
            </w:r>
          </w:p>
          <w:p w14:paraId="31DCE7EA" w14:textId="77777777" w:rsidR="00044D5B" w:rsidRPr="00597673" w:rsidRDefault="00044D5B">
            <w:pPr>
              <w:ind w:right="-29"/>
              <w:jc w:val="center"/>
              <w:rPr>
                <w:b/>
                <w:noProof/>
                <w:sz w:val="18"/>
                <w:szCs w:val="18"/>
              </w:rPr>
            </w:pPr>
          </w:p>
          <w:p w14:paraId="02B9C5D1" w14:textId="77777777" w:rsidR="00044D5B" w:rsidRPr="00597673" w:rsidRDefault="00044D5B">
            <w:pPr>
              <w:ind w:right="-29"/>
              <w:jc w:val="center"/>
              <w:rPr>
                <w:noProof/>
                <w:sz w:val="18"/>
                <w:szCs w:val="18"/>
              </w:rPr>
            </w:pPr>
            <w:r w:rsidRPr="00597673">
              <w:rPr>
                <w:rFonts w:ascii="Wingdings" w:hAnsi="Wingdings"/>
                <w:sz w:val="18"/>
              </w:rPr>
              <w:t>ò</w:t>
            </w:r>
          </w:p>
        </w:tc>
        <w:tc>
          <w:tcPr>
            <w:tcW w:w="720" w:type="dxa"/>
            <w:vAlign w:val="center"/>
          </w:tcPr>
          <w:p w14:paraId="2BE6932E" w14:textId="77777777" w:rsidR="00044D5B" w:rsidRPr="00597673" w:rsidRDefault="00044D5B">
            <w:pPr>
              <w:ind w:right="-29"/>
              <w:jc w:val="center"/>
              <w:rPr>
                <w:noProof/>
                <w:sz w:val="18"/>
                <w:szCs w:val="18"/>
              </w:rPr>
            </w:pPr>
          </w:p>
        </w:tc>
        <w:tc>
          <w:tcPr>
            <w:tcW w:w="701" w:type="dxa"/>
            <w:vAlign w:val="center"/>
          </w:tcPr>
          <w:p w14:paraId="47A924A7" w14:textId="77777777" w:rsidR="00044D5B" w:rsidRPr="00597673" w:rsidRDefault="00044D5B">
            <w:pPr>
              <w:ind w:right="-29"/>
              <w:jc w:val="center"/>
              <w:rPr>
                <w:noProof/>
                <w:sz w:val="18"/>
                <w:szCs w:val="18"/>
              </w:rPr>
            </w:pPr>
          </w:p>
        </w:tc>
        <w:tc>
          <w:tcPr>
            <w:tcW w:w="1224" w:type="dxa"/>
            <w:gridSpan w:val="2"/>
            <w:tcBorders>
              <w:left w:val="nil"/>
            </w:tcBorders>
            <w:vAlign w:val="center"/>
          </w:tcPr>
          <w:p w14:paraId="3EEFFC73" w14:textId="77777777" w:rsidR="00044D5B" w:rsidRPr="00597673" w:rsidRDefault="00044D5B">
            <w:pPr>
              <w:ind w:right="-29"/>
              <w:jc w:val="center"/>
              <w:rPr>
                <w:noProof/>
                <w:sz w:val="18"/>
                <w:szCs w:val="18"/>
              </w:rPr>
            </w:pPr>
            <w:r w:rsidRPr="00597673">
              <w:rPr>
                <w:sz w:val="18"/>
              </w:rPr>
              <w:t xml:space="preserve">Година </w:t>
            </w:r>
            <w:r w:rsidRPr="00597673">
              <w:t xml:space="preserve"> </w:t>
            </w:r>
            <w:r w:rsidRPr="00597673">
              <w:br/>
            </w:r>
            <w:r w:rsidRPr="00597673">
              <w:rPr>
                <w:b/>
                <w:sz w:val="18"/>
              </w:rPr>
              <w:t>2024</w:t>
            </w:r>
          </w:p>
        </w:tc>
        <w:tc>
          <w:tcPr>
            <w:tcW w:w="1260" w:type="dxa"/>
            <w:gridSpan w:val="2"/>
            <w:vAlign w:val="center"/>
          </w:tcPr>
          <w:p w14:paraId="17B4A331" w14:textId="77777777" w:rsidR="00044D5B" w:rsidRPr="00597673" w:rsidRDefault="00044D5B">
            <w:pPr>
              <w:ind w:right="-29"/>
              <w:jc w:val="center"/>
              <w:rPr>
                <w:noProof/>
                <w:sz w:val="18"/>
                <w:szCs w:val="18"/>
              </w:rPr>
            </w:pPr>
            <w:r w:rsidRPr="00597673">
              <w:rPr>
                <w:sz w:val="18"/>
              </w:rPr>
              <w:t xml:space="preserve">Година </w:t>
            </w:r>
            <w:r w:rsidRPr="00597673">
              <w:t xml:space="preserve"> </w:t>
            </w:r>
            <w:r w:rsidRPr="00597673">
              <w:br/>
            </w:r>
            <w:r w:rsidRPr="00597673">
              <w:rPr>
                <w:b/>
                <w:sz w:val="18"/>
              </w:rPr>
              <w:t>2025</w:t>
            </w:r>
          </w:p>
        </w:tc>
        <w:tc>
          <w:tcPr>
            <w:tcW w:w="1440" w:type="dxa"/>
            <w:gridSpan w:val="2"/>
            <w:vAlign w:val="center"/>
          </w:tcPr>
          <w:p w14:paraId="07E5595C" w14:textId="77777777" w:rsidR="00044D5B" w:rsidRPr="00597673" w:rsidRDefault="00044D5B">
            <w:pPr>
              <w:ind w:right="-29"/>
              <w:jc w:val="center"/>
              <w:rPr>
                <w:noProof/>
                <w:sz w:val="18"/>
                <w:szCs w:val="18"/>
              </w:rPr>
            </w:pPr>
            <w:r w:rsidRPr="00597673">
              <w:rPr>
                <w:sz w:val="18"/>
              </w:rPr>
              <w:t xml:space="preserve">Година </w:t>
            </w:r>
            <w:r w:rsidRPr="00597673">
              <w:t xml:space="preserve"> </w:t>
            </w:r>
            <w:r w:rsidRPr="00597673">
              <w:br/>
            </w:r>
            <w:r w:rsidRPr="00597673">
              <w:rPr>
                <w:b/>
                <w:sz w:val="18"/>
              </w:rPr>
              <w:t>2026</w:t>
            </w:r>
          </w:p>
        </w:tc>
        <w:tc>
          <w:tcPr>
            <w:tcW w:w="1620" w:type="dxa"/>
            <w:gridSpan w:val="2"/>
            <w:vAlign w:val="center"/>
          </w:tcPr>
          <w:p w14:paraId="04A1C7A3" w14:textId="77777777" w:rsidR="00044D5B" w:rsidRPr="00597673" w:rsidRDefault="00044D5B">
            <w:pPr>
              <w:ind w:right="-29"/>
              <w:jc w:val="center"/>
              <w:rPr>
                <w:noProof/>
                <w:sz w:val="18"/>
                <w:szCs w:val="18"/>
              </w:rPr>
            </w:pPr>
            <w:r w:rsidRPr="00597673">
              <w:rPr>
                <w:sz w:val="18"/>
              </w:rPr>
              <w:t xml:space="preserve">Година </w:t>
            </w:r>
            <w:r w:rsidRPr="00597673">
              <w:t xml:space="preserve"> </w:t>
            </w:r>
            <w:r w:rsidRPr="00597673">
              <w:br/>
            </w:r>
            <w:r w:rsidRPr="00597673">
              <w:rPr>
                <w:b/>
                <w:sz w:val="18"/>
              </w:rPr>
              <w:t>2027</w:t>
            </w:r>
          </w:p>
        </w:tc>
        <w:tc>
          <w:tcPr>
            <w:tcW w:w="3600" w:type="dxa"/>
            <w:gridSpan w:val="6"/>
            <w:vAlign w:val="center"/>
          </w:tcPr>
          <w:p w14:paraId="4D7467F2" w14:textId="77777777" w:rsidR="00044D5B" w:rsidRPr="00597673" w:rsidRDefault="00044D5B">
            <w:pPr>
              <w:jc w:val="center"/>
              <w:rPr>
                <w:noProof/>
                <w:sz w:val="18"/>
                <w:szCs w:val="18"/>
              </w:rPr>
            </w:pPr>
            <w:r w:rsidRPr="00597673">
              <w:rPr>
                <w:sz w:val="18"/>
              </w:rPr>
              <w:t>Да се добавят толкова години, колкото е необходимо, за да се обхване продължителността на отражението (вж. раздел 1.6)</w:t>
            </w:r>
          </w:p>
        </w:tc>
        <w:tc>
          <w:tcPr>
            <w:tcW w:w="1620" w:type="dxa"/>
            <w:gridSpan w:val="2"/>
            <w:tcBorders>
              <w:left w:val="nil"/>
              <w:bottom w:val="nil"/>
            </w:tcBorders>
            <w:vAlign w:val="center"/>
          </w:tcPr>
          <w:p w14:paraId="05C47D71" w14:textId="77777777" w:rsidR="00044D5B" w:rsidRPr="00597673" w:rsidRDefault="00044D5B">
            <w:pPr>
              <w:ind w:right="-29"/>
              <w:jc w:val="center"/>
              <w:rPr>
                <w:noProof/>
                <w:sz w:val="18"/>
                <w:szCs w:val="18"/>
              </w:rPr>
            </w:pPr>
            <w:r w:rsidRPr="00597673">
              <w:rPr>
                <w:b/>
                <w:sz w:val="18"/>
              </w:rPr>
              <w:t>ОБЩО</w:t>
            </w:r>
          </w:p>
        </w:tc>
      </w:tr>
      <w:tr w:rsidR="00D84377" w:rsidRPr="00597673" w14:paraId="108E928D" w14:textId="77777777">
        <w:trPr>
          <w:jc w:val="center"/>
        </w:trPr>
        <w:tc>
          <w:tcPr>
            <w:tcW w:w="1423" w:type="dxa"/>
            <w:vAlign w:val="center"/>
          </w:tcPr>
          <w:p w14:paraId="3790F3EB" w14:textId="77777777" w:rsidR="00044D5B" w:rsidRPr="00597673" w:rsidRDefault="00044D5B">
            <w:pPr>
              <w:ind w:right="-29"/>
              <w:jc w:val="center"/>
              <w:rPr>
                <w:noProof/>
                <w:sz w:val="18"/>
                <w:szCs w:val="18"/>
              </w:rPr>
            </w:pPr>
          </w:p>
        </w:tc>
        <w:tc>
          <w:tcPr>
            <w:tcW w:w="12185" w:type="dxa"/>
            <w:gridSpan w:val="18"/>
            <w:vAlign w:val="center"/>
          </w:tcPr>
          <w:p w14:paraId="4EEA60C0" w14:textId="77777777" w:rsidR="00044D5B" w:rsidRPr="00597673" w:rsidRDefault="00044D5B">
            <w:pPr>
              <w:spacing w:before="60" w:after="60"/>
              <w:ind w:right="-29"/>
              <w:jc w:val="center"/>
              <w:rPr>
                <w:noProof/>
                <w:sz w:val="18"/>
                <w:szCs w:val="18"/>
              </w:rPr>
            </w:pPr>
            <w:r w:rsidRPr="00597673">
              <w:rPr>
                <w:b/>
                <w:sz w:val="18"/>
              </w:rPr>
              <w:t>КРАЙНИ ПРОДУКТИ</w:t>
            </w:r>
          </w:p>
        </w:tc>
      </w:tr>
      <w:tr w:rsidR="00E62D64" w:rsidRPr="00597673" w14:paraId="5705D50F" w14:textId="77777777">
        <w:trPr>
          <w:cantSplit/>
          <w:trHeight w:val="1134"/>
          <w:jc w:val="center"/>
        </w:trPr>
        <w:tc>
          <w:tcPr>
            <w:tcW w:w="1423" w:type="dxa"/>
            <w:vAlign w:val="center"/>
          </w:tcPr>
          <w:p w14:paraId="4898D4CF" w14:textId="77777777" w:rsidR="00044D5B" w:rsidRPr="00597673" w:rsidRDefault="00044D5B">
            <w:pPr>
              <w:rPr>
                <w:noProof/>
                <w:sz w:val="18"/>
                <w:szCs w:val="18"/>
              </w:rPr>
            </w:pPr>
          </w:p>
        </w:tc>
        <w:tc>
          <w:tcPr>
            <w:tcW w:w="720" w:type="dxa"/>
            <w:vAlign w:val="center"/>
          </w:tcPr>
          <w:p w14:paraId="2A28DBC6" w14:textId="77777777" w:rsidR="00044D5B" w:rsidRPr="00597673" w:rsidRDefault="00044D5B">
            <w:pPr>
              <w:jc w:val="center"/>
              <w:rPr>
                <w:noProof/>
                <w:sz w:val="18"/>
                <w:szCs w:val="18"/>
              </w:rPr>
            </w:pPr>
            <w:r w:rsidRPr="00597673">
              <w:rPr>
                <w:sz w:val="18"/>
              </w:rPr>
              <w:t>Вид</w:t>
            </w:r>
            <w:r w:rsidRPr="00597673">
              <w:rPr>
                <w:rStyle w:val="FootnoteReference"/>
                <w:noProof/>
                <w:sz w:val="18"/>
              </w:rPr>
              <w:footnoteReference w:id="43"/>
            </w:r>
          </w:p>
          <w:p w14:paraId="7C83F4D9" w14:textId="77777777" w:rsidR="00044D5B" w:rsidRPr="00597673" w:rsidRDefault="00044D5B">
            <w:pPr>
              <w:spacing w:before="0" w:after="0"/>
              <w:jc w:val="center"/>
              <w:rPr>
                <w:noProof/>
                <w:sz w:val="18"/>
                <w:szCs w:val="18"/>
              </w:rPr>
            </w:pPr>
          </w:p>
        </w:tc>
        <w:tc>
          <w:tcPr>
            <w:tcW w:w="701" w:type="dxa"/>
            <w:vAlign w:val="center"/>
          </w:tcPr>
          <w:p w14:paraId="6D551254" w14:textId="77777777" w:rsidR="00044D5B" w:rsidRPr="00597673" w:rsidRDefault="00044D5B">
            <w:pPr>
              <w:jc w:val="center"/>
              <w:rPr>
                <w:noProof/>
                <w:sz w:val="18"/>
                <w:szCs w:val="18"/>
              </w:rPr>
            </w:pPr>
            <w:r w:rsidRPr="00597673">
              <w:rPr>
                <w:sz w:val="18"/>
              </w:rPr>
              <w:t>Среден разход</w:t>
            </w:r>
          </w:p>
        </w:tc>
        <w:tc>
          <w:tcPr>
            <w:tcW w:w="504" w:type="dxa"/>
            <w:tcBorders>
              <w:left w:val="nil"/>
              <w:right w:val="dashSmallGap" w:sz="4" w:space="0" w:color="auto"/>
            </w:tcBorders>
            <w:shd w:val="pct10" w:color="auto" w:fill="auto"/>
            <w:textDirection w:val="btLr"/>
            <w:vAlign w:val="center"/>
          </w:tcPr>
          <w:p w14:paraId="73AD1720" w14:textId="77777777" w:rsidR="00044D5B" w:rsidRPr="00597673" w:rsidRDefault="00044D5B">
            <w:pPr>
              <w:ind w:left="113" w:right="113"/>
              <w:jc w:val="center"/>
              <w:rPr>
                <w:noProof/>
                <w:sz w:val="18"/>
                <w:szCs w:val="18"/>
              </w:rPr>
            </w:pPr>
            <w:r w:rsidRPr="00597673">
              <w:rPr>
                <w:sz w:val="18"/>
              </w:rPr>
              <w:t>№</w:t>
            </w:r>
          </w:p>
        </w:tc>
        <w:tc>
          <w:tcPr>
            <w:tcW w:w="720" w:type="dxa"/>
            <w:tcBorders>
              <w:left w:val="dashSmallGap" w:sz="4" w:space="0" w:color="auto"/>
            </w:tcBorders>
            <w:shd w:val="pct10" w:color="auto" w:fill="auto"/>
            <w:vAlign w:val="center"/>
          </w:tcPr>
          <w:p w14:paraId="525D1525" w14:textId="77777777" w:rsidR="00044D5B" w:rsidRPr="00597673" w:rsidRDefault="00044D5B">
            <w:pPr>
              <w:jc w:val="center"/>
              <w:rPr>
                <w:noProof/>
                <w:sz w:val="18"/>
                <w:szCs w:val="18"/>
              </w:rPr>
            </w:pPr>
            <w:r w:rsidRPr="00597673">
              <w:rPr>
                <w:sz w:val="18"/>
              </w:rPr>
              <w:t>Разход</w:t>
            </w:r>
          </w:p>
        </w:tc>
        <w:tc>
          <w:tcPr>
            <w:tcW w:w="540" w:type="dxa"/>
            <w:tcBorders>
              <w:right w:val="dashSmallGap" w:sz="4" w:space="0" w:color="auto"/>
            </w:tcBorders>
            <w:shd w:val="pct10" w:color="auto" w:fill="auto"/>
            <w:textDirection w:val="btLr"/>
            <w:vAlign w:val="center"/>
          </w:tcPr>
          <w:p w14:paraId="58010348" w14:textId="77777777" w:rsidR="00044D5B" w:rsidRPr="00597673" w:rsidRDefault="00044D5B">
            <w:pPr>
              <w:ind w:left="113" w:right="113"/>
              <w:jc w:val="center"/>
              <w:rPr>
                <w:noProof/>
                <w:sz w:val="18"/>
                <w:szCs w:val="18"/>
              </w:rPr>
            </w:pPr>
            <w:r w:rsidRPr="00597673">
              <w:rPr>
                <w:sz w:val="18"/>
              </w:rPr>
              <w:t>№</w:t>
            </w:r>
          </w:p>
        </w:tc>
        <w:tc>
          <w:tcPr>
            <w:tcW w:w="720" w:type="dxa"/>
            <w:tcBorders>
              <w:left w:val="dashSmallGap" w:sz="4" w:space="0" w:color="auto"/>
            </w:tcBorders>
            <w:shd w:val="pct10" w:color="auto" w:fill="auto"/>
            <w:vAlign w:val="center"/>
          </w:tcPr>
          <w:p w14:paraId="39E7CF00" w14:textId="77777777" w:rsidR="00044D5B" w:rsidRPr="00597673" w:rsidRDefault="00044D5B">
            <w:pPr>
              <w:jc w:val="center"/>
              <w:rPr>
                <w:noProof/>
                <w:sz w:val="18"/>
                <w:szCs w:val="18"/>
              </w:rPr>
            </w:pPr>
            <w:r w:rsidRPr="00597673">
              <w:rPr>
                <w:sz w:val="18"/>
              </w:rPr>
              <w:t>Разход</w:t>
            </w:r>
          </w:p>
        </w:tc>
        <w:tc>
          <w:tcPr>
            <w:tcW w:w="720" w:type="dxa"/>
            <w:tcBorders>
              <w:right w:val="dashSmallGap" w:sz="4" w:space="0" w:color="auto"/>
            </w:tcBorders>
            <w:shd w:val="pct10" w:color="auto" w:fill="auto"/>
            <w:textDirection w:val="btLr"/>
            <w:vAlign w:val="center"/>
          </w:tcPr>
          <w:p w14:paraId="0CFD17C8" w14:textId="77777777" w:rsidR="00044D5B" w:rsidRPr="00597673" w:rsidRDefault="00044D5B">
            <w:pPr>
              <w:ind w:left="113" w:right="113"/>
              <w:jc w:val="center"/>
              <w:rPr>
                <w:noProof/>
                <w:sz w:val="18"/>
                <w:szCs w:val="18"/>
              </w:rPr>
            </w:pPr>
            <w:r w:rsidRPr="00597673">
              <w:rPr>
                <w:sz w:val="18"/>
              </w:rPr>
              <w:t>№</w:t>
            </w:r>
          </w:p>
        </w:tc>
        <w:tc>
          <w:tcPr>
            <w:tcW w:w="720" w:type="dxa"/>
            <w:tcBorders>
              <w:left w:val="dashSmallGap" w:sz="4" w:space="0" w:color="auto"/>
            </w:tcBorders>
            <w:shd w:val="pct10" w:color="auto" w:fill="auto"/>
            <w:vAlign w:val="center"/>
          </w:tcPr>
          <w:p w14:paraId="648612E5" w14:textId="77777777" w:rsidR="00044D5B" w:rsidRPr="00597673" w:rsidRDefault="00044D5B">
            <w:pPr>
              <w:jc w:val="center"/>
              <w:rPr>
                <w:noProof/>
                <w:sz w:val="18"/>
                <w:szCs w:val="18"/>
              </w:rPr>
            </w:pPr>
            <w:r w:rsidRPr="00597673">
              <w:rPr>
                <w:sz w:val="18"/>
              </w:rPr>
              <w:t>Разход</w:t>
            </w:r>
          </w:p>
        </w:tc>
        <w:tc>
          <w:tcPr>
            <w:tcW w:w="900" w:type="dxa"/>
            <w:tcBorders>
              <w:right w:val="dashSmallGap" w:sz="4" w:space="0" w:color="auto"/>
            </w:tcBorders>
            <w:shd w:val="pct10" w:color="auto" w:fill="auto"/>
            <w:textDirection w:val="btLr"/>
            <w:vAlign w:val="center"/>
          </w:tcPr>
          <w:p w14:paraId="068FC0B9" w14:textId="77777777" w:rsidR="00044D5B" w:rsidRPr="00597673" w:rsidRDefault="00044D5B">
            <w:pPr>
              <w:ind w:left="113" w:right="113"/>
              <w:jc w:val="center"/>
              <w:rPr>
                <w:noProof/>
                <w:sz w:val="18"/>
                <w:szCs w:val="18"/>
              </w:rPr>
            </w:pPr>
            <w:r w:rsidRPr="00597673">
              <w:rPr>
                <w:sz w:val="18"/>
              </w:rPr>
              <w:t>№</w:t>
            </w:r>
          </w:p>
        </w:tc>
        <w:tc>
          <w:tcPr>
            <w:tcW w:w="720" w:type="dxa"/>
            <w:tcBorders>
              <w:left w:val="dashSmallGap" w:sz="4" w:space="0" w:color="auto"/>
            </w:tcBorders>
            <w:shd w:val="pct10" w:color="auto" w:fill="auto"/>
            <w:vAlign w:val="center"/>
          </w:tcPr>
          <w:p w14:paraId="53E13167" w14:textId="77777777" w:rsidR="00044D5B" w:rsidRPr="00597673" w:rsidRDefault="00044D5B">
            <w:pPr>
              <w:jc w:val="center"/>
              <w:rPr>
                <w:noProof/>
                <w:sz w:val="18"/>
                <w:szCs w:val="18"/>
              </w:rPr>
            </w:pPr>
            <w:r w:rsidRPr="00597673">
              <w:rPr>
                <w:sz w:val="18"/>
              </w:rPr>
              <w:t>Разход</w:t>
            </w:r>
          </w:p>
        </w:tc>
        <w:tc>
          <w:tcPr>
            <w:tcW w:w="540" w:type="dxa"/>
            <w:tcBorders>
              <w:right w:val="dashSmallGap" w:sz="4" w:space="0" w:color="auto"/>
            </w:tcBorders>
            <w:shd w:val="pct10" w:color="auto" w:fill="auto"/>
            <w:textDirection w:val="btLr"/>
            <w:vAlign w:val="center"/>
          </w:tcPr>
          <w:p w14:paraId="01311F1A" w14:textId="77777777" w:rsidR="00044D5B" w:rsidRPr="00597673" w:rsidRDefault="00044D5B">
            <w:pPr>
              <w:ind w:left="113" w:right="113"/>
              <w:jc w:val="center"/>
              <w:rPr>
                <w:noProof/>
                <w:sz w:val="18"/>
                <w:szCs w:val="18"/>
              </w:rPr>
            </w:pPr>
            <w:r w:rsidRPr="00597673">
              <w:rPr>
                <w:sz w:val="18"/>
              </w:rPr>
              <w:t>№</w:t>
            </w:r>
          </w:p>
        </w:tc>
        <w:tc>
          <w:tcPr>
            <w:tcW w:w="648" w:type="dxa"/>
            <w:tcBorders>
              <w:left w:val="dashSmallGap" w:sz="4" w:space="0" w:color="auto"/>
            </w:tcBorders>
            <w:shd w:val="pct10" w:color="auto" w:fill="auto"/>
            <w:vAlign w:val="center"/>
          </w:tcPr>
          <w:p w14:paraId="5482E463" w14:textId="77777777" w:rsidR="00044D5B" w:rsidRPr="00597673" w:rsidRDefault="00044D5B">
            <w:pPr>
              <w:jc w:val="center"/>
              <w:rPr>
                <w:noProof/>
                <w:sz w:val="18"/>
                <w:szCs w:val="18"/>
              </w:rPr>
            </w:pPr>
            <w:r w:rsidRPr="00597673">
              <w:rPr>
                <w:sz w:val="18"/>
              </w:rPr>
              <w:t>Разход</w:t>
            </w:r>
          </w:p>
        </w:tc>
        <w:tc>
          <w:tcPr>
            <w:tcW w:w="432" w:type="dxa"/>
            <w:tcBorders>
              <w:right w:val="dashSmallGap" w:sz="4" w:space="0" w:color="auto"/>
            </w:tcBorders>
            <w:shd w:val="pct10" w:color="auto" w:fill="auto"/>
            <w:textDirection w:val="btLr"/>
            <w:vAlign w:val="center"/>
          </w:tcPr>
          <w:p w14:paraId="3C808FCB" w14:textId="77777777" w:rsidR="00044D5B" w:rsidRPr="00597673" w:rsidRDefault="00044D5B">
            <w:pPr>
              <w:ind w:left="113" w:right="113"/>
              <w:jc w:val="center"/>
              <w:rPr>
                <w:noProof/>
                <w:sz w:val="18"/>
                <w:szCs w:val="18"/>
              </w:rPr>
            </w:pPr>
            <w:r w:rsidRPr="00597673">
              <w:rPr>
                <w:sz w:val="18"/>
              </w:rPr>
              <w:t>№</w:t>
            </w:r>
          </w:p>
        </w:tc>
        <w:tc>
          <w:tcPr>
            <w:tcW w:w="720" w:type="dxa"/>
            <w:tcBorders>
              <w:left w:val="dashSmallGap" w:sz="4" w:space="0" w:color="auto"/>
            </w:tcBorders>
            <w:shd w:val="pct10" w:color="auto" w:fill="auto"/>
            <w:vAlign w:val="center"/>
          </w:tcPr>
          <w:p w14:paraId="2B193E48" w14:textId="77777777" w:rsidR="00044D5B" w:rsidRPr="00597673" w:rsidRDefault="00044D5B">
            <w:pPr>
              <w:jc w:val="center"/>
              <w:rPr>
                <w:noProof/>
                <w:sz w:val="18"/>
                <w:szCs w:val="18"/>
              </w:rPr>
            </w:pPr>
            <w:r w:rsidRPr="00597673">
              <w:rPr>
                <w:sz w:val="18"/>
              </w:rPr>
              <w:t>Разход</w:t>
            </w:r>
          </w:p>
        </w:tc>
        <w:tc>
          <w:tcPr>
            <w:tcW w:w="540" w:type="dxa"/>
            <w:tcBorders>
              <w:right w:val="dashSmallGap" w:sz="4" w:space="0" w:color="auto"/>
            </w:tcBorders>
            <w:shd w:val="pct10" w:color="auto" w:fill="auto"/>
            <w:textDirection w:val="btLr"/>
            <w:vAlign w:val="center"/>
          </w:tcPr>
          <w:p w14:paraId="02771A57" w14:textId="77777777" w:rsidR="00044D5B" w:rsidRPr="00597673" w:rsidRDefault="00044D5B">
            <w:pPr>
              <w:ind w:left="113" w:right="113"/>
              <w:jc w:val="center"/>
              <w:rPr>
                <w:noProof/>
                <w:sz w:val="18"/>
                <w:szCs w:val="18"/>
              </w:rPr>
            </w:pPr>
            <w:r w:rsidRPr="00597673">
              <w:rPr>
                <w:sz w:val="18"/>
              </w:rPr>
              <w:t>№</w:t>
            </w:r>
          </w:p>
        </w:tc>
        <w:tc>
          <w:tcPr>
            <w:tcW w:w="720" w:type="dxa"/>
            <w:tcBorders>
              <w:left w:val="dashSmallGap" w:sz="4" w:space="0" w:color="auto"/>
            </w:tcBorders>
            <w:shd w:val="pct10" w:color="auto" w:fill="auto"/>
            <w:vAlign w:val="center"/>
          </w:tcPr>
          <w:p w14:paraId="2E3A2857" w14:textId="77777777" w:rsidR="00044D5B" w:rsidRPr="00597673" w:rsidRDefault="00044D5B">
            <w:pPr>
              <w:jc w:val="center"/>
              <w:rPr>
                <w:noProof/>
                <w:sz w:val="18"/>
                <w:szCs w:val="18"/>
              </w:rPr>
            </w:pPr>
            <w:r w:rsidRPr="00597673">
              <w:rPr>
                <w:sz w:val="18"/>
              </w:rPr>
              <w:t>Разход</w:t>
            </w:r>
          </w:p>
        </w:tc>
        <w:tc>
          <w:tcPr>
            <w:tcW w:w="720" w:type="dxa"/>
            <w:tcBorders>
              <w:right w:val="dashSmallGap" w:sz="4" w:space="0" w:color="auto"/>
            </w:tcBorders>
            <w:shd w:val="pct10" w:color="auto" w:fill="auto"/>
            <w:vAlign w:val="center"/>
          </w:tcPr>
          <w:p w14:paraId="082A55F2" w14:textId="77777777" w:rsidR="00044D5B" w:rsidRPr="00597673" w:rsidRDefault="00044D5B">
            <w:pPr>
              <w:jc w:val="center"/>
              <w:rPr>
                <w:noProof/>
                <w:sz w:val="18"/>
                <w:szCs w:val="18"/>
              </w:rPr>
            </w:pPr>
            <w:r w:rsidRPr="00597673">
              <w:rPr>
                <w:sz w:val="18"/>
              </w:rPr>
              <w:t>Общ брой</w:t>
            </w:r>
          </w:p>
        </w:tc>
        <w:tc>
          <w:tcPr>
            <w:tcW w:w="900" w:type="dxa"/>
            <w:tcBorders>
              <w:left w:val="dashSmallGap" w:sz="4" w:space="0" w:color="auto"/>
            </w:tcBorders>
            <w:shd w:val="pct10" w:color="auto" w:fill="auto"/>
            <w:vAlign w:val="center"/>
          </w:tcPr>
          <w:p w14:paraId="5B2FE234" w14:textId="77777777" w:rsidR="00044D5B" w:rsidRPr="00597673" w:rsidRDefault="00044D5B">
            <w:pPr>
              <w:jc w:val="center"/>
              <w:rPr>
                <w:noProof/>
                <w:sz w:val="18"/>
                <w:szCs w:val="18"/>
              </w:rPr>
            </w:pPr>
            <w:r w:rsidRPr="00597673">
              <w:rPr>
                <w:sz w:val="18"/>
              </w:rPr>
              <w:t>Общо разходи</w:t>
            </w:r>
          </w:p>
        </w:tc>
      </w:tr>
      <w:tr w:rsidR="009700B5" w:rsidRPr="00597673" w14:paraId="18EF0597" w14:textId="77777777">
        <w:trPr>
          <w:jc w:val="center"/>
        </w:trPr>
        <w:tc>
          <w:tcPr>
            <w:tcW w:w="2844" w:type="dxa"/>
            <w:gridSpan w:val="3"/>
            <w:vAlign w:val="center"/>
          </w:tcPr>
          <w:p w14:paraId="15CB7712" w14:textId="77777777" w:rsidR="00044D5B" w:rsidRPr="00597673" w:rsidRDefault="00044D5B">
            <w:pPr>
              <w:spacing w:before="60" w:after="60"/>
              <w:ind w:right="-29"/>
              <w:jc w:val="center"/>
              <w:rPr>
                <w:noProof/>
                <w:sz w:val="18"/>
                <w:szCs w:val="18"/>
              </w:rPr>
            </w:pPr>
            <w:r w:rsidRPr="00597673">
              <w:rPr>
                <w:sz w:val="18"/>
              </w:rPr>
              <w:t>КОНКРЕТНА ЦЕЛ № 1</w:t>
            </w:r>
            <w:r w:rsidRPr="00597673">
              <w:rPr>
                <w:rStyle w:val="FootnoteReference"/>
                <w:noProof/>
                <w:sz w:val="18"/>
              </w:rPr>
              <w:footnoteReference w:id="44"/>
            </w:r>
            <w:r w:rsidRPr="00597673">
              <w:rPr>
                <w:sz w:val="18"/>
              </w:rPr>
              <w:t>...</w:t>
            </w:r>
          </w:p>
        </w:tc>
        <w:tc>
          <w:tcPr>
            <w:tcW w:w="504" w:type="dxa"/>
            <w:tcBorders>
              <w:top w:val="nil"/>
              <w:left w:val="nil"/>
              <w:bottom w:val="nil"/>
              <w:right w:val="nil"/>
            </w:tcBorders>
          </w:tcPr>
          <w:p w14:paraId="39A3A01E"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554269AD" w14:textId="77777777" w:rsidR="00044D5B" w:rsidRPr="00597673" w:rsidRDefault="00044D5B">
            <w:pPr>
              <w:spacing w:before="60" w:after="60"/>
              <w:ind w:right="-29"/>
              <w:jc w:val="center"/>
              <w:rPr>
                <w:noProof/>
                <w:sz w:val="18"/>
                <w:szCs w:val="18"/>
              </w:rPr>
            </w:pPr>
          </w:p>
        </w:tc>
        <w:tc>
          <w:tcPr>
            <w:tcW w:w="540" w:type="dxa"/>
            <w:tcBorders>
              <w:top w:val="nil"/>
              <w:left w:val="nil"/>
              <w:bottom w:val="nil"/>
              <w:right w:val="nil"/>
            </w:tcBorders>
          </w:tcPr>
          <w:p w14:paraId="6FDCF653"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0AE2BE40"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37A94689"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7403D2D4" w14:textId="77777777" w:rsidR="00044D5B" w:rsidRPr="00597673" w:rsidRDefault="00044D5B">
            <w:pPr>
              <w:spacing w:before="60" w:after="60"/>
              <w:ind w:right="-29"/>
              <w:jc w:val="center"/>
              <w:rPr>
                <w:noProof/>
                <w:sz w:val="18"/>
                <w:szCs w:val="18"/>
              </w:rPr>
            </w:pPr>
          </w:p>
        </w:tc>
        <w:tc>
          <w:tcPr>
            <w:tcW w:w="900" w:type="dxa"/>
            <w:tcBorders>
              <w:top w:val="nil"/>
              <w:left w:val="nil"/>
              <w:bottom w:val="nil"/>
              <w:right w:val="nil"/>
            </w:tcBorders>
          </w:tcPr>
          <w:p w14:paraId="51BBFFC8"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345083BC" w14:textId="77777777" w:rsidR="00044D5B" w:rsidRPr="00597673" w:rsidRDefault="00044D5B">
            <w:pPr>
              <w:spacing w:before="60" w:after="60"/>
              <w:ind w:right="-29"/>
              <w:jc w:val="center"/>
              <w:rPr>
                <w:noProof/>
                <w:sz w:val="18"/>
                <w:szCs w:val="18"/>
              </w:rPr>
            </w:pPr>
          </w:p>
        </w:tc>
        <w:tc>
          <w:tcPr>
            <w:tcW w:w="540" w:type="dxa"/>
            <w:tcBorders>
              <w:top w:val="nil"/>
              <w:left w:val="nil"/>
              <w:bottom w:val="nil"/>
              <w:right w:val="nil"/>
            </w:tcBorders>
          </w:tcPr>
          <w:p w14:paraId="0FDA823D" w14:textId="77777777" w:rsidR="00044D5B" w:rsidRPr="00597673" w:rsidRDefault="00044D5B">
            <w:pPr>
              <w:spacing w:before="60" w:after="60"/>
              <w:ind w:right="-29"/>
              <w:jc w:val="center"/>
              <w:rPr>
                <w:noProof/>
                <w:sz w:val="18"/>
                <w:szCs w:val="18"/>
              </w:rPr>
            </w:pPr>
          </w:p>
        </w:tc>
        <w:tc>
          <w:tcPr>
            <w:tcW w:w="648" w:type="dxa"/>
            <w:tcBorders>
              <w:top w:val="nil"/>
              <w:left w:val="nil"/>
              <w:bottom w:val="nil"/>
              <w:right w:val="nil"/>
            </w:tcBorders>
          </w:tcPr>
          <w:p w14:paraId="4CC327D0" w14:textId="77777777" w:rsidR="00044D5B" w:rsidRPr="00597673" w:rsidRDefault="00044D5B">
            <w:pPr>
              <w:spacing w:before="60" w:after="60"/>
              <w:ind w:right="-29"/>
              <w:jc w:val="center"/>
              <w:rPr>
                <w:noProof/>
                <w:sz w:val="18"/>
                <w:szCs w:val="18"/>
              </w:rPr>
            </w:pPr>
          </w:p>
        </w:tc>
        <w:tc>
          <w:tcPr>
            <w:tcW w:w="432" w:type="dxa"/>
            <w:tcBorders>
              <w:top w:val="nil"/>
              <w:left w:val="nil"/>
              <w:bottom w:val="nil"/>
              <w:right w:val="nil"/>
            </w:tcBorders>
          </w:tcPr>
          <w:p w14:paraId="75DB459A"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780A2C7D" w14:textId="77777777" w:rsidR="00044D5B" w:rsidRPr="00597673" w:rsidRDefault="00044D5B">
            <w:pPr>
              <w:spacing w:before="60" w:after="60"/>
              <w:ind w:right="-29"/>
              <w:jc w:val="center"/>
              <w:rPr>
                <w:noProof/>
                <w:sz w:val="18"/>
                <w:szCs w:val="18"/>
              </w:rPr>
            </w:pPr>
          </w:p>
        </w:tc>
        <w:tc>
          <w:tcPr>
            <w:tcW w:w="540" w:type="dxa"/>
            <w:tcBorders>
              <w:top w:val="nil"/>
              <w:left w:val="nil"/>
              <w:bottom w:val="nil"/>
              <w:right w:val="nil"/>
            </w:tcBorders>
          </w:tcPr>
          <w:p w14:paraId="3959A7E1"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3F8A2EF1"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3337A2FA" w14:textId="77777777" w:rsidR="00044D5B" w:rsidRPr="00597673" w:rsidRDefault="00044D5B">
            <w:pPr>
              <w:spacing w:before="60" w:after="60"/>
              <w:ind w:right="-29"/>
              <w:jc w:val="center"/>
              <w:rPr>
                <w:noProof/>
                <w:sz w:val="18"/>
                <w:szCs w:val="18"/>
              </w:rPr>
            </w:pPr>
          </w:p>
        </w:tc>
        <w:tc>
          <w:tcPr>
            <w:tcW w:w="900" w:type="dxa"/>
            <w:tcBorders>
              <w:top w:val="nil"/>
              <w:left w:val="nil"/>
              <w:bottom w:val="nil"/>
              <w:right w:val="nil"/>
            </w:tcBorders>
          </w:tcPr>
          <w:p w14:paraId="787418F9" w14:textId="77777777" w:rsidR="00044D5B" w:rsidRPr="00597673" w:rsidRDefault="00044D5B">
            <w:pPr>
              <w:spacing w:before="60" w:after="60"/>
              <w:ind w:right="-29"/>
              <w:jc w:val="center"/>
              <w:rPr>
                <w:noProof/>
                <w:sz w:val="18"/>
                <w:szCs w:val="18"/>
              </w:rPr>
            </w:pPr>
          </w:p>
        </w:tc>
      </w:tr>
      <w:tr w:rsidR="00E82A37" w:rsidRPr="00597673" w14:paraId="614F3390" w14:textId="77777777">
        <w:trPr>
          <w:trHeight w:hRule="exact" w:val="369"/>
          <w:jc w:val="center"/>
        </w:trPr>
        <w:tc>
          <w:tcPr>
            <w:tcW w:w="1423" w:type="dxa"/>
          </w:tcPr>
          <w:p w14:paraId="24B63285" w14:textId="77777777" w:rsidR="00044D5B" w:rsidRPr="00597673" w:rsidRDefault="00044D5B">
            <w:pPr>
              <w:ind w:right="-29"/>
              <w:jc w:val="center"/>
              <w:rPr>
                <w:noProof/>
                <w:sz w:val="18"/>
                <w:szCs w:val="18"/>
              </w:rPr>
            </w:pPr>
            <w:r w:rsidRPr="00597673">
              <w:rPr>
                <w:sz w:val="18"/>
              </w:rPr>
              <w:t>— Резултат</w:t>
            </w:r>
          </w:p>
        </w:tc>
        <w:tc>
          <w:tcPr>
            <w:tcW w:w="720" w:type="dxa"/>
          </w:tcPr>
          <w:p w14:paraId="7CBCE8C9" w14:textId="77777777" w:rsidR="00044D5B" w:rsidRPr="00597673" w:rsidRDefault="00044D5B">
            <w:pPr>
              <w:ind w:right="-29"/>
              <w:jc w:val="center"/>
              <w:rPr>
                <w:noProof/>
                <w:sz w:val="18"/>
                <w:szCs w:val="18"/>
              </w:rPr>
            </w:pPr>
          </w:p>
        </w:tc>
        <w:tc>
          <w:tcPr>
            <w:tcW w:w="701" w:type="dxa"/>
          </w:tcPr>
          <w:p w14:paraId="763B6A5E" w14:textId="77777777" w:rsidR="00044D5B" w:rsidRPr="00597673" w:rsidRDefault="00044D5B">
            <w:pPr>
              <w:ind w:right="-29"/>
              <w:jc w:val="center"/>
              <w:rPr>
                <w:noProof/>
                <w:sz w:val="18"/>
                <w:szCs w:val="18"/>
              </w:rPr>
            </w:pPr>
          </w:p>
        </w:tc>
        <w:tc>
          <w:tcPr>
            <w:tcW w:w="504" w:type="dxa"/>
            <w:tcBorders>
              <w:right w:val="dashSmallGap" w:sz="4" w:space="0" w:color="auto"/>
            </w:tcBorders>
          </w:tcPr>
          <w:p w14:paraId="606C8205" w14:textId="77777777" w:rsidR="00044D5B" w:rsidRPr="00597673" w:rsidRDefault="00044D5B">
            <w:pPr>
              <w:ind w:right="-29"/>
              <w:jc w:val="center"/>
              <w:rPr>
                <w:noProof/>
                <w:sz w:val="18"/>
                <w:szCs w:val="18"/>
              </w:rPr>
            </w:pPr>
          </w:p>
        </w:tc>
        <w:tc>
          <w:tcPr>
            <w:tcW w:w="720" w:type="dxa"/>
            <w:tcBorders>
              <w:left w:val="dashSmallGap" w:sz="4" w:space="0" w:color="auto"/>
            </w:tcBorders>
          </w:tcPr>
          <w:p w14:paraId="3DC4ECFB" w14:textId="77777777" w:rsidR="00044D5B" w:rsidRPr="00597673" w:rsidRDefault="00044D5B">
            <w:pPr>
              <w:ind w:right="-29"/>
              <w:jc w:val="center"/>
              <w:rPr>
                <w:noProof/>
                <w:sz w:val="18"/>
                <w:szCs w:val="18"/>
              </w:rPr>
            </w:pPr>
          </w:p>
        </w:tc>
        <w:tc>
          <w:tcPr>
            <w:tcW w:w="540" w:type="dxa"/>
            <w:tcBorders>
              <w:right w:val="dashSmallGap" w:sz="4" w:space="0" w:color="auto"/>
            </w:tcBorders>
          </w:tcPr>
          <w:p w14:paraId="46C439FE" w14:textId="77777777" w:rsidR="00044D5B" w:rsidRPr="00597673" w:rsidRDefault="00044D5B">
            <w:pPr>
              <w:ind w:right="-29"/>
              <w:jc w:val="center"/>
              <w:rPr>
                <w:noProof/>
                <w:sz w:val="18"/>
                <w:szCs w:val="18"/>
              </w:rPr>
            </w:pPr>
          </w:p>
        </w:tc>
        <w:tc>
          <w:tcPr>
            <w:tcW w:w="720" w:type="dxa"/>
            <w:tcBorders>
              <w:left w:val="dashSmallGap" w:sz="4" w:space="0" w:color="auto"/>
            </w:tcBorders>
          </w:tcPr>
          <w:p w14:paraId="70F192D2" w14:textId="77777777" w:rsidR="00044D5B" w:rsidRPr="00597673" w:rsidRDefault="00044D5B">
            <w:pPr>
              <w:ind w:right="-29"/>
              <w:jc w:val="center"/>
              <w:rPr>
                <w:noProof/>
                <w:sz w:val="18"/>
                <w:szCs w:val="18"/>
              </w:rPr>
            </w:pPr>
          </w:p>
        </w:tc>
        <w:tc>
          <w:tcPr>
            <w:tcW w:w="720" w:type="dxa"/>
            <w:tcBorders>
              <w:right w:val="dashSmallGap" w:sz="4" w:space="0" w:color="auto"/>
            </w:tcBorders>
          </w:tcPr>
          <w:p w14:paraId="7E9A826A" w14:textId="77777777" w:rsidR="00044D5B" w:rsidRPr="00597673" w:rsidRDefault="00044D5B">
            <w:pPr>
              <w:ind w:right="-29"/>
              <w:jc w:val="center"/>
              <w:rPr>
                <w:noProof/>
                <w:sz w:val="18"/>
                <w:szCs w:val="18"/>
              </w:rPr>
            </w:pPr>
          </w:p>
        </w:tc>
        <w:tc>
          <w:tcPr>
            <w:tcW w:w="720" w:type="dxa"/>
            <w:tcBorders>
              <w:left w:val="dashSmallGap" w:sz="4" w:space="0" w:color="auto"/>
            </w:tcBorders>
          </w:tcPr>
          <w:p w14:paraId="088A0DBA" w14:textId="77777777" w:rsidR="00044D5B" w:rsidRPr="00597673" w:rsidRDefault="00044D5B">
            <w:pPr>
              <w:ind w:right="-29"/>
              <w:jc w:val="center"/>
              <w:rPr>
                <w:noProof/>
                <w:sz w:val="18"/>
                <w:szCs w:val="18"/>
              </w:rPr>
            </w:pPr>
          </w:p>
        </w:tc>
        <w:tc>
          <w:tcPr>
            <w:tcW w:w="900" w:type="dxa"/>
            <w:tcBorders>
              <w:right w:val="dashSmallGap" w:sz="4" w:space="0" w:color="auto"/>
            </w:tcBorders>
          </w:tcPr>
          <w:p w14:paraId="333D5DBB" w14:textId="77777777" w:rsidR="00044D5B" w:rsidRPr="00597673" w:rsidRDefault="00044D5B">
            <w:pPr>
              <w:ind w:right="-29"/>
              <w:jc w:val="center"/>
              <w:rPr>
                <w:noProof/>
                <w:sz w:val="18"/>
                <w:szCs w:val="18"/>
              </w:rPr>
            </w:pPr>
          </w:p>
        </w:tc>
        <w:tc>
          <w:tcPr>
            <w:tcW w:w="720" w:type="dxa"/>
            <w:tcBorders>
              <w:left w:val="dashSmallGap" w:sz="4" w:space="0" w:color="auto"/>
            </w:tcBorders>
          </w:tcPr>
          <w:p w14:paraId="54419B82" w14:textId="77777777" w:rsidR="00044D5B" w:rsidRPr="00597673" w:rsidRDefault="00044D5B">
            <w:pPr>
              <w:ind w:right="-29"/>
              <w:jc w:val="center"/>
              <w:rPr>
                <w:noProof/>
                <w:sz w:val="18"/>
                <w:szCs w:val="18"/>
              </w:rPr>
            </w:pPr>
          </w:p>
        </w:tc>
        <w:tc>
          <w:tcPr>
            <w:tcW w:w="540" w:type="dxa"/>
            <w:tcBorders>
              <w:right w:val="dashSmallGap" w:sz="4" w:space="0" w:color="auto"/>
            </w:tcBorders>
          </w:tcPr>
          <w:p w14:paraId="73F7BC7D" w14:textId="77777777" w:rsidR="00044D5B" w:rsidRPr="00597673" w:rsidRDefault="00044D5B">
            <w:pPr>
              <w:ind w:right="-29"/>
              <w:jc w:val="center"/>
              <w:rPr>
                <w:noProof/>
                <w:sz w:val="18"/>
                <w:szCs w:val="18"/>
              </w:rPr>
            </w:pPr>
          </w:p>
        </w:tc>
        <w:tc>
          <w:tcPr>
            <w:tcW w:w="648" w:type="dxa"/>
            <w:tcBorders>
              <w:left w:val="dashSmallGap" w:sz="4" w:space="0" w:color="auto"/>
            </w:tcBorders>
          </w:tcPr>
          <w:p w14:paraId="020707B1" w14:textId="77777777" w:rsidR="00044D5B" w:rsidRPr="00597673" w:rsidRDefault="00044D5B">
            <w:pPr>
              <w:ind w:right="-29"/>
              <w:jc w:val="center"/>
              <w:rPr>
                <w:noProof/>
                <w:sz w:val="18"/>
                <w:szCs w:val="18"/>
              </w:rPr>
            </w:pPr>
          </w:p>
        </w:tc>
        <w:tc>
          <w:tcPr>
            <w:tcW w:w="432" w:type="dxa"/>
            <w:tcBorders>
              <w:right w:val="dashSmallGap" w:sz="4" w:space="0" w:color="auto"/>
            </w:tcBorders>
          </w:tcPr>
          <w:p w14:paraId="62BEC393" w14:textId="77777777" w:rsidR="00044D5B" w:rsidRPr="00597673" w:rsidRDefault="00044D5B">
            <w:pPr>
              <w:ind w:right="-29"/>
              <w:jc w:val="center"/>
              <w:rPr>
                <w:noProof/>
                <w:sz w:val="18"/>
                <w:szCs w:val="18"/>
              </w:rPr>
            </w:pPr>
          </w:p>
        </w:tc>
        <w:tc>
          <w:tcPr>
            <w:tcW w:w="720" w:type="dxa"/>
            <w:tcBorders>
              <w:left w:val="dashSmallGap" w:sz="4" w:space="0" w:color="auto"/>
            </w:tcBorders>
          </w:tcPr>
          <w:p w14:paraId="4B61DA09" w14:textId="77777777" w:rsidR="00044D5B" w:rsidRPr="00597673" w:rsidRDefault="00044D5B">
            <w:pPr>
              <w:ind w:right="-29"/>
              <w:jc w:val="center"/>
              <w:rPr>
                <w:noProof/>
                <w:sz w:val="18"/>
                <w:szCs w:val="18"/>
              </w:rPr>
            </w:pPr>
          </w:p>
        </w:tc>
        <w:tc>
          <w:tcPr>
            <w:tcW w:w="540" w:type="dxa"/>
            <w:tcBorders>
              <w:right w:val="dashSmallGap" w:sz="4" w:space="0" w:color="auto"/>
            </w:tcBorders>
          </w:tcPr>
          <w:p w14:paraId="03F670E0" w14:textId="77777777" w:rsidR="00044D5B" w:rsidRPr="00597673" w:rsidRDefault="00044D5B">
            <w:pPr>
              <w:ind w:right="-29"/>
              <w:jc w:val="center"/>
              <w:rPr>
                <w:noProof/>
                <w:sz w:val="18"/>
                <w:szCs w:val="18"/>
              </w:rPr>
            </w:pPr>
          </w:p>
        </w:tc>
        <w:tc>
          <w:tcPr>
            <w:tcW w:w="720" w:type="dxa"/>
            <w:tcBorders>
              <w:left w:val="dashSmallGap" w:sz="4" w:space="0" w:color="auto"/>
            </w:tcBorders>
          </w:tcPr>
          <w:p w14:paraId="2055008B" w14:textId="77777777" w:rsidR="00044D5B" w:rsidRPr="00597673" w:rsidRDefault="00044D5B">
            <w:pPr>
              <w:ind w:right="-29"/>
              <w:jc w:val="center"/>
              <w:rPr>
                <w:noProof/>
                <w:sz w:val="18"/>
                <w:szCs w:val="18"/>
              </w:rPr>
            </w:pPr>
          </w:p>
        </w:tc>
        <w:tc>
          <w:tcPr>
            <w:tcW w:w="720" w:type="dxa"/>
          </w:tcPr>
          <w:p w14:paraId="78028CB0" w14:textId="77777777" w:rsidR="00044D5B" w:rsidRPr="00597673" w:rsidRDefault="00044D5B">
            <w:pPr>
              <w:ind w:right="-29"/>
              <w:jc w:val="center"/>
              <w:rPr>
                <w:noProof/>
                <w:sz w:val="18"/>
                <w:szCs w:val="18"/>
              </w:rPr>
            </w:pPr>
          </w:p>
        </w:tc>
        <w:tc>
          <w:tcPr>
            <w:tcW w:w="900" w:type="dxa"/>
          </w:tcPr>
          <w:p w14:paraId="14DC44FC" w14:textId="77777777" w:rsidR="00044D5B" w:rsidRPr="00597673" w:rsidRDefault="00044D5B">
            <w:pPr>
              <w:ind w:right="-29"/>
              <w:jc w:val="center"/>
              <w:rPr>
                <w:noProof/>
                <w:sz w:val="18"/>
                <w:szCs w:val="18"/>
              </w:rPr>
            </w:pPr>
          </w:p>
        </w:tc>
      </w:tr>
      <w:tr w:rsidR="00E82A37" w:rsidRPr="00597673" w14:paraId="7CE06B15" w14:textId="77777777">
        <w:trPr>
          <w:trHeight w:hRule="exact" w:val="369"/>
          <w:jc w:val="center"/>
        </w:trPr>
        <w:tc>
          <w:tcPr>
            <w:tcW w:w="1423" w:type="dxa"/>
          </w:tcPr>
          <w:p w14:paraId="367A081C" w14:textId="77777777" w:rsidR="00044D5B" w:rsidRPr="00597673" w:rsidRDefault="00044D5B">
            <w:pPr>
              <w:ind w:right="-29"/>
              <w:jc w:val="center"/>
              <w:rPr>
                <w:noProof/>
                <w:sz w:val="18"/>
                <w:szCs w:val="18"/>
              </w:rPr>
            </w:pPr>
            <w:r w:rsidRPr="00597673">
              <w:rPr>
                <w:sz w:val="18"/>
              </w:rPr>
              <w:t>— Резултат</w:t>
            </w:r>
          </w:p>
        </w:tc>
        <w:tc>
          <w:tcPr>
            <w:tcW w:w="720" w:type="dxa"/>
          </w:tcPr>
          <w:p w14:paraId="0295EA20" w14:textId="77777777" w:rsidR="00044D5B" w:rsidRPr="00597673" w:rsidRDefault="00044D5B">
            <w:pPr>
              <w:ind w:right="-29"/>
              <w:jc w:val="center"/>
              <w:rPr>
                <w:noProof/>
                <w:sz w:val="18"/>
                <w:szCs w:val="18"/>
              </w:rPr>
            </w:pPr>
          </w:p>
        </w:tc>
        <w:tc>
          <w:tcPr>
            <w:tcW w:w="701" w:type="dxa"/>
          </w:tcPr>
          <w:p w14:paraId="4C4379D5" w14:textId="77777777" w:rsidR="00044D5B" w:rsidRPr="00597673" w:rsidRDefault="00044D5B">
            <w:pPr>
              <w:ind w:right="-29"/>
              <w:jc w:val="center"/>
              <w:rPr>
                <w:noProof/>
                <w:sz w:val="18"/>
                <w:szCs w:val="18"/>
              </w:rPr>
            </w:pPr>
          </w:p>
        </w:tc>
        <w:tc>
          <w:tcPr>
            <w:tcW w:w="504" w:type="dxa"/>
            <w:tcBorders>
              <w:right w:val="dashSmallGap" w:sz="4" w:space="0" w:color="auto"/>
            </w:tcBorders>
          </w:tcPr>
          <w:p w14:paraId="53A5C0AA" w14:textId="77777777" w:rsidR="00044D5B" w:rsidRPr="00597673" w:rsidRDefault="00044D5B">
            <w:pPr>
              <w:ind w:right="-29"/>
              <w:jc w:val="center"/>
              <w:rPr>
                <w:noProof/>
                <w:sz w:val="18"/>
                <w:szCs w:val="18"/>
              </w:rPr>
            </w:pPr>
          </w:p>
        </w:tc>
        <w:tc>
          <w:tcPr>
            <w:tcW w:w="720" w:type="dxa"/>
            <w:tcBorders>
              <w:left w:val="dashSmallGap" w:sz="4" w:space="0" w:color="auto"/>
            </w:tcBorders>
          </w:tcPr>
          <w:p w14:paraId="18DD13E6" w14:textId="77777777" w:rsidR="00044D5B" w:rsidRPr="00597673" w:rsidRDefault="00044D5B">
            <w:pPr>
              <w:ind w:right="-29"/>
              <w:jc w:val="center"/>
              <w:rPr>
                <w:noProof/>
                <w:sz w:val="18"/>
                <w:szCs w:val="18"/>
              </w:rPr>
            </w:pPr>
          </w:p>
        </w:tc>
        <w:tc>
          <w:tcPr>
            <w:tcW w:w="540" w:type="dxa"/>
            <w:tcBorders>
              <w:right w:val="dashSmallGap" w:sz="4" w:space="0" w:color="auto"/>
            </w:tcBorders>
          </w:tcPr>
          <w:p w14:paraId="745125BC" w14:textId="77777777" w:rsidR="00044D5B" w:rsidRPr="00597673" w:rsidRDefault="00044D5B">
            <w:pPr>
              <w:ind w:right="-29"/>
              <w:jc w:val="center"/>
              <w:rPr>
                <w:noProof/>
                <w:sz w:val="18"/>
                <w:szCs w:val="18"/>
              </w:rPr>
            </w:pPr>
          </w:p>
        </w:tc>
        <w:tc>
          <w:tcPr>
            <w:tcW w:w="720" w:type="dxa"/>
            <w:tcBorders>
              <w:left w:val="dashSmallGap" w:sz="4" w:space="0" w:color="auto"/>
            </w:tcBorders>
          </w:tcPr>
          <w:p w14:paraId="68218C90" w14:textId="77777777" w:rsidR="00044D5B" w:rsidRPr="00597673" w:rsidRDefault="00044D5B">
            <w:pPr>
              <w:ind w:right="-29"/>
              <w:jc w:val="center"/>
              <w:rPr>
                <w:noProof/>
                <w:sz w:val="18"/>
                <w:szCs w:val="18"/>
              </w:rPr>
            </w:pPr>
          </w:p>
        </w:tc>
        <w:tc>
          <w:tcPr>
            <w:tcW w:w="720" w:type="dxa"/>
            <w:tcBorders>
              <w:right w:val="dashSmallGap" w:sz="4" w:space="0" w:color="auto"/>
            </w:tcBorders>
          </w:tcPr>
          <w:p w14:paraId="6A1A6679" w14:textId="77777777" w:rsidR="00044D5B" w:rsidRPr="00597673" w:rsidRDefault="00044D5B">
            <w:pPr>
              <w:ind w:right="-29"/>
              <w:jc w:val="center"/>
              <w:rPr>
                <w:noProof/>
                <w:sz w:val="18"/>
                <w:szCs w:val="18"/>
              </w:rPr>
            </w:pPr>
          </w:p>
        </w:tc>
        <w:tc>
          <w:tcPr>
            <w:tcW w:w="720" w:type="dxa"/>
            <w:tcBorders>
              <w:left w:val="dashSmallGap" w:sz="4" w:space="0" w:color="auto"/>
            </w:tcBorders>
          </w:tcPr>
          <w:p w14:paraId="11DA1AF5" w14:textId="77777777" w:rsidR="00044D5B" w:rsidRPr="00597673" w:rsidRDefault="00044D5B">
            <w:pPr>
              <w:ind w:right="-29"/>
              <w:jc w:val="center"/>
              <w:rPr>
                <w:noProof/>
                <w:sz w:val="18"/>
                <w:szCs w:val="18"/>
              </w:rPr>
            </w:pPr>
          </w:p>
        </w:tc>
        <w:tc>
          <w:tcPr>
            <w:tcW w:w="900" w:type="dxa"/>
            <w:tcBorders>
              <w:right w:val="dashSmallGap" w:sz="4" w:space="0" w:color="auto"/>
            </w:tcBorders>
          </w:tcPr>
          <w:p w14:paraId="7748EB2A" w14:textId="77777777" w:rsidR="00044D5B" w:rsidRPr="00597673" w:rsidRDefault="00044D5B">
            <w:pPr>
              <w:ind w:right="-29"/>
              <w:jc w:val="center"/>
              <w:rPr>
                <w:noProof/>
                <w:sz w:val="18"/>
                <w:szCs w:val="18"/>
              </w:rPr>
            </w:pPr>
          </w:p>
        </w:tc>
        <w:tc>
          <w:tcPr>
            <w:tcW w:w="720" w:type="dxa"/>
            <w:tcBorders>
              <w:left w:val="dashSmallGap" w:sz="4" w:space="0" w:color="auto"/>
            </w:tcBorders>
          </w:tcPr>
          <w:p w14:paraId="43729302" w14:textId="77777777" w:rsidR="00044D5B" w:rsidRPr="00597673" w:rsidRDefault="00044D5B">
            <w:pPr>
              <w:ind w:right="-29"/>
              <w:jc w:val="center"/>
              <w:rPr>
                <w:noProof/>
                <w:sz w:val="18"/>
                <w:szCs w:val="18"/>
              </w:rPr>
            </w:pPr>
          </w:p>
        </w:tc>
        <w:tc>
          <w:tcPr>
            <w:tcW w:w="540" w:type="dxa"/>
            <w:tcBorders>
              <w:right w:val="dashSmallGap" w:sz="4" w:space="0" w:color="auto"/>
            </w:tcBorders>
          </w:tcPr>
          <w:p w14:paraId="1D7E8B2C" w14:textId="77777777" w:rsidR="00044D5B" w:rsidRPr="00597673" w:rsidRDefault="00044D5B">
            <w:pPr>
              <w:ind w:right="-29"/>
              <w:jc w:val="center"/>
              <w:rPr>
                <w:noProof/>
                <w:sz w:val="18"/>
                <w:szCs w:val="18"/>
              </w:rPr>
            </w:pPr>
          </w:p>
        </w:tc>
        <w:tc>
          <w:tcPr>
            <w:tcW w:w="648" w:type="dxa"/>
            <w:tcBorders>
              <w:left w:val="dashSmallGap" w:sz="4" w:space="0" w:color="auto"/>
            </w:tcBorders>
          </w:tcPr>
          <w:p w14:paraId="1AADC97D" w14:textId="77777777" w:rsidR="00044D5B" w:rsidRPr="00597673" w:rsidRDefault="00044D5B">
            <w:pPr>
              <w:ind w:right="-29"/>
              <w:jc w:val="center"/>
              <w:rPr>
                <w:noProof/>
                <w:sz w:val="18"/>
                <w:szCs w:val="18"/>
              </w:rPr>
            </w:pPr>
          </w:p>
        </w:tc>
        <w:tc>
          <w:tcPr>
            <w:tcW w:w="432" w:type="dxa"/>
            <w:tcBorders>
              <w:right w:val="dashSmallGap" w:sz="4" w:space="0" w:color="auto"/>
            </w:tcBorders>
          </w:tcPr>
          <w:p w14:paraId="18178439" w14:textId="77777777" w:rsidR="00044D5B" w:rsidRPr="00597673" w:rsidRDefault="00044D5B">
            <w:pPr>
              <w:ind w:right="-29"/>
              <w:jc w:val="center"/>
              <w:rPr>
                <w:noProof/>
                <w:sz w:val="18"/>
                <w:szCs w:val="18"/>
              </w:rPr>
            </w:pPr>
          </w:p>
        </w:tc>
        <w:tc>
          <w:tcPr>
            <w:tcW w:w="720" w:type="dxa"/>
            <w:tcBorders>
              <w:left w:val="dashSmallGap" w:sz="4" w:space="0" w:color="auto"/>
            </w:tcBorders>
          </w:tcPr>
          <w:p w14:paraId="593840F1" w14:textId="77777777" w:rsidR="00044D5B" w:rsidRPr="00597673" w:rsidRDefault="00044D5B">
            <w:pPr>
              <w:ind w:right="-29"/>
              <w:jc w:val="center"/>
              <w:rPr>
                <w:noProof/>
                <w:sz w:val="18"/>
                <w:szCs w:val="18"/>
              </w:rPr>
            </w:pPr>
          </w:p>
        </w:tc>
        <w:tc>
          <w:tcPr>
            <w:tcW w:w="540" w:type="dxa"/>
            <w:tcBorders>
              <w:right w:val="dashSmallGap" w:sz="4" w:space="0" w:color="auto"/>
            </w:tcBorders>
          </w:tcPr>
          <w:p w14:paraId="5E204D44" w14:textId="77777777" w:rsidR="00044D5B" w:rsidRPr="00597673" w:rsidRDefault="00044D5B">
            <w:pPr>
              <w:ind w:right="-29"/>
              <w:jc w:val="center"/>
              <w:rPr>
                <w:noProof/>
                <w:sz w:val="18"/>
                <w:szCs w:val="18"/>
              </w:rPr>
            </w:pPr>
          </w:p>
        </w:tc>
        <w:tc>
          <w:tcPr>
            <w:tcW w:w="720" w:type="dxa"/>
            <w:tcBorders>
              <w:left w:val="dashSmallGap" w:sz="4" w:space="0" w:color="auto"/>
            </w:tcBorders>
          </w:tcPr>
          <w:p w14:paraId="1841233D" w14:textId="77777777" w:rsidR="00044D5B" w:rsidRPr="00597673" w:rsidRDefault="00044D5B">
            <w:pPr>
              <w:ind w:right="-29"/>
              <w:jc w:val="center"/>
              <w:rPr>
                <w:noProof/>
                <w:sz w:val="18"/>
                <w:szCs w:val="18"/>
              </w:rPr>
            </w:pPr>
          </w:p>
        </w:tc>
        <w:tc>
          <w:tcPr>
            <w:tcW w:w="720" w:type="dxa"/>
          </w:tcPr>
          <w:p w14:paraId="15F1A677" w14:textId="77777777" w:rsidR="00044D5B" w:rsidRPr="00597673" w:rsidRDefault="00044D5B">
            <w:pPr>
              <w:ind w:right="-29"/>
              <w:jc w:val="center"/>
              <w:rPr>
                <w:noProof/>
                <w:sz w:val="18"/>
                <w:szCs w:val="18"/>
              </w:rPr>
            </w:pPr>
          </w:p>
        </w:tc>
        <w:tc>
          <w:tcPr>
            <w:tcW w:w="900" w:type="dxa"/>
          </w:tcPr>
          <w:p w14:paraId="728BEBC2" w14:textId="77777777" w:rsidR="00044D5B" w:rsidRPr="00597673" w:rsidRDefault="00044D5B">
            <w:pPr>
              <w:ind w:right="-29"/>
              <w:jc w:val="center"/>
              <w:rPr>
                <w:noProof/>
                <w:sz w:val="18"/>
                <w:szCs w:val="18"/>
              </w:rPr>
            </w:pPr>
          </w:p>
        </w:tc>
      </w:tr>
      <w:tr w:rsidR="00983E98" w:rsidRPr="00597673" w14:paraId="77D845CF" w14:textId="77777777">
        <w:trPr>
          <w:trHeight w:hRule="exact" w:val="369"/>
          <w:jc w:val="center"/>
        </w:trPr>
        <w:tc>
          <w:tcPr>
            <w:tcW w:w="1423" w:type="dxa"/>
          </w:tcPr>
          <w:p w14:paraId="4878FD57" w14:textId="77777777" w:rsidR="00044D5B" w:rsidRPr="00597673" w:rsidRDefault="00044D5B">
            <w:pPr>
              <w:ind w:right="-29"/>
              <w:jc w:val="center"/>
              <w:rPr>
                <w:noProof/>
                <w:sz w:val="18"/>
                <w:szCs w:val="18"/>
              </w:rPr>
            </w:pPr>
            <w:r w:rsidRPr="00597673">
              <w:rPr>
                <w:sz w:val="18"/>
              </w:rPr>
              <w:t>— Резултат</w:t>
            </w:r>
          </w:p>
        </w:tc>
        <w:tc>
          <w:tcPr>
            <w:tcW w:w="720" w:type="dxa"/>
          </w:tcPr>
          <w:p w14:paraId="649BBE0E" w14:textId="77777777" w:rsidR="00044D5B" w:rsidRPr="00597673" w:rsidRDefault="00044D5B">
            <w:pPr>
              <w:ind w:right="-29"/>
              <w:jc w:val="center"/>
              <w:rPr>
                <w:noProof/>
                <w:sz w:val="18"/>
                <w:szCs w:val="18"/>
              </w:rPr>
            </w:pPr>
          </w:p>
        </w:tc>
        <w:tc>
          <w:tcPr>
            <w:tcW w:w="701" w:type="dxa"/>
          </w:tcPr>
          <w:p w14:paraId="45D71BEB" w14:textId="77777777" w:rsidR="00044D5B" w:rsidRPr="00597673" w:rsidRDefault="00044D5B">
            <w:pPr>
              <w:ind w:right="-29"/>
              <w:jc w:val="center"/>
              <w:rPr>
                <w:noProof/>
                <w:sz w:val="18"/>
                <w:szCs w:val="18"/>
              </w:rPr>
            </w:pPr>
          </w:p>
        </w:tc>
        <w:tc>
          <w:tcPr>
            <w:tcW w:w="504" w:type="dxa"/>
          </w:tcPr>
          <w:p w14:paraId="6856D15F" w14:textId="77777777" w:rsidR="00044D5B" w:rsidRPr="00597673" w:rsidRDefault="00044D5B">
            <w:pPr>
              <w:ind w:right="-29"/>
              <w:jc w:val="center"/>
              <w:rPr>
                <w:noProof/>
                <w:sz w:val="18"/>
                <w:szCs w:val="18"/>
              </w:rPr>
            </w:pPr>
          </w:p>
        </w:tc>
        <w:tc>
          <w:tcPr>
            <w:tcW w:w="720" w:type="dxa"/>
          </w:tcPr>
          <w:p w14:paraId="65AB22E5" w14:textId="77777777" w:rsidR="00044D5B" w:rsidRPr="00597673" w:rsidRDefault="00044D5B">
            <w:pPr>
              <w:ind w:right="-29"/>
              <w:jc w:val="center"/>
              <w:rPr>
                <w:noProof/>
                <w:sz w:val="18"/>
                <w:szCs w:val="18"/>
              </w:rPr>
            </w:pPr>
          </w:p>
        </w:tc>
        <w:tc>
          <w:tcPr>
            <w:tcW w:w="540" w:type="dxa"/>
          </w:tcPr>
          <w:p w14:paraId="71668EEB" w14:textId="77777777" w:rsidR="00044D5B" w:rsidRPr="00597673" w:rsidRDefault="00044D5B">
            <w:pPr>
              <w:ind w:right="-29"/>
              <w:jc w:val="center"/>
              <w:rPr>
                <w:noProof/>
                <w:sz w:val="18"/>
                <w:szCs w:val="18"/>
              </w:rPr>
            </w:pPr>
          </w:p>
        </w:tc>
        <w:tc>
          <w:tcPr>
            <w:tcW w:w="720" w:type="dxa"/>
          </w:tcPr>
          <w:p w14:paraId="0685C483" w14:textId="77777777" w:rsidR="00044D5B" w:rsidRPr="00597673" w:rsidRDefault="00044D5B">
            <w:pPr>
              <w:ind w:right="-29"/>
              <w:jc w:val="center"/>
              <w:rPr>
                <w:noProof/>
                <w:sz w:val="18"/>
                <w:szCs w:val="18"/>
              </w:rPr>
            </w:pPr>
          </w:p>
        </w:tc>
        <w:tc>
          <w:tcPr>
            <w:tcW w:w="720" w:type="dxa"/>
          </w:tcPr>
          <w:p w14:paraId="54D081DF" w14:textId="77777777" w:rsidR="00044D5B" w:rsidRPr="00597673" w:rsidRDefault="00044D5B">
            <w:pPr>
              <w:ind w:right="-29"/>
              <w:jc w:val="center"/>
              <w:rPr>
                <w:noProof/>
                <w:sz w:val="18"/>
                <w:szCs w:val="18"/>
              </w:rPr>
            </w:pPr>
          </w:p>
        </w:tc>
        <w:tc>
          <w:tcPr>
            <w:tcW w:w="720" w:type="dxa"/>
          </w:tcPr>
          <w:p w14:paraId="5E132F43" w14:textId="77777777" w:rsidR="00044D5B" w:rsidRPr="00597673" w:rsidRDefault="00044D5B">
            <w:pPr>
              <w:ind w:right="-29"/>
              <w:jc w:val="center"/>
              <w:rPr>
                <w:noProof/>
                <w:sz w:val="18"/>
                <w:szCs w:val="18"/>
              </w:rPr>
            </w:pPr>
          </w:p>
        </w:tc>
        <w:tc>
          <w:tcPr>
            <w:tcW w:w="900" w:type="dxa"/>
          </w:tcPr>
          <w:p w14:paraId="210902B8" w14:textId="77777777" w:rsidR="00044D5B" w:rsidRPr="00597673" w:rsidRDefault="00044D5B">
            <w:pPr>
              <w:ind w:right="-29"/>
              <w:jc w:val="center"/>
              <w:rPr>
                <w:noProof/>
                <w:sz w:val="18"/>
                <w:szCs w:val="18"/>
              </w:rPr>
            </w:pPr>
          </w:p>
        </w:tc>
        <w:tc>
          <w:tcPr>
            <w:tcW w:w="720" w:type="dxa"/>
          </w:tcPr>
          <w:p w14:paraId="71BA1D77" w14:textId="77777777" w:rsidR="00044D5B" w:rsidRPr="00597673" w:rsidRDefault="00044D5B">
            <w:pPr>
              <w:ind w:right="-29"/>
              <w:jc w:val="center"/>
              <w:rPr>
                <w:noProof/>
                <w:sz w:val="18"/>
                <w:szCs w:val="18"/>
              </w:rPr>
            </w:pPr>
          </w:p>
        </w:tc>
        <w:tc>
          <w:tcPr>
            <w:tcW w:w="540" w:type="dxa"/>
          </w:tcPr>
          <w:p w14:paraId="0C094928" w14:textId="77777777" w:rsidR="00044D5B" w:rsidRPr="00597673" w:rsidRDefault="00044D5B">
            <w:pPr>
              <w:ind w:right="-29"/>
              <w:jc w:val="center"/>
              <w:rPr>
                <w:noProof/>
                <w:sz w:val="18"/>
                <w:szCs w:val="18"/>
              </w:rPr>
            </w:pPr>
          </w:p>
        </w:tc>
        <w:tc>
          <w:tcPr>
            <w:tcW w:w="648" w:type="dxa"/>
          </w:tcPr>
          <w:p w14:paraId="5B483ECC" w14:textId="77777777" w:rsidR="00044D5B" w:rsidRPr="00597673" w:rsidRDefault="00044D5B">
            <w:pPr>
              <w:ind w:right="-29"/>
              <w:jc w:val="center"/>
              <w:rPr>
                <w:noProof/>
                <w:sz w:val="18"/>
                <w:szCs w:val="18"/>
              </w:rPr>
            </w:pPr>
          </w:p>
        </w:tc>
        <w:tc>
          <w:tcPr>
            <w:tcW w:w="432" w:type="dxa"/>
          </w:tcPr>
          <w:p w14:paraId="7D9E0BF2" w14:textId="77777777" w:rsidR="00044D5B" w:rsidRPr="00597673" w:rsidRDefault="00044D5B">
            <w:pPr>
              <w:ind w:right="-29"/>
              <w:jc w:val="center"/>
              <w:rPr>
                <w:noProof/>
                <w:sz w:val="18"/>
                <w:szCs w:val="18"/>
              </w:rPr>
            </w:pPr>
          </w:p>
        </w:tc>
        <w:tc>
          <w:tcPr>
            <w:tcW w:w="720" w:type="dxa"/>
          </w:tcPr>
          <w:p w14:paraId="333D3C13" w14:textId="77777777" w:rsidR="00044D5B" w:rsidRPr="00597673" w:rsidRDefault="00044D5B">
            <w:pPr>
              <w:ind w:right="-29"/>
              <w:jc w:val="center"/>
              <w:rPr>
                <w:noProof/>
                <w:sz w:val="18"/>
                <w:szCs w:val="18"/>
              </w:rPr>
            </w:pPr>
          </w:p>
        </w:tc>
        <w:tc>
          <w:tcPr>
            <w:tcW w:w="540" w:type="dxa"/>
          </w:tcPr>
          <w:p w14:paraId="4F3673CD" w14:textId="77777777" w:rsidR="00044D5B" w:rsidRPr="00597673" w:rsidRDefault="00044D5B">
            <w:pPr>
              <w:ind w:right="-29"/>
              <w:jc w:val="center"/>
              <w:rPr>
                <w:noProof/>
                <w:sz w:val="18"/>
                <w:szCs w:val="18"/>
              </w:rPr>
            </w:pPr>
          </w:p>
        </w:tc>
        <w:tc>
          <w:tcPr>
            <w:tcW w:w="720" w:type="dxa"/>
          </w:tcPr>
          <w:p w14:paraId="77056393" w14:textId="77777777" w:rsidR="00044D5B" w:rsidRPr="00597673" w:rsidRDefault="00044D5B">
            <w:pPr>
              <w:ind w:right="-29"/>
              <w:jc w:val="center"/>
              <w:rPr>
                <w:noProof/>
                <w:sz w:val="18"/>
                <w:szCs w:val="18"/>
              </w:rPr>
            </w:pPr>
          </w:p>
        </w:tc>
        <w:tc>
          <w:tcPr>
            <w:tcW w:w="720" w:type="dxa"/>
          </w:tcPr>
          <w:p w14:paraId="24C9F205" w14:textId="77777777" w:rsidR="00044D5B" w:rsidRPr="00597673" w:rsidRDefault="00044D5B">
            <w:pPr>
              <w:ind w:right="-29"/>
              <w:jc w:val="center"/>
              <w:rPr>
                <w:noProof/>
                <w:sz w:val="18"/>
                <w:szCs w:val="18"/>
              </w:rPr>
            </w:pPr>
          </w:p>
        </w:tc>
        <w:tc>
          <w:tcPr>
            <w:tcW w:w="900" w:type="dxa"/>
          </w:tcPr>
          <w:p w14:paraId="725667C8" w14:textId="77777777" w:rsidR="00044D5B" w:rsidRPr="00597673" w:rsidRDefault="00044D5B">
            <w:pPr>
              <w:ind w:right="-29"/>
              <w:jc w:val="center"/>
              <w:rPr>
                <w:noProof/>
                <w:sz w:val="18"/>
                <w:szCs w:val="18"/>
              </w:rPr>
            </w:pPr>
          </w:p>
        </w:tc>
      </w:tr>
      <w:tr w:rsidR="009700B5" w:rsidRPr="00597673" w14:paraId="49657EA5" w14:textId="77777777">
        <w:trPr>
          <w:trHeight w:val="77"/>
          <w:jc w:val="center"/>
        </w:trPr>
        <w:tc>
          <w:tcPr>
            <w:tcW w:w="2844" w:type="dxa"/>
            <w:gridSpan w:val="3"/>
            <w:tcBorders>
              <w:bottom w:val="single" w:sz="12" w:space="0" w:color="auto"/>
            </w:tcBorders>
            <w:vAlign w:val="center"/>
          </w:tcPr>
          <w:p w14:paraId="3EFB149B" w14:textId="77777777" w:rsidR="00044D5B" w:rsidRPr="00597673" w:rsidRDefault="00044D5B">
            <w:pPr>
              <w:ind w:right="-29"/>
              <w:jc w:val="center"/>
              <w:rPr>
                <w:noProof/>
                <w:sz w:val="18"/>
                <w:szCs w:val="18"/>
              </w:rPr>
            </w:pPr>
            <w:r w:rsidRPr="00597673">
              <w:rPr>
                <w:sz w:val="18"/>
              </w:rPr>
              <w:t>Междинен сбор за конкретна цел № 1</w:t>
            </w:r>
          </w:p>
        </w:tc>
        <w:tc>
          <w:tcPr>
            <w:tcW w:w="504" w:type="dxa"/>
            <w:tcBorders>
              <w:bottom w:val="single" w:sz="12" w:space="0" w:color="auto"/>
            </w:tcBorders>
          </w:tcPr>
          <w:p w14:paraId="41524245" w14:textId="77777777" w:rsidR="00044D5B" w:rsidRPr="00597673" w:rsidRDefault="00044D5B">
            <w:pPr>
              <w:ind w:right="-29"/>
              <w:jc w:val="center"/>
              <w:rPr>
                <w:noProof/>
                <w:sz w:val="18"/>
                <w:szCs w:val="18"/>
              </w:rPr>
            </w:pPr>
          </w:p>
        </w:tc>
        <w:tc>
          <w:tcPr>
            <w:tcW w:w="720" w:type="dxa"/>
            <w:tcBorders>
              <w:bottom w:val="single" w:sz="12" w:space="0" w:color="auto"/>
            </w:tcBorders>
          </w:tcPr>
          <w:p w14:paraId="0BC5213E" w14:textId="77777777" w:rsidR="00044D5B" w:rsidRPr="00597673" w:rsidRDefault="00044D5B">
            <w:pPr>
              <w:ind w:right="-29"/>
              <w:jc w:val="center"/>
              <w:rPr>
                <w:noProof/>
                <w:sz w:val="18"/>
                <w:szCs w:val="18"/>
              </w:rPr>
            </w:pPr>
          </w:p>
        </w:tc>
        <w:tc>
          <w:tcPr>
            <w:tcW w:w="540" w:type="dxa"/>
            <w:tcBorders>
              <w:bottom w:val="single" w:sz="12" w:space="0" w:color="auto"/>
            </w:tcBorders>
          </w:tcPr>
          <w:p w14:paraId="249908A3" w14:textId="77777777" w:rsidR="00044D5B" w:rsidRPr="00597673" w:rsidRDefault="00044D5B">
            <w:pPr>
              <w:ind w:right="-29"/>
              <w:jc w:val="center"/>
              <w:rPr>
                <w:noProof/>
                <w:sz w:val="18"/>
                <w:szCs w:val="18"/>
              </w:rPr>
            </w:pPr>
          </w:p>
        </w:tc>
        <w:tc>
          <w:tcPr>
            <w:tcW w:w="720" w:type="dxa"/>
            <w:tcBorders>
              <w:bottom w:val="single" w:sz="12" w:space="0" w:color="auto"/>
            </w:tcBorders>
          </w:tcPr>
          <w:p w14:paraId="1DED2923" w14:textId="77777777" w:rsidR="00044D5B" w:rsidRPr="00597673" w:rsidRDefault="00044D5B">
            <w:pPr>
              <w:ind w:right="-29"/>
              <w:jc w:val="center"/>
              <w:rPr>
                <w:noProof/>
                <w:sz w:val="18"/>
                <w:szCs w:val="18"/>
              </w:rPr>
            </w:pPr>
          </w:p>
        </w:tc>
        <w:tc>
          <w:tcPr>
            <w:tcW w:w="720" w:type="dxa"/>
            <w:tcBorders>
              <w:bottom w:val="single" w:sz="12" w:space="0" w:color="auto"/>
            </w:tcBorders>
          </w:tcPr>
          <w:p w14:paraId="2E4FE7FA" w14:textId="77777777" w:rsidR="00044D5B" w:rsidRPr="00597673" w:rsidRDefault="00044D5B">
            <w:pPr>
              <w:ind w:right="-29"/>
              <w:jc w:val="center"/>
              <w:rPr>
                <w:noProof/>
                <w:sz w:val="18"/>
                <w:szCs w:val="18"/>
              </w:rPr>
            </w:pPr>
          </w:p>
        </w:tc>
        <w:tc>
          <w:tcPr>
            <w:tcW w:w="720" w:type="dxa"/>
            <w:tcBorders>
              <w:bottom w:val="single" w:sz="12" w:space="0" w:color="auto"/>
            </w:tcBorders>
          </w:tcPr>
          <w:p w14:paraId="4A832781" w14:textId="77777777" w:rsidR="00044D5B" w:rsidRPr="00597673" w:rsidRDefault="00044D5B">
            <w:pPr>
              <w:ind w:right="-29"/>
              <w:jc w:val="center"/>
              <w:rPr>
                <w:noProof/>
                <w:sz w:val="18"/>
                <w:szCs w:val="18"/>
              </w:rPr>
            </w:pPr>
          </w:p>
        </w:tc>
        <w:tc>
          <w:tcPr>
            <w:tcW w:w="900" w:type="dxa"/>
            <w:tcBorders>
              <w:bottom w:val="single" w:sz="12" w:space="0" w:color="auto"/>
            </w:tcBorders>
          </w:tcPr>
          <w:p w14:paraId="248F56DB" w14:textId="77777777" w:rsidR="00044D5B" w:rsidRPr="00597673" w:rsidRDefault="00044D5B">
            <w:pPr>
              <w:ind w:right="-29"/>
              <w:jc w:val="center"/>
              <w:rPr>
                <w:noProof/>
                <w:sz w:val="18"/>
                <w:szCs w:val="18"/>
              </w:rPr>
            </w:pPr>
          </w:p>
        </w:tc>
        <w:tc>
          <w:tcPr>
            <w:tcW w:w="720" w:type="dxa"/>
            <w:tcBorders>
              <w:bottom w:val="single" w:sz="12" w:space="0" w:color="auto"/>
            </w:tcBorders>
          </w:tcPr>
          <w:p w14:paraId="2A03E4FA" w14:textId="77777777" w:rsidR="00044D5B" w:rsidRPr="00597673" w:rsidRDefault="00044D5B">
            <w:pPr>
              <w:ind w:right="-29"/>
              <w:jc w:val="center"/>
              <w:rPr>
                <w:noProof/>
                <w:sz w:val="18"/>
                <w:szCs w:val="18"/>
              </w:rPr>
            </w:pPr>
          </w:p>
        </w:tc>
        <w:tc>
          <w:tcPr>
            <w:tcW w:w="540" w:type="dxa"/>
            <w:tcBorders>
              <w:bottom w:val="single" w:sz="12" w:space="0" w:color="auto"/>
            </w:tcBorders>
          </w:tcPr>
          <w:p w14:paraId="7274275B" w14:textId="77777777" w:rsidR="00044D5B" w:rsidRPr="00597673" w:rsidRDefault="00044D5B">
            <w:pPr>
              <w:ind w:right="-29"/>
              <w:jc w:val="center"/>
              <w:rPr>
                <w:noProof/>
                <w:sz w:val="18"/>
                <w:szCs w:val="18"/>
              </w:rPr>
            </w:pPr>
          </w:p>
        </w:tc>
        <w:tc>
          <w:tcPr>
            <w:tcW w:w="648" w:type="dxa"/>
            <w:tcBorders>
              <w:bottom w:val="single" w:sz="12" w:space="0" w:color="auto"/>
            </w:tcBorders>
          </w:tcPr>
          <w:p w14:paraId="6D16B469" w14:textId="77777777" w:rsidR="00044D5B" w:rsidRPr="00597673" w:rsidRDefault="00044D5B">
            <w:pPr>
              <w:ind w:right="-29"/>
              <w:jc w:val="center"/>
              <w:rPr>
                <w:noProof/>
                <w:sz w:val="18"/>
                <w:szCs w:val="18"/>
              </w:rPr>
            </w:pPr>
          </w:p>
        </w:tc>
        <w:tc>
          <w:tcPr>
            <w:tcW w:w="432" w:type="dxa"/>
            <w:tcBorders>
              <w:bottom w:val="single" w:sz="12" w:space="0" w:color="auto"/>
            </w:tcBorders>
          </w:tcPr>
          <w:p w14:paraId="1B13FEC8" w14:textId="77777777" w:rsidR="00044D5B" w:rsidRPr="00597673" w:rsidRDefault="00044D5B">
            <w:pPr>
              <w:ind w:right="-29"/>
              <w:jc w:val="center"/>
              <w:rPr>
                <w:noProof/>
                <w:sz w:val="18"/>
                <w:szCs w:val="18"/>
              </w:rPr>
            </w:pPr>
          </w:p>
        </w:tc>
        <w:tc>
          <w:tcPr>
            <w:tcW w:w="720" w:type="dxa"/>
            <w:tcBorders>
              <w:bottom w:val="single" w:sz="12" w:space="0" w:color="auto"/>
            </w:tcBorders>
          </w:tcPr>
          <w:p w14:paraId="69220204" w14:textId="77777777" w:rsidR="00044D5B" w:rsidRPr="00597673" w:rsidRDefault="00044D5B">
            <w:pPr>
              <w:ind w:right="-29"/>
              <w:jc w:val="center"/>
              <w:rPr>
                <w:noProof/>
                <w:sz w:val="18"/>
                <w:szCs w:val="18"/>
              </w:rPr>
            </w:pPr>
          </w:p>
        </w:tc>
        <w:tc>
          <w:tcPr>
            <w:tcW w:w="540" w:type="dxa"/>
            <w:tcBorders>
              <w:bottom w:val="single" w:sz="12" w:space="0" w:color="auto"/>
            </w:tcBorders>
          </w:tcPr>
          <w:p w14:paraId="58B4389B" w14:textId="77777777" w:rsidR="00044D5B" w:rsidRPr="00597673" w:rsidRDefault="00044D5B">
            <w:pPr>
              <w:ind w:right="-29"/>
              <w:jc w:val="center"/>
              <w:rPr>
                <w:noProof/>
                <w:sz w:val="18"/>
                <w:szCs w:val="18"/>
              </w:rPr>
            </w:pPr>
          </w:p>
        </w:tc>
        <w:tc>
          <w:tcPr>
            <w:tcW w:w="720" w:type="dxa"/>
            <w:tcBorders>
              <w:bottom w:val="single" w:sz="12" w:space="0" w:color="auto"/>
            </w:tcBorders>
          </w:tcPr>
          <w:p w14:paraId="14EC7465" w14:textId="77777777" w:rsidR="00044D5B" w:rsidRPr="00597673" w:rsidRDefault="00044D5B">
            <w:pPr>
              <w:ind w:right="-29"/>
              <w:jc w:val="center"/>
              <w:rPr>
                <w:noProof/>
                <w:sz w:val="18"/>
                <w:szCs w:val="18"/>
              </w:rPr>
            </w:pPr>
          </w:p>
        </w:tc>
        <w:tc>
          <w:tcPr>
            <w:tcW w:w="720" w:type="dxa"/>
            <w:tcBorders>
              <w:bottom w:val="single" w:sz="12" w:space="0" w:color="auto"/>
            </w:tcBorders>
          </w:tcPr>
          <w:p w14:paraId="4E39F140" w14:textId="77777777" w:rsidR="00044D5B" w:rsidRPr="00597673" w:rsidRDefault="00044D5B">
            <w:pPr>
              <w:ind w:right="-29"/>
              <w:jc w:val="center"/>
              <w:rPr>
                <w:noProof/>
                <w:sz w:val="18"/>
                <w:szCs w:val="18"/>
              </w:rPr>
            </w:pPr>
          </w:p>
        </w:tc>
        <w:tc>
          <w:tcPr>
            <w:tcW w:w="900" w:type="dxa"/>
            <w:tcBorders>
              <w:bottom w:val="single" w:sz="12" w:space="0" w:color="auto"/>
            </w:tcBorders>
          </w:tcPr>
          <w:p w14:paraId="1FE904AF" w14:textId="77777777" w:rsidR="00044D5B" w:rsidRPr="00597673" w:rsidRDefault="00044D5B">
            <w:pPr>
              <w:ind w:right="-29"/>
              <w:jc w:val="center"/>
              <w:rPr>
                <w:noProof/>
                <w:sz w:val="18"/>
                <w:szCs w:val="18"/>
              </w:rPr>
            </w:pPr>
          </w:p>
        </w:tc>
      </w:tr>
      <w:tr w:rsidR="009700B5" w:rsidRPr="00597673" w14:paraId="4698FA4E" w14:textId="77777777">
        <w:trPr>
          <w:jc w:val="center"/>
        </w:trPr>
        <w:tc>
          <w:tcPr>
            <w:tcW w:w="2844" w:type="dxa"/>
            <w:gridSpan w:val="3"/>
            <w:vAlign w:val="center"/>
          </w:tcPr>
          <w:p w14:paraId="55B86E4F" w14:textId="77777777" w:rsidR="00044D5B" w:rsidRPr="00597673" w:rsidRDefault="00044D5B">
            <w:pPr>
              <w:spacing w:before="60" w:after="60"/>
              <w:ind w:right="-29"/>
              <w:jc w:val="center"/>
              <w:rPr>
                <w:noProof/>
                <w:sz w:val="18"/>
                <w:szCs w:val="18"/>
              </w:rPr>
            </w:pPr>
            <w:r w:rsidRPr="00597673">
              <w:rPr>
                <w:sz w:val="18"/>
              </w:rPr>
              <w:t>КОНКРЕТНА ЦЕЛ № 2...</w:t>
            </w:r>
          </w:p>
        </w:tc>
        <w:tc>
          <w:tcPr>
            <w:tcW w:w="504" w:type="dxa"/>
            <w:tcBorders>
              <w:top w:val="nil"/>
              <w:left w:val="nil"/>
              <w:bottom w:val="nil"/>
              <w:right w:val="nil"/>
            </w:tcBorders>
          </w:tcPr>
          <w:p w14:paraId="1F6CBBE5"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297108F3" w14:textId="77777777" w:rsidR="00044D5B" w:rsidRPr="00597673" w:rsidRDefault="00044D5B">
            <w:pPr>
              <w:spacing w:before="60" w:after="60"/>
              <w:ind w:right="-29"/>
              <w:jc w:val="center"/>
              <w:rPr>
                <w:noProof/>
                <w:sz w:val="18"/>
                <w:szCs w:val="18"/>
              </w:rPr>
            </w:pPr>
          </w:p>
        </w:tc>
        <w:tc>
          <w:tcPr>
            <w:tcW w:w="540" w:type="dxa"/>
            <w:tcBorders>
              <w:top w:val="nil"/>
              <w:left w:val="nil"/>
              <w:bottom w:val="nil"/>
              <w:right w:val="nil"/>
            </w:tcBorders>
          </w:tcPr>
          <w:p w14:paraId="70711410"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3D1B9616"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66598F99"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14E6D6F9" w14:textId="77777777" w:rsidR="00044D5B" w:rsidRPr="00597673" w:rsidRDefault="00044D5B">
            <w:pPr>
              <w:spacing w:before="60" w:after="60"/>
              <w:ind w:right="-29"/>
              <w:jc w:val="center"/>
              <w:rPr>
                <w:noProof/>
                <w:sz w:val="18"/>
                <w:szCs w:val="18"/>
              </w:rPr>
            </w:pPr>
          </w:p>
        </w:tc>
        <w:tc>
          <w:tcPr>
            <w:tcW w:w="900" w:type="dxa"/>
            <w:tcBorders>
              <w:top w:val="nil"/>
              <w:left w:val="nil"/>
              <w:bottom w:val="nil"/>
              <w:right w:val="nil"/>
            </w:tcBorders>
          </w:tcPr>
          <w:p w14:paraId="76D1C1A1"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67FE4003" w14:textId="77777777" w:rsidR="00044D5B" w:rsidRPr="00597673" w:rsidRDefault="00044D5B">
            <w:pPr>
              <w:spacing w:before="60" w:after="60"/>
              <w:ind w:right="-29"/>
              <w:jc w:val="center"/>
              <w:rPr>
                <w:noProof/>
                <w:sz w:val="18"/>
                <w:szCs w:val="18"/>
              </w:rPr>
            </w:pPr>
          </w:p>
        </w:tc>
        <w:tc>
          <w:tcPr>
            <w:tcW w:w="540" w:type="dxa"/>
            <w:tcBorders>
              <w:top w:val="nil"/>
              <w:left w:val="nil"/>
              <w:bottom w:val="nil"/>
              <w:right w:val="nil"/>
            </w:tcBorders>
          </w:tcPr>
          <w:p w14:paraId="1FEA9D1E" w14:textId="77777777" w:rsidR="00044D5B" w:rsidRPr="00597673" w:rsidRDefault="00044D5B">
            <w:pPr>
              <w:spacing w:before="60" w:after="60"/>
              <w:ind w:right="-29"/>
              <w:jc w:val="center"/>
              <w:rPr>
                <w:noProof/>
                <w:sz w:val="18"/>
                <w:szCs w:val="18"/>
              </w:rPr>
            </w:pPr>
          </w:p>
        </w:tc>
        <w:tc>
          <w:tcPr>
            <w:tcW w:w="648" w:type="dxa"/>
            <w:tcBorders>
              <w:top w:val="nil"/>
              <w:left w:val="nil"/>
              <w:bottom w:val="nil"/>
              <w:right w:val="nil"/>
            </w:tcBorders>
          </w:tcPr>
          <w:p w14:paraId="069A3C34" w14:textId="77777777" w:rsidR="00044D5B" w:rsidRPr="00597673" w:rsidRDefault="00044D5B">
            <w:pPr>
              <w:spacing w:before="60" w:after="60"/>
              <w:ind w:right="-29"/>
              <w:jc w:val="center"/>
              <w:rPr>
                <w:noProof/>
                <w:sz w:val="18"/>
                <w:szCs w:val="18"/>
              </w:rPr>
            </w:pPr>
          </w:p>
        </w:tc>
        <w:tc>
          <w:tcPr>
            <w:tcW w:w="432" w:type="dxa"/>
            <w:tcBorders>
              <w:top w:val="nil"/>
              <w:left w:val="nil"/>
              <w:bottom w:val="nil"/>
              <w:right w:val="nil"/>
            </w:tcBorders>
          </w:tcPr>
          <w:p w14:paraId="6604421F"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4C69980C" w14:textId="77777777" w:rsidR="00044D5B" w:rsidRPr="00597673" w:rsidRDefault="00044D5B">
            <w:pPr>
              <w:spacing w:before="60" w:after="60"/>
              <w:ind w:right="-29"/>
              <w:jc w:val="center"/>
              <w:rPr>
                <w:noProof/>
                <w:sz w:val="18"/>
                <w:szCs w:val="18"/>
              </w:rPr>
            </w:pPr>
          </w:p>
        </w:tc>
        <w:tc>
          <w:tcPr>
            <w:tcW w:w="540" w:type="dxa"/>
            <w:tcBorders>
              <w:top w:val="nil"/>
              <w:left w:val="nil"/>
              <w:bottom w:val="nil"/>
              <w:right w:val="nil"/>
            </w:tcBorders>
          </w:tcPr>
          <w:p w14:paraId="09FAD6B6"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770BA921" w14:textId="77777777" w:rsidR="00044D5B" w:rsidRPr="00597673" w:rsidRDefault="00044D5B">
            <w:pPr>
              <w:spacing w:before="60" w:after="60"/>
              <w:ind w:right="-29"/>
              <w:jc w:val="center"/>
              <w:rPr>
                <w:noProof/>
                <w:sz w:val="18"/>
                <w:szCs w:val="18"/>
              </w:rPr>
            </w:pPr>
          </w:p>
        </w:tc>
        <w:tc>
          <w:tcPr>
            <w:tcW w:w="720" w:type="dxa"/>
            <w:tcBorders>
              <w:top w:val="nil"/>
              <w:left w:val="nil"/>
              <w:bottom w:val="nil"/>
              <w:right w:val="nil"/>
            </w:tcBorders>
          </w:tcPr>
          <w:p w14:paraId="15644CDA" w14:textId="77777777" w:rsidR="00044D5B" w:rsidRPr="00597673" w:rsidRDefault="00044D5B">
            <w:pPr>
              <w:spacing w:before="60" w:after="60"/>
              <w:ind w:right="-29"/>
              <w:jc w:val="center"/>
              <w:rPr>
                <w:noProof/>
                <w:sz w:val="18"/>
                <w:szCs w:val="18"/>
              </w:rPr>
            </w:pPr>
          </w:p>
        </w:tc>
        <w:tc>
          <w:tcPr>
            <w:tcW w:w="900" w:type="dxa"/>
            <w:tcBorders>
              <w:top w:val="nil"/>
              <w:left w:val="nil"/>
              <w:bottom w:val="nil"/>
              <w:right w:val="nil"/>
            </w:tcBorders>
          </w:tcPr>
          <w:p w14:paraId="43E51665" w14:textId="77777777" w:rsidR="00044D5B" w:rsidRPr="00597673" w:rsidRDefault="00044D5B">
            <w:pPr>
              <w:spacing w:before="60" w:after="60"/>
              <w:ind w:right="-29"/>
              <w:jc w:val="center"/>
              <w:rPr>
                <w:noProof/>
                <w:sz w:val="18"/>
                <w:szCs w:val="18"/>
              </w:rPr>
            </w:pPr>
          </w:p>
        </w:tc>
      </w:tr>
      <w:tr w:rsidR="00983E98" w:rsidRPr="00597673" w14:paraId="59718E50" w14:textId="77777777">
        <w:trPr>
          <w:trHeight w:hRule="exact" w:val="369"/>
          <w:jc w:val="center"/>
        </w:trPr>
        <w:tc>
          <w:tcPr>
            <w:tcW w:w="1423" w:type="dxa"/>
          </w:tcPr>
          <w:p w14:paraId="75C76577" w14:textId="77777777" w:rsidR="00044D5B" w:rsidRPr="00597673" w:rsidRDefault="00044D5B">
            <w:pPr>
              <w:ind w:right="-29"/>
              <w:jc w:val="center"/>
              <w:rPr>
                <w:noProof/>
                <w:sz w:val="18"/>
                <w:szCs w:val="18"/>
              </w:rPr>
            </w:pPr>
            <w:r w:rsidRPr="00597673">
              <w:rPr>
                <w:sz w:val="18"/>
              </w:rPr>
              <w:t>— Резултат</w:t>
            </w:r>
          </w:p>
        </w:tc>
        <w:tc>
          <w:tcPr>
            <w:tcW w:w="720" w:type="dxa"/>
          </w:tcPr>
          <w:p w14:paraId="7D8C6BFB" w14:textId="77777777" w:rsidR="00044D5B" w:rsidRPr="00597673" w:rsidRDefault="00044D5B">
            <w:pPr>
              <w:ind w:right="-29"/>
              <w:jc w:val="center"/>
              <w:rPr>
                <w:noProof/>
                <w:sz w:val="18"/>
                <w:szCs w:val="18"/>
              </w:rPr>
            </w:pPr>
          </w:p>
        </w:tc>
        <w:tc>
          <w:tcPr>
            <w:tcW w:w="701" w:type="dxa"/>
          </w:tcPr>
          <w:p w14:paraId="0F176FCD" w14:textId="77777777" w:rsidR="00044D5B" w:rsidRPr="00597673" w:rsidRDefault="00044D5B">
            <w:pPr>
              <w:ind w:right="-29"/>
              <w:jc w:val="center"/>
              <w:rPr>
                <w:noProof/>
                <w:sz w:val="18"/>
                <w:szCs w:val="18"/>
              </w:rPr>
            </w:pPr>
          </w:p>
        </w:tc>
        <w:tc>
          <w:tcPr>
            <w:tcW w:w="504" w:type="dxa"/>
          </w:tcPr>
          <w:p w14:paraId="1128C971" w14:textId="77777777" w:rsidR="00044D5B" w:rsidRPr="00597673" w:rsidRDefault="00044D5B">
            <w:pPr>
              <w:ind w:right="-29"/>
              <w:jc w:val="center"/>
              <w:rPr>
                <w:noProof/>
                <w:sz w:val="18"/>
                <w:szCs w:val="18"/>
              </w:rPr>
            </w:pPr>
          </w:p>
        </w:tc>
        <w:tc>
          <w:tcPr>
            <w:tcW w:w="720" w:type="dxa"/>
          </w:tcPr>
          <w:p w14:paraId="64C4AFD7" w14:textId="77777777" w:rsidR="00044D5B" w:rsidRPr="00597673" w:rsidRDefault="00044D5B">
            <w:pPr>
              <w:ind w:right="-29"/>
              <w:jc w:val="center"/>
              <w:rPr>
                <w:noProof/>
                <w:sz w:val="18"/>
                <w:szCs w:val="18"/>
              </w:rPr>
            </w:pPr>
          </w:p>
        </w:tc>
        <w:tc>
          <w:tcPr>
            <w:tcW w:w="540" w:type="dxa"/>
          </w:tcPr>
          <w:p w14:paraId="689AC95C" w14:textId="77777777" w:rsidR="00044D5B" w:rsidRPr="00597673" w:rsidRDefault="00044D5B">
            <w:pPr>
              <w:ind w:right="-29"/>
              <w:jc w:val="center"/>
              <w:rPr>
                <w:noProof/>
                <w:sz w:val="18"/>
                <w:szCs w:val="18"/>
              </w:rPr>
            </w:pPr>
          </w:p>
        </w:tc>
        <w:tc>
          <w:tcPr>
            <w:tcW w:w="720" w:type="dxa"/>
          </w:tcPr>
          <w:p w14:paraId="152BAABD" w14:textId="77777777" w:rsidR="00044D5B" w:rsidRPr="00597673" w:rsidRDefault="00044D5B">
            <w:pPr>
              <w:ind w:right="-29"/>
              <w:jc w:val="center"/>
              <w:rPr>
                <w:noProof/>
                <w:sz w:val="18"/>
                <w:szCs w:val="18"/>
              </w:rPr>
            </w:pPr>
          </w:p>
        </w:tc>
        <w:tc>
          <w:tcPr>
            <w:tcW w:w="720" w:type="dxa"/>
          </w:tcPr>
          <w:p w14:paraId="4741BFBE" w14:textId="77777777" w:rsidR="00044D5B" w:rsidRPr="00597673" w:rsidRDefault="00044D5B">
            <w:pPr>
              <w:ind w:right="-29"/>
              <w:jc w:val="center"/>
              <w:rPr>
                <w:noProof/>
                <w:sz w:val="18"/>
                <w:szCs w:val="18"/>
              </w:rPr>
            </w:pPr>
          </w:p>
        </w:tc>
        <w:tc>
          <w:tcPr>
            <w:tcW w:w="720" w:type="dxa"/>
          </w:tcPr>
          <w:p w14:paraId="4065C6DF" w14:textId="77777777" w:rsidR="00044D5B" w:rsidRPr="00597673" w:rsidRDefault="00044D5B">
            <w:pPr>
              <w:ind w:right="-29"/>
              <w:jc w:val="center"/>
              <w:rPr>
                <w:noProof/>
                <w:sz w:val="18"/>
                <w:szCs w:val="18"/>
              </w:rPr>
            </w:pPr>
          </w:p>
        </w:tc>
        <w:tc>
          <w:tcPr>
            <w:tcW w:w="900" w:type="dxa"/>
          </w:tcPr>
          <w:p w14:paraId="1B8B339A" w14:textId="77777777" w:rsidR="00044D5B" w:rsidRPr="00597673" w:rsidRDefault="00044D5B">
            <w:pPr>
              <w:ind w:right="-29"/>
              <w:jc w:val="center"/>
              <w:rPr>
                <w:noProof/>
                <w:sz w:val="18"/>
                <w:szCs w:val="18"/>
              </w:rPr>
            </w:pPr>
          </w:p>
        </w:tc>
        <w:tc>
          <w:tcPr>
            <w:tcW w:w="720" w:type="dxa"/>
          </w:tcPr>
          <w:p w14:paraId="46476593" w14:textId="77777777" w:rsidR="00044D5B" w:rsidRPr="00597673" w:rsidRDefault="00044D5B">
            <w:pPr>
              <w:ind w:right="-29"/>
              <w:jc w:val="center"/>
              <w:rPr>
                <w:noProof/>
                <w:sz w:val="18"/>
                <w:szCs w:val="18"/>
              </w:rPr>
            </w:pPr>
          </w:p>
        </w:tc>
        <w:tc>
          <w:tcPr>
            <w:tcW w:w="540" w:type="dxa"/>
          </w:tcPr>
          <w:p w14:paraId="3C108EF2" w14:textId="77777777" w:rsidR="00044D5B" w:rsidRPr="00597673" w:rsidRDefault="00044D5B">
            <w:pPr>
              <w:ind w:right="-29"/>
              <w:jc w:val="center"/>
              <w:rPr>
                <w:noProof/>
                <w:sz w:val="18"/>
                <w:szCs w:val="18"/>
              </w:rPr>
            </w:pPr>
          </w:p>
        </w:tc>
        <w:tc>
          <w:tcPr>
            <w:tcW w:w="648" w:type="dxa"/>
          </w:tcPr>
          <w:p w14:paraId="6248ABE2" w14:textId="77777777" w:rsidR="00044D5B" w:rsidRPr="00597673" w:rsidRDefault="00044D5B">
            <w:pPr>
              <w:ind w:right="-29"/>
              <w:jc w:val="center"/>
              <w:rPr>
                <w:noProof/>
                <w:sz w:val="18"/>
                <w:szCs w:val="18"/>
              </w:rPr>
            </w:pPr>
          </w:p>
        </w:tc>
        <w:tc>
          <w:tcPr>
            <w:tcW w:w="432" w:type="dxa"/>
          </w:tcPr>
          <w:p w14:paraId="18F6F25E" w14:textId="77777777" w:rsidR="00044D5B" w:rsidRPr="00597673" w:rsidRDefault="00044D5B">
            <w:pPr>
              <w:ind w:right="-29"/>
              <w:jc w:val="center"/>
              <w:rPr>
                <w:noProof/>
                <w:sz w:val="18"/>
                <w:szCs w:val="18"/>
              </w:rPr>
            </w:pPr>
          </w:p>
        </w:tc>
        <w:tc>
          <w:tcPr>
            <w:tcW w:w="720" w:type="dxa"/>
          </w:tcPr>
          <w:p w14:paraId="54BCBDE3" w14:textId="77777777" w:rsidR="00044D5B" w:rsidRPr="00597673" w:rsidRDefault="00044D5B">
            <w:pPr>
              <w:ind w:right="-29"/>
              <w:jc w:val="center"/>
              <w:rPr>
                <w:noProof/>
                <w:sz w:val="18"/>
                <w:szCs w:val="18"/>
              </w:rPr>
            </w:pPr>
          </w:p>
        </w:tc>
        <w:tc>
          <w:tcPr>
            <w:tcW w:w="540" w:type="dxa"/>
          </w:tcPr>
          <w:p w14:paraId="67CDA114" w14:textId="77777777" w:rsidR="00044D5B" w:rsidRPr="00597673" w:rsidRDefault="00044D5B">
            <w:pPr>
              <w:ind w:right="-29"/>
              <w:jc w:val="center"/>
              <w:rPr>
                <w:noProof/>
                <w:sz w:val="18"/>
                <w:szCs w:val="18"/>
              </w:rPr>
            </w:pPr>
          </w:p>
        </w:tc>
        <w:tc>
          <w:tcPr>
            <w:tcW w:w="720" w:type="dxa"/>
          </w:tcPr>
          <w:p w14:paraId="56A96085" w14:textId="77777777" w:rsidR="00044D5B" w:rsidRPr="00597673" w:rsidRDefault="00044D5B">
            <w:pPr>
              <w:ind w:right="-29"/>
              <w:jc w:val="center"/>
              <w:rPr>
                <w:noProof/>
                <w:sz w:val="18"/>
                <w:szCs w:val="18"/>
              </w:rPr>
            </w:pPr>
          </w:p>
        </w:tc>
        <w:tc>
          <w:tcPr>
            <w:tcW w:w="720" w:type="dxa"/>
          </w:tcPr>
          <w:p w14:paraId="3AE8A981" w14:textId="77777777" w:rsidR="00044D5B" w:rsidRPr="00597673" w:rsidRDefault="00044D5B">
            <w:pPr>
              <w:ind w:right="-29"/>
              <w:jc w:val="center"/>
              <w:rPr>
                <w:noProof/>
                <w:sz w:val="18"/>
                <w:szCs w:val="18"/>
              </w:rPr>
            </w:pPr>
          </w:p>
        </w:tc>
        <w:tc>
          <w:tcPr>
            <w:tcW w:w="900" w:type="dxa"/>
          </w:tcPr>
          <w:p w14:paraId="0ABB95E1" w14:textId="77777777" w:rsidR="00044D5B" w:rsidRPr="00597673" w:rsidRDefault="00044D5B">
            <w:pPr>
              <w:ind w:right="-29"/>
              <w:jc w:val="center"/>
              <w:rPr>
                <w:noProof/>
                <w:sz w:val="18"/>
                <w:szCs w:val="18"/>
              </w:rPr>
            </w:pPr>
          </w:p>
        </w:tc>
      </w:tr>
      <w:tr w:rsidR="009700B5" w:rsidRPr="00597673" w14:paraId="65D78097" w14:textId="77777777">
        <w:trPr>
          <w:jc w:val="center"/>
        </w:trPr>
        <w:tc>
          <w:tcPr>
            <w:tcW w:w="2844" w:type="dxa"/>
            <w:gridSpan w:val="3"/>
            <w:tcBorders>
              <w:bottom w:val="single" w:sz="12" w:space="0" w:color="auto"/>
            </w:tcBorders>
            <w:vAlign w:val="center"/>
          </w:tcPr>
          <w:p w14:paraId="746D6807" w14:textId="77777777" w:rsidR="00044D5B" w:rsidRPr="00597673" w:rsidRDefault="00044D5B">
            <w:pPr>
              <w:jc w:val="center"/>
              <w:rPr>
                <w:noProof/>
                <w:sz w:val="18"/>
                <w:szCs w:val="18"/>
              </w:rPr>
            </w:pPr>
            <w:r w:rsidRPr="00597673">
              <w:rPr>
                <w:sz w:val="18"/>
              </w:rPr>
              <w:t>Междинен сбор за конкретна цел № 2</w:t>
            </w:r>
          </w:p>
        </w:tc>
        <w:tc>
          <w:tcPr>
            <w:tcW w:w="504" w:type="dxa"/>
            <w:tcBorders>
              <w:bottom w:val="single" w:sz="12" w:space="0" w:color="auto"/>
            </w:tcBorders>
          </w:tcPr>
          <w:p w14:paraId="243CD3FF" w14:textId="77777777" w:rsidR="00044D5B" w:rsidRPr="00597673" w:rsidRDefault="00044D5B">
            <w:pPr>
              <w:ind w:right="-29"/>
              <w:jc w:val="center"/>
              <w:rPr>
                <w:noProof/>
                <w:sz w:val="18"/>
                <w:szCs w:val="18"/>
              </w:rPr>
            </w:pPr>
          </w:p>
        </w:tc>
        <w:tc>
          <w:tcPr>
            <w:tcW w:w="720" w:type="dxa"/>
            <w:tcBorders>
              <w:bottom w:val="single" w:sz="12" w:space="0" w:color="auto"/>
            </w:tcBorders>
          </w:tcPr>
          <w:p w14:paraId="4C9DB66D" w14:textId="77777777" w:rsidR="00044D5B" w:rsidRPr="00597673" w:rsidRDefault="00044D5B">
            <w:pPr>
              <w:ind w:right="-29"/>
              <w:jc w:val="center"/>
              <w:rPr>
                <w:noProof/>
                <w:sz w:val="18"/>
                <w:szCs w:val="18"/>
              </w:rPr>
            </w:pPr>
          </w:p>
        </w:tc>
        <w:tc>
          <w:tcPr>
            <w:tcW w:w="540" w:type="dxa"/>
            <w:tcBorders>
              <w:bottom w:val="single" w:sz="12" w:space="0" w:color="auto"/>
            </w:tcBorders>
          </w:tcPr>
          <w:p w14:paraId="596C56CD" w14:textId="77777777" w:rsidR="00044D5B" w:rsidRPr="00597673" w:rsidRDefault="00044D5B">
            <w:pPr>
              <w:ind w:right="-29"/>
              <w:jc w:val="center"/>
              <w:rPr>
                <w:noProof/>
                <w:sz w:val="18"/>
                <w:szCs w:val="18"/>
              </w:rPr>
            </w:pPr>
          </w:p>
        </w:tc>
        <w:tc>
          <w:tcPr>
            <w:tcW w:w="720" w:type="dxa"/>
            <w:tcBorders>
              <w:bottom w:val="single" w:sz="12" w:space="0" w:color="auto"/>
            </w:tcBorders>
          </w:tcPr>
          <w:p w14:paraId="2C4AE332" w14:textId="77777777" w:rsidR="00044D5B" w:rsidRPr="00597673" w:rsidRDefault="00044D5B">
            <w:pPr>
              <w:ind w:right="-29"/>
              <w:jc w:val="center"/>
              <w:rPr>
                <w:noProof/>
                <w:sz w:val="18"/>
                <w:szCs w:val="18"/>
              </w:rPr>
            </w:pPr>
          </w:p>
        </w:tc>
        <w:tc>
          <w:tcPr>
            <w:tcW w:w="720" w:type="dxa"/>
            <w:tcBorders>
              <w:bottom w:val="single" w:sz="12" w:space="0" w:color="auto"/>
            </w:tcBorders>
          </w:tcPr>
          <w:p w14:paraId="4FFABE25" w14:textId="77777777" w:rsidR="00044D5B" w:rsidRPr="00597673" w:rsidRDefault="00044D5B">
            <w:pPr>
              <w:ind w:right="-29"/>
              <w:jc w:val="center"/>
              <w:rPr>
                <w:noProof/>
                <w:sz w:val="18"/>
                <w:szCs w:val="18"/>
              </w:rPr>
            </w:pPr>
          </w:p>
        </w:tc>
        <w:tc>
          <w:tcPr>
            <w:tcW w:w="720" w:type="dxa"/>
            <w:tcBorders>
              <w:bottom w:val="single" w:sz="12" w:space="0" w:color="auto"/>
            </w:tcBorders>
          </w:tcPr>
          <w:p w14:paraId="615D6822" w14:textId="77777777" w:rsidR="00044D5B" w:rsidRPr="00597673" w:rsidRDefault="00044D5B">
            <w:pPr>
              <w:ind w:right="-29"/>
              <w:jc w:val="center"/>
              <w:rPr>
                <w:noProof/>
                <w:sz w:val="18"/>
                <w:szCs w:val="18"/>
              </w:rPr>
            </w:pPr>
          </w:p>
        </w:tc>
        <w:tc>
          <w:tcPr>
            <w:tcW w:w="951" w:type="dxa"/>
            <w:tcBorders>
              <w:bottom w:val="single" w:sz="12" w:space="0" w:color="auto"/>
            </w:tcBorders>
          </w:tcPr>
          <w:p w14:paraId="5770C042" w14:textId="77777777" w:rsidR="00044D5B" w:rsidRPr="00597673" w:rsidRDefault="00044D5B">
            <w:pPr>
              <w:ind w:right="-29"/>
              <w:jc w:val="center"/>
              <w:rPr>
                <w:noProof/>
                <w:sz w:val="18"/>
                <w:szCs w:val="18"/>
              </w:rPr>
            </w:pPr>
          </w:p>
        </w:tc>
        <w:tc>
          <w:tcPr>
            <w:tcW w:w="669" w:type="dxa"/>
            <w:tcBorders>
              <w:bottom w:val="single" w:sz="12" w:space="0" w:color="auto"/>
            </w:tcBorders>
          </w:tcPr>
          <w:p w14:paraId="1B8C9100" w14:textId="77777777" w:rsidR="00044D5B" w:rsidRPr="00597673" w:rsidRDefault="00044D5B">
            <w:pPr>
              <w:ind w:right="-29"/>
              <w:jc w:val="center"/>
              <w:rPr>
                <w:noProof/>
                <w:sz w:val="18"/>
                <w:szCs w:val="18"/>
              </w:rPr>
            </w:pPr>
          </w:p>
        </w:tc>
        <w:tc>
          <w:tcPr>
            <w:tcW w:w="540" w:type="dxa"/>
            <w:tcBorders>
              <w:bottom w:val="single" w:sz="12" w:space="0" w:color="auto"/>
            </w:tcBorders>
          </w:tcPr>
          <w:p w14:paraId="7AA36B7D" w14:textId="77777777" w:rsidR="00044D5B" w:rsidRPr="00597673" w:rsidRDefault="00044D5B">
            <w:pPr>
              <w:ind w:right="-29"/>
              <w:jc w:val="center"/>
              <w:rPr>
                <w:noProof/>
                <w:sz w:val="18"/>
                <w:szCs w:val="18"/>
              </w:rPr>
            </w:pPr>
          </w:p>
        </w:tc>
        <w:tc>
          <w:tcPr>
            <w:tcW w:w="648" w:type="dxa"/>
            <w:tcBorders>
              <w:bottom w:val="single" w:sz="12" w:space="0" w:color="auto"/>
            </w:tcBorders>
          </w:tcPr>
          <w:p w14:paraId="6A5F86FB" w14:textId="77777777" w:rsidR="00044D5B" w:rsidRPr="00597673" w:rsidRDefault="00044D5B">
            <w:pPr>
              <w:ind w:right="-29"/>
              <w:jc w:val="center"/>
              <w:rPr>
                <w:noProof/>
                <w:sz w:val="18"/>
                <w:szCs w:val="18"/>
              </w:rPr>
            </w:pPr>
          </w:p>
        </w:tc>
        <w:tc>
          <w:tcPr>
            <w:tcW w:w="432" w:type="dxa"/>
            <w:tcBorders>
              <w:bottom w:val="single" w:sz="12" w:space="0" w:color="auto"/>
            </w:tcBorders>
          </w:tcPr>
          <w:p w14:paraId="6DCA2CAA" w14:textId="77777777" w:rsidR="00044D5B" w:rsidRPr="00597673" w:rsidRDefault="00044D5B">
            <w:pPr>
              <w:ind w:right="-29"/>
              <w:jc w:val="center"/>
              <w:rPr>
                <w:noProof/>
                <w:sz w:val="18"/>
                <w:szCs w:val="18"/>
              </w:rPr>
            </w:pPr>
          </w:p>
        </w:tc>
        <w:tc>
          <w:tcPr>
            <w:tcW w:w="720" w:type="dxa"/>
            <w:tcBorders>
              <w:bottom w:val="single" w:sz="12" w:space="0" w:color="auto"/>
            </w:tcBorders>
          </w:tcPr>
          <w:p w14:paraId="00205BAA" w14:textId="77777777" w:rsidR="00044D5B" w:rsidRPr="00597673" w:rsidRDefault="00044D5B">
            <w:pPr>
              <w:ind w:right="-29"/>
              <w:jc w:val="center"/>
              <w:rPr>
                <w:noProof/>
                <w:sz w:val="18"/>
                <w:szCs w:val="18"/>
              </w:rPr>
            </w:pPr>
          </w:p>
        </w:tc>
        <w:tc>
          <w:tcPr>
            <w:tcW w:w="540" w:type="dxa"/>
            <w:tcBorders>
              <w:bottom w:val="single" w:sz="12" w:space="0" w:color="auto"/>
            </w:tcBorders>
          </w:tcPr>
          <w:p w14:paraId="74693D6E" w14:textId="77777777" w:rsidR="00044D5B" w:rsidRPr="00597673" w:rsidRDefault="00044D5B">
            <w:pPr>
              <w:ind w:right="-29"/>
              <w:jc w:val="center"/>
              <w:rPr>
                <w:noProof/>
                <w:sz w:val="18"/>
                <w:szCs w:val="18"/>
              </w:rPr>
            </w:pPr>
          </w:p>
        </w:tc>
        <w:tc>
          <w:tcPr>
            <w:tcW w:w="720" w:type="dxa"/>
            <w:tcBorders>
              <w:bottom w:val="single" w:sz="12" w:space="0" w:color="auto"/>
            </w:tcBorders>
          </w:tcPr>
          <w:p w14:paraId="04669968" w14:textId="77777777" w:rsidR="00044D5B" w:rsidRPr="00597673" w:rsidRDefault="00044D5B">
            <w:pPr>
              <w:ind w:right="-29"/>
              <w:jc w:val="center"/>
              <w:rPr>
                <w:noProof/>
                <w:sz w:val="18"/>
                <w:szCs w:val="18"/>
              </w:rPr>
            </w:pPr>
          </w:p>
        </w:tc>
        <w:tc>
          <w:tcPr>
            <w:tcW w:w="720" w:type="dxa"/>
            <w:tcBorders>
              <w:bottom w:val="single" w:sz="12" w:space="0" w:color="auto"/>
            </w:tcBorders>
          </w:tcPr>
          <w:p w14:paraId="6F17D09E" w14:textId="77777777" w:rsidR="00044D5B" w:rsidRPr="00597673" w:rsidRDefault="00044D5B">
            <w:pPr>
              <w:ind w:right="-29"/>
              <w:jc w:val="center"/>
              <w:rPr>
                <w:noProof/>
                <w:sz w:val="18"/>
                <w:szCs w:val="18"/>
              </w:rPr>
            </w:pPr>
          </w:p>
        </w:tc>
        <w:tc>
          <w:tcPr>
            <w:tcW w:w="900" w:type="dxa"/>
            <w:tcBorders>
              <w:bottom w:val="single" w:sz="12" w:space="0" w:color="auto"/>
            </w:tcBorders>
          </w:tcPr>
          <w:p w14:paraId="7FAB332F" w14:textId="77777777" w:rsidR="00044D5B" w:rsidRPr="00597673" w:rsidRDefault="00044D5B">
            <w:pPr>
              <w:ind w:right="-29"/>
              <w:jc w:val="center"/>
              <w:rPr>
                <w:noProof/>
                <w:sz w:val="18"/>
                <w:szCs w:val="18"/>
              </w:rPr>
            </w:pPr>
          </w:p>
        </w:tc>
      </w:tr>
      <w:tr w:rsidR="00E6355E" w:rsidRPr="00597673" w14:paraId="4BEB2343" w14:textId="77777777">
        <w:trPr>
          <w:jc w:val="center"/>
        </w:trPr>
        <w:tc>
          <w:tcPr>
            <w:tcW w:w="2844" w:type="dxa"/>
            <w:gridSpan w:val="3"/>
            <w:tcBorders>
              <w:top w:val="single" w:sz="12" w:space="0" w:color="auto"/>
              <w:left w:val="single" w:sz="12" w:space="0" w:color="auto"/>
              <w:bottom w:val="single" w:sz="12" w:space="0" w:color="auto"/>
            </w:tcBorders>
            <w:vAlign w:val="center"/>
          </w:tcPr>
          <w:p w14:paraId="176D1E10" w14:textId="77777777" w:rsidR="00044D5B" w:rsidRPr="00597673" w:rsidRDefault="00044D5B">
            <w:pPr>
              <w:ind w:right="-29"/>
              <w:jc w:val="center"/>
              <w:rPr>
                <w:noProof/>
                <w:sz w:val="18"/>
                <w:szCs w:val="18"/>
              </w:rPr>
            </w:pPr>
            <w:r w:rsidRPr="00597673">
              <w:rPr>
                <w:b/>
                <w:sz w:val="18"/>
              </w:rPr>
              <w:t>ОБЩО</w:t>
            </w:r>
          </w:p>
        </w:tc>
        <w:tc>
          <w:tcPr>
            <w:tcW w:w="504" w:type="dxa"/>
            <w:tcBorders>
              <w:top w:val="single" w:sz="12" w:space="0" w:color="auto"/>
              <w:bottom w:val="single" w:sz="12" w:space="0" w:color="auto"/>
            </w:tcBorders>
          </w:tcPr>
          <w:p w14:paraId="5027134B"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061C0907" w14:textId="77777777" w:rsidR="00044D5B" w:rsidRPr="00597673" w:rsidRDefault="00044D5B">
            <w:pPr>
              <w:spacing w:before="180" w:after="180"/>
              <w:ind w:right="-29"/>
              <w:jc w:val="center"/>
              <w:rPr>
                <w:noProof/>
                <w:sz w:val="18"/>
                <w:szCs w:val="18"/>
              </w:rPr>
            </w:pPr>
          </w:p>
        </w:tc>
        <w:tc>
          <w:tcPr>
            <w:tcW w:w="540" w:type="dxa"/>
            <w:tcBorders>
              <w:top w:val="single" w:sz="12" w:space="0" w:color="auto"/>
              <w:bottom w:val="single" w:sz="12" w:space="0" w:color="auto"/>
            </w:tcBorders>
          </w:tcPr>
          <w:p w14:paraId="7C9310C7"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30F7AE2F"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28E21FB6"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05E74C68" w14:textId="77777777" w:rsidR="00044D5B" w:rsidRPr="00597673" w:rsidRDefault="00044D5B">
            <w:pPr>
              <w:spacing w:before="180" w:after="180"/>
              <w:ind w:right="-29"/>
              <w:jc w:val="center"/>
              <w:rPr>
                <w:noProof/>
                <w:sz w:val="18"/>
                <w:szCs w:val="18"/>
              </w:rPr>
            </w:pPr>
          </w:p>
        </w:tc>
        <w:tc>
          <w:tcPr>
            <w:tcW w:w="900" w:type="dxa"/>
            <w:tcBorders>
              <w:top w:val="single" w:sz="12" w:space="0" w:color="auto"/>
              <w:bottom w:val="single" w:sz="12" w:space="0" w:color="auto"/>
            </w:tcBorders>
          </w:tcPr>
          <w:p w14:paraId="156AE99B"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41909F26" w14:textId="77777777" w:rsidR="00044D5B" w:rsidRPr="00597673" w:rsidRDefault="00044D5B">
            <w:pPr>
              <w:spacing w:before="180" w:after="180"/>
              <w:ind w:right="-29"/>
              <w:jc w:val="center"/>
              <w:rPr>
                <w:noProof/>
                <w:sz w:val="18"/>
                <w:szCs w:val="18"/>
              </w:rPr>
            </w:pPr>
          </w:p>
        </w:tc>
        <w:tc>
          <w:tcPr>
            <w:tcW w:w="540" w:type="dxa"/>
            <w:tcBorders>
              <w:top w:val="single" w:sz="12" w:space="0" w:color="auto"/>
              <w:bottom w:val="single" w:sz="12" w:space="0" w:color="auto"/>
            </w:tcBorders>
          </w:tcPr>
          <w:p w14:paraId="6436455A" w14:textId="77777777" w:rsidR="00044D5B" w:rsidRPr="00597673" w:rsidRDefault="00044D5B">
            <w:pPr>
              <w:spacing w:before="180" w:after="180"/>
              <w:ind w:right="-29"/>
              <w:jc w:val="center"/>
              <w:rPr>
                <w:noProof/>
                <w:sz w:val="18"/>
                <w:szCs w:val="18"/>
              </w:rPr>
            </w:pPr>
          </w:p>
        </w:tc>
        <w:tc>
          <w:tcPr>
            <w:tcW w:w="648" w:type="dxa"/>
            <w:tcBorders>
              <w:top w:val="single" w:sz="12" w:space="0" w:color="auto"/>
              <w:bottom w:val="single" w:sz="12" w:space="0" w:color="auto"/>
            </w:tcBorders>
          </w:tcPr>
          <w:p w14:paraId="110F71A7" w14:textId="77777777" w:rsidR="00044D5B" w:rsidRPr="00597673" w:rsidRDefault="00044D5B">
            <w:pPr>
              <w:spacing w:before="180" w:after="180"/>
              <w:ind w:right="-29"/>
              <w:jc w:val="center"/>
              <w:rPr>
                <w:noProof/>
                <w:sz w:val="18"/>
                <w:szCs w:val="18"/>
              </w:rPr>
            </w:pPr>
          </w:p>
        </w:tc>
        <w:tc>
          <w:tcPr>
            <w:tcW w:w="432" w:type="dxa"/>
            <w:tcBorders>
              <w:top w:val="single" w:sz="12" w:space="0" w:color="auto"/>
              <w:bottom w:val="single" w:sz="12" w:space="0" w:color="auto"/>
            </w:tcBorders>
          </w:tcPr>
          <w:p w14:paraId="1887D2FC"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2DB5D3AE" w14:textId="77777777" w:rsidR="00044D5B" w:rsidRPr="00597673" w:rsidRDefault="00044D5B">
            <w:pPr>
              <w:spacing w:before="180" w:after="180"/>
              <w:ind w:right="-29"/>
              <w:jc w:val="center"/>
              <w:rPr>
                <w:noProof/>
                <w:sz w:val="18"/>
                <w:szCs w:val="18"/>
              </w:rPr>
            </w:pPr>
          </w:p>
        </w:tc>
        <w:tc>
          <w:tcPr>
            <w:tcW w:w="540" w:type="dxa"/>
            <w:tcBorders>
              <w:top w:val="single" w:sz="12" w:space="0" w:color="auto"/>
              <w:bottom w:val="single" w:sz="12" w:space="0" w:color="auto"/>
            </w:tcBorders>
          </w:tcPr>
          <w:p w14:paraId="338694A7"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4D01875C" w14:textId="77777777" w:rsidR="00044D5B" w:rsidRPr="00597673"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4EB2B335" w14:textId="77777777" w:rsidR="00044D5B" w:rsidRPr="00597673" w:rsidRDefault="00044D5B">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891C97A" w14:textId="77777777" w:rsidR="00044D5B" w:rsidRPr="00597673" w:rsidRDefault="00044D5B">
            <w:pPr>
              <w:spacing w:before="180" w:after="180"/>
              <w:ind w:right="-29"/>
              <w:jc w:val="center"/>
              <w:rPr>
                <w:noProof/>
                <w:sz w:val="18"/>
                <w:szCs w:val="18"/>
              </w:rPr>
            </w:pPr>
          </w:p>
        </w:tc>
      </w:tr>
    </w:tbl>
    <w:p w14:paraId="16B4A84B" w14:textId="77777777" w:rsidR="00044D5B" w:rsidRPr="00597673" w:rsidRDefault="00044D5B" w:rsidP="00044D5B">
      <w:pPr>
        <w:rPr>
          <w:noProof/>
        </w:rPr>
        <w:sectPr w:rsidR="00044D5B" w:rsidRPr="00597673" w:rsidSect="00F222D4">
          <w:pgSz w:w="16840" w:h="11907" w:orient="landscape" w:code="9"/>
          <w:pgMar w:top="1134" w:right="1418" w:bottom="567" w:left="1418" w:header="709" w:footer="709" w:gutter="0"/>
          <w:cols w:space="708"/>
          <w:docGrid w:linePitch="360"/>
        </w:sectPr>
      </w:pPr>
    </w:p>
    <w:p w14:paraId="2BA90EC1" w14:textId="77777777" w:rsidR="00044D5B" w:rsidRPr="00597673" w:rsidRDefault="00044D5B" w:rsidP="00044D5B">
      <w:pPr>
        <w:pStyle w:val="ManualHeading3"/>
        <w:rPr>
          <w:bCs/>
          <w:noProof/>
          <w:szCs w:val="24"/>
        </w:rPr>
      </w:pPr>
      <w:r w:rsidRPr="00597673">
        <w:t>3.2.3.</w:t>
      </w:r>
      <w:r w:rsidRPr="00597673">
        <w:tab/>
        <w:t xml:space="preserve">Обобщение на очакваното отражение върху бюджетните кредити за административни разходи </w:t>
      </w:r>
    </w:p>
    <w:p w14:paraId="0FA7BCDC" w14:textId="77777777" w:rsidR="00044D5B" w:rsidRPr="00597673" w:rsidRDefault="00044D5B" w:rsidP="00044D5B">
      <w:pPr>
        <w:pStyle w:val="ListDash1"/>
        <w:rPr>
          <w:noProof/>
        </w:rPr>
      </w:pPr>
      <w:r w:rsidRPr="00597673">
        <w:rPr>
          <w:rFonts w:ascii="Wingdings" w:hAnsi="Wingdings"/>
        </w:rPr>
        <w:t>¨</w:t>
      </w:r>
      <w:r w:rsidRPr="00597673">
        <w:tab/>
        <w:t xml:space="preserve">Предложението/инициативата не налага използване на бюджетни кредити за административни разходи </w:t>
      </w:r>
    </w:p>
    <w:p w14:paraId="310506FC" w14:textId="77777777" w:rsidR="00044D5B" w:rsidRPr="00597673" w:rsidRDefault="00044D5B" w:rsidP="00044D5B">
      <w:pPr>
        <w:pStyle w:val="ListDash1"/>
        <w:rPr>
          <w:noProof/>
        </w:rPr>
      </w:pPr>
      <w:r w:rsidRPr="00597673">
        <w:rPr>
          <w:rFonts w:ascii="Wingdings" w:hAnsi="Wingdings"/>
        </w:rPr>
        <w:t>¨</w:t>
      </w:r>
      <w:r w:rsidRPr="00597673">
        <w:tab/>
        <w:t>Предложението/инициативата налага използване на бюджетни кредити за административни разходи съгласно обяснението по-долу</w:t>
      </w:r>
    </w:p>
    <w:p w14:paraId="28E9BAD4" w14:textId="77777777" w:rsidR="00044D5B" w:rsidRPr="00597673" w:rsidRDefault="00044D5B" w:rsidP="00044D5B">
      <w:pPr>
        <w:pStyle w:val="ManualHeading3"/>
      </w:pPr>
      <w:r w:rsidRPr="00597673">
        <w:t>3.2.3.1. Бюджетни кредити от гласувания бюджет</w:t>
      </w:r>
    </w:p>
    <w:tbl>
      <w:tblPr>
        <w:tblW w:w="5000" w:type="pct"/>
        <w:tblInd w:w="-118" w:type="dxa"/>
        <w:tblCellMar>
          <w:left w:w="0" w:type="dxa"/>
          <w:right w:w="0" w:type="dxa"/>
        </w:tblCellMar>
        <w:tblLook w:val="04A0" w:firstRow="1" w:lastRow="0" w:firstColumn="1" w:lastColumn="0" w:noHBand="0" w:noVBand="1"/>
      </w:tblPr>
      <w:tblGrid>
        <w:gridCol w:w="3940"/>
        <w:gridCol w:w="1006"/>
        <w:gridCol w:w="1006"/>
        <w:gridCol w:w="1006"/>
        <w:gridCol w:w="1006"/>
        <w:gridCol w:w="1129"/>
      </w:tblGrid>
      <w:tr w:rsidR="00B55C7B" w:rsidRPr="00597673" w14:paraId="1AD92186" w14:textId="77777777">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29B12338" w14:textId="77777777" w:rsidR="00044D5B" w:rsidRPr="00597673" w:rsidRDefault="00044D5B">
            <w:pPr>
              <w:spacing w:before="0" w:after="0"/>
              <w:jc w:val="center"/>
              <w:rPr>
                <w:b/>
                <w:bCs/>
                <w:color w:val="000000"/>
                <w:sz w:val="18"/>
                <w:szCs w:val="18"/>
              </w:rPr>
            </w:pPr>
            <w:r w:rsidRPr="00597673">
              <w:rPr>
                <w:b/>
                <w:color w:val="000000"/>
                <w:sz w:val="18"/>
              </w:rPr>
              <w:t>ГЛАСУВАНИ БЮДЖЕТНИ КРЕДИТИ</w:t>
            </w:r>
          </w:p>
        </w:tc>
        <w:tc>
          <w:tcPr>
            <w:tcW w:w="553" w:type="pct"/>
            <w:tcBorders>
              <w:top w:val="single" w:sz="8" w:space="0" w:color="auto"/>
              <w:left w:val="nil"/>
              <w:bottom w:val="single" w:sz="8" w:space="0" w:color="auto"/>
              <w:right w:val="single" w:sz="8" w:space="0" w:color="auto"/>
            </w:tcBorders>
            <w:vAlign w:val="center"/>
            <w:hideMark/>
          </w:tcPr>
          <w:p w14:paraId="0BA0EAC5" w14:textId="77777777" w:rsidR="00044D5B" w:rsidRPr="00597673" w:rsidRDefault="00044D5B">
            <w:pPr>
              <w:spacing w:before="0" w:after="0"/>
              <w:jc w:val="center"/>
              <w:rPr>
                <w:color w:val="000000"/>
                <w:sz w:val="18"/>
                <w:szCs w:val="18"/>
              </w:rPr>
            </w:pPr>
            <w:r w:rsidRPr="00597673">
              <w:rPr>
                <w:color w:val="000000"/>
                <w:sz w:val="18"/>
              </w:rPr>
              <w:t>Година</w:t>
            </w:r>
          </w:p>
        </w:tc>
        <w:tc>
          <w:tcPr>
            <w:tcW w:w="553" w:type="pct"/>
            <w:tcBorders>
              <w:top w:val="single" w:sz="8" w:space="0" w:color="auto"/>
              <w:left w:val="nil"/>
              <w:bottom w:val="single" w:sz="8" w:space="0" w:color="auto"/>
              <w:right w:val="single" w:sz="8" w:space="0" w:color="auto"/>
            </w:tcBorders>
            <w:vAlign w:val="center"/>
            <w:hideMark/>
          </w:tcPr>
          <w:p w14:paraId="375B4FB9" w14:textId="77777777" w:rsidR="00044D5B" w:rsidRPr="00597673" w:rsidRDefault="00044D5B">
            <w:pPr>
              <w:spacing w:before="0" w:after="0"/>
              <w:jc w:val="center"/>
              <w:rPr>
                <w:color w:val="000000"/>
                <w:sz w:val="18"/>
                <w:szCs w:val="18"/>
              </w:rPr>
            </w:pPr>
            <w:r w:rsidRPr="00597673">
              <w:rPr>
                <w:color w:val="000000"/>
                <w:sz w:val="18"/>
              </w:rPr>
              <w:t>Година</w:t>
            </w:r>
          </w:p>
        </w:tc>
        <w:tc>
          <w:tcPr>
            <w:tcW w:w="553" w:type="pct"/>
            <w:tcBorders>
              <w:top w:val="single" w:sz="8" w:space="0" w:color="auto"/>
              <w:left w:val="nil"/>
              <w:bottom w:val="single" w:sz="8" w:space="0" w:color="auto"/>
              <w:right w:val="single" w:sz="8" w:space="0" w:color="auto"/>
            </w:tcBorders>
            <w:vAlign w:val="center"/>
            <w:hideMark/>
          </w:tcPr>
          <w:p w14:paraId="450E42F9" w14:textId="77777777" w:rsidR="00044D5B" w:rsidRPr="00597673" w:rsidRDefault="00044D5B">
            <w:pPr>
              <w:spacing w:before="0" w:after="0"/>
              <w:jc w:val="center"/>
              <w:rPr>
                <w:color w:val="000000"/>
                <w:sz w:val="18"/>
                <w:szCs w:val="18"/>
              </w:rPr>
            </w:pPr>
            <w:r w:rsidRPr="00597673">
              <w:rPr>
                <w:color w:val="000000"/>
                <w:sz w:val="18"/>
              </w:rPr>
              <w:t>Година</w:t>
            </w:r>
          </w:p>
        </w:tc>
        <w:tc>
          <w:tcPr>
            <w:tcW w:w="553" w:type="pct"/>
            <w:tcBorders>
              <w:top w:val="single" w:sz="8" w:space="0" w:color="auto"/>
              <w:left w:val="nil"/>
              <w:bottom w:val="single" w:sz="8" w:space="0" w:color="auto"/>
              <w:right w:val="single" w:sz="8" w:space="0" w:color="auto"/>
            </w:tcBorders>
            <w:vAlign w:val="center"/>
            <w:hideMark/>
          </w:tcPr>
          <w:p w14:paraId="4F2C3155" w14:textId="77777777" w:rsidR="00044D5B" w:rsidRPr="00597673" w:rsidRDefault="00044D5B">
            <w:pPr>
              <w:spacing w:before="0" w:after="0"/>
              <w:jc w:val="center"/>
              <w:rPr>
                <w:color w:val="000000"/>
                <w:sz w:val="18"/>
                <w:szCs w:val="18"/>
              </w:rPr>
            </w:pPr>
            <w:r w:rsidRPr="00597673">
              <w:rPr>
                <w:color w:val="000000"/>
                <w:sz w:val="18"/>
              </w:rPr>
              <w:t>Година</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6D6D72C7" w14:textId="77777777" w:rsidR="00044D5B" w:rsidRPr="00597673" w:rsidRDefault="00044D5B">
            <w:pPr>
              <w:spacing w:before="0" w:after="0"/>
              <w:jc w:val="center"/>
              <w:rPr>
                <w:b/>
                <w:bCs/>
                <w:color w:val="000000"/>
                <w:sz w:val="18"/>
                <w:szCs w:val="18"/>
              </w:rPr>
            </w:pPr>
            <w:r w:rsidRPr="00597673">
              <w:rPr>
                <w:b/>
                <w:color w:val="000000"/>
                <w:sz w:val="18"/>
              </w:rPr>
              <w:t>ОБЩО 2021—2027 г.</w:t>
            </w:r>
          </w:p>
        </w:tc>
      </w:tr>
      <w:tr w:rsidR="00470A36" w:rsidRPr="00597673" w14:paraId="1AF6E8AA" w14:textId="77777777">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16E7D472" w14:textId="77777777" w:rsidR="00044D5B" w:rsidRPr="00597673" w:rsidRDefault="00044D5B">
            <w:pPr>
              <w:spacing w:before="0" w:after="0"/>
              <w:jc w:val="left"/>
              <w:rPr>
                <w:b/>
                <w:bCs/>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56CDC6D2" w14:textId="77777777" w:rsidR="00044D5B" w:rsidRPr="00597673" w:rsidRDefault="00044D5B">
            <w:pPr>
              <w:spacing w:before="0" w:after="0"/>
              <w:jc w:val="center"/>
              <w:rPr>
                <w:b/>
                <w:bCs/>
                <w:color w:val="000000"/>
                <w:sz w:val="18"/>
                <w:szCs w:val="18"/>
              </w:rPr>
            </w:pPr>
            <w:r w:rsidRPr="00597673">
              <w:rPr>
                <w:b/>
                <w:color w:val="000000"/>
                <w:sz w:val="18"/>
              </w:rPr>
              <w:t>2024 г.</w:t>
            </w:r>
          </w:p>
        </w:tc>
        <w:tc>
          <w:tcPr>
            <w:tcW w:w="553" w:type="pct"/>
            <w:tcBorders>
              <w:top w:val="nil"/>
              <w:left w:val="nil"/>
              <w:bottom w:val="single" w:sz="8" w:space="0" w:color="auto"/>
              <w:right w:val="single" w:sz="8" w:space="0" w:color="auto"/>
            </w:tcBorders>
            <w:vAlign w:val="center"/>
            <w:hideMark/>
          </w:tcPr>
          <w:p w14:paraId="2F5142FA" w14:textId="77777777" w:rsidR="00044D5B" w:rsidRPr="00597673" w:rsidRDefault="00044D5B">
            <w:pPr>
              <w:spacing w:before="0" w:after="0"/>
              <w:jc w:val="center"/>
              <w:rPr>
                <w:b/>
                <w:bCs/>
                <w:color w:val="000000"/>
                <w:sz w:val="18"/>
                <w:szCs w:val="18"/>
              </w:rPr>
            </w:pPr>
            <w:r w:rsidRPr="00597673">
              <w:rPr>
                <w:b/>
                <w:color w:val="000000"/>
                <w:sz w:val="18"/>
              </w:rPr>
              <w:t>2025 г.</w:t>
            </w:r>
          </w:p>
        </w:tc>
        <w:tc>
          <w:tcPr>
            <w:tcW w:w="553" w:type="pct"/>
            <w:tcBorders>
              <w:top w:val="nil"/>
              <w:left w:val="nil"/>
              <w:bottom w:val="single" w:sz="8" w:space="0" w:color="auto"/>
              <w:right w:val="single" w:sz="8" w:space="0" w:color="auto"/>
            </w:tcBorders>
            <w:vAlign w:val="center"/>
            <w:hideMark/>
          </w:tcPr>
          <w:p w14:paraId="5B833EBF" w14:textId="77777777" w:rsidR="00044D5B" w:rsidRPr="00597673" w:rsidRDefault="00044D5B">
            <w:pPr>
              <w:spacing w:before="0" w:after="0"/>
              <w:jc w:val="center"/>
              <w:rPr>
                <w:b/>
                <w:bCs/>
                <w:color w:val="000000"/>
                <w:sz w:val="18"/>
                <w:szCs w:val="18"/>
              </w:rPr>
            </w:pPr>
            <w:r w:rsidRPr="00597673">
              <w:rPr>
                <w:b/>
                <w:color w:val="000000"/>
                <w:sz w:val="18"/>
              </w:rPr>
              <w:t>2026 г.</w:t>
            </w:r>
          </w:p>
        </w:tc>
        <w:tc>
          <w:tcPr>
            <w:tcW w:w="553" w:type="pct"/>
            <w:tcBorders>
              <w:top w:val="nil"/>
              <w:left w:val="nil"/>
              <w:bottom w:val="single" w:sz="8" w:space="0" w:color="auto"/>
              <w:right w:val="single" w:sz="8" w:space="0" w:color="auto"/>
            </w:tcBorders>
            <w:vAlign w:val="center"/>
            <w:hideMark/>
          </w:tcPr>
          <w:p w14:paraId="550AFBA1" w14:textId="77777777" w:rsidR="00044D5B" w:rsidRPr="00597673" w:rsidRDefault="00044D5B">
            <w:pPr>
              <w:spacing w:before="0" w:after="0"/>
              <w:jc w:val="center"/>
              <w:rPr>
                <w:b/>
                <w:bCs/>
                <w:color w:val="000000"/>
                <w:sz w:val="18"/>
                <w:szCs w:val="18"/>
              </w:rPr>
            </w:pPr>
            <w:r w:rsidRPr="00597673">
              <w:rPr>
                <w:b/>
                <w:color w:val="000000"/>
                <w:sz w:val="18"/>
              </w:rPr>
              <w:t>2027 г.</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21642BF4" w14:textId="77777777" w:rsidR="00044D5B" w:rsidRPr="00597673" w:rsidRDefault="00044D5B">
            <w:pPr>
              <w:spacing w:before="0" w:after="0"/>
              <w:jc w:val="left"/>
              <w:rPr>
                <w:b/>
                <w:bCs/>
                <w:color w:val="000000"/>
                <w:sz w:val="18"/>
                <w:szCs w:val="18"/>
                <w:lang w:eastAsia="en-IE"/>
              </w:rPr>
            </w:pPr>
          </w:p>
        </w:tc>
      </w:tr>
      <w:tr w:rsidR="00A7536C" w:rsidRPr="00597673" w14:paraId="3116A157"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D487E01" w14:textId="77777777" w:rsidR="00044D5B" w:rsidRPr="00597673" w:rsidRDefault="00044D5B">
            <w:pPr>
              <w:spacing w:before="0" w:after="0"/>
              <w:jc w:val="left"/>
              <w:rPr>
                <w:b/>
                <w:bCs/>
                <w:sz w:val="16"/>
                <w:szCs w:val="16"/>
              </w:rPr>
            </w:pPr>
            <w:r w:rsidRPr="00597673">
              <w:rPr>
                <w:b/>
                <w:sz w:val="16"/>
              </w:rPr>
              <w:t>ФУНКЦИЯ 7</w:t>
            </w:r>
          </w:p>
        </w:tc>
      </w:tr>
      <w:tr w:rsidR="00E62D64" w:rsidRPr="00597673" w14:paraId="13D82582"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4C384A31" w14:textId="77777777" w:rsidR="00044D5B" w:rsidRPr="00597673" w:rsidRDefault="00044D5B">
            <w:pPr>
              <w:spacing w:before="0" w:after="0"/>
              <w:jc w:val="left"/>
              <w:rPr>
                <w:color w:val="000000"/>
                <w:sz w:val="16"/>
                <w:szCs w:val="16"/>
              </w:rPr>
            </w:pPr>
            <w:r w:rsidRPr="00597673">
              <w:rPr>
                <w:color w:val="000000"/>
                <w:sz w:val="16"/>
              </w:rPr>
              <w:t xml:space="preserve">Човешки ресурси </w:t>
            </w:r>
          </w:p>
        </w:tc>
        <w:tc>
          <w:tcPr>
            <w:tcW w:w="553" w:type="pct"/>
            <w:tcBorders>
              <w:top w:val="nil"/>
              <w:left w:val="nil"/>
              <w:bottom w:val="single" w:sz="8" w:space="0" w:color="auto"/>
              <w:right w:val="single" w:sz="8" w:space="0" w:color="auto"/>
            </w:tcBorders>
            <w:shd w:val="clear" w:color="000000" w:fill="D9D9D9"/>
            <w:vAlign w:val="center"/>
            <w:hideMark/>
          </w:tcPr>
          <w:p w14:paraId="26830D7F"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CA996DC"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10D219A"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FCF0D2D"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5395754"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E62D64" w:rsidRPr="00597673" w14:paraId="5A42DD56"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6623A698" w14:textId="77777777" w:rsidR="00044D5B" w:rsidRPr="00597673" w:rsidRDefault="00044D5B">
            <w:pPr>
              <w:spacing w:before="0" w:after="0"/>
              <w:jc w:val="left"/>
              <w:rPr>
                <w:color w:val="000000"/>
                <w:sz w:val="16"/>
                <w:szCs w:val="16"/>
              </w:rPr>
            </w:pPr>
            <w:r w:rsidRPr="00597673">
              <w:rPr>
                <w:color w:val="000000"/>
                <w:sz w:val="16"/>
              </w:rPr>
              <w:t xml:space="preserve">Други административни разходи </w:t>
            </w:r>
          </w:p>
        </w:tc>
        <w:tc>
          <w:tcPr>
            <w:tcW w:w="553" w:type="pct"/>
            <w:tcBorders>
              <w:top w:val="nil"/>
              <w:left w:val="nil"/>
              <w:bottom w:val="single" w:sz="8" w:space="0" w:color="auto"/>
              <w:right w:val="single" w:sz="8" w:space="0" w:color="auto"/>
            </w:tcBorders>
            <w:shd w:val="clear" w:color="000000" w:fill="D9D9D9"/>
            <w:vAlign w:val="center"/>
            <w:hideMark/>
          </w:tcPr>
          <w:p w14:paraId="00BB022B"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14EE325"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A6CCCC5"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AF88E19"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C704639"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504273" w:rsidRPr="00597673" w14:paraId="4B35EBD1"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523203E8" w14:textId="77777777" w:rsidR="00044D5B" w:rsidRPr="00597673" w:rsidRDefault="00044D5B">
            <w:pPr>
              <w:spacing w:before="0" w:after="0"/>
              <w:jc w:val="center"/>
              <w:rPr>
                <w:b/>
                <w:bCs/>
                <w:color w:val="000000"/>
                <w:sz w:val="16"/>
                <w:szCs w:val="16"/>
              </w:rPr>
            </w:pPr>
            <w:r w:rsidRPr="00597673">
              <w:rPr>
                <w:b/>
                <w:color w:val="000000"/>
                <w:sz w:val="16"/>
              </w:rPr>
              <w:t>Междинен сбор за ФУНКЦИЯ 7</w:t>
            </w:r>
          </w:p>
        </w:tc>
        <w:tc>
          <w:tcPr>
            <w:tcW w:w="553" w:type="pct"/>
            <w:tcBorders>
              <w:top w:val="nil"/>
              <w:left w:val="nil"/>
              <w:bottom w:val="single" w:sz="8" w:space="0" w:color="auto"/>
              <w:right w:val="single" w:sz="8" w:space="0" w:color="auto"/>
            </w:tcBorders>
            <w:shd w:val="clear" w:color="000000" w:fill="D9D9D9"/>
            <w:vAlign w:val="center"/>
            <w:hideMark/>
          </w:tcPr>
          <w:p w14:paraId="63CCC90D"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249D588"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591AC22"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0855324"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5D36E28"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A7536C" w:rsidRPr="00597673" w14:paraId="3A69477F"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EA4915B" w14:textId="77777777" w:rsidR="00044D5B" w:rsidRPr="00597673" w:rsidRDefault="00044D5B">
            <w:pPr>
              <w:spacing w:before="0" w:after="0"/>
              <w:jc w:val="left"/>
              <w:rPr>
                <w:b/>
                <w:bCs/>
                <w:sz w:val="16"/>
                <w:szCs w:val="16"/>
              </w:rPr>
            </w:pPr>
            <w:r w:rsidRPr="00597673">
              <w:rPr>
                <w:b/>
                <w:sz w:val="16"/>
              </w:rPr>
              <w:t>Извън ФУНКЦИЯ 7</w:t>
            </w:r>
          </w:p>
        </w:tc>
      </w:tr>
      <w:tr w:rsidR="00E62D64" w:rsidRPr="00597673" w14:paraId="361996F2"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73E89B4A" w14:textId="77777777" w:rsidR="00044D5B" w:rsidRPr="00597673" w:rsidRDefault="00044D5B">
            <w:pPr>
              <w:spacing w:before="0" w:after="0"/>
              <w:jc w:val="left"/>
              <w:rPr>
                <w:color w:val="000000"/>
                <w:sz w:val="16"/>
                <w:szCs w:val="16"/>
              </w:rPr>
            </w:pPr>
            <w:r w:rsidRPr="00597673">
              <w:rPr>
                <w:color w:val="000000"/>
                <w:sz w:val="16"/>
              </w:rPr>
              <w:t xml:space="preserve">Човешки ресурси </w:t>
            </w:r>
          </w:p>
        </w:tc>
        <w:tc>
          <w:tcPr>
            <w:tcW w:w="553" w:type="pct"/>
            <w:tcBorders>
              <w:top w:val="nil"/>
              <w:left w:val="nil"/>
              <w:bottom w:val="single" w:sz="8" w:space="0" w:color="auto"/>
              <w:right w:val="single" w:sz="8" w:space="0" w:color="auto"/>
            </w:tcBorders>
            <w:shd w:val="clear" w:color="000000" w:fill="D9D9D9"/>
            <w:vAlign w:val="center"/>
            <w:hideMark/>
          </w:tcPr>
          <w:p w14:paraId="3D9A6303"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6D5511D"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095BC60"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B686580"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F0AA2EF"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E62D64" w:rsidRPr="00597673" w14:paraId="43E95697"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0EC09FE1" w14:textId="77777777" w:rsidR="00044D5B" w:rsidRPr="00597673" w:rsidRDefault="00044D5B">
            <w:pPr>
              <w:spacing w:before="0" w:after="0"/>
              <w:jc w:val="left"/>
              <w:rPr>
                <w:color w:val="000000"/>
                <w:sz w:val="16"/>
                <w:szCs w:val="16"/>
              </w:rPr>
            </w:pPr>
            <w:r w:rsidRPr="00597673">
              <w:rPr>
                <w:color w:val="000000"/>
                <w:sz w:val="16"/>
              </w:rPr>
              <w:t>Други административни разходи</w:t>
            </w:r>
          </w:p>
        </w:tc>
        <w:tc>
          <w:tcPr>
            <w:tcW w:w="553" w:type="pct"/>
            <w:tcBorders>
              <w:top w:val="nil"/>
              <w:left w:val="nil"/>
              <w:bottom w:val="single" w:sz="8" w:space="0" w:color="auto"/>
              <w:right w:val="single" w:sz="8" w:space="0" w:color="auto"/>
            </w:tcBorders>
            <w:shd w:val="clear" w:color="000000" w:fill="D9D9D9"/>
            <w:vAlign w:val="center"/>
            <w:hideMark/>
          </w:tcPr>
          <w:p w14:paraId="0EC225AD"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92C1465"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B174986"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76C6390"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4344288"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504273" w:rsidRPr="00597673" w14:paraId="05D24D74"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69ABAA02" w14:textId="77777777" w:rsidR="00044D5B" w:rsidRPr="00597673" w:rsidRDefault="00044D5B">
            <w:pPr>
              <w:spacing w:before="0" w:after="0"/>
              <w:jc w:val="center"/>
              <w:rPr>
                <w:b/>
                <w:bCs/>
                <w:color w:val="000000"/>
                <w:sz w:val="16"/>
                <w:szCs w:val="16"/>
              </w:rPr>
            </w:pPr>
            <w:r w:rsidRPr="00597673">
              <w:rPr>
                <w:b/>
                <w:color w:val="000000"/>
                <w:sz w:val="16"/>
              </w:rPr>
              <w:t>Междинен сбор извън ФУНКЦИЯ 7</w:t>
            </w:r>
          </w:p>
        </w:tc>
        <w:tc>
          <w:tcPr>
            <w:tcW w:w="553" w:type="pct"/>
            <w:tcBorders>
              <w:top w:val="nil"/>
              <w:left w:val="nil"/>
              <w:bottom w:val="single" w:sz="8" w:space="0" w:color="auto"/>
              <w:right w:val="single" w:sz="8" w:space="0" w:color="auto"/>
            </w:tcBorders>
            <w:shd w:val="clear" w:color="000000" w:fill="D9D9D9"/>
            <w:vAlign w:val="center"/>
            <w:hideMark/>
          </w:tcPr>
          <w:p w14:paraId="79A5EFAE"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DE8E80F"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B1B7F69"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8F3B1A5"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7F2B9E5"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A7536C" w:rsidRPr="00597673" w14:paraId="32A94646"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6FF204A6" w14:textId="77777777" w:rsidR="00044D5B" w:rsidRPr="00597673" w:rsidRDefault="00044D5B">
            <w:pPr>
              <w:spacing w:before="0" w:after="0"/>
              <w:jc w:val="center"/>
              <w:rPr>
                <w:color w:val="000000"/>
                <w:sz w:val="16"/>
                <w:szCs w:val="16"/>
              </w:rPr>
            </w:pPr>
            <w:r w:rsidRPr="00597673">
              <w:rPr>
                <w:color w:val="000000"/>
                <w:sz w:val="16"/>
              </w:rPr>
              <w:t xml:space="preserve"> </w:t>
            </w:r>
          </w:p>
        </w:tc>
      </w:tr>
      <w:tr w:rsidR="00E62D64" w:rsidRPr="00597673" w14:paraId="1B5AA2D6"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22F9A98C" w14:textId="77777777" w:rsidR="00044D5B" w:rsidRPr="00597673" w:rsidRDefault="00044D5B">
            <w:pPr>
              <w:spacing w:before="0" w:after="0"/>
              <w:jc w:val="center"/>
              <w:rPr>
                <w:b/>
                <w:bCs/>
                <w:color w:val="000000"/>
                <w:sz w:val="16"/>
                <w:szCs w:val="16"/>
              </w:rPr>
            </w:pPr>
            <w:r w:rsidRPr="00597673">
              <w:rPr>
                <w:b/>
                <w:color w:val="000000"/>
                <w:sz w:val="16"/>
              </w:rPr>
              <w:t>ОБЩО</w:t>
            </w:r>
          </w:p>
        </w:tc>
        <w:tc>
          <w:tcPr>
            <w:tcW w:w="553" w:type="pct"/>
            <w:tcBorders>
              <w:top w:val="nil"/>
              <w:left w:val="nil"/>
              <w:bottom w:val="single" w:sz="8" w:space="0" w:color="auto"/>
              <w:right w:val="single" w:sz="8" w:space="0" w:color="auto"/>
            </w:tcBorders>
            <w:shd w:val="clear" w:color="000000" w:fill="D9D9D9"/>
            <w:vAlign w:val="center"/>
            <w:hideMark/>
          </w:tcPr>
          <w:p w14:paraId="5EEA2996"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84A5581"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6BF12ED"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B45D880"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18F8E81" w14:textId="77777777" w:rsidR="00044D5B" w:rsidRPr="00597673" w:rsidRDefault="00044D5B">
            <w:pPr>
              <w:spacing w:before="0" w:after="0"/>
              <w:jc w:val="right"/>
              <w:rPr>
                <w:b/>
                <w:bCs/>
                <w:color w:val="000000"/>
                <w:sz w:val="16"/>
                <w:szCs w:val="16"/>
              </w:rPr>
            </w:pPr>
            <w:r w:rsidRPr="00597673">
              <w:rPr>
                <w:b/>
                <w:color w:val="000000"/>
                <w:sz w:val="16"/>
              </w:rPr>
              <w:t>0,000</w:t>
            </w:r>
          </w:p>
        </w:tc>
      </w:tr>
    </w:tbl>
    <w:p w14:paraId="7F25B984" w14:textId="77777777" w:rsidR="00044D5B" w:rsidRPr="00597673" w:rsidRDefault="00044D5B" w:rsidP="00044D5B">
      <w:pPr>
        <w:pStyle w:val="ManualHeading3"/>
      </w:pPr>
      <w:r w:rsidRPr="00597673">
        <w:t>3.2.3.2.</w:t>
      </w:r>
      <w:r w:rsidRPr="00597673">
        <w:tab/>
        <w:t>Бюджетни кредити от външни целеви приходи</w:t>
      </w:r>
    </w:p>
    <w:tbl>
      <w:tblPr>
        <w:tblW w:w="5000" w:type="pct"/>
        <w:tblInd w:w="-118" w:type="dxa"/>
        <w:tblCellMar>
          <w:left w:w="0" w:type="dxa"/>
          <w:right w:w="0" w:type="dxa"/>
        </w:tblCellMar>
        <w:tblLook w:val="04A0" w:firstRow="1" w:lastRow="0" w:firstColumn="1" w:lastColumn="0" w:noHBand="0" w:noVBand="1"/>
      </w:tblPr>
      <w:tblGrid>
        <w:gridCol w:w="3938"/>
        <w:gridCol w:w="1006"/>
        <w:gridCol w:w="1006"/>
        <w:gridCol w:w="1006"/>
        <w:gridCol w:w="1006"/>
        <w:gridCol w:w="1131"/>
      </w:tblGrid>
      <w:tr w:rsidR="00E6355E" w:rsidRPr="00597673" w14:paraId="2B0CDFFE" w14:textId="77777777">
        <w:trPr>
          <w:trHeight w:val="300"/>
        </w:trPr>
        <w:tc>
          <w:tcPr>
            <w:tcW w:w="2166" w:type="pct"/>
            <w:vMerge w:val="restart"/>
            <w:tcBorders>
              <w:top w:val="single" w:sz="8" w:space="0" w:color="auto"/>
              <w:left w:val="single" w:sz="8" w:space="0" w:color="auto"/>
              <w:bottom w:val="single" w:sz="8" w:space="0" w:color="000000"/>
              <w:right w:val="single" w:sz="8" w:space="0" w:color="auto"/>
            </w:tcBorders>
            <w:vAlign w:val="center"/>
            <w:hideMark/>
          </w:tcPr>
          <w:p w14:paraId="654AEB9F" w14:textId="77777777" w:rsidR="00044D5B" w:rsidRPr="00597673" w:rsidRDefault="00044D5B">
            <w:pPr>
              <w:spacing w:before="0" w:after="0"/>
              <w:jc w:val="center"/>
              <w:rPr>
                <w:b/>
                <w:bCs/>
                <w:color w:val="000000"/>
                <w:sz w:val="18"/>
                <w:szCs w:val="18"/>
              </w:rPr>
            </w:pPr>
            <w:r w:rsidRPr="00597673">
              <w:rPr>
                <w:b/>
                <w:color w:val="000000"/>
                <w:sz w:val="18"/>
              </w:rPr>
              <w:t>ВЪНШНИ ЦЕЛЕВИ ПРИХОДИ</w:t>
            </w:r>
          </w:p>
        </w:tc>
        <w:tc>
          <w:tcPr>
            <w:tcW w:w="553" w:type="pct"/>
            <w:tcBorders>
              <w:top w:val="single" w:sz="8" w:space="0" w:color="auto"/>
              <w:left w:val="nil"/>
              <w:bottom w:val="nil"/>
              <w:right w:val="single" w:sz="8" w:space="0" w:color="auto"/>
            </w:tcBorders>
            <w:vAlign w:val="center"/>
            <w:hideMark/>
          </w:tcPr>
          <w:p w14:paraId="063E178B" w14:textId="77777777" w:rsidR="00044D5B" w:rsidRPr="00597673" w:rsidRDefault="00044D5B">
            <w:pPr>
              <w:spacing w:before="0" w:after="0"/>
              <w:jc w:val="center"/>
              <w:rPr>
                <w:color w:val="000000"/>
                <w:sz w:val="18"/>
                <w:szCs w:val="18"/>
              </w:rPr>
            </w:pPr>
            <w:r w:rsidRPr="00597673">
              <w:rPr>
                <w:color w:val="000000"/>
                <w:sz w:val="18"/>
              </w:rPr>
              <w:t>Година</w:t>
            </w:r>
          </w:p>
        </w:tc>
        <w:tc>
          <w:tcPr>
            <w:tcW w:w="553" w:type="pct"/>
            <w:tcBorders>
              <w:top w:val="single" w:sz="8" w:space="0" w:color="auto"/>
              <w:left w:val="nil"/>
              <w:bottom w:val="nil"/>
              <w:right w:val="single" w:sz="8" w:space="0" w:color="auto"/>
            </w:tcBorders>
            <w:vAlign w:val="center"/>
            <w:hideMark/>
          </w:tcPr>
          <w:p w14:paraId="1719EEBD" w14:textId="77777777" w:rsidR="00044D5B" w:rsidRPr="00597673" w:rsidRDefault="00044D5B">
            <w:pPr>
              <w:spacing w:before="0" w:after="0"/>
              <w:jc w:val="center"/>
              <w:rPr>
                <w:color w:val="000000"/>
                <w:sz w:val="18"/>
                <w:szCs w:val="18"/>
              </w:rPr>
            </w:pPr>
            <w:r w:rsidRPr="00597673">
              <w:rPr>
                <w:color w:val="000000"/>
                <w:sz w:val="18"/>
              </w:rPr>
              <w:t>Година</w:t>
            </w:r>
          </w:p>
        </w:tc>
        <w:tc>
          <w:tcPr>
            <w:tcW w:w="553" w:type="pct"/>
            <w:tcBorders>
              <w:top w:val="single" w:sz="8" w:space="0" w:color="auto"/>
              <w:left w:val="nil"/>
              <w:bottom w:val="nil"/>
              <w:right w:val="single" w:sz="8" w:space="0" w:color="auto"/>
            </w:tcBorders>
            <w:vAlign w:val="center"/>
            <w:hideMark/>
          </w:tcPr>
          <w:p w14:paraId="58E887D3" w14:textId="77777777" w:rsidR="00044D5B" w:rsidRPr="00597673" w:rsidRDefault="00044D5B">
            <w:pPr>
              <w:spacing w:before="0" w:after="0"/>
              <w:jc w:val="center"/>
              <w:rPr>
                <w:color w:val="000000"/>
                <w:sz w:val="18"/>
                <w:szCs w:val="18"/>
              </w:rPr>
            </w:pPr>
            <w:r w:rsidRPr="00597673">
              <w:rPr>
                <w:color w:val="000000"/>
                <w:sz w:val="18"/>
              </w:rPr>
              <w:t>Година</w:t>
            </w:r>
          </w:p>
        </w:tc>
        <w:tc>
          <w:tcPr>
            <w:tcW w:w="553" w:type="pct"/>
            <w:tcBorders>
              <w:top w:val="single" w:sz="8" w:space="0" w:color="auto"/>
              <w:left w:val="nil"/>
              <w:bottom w:val="nil"/>
              <w:right w:val="single" w:sz="8" w:space="0" w:color="auto"/>
            </w:tcBorders>
            <w:vAlign w:val="center"/>
            <w:hideMark/>
          </w:tcPr>
          <w:p w14:paraId="6BAF8836" w14:textId="77777777" w:rsidR="00044D5B" w:rsidRPr="00597673" w:rsidRDefault="00044D5B">
            <w:pPr>
              <w:spacing w:before="0" w:after="0"/>
              <w:jc w:val="center"/>
              <w:rPr>
                <w:color w:val="000000"/>
                <w:sz w:val="18"/>
                <w:szCs w:val="18"/>
              </w:rPr>
            </w:pPr>
            <w:r w:rsidRPr="00597673">
              <w:rPr>
                <w:color w:val="000000"/>
                <w:sz w:val="18"/>
              </w:rPr>
              <w:t>Година</w:t>
            </w:r>
          </w:p>
        </w:tc>
        <w:tc>
          <w:tcPr>
            <w:tcW w:w="622" w:type="pct"/>
            <w:vMerge w:val="restart"/>
            <w:tcBorders>
              <w:top w:val="single" w:sz="8" w:space="0" w:color="auto"/>
              <w:left w:val="single" w:sz="8" w:space="0" w:color="auto"/>
              <w:bottom w:val="single" w:sz="8" w:space="0" w:color="000000"/>
              <w:right w:val="single" w:sz="8" w:space="0" w:color="auto"/>
            </w:tcBorders>
            <w:vAlign w:val="center"/>
            <w:hideMark/>
          </w:tcPr>
          <w:p w14:paraId="4809624C" w14:textId="77777777" w:rsidR="00044D5B" w:rsidRPr="00597673" w:rsidRDefault="00044D5B">
            <w:pPr>
              <w:spacing w:before="0" w:after="0"/>
              <w:jc w:val="center"/>
              <w:rPr>
                <w:b/>
                <w:bCs/>
                <w:color w:val="000000"/>
                <w:sz w:val="18"/>
                <w:szCs w:val="18"/>
              </w:rPr>
            </w:pPr>
            <w:r w:rsidRPr="00597673">
              <w:rPr>
                <w:b/>
                <w:color w:val="000000"/>
                <w:sz w:val="18"/>
              </w:rPr>
              <w:t>ОБЩО 2021—2027 г.</w:t>
            </w:r>
          </w:p>
        </w:tc>
      </w:tr>
      <w:tr w:rsidR="00470A36" w:rsidRPr="00597673" w14:paraId="69F55812" w14:textId="77777777">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14:paraId="27F9D9B5" w14:textId="77777777" w:rsidR="00044D5B" w:rsidRPr="00597673" w:rsidRDefault="00044D5B">
            <w:pPr>
              <w:spacing w:before="0" w:after="0"/>
              <w:jc w:val="left"/>
              <w:rPr>
                <w:b/>
                <w:bCs/>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3721C4B4" w14:textId="77777777" w:rsidR="00044D5B" w:rsidRPr="00597673" w:rsidRDefault="00044D5B">
            <w:pPr>
              <w:spacing w:before="0" w:after="0"/>
              <w:jc w:val="center"/>
              <w:rPr>
                <w:b/>
                <w:bCs/>
                <w:color w:val="000000"/>
                <w:sz w:val="18"/>
                <w:szCs w:val="18"/>
              </w:rPr>
            </w:pPr>
            <w:r w:rsidRPr="00597673">
              <w:rPr>
                <w:b/>
                <w:color w:val="000000"/>
                <w:sz w:val="18"/>
              </w:rPr>
              <w:t>2024 г.</w:t>
            </w:r>
          </w:p>
        </w:tc>
        <w:tc>
          <w:tcPr>
            <w:tcW w:w="553" w:type="pct"/>
            <w:tcBorders>
              <w:top w:val="nil"/>
              <w:left w:val="nil"/>
              <w:bottom w:val="single" w:sz="8" w:space="0" w:color="auto"/>
              <w:right w:val="single" w:sz="8" w:space="0" w:color="auto"/>
            </w:tcBorders>
            <w:vAlign w:val="center"/>
            <w:hideMark/>
          </w:tcPr>
          <w:p w14:paraId="2583FFF7" w14:textId="77777777" w:rsidR="00044D5B" w:rsidRPr="00597673" w:rsidRDefault="00044D5B">
            <w:pPr>
              <w:spacing w:before="0" w:after="0"/>
              <w:jc w:val="center"/>
              <w:rPr>
                <w:b/>
                <w:bCs/>
                <w:color w:val="000000"/>
                <w:sz w:val="18"/>
                <w:szCs w:val="18"/>
              </w:rPr>
            </w:pPr>
            <w:r w:rsidRPr="00597673">
              <w:rPr>
                <w:b/>
                <w:color w:val="000000"/>
                <w:sz w:val="18"/>
              </w:rPr>
              <w:t>2025 г.</w:t>
            </w:r>
          </w:p>
        </w:tc>
        <w:tc>
          <w:tcPr>
            <w:tcW w:w="553" w:type="pct"/>
            <w:tcBorders>
              <w:top w:val="nil"/>
              <w:left w:val="nil"/>
              <w:bottom w:val="single" w:sz="8" w:space="0" w:color="auto"/>
              <w:right w:val="single" w:sz="8" w:space="0" w:color="auto"/>
            </w:tcBorders>
            <w:vAlign w:val="center"/>
            <w:hideMark/>
          </w:tcPr>
          <w:p w14:paraId="53FF60A6" w14:textId="77777777" w:rsidR="00044D5B" w:rsidRPr="00597673" w:rsidRDefault="00044D5B">
            <w:pPr>
              <w:spacing w:before="0" w:after="0"/>
              <w:jc w:val="center"/>
              <w:rPr>
                <w:b/>
                <w:bCs/>
                <w:color w:val="000000"/>
                <w:sz w:val="18"/>
                <w:szCs w:val="18"/>
              </w:rPr>
            </w:pPr>
            <w:r w:rsidRPr="00597673">
              <w:rPr>
                <w:b/>
                <w:color w:val="000000"/>
                <w:sz w:val="18"/>
              </w:rPr>
              <w:t>2026 г.</w:t>
            </w:r>
          </w:p>
        </w:tc>
        <w:tc>
          <w:tcPr>
            <w:tcW w:w="553" w:type="pct"/>
            <w:tcBorders>
              <w:top w:val="nil"/>
              <w:left w:val="nil"/>
              <w:bottom w:val="single" w:sz="8" w:space="0" w:color="auto"/>
              <w:right w:val="single" w:sz="8" w:space="0" w:color="auto"/>
            </w:tcBorders>
            <w:vAlign w:val="center"/>
            <w:hideMark/>
          </w:tcPr>
          <w:p w14:paraId="072BA9CF" w14:textId="77777777" w:rsidR="00044D5B" w:rsidRPr="00597673" w:rsidRDefault="00044D5B">
            <w:pPr>
              <w:spacing w:before="0" w:after="0"/>
              <w:jc w:val="center"/>
              <w:rPr>
                <w:b/>
                <w:bCs/>
                <w:color w:val="000000"/>
                <w:sz w:val="18"/>
                <w:szCs w:val="18"/>
              </w:rPr>
            </w:pPr>
            <w:r w:rsidRPr="00597673">
              <w:rPr>
                <w:b/>
                <w:color w:val="000000"/>
                <w:sz w:val="18"/>
              </w:rPr>
              <w:t>2027 г.</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311E1416" w14:textId="77777777" w:rsidR="00044D5B" w:rsidRPr="00597673" w:rsidRDefault="00044D5B">
            <w:pPr>
              <w:spacing w:before="0" w:after="0"/>
              <w:jc w:val="left"/>
              <w:rPr>
                <w:b/>
                <w:bCs/>
                <w:color w:val="000000"/>
                <w:sz w:val="18"/>
                <w:szCs w:val="18"/>
                <w:lang w:eastAsia="en-IE"/>
              </w:rPr>
            </w:pPr>
          </w:p>
        </w:tc>
      </w:tr>
      <w:tr w:rsidR="00A7536C" w:rsidRPr="00597673" w14:paraId="3E61DE06"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440A0B4" w14:textId="77777777" w:rsidR="00044D5B" w:rsidRPr="00597673" w:rsidRDefault="00044D5B">
            <w:pPr>
              <w:spacing w:before="0" w:after="0"/>
              <w:jc w:val="left"/>
              <w:rPr>
                <w:b/>
                <w:bCs/>
                <w:sz w:val="16"/>
                <w:szCs w:val="16"/>
              </w:rPr>
            </w:pPr>
            <w:r w:rsidRPr="00597673">
              <w:rPr>
                <w:b/>
                <w:sz w:val="16"/>
              </w:rPr>
              <w:t>ФУНКЦИЯ 7</w:t>
            </w:r>
          </w:p>
        </w:tc>
      </w:tr>
      <w:tr w:rsidR="00E62D64" w:rsidRPr="00597673" w14:paraId="48342D02"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4B8F74B4" w14:textId="77777777" w:rsidR="00044D5B" w:rsidRPr="00597673" w:rsidRDefault="00044D5B">
            <w:pPr>
              <w:spacing w:before="0" w:after="0"/>
              <w:jc w:val="left"/>
              <w:rPr>
                <w:color w:val="000000"/>
                <w:sz w:val="16"/>
                <w:szCs w:val="16"/>
              </w:rPr>
            </w:pPr>
            <w:r w:rsidRPr="00597673">
              <w:rPr>
                <w:color w:val="000000"/>
                <w:sz w:val="16"/>
              </w:rPr>
              <w:t xml:space="preserve">Човешки ресурси </w:t>
            </w:r>
          </w:p>
        </w:tc>
        <w:tc>
          <w:tcPr>
            <w:tcW w:w="553" w:type="pct"/>
            <w:tcBorders>
              <w:top w:val="nil"/>
              <w:left w:val="nil"/>
              <w:bottom w:val="single" w:sz="8" w:space="0" w:color="auto"/>
              <w:right w:val="single" w:sz="8" w:space="0" w:color="auto"/>
            </w:tcBorders>
            <w:shd w:val="clear" w:color="000000" w:fill="D9D9D9"/>
            <w:vAlign w:val="center"/>
            <w:hideMark/>
          </w:tcPr>
          <w:p w14:paraId="597D0624"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C616A5F"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03A8971"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0B7801A"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ABA4D4C"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E62D64" w:rsidRPr="00597673" w14:paraId="15CF0588"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14AF7BBF" w14:textId="77777777" w:rsidR="00044D5B" w:rsidRPr="00597673" w:rsidRDefault="00044D5B">
            <w:pPr>
              <w:spacing w:before="0" w:after="0"/>
              <w:jc w:val="left"/>
              <w:rPr>
                <w:color w:val="000000"/>
                <w:sz w:val="16"/>
                <w:szCs w:val="16"/>
              </w:rPr>
            </w:pPr>
            <w:r w:rsidRPr="00597673">
              <w:rPr>
                <w:color w:val="000000"/>
                <w:sz w:val="16"/>
              </w:rPr>
              <w:t xml:space="preserve">Други административни разходи </w:t>
            </w:r>
          </w:p>
        </w:tc>
        <w:tc>
          <w:tcPr>
            <w:tcW w:w="553" w:type="pct"/>
            <w:tcBorders>
              <w:top w:val="nil"/>
              <w:left w:val="nil"/>
              <w:bottom w:val="single" w:sz="8" w:space="0" w:color="auto"/>
              <w:right w:val="single" w:sz="8" w:space="0" w:color="auto"/>
            </w:tcBorders>
            <w:shd w:val="clear" w:color="000000" w:fill="D9D9D9"/>
            <w:vAlign w:val="center"/>
            <w:hideMark/>
          </w:tcPr>
          <w:p w14:paraId="2B2B15F2"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EF5AA4D"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1930718"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083E343"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EB23603"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504273" w:rsidRPr="00597673" w14:paraId="204F30F1" w14:textId="77777777">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4213F05F" w14:textId="77777777" w:rsidR="00044D5B" w:rsidRPr="00597673" w:rsidRDefault="00044D5B">
            <w:pPr>
              <w:spacing w:before="0" w:after="0"/>
              <w:jc w:val="center"/>
              <w:rPr>
                <w:b/>
                <w:bCs/>
                <w:color w:val="000000"/>
                <w:sz w:val="16"/>
                <w:szCs w:val="16"/>
              </w:rPr>
            </w:pPr>
            <w:r w:rsidRPr="00597673">
              <w:rPr>
                <w:b/>
                <w:color w:val="000000"/>
                <w:sz w:val="16"/>
              </w:rPr>
              <w:t>Междинен сбор за ФУНКЦИЯ 7</w:t>
            </w:r>
          </w:p>
        </w:tc>
        <w:tc>
          <w:tcPr>
            <w:tcW w:w="553" w:type="pct"/>
            <w:tcBorders>
              <w:top w:val="nil"/>
              <w:left w:val="nil"/>
              <w:bottom w:val="single" w:sz="8" w:space="0" w:color="auto"/>
              <w:right w:val="single" w:sz="8" w:space="0" w:color="auto"/>
            </w:tcBorders>
            <w:shd w:val="clear" w:color="000000" w:fill="D9D9D9"/>
            <w:vAlign w:val="center"/>
            <w:hideMark/>
          </w:tcPr>
          <w:p w14:paraId="11F94EAC"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44BCE04"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B2B2568"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146B1DE"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0225622"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A7536C" w:rsidRPr="00597673" w14:paraId="62E4B340"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915582F" w14:textId="77777777" w:rsidR="00044D5B" w:rsidRPr="00597673" w:rsidRDefault="00044D5B">
            <w:pPr>
              <w:spacing w:before="0" w:after="0"/>
              <w:jc w:val="left"/>
              <w:rPr>
                <w:b/>
                <w:bCs/>
                <w:sz w:val="16"/>
                <w:szCs w:val="16"/>
              </w:rPr>
            </w:pPr>
            <w:r w:rsidRPr="00597673">
              <w:rPr>
                <w:b/>
                <w:sz w:val="16"/>
              </w:rPr>
              <w:t>Извън ФУНКЦИЯ 7</w:t>
            </w:r>
          </w:p>
        </w:tc>
      </w:tr>
      <w:tr w:rsidR="00E62D64" w:rsidRPr="00597673" w14:paraId="0677C8BB"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7ABD9695" w14:textId="77777777" w:rsidR="00044D5B" w:rsidRPr="00597673" w:rsidRDefault="00044D5B">
            <w:pPr>
              <w:spacing w:before="0" w:after="0"/>
              <w:jc w:val="left"/>
              <w:rPr>
                <w:color w:val="000000"/>
                <w:sz w:val="16"/>
                <w:szCs w:val="16"/>
              </w:rPr>
            </w:pPr>
            <w:r w:rsidRPr="00597673">
              <w:rPr>
                <w:color w:val="000000"/>
                <w:sz w:val="16"/>
              </w:rPr>
              <w:t xml:space="preserve">Човешки ресурси </w:t>
            </w:r>
          </w:p>
        </w:tc>
        <w:tc>
          <w:tcPr>
            <w:tcW w:w="553" w:type="pct"/>
            <w:tcBorders>
              <w:top w:val="nil"/>
              <w:left w:val="nil"/>
              <w:bottom w:val="single" w:sz="8" w:space="0" w:color="auto"/>
              <w:right w:val="single" w:sz="8" w:space="0" w:color="auto"/>
            </w:tcBorders>
            <w:shd w:val="clear" w:color="000000" w:fill="D9D9D9"/>
            <w:vAlign w:val="center"/>
            <w:hideMark/>
          </w:tcPr>
          <w:p w14:paraId="5646C764"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45C2B81"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EFDEE73"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EB16B8C"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777B56C"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E62D64" w:rsidRPr="00597673" w14:paraId="2685755A"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3C5C4EE7" w14:textId="77777777" w:rsidR="00044D5B" w:rsidRPr="00597673" w:rsidRDefault="00044D5B">
            <w:pPr>
              <w:spacing w:before="0" w:after="0"/>
              <w:jc w:val="left"/>
              <w:rPr>
                <w:color w:val="000000"/>
                <w:sz w:val="16"/>
                <w:szCs w:val="16"/>
              </w:rPr>
            </w:pPr>
            <w:r w:rsidRPr="00597673">
              <w:rPr>
                <w:color w:val="000000"/>
                <w:sz w:val="16"/>
              </w:rPr>
              <w:t>Други административни разходи</w:t>
            </w:r>
          </w:p>
        </w:tc>
        <w:tc>
          <w:tcPr>
            <w:tcW w:w="553" w:type="pct"/>
            <w:tcBorders>
              <w:top w:val="nil"/>
              <w:left w:val="nil"/>
              <w:bottom w:val="single" w:sz="8" w:space="0" w:color="auto"/>
              <w:right w:val="single" w:sz="8" w:space="0" w:color="auto"/>
            </w:tcBorders>
            <w:shd w:val="clear" w:color="000000" w:fill="D9D9D9"/>
            <w:vAlign w:val="center"/>
            <w:hideMark/>
          </w:tcPr>
          <w:p w14:paraId="3C4BCAC3"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2AE6252"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6FEC892" w14:textId="77777777" w:rsidR="00044D5B" w:rsidRPr="00597673" w:rsidRDefault="00044D5B">
            <w:pPr>
              <w:spacing w:before="0" w:after="0"/>
              <w:jc w:val="right"/>
              <w:rPr>
                <w:color w:val="000000"/>
                <w:sz w:val="16"/>
                <w:szCs w:val="16"/>
              </w:rPr>
            </w:pPr>
            <w:r w:rsidRPr="00597673">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7614847" w14:textId="77777777" w:rsidR="00044D5B" w:rsidRPr="00597673" w:rsidRDefault="00044D5B">
            <w:pPr>
              <w:spacing w:before="0" w:after="0"/>
              <w:jc w:val="right"/>
              <w:rPr>
                <w:color w:val="000000"/>
                <w:sz w:val="16"/>
                <w:szCs w:val="16"/>
              </w:rPr>
            </w:pPr>
            <w:r w:rsidRPr="00597673">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A1EB153"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504273" w:rsidRPr="00597673" w14:paraId="42FFA7C5" w14:textId="77777777">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68F3BA03" w14:textId="77777777" w:rsidR="00044D5B" w:rsidRPr="00597673" w:rsidRDefault="00044D5B">
            <w:pPr>
              <w:spacing w:before="0" w:after="0"/>
              <w:jc w:val="center"/>
              <w:rPr>
                <w:b/>
                <w:bCs/>
                <w:color w:val="000000"/>
                <w:sz w:val="16"/>
                <w:szCs w:val="16"/>
              </w:rPr>
            </w:pPr>
            <w:r w:rsidRPr="00597673">
              <w:rPr>
                <w:b/>
                <w:color w:val="000000"/>
                <w:sz w:val="16"/>
              </w:rPr>
              <w:t>Междинен сбор извън ФУНКЦИЯ 7</w:t>
            </w:r>
          </w:p>
        </w:tc>
        <w:tc>
          <w:tcPr>
            <w:tcW w:w="553" w:type="pct"/>
            <w:tcBorders>
              <w:top w:val="nil"/>
              <w:left w:val="nil"/>
              <w:bottom w:val="single" w:sz="8" w:space="0" w:color="auto"/>
              <w:right w:val="single" w:sz="8" w:space="0" w:color="auto"/>
            </w:tcBorders>
            <w:shd w:val="clear" w:color="000000" w:fill="D9D9D9"/>
            <w:vAlign w:val="center"/>
            <w:hideMark/>
          </w:tcPr>
          <w:p w14:paraId="6933E765"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740F386"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1CB0962"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533ED29"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41E21B2"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A7536C" w:rsidRPr="00597673" w14:paraId="33EB1D1D"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64D3FF04" w14:textId="77777777" w:rsidR="00044D5B" w:rsidRPr="00597673" w:rsidRDefault="00044D5B">
            <w:pPr>
              <w:spacing w:before="0" w:after="0"/>
              <w:jc w:val="center"/>
              <w:rPr>
                <w:color w:val="000000"/>
                <w:sz w:val="16"/>
                <w:szCs w:val="16"/>
              </w:rPr>
            </w:pPr>
            <w:r w:rsidRPr="00597673">
              <w:rPr>
                <w:color w:val="000000"/>
                <w:sz w:val="16"/>
              </w:rPr>
              <w:t xml:space="preserve"> </w:t>
            </w:r>
          </w:p>
        </w:tc>
      </w:tr>
      <w:tr w:rsidR="00E62D64" w:rsidRPr="00597673" w14:paraId="027EAE83" w14:textId="77777777">
        <w:trPr>
          <w:trHeight w:val="312"/>
        </w:trPr>
        <w:tc>
          <w:tcPr>
            <w:tcW w:w="2166" w:type="pct"/>
            <w:tcBorders>
              <w:top w:val="single" w:sz="12" w:space="0" w:color="auto"/>
              <w:left w:val="single" w:sz="12" w:space="0" w:color="auto"/>
              <w:bottom w:val="single" w:sz="12" w:space="0" w:color="auto"/>
              <w:right w:val="single" w:sz="8" w:space="0" w:color="auto"/>
            </w:tcBorders>
            <w:vAlign w:val="center"/>
            <w:hideMark/>
          </w:tcPr>
          <w:p w14:paraId="5DC8A126" w14:textId="77777777" w:rsidR="00044D5B" w:rsidRPr="00597673" w:rsidRDefault="00044D5B">
            <w:pPr>
              <w:spacing w:before="0" w:after="0"/>
              <w:jc w:val="center"/>
              <w:rPr>
                <w:b/>
                <w:bCs/>
                <w:color w:val="000000"/>
                <w:sz w:val="16"/>
                <w:szCs w:val="16"/>
              </w:rPr>
            </w:pPr>
            <w:r w:rsidRPr="00597673">
              <w:rPr>
                <w:b/>
                <w:color w:val="000000"/>
                <w:sz w:val="16"/>
              </w:rPr>
              <w:t>ОБЩО</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74DB10CF"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1320C585"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6B463D94"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00B554CD"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14:paraId="4782DDAA" w14:textId="77777777" w:rsidR="00044D5B" w:rsidRPr="00597673" w:rsidRDefault="00044D5B">
            <w:pPr>
              <w:spacing w:before="0" w:after="0"/>
              <w:jc w:val="right"/>
              <w:rPr>
                <w:b/>
                <w:bCs/>
                <w:color w:val="000000"/>
                <w:sz w:val="16"/>
                <w:szCs w:val="16"/>
              </w:rPr>
            </w:pPr>
            <w:r w:rsidRPr="00597673">
              <w:rPr>
                <w:b/>
                <w:color w:val="000000"/>
                <w:sz w:val="16"/>
              </w:rPr>
              <w:t>0,000</w:t>
            </w:r>
          </w:p>
        </w:tc>
      </w:tr>
    </w:tbl>
    <w:p w14:paraId="50F977CF" w14:textId="77777777" w:rsidR="00044D5B" w:rsidRPr="00597673" w:rsidRDefault="00044D5B" w:rsidP="00044D5B">
      <w:pPr>
        <w:pStyle w:val="ManualHeading3"/>
      </w:pPr>
      <w:r w:rsidRPr="00597673">
        <w:t>3.2.3.3.</w:t>
      </w:r>
      <w:r w:rsidRPr="00597673">
        <w:tab/>
        <w:t>Общо бюджетни кредити</w:t>
      </w:r>
    </w:p>
    <w:tbl>
      <w:tblPr>
        <w:tblW w:w="8680" w:type="dxa"/>
        <w:tblInd w:w="-118" w:type="dxa"/>
        <w:tblCellMar>
          <w:left w:w="0" w:type="dxa"/>
          <w:right w:w="0" w:type="dxa"/>
        </w:tblCellMar>
        <w:tblLook w:val="04A0" w:firstRow="1" w:lastRow="0" w:firstColumn="1" w:lastColumn="0" w:noHBand="0" w:noVBand="1"/>
      </w:tblPr>
      <w:tblGrid>
        <w:gridCol w:w="3760"/>
        <w:gridCol w:w="960"/>
        <w:gridCol w:w="960"/>
        <w:gridCol w:w="960"/>
        <w:gridCol w:w="960"/>
        <w:gridCol w:w="1080"/>
      </w:tblGrid>
      <w:tr w:rsidR="00E6355E" w:rsidRPr="00597673" w14:paraId="27FEE1BC" w14:textId="77777777">
        <w:trPr>
          <w:trHeight w:val="519"/>
        </w:trPr>
        <w:tc>
          <w:tcPr>
            <w:tcW w:w="3760" w:type="dxa"/>
            <w:vMerge w:val="restart"/>
            <w:tcBorders>
              <w:top w:val="single" w:sz="8" w:space="0" w:color="auto"/>
              <w:left w:val="single" w:sz="8" w:space="0" w:color="auto"/>
              <w:bottom w:val="single" w:sz="8" w:space="0" w:color="000000"/>
              <w:right w:val="single" w:sz="8" w:space="0" w:color="auto"/>
            </w:tcBorders>
            <w:vAlign w:val="center"/>
            <w:hideMark/>
          </w:tcPr>
          <w:p w14:paraId="0D761E17" w14:textId="77777777" w:rsidR="00044D5B" w:rsidRPr="00597673" w:rsidRDefault="00044D5B">
            <w:pPr>
              <w:spacing w:before="0" w:after="0"/>
              <w:jc w:val="center"/>
              <w:rPr>
                <w:b/>
                <w:bCs/>
                <w:color w:val="000000"/>
                <w:sz w:val="18"/>
                <w:szCs w:val="18"/>
              </w:rPr>
            </w:pPr>
            <w:r w:rsidRPr="00597673">
              <w:rPr>
                <w:b/>
                <w:color w:val="000000"/>
                <w:sz w:val="18"/>
              </w:rPr>
              <w:t>ОБЩО</w:t>
            </w:r>
            <w:r w:rsidRPr="00597673">
              <w:t xml:space="preserve"> </w:t>
            </w:r>
            <w:r w:rsidRPr="00597673">
              <w:br/>
            </w:r>
            <w:r w:rsidRPr="00597673">
              <w:rPr>
                <w:b/>
                <w:color w:val="000000"/>
                <w:sz w:val="18"/>
              </w:rPr>
              <w:t>ГЛАСУВАНИ БЮДЖЕТНИ КРЕДИТИ + ВЪНШНИ ЦЕЛЕВИ ПРИХОДИ</w:t>
            </w:r>
          </w:p>
        </w:tc>
        <w:tc>
          <w:tcPr>
            <w:tcW w:w="960" w:type="dxa"/>
            <w:tcBorders>
              <w:top w:val="single" w:sz="8" w:space="0" w:color="auto"/>
              <w:left w:val="nil"/>
              <w:bottom w:val="nil"/>
              <w:right w:val="single" w:sz="8" w:space="0" w:color="auto"/>
            </w:tcBorders>
            <w:vAlign w:val="center"/>
            <w:hideMark/>
          </w:tcPr>
          <w:p w14:paraId="076D1354" w14:textId="77777777" w:rsidR="00044D5B" w:rsidRPr="00597673" w:rsidRDefault="00044D5B">
            <w:pPr>
              <w:spacing w:before="0" w:after="0"/>
              <w:jc w:val="center"/>
              <w:rPr>
                <w:color w:val="000000"/>
                <w:sz w:val="18"/>
                <w:szCs w:val="18"/>
              </w:rPr>
            </w:pPr>
            <w:r w:rsidRPr="00597673">
              <w:rPr>
                <w:color w:val="000000"/>
                <w:sz w:val="18"/>
              </w:rPr>
              <w:t>Година</w:t>
            </w:r>
          </w:p>
        </w:tc>
        <w:tc>
          <w:tcPr>
            <w:tcW w:w="960" w:type="dxa"/>
            <w:tcBorders>
              <w:top w:val="single" w:sz="8" w:space="0" w:color="auto"/>
              <w:left w:val="nil"/>
              <w:bottom w:val="nil"/>
              <w:right w:val="single" w:sz="8" w:space="0" w:color="auto"/>
            </w:tcBorders>
            <w:vAlign w:val="center"/>
            <w:hideMark/>
          </w:tcPr>
          <w:p w14:paraId="7E8B2F1D" w14:textId="77777777" w:rsidR="00044D5B" w:rsidRPr="00597673" w:rsidRDefault="00044D5B">
            <w:pPr>
              <w:spacing w:before="0" w:after="0"/>
              <w:jc w:val="center"/>
              <w:rPr>
                <w:color w:val="000000"/>
                <w:sz w:val="18"/>
                <w:szCs w:val="18"/>
              </w:rPr>
            </w:pPr>
            <w:r w:rsidRPr="00597673">
              <w:rPr>
                <w:color w:val="000000"/>
                <w:sz w:val="18"/>
              </w:rPr>
              <w:t>Година</w:t>
            </w:r>
          </w:p>
        </w:tc>
        <w:tc>
          <w:tcPr>
            <w:tcW w:w="960" w:type="dxa"/>
            <w:tcBorders>
              <w:top w:val="single" w:sz="8" w:space="0" w:color="auto"/>
              <w:left w:val="nil"/>
              <w:bottom w:val="nil"/>
              <w:right w:val="single" w:sz="8" w:space="0" w:color="auto"/>
            </w:tcBorders>
            <w:vAlign w:val="center"/>
            <w:hideMark/>
          </w:tcPr>
          <w:p w14:paraId="3C9B752E" w14:textId="77777777" w:rsidR="00044D5B" w:rsidRPr="00597673" w:rsidRDefault="00044D5B">
            <w:pPr>
              <w:spacing w:before="0" w:after="0"/>
              <w:jc w:val="center"/>
              <w:rPr>
                <w:color w:val="000000"/>
                <w:sz w:val="18"/>
                <w:szCs w:val="18"/>
              </w:rPr>
            </w:pPr>
            <w:r w:rsidRPr="00597673">
              <w:rPr>
                <w:color w:val="000000"/>
                <w:sz w:val="18"/>
              </w:rPr>
              <w:t>Година</w:t>
            </w:r>
          </w:p>
        </w:tc>
        <w:tc>
          <w:tcPr>
            <w:tcW w:w="960" w:type="dxa"/>
            <w:tcBorders>
              <w:top w:val="single" w:sz="8" w:space="0" w:color="auto"/>
              <w:left w:val="nil"/>
              <w:bottom w:val="nil"/>
              <w:right w:val="single" w:sz="8" w:space="0" w:color="auto"/>
            </w:tcBorders>
            <w:vAlign w:val="center"/>
            <w:hideMark/>
          </w:tcPr>
          <w:p w14:paraId="32EB331D" w14:textId="77777777" w:rsidR="00044D5B" w:rsidRPr="00597673" w:rsidRDefault="00044D5B">
            <w:pPr>
              <w:spacing w:before="0" w:after="0"/>
              <w:jc w:val="center"/>
              <w:rPr>
                <w:color w:val="000000"/>
                <w:sz w:val="18"/>
                <w:szCs w:val="18"/>
              </w:rPr>
            </w:pPr>
            <w:r w:rsidRPr="00597673">
              <w:rPr>
                <w:color w:val="000000"/>
                <w:sz w:val="18"/>
              </w:rPr>
              <w:t>Година</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14:paraId="0414AB5E" w14:textId="77777777" w:rsidR="00044D5B" w:rsidRPr="00597673" w:rsidRDefault="00044D5B">
            <w:pPr>
              <w:spacing w:before="0" w:after="0"/>
              <w:jc w:val="center"/>
              <w:rPr>
                <w:b/>
                <w:bCs/>
                <w:color w:val="000000"/>
                <w:sz w:val="18"/>
                <w:szCs w:val="18"/>
              </w:rPr>
            </w:pPr>
            <w:r w:rsidRPr="00597673">
              <w:rPr>
                <w:b/>
                <w:color w:val="000000"/>
                <w:sz w:val="18"/>
              </w:rPr>
              <w:t>ОБЩО 2021—2027 г.</w:t>
            </w:r>
          </w:p>
        </w:tc>
      </w:tr>
      <w:tr w:rsidR="00470A36" w:rsidRPr="00597673" w14:paraId="4BEDA52D" w14:textId="77777777">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14:paraId="78269FB1" w14:textId="77777777" w:rsidR="00044D5B" w:rsidRPr="00597673" w:rsidRDefault="00044D5B">
            <w:pPr>
              <w:spacing w:before="0" w:after="0"/>
              <w:jc w:val="left"/>
              <w:rPr>
                <w:b/>
                <w:bCs/>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7CC9448E" w14:textId="77777777" w:rsidR="00044D5B" w:rsidRPr="00597673" w:rsidRDefault="00044D5B">
            <w:pPr>
              <w:spacing w:before="0" w:after="0"/>
              <w:jc w:val="center"/>
              <w:rPr>
                <w:b/>
                <w:bCs/>
                <w:color w:val="000000"/>
                <w:sz w:val="18"/>
                <w:szCs w:val="18"/>
              </w:rPr>
            </w:pPr>
            <w:r w:rsidRPr="00597673">
              <w:rPr>
                <w:b/>
                <w:color w:val="000000"/>
                <w:sz w:val="18"/>
              </w:rPr>
              <w:t>2024 г.</w:t>
            </w:r>
          </w:p>
        </w:tc>
        <w:tc>
          <w:tcPr>
            <w:tcW w:w="960" w:type="dxa"/>
            <w:tcBorders>
              <w:top w:val="nil"/>
              <w:left w:val="nil"/>
              <w:bottom w:val="single" w:sz="8" w:space="0" w:color="auto"/>
              <w:right w:val="single" w:sz="8" w:space="0" w:color="auto"/>
            </w:tcBorders>
            <w:vAlign w:val="center"/>
            <w:hideMark/>
          </w:tcPr>
          <w:p w14:paraId="5057F425" w14:textId="77777777" w:rsidR="00044D5B" w:rsidRPr="00597673" w:rsidRDefault="00044D5B">
            <w:pPr>
              <w:spacing w:before="0" w:after="0"/>
              <w:jc w:val="center"/>
              <w:rPr>
                <w:b/>
                <w:bCs/>
                <w:color w:val="000000"/>
                <w:sz w:val="18"/>
                <w:szCs w:val="18"/>
              </w:rPr>
            </w:pPr>
            <w:r w:rsidRPr="00597673">
              <w:rPr>
                <w:b/>
                <w:color w:val="000000"/>
                <w:sz w:val="18"/>
              </w:rPr>
              <w:t>2025 г.</w:t>
            </w:r>
          </w:p>
        </w:tc>
        <w:tc>
          <w:tcPr>
            <w:tcW w:w="960" w:type="dxa"/>
            <w:tcBorders>
              <w:top w:val="nil"/>
              <w:left w:val="nil"/>
              <w:bottom w:val="single" w:sz="8" w:space="0" w:color="auto"/>
              <w:right w:val="single" w:sz="8" w:space="0" w:color="auto"/>
            </w:tcBorders>
            <w:vAlign w:val="center"/>
            <w:hideMark/>
          </w:tcPr>
          <w:p w14:paraId="593E1352" w14:textId="77777777" w:rsidR="00044D5B" w:rsidRPr="00597673" w:rsidRDefault="00044D5B">
            <w:pPr>
              <w:spacing w:before="0" w:after="0"/>
              <w:jc w:val="center"/>
              <w:rPr>
                <w:b/>
                <w:bCs/>
                <w:color w:val="000000"/>
                <w:sz w:val="18"/>
                <w:szCs w:val="18"/>
              </w:rPr>
            </w:pPr>
            <w:r w:rsidRPr="00597673">
              <w:rPr>
                <w:b/>
                <w:color w:val="000000"/>
                <w:sz w:val="18"/>
              </w:rPr>
              <w:t>2026 г.</w:t>
            </w:r>
          </w:p>
        </w:tc>
        <w:tc>
          <w:tcPr>
            <w:tcW w:w="960" w:type="dxa"/>
            <w:tcBorders>
              <w:top w:val="nil"/>
              <w:left w:val="nil"/>
              <w:bottom w:val="single" w:sz="8" w:space="0" w:color="auto"/>
              <w:right w:val="single" w:sz="8" w:space="0" w:color="auto"/>
            </w:tcBorders>
            <w:vAlign w:val="center"/>
            <w:hideMark/>
          </w:tcPr>
          <w:p w14:paraId="3D780F80" w14:textId="77777777" w:rsidR="00044D5B" w:rsidRPr="00597673" w:rsidRDefault="00044D5B">
            <w:pPr>
              <w:spacing w:before="0" w:after="0"/>
              <w:jc w:val="center"/>
              <w:rPr>
                <w:b/>
                <w:bCs/>
                <w:color w:val="000000"/>
                <w:sz w:val="18"/>
                <w:szCs w:val="18"/>
              </w:rPr>
            </w:pPr>
            <w:r w:rsidRPr="00597673">
              <w:rPr>
                <w:b/>
                <w:color w:val="000000"/>
                <w:sz w:val="18"/>
              </w:rPr>
              <w:t>2027 г.</w:t>
            </w: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41F76BC1" w14:textId="77777777" w:rsidR="00044D5B" w:rsidRPr="00597673" w:rsidRDefault="00044D5B">
            <w:pPr>
              <w:spacing w:before="0" w:after="0"/>
              <w:jc w:val="left"/>
              <w:rPr>
                <w:b/>
                <w:bCs/>
                <w:color w:val="000000"/>
                <w:sz w:val="18"/>
                <w:szCs w:val="18"/>
                <w:lang w:eastAsia="en-IE"/>
              </w:rPr>
            </w:pPr>
          </w:p>
        </w:tc>
      </w:tr>
      <w:tr w:rsidR="00A7536C" w:rsidRPr="00597673" w14:paraId="07127221"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76E695EC" w14:textId="77777777" w:rsidR="00044D5B" w:rsidRPr="00597673" w:rsidRDefault="00044D5B">
            <w:pPr>
              <w:spacing w:before="0" w:after="0"/>
              <w:jc w:val="left"/>
              <w:rPr>
                <w:b/>
                <w:bCs/>
                <w:sz w:val="16"/>
                <w:szCs w:val="16"/>
              </w:rPr>
            </w:pPr>
            <w:r w:rsidRPr="00597673">
              <w:rPr>
                <w:b/>
                <w:sz w:val="16"/>
              </w:rPr>
              <w:t>ФУНКЦИЯ 7</w:t>
            </w:r>
          </w:p>
        </w:tc>
      </w:tr>
      <w:tr w:rsidR="00E62D64" w:rsidRPr="00597673" w14:paraId="6828253E"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69B104F9" w14:textId="77777777" w:rsidR="00044D5B" w:rsidRPr="00597673" w:rsidRDefault="00044D5B">
            <w:pPr>
              <w:spacing w:before="0" w:after="0"/>
              <w:jc w:val="left"/>
              <w:rPr>
                <w:color w:val="000000"/>
                <w:sz w:val="16"/>
                <w:szCs w:val="16"/>
              </w:rPr>
            </w:pPr>
            <w:r w:rsidRPr="00597673">
              <w:rPr>
                <w:color w:val="000000"/>
                <w:sz w:val="16"/>
              </w:rPr>
              <w:t xml:space="preserve">Човешки ресурси </w:t>
            </w:r>
          </w:p>
        </w:tc>
        <w:tc>
          <w:tcPr>
            <w:tcW w:w="960" w:type="dxa"/>
            <w:tcBorders>
              <w:top w:val="nil"/>
              <w:left w:val="nil"/>
              <w:bottom w:val="single" w:sz="8" w:space="0" w:color="auto"/>
              <w:right w:val="single" w:sz="8" w:space="0" w:color="auto"/>
            </w:tcBorders>
            <w:shd w:val="clear" w:color="000000" w:fill="D9D9D9"/>
            <w:vAlign w:val="center"/>
            <w:hideMark/>
          </w:tcPr>
          <w:p w14:paraId="4718AC02"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88BA39E"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010A48A"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9850831" w14:textId="77777777" w:rsidR="00044D5B" w:rsidRPr="00597673" w:rsidRDefault="00044D5B">
            <w:pPr>
              <w:spacing w:before="0" w:after="0"/>
              <w:jc w:val="right"/>
              <w:rPr>
                <w:color w:val="000000"/>
                <w:sz w:val="16"/>
                <w:szCs w:val="16"/>
              </w:rPr>
            </w:pPr>
            <w:r w:rsidRPr="00597673">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5F981345"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E62D64" w:rsidRPr="00597673" w14:paraId="1180F7C1"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672999EE" w14:textId="77777777" w:rsidR="00044D5B" w:rsidRPr="00597673" w:rsidRDefault="00044D5B">
            <w:pPr>
              <w:spacing w:before="0" w:after="0"/>
              <w:jc w:val="left"/>
              <w:rPr>
                <w:color w:val="000000"/>
                <w:sz w:val="16"/>
                <w:szCs w:val="16"/>
              </w:rPr>
            </w:pPr>
            <w:r w:rsidRPr="00597673">
              <w:rPr>
                <w:color w:val="000000"/>
                <w:sz w:val="16"/>
              </w:rPr>
              <w:t xml:space="preserve">Други административни разходи </w:t>
            </w:r>
          </w:p>
        </w:tc>
        <w:tc>
          <w:tcPr>
            <w:tcW w:w="960" w:type="dxa"/>
            <w:tcBorders>
              <w:top w:val="nil"/>
              <w:left w:val="nil"/>
              <w:bottom w:val="single" w:sz="8" w:space="0" w:color="auto"/>
              <w:right w:val="single" w:sz="8" w:space="0" w:color="auto"/>
            </w:tcBorders>
            <w:shd w:val="clear" w:color="000000" w:fill="D9D9D9"/>
            <w:vAlign w:val="center"/>
            <w:hideMark/>
          </w:tcPr>
          <w:p w14:paraId="42033A91"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0EAB73A"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783EACA"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AD2FC22" w14:textId="77777777" w:rsidR="00044D5B" w:rsidRPr="00597673" w:rsidRDefault="00044D5B">
            <w:pPr>
              <w:spacing w:before="0" w:after="0"/>
              <w:jc w:val="right"/>
              <w:rPr>
                <w:color w:val="000000"/>
                <w:sz w:val="16"/>
                <w:szCs w:val="16"/>
              </w:rPr>
            </w:pPr>
            <w:r w:rsidRPr="00597673">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4B1F7965"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504273" w:rsidRPr="00597673" w14:paraId="52AEDA1C" w14:textId="7777777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1BAD5559" w14:textId="77777777" w:rsidR="00044D5B" w:rsidRPr="00597673" w:rsidRDefault="00044D5B">
            <w:pPr>
              <w:spacing w:before="0" w:after="0"/>
              <w:jc w:val="center"/>
              <w:rPr>
                <w:b/>
                <w:bCs/>
                <w:color w:val="000000"/>
                <w:sz w:val="16"/>
                <w:szCs w:val="16"/>
              </w:rPr>
            </w:pPr>
            <w:r w:rsidRPr="00597673">
              <w:rPr>
                <w:b/>
                <w:color w:val="000000"/>
                <w:sz w:val="16"/>
              </w:rPr>
              <w:t>Междинен сбор за ФУНКЦИЯ 7</w:t>
            </w:r>
          </w:p>
        </w:tc>
        <w:tc>
          <w:tcPr>
            <w:tcW w:w="960" w:type="dxa"/>
            <w:tcBorders>
              <w:top w:val="nil"/>
              <w:left w:val="nil"/>
              <w:bottom w:val="single" w:sz="8" w:space="0" w:color="auto"/>
              <w:right w:val="single" w:sz="8" w:space="0" w:color="auto"/>
            </w:tcBorders>
            <w:shd w:val="clear" w:color="000000" w:fill="D9D9D9"/>
            <w:vAlign w:val="center"/>
            <w:hideMark/>
          </w:tcPr>
          <w:p w14:paraId="63AFED94"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F3A3415"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6ED0A5C"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EB3214B"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69112B16"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A7536C" w:rsidRPr="00597673" w14:paraId="2266D210"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18F24C53" w14:textId="77777777" w:rsidR="00044D5B" w:rsidRPr="00597673" w:rsidRDefault="00044D5B">
            <w:pPr>
              <w:spacing w:before="0" w:after="0"/>
              <w:jc w:val="left"/>
              <w:rPr>
                <w:b/>
                <w:bCs/>
                <w:sz w:val="16"/>
                <w:szCs w:val="16"/>
              </w:rPr>
            </w:pPr>
            <w:r w:rsidRPr="00597673">
              <w:rPr>
                <w:b/>
                <w:sz w:val="16"/>
              </w:rPr>
              <w:t>Извън ФУНКЦИЯ 7</w:t>
            </w:r>
          </w:p>
        </w:tc>
      </w:tr>
      <w:tr w:rsidR="00E62D64" w:rsidRPr="00597673" w14:paraId="0A572997"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5D957558" w14:textId="77777777" w:rsidR="00044D5B" w:rsidRPr="00597673" w:rsidRDefault="00044D5B">
            <w:pPr>
              <w:spacing w:before="0" w:after="0"/>
              <w:jc w:val="left"/>
              <w:rPr>
                <w:color w:val="000000"/>
                <w:sz w:val="16"/>
                <w:szCs w:val="16"/>
              </w:rPr>
            </w:pPr>
            <w:r w:rsidRPr="00597673">
              <w:rPr>
                <w:color w:val="000000"/>
                <w:sz w:val="16"/>
              </w:rPr>
              <w:t xml:space="preserve">Човешки ресурси </w:t>
            </w:r>
          </w:p>
        </w:tc>
        <w:tc>
          <w:tcPr>
            <w:tcW w:w="960" w:type="dxa"/>
            <w:tcBorders>
              <w:top w:val="nil"/>
              <w:left w:val="nil"/>
              <w:bottom w:val="single" w:sz="8" w:space="0" w:color="auto"/>
              <w:right w:val="single" w:sz="8" w:space="0" w:color="auto"/>
            </w:tcBorders>
            <w:shd w:val="clear" w:color="000000" w:fill="D9D9D9"/>
            <w:vAlign w:val="center"/>
            <w:hideMark/>
          </w:tcPr>
          <w:p w14:paraId="49C3A063"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70ECD39F"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87F7CE9"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DE7E41D" w14:textId="77777777" w:rsidR="00044D5B" w:rsidRPr="00597673" w:rsidRDefault="00044D5B">
            <w:pPr>
              <w:spacing w:before="0" w:after="0"/>
              <w:jc w:val="right"/>
              <w:rPr>
                <w:color w:val="000000"/>
                <w:sz w:val="16"/>
                <w:szCs w:val="16"/>
              </w:rPr>
            </w:pPr>
            <w:r w:rsidRPr="00597673">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242714D6"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E62D64" w:rsidRPr="00597673" w14:paraId="4D6005C8"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4CE34325" w14:textId="77777777" w:rsidR="00044D5B" w:rsidRPr="00597673" w:rsidRDefault="00044D5B">
            <w:pPr>
              <w:spacing w:before="0" w:after="0"/>
              <w:jc w:val="left"/>
              <w:rPr>
                <w:color w:val="000000"/>
                <w:sz w:val="16"/>
                <w:szCs w:val="16"/>
              </w:rPr>
            </w:pPr>
            <w:r w:rsidRPr="00597673">
              <w:rPr>
                <w:color w:val="000000"/>
                <w:sz w:val="16"/>
              </w:rPr>
              <w:t>Други административни разходи</w:t>
            </w:r>
          </w:p>
        </w:tc>
        <w:tc>
          <w:tcPr>
            <w:tcW w:w="960" w:type="dxa"/>
            <w:tcBorders>
              <w:top w:val="nil"/>
              <w:left w:val="nil"/>
              <w:bottom w:val="single" w:sz="8" w:space="0" w:color="auto"/>
              <w:right w:val="single" w:sz="8" w:space="0" w:color="auto"/>
            </w:tcBorders>
            <w:shd w:val="clear" w:color="000000" w:fill="D9D9D9"/>
            <w:vAlign w:val="center"/>
            <w:hideMark/>
          </w:tcPr>
          <w:p w14:paraId="4593D29C"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303814A"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883CCD3" w14:textId="77777777" w:rsidR="00044D5B" w:rsidRPr="00597673" w:rsidRDefault="00044D5B">
            <w:pPr>
              <w:spacing w:before="0" w:after="0"/>
              <w:jc w:val="right"/>
              <w:rPr>
                <w:color w:val="000000"/>
                <w:sz w:val="16"/>
                <w:szCs w:val="16"/>
              </w:rPr>
            </w:pPr>
            <w:r w:rsidRPr="00597673">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0355856F" w14:textId="77777777" w:rsidR="00044D5B" w:rsidRPr="00597673" w:rsidRDefault="00044D5B">
            <w:pPr>
              <w:spacing w:before="0" w:after="0"/>
              <w:jc w:val="right"/>
              <w:rPr>
                <w:color w:val="000000"/>
                <w:sz w:val="16"/>
                <w:szCs w:val="16"/>
              </w:rPr>
            </w:pPr>
            <w:r w:rsidRPr="00597673">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2ECB172"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504273" w:rsidRPr="00597673" w14:paraId="1EAC2E4A" w14:textId="7777777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77CA994E" w14:textId="77777777" w:rsidR="00044D5B" w:rsidRPr="00597673" w:rsidRDefault="00044D5B">
            <w:pPr>
              <w:spacing w:before="0" w:after="0"/>
              <w:jc w:val="center"/>
              <w:rPr>
                <w:b/>
                <w:bCs/>
                <w:color w:val="000000"/>
                <w:sz w:val="16"/>
                <w:szCs w:val="16"/>
              </w:rPr>
            </w:pPr>
            <w:r w:rsidRPr="00597673">
              <w:rPr>
                <w:b/>
                <w:color w:val="000000"/>
                <w:sz w:val="16"/>
              </w:rPr>
              <w:t>Междинен сбор извън ФУНКЦИЯ 7</w:t>
            </w:r>
          </w:p>
        </w:tc>
        <w:tc>
          <w:tcPr>
            <w:tcW w:w="960" w:type="dxa"/>
            <w:tcBorders>
              <w:top w:val="nil"/>
              <w:left w:val="nil"/>
              <w:bottom w:val="single" w:sz="8" w:space="0" w:color="auto"/>
              <w:right w:val="single" w:sz="8" w:space="0" w:color="auto"/>
            </w:tcBorders>
            <w:shd w:val="clear" w:color="000000" w:fill="D9D9D9"/>
            <w:vAlign w:val="center"/>
            <w:hideMark/>
          </w:tcPr>
          <w:p w14:paraId="32683967"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36EE5D4"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073E5CF"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9441056"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7333A0C9" w14:textId="77777777" w:rsidR="00044D5B" w:rsidRPr="00597673" w:rsidRDefault="00044D5B">
            <w:pPr>
              <w:spacing w:before="0" w:after="0"/>
              <w:jc w:val="right"/>
              <w:rPr>
                <w:b/>
                <w:bCs/>
                <w:color w:val="000000"/>
                <w:sz w:val="16"/>
                <w:szCs w:val="16"/>
              </w:rPr>
            </w:pPr>
            <w:r w:rsidRPr="00597673">
              <w:rPr>
                <w:b/>
                <w:color w:val="000000"/>
                <w:sz w:val="16"/>
              </w:rPr>
              <w:t>0,000</w:t>
            </w:r>
          </w:p>
        </w:tc>
      </w:tr>
      <w:tr w:rsidR="00A7536C" w:rsidRPr="00597673" w14:paraId="041FAA36"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noWrap/>
            <w:vAlign w:val="center"/>
            <w:hideMark/>
          </w:tcPr>
          <w:p w14:paraId="4E789CAE" w14:textId="77777777" w:rsidR="00044D5B" w:rsidRPr="00597673" w:rsidRDefault="00044D5B">
            <w:pPr>
              <w:spacing w:before="0" w:after="0"/>
              <w:jc w:val="center"/>
              <w:rPr>
                <w:color w:val="000000"/>
                <w:sz w:val="16"/>
                <w:szCs w:val="16"/>
              </w:rPr>
            </w:pPr>
            <w:r w:rsidRPr="00597673">
              <w:rPr>
                <w:color w:val="000000"/>
                <w:sz w:val="16"/>
              </w:rPr>
              <w:t xml:space="preserve"> </w:t>
            </w:r>
          </w:p>
        </w:tc>
      </w:tr>
      <w:tr w:rsidR="00E62D64" w:rsidRPr="00597673" w14:paraId="3494D512" w14:textId="77777777">
        <w:trPr>
          <w:trHeight w:val="312"/>
        </w:trPr>
        <w:tc>
          <w:tcPr>
            <w:tcW w:w="3760" w:type="dxa"/>
            <w:tcBorders>
              <w:top w:val="single" w:sz="12" w:space="0" w:color="auto"/>
              <w:left w:val="single" w:sz="12" w:space="0" w:color="auto"/>
              <w:bottom w:val="single" w:sz="12" w:space="0" w:color="auto"/>
              <w:right w:val="single" w:sz="8" w:space="0" w:color="auto"/>
            </w:tcBorders>
            <w:vAlign w:val="center"/>
            <w:hideMark/>
          </w:tcPr>
          <w:p w14:paraId="4DD19BC7" w14:textId="77777777" w:rsidR="00044D5B" w:rsidRPr="00597673" w:rsidRDefault="00044D5B">
            <w:pPr>
              <w:spacing w:before="0" w:after="0"/>
              <w:jc w:val="center"/>
              <w:rPr>
                <w:b/>
                <w:bCs/>
                <w:color w:val="000000"/>
                <w:sz w:val="16"/>
                <w:szCs w:val="16"/>
              </w:rPr>
            </w:pPr>
            <w:r w:rsidRPr="00597673">
              <w:rPr>
                <w:b/>
                <w:color w:val="000000"/>
                <w:sz w:val="16"/>
              </w:rPr>
              <w:t>ОБЩО</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7D520A0A"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4F581F49"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02B524E4"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7A54EB7B" w14:textId="77777777" w:rsidR="00044D5B" w:rsidRPr="00597673" w:rsidRDefault="00044D5B">
            <w:pPr>
              <w:spacing w:before="0" w:after="0"/>
              <w:jc w:val="right"/>
              <w:rPr>
                <w:b/>
                <w:bCs/>
                <w:color w:val="000000"/>
                <w:sz w:val="16"/>
                <w:szCs w:val="16"/>
              </w:rPr>
            </w:pPr>
            <w:r w:rsidRPr="00597673">
              <w:rPr>
                <w:b/>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14:paraId="26DAD7C8" w14:textId="77777777" w:rsidR="00044D5B" w:rsidRPr="00597673" w:rsidRDefault="00044D5B">
            <w:pPr>
              <w:spacing w:before="0" w:after="0"/>
              <w:jc w:val="right"/>
              <w:rPr>
                <w:b/>
                <w:bCs/>
                <w:color w:val="000000"/>
                <w:sz w:val="16"/>
                <w:szCs w:val="16"/>
              </w:rPr>
            </w:pPr>
            <w:r w:rsidRPr="00597673">
              <w:rPr>
                <w:b/>
                <w:color w:val="000000"/>
                <w:sz w:val="16"/>
              </w:rPr>
              <w:t>0,000</w:t>
            </w:r>
          </w:p>
        </w:tc>
      </w:tr>
    </w:tbl>
    <w:p w14:paraId="4CBEDCF8" w14:textId="77777777" w:rsidR="00044D5B" w:rsidRPr="00597673" w:rsidRDefault="00044D5B" w:rsidP="00044D5B">
      <w:pPr>
        <w:rPr>
          <w:noProof/>
          <w:sz w:val="22"/>
          <w:szCs w:val="28"/>
        </w:rPr>
      </w:pPr>
      <w:r w:rsidRPr="00597673">
        <w:rPr>
          <w:sz w:val="22"/>
        </w:rPr>
        <w:t>Бюджетните кредити, необходими за човешки ресурси и други административни разходи,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512FF03B" w14:textId="77777777" w:rsidR="00044D5B" w:rsidRPr="00597673" w:rsidRDefault="00044D5B" w:rsidP="00044D5B">
      <w:pPr>
        <w:pStyle w:val="ManualHeading3"/>
        <w:rPr>
          <w:bCs/>
          <w:noProof/>
          <w:szCs w:val="24"/>
        </w:rPr>
      </w:pPr>
      <w:r w:rsidRPr="00597673">
        <w:t>3.2.4.</w:t>
      </w:r>
      <w:r w:rsidRPr="00597673">
        <w:tab/>
        <w:t xml:space="preserve">Очаквани нужди от човешки ресурси </w:t>
      </w:r>
    </w:p>
    <w:p w14:paraId="371FF4FB" w14:textId="77777777" w:rsidR="00044D5B" w:rsidRPr="00597673" w:rsidRDefault="00044D5B" w:rsidP="00044D5B">
      <w:pPr>
        <w:pStyle w:val="ListDash1"/>
        <w:rPr>
          <w:noProof/>
        </w:rPr>
      </w:pPr>
      <w:r w:rsidRPr="00597673">
        <w:rPr>
          <w:rFonts w:ascii="Wingdings" w:hAnsi="Wingdings"/>
        </w:rPr>
        <w:t>¨</w:t>
      </w:r>
      <w:r w:rsidRPr="00597673">
        <w:tab/>
        <w:t xml:space="preserve">Предложението/инициативата не налага използване на човешки ресурси </w:t>
      </w:r>
    </w:p>
    <w:p w14:paraId="60060A16" w14:textId="77777777" w:rsidR="00044D5B" w:rsidRPr="00597673" w:rsidRDefault="00044D5B" w:rsidP="00044D5B">
      <w:pPr>
        <w:pStyle w:val="ListDash1"/>
        <w:rPr>
          <w:noProof/>
        </w:rPr>
      </w:pPr>
      <w:r w:rsidRPr="00597673">
        <w:rPr>
          <w:rFonts w:ascii="Wingdings" w:hAnsi="Wingdings"/>
        </w:rPr>
        <w:t>¨</w:t>
      </w:r>
      <w:r w:rsidRPr="00597673">
        <w:tab/>
        <w:t>Предложението/инициативата налага използване на човешки ресурси съгласно обяснението по-долу</w:t>
      </w:r>
    </w:p>
    <w:p w14:paraId="62BDE414" w14:textId="77777777" w:rsidR="00044D5B" w:rsidRPr="00597673" w:rsidRDefault="00044D5B" w:rsidP="00044D5B">
      <w:pPr>
        <w:pStyle w:val="ManualHeading3"/>
      </w:pPr>
      <w:r w:rsidRPr="00597673">
        <w:t>3.2.4.1.</w:t>
      </w:r>
      <w:r w:rsidRPr="00597673">
        <w:tab/>
        <w:t>Финансирани от гласувания бюджет</w:t>
      </w:r>
    </w:p>
    <w:p w14:paraId="29E3B74C" w14:textId="77777777" w:rsidR="00044D5B" w:rsidRPr="00597673" w:rsidRDefault="00044D5B" w:rsidP="00044D5B">
      <w:pPr>
        <w:spacing w:after="60"/>
        <w:jc w:val="right"/>
        <w:rPr>
          <w:i/>
          <w:noProof/>
          <w:sz w:val="20"/>
        </w:rPr>
      </w:pPr>
      <w:r w:rsidRPr="00597673">
        <w:rPr>
          <w:i/>
          <w:sz w:val="20"/>
        </w:rPr>
        <w:t>Оценката се посочва в еквиваленти на пълно работно време (ЕПРВ)</w:t>
      </w:r>
    </w:p>
    <w:p w14:paraId="1FFBA4E5" w14:textId="77777777" w:rsidR="00044D5B" w:rsidRPr="00597673" w:rsidRDefault="00044D5B" w:rsidP="00044D5B">
      <w:pPr>
        <w:pStyle w:val="Text1"/>
        <w:spacing w:before="60" w:after="60"/>
        <w:ind w:left="-426" w:right="-427"/>
        <w:rPr>
          <w:b/>
          <w:noProof/>
          <w:sz w:val="18"/>
          <w:szCs w:val="18"/>
        </w:rPr>
      </w:pPr>
    </w:p>
    <w:tbl>
      <w:tblPr>
        <w:tblW w:w="5000" w:type="pct"/>
        <w:tblInd w:w="-118" w:type="dxa"/>
        <w:tblCellMar>
          <w:left w:w="0" w:type="dxa"/>
          <w:right w:w="0" w:type="dxa"/>
        </w:tblCellMar>
        <w:tblLook w:val="04A0" w:firstRow="1" w:lastRow="0" w:firstColumn="1" w:lastColumn="0" w:noHBand="0" w:noVBand="1"/>
      </w:tblPr>
      <w:tblGrid>
        <w:gridCol w:w="1483"/>
        <w:gridCol w:w="3816"/>
        <w:gridCol w:w="949"/>
        <w:gridCol w:w="949"/>
        <w:gridCol w:w="949"/>
        <w:gridCol w:w="947"/>
      </w:tblGrid>
      <w:tr w:rsidR="00E6355E" w:rsidRPr="00597673" w14:paraId="4CDC932A"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3F1A735" w14:textId="77777777" w:rsidR="00044D5B" w:rsidRPr="00597673" w:rsidRDefault="00044D5B">
            <w:pPr>
              <w:spacing w:before="0" w:after="0"/>
              <w:jc w:val="center"/>
              <w:rPr>
                <w:b/>
                <w:bCs/>
                <w:color w:val="000000"/>
                <w:sz w:val="18"/>
                <w:szCs w:val="18"/>
              </w:rPr>
            </w:pPr>
            <w:r w:rsidRPr="00597673">
              <w:rPr>
                <w:b/>
                <w:color w:val="000000"/>
                <w:sz w:val="18"/>
              </w:rPr>
              <w:t>ГЛАСУВАНИ БЮДЖЕТНИ КРЕДИТИ</w:t>
            </w:r>
          </w:p>
        </w:tc>
        <w:tc>
          <w:tcPr>
            <w:tcW w:w="522" w:type="pct"/>
            <w:tcBorders>
              <w:top w:val="single" w:sz="8" w:space="0" w:color="auto"/>
              <w:left w:val="nil"/>
              <w:bottom w:val="nil"/>
              <w:right w:val="single" w:sz="8" w:space="0" w:color="auto"/>
            </w:tcBorders>
            <w:vAlign w:val="center"/>
            <w:hideMark/>
          </w:tcPr>
          <w:p w14:paraId="38A850B4"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2" w:type="pct"/>
            <w:tcBorders>
              <w:top w:val="single" w:sz="8" w:space="0" w:color="auto"/>
              <w:left w:val="nil"/>
              <w:bottom w:val="nil"/>
              <w:right w:val="single" w:sz="8" w:space="0" w:color="auto"/>
            </w:tcBorders>
            <w:vAlign w:val="center"/>
            <w:hideMark/>
          </w:tcPr>
          <w:p w14:paraId="2C2CE8E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2" w:type="pct"/>
            <w:tcBorders>
              <w:top w:val="single" w:sz="8" w:space="0" w:color="auto"/>
              <w:left w:val="nil"/>
              <w:bottom w:val="nil"/>
              <w:right w:val="single" w:sz="8" w:space="0" w:color="auto"/>
            </w:tcBorders>
            <w:vAlign w:val="center"/>
            <w:hideMark/>
          </w:tcPr>
          <w:p w14:paraId="51F09647"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2" w:type="pct"/>
            <w:tcBorders>
              <w:top w:val="single" w:sz="8" w:space="0" w:color="auto"/>
              <w:left w:val="nil"/>
              <w:bottom w:val="nil"/>
              <w:right w:val="single" w:sz="8" w:space="0" w:color="auto"/>
            </w:tcBorders>
            <w:vAlign w:val="center"/>
            <w:hideMark/>
          </w:tcPr>
          <w:p w14:paraId="15C1F4E4" w14:textId="77777777" w:rsidR="00044D5B" w:rsidRPr="00597673" w:rsidRDefault="00044D5B">
            <w:pPr>
              <w:spacing w:before="0" w:after="0"/>
              <w:jc w:val="center"/>
              <w:rPr>
                <w:color w:val="000000"/>
                <w:sz w:val="20"/>
                <w:szCs w:val="20"/>
              </w:rPr>
            </w:pPr>
            <w:r w:rsidRPr="00597673">
              <w:rPr>
                <w:color w:val="000000"/>
                <w:sz w:val="20"/>
              </w:rPr>
              <w:t>Година</w:t>
            </w:r>
          </w:p>
        </w:tc>
      </w:tr>
      <w:tr w:rsidR="00E6355E" w:rsidRPr="00597673" w14:paraId="5EFE049D"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45067EE9" w14:textId="77777777" w:rsidR="00044D5B" w:rsidRPr="00597673" w:rsidRDefault="00044D5B">
            <w:pPr>
              <w:spacing w:before="0" w:after="0"/>
              <w:jc w:val="left"/>
              <w:rPr>
                <w:b/>
                <w:bCs/>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253F8384"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522" w:type="pct"/>
            <w:tcBorders>
              <w:top w:val="nil"/>
              <w:left w:val="nil"/>
              <w:bottom w:val="single" w:sz="8" w:space="0" w:color="auto"/>
              <w:right w:val="single" w:sz="8" w:space="0" w:color="auto"/>
            </w:tcBorders>
            <w:vAlign w:val="center"/>
            <w:hideMark/>
          </w:tcPr>
          <w:p w14:paraId="10A534C0"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522" w:type="pct"/>
            <w:tcBorders>
              <w:top w:val="nil"/>
              <w:left w:val="nil"/>
              <w:bottom w:val="single" w:sz="8" w:space="0" w:color="auto"/>
              <w:right w:val="single" w:sz="8" w:space="0" w:color="auto"/>
            </w:tcBorders>
            <w:vAlign w:val="center"/>
            <w:hideMark/>
          </w:tcPr>
          <w:p w14:paraId="2CE55C67"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522" w:type="pct"/>
            <w:tcBorders>
              <w:top w:val="nil"/>
              <w:left w:val="nil"/>
              <w:bottom w:val="single" w:sz="8" w:space="0" w:color="auto"/>
              <w:right w:val="single" w:sz="8" w:space="0" w:color="auto"/>
            </w:tcBorders>
            <w:vAlign w:val="center"/>
            <w:hideMark/>
          </w:tcPr>
          <w:p w14:paraId="7616AD29" w14:textId="77777777" w:rsidR="00044D5B" w:rsidRPr="00597673" w:rsidRDefault="00044D5B">
            <w:pPr>
              <w:spacing w:before="0" w:after="0"/>
              <w:jc w:val="center"/>
              <w:rPr>
                <w:b/>
                <w:bCs/>
                <w:color w:val="000000"/>
                <w:sz w:val="20"/>
                <w:szCs w:val="20"/>
              </w:rPr>
            </w:pPr>
            <w:r w:rsidRPr="00597673">
              <w:rPr>
                <w:b/>
                <w:color w:val="000000"/>
                <w:sz w:val="20"/>
              </w:rPr>
              <w:t>2027 г.</w:t>
            </w:r>
          </w:p>
        </w:tc>
      </w:tr>
      <w:tr w:rsidR="00C45E62" w:rsidRPr="00597673" w14:paraId="7B743FBA"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5203EBA7" w14:textId="77777777" w:rsidR="00044D5B" w:rsidRPr="00597673" w:rsidRDefault="00044D5B">
            <w:pPr>
              <w:spacing w:before="0" w:after="0"/>
              <w:jc w:val="left"/>
              <w:rPr>
                <w:rFonts w:ascii="Wingdings" w:hAnsi="Wingdings" w:cs="Calibri"/>
                <w:b/>
                <w:bCs/>
                <w:color w:val="000000"/>
                <w:sz w:val="16"/>
                <w:szCs w:val="16"/>
              </w:rPr>
            </w:pPr>
            <w:r w:rsidRPr="00597673">
              <w:rPr>
                <w:rFonts w:ascii="Wingdings" w:hAnsi="Wingdings"/>
                <w:b/>
                <w:color w:val="000000"/>
                <w:sz w:val="16"/>
              </w:rPr>
              <w:t>Ÿ</w:t>
            </w:r>
            <w:r w:rsidRPr="00597673">
              <w:rPr>
                <w:b/>
                <w:color w:val="000000"/>
                <w:sz w:val="16"/>
              </w:rPr>
              <w:t xml:space="preserve"> Длъжности в щатното разписание (длъжностни лица и срочно наети служители)</w:t>
            </w:r>
          </w:p>
        </w:tc>
      </w:tr>
      <w:tr w:rsidR="00E6355E" w:rsidRPr="00597673" w14:paraId="3C2FF3C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5BDCF83" w14:textId="77777777" w:rsidR="00044D5B" w:rsidRPr="00597673" w:rsidRDefault="00044D5B">
            <w:pPr>
              <w:spacing w:before="0" w:after="0"/>
              <w:ind w:firstLineChars="100" w:firstLine="160"/>
              <w:jc w:val="left"/>
              <w:rPr>
                <w:color w:val="000000"/>
                <w:sz w:val="16"/>
                <w:szCs w:val="16"/>
              </w:rPr>
            </w:pPr>
            <w:r w:rsidRPr="00597673">
              <w:rPr>
                <w:color w:val="000000"/>
                <w:sz w:val="16"/>
              </w:rPr>
              <w:t>20 01 02 01</w:t>
            </w:r>
            <w:r w:rsidRPr="00597673">
              <w:rPr>
                <w:rFonts w:ascii="Arial Narrow" w:hAnsi="Arial Narrow"/>
                <w:color w:val="000000"/>
                <w:sz w:val="20"/>
              </w:rPr>
              <w:t> </w:t>
            </w:r>
            <w:r w:rsidRPr="00597673">
              <w:rPr>
                <w:color w:val="000000"/>
                <w:sz w:val="16"/>
              </w:rPr>
              <w:t>(Централа и представителства на Комисията)</w:t>
            </w:r>
          </w:p>
        </w:tc>
        <w:tc>
          <w:tcPr>
            <w:tcW w:w="522" w:type="pct"/>
            <w:tcBorders>
              <w:top w:val="nil"/>
              <w:left w:val="nil"/>
              <w:bottom w:val="single" w:sz="8" w:space="0" w:color="auto"/>
              <w:right w:val="single" w:sz="8" w:space="0" w:color="auto"/>
            </w:tcBorders>
            <w:shd w:val="clear" w:color="000000" w:fill="D9D9D9"/>
            <w:vAlign w:val="center"/>
            <w:hideMark/>
          </w:tcPr>
          <w:p w14:paraId="4DCEA1B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B1DD99F"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3265D5"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F795148"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2132334A"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6A7CAC0" w14:textId="77777777" w:rsidR="00044D5B" w:rsidRPr="00597673" w:rsidRDefault="00044D5B">
            <w:pPr>
              <w:spacing w:before="0" w:after="0"/>
              <w:ind w:firstLineChars="100" w:firstLine="160"/>
              <w:jc w:val="left"/>
              <w:rPr>
                <w:color w:val="000000"/>
                <w:sz w:val="16"/>
                <w:szCs w:val="16"/>
              </w:rPr>
            </w:pPr>
            <w:r w:rsidRPr="00597673">
              <w:rPr>
                <w:color w:val="000000"/>
                <w:sz w:val="16"/>
              </w:rPr>
              <w:t>20 01 02 03 (Делегации на ЕС)</w:t>
            </w:r>
          </w:p>
        </w:tc>
        <w:tc>
          <w:tcPr>
            <w:tcW w:w="522" w:type="pct"/>
            <w:tcBorders>
              <w:top w:val="nil"/>
              <w:left w:val="nil"/>
              <w:bottom w:val="single" w:sz="8" w:space="0" w:color="auto"/>
              <w:right w:val="single" w:sz="8" w:space="0" w:color="auto"/>
            </w:tcBorders>
            <w:shd w:val="clear" w:color="000000" w:fill="D9D9D9"/>
            <w:vAlign w:val="center"/>
            <w:hideMark/>
          </w:tcPr>
          <w:p w14:paraId="3E19D6BB"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04F998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8C0ADFA"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2DF0791"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55C493F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DE65E79"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01 01 01 01</w:t>
            </w:r>
            <w:r w:rsidRPr="00597673">
              <w:rPr>
                <w:rFonts w:ascii="Arial Narrow" w:hAnsi="Arial Narrow"/>
                <w:color w:val="000000"/>
                <w:sz w:val="20"/>
              </w:rPr>
              <w:t> </w:t>
            </w:r>
            <w:r w:rsidRPr="00597673">
              <w:rPr>
                <w:color w:val="000000"/>
                <w:sz w:val="16"/>
              </w:rPr>
              <w:t>(Непреки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29C31177"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81BCFA"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B3B85E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58BF862"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21E33A93"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16CD500"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11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77344746"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B9F4663"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85C047B"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D24A539"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1D15EB5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54ADC17"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w:t>
            </w:r>
          </w:p>
        </w:tc>
        <w:tc>
          <w:tcPr>
            <w:tcW w:w="522" w:type="pct"/>
            <w:tcBorders>
              <w:top w:val="nil"/>
              <w:left w:val="nil"/>
              <w:bottom w:val="single" w:sz="8" w:space="0" w:color="auto"/>
              <w:right w:val="single" w:sz="8" w:space="0" w:color="auto"/>
            </w:tcBorders>
            <w:shd w:val="clear" w:color="000000" w:fill="D9D9D9"/>
            <w:vAlign w:val="center"/>
            <w:hideMark/>
          </w:tcPr>
          <w:p w14:paraId="43EA2B28"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867E58"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A99D29"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0FEE14C" w14:textId="77777777" w:rsidR="00044D5B" w:rsidRPr="00597673" w:rsidRDefault="00044D5B">
            <w:pPr>
              <w:spacing w:before="0" w:after="0"/>
              <w:jc w:val="center"/>
              <w:rPr>
                <w:color w:val="000000"/>
                <w:sz w:val="16"/>
                <w:szCs w:val="16"/>
              </w:rPr>
            </w:pPr>
            <w:r w:rsidRPr="00597673">
              <w:rPr>
                <w:color w:val="000000"/>
                <w:sz w:val="16"/>
              </w:rPr>
              <w:t>0</w:t>
            </w:r>
          </w:p>
        </w:tc>
      </w:tr>
      <w:tr w:rsidR="00C45E62" w:rsidRPr="00597673" w14:paraId="7D3A8A40"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CF13992" w14:textId="77777777" w:rsidR="00044D5B" w:rsidRPr="00597673" w:rsidRDefault="00044D5B">
            <w:pPr>
              <w:spacing w:before="0" w:after="0"/>
              <w:jc w:val="left"/>
              <w:rPr>
                <w:rFonts w:ascii="Wingdings" w:hAnsi="Wingdings" w:cs="Calibri"/>
                <w:b/>
                <w:bCs/>
                <w:color w:val="000000"/>
                <w:sz w:val="16"/>
                <w:szCs w:val="16"/>
              </w:rPr>
            </w:pPr>
            <w:r w:rsidRPr="00597673">
              <w:rPr>
                <w:rFonts w:ascii="Calibri" w:hAnsi="Calibri"/>
                <w:b/>
                <w:color w:val="000000"/>
                <w:sz w:val="16"/>
              </w:rPr>
              <w:t>•</w:t>
            </w:r>
            <w:r w:rsidRPr="00597673">
              <w:rPr>
                <w:b/>
                <w:color w:val="000000"/>
                <w:sz w:val="16"/>
              </w:rPr>
              <w:t xml:space="preserve"> Външен персонал (в ЕПРВ)</w:t>
            </w:r>
          </w:p>
        </w:tc>
      </w:tr>
      <w:tr w:rsidR="00E6355E" w:rsidRPr="00597673" w14:paraId="58E315DD"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9D6AEF6" w14:textId="77777777" w:rsidR="00044D5B" w:rsidRPr="00597673" w:rsidRDefault="00044D5B">
            <w:pPr>
              <w:spacing w:before="0" w:after="0"/>
              <w:ind w:firstLineChars="100" w:firstLine="160"/>
              <w:jc w:val="left"/>
              <w:rPr>
                <w:color w:val="000000"/>
                <w:sz w:val="16"/>
                <w:szCs w:val="16"/>
              </w:rPr>
            </w:pPr>
            <w:r w:rsidRPr="00597673">
              <w:rPr>
                <w:color w:val="000000"/>
                <w:sz w:val="16"/>
              </w:rPr>
              <w:t>20 02 01</w:t>
            </w:r>
            <w:r w:rsidRPr="00597673">
              <w:rPr>
                <w:rFonts w:ascii="Arial Narrow" w:hAnsi="Arial Narrow"/>
                <w:color w:val="000000"/>
                <w:sz w:val="20"/>
              </w:rPr>
              <w:t> </w:t>
            </w:r>
            <w:r w:rsidRPr="00597673">
              <w:rPr>
                <w:color w:val="000000"/>
                <w:sz w:val="16"/>
              </w:rPr>
              <w:t>(ДНП, КНЕ от общия финансов пакет)</w:t>
            </w:r>
          </w:p>
        </w:tc>
        <w:tc>
          <w:tcPr>
            <w:tcW w:w="522" w:type="pct"/>
            <w:tcBorders>
              <w:top w:val="nil"/>
              <w:left w:val="nil"/>
              <w:bottom w:val="single" w:sz="8" w:space="0" w:color="auto"/>
              <w:right w:val="single" w:sz="8" w:space="0" w:color="auto"/>
            </w:tcBorders>
            <w:shd w:val="clear" w:color="000000" w:fill="D9D9D9"/>
            <w:vAlign w:val="center"/>
            <w:hideMark/>
          </w:tcPr>
          <w:p w14:paraId="4C02FAFE"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63C42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368085E"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915EAF1"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00C6209E"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ACA91EF" w14:textId="77777777" w:rsidR="00044D5B" w:rsidRPr="00597673" w:rsidRDefault="00044D5B">
            <w:pPr>
              <w:spacing w:before="0" w:after="0"/>
              <w:ind w:firstLineChars="100" w:firstLine="160"/>
              <w:jc w:val="left"/>
              <w:rPr>
                <w:color w:val="000000"/>
                <w:sz w:val="16"/>
                <w:szCs w:val="16"/>
              </w:rPr>
            </w:pPr>
            <w:r w:rsidRPr="00597673">
              <w:rPr>
                <w:color w:val="000000"/>
                <w:sz w:val="16"/>
              </w:rPr>
              <w:t>20 02 03 (ДНП, МП, КНЕ и МЕД в делегациите на ЕС)</w:t>
            </w:r>
          </w:p>
        </w:tc>
        <w:tc>
          <w:tcPr>
            <w:tcW w:w="522" w:type="pct"/>
            <w:tcBorders>
              <w:top w:val="nil"/>
              <w:left w:val="nil"/>
              <w:bottom w:val="single" w:sz="8" w:space="0" w:color="auto"/>
              <w:right w:val="single" w:sz="8" w:space="0" w:color="auto"/>
            </w:tcBorders>
            <w:shd w:val="clear" w:color="000000" w:fill="D9D9D9"/>
            <w:vAlign w:val="center"/>
            <w:hideMark/>
          </w:tcPr>
          <w:p w14:paraId="684D3EB6"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66BB17E"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8525C3"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066E66" w14:textId="77777777" w:rsidR="00044D5B" w:rsidRPr="00597673" w:rsidRDefault="00044D5B">
            <w:pPr>
              <w:spacing w:before="0" w:after="0"/>
              <w:jc w:val="center"/>
              <w:rPr>
                <w:color w:val="000000"/>
                <w:sz w:val="16"/>
                <w:szCs w:val="16"/>
              </w:rPr>
            </w:pPr>
            <w:r w:rsidRPr="00597673">
              <w:rPr>
                <w:color w:val="000000"/>
                <w:sz w:val="16"/>
              </w:rPr>
              <w:t>0</w:t>
            </w:r>
          </w:p>
        </w:tc>
      </w:tr>
      <w:tr w:rsidR="00E62D64" w:rsidRPr="00597673" w14:paraId="54CE2DBA"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4BDDED8B" w14:textId="77777777" w:rsidR="00044D5B" w:rsidRPr="00597673" w:rsidRDefault="00044D5B">
            <w:pPr>
              <w:spacing w:before="0" w:after="0"/>
              <w:jc w:val="center"/>
              <w:rPr>
                <w:color w:val="000000"/>
                <w:sz w:val="16"/>
                <w:szCs w:val="16"/>
              </w:rPr>
            </w:pPr>
            <w:r w:rsidRPr="00597673">
              <w:rPr>
                <w:color w:val="000000"/>
                <w:sz w:val="16"/>
              </w:rPr>
              <w:t>Ред за административна подкрепа</w:t>
            </w:r>
            <w:r w:rsidRPr="00597673">
              <w:t xml:space="preserve"> </w:t>
            </w:r>
            <w:r w:rsidRPr="00597673">
              <w:br/>
            </w:r>
            <w:r w:rsidRPr="00597673">
              <w:rPr>
                <w:color w:val="000000"/>
                <w:sz w:val="16"/>
              </w:rPr>
              <w:t>[XX.01.YY.YY]</w:t>
            </w:r>
          </w:p>
        </w:tc>
        <w:tc>
          <w:tcPr>
            <w:tcW w:w="2098" w:type="pct"/>
            <w:tcBorders>
              <w:top w:val="nil"/>
              <w:left w:val="nil"/>
              <w:bottom w:val="single" w:sz="8" w:space="0" w:color="auto"/>
              <w:right w:val="single" w:sz="8" w:space="0" w:color="auto"/>
            </w:tcBorders>
            <w:vAlign w:val="center"/>
            <w:hideMark/>
          </w:tcPr>
          <w:p w14:paraId="1BEEC46B" w14:textId="77777777" w:rsidR="00044D5B" w:rsidRPr="00597673" w:rsidRDefault="00044D5B">
            <w:pPr>
              <w:spacing w:before="0" w:after="0"/>
              <w:ind w:firstLineChars="100" w:firstLine="160"/>
              <w:jc w:val="left"/>
              <w:rPr>
                <w:color w:val="000000"/>
                <w:sz w:val="16"/>
                <w:szCs w:val="16"/>
              </w:rPr>
            </w:pPr>
            <w:r w:rsidRPr="00597673">
              <w:rPr>
                <w:color w:val="000000"/>
                <w:sz w:val="16"/>
              </w:rPr>
              <w:t>— в централата</w:t>
            </w:r>
          </w:p>
        </w:tc>
        <w:tc>
          <w:tcPr>
            <w:tcW w:w="522" w:type="pct"/>
            <w:tcBorders>
              <w:top w:val="nil"/>
              <w:left w:val="nil"/>
              <w:bottom w:val="single" w:sz="8" w:space="0" w:color="auto"/>
              <w:right w:val="single" w:sz="8" w:space="0" w:color="auto"/>
            </w:tcBorders>
            <w:shd w:val="clear" w:color="000000" w:fill="D9D9D9"/>
            <w:vAlign w:val="center"/>
            <w:hideMark/>
          </w:tcPr>
          <w:p w14:paraId="31F1F06C"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A137E0"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E961A5"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53C58B" w14:textId="77777777" w:rsidR="00044D5B" w:rsidRPr="00597673" w:rsidRDefault="00044D5B">
            <w:pPr>
              <w:spacing w:before="0" w:after="0"/>
              <w:jc w:val="center"/>
              <w:rPr>
                <w:color w:val="000000"/>
                <w:sz w:val="16"/>
                <w:szCs w:val="16"/>
              </w:rPr>
            </w:pPr>
            <w:r w:rsidRPr="00597673">
              <w:rPr>
                <w:color w:val="000000"/>
                <w:sz w:val="16"/>
              </w:rPr>
              <w:t>0</w:t>
            </w:r>
          </w:p>
        </w:tc>
      </w:tr>
      <w:tr w:rsidR="00E62D64" w:rsidRPr="00597673" w14:paraId="7E032C87"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04BD164F" w14:textId="77777777" w:rsidR="00044D5B" w:rsidRPr="00597673" w:rsidRDefault="00044D5B">
            <w:pPr>
              <w:spacing w:before="0" w:after="0"/>
              <w:jc w:val="left"/>
              <w:rPr>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650D9117" w14:textId="77777777" w:rsidR="00044D5B" w:rsidRPr="00597673" w:rsidRDefault="00044D5B">
            <w:pPr>
              <w:spacing w:before="0" w:after="0"/>
              <w:ind w:firstLineChars="100" w:firstLine="160"/>
              <w:jc w:val="left"/>
              <w:rPr>
                <w:color w:val="000000"/>
                <w:sz w:val="16"/>
                <w:szCs w:val="16"/>
              </w:rPr>
            </w:pPr>
            <w:r w:rsidRPr="00597673">
              <w:rPr>
                <w:color w:val="000000"/>
                <w:sz w:val="16"/>
              </w:rPr>
              <w:t xml:space="preserve">— в делегациите на ЕС </w:t>
            </w:r>
          </w:p>
        </w:tc>
        <w:tc>
          <w:tcPr>
            <w:tcW w:w="522" w:type="pct"/>
            <w:tcBorders>
              <w:top w:val="nil"/>
              <w:left w:val="nil"/>
              <w:bottom w:val="single" w:sz="8" w:space="0" w:color="auto"/>
              <w:right w:val="single" w:sz="8" w:space="0" w:color="auto"/>
            </w:tcBorders>
            <w:shd w:val="clear" w:color="000000" w:fill="D9D9D9"/>
            <w:vAlign w:val="center"/>
            <w:hideMark/>
          </w:tcPr>
          <w:p w14:paraId="548408A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84BEA3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364549C"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B0EB358"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5C153BD7"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AD03718"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01 01 01 02</w:t>
            </w:r>
            <w:r w:rsidRPr="00597673">
              <w:rPr>
                <w:rFonts w:ascii="Arial Narrow" w:hAnsi="Arial Narrow"/>
                <w:color w:val="000000"/>
                <w:sz w:val="20"/>
              </w:rPr>
              <w:t> </w:t>
            </w:r>
            <w:r w:rsidRPr="00597673">
              <w:rPr>
                <w:color w:val="000000"/>
                <w:sz w:val="16"/>
              </w:rPr>
              <w:t>(ДНП, КНЕ — 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00DE7DE5"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2907C6D"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C02515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FF66F35"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73FC75E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5A57D0D" w14:textId="77777777" w:rsidR="00044D5B" w:rsidRPr="00597673" w:rsidRDefault="00044D5B">
            <w:pPr>
              <w:spacing w:before="0" w:after="0"/>
              <w:ind w:firstLineChars="100" w:firstLine="160"/>
              <w:jc w:val="left"/>
              <w:rPr>
                <w:color w:val="000000"/>
                <w:sz w:val="16"/>
                <w:szCs w:val="16"/>
              </w:rPr>
            </w:pPr>
            <w:r w:rsidRPr="00597673">
              <w:rPr>
                <w:color w:val="000000"/>
                <w:sz w:val="16"/>
              </w:rPr>
              <w:t xml:space="preserve"> 01 01 01 12 (ДНП, КНЕ —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28BB1C50"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D39F29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31B85C9"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1E83314"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7F992502"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74437FF"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 — функция 7</w:t>
            </w:r>
          </w:p>
        </w:tc>
        <w:tc>
          <w:tcPr>
            <w:tcW w:w="522" w:type="pct"/>
            <w:tcBorders>
              <w:top w:val="nil"/>
              <w:left w:val="nil"/>
              <w:bottom w:val="single" w:sz="8" w:space="0" w:color="auto"/>
              <w:right w:val="single" w:sz="8" w:space="0" w:color="auto"/>
            </w:tcBorders>
            <w:shd w:val="clear" w:color="000000" w:fill="D9D9D9"/>
            <w:vAlign w:val="center"/>
            <w:hideMark/>
          </w:tcPr>
          <w:p w14:paraId="4F250F1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C012C8"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29D7C69"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EBACEB8"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6A0C2CE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12DB876"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 — извън функция 7</w:t>
            </w:r>
          </w:p>
        </w:tc>
        <w:tc>
          <w:tcPr>
            <w:tcW w:w="522" w:type="pct"/>
            <w:tcBorders>
              <w:top w:val="nil"/>
              <w:left w:val="nil"/>
              <w:bottom w:val="single" w:sz="8" w:space="0" w:color="auto"/>
              <w:right w:val="single" w:sz="8" w:space="0" w:color="auto"/>
            </w:tcBorders>
            <w:shd w:val="clear" w:color="000000" w:fill="D9D9D9"/>
            <w:vAlign w:val="center"/>
            <w:hideMark/>
          </w:tcPr>
          <w:p w14:paraId="420A4EB9"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07AF077"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67D63B"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925678"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5E51A2E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023AF06" w14:textId="77777777" w:rsidR="00044D5B" w:rsidRPr="00597673" w:rsidRDefault="00044D5B">
            <w:pPr>
              <w:spacing w:before="0" w:after="0"/>
              <w:ind w:firstLineChars="100" w:firstLine="161"/>
              <w:jc w:val="left"/>
              <w:rPr>
                <w:b/>
                <w:bCs/>
                <w:color w:val="000000"/>
                <w:sz w:val="16"/>
                <w:szCs w:val="16"/>
              </w:rPr>
            </w:pPr>
            <w:r w:rsidRPr="00597673">
              <w:rPr>
                <w:b/>
                <w:color w:val="000000"/>
                <w:sz w:val="16"/>
              </w:rPr>
              <w:t>ОБЩО</w:t>
            </w:r>
          </w:p>
        </w:tc>
        <w:tc>
          <w:tcPr>
            <w:tcW w:w="522" w:type="pct"/>
            <w:tcBorders>
              <w:top w:val="nil"/>
              <w:left w:val="nil"/>
              <w:bottom w:val="single" w:sz="8" w:space="0" w:color="auto"/>
              <w:right w:val="single" w:sz="8" w:space="0" w:color="auto"/>
            </w:tcBorders>
            <w:shd w:val="clear" w:color="000000" w:fill="D9D9D9"/>
            <w:vAlign w:val="center"/>
            <w:hideMark/>
          </w:tcPr>
          <w:p w14:paraId="23FE64DB" w14:textId="77777777" w:rsidR="00044D5B" w:rsidRPr="00597673" w:rsidRDefault="00044D5B">
            <w:pPr>
              <w:spacing w:before="0" w:after="0"/>
              <w:jc w:val="center"/>
              <w:rPr>
                <w:b/>
                <w:bCs/>
                <w:color w:val="000000"/>
                <w:sz w:val="16"/>
                <w:szCs w:val="16"/>
              </w:rPr>
            </w:pPr>
            <w:r w:rsidRPr="00597673">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16FD9C8" w14:textId="77777777" w:rsidR="00044D5B" w:rsidRPr="00597673" w:rsidRDefault="00044D5B">
            <w:pPr>
              <w:spacing w:before="0" w:after="0"/>
              <w:jc w:val="center"/>
              <w:rPr>
                <w:b/>
                <w:bCs/>
                <w:color w:val="000000"/>
                <w:sz w:val="16"/>
                <w:szCs w:val="16"/>
              </w:rPr>
            </w:pPr>
            <w:r w:rsidRPr="00597673">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B02BEA5" w14:textId="77777777" w:rsidR="00044D5B" w:rsidRPr="00597673" w:rsidRDefault="00044D5B">
            <w:pPr>
              <w:spacing w:before="0" w:after="0"/>
              <w:jc w:val="center"/>
              <w:rPr>
                <w:b/>
                <w:bCs/>
                <w:color w:val="000000"/>
                <w:sz w:val="16"/>
                <w:szCs w:val="16"/>
              </w:rPr>
            </w:pPr>
            <w:r w:rsidRPr="00597673">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58BCD8" w14:textId="77777777" w:rsidR="00044D5B" w:rsidRPr="00597673" w:rsidRDefault="00044D5B">
            <w:pPr>
              <w:spacing w:before="0" w:after="0"/>
              <w:jc w:val="center"/>
              <w:rPr>
                <w:b/>
                <w:bCs/>
                <w:color w:val="000000"/>
                <w:sz w:val="16"/>
                <w:szCs w:val="16"/>
              </w:rPr>
            </w:pPr>
            <w:r w:rsidRPr="00597673">
              <w:rPr>
                <w:b/>
                <w:color w:val="000000"/>
                <w:sz w:val="16"/>
              </w:rPr>
              <w:t>0</w:t>
            </w:r>
          </w:p>
        </w:tc>
      </w:tr>
    </w:tbl>
    <w:p w14:paraId="7CE2679A" w14:textId="77777777" w:rsidR="00044D5B" w:rsidRPr="00597673" w:rsidRDefault="00044D5B" w:rsidP="00044D5B">
      <w:pPr>
        <w:pStyle w:val="ManualHeading3"/>
      </w:pPr>
      <w:r w:rsidRPr="00597673">
        <w:t>3.2.4.2.</w:t>
      </w:r>
      <w:r w:rsidRPr="00597673">
        <w:tab/>
        <w:t>Финансирани от външни целеви приходи</w:t>
      </w:r>
    </w:p>
    <w:tbl>
      <w:tblPr>
        <w:tblW w:w="5000" w:type="pct"/>
        <w:tblInd w:w="-118" w:type="dxa"/>
        <w:tblCellMar>
          <w:left w:w="0" w:type="dxa"/>
          <w:right w:w="0" w:type="dxa"/>
        </w:tblCellMar>
        <w:tblLook w:val="04A0" w:firstRow="1" w:lastRow="0" w:firstColumn="1" w:lastColumn="0" w:noHBand="0" w:noVBand="1"/>
      </w:tblPr>
      <w:tblGrid>
        <w:gridCol w:w="1483"/>
        <w:gridCol w:w="3816"/>
        <w:gridCol w:w="949"/>
        <w:gridCol w:w="949"/>
        <w:gridCol w:w="949"/>
        <w:gridCol w:w="947"/>
      </w:tblGrid>
      <w:tr w:rsidR="00E6355E" w:rsidRPr="00597673" w14:paraId="3490D8E2"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4AD854B" w14:textId="77777777" w:rsidR="00044D5B" w:rsidRPr="00597673" w:rsidRDefault="00044D5B">
            <w:pPr>
              <w:spacing w:before="0" w:after="0"/>
              <w:jc w:val="center"/>
              <w:rPr>
                <w:b/>
                <w:bCs/>
                <w:color w:val="000000"/>
                <w:sz w:val="18"/>
                <w:szCs w:val="18"/>
              </w:rPr>
            </w:pPr>
            <w:r w:rsidRPr="00597673">
              <w:rPr>
                <w:b/>
                <w:color w:val="000000"/>
                <w:sz w:val="18"/>
              </w:rPr>
              <w:t>ВЪНШНИ ЦЕЛЕВИ ПРИХОДИ</w:t>
            </w:r>
          </w:p>
        </w:tc>
        <w:tc>
          <w:tcPr>
            <w:tcW w:w="522" w:type="pct"/>
            <w:tcBorders>
              <w:top w:val="single" w:sz="8" w:space="0" w:color="auto"/>
              <w:left w:val="nil"/>
              <w:bottom w:val="nil"/>
              <w:right w:val="single" w:sz="8" w:space="0" w:color="auto"/>
            </w:tcBorders>
            <w:vAlign w:val="center"/>
            <w:hideMark/>
          </w:tcPr>
          <w:p w14:paraId="5FDF5BF2"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2" w:type="pct"/>
            <w:tcBorders>
              <w:top w:val="single" w:sz="8" w:space="0" w:color="auto"/>
              <w:left w:val="nil"/>
              <w:bottom w:val="nil"/>
              <w:right w:val="single" w:sz="8" w:space="0" w:color="auto"/>
            </w:tcBorders>
            <w:vAlign w:val="center"/>
            <w:hideMark/>
          </w:tcPr>
          <w:p w14:paraId="16D73A9E"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2" w:type="pct"/>
            <w:tcBorders>
              <w:top w:val="single" w:sz="8" w:space="0" w:color="auto"/>
              <w:left w:val="nil"/>
              <w:bottom w:val="nil"/>
              <w:right w:val="single" w:sz="8" w:space="0" w:color="auto"/>
            </w:tcBorders>
            <w:vAlign w:val="center"/>
            <w:hideMark/>
          </w:tcPr>
          <w:p w14:paraId="59F081DC" w14:textId="77777777" w:rsidR="00044D5B" w:rsidRPr="00597673" w:rsidRDefault="00044D5B">
            <w:pPr>
              <w:spacing w:before="0" w:after="0"/>
              <w:jc w:val="center"/>
              <w:rPr>
                <w:color w:val="000000"/>
                <w:sz w:val="20"/>
                <w:szCs w:val="20"/>
              </w:rPr>
            </w:pPr>
            <w:r w:rsidRPr="00597673">
              <w:rPr>
                <w:color w:val="000000"/>
                <w:sz w:val="20"/>
              </w:rPr>
              <w:t>Година</w:t>
            </w:r>
          </w:p>
        </w:tc>
        <w:tc>
          <w:tcPr>
            <w:tcW w:w="522" w:type="pct"/>
            <w:tcBorders>
              <w:top w:val="single" w:sz="8" w:space="0" w:color="auto"/>
              <w:left w:val="nil"/>
              <w:bottom w:val="nil"/>
              <w:right w:val="single" w:sz="8" w:space="0" w:color="auto"/>
            </w:tcBorders>
            <w:vAlign w:val="center"/>
            <w:hideMark/>
          </w:tcPr>
          <w:p w14:paraId="7AB2B32E" w14:textId="77777777" w:rsidR="00044D5B" w:rsidRPr="00597673" w:rsidRDefault="00044D5B">
            <w:pPr>
              <w:spacing w:before="0" w:after="0"/>
              <w:jc w:val="center"/>
              <w:rPr>
                <w:color w:val="000000"/>
                <w:sz w:val="20"/>
                <w:szCs w:val="20"/>
              </w:rPr>
            </w:pPr>
            <w:r w:rsidRPr="00597673">
              <w:rPr>
                <w:color w:val="000000"/>
                <w:sz w:val="20"/>
              </w:rPr>
              <w:t>Година</w:t>
            </w:r>
          </w:p>
        </w:tc>
      </w:tr>
      <w:tr w:rsidR="00E6355E" w:rsidRPr="00597673" w14:paraId="4009CDC6"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33DD229B" w14:textId="77777777" w:rsidR="00044D5B" w:rsidRPr="00597673" w:rsidRDefault="00044D5B">
            <w:pPr>
              <w:spacing w:before="0" w:after="0"/>
              <w:jc w:val="left"/>
              <w:rPr>
                <w:b/>
                <w:bCs/>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4585593E"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522" w:type="pct"/>
            <w:tcBorders>
              <w:top w:val="nil"/>
              <w:left w:val="nil"/>
              <w:bottom w:val="single" w:sz="8" w:space="0" w:color="auto"/>
              <w:right w:val="single" w:sz="8" w:space="0" w:color="auto"/>
            </w:tcBorders>
            <w:vAlign w:val="center"/>
            <w:hideMark/>
          </w:tcPr>
          <w:p w14:paraId="27BD7D8F"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522" w:type="pct"/>
            <w:tcBorders>
              <w:top w:val="nil"/>
              <w:left w:val="nil"/>
              <w:bottom w:val="single" w:sz="8" w:space="0" w:color="auto"/>
              <w:right w:val="single" w:sz="8" w:space="0" w:color="auto"/>
            </w:tcBorders>
            <w:vAlign w:val="center"/>
            <w:hideMark/>
          </w:tcPr>
          <w:p w14:paraId="2B86AF37"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522" w:type="pct"/>
            <w:tcBorders>
              <w:top w:val="nil"/>
              <w:left w:val="nil"/>
              <w:bottom w:val="single" w:sz="8" w:space="0" w:color="auto"/>
              <w:right w:val="single" w:sz="8" w:space="0" w:color="auto"/>
            </w:tcBorders>
            <w:vAlign w:val="center"/>
            <w:hideMark/>
          </w:tcPr>
          <w:p w14:paraId="68FCA9C5" w14:textId="77777777" w:rsidR="00044D5B" w:rsidRPr="00597673" w:rsidRDefault="00044D5B">
            <w:pPr>
              <w:spacing w:before="0" w:after="0"/>
              <w:jc w:val="center"/>
              <w:rPr>
                <w:b/>
                <w:bCs/>
                <w:color w:val="000000"/>
                <w:sz w:val="20"/>
                <w:szCs w:val="20"/>
              </w:rPr>
            </w:pPr>
            <w:r w:rsidRPr="00597673">
              <w:rPr>
                <w:b/>
                <w:color w:val="000000"/>
                <w:sz w:val="20"/>
              </w:rPr>
              <w:t>2027 г.</w:t>
            </w:r>
          </w:p>
        </w:tc>
      </w:tr>
      <w:tr w:rsidR="00C45E62" w:rsidRPr="00597673" w14:paraId="3D7A3EDD"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5327EB49" w14:textId="77777777" w:rsidR="00044D5B" w:rsidRPr="00597673" w:rsidRDefault="00044D5B">
            <w:pPr>
              <w:spacing w:before="0" w:after="0"/>
              <w:jc w:val="left"/>
              <w:rPr>
                <w:rFonts w:ascii="Wingdings" w:hAnsi="Wingdings" w:cs="Calibri"/>
                <w:b/>
                <w:bCs/>
                <w:color w:val="000000"/>
                <w:sz w:val="16"/>
                <w:szCs w:val="16"/>
              </w:rPr>
            </w:pPr>
            <w:r w:rsidRPr="00597673">
              <w:rPr>
                <w:rFonts w:ascii="Wingdings" w:hAnsi="Wingdings"/>
                <w:b/>
                <w:color w:val="000000"/>
                <w:sz w:val="16"/>
              </w:rPr>
              <w:t>Ÿ</w:t>
            </w:r>
            <w:r w:rsidRPr="00597673">
              <w:rPr>
                <w:b/>
                <w:color w:val="000000"/>
                <w:sz w:val="16"/>
              </w:rPr>
              <w:t xml:space="preserve"> Длъжности в щатното разписание (длъжностни лица и срочно наети служители)</w:t>
            </w:r>
          </w:p>
        </w:tc>
      </w:tr>
      <w:tr w:rsidR="00E6355E" w:rsidRPr="00597673" w14:paraId="376B3E8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5CA7AFB" w14:textId="77777777" w:rsidR="00044D5B" w:rsidRPr="00597673" w:rsidRDefault="00044D5B">
            <w:pPr>
              <w:spacing w:before="0" w:after="0"/>
              <w:ind w:firstLineChars="100" w:firstLine="160"/>
              <w:jc w:val="left"/>
              <w:rPr>
                <w:color w:val="000000"/>
                <w:sz w:val="16"/>
                <w:szCs w:val="16"/>
              </w:rPr>
            </w:pPr>
            <w:r w:rsidRPr="00597673">
              <w:rPr>
                <w:color w:val="000000"/>
                <w:sz w:val="16"/>
              </w:rPr>
              <w:t>20 01 02 01</w:t>
            </w:r>
            <w:r w:rsidRPr="00597673">
              <w:rPr>
                <w:rFonts w:ascii="Arial Narrow" w:hAnsi="Arial Narrow"/>
                <w:color w:val="000000"/>
                <w:sz w:val="20"/>
              </w:rPr>
              <w:t> </w:t>
            </w:r>
            <w:r w:rsidRPr="00597673">
              <w:rPr>
                <w:color w:val="000000"/>
                <w:sz w:val="16"/>
              </w:rPr>
              <w:t>(Централа и представителства на Комисията)</w:t>
            </w:r>
          </w:p>
        </w:tc>
        <w:tc>
          <w:tcPr>
            <w:tcW w:w="522" w:type="pct"/>
            <w:tcBorders>
              <w:top w:val="nil"/>
              <w:left w:val="nil"/>
              <w:bottom w:val="single" w:sz="8" w:space="0" w:color="auto"/>
              <w:right w:val="single" w:sz="8" w:space="0" w:color="auto"/>
            </w:tcBorders>
            <w:shd w:val="clear" w:color="000000" w:fill="D9D9D9"/>
            <w:vAlign w:val="center"/>
            <w:hideMark/>
          </w:tcPr>
          <w:p w14:paraId="13DCA8BB"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41D498"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F8589B5"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100D154"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2966008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84BD2E3" w14:textId="77777777" w:rsidR="00044D5B" w:rsidRPr="00597673" w:rsidRDefault="00044D5B">
            <w:pPr>
              <w:spacing w:before="0" w:after="0"/>
              <w:ind w:firstLineChars="100" w:firstLine="160"/>
              <w:jc w:val="left"/>
              <w:rPr>
                <w:color w:val="000000"/>
                <w:sz w:val="16"/>
                <w:szCs w:val="16"/>
              </w:rPr>
            </w:pPr>
            <w:r w:rsidRPr="00597673">
              <w:rPr>
                <w:color w:val="000000"/>
                <w:sz w:val="16"/>
              </w:rPr>
              <w:t>20 01 02 03 (Делегации на ЕС)</w:t>
            </w:r>
          </w:p>
        </w:tc>
        <w:tc>
          <w:tcPr>
            <w:tcW w:w="522" w:type="pct"/>
            <w:tcBorders>
              <w:top w:val="nil"/>
              <w:left w:val="nil"/>
              <w:bottom w:val="single" w:sz="8" w:space="0" w:color="auto"/>
              <w:right w:val="single" w:sz="8" w:space="0" w:color="auto"/>
            </w:tcBorders>
            <w:shd w:val="clear" w:color="000000" w:fill="D9D9D9"/>
            <w:vAlign w:val="center"/>
            <w:hideMark/>
          </w:tcPr>
          <w:p w14:paraId="7FE6074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6B1630B"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E315E68"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FFAB93"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0B874EC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92F9BAE"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01 (Непреки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42742B1E"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A6ED9E"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F6D0CB"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2B4C21B"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15C35CB5"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0E67213"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11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03B322D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4B4C39"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5B7E533"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AE09BBB"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6DE5749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2C84454"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w:t>
            </w:r>
          </w:p>
        </w:tc>
        <w:tc>
          <w:tcPr>
            <w:tcW w:w="522" w:type="pct"/>
            <w:tcBorders>
              <w:top w:val="nil"/>
              <w:left w:val="nil"/>
              <w:bottom w:val="single" w:sz="8" w:space="0" w:color="auto"/>
              <w:right w:val="single" w:sz="8" w:space="0" w:color="auto"/>
            </w:tcBorders>
            <w:shd w:val="clear" w:color="000000" w:fill="D9D9D9"/>
            <w:vAlign w:val="center"/>
            <w:hideMark/>
          </w:tcPr>
          <w:p w14:paraId="57F2034F"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A75E1C3"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762F48C"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A4C5854" w14:textId="77777777" w:rsidR="00044D5B" w:rsidRPr="00597673" w:rsidRDefault="00044D5B">
            <w:pPr>
              <w:spacing w:before="0" w:after="0"/>
              <w:jc w:val="center"/>
              <w:rPr>
                <w:color w:val="000000"/>
                <w:sz w:val="16"/>
                <w:szCs w:val="16"/>
              </w:rPr>
            </w:pPr>
            <w:r w:rsidRPr="00597673">
              <w:rPr>
                <w:color w:val="000000"/>
                <w:sz w:val="16"/>
              </w:rPr>
              <w:t>0</w:t>
            </w:r>
          </w:p>
        </w:tc>
      </w:tr>
      <w:tr w:rsidR="00C45E62" w:rsidRPr="00597673" w14:paraId="56B91793"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6B5C7A7" w14:textId="77777777" w:rsidR="00044D5B" w:rsidRPr="00597673" w:rsidRDefault="00044D5B">
            <w:pPr>
              <w:spacing w:before="0" w:after="0"/>
              <w:jc w:val="left"/>
              <w:rPr>
                <w:rFonts w:ascii="Wingdings" w:hAnsi="Wingdings" w:cs="Calibri"/>
                <w:b/>
                <w:bCs/>
                <w:color w:val="000000"/>
                <w:sz w:val="16"/>
                <w:szCs w:val="16"/>
              </w:rPr>
            </w:pPr>
            <w:r w:rsidRPr="00597673">
              <w:rPr>
                <w:rFonts w:ascii="Calibri" w:hAnsi="Calibri"/>
                <w:b/>
                <w:color w:val="000000"/>
                <w:sz w:val="16"/>
              </w:rPr>
              <w:t>•</w:t>
            </w:r>
            <w:r w:rsidRPr="00597673">
              <w:rPr>
                <w:b/>
                <w:color w:val="000000"/>
                <w:sz w:val="16"/>
              </w:rPr>
              <w:t xml:space="preserve"> Външен персонал (в еквиваленти на пълно работно време)</w:t>
            </w:r>
          </w:p>
        </w:tc>
      </w:tr>
      <w:tr w:rsidR="00E6355E" w:rsidRPr="00597673" w14:paraId="663C3EDA"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5CA4E4D" w14:textId="77777777" w:rsidR="00044D5B" w:rsidRPr="00597673" w:rsidRDefault="00044D5B">
            <w:pPr>
              <w:spacing w:before="0" w:after="0"/>
              <w:ind w:firstLineChars="100" w:firstLine="160"/>
              <w:jc w:val="left"/>
              <w:rPr>
                <w:color w:val="000000"/>
                <w:sz w:val="16"/>
                <w:szCs w:val="16"/>
              </w:rPr>
            </w:pPr>
            <w:r w:rsidRPr="00597673">
              <w:rPr>
                <w:color w:val="000000"/>
                <w:sz w:val="16"/>
              </w:rPr>
              <w:t>20 02 01</w:t>
            </w:r>
            <w:r w:rsidRPr="00597673">
              <w:rPr>
                <w:rFonts w:ascii="Arial Narrow" w:hAnsi="Arial Narrow"/>
                <w:color w:val="000000"/>
                <w:sz w:val="20"/>
              </w:rPr>
              <w:t> </w:t>
            </w:r>
            <w:r w:rsidRPr="00597673">
              <w:rPr>
                <w:color w:val="000000"/>
                <w:sz w:val="16"/>
              </w:rPr>
              <w:t>(ДНП, КНЕ от общия финансов пакет)</w:t>
            </w:r>
          </w:p>
        </w:tc>
        <w:tc>
          <w:tcPr>
            <w:tcW w:w="522" w:type="pct"/>
            <w:tcBorders>
              <w:top w:val="nil"/>
              <w:left w:val="nil"/>
              <w:bottom w:val="single" w:sz="8" w:space="0" w:color="auto"/>
              <w:right w:val="single" w:sz="8" w:space="0" w:color="auto"/>
            </w:tcBorders>
            <w:shd w:val="clear" w:color="000000" w:fill="D9D9D9"/>
            <w:vAlign w:val="center"/>
            <w:hideMark/>
          </w:tcPr>
          <w:p w14:paraId="0D2AA908"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8A34F34"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C2259AD"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CD72F3D"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508252AE"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0442F9A" w14:textId="77777777" w:rsidR="00044D5B" w:rsidRPr="00597673" w:rsidRDefault="00044D5B">
            <w:pPr>
              <w:spacing w:before="0" w:after="0"/>
              <w:ind w:firstLineChars="100" w:firstLine="160"/>
              <w:jc w:val="left"/>
              <w:rPr>
                <w:color w:val="000000"/>
                <w:sz w:val="16"/>
                <w:szCs w:val="16"/>
              </w:rPr>
            </w:pPr>
            <w:r w:rsidRPr="00597673">
              <w:rPr>
                <w:color w:val="000000"/>
                <w:sz w:val="16"/>
              </w:rPr>
              <w:t>20 02 03 (ДНП, МП, КНЕ и МЕД в делегациите на ЕС)</w:t>
            </w:r>
          </w:p>
        </w:tc>
        <w:tc>
          <w:tcPr>
            <w:tcW w:w="522" w:type="pct"/>
            <w:tcBorders>
              <w:top w:val="nil"/>
              <w:left w:val="nil"/>
              <w:bottom w:val="single" w:sz="8" w:space="0" w:color="auto"/>
              <w:right w:val="single" w:sz="8" w:space="0" w:color="auto"/>
            </w:tcBorders>
            <w:shd w:val="clear" w:color="000000" w:fill="D9D9D9"/>
            <w:vAlign w:val="center"/>
            <w:hideMark/>
          </w:tcPr>
          <w:p w14:paraId="42E2EAD5"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657B696"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045DBA"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88C7C1D" w14:textId="77777777" w:rsidR="00044D5B" w:rsidRPr="00597673" w:rsidRDefault="00044D5B">
            <w:pPr>
              <w:spacing w:before="0" w:after="0"/>
              <w:jc w:val="center"/>
              <w:rPr>
                <w:color w:val="000000"/>
                <w:sz w:val="16"/>
                <w:szCs w:val="16"/>
              </w:rPr>
            </w:pPr>
            <w:r w:rsidRPr="00597673">
              <w:rPr>
                <w:color w:val="000000"/>
                <w:sz w:val="16"/>
              </w:rPr>
              <w:t>0</w:t>
            </w:r>
          </w:p>
        </w:tc>
      </w:tr>
      <w:tr w:rsidR="00E62D64" w:rsidRPr="00597673" w14:paraId="2B76F972"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32AAB780" w14:textId="77777777" w:rsidR="00044D5B" w:rsidRPr="00597673" w:rsidRDefault="00044D5B">
            <w:pPr>
              <w:spacing w:before="0" w:after="0"/>
              <w:jc w:val="center"/>
              <w:rPr>
                <w:color w:val="000000"/>
                <w:sz w:val="16"/>
                <w:szCs w:val="16"/>
              </w:rPr>
            </w:pPr>
            <w:r w:rsidRPr="00597673">
              <w:rPr>
                <w:color w:val="000000"/>
                <w:sz w:val="16"/>
              </w:rPr>
              <w:t xml:space="preserve">Ред Ред за административна подкрепа </w:t>
            </w:r>
            <w:r w:rsidRPr="00597673">
              <w:t xml:space="preserve"> </w:t>
            </w:r>
            <w:r w:rsidRPr="00597673">
              <w:br/>
            </w:r>
            <w:r w:rsidRPr="00597673">
              <w:rPr>
                <w:color w:val="000000"/>
                <w:sz w:val="16"/>
              </w:rPr>
              <w:t>[XX.01.YY.YY]</w:t>
            </w:r>
          </w:p>
        </w:tc>
        <w:tc>
          <w:tcPr>
            <w:tcW w:w="2098" w:type="pct"/>
            <w:tcBorders>
              <w:top w:val="nil"/>
              <w:left w:val="nil"/>
              <w:bottom w:val="single" w:sz="8" w:space="0" w:color="auto"/>
              <w:right w:val="single" w:sz="8" w:space="0" w:color="auto"/>
            </w:tcBorders>
            <w:vAlign w:val="center"/>
            <w:hideMark/>
          </w:tcPr>
          <w:p w14:paraId="5A4E7E9E" w14:textId="77777777" w:rsidR="00044D5B" w:rsidRPr="00597673" w:rsidRDefault="00044D5B">
            <w:pPr>
              <w:spacing w:before="0" w:after="0"/>
              <w:ind w:firstLineChars="100" w:firstLine="160"/>
              <w:jc w:val="left"/>
              <w:rPr>
                <w:color w:val="000000"/>
                <w:sz w:val="16"/>
                <w:szCs w:val="16"/>
              </w:rPr>
            </w:pPr>
            <w:r w:rsidRPr="00597673">
              <w:rPr>
                <w:color w:val="000000"/>
                <w:sz w:val="16"/>
              </w:rPr>
              <w:t>— в централата</w:t>
            </w:r>
          </w:p>
        </w:tc>
        <w:tc>
          <w:tcPr>
            <w:tcW w:w="522" w:type="pct"/>
            <w:tcBorders>
              <w:top w:val="nil"/>
              <w:left w:val="nil"/>
              <w:bottom w:val="single" w:sz="8" w:space="0" w:color="auto"/>
              <w:right w:val="single" w:sz="8" w:space="0" w:color="auto"/>
            </w:tcBorders>
            <w:shd w:val="clear" w:color="000000" w:fill="D9D9D9"/>
            <w:vAlign w:val="center"/>
            <w:hideMark/>
          </w:tcPr>
          <w:p w14:paraId="105C5A6E"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205D81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53F0786"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E10897B" w14:textId="77777777" w:rsidR="00044D5B" w:rsidRPr="00597673" w:rsidRDefault="00044D5B">
            <w:pPr>
              <w:spacing w:before="0" w:after="0"/>
              <w:jc w:val="center"/>
              <w:rPr>
                <w:color w:val="000000"/>
                <w:sz w:val="16"/>
                <w:szCs w:val="16"/>
              </w:rPr>
            </w:pPr>
            <w:r w:rsidRPr="00597673">
              <w:rPr>
                <w:color w:val="000000"/>
                <w:sz w:val="16"/>
              </w:rPr>
              <w:t>0</w:t>
            </w:r>
          </w:p>
        </w:tc>
      </w:tr>
      <w:tr w:rsidR="00E62D64" w:rsidRPr="00597673" w14:paraId="4C779C15"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0E4C4204" w14:textId="77777777" w:rsidR="00044D5B" w:rsidRPr="00597673" w:rsidRDefault="00044D5B">
            <w:pPr>
              <w:spacing w:before="0" w:after="0"/>
              <w:jc w:val="left"/>
              <w:rPr>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1E8D3E64" w14:textId="77777777" w:rsidR="00044D5B" w:rsidRPr="00597673" w:rsidRDefault="00044D5B">
            <w:pPr>
              <w:spacing w:before="0" w:after="0"/>
              <w:ind w:firstLineChars="100" w:firstLine="160"/>
              <w:jc w:val="left"/>
              <w:rPr>
                <w:color w:val="000000"/>
                <w:sz w:val="16"/>
                <w:szCs w:val="16"/>
              </w:rPr>
            </w:pPr>
            <w:r w:rsidRPr="00597673">
              <w:rPr>
                <w:color w:val="000000"/>
                <w:sz w:val="16"/>
              </w:rPr>
              <w:t xml:space="preserve">— в делегациите на ЕС </w:t>
            </w:r>
          </w:p>
        </w:tc>
        <w:tc>
          <w:tcPr>
            <w:tcW w:w="522" w:type="pct"/>
            <w:tcBorders>
              <w:top w:val="nil"/>
              <w:left w:val="nil"/>
              <w:bottom w:val="single" w:sz="8" w:space="0" w:color="auto"/>
              <w:right w:val="single" w:sz="8" w:space="0" w:color="auto"/>
            </w:tcBorders>
            <w:shd w:val="clear" w:color="000000" w:fill="D9D9D9"/>
            <w:vAlign w:val="center"/>
            <w:hideMark/>
          </w:tcPr>
          <w:p w14:paraId="2B9F38E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655CC35"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487D721"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A5510F1"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57A3C79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3ABA3C1"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01 01 01 02</w:t>
            </w:r>
            <w:r w:rsidRPr="00597673">
              <w:rPr>
                <w:rFonts w:ascii="Arial Narrow" w:hAnsi="Arial Narrow"/>
                <w:color w:val="000000"/>
                <w:sz w:val="20"/>
              </w:rPr>
              <w:t> </w:t>
            </w:r>
            <w:r w:rsidRPr="00597673">
              <w:rPr>
                <w:color w:val="000000"/>
                <w:sz w:val="16"/>
              </w:rPr>
              <w:t>(ДНП, КНЕ — Непреки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0AB5D997"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692B5A"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6B1100F"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C1ECBD"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21A738F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12D60F2" w14:textId="77777777" w:rsidR="00044D5B" w:rsidRPr="00597673" w:rsidRDefault="00044D5B">
            <w:pPr>
              <w:spacing w:before="0" w:after="0"/>
              <w:ind w:firstLineChars="100" w:firstLine="160"/>
              <w:jc w:val="left"/>
              <w:rPr>
                <w:color w:val="000000"/>
                <w:sz w:val="16"/>
                <w:szCs w:val="16"/>
              </w:rPr>
            </w:pPr>
            <w:r w:rsidRPr="00597673">
              <w:rPr>
                <w:color w:val="000000"/>
                <w:sz w:val="16"/>
              </w:rPr>
              <w:t xml:space="preserve"> 01 01 01 12 (ДНП, КНЕ — Преки научни изследвания)</w:t>
            </w:r>
          </w:p>
        </w:tc>
        <w:tc>
          <w:tcPr>
            <w:tcW w:w="522" w:type="pct"/>
            <w:tcBorders>
              <w:top w:val="nil"/>
              <w:left w:val="nil"/>
              <w:bottom w:val="single" w:sz="8" w:space="0" w:color="auto"/>
              <w:right w:val="single" w:sz="8" w:space="0" w:color="auto"/>
            </w:tcBorders>
            <w:shd w:val="clear" w:color="000000" w:fill="D9D9D9"/>
            <w:vAlign w:val="center"/>
            <w:hideMark/>
          </w:tcPr>
          <w:p w14:paraId="04ED0360"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A73D17"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DF4C36"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7B7794"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7458A57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74036AA"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 — функция 7</w:t>
            </w:r>
          </w:p>
        </w:tc>
        <w:tc>
          <w:tcPr>
            <w:tcW w:w="522" w:type="pct"/>
            <w:tcBorders>
              <w:top w:val="nil"/>
              <w:left w:val="nil"/>
              <w:bottom w:val="single" w:sz="8" w:space="0" w:color="auto"/>
              <w:right w:val="single" w:sz="8" w:space="0" w:color="auto"/>
            </w:tcBorders>
            <w:shd w:val="clear" w:color="000000" w:fill="D9D9D9"/>
            <w:vAlign w:val="center"/>
            <w:hideMark/>
          </w:tcPr>
          <w:p w14:paraId="657DEBAD"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C73679"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78185A4"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EF0BB91"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493FFD79"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7D0560B"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 — извън функция 7</w:t>
            </w:r>
          </w:p>
        </w:tc>
        <w:tc>
          <w:tcPr>
            <w:tcW w:w="522" w:type="pct"/>
            <w:tcBorders>
              <w:top w:val="nil"/>
              <w:left w:val="nil"/>
              <w:bottom w:val="single" w:sz="8" w:space="0" w:color="auto"/>
              <w:right w:val="single" w:sz="8" w:space="0" w:color="auto"/>
            </w:tcBorders>
            <w:shd w:val="clear" w:color="000000" w:fill="D9D9D9"/>
            <w:vAlign w:val="center"/>
            <w:hideMark/>
          </w:tcPr>
          <w:p w14:paraId="5E81A40F"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E7FB8E7"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4E54D82" w14:textId="77777777" w:rsidR="00044D5B" w:rsidRPr="00597673" w:rsidRDefault="00044D5B">
            <w:pPr>
              <w:spacing w:before="0" w:after="0"/>
              <w:jc w:val="center"/>
              <w:rPr>
                <w:color w:val="000000"/>
                <w:sz w:val="16"/>
                <w:szCs w:val="16"/>
              </w:rPr>
            </w:pPr>
            <w:r w:rsidRPr="00597673">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BDB5B08"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4B1F8F5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6EBF44F" w14:textId="77777777" w:rsidR="00044D5B" w:rsidRPr="00597673" w:rsidRDefault="00044D5B">
            <w:pPr>
              <w:spacing w:before="0" w:after="0"/>
              <w:ind w:firstLineChars="100" w:firstLine="161"/>
              <w:jc w:val="left"/>
              <w:rPr>
                <w:b/>
                <w:bCs/>
                <w:color w:val="000000"/>
                <w:sz w:val="16"/>
                <w:szCs w:val="16"/>
              </w:rPr>
            </w:pPr>
            <w:r w:rsidRPr="00597673">
              <w:rPr>
                <w:b/>
                <w:color w:val="000000"/>
                <w:sz w:val="16"/>
              </w:rPr>
              <w:t>ОБЩО</w:t>
            </w:r>
          </w:p>
        </w:tc>
        <w:tc>
          <w:tcPr>
            <w:tcW w:w="522" w:type="pct"/>
            <w:tcBorders>
              <w:top w:val="nil"/>
              <w:left w:val="nil"/>
              <w:bottom w:val="single" w:sz="8" w:space="0" w:color="auto"/>
              <w:right w:val="single" w:sz="8" w:space="0" w:color="auto"/>
            </w:tcBorders>
            <w:shd w:val="clear" w:color="000000" w:fill="D9D9D9"/>
            <w:vAlign w:val="center"/>
            <w:hideMark/>
          </w:tcPr>
          <w:p w14:paraId="15083D04" w14:textId="77777777" w:rsidR="00044D5B" w:rsidRPr="00597673" w:rsidRDefault="00044D5B">
            <w:pPr>
              <w:spacing w:before="0" w:after="0"/>
              <w:jc w:val="center"/>
              <w:rPr>
                <w:b/>
                <w:bCs/>
                <w:color w:val="000000"/>
                <w:sz w:val="16"/>
                <w:szCs w:val="16"/>
              </w:rPr>
            </w:pPr>
            <w:r w:rsidRPr="00597673">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8196C69" w14:textId="77777777" w:rsidR="00044D5B" w:rsidRPr="00597673" w:rsidRDefault="00044D5B">
            <w:pPr>
              <w:spacing w:before="0" w:after="0"/>
              <w:jc w:val="center"/>
              <w:rPr>
                <w:b/>
                <w:bCs/>
                <w:color w:val="000000"/>
                <w:sz w:val="16"/>
                <w:szCs w:val="16"/>
              </w:rPr>
            </w:pPr>
            <w:r w:rsidRPr="00597673">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260ED90" w14:textId="77777777" w:rsidR="00044D5B" w:rsidRPr="00597673" w:rsidRDefault="00044D5B">
            <w:pPr>
              <w:spacing w:before="0" w:after="0"/>
              <w:jc w:val="center"/>
              <w:rPr>
                <w:b/>
                <w:bCs/>
                <w:color w:val="000000"/>
                <w:sz w:val="16"/>
                <w:szCs w:val="16"/>
              </w:rPr>
            </w:pPr>
            <w:r w:rsidRPr="00597673">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8652B3" w14:textId="77777777" w:rsidR="00044D5B" w:rsidRPr="00597673" w:rsidRDefault="00044D5B">
            <w:pPr>
              <w:spacing w:before="0" w:after="0"/>
              <w:jc w:val="center"/>
              <w:rPr>
                <w:b/>
                <w:bCs/>
                <w:color w:val="000000"/>
                <w:sz w:val="16"/>
                <w:szCs w:val="16"/>
              </w:rPr>
            </w:pPr>
            <w:r w:rsidRPr="00597673">
              <w:rPr>
                <w:b/>
                <w:color w:val="000000"/>
                <w:sz w:val="16"/>
              </w:rPr>
              <w:t>0</w:t>
            </w:r>
          </w:p>
        </w:tc>
      </w:tr>
    </w:tbl>
    <w:p w14:paraId="14CC0109" w14:textId="77777777" w:rsidR="00044D5B" w:rsidRPr="00597673" w:rsidRDefault="00044D5B" w:rsidP="00044D5B">
      <w:pPr>
        <w:pStyle w:val="ManualHeading3"/>
      </w:pPr>
      <w:r w:rsidRPr="00597673">
        <w:t>3.2.4.3.</w:t>
      </w:r>
      <w:r w:rsidRPr="00597673">
        <w:tab/>
        <w:t>Общо нужди от човешки ресурси</w:t>
      </w:r>
    </w:p>
    <w:tbl>
      <w:tblPr>
        <w:tblW w:w="9200" w:type="dxa"/>
        <w:tblInd w:w="-118" w:type="dxa"/>
        <w:tblCellMar>
          <w:left w:w="0" w:type="dxa"/>
          <w:right w:w="0" w:type="dxa"/>
        </w:tblCellMar>
        <w:tblLook w:val="04A0" w:firstRow="1" w:lastRow="0" w:firstColumn="1" w:lastColumn="0" w:noHBand="0" w:noVBand="1"/>
      </w:tblPr>
      <w:tblGrid>
        <w:gridCol w:w="1500"/>
        <w:gridCol w:w="3860"/>
        <w:gridCol w:w="960"/>
        <w:gridCol w:w="960"/>
        <w:gridCol w:w="960"/>
        <w:gridCol w:w="960"/>
      </w:tblGrid>
      <w:tr w:rsidR="00E6355E" w:rsidRPr="00597673" w14:paraId="37B4614C" w14:textId="77777777">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5081B8" w14:textId="77777777" w:rsidR="00044D5B" w:rsidRPr="00597673" w:rsidRDefault="00044D5B">
            <w:pPr>
              <w:spacing w:before="0" w:after="0"/>
              <w:jc w:val="center"/>
              <w:rPr>
                <w:b/>
                <w:bCs/>
                <w:color w:val="000000"/>
                <w:sz w:val="18"/>
                <w:szCs w:val="18"/>
              </w:rPr>
            </w:pPr>
            <w:r w:rsidRPr="00597673">
              <w:rPr>
                <w:b/>
                <w:color w:val="000000"/>
                <w:sz w:val="18"/>
              </w:rPr>
              <w:t>ОБЩО ГЛАСУВАНИ БЮДЖЕТНИ КРЕДИТИ + ВЪНШНИ ЦЕЛЕВИ ПРИХОДИ</w:t>
            </w:r>
          </w:p>
        </w:tc>
        <w:tc>
          <w:tcPr>
            <w:tcW w:w="960" w:type="dxa"/>
            <w:tcBorders>
              <w:top w:val="single" w:sz="8" w:space="0" w:color="auto"/>
              <w:left w:val="nil"/>
              <w:bottom w:val="nil"/>
              <w:right w:val="single" w:sz="8" w:space="0" w:color="auto"/>
            </w:tcBorders>
            <w:vAlign w:val="center"/>
            <w:hideMark/>
          </w:tcPr>
          <w:p w14:paraId="388D6CAD" w14:textId="77777777" w:rsidR="00044D5B" w:rsidRPr="00597673" w:rsidRDefault="00044D5B">
            <w:pPr>
              <w:spacing w:before="0" w:after="0"/>
              <w:jc w:val="center"/>
              <w:rPr>
                <w:color w:val="000000"/>
                <w:sz w:val="20"/>
                <w:szCs w:val="20"/>
              </w:rPr>
            </w:pPr>
            <w:r w:rsidRPr="00597673">
              <w:rPr>
                <w:color w:val="000000"/>
                <w:sz w:val="20"/>
              </w:rPr>
              <w:t>Година</w:t>
            </w:r>
          </w:p>
        </w:tc>
        <w:tc>
          <w:tcPr>
            <w:tcW w:w="960" w:type="dxa"/>
            <w:tcBorders>
              <w:top w:val="single" w:sz="8" w:space="0" w:color="auto"/>
              <w:left w:val="nil"/>
              <w:bottom w:val="nil"/>
              <w:right w:val="single" w:sz="8" w:space="0" w:color="auto"/>
            </w:tcBorders>
            <w:vAlign w:val="center"/>
            <w:hideMark/>
          </w:tcPr>
          <w:p w14:paraId="248EF401" w14:textId="77777777" w:rsidR="00044D5B" w:rsidRPr="00597673" w:rsidRDefault="00044D5B">
            <w:pPr>
              <w:spacing w:before="0" w:after="0"/>
              <w:jc w:val="center"/>
              <w:rPr>
                <w:color w:val="000000"/>
                <w:sz w:val="20"/>
                <w:szCs w:val="20"/>
              </w:rPr>
            </w:pPr>
            <w:r w:rsidRPr="00597673">
              <w:rPr>
                <w:color w:val="000000"/>
                <w:sz w:val="20"/>
              </w:rPr>
              <w:t>Година</w:t>
            </w:r>
          </w:p>
        </w:tc>
        <w:tc>
          <w:tcPr>
            <w:tcW w:w="960" w:type="dxa"/>
            <w:tcBorders>
              <w:top w:val="single" w:sz="8" w:space="0" w:color="auto"/>
              <w:left w:val="nil"/>
              <w:bottom w:val="nil"/>
              <w:right w:val="single" w:sz="8" w:space="0" w:color="auto"/>
            </w:tcBorders>
            <w:vAlign w:val="center"/>
            <w:hideMark/>
          </w:tcPr>
          <w:p w14:paraId="1B3384F6" w14:textId="77777777" w:rsidR="00044D5B" w:rsidRPr="00597673" w:rsidRDefault="00044D5B">
            <w:pPr>
              <w:spacing w:before="0" w:after="0"/>
              <w:jc w:val="center"/>
              <w:rPr>
                <w:color w:val="000000"/>
                <w:sz w:val="20"/>
                <w:szCs w:val="20"/>
              </w:rPr>
            </w:pPr>
            <w:r w:rsidRPr="00597673">
              <w:rPr>
                <w:color w:val="000000"/>
                <w:sz w:val="20"/>
              </w:rPr>
              <w:t>Година</w:t>
            </w:r>
          </w:p>
        </w:tc>
        <w:tc>
          <w:tcPr>
            <w:tcW w:w="960" w:type="dxa"/>
            <w:tcBorders>
              <w:top w:val="single" w:sz="8" w:space="0" w:color="auto"/>
              <w:left w:val="nil"/>
              <w:bottom w:val="nil"/>
              <w:right w:val="single" w:sz="8" w:space="0" w:color="auto"/>
            </w:tcBorders>
            <w:vAlign w:val="center"/>
            <w:hideMark/>
          </w:tcPr>
          <w:p w14:paraId="2280867E" w14:textId="77777777" w:rsidR="00044D5B" w:rsidRPr="00597673" w:rsidRDefault="00044D5B">
            <w:pPr>
              <w:spacing w:before="0" w:after="0"/>
              <w:jc w:val="center"/>
              <w:rPr>
                <w:color w:val="000000"/>
                <w:sz w:val="20"/>
                <w:szCs w:val="20"/>
              </w:rPr>
            </w:pPr>
            <w:r w:rsidRPr="00597673">
              <w:rPr>
                <w:color w:val="000000"/>
                <w:sz w:val="20"/>
              </w:rPr>
              <w:t>Година</w:t>
            </w:r>
          </w:p>
        </w:tc>
      </w:tr>
      <w:tr w:rsidR="00E6355E" w:rsidRPr="00597673" w14:paraId="4ED2976F" w14:textId="77777777">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14:paraId="1E056C11" w14:textId="77777777" w:rsidR="00044D5B" w:rsidRPr="00597673" w:rsidRDefault="00044D5B">
            <w:pPr>
              <w:spacing w:before="0" w:after="0"/>
              <w:jc w:val="left"/>
              <w:rPr>
                <w:b/>
                <w:bCs/>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510F7847" w14:textId="77777777" w:rsidR="00044D5B" w:rsidRPr="00597673" w:rsidRDefault="00044D5B">
            <w:pPr>
              <w:spacing w:before="0" w:after="0"/>
              <w:jc w:val="center"/>
              <w:rPr>
                <w:b/>
                <w:bCs/>
                <w:color w:val="000000"/>
                <w:sz w:val="20"/>
                <w:szCs w:val="20"/>
              </w:rPr>
            </w:pPr>
            <w:r w:rsidRPr="00597673">
              <w:rPr>
                <w:b/>
                <w:color w:val="000000"/>
                <w:sz w:val="20"/>
              </w:rPr>
              <w:t>2024 г.</w:t>
            </w:r>
          </w:p>
        </w:tc>
        <w:tc>
          <w:tcPr>
            <w:tcW w:w="960" w:type="dxa"/>
            <w:tcBorders>
              <w:top w:val="nil"/>
              <w:left w:val="nil"/>
              <w:bottom w:val="single" w:sz="8" w:space="0" w:color="auto"/>
              <w:right w:val="single" w:sz="8" w:space="0" w:color="auto"/>
            </w:tcBorders>
            <w:vAlign w:val="center"/>
            <w:hideMark/>
          </w:tcPr>
          <w:p w14:paraId="59862D29" w14:textId="77777777" w:rsidR="00044D5B" w:rsidRPr="00597673" w:rsidRDefault="00044D5B">
            <w:pPr>
              <w:spacing w:before="0" w:after="0"/>
              <w:jc w:val="center"/>
              <w:rPr>
                <w:b/>
                <w:bCs/>
                <w:color w:val="000000"/>
                <w:sz w:val="20"/>
                <w:szCs w:val="20"/>
              </w:rPr>
            </w:pPr>
            <w:r w:rsidRPr="00597673">
              <w:rPr>
                <w:b/>
                <w:color w:val="000000"/>
                <w:sz w:val="20"/>
              </w:rPr>
              <w:t>2025 г.</w:t>
            </w:r>
          </w:p>
        </w:tc>
        <w:tc>
          <w:tcPr>
            <w:tcW w:w="960" w:type="dxa"/>
            <w:tcBorders>
              <w:top w:val="nil"/>
              <w:left w:val="nil"/>
              <w:bottom w:val="single" w:sz="8" w:space="0" w:color="auto"/>
              <w:right w:val="single" w:sz="8" w:space="0" w:color="auto"/>
            </w:tcBorders>
            <w:vAlign w:val="center"/>
            <w:hideMark/>
          </w:tcPr>
          <w:p w14:paraId="0B7F50EB" w14:textId="77777777" w:rsidR="00044D5B" w:rsidRPr="00597673" w:rsidRDefault="00044D5B">
            <w:pPr>
              <w:spacing w:before="0" w:after="0"/>
              <w:jc w:val="center"/>
              <w:rPr>
                <w:b/>
                <w:bCs/>
                <w:color w:val="000000"/>
                <w:sz w:val="20"/>
                <w:szCs w:val="20"/>
              </w:rPr>
            </w:pPr>
            <w:r w:rsidRPr="00597673">
              <w:rPr>
                <w:b/>
                <w:color w:val="000000"/>
                <w:sz w:val="20"/>
              </w:rPr>
              <w:t>2026 г.</w:t>
            </w:r>
          </w:p>
        </w:tc>
        <w:tc>
          <w:tcPr>
            <w:tcW w:w="960" w:type="dxa"/>
            <w:tcBorders>
              <w:top w:val="nil"/>
              <w:left w:val="nil"/>
              <w:bottom w:val="single" w:sz="8" w:space="0" w:color="auto"/>
              <w:right w:val="single" w:sz="8" w:space="0" w:color="auto"/>
            </w:tcBorders>
            <w:vAlign w:val="center"/>
            <w:hideMark/>
          </w:tcPr>
          <w:p w14:paraId="2E5004BD" w14:textId="77777777" w:rsidR="00044D5B" w:rsidRPr="00597673" w:rsidRDefault="00044D5B">
            <w:pPr>
              <w:spacing w:before="0" w:after="0"/>
              <w:jc w:val="center"/>
              <w:rPr>
                <w:b/>
                <w:bCs/>
                <w:color w:val="000000"/>
                <w:sz w:val="20"/>
                <w:szCs w:val="20"/>
              </w:rPr>
            </w:pPr>
            <w:r w:rsidRPr="00597673">
              <w:rPr>
                <w:b/>
                <w:color w:val="000000"/>
                <w:sz w:val="20"/>
              </w:rPr>
              <w:t>2027 г.</w:t>
            </w:r>
          </w:p>
        </w:tc>
      </w:tr>
      <w:tr w:rsidR="00C45E62" w:rsidRPr="00597673" w14:paraId="59EB049A" w14:textId="77777777">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00084FD3" w14:textId="77777777" w:rsidR="00044D5B" w:rsidRPr="00597673" w:rsidRDefault="00044D5B">
            <w:pPr>
              <w:spacing w:before="0" w:after="0"/>
              <w:jc w:val="left"/>
              <w:rPr>
                <w:rFonts w:ascii="Wingdings" w:hAnsi="Wingdings" w:cs="Calibri"/>
                <w:b/>
                <w:bCs/>
                <w:color w:val="000000"/>
                <w:sz w:val="16"/>
                <w:szCs w:val="16"/>
              </w:rPr>
            </w:pPr>
            <w:r w:rsidRPr="00597673">
              <w:rPr>
                <w:rFonts w:ascii="Wingdings" w:hAnsi="Wingdings"/>
                <w:b/>
                <w:color w:val="000000"/>
                <w:sz w:val="16"/>
              </w:rPr>
              <w:t>Ÿ</w:t>
            </w:r>
            <w:r w:rsidRPr="00597673">
              <w:rPr>
                <w:b/>
                <w:color w:val="000000"/>
                <w:sz w:val="16"/>
              </w:rPr>
              <w:t xml:space="preserve"> Длъжности в щатното разписание (длъжностни лица и срочно наети служители)</w:t>
            </w:r>
          </w:p>
        </w:tc>
      </w:tr>
      <w:tr w:rsidR="00E6355E" w:rsidRPr="00597673" w14:paraId="36DE348C"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81C7592" w14:textId="77777777" w:rsidR="00044D5B" w:rsidRPr="00597673" w:rsidRDefault="00044D5B">
            <w:pPr>
              <w:spacing w:before="0" w:after="0"/>
              <w:ind w:firstLineChars="100" w:firstLine="160"/>
              <w:jc w:val="left"/>
              <w:rPr>
                <w:color w:val="000000"/>
                <w:sz w:val="16"/>
                <w:szCs w:val="16"/>
              </w:rPr>
            </w:pPr>
            <w:r w:rsidRPr="00597673">
              <w:rPr>
                <w:color w:val="000000"/>
                <w:sz w:val="16"/>
              </w:rPr>
              <w:t>20 01 02 01</w:t>
            </w:r>
            <w:r w:rsidRPr="00597673">
              <w:rPr>
                <w:rFonts w:ascii="Arial Narrow" w:hAnsi="Arial Narrow"/>
                <w:color w:val="000000"/>
                <w:sz w:val="20"/>
              </w:rPr>
              <w:t> </w:t>
            </w:r>
            <w:r w:rsidRPr="00597673">
              <w:rPr>
                <w:color w:val="000000"/>
                <w:sz w:val="16"/>
              </w:rPr>
              <w:t>(Централа и представителства на Комисията)</w:t>
            </w:r>
          </w:p>
        </w:tc>
        <w:tc>
          <w:tcPr>
            <w:tcW w:w="960" w:type="dxa"/>
            <w:tcBorders>
              <w:top w:val="nil"/>
              <w:left w:val="nil"/>
              <w:bottom w:val="single" w:sz="8" w:space="0" w:color="auto"/>
              <w:right w:val="single" w:sz="8" w:space="0" w:color="auto"/>
            </w:tcBorders>
            <w:shd w:val="clear" w:color="000000" w:fill="D9D9D9"/>
            <w:vAlign w:val="center"/>
            <w:hideMark/>
          </w:tcPr>
          <w:p w14:paraId="66D7192F"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4EE1449"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C8D2A29"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E97211C"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577B7347"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05929EA1" w14:textId="77777777" w:rsidR="00044D5B" w:rsidRPr="00597673" w:rsidRDefault="00044D5B">
            <w:pPr>
              <w:spacing w:before="0" w:after="0"/>
              <w:ind w:firstLineChars="100" w:firstLine="160"/>
              <w:jc w:val="left"/>
              <w:rPr>
                <w:color w:val="000000"/>
                <w:sz w:val="16"/>
                <w:szCs w:val="16"/>
              </w:rPr>
            </w:pPr>
            <w:r w:rsidRPr="00597673">
              <w:rPr>
                <w:color w:val="000000"/>
                <w:sz w:val="16"/>
              </w:rPr>
              <w:t>20 01 02 03 (Делегации на ЕС)</w:t>
            </w:r>
          </w:p>
        </w:tc>
        <w:tc>
          <w:tcPr>
            <w:tcW w:w="960" w:type="dxa"/>
            <w:tcBorders>
              <w:top w:val="nil"/>
              <w:left w:val="nil"/>
              <w:bottom w:val="single" w:sz="8" w:space="0" w:color="auto"/>
              <w:right w:val="single" w:sz="8" w:space="0" w:color="auto"/>
            </w:tcBorders>
            <w:shd w:val="clear" w:color="000000" w:fill="D9D9D9"/>
            <w:vAlign w:val="center"/>
            <w:hideMark/>
          </w:tcPr>
          <w:p w14:paraId="64DC29B4"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D38C677"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622A889"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AA8596C"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071E222F"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36024BFA"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01 01 01 01</w:t>
            </w:r>
            <w:r w:rsidRPr="00597673">
              <w:rPr>
                <w:rFonts w:ascii="Arial Narrow" w:hAnsi="Arial Narrow"/>
                <w:color w:val="000000"/>
                <w:sz w:val="20"/>
              </w:rPr>
              <w:t> </w:t>
            </w:r>
            <w:r w:rsidRPr="00597673">
              <w:rPr>
                <w:color w:val="000000"/>
                <w:sz w:val="16"/>
              </w:rPr>
              <w:t>(Непреки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14:paraId="11297FDA"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1A935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693D6A3"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09DF71E"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28F6C434"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A121A6D"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11 (Преки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14:paraId="138C87AA"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13D43DA"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60B36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D01D08"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64757A91"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1DD1C1F4"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w:t>
            </w:r>
          </w:p>
        </w:tc>
        <w:tc>
          <w:tcPr>
            <w:tcW w:w="960" w:type="dxa"/>
            <w:tcBorders>
              <w:top w:val="nil"/>
              <w:left w:val="nil"/>
              <w:bottom w:val="single" w:sz="8" w:space="0" w:color="auto"/>
              <w:right w:val="single" w:sz="8" w:space="0" w:color="auto"/>
            </w:tcBorders>
            <w:shd w:val="clear" w:color="000000" w:fill="D9D9D9"/>
            <w:vAlign w:val="center"/>
            <w:hideMark/>
          </w:tcPr>
          <w:p w14:paraId="130A76E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38107F1"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1A519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4B9BC32" w14:textId="77777777" w:rsidR="00044D5B" w:rsidRPr="00597673" w:rsidRDefault="00044D5B">
            <w:pPr>
              <w:spacing w:before="0" w:after="0"/>
              <w:jc w:val="center"/>
              <w:rPr>
                <w:color w:val="000000"/>
                <w:sz w:val="16"/>
                <w:szCs w:val="16"/>
              </w:rPr>
            </w:pPr>
            <w:r w:rsidRPr="00597673">
              <w:rPr>
                <w:color w:val="000000"/>
                <w:sz w:val="16"/>
              </w:rPr>
              <w:t>0</w:t>
            </w:r>
          </w:p>
        </w:tc>
      </w:tr>
      <w:tr w:rsidR="00C45E62" w:rsidRPr="00597673" w14:paraId="3BEB511F" w14:textId="77777777">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09EBF38E" w14:textId="77777777" w:rsidR="00044D5B" w:rsidRPr="00597673" w:rsidRDefault="00044D5B">
            <w:pPr>
              <w:spacing w:before="0" w:after="0"/>
              <w:jc w:val="left"/>
              <w:rPr>
                <w:rFonts w:ascii="Wingdings" w:hAnsi="Wingdings" w:cs="Calibri"/>
                <w:b/>
                <w:bCs/>
                <w:color w:val="000000"/>
                <w:sz w:val="16"/>
                <w:szCs w:val="16"/>
              </w:rPr>
            </w:pPr>
            <w:r w:rsidRPr="00597673">
              <w:rPr>
                <w:rFonts w:ascii="Calibri" w:hAnsi="Calibri"/>
                <w:b/>
                <w:color w:val="000000"/>
                <w:sz w:val="16"/>
              </w:rPr>
              <w:t>•</w:t>
            </w:r>
            <w:r w:rsidRPr="00597673">
              <w:rPr>
                <w:b/>
                <w:color w:val="000000"/>
                <w:sz w:val="16"/>
              </w:rPr>
              <w:t xml:space="preserve"> Външен персонал (в еквиваленти на пълно работно време)</w:t>
            </w:r>
          </w:p>
        </w:tc>
      </w:tr>
      <w:tr w:rsidR="00E6355E" w:rsidRPr="00597673" w14:paraId="61145ADA"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D93F77D" w14:textId="77777777" w:rsidR="00044D5B" w:rsidRPr="00597673" w:rsidRDefault="00044D5B">
            <w:pPr>
              <w:spacing w:before="0" w:after="0"/>
              <w:ind w:firstLineChars="100" w:firstLine="160"/>
              <w:jc w:val="left"/>
              <w:rPr>
                <w:color w:val="000000"/>
                <w:sz w:val="16"/>
                <w:szCs w:val="16"/>
              </w:rPr>
            </w:pPr>
            <w:r w:rsidRPr="00597673">
              <w:rPr>
                <w:color w:val="000000"/>
                <w:sz w:val="16"/>
              </w:rPr>
              <w:t>20 02 01</w:t>
            </w:r>
            <w:r w:rsidRPr="00597673">
              <w:rPr>
                <w:rFonts w:ascii="Arial Narrow" w:hAnsi="Arial Narrow"/>
                <w:color w:val="000000"/>
                <w:sz w:val="20"/>
              </w:rPr>
              <w:t> </w:t>
            </w:r>
            <w:r w:rsidRPr="00597673">
              <w:rPr>
                <w:color w:val="000000"/>
                <w:sz w:val="16"/>
              </w:rPr>
              <w:t>(ДНП, КНЕ от общия финансов пакет)</w:t>
            </w:r>
          </w:p>
        </w:tc>
        <w:tc>
          <w:tcPr>
            <w:tcW w:w="960" w:type="dxa"/>
            <w:tcBorders>
              <w:top w:val="nil"/>
              <w:left w:val="nil"/>
              <w:bottom w:val="single" w:sz="8" w:space="0" w:color="auto"/>
              <w:right w:val="single" w:sz="8" w:space="0" w:color="auto"/>
            </w:tcBorders>
            <w:shd w:val="clear" w:color="000000" w:fill="D9D9D9"/>
            <w:vAlign w:val="center"/>
            <w:hideMark/>
          </w:tcPr>
          <w:p w14:paraId="408A5F76"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77CFEA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142C6EE"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D66602"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1B42895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4EE4E43" w14:textId="77777777" w:rsidR="00044D5B" w:rsidRPr="00597673" w:rsidRDefault="00044D5B">
            <w:pPr>
              <w:spacing w:before="0" w:after="0"/>
              <w:ind w:firstLineChars="100" w:firstLine="160"/>
              <w:jc w:val="left"/>
              <w:rPr>
                <w:color w:val="000000"/>
                <w:sz w:val="16"/>
                <w:szCs w:val="16"/>
              </w:rPr>
            </w:pPr>
            <w:r w:rsidRPr="00597673">
              <w:rPr>
                <w:color w:val="000000"/>
                <w:sz w:val="16"/>
              </w:rPr>
              <w:t>20 02 03 (ДНП, МП, КНЕ и МЕД в делегациите на ЕС)</w:t>
            </w:r>
          </w:p>
        </w:tc>
        <w:tc>
          <w:tcPr>
            <w:tcW w:w="960" w:type="dxa"/>
            <w:tcBorders>
              <w:top w:val="nil"/>
              <w:left w:val="nil"/>
              <w:bottom w:val="single" w:sz="8" w:space="0" w:color="auto"/>
              <w:right w:val="single" w:sz="8" w:space="0" w:color="auto"/>
            </w:tcBorders>
            <w:shd w:val="clear" w:color="000000" w:fill="D9D9D9"/>
            <w:vAlign w:val="center"/>
            <w:hideMark/>
          </w:tcPr>
          <w:p w14:paraId="253D3DDA"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97AA20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0A775A3"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358A870" w14:textId="77777777" w:rsidR="00044D5B" w:rsidRPr="00597673" w:rsidRDefault="00044D5B">
            <w:pPr>
              <w:spacing w:before="0" w:after="0"/>
              <w:jc w:val="center"/>
              <w:rPr>
                <w:color w:val="000000"/>
                <w:sz w:val="16"/>
                <w:szCs w:val="16"/>
              </w:rPr>
            </w:pPr>
            <w:r w:rsidRPr="00597673">
              <w:rPr>
                <w:color w:val="000000"/>
                <w:sz w:val="16"/>
              </w:rPr>
              <w:t>0</w:t>
            </w:r>
          </w:p>
        </w:tc>
      </w:tr>
      <w:tr w:rsidR="00E62D64" w:rsidRPr="00597673" w14:paraId="2AB3E6D3" w14:textId="77777777">
        <w:trPr>
          <w:trHeight w:val="300"/>
        </w:trPr>
        <w:tc>
          <w:tcPr>
            <w:tcW w:w="1500" w:type="dxa"/>
            <w:vMerge w:val="restart"/>
            <w:tcBorders>
              <w:top w:val="nil"/>
              <w:left w:val="single" w:sz="8" w:space="0" w:color="auto"/>
              <w:bottom w:val="single" w:sz="8" w:space="0" w:color="auto"/>
              <w:right w:val="single" w:sz="8" w:space="0" w:color="auto"/>
            </w:tcBorders>
            <w:vAlign w:val="center"/>
            <w:hideMark/>
          </w:tcPr>
          <w:p w14:paraId="629B6801" w14:textId="77777777" w:rsidR="00044D5B" w:rsidRPr="00597673" w:rsidRDefault="00044D5B">
            <w:pPr>
              <w:spacing w:before="0" w:after="0"/>
              <w:jc w:val="center"/>
              <w:rPr>
                <w:color w:val="000000"/>
                <w:sz w:val="16"/>
                <w:szCs w:val="16"/>
              </w:rPr>
            </w:pPr>
            <w:r w:rsidRPr="00597673">
              <w:rPr>
                <w:color w:val="000000"/>
                <w:sz w:val="16"/>
              </w:rPr>
              <w:t xml:space="preserve">Ред Ред за административна подкрепа </w:t>
            </w:r>
            <w:r w:rsidRPr="00597673">
              <w:t xml:space="preserve"> </w:t>
            </w:r>
            <w:r w:rsidRPr="00597673">
              <w:br/>
            </w:r>
            <w:r w:rsidRPr="00597673">
              <w:rPr>
                <w:color w:val="000000"/>
                <w:sz w:val="16"/>
              </w:rPr>
              <w:t>[XX.01.YY.YY]</w:t>
            </w:r>
          </w:p>
        </w:tc>
        <w:tc>
          <w:tcPr>
            <w:tcW w:w="3860" w:type="dxa"/>
            <w:tcBorders>
              <w:top w:val="nil"/>
              <w:left w:val="nil"/>
              <w:bottom w:val="single" w:sz="8" w:space="0" w:color="auto"/>
              <w:right w:val="single" w:sz="8" w:space="0" w:color="auto"/>
            </w:tcBorders>
            <w:vAlign w:val="center"/>
            <w:hideMark/>
          </w:tcPr>
          <w:p w14:paraId="7EF1DE4D" w14:textId="77777777" w:rsidR="00044D5B" w:rsidRPr="00597673" w:rsidRDefault="00044D5B">
            <w:pPr>
              <w:spacing w:before="0" w:after="0"/>
              <w:ind w:firstLineChars="100" w:firstLine="160"/>
              <w:jc w:val="left"/>
              <w:rPr>
                <w:color w:val="000000"/>
                <w:sz w:val="16"/>
                <w:szCs w:val="16"/>
              </w:rPr>
            </w:pPr>
            <w:r w:rsidRPr="00597673">
              <w:rPr>
                <w:color w:val="000000"/>
                <w:sz w:val="16"/>
              </w:rPr>
              <w:t>— в централата</w:t>
            </w:r>
          </w:p>
        </w:tc>
        <w:tc>
          <w:tcPr>
            <w:tcW w:w="960" w:type="dxa"/>
            <w:tcBorders>
              <w:top w:val="nil"/>
              <w:left w:val="nil"/>
              <w:bottom w:val="single" w:sz="8" w:space="0" w:color="auto"/>
              <w:right w:val="single" w:sz="8" w:space="0" w:color="auto"/>
            </w:tcBorders>
            <w:shd w:val="clear" w:color="000000" w:fill="D9D9D9"/>
            <w:vAlign w:val="center"/>
            <w:hideMark/>
          </w:tcPr>
          <w:p w14:paraId="1FEA3E6A"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8692785"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51E104D"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D6444E6" w14:textId="77777777" w:rsidR="00044D5B" w:rsidRPr="00597673" w:rsidRDefault="00044D5B">
            <w:pPr>
              <w:spacing w:before="0" w:after="0"/>
              <w:jc w:val="center"/>
              <w:rPr>
                <w:color w:val="000000"/>
                <w:sz w:val="16"/>
                <w:szCs w:val="16"/>
              </w:rPr>
            </w:pPr>
            <w:r w:rsidRPr="00597673">
              <w:rPr>
                <w:color w:val="000000"/>
                <w:sz w:val="16"/>
              </w:rPr>
              <w:t>0</w:t>
            </w:r>
          </w:p>
        </w:tc>
      </w:tr>
      <w:tr w:rsidR="00E62D64" w:rsidRPr="00597673" w14:paraId="26E33111" w14:textId="77777777">
        <w:trPr>
          <w:trHeight w:val="300"/>
        </w:trPr>
        <w:tc>
          <w:tcPr>
            <w:tcW w:w="1500" w:type="dxa"/>
            <w:vMerge/>
            <w:tcBorders>
              <w:top w:val="nil"/>
              <w:left w:val="single" w:sz="8" w:space="0" w:color="auto"/>
              <w:bottom w:val="single" w:sz="8" w:space="0" w:color="auto"/>
              <w:right w:val="single" w:sz="8" w:space="0" w:color="auto"/>
            </w:tcBorders>
            <w:vAlign w:val="center"/>
            <w:hideMark/>
          </w:tcPr>
          <w:p w14:paraId="52AAFA21" w14:textId="77777777" w:rsidR="00044D5B" w:rsidRPr="00597673" w:rsidRDefault="00044D5B">
            <w:pPr>
              <w:spacing w:before="0" w:after="0"/>
              <w:jc w:val="left"/>
              <w:rPr>
                <w:color w:val="000000"/>
                <w:sz w:val="16"/>
                <w:szCs w:val="16"/>
                <w:lang w:eastAsia="en-IE"/>
              </w:rPr>
            </w:pPr>
          </w:p>
        </w:tc>
        <w:tc>
          <w:tcPr>
            <w:tcW w:w="3860" w:type="dxa"/>
            <w:tcBorders>
              <w:top w:val="nil"/>
              <w:left w:val="nil"/>
              <w:bottom w:val="single" w:sz="8" w:space="0" w:color="auto"/>
              <w:right w:val="single" w:sz="8" w:space="0" w:color="auto"/>
            </w:tcBorders>
            <w:vAlign w:val="center"/>
            <w:hideMark/>
          </w:tcPr>
          <w:p w14:paraId="044A96CA" w14:textId="77777777" w:rsidR="00044D5B" w:rsidRPr="00597673" w:rsidRDefault="00044D5B">
            <w:pPr>
              <w:spacing w:before="0" w:after="0"/>
              <w:ind w:firstLineChars="100" w:firstLine="160"/>
              <w:jc w:val="left"/>
              <w:rPr>
                <w:color w:val="000000"/>
                <w:sz w:val="16"/>
                <w:szCs w:val="16"/>
              </w:rPr>
            </w:pPr>
            <w:r w:rsidRPr="00597673">
              <w:rPr>
                <w:color w:val="000000"/>
                <w:sz w:val="16"/>
              </w:rPr>
              <w:t xml:space="preserve">— в делегациите на ЕС </w:t>
            </w:r>
          </w:p>
        </w:tc>
        <w:tc>
          <w:tcPr>
            <w:tcW w:w="960" w:type="dxa"/>
            <w:tcBorders>
              <w:top w:val="nil"/>
              <w:left w:val="nil"/>
              <w:bottom w:val="single" w:sz="8" w:space="0" w:color="auto"/>
              <w:right w:val="single" w:sz="8" w:space="0" w:color="auto"/>
            </w:tcBorders>
            <w:shd w:val="clear" w:color="000000" w:fill="D9D9D9"/>
            <w:vAlign w:val="center"/>
            <w:hideMark/>
          </w:tcPr>
          <w:p w14:paraId="3C876BD8"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2411A9B"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6A67DAF"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C306017"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20C26393"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4DE236D" w14:textId="77777777" w:rsidR="00044D5B" w:rsidRPr="00597673" w:rsidRDefault="00044D5B">
            <w:pPr>
              <w:spacing w:before="0" w:after="0"/>
              <w:ind w:firstLineChars="100" w:firstLine="160"/>
              <w:jc w:val="left"/>
              <w:rPr>
                <w:color w:val="000000"/>
                <w:sz w:val="16"/>
                <w:szCs w:val="16"/>
              </w:rPr>
            </w:pPr>
            <w:r w:rsidRPr="00597673">
              <w:rPr>
                <w:color w:val="000000"/>
                <w:sz w:val="16"/>
              </w:rPr>
              <w:t>01 01 01 02</w:t>
            </w:r>
            <w:r w:rsidRPr="00597673">
              <w:rPr>
                <w:rFonts w:ascii="Arial Narrow" w:hAnsi="Arial Narrow"/>
                <w:color w:val="000000"/>
                <w:sz w:val="20"/>
              </w:rPr>
              <w:t> </w:t>
            </w:r>
            <w:r w:rsidRPr="00597673">
              <w:rPr>
                <w:color w:val="000000"/>
                <w:sz w:val="16"/>
              </w:rPr>
              <w:t>(ДНП, КНЕ — Непреки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14:paraId="09020D07"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EBA85E8"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4AFF03F"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CA067FF"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62AAC5F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5C72D23F" w14:textId="77777777" w:rsidR="00044D5B" w:rsidRPr="00597673" w:rsidRDefault="00044D5B">
            <w:pPr>
              <w:spacing w:before="0" w:after="0"/>
              <w:ind w:firstLineChars="100" w:firstLine="160"/>
              <w:jc w:val="left"/>
              <w:rPr>
                <w:color w:val="000000"/>
                <w:sz w:val="16"/>
                <w:szCs w:val="16"/>
              </w:rPr>
            </w:pPr>
            <w:r w:rsidRPr="00597673">
              <w:rPr>
                <w:color w:val="000000"/>
                <w:sz w:val="16"/>
              </w:rPr>
              <w:t xml:space="preserve"> 01 01 01 12 (ДНП, КНЕ — Преки научни изследвания)</w:t>
            </w:r>
          </w:p>
        </w:tc>
        <w:tc>
          <w:tcPr>
            <w:tcW w:w="960" w:type="dxa"/>
            <w:tcBorders>
              <w:top w:val="nil"/>
              <w:left w:val="nil"/>
              <w:bottom w:val="single" w:sz="8" w:space="0" w:color="auto"/>
              <w:right w:val="single" w:sz="8" w:space="0" w:color="auto"/>
            </w:tcBorders>
            <w:shd w:val="clear" w:color="000000" w:fill="D9D9D9"/>
            <w:vAlign w:val="center"/>
            <w:hideMark/>
          </w:tcPr>
          <w:p w14:paraId="3BF89E8B"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BE7044D"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89CD496"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3947DCC"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3990251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C7959D0"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 — функция 7</w:t>
            </w:r>
          </w:p>
        </w:tc>
        <w:tc>
          <w:tcPr>
            <w:tcW w:w="960" w:type="dxa"/>
            <w:tcBorders>
              <w:top w:val="nil"/>
              <w:left w:val="nil"/>
              <w:bottom w:val="single" w:sz="8" w:space="0" w:color="auto"/>
              <w:right w:val="single" w:sz="8" w:space="0" w:color="auto"/>
            </w:tcBorders>
            <w:shd w:val="clear" w:color="000000" w:fill="D9D9D9"/>
            <w:vAlign w:val="center"/>
            <w:hideMark/>
          </w:tcPr>
          <w:p w14:paraId="66776C88"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E8B93CC"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BB1AC4A"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A2B48AF"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0B194793"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9EB89B7" w14:textId="77777777" w:rsidR="00044D5B" w:rsidRPr="00597673" w:rsidRDefault="00044D5B">
            <w:pPr>
              <w:spacing w:before="0" w:after="0"/>
              <w:ind w:firstLineChars="100" w:firstLine="160"/>
              <w:jc w:val="left"/>
              <w:rPr>
                <w:color w:val="000000"/>
                <w:sz w:val="16"/>
                <w:szCs w:val="16"/>
              </w:rPr>
            </w:pPr>
            <w:r w:rsidRPr="00597673">
              <w:rPr>
                <w:color w:val="000000"/>
                <w:sz w:val="16"/>
              </w:rPr>
              <w:t>Други бюджетни редове (да се посочат) — извън функция 7</w:t>
            </w:r>
          </w:p>
        </w:tc>
        <w:tc>
          <w:tcPr>
            <w:tcW w:w="960" w:type="dxa"/>
            <w:tcBorders>
              <w:top w:val="nil"/>
              <w:left w:val="nil"/>
              <w:bottom w:val="single" w:sz="8" w:space="0" w:color="auto"/>
              <w:right w:val="single" w:sz="8" w:space="0" w:color="auto"/>
            </w:tcBorders>
            <w:shd w:val="clear" w:color="000000" w:fill="D9D9D9"/>
            <w:vAlign w:val="center"/>
            <w:hideMark/>
          </w:tcPr>
          <w:p w14:paraId="0C0F31B0"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DF1D83F"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201C248" w14:textId="77777777" w:rsidR="00044D5B" w:rsidRPr="00597673" w:rsidRDefault="00044D5B">
            <w:pPr>
              <w:spacing w:before="0" w:after="0"/>
              <w:jc w:val="center"/>
              <w:rPr>
                <w:color w:val="000000"/>
                <w:sz w:val="16"/>
                <w:szCs w:val="16"/>
              </w:rPr>
            </w:pPr>
            <w:r w:rsidRPr="00597673">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886EC05" w14:textId="77777777" w:rsidR="00044D5B" w:rsidRPr="00597673" w:rsidRDefault="00044D5B">
            <w:pPr>
              <w:spacing w:before="0" w:after="0"/>
              <w:jc w:val="center"/>
              <w:rPr>
                <w:color w:val="000000"/>
                <w:sz w:val="16"/>
                <w:szCs w:val="16"/>
              </w:rPr>
            </w:pPr>
            <w:r w:rsidRPr="00597673">
              <w:rPr>
                <w:color w:val="000000"/>
                <w:sz w:val="16"/>
              </w:rPr>
              <w:t>0</w:t>
            </w:r>
          </w:p>
        </w:tc>
      </w:tr>
      <w:tr w:rsidR="00E6355E" w:rsidRPr="00597673" w14:paraId="14D86EC9"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3DB8F04" w14:textId="77777777" w:rsidR="00044D5B" w:rsidRPr="00597673" w:rsidRDefault="00044D5B">
            <w:pPr>
              <w:spacing w:before="0" w:after="0"/>
              <w:ind w:firstLineChars="100" w:firstLine="161"/>
              <w:jc w:val="left"/>
              <w:rPr>
                <w:b/>
                <w:bCs/>
                <w:color w:val="000000"/>
                <w:sz w:val="16"/>
                <w:szCs w:val="16"/>
              </w:rPr>
            </w:pPr>
            <w:r w:rsidRPr="00597673">
              <w:rPr>
                <w:b/>
                <w:color w:val="000000"/>
                <w:sz w:val="16"/>
              </w:rPr>
              <w:t>ОБЩО</w:t>
            </w:r>
          </w:p>
        </w:tc>
        <w:tc>
          <w:tcPr>
            <w:tcW w:w="960" w:type="dxa"/>
            <w:tcBorders>
              <w:top w:val="nil"/>
              <w:left w:val="nil"/>
              <w:bottom w:val="single" w:sz="8" w:space="0" w:color="auto"/>
              <w:right w:val="single" w:sz="8" w:space="0" w:color="auto"/>
            </w:tcBorders>
            <w:shd w:val="clear" w:color="000000" w:fill="D9D9D9"/>
            <w:vAlign w:val="center"/>
            <w:hideMark/>
          </w:tcPr>
          <w:p w14:paraId="790A8AA1" w14:textId="77777777" w:rsidR="00044D5B" w:rsidRPr="00597673" w:rsidRDefault="00044D5B">
            <w:pPr>
              <w:spacing w:before="0" w:after="0"/>
              <w:jc w:val="center"/>
              <w:rPr>
                <w:b/>
                <w:bCs/>
                <w:color w:val="000000"/>
                <w:sz w:val="16"/>
                <w:szCs w:val="16"/>
              </w:rPr>
            </w:pPr>
            <w:r w:rsidRPr="00597673">
              <w:rPr>
                <w:b/>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4753E32" w14:textId="77777777" w:rsidR="00044D5B" w:rsidRPr="00597673" w:rsidRDefault="00044D5B">
            <w:pPr>
              <w:spacing w:before="0" w:after="0"/>
              <w:jc w:val="center"/>
              <w:rPr>
                <w:b/>
                <w:bCs/>
                <w:color w:val="000000"/>
                <w:sz w:val="16"/>
                <w:szCs w:val="16"/>
              </w:rPr>
            </w:pPr>
            <w:r w:rsidRPr="00597673">
              <w:rPr>
                <w:b/>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0DFD9CF" w14:textId="77777777" w:rsidR="00044D5B" w:rsidRPr="00597673" w:rsidRDefault="00044D5B">
            <w:pPr>
              <w:spacing w:before="0" w:after="0"/>
              <w:jc w:val="center"/>
              <w:rPr>
                <w:b/>
                <w:bCs/>
                <w:color w:val="000000"/>
                <w:sz w:val="16"/>
                <w:szCs w:val="16"/>
              </w:rPr>
            </w:pPr>
            <w:r w:rsidRPr="00597673">
              <w:rPr>
                <w:b/>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6B3A546" w14:textId="77777777" w:rsidR="00044D5B" w:rsidRPr="00597673" w:rsidRDefault="00044D5B">
            <w:pPr>
              <w:spacing w:before="0" w:after="0"/>
              <w:jc w:val="center"/>
              <w:rPr>
                <w:b/>
                <w:bCs/>
                <w:color w:val="000000"/>
                <w:sz w:val="16"/>
                <w:szCs w:val="16"/>
              </w:rPr>
            </w:pPr>
            <w:r w:rsidRPr="00597673">
              <w:rPr>
                <w:b/>
                <w:color w:val="000000"/>
                <w:sz w:val="16"/>
              </w:rPr>
              <w:t>0</w:t>
            </w:r>
          </w:p>
        </w:tc>
      </w:tr>
    </w:tbl>
    <w:p w14:paraId="4E1ECE44" w14:textId="77777777" w:rsidR="00044D5B" w:rsidRPr="00597673" w:rsidRDefault="00044D5B" w:rsidP="00044D5B">
      <w:pPr>
        <w:pStyle w:val="Text1"/>
        <w:ind w:left="0"/>
        <w:rPr>
          <w:noProof/>
          <w:color w:val="000000" w:themeColor="text1"/>
        </w:rPr>
      </w:pPr>
      <w:r w:rsidRPr="00597673">
        <w:rPr>
          <w:color w:val="000000" w:themeColor="text1"/>
        </w:rPr>
        <w:t xml:space="preserve">Персонал, необходим за изпълнение на предложението (в ЕПРВ): </w:t>
      </w:r>
    </w:p>
    <w:tbl>
      <w:tblPr>
        <w:tblW w:w="9487" w:type="dxa"/>
        <w:tblInd w:w="-426" w:type="dxa"/>
        <w:tblCellMar>
          <w:left w:w="0" w:type="dxa"/>
          <w:right w:w="0" w:type="dxa"/>
        </w:tblCellMar>
        <w:tblLook w:val="04A0" w:firstRow="1" w:lastRow="0" w:firstColumn="1" w:lastColumn="0" w:noHBand="0" w:noVBand="1"/>
      </w:tblPr>
      <w:tblGrid>
        <w:gridCol w:w="1845"/>
        <w:gridCol w:w="2031"/>
        <w:gridCol w:w="1925"/>
        <w:gridCol w:w="1938"/>
        <w:gridCol w:w="1748"/>
      </w:tblGrid>
      <w:tr w:rsidR="00044D5B" w:rsidRPr="00597673" w14:paraId="7FE1DECA" w14:textId="77777777">
        <w:trPr>
          <w:trHeight w:val="300"/>
        </w:trPr>
        <w:tc>
          <w:tcPr>
            <w:tcW w:w="1845" w:type="dxa"/>
          </w:tcPr>
          <w:p w14:paraId="0EDBD7DB" w14:textId="77777777" w:rsidR="00044D5B" w:rsidRPr="00597673" w:rsidRDefault="00044D5B">
            <w:pPr>
              <w:pStyle w:val="Text1"/>
              <w:ind w:left="0"/>
              <w:jc w:val="center"/>
              <w:rPr>
                <w:b/>
                <w:bCs/>
                <w:noProof/>
                <w:sz w:val="22"/>
                <w:szCs w:val="28"/>
              </w:rPr>
            </w:pPr>
          </w:p>
        </w:tc>
        <w:tc>
          <w:tcPr>
            <w:tcW w:w="2031" w:type="dxa"/>
          </w:tcPr>
          <w:p w14:paraId="22F4952C" w14:textId="77777777" w:rsidR="00044D5B" w:rsidRPr="00597673" w:rsidRDefault="00044D5B">
            <w:pPr>
              <w:pStyle w:val="Text1"/>
              <w:ind w:left="0"/>
              <w:jc w:val="center"/>
              <w:rPr>
                <w:b/>
                <w:bCs/>
                <w:noProof/>
                <w:sz w:val="22"/>
              </w:rPr>
            </w:pPr>
            <w:r w:rsidRPr="00597673">
              <w:rPr>
                <w:b/>
                <w:sz w:val="22"/>
              </w:rPr>
              <w:t xml:space="preserve">Покрит от наличния понастоящем персонал в службите на Комисията </w:t>
            </w:r>
          </w:p>
        </w:tc>
        <w:tc>
          <w:tcPr>
            <w:tcW w:w="5611" w:type="dxa"/>
            <w:gridSpan w:val="3"/>
          </w:tcPr>
          <w:p w14:paraId="1C0B7DB2" w14:textId="77777777" w:rsidR="00044D5B" w:rsidRPr="00597673" w:rsidRDefault="00044D5B">
            <w:pPr>
              <w:pStyle w:val="Text1"/>
              <w:ind w:left="0"/>
              <w:jc w:val="center"/>
              <w:rPr>
                <w:b/>
                <w:bCs/>
                <w:noProof/>
                <w:sz w:val="22"/>
              </w:rPr>
            </w:pPr>
            <w:r w:rsidRPr="00597673">
              <w:rPr>
                <w:b/>
                <w:sz w:val="22"/>
              </w:rPr>
              <w:t>Извънреден допълнителен персонал*</w:t>
            </w:r>
          </w:p>
        </w:tc>
      </w:tr>
      <w:tr w:rsidR="00044D5B" w:rsidRPr="00597673" w14:paraId="451190A4" w14:textId="77777777">
        <w:trPr>
          <w:trHeight w:val="300"/>
        </w:trPr>
        <w:tc>
          <w:tcPr>
            <w:tcW w:w="1845" w:type="dxa"/>
          </w:tcPr>
          <w:p w14:paraId="172CF661" w14:textId="77777777" w:rsidR="00044D5B" w:rsidRPr="00597673" w:rsidRDefault="00044D5B">
            <w:pPr>
              <w:pStyle w:val="Text1"/>
              <w:ind w:left="0"/>
              <w:jc w:val="center"/>
              <w:rPr>
                <w:b/>
                <w:bCs/>
                <w:noProof/>
                <w:sz w:val="22"/>
                <w:szCs w:val="28"/>
              </w:rPr>
            </w:pPr>
          </w:p>
        </w:tc>
        <w:tc>
          <w:tcPr>
            <w:tcW w:w="2031" w:type="dxa"/>
          </w:tcPr>
          <w:p w14:paraId="32F4989E" w14:textId="77777777" w:rsidR="00044D5B" w:rsidRPr="00597673" w:rsidRDefault="00044D5B">
            <w:pPr>
              <w:pStyle w:val="Text1"/>
              <w:ind w:left="0"/>
              <w:jc w:val="center"/>
              <w:rPr>
                <w:b/>
                <w:bCs/>
                <w:noProof/>
                <w:sz w:val="22"/>
                <w:szCs w:val="28"/>
              </w:rPr>
            </w:pPr>
          </w:p>
        </w:tc>
        <w:tc>
          <w:tcPr>
            <w:tcW w:w="1925" w:type="dxa"/>
          </w:tcPr>
          <w:p w14:paraId="6C8FB3C5" w14:textId="77777777" w:rsidR="00044D5B" w:rsidRPr="00597673" w:rsidRDefault="00044D5B">
            <w:pPr>
              <w:pStyle w:val="Text1"/>
              <w:ind w:left="0"/>
              <w:jc w:val="center"/>
              <w:rPr>
                <w:b/>
                <w:bCs/>
                <w:noProof/>
                <w:sz w:val="22"/>
              </w:rPr>
            </w:pPr>
            <w:r w:rsidRPr="00597673">
              <w:rPr>
                <w:b/>
                <w:sz w:val="22"/>
              </w:rPr>
              <w:t>Финансиран по функция 7 или „Научни изследвания“</w:t>
            </w:r>
          </w:p>
        </w:tc>
        <w:tc>
          <w:tcPr>
            <w:tcW w:w="1938" w:type="dxa"/>
          </w:tcPr>
          <w:p w14:paraId="5FF08C9E" w14:textId="77777777" w:rsidR="00044D5B" w:rsidRPr="00597673" w:rsidRDefault="00044D5B">
            <w:pPr>
              <w:pStyle w:val="Text1"/>
              <w:ind w:left="0"/>
              <w:jc w:val="center"/>
              <w:rPr>
                <w:b/>
                <w:bCs/>
                <w:noProof/>
                <w:sz w:val="22"/>
                <w:szCs w:val="28"/>
              </w:rPr>
            </w:pPr>
            <w:r w:rsidRPr="00597673">
              <w:rPr>
                <w:b/>
                <w:sz w:val="22"/>
              </w:rPr>
              <w:t>Финансиран от ред ВА</w:t>
            </w:r>
          </w:p>
        </w:tc>
        <w:tc>
          <w:tcPr>
            <w:tcW w:w="1748" w:type="dxa"/>
          </w:tcPr>
          <w:p w14:paraId="2A4F7393" w14:textId="77777777" w:rsidR="00044D5B" w:rsidRPr="00597673" w:rsidRDefault="00044D5B">
            <w:pPr>
              <w:pStyle w:val="Text1"/>
              <w:ind w:left="0"/>
              <w:jc w:val="center"/>
              <w:rPr>
                <w:b/>
                <w:bCs/>
                <w:noProof/>
                <w:sz w:val="22"/>
                <w:szCs w:val="28"/>
              </w:rPr>
            </w:pPr>
            <w:r w:rsidRPr="00597673">
              <w:rPr>
                <w:b/>
                <w:sz w:val="22"/>
              </w:rPr>
              <w:t>Финансиран от такси</w:t>
            </w:r>
          </w:p>
        </w:tc>
      </w:tr>
      <w:tr w:rsidR="00044D5B" w:rsidRPr="00597673" w14:paraId="20EC65B9" w14:textId="77777777">
        <w:trPr>
          <w:trHeight w:val="300"/>
        </w:trPr>
        <w:tc>
          <w:tcPr>
            <w:tcW w:w="1845" w:type="dxa"/>
          </w:tcPr>
          <w:p w14:paraId="4DE6ACEF" w14:textId="77777777" w:rsidR="00044D5B" w:rsidRPr="00597673" w:rsidRDefault="00044D5B">
            <w:pPr>
              <w:pStyle w:val="Text1"/>
              <w:ind w:left="0"/>
              <w:rPr>
                <w:noProof/>
                <w:sz w:val="22"/>
                <w:szCs w:val="28"/>
              </w:rPr>
            </w:pPr>
            <w:r w:rsidRPr="00597673">
              <w:rPr>
                <w:sz w:val="22"/>
              </w:rPr>
              <w:t>Длъжности в щатното разписание</w:t>
            </w:r>
          </w:p>
        </w:tc>
        <w:tc>
          <w:tcPr>
            <w:tcW w:w="2031" w:type="dxa"/>
          </w:tcPr>
          <w:p w14:paraId="25851FFF" w14:textId="77777777" w:rsidR="00044D5B" w:rsidRPr="00597673" w:rsidRDefault="00044D5B">
            <w:pPr>
              <w:pStyle w:val="Text1"/>
              <w:ind w:left="0"/>
              <w:rPr>
                <w:noProof/>
                <w:sz w:val="22"/>
                <w:szCs w:val="28"/>
              </w:rPr>
            </w:pPr>
          </w:p>
        </w:tc>
        <w:tc>
          <w:tcPr>
            <w:tcW w:w="1925" w:type="dxa"/>
          </w:tcPr>
          <w:p w14:paraId="7F2944F0" w14:textId="77777777" w:rsidR="00044D5B" w:rsidRPr="00597673" w:rsidRDefault="00044D5B">
            <w:pPr>
              <w:pStyle w:val="Text1"/>
              <w:ind w:left="0"/>
              <w:rPr>
                <w:noProof/>
                <w:sz w:val="22"/>
                <w:szCs w:val="28"/>
              </w:rPr>
            </w:pPr>
          </w:p>
        </w:tc>
        <w:tc>
          <w:tcPr>
            <w:tcW w:w="1938" w:type="dxa"/>
          </w:tcPr>
          <w:p w14:paraId="6D469A14" w14:textId="77777777" w:rsidR="00044D5B" w:rsidRPr="00597673" w:rsidRDefault="00044D5B">
            <w:pPr>
              <w:pStyle w:val="Text1"/>
              <w:ind w:left="0"/>
              <w:rPr>
                <w:noProof/>
                <w:sz w:val="22"/>
                <w:szCs w:val="28"/>
              </w:rPr>
            </w:pPr>
            <w:r w:rsidRPr="00597673">
              <w:rPr>
                <w:sz w:val="22"/>
              </w:rPr>
              <w:t>N/A</w:t>
            </w:r>
          </w:p>
        </w:tc>
        <w:tc>
          <w:tcPr>
            <w:tcW w:w="1748" w:type="dxa"/>
          </w:tcPr>
          <w:p w14:paraId="4891EAE0" w14:textId="77777777" w:rsidR="00044D5B" w:rsidRPr="00597673" w:rsidRDefault="00044D5B">
            <w:pPr>
              <w:pStyle w:val="Text1"/>
              <w:ind w:left="0"/>
              <w:rPr>
                <w:noProof/>
                <w:sz w:val="22"/>
                <w:szCs w:val="28"/>
              </w:rPr>
            </w:pPr>
          </w:p>
        </w:tc>
      </w:tr>
      <w:tr w:rsidR="00044D5B" w:rsidRPr="00597673" w14:paraId="7921331D" w14:textId="77777777">
        <w:trPr>
          <w:trHeight w:val="300"/>
        </w:trPr>
        <w:tc>
          <w:tcPr>
            <w:tcW w:w="1845" w:type="dxa"/>
          </w:tcPr>
          <w:p w14:paraId="28073596" w14:textId="77777777" w:rsidR="00044D5B" w:rsidRPr="00597673" w:rsidRDefault="00044D5B">
            <w:pPr>
              <w:pStyle w:val="Text1"/>
              <w:ind w:left="0"/>
              <w:rPr>
                <w:noProof/>
                <w:sz w:val="22"/>
                <w:szCs w:val="28"/>
              </w:rPr>
            </w:pPr>
            <w:r w:rsidRPr="00597673">
              <w:rPr>
                <w:sz w:val="22"/>
              </w:rPr>
              <w:t>Външен персонал (ДНП, КНЕ, ПНА)</w:t>
            </w:r>
          </w:p>
        </w:tc>
        <w:tc>
          <w:tcPr>
            <w:tcW w:w="2031" w:type="dxa"/>
          </w:tcPr>
          <w:p w14:paraId="379F8AFE" w14:textId="77777777" w:rsidR="00044D5B" w:rsidRPr="00597673" w:rsidRDefault="00044D5B">
            <w:pPr>
              <w:pStyle w:val="Text1"/>
              <w:ind w:left="0"/>
              <w:rPr>
                <w:noProof/>
                <w:sz w:val="22"/>
                <w:szCs w:val="28"/>
              </w:rPr>
            </w:pPr>
          </w:p>
        </w:tc>
        <w:tc>
          <w:tcPr>
            <w:tcW w:w="1925" w:type="dxa"/>
          </w:tcPr>
          <w:p w14:paraId="7EA40165" w14:textId="77777777" w:rsidR="00044D5B" w:rsidRPr="00597673" w:rsidRDefault="00044D5B">
            <w:pPr>
              <w:pStyle w:val="Text1"/>
              <w:ind w:left="0"/>
              <w:rPr>
                <w:noProof/>
                <w:sz w:val="22"/>
                <w:szCs w:val="28"/>
              </w:rPr>
            </w:pPr>
          </w:p>
        </w:tc>
        <w:tc>
          <w:tcPr>
            <w:tcW w:w="1938" w:type="dxa"/>
          </w:tcPr>
          <w:p w14:paraId="74D678B3" w14:textId="77777777" w:rsidR="00044D5B" w:rsidRPr="00597673" w:rsidRDefault="00044D5B">
            <w:pPr>
              <w:pStyle w:val="Text1"/>
              <w:ind w:left="0"/>
              <w:rPr>
                <w:noProof/>
                <w:sz w:val="22"/>
                <w:szCs w:val="28"/>
              </w:rPr>
            </w:pPr>
          </w:p>
        </w:tc>
        <w:tc>
          <w:tcPr>
            <w:tcW w:w="1748" w:type="dxa"/>
          </w:tcPr>
          <w:p w14:paraId="62E1525A" w14:textId="77777777" w:rsidR="00044D5B" w:rsidRPr="00597673" w:rsidRDefault="00044D5B">
            <w:pPr>
              <w:pStyle w:val="Text1"/>
              <w:ind w:left="0"/>
              <w:rPr>
                <w:noProof/>
                <w:sz w:val="22"/>
                <w:szCs w:val="28"/>
              </w:rPr>
            </w:pPr>
          </w:p>
        </w:tc>
      </w:tr>
    </w:tbl>
    <w:p w14:paraId="09B2D95F" w14:textId="77777777" w:rsidR="00044D5B" w:rsidRPr="00597673" w:rsidRDefault="00044D5B" w:rsidP="00044D5B">
      <w:pPr>
        <w:pStyle w:val="Text1"/>
        <w:ind w:left="-426" w:right="-427"/>
        <w:rPr>
          <w:noProof/>
        </w:rPr>
      </w:pPr>
      <w:r w:rsidRPr="00597673">
        <w:t>Описание на задачите, които трябва да се изпълнят от: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240"/>
        <w:gridCol w:w="7200"/>
      </w:tblGrid>
      <w:tr w:rsidR="00983E98" w:rsidRPr="00597673" w14:paraId="4E7474D6" w14:textId="77777777">
        <w:tc>
          <w:tcPr>
            <w:tcW w:w="3240" w:type="dxa"/>
          </w:tcPr>
          <w:p w14:paraId="2D49D27A" w14:textId="77777777" w:rsidR="00044D5B" w:rsidRPr="00597673" w:rsidRDefault="00044D5B">
            <w:pPr>
              <w:rPr>
                <w:noProof/>
                <w:sz w:val="20"/>
              </w:rPr>
            </w:pPr>
            <w:r w:rsidRPr="00597673">
              <w:rPr>
                <w:sz w:val="20"/>
              </w:rPr>
              <w:t>Длъжностни лица и срочно наети служители</w:t>
            </w:r>
          </w:p>
        </w:tc>
        <w:tc>
          <w:tcPr>
            <w:tcW w:w="7200" w:type="dxa"/>
          </w:tcPr>
          <w:p w14:paraId="041C584F" w14:textId="77777777" w:rsidR="00044D5B" w:rsidRPr="00597673" w:rsidRDefault="00044D5B">
            <w:pPr>
              <w:rPr>
                <w:noProof/>
                <w:sz w:val="20"/>
              </w:rPr>
            </w:pPr>
          </w:p>
        </w:tc>
      </w:tr>
      <w:tr w:rsidR="00983E98" w:rsidRPr="00597673" w14:paraId="002E2A64" w14:textId="77777777">
        <w:tc>
          <w:tcPr>
            <w:tcW w:w="3240" w:type="dxa"/>
          </w:tcPr>
          <w:p w14:paraId="64B3210A" w14:textId="77777777" w:rsidR="00044D5B" w:rsidRPr="00597673" w:rsidRDefault="00044D5B">
            <w:pPr>
              <w:spacing w:before="60" w:after="60"/>
              <w:rPr>
                <w:noProof/>
                <w:sz w:val="20"/>
              </w:rPr>
            </w:pPr>
            <w:r w:rsidRPr="00597673">
              <w:rPr>
                <w:sz w:val="20"/>
              </w:rPr>
              <w:t>Външен персонал</w:t>
            </w:r>
          </w:p>
        </w:tc>
        <w:tc>
          <w:tcPr>
            <w:tcW w:w="7200" w:type="dxa"/>
          </w:tcPr>
          <w:p w14:paraId="47075AAB" w14:textId="77777777" w:rsidR="00044D5B" w:rsidRPr="00597673" w:rsidRDefault="00044D5B">
            <w:pPr>
              <w:rPr>
                <w:noProof/>
                <w:sz w:val="20"/>
              </w:rPr>
            </w:pPr>
          </w:p>
        </w:tc>
      </w:tr>
    </w:tbl>
    <w:p w14:paraId="061CF0C2" w14:textId="77777777" w:rsidR="00044D5B" w:rsidRPr="00597673" w:rsidRDefault="00044D5B" w:rsidP="00044D5B">
      <w:pPr>
        <w:pStyle w:val="ManualHeading3"/>
      </w:pPr>
      <w:r w:rsidRPr="00597673">
        <w:t>3.2.5.</w:t>
      </w:r>
      <w:r w:rsidRPr="00597673">
        <w:tab/>
        <w:t>Преглед на очакваното отражение върху инвестициите, свързани с цифрови технологии</w:t>
      </w:r>
    </w:p>
    <w:p w14:paraId="1F4CFF52" w14:textId="77777777" w:rsidR="00044D5B" w:rsidRPr="00597673" w:rsidRDefault="00044D5B" w:rsidP="00044D5B">
      <w:pPr>
        <w:pStyle w:val="Text1"/>
        <w:spacing w:line="259" w:lineRule="auto"/>
      </w:pPr>
      <w:r w:rsidRPr="00597673">
        <w:t xml:space="preserve">Задължително: в таблицата по-долу следва да се включи най-добрата оценка на свързаните с цифровите технологии инвестиции, произтичащи от предложението/инициативата. </w:t>
      </w:r>
    </w:p>
    <w:p w14:paraId="67EBC184" w14:textId="77777777" w:rsidR="00044D5B" w:rsidRPr="00597673" w:rsidRDefault="00044D5B" w:rsidP="00044D5B">
      <w:pPr>
        <w:pStyle w:val="Text1"/>
        <w:spacing w:line="259" w:lineRule="auto"/>
      </w:pPr>
      <w:r w:rsidRPr="00597673">
        <w:t xml:space="preserve">По изключение, когато това е необходимо за изпълнението на предложението/инициативата, бюджетните кредити по функция 7 следва да се представят в определения ред. </w:t>
      </w:r>
    </w:p>
    <w:p w14:paraId="5A6BDEF9" w14:textId="77777777" w:rsidR="00044D5B" w:rsidRPr="00597673" w:rsidRDefault="00044D5B" w:rsidP="00044D5B">
      <w:pPr>
        <w:pStyle w:val="Text1"/>
        <w:spacing w:line="259" w:lineRule="auto"/>
      </w:pPr>
      <w:r w:rsidRPr="00597673">
        <w:t>Бюджетните кредити по функции 1—6 следва да бъдат отразени като „Разходи по политиката за информационни технологии за оперативни програми“. Тези разходи се отнасят до оперативния бюджет, който ще се използва за повторно използване/закупуване/разработване на ИТ платформи/инструменти, пряко свързани с изпълнението на инициативата, и свързаните с тях инвестиции (например лицензи, проучвания, съхранение на данни и др.). Информацията, предоставена в тази таблица, следва да съответства на данните, представени в раздел 4 „Цифрови измерения“.</w:t>
      </w:r>
    </w:p>
    <w:tbl>
      <w:tblPr>
        <w:tblW w:w="0" w:type="auto"/>
        <w:tblInd w:w="-113" w:type="dxa"/>
        <w:tblLayout w:type="fixed"/>
        <w:tblCellMar>
          <w:left w:w="0" w:type="dxa"/>
          <w:right w:w="0" w:type="dxa"/>
        </w:tblCellMar>
        <w:tblLook w:val="04A0" w:firstRow="1" w:lastRow="0" w:firstColumn="1" w:lastColumn="0" w:noHBand="0" w:noVBand="1"/>
      </w:tblPr>
      <w:tblGrid>
        <w:gridCol w:w="3214"/>
        <w:gridCol w:w="835"/>
        <w:gridCol w:w="835"/>
        <w:gridCol w:w="835"/>
        <w:gridCol w:w="835"/>
        <w:gridCol w:w="981"/>
      </w:tblGrid>
      <w:tr w:rsidR="00983E98" w:rsidRPr="00597673" w14:paraId="60222ED9"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7755DBE8" w14:textId="77777777" w:rsidR="00044D5B" w:rsidRPr="00597673" w:rsidRDefault="00044D5B">
            <w:pPr>
              <w:spacing w:before="0" w:after="0"/>
              <w:jc w:val="center"/>
              <w:rPr>
                <w:b/>
                <w:bCs/>
                <w:color w:val="000000" w:themeColor="text1"/>
                <w:sz w:val="18"/>
                <w:szCs w:val="18"/>
              </w:rPr>
            </w:pPr>
            <w:r w:rsidRPr="00597673">
              <w:rPr>
                <w:b/>
                <w:color w:val="000000" w:themeColor="text1"/>
                <w:sz w:val="18"/>
              </w:rPr>
              <w:t>ОБЩО бюджетни кредити за цифрови и информационни технологии</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33E2513D" w14:textId="77777777" w:rsidR="00044D5B" w:rsidRPr="00597673" w:rsidRDefault="00044D5B">
            <w:pPr>
              <w:spacing w:before="0" w:after="0"/>
              <w:jc w:val="center"/>
              <w:rPr>
                <w:color w:val="000000" w:themeColor="text1"/>
                <w:sz w:val="18"/>
                <w:szCs w:val="18"/>
              </w:rPr>
            </w:pPr>
            <w:r w:rsidRPr="00597673">
              <w:rPr>
                <w:color w:val="000000" w:themeColor="text1"/>
                <w:sz w:val="18"/>
              </w:rPr>
              <w:t>Година</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C5351AD" w14:textId="77777777" w:rsidR="00044D5B" w:rsidRPr="00597673" w:rsidRDefault="00044D5B">
            <w:pPr>
              <w:spacing w:before="0" w:after="0"/>
              <w:jc w:val="center"/>
              <w:rPr>
                <w:color w:val="000000" w:themeColor="text1"/>
                <w:sz w:val="18"/>
                <w:szCs w:val="18"/>
              </w:rPr>
            </w:pPr>
            <w:r w:rsidRPr="00597673">
              <w:rPr>
                <w:color w:val="000000" w:themeColor="text1"/>
                <w:sz w:val="18"/>
              </w:rPr>
              <w:t>Година</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3711C62" w14:textId="77777777" w:rsidR="00044D5B" w:rsidRPr="00597673" w:rsidRDefault="00044D5B">
            <w:pPr>
              <w:spacing w:before="0" w:after="0"/>
              <w:jc w:val="center"/>
              <w:rPr>
                <w:color w:val="000000" w:themeColor="text1"/>
                <w:sz w:val="18"/>
                <w:szCs w:val="18"/>
              </w:rPr>
            </w:pPr>
            <w:r w:rsidRPr="00597673">
              <w:rPr>
                <w:color w:val="000000" w:themeColor="text1"/>
                <w:sz w:val="18"/>
              </w:rPr>
              <w:t>Година</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55AC0D4" w14:textId="77777777" w:rsidR="00044D5B" w:rsidRPr="00597673" w:rsidRDefault="00044D5B">
            <w:pPr>
              <w:spacing w:before="0" w:after="0"/>
              <w:jc w:val="center"/>
              <w:rPr>
                <w:color w:val="000000" w:themeColor="text1"/>
                <w:sz w:val="18"/>
                <w:szCs w:val="18"/>
              </w:rPr>
            </w:pPr>
            <w:r w:rsidRPr="00597673">
              <w:rPr>
                <w:color w:val="000000" w:themeColor="text1"/>
                <w:sz w:val="18"/>
              </w:rPr>
              <w:t>Година</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5A46E25" w14:textId="77777777" w:rsidR="00044D5B" w:rsidRPr="00597673" w:rsidRDefault="00044D5B">
            <w:pPr>
              <w:spacing w:before="0" w:after="0"/>
              <w:jc w:val="center"/>
              <w:rPr>
                <w:b/>
                <w:bCs/>
                <w:color w:val="000000" w:themeColor="text1"/>
                <w:sz w:val="18"/>
                <w:szCs w:val="18"/>
              </w:rPr>
            </w:pPr>
            <w:r w:rsidRPr="00597673">
              <w:rPr>
                <w:b/>
                <w:color w:val="000000" w:themeColor="text1"/>
                <w:sz w:val="18"/>
              </w:rPr>
              <w:t>ОБЩО МФР 2021—2027 г.</w:t>
            </w:r>
          </w:p>
        </w:tc>
      </w:tr>
      <w:tr w:rsidR="00983E98" w:rsidRPr="00597673" w14:paraId="239D52EA" w14:textId="77777777">
        <w:trPr>
          <w:trHeight w:val="525"/>
        </w:trPr>
        <w:tc>
          <w:tcPr>
            <w:tcW w:w="3214" w:type="dxa"/>
            <w:vMerge/>
            <w:tcBorders>
              <w:top w:val="single" w:sz="8" w:space="0" w:color="auto"/>
              <w:left w:val="single" w:sz="4" w:space="0" w:color="auto"/>
              <w:right w:val="single" w:sz="4" w:space="0" w:color="auto"/>
            </w:tcBorders>
            <w:vAlign w:val="center"/>
          </w:tcPr>
          <w:p w14:paraId="1A6C1785" w14:textId="77777777" w:rsidR="00044D5B" w:rsidRPr="00597673" w:rsidRDefault="00044D5B"/>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3FCF173E" w14:textId="77777777" w:rsidR="00044D5B" w:rsidRPr="00597673" w:rsidRDefault="00044D5B">
            <w:pPr>
              <w:spacing w:before="0" w:after="0"/>
              <w:jc w:val="center"/>
              <w:rPr>
                <w:b/>
                <w:bCs/>
                <w:color w:val="000000" w:themeColor="text1"/>
                <w:sz w:val="18"/>
                <w:szCs w:val="18"/>
              </w:rPr>
            </w:pPr>
            <w:r w:rsidRPr="00597673">
              <w:rPr>
                <w:b/>
                <w:color w:val="000000" w:themeColor="text1"/>
                <w:sz w:val="18"/>
              </w:rPr>
              <w:t>2024 г.</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06BB7BC5" w14:textId="77777777" w:rsidR="00044D5B" w:rsidRPr="00597673" w:rsidRDefault="00044D5B">
            <w:pPr>
              <w:spacing w:before="0" w:after="0"/>
              <w:jc w:val="center"/>
              <w:rPr>
                <w:b/>
                <w:bCs/>
                <w:color w:val="000000" w:themeColor="text1"/>
                <w:sz w:val="18"/>
                <w:szCs w:val="18"/>
              </w:rPr>
            </w:pPr>
            <w:r w:rsidRPr="00597673">
              <w:rPr>
                <w:b/>
                <w:color w:val="000000" w:themeColor="text1"/>
                <w:sz w:val="18"/>
              </w:rPr>
              <w:t>2025 г.</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6187EAAA" w14:textId="77777777" w:rsidR="00044D5B" w:rsidRPr="00597673" w:rsidRDefault="00044D5B">
            <w:pPr>
              <w:spacing w:before="0" w:after="0"/>
              <w:jc w:val="center"/>
              <w:rPr>
                <w:b/>
                <w:bCs/>
                <w:color w:val="000000" w:themeColor="text1"/>
                <w:sz w:val="18"/>
                <w:szCs w:val="18"/>
              </w:rPr>
            </w:pPr>
            <w:r w:rsidRPr="00597673">
              <w:rPr>
                <w:b/>
                <w:color w:val="000000" w:themeColor="text1"/>
                <w:sz w:val="18"/>
              </w:rPr>
              <w:t>2026 г.</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6425B24" w14:textId="77777777" w:rsidR="00044D5B" w:rsidRPr="00597673" w:rsidRDefault="00044D5B">
            <w:pPr>
              <w:spacing w:before="0" w:after="0"/>
              <w:jc w:val="center"/>
              <w:rPr>
                <w:b/>
                <w:bCs/>
                <w:color w:val="000000" w:themeColor="text1"/>
                <w:sz w:val="18"/>
                <w:szCs w:val="18"/>
              </w:rPr>
            </w:pPr>
            <w:r w:rsidRPr="00597673">
              <w:rPr>
                <w:b/>
                <w:color w:val="000000" w:themeColor="text1"/>
                <w:sz w:val="18"/>
              </w:rPr>
              <w:t>2027 г.</w:t>
            </w:r>
          </w:p>
        </w:tc>
        <w:tc>
          <w:tcPr>
            <w:tcW w:w="981" w:type="dxa"/>
            <w:vMerge/>
            <w:tcBorders>
              <w:bottom w:val="single" w:sz="4" w:space="0" w:color="auto"/>
              <w:right w:val="single" w:sz="4" w:space="0" w:color="auto"/>
            </w:tcBorders>
            <w:vAlign w:val="center"/>
          </w:tcPr>
          <w:p w14:paraId="2AAF56AF" w14:textId="77777777" w:rsidR="00044D5B" w:rsidRPr="00597673" w:rsidRDefault="00044D5B"/>
        </w:tc>
      </w:tr>
      <w:tr w:rsidR="00E62D64" w:rsidRPr="00597673" w14:paraId="5F0B00E9"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65829E97" w14:textId="77777777" w:rsidR="00044D5B" w:rsidRPr="00597673" w:rsidRDefault="00044D5B">
            <w:pPr>
              <w:spacing w:before="0" w:after="0"/>
              <w:jc w:val="left"/>
              <w:rPr>
                <w:b/>
                <w:bCs/>
                <w:sz w:val="16"/>
                <w:szCs w:val="16"/>
              </w:rPr>
            </w:pPr>
            <w:r w:rsidRPr="00597673">
              <w:rPr>
                <w:b/>
                <w:sz w:val="16"/>
              </w:rPr>
              <w:t>ФУНКЦИЯ 7</w:t>
            </w:r>
          </w:p>
        </w:tc>
      </w:tr>
      <w:tr w:rsidR="00504273" w:rsidRPr="00597673" w14:paraId="707FFEF0"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EE6BA" w14:textId="77777777" w:rsidR="00044D5B" w:rsidRPr="00597673" w:rsidRDefault="00044D5B">
            <w:pPr>
              <w:spacing w:before="0" w:after="0"/>
              <w:jc w:val="left"/>
              <w:rPr>
                <w:color w:val="000000" w:themeColor="text1"/>
                <w:sz w:val="16"/>
                <w:szCs w:val="16"/>
              </w:rPr>
            </w:pPr>
            <w:r w:rsidRPr="00597673">
              <w:rPr>
                <w:rFonts w:ascii="Arial Narrow" w:hAnsi="Arial Narrow"/>
                <w:color w:val="000000" w:themeColor="text1"/>
                <w:sz w:val="20"/>
              </w:rPr>
              <w:t>Разходи за ИТ (институционални)</w:t>
            </w:r>
            <w:r w:rsidRPr="00597673">
              <w:rPr>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563F9E"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D36644"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071EAF"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311390"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C85C0C"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r>
      <w:tr w:rsidR="00983E98" w:rsidRPr="00597673" w14:paraId="52DCC97F"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7964416F" w14:textId="77777777" w:rsidR="00044D5B" w:rsidRPr="00597673" w:rsidRDefault="00044D5B">
            <w:pPr>
              <w:spacing w:before="0" w:after="0"/>
              <w:jc w:val="center"/>
              <w:rPr>
                <w:b/>
                <w:bCs/>
                <w:color w:val="000000" w:themeColor="text1"/>
                <w:sz w:val="16"/>
                <w:szCs w:val="16"/>
              </w:rPr>
            </w:pPr>
            <w:r w:rsidRPr="00597673">
              <w:rPr>
                <w:b/>
                <w:color w:val="000000" w:themeColor="text1"/>
                <w:sz w:val="16"/>
              </w:rPr>
              <w:t>Междинен сбор за ФУНКЦИЯ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2F3018"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54CA6F"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E6C343"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DDD15C"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B57F2D"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r>
      <w:tr w:rsidR="00A9194D" w:rsidRPr="00597673" w14:paraId="3AAEF6AE"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AF968" w14:textId="77777777" w:rsidR="00044D5B" w:rsidRPr="00597673" w:rsidRDefault="00044D5B">
            <w:pPr>
              <w:spacing w:before="0" w:after="0"/>
              <w:jc w:val="left"/>
              <w:rPr>
                <w:b/>
                <w:bCs/>
                <w:sz w:val="16"/>
                <w:szCs w:val="16"/>
              </w:rPr>
            </w:pPr>
            <w:r w:rsidRPr="00597673">
              <w:rPr>
                <w:b/>
                <w:sz w:val="16"/>
              </w:rPr>
              <w:t>Извън ФУНКЦИЯ 7</w:t>
            </w:r>
          </w:p>
        </w:tc>
      </w:tr>
      <w:tr w:rsidR="00504273" w:rsidRPr="00597673" w14:paraId="131AA9CA"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A3A44" w14:textId="77777777" w:rsidR="00044D5B" w:rsidRPr="00597673" w:rsidRDefault="00044D5B">
            <w:pPr>
              <w:spacing w:before="0" w:after="0"/>
              <w:jc w:val="left"/>
              <w:rPr>
                <w:rFonts w:ascii="Arial Narrow" w:eastAsia="Arial Narrow" w:hAnsi="Arial Narrow" w:cs="Arial Narrow"/>
                <w:color w:val="000000" w:themeColor="text1"/>
                <w:sz w:val="20"/>
                <w:szCs w:val="20"/>
              </w:rPr>
            </w:pPr>
            <w:r w:rsidRPr="00597673">
              <w:rPr>
                <w:rFonts w:ascii="Arial Narrow" w:hAnsi="Arial Narrow"/>
                <w:color w:val="000000" w:themeColor="text1"/>
                <w:sz w:val="20"/>
              </w:rPr>
              <w:t>Разходи за информационни технологии, свързани с политиката, по оперативни програми</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DA205E"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186B93"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E3AD6F"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815CA9" w14:textId="77777777" w:rsidR="00044D5B" w:rsidRPr="00597673" w:rsidRDefault="00044D5B">
            <w:pPr>
              <w:spacing w:before="0" w:after="0"/>
              <w:jc w:val="right"/>
              <w:rPr>
                <w:color w:val="000000" w:themeColor="text1"/>
                <w:sz w:val="16"/>
                <w:szCs w:val="16"/>
              </w:rPr>
            </w:pPr>
            <w:r w:rsidRPr="00597673">
              <w:rPr>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CC7112"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r>
      <w:tr w:rsidR="00983E98" w:rsidRPr="00597673" w14:paraId="137B81B4"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0F07398" w14:textId="77777777" w:rsidR="00044D5B" w:rsidRPr="00597673" w:rsidRDefault="00044D5B">
            <w:pPr>
              <w:spacing w:before="0" w:after="0"/>
              <w:jc w:val="center"/>
              <w:rPr>
                <w:b/>
                <w:bCs/>
                <w:color w:val="000000" w:themeColor="text1"/>
                <w:sz w:val="16"/>
                <w:szCs w:val="16"/>
              </w:rPr>
            </w:pPr>
            <w:r w:rsidRPr="00597673">
              <w:rPr>
                <w:b/>
                <w:color w:val="000000" w:themeColor="text1"/>
                <w:sz w:val="16"/>
              </w:rPr>
              <w:t>Междинен сбор извън ФУНКЦИЯ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8F2D17"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C19EE7"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F9D734"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C1A86D"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6742D4"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r>
      <w:tr w:rsidR="00A9194D" w:rsidRPr="00597673" w14:paraId="19206F9C"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BA332" w14:textId="77777777" w:rsidR="00044D5B" w:rsidRPr="00597673" w:rsidRDefault="00044D5B">
            <w:pPr>
              <w:spacing w:before="0" w:after="0"/>
              <w:jc w:val="center"/>
              <w:rPr>
                <w:color w:val="000000" w:themeColor="text1"/>
                <w:sz w:val="16"/>
                <w:szCs w:val="16"/>
              </w:rPr>
            </w:pPr>
            <w:r w:rsidRPr="00597673">
              <w:rPr>
                <w:color w:val="000000" w:themeColor="text1"/>
                <w:sz w:val="16"/>
              </w:rPr>
              <w:t xml:space="preserve"> </w:t>
            </w:r>
          </w:p>
        </w:tc>
      </w:tr>
      <w:tr w:rsidR="00E62D64" w:rsidRPr="00597673" w14:paraId="449530DC"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C66813A" w14:textId="77777777" w:rsidR="00044D5B" w:rsidRPr="00597673" w:rsidRDefault="00044D5B">
            <w:pPr>
              <w:spacing w:before="0" w:after="0"/>
              <w:jc w:val="center"/>
              <w:rPr>
                <w:b/>
                <w:bCs/>
                <w:color w:val="000000" w:themeColor="text1"/>
                <w:sz w:val="16"/>
                <w:szCs w:val="16"/>
              </w:rPr>
            </w:pPr>
            <w:r w:rsidRPr="00597673">
              <w:rPr>
                <w:b/>
                <w:color w:val="000000" w:themeColor="text1"/>
                <w:sz w:val="16"/>
              </w:rPr>
              <w:t>ОБЩО</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3784178"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77489A9"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CD1F5E7"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DD39321"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8C04EA0" w14:textId="77777777" w:rsidR="00044D5B" w:rsidRPr="00597673" w:rsidRDefault="00044D5B">
            <w:pPr>
              <w:spacing w:before="0" w:after="0"/>
              <w:jc w:val="right"/>
              <w:rPr>
                <w:b/>
                <w:bCs/>
                <w:color w:val="000000" w:themeColor="text1"/>
                <w:sz w:val="16"/>
                <w:szCs w:val="16"/>
              </w:rPr>
            </w:pPr>
            <w:r w:rsidRPr="00597673">
              <w:rPr>
                <w:b/>
                <w:color w:val="000000" w:themeColor="text1"/>
                <w:sz w:val="16"/>
              </w:rPr>
              <w:t>0,000</w:t>
            </w:r>
          </w:p>
        </w:tc>
      </w:tr>
    </w:tbl>
    <w:p w14:paraId="2A802E82" w14:textId="77777777" w:rsidR="00044D5B" w:rsidRPr="00597673" w:rsidRDefault="00044D5B" w:rsidP="00044D5B">
      <w:pPr>
        <w:pStyle w:val="ManualHeading3"/>
        <w:rPr>
          <w:noProof/>
        </w:rPr>
      </w:pPr>
      <w:r w:rsidRPr="00597673">
        <w:t>3.2.6.</w:t>
      </w:r>
      <w:r w:rsidRPr="00597673">
        <w:tab/>
        <w:t xml:space="preserve">Съвместимост с настоящата многогодишна финансова рамка </w:t>
      </w:r>
    </w:p>
    <w:p w14:paraId="1284E8C0" w14:textId="77777777" w:rsidR="00044D5B" w:rsidRPr="00597673" w:rsidRDefault="00044D5B" w:rsidP="00044D5B">
      <w:pPr>
        <w:pStyle w:val="Text1"/>
        <w:rPr>
          <w:noProof/>
        </w:rPr>
      </w:pPr>
      <w:r w:rsidRPr="00597673">
        <w:t>Предложението/инициативата:</w:t>
      </w:r>
    </w:p>
    <w:p w14:paraId="0FE1D815" w14:textId="77777777" w:rsidR="00044D5B" w:rsidRPr="00597673" w:rsidRDefault="00044D5B" w:rsidP="00044D5B">
      <w:pPr>
        <w:pStyle w:val="ListDash1"/>
        <w:rPr>
          <w:noProof/>
        </w:rPr>
      </w:pPr>
      <w:r w:rsidRPr="00597673">
        <w:rPr>
          <w:rFonts w:ascii="Wingdings" w:hAnsi="Wingdings"/>
        </w:rPr>
        <w:t>¨</w:t>
      </w:r>
      <w:r w:rsidRPr="00597673">
        <w:tab/>
        <w:t>може да се финансира изцяло чрез преразпределяне на средства в рамките на съответната функция от многогодишната финансова рамка (МФР)</w:t>
      </w:r>
    </w:p>
    <w:p w14:paraId="662B584C" w14:textId="77777777" w:rsidR="00044D5B" w:rsidRPr="00597673" w:rsidRDefault="00044D5B" w:rsidP="00044D5B">
      <w:pPr>
        <w:pStyle w:val="ListDash1"/>
        <w:rPr>
          <w:noProof/>
        </w:rPr>
      </w:pPr>
      <w:r w:rsidRPr="00597673">
        <w:rPr>
          <w:rFonts w:ascii="Wingdings" w:hAnsi="Wingdings"/>
        </w:rPr>
        <w:t>¨</w:t>
      </w:r>
      <w:r w:rsidRPr="00597673">
        <w:tab/>
        <w:t>налага използване на неразпределения марж по съответната функция от МФР и/или използване на специалните инструменти, предвидени в Регламента за МФР</w:t>
      </w:r>
    </w:p>
    <w:p w14:paraId="27E73E11" w14:textId="77777777" w:rsidR="00044D5B" w:rsidRPr="00597673" w:rsidRDefault="00044D5B" w:rsidP="00044D5B">
      <w:pPr>
        <w:pStyle w:val="ListDash1"/>
        <w:rPr>
          <w:noProof/>
        </w:rPr>
      </w:pPr>
      <w:r w:rsidRPr="00597673">
        <w:rPr>
          <w:rFonts w:ascii="Wingdings" w:hAnsi="Wingdings"/>
        </w:rPr>
        <w:t>¨</w:t>
      </w:r>
      <w:r w:rsidRPr="00597673">
        <w:tab/>
        <w:t>налага преразглеждане на МФР</w:t>
      </w:r>
    </w:p>
    <w:p w14:paraId="6D44DF93" w14:textId="77777777" w:rsidR="00044D5B" w:rsidRPr="00597673" w:rsidRDefault="00044D5B" w:rsidP="00044D5B">
      <w:pPr>
        <w:pStyle w:val="ManualHeading3"/>
      </w:pPr>
      <w:r w:rsidRPr="00597673">
        <w:t>3.2.7.</w:t>
      </w:r>
      <w:r w:rsidRPr="00597673">
        <w:tab/>
        <w:t xml:space="preserve">Финансов принос от трети страни </w:t>
      </w:r>
    </w:p>
    <w:p w14:paraId="0641FC99" w14:textId="77777777" w:rsidR="00044D5B" w:rsidRPr="00597673" w:rsidRDefault="00044D5B" w:rsidP="00044D5B">
      <w:pPr>
        <w:pStyle w:val="Text1"/>
        <w:rPr>
          <w:noProof/>
        </w:rPr>
      </w:pPr>
      <w:r w:rsidRPr="00597673">
        <w:t>Предложението/инициативата:</w:t>
      </w:r>
    </w:p>
    <w:p w14:paraId="2C84262A" w14:textId="77777777" w:rsidR="00044D5B" w:rsidRPr="00597673" w:rsidRDefault="00044D5B" w:rsidP="00044D5B">
      <w:pPr>
        <w:pStyle w:val="ListDash1"/>
        <w:rPr>
          <w:noProof/>
        </w:rPr>
      </w:pPr>
      <w:r w:rsidRPr="00597673">
        <w:rPr>
          <w:rFonts w:ascii="Wingdings" w:hAnsi="Wingdings"/>
        </w:rPr>
        <w:t>¨</w:t>
      </w:r>
      <w:r w:rsidRPr="00597673">
        <w:tab/>
        <w:t>не предвижда съфинансиране от трети страни</w:t>
      </w:r>
    </w:p>
    <w:p w14:paraId="64B8F604" w14:textId="77777777" w:rsidR="00044D5B" w:rsidRPr="00597673" w:rsidRDefault="00044D5B" w:rsidP="00044D5B">
      <w:pPr>
        <w:pStyle w:val="ListDash1"/>
        <w:rPr>
          <w:noProof/>
        </w:rPr>
      </w:pPr>
      <w:r w:rsidRPr="00597673">
        <w:rPr>
          <w:rFonts w:ascii="Wingdings" w:hAnsi="Wingdings"/>
        </w:rPr>
        <w:t>¨</w:t>
      </w:r>
      <w:r w:rsidRPr="00597673">
        <w:tab/>
        <w:t>предвижда следното съфинансиране от трети страни, като оценките са дадени по-долу:</w:t>
      </w:r>
    </w:p>
    <w:p w14:paraId="26C2F2B6" w14:textId="77777777" w:rsidR="00044D5B" w:rsidRPr="00597673" w:rsidRDefault="00044D5B" w:rsidP="00044D5B">
      <w:pPr>
        <w:jc w:val="right"/>
        <w:rPr>
          <w:noProof/>
          <w:sz w:val="20"/>
        </w:rPr>
      </w:pPr>
      <w:r w:rsidRPr="00597673">
        <w:rPr>
          <w:sz w:val="20"/>
        </w:rPr>
        <w:t>Бюджетни кредити в милиони евро (до третия знак след десетичната запетая)</w:t>
      </w:r>
    </w:p>
    <w:tbl>
      <w:tblPr>
        <w:tblW w:w="5000" w:type="pct"/>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894"/>
        <w:gridCol w:w="1191"/>
        <w:gridCol w:w="1191"/>
        <w:gridCol w:w="1191"/>
        <w:gridCol w:w="1191"/>
        <w:gridCol w:w="1431"/>
      </w:tblGrid>
      <w:tr w:rsidR="00754415" w:rsidRPr="00597673" w14:paraId="1450C144" w14:textId="77777777">
        <w:trPr>
          <w:cantSplit/>
        </w:trPr>
        <w:tc>
          <w:tcPr>
            <w:tcW w:w="1591" w:type="pct"/>
          </w:tcPr>
          <w:p w14:paraId="1FE6023E" w14:textId="77777777" w:rsidR="00044D5B" w:rsidRPr="00597673" w:rsidRDefault="00044D5B">
            <w:pPr>
              <w:spacing w:before="60" w:after="60"/>
              <w:rPr>
                <w:noProof/>
                <w:sz w:val="20"/>
              </w:rPr>
            </w:pPr>
          </w:p>
        </w:tc>
        <w:tc>
          <w:tcPr>
            <w:tcW w:w="655" w:type="pct"/>
            <w:vAlign w:val="center"/>
          </w:tcPr>
          <w:p w14:paraId="55F0BAFF" w14:textId="77777777" w:rsidR="00044D5B" w:rsidRPr="00597673" w:rsidRDefault="00044D5B">
            <w:pPr>
              <w:jc w:val="center"/>
              <w:rPr>
                <w:noProof/>
                <w:sz w:val="20"/>
              </w:rPr>
            </w:pPr>
            <w:r w:rsidRPr="00597673">
              <w:rPr>
                <w:sz w:val="20"/>
              </w:rPr>
              <w:t xml:space="preserve">Година </w:t>
            </w:r>
            <w:r w:rsidRPr="00597673">
              <w:t xml:space="preserve"> </w:t>
            </w:r>
            <w:r w:rsidRPr="00597673">
              <w:br/>
            </w:r>
            <w:r w:rsidRPr="00597673">
              <w:rPr>
                <w:b/>
                <w:sz w:val="20"/>
              </w:rPr>
              <w:t>2024</w:t>
            </w:r>
          </w:p>
        </w:tc>
        <w:tc>
          <w:tcPr>
            <w:tcW w:w="655" w:type="pct"/>
            <w:vAlign w:val="center"/>
          </w:tcPr>
          <w:p w14:paraId="0F42A481" w14:textId="77777777" w:rsidR="00044D5B" w:rsidRPr="00597673" w:rsidRDefault="00044D5B">
            <w:pPr>
              <w:jc w:val="center"/>
              <w:rPr>
                <w:noProof/>
                <w:sz w:val="20"/>
              </w:rPr>
            </w:pPr>
            <w:r w:rsidRPr="00597673">
              <w:rPr>
                <w:sz w:val="20"/>
              </w:rPr>
              <w:t xml:space="preserve">Година </w:t>
            </w:r>
            <w:r w:rsidRPr="00597673">
              <w:t xml:space="preserve"> </w:t>
            </w:r>
            <w:r w:rsidRPr="00597673">
              <w:br/>
            </w:r>
            <w:r w:rsidRPr="00597673">
              <w:rPr>
                <w:b/>
                <w:sz w:val="20"/>
              </w:rPr>
              <w:t>2025</w:t>
            </w:r>
          </w:p>
        </w:tc>
        <w:tc>
          <w:tcPr>
            <w:tcW w:w="655" w:type="pct"/>
            <w:vAlign w:val="center"/>
          </w:tcPr>
          <w:p w14:paraId="0AAD9081" w14:textId="77777777" w:rsidR="00044D5B" w:rsidRPr="00597673" w:rsidRDefault="00044D5B">
            <w:pPr>
              <w:jc w:val="center"/>
              <w:rPr>
                <w:noProof/>
                <w:sz w:val="20"/>
              </w:rPr>
            </w:pPr>
            <w:r w:rsidRPr="00597673">
              <w:rPr>
                <w:sz w:val="20"/>
              </w:rPr>
              <w:t xml:space="preserve">Година </w:t>
            </w:r>
            <w:r w:rsidRPr="00597673">
              <w:t xml:space="preserve"> </w:t>
            </w:r>
            <w:r w:rsidRPr="00597673">
              <w:br/>
            </w:r>
            <w:r w:rsidRPr="00597673">
              <w:rPr>
                <w:b/>
                <w:sz w:val="20"/>
              </w:rPr>
              <w:t>2026</w:t>
            </w:r>
          </w:p>
        </w:tc>
        <w:tc>
          <w:tcPr>
            <w:tcW w:w="655" w:type="pct"/>
            <w:vAlign w:val="center"/>
          </w:tcPr>
          <w:p w14:paraId="3F8D5BB6" w14:textId="77777777" w:rsidR="00044D5B" w:rsidRPr="00597673" w:rsidRDefault="00044D5B">
            <w:pPr>
              <w:jc w:val="center"/>
              <w:rPr>
                <w:noProof/>
                <w:sz w:val="20"/>
              </w:rPr>
            </w:pPr>
            <w:r w:rsidRPr="00597673">
              <w:rPr>
                <w:sz w:val="20"/>
              </w:rPr>
              <w:t xml:space="preserve">Година </w:t>
            </w:r>
            <w:r w:rsidRPr="00597673">
              <w:t xml:space="preserve"> </w:t>
            </w:r>
            <w:r w:rsidRPr="00597673">
              <w:br/>
            </w:r>
            <w:r w:rsidRPr="00597673">
              <w:rPr>
                <w:b/>
                <w:sz w:val="20"/>
              </w:rPr>
              <w:t>2027</w:t>
            </w:r>
          </w:p>
        </w:tc>
        <w:tc>
          <w:tcPr>
            <w:tcW w:w="787" w:type="pct"/>
            <w:vAlign w:val="center"/>
          </w:tcPr>
          <w:p w14:paraId="2D042D76" w14:textId="77777777" w:rsidR="00044D5B" w:rsidRPr="00597673" w:rsidRDefault="00044D5B">
            <w:pPr>
              <w:spacing w:before="60" w:after="60"/>
              <w:jc w:val="center"/>
              <w:rPr>
                <w:noProof/>
                <w:sz w:val="20"/>
              </w:rPr>
            </w:pPr>
            <w:r w:rsidRPr="00597673">
              <w:rPr>
                <w:sz w:val="20"/>
              </w:rPr>
              <w:t>Общо</w:t>
            </w:r>
          </w:p>
        </w:tc>
      </w:tr>
      <w:tr w:rsidR="00754415" w:rsidRPr="00597673" w14:paraId="5C36108C" w14:textId="77777777">
        <w:trPr>
          <w:cantSplit/>
        </w:trPr>
        <w:tc>
          <w:tcPr>
            <w:tcW w:w="1591" w:type="pct"/>
          </w:tcPr>
          <w:p w14:paraId="7913066C" w14:textId="77777777" w:rsidR="00044D5B" w:rsidRPr="00597673" w:rsidRDefault="00044D5B">
            <w:pPr>
              <w:rPr>
                <w:noProof/>
              </w:rPr>
            </w:pPr>
            <w:r w:rsidRPr="00597673">
              <w:rPr>
                <w:sz w:val="20"/>
              </w:rPr>
              <w:t>Да се посочи съфинансиращият орган</w:t>
            </w:r>
            <w:r w:rsidRPr="00597673">
              <w:rPr>
                <w:i/>
                <w:sz w:val="20"/>
              </w:rPr>
              <w:t xml:space="preserve"> </w:t>
            </w:r>
          </w:p>
        </w:tc>
        <w:tc>
          <w:tcPr>
            <w:tcW w:w="655" w:type="pct"/>
            <w:vAlign w:val="center"/>
          </w:tcPr>
          <w:p w14:paraId="69EA4A54" w14:textId="77777777" w:rsidR="00044D5B" w:rsidRPr="00597673" w:rsidRDefault="00044D5B">
            <w:pPr>
              <w:spacing w:before="60" w:after="60"/>
              <w:jc w:val="center"/>
              <w:rPr>
                <w:noProof/>
                <w:sz w:val="20"/>
              </w:rPr>
            </w:pPr>
          </w:p>
        </w:tc>
        <w:tc>
          <w:tcPr>
            <w:tcW w:w="655" w:type="pct"/>
            <w:vAlign w:val="center"/>
          </w:tcPr>
          <w:p w14:paraId="5C326456" w14:textId="77777777" w:rsidR="00044D5B" w:rsidRPr="00597673" w:rsidRDefault="00044D5B">
            <w:pPr>
              <w:spacing w:before="60" w:after="60"/>
              <w:jc w:val="center"/>
              <w:rPr>
                <w:noProof/>
                <w:sz w:val="20"/>
              </w:rPr>
            </w:pPr>
          </w:p>
        </w:tc>
        <w:tc>
          <w:tcPr>
            <w:tcW w:w="655" w:type="pct"/>
            <w:vAlign w:val="center"/>
          </w:tcPr>
          <w:p w14:paraId="14401FB2" w14:textId="77777777" w:rsidR="00044D5B" w:rsidRPr="00597673" w:rsidRDefault="00044D5B">
            <w:pPr>
              <w:spacing w:before="60" w:after="60"/>
              <w:jc w:val="center"/>
              <w:rPr>
                <w:noProof/>
                <w:sz w:val="20"/>
              </w:rPr>
            </w:pPr>
          </w:p>
        </w:tc>
        <w:tc>
          <w:tcPr>
            <w:tcW w:w="655" w:type="pct"/>
            <w:vAlign w:val="center"/>
          </w:tcPr>
          <w:p w14:paraId="7B0CAB14" w14:textId="77777777" w:rsidR="00044D5B" w:rsidRPr="00597673" w:rsidRDefault="00044D5B">
            <w:pPr>
              <w:spacing w:before="60" w:after="60"/>
              <w:jc w:val="center"/>
              <w:rPr>
                <w:noProof/>
                <w:sz w:val="20"/>
              </w:rPr>
            </w:pPr>
          </w:p>
        </w:tc>
        <w:tc>
          <w:tcPr>
            <w:tcW w:w="787" w:type="pct"/>
            <w:vAlign w:val="center"/>
          </w:tcPr>
          <w:p w14:paraId="300C200B" w14:textId="77777777" w:rsidR="00044D5B" w:rsidRPr="00597673" w:rsidRDefault="00044D5B">
            <w:pPr>
              <w:spacing w:before="60" w:after="60"/>
              <w:jc w:val="center"/>
              <w:rPr>
                <w:noProof/>
                <w:sz w:val="20"/>
              </w:rPr>
            </w:pPr>
          </w:p>
        </w:tc>
      </w:tr>
      <w:tr w:rsidR="00754415" w:rsidRPr="00597673" w14:paraId="7EB607A5" w14:textId="77777777">
        <w:trPr>
          <w:cantSplit/>
        </w:trPr>
        <w:tc>
          <w:tcPr>
            <w:tcW w:w="1591" w:type="pct"/>
          </w:tcPr>
          <w:p w14:paraId="2125C0CC" w14:textId="77777777" w:rsidR="00044D5B" w:rsidRPr="00597673" w:rsidRDefault="00044D5B">
            <w:pPr>
              <w:spacing w:before="60" w:after="60"/>
              <w:jc w:val="left"/>
              <w:rPr>
                <w:noProof/>
                <w:sz w:val="20"/>
              </w:rPr>
            </w:pPr>
            <w:r w:rsidRPr="00597673">
              <w:rPr>
                <w:sz w:val="20"/>
              </w:rPr>
              <w:t xml:space="preserve">ОБЩО съфинансирани бюджетни кредити </w:t>
            </w:r>
          </w:p>
        </w:tc>
        <w:tc>
          <w:tcPr>
            <w:tcW w:w="655" w:type="pct"/>
            <w:vAlign w:val="center"/>
          </w:tcPr>
          <w:p w14:paraId="40622834" w14:textId="77777777" w:rsidR="00044D5B" w:rsidRPr="00597673" w:rsidRDefault="00044D5B">
            <w:pPr>
              <w:spacing w:before="60" w:after="60"/>
              <w:jc w:val="center"/>
              <w:rPr>
                <w:noProof/>
                <w:sz w:val="20"/>
              </w:rPr>
            </w:pPr>
          </w:p>
        </w:tc>
        <w:tc>
          <w:tcPr>
            <w:tcW w:w="655" w:type="pct"/>
            <w:vAlign w:val="center"/>
          </w:tcPr>
          <w:p w14:paraId="10AD216B" w14:textId="77777777" w:rsidR="00044D5B" w:rsidRPr="00597673" w:rsidRDefault="00044D5B">
            <w:pPr>
              <w:spacing w:before="60" w:after="60"/>
              <w:jc w:val="center"/>
              <w:rPr>
                <w:noProof/>
                <w:sz w:val="20"/>
              </w:rPr>
            </w:pPr>
          </w:p>
        </w:tc>
        <w:tc>
          <w:tcPr>
            <w:tcW w:w="655" w:type="pct"/>
            <w:vAlign w:val="center"/>
          </w:tcPr>
          <w:p w14:paraId="5CE7C722" w14:textId="77777777" w:rsidR="00044D5B" w:rsidRPr="00597673" w:rsidRDefault="00044D5B">
            <w:pPr>
              <w:spacing w:before="60" w:after="60"/>
              <w:jc w:val="center"/>
              <w:rPr>
                <w:noProof/>
                <w:sz w:val="20"/>
              </w:rPr>
            </w:pPr>
          </w:p>
        </w:tc>
        <w:tc>
          <w:tcPr>
            <w:tcW w:w="655" w:type="pct"/>
            <w:vAlign w:val="center"/>
          </w:tcPr>
          <w:p w14:paraId="42CF4535" w14:textId="77777777" w:rsidR="00044D5B" w:rsidRPr="00597673" w:rsidRDefault="00044D5B">
            <w:pPr>
              <w:spacing w:before="60" w:after="60"/>
              <w:jc w:val="center"/>
              <w:rPr>
                <w:noProof/>
                <w:sz w:val="20"/>
              </w:rPr>
            </w:pPr>
          </w:p>
        </w:tc>
        <w:tc>
          <w:tcPr>
            <w:tcW w:w="787" w:type="pct"/>
            <w:vAlign w:val="center"/>
          </w:tcPr>
          <w:p w14:paraId="249EE4A3" w14:textId="77777777" w:rsidR="00044D5B" w:rsidRPr="00597673" w:rsidRDefault="00044D5B">
            <w:pPr>
              <w:spacing w:before="60" w:after="60"/>
              <w:jc w:val="center"/>
              <w:rPr>
                <w:noProof/>
                <w:sz w:val="20"/>
              </w:rPr>
            </w:pPr>
          </w:p>
        </w:tc>
      </w:tr>
    </w:tbl>
    <w:p w14:paraId="28503B41" w14:textId="77777777" w:rsidR="00044D5B" w:rsidRPr="00597673" w:rsidRDefault="00044D5B" w:rsidP="00044D5B">
      <w:pPr>
        <w:outlineLvl w:val="1"/>
        <w:rPr>
          <w:noProof/>
          <w:szCs w:val="24"/>
        </w:rPr>
      </w:pPr>
      <w:r w:rsidRPr="00597673">
        <w:t xml:space="preserve"> </w:t>
      </w:r>
      <w:r w:rsidRPr="00597673">
        <w:br/>
        <w:t>3.3.</w:t>
      </w:r>
      <w:r w:rsidRPr="00597673">
        <w:tab/>
        <w:t xml:space="preserve">Очаквано отражение върху приходите </w:t>
      </w:r>
    </w:p>
    <w:p w14:paraId="28FDFF43" w14:textId="77777777" w:rsidR="00044D5B" w:rsidRPr="00597673" w:rsidRDefault="00044D5B" w:rsidP="00044D5B">
      <w:pPr>
        <w:pStyle w:val="ListDash1"/>
        <w:rPr>
          <w:noProof/>
        </w:rPr>
      </w:pPr>
      <w:r w:rsidRPr="00597673">
        <w:rPr>
          <w:rFonts w:ascii="Wingdings" w:hAnsi="Wingdings"/>
        </w:rPr>
        <w:t>¨</w:t>
      </w:r>
      <w:r w:rsidRPr="00597673">
        <w:tab/>
        <w:t>Предложението/инициативата няма финансово отражение върху приходите.</w:t>
      </w:r>
    </w:p>
    <w:p w14:paraId="33366E3B" w14:textId="77777777" w:rsidR="00044D5B" w:rsidRPr="00597673" w:rsidRDefault="00044D5B" w:rsidP="00044D5B">
      <w:pPr>
        <w:pStyle w:val="ListDash1"/>
        <w:rPr>
          <w:noProof/>
        </w:rPr>
      </w:pPr>
      <w:r w:rsidRPr="00597673">
        <w:rPr>
          <w:rFonts w:ascii="Wingdings" w:hAnsi="Wingdings"/>
        </w:rPr>
        <w:t>¨</w:t>
      </w:r>
      <w:r w:rsidRPr="00597673">
        <w:tab/>
        <w:t>Предложението/инициативата има следното финансово отражение:</w:t>
      </w:r>
    </w:p>
    <w:p w14:paraId="4A2F8C73" w14:textId="77777777" w:rsidR="00044D5B" w:rsidRPr="00597673" w:rsidRDefault="00044D5B" w:rsidP="00044D5B">
      <w:pPr>
        <w:pStyle w:val="ListNumberLevel3"/>
        <w:rPr>
          <w:noProof/>
        </w:rPr>
      </w:pPr>
      <w:r w:rsidRPr="00597673">
        <w:rPr>
          <w:rFonts w:ascii="Wingdings" w:hAnsi="Wingdings"/>
        </w:rPr>
        <w:t>¨</w:t>
      </w:r>
      <w:r w:rsidRPr="00597673">
        <w:tab/>
        <w:t xml:space="preserve">върху собствените ресурси </w:t>
      </w:r>
    </w:p>
    <w:p w14:paraId="1D2BE867" w14:textId="77777777" w:rsidR="00044D5B" w:rsidRPr="00597673" w:rsidRDefault="00044D5B" w:rsidP="00044D5B">
      <w:pPr>
        <w:pStyle w:val="ListNumberLevel3"/>
        <w:rPr>
          <w:noProof/>
        </w:rPr>
      </w:pPr>
      <w:r w:rsidRPr="00597673">
        <w:rPr>
          <w:rFonts w:ascii="Wingdings" w:hAnsi="Wingdings"/>
        </w:rPr>
        <w:t>¨</w:t>
      </w:r>
      <w:r w:rsidRPr="00597673">
        <w:tab/>
        <w:t>върху другите приходи</w:t>
      </w:r>
    </w:p>
    <w:p w14:paraId="387F7BFA" w14:textId="77777777" w:rsidR="00044D5B" w:rsidRPr="00597673" w:rsidRDefault="00044D5B" w:rsidP="00044D5B">
      <w:pPr>
        <w:pStyle w:val="ListNumberLevel3"/>
        <w:rPr>
          <w:noProof/>
        </w:rPr>
      </w:pPr>
      <w:r w:rsidRPr="00597673">
        <w:rPr>
          <w:rFonts w:ascii="Wingdings" w:hAnsi="Wingdings"/>
        </w:rPr>
        <w:t>¨</w:t>
      </w:r>
      <w:r w:rsidRPr="00597673">
        <w:tab/>
        <w:t>моля, отбележете, ако приходите са предназначени за конкретни разходни бюджетни редове</w:t>
      </w:r>
    </w:p>
    <w:p w14:paraId="0DC40761" w14:textId="77777777" w:rsidR="00044D5B" w:rsidRPr="00597673" w:rsidRDefault="00353161" w:rsidP="00044D5B">
      <w:pPr>
        <w:jc w:val="right"/>
        <w:rPr>
          <w:noProof/>
          <w:sz w:val="20"/>
        </w:rPr>
      </w:pPr>
      <w:r w:rsidRPr="00597673">
        <w:rPr>
          <w:sz w:val="20"/>
        </w:rPr>
        <w:t xml:space="preserve">  млн. евро (до третия знак след десетичната запетая)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84"/>
        <w:gridCol w:w="1579"/>
        <w:gridCol w:w="1655"/>
        <w:gridCol w:w="1021"/>
        <w:gridCol w:w="1012"/>
        <w:gridCol w:w="1232"/>
      </w:tblGrid>
      <w:tr w:rsidR="008B3C27" w:rsidRPr="00597673" w14:paraId="058BADAE" w14:textId="77777777">
        <w:trPr>
          <w:trHeight w:val="388"/>
        </w:trPr>
        <w:tc>
          <w:tcPr>
            <w:tcW w:w="1423" w:type="pct"/>
            <w:vMerge w:val="restart"/>
            <w:vAlign w:val="center"/>
          </w:tcPr>
          <w:p w14:paraId="345BDABF" w14:textId="77777777" w:rsidR="00044D5B" w:rsidRPr="00597673" w:rsidRDefault="00044D5B">
            <w:pPr>
              <w:spacing w:before="40" w:after="40"/>
              <w:rPr>
                <w:noProof/>
                <w:sz w:val="18"/>
              </w:rPr>
            </w:pPr>
            <w:r w:rsidRPr="00597673">
              <w:rPr>
                <w:sz w:val="18"/>
              </w:rPr>
              <w:t>Приходен бюджетен ред:</w:t>
            </w:r>
          </w:p>
        </w:tc>
        <w:tc>
          <w:tcPr>
            <w:tcW w:w="869" w:type="pct"/>
            <w:vMerge w:val="restart"/>
            <w:vAlign w:val="center"/>
          </w:tcPr>
          <w:p w14:paraId="42E3A84E" w14:textId="77777777" w:rsidR="00044D5B" w:rsidRPr="00597673" w:rsidRDefault="00044D5B">
            <w:pPr>
              <w:jc w:val="center"/>
              <w:rPr>
                <w:noProof/>
                <w:sz w:val="18"/>
              </w:rPr>
            </w:pPr>
            <w:r w:rsidRPr="00597673">
              <w:rPr>
                <w:sz w:val="18"/>
              </w:rPr>
              <w:t>Налични бюджетни кредити за текущата финансова година</w:t>
            </w:r>
          </w:p>
        </w:tc>
        <w:tc>
          <w:tcPr>
            <w:tcW w:w="2709" w:type="pct"/>
            <w:gridSpan w:val="4"/>
            <w:vAlign w:val="center"/>
          </w:tcPr>
          <w:p w14:paraId="32BC86C9" w14:textId="77777777" w:rsidR="00044D5B" w:rsidRPr="00597673" w:rsidRDefault="00044D5B">
            <w:pPr>
              <w:jc w:val="center"/>
              <w:rPr>
                <w:noProof/>
                <w:sz w:val="18"/>
              </w:rPr>
            </w:pPr>
            <w:r w:rsidRPr="00597673">
              <w:rPr>
                <w:sz w:val="18"/>
              </w:rPr>
              <w:t>Отражение на предложението/инициативата</w:t>
            </w:r>
            <w:r w:rsidRPr="00597673">
              <w:rPr>
                <w:rStyle w:val="FootnoteReference"/>
                <w:noProof/>
                <w:sz w:val="18"/>
                <w:szCs w:val="18"/>
              </w:rPr>
              <w:footnoteReference w:id="45"/>
            </w:r>
          </w:p>
        </w:tc>
      </w:tr>
      <w:tr w:rsidR="008B3C27" w:rsidRPr="00597673" w14:paraId="3F753975" w14:textId="77777777">
        <w:trPr>
          <w:trHeight w:val="388"/>
        </w:trPr>
        <w:tc>
          <w:tcPr>
            <w:tcW w:w="1423" w:type="pct"/>
            <w:vMerge/>
          </w:tcPr>
          <w:p w14:paraId="5A92ABD3" w14:textId="77777777" w:rsidR="00044D5B" w:rsidRPr="00597673" w:rsidRDefault="00044D5B">
            <w:pPr>
              <w:spacing w:before="40" w:after="40"/>
              <w:rPr>
                <w:noProof/>
                <w:sz w:val="18"/>
              </w:rPr>
            </w:pPr>
          </w:p>
        </w:tc>
        <w:tc>
          <w:tcPr>
            <w:tcW w:w="869" w:type="pct"/>
            <w:vMerge/>
          </w:tcPr>
          <w:p w14:paraId="47D69FA9" w14:textId="77777777" w:rsidR="00044D5B" w:rsidRPr="00597673" w:rsidRDefault="00044D5B">
            <w:pPr>
              <w:spacing w:beforeLines="40" w:before="96" w:afterLines="40" w:after="96"/>
              <w:rPr>
                <w:i/>
                <w:noProof/>
                <w:sz w:val="18"/>
              </w:rPr>
            </w:pPr>
          </w:p>
        </w:tc>
        <w:tc>
          <w:tcPr>
            <w:tcW w:w="911" w:type="pct"/>
            <w:vAlign w:val="center"/>
          </w:tcPr>
          <w:p w14:paraId="0FB7E05A" w14:textId="77777777" w:rsidR="00044D5B" w:rsidRPr="00597673" w:rsidRDefault="00044D5B">
            <w:pPr>
              <w:jc w:val="center"/>
              <w:rPr>
                <w:noProof/>
                <w:sz w:val="18"/>
              </w:rPr>
            </w:pPr>
            <w:r w:rsidRPr="00597673">
              <w:rPr>
                <w:sz w:val="18"/>
              </w:rPr>
              <w:t>Година </w:t>
            </w:r>
            <w:r w:rsidRPr="00597673">
              <w:rPr>
                <w:b/>
                <w:sz w:val="18"/>
              </w:rPr>
              <w:t>2024</w:t>
            </w:r>
          </w:p>
        </w:tc>
        <w:tc>
          <w:tcPr>
            <w:tcW w:w="562" w:type="pct"/>
            <w:vAlign w:val="center"/>
          </w:tcPr>
          <w:p w14:paraId="1C269AE3" w14:textId="77777777" w:rsidR="00044D5B" w:rsidRPr="00597673" w:rsidRDefault="00044D5B">
            <w:pPr>
              <w:jc w:val="center"/>
              <w:rPr>
                <w:noProof/>
                <w:sz w:val="18"/>
              </w:rPr>
            </w:pPr>
            <w:r w:rsidRPr="00597673">
              <w:rPr>
                <w:sz w:val="18"/>
              </w:rPr>
              <w:t>Година </w:t>
            </w:r>
            <w:r w:rsidRPr="00597673">
              <w:rPr>
                <w:b/>
                <w:sz w:val="18"/>
              </w:rPr>
              <w:t>2025</w:t>
            </w:r>
          </w:p>
        </w:tc>
        <w:tc>
          <w:tcPr>
            <w:tcW w:w="557" w:type="pct"/>
            <w:vAlign w:val="center"/>
          </w:tcPr>
          <w:p w14:paraId="1010C72A" w14:textId="77777777" w:rsidR="00044D5B" w:rsidRPr="00597673" w:rsidRDefault="00044D5B">
            <w:pPr>
              <w:jc w:val="center"/>
              <w:rPr>
                <w:noProof/>
                <w:sz w:val="18"/>
              </w:rPr>
            </w:pPr>
            <w:r w:rsidRPr="00597673">
              <w:rPr>
                <w:sz w:val="18"/>
              </w:rPr>
              <w:t>Година </w:t>
            </w:r>
            <w:r w:rsidRPr="00597673">
              <w:rPr>
                <w:b/>
                <w:sz w:val="18"/>
              </w:rPr>
              <w:t>2026</w:t>
            </w:r>
          </w:p>
        </w:tc>
        <w:tc>
          <w:tcPr>
            <w:tcW w:w="679" w:type="pct"/>
            <w:vAlign w:val="center"/>
          </w:tcPr>
          <w:p w14:paraId="6EB561C8" w14:textId="77777777" w:rsidR="00044D5B" w:rsidRPr="00597673" w:rsidRDefault="00044D5B">
            <w:pPr>
              <w:jc w:val="center"/>
              <w:rPr>
                <w:noProof/>
                <w:sz w:val="18"/>
              </w:rPr>
            </w:pPr>
            <w:r w:rsidRPr="00597673">
              <w:rPr>
                <w:sz w:val="18"/>
              </w:rPr>
              <w:t>Година </w:t>
            </w:r>
            <w:r w:rsidRPr="00597673">
              <w:rPr>
                <w:b/>
                <w:sz w:val="18"/>
              </w:rPr>
              <w:t>2027</w:t>
            </w:r>
          </w:p>
        </w:tc>
      </w:tr>
      <w:tr w:rsidR="00983E98" w:rsidRPr="00597673" w14:paraId="7231A8EA" w14:textId="77777777">
        <w:trPr>
          <w:trHeight w:val="388"/>
        </w:trPr>
        <w:tc>
          <w:tcPr>
            <w:tcW w:w="1423" w:type="pct"/>
            <w:vAlign w:val="center"/>
          </w:tcPr>
          <w:p w14:paraId="0F2A0477" w14:textId="77777777" w:rsidR="00044D5B" w:rsidRPr="00597673" w:rsidRDefault="00044D5B">
            <w:pPr>
              <w:spacing w:before="40" w:after="40"/>
              <w:rPr>
                <w:noProof/>
                <w:sz w:val="18"/>
              </w:rPr>
            </w:pPr>
            <w:r w:rsidRPr="00597673">
              <w:rPr>
                <w:sz w:val="18"/>
              </w:rPr>
              <w:t>Статия …....</w:t>
            </w:r>
          </w:p>
        </w:tc>
        <w:tc>
          <w:tcPr>
            <w:tcW w:w="869" w:type="pct"/>
          </w:tcPr>
          <w:p w14:paraId="59F9FD3B" w14:textId="77777777" w:rsidR="00044D5B" w:rsidRPr="00597673" w:rsidRDefault="00044D5B">
            <w:pPr>
              <w:spacing w:beforeLines="40" w:before="96" w:afterLines="40" w:after="96"/>
              <w:jc w:val="center"/>
              <w:rPr>
                <w:i/>
                <w:noProof/>
                <w:sz w:val="18"/>
              </w:rPr>
            </w:pPr>
          </w:p>
        </w:tc>
        <w:tc>
          <w:tcPr>
            <w:tcW w:w="911" w:type="pct"/>
          </w:tcPr>
          <w:p w14:paraId="66749C85" w14:textId="77777777" w:rsidR="00044D5B" w:rsidRPr="00597673" w:rsidRDefault="00044D5B">
            <w:pPr>
              <w:spacing w:beforeLines="40" w:before="96" w:afterLines="40" w:after="96"/>
              <w:jc w:val="center"/>
              <w:rPr>
                <w:noProof/>
                <w:sz w:val="18"/>
              </w:rPr>
            </w:pPr>
          </w:p>
        </w:tc>
        <w:tc>
          <w:tcPr>
            <w:tcW w:w="562" w:type="pct"/>
          </w:tcPr>
          <w:p w14:paraId="22A57D39" w14:textId="77777777" w:rsidR="00044D5B" w:rsidRPr="00597673" w:rsidRDefault="00044D5B">
            <w:pPr>
              <w:spacing w:beforeLines="40" w:before="96" w:afterLines="40" w:after="96"/>
              <w:jc w:val="center"/>
              <w:rPr>
                <w:noProof/>
                <w:sz w:val="18"/>
              </w:rPr>
            </w:pPr>
          </w:p>
        </w:tc>
        <w:tc>
          <w:tcPr>
            <w:tcW w:w="557" w:type="pct"/>
          </w:tcPr>
          <w:p w14:paraId="41C1C48E" w14:textId="77777777" w:rsidR="00044D5B" w:rsidRPr="00597673" w:rsidRDefault="00044D5B">
            <w:pPr>
              <w:spacing w:beforeLines="40" w:before="96" w:afterLines="40" w:after="96"/>
              <w:jc w:val="center"/>
              <w:rPr>
                <w:noProof/>
                <w:sz w:val="18"/>
              </w:rPr>
            </w:pPr>
          </w:p>
        </w:tc>
        <w:tc>
          <w:tcPr>
            <w:tcW w:w="679" w:type="pct"/>
          </w:tcPr>
          <w:p w14:paraId="419E550D" w14:textId="77777777" w:rsidR="00044D5B" w:rsidRPr="00597673" w:rsidRDefault="00044D5B">
            <w:pPr>
              <w:spacing w:beforeLines="40" w:before="96" w:afterLines="40" w:after="96"/>
              <w:jc w:val="center"/>
              <w:rPr>
                <w:noProof/>
                <w:sz w:val="18"/>
              </w:rPr>
            </w:pPr>
          </w:p>
        </w:tc>
      </w:tr>
    </w:tbl>
    <w:p w14:paraId="762A0700" w14:textId="77777777" w:rsidR="00044D5B" w:rsidRPr="00597673" w:rsidRDefault="00044D5B" w:rsidP="00044D5B">
      <w:pPr>
        <w:pStyle w:val="Text1"/>
        <w:rPr>
          <w:noProof/>
          <w:szCs w:val="24"/>
        </w:rPr>
      </w:pPr>
      <w:r w:rsidRPr="00597673">
        <w:t>За целевите приходи да се посочат съответните разходни бюджетни редове.</w:t>
      </w:r>
    </w:p>
    <w:p w14:paraId="455B7DB7" w14:textId="77777777" w:rsidR="00044D5B" w:rsidRPr="00597673" w:rsidRDefault="0078257E" w:rsidP="00044D5B">
      <w:pPr>
        <w:pStyle w:val="Text1"/>
        <w:pBdr>
          <w:top w:val="single" w:sz="4" w:space="1" w:color="auto"/>
          <w:left w:val="single" w:sz="4" w:space="4" w:color="auto"/>
          <w:bottom w:val="single" w:sz="4" w:space="1" w:color="auto"/>
          <w:right w:val="single" w:sz="4" w:space="4" w:color="auto"/>
        </w:pBdr>
        <w:rPr>
          <w:noProof/>
        </w:rPr>
      </w:pPr>
      <w:r w:rsidRPr="00597673">
        <w:t>не е приложимо</w:t>
      </w:r>
    </w:p>
    <w:p w14:paraId="61F2B2EA" w14:textId="77777777" w:rsidR="00044D5B" w:rsidRPr="00597673" w:rsidRDefault="00044D5B" w:rsidP="00044D5B">
      <w:pPr>
        <w:pStyle w:val="Text1"/>
        <w:rPr>
          <w:noProof/>
          <w:szCs w:val="24"/>
        </w:rPr>
      </w:pPr>
      <w:r w:rsidRPr="00597673">
        <w:t>Други забележки (например метод/формула за изчисляване на отражението върху приходите или друга информация).</w:t>
      </w:r>
    </w:p>
    <w:p w14:paraId="36C6A841" w14:textId="77777777" w:rsidR="00BF5578" w:rsidRPr="00597673" w:rsidRDefault="00044D5B" w:rsidP="005D0C3B">
      <w:pPr>
        <w:pStyle w:val="TOC3"/>
        <w:ind w:left="0"/>
      </w:pPr>
      <w:r w:rsidRPr="00597673">
        <w:br w:type="page"/>
      </w:r>
    </w:p>
    <w:bookmarkEnd w:id="108"/>
    <w:bookmarkEnd w:id="109"/>
    <w:bookmarkEnd w:id="110"/>
    <w:bookmarkEnd w:id="111"/>
    <w:bookmarkEnd w:id="112"/>
    <w:p w14:paraId="7E319901" w14:textId="77777777" w:rsidR="00AC2BE5" w:rsidRPr="00597673" w:rsidRDefault="00AC2BE5" w:rsidP="005D0C3B">
      <w:pPr>
        <w:pStyle w:val="ManualNumPar1"/>
        <w:rPr>
          <w:noProof/>
        </w:rPr>
      </w:pPr>
    </w:p>
    <w:p w14:paraId="4FC7C1EF" w14:textId="77777777" w:rsidR="00AC2BE5" w:rsidRPr="00597673" w:rsidRDefault="00AC2BE5">
      <w:pPr>
        <w:pStyle w:val="ManualHeading1"/>
        <w:rPr>
          <w:caps/>
        </w:rPr>
      </w:pPr>
      <w:bookmarkStart w:id="113" w:name="_Toc167220301"/>
      <w:bookmarkStart w:id="114" w:name="_Toc177549035"/>
      <w:r w:rsidRPr="00597673">
        <w:t>4.</w:t>
      </w:r>
      <w:r w:rsidRPr="00597673">
        <w:tab/>
      </w:r>
      <w:bookmarkStart w:id="115" w:name="_Hlk167692977"/>
      <w:r w:rsidRPr="00597673">
        <w:rPr>
          <w:caps/>
        </w:rPr>
        <w:t>Цифрово измерение</w:t>
      </w:r>
      <w:bookmarkEnd w:id="113"/>
      <w:bookmarkEnd w:id="114"/>
    </w:p>
    <w:p w14:paraId="3D67D05B" w14:textId="77777777" w:rsidR="00AC2BE5" w:rsidRPr="00597673" w:rsidRDefault="00AC2BE5">
      <w:pPr>
        <w:pStyle w:val="ManualHeading2"/>
      </w:pPr>
      <w:bookmarkStart w:id="116" w:name="_Toc167220302"/>
      <w:bookmarkStart w:id="117" w:name="_Toc177549037"/>
      <w:r w:rsidRPr="00597673">
        <w:t>4.1.</w:t>
      </w:r>
      <w:r w:rsidRPr="00597673">
        <w:tab/>
        <w:t>Изисквания, свързани с цифрови аспекти</w:t>
      </w:r>
      <w:bookmarkEnd w:id="116"/>
      <w:bookmarkEnd w:id="117"/>
    </w:p>
    <w:tbl>
      <w:tblPr>
        <w:tblW w:w="9072" w:type="dxa"/>
        <w:tblInd w:w="-5" w:type="dxa"/>
        <w:tblLayout w:type="fixed"/>
        <w:tblCellMar>
          <w:left w:w="0" w:type="dxa"/>
          <w:right w:w="0" w:type="dxa"/>
        </w:tblCellMar>
        <w:tblLook w:val="06A0" w:firstRow="1" w:lastRow="0" w:firstColumn="1" w:lastColumn="0" w:noHBand="1" w:noVBand="1"/>
      </w:tblPr>
      <w:tblGrid>
        <w:gridCol w:w="9072"/>
      </w:tblGrid>
      <w:tr w:rsidR="00783C00" w:rsidRPr="00597673" w14:paraId="25F7A620" w14:textId="77777777">
        <w:trPr>
          <w:trHeight w:val="300"/>
        </w:trPr>
        <w:tc>
          <w:tcPr>
            <w:tcW w:w="9072" w:type="dxa"/>
          </w:tcPr>
          <w:p w14:paraId="52B1076D" w14:textId="77777777" w:rsidR="007F6C20" w:rsidRPr="00597673" w:rsidRDefault="007F6C20">
            <w:r w:rsidRPr="00597673">
              <w:t>Списък с изисквания, свързани с цифрови аспекти</w:t>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1"/>
              <w:gridCol w:w="1276"/>
              <w:gridCol w:w="1275"/>
              <w:gridCol w:w="1134"/>
            </w:tblGrid>
            <w:tr w:rsidR="00910864" w:rsidRPr="00597673" w14:paraId="7C2B5F6E" w14:textId="77777777" w:rsidTr="00B2116D">
              <w:tc>
                <w:tcPr>
                  <w:tcW w:w="1276" w:type="dxa"/>
                </w:tcPr>
                <w:p w14:paraId="6C76CEAA" w14:textId="77777777" w:rsidR="00910864" w:rsidRPr="00597673" w:rsidRDefault="00303317" w:rsidP="005D0C3B">
                  <w:pPr>
                    <w:jc w:val="center"/>
                    <w:rPr>
                      <w:rFonts w:eastAsiaTheme="minorHAnsi"/>
                    </w:rPr>
                  </w:pPr>
                  <w:r w:rsidRPr="00597673">
                    <w:t>Препратка към изискването</w:t>
                  </w:r>
                </w:p>
              </w:tc>
              <w:tc>
                <w:tcPr>
                  <w:tcW w:w="4111" w:type="dxa"/>
                </w:tcPr>
                <w:p w14:paraId="24E34971" w14:textId="77777777" w:rsidR="00910864" w:rsidRPr="00597673" w:rsidRDefault="009F5830" w:rsidP="005D0C3B">
                  <w:pPr>
                    <w:jc w:val="center"/>
                    <w:rPr>
                      <w:rFonts w:eastAsiaTheme="minorHAnsi"/>
                    </w:rPr>
                  </w:pPr>
                  <w:r w:rsidRPr="00597673">
                    <w:t>Описание на изискването</w:t>
                  </w:r>
                </w:p>
              </w:tc>
              <w:tc>
                <w:tcPr>
                  <w:tcW w:w="1276" w:type="dxa"/>
                </w:tcPr>
                <w:p w14:paraId="3E854D4A" w14:textId="77777777" w:rsidR="00910864" w:rsidRPr="00597673" w:rsidRDefault="009F5830" w:rsidP="005D0C3B">
                  <w:pPr>
                    <w:jc w:val="center"/>
                    <w:rPr>
                      <w:rFonts w:eastAsiaTheme="minorHAnsi"/>
                    </w:rPr>
                  </w:pPr>
                  <w:r w:rsidRPr="00597673">
                    <w:t>Засегнати от изискването субекти</w:t>
                  </w:r>
                </w:p>
              </w:tc>
              <w:tc>
                <w:tcPr>
                  <w:tcW w:w="1275" w:type="dxa"/>
                </w:tcPr>
                <w:p w14:paraId="1AF2F68A" w14:textId="77777777" w:rsidR="00910864" w:rsidRPr="00597673" w:rsidRDefault="00A21DED" w:rsidP="005D0C3B">
                  <w:pPr>
                    <w:jc w:val="center"/>
                    <w:rPr>
                      <w:rFonts w:eastAsiaTheme="minorHAnsi"/>
                    </w:rPr>
                  </w:pPr>
                  <w:r w:rsidRPr="00597673">
                    <w:t>Процеси на високо равнище</w:t>
                  </w:r>
                </w:p>
              </w:tc>
              <w:tc>
                <w:tcPr>
                  <w:tcW w:w="1134" w:type="dxa"/>
                </w:tcPr>
                <w:p w14:paraId="75E8B9C3" w14:textId="77777777" w:rsidR="00910864" w:rsidRPr="00597673" w:rsidRDefault="00916316" w:rsidP="005D0C3B">
                  <w:pPr>
                    <w:jc w:val="center"/>
                    <w:rPr>
                      <w:rFonts w:eastAsiaTheme="minorHAnsi"/>
                    </w:rPr>
                  </w:pPr>
                  <w:r w:rsidRPr="00597673">
                    <w:t>Категория</w:t>
                  </w:r>
                </w:p>
              </w:tc>
            </w:tr>
            <w:tr w:rsidR="00910864" w:rsidRPr="00597673" w14:paraId="546B2435" w14:textId="77777777" w:rsidTr="00B2116D">
              <w:tc>
                <w:tcPr>
                  <w:tcW w:w="1276" w:type="dxa"/>
                </w:tcPr>
                <w:p w14:paraId="26F8E6E3" w14:textId="77777777" w:rsidR="00910864" w:rsidRPr="00597673" w:rsidRDefault="00141D9D" w:rsidP="005D0C3B">
                  <w:pPr>
                    <w:jc w:val="left"/>
                    <w:rPr>
                      <w:rFonts w:eastAsiaTheme="minorHAnsi"/>
                      <w:szCs w:val="22"/>
                    </w:rPr>
                  </w:pPr>
                  <w:r w:rsidRPr="00597673">
                    <w:t>Член 11</w:t>
                  </w:r>
                </w:p>
              </w:tc>
              <w:tc>
                <w:tcPr>
                  <w:tcW w:w="4111" w:type="dxa"/>
                </w:tcPr>
                <w:p w14:paraId="35BE69E8" w14:textId="77777777" w:rsidR="00910864" w:rsidRPr="00597673" w:rsidRDefault="00141D9D" w:rsidP="005D0C3B">
                  <w:pPr>
                    <w:jc w:val="left"/>
                    <w:rPr>
                      <w:rFonts w:eastAsiaTheme="minorHAnsi"/>
                      <w:szCs w:val="22"/>
                    </w:rPr>
                  </w:pPr>
                  <w:r w:rsidRPr="00597673">
                    <w:t>Обменът на информация между компетентните органи на държавата по произход и на приемащата държава следва да бъде ускорен, което ще позволи по-тясна координация, включително, когато е целесъобразно, чрез участието на Европейския орган за застраховане и професионално пенсионно осигуряване (ЕОЗППО). Държавите членки гарантират, че всички процедури и формалности, свързани с трансгранични дейности и процедури, могат лесно да бъдат изпълнени по електронен път</w:t>
                  </w:r>
                </w:p>
              </w:tc>
              <w:tc>
                <w:tcPr>
                  <w:tcW w:w="1276" w:type="dxa"/>
                </w:tcPr>
                <w:p w14:paraId="64F1C225" w14:textId="77777777" w:rsidR="00910864" w:rsidRPr="00597673" w:rsidRDefault="000D2513" w:rsidP="005D0C3B">
                  <w:pPr>
                    <w:jc w:val="left"/>
                    <w:rPr>
                      <w:rFonts w:eastAsiaTheme="minorHAnsi"/>
                      <w:szCs w:val="22"/>
                    </w:rPr>
                  </w:pPr>
                  <w:r w:rsidRPr="00597673">
                    <w:t>НКО, ЕОЗППО</w:t>
                  </w:r>
                </w:p>
              </w:tc>
              <w:tc>
                <w:tcPr>
                  <w:tcW w:w="1275" w:type="dxa"/>
                </w:tcPr>
                <w:p w14:paraId="29B1EF9E" w14:textId="77777777" w:rsidR="00910864" w:rsidRPr="00597673" w:rsidRDefault="000D2513" w:rsidP="005D0C3B">
                  <w:pPr>
                    <w:jc w:val="left"/>
                    <w:rPr>
                      <w:rFonts w:eastAsiaTheme="minorHAnsi"/>
                      <w:szCs w:val="22"/>
                    </w:rPr>
                  </w:pPr>
                  <w:r w:rsidRPr="00597673">
                    <w:t>Обмен на информация</w:t>
                  </w:r>
                </w:p>
              </w:tc>
              <w:tc>
                <w:tcPr>
                  <w:tcW w:w="1134" w:type="dxa"/>
                </w:tcPr>
                <w:p w14:paraId="2A4242A3" w14:textId="77777777" w:rsidR="00910864" w:rsidRPr="00597673" w:rsidRDefault="000D2513" w:rsidP="005D0C3B">
                  <w:pPr>
                    <w:jc w:val="left"/>
                    <w:rPr>
                      <w:rFonts w:eastAsiaTheme="minorHAnsi"/>
                    </w:rPr>
                  </w:pPr>
                  <w:r w:rsidRPr="00597673">
                    <w:t>Данни; Автоматизиране на процесите; Цифрово решение;</w:t>
                  </w:r>
                </w:p>
                <w:p w14:paraId="4B033092" w14:textId="77777777" w:rsidR="00910864" w:rsidRPr="00597673" w:rsidRDefault="00D2626A" w:rsidP="005D0C3B">
                  <w:pPr>
                    <w:jc w:val="left"/>
                    <w:rPr>
                      <w:rFonts w:eastAsiaTheme="minorHAnsi"/>
                      <w:szCs w:val="22"/>
                    </w:rPr>
                  </w:pPr>
                  <w:r w:rsidRPr="00597673">
                    <w:t>Цифрова обществена услуга</w:t>
                  </w:r>
                </w:p>
              </w:tc>
            </w:tr>
            <w:tr w:rsidR="00910864" w:rsidRPr="00597673" w14:paraId="168FD67E" w14:textId="77777777" w:rsidTr="00B2116D">
              <w:tc>
                <w:tcPr>
                  <w:tcW w:w="1276" w:type="dxa"/>
                </w:tcPr>
                <w:p w14:paraId="2D58F6EC" w14:textId="77777777" w:rsidR="00910864" w:rsidRPr="00597673" w:rsidRDefault="00BF32A6" w:rsidP="005D0C3B">
                  <w:pPr>
                    <w:jc w:val="left"/>
                    <w:rPr>
                      <w:rFonts w:eastAsiaTheme="minorHAnsi"/>
                      <w:szCs w:val="22"/>
                    </w:rPr>
                  </w:pPr>
                  <w:r w:rsidRPr="00597673">
                    <w:t>Член 22а</w:t>
                  </w:r>
                </w:p>
              </w:tc>
              <w:tc>
                <w:tcPr>
                  <w:tcW w:w="4111" w:type="dxa"/>
                </w:tcPr>
                <w:p w14:paraId="49058444" w14:textId="77777777" w:rsidR="00910864" w:rsidRPr="00597673" w:rsidRDefault="00FF502E" w:rsidP="005D0C3B">
                  <w:pPr>
                    <w:jc w:val="left"/>
                    <w:rPr>
                      <w:rFonts w:eastAsiaTheme="minorHAnsi"/>
                      <w:szCs w:val="22"/>
                    </w:rPr>
                  </w:pPr>
                  <w:r w:rsidRPr="00597673">
                    <w:t>Когато са въведени системи за проследяване на пенсиите, държавите членки гарантират, че застрахователните предприятия и застрахователните посредници предават на системите за проследяване на пенсиите, когато такава система е създадена, цялата информация, необходима за предоставяне на клиентите на цялостен, надежден и актуален преглед на техните лични и професионални права</w:t>
                  </w:r>
                </w:p>
              </w:tc>
              <w:tc>
                <w:tcPr>
                  <w:tcW w:w="1276" w:type="dxa"/>
                </w:tcPr>
                <w:p w14:paraId="73AFF7F2" w14:textId="77777777" w:rsidR="00910864" w:rsidRPr="00597673" w:rsidRDefault="00254B96" w:rsidP="005D0C3B">
                  <w:pPr>
                    <w:jc w:val="left"/>
                    <w:rPr>
                      <w:rFonts w:eastAsiaTheme="minorHAnsi"/>
                      <w:szCs w:val="22"/>
                    </w:rPr>
                  </w:pPr>
                  <w:r w:rsidRPr="00597673">
                    <w:t>Държави членки; Застрахователни предприятия и застрахователни посредници</w:t>
                  </w:r>
                </w:p>
              </w:tc>
              <w:tc>
                <w:tcPr>
                  <w:tcW w:w="1275" w:type="dxa"/>
                </w:tcPr>
                <w:p w14:paraId="40C7F78D" w14:textId="77777777" w:rsidR="00910864" w:rsidRPr="00597673" w:rsidRDefault="00481056" w:rsidP="005D0C3B">
                  <w:pPr>
                    <w:jc w:val="left"/>
                    <w:rPr>
                      <w:rFonts w:eastAsiaTheme="minorHAnsi"/>
                      <w:szCs w:val="22"/>
                    </w:rPr>
                  </w:pPr>
                  <w:r w:rsidRPr="00597673">
                    <w:t>Предаване на информация</w:t>
                  </w:r>
                </w:p>
              </w:tc>
              <w:tc>
                <w:tcPr>
                  <w:tcW w:w="1134" w:type="dxa"/>
                </w:tcPr>
                <w:p w14:paraId="5270A0C8" w14:textId="77777777" w:rsidR="00254B96" w:rsidRPr="00597673" w:rsidRDefault="00254B96" w:rsidP="005D0C3B">
                  <w:pPr>
                    <w:jc w:val="left"/>
                    <w:rPr>
                      <w:rFonts w:eastAsiaTheme="minorHAnsi"/>
                    </w:rPr>
                  </w:pPr>
                  <w:r w:rsidRPr="00597673">
                    <w:t>Данни; Цифрово решение;</w:t>
                  </w:r>
                </w:p>
                <w:p w14:paraId="45D4FA36" w14:textId="77777777" w:rsidR="00910864" w:rsidRPr="00597673" w:rsidRDefault="00254B96" w:rsidP="005D0C3B">
                  <w:pPr>
                    <w:jc w:val="left"/>
                    <w:rPr>
                      <w:rFonts w:eastAsiaTheme="minorHAnsi"/>
                      <w:szCs w:val="22"/>
                    </w:rPr>
                  </w:pPr>
                  <w:r w:rsidRPr="00597673">
                    <w:t>Цифрова обществена услуга</w:t>
                  </w:r>
                </w:p>
              </w:tc>
            </w:tr>
            <w:tr w:rsidR="00910864" w:rsidRPr="00597673" w14:paraId="70604D5C" w14:textId="77777777" w:rsidTr="00B2116D">
              <w:tc>
                <w:tcPr>
                  <w:tcW w:w="1276" w:type="dxa"/>
                </w:tcPr>
                <w:p w14:paraId="27245054" w14:textId="77777777" w:rsidR="00910864" w:rsidRPr="00597673" w:rsidRDefault="007B0F29" w:rsidP="005D0C3B">
                  <w:pPr>
                    <w:jc w:val="left"/>
                    <w:rPr>
                      <w:rFonts w:eastAsiaTheme="minorHAnsi"/>
                      <w:szCs w:val="22"/>
                    </w:rPr>
                  </w:pPr>
                  <w:r w:rsidRPr="00597673">
                    <w:t>Член 37a</w:t>
                  </w:r>
                </w:p>
              </w:tc>
              <w:tc>
                <w:tcPr>
                  <w:tcW w:w="4111" w:type="dxa"/>
                </w:tcPr>
                <w:p w14:paraId="372A74F7" w14:textId="77777777" w:rsidR="00910864" w:rsidRPr="00597673" w:rsidRDefault="007B0F29" w:rsidP="005D0C3B">
                  <w:pPr>
                    <w:jc w:val="left"/>
                    <w:rPr>
                      <w:rFonts w:eastAsiaTheme="minorHAnsi"/>
                      <w:szCs w:val="22"/>
                    </w:rPr>
                  </w:pPr>
                  <w:r w:rsidRPr="00597673">
                    <w:t>Държавите членки гарантират, че ИППО предават на системите за проследяване на пенсиите, когато такива системи са създадени, цялата информация, необходима за предоставяне на членовете и бенефициерите на цялостен, надежден и актуален преглед на техните професионални и лични пенсионни права. ИППО остават изцяло отговорни за пълнотата и точността на предаваните данни и за изпълнението на всички задължения за комуникация. Форматът и структурата на информацията, която трябва да се предава на системите за проследяване на пенсиите, гарантират във възможно най-голяма степен привеждането в съответствие с делегиран регламент (ЕС) 2021/473 на Комисията</w:t>
                  </w:r>
                </w:p>
              </w:tc>
              <w:tc>
                <w:tcPr>
                  <w:tcW w:w="1276" w:type="dxa"/>
                </w:tcPr>
                <w:p w14:paraId="72D60863" w14:textId="77777777" w:rsidR="00910864" w:rsidRPr="00597673" w:rsidRDefault="00B64FCB" w:rsidP="005D0C3B">
                  <w:pPr>
                    <w:jc w:val="left"/>
                    <w:rPr>
                      <w:rFonts w:eastAsiaTheme="minorHAnsi"/>
                      <w:szCs w:val="22"/>
                    </w:rPr>
                  </w:pPr>
                  <w:r w:rsidRPr="00597673">
                    <w:t>Държави членки, ИППО</w:t>
                  </w:r>
                </w:p>
              </w:tc>
              <w:tc>
                <w:tcPr>
                  <w:tcW w:w="1275" w:type="dxa"/>
                </w:tcPr>
                <w:p w14:paraId="180CA3F2" w14:textId="77777777" w:rsidR="00910864" w:rsidRPr="00597673" w:rsidRDefault="009B7A0E" w:rsidP="005D0C3B">
                  <w:pPr>
                    <w:jc w:val="left"/>
                    <w:rPr>
                      <w:rFonts w:eastAsiaTheme="minorHAnsi"/>
                      <w:szCs w:val="22"/>
                    </w:rPr>
                  </w:pPr>
                  <w:r w:rsidRPr="00597673">
                    <w:t>Предаване на информация</w:t>
                  </w:r>
                </w:p>
              </w:tc>
              <w:tc>
                <w:tcPr>
                  <w:tcW w:w="1134" w:type="dxa"/>
                </w:tcPr>
                <w:p w14:paraId="37FA36A2" w14:textId="77777777" w:rsidR="009B7A0E" w:rsidRPr="00597673" w:rsidRDefault="009B7A0E" w:rsidP="005D0C3B">
                  <w:pPr>
                    <w:jc w:val="left"/>
                    <w:rPr>
                      <w:rFonts w:eastAsiaTheme="minorHAnsi"/>
                    </w:rPr>
                  </w:pPr>
                  <w:r w:rsidRPr="00597673">
                    <w:t>Данни; Цифрово решение;</w:t>
                  </w:r>
                </w:p>
                <w:p w14:paraId="150EB5C7" w14:textId="77777777" w:rsidR="00910864" w:rsidRPr="00597673" w:rsidRDefault="009B7A0E" w:rsidP="005D0C3B">
                  <w:pPr>
                    <w:jc w:val="left"/>
                    <w:rPr>
                      <w:rFonts w:eastAsiaTheme="minorHAnsi"/>
                      <w:szCs w:val="22"/>
                    </w:rPr>
                  </w:pPr>
                  <w:r w:rsidRPr="00597673">
                    <w:t>Цифрова обществена услуга</w:t>
                  </w:r>
                </w:p>
              </w:tc>
            </w:tr>
            <w:tr w:rsidR="00910864" w:rsidRPr="00597673" w14:paraId="7B799DC2" w14:textId="77777777" w:rsidTr="00B2116D">
              <w:tc>
                <w:tcPr>
                  <w:tcW w:w="1276" w:type="dxa"/>
                </w:tcPr>
                <w:p w14:paraId="3984B9DC" w14:textId="77777777" w:rsidR="00910864" w:rsidRPr="00597673" w:rsidRDefault="009B7A0E" w:rsidP="005D0C3B">
                  <w:pPr>
                    <w:jc w:val="left"/>
                    <w:rPr>
                      <w:rFonts w:eastAsiaTheme="minorHAnsi"/>
                      <w:szCs w:val="22"/>
                    </w:rPr>
                  </w:pPr>
                  <w:r w:rsidRPr="00597673">
                    <w:t>Член 55a</w:t>
                  </w:r>
                </w:p>
              </w:tc>
              <w:tc>
                <w:tcPr>
                  <w:tcW w:w="4111" w:type="dxa"/>
                </w:tcPr>
                <w:p w14:paraId="33DAF514" w14:textId="77777777" w:rsidR="00910864" w:rsidRPr="00597673" w:rsidRDefault="00EE3642" w:rsidP="005D0C3B">
                  <w:pPr>
                    <w:jc w:val="left"/>
                    <w:rPr>
                      <w:rFonts w:eastAsiaTheme="minorHAnsi"/>
                      <w:szCs w:val="22"/>
                    </w:rPr>
                  </w:pPr>
                  <w:r w:rsidRPr="00597673">
                    <w:t>По своя собствена инициатива или по искане на един или повече от съответните компетентни органи ЕОЗППО може да създаде и координира платформа за сътрудничество с цел засилване на обмена на информация и укрепване на сътрудничеството между съответните компетентни органи, когато дадена ИППО извършва или възнамерява да извършва трансгранични дейности. Съответните компетентни органи предоставят своевременно цялата необходима информация</w:t>
                  </w:r>
                </w:p>
              </w:tc>
              <w:tc>
                <w:tcPr>
                  <w:tcW w:w="1276" w:type="dxa"/>
                </w:tcPr>
                <w:p w14:paraId="71F8D708" w14:textId="77777777" w:rsidR="00910864" w:rsidRPr="00597673" w:rsidRDefault="00695436" w:rsidP="005D0C3B">
                  <w:pPr>
                    <w:jc w:val="left"/>
                    <w:rPr>
                      <w:rFonts w:eastAsiaTheme="minorHAnsi"/>
                      <w:szCs w:val="22"/>
                    </w:rPr>
                  </w:pPr>
                  <w:r w:rsidRPr="00597673">
                    <w:t>НКО, ЕОЗППО</w:t>
                  </w:r>
                </w:p>
              </w:tc>
              <w:tc>
                <w:tcPr>
                  <w:tcW w:w="1275" w:type="dxa"/>
                </w:tcPr>
                <w:p w14:paraId="725E34C8" w14:textId="77777777" w:rsidR="00910864" w:rsidRPr="00597673" w:rsidRDefault="00695436" w:rsidP="005D0C3B">
                  <w:pPr>
                    <w:jc w:val="left"/>
                    <w:rPr>
                      <w:rFonts w:eastAsiaTheme="minorHAnsi"/>
                      <w:szCs w:val="22"/>
                    </w:rPr>
                  </w:pPr>
                  <w:r w:rsidRPr="00597673">
                    <w:t>Публикуване; Мониторинг; Управление на регистъра</w:t>
                  </w:r>
                </w:p>
              </w:tc>
              <w:tc>
                <w:tcPr>
                  <w:tcW w:w="1134" w:type="dxa"/>
                </w:tcPr>
                <w:p w14:paraId="231BC5A2" w14:textId="77777777" w:rsidR="00910864" w:rsidRPr="00597673" w:rsidRDefault="00695436" w:rsidP="005D0C3B">
                  <w:pPr>
                    <w:jc w:val="left"/>
                    <w:rPr>
                      <w:rFonts w:eastAsiaTheme="minorHAnsi"/>
                      <w:szCs w:val="22"/>
                    </w:rPr>
                  </w:pPr>
                  <w:r w:rsidRPr="00597673">
                    <w:t>Данни, цифрова обществена услуга</w:t>
                  </w:r>
                </w:p>
              </w:tc>
            </w:tr>
          </w:tbl>
          <w:p w14:paraId="03A60761" w14:textId="77777777" w:rsidR="00726E67" w:rsidRPr="00597673" w:rsidRDefault="00726E67"/>
          <w:p w14:paraId="1375B6EF" w14:textId="77777777" w:rsidR="00AC2BE5" w:rsidRPr="00597673" w:rsidRDefault="00AC2BE5" w:rsidP="005D0C3B">
            <w:pPr>
              <w:pStyle w:val="ListParagraph"/>
            </w:pPr>
          </w:p>
        </w:tc>
      </w:tr>
      <w:tr w:rsidR="006B115F" w:rsidRPr="00597673" w14:paraId="088FECC2" w14:textId="77777777">
        <w:trPr>
          <w:trHeight w:val="300"/>
        </w:trPr>
        <w:tc>
          <w:tcPr>
            <w:tcW w:w="9072" w:type="dxa"/>
          </w:tcPr>
          <w:p w14:paraId="4015382E" w14:textId="77777777" w:rsidR="000F0E44" w:rsidRDefault="000F0E44">
            <w:pPr>
              <w:spacing w:before="0" w:after="0"/>
              <w:jc w:val="left"/>
              <w:rPr>
                <w:rFonts w:asciiTheme="minorHAnsi" w:hAnsiTheme="minorHAnsi" w:cstheme="minorBidi"/>
                <w:sz w:val="22"/>
                <w:lang w:val="en-US"/>
              </w:rPr>
            </w:pPr>
          </w:p>
        </w:tc>
      </w:tr>
    </w:tbl>
    <w:p w14:paraId="147A8973" w14:textId="77777777" w:rsidR="00AC2BE5" w:rsidRPr="00597673" w:rsidRDefault="00AC2BE5">
      <w:pPr>
        <w:pStyle w:val="ManualHeading2"/>
      </w:pPr>
      <w:bookmarkStart w:id="118" w:name="_Toc167220303"/>
      <w:bookmarkStart w:id="119" w:name="_Toc177549038"/>
      <w:r w:rsidRPr="00597673">
        <w:t>4.2.</w:t>
      </w:r>
      <w:r w:rsidRPr="00597673">
        <w:tab/>
        <w:t>Данни</w:t>
      </w:r>
      <w:bookmarkEnd w:id="118"/>
      <w:bookmarkEnd w:id="119"/>
    </w:p>
    <w:tbl>
      <w:tblPr>
        <w:tblW w:w="0" w:type="auto"/>
        <w:tblInd w:w="-108" w:type="dxa"/>
        <w:tblCellMar>
          <w:left w:w="0" w:type="dxa"/>
          <w:right w:w="0" w:type="dxa"/>
        </w:tblCellMar>
        <w:tblLook w:val="04A0" w:firstRow="1" w:lastRow="0" w:firstColumn="1" w:lastColumn="0" w:noHBand="0" w:noVBand="1"/>
      </w:tblPr>
      <w:tblGrid>
        <w:gridCol w:w="9181"/>
      </w:tblGrid>
      <w:tr w:rsidR="00AC2BE5" w:rsidRPr="00597673" w14:paraId="672F3A5E" w14:textId="77777777">
        <w:tc>
          <w:tcPr>
            <w:tcW w:w="9063" w:type="dxa"/>
          </w:tcPr>
          <w:p w14:paraId="3BF7B261" w14:textId="77777777" w:rsidR="006F5FA4" w:rsidRPr="00597673" w:rsidRDefault="006F5FA4" w:rsidP="006F5FA4">
            <w:r w:rsidRPr="00597673">
              <w:t>Описание на високо равнище на данните в обхвата и всички свързани стандарти/спецификации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126"/>
              <w:gridCol w:w="2571"/>
            </w:tblGrid>
            <w:tr w:rsidR="006F5FA4" w:rsidRPr="00597673" w14:paraId="59FF968A" w14:textId="77777777" w:rsidTr="005D0C3B">
              <w:tc>
                <w:tcPr>
                  <w:tcW w:w="4356" w:type="dxa"/>
                </w:tcPr>
                <w:p w14:paraId="28831685" w14:textId="77777777" w:rsidR="006F5FA4" w:rsidRPr="00597673" w:rsidRDefault="00BD664B" w:rsidP="005D0C3B">
                  <w:pPr>
                    <w:jc w:val="center"/>
                  </w:pPr>
                  <w:r w:rsidRPr="00597673">
                    <w:t>Вид на данните</w:t>
                  </w:r>
                </w:p>
              </w:tc>
              <w:tc>
                <w:tcPr>
                  <w:tcW w:w="2126" w:type="dxa"/>
                </w:tcPr>
                <w:p w14:paraId="4803B9A4" w14:textId="77777777" w:rsidR="006F5FA4" w:rsidRPr="00597673" w:rsidRDefault="000655BC" w:rsidP="005D0C3B">
                  <w:pPr>
                    <w:jc w:val="center"/>
                  </w:pPr>
                  <w:r w:rsidRPr="00597673">
                    <w:t>Препратка към изискването</w:t>
                  </w:r>
                </w:p>
              </w:tc>
              <w:tc>
                <w:tcPr>
                  <w:tcW w:w="2571" w:type="dxa"/>
                </w:tcPr>
                <w:p w14:paraId="51F5B3CD" w14:textId="77777777" w:rsidR="006F5FA4" w:rsidRPr="00597673" w:rsidRDefault="00250A9F" w:rsidP="005D0C3B">
                  <w:pPr>
                    <w:jc w:val="center"/>
                  </w:pPr>
                  <w:r w:rsidRPr="00597673">
                    <w:t>Стандарт и/или спецификация (ако е приложимо)</w:t>
                  </w:r>
                </w:p>
              </w:tc>
            </w:tr>
            <w:tr w:rsidR="006F5FA4" w:rsidRPr="00597673" w14:paraId="4D70885B" w14:textId="77777777" w:rsidTr="005D0C3B">
              <w:tc>
                <w:tcPr>
                  <w:tcW w:w="4356" w:type="dxa"/>
                </w:tcPr>
                <w:p w14:paraId="3D3F0885" w14:textId="77777777" w:rsidR="006F5FA4" w:rsidRPr="00597673" w:rsidRDefault="00C5019B" w:rsidP="005D0C3B">
                  <w:pPr>
                    <w:jc w:val="left"/>
                  </w:pPr>
                  <w:r w:rsidRPr="00597673">
                    <w:t>Информация, необходима за предоставяне на членовете и бенефициерите на цялостен, надежден и актуален преглед на техните професионални и лични пенсионни права</w:t>
                  </w:r>
                </w:p>
              </w:tc>
              <w:tc>
                <w:tcPr>
                  <w:tcW w:w="2126" w:type="dxa"/>
                </w:tcPr>
                <w:p w14:paraId="3636AEBC" w14:textId="77777777" w:rsidR="006F5FA4" w:rsidRPr="00597673" w:rsidRDefault="001B5AF9" w:rsidP="005D0C3B">
                  <w:pPr>
                    <w:jc w:val="left"/>
                  </w:pPr>
                  <w:r w:rsidRPr="00597673">
                    <w:t>Член 22а; Член 37a</w:t>
                  </w:r>
                </w:p>
              </w:tc>
              <w:tc>
                <w:tcPr>
                  <w:tcW w:w="2571" w:type="dxa"/>
                </w:tcPr>
                <w:p w14:paraId="6ADA22A8" w14:textId="77777777" w:rsidR="006F5FA4" w:rsidRPr="00597673" w:rsidRDefault="00710B1F" w:rsidP="005D0C3B">
                  <w:pPr>
                    <w:jc w:val="left"/>
                  </w:pPr>
                  <w:r w:rsidRPr="00597673">
                    <w:t>Определя се от НКО</w:t>
                  </w:r>
                </w:p>
              </w:tc>
            </w:tr>
            <w:tr w:rsidR="006F5FA4" w:rsidRPr="00597673" w14:paraId="2F26D95E" w14:textId="77777777" w:rsidTr="005D0C3B">
              <w:tc>
                <w:tcPr>
                  <w:tcW w:w="4356" w:type="dxa"/>
                </w:tcPr>
                <w:p w14:paraId="712BF8AD" w14:textId="77777777" w:rsidR="006F5FA4" w:rsidRPr="00597673" w:rsidRDefault="00BD664B" w:rsidP="005D0C3B">
                  <w:pPr>
                    <w:jc w:val="left"/>
                  </w:pPr>
                  <w:r w:rsidRPr="00597673">
                    <w:t>Информация, свързана с трансгранични дейности и процедури; Платформи за сътрудничество</w:t>
                  </w:r>
                </w:p>
              </w:tc>
              <w:tc>
                <w:tcPr>
                  <w:tcW w:w="2126" w:type="dxa"/>
                </w:tcPr>
                <w:p w14:paraId="3EEFFB16" w14:textId="77777777" w:rsidR="006F5FA4" w:rsidRPr="00597673" w:rsidRDefault="00710B1F" w:rsidP="005D0C3B">
                  <w:pPr>
                    <w:jc w:val="left"/>
                  </w:pPr>
                  <w:r w:rsidRPr="00597673">
                    <w:t>Член 11; Член 55a</w:t>
                  </w:r>
                </w:p>
              </w:tc>
              <w:tc>
                <w:tcPr>
                  <w:tcW w:w="2571" w:type="dxa"/>
                </w:tcPr>
                <w:p w14:paraId="178046BF" w14:textId="77777777" w:rsidR="006F5FA4" w:rsidRPr="00597673" w:rsidRDefault="00710B1F" w:rsidP="005D0C3B">
                  <w:pPr>
                    <w:jc w:val="left"/>
                  </w:pPr>
                  <w:r w:rsidRPr="00597673">
                    <w:t>Определя се от ЕОЗППО</w:t>
                  </w:r>
                </w:p>
              </w:tc>
            </w:tr>
          </w:tbl>
          <w:p w14:paraId="006DA5AC" w14:textId="77777777" w:rsidR="006F5FA4" w:rsidRPr="00597673" w:rsidRDefault="006F5FA4" w:rsidP="006F5FA4"/>
          <w:p w14:paraId="097965A5" w14:textId="77777777" w:rsidR="006F5FA4" w:rsidRPr="00597673" w:rsidRDefault="007F6C20" w:rsidP="006F5FA4">
            <w:r w:rsidRPr="00597673">
              <w:t>Потоци от данни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379"/>
              <w:gridCol w:w="1780"/>
              <w:gridCol w:w="1503"/>
              <w:gridCol w:w="1375"/>
              <w:gridCol w:w="1410"/>
            </w:tblGrid>
            <w:tr w:rsidR="0083119D" w:rsidRPr="00597673" w14:paraId="56D27E7D" w14:textId="77777777" w:rsidTr="005D0C3B">
              <w:tc>
                <w:tcPr>
                  <w:tcW w:w="2230" w:type="dxa"/>
                </w:tcPr>
                <w:p w14:paraId="113D1A3A" w14:textId="77777777" w:rsidR="00C2298E" w:rsidRPr="00597673" w:rsidRDefault="00DA3EBF" w:rsidP="005D0C3B">
                  <w:pPr>
                    <w:jc w:val="center"/>
                  </w:pPr>
                  <w:r w:rsidRPr="00597673">
                    <w:t>Вид на данните</w:t>
                  </w:r>
                </w:p>
              </w:tc>
              <w:tc>
                <w:tcPr>
                  <w:tcW w:w="1417" w:type="dxa"/>
                </w:tcPr>
                <w:p w14:paraId="7023D349" w14:textId="77777777" w:rsidR="00C2298E" w:rsidRPr="00597673" w:rsidRDefault="00DA3EBF" w:rsidP="005D0C3B">
                  <w:pPr>
                    <w:jc w:val="center"/>
                  </w:pPr>
                  <w:r w:rsidRPr="00597673">
                    <w:t>Препратка към изискването</w:t>
                  </w:r>
                </w:p>
              </w:tc>
              <w:tc>
                <w:tcPr>
                  <w:tcW w:w="1418" w:type="dxa"/>
                </w:tcPr>
                <w:p w14:paraId="296D8029" w14:textId="77777777" w:rsidR="00C2298E" w:rsidRPr="00597673" w:rsidRDefault="00DA3EBF" w:rsidP="005D0C3B">
                  <w:pPr>
                    <w:jc w:val="center"/>
                  </w:pPr>
                  <w:r w:rsidRPr="00597673">
                    <w:t>Субект, който предоставя данните</w:t>
                  </w:r>
                </w:p>
              </w:tc>
              <w:tc>
                <w:tcPr>
                  <w:tcW w:w="1559" w:type="dxa"/>
                </w:tcPr>
                <w:p w14:paraId="68DA5EA9" w14:textId="77777777" w:rsidR="00C2298E" w:rsidRPr="00597673" w:rsidRDefault="00A44521" w:rsidP="005D0C3B">
                  <w:pPr>
                    <w:jc w:val="center"/>
                  </w:pPr>
                  <w:r w:rsidRPr="00597673">
                    <w:t>Субект, който получава данните</w:t>
                  </w:r>
                </w:p>
              </w:tc>
              <w:tc>
                <w:tcPr>
                  <w:tcW w:w="1276" w:type="dxa"/>
                </w:tcPr>
                <w:p w14:paraId="1C6E7B53" w14:textId="77777777" w:rsidR="00C2298E" w:rsidRPr="00597673" w:rsidRDefault="00A44521" w:rsidP="005D0C3B">
                  <w:pPr>
                    <w:jc w:val="center"/>
                  </w:pPr>
                  <w:r w:rsidRPr="00597673">
                    <w:t>Задействане на обмена на данни</w:t>
                  </w:r>
                </w:p>
              </w:tc>
              <w:tc>
                <w:tcPr>
                  <w:tcW w:w="1153" w:type="dxa"/>
                </w:tcPr>
                <w:p w14:paraId="557DD147" w14:textId="77777777" w:rsidR="00C2298E" w:rsidRPr="00597673" w:rsidRDefault="00A44521" w:rsidP="005D0C3B">
                  <w:pPr>
                    <w:jc w:val="center"/>
                  </w:pPr>
                  <w:r w:rsidRPr="00597673">
                    <w:t>Честота (ако е приложимо)</w:t>
                  </w:r>
                </w:p>
              </w:tc>
            </w:tr>
            <w:tr w:rsidR="0083119D" w:rsidRPr="00597673" w14:paraId="5E54EB51" w14:textId="77777777" w:rsidTr="005D0C3B">
              <w:tc>
                <w:tcPr>
                  <w:tcW w:w="2230" w:type="dxa"/>
                </w:tcPr>
                <w:p w14:paraId="644B5840" w14:textId="77777777" w:rsidR="00C2298E" w:rsidRPr="00597673" w:rsidRDefault="00DA3EBF" w:rsidP="005D0C3B">
                  <w:pPr>
                    <w:jc w:val="left"/>
                  </w:pPr>
                  <w:r w:rsidRPr="00597673">
                    <w:t>Информация, необходима за предоставяне на членовете и бенефициерите на цялостен, надежден и актуален преглед на техните професионални и лични пенсионни права</w:t>
                  </w:r>
                </w:p>
              </w:tc>
              <w:tc>
                <w:tcPr>
                  <w:tcW w:w="1417" w:type="dxa"/>
                </w:tcPr>
                <w:p w14:paraId="39857D18" w14:textId="77777777" w:rsidR="00C2298E" w:rsidRPr="00597673" w:rsidRDefault="00DA3EBF" w:rsidP="005D0C3B">
                  <w:pPr>
                    <w:jc w:val="left"/>
                  </w:pPr>
                  <w:r w:rsidRPr="00597673">
                    <w:t>Член 22а; Член 37a</w:t>
                  </w:r>
                </w:p>
              </w:tc>
              <w:tc>
                <w:tcPr>
                  <w:tcW w:w="1418" w:type="dxa"/>
                </w:tcPr>
                <w:p w14:paraId="511CE67F" w14:textId="77777777" w:rsidR="00C2298E" w:rsidRPr="00597673" w:rsidRDefault="00DA3EBF" w:rsidP="005D0C3B">
                  <w:pPr>
                    <w:jc w:val="left"/>
                  </w:pPr>
                  <w:r w:rsidRPr="00597673">
                    <w:t>ИППО, застрахователни предприятия и застрахователни посредници</w:t>
                  </w:r>
                </w:p>
              </w:tc>
              <w:tc>
                <w:tcPr>
                  <w:tcW w:w="1559" w:type="dxa"/>
                </w:tcPr>
                <w:p w14:paraId="5CC37BBD" w14:textId="77777777" w:rsidR="00C2298E" w:rsidRPr="00597673" w:rsidRDefault="00A44521" w:rsidP="005D0C3B">
                  <w:pPr>
                    <w:jc w:val="left"/>
                  </w:pPr>
                  <w:r w:rsidRPr="00597673">
                    <w:t>Доставчик на система за проследяване на пенсиите</w:t>
                  </w:r>
                </w:p>
              </w:tc>
              <w:tc>
                <w:tcPr>
                  <w:tcW w:w="1276" w:type="dxa"/>
                </w:tcPr>
                <w:p w14:paraId="526EE730" w14:textId="77777777" w:rsidR="00C2298E" w:rsidRPr="00597673" w:rsidRDefault="003C2E2D" w:rsidP="005D0C3B">
                  <w:pPr>
                    <w:jc w:val="left"/>
                  </w:pPr>
                  <w:r w:rsidRPr="00597673">
                    <w:t>//</w:t>
                  </w:r>
                </w:p>
              </w:tc>
              <w:tc>
                <w:tcPr>
                  <w:tcW w:w="1153" w:type="dxa"/>
                </w:tcPr>
                <w:p w14:paraId="03A7FB00" w14:textId="77777777" w:rsidR="00C2298E" w:rsidRPr="00597673" w:rsidRDefault="003C2E2D" w:rsidP="005D0C3B">
                  <w:pPr>
                    <w:jc w:val="left"/>
                  </w:pPr>
                  <w:r w:rsidRPr="00597673">
                    <w:t>//</w:t>
                  </w:r>
                </w:p>
              </w:tc>
            </w:tr>
            <w:tr w:rsidR="0083119D" w:rsidRPr="00597673" w14:paraId="2FA4F3B6" w14:textId="77777777" w:rsidTr="005D0C3B">
              <w:tc>
                <w:tcPr>
                  <w:tcW w:w="2230" w:type="dxa"/>
                </w:tcPr>
                <w:p w14:paraId="7AD464BA" w14:textId="77777777" w:rsidR="00C2298E" w:rsidRPr="00597673" w:rsidRDefault="00DA3EBF" w:rsidP="005D0C3B">
                  <w:pPr>
                    <w:jc w:val="left"/>
                  </w:pPr>
                  <w:r w:rsidRPr="00597673">
                    <w:t>Информация, свързана с трансгранични дейности и процедури; Платформи за сътрудничество</w:t>
                  </w:r>
                </w:p>
              </w:tc>
              <w:tc>
                <w:tcPr>
                  <w:tcW w:w="1417" w:type="dxa"/>
                </w:tcPr>
                <w:p w14:paraId="41293FC3" w14:textId="77777777" w:rsidR="00C2298E" w:rsidRPr="00597673" w:rsidRDefault="00DA3EBF" w:rsidP="005D0C3B">
                  <w:pPr>
                    <w:jc w:val="left"/>
                  </w:pPr>
                  <w:r w:rsidRPr="00597673">
                    <w:t>Член 11; Член 55a</w:t>
                  </w:r>
                </w:p>
              </w:tc>
              <w:tc>
                <w:tcPr>
                  <w:tcW w:w="1418" w:type="dxa"/>
                </w:tcPr>
                <w:p w14:paraId="667FEFFB" w14:textId="77777777" w:rsidR="00C2298E" w:rsidRPr="00597673" w:rsidRDefault="00313D4E" w:rsidP="005D0C3B">
                  <w:pPr>
                    <w:jc w:val="left"/>
                  </w:pPr>
                  <w:r w:rsidRPr="00597673">
                    <w:t>НКО</w:t>
                  </w:r>
                </w:p>
              </w:tc>
              <w:tc>
                <w:tcPr>
                  <w:tcW w:w="1559" w:type="dxa"/>
                </w:tcPr>
                <w:p w14:paraId="55266FB6" w14:textId="77777777" w:rsidR="00C2298E" w:rsidRPr="00597673" w:rsidRDefault="003C2E2D" w:rsidP="005D0C3B">
                  <w:pPr>
                    <w:jc w:val="left"/>
                  </w:pPr>
                  <w:r w:rsidRPr="00597673">
                    <w:t>НКО, ЕОЗППО</w:t>
                  </w:r>
                </w:p>
              </w:tc>
              <w:tc>
                <w:tcPr>
                  <w:tcW w:w="1276" w:type="dxa"/>
                </w:tcPr>
                <w:p w14:paraId="3E9878CD" w14:textId="77777777" w:rsidR="00C2298E" w:rsidRPr="00597673" w:rsidRDefault="003C2E2D" w:rsidP="005D0C3B">
                  <w:pPr>
                    <w:jc w:val="left"/>
                  </w:pPr>
                  <w:r w:rsidRPr="00597673">
                    <w:t>//</w:t>
                  </w:r>
                </w:p>
              </w:tc>
              <w:tc>
                <w:tcPr>
                  <w:tcW w:w="1153" w:type="dxa"/>
                </w:tcPr>
                <w:p w14:paraId="7A5F2896" w14:textId="77777777" w:rsidR="00C2298E" w:rsidRPr="00597673" w:rsidRDefault="003C2E2D" w:rsidP="005D0C3B">
                  <w:pPr>
                    <w:jc w:val="left"/>
                  </w:pPr>
                  <w:r w:rsidRPr="00597673">
                    <w:t>//</w:t>
                  </w:r>
                </w:p>
              </w:tc>
            </w:tr>
          </w:tbl>
          <w:p w14:paraId="66265246" w14:textId="77777777" w:rsidR="00AC2BE5" w:rsidRPr="00597673" w:rsidRDefault="00AC2BE5" w:rsidP="005D0C3B"/>
        </w:tc>
      </w:tr>
    </w:tbl>
    <w:p w14:paraId="19DF1A6B" w14:textId="77777777" w:rsidR="00AC2BE5" w:rsidRPr="00597673" w:rsidRDefault="00AC2BE5">
      <w:pPr>
        <w:pStyle w:val="ManualHeading2"/>
      </w:pPr>
      <w:bookmarkStart w:id="120" w:name="_Toc167220305"/>
      <w:bookmarkStart w:id="121" w:name="_Toc177549039"/>
      <w:r w:rsidRPr="00597673">
        <w:t>4.3.</w:t>
      </w:r>
      <w:r w:rsidRPr="00597673">
        <w:tab/>
        <w:t>Цифрови решения</w:t>
      </w:r>
      <w:bookmarkEnd w:id="120"/>
      <w:bookmarkEnd w:id="121"/>
    </w:p>
    <w:tbl>
      <w:tblPr>
        <w:tblpPr w:leftFromText="141" w:rightFromText="141" w:vertAnchor="text" w:horzAnchor="margin" w:tblpY="2"/>
        <w:tblW w:w="9067" w:type="dxa"/>
        <w:tblLayout w:type="fixed"/>
        <w:tblCellMar>
          <w:left w:w="0" w:type="dxa"/>
          <w:right w:w="0" w:type="dxa"/>
        </w:tblCellMar>
        <w:tblLook w:val="04A0" w:firstRow="1" w:lastRow="0" w:firstColumn="1" w:lastColumn="0" w:noHBand="0" w:noVBand="1"/>
      </w:tblPr>
      <w:tblGrid>
        <w:gridCol w:w="9067"/>
      </w:tblGrid>
      <w:tr w:rsidR="00AC2BE5" w:rsidRPr="00597673" w14:paraId="6F747A61" w14:textId="77777777" w:rsidTr="005D0C3B">
        <w:tc>
          <w:tcPr>
            <w:tcW w:w="9067" w:type="dxa"/>
          </w:tcPr>
          <w:p w14:paraId="1F052E6D" w14:textId="77777777" w:rsidR="006B5A5C" w:rsidRPr="00597673" w:rsidRDefault="00F62EF3">
            <w:r w:rsidRPr="00597673">
              <w:t xml:space="preserve">Вж. горния раздел </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61"/>
              <w:gridCol w:w="2225"/>
              <w:gridCol w:w="1134"/>
              <w:gridCol w:w="992"/>
              <w:gridCol w:w="1134"/>
              <w:gridCol w:w="992"/>
            </w:tblGrid>
            <w:tr w:rsidR="001A1FE9" w:rsidRPr="00597673" w14:paraId="4BB5E832" w14:textId="77777777" w:rsidTr="005D0C3B">
              <w:tc>
                <w:tcPr>
                  <w:tcW w:w="1129" w:type="dxa"/>
                </w:tcPr>
                <w:p w14:paraId="24D2BDE0" w14:textId="77777777" w:rsidR="001A1FE9" w:rsidRPr="00597673" w:rsidRDefault="005F1F4E" w:rsidP="00BE53DF">
                  <w:pPr>
                    <w:framePr w:hSpace="141" w:wrap="around" w:vAnchor="text" w:hAnchor="margin" w:y="2"/>
                    <w:jc w:val="center"/>
                    <w:rPr>
                      <w:rFonts w:eastAsiaTheme="minorHAnsi"/>
                      <w:szCs w:val="22"/>
                    </w:rPr>
                  </w:pPr>
                  <w:r w:rsidRPr="00597673">
                    <w:t>Цифрово решение</w:t>
                  </w:r>
                </w:p>
              </w:tc>
              <w:tc>
                <w:tcPr>
                  <w:tcW w:w="1461" w:type="dxa"/>
                </w:tcPr>
                <w:p w14:paraId="43CB0FA5" w14:textId="77777777" w:rsidR="001A1FE9" w:rsidRPr="00597673" w:rsidRDefault="005F1F4E" w:rsidP="00BE53DF">
                  <w:pPr>
                    <w:framePr w:hSpace="141" w:wrap="around" w:vAnchor="text" w:hAnchor="margin" w:y="2"/>
                    <w:jc w:val="center"/>
                    <w:rPr>
                      <w:rFonts w:eastAsiaTheme="minorHAnsi"/>
                      <w:szCs w:val="22"/>
                    </w:rPr>
                  </w:pPr>
                  <w:r w:rsidRPr="00597673">
                    <w:t>Препратки към изискванията</w:t>
                  </w:r>
                </w:p>
              </w:tc>
              <w:tc>
                <w:tcPr>
                  <w:tcW w:w="2225" w:type="dxa"/>
                </w:tcPr>
                <w:p w14:paraId="6023FB8A" w14:textId="77777777" w:rsidR="001A1FE9" w:rsidRPr="00597673" w:rsidRDefault="005F1F4E" w:rsidP="00BE53DF">
                  <w:pPr>
                    <w:framePr w:hSpace="141" w:wrap="around" w:vAnchor="text" w:hAnchor="margin" w:y="2"/>
                    <w:jc w:val="center"/>
                    <w:rPr>
                      <w:rFonts w:eastAsiaTheme="minorHAnsi"/>
                      <w:szCs w:val="22"/>
                    </w:rPr>
                  </w:pPr>
                  <w:r w:rsidRPr="00597673">
                    <w:t>Основни възложени функции</w:t>
                  </w:r>
                </w:p>
              </w:tc>
              <w:tc>
                <w:tcPr>
                  <w:tcW w:w="1134" w:type="dxa"/>
                </w:tcPr>
                <w:p w14:paraId="5F75CBBA" w14:textId="77777777" w:rsidR="001A1FE9" w:rsidRPr="00597673" w:rsidRDefault="005F1F4E" w:rsidP="00BE53DF">
                  <w:pPr>
                    <w:framePr w:hSpace="141" w:wrap="around" w:vAnchor="text" w:hAnchor="margin" w:y="2"/>
                    <w:jc w:val="center"/>
                    <w:rPr>
                      <w:rFonts w:eastAsiaTheme="minorHAnsi"/>
                      <w:szCs w:val="22"/>
                    </w:rPr>
                  </w:pPr>
                  <w:r w:rsidRPr="00597673">
                    <w:t>Отговорен субект</w:t>
                  </w:r>
                </w:p>
              </w:tc>
              <w:tc>
                <w:tcPr>
                  <w:tcW w:w="992" w:type="dxa"/>
                </w:tcPr>
                <w:p w14:paraId="45157C4E" w14:textId="77777777" w:rsidR="001A1FE9" w:rsidRPr="00597673" w:rsidRDefault="005F1F4E" w:rsidP="00BE53DF">
                  <w:pPr>
                    <w:framePr w:hSpace="141" w:wrap="around" w:vAnchor="text" w:hAnchor="margin" w:y="2"/>
                    <w:jc w:val="center"/>
                    <w:rPr>
                      <w:rFonts w:eastAsiaTheme="minorHAnsi"/>
                      <w:szCs w:val="22"/>
                    </w:rPr>
                  </w:pPr>
                  <w:r w:rsidRPr="00597673">
                    <w:t>По какъв начин е осигурена достъпността?</w:t>
                  </w:r>
                </w:p>
              </w:tc>
              <w:tc>
                <w:tcPr>
                  <w:tcW w:w="1134" w:type="dxa"/>
                </w:tcPr>
                <w:p w14:paraId="644E9F17" w14:textId="77777777" w:rsidR="001A1FE9" w:rsidRPr="00597673" w:rsidRDefault="005F1F4E" w:rsidP="00BE53DF">
                  <w:pPr>
                    <w:framePr w:hSpace="141" w:wrap="around" w:vAnchor="text" w:hAnchor="margin" w:y="2"/>
                    <w:jc w:val="center"/>
                    <w:rPr>
                      <w:rFonts w:eastAsiaTheme="minorHAnsi"/>
                      <w:szCs w:val="22"/>
                    </w:rPr>
                  </w:pPr>
                  <w:r w:rsidRPr="00597673">
                    <w:t>По какъв начин е подходено към повторното използване?</w:t>
                  </w:r>
                </w:p>
              </w:tc>
              <w:tc>
                <w:tcPr>
                  <w:tcW w:w="992" w:type="dxa"/>
                </w:tcPr>
                <w:p w14:paraId="373A1EA1" w14:textId="77777777" w:rsidR="001A1FE9" w:rsidRPr="00597673" w:rsidRDefault="005F1F4E" w:rsidP="00BE53DF">
                  <w:pPr>
                    <w:framePr w:hSpace="141" w:wrap="around" w:vAnchor="text" w:hAnchor="margin" w:y="2"/>
                    <w:jc w:val="center"/>
                    <w:rPr>
                      <w:rFonts w:eastAsiaTheme="minorHAnsi"/>
                      <w:szCs w:val="22"/>
                    </w:rPr>
                  </w:pPr>
                  <w:r w:rsidRPr="00597673">
                    <w:t>Използване на технологии с ИИ (ако е приложимо)</w:t>
                  </w:r>
                </w:p>
              </w:tc>
            </w:tr>
            <w:tr w:rsidR="001A1FE9" w:rsidRPr="00597673" w14:paraId="2801FA07" w14:textId="77777777" w:rsidTr="005D0C3B">
              <w:tc>
                <w:tcPr>
                  <w:tcW w:w="1129" w:type="dxa"/>
                </w:tcPr>
                <w:p w14:paraId="1C999A9C" w14:textId="77777777" w:rsidR="001A1FE9" w:rsidRPr="00597673" w:rsidRDefault="007F501C" w:rsidP="00BE53DF">
                  <w:pPr>
                    <w:framePr w:hSpace="141" w:wrap="around" w:vAnchor="text" w:hAnchor="margin" w:y="2"/>
                    <w:jc w:val="left"/>
                    <w:rPr>
                      <w:rFonts w:eastAsiaTheme="minorHAnsi"/>
                      <w:szCs w:val="22"/>
                    </w:rPr>
                  </w:pPr>
                  <w:r w:rsidRPr="00597673">
                    <w:t>Актуализиране на съществуващите системи за проследяване на пенсиите</w:t>
                  </w:r>
                </w:p>
              </w:tc>
              <w:tc>
                <w:tcPr>
                  <w:tcW w:w="1461" w:type="dxa"/>
                </w:tcPr>
                <w:p w14:paraId="4BCD2159" w14:textId="77777777" w:rsidR="001A1FE9" w:rsidRPr="00597673" w:rsidRDefault="007F501C" w:rsidP="00BE53DF">
                  <w:pPr>
                    <w:framePr w:hSpace="141" w:wrap="around" w:vAnchor="text" w:hAnchor="margin" w:y="2"/>
                    <w:jc w:val="left"/>
                    <w:rPr>
                      <w:rFonts w:eastAsiaTheme="minorHAnsi"/>
                      <w:szCs w:val="22"/>
                    </w:rPr>
                  </w:pPr>
                  <w:r w:rsidRPr="00597673">
                    <w:t>Член 22а; Член 37a</w:t>
                  </w:r>
                </w:p>
              </w:tc>
              <w:tc>
                <w:tcPr>
                  <w:tcW w:w="2225" w:type="dxa"/>
                </w:tcPr>
                <w:p w14:paraId="17852289" w14:textId="77777777" w:rsidR="001A1FE9" w:rsidRPr="00597673" w:rsidRDefault="007F501C" w:rsidP="00BE53DF">
                  <w:pPr>
                    <w:framePr w:hSpace="141" w:wrap="around" w:vAnchor="text" w:hAnchor="margin" w:y="2"/>
                    <w:jc w:val="left"/>
                    <w:rPr>
                      <w:rFonts w:eastAsiaTheme="minorHAnsi"/>
                      <w:szCs w:val="22"/>
                    </w:rPr>
                  </w:pPr>
                  <w:r w:rsidRPr="00597673">
                    <w:t xml:space="preserve">ИППО, застрахователните предприятия и застрахователните посредници и дистрибутори биха могли да предават на системите за проследяване на пенсионните права, когато такива съществуват, цялата информация, необходима за предоставяне на клиентите на цялостен, надежден и актуален преглед на техните лични и професионални права </w:t>
                  </w:r>
                </w:p>
              </w:tc>
              <w:tc>
                <w:tcPr>
                  <w:tcW w:w="1134" w:type="dxa"/>
                </w:tcPr>
                <w:p w14:paraId="698A9505" w14:textId="77777777" w:rsidR="001A1FE9" w:rsidRPr="00597673" w:rsidRDefault="00C248BD" w:rsidP="00BE53DF">
                  <w:pPr>
                    <w:framePr w:hSpace="141" w:wrap="around" w:vAnchor="text" w:hAnchor="margin" w:y="2"/>
                    <w:jc w:val="left"/>
                    <w:rPr>
                      <w:rFonts w:eastAsiaTheme="minorHAnsi"/>
                      <w:szCs w:val="22"/>
                    </w:rPr>
                  </w:pPr>
                  <w:r w:rsidRPr="00597673">
                    <w:t>Доставчик на система за проследяване на пенсиите, НКО</w:t>
                  </w:r>
                </w:p>
              </w:tc>
              <w:tc>
                <w:tcPr>
                  <w:tcW w:w="992" w:type="dxa"/>
                </w:tcPr>
                <w:p w14:paraId="0483C3F3" w14:textId="77777777" w:rsidR="001A1FE9" w:rsidRPr="00597673" w:rsidRDefault="007F501C" w:rsidP="00BE53DF">
                  <w:pPr>
                    <w:framePr w:hSpace="141" w:wrap="around" w:vAnchor="text" w:hAnchor="margin" w:y="2"/>
                    <w:jc w:val="left"/>
                    <w:rPr>
                      <w:rFonts w:eastAsiaTheme="minorHAnsi"/>
                      <w:szCs w:val="22"/>
                    </w:rPr>
                  </w:pPr>
                  <w:r w:rsidRPr="00597673">
                    <w:t>Определя се от НКО</w:t>
                  </w:r>
                </w:p>
              </w:tc>
              <w:tc>
                <w:tcPr>
                  <w:tcW w:w="1134" w:type="dxa"/>
                </w:tcPr>
                <w:p w14:paraId="4E0100AB" w14:textId="77777777" w:rsidR="001A1FE9" w:rsidRPr="00597673" w:rsidRDefault="007F501C" w:rsidP="00BE53DF">
                  <w:pPr>
                    <w:framePr w:hSpace="141" w:wrap="around" w:vAnchor="text" w:hAnchor="margin" w:y="2"/>
                    <w:jc w:val="left"/>
                    <w:rPr>
                      <w:rFonts w:eastAsiaTheme="minorHAnsi"/>
                      <w:szCs w:val="22"/>
                    </w:rPr>
                  </w:pPr>
                  <w:r w:rsidRPr="00597673">
                    <w:t>Определя се от НКО</w:t>
                  </w:r>
                </w:p>
              </w:tc>
              <w:tc>
                <w:tcPr>
                  <w:tcW w:w="992" w:type="dxa"/>
                </w:tcPr>
                <w:p w14:paraId="17836D3A" w14:textId="77777777" w:rsidR="001A1FE9" w:rsidRPr="00597673" w:rsidRDefault="007F501C" w:rsidP="00BE53DF">
                  <w:pPr>
                    <w:framePr w:hSpace="141" w:wrap="around" w:vAnchor="text" w:hAnchor="margin" w:y="2"/>
                    <w:jc w:val="left"/>
                    <w:rPr>
                      <w:rFonts w:eastAsiaTheme="minorHAnsi"/>
                      <w:szCs w:val="22"/>
                    </w:rPr>
                  </w:pPr>
                  <w:r w:rsidRPr="00597673">
                    <w:t>№</w:t>
                  </w:r>
                </w:p>
              </w:tc>
            </w:tr>
            <w:tr w:rsidR="001A1FE9" w:rsidRPr="00597673" w14:paraId="64EA18AD" w14:textId="77777777" w:rsidTr="005D0C3B">
              <w:tc>
                <w:tcPr>
                  <w:tcW w:w="1129" w:type="dxa"/>
                </w:tcPr>
                <w:p w14:paraId="6EE19B9B" w14:textId="77777777" w:rsidR="001A1FE9" w:rsidRPr="00597673" w:rsidRDefault="00C248BD" w:rsidP="00BE53DF">
                  <w:pPr>
                    <w:framePr w:hSpace="141" w:wrap="around" w:vAnchor="text" w:hAnchor="margin" w:y="2"/>
                    <w:jc w:val="left"/>
                    <w:rPr>
                      <w:rFonts w:eastAsiaTheme="minorHAnsi"/>
                      <w:szCs w:val="22"/>
                    </w:rPr>
                  </w:pPr>
                  <w:r w:rsidRPr="00597673">
                    <w:t>Платформи за сътрудничество</w:t>
                  </w:r>
                </w:p>
              </w:tc>
              <w:tc>
                <w:tcPr>
                  <w:tcW w:w="1461" w:type="dxa"/>
                </w:tcPr>
                <w:p w14:paraId="601B8AEF" w14:textId="77777777" w:rsidR="001A1FE9" w:rsidRPr="00597673" w:rsidRDefault="00C248BD" w:rsidP="00BE53DF">
                  <w:pPr>
                    <w:framePr w:hSpace="141" w:wrap="around" w:vAnchor="text" w:hAnchor="margin" w:y="2"/>
                    <w:jc w:val="left"/>
                    <w:rPr>
                      <w:rFonts w:eastAsiaTheme="minorHAnsi"/>
                      <w:szCs w:val="22"/>
                    </w:rPr>
                  </w:pPr>
                  <w:r w:rsidRPr="00597673">
                    <w:t>Член 11; Член 55</w:t>
                  </w:r>
                </w:p>
              </w:tc>
              <w:tc>
                <w:tcPr>
                  <w:tcW w:w="2225" w:type="dxa"/>
                </w:tcPr>
                <w:p w14:paraId="1BADD5F5" w14:textId="77777777" w:rsidR="001A1FE9" w:rsidRPr="00597673" w:rsidRDefault="00C248BD" w:rsidP="00BE53DF">
                  <w:pPr>
                    <w:framePr w:hSpace="141" w:wrap="around" w:vAnchor="text" w:hAnchor="margin" w:y="2"/>
                    <w:jc w:val="left"/>
                    <w:rPr>
                      <w:rFonts w:eastAsiaTheme="minorHAnsi"/>
                      <w:szCs w:val="22"/>
                    </w:rPr>
                  </w:pPr>
                  <w:r w:rsidRPr="00597673">
                    <w:t>Предоставяне на информация, свързана с трансгранични дейности и процедури</w:t>
                  </w:r>
                </w:p>
              </w:tc>
              <w:tc>
                <w:tcPr>
                  <w:tcW w:w="1134" w:type="dxa"/>
                </w:tcPr>
                <w:p w14:paraId="76F5D764" w14:textId="77777777" w:rsidR="001A1FE9" w:rsidRPr="00597673" w:rsidRDefault="00025303" w:rsidP="00BE53DF">
                  <w:pPr>
                    <w:framePr w:hSpace="141" w:wrap="around" w:vAnchor="text" w:hAnchor="margin" w:y="2"/>
                    <w:jc w:val="left"/>
                    <w:rPr>
                      <w:rFonts w:eastAsiaTheme="minorHAnsi"/>
                      <w:szCs w:val="22"/>
                    </w:rPr>
                  </w:pPr>
                  <w:r w:rsidRPr="00597673">
                    <w:t>НКО</w:t>
                  </w:r>
                </w:p>
              </w:tc>
              <w:tc>
                <w:tcPr>
                  <w:tcW w:w="992" w:type="dxa"/>
                </w:tcPr>
                <w:p w14:paraId="50550ACB" w14:textId="77777777" w:rsidR="001A1FE9" w:rsidRPr="00597673" w:rsidRDefault="00BD3820" w:rsidP="00BE53DF">
                  <w:pPr>
                    <w:framePr w:hSpace="141" w:wrap="around" w:vAnchor="text" w:hAnchor="margin" w:y="2"/>
                    <w:jc w:val="left"/>
                    <w:rPr>
                      <w:rFonts w:eastAsiaTheme="minorHAnsi"/>
                      <w:szCs w:val="22"/>
                    </w:rPr>
                  </w:pPr>
                  <w:r w:rsidRPr="00597673">
                    <w:t>Определя се от ЕОЗППО</w:t>
                  </w:r>
                </w:p>
              </w:tc>
              <w:tc>
                <w:tcPr>
                  <w:tcW w:w="1134" w:type="dxa"/>
                </w:tcPr>
                <w:p w14:paraId="698BE423" w14:textId="77777777" w:rsidR="001A1FE9" w:rsidRPr="00597673" w:rsidRDefault="00BD3820" w:rsidP="00BE53DF">
                  <w:pPr>
                    <w:framePr w:hSpace="141" w:wrap="around" w:vAnchor="text" w:hAnchor="margin" w:y="2"/>
                    <w:jc w:val="left"/>
                    <w:rPr>
                      <w:rFonts w:eastAsiaTheme="minorHAnsi"/>
                      <w:szCs w:val="22"/>
                    </w:rPr>
                  </w:pPr>
                  <w:r w:rsidRPr="00597673">
                    <w:t>Определя се от ЕОЗППО</w:t>
                  </w:r>
                </w:p>
              </w:tc>
              <w:tc>
                <w:tcPr>
                  <w:tcW w:w="992" w:type="dxa"/>
                </w:tcPr>
                <w:p w14:paraId="36BBFD1D" w14:textId="77777777" w:rsidR="001A1FE9" w:rsidRPr="00597673" w:rsidRDefault="00BD3820" w:rsidP="00BE53DF">
                  <w:pPr>
                    <w:framePr w:hSpace="141" w:wrap="around" w:vAnchor="text" w:hAnchor="margin" w:y="2"/>
                    <w:jc w:val="left"/>
                    <w:rPr>
                      <w:rFonts w:eastAsiaTheme="minorHAnsi"/>
                      <w:szCs w:val="22"/>
                    </w:rPr>
                  </w:pPr>
                  <w:r w:rsidRPr="00597673">
                    <w:t>№</w:t>
                  </w:r>
                </w:p>
              </w:tc>
            </w:tr>
          </w:tbl>
          <w:p w14:paraId="03C18835" w14:textId="77777777" w:rsidR="006B5A5C" w:rsidRPr="00597673" w:rsidRDefault="006B5A5C"/>
          <w:p w14:paraId="32930730" w14:textId="77777777" w:rsidR="00BD3820" w:rsidRPr="00597673" w:rsidRDefault="00BD3820">
            <w:r w:rsidRPr="00597673">
              <w:t>Системи за проследяване на пенсиите</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02726C" w:rsidRPr="00597673" w14:paraId="03106440" w14:textId="77777777" w:rsidTr="005D0C3B">
              <w:tc>
                <w:tcPr>
                  <w:tcW w:w="4533" w:type="dxa"/>
                </w:tcPr>
                <w:p w14:paraId="4D877D2D" w14:textId="77777777" w:rsidR="0002726C" w:rsidRPr="00597673" w:rsidRDefault="0002726C" w:rsidP="00BE53DF">
                  <w:pPr>
                    <w:framePr w:hSpace="141" w:wrap="around" w:vAnchor="text" w:hAnchor="margin" w:y="2"/>
                    <w:jc w:val="left"/>
                    <w:rPr>
                      <w:rFonts w:eastAsiaTheme="minorHAnsi"/>
                      <w:szCs w:val="22"/>
                    </w:rPr>
                  </w:pPr>
                  <w:r w:rsidRPr="00597673">
                    <w:t>Цифрова и/или секторна политика (когато са приложими)</w:t>
                  </w:r>
                </w:p>
              </w:tc>
              <w:tc>
                <w:tcPr>
                  <w:tcW w:w="4534" w:type="dxa"/>
                </w:tcPr>
                <w:p w14:paraId="61D9FECA" w14:textId="77777777" w:rsidR="0002726C" w:rsidRPr="00597673" w:rsidRDefault="0002726C" w:rsidP="00BE53DF">
                  <w:pPr>
                    <w:framePr w:hSpace="141" w:wrap="around" w:vAnchor="text" w:hAnchor="margin" w:y="2"/>
                    <w:jc w:val="left"/>
                    <w:rPr>
                      <w:rFonts w:eastAsiaTheme="minorHAnsi"/>
                      <w:szCs w:val="22"/>
                    </w:rPr>
                  </w:pPr>
                  <w:r w:rsidRPr="00597673">
                    <w:t>Обяснение по какъв начин решението е в съответствие с политиката</w:t>
                  </w:r>
                </w:p>
              </w:tc>
            </w:tr>
            <w:tr w:rsidR="0002726C" w:rsidRPr="00597673" w14:paraId="23AEC215" w14:textId="77777777" w:rsidTr="005D0C3B">
              <w:tc>
                <w:tcPr>
                  <w:tcW w:w="4533" w:type="dxa"/>
                </w:tcPr>
                <w:p w14:paraId="26E2AF10" w14:textId="77777777" w:rsidR="0002726C" w:rsidRPr="00597673" w:rsidRDefault="0002726C" w:rsidP="00BE53DF">
                  <w:pPr>
                    <w:framePr w:hSpace="141" w:wrap="around" w:vAnchor="text" w:hAnchor="margin" w:y="2"/>
                    <w:jc w:val="left"/>
                    <w:rPr>
                      <w:rFonts w:eastAsiaTheme="minorHAnsi"/>
                      <w:szCs w:val="22"/>
                    </w:rPr>
                  </w:pPr>
                  <w:r w:rsidRPr="00597673">
                    <w:t>Акт за изкуствения интелект</w:t>
                  </w:r>
                </w:p>
              </w:tc>
              <w:tc>
                <w:tcPr>
                  <w:tcW w:w="4534" w:type="dxa"/>
                </w:tcPr>
                <w:p w14:paraId="6162BB0D" w14:textId="77777777" w:rsidR="0002726C" w:rsidRPr="00597673" w:rsidRDefault="0002726C" w:rsidP="00BE53DF">
                  <w:pPr>
                    <w:framePr w:hSpace="141" w:wrap="around" w:vAnchor="text" w:hAnchor="margin" w:y="2"/>
                    <w:jc w:val="left"/>
                    <w:rPr>
                      <w:rFonts w:eastAsiaTheme="minorHAnsi"/>
                      <w:szCs w:val="22"/>
                    </w:rPr>
                  </w:pPr>
                  <w:r w:rsidRPr="00597673">
                    <w:t>не е приложимо</w:t>
                  </w:r>
                </w:p>
              </w:tc>
            </w:tr>
            <w:tr w:rsidR="0002726C" w:rsidRPr="00597673" w14:paraId="0A1BA75F" w14:textId="77777777" w:rsidTr="005D0C3B">
              <w:tc>
                <w:tcPr>
                  <w:tcW w:w="4533" w:type="dxa"/>
                </w:tcPr>
                <w:p w14:paraId="025869BD" w14:textId="77777777" w:rsidR="0002726C" w:rsidRPr="00597673" w:rsidRDefault="0002726C" w:rsidP="00BE53DF">
                  <w:pPr>
                    <w:framePr w:hSpace="141" w:wrap="around" w:vAnchor="text" w:hAnchor="margin" w:y="2"/>
                    <w:jc w:val="left"/>
                    <w:rPr>
                      <w:rFonts w:eastAsiaTheme="minorHAnsi"/>
                      <w:szCs w:val="22"/>
                    </w:rPr>
                  </w:pPr>
                  <w:r w:rsidRPr="00597673">
                    <w:t>Рамка на ЕС за киберсигурност</w:t>
                  </w:r>
                </w:p>
              </w:tc>
              <w:tc>
                <w:tcPr>
                  <w:tcW w:w="4534" w:type="dxa"/>
                </w:tcPr>
                <w:p w14:paraId="14DD1D6D" w14:textId="77777777" w:rsidR="0002726C" w:rsidRPr="00597673" w:rsidRDefault="0002726C" w:rsidP="00BE53DF">
                  <w:pPr>
                    <w:framePr w:hSpace="141" w:wrap="around" w:vAnchor="text" w:hAnchor="margin" w:y="2"/>
                    <w:jc w:val="left"/>
                  </w:pPr>
                  <w:r w:rsidRPr="00597673">
                    <w:t xml:space="preserve">Без да се засяга Регламент (ЕС) 2016/679, държавите членки гарантират сигурността, целостността, автентичността и поверителността на данните, събирани и съхранявани за целите на настоящата директива. </w:t>
                  </w:r>
                </w:p>
                <w:p w14:paraId="01BEA70F" w14:textId="77777777" w:rsidR="0002726C" w:rsidRPr="00597673" w:rsidRDefault="004F0F55" w:rsidP="00BE53DF">
                  <w:pPr>
                    <w:framePr w:hSpace="141" w:wrap="around" w:vAnchor="text" w:hAnchor="margin" w:y="2"/>
                    <w:jc w:val="left"/>
                    <w:rPr>
                      <w:rFonts w:eastAsiaTheme="minorHAnsi"/>
                      <w:szCs w:val="22"/>
                    </w:rPr>
                  </w:pPr>
                  <w:r w:rsidRPr="00597673">
                    <w:t>Определя се допълнително от НКО</w:t>
                  </w:r>
                </w:p>
              </w:tc>
            </w:tr>
            <w:tr w:rsidR="0002726C" w:rsidRPr="00597673" w14:paraId="05710F11" w14:textId="77777777" w:rsidTr="005D0C3B">
              <w:tc>
                <w:tcPr>
                  <w:tcW w:w="4533" w:type="dxa"/>
                </w:tcPr>
                <w:p w14:paraId="61F08E7A" w14:textId="77777777" w:rsidR="0002726C" w:rsidRPr="00597673" w:rsidRDefault="0002726C" w:rsidP="00BE53DF">
                  <w:pPr>
                    <w:framePr w:hSpace="141" w:wrap="around" w:vAnchor="text" w:hAnchor="margin" w:y="2"/>
                    <w:jc w:val="left"/>
                    <w:rPr>
                      <w:rFonts w:eastAsiaTheme="minorHAnsi"/>
                      <w:szCs w:val="22"/>
                    </w:rPr>
                  </w:pPr>
                  <w:r w:rsidRPr="00597673">
                    <w:t>eIDAS</w:t>
                  </w:r>
                </w:p>
              </w:tc>
              <w:tc>
                <w:tcPr>
                  <w:tcW w:w="4534" w:type="dxa"/>
                </w:tcPr>
                <w:p w14:paraId="6496BA2C" w14:textId="77777777" w:rsidR="0002726C" w:rsidRPr="00597673" w:rsidRDefault="00CC3494" w:rsidP="00BE53DF">
                  <w:pPr>
                    <w:framePr w:hSpace="141" w:wrap="around" w:vAnchor="text" w:hAnchor="margin" w:y="2"/>
                    <w:jc w:val="left"/>
                    <w:rPr>
                      <w:rFonts w:eastAsiaTheme="minorHAnsi"/>
                      <w:szCs w:val="22"/>
                    </w:rPr>
                  </w:pPr>
                  <w:r w:rsidRPr="00597673">
                    <w:t>не е приложимо</w:t>
                  </w:r>
                </w:p>
              </w:tc>
            </w:tr>
            <w:tr w:rsidR="0002726C" w:rsidRPr="00597673" w14:paraId="35FF2523" w14:textId="77777777" w:rsidTr="005D0C3B">
              <w:tc>
                <w:tcPr>
                  <w:tcW w:w="4533" w:type="dxa"/>
                </w:tcPr>
                <w:p w14:paraId="5D5BB3ED" w14:textId="77777777" w:rsidR="0002726C" w:rsidRPr="00597673" w:rsidRDefault="0002726C" w:rsidP="00BE53DF">
                  <w:pPr>
                    <w:framePr w:hSpace="141" w:wrap="around" w:vAnchor="text" w:hAnchor="margin" w:y="2"/>
                    <w:jc w:val="left"/>
                    <w:rPr>
                      <w:rFonts w:eastAsiaTheme="minorHAnsi"/>
                      <w:szCs w:val="22"/>
                    </w:rPr>
                  </w:pPr>
                  <w:r w:rsidRPr="00597673">
                    <w:t>Други</w:t>
                  </w:r>
                </w:p>
              </w:tc>
              <w:tc>
                <w:tcPr>
                  <w:tcW w:w="4534" w:type="dxa"/>
                </w:tcPr>
                <w:p w14:paraId="22126025" w14:textId="77777777" w:rsidR="0002726C" w:rsidRPr="00597673" w:rsidRDefault="004F0F55" w:rsidP="00BE53DF">
                  <w:pPr>
                    <w:framePr w:hSpace="141" w:wrap="around" w:vAnchor="text" w:hAnchor="margin" w:y="2"/>
                    <w:jc w:val="left"/>
                    <w:rPr>
                      <w:rFonts w:eastAsiaTheme="minorHAnsi"/>
                      <w:szCs w:val="22"/>
                    </w:rPr>
                  </w:pPr>
                  <w:r w:rsidRPr="00597673">
                    <w:t>//</w:t>
                  </w:r>
                </w:p>
              </w:tc>
            </w:tr>
          </w:tbl>
          <w:p w14:paraId="18408450" w14:textId="77777777" w:rsidR="00BD3820" w:rsidRPr="00597673" w:rsidRDefault="00BD3820"/>
          <w:p w14:paraId="7E20A74F" w14:textId="77777777" w:rsidR="00BD3820" w:rsidRPr="00597673" w:rsidRDefault="00BD3820"/>
          <w:p w14:paraId="45BF6F05" w14:textId="77777777" w:rsidR="00BD3820" w:rsidRPr="00597673" w:rsidRDefault="00BD3820">
            <w:r w:rsidRPr="00597673">
              <w:t>Платформи за сътрудничество</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6F7A07" w:rsidRPr="00597673" w14:paraId="64F3B3E7" w14:textId="77777777">
              <w:tc>
                <w:tcPr>
                  <w:tcW w:w="4533" w:type="dxa"/>
                </w:tcPr>
                <w:p w14:paraId="5C12ED41" w14:textId="77777777" w:rsidR="006F7A07" w:rsidRPr="00597673" w:rsidRDefault="006F7A07" w:rsidP="00BE53DF">
                  <w:pPr>
                    <w:framePr w:hSpace="141" w:wrap="around" w:vAnchor="text" w:hAnchor="margin" w:y="2"/>
                    <w:jc w:val="left"/>
                    <w:rPr>
                      <w:noProof/>
                    </w:rPr>
                  </w:pPr>
                  <w:r w:rsidRPr="00597673">
                    <w:t>Цифрова и/или секторна политика (когато са приложими)</w:t>
                  </w:r>
                </w:p>
              </w:tc>
              <w:tc>
                <w:tcPr>
                  <w:tcW w:w="4534" w:type="dxa"/>
                </w:tcPr>
                <w:p w14:paraId="5D24B9AB" w14:textId="77777777" w:rsidR="006F7A07" w:rsidRPr="00597673" w:rsidRDefault="006F7A07" w:rsidP="00BE53DF">
                  <w:pPr>
                    <w:framePr w:hSpace="141" w:wrap="around" w:vAnchor="text" w:hAnchor="margin" w:y="2"/>
                    <w:jc w:val="left"/>
                    <w:rPr>
                      <w:noProof/>
                    </w:rPr>
                  </w:pPr>
                  <w:r w:rsidRPr="00597673">
                    <w:t>Обяснение по какъв начин решението е в съответствие с политиката</w:t>
                  </w:r>
                </w:p>
              </w:tc>
            </w:tr>
            <w:tr w:rsidR="006F7A07" w:rsidRPr="00597673" w14:paraId="460E83DD" w14:textId="77777777">
              <w:tc>
                <w:tcPr>
                  <w:tcW w:w="4533" w:type="dxa"/>
                </w:tcPr>
                <w:p w14:paraId="74499C80" w14:textId="77777777" w:rsidR="006F7A07" w:rsidRPr="00597673" w:rsidRDefault="006F7A07" w:rsidP="00BE53DF">
                  <w:pPr>
                    <w:framePr w:hSpace="141" w:wrap="around" w:vAnchor="text" w:hAnchor="margin" w:y="2"/>
                    <w:jc w:val="left"/>
                    <w:rPr>
                      <w:noProof/>
                    </w:rPr>
                  </w:pPr>
                  <w:r w:rsidRPr="00597673">
                    <w:t>Акт за изкуствения интелект</w:t>
                  </w:r>
                </w:p>
              </w:tc>
              <w:tc>
                <w:tcPr>
                  <w:tcW w:w="4534" w:type="dxa"/>
                </w:tcPr>
                <w:p w14:paraId="4705D6CE" w14:textId="77777777" w:rsidR="006F7A07" w:rsidRPr="00597673" w:rsidRDefault="006F7A07" w:rsidP="00BE53DF">
                  <w:pPr>
                    <w:framePr w:hSpace="141" w:wrap="around" w:vAnchor="text" w:hAnchor="margin" w:y="2"/>
                    <w:jc w:val="left"/>
                    <w:rPr>
                      <w:noProof/>
                    </w:rPr>
                  </w:pPr>
                  <w:r w:rsidRPr="00597673">
                    <w:t>не е приложимо</w:t>
                  </w:r>
                </w:p>
              </w:tc>
            </w:tr>
            <w:tr w:rsidR="006F7A07" w:rsidRPr="00597673" w14:paraId="1696DDE2" w14:textId="77777777">
              <w:tc>
                <w:tcPr>
                  <w:tcW w:w="4533" w:type="dxa"/>
                </w:tcPr>
                <w:p w14:paraId="35E585C2" w14:textId="77777777" w:rsidR="006F7A07" w:rsidRPr="00597673" w:rsidRDefault="006F7A07" w:rsidP="00BE53DF">
                  <w:pPr>
                    <w:framePr w:hSpace="141" w:wrap="around" w:vAnchor="text" w:hAnchor="margin" w:y="2"/>
                    <w:jc w:val="left"/>
                    <w:rPr>
                      <w:noProof/>
                    </w:rPr>
                  </w:pPr>
                  <w:r w:rsidRPr="00597673">
                    <w:t>Рамка на ЕС за киберсигурност</w:t>
                  </w:r>
                </w:p>
              </w:tc>
              <w:tc>
                <w:tcPr>
                  <w:tcW w:w="4534" w:type="dxa"/>
                </w:tcPr>
                <w:p w14:paraId="41494076" w14:textId="77777777" w:rsidR="006F7A07" w:rsidRPr="00597673" w:rsidRDefault="006F7A07" w:rsidP="00BE53DF">
                  <w:pPr>
                    <w:framePr w:hSpace="141" w:wrap="around" w:vAnchor="text" w:hAnchor="margin" w:y="2"/>
                    <w:jc w:val="left"/>
                  </w:pPr>
                  <w:r w:rsidRPr="00597673">
                    <w:t xml:space="preserve">Без да се засяга Регламент (ЕС) 2016/679, държавите членки гарантират сигурността, целостността, автентичността и поверителността на данните, събирани и съхранявани за целите на настоящата директива. </w:t>
                  </w:r>
                </w:p>
                <w:p w14:paraId="323AD8AB" w14:textId="77777777" w:rsidR="006F7A07" w:rsidRPr="00597673" w:rsidRDefault="006F7A07" w:rsidP="00BE53DF">
                  <w:pPr>
                    <w:framePr w:hSpace="141" w:wrap="around" w:vAnchor="text" w:hAnchor="margin" w:y="2"/>
                    <w:jc w:val="left"/>
                    <w:rPr>
                      <w:noProof/>
                    </w:rPr>
                  </w:pPr>
                  <w:r w:rsidRPr="00597673">
                    <w:t>Определя се допълнително от ЕОЗППО</w:t>
                  </w:r>
                </w:p>
              </w:tc>
            </w:tr>
            <w:tr w:rsidR="006F7A07" w:rsidRPr="00597673" w14:paraId="36062F10" w14:textId="77777777">
              <w:tc>
                <w:tcPr>
                  <w:tcW w:w="4533" w:type="dxa"/>
                </w:tcPr>
                <w:p w14:paraId="34CADEB3" w14:textId="77777777" w:rsidR="006F7A07" w:rsidRPr="00597673" w:rsidRDefault="006F7A07" w:rsidP="00BE53DF">
                  <w:pPr>
                    <w:framePr w:hSpace="141" w:wrap="around" w:vAnchor="text" w:hAnchor="margin" w:y="2"/>
                    <w:jc w:val="left"/>
                    <w:rPr>
                      <w:noProof/>
                    </w:rPr>
                  </w:pPr>
                  <w:r w:rsidRPr="00597673">
                    <w:t>eIDAS</w:t>
                  </w:r>
                </w:p>
              </w:tc>
              <w:tc>
                <w:tcPr>
                  <w:tcW w:w="4534" w:type="dxa"/>
                </w:tcPr>
                <w:p w14:paraId="65CE4A53" w14:textId="77777777" w:rsidR="006F7A07" w:rsidRPr="00597673" w:rsidRDefault="006F7A07" w:rsidP="00BE53DF">
                  <w:pPr>
                    <w:framePr w:hSpace="141" w:wrap="around" w:vAnchor="text" w:hAnchor="margin" w:y="2"/>
                    <w:jc w:val="left"/>
                    <w:rPr>
                      <w:noProof/>
                    </w:rPr>
                  </w:pPr>
                  <w:r w:rsidRPr="00597673">
                    <w:t>Определя се допълнително от ЕОЗППО</w:t>
                  </w:r>
                </w:p>
              </w:tc>
            </w:tr>
            <w:tr w:rsidR="006F7A07" w:rsidRPr="00597673" w14:paraId="683D5FDF" w14:textId="77777777">
              <w:tc>
                <w:tcPr>
                  <w:tcW w:w="4533" w:type="dxa"/>
                </w:tcPr>
                <w:p w14:paraId="26485BA5" w14:textId="77777777" w:rsidR="006F7A07" w:rsidRPr="00597673" w:rsidRDefault="006F7A07" w:rsidP="00BE53DF">
                  <w:pPr>
                    <w:framePr w:hSpace="141" w:wrap="around" w:vAnchor="text" w:hAnchor="margin" w:y="2"/>
                    <w:jc w:val="left"/>
                    <w:rPr>
                      <w:noProof/>
                    </w:rPr>
                  </w:pPr>
                  <w:r w:rsidRPr="00597673">
                    <w:t>Други</w:t>
                  </w:r>
                </w:p>
              </w:tc>
              <w:tc>
                <w:tcPr>
                  <w:tcW w:w="4534" w:type="dxa"/>
                </w:tcPr>
                <w:p w14:paraId="40F092D2" w14:textId="77777777" w:rsidR="006F7A07" w:rsidRPr="00597673" w:rsidRDefault="006F7A07" w:rsidP="00BE53DF">
                  <w:pPr>
                    <w:framePr w:hSpace="141" w:wrap="around" w:vAnchor="text" w:hAnchor="margin" w:y="2"/>
                    <w:jc w:val="left"/>
                    <w:rPr>
                      <w:noProof/>
                    </w:rPr>
                  </w:pPr>
                  <w:r w:rsidRPr="00597673">
                    <w:t>//</w:t>
                  </w:r>
                </w:p>
              </w:tc>
            </w:tr>
          </w:tbl>
          <w:p w14:paraId="1593E932" w14:textId="77777777" w:rsidR="00BD3820" w:rsidRPr="00597673" w:rsidRDefault="00BD3820"/>
          <w:p w14:paraId="7066FA20" w14:textId="269DA85C" w:rsidR="00AC2BE5" w:rsidRPr="00597673" w:rsidRDefault="00AC2BE5"/>
          <w:p w14:paraId="6665EE51" w14:textId="77777777" w:rsidR="006844E4" w:rsidRPr="00597673" w:rsidRDefault="006844E4"/>
        </w:tc>
      </w:tr>
    </w:tbl>
    <w:p w14:paraId="6287DD16" w14:textId="77777777" w:rsidR="00AC2BE5" w:rsidRPr="00597673" w:rsidRDefault="00AC2BE5">
      <w:pPr>
        <w:pStyle w:val="ManualHeading2"/>
        <w:rPr>
          <w:rStyle w:val="Emphasis"/>
          <w:bCs/>
          <w:i w:val="0"/>
          <w:iCs w:val="0"/>
        </w:rPr>
      </w:pPr>
      <w:bookmarkStart w:id="122" w:name="_Toc167220304"/>
      <w:bookmarkStart w:id="123" w:name="_Toc177549040"/>
      <w:r w:rsidRPr="00597673">
        <w:rPr>
          <w:rStyle w:val="Emphasis"/>
          <w:i w:val="0"/>
        </w:rPr>
        <w:t>4.4.</w:t>
      </w:r>
      <w:r w:rsidRPr="00597673">
        <w:tab/>
      </w:r>
      <w:r w:rsidRPr="00597673">
        <w:rPr>
          <w:rStyle w:val="Emphasis"/>
          <w:i w:val="0"/>
        </w:rPr>
        <w:t>Оценка на оперативната съвместимост</w:t>
      </w:r>
      <w:bookmarkEnd w:id="122"/>
      <w:bookmarkEnd w:id="123"/>
    </w:p>
    <w:tbl>
      <w:tblPr>
        <w:tblpPr w:leftFromText="141" w:rightFromText="141" w:vertAnchor="text" w:horzAnchor="margin" w:tblpY="36"/>
        <w:tblW w:w="9067" w:type="dxa"/>
        <w:tblLayout w:type="fixed"/>
        <w:tblCellMar>
          <w:left w:w="0" w:type="dxa"/>
          <w:right w:w="0" w:type="dxa"/>
        </w:tblCellMar>
        <w:tblLook w:val="06A0" w:firstRow="1" w:lastRow="0" w:firstColumn="1" w:lastColumn="0" w:noHBand="1" w:noVBand="1"/>
      </w:tblPr>
      <w:tblGrid>
        <w:gridCol w:w="9067"/>
      </w:tblGrid>
      <w:tr w:rsidR="00AC2BE5" w:rsidRPr="00597673" w14:paraId="5E2BA78C" w14:textId="77777777">
        <w:trPr>
          <w:trHeight w:val="300"/>
        </w:trPr>
        <w:tc>
          <w:tcPr>
            <w:tcW w:w="9067" w:type="dxa"/>
          </w:tcPr>
          <w:p w14:paraId="11398CF5" w14:textId="77777777" w:rsidR="005D7C11" w:rsidRPr="00597673" w:rsidRDefault="005D7C11">
            <w:pPr>
              <w:rPr>
                <w:noProof/>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7"/>
              <w:gridCol w:w="2267"/>
            </w:tblGrid>
            <w:tr w:rsidR="003143F5" w:rsidRPr="00597673" w14:paraId="17470C97" w14:textId="77777777" w:rsidTr="005D0C3B">
              <w:tc>
                <w:tcPr>
                  <w:tcW w:w="2266" w:type="dxa"/>
                </w:tcPr>
                <w:p w14:paraId="67E13F0F" w14:textId="77777777" w:rsidR="003143F5" w:rsidRPr="00597673" w:rsidRDefault="003143F5" w:rsidP="00BE53DF">
                  <w:pPr>
                    <w:framePr w:hSpace="141" w:wrap="around" w:vAnchor="text" w:hAnchor="margin" w:y="36"/>
                    <w:jc w:val="center"/>
                    <w:rPr>
                      <w:rFonts w:eastAsiaTheme="minorHAnsi"/>
                      <w:szCs w:val="22"/>
                    </w:rPr>
                  </w:pPr>
                  <w:r w:rsidRPr="00597673">
                    <w:t>Цифрова обществена услуга или категория цифрови обществени услуги</w:t>
                  </w:r>
                </w:p>
              </w:tc>
              <w:tc>
                <w:tcPr>
                  <w:tcW w:w="2267" w:type="dxa"/>
                </w:tcPr>
                <w:p w14:paraId="473D1B29" w14:textId="77777777" w:rsidR="003143F5" w:rsidRPr="00597673" w:rsidRDefault="003143F5" w:rsidP="00BE53DF">
                  <w:pPr>
                    <w:framePr w:hSpace="141" w:wrap="around" w:vAnchor="text" w:hAnchor="margin" w:y="36"/>
                    <w:jc w:val="center"/>
                    <w:rPr>
                      <w:rFonts w:eastAsiaTheme="minorHAnsi"/>
                      <w:szCs w:val="22"/>
                    </w:rPr>
                  </w:pPr>
                  <w:r w:rsidRPr="00597673">
                    <w:t>Описание</w:t>
                  </w:r>
                </w:p>
              </w:tc>
              <w:tc>
                <w:tcPr>
                  <w:tcW w:w="2267" w:type="dxa"/>
                </w:tcPr>
                <w:p w14:paraId="0E47BF47" w14:textId="77777777" w:rsidR="003143F5" w:rsidRPr="00597673" w:rsidRDefault="003143F5" w:rsidP="00BE53DF">
                  <w:pPr>
                    <w:framePr w:hSpace="141" w:wrap="around" w:vAnchor="text" w:hAnchor="margin" w:y="36"/>
                    <w:jc w:val="center"/>
                    <w:rPr>
                      <w:rFonts w:eastAsiaTheme="minorHAnsi"/>
                      <w:szCs w:val="22"/>
                    </w:rPr>
                  </w:pPr>
                  <w:r w:rsidRPr="00597673">
                    <w:t>Препратка към изискването</w:t>
                  </w:r>
                </w:p>
              </w:tc>
              <w:tc>
                <w:tcPr>
                  <w:tcW w:w="2267" w:type="dxa"/>
                </w:tcPr>
                <w:p w14:paraId="7181AFED" w14:textId="77777777" w:rsidR="003143F5" w:rsidRPr="00597673" w:rsidRDefault="003143F5" w:rsidP="00BE53DF">
                  <w:pPr>
                    <w:framePr w:hSpace="141" w:wrap="around" w:vAnchor="text" w:hAnchor="margin" w:y="36"/>
                    <w:jc w:val="center"/>
                    <w:rPr>
                      <w:rFonts w:eastAsiaTheme="minorHAnsi"/>
                      <w:szCs w:val="22"/>
                    </w:rPr>
                  </w:pPr>
                  <w:r w:rsidRPr="00597673">
                    <w:t>Друго решение за оперативна съвместимост</w:t>
                  </w:r>
                </w:p>
              </w:tc>
            </w:tr>
            <w:tr w:rsidR="003143F5" w:rsidRPr="00597673" w14:paraId="117FB3AC" w14:textId="77777777" w:rsidTr="005D0C3B">
              <w:tc>
                <w:tcPr>
                  <w:tcW w:w="2266" w:type="dxa"/>
                </w:tcPr>
                <w:p w14:paraId="1BBAA924" w14:textId="77777777" w:rsidR="003143F5" w:rsidRPr="00597673" w:rsidRDefault="003143F5" w:rsidP="00BE53DF">
                  <w:pPr>
                    <w:framePr w:hSpace="141" w:wrap="around" w:vAnchor="text" w:hAnchor="margin" w:y="36"/>
                    <w:jc w:val="left"/>
                    <w:rPr>
                      <w:rFonts w:eastAsiaTheme="minorHAnsi"/>
                      <w:szCs w:val="22"/>
                    </w:rPr>
                  </w:pPr>
                  <w:r w:rsidRPr="00597673">
                    <w:t>Платформа за сътрудничество</w:t>
                  </w:r>
                </w:p>
              </w:tc>
              <w:tc>
                <w:tcPr>
                  <w:tcW w:w="2267" w:type="dxa"/>
                </w:tcPr>
                <w:p w14:paraId="62F78AF7" w14:textId="77777777" w:rsidR="003143F5" w:rsidRPr="00597673" w:rsidRDefault="003143F5" w:rsidP="00BE53DF">
                  <w:pPr>
                    <w:framePr w:hSpace="141" w:wrap="around" w:vAnchor="text" w:hAnchor="margin" w:y="36"/>
                    <w:jc w:val="left"/>
                    <w:rPr>
                      <w:rFonts w:eastAsiaTheme="minorHAnsi"/>
                      <w:szCs w:val="22"/>
                    </w:rPr>
                  </w:pPr>
                  <w:r w:rsidRPr="00597673">
                    <w:t>Информация, свързана с трансгранични дейности; обмен на информация и засилване на сътрудничеството между съответните компетентни органи, когато ИППО извършва или възнамерява да извършва трансгранични дейности</w:t>
                  </w:r>
                </w:p>
              </w:tc>
              <w:tc>
                <w:tcPr>
                  <w:tcW w:w="2267" w:type="dxa"/>
                </w:tcPr>
                <w:p w14:paraId="4D9B0B1C" w14:textId="77777777" w:rsidR="003143F5" w:rsidRPr="00597673" w:rsidRDefault="003143F5" w:rsidP="00BE53DF">
                  <w:pPr>
                    <w:framePr w:hSpace="141" w:wrap="around" w:vAnchor="text" w:hAnchor="margin" w:y="36"/>
                    <w:jc w:val="left"/>
                    <w:rPr>
                      <w:rFonts w:eastAsiaTheme="minorHAnsi"/>
                      <w:szCs w:val="22"/>
                    </w:rPr>
                  </w:pPr>
                  <w:r w:rsidRPr="00597673">
                    <w:t>Член 11; Член 55a</w:t>
                  </w:r>
                </w:p>
              </w:tc>
              <w:tc>
                <w:tcPr>
                  <w:tcW w:w="2267" w:type="dxa"/>
                </w:tcPr>
                <w:p w14:paraId="500601CB" w14:textId="77777777" w:rsidR="003143F5" w:rsidRPr="00597673" w:rsidRDefault="003143F5" w:rsidP="00BE53DF">
                  <w:pPr>
                    <w:framePr w:hSpace="141" w:wrap="around" w:vAnchor="text" w:hAnchor="margin" w:y="36"/>
                    <w:rPr>
                      <w:noProof/>
                    </w:rPr>
                  </w:pPr>
                  <w:r w:rsidRPr="00597673">
                    <w:t>//</w:t>
                  </w:r>
                </w:p>
              </w:tc>
            </w:tr>
            <w:tr w:rsidR="003143F5" w:rsidRPr="00597673" w14:paraId="4D39A26E" w14:textId="77777777" w:rsidTr="005D0C3B">
              <w:tc>
                <w:tcPr>
                  <w:tcW w:w="2266" w:type="dxa"/>
                </w:tcPr>
                <w:p w14:paraId="6B1C88AD" w14:textId="77777777" w:rsidR="003143F5" w:rsidRPr="00597673" w:rsidRDefault="003143F5" w:rsidP="00BE53DF">
                  <w:pPr>
                    <w:framePr w:hSpace="141" w:wrap="around" w:vAnchor="text" w:hAnchor="margin" w:y="36"/>
                    <w:jc w:val="left"/>
                    <w:rPr>
                      <w:rFonts w:eastAsiaTheme="minorHAnsi"/>
                      <w:szCs w:val="22"/>
                    </w:rPr>
                  </w:pPr>
                  <w:r w:rsidRPr="00597673">
                    <w:t>Системи за проследяване на пенсиите</w:t>
                  </w:r>
                </w:p>
              </w:tc>
              <w:tc>
                <w:tcPr>
                  <w:tcW w:w="2267" w:type="dxa"/>
                </w:tcPr>
                <w:p w14:paraId="40B441B8" w14:textId="77777777" w:rsidR="003143F5" w:rsidRPr="00597673" w:rsidRDefault="003143F5" w:rsidP="00BE53DF">
                  <w:pPr>
                    <w:framePr w:hSpace="141" w:wrap="around" w:vAnchor="text" w:hAnchor="margin" w:y="36"/>
                    <w:jc w:val="left"/>
                    <w:rPr>
                      <w:rFonts w:eastAsiaTheme="minorHAnsi"/>
                      <w:szCs w:val="22"/>
                    </w:rPr>
                  </w:pPr>
                  <w:r w:rsidRPr="00597673">
                    <w:t>Актуална информация за правата на членовете и бенефициерите</w:t>
                  </w:r>
                </w:p>
              </w:tc>
              <w:tc>
                <w:tcPr>
                  <w:tcW w:w="2267" w:type="dxa"/>
                </w:tcPr>
                <w:p w14:paraId="5E4A06D5" w14:textId="77777777" w:rsidR="003143F5" w:rsidRPr="00597673" w:rsidRDefault="003143F5" w:rsidP="00BE53DF">
                  <w:pPr>
                    <w:framePr w:hSpace="141" w:wrap="around" w:vAnchor="text" w:hAnchor="margin" w:y="36"/>
                    <w:jc w:val="left"/>
                    <w:rPr>
                      <w:rFonts w:eastAsiaTheme="minorHAnsi"/>
                      <w:szCs w:val="22"/>
                    </w:rPr>
                  </w:pPr>
                  <w:r w:rsidRPr="00597673">
                    <w:t>Член 22а; Член 37a</w:t>
                  </w:r>
                </w:p>
              </w:tc>
              <w:tc>
                <w:tcPr>
                  <w:tcW w:w="2267" w:type="dxa"/>
                </w:tcPr>
                <w:p w14:paraId="58F51529" w14:textId="77777777" w:rsidR="003143F5" w:rsidRPr="00597673" w:rsidRDefault="003143F5" w:rsidP="00BE53DF">
                  <w:pPr>
                    <w:framePr w:hSpace="141" w:wrap="around" w:vAnchor="text" w:hAnchor="margin" w:y="36"/>
                    <w:rPr>
                      <w:noProof/>
                    </w:rPr>
                  </w:pPr>
                  <w:r w:rsidRPr="00597673">
                    <w:t>//</w:t>
                  </w:r>
                </w:p>
              </w:tc>
            </w:tr>
          </w:tbl>
          <w:p w14:paraId="37193C50" w14:textId="77777777" w:rsidR="00AC2BE5" w:rsidRPr="00597673" w:rsidRDefault="00AC2BE5">
            <w:pPr>
              <w:rPr>
                <w:i/>
                <w:iCs/>
                <w:color w:val="215868" w:themeColor="accent5" w:themeShade="80"/>
              </w:rPr>
            </w:pPr>
          </w:p>
        </w:tc>
      </w:tr>
      <w:bookmarkEnd w:id="115"/>
    </w:tbl>
    <w:p w14:paraId="5AF9B3ED" w14:textId="77777777" w:rsidR="006844E4" w:rsidRPr="00597673" w:rsidRDefault="006844E4" w:rsidP="006844E4">
      <w:pPr>
        <w:pStyle w:val="ManualHeading2"/>
        <w:rPr>
          <w:rStyle w:val="Emphasis"/>
          <w:bCs/>
          <w:i w:val="0"/>
          <w:iCs w:val="0"/>
        </w:rPr>
      </w:pPr>
    </w:p>
    <w:p w14:paraId="6CBF9206" w14:textId="66E78582" w:rsidR="006844E4" w:rsidRPr="00597673" w:rsidRDefault="006844E4" w:rsidP="006844E4">
      <w:pPr>
        <w:pStyle w:val="ManualHeading2"/>
        <w:rPr>
          <w:rStyle w:val="Emphasis"/>
          <w:bCs/>
          <w:i w:val="0"/>
          <w:iCs w:val="0"/>
        </w:rPr>
      </w:pPr>
      <w:r w:rsidRPr="00597673">
        <w:rPr>
          <w:rStyle w:val="Emphasis"/>
          <w:i w:val="0"/>
        </w:rPr>
        <w:t>4.5.</w:t>
      </w:r>
      <w:r w:rsidRPr="00597673">
        <w:tab/>
      </w:r>
      <w:r w:rsidRPr="00597673">
        <w:rPr>
          <w:rStyle w:val="Emphasis"/>
          <w:i w:val="0"/>
        </w:rPr>
        <w:t>Мерки в подкрепа на цифровото изпълнение</w:t>
      </w:r>
    </w:p>
    <w:p w14:paraId="0C51E36C" w14:textId="77777777" w:rsidR="006844E4" w:rsidRPr="00597673" w:rsidRDefault="006844E4" w:rsidP="006844E4">
      <w:r w:rsidRPr="00597673">
        <w:t>не е приложимо</w:t>
      </w:r>
    </w:p>
    <w:p w14:paraId="4BC78192" w14:textId="77777777" w:rsidR="00AC2BE5" w:rsidRPr="00597673" w:rsidRDefault="00AC2BE5">
      <w:pPr>
        <w:rPr>
          <w:color w:val="008000"/>
        </w:rPr>
      </w:pPr>
    </w:p>
    <w:sectPr w:rsidR="00AC2BE5" w:rsidRPr="00597673" w:rsidSect="00F222D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148E" w14:textId="77777777" w:rsidR="00CE2E3C" w:rsidRDefault="00CE2E3C" w:rsidP="00AC2BE5">
      <w:pPr>
        <w:spacing w:before="0" w:after="0"/>
      </w:pPr>
      <w:r>
        <w:separator/>
      </w:r>
    </w:p>
  </w:endnote>
  <w:endnote w:type="continuationSeparator" w:id="0">
    <w:p w14:paraId="747D97E5" w14:textId="77777777" w:rsidR="00CE2E3C" w:rsidRDefault="00CE2E3C" w:rsidP="00AC2BE5">
      <w:pPr>
        <w:spacing w:before="0" w:after="0"/>
      </w:pPr>
      <w:r>
        <w:continuationSeparator/>
      </w:r>
    </w:p>
  </w:endnote>
  <w:endnote w:type="continuationNotice" w:id="1">
    <w:p w14:paraId="587D3B0B" w14:textId="77777777" w:rsidR="00CE2E3C" w:rsidRDefault="00CE2E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8406" w14:textId="77777777" w:rsidR="00BE53DF" w:rsidRDefault="00BE5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9291" w14:textId="5AD2ED73" w:rsidR="00BE53DF" w:rsidRDefault="00BE53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F7B5" w14:textId="77777777" w:rsidR="00BE53DF" w:rsidRDefault="00BE5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D37" w14:textId="77777777" w:rsidR="00BE53DF" w:rsidRDefault="00BE53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BA8C" w14:textId="77777777" w:rsidR="00BE53DF" w:rsidRDefault="00BE53DF">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68F9" w14:textId="77777777" w:rsidR="00BE53DF" w:rsidRDefault="00BE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8101" w14:textId="77777777" w:rsidR="00CE2E3C" w:rsidRDefault="00CE2E3C" w:rsidP="00AC2BE5">
      <w:pPr>
        <w:spacing w:before="0" w:after="0"/>
      </w:pPr>
      <w:r>
        <w:separator/>
      </w:r>
    </w:p>
  </w:footnote>
  <w:footnote w:type="continuationSeparator" w:id="0">
    <w:p w14:paraId="3ACFACBC" w14:textId="77777777" w:rsidR="00CE2E3C" w:rsidRDefault="00CE2E3C" w:rsidP="00AC2BE5">
      <w:pPr>
        <w:spacing w:before="0" w:after="0"/>
      </w:pPr>
      <w:r>
        <w:continuationSeparator/>
      </w:r>
    </w:p>
  </w:footnote>
  <w:footnote w:type="continuationNotice" w:id="1">
    <w:p w14:paraId="625D5098" w14:textId="77777777" w:rsidR="00CE2E3C" w:rsidRDefault="00CE2E3C">
      <w:pPr>
        <w:spacing w:before="0" w:after="0"/>
      </w:pPr>
    </w:p>
  </w:footnote>
  <w:footnote w:id="2">
    <w:p w14:paraId="0DEFFC1A" w14:textId="77777777" w:rsidR="00974875" w:rsidRPr="00C9746B" w:rsidRDefault="00974875">
      <w:pPr>
        <w:pStyle w:val="FootnoteText"/>
      </w:pPr>
      <w:r>
        <w:rPr>
          <w:rStyle w:val="FootnoteReference"/>
        </w:rPr>
        <w:footnoteRef/>
      </w:r>
      <w:r>
        <w:tab/>
      </w:r>
      <w:hyperlink r:id="rId1" w:history="1">
        <w:r>
          <w:rPr>
            <w:rStyle w:val="Hyperlink"/>
          </w:rPr>
          <w:t>Европейски стълб на социалните права</w:t>
        </w:r>
      </w:hyperlink>
      <w:r>
        <w:t xml:space="preserve"> </w:t>
      </w:r>
    </w:p>
  </w:footnote>
  <w:footnote w:id="3">
    <w:p w14:paraId="4AA72D50" w14:textId="77777777" w:rsidR="00ED0F3A" w:rsidRPr="00C9746B" w:rsidRDefault="00ED0F3A">
      <w:pPr>
        <w:pStyle w:val="FootnoteText"/>
      </w:pPr>
      <w:r>
        <w:rPr>
          <w:rStyle w:val="FootnoteReference"/>
        </w:rPr>
        <w:footnoteRef/>
      </w:r>
      <w:r>
        <w:tab/>
        <w:t>Драги, М. (2024 г.) „</w:t>
      </w:r>
      <w:hyperlink r:id="rId2" w:history="1">
        <w:r>
          <w:rPr>
            <w:rStyle w:val="Hyperlink"/>
          </w:rPr>
          <w:t>The future of European competitiveness (Бъдещето на европейската конкурентоспособност)</w:t>
        </w:r>
      </w:hyperlink>
      <w:r>
        <w:t>“.</w:t>
      </w:r>
    </w:p>
  </w:footnote>
  <w:footnote w:id="4">
    <w:p w14:paraId="0A8234ED" w14:textId="77777777" w:rsidR="00381AE2" w:rsidRPr="00C9746B" w:rsidRDefault="00381AE2">
      <w:pPr>
        <w:pStyle w:val="FootnoteText"/>
      </w:pPr>
      <w:r>
        <w:rPr>
          <w:rStyle w:val="FootnoteReference"/>
        </w:rPr>
        <w:footnoteRef/>
      </w:r>
      <w:r>
        <w:tab/>
        <w:t>Лета, Е. (2024 г.) „</w:t>
      </w:r>
      <w:hyperlink r:id="rId3" w:history="1">
        <w:r>
          <w:rPr>
            <w:rStyle w:val="Hyperlink"/>
          </w:rPr>
          <w:t>Much more than a market (Много повече от пазар)</w:t>
        </w:r>
      </w:hyperlink>
      <w:r>
        <w:t>“.</w:t>
      </w:r>
    </w:p>
  </w:footnote>
  <w:footnote w:id="5">
    <w:p w14:paraId="403519ED" w14:textId="77777777" w:rsidR="000959D4" w:rsidRPr="00C9746B" w:rsidRDefault="000959D4" w:rsidP="000959D4">
      <w:pPr>
        <w:pStyle w:val="FootnoteText"/>
      </w:pPr>
      <w:r>
        <w:rPr>
          <w:rStyle w:val="FootnoteReference"/>
        </w:rPr>
        <w:footnoteRef/>
      </w:r>
      <w:r>
        <w:tab/>
      </w:r>
      <w:hyperlink r:id="rId4" w:history="1">
        <w:r>
          <w:rPr>
            <w:rStyle w:val="Hyperlink"/>
          </w:rPr>
          <w:t>Заключения</w:t>
        </w:r>
      </w:hyperlink>
      <w:r>
        <w:t xml:space="preserve"> на Европейския Съвет от 17—18 април 2024 г.</w:t>
      </w:r>
    </w:p>
  </w:footnote>
  <w:footnote w:id="6">
    <w:p w14:paraId="50306AEB" w14:textId="77777777" w:rsidR="00DD6F8B" w:rsidRPr="00C9746B" w:rsidRDefault="00DD6F8B">
      <w:pPr>
        <w:pStyle w:val="FootnoteText"/>
      </w:pPr>
      <w:r>
        <w:rPr>
          <w:rStyle w:val="FootnoteReference"/>
        </w:rPr>
        <w:footnoteRef/>
      </w:r>
      <w:r>
        <w:tab/>
      </w:r>
      <w:hyperlink r:id="rId5" w:history="1">
        <w:r>
          <w:rPr>
            <w:rStyle w:val="Hyperlink"/>
          </w:rPr>
          <w:t>Заключения</w:t>
        </w:r>
      </w:hyperlink>
      <w:r>
        <w:t xml:space="preserve"> на Европейския Съвет от 20 март 2025 г.</w:t>
      </w:r>
    </w:p>
  </w:footnote>
  <w:footnote w:id="7">
    <w:p w14:paraId="6C82A0B2" w14:textId="77777777" w:rsidR="00EA2335" w:rsidRPr="00C9746B" w:rsidRDefault="00EA2335">
      <w:pPr>
        <w:pStyle w:val="FootnoteText"/>
      </w:pPr>
      <w:r>
        <w:rPr>
          <w:rStyle w:val="FootnoteReference"/>
        </w:rPr>
        <w:footnoteRef/>
      </w:r>
      <w:r>
        <w:tab/>
      </w:r>
      <w:hyperlink r:id="rId6" w:history="1">
        <w:r>
          <w:rPr>
            <w:rStyle w:val="Hyperlink"/>
          </w:rPr>
          <w:t>Окончателен доклад на Групата на високо равнище от експерти по въпросите на пенсиите</w:t>
        </w:r>
      </w:hyperlink>
      <w:r>
        <w:t xml:space="preserve">, декември 2019 г.; </w:t>
      </w:r>
    </w:p>
  </w:footnote>
  <w:footnote w:id="8">
    <w:p w14:paraId="6A5BB902" w14:textId="77777777" w:rsidR="008D224C" w:rsidRPr="00C9746B" w:rsidRDefault="008D224C">
      <w:pPr>
        <w:pStyle w:val="FootnoteText"/>
      </w:pPr>
      <w:r>
        <w:rPr>
          <w:rStyle w:val="FootnoteReference"/>
        </w:rPr>
        <w:footnoteRef/>
      </w:r>
      <w:r>
        <w:tab/>
        <w:t xml:space="preserve">Европейска сметна палата, „Допълнително пенсионно осигуряване в ЕС“, </w:t>
      </w:r>
      <w:hyperlink r:id="rId7" w:history="1">
        <w:r>
          <w:rPr>
            <w:rStyle w:val="Hyperlink"/>
          </w:rPr>
          <w:t>Специален доклад № 14/2025</w:t>
        </w:r>
      </w:hyperlink>
    </w:p>
  </w:footnote>
  <w:footnote w:id="9">
    <w:p w14:paraId="5BD574BD" w14:textId="77777777" w:rsidR="00E95DC0" w:rsidRPr="00C9746B" w:rsidRDefault="00E95DC0">
      <w:pPr>
        <w:pStyle w:val="FootnoteText"/>
      </w:pPr>
      <w:r>
        <w:rPr>
          <w:rStyle w:val="FootnoteReference"/>
        </w:rPr>
        <w:footnoteRef/>
      </w:r>
      <w:r>
        <w:tab/>
      </w:r>
      <w:hyperlink r:id="rId8" w:history="1">
        <w:r>
          <w:rPr>
            <w:rStyle w:val="Hyperlink"/>
          </w:rPr>
          <w:t>Политически насоки</w:t>
        </w:r>
      </w:hyperlink>
      <w:r>
        <w:t xml:space="preserve"> за следващата Европейска комисия 2024—2029 г.</w:t>
      </w:r>
    </w:p>
  </w:footnote>
  <w:footnote w:id="10">
    <w:p w14:paraId="26EC6FE5" w14:textId="77777777" w:rsidR="00CA54F1" w:rsidRPr="0004313D" w:rsidRDefault="00CA54F1" w:rsidP="00CA54F1">
      <w:pPr>
        <w:pStyle w:val="FootnoteText"/>
      </w:pPr>
      <w:r>
        <w:rPr>
          <w:rStyle w:val="FootnoteReference"/>
        </w:rPr>
        <w:footnoteRef/>
      </w:r>
      <w:r>
        <w:tab/>
      </w:r>
      <w:hyperlink r:id="rId9" w:history="1">
        <w:r>
          <w:rPr>
            <w:rStyle w:val="Hyperlink"/>
          </w:rPr>
          <w:t>Писмо за определяне на ресора</w:t>
        </w:r>
      </w:hyperlink>
    </w:p>
  </w:footnote>
  <w:footnote w:id="11">
    <w:p w14:paraId="578D79FC" w14:textId="77777777" w:rsidR="003A12CD" w:rsidRDefault="003A12CD">
      <w:pPr>
        <w:pStyle w:val="FootnoteText"/>
      </w:pPr>
      <w:r>
        <w:rPr>
          <w:rStyle w:val="FootnoteReference"/>
        </w:rPr>
        <w:footnoteRef/>
      </w:r>
      <w:r>
        <w:tab/>
        <w:t>Директива 2008/94/ЕО на Европейския парламент и на Съвета от 22 октомври 2008 г. относно закрилата на работниците и служителите в случай на неплатежоспособност на техния работодател (</w:t>
      </w:r>
      <w:hyperlink r:id="rId10" w:history="1">
        <w:r>
          <w:rPr>
            <w:rStyle w:val="Hyperlink"/>
          </w:rPr>
          <w:t>ОВ L 283, 28.10.2008 г., стр. 36</w:t>
        </w:r>
      </w:hyperlink>
      <w:r>
        <w:t>)</w:t>
      </w:r>
    </w:p>
  </w:footnote>
  <w:footnote w:id="12">
    <w:p w14:paraId="698D918F" w14:textId="77777777" w:rsidR="00277194" w:rsidRPr="00C9746B" w:rsidRDefault="00277194">
      <w:pPr>
        <w:pStyle w:val="FootnoteText"/>
      </w:pPr>
      <w:r>
        <w:rPr>
          <w:rStyle w:val="FootnoteReference"/>
        </w:rPr>
        <w:footnoteRef/>
      </w:r>
      <w:r>
        <w:tab/>
        <w:t>Директива 2003/41/ЕО на Европейския парламент и на Съвета от 3 юни 2003 г. относно дейностите и надзора на институциите за професионално пенсионно осигуряване (</w:t>
      </w:r>
      <w:hyperlink r:id="rId11" w:history="1">
        <w:r>
          <w:rPr>
            <w:rStyle w:val="Hyperlink"/>
          </w:rPr>
          <w:t>ОВ L 235, 23.9.2003 г., стр. 10</w:t>
        </w:r>
      </w:hyperlink>
      <w:hyperlink r:id="rId12" w:history="1">
        <w:r>
          <w:rPr>
            <w:rStyle w:val="Hyperlink"/>
          </w:rPr>
          <w:t>https://eur-lex.europa.eu/legal-content/BG/TXT/PDF/?uri=CELEX:32003L0041</w:t>
        </w:r>
      </w:hyperlink>
      <w:r>
        <w:t>)</w:t>
      </w:r>
    </w:p>
  </w:footnote>
  <w:footnote w:id="13">
    <w:p w14:paraId="7716130E" w14:textId="77777777" w:rsidR="005B09C7" w:rsidRPr="00C9746B" w:rsidRDefault="005B09C7">
      <w:pPr>
        <w:pStyle w:val="FootnoteText"/>
      </w:pPr>
      <w:r>
        <w:rPr>
          <w:rStyle w:val="FootnoteReference"/>
        </w:rPr>
        <w:footnoteRef/>
      </w:r>
      <w:r>
        <w:tab/>
        <w:t>Директива (ЕС) 2016/2341 на Европейския парламент и на Съвета от 14 декември 2016 г. относно дейностите и надзора на институциите за професионално пенсионно осигуряване (ИППО) (преработен текст) (</w:t>
      </w:r>
      <w:hyperlink r:id="rId13" w:history="1">
        <w:r>
          <w:rPr>
            <w:rStyle w:val="Hyperlink"/>
          </w:rPr>
          <w:t>ОВ L 354, 23.12.2016 г., стр. 37</w:t>
        </w:r>
      </w:hyperlink>
      <w:r>
        <w:t>)</w:t>
      </w:r>
    </w:p>
  </w:footnote>
  <w:footnote w:id="14">
    <w:p w14:paraId="24E606CF" w14:textId="77777777" w:rsidR="00FE6BB1" w:rsidRPr="005D0C3B" w:rsidRDefault="00FE6BB1">
      <w:pPr>
        <w:pStyle w:val="FootnoteText"/>
      </w:pPr>
      <w:r>
        <w:rPr>
          <w:rStyle w:val="FootnoteReference"/>
        </w:rPr>
        <w:footnoteRef/>
      </w:r>
      <w:r>
        <w:tab/>
        <w:t>Директива (ЕС) 1998/49 на Европейския парламент и на Съвета за запазване на правото на допълнителна пенсия на заети лица и самостоятелно заети лица, движещи се в границите на Общността (</w:t>
      </w:r>
      <w:hyperlink r:id="rId14" w:history="1">
        <w:r>
          <w:rPr>
            <w:rStyle w:val="Hyperlink"/>
          </w:rPr>
          <w:t>OВ L 209, 25.7.1998 г., стр. 46</w:t>
        </w:r>
      </w:hyperlink>
      <w:r>
        <w:t>)</w:t>
      </w:r>
    </w:p>
  </w:footnote>
  <w:footnote w:id="15">
    <w:p w14:paraId="279FFD74" w14:textId="77777777" w:rsidR="00FE6BB1" w:rsidRPr="005D0C3B" w:rsidRDefault="00FE6BB1">
      <w:pPr>
        <w:pStyle w:val="FootnoteText"/>
      </w:pPr>
      <w:r>
        <w:rPr>
          <w:rStyle w:val="FootnoteReference"/>
        </w:rPr>
        <w:footnoteRef/>
      </w:r>
      <w:r>
        <w:tab/>
        <w:t>Директива (ЕС) 2014/50 на Европейския парламент и на Съвета относно минималните изисквания за повишаване на мобилността на работниците между държавите членки чрез подобряване на придобиването и запазването на допълнителни пенсионни права (</w:t>
      </w:r>
      <w:hyperlink r:id="rId15" w:history="1">
        <w:r>
          <w:rPr>
            <w:rStyle w:val="Hyperlink"/>
          </w:rPr>
          <w:t>ОВ L 128, 30.4.2014 г., стр. 1</w:t>
        </w:r>
      </w:hyperlink>
      <w:r>
        <w:t>)</w:t>
      </w:r>
    </w:p>
  </w:footnote>
  <w:footnote w:id="16">
    <w:p w14:paraId="3FCB2534" w14:textId="77777777" w:rsidR="00FE6BB1" w:rsidRPr="005D0C3B" w:rsidRDefault="00FE6BB1">
      <w:pPr>
        <w:pStyle w:val="FootnoteText"/>
      </w:pPr>
      <w:r>
        <w:rPr>
          <w:rStyle w:val="FootnoteReference"/>
        </w:rPr>
        <w:footnoteRef/>
      </w:r>
      <w:r>
        <w:tab/>
        <w:t>Директива (ЕС) 2016/2341 на Европейския парламент и на Съвета относно дейностите и надзора на институциите за професионално пенсионно осигуряване (ИППО) (</w:t>
      </w:r>
      <w:hyperlink r:id="rId16" w:history="1">
        <w:r>
          <w:rPr>
            <w:rStyle w:val="Hyperlink"/>
          </w:rPr>
          <w:t>ОВ L 354, 23.12.2016 г., стр. 37</w:t>
        </w:r>
      </w:hyperlink>
      <w:r>
        <w:t>)</w:t>
      </w:r>
    </w:p>
  </w:footnote>
  <w:footnote w:id="17">
    <w:p w14:paraId="6F5F2277" w14:textId="77777777" w:rsidR="00FE6BB1" w:rsidRPr="005D0C3B" w:rsidRDefault="00FE6BB1">
      <w:pPr>
        <w:pStyle w:val="FootnoteText"/>
      </w:pPr>
      <w:r>
        <w:rPr>
          <w:rStyle w:val="FootnoteReference"/>
        </w:rPr>
        <w:footnoteRef/>
      </w:r>
      <w:r>
        <w:tab/>
        <w:t>Регламент (ЕС) 2019/1238 на Европейския парламент и на Съвета относно паневропейски персонален пенсионен продукт (ПЕПП), с който се създава доброволна, стандартизирана рамка за лично пенсионно осигуряване в целия ЕС (</w:t>
      </w:r>
      <w:hyperlink r:id="rId17" w:history="1">
        <w:r>
          <w:rPr>
            <w:rStyle w:val="Hyperlink"/>
          </w:rPr>
          <w:t>ОВ L 198, 25.7.2019 г., стр. 1</w:t>
        </w:r>
      </w:hyperlink>
      <w:r>
        <w:t>)</w:t>
      </w:r>
    </w:p>
  </w:footnote>
  <w:footnote w:id="18">
    <w:p w14:paraId="2FBA229F" w14:textId="77777777" w:rsidR="00573388" w:rsidRPr="00C9746B" w:rsidRDefault="00573388">
      <w:pPr>
        <w:pStyle w:val="FootnoteText"/>
      </w:pPr>
      <w:r>
        <w:rPr>
          <w:rStyle w:val="FootnoteReference"/>
        </w:rPr>
        <w:footnoteRef/>
      </w:r>
      <w:r>
        <w:tab/>
      </w:r>
      <w:hyperlink r:id="rId18" w:history="1">
        <w:r>
          <w:rPr>
            <w:rStyle w:val="Hyperlink"/>
          </w:rPr>
          <w:t>Компас на конкурентоспособността</w:t>
        </w:r>
      </w:hyperlink>
      <w:r>
        <w:t> — Европейска комисия</w:t>
      </w:r>
    </w:p>
  </w:footnote>
  <w:footnote w:id="19">
    <w:p w14:paraId="12CEFD1D" w14:textId="77777777" w:rsidR="00226C97" w:rsidRPr="00226C97" w:rsidRDefault="00226C97">
      <w:pPr>
        <w:pStyle w:val="FootnoteText"/>
      </w:pPr>
      <w:r>
        <w:rPr>
          <w:rStyle w:val="FootnoteReference"/>
        </w:rPr>
        <w:footnoteRef/>
      </w:r>
      <w:r>
        <w:tab/>
      </w:r>
      <w:hyperlink r:id="rId19" w:history="1">
        <w:r>
          <w:rPr>
            <w:rStyle w:val="Hyperlink"/>
          </w:rPr>
          <w:t>Техническо становище за прегледа на Директивата ИППО II</w:t>
        </w:r>
      </w:hyperlink>
      <w:r>
        <w:t>, ЕОЗППО</w:t>
      </w:r>
    </w:p>
  </w:footnote>
  <w:footnote w:id="20">
    <w:p w14:paraId="29D102B9" w14:textId="77777777" w:rsidR="00DB2707" w:rsidRPr="00DB2707" w:rsidRDefault="00DB2707">
      <w:pPr>
        <w:pStyle w:val="FootnoteText"/>
      </w:pPr>
      <w:r>
        <w:rPr>
          <w:rStyle w:val="FootnoteReference"/>
        </w:rPr>
        <w:footnoteRef/>
      </w:r>
      <w:r>
        <w:tab/>
      </w:r>
      <w:hyperlink r:id="rId20" w:history="1">
        <w:r>
          <w:rPr>
            <w:rStyle w:val="Hyperlink"/>
          </w:rPr>
          <w:t>Форум на заинтересованите страни и проверка на действителното състояние на пенсионните спестявания</w:t>
        </w:r>
      </w:hyperlink>
    </w:p>
  </w:footnote>
  <w:footnote w:id="21">
    <w:p w14:paraId="52624E18" w14:textId="77777777" w:rsidR="000265D8" w:rsidRPr="000265D8" w:rsidRDefault="000265D8" w:rsidP="004A2CED">
      <w:pPr>
        <w:pStyle w:val="FootnoteText"/>
      </w:pPr>
      <w:r>
        <w:rPr>
          <w:rStyle w:val="FootnoteReference"/>
        </w:rPr>
        <w:footnoteRef/>
      </w:r>
      <w:r>
        <w:tab/>
      </w:r>
      <w:hyperlink r:id="rId21" w:history="1">
        <w:r>
          <w:rPr>
            <w:rStyle w:val="Hyperlink"/>
          </w:rPr>
          <w:t>Технически данни за прегледите на Директивата за ИППО II и Регламента за ПЕПП в контекста на съюза на спестяванията и инвестициите</w:t>
        </w:r>
      </w:hyperlink>
      <w:r>
        <w:t>, ЕОЗППО</w:t>
      </w:r>
    </w:p>
  </w:footnote>
  <w:footnote w:id="22">
    <w:p w14:paraId="205AD539" w14:textId="77777777" w:rsidR="004A2CED" w:rsidRPr="000265D8" w:rsidRDefault="004A2CED" w:rsidP="004A2CED">
      <w:pPr>
        <w:pStyle w:val="FootnoteText"/>
      </w:pPr>
      <w:r>
        <w:rPr>
          <w:rStyle w:val="FootnoteReference"/>
        </w:rPr>
        <w:footnoteRef/>
      </w:r>
      <w:r>
        <w:tab/>
        <w:t>Дори ако такъв подход „отгоре-надолу“ беше възможен, задължителната консолидация все пак можеше да подлежи на одобрение от националния орган за защита на конкуренцията, чието решение не би било обвързано от правилата на настоящото предложение.</w:t>
      </w:r>
    </w:p>
  </w:footnote>
  <w:footnote w:id="23">
    <w:p w14:paraId="4751EB69" w14:textId="77777777" w:rsidR="00E91AB1" w:rsidRDefault="00E91AB1" w:rsidP="00E91AB1">
      <w:pPr>
        <w:pStyle w:val="FootnoteText"/>
      </w:pPr>
      <w:r>
        <w:rPr>
          <w:rStyle w:val="FootnoteReference"/>
        </w:rPr>
        <w:footnoteRef/>
      </w:r>
      <w:r>
        <w:tab/>
        <w:t>ОВ C , , стр. .</w:t>
      </w:r>
    </w:p>
  </w:footnote>
  <w:footnote w:id="24">
    <w:p w14:paraId="01972352" w14:textId="77777777" w:rsidR="006A32E4" w:rsidRPr="00B871C4" w:rsidRDefault="006A32E4" w:rsidP="006A32E4">
      <w:pPr>
        <w:pStyle w:val="FootnoteText"/>
      </w:pPr>
      <w:r>
        <w:rPr>
          <w:rStyle w:val="FootnoteReference"/>
        </w:rPr>
        <w:footnoteRef/>
      </w:r>
      <w:r>
        <w:tab/>
        <w:t>Позиция на Европейския парламент от ... г. и решение на Съвета от ... г.</w:t>
      </w:r>
    </w:p>
  </w:footnote>
  <w:footnote w:id="25">
    <w:p w14:paraId="13E0D0AA" w14:textId="77777777" w:rsidR="0039002F" w:rsidRPr="00A23AEC" w:rsidRDefault="0039002F" w:rsidP="0039002F">
      <w:pPr>
        <w:pStyle w:val="FootnoteText"/>
      </w:pPr>
      <w:r>
        <w:rPr>
          <w:rStyle w:val="FootnoteReference"/>
        </w:rPr>
        <w:footnoteRef/>
      </w:r>
      <w:r>
        <w:tab/>
        <w:t>Директива (ЕС) 2016/2341 на Европейския парламент и на Съвета от 14 декември 2016 г. относно дейностите и надзора на институциите за професионално пенсионно осигуряване (ИППО) (преработен текст) (ОВ L 354, 23.12.2016 г., стр. 37, ELI: </w:t>
      </w:r>
      <w:hyperlink r:id="rId22" w:history="1">
        <w:r>
          <w:rPr>
            <w:rStyle w:val="Hyperlink"/>
          </w:rPr>
          <w:t>http://data.europa.eu/eli/dir/2016/2341/oj</w:t>
        </w:r>
      </w:hyperlink>
      <w:r>
        <w:t>).</w:t>
      </w:r>
    </w:p>
  </w:footnote>
  <w:footnote w:id="26">
    <w:p w14:paraId="32B1C1E1" w14:textId="77777777" w:rsidR="00995C21" w:rsidRPr="00A24182" w:rsidRDefault="00995C21" w:rsidP="00995C21">
      <w:pPr>
        <w:pStyle w:val="FootnoteText"/>
      </w:pPr>
      <w:r>
        <w:rPr>
          <w:rStyle w:val="FootnoteReference"/>
        </w:rPr>
        <w:footnoteRef/>
      </w:r>
      <w:r>
        <w:tab/>
        <w:t xml:space="preserve">Съобщение на Комисията до Европейския парламент, Европейския съвет, Съвета, Европейската централна банка, Европейския икономически и социален комитет и Комитета на регионите от 19 март 2025 г., </w:t>
      </w:r>
      <w:hyperlink r:id="rId23" w:history="1">
        <w:r>
          <w:rPr>
            <w:rStyle w:val="Hyperlink"/>
          </w:rPr>
          <w:t>COM(2025) 124 final</w:t>
        </w:r>
      </w:hyperlink>
      <w:r>
        <w:t>.</w:t>
      </w:r>
    </w:p>
  </w:footnote>
  <w:footnote w:id="27">
    <w:p w14:paraId="6867B073" w14:textId="77777777" w:rsidR="005F7BF4" w:rsidRPr="005D0C3B" w:rsidRDefault="005F7BF4">
      <w:pPr>
        <w:pStyle w:val="FootnoteText"/>
      </w:pPr>
      <w:r>
        <w:rPr>
          <w:rStyle w:val="FootnoteReference"/>
        </w:rPr>
        <w:footnoteRef/>
      </w:r>
      <w:r>
        <w:tab/>
        <w:t xml:space="preserve">Вж. </w:t>
      </w:r>
      <w:hyperlink r:id="rId24" w:history="1">
        <w:r>
          <w:rPr>
            <w:rStyle w:val="Hyperlink"/>
          </w:rPr>
          <w:t>техническото становище на ЕОЗППО за прегледа на Директивата ИППО II</w:t>
        </w:r>
      </w:hyperlink>
    </w:p>
  </w:footnote>
  <w:footnote w:id="28">
    <w:p w14:paraId="6CE91234" w14:textId="77777777" w:rsidR="005F7BF4" w:rsidRPr="005D0C3B" w:rsidRDefault="005F7BF4">
      <w:pPr>
        <w:pStyle w:val="FootnoteText"/>
      </w:pPr>
      <w:r>
        <w:rPr>
          <w:rStyle w:val="FootnoteReference"/>
        </w:rPr>
        <w:footnoteRef/>
      </w:r>
      <w:r>
        <w:tab/>
        <w:t xml:space="preserve">Вж. </w:t>
      </w:r>
      <w:hyperlink r:id="rId25" w:history="1">
        <w:r>
          <w:rPr>
            <w:rStyle w:val="Hyperlink"/>
          </w:rPr>
          <w:t>технически данни на ЕОЗППО за прегледите на Директивата за ИППО II и Регламента за ПЕПП в контекста на съюза на спестяванията и инвестициите</w:t>
        </w:r>
      </w:hyperlink>
      <w:r>
        <w:t>.</w:t>
      </w:r>
    </w:p>
  </w:footnote>
  <w:footnote w:id="29">
    <w:p w14:paraId="446C3A58" w14:textId="77777777" w:rsidR="00A514B8" w:rsidRPr="005D0C3B" w:rsidRDefault="00A514B8">
      <w:pPr>
        <w:pStyle w:val="FootnoteText"/>
      </w:pPr>
      <w:r>
        <w:rPr>
          <w:rStyle w:val="FootnoteReference"/>
        </w:rPr>
        <w:footnoteRef/>
      </w:r>
      <w:r>
        <w:tab/>
        <w:t xml:space="preserve">Вж. </w:t>
      </w:r>
      <w:hyperlink r:id="rId26" w:history="1">
        <w:r>
          <w:rPr>
            <w:rStyle w:val="Hyperlink"/>
          </w:rPr>
          <w:t>Специален доклад № 14/2025 г.</w:t>
        </w:r>
      </w:hyperlink>
      <w:r>
        <w:t xml:space="preserve"> на Европейската сметна палата </w:t>
      </w:r>
    </w:p>
  </w:footnote>
  <w:footnote w:id="30">
    <w:p w14:paraId="070719B7" w14:textId="77777777" w:rsidR="006C6D3C" w:rsidRPr="005D0C3B" w:rsidRDefault="006C6D3C">
      <w:pPr>
        <w:pStyle w:val="FootnoteText"/>
      </w:pPr>
      <w:r>
        <w:rPr>
          <w:rStyle w:val="FootnoteReference"/>
        </w:rPr>
        <w:footnoteRef/>
      </w:r>
      <w:r>
        <w:tab/>
        <w:t xml:space="preserve">Вж. ОИСР, </w:t>
      </w:r>
      <w:hyperlink r:id="rId27" w:history="1">
        <w:r>
          <w:rPr>
            <w:rStyle w:val="Hyperlink"/>
          </w:rPr>
          <w:t>„Core Principles of Private Pension Regulation“ (Основни принципи за регулиране на частното пенсионно осигуряване)</w:t>
        </w:r>
      </w:hyperlink>
    </w:p>
  </w:footnote>
  <w:footnote w:id="31">
    <w:p w14:paraId="3672297E" w14:textId="77777777" w:rsidR="002C6958" w:rsidRPr="00B37B70" w:rsidRDefault="002C6958" w:rsidP="002C6958">
      <w:pPr>
        <w:pStyle w:val="FootnoteText"/>
      </w:pPr>
      <w:r>
        <w:rPr>
          <w:rStyle w:val="FootnoteReference"/>
        </w:rPr>
        <w:footnoteRef/>
      </w:r>
      <w:r>
        <w:tab/>
        <w:t>Регламент (ЕС) 2018/231 на Европейската централна банка от 26 януари 2018 година относно изискванията за статистическа отчетност за пенсионни фондове (ЕЦБ/2018/2) (ОВ L 45, 17.2.2018 г., стр. 3, ELI: </w:t>
      </w:r>
      <w:hyperlink r:id="rId28" w:tooltip="Gives access to this document through its ELI URI." w:history="1">
        <w:r>
          <w:rPr>
            <w:rStyle w:val="Hyperlink"/>
          </w:rPr>
          <w:t>http://data.europa.eu/eli/reg/2018/231/oj</w:t>
        </w:r>
      </w:hyperlink>
      <w:r>
        <w:t>).</w:t>
      </w:r>
    </w:p>
  </w:footnote>
  <w:footnote w:id="32">
    <w:p w14:paraId="54AEA076" w14:textId="77777777" w:rsidR="00A5243C" w:rsidRPr="00100E7E" w:rsidRDefault="00A5243C" w:rsidP="00F8535C">
      <w:pPr>
        <w:pStyle w:val="FootnoteText"/>
      </w:pPr>
      <w:r>
        <w:rPr>
          <w:rStyle w:val="FootnoteReference"/>
        </w:rPr>
        <w:footnoteRef/>
      </w:r>
      <w:r>
        <w:tab/>
        <w:t>Регламент (ЕС) 2019/1238 на Европейския парламент и на Съвета от 20 юни 2019 г. относно паневропейски персонален пенсионен продукт (ПЕПП) (ОВ L 198, 25.7.2019 г., стр. 1, ELI: </w:t>
      </w:r>
      <w:hyperlink r:id="rId29" w:tooltip="Gives access to this document through its ELI URI." w:history="1">
        <w:r>
          <w:rPr>
            <w:rStyle w:val="Hyperlink"/>
          </w:rPr>
          <w:t>http://data.europa.eu/eli/reg/2019/1238/oj</w:t>
        </w:r>
      </w:hyperlink>
      <w:r>
        <w:t>).</w:t>
      </w:r>
    </w:p>
  </w:footnote>
  <w:footnote w:id="33">
    <w:p w14:paraId="4A4EB8F7" w14:textId="77777777" w:rsidR="00973182" w:rsidRPr="005D0C3B" w:rsidRDefault="00973182">
      <w:pPr>
        <w:pStyle w:val="FootnoteText"/>
      </w:pPr>
      <w:r>
        <w:rPr>
          <w:rStyle w:val="FootnoteReference"/>
        </w:rPr>
        <w:footnoteRef/>
      </w:r>
      <w:r>
        <w:tab/>
        <w:t>Първа директива 79/267/ЕИО на Съвета от 5 март 1979 г. относно координирането на законовите, подзаконовите и административните разпоредби относно достъпа до и упражняването на пряка дейност по животозастраховане (ОВ L 63, 13.3.1979 г., стр. 1, ELI: </w:t>
      </w:r>
      <w:hyperlink r:id="rId30" w:tooltip="Gives access to this document through its ELI URI." w:history="1">
        <w:r>
          <w:rPr>
            <w:rStyle w:val="Hyperlink"/>
          </w:rPr>
          <w:t>http://data.europa.eu/eli/dir/1979/267/oj</w:t>
        </w:r>
      </w:hyperlink>
      <w:r>
        <w:t>)</w:t>
      </w:r>
    </w:p>
  </w:footnote>
  <w:footnote w:id="34">
    <w:p w14:paraId="491ABD5D" w14:textId="77777777" w:rsidR="00E95D0B" w:rsidRPr="00BC3DF1" w:rsidRDefault="00E95D0B" w:rsidP="006C055C">
      <w:pPr>
        <w:pStyle w:val="FootnoteText"/>
      </w:pPr>
      <w:r>
        <w:rPr>
          <w:rStyle w:val="FootnoteReference"/>
        </w:rPr>
        <w:footnoteRef/>
      </w:r>
      <w:r>
        <w:tab/>
        <w:t>Съобщение на Комисията до Европейския парламент, Европейския съвет, Съвета, Европейската централна банка, Европейския икономически и социален комитет и Комитета на регионите — Повишаване на капацитета на сектора на допълнителното пенсионно осигуряване в ЕС за подобряване на пенсионните доходи и осигуряване на дългосрочен капитал за икономиката на ЕС. [До Службата за публикации: да се посочи номерът на документа и интернет връзката].</w:t>
      </w:r>
    </w:p>
  </w:footnote>
  <w:footnote w:id="35">
    <w:p w14:paraId="21DF6643" w14:textId="77777777" w:rsidR="003F4022" w:rsidRPr="005D0C3B" w:rsidRDefault="00647CD2" w:rsidP="00CF00EA">
      <w:pPr>
        <w:pStyle w:val="FootnoteText"/>
      </w:pPr>
      <w:r>
        <w:rPr>
          <w:rStyle w:val="FootnoteReference"/>
        </w:rPr>
        <w:footnoteRef/>
      </w:r>
      <w:r>
        <w:tab/>
        <w:t>Директива 2009/65/ЕО на Европейския парламент и на Съвета от 13 юли 2009 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(ПКИПЦК) (ОВ L 302, стр. 32, ELI: </w:t>
      </w:r>
      <w:hyperlink r:id="rId31" w:tooltip="Gives access to this document through its ELI URI." w:history="1">
        <w:r>
          <w:rPr>
            <w:rStyle w:val="Hyperlink"/>
          </w:rPr>
          <w:t>http://data.europa.eu/eli/dir/2009/65/oj</w:t>
        </w:r>
      </w:hyperlink>
      <w:r>
        <w:t>)</w:t>
      </w:r>
    </w:p>
  </w:footnote>
  <w:footnote w:id="36">
    <w:p w14:paraId="1262EB24" w14:textId="77777777" w:rsidR="009D30F7" w:rsidRPr="005D0C3B" w:rsidRDefault="009D30F7">
      <w:pPr>
        <w:pStyle w:val="FootnoteText"/>
      </w:pPr>
      <w:r>
        <w:rPr>
          <w:rStyle w:val="FootnoteReference"/>
        </w:rPr>
        <w:footnoteRef/>
      </w:r>
      <w:r>
        <w:tab/>
        <w:t>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 (ОВ L 335, 17.12.2009 г., стр. 1, ELI: </w:t>
      </w:r>
      <w:hyperlink r:id="rId32" w:tooltip="Gives access to this document through its ELI URI." w:history="1">
        <w:r>
          <w:rPr>
            <w:rStyle w:val="Hyperlink"/>
          </w:rPr>
          <w:t>http://data.europa.eu/eli/dir/2009/138/oj</w:t>
        </w:r>
      </w:hyperlink>
      <w:r>
        <w:t>).</w:t>
      </w:r>
    </w:p>
  </w:footnote>
  <w:footnote w:id="37">
    <w:p w14:paraId="77E36C89" w14:textId="77777777" w:rsidR="00F562E0" w:rsidRPr="00024BDE" w:rsidRDefault="00F562E0" w:rsidP="00F562E0">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 ELI: </w:t>
      </w:r>
      <w:hyperlink r:id="rId33" w:tooltip="Gives access to this document through its ELI URI." w:history="1">
        <w:r>
          <w:rPr>
            <w:rStyle w:val="Hyperlink"/>
          </w:rPr>
          <w:t>http://data.europa.eu/eli/reg/2011/182/oj</w:t>
        </w:r>
      </w:hyperlink>
      <w:r>
        <w:t>).</w:t>
      </w:r>
    </w:p>
  </w:footnote>
  <w:footnote w:id="38">
    <w:p w14:paraId="6AC7C744" w14:textId="77777777" w:rsidR="00B64657" w:rsidRPr="005D0C3B" w:rsidRDefault="00B64657" w:rsidP="00B64657">
      <w:pPr>
        <w:pStyle w:val="FootnoteText"/>
      </w:pPr>
      <w:r>
        <w:rPr>
          <w:rStyle w:val="FootnoteReference"/>
        </w:rPr>
        <w:footnoteRef/>
      </w:r>
      <w:r>
        <w:tab/>
        <w:t>Директива 2002/58/ЕО на Европейския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и електронни комуникации), (ОВ L 201, стр. 37, ELI: </w:t>
      </w:r>
      <w:hyperlink r:id="rId34" w:tooltip="Gives access to this document through its ELI URI." w:history="1">
        <w:r>
          <w:rPr>
            <w:rStyle w:val="Hyperlink"/>
          </w:rPr>
          <w:t>http://data.europa.eu/eli/dir/2002/58/oj</w:t>
        </w:r>
      </w:hyperlink>
      <w:r>
        <w:t>)</w:t>
      </w:r>
    </w:p>
  </w:footnote>
  <w:footnote w:id="39">
    <w:p w14:paraId="0D347384" w14:textId="77777777" w:rsidR="00AC2BE5" w:rsidRDefault="00AC2BE5">
      <w:pPr>
        <w:pStyle w:val="FootnoteText"/>
      </w:pPr>
      <w:r>
        <w:rPr>
          <w:rStyle w:val="FootnoteReference"/>
        </w:rPr>
        <w:footnoteRef/>
      </w:r>
      <w:r>
        <w:tab/>
        <w:t>Съгласно член 58, параграф 2, буква а) или б) от Финансовия регламент.</w:t>
      </w:r>
    </w:p>
  </w:footnote>
  <w:footnote w:id="40">
    <w:p w14:paraId="30405384" w14:textId="77777777" w:rsidR="00044D5B" w:rsidRDefault="00044D5B" w:rsidP="00044D5B">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41">
    <w:p w14:paraId="2ED0AA26" w14:textId="77777777" w:rsidR="00044D5B" w:rsidRDefault="00044D5B" w:rsidP="00044D5B">
      <w:pPr>
        <w:pStyle w:val="FootnoteText"/>
        <w:rPr>
          <w:szCs w:val="24"/>
        </w:rPr>
      </w:pPr>
      <w:r>
        <w:rPr>
          <w:rStyle w:val="FootnoteReference"/>
        </w:rPr>
        <w:footnoteRef/>
      </w:r>
      <w:r>
        <w:tab/>
        <w:t xml:space="preserve">ЕАСТ: Европейска асоциация за свободна търговия. </w:t>
      </w:r>
    </w:p>
  </w:footnote>
  <w:footnote w:id="42">
    <w:p w14:paraId="161C3A51" w14:textId="77777777" w:rsidR="00044D5B" w:rsidRDefault="00044D5B" w:rsidP="00044D5B">
      <w:pPr>
        <w:pStyle w:val="FootnoteText"/>
        <w:rPr>
          <w:szCs w:val="24"/>
        </w:rPr>
      </w:pPr>
      <w:r>
        <w:rPr>
          <w:rStyle w:val="FootnoteReference"/>
        </w:rPr>
        <w:footnoteRef/>
      </w:r>
      <w:r>
        <w:tab/>
        <w:t>Държави кандидатки и ако е приложимо, потенциални кандидати от Западните Балкани.</w:t>
      </w:r>
    </w:p>
  </w:footnote>
  <w:footnote w:id="43">
    <w:p w14:paraId="53F5E5FA" w14:textId="77777777" w:rsidR="00044D5B" w:rsidRDefault="00044D5B" w:rsidP="00044D5B">
      <w:pPr>
        <w:pStyle w:val="FootnoteText"/>
        <w:rPr>
          <w:szCs w:val="24"/>
        </w:rPr>
      </w:pPr>
      <w:r>
        <w:rPr>
          <w:rStyle w:val="FootnoteReference"/>
        </w:rPr>
        <w:footnoteRef/>
      </w:r>
      <w:r>
        <w:tab/>
        <w:t>Крайните продукти са продуктите и услугите, които ще бъдат доставени (например брой финансирани обмени на учащи се, дължина на построените пътища в километри и т.н.).</w:t>
      </w:r>
    </w:p>
  </w:footnote>
  <w:footnote w:id="44">
    <w:p w14:paraId="1B849CA3" w14:textId="77777777" w:rsidR="00044D5B" w:rsidRDefault="00044D5B" w:rsidP="00044D5B">
      <w:pPr>
        <w:pStyle w:val="FootnoteText"/>
        <w:rPr>
          <w:szCs w:val="24"/>
        </w:rPr>
      </w:pPr>
      <w:r>
        <w:rPr>
          <w:rStyle w:val="FootnoteReference"/>
        </w:rPr>
        <w:footnoteRef/>
      </w:r>
      <w:r>
        <w:tab/>
        <w:t xml:space="preserve">Описана в раздел 1.3.2. „Конкретни цели“ </w:t>
      </w:r>
    </w:p>
  </w:footnote>
  <w:footnote w:id="45">
    <w:p w14:paraId="4979D382" w14:textId="77777777" w:rsidR="00044D5B" w:rsidRDefault="00044D5B" w:rsidP="00044D5B">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4774" w14:textId="77777777" w:rsidR="00BE53DF" w:rsidRDefault="00BE5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6B34" w14:textId="13CDD78D" w:rsidR="00BE53DF" w:rsidRDefault="00BE53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5D40" w14:textId="77777777" w:rsidR="00BE53DF" w:rsidRDefault="00BE5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532" w14:textId="77777777" w:rsidR="00BE53DF" w:rsidRDefault="00BE53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7692" w14:textId="77777777" w:rsidR="00BE53DF" w:rsidRDefault="00BE53DF">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5423" w14:textId="77777777" w:rsidR="00BE53DF" w:rsidRDefault="00BE5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91401468">
    <w:abstractNumId w:val="0"/>
  </w:num>
  <w:num w:numId="2" w16cid:durableId="1525636558">
    <w:abstractNumId w:val="20"/>
  </w:num>
  <w:num w:numId="3" w16cid:durableId="719669486">
    <w:abstractNumId w:val="8"/>
  </w:num>
  <w:num w:numId="4" w16cid:durableId="1788547964">
    <w:abstractNumId w:val="17"/>
  </w:num>
  <w:num w:numId="5" w16cid:durableId="667053552">
    <w:abstractNumId w:val="16"/>
  </w:num>
  <w:num w:numId="6" w16cid:durableId="1632008470">
    <w:abstractNumId w:val="27"/>
  </w:num>
  <w:num w:numId="7" w16cid:durableId="469250507">
    <w:abstractNumId w:val="24"/>
  </w:num>
  <w:num w:numId="8" w16cid:durableId="428239973">
    <w:abstractNumId w:val="28"/>
  </w:num>
  <w:num w:numId="9" w16cid:durableId="1232157170">
    <w:abstractNumId w:val="29"/>
  </w:num>
  <w:num w:numId="10" w16cid:durableId="2004308667">
    <w:abstractNumId w:val="1"/>
  </w:num>
  <w:num w:numId="11" w16cid:durableId="1953591815">
    <w:abstractNumId w:val="10"/>
  </w:num>
  <w:num w:numId="12" w16cid:durableId="1081219775">
    <w:abstractNumId w:val="2"/>
  </w:num>
  <w:num w:numId="13" w16cid:durableId="716317055">
    <w:abstractNumId w:val="11"/>
  </w:num>
  <w:num w:numId="14" w16cid:durableId="901906901">
    <w:abstractNumId w:val="9"/>
  </w:num>
  <w:num w:numId="15" w16cid:durableId="1219901640">
    <w:abstractNumId w:val="18"/>
  </w:num>
  <w:num w:numId="16" w16cid:durableId="359861386">
    <w:abstractNumId w:val="7"/>
  </w:num>
  <w:num w:numId="17" w16cid:durableId="1355233409">
    <w:abstractNumId w:val="30"/>
    <w:lvlOverride w:ilvl="0">
      <w:startOverride w:val="1"/>
    </w:lvlOverride>
  </w:num>
  <w:num w:numId="18" w16cid:durableId="2089693441">
    <w:abstractNumId w:val="23"/>
  </w:num>
  <w:num w:numId="19" w16cid:durableId="1693998065">
    <w:abstractNumId w:val="12"/>
  </w:num>
  <w:num w:numId="20" w16cid:durableId="788817884">
    <w:abstractNumId w:val="26"/>
  </w:num>
  <w:num w:numId="21" w16cid:durableId="1535464848">
    <w:abstractNumId w:val="6"/>
  </w:num>
  <w:num w:numId="22" w16cid:durableId="639657071">
    <w:abstractNumId w:val="13"/>
  </w:num>
  <w:num w:numId="23" w16cid:durableId="361050661">
    <w:abstractNumId w:val="14"/>
  </w:num>
  <w:num w:numId="24" w16cid:durableId="472790552">
    <w:abstractNumId w:val="4"/>
  </w:num>
  <w:num w:numId="25" w16cid:durableId="384646725">
    <w:abstractNumId w:val="25"/>
  </w:num>
  <w:num w:numId="26" w16cid:durableId="2031682509">
    <w:abstractNumId w:val="3"/>
  </w:num>
  <w:num w:numId="27" w16cid:durableId="150604668">
    <w:abstractNumId w:val="15"/>
  </w:num>
  <w:num w:numId="28" w16cid:durableId="472332852">
    <w:abstractNumId w:val="21"/>
  </w:num>
  <w:num w:numId="29" w16cid:durableId="1298296966">
    <w:abstractNumId w:val="22"/>
  </w:num>
  <w:num w:numId="30" w16cid:durableId="1306230484">
    <w:abstractNumId w:val="5"/>
  </w:num>
  <w:num w:numId="31" w16cid:durableId="24066917">
    <w:abstractNumId w:val="19"/>
  </w:num>
  <w:num w:numId="32" w16cid:durableId="48543658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2-06 13:06: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238286BD-EE1E-46CC-B142-5CBBD62C2837"/>
    <w:docVar w:name="LW_COVERPAGE_TYPE" w:val="1"/>
    <w:docVar w:name="LW_CreatedUtc" w:val="2025-10-06T08:29:47.0336955Z"/>
    <w:docVar w:name="LW_CROSSREFERENCE" w:val="&lt;UNUSED&gt;"/>
    <w:docVar w:name="LW_DocType" w:val="COM"/>
    <w:docVar w:name="LW_EMISSION" w:val="20.11.2025"/>
    <w:docVar w:name="LW_EMISSION_ISODATE" w:val="2025-11-20"/>
    <w:docVar w:name="LW_EMISSION_LOCATION" w:val="BRX"/>
    <w:docVar w:name="LW_EMISSION_PREFIX" w:val="\u1041?\u1088?\u1102?\u1082?\u1089?\u1077?\u1083?, "/>
    <w:docVar w:name="LW_EMISSION_SUFFIX" w:val=" \u1075?."/>
    <w:docVar w:name="LW_ID_DOCMODEL" w:val="SJ-024"/>
    <w:docVar w:name="LW_ID_DOCSIGNATURE" w:val="SJ-024"/>
    <w:docVar w:name="LW_ID_DOCSTRUCTURE" w:val="COM/PL/ORG"/>
    <w:docVar w:name="LW_ID_DOCTYPE" w:val="SJ-024"/>
    <w:docVar w:name="LW_ID_STATUT" w:val="SJ-024"/>
    <w:docVar w:name="LW_INSERT_EXP.MOTIFS.NEW" w:val="1"/>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362"/>
    <w:docVar w:name="LW_REF.II.NEW.CP_YEAR" w:val="2025"/>
    <w:docVar w:name="LW_REF.INST.NEW" w:val="COM"/>
    <w:docVar w:name="LW_REF.INST.NEW_ADOPTED" w:val="final"/>
    <w:docVar w:name="LW_REF.INST.NEW_TEXT" w:val="(2025) 8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76?\u1080?\u1088?\u1077?\u1082?\u1090?\u1080?\u1074?\u1080? (\u1045?\u1057?) 2016/2341 \u1080? 2016/97 \u1089? \u1094?\u1077?\u1083? \u1079?\u1072?\u1089?\u1080?\u1083?\u1074?\u1072?\u1085?\u1077? \u1085?\u1072? \u1091?\u1088?\u1077?\u1076?\u1073?\u1072?\u1090?\u1072? \u1085?\u1072? \u1087?\u1088?\u1086?\u1092?\u1077?\u1089?\u1080?\u1086?\u1085?\u1072?\u1083?\u1085?\u1086?\u1090?\u1086? \u1087?\u1077?\u1085?\u1089?\u1080?\u1086?\u1085?\u1085?\u1086? \u1086?\u1089?\u1080?\u1075?\u1091?\u1088?\u1103?\u1074?\u1072?\u1085?\u1077?"/>
    <w:docVar w:name="LW_TYPE.DOC.CP" w:val="\u1044?\u1048?\u1056?\u1045?\u1050?\u1058?\u1048?\u1042?\u1040? \u1053?\u1040? \u1045?\u1042?\u1056?\u1054?\u1055?\u1045?\u1049?\u1057?\u1050?\u1048?\u1071? \u1055?\u1040?\u1056?\u1051?\u1040?\u1052?\u1045?\u1053?\u1058? \u1048? \u1053?\u1040? \u1057?\u1066?\u1042?\u1045?\u1058?\u1040?"/>
    <w:docVar w:name="LwApiVersions" w:val="LW4CoDe 1.24.5.0; LW 9.2, Build 20251112"/>
  </w:docVars>
  <w:rsids>
    <w:rsidRoot w:val="00AC2BE5"/>
    <w:rsid w:val="0000013E"/>
    <w:rsid w:val="0000015B"/>
    <w:rsid w:val="00000185"/>
    <w:rsid w:val="00000274"/>
    <w:rsid w:val="000002A6"/>
    <w:rsid w:val="0000040C"/>
    <w:rsid w:val="00000446"/>
    <w:rsid w:val="000004EF"/>
    <w:rsid w:val="00000533"/>
    <w:rsid w:val="0000060E"/>
    <w:rsid w:val="00000625"/>
    <w:rsid w:val="0000093F"/>
    <w:rsid w:val="00000A5D"/>
    <w:rsid w:val="00000B70"/>
    <w:rsid w:val="00000C29"/>
    <w:rsid w:val="00000D1A"/>
    <w:rsid w:val="00000D6D"/>
    <w:rsid w:val="00000D75"/>
    <w:rsid w:val="00000E7A"/>
    <w:rsid w:val="00001135"/>
    <w:rsid w:val="00001205"/>
    <w:rsid w:val="000012EA"/>
    <w:rsid w:val="00001335"/>
    <w:rsid w:val="00001374"/>
    <w:rsid w:val="0000143D"/>
    <w:rsid w:val="000014AE"/>
    <w:rsid w:val="0000169C"/>
    <w:rsid w:val="000017D8"/>
    <w:rsid w:val="00001816"/>
    <w:rsid w:val="0000187F"/>
    <w:rsid w:val="00001A83"/>
    <w:rsid w:val="00001B4C"/>
    <w:rsid w:val="00001BBF"/>
    <w:rsid w:val="00001BD0"/>
    <w:rsid w:val="00001D86"/>
    <w:rsid w:val="00001DEC"/>
    <w:rsid w:val="00001FBB"/>
    <w:rsid w:val="00002087"/>
    <w:rsid w:val="000020E4"/>
    <w:rsid w:val="00002141"/>
    <w:rsid w:val="0000219B"/>
    <w:rsid w:val="00002222"/>
    <w:rsid w:val="0000222F"/>
    <w:rsid w:val="00002292"/>
    <w:rsid w:val="0000247D"/>
    <w:rsid w:val="000024ED"/>
    <w:rsid w:val="00002578"/>
    <w:rsid w:val="00002596"/>
    <w:rsid w:val="000025F3"/>
    <w:rsid w:val="00002717"/>
    <w:rsid w:val="00002763"/>
    <w:rsid w:val="000027E5"/>
    <w:rsid w:val="0000285B"/>
    <w:rsid w:val="0000286B"/>
    <w:rsid w:val="00002958"/>
    <w:rsid w:val="00002A06"/>
    <w:rsid w:val="00002AE9"/>
    <w:rsid w:val="00002AF3"/>
    <w:rsid w:val="00002C22"/>
    <w:rsid w:val="00002F26"/>
    <w:rsid w:val="00002F51"/>
    <w:rsid w:val="00002F65"/>
    <w:rsid w:val="00002FE0"/>
    <w:rsid w:val="00002FEA"/>
    <w:rsid w:val="00003266"/>
    <w:rsid w:val="0000326D"/>
    <w:rsid w:val="00003274"/>
    <w:rsid w:val="000032E0"/>
    <w:rsid w:val="00003332"/>
    <w:rsid w:val="00003340"/>
    <w:rsid w:val="00003360"/>
    <w:rsid w:val="00003391"/>
    <w:rsid w:val="00003563"/>
    <w:rsid w:val="0000366E"/>
    <w:rsid w:val="00003763"/>
    <w:rsid w:val="00003878"/>
    <w:rsid w:val="00003A79"/>
    <w:rsid w:val="00003D2E"/>
    <w:rsid w:val="00003E30"/>
    <w:rsid w:val="00003E55"/>
    <w:rsid w:val="00003E73"/>
    <w:rsid w:val="00003F5D"/>
    <w:rsid w:val="000040C4"/>
    <w:rsid w:val="00004210"/>
    <w:rsid w:val="00004300"/>
    <w:rsid w:val="0000434D"/>
    <w:rsid w:val="00004356"/>
    <w:rsid w:val="0000438F"/>
    <w:rsid w:val="000043B7"/>
    <w:rsid w:val="00004469"/>
    <w:rsid w:val="000044A2"/>
    <w:rsid w:val="000045CC"/>
    <w:rsid w:val="000046F5"/>
    <w:rsid w:val="00004720"/>
    <w:rsid w:val="0000477E"/>
    <w:rsid w:val="000047B5"/>
    <w:rsid w:val="000047FA"/>
    <w:rsid w:val="00004822"/>
    <w:rsid w:val="0000487E"/>
    <w:rsid w:val="00004996"/>
    <w:rsid w:val="000049B3"/>
    <w:rsid w:val="00004AA9"/>
    <w:rsid w:val="00004AF0"/>
    <w:rsid w:val="00004AF5"/>
    <w:rsid w:val="00004B07"/>
    <w:rsid w:val="00004B7A"/>
    <w:rsid w:val="00004B9C"/>
    <w:rsid w:val="00004C0A"/>
    <w:rsid w:val="00004D4A"/>
    <w:rsid w:val="00004E2F"/>
    <w:rsid w:val="00004E54"/>
    <w:rsid w:val="00004E61"/>
    <w:rsid w:val="00004FBB"/>
    <w:rsid w:val="000050A3"/>
    <w:rsid w:val="00005242"/>
    <w:rsid w:val="00005248"/>
    <w:rsid w:val="00005346"/>
    <w:rsid w:val="00005397"/>
    <w:rsid w:val="000053AA"/>
    <w:rsid w:val="00005432"/>
    <w:rsid w:val="000054F1"/>
    <w:rsid w:val="000055A9"/>
    <w:rsid w:val="000056AA"/>
    <w:rsid w:val="000056CE"/>
    <w:rsid w:val="00005829"/>
    <w:rsid w:val="000058EA"/>
    <w:rsid w:val="000058FB"/>
    <w:rsid w:val="00005906"/>
    <w:rsid w:val="0000598D"/>
    <w:rsid w:val="00005ED2"/>
    <w:rsid w:val="00006004"/>
    <w:rsid w:val="00006014"/>
    <w:rsid w:val="0000605C"/>
    <w:rsid w:val="0000625F"/>
    <w:rsid w:val="00006275"/>
    <w:rsid w:val="00006380"/>
    <w:rsid w:val="000063B5"/>
    <w:rsid w:val="00006569"/>
    <w:rsid w:val="000065BB"/>
    <w:rsid w:val="00006663"/>
    <w:rsid w:val="00006682"/>
    <w:rsid w:val="000066BD"/>
    <w:rsid w:val="000066EA"/>
    <w:rsid w:val="000066ED"/>
    <w:rsid w:val="0000683E"/>
    <w:rsid w:val="00006A85"/>
    <w:rsid w:val="00006B59"/>
    <w:rsid w:val="00006CB9"/>
    <w:rsid w:val="0000701A"/>
    <w:rsid w:val="00007120"/>
    <w:rsid w:val="000071A0"/>
    <w:rsid w:val="000071CA"/>
    <w:rsid w:val="00007264"/>
    <w:rsid w:val="00007370"/>
    <w:rsid w:val="00007400"/>
    <w:rsid w:val="000074AD"/>
    <w:rsid w:val="0000782C"/>
    <w:rsid w:val="0000783A"/>
    <w:rsid w:val="0000788A"/>
    <w:rsid w:val="0000793D"/>
    <w:rsid w:val="00007973"/>
    <w:rsid w:val="000079C8"/>
    <w:rsid w:val="00007ABB"/>
    <w:rsid w:val="00007B0B"/>
    <w:rsid w:val="00007BDF"/>
    <w:rsid w:val="00007C77"/>
    <w:rsid w:val="00007DB9"/>
    <w:rsid w:val="00007DD6"/>
    <w:rsid w:val="00007E4A"/>
    <w:rsid w:val="00007EE7"/>
    <w:rsid w:val="0001009A"/>
    <w:rsid w:val="00010119"/>
    <w:rsid w:val="000102E1"/>
    <w:rsid w:val="000102E5"/>
    <w:rsid w:val="000103DE"/>
    <w:rsid w:val="000103E0"/>
    <w:rsid w:val="00010659"/>
    <w:rsid w:val="00010796"/>
    <w:rsid w:val="00010808"/>
    <w:rsid w:val="0001080F"/>
    <w:rsid w:val="0001095E"/>
    <w:rsid w:val="00010999"/>
    <w:rsid w:val="000109B9"/>
    <w:rsid w:val="00010A10"/>
    <w:rsid w:val="00010A6C"/>
    <w:rsid w:val="00010B31"/>
    <w:rsid w:val="00010CDB"/>
    <w:rsid w:val="00010CDC"/>
    <w:rsid w:val="00010D71"/>
    <w:rsid w:val="00010D7A"/>
    <w:rsid w:val="00010D88"/>
    <w:rsid w:val="00010EA1"/>
    <w:rsid w:val="00011000"/>
    <w:rsid w:val="0001103A"/>
    <w:rsid w:val="000111CE"/>
    <w:rsid w:val="000111F1"/>
    <w:rsid w:val="00011206"/>
    <w:rsid w:val="000112E2"/>
    <w:rsid w:val="00011397"/>
    <w:rsid w:val="000113A2"/>
    <w:rsid w:val="000114ED"/>
    <w:rsid w:val="000115A1"/>
    <w:rsid w:val="000115F3"/>
    <w:rsid w:val="00011617"/>
    <w:rsid w:val="000119E0"/>
    <w:rsid w:val="00011AB4"/>
    <w:rsid w:val="00011AC0"/>
    <w:rsid w:val="00011BDC"/>
    <w:rsid w:val="00011C4B"/>
    <w:rsid w:val="00011D7A"/>
    <w:rsid w:val="00011E05"/>
    <w:rsid w:val="00011EAB"/>
    <w:rsid w:val="00011EE9"/>
    <w:rsid w:val="00011F1C"/>
    <w:rsid w:val="00011F43"/>
    <w:rsid w:val="00011F59"/>
    <w:rsid w:val="00011FC8"/>
    <w:rsid w:val="000120D8"/>
    <w:rsid w:val="0001216D"/>
    <w:rsid w:val="000123A0"/>
    <w:rsid w:val="000125B3"/>
    <w:rsid w:val="000125C6"/>
    <w:rsid w:val="000125C8"/>
    <w:rsid w:val="00012626"/>
    <w:rsid w:val="0001270C"/>
    <w:rsid w:val="00012A1E"/>
    <w:rsid w:val="00012B31"/>
    <w:rsid w:val="00012D14"/>
    <w:rsid w:val="00012E65"/>
    <w:rsid w:val="00012E9E"/>
    <w:rsid w:val="00012F6F"/>
    <w:rsid w:val="00013014"/>
    <w:rsid w:val="0001306D"/>
    <w:rsid w:val="000130E1"/>
    <w:rsid w:val="0001316F"/>
    <w:rsid w:val="0001317E"/>
    <w:rsid w:val="000131F7"/>
    <w:rsid w:val="00013423"/>
    <w:rsid w:val="00013671"/>
    <w:rsid w:val="0001368B"/>
    <w:rsid w:val="0001374E"/>
    <w:rsid w:val="00013788"/>
    <w:rsid w:val="000137AA"/>
    <w:rsid w:val="000137E3"/>
    <w:rsid w:val="0001381F"/>
    <w:rsid w:val="0001393D"/>
    <w:rsid w:val="00013A50"/>
    <w:rsid w:val="00013DAD"/>
    <w:rsid w:val="00013E78"/>
    <w:rsid w:val="00013EEA"/>
    <w:rsid w:val="00013F21"/>
    <w:rsid w:val="00013F54"/>
    <w:rsid w:val="00013FE3"/>
    <w:rsid w:val="0001400A"/>
    <w:rsid w:val="00014051"/>
    <w:rsid w:val="00014098"/>
    <w:rsid w:val="00014102"/>
    <w:rsid w:val="0001411A"/>
    <w:rsid w:val="00014196"/>
    <w:rsid w:val="000141D7"/>
    <w:rsid w:val="00014400"/>
    <w:rsid w:val="0001443D"/>
    <w:rsid w:val="00014522"/>
    <w:rsid w:val="0001454F"/>
    <w:rsid w:val="00014570"/>
    <w:rsid w:val="000146EC"/>
    <w:rsid w:val="0001476C"/>
    <w:rsid w:val="000147F0"/>
    <w:rsid w:val="0001486C"/>
    <w:rsid w:val="0001491D"/>
    <w:rsid w:val="000149DE"/>
    <w:rsid w:val="00014B42"/>
    <w:rsid w:val="00014B4F"/>
    <w:rsid w:val="00014CDC"/>
    <w:rsid w:val="00014D36"/>
    <w:rsid w:val="00014DCC"/>
    <w:rsid w:val="00014F01"/>
    <w:rsid w:val="00014F69"/>
    <w:rsid w:val="00014F77"/>
    <w:rsid w:val="00014FA2"/>
    <w:rsid w:val="00015047"/>
    <w:rsid w:val="000150E1"/>
    <w:rsid w:val="0001525D"/>
    <w:rsid w:val="0001554E"/>
    <w:rsid w:val="00015571"/>
    <w:rsid w:val="00015630"/>
    <w:rsid w:val="000156FE"/>
    <w:rsid w:val="0001570B"/>
    <w:rsid w:val="00015803"/>
    <w:rsid w:val="00015868"/>
    <w:rsid w:val="000158E2"/>
    <w:rsid w:val="00015988"/>
    <w:rsid w:val="000159E7"/>
    <w:rsid w:val="00015A76"/>
    <w:rsid w:val="00015A81"/>
    <w:rsid w:val="00015AD6"/>
    <w:rsid w:val="00015B23"/>
    <w:rsid w:val="00015BCA"/>
    <w:rsid w:val="00015C8C"/>
    <w:rsid w:val="00015CC8"/>
    <w:rsid w:val="00015D03"/>
    <w:rsid w:val="00015D6C"/>
    <w:rsid w:val="00015E5D"/>
    <w:rsid w:val="00015F02"/>
    <w:rsid w:val="00015F24"/>
    <w:rsid w:val="000160D9"/>
    <w:rsid w:val="000160E7"/>
    <w:rsid w:val="00016191"/>
    <w:rsid w:val="0001635F"/>
    <w:rsid w:val="0001638C"/>
    <w:rsid w:val="0001642E"/>
    <w:rsid w:val="000164B0"/>
    <w:rsid w:val="0001657D"/>
    <w:rsid w:val="000165B8"/>
    <w:rsid w:val="00016747"/>
    <w:rsid w:val="000167E6"/>
    <w:rsid w:val="0001680C"/>
    <w:rsid w:val="00016838"/>
    <w:rsid w:val="0001688C"/>
    <w:rsid w:val="00016B81"/>
    <w:rsid w:val="00016CD2"/>
    <w:rsid w:val="00016D93"/>
    <w:rsid w:val="00016DDE"/>
    <w:rsid w:val="00016E96"/>
    <w:rsid w:val="00016EBB"/>
    <w:rsid w:val="000170B2"/>
    <w:rsid w:val="00017190"/>
    <w:rsid w:val="000171D3"/>
    <w:rsid w:val="0001735E"/>
    <w:rsid w:val="0001739B"/>
    <w:rsid w:val="000173DE"/>
    <w:rsid w:val="00017537"/>
    <w:rsid w:val="00017645"/>
    <w:rsid w:val="00017714"/>
    <w:rsid w:val="0001775A"/>
    <w:rsid w:val="000177F8"/>
    <w:rsid w:val="0001786D"/>
    <w:rsid w:val="000179EA"/>
    <w:rsid w:val="00017B05"/>
    <w:rsid w:val="00017B4F"/>
    <w:rsid w:val="00017B8E"/>
    <w:rsid w:val="00017C3D"/>
    <w:rsid w:val="00017C66"/>
    <w:rsid w:val="00017C90"/>
    <w:rsid w:val="00017D1E"/>
    <w:rsid w:val="00017E2E"/>
    <w:rsid w:val="00017E7A"/>
    <w:rsid w:val="000200AB"/>
    <w:rsid w:val="000201B2"/>
    <w:rsid w:val="000203EE"/>
    <w:rsid w:val="0002041F"/>
    <w:rsid w:val="00020495"/>
    <w:rsid w:val="000205C3"/>
    <w:rsid w:val="00020701"/>
    <w:rsid w:val="00020725"/>
    <w:rsid w:val="0002074F"/>
    <w:rsid w:val="00020770"/>
    <w:rsid w:val="00020A01"/>
    <w:rsid w:val="00020A8F"/>
    <w:rsid w:val="00020AA7"/>
    <w:rsid w:val="00020AB4"/>
    <w:rsid w:val="00020B62"/>
    <w:rsid w:val="00020C27"/>
    <w:rsid w:val="00020C9F"/>
    <w:rsid w:val="00020DB8"/>
    <w:rsid w:val="00020E06"/>
    <w:rsid w:val="00020E7F"/>
    <w:rsid w:val="00020EDD"/>
    <w:rsid w:val="00020F84"/>
    <w:rsid w:val="0002103D"/>
    <w:rsid w:val="000210AE"/>
    <w:rsid w:val="0002116A"/>
    <w:rsid w:val="000211F2"/>
    <w:rsid w:val="00021227"/>
    <w:rsid w:val="000212E3"/>
    <w:rsid w:val="000212F8"/>
    <w:rsid w:val="00021469"/>
    <w:rsid w:val="00021470"/>
    <w:rsid w:val="000214E6"/>
    <w:rsid w:val="0002157E"/>
    <w:rsid w:val="00021627"/>
    <w:rsid w:val="0002169F"/>
    <w:rsid w:val="000217E4"/>
    <w:rsid w:val="00021916"/>
    <w:rsid w:val="0002192E"/>
    <w:rsid w:val="0002196F"/>
    <w:rsid w:val="00021A2E"/>
    <w:rsid w:val="00021A34"/>
    <w:rsid w:val="00021BF7"/>
    <w:rsid w:val="00021BFB"/>
    <w:rsid w:val="00021C77"/>
    <w:rsid w:val="00021C92"/>
    <w:rsid w:val="00021CEF"/>
    <w:rsid w:val="00021D99"/>
    <w:rsid w:val="00021EB6"/>
    <w:rsid w:val="00021EE4"/>
    <w:rsid w:val="00021F15"/>
    <w:rsid w:val="00021F6D"/>
    <w:rsid w:val="00022084"/>
    <w:rsid w:val="00022108"/>
    <w:rsid w:val="000221F2"/>
    <w:rsid w:val="00022241"/>
    <w:rsid w:val="00022339"/>
    <w:rsid w:val="0002234B"/>
    <w:rsid w:val="000223C0"/>
    <w:rsid w:val="000224BC"/>
    <w:rsid w:val="00022572"/>
    <w:rsid w:val="0002277B"/>
    <w:rsid w:val="0002289D"/>
    <w:rsid w:val="0002293F"/>
    <w:rsid w:val="0002294D"/>
    <w:rsid w:val="00022953"/>
    <w:rsid w:val="00022986"/>
    <w:rsid w:val="00022C07"/>
    <w:rsid w:val="00022CC1"/>
    <w:rsid w:val="00022E34"/>
    <w:rsid w:val="00022E5E"/>
    <w:rsid w:val="00022EFB"/>
    <w:rsid w:val="00022F01"/>
    <w:rsid w:val="00022F1A"/>
    <w:rsid w:val="00022FE3"/>
    <w:rsid w:val="000230FB"/>
    <w:rsid w:val="000231D7"/>
    <w:rsid w:val="00023218"/>
    <w:rsid w:val="0002322D"/>
    <w:rsid w:val="000234BE"/>
    <w:rsid w:val="00023596"/>
    <w:rsid w:val="00023600"/>
    <w:rsid w:val="00023625"/>
    <w:rsid w:val="00023633"/>
    <w:rsid w:val="00023740"/>
    <w:rsid w:val="000237E7"/>
    <w:rsid w:val="000239B8"/>
    <w:rsid w:val="00023B78"/>
    <w:rsid w:val="00023B9C"/>
    <w:rsid w:val="00023BE3"/>
    <w:rsid w:val="00023C4C"/>
    <w:rsid w:val="00023C76"/>
    <w:rsid w:val="00023CD7"/>
    <w:rsid w:val="00023D4E"/>
    <w:rsid w:val="00023EAF"/>
    <w:rsid w:val="00023F66"/>
    <w:rsid w:val="0002406A"/>
    <w:rsid w:val="000240EC"/>
    <w:rsid w:val="000240F9"/>
    <w:rsid w:val="000243B5"/>
    <w:rsid w:val="0002465D"/>
    <w:rsid w:val="00024663"/>
    <w:rsid w:val="00024679"/>
    <w:rsid w:val="000246D2"/>
    <w:rsid w:val="0002470D"/>
    <w:rsid w:val="0002470E"/>
    <w:rsid w:val="00024981"/>
    <w:rsid w:val="000249D4"/>
    <w:rsid w:val="00024B38"/>
    <w:rsid w:val="00024C02"/>
    <w:rsid w:val="00024C3D"/>
    <w:rsid w:val="00024C4A"/>
    <w:rsid w:val="00024CEB"/>
    <w:rsid w:val="00024D0D"/>
    <w:rsid w:val="00024D16"/>
    <w:rsid w:val="00024E03"/>
    <w:rsid w:val="00024F3D"/>
    <w:rsid w:val="00025216"/>
    <w:rsid w:val="00025271"/>
    <w:rsid w:val="00025303"/>
    <w:rsid w:val="0002539D"/>
    <w:rsid w:val="0002541C"/>
    <w:rsid w:val="0002542E"/>
    <w:rsid w:val="00025564"/>
    <w:rsid w:val="00025620"/>
    <w:rsid w:val="000256DE"/>
    <w:rsid w:val="0002595D"/>
    <w:rsid w:val="00025C16"/>
    <w:rsid w:val="00025DD1"/>
    <w:rsid w:val="00025E9A"/>
    <w:rsid w:val="00025F04"/>
    <w:rsid w:val="00025F48"/>
    <w:rsid w:val="00025F4F"/>
    <w:rsid w:val="00025F61"/>
    <w:rsid w:val="000260AA"/>
    <w:rsid w:val="000260E5"/>
    <w:rsid w:val="00026155"/>
    <w:rsid w:val="00026578"/>
    <w:rsid w:val="000265A2"/>
    <w:rsid w:val="000265AC"/>
    <w:rsid w:val="000265D8"/>
    <w:rsid w:val="00026620"/>
    <w:rsid w:val="000266DF"/>
    <w:rsid w:val="00026713"/>
    <w:rsid w:val="000269A0"/>
    <w:rsid w:val="000269AB"/>
    <w:rsid w:val="00026A17"/>
    <w:rsid w:val="00026AE3"/>
    <w:rsid w:val="00026C05"/>
    <w:rsid w:val="00026D42"/>
    <w:rsid w:val="00026E13"/>
    <w:rsid w:val="00026E92"/>
    <w:rsid w:val="00026EED"/>
    <w:rsid w:val="00026F73"/>
    <w:rsid w:val="00026F95"/>
    <w:rsid w:val="00027015"/>
    <w:rsid w:val="0002704D"/>
    <w:rsid w:val="00027050"/>
    <w:rsid w:val="0002709D"/>
    <w:rsid w:val="00027197"/>
    <w:rsid w:val="0002726C"/>
    <w:rsid w:val="000275C1"/>
    <w:rsid w:val="0002761B"/>
    <w:rsid w:val="00027622"/>
    <w:rsid w:val="00027686"/>
    <w:rsid w:val="0002769A"/>
    <w:rsid w:val="000276E4"/>
    <w:rsid w:val="000277F1"/>
    <w:rsid w:val="00027962"/>
    <w:rsid w:val="00027984"/>
    <w:rsid w:val="000279B1"/>
    <w:rsid w:val="00027A42"/>
    <w:rsid w:val="00027A59"/>
    <w:rsid w:val="00027A8D"/>
    <w:rsid w:val="00027D51"/>
    <w:rsid w:val="00027D66"/>
    <w:rsid w:val="00027DB6"/>
    <w:rsid w:val="00030016"/>
    <w:rsid w:val="000300C3"/>
    <w:rsid w:val="000300D6"/>
    <w:rsid w:val="000301F1"/>
    <w:rsid w:val="00030388"/>
    <w:rsid w:val="00030494"/>
    <w:rsid w:val="000305A7"/>
    <w:rsid w:val="0003077A"/>
    <w:rsid w:val="00030914"/>
    <w:rsid w:val="00030ABB"/>
    <w:rsid w:val="00030AD6"/>
    <w:rsid w:val="00030B3A"/>
    <w:rsid w:val="00030B59"/>
    <w:rsid w:val="00030B79"/>
    <w:rsid w:val="00030BE4"/>
    <w:rsid w:val="00030D32"/>
    <w:rsid w:val="00030E0D"/>
    <w:rsid w:val="00030E8A"/>
    <w:rsid w:val="00030FA3"/>
    <w:rsid w:val="00031034"/>
    <w:rsid w:val="000310C0"/>
    <w:rsid w:val="000311AE"/>
    <w:rsid w:val="0003130B"/>
    <w:rsid w:val="0003130D"/>
    <w:rsid w:val="000313B4"/>
    <w:rsid w:val="00031403"/>
    <w:rsid w:val="000314C0"/>
    <w:rsid w:val="00031536"/>
    <w:rsid w:val="00031752"/>
    <w:rsid w:val="0003187D"/>
    <w:rsid w:val="000318C5"/>
    <w:rsid w:val="00031937"/>
    <w:rsid w:val="00031ADF"/>
    <w:rsid w:val="00031B17"/>
    <w:rsid w:val="00031D6D"/>
    <w:rsid w:val="00031D72"/>
    <w:rsid w:val="00032059"/>
    <w:rsid w:val="000320A5"/>
    <w:rsid w:val="0003212A"/>
    <w:rsid w:val="000321EB"/>
    <w:rsid w:val="000327C2"/>
    <w:rsid w:val="000327C8"/>
    <w:rsid w:val="0003281A"/>
    <w:rsid w:val="00032847"/>
    <w:rsid w:val="0003284C"/>
    <w:rsid w:val="000328BB"/>
    <w:rsid w:val="000328D1"/>
    <w:rsid w:val="00032984"/>
    <w:rsid w:val="00032AB9"/>
    <w:rsid w:val="00032B4D"/>
    <w:rsid w:val="00032C59"/>
    <w:rsid w:val="00032DED"/>
    <w:rsid w:val="00032E16"/>
    <w:rsid w:val="00032E45"/>
    <w:rsid w:val="00032F2D"/>
    <w:rsid w:val="00032FEF"/>
    <w:rsid w:val="000330B5"/>
    <w:rsid w:val="000330E0"/>
    <w:rsid w:val="000330EE"/>
    <w:rsid w:val="000330F8"/>
    <w:rsid w:val="000332B7"/>
    <w:rsid w:val="000332EE"/>
    <w:rsid w:val="00033457"/>
    <w:rsid w:val="0003347A"/>
    <w:rsid w:val="0003350B"/>
    <w:rsid w:val="000336C5"/>
    <w:rsid w:val="00033769"/>
    <w:rsid w:val="000337BF"/>
    <w:rsid w:val="000338D2"/>
    <w:rsid w:val="000338DF"/>
    <w:rsid w:val="00033C77"/>
    <w:rsid w:val="00033CA7"/>
    <w:rsid w:val="00033DA8"/>
    <w:rsid w:val="00033DA9"/>
    <w:rsid w:val="00034057"/>
    <w:rsid w:val="0003420C"/>
    <w:rsid w:val="000343E2"/>
    <w:rsid w:val="00034537"/>
    <w:rsid w:val="000345D3"/>
    <w:rsid w:val="0003470F"/>
    <w:rsid w:val="00034742"/>
    <w:rsid w:val="000348D3"/>
    <w:rsid w:val="0003498D"/>
    <w:rsid w:val="000349A9"/>
    <w:rsid w:val="00034AAF"/>
    <w:rsid w:val="00034B8C"/>
    <w:rsid w:val="00034B96"/>
    <w:rsid w:val="00034BBA"/>
    <w:rsid w:val="00034BD0"/>
    <w:rsid w:val="00034D4D"/>
    <w:rsid w:val="00034EEE"/>
    <w:rsid w:val="00034FF8"/>
    <w:rsid w:val="00035030"/>
    <w:rsid w:val="0003509B"/>
    <w:rsid w:val="000353AB"/>
    <w:rsid w:val="00035488"/>
    <w:rsid w:val="00035530"/>
    <w:rsid w:val="000356DE"/>
    <w:rsid w:val="00035754"/>
    <w:rsid w:val="000357EC"/>
    <w:rsid w:val="00035825"/>
    <w:rsid w:val="00035850"/>
    <w:rsid w:val="00035851"/>
    <w:rsid w:val="000359A6"/>
    <w:rsid w:val="000359C2"/>
    <w:rsid w:val="000359C4"/>
    <w:rsid w:val="00035A13"/>
    <w:rsid w:val="00035A85"/>
    <w:rsid w:val="00035AF4"/>
    <w:rsid w:val="00035BDE"/>
    <w:rsid w:val="00035C04"/>
    <w:rsid w:val="00035DCA"/>
    <w:rsid w:val="00035E04"/>
    <w:rsid w:val="00035EE4"/>
    <w:rsid w:val="00035F6B"/>
    <w:rsid w:val="00035F89"/>
    <w:rsid w:val="00035FA4"/>
    <w:rsid w:val="00035FA8"/>
    <w:rsid w:val="00035FBC"/>
    <w:rsid w:val="0003619C"/>
    <w:rsid w:val="0003625D"/>
    <w:rsid w:val="00036286"/>
    <w:rsid w:val="00036382"/>
    <w:rsid w:val="0003645F"/>
    <w:rsid w:val="000364C8"/>
    <w:rsid w:val="0003651C"/>
    <w:rsid w:val="000365EC"/>
    <w:rsid w:val="00036702"/>
    <w:rsid w:val="00036780"/>
    <w:rsid w:val="000367E4"/>
    <w:rsid w:val="000368EA"/>
    <w:rsid w:val="000368F2"/>
    <w:rsid w:val="00036916"/>
    <w:rsid w:val="00036937"/>
    <w:rsid w:val="0003697B"/>
    <w:rsid w:val="00036980"/>
    <w:rsid w:val="000369E1"/>
    <w:rsid w:val="00036A3B"/>
    <w:rsid w:val="00036A95"/>
    <w:rsid w:val="00036AAC"/>
    <w:rsid w:val="00036AAE"/>
    <w:rsid w:val="00036B46"/>
    <w:rsid w:val="00036BFE"/>
    <w:rsid w:val="00036C9C"/>
    <w:rsid w:val="00036C9D"/>
    <w:rsid w:val="00036CCD"/>
    <w:rsid w:val="00036DA6"/>
    <w:rsid w:val="00036E72"/>
    <w:rsid w:val="00036ED3"/>
    <w:rsid w:val="00036F1B"/>
    <w:rsid w:val="00036F1E"/>
    <w:rsid w:val="00036F29"/>
    <w:rsid w:val="00036F9C"/>
    <w:rsid w:val="00036FEA"/>
    <w:rsid w:val="000371F8"/>
    <w:rsid w:val="0003732F"/>
    <w:rsid w:val="000373D6"/>
    <w:rsid w:val="00037454"/>
    <w:rsid w:val="000374D7"/>
    <w:rsid w:val="000375FD"/>
    <w:rsid w:val="0003773A"/>
    <w:rsid w:val="00037975"/>
    <w:rsid w:val="000379C7"/>
    <w:rsid w:val="000379D4"/>
    <w:rsid w:val="000379EF"/>
    <w:rsid w:val="00037AC7"/>
    <w:rsid w:val="00037D1E"/>
    <w:rsid w:val="00037D73"/>
    <w:rsid w:val="00037DA0"/>
    <w:rsid w:val="00037E37"/>
    <w:rsid w:val="00037F77"/>
    <w:rsid w:val="00037FCC"/>
    <w:rsid w:val="00040000"/>
    <w:rsid w:val="000401A5"/>
    <w:rsid w:val="000401C9"/>
    <w:rsid w:val="000401D6"/>
    <w:rsid w:val="000401E3"/>
    <w:rsid w:val="00040335"/>
    <w:rsid w:val="000403D1"/>
    <w:rsid w:val="00040469"/>
    <w:rsid w:val="00040474"/>
    <w:rsid w:val="000404AB"/>
    <w:rsid w:val="000405E6"/>
    <w:rsid w:val="00040662"/>
    <w:rsid w:val="00040810"/>
    <w:rsid w:val="000409FD"/>
    <w:rsid w:val="00040A54"/>
    <w:rsid w:val="00040A58"/>
    <w:rsid w:val="00040A6A"/>
    <w:rsid w:val="00040B17"/>
    <w:rsid w:val="00040B43"/>
    <w:rsid w:val="00040C3D"/>
    <w:rsid w:val="00040D92"/>
    <w:rsid w:val="00040DA8"/>
    <w:rsid w:val="00040E60"/>
    <w:rsid w:val="00040EF1"/>
    <w:rsid w:val="00040F5B"/>
    <w:rsid w:val="000410BD"/>
    <w:rsid w:val="000410C7"/>
    <w:rsid w:val="0004113C"/>
    <w:rsid w:val="000411A7"/>
    <w:rsid w:val="0004123E"/>
    <w:rsid w:val="000412BE"/>
    <w:rsid w:val="00041424"/>
    <w:rsid w:val="0004146C"/>
    <w:rsid w:val="000414BB"/>
    <w:rsid w:val="00041643"/>
    <w:rsid w:val="00041749"/>
    <w:rsid w:val="00041769"/>
    <w:rsid w:val="000417C4"/>
    <w:rsid w:val="00041805"/>
    <w:rsid w:val="000418BE"/>
    <w:rsid w:val="00041AC9"/>
    <w:rsid w:val="00041BBC"/>
    <w:rsid w:val="00041C0C"/>
    <w:rsid w:val="00041CAC"/>
    <w:rsid w:val="00041D28"/>
    <w:rsid w:val="00041D42"/>
    <w:rsid w:val="00041D73"/>
    <w:rsid w:val="00041E01"/>
    <w:rsid w:val="00041EE3"/>
    <w:rsid w:val="00041F51"/>
    <w:rsid w:val="00042041"/>
    <w:rsid w:val="00042058"/>
    <w:rsid w:val="0004207E"/>
    <w:rsid w:val="000420FB"/>
    <w:rsid w:val="00042118"/>
    <w:rsid w:val="00042167"/>
    <w:rsid w:val="00042202"/>
    <w:rsid w:val="000423C6"/>
    <w:rsid w:val="00042532"/>
    <w:rsid w:val="0004253F"/>
    <w:rsid w:val="0004255B"/>
    <w:rsid w:val="00042627"/>
    <w:rsid w:val="0004267C"/>
    <w:rsid w:val="0004270E"/>
    <w:rsid w:val="0004276A"/>
    <w:rsid w:val="00042822"/>
    <w:rsid w:val="00042830"/>
    <w:rsid w:val="0004285A"/>
    <w:rsid w:val="0004286E"/>
    <w:rsid w:val="000428B2"/>
    <w:rsid w:val="00042922"/>
    <w:rsid w:val="0004292C"/>
    <w:rsid w:val="0004298C"/>
    <w:rsid w:val="00042A09"/>
    <w:rsid w:val="00042A29"/>
    <w:rsid w:val="00042AC4"/>
    <w:rsid w:val="00042AE8"/>
    <w:rsid w:val="00042B89"/>
    <w:rsid w:val="00042CD1"/>
    <w:rsid w:val="00042D7C"/>
    <w:rsid w:val="00043062"/>
    <w:rsid w:val="000430EF"/>
    <w:rsid w:val="00043256"/>
    <w:rsid w:val="00043359"/>
    <w:rsid w:val="0004340C"/>
    <w:rsid w:val="00043417"/>
    <w:rsid w:val="00043423"/>
    <w:rsid w:val="000434F1"/>
    <w:rsid w:val="00043517"/>
    <w:rsid w:val="00043536"/>
    <w:rsid w:val="00043589"/>
    <w:rsid w:val="000435D9"/>
    <w:rsid w:val="000437CA"/>
    <w:rsid w:val="00043837"/>
    <w:rsid w:val="0004393F"/>
    <w:rsid w:val="00043968"/>
    <w:rsid w:val="000439D7"/>
    <w:rsid w:val="00043B1A"/>
    <w:rsid w:val="00043B4B"/>
    <w:rsid w:val="00043BAF"/>
    <w:rsid w:val="00043C89"/>
    <w:rsid w:val="00043D49"/>
    <w:rsid w:val="00043F9D"/>
    <w:rsid w:val="00043FEA"/>
    <w:rsid w:val="0004401A"/>
    <w:rsid w:val="000440AD"/>
    <w:rsid w:val="0004413A"/>
    <w:rsid w:val="000441EC"/>
    <w:rsid w:val="000441FB"/>
    <w:rsid w:val="000442B8"/>
    <w:rsid w:val="000442EE"/>
    <w:rsid w:val="00044352"/>
    <w:rsid w:val="00044443"/>
    <w:rsid w:val="000444BA"/>
    <w:rsid w:val="000445C4"/>
    <w:rsid w:val="0004468E"/>
    <w:rsid w:val="000446F8"/>
    <w:rsid w:val="0004470B"/>
    <w:rsid w:val="00044728"/>
    <w:rsid w:val="0004479A"/>
    <w:rsid w:val="00044809"/>
    <w:rsid w:val="00044913"/>
    <w:rsid w:val="00044923"/>
    <w:rsid w:val="00044AD5"/>
    <w:rsid w:val="00044BB6"/>
    <w:rsid w:val="00044BF8"/>
    <w:rsid w:val="00044D1F"/>
    <w:rsid w:val="00044D5B"/>
    <w:rsid w:val="00044D88"/>
    <w:rsid w:val="00044E39"/>
    <w:rsid w:val="00044ECE"/>
    <w:rsid w:val="00044FAF"/>
    <w:rsid w:val="00045033"/>
    <w:rsid w:val="000450A5"/>
    <w:rsid w:val="00045155"/>
    <w:rsid w:val="000451FD"/>
    <w:rsid w:val="00045204"/>
    <w:rsid w:val="00045240"/>
    <w:rsid w:val="00045254"/>
    <w:rsid w:val="000453BE"/>
    <w:rsid w:val="000455E8"/>
    <w:rsid w:val="000455EF"/>
    <w:rsid w:val="000456F0"/>
    <w:rsid w:val="00045779"/>
    <w:rsid w:val="000459B2"/>
    <w:rsid w:val="000459E3"/>
    <w:rsid w:val="00045A20"/>
    <w:rsid w:val="00045C7C"/>
    <w:rsid w:val="00045DE7"/>
    <w:rsid w:val="00045E87"/>
    <w:rsid w:val="00045F09"/>
    <w:rsid w:val="0004608D"/>
    <w:rsid w:val="000460DF"/>
    <w:rsid w:val="000461BC"/>
    <w:rsid w:val="000461FD"/>
    <w:rsid w:val="00046256"/>
    <w:rsid w:val="000462E0"/>
    <w:rsid w:val="000463C1"/>
    <w:rsid w:val="000463E0"/>
    <w:rsid w:val="0004647E"/>
    <w:rsid w:val="000465BD"/>
    <w:rsid w:val="000465C3"/>
    <w:rsid w:val="0004661A"/>
    <w:rsid w:val="0004674B"/>
    <w:rsid w:val="00046922"/>
    <w:rsid w:val="0004694D"/>
    <w:rsid w:val="000469F5"/>
    <w:rsid w:val="00046A7F"/>
    <w:rsid w:val="00046B1E"/>
    <w:rsid w:val="00046CBD"/>
    <w:rsid w:val="00046CC4"/>
    <w:rsid w:val="00046CD1"/>
    <w:rsid w:val="00046CE3"/>
    <w:rsid w:val="00046D3B"/>
    <w:rsid w:val="00046DFF"/>
    <w:rsid w:val="00046F84"/>
    <w:rsid w:val="00046FAD"/>
    <w:rsid w:val="0004711F"/>
    <w:rsid w:val="00047200"/>
    <w:rsid w:val="000472D6"/>
    <w:rsid w:val="000472F1"/>
    <w:rsid w:val="000473A6"/>
    <w:rsid w:val="000473CF"/>
    <w:rsid w:val="0004758F"/>
    <w:rsid w:val="000475E2"/>
    <w:rsid w:val="000475EC"/>
    <w:rsid w:val="0004764F"/>
    <w:rsid w:val="00047658"/>
    <w:rsid w:val="0004778A"/>
    <w:rsid w:val="00047800"/>
    <w:rsid w:val="00047913"/>
    <w:rsid w:val="00047A27"/>
    <w:rsid w:val="00047A4A"/>
    <w:rsid w:val="00047B7B"/>
    <w:rsid w:val="00047DD6"/>
    <w:rsid w:val="00047DE9"/>
    <w:rsid w:val="00047EDC"/>
    <w:rsid w:val="00047F16"/>
    <w:rsid w:val="00047FA5"/>
    <w:rsid w:val="00047FF4"/>
    <w:rsid w:val="0005003C"/>
    <w:rsid w:val="000500A9"/>
    <w:rsid w:val="0005015C"/>
    <w:rsid w:val="000501B4"/>
    <w:rsid w:val="00050302"/>
    <w:rsid w:val="000503A1"/>
    <w:rsid w:val="000503CC"/>
    <w:rsid w:val="0005048D"/>
    <w:rsid w:val="000504BF"/>
    <w:rsid w:val="000504D6"/>
    <w:rsid w:val="0005052D"/>
    <w:rsid w:val="0005058C"/>
    <w:rsid w:val="0005061F"/>
    <w:rsid w:val="0005074A"/>
    <w:rsid w:val="0005075B"/>
    <w:rsid w:val="00050792"/>
    <w:rsid w:val="000508C7"/>
    <w:rsid w:val="00050A2F"/>
    <w:rsid w:val="00050B24"/>
    <w:rsid w:val="00050B65"/>
    <w:rsid w:val="00050BAB"/>
    <w:rsid w:val="00050D13"/>
    <w:rsid w:val="00050EDF"/>
    <w:rsid w:val="00050FA3"/>
    <w:rsid w:val="00051011"/>
    <w:rsid w:val="00051113"/>
    <w:rsid w:val="00051177"/>
    <w:rsid w:val="0005129E"/>
    <w:rsid w:val="00051502"/>
    <w:rsid w:val="00051648"/>
    <w:rsid w:val="0005171B"/>
    <w:rsid w:val="000517B2"/>
    <w:rsid w:val="000517D8"/>
    <w:rsid w:val="000518E6"/>
    <w:rsid w:val="000518F7"/>
    <w:rsid w:val="000519EB"/>
    <w:rsid w:val="00051A09"/>
    <w:rsid w:val="00051A4B"/>
    <w:rsid w:val="00051B1E"/>
    <w:rsid w:val="00051CE6"/>
    <w:rsid w:val="00051CFA"/>
    <w:rsid w:val="00051D88"/>
    <w:rsid w:val="00051E22"/>
    <w:rsid w:val="00051EA4"/>
    <w:rsid w:val="00051F57"/>
    <w:rsid w:val="00051F6F"/>
    <w:rsid w:val="00052030"/>
    <w:rsid w:val="00052173"/>
    <w:rsid w:val="000521C0"/>
    <w:rsid w:val="00052228"/>
    <w:rsid w:val="0005225A"/>
    <w:rsid w:val="00052356"/>
    <w:rsid w:val="000523DF"/>
    <w:rsid w:val="000523E0"/>
    <w:rsid w:val="00052463"/>
    <w:rsid w:val="00052487"/>
    <w:rsid w:val="00052750"/>
    <w:rsid w:val="0005276C"/>
    <w:rsid w:val="000528E3"/>
    <w:rsid w:val="0005291D"/>
    <w:rsid w:val="00052A22"/>
    <w:rsid w:val="00052AE5"/>
    <w:rsid w:val="00052B54"/>
    <w:rsid w:val="00052F56"/>
    <w:rsid w:val="00052F5E"/>
    <w:rsid w:val="0005300E"/>
    <w:rsid w:val="000530CE"/>
    <w:rsid w:val="0005317C"/>
    <w:rsid w:val="00053262"/>
    <w:rsid w:val="0005330D"/>
    <w:rsid w:val="00053355"/>
    <w:rsid w:val="00053455"/>
    <w:rsid w:val="000535B9"/>
    <w:rsid w:val="0005360F"/>
    <w:rsid w:val="00053715"/>
    <w:rsid w:val="00053773"/>
    <w:rsid w:val="000537B8"/>
    <w:rsid w:val="00053899"/>
    <w:rsid w:val="00053C04"/>
    <w:rsid w:val="00053CDC"/>
    <w:rsid w:val="00053CFF"/>
    <w:rsid w:val="00053E12"/>
    <w:rsid w:val="00053E52"/>
    <w:rsid w:val="00053EF2"/>
    <w:rsid w:val="00053F5C"/>
    <w:rsid w:val="00053F88"/>
    <w:rsid w:val="000540B5"/>
    <w:rsid w:val="0005411A"/>
    <w:rsid w:val="00054267"/>
    <w:rsid w:val="00054281"/>
    <w:rsid w:val="00054300"/>
    <w:rsid w:val="00054351"/>
    <w:rsid w:val="00054426"/>
    <w:rsid w:val="0005450A"/>
    <w:rsid w:val="000545C2"/>
    <w:rsid w:val="000546F8"/>
    <w:rsid w:val="00054747"/>
    <w:rsid w:val="00054788"/>
    <w:rsid w:val="00054843"/>
    <w:rsid w:val="00054868"/>
    <w:rsid w:val="000548C2"/>
    <w:rsid w:val="00054A44"/>
    <w:rsid w:val="00054A63"/>
    <w:rsid w:val="00054ABF"/>
    <w:rsid w:val="00054BF3"/>
    <w:rsid w:val="00054C18"/>
    <w:rsid w:val="00054C52"/>
    <w:rsid w:val="00054C9B"/>
    <w:rsid w:val="00054D6B"/>
    <w:rsid w:val="00054D8B"/>
    <w:rsid w:val="00054D97"/>
    <w:rsid w:val="00054FA9"/>
    <w:rsid w:val="00054FE2"/>
    <w:rsid w:val="0005514F"/>
    <w:rsid w:val="00055201"/>
    <w:rsid w:val="00055212"/>
    <w:rsid w:val="0005522B"/>
    <w:rsid w:val="000552D9"/>
    <w:rsid w:val="0005536C"/>
    <w:rsid w:val="00055385"/>
    <w:rsid w:val="00055461"/>
    <w:rsid w:val="0005547B"/>
    <w:rsid w:val="0005557F"/>
    <w:rsid w:val="00055770"/>
    <w:rsid w:val="00055794"/>
    <w:rsid w:val="00055834"/>
    <w:rsid w:val="00055A64"/>
    <w:rsid w:val="00055AC4"/>
    <w:rsid w:val="00055B36"/>
    <w:rsid w:val="00055C76"/>
    <w:rsid w:val="00055DE2"/>
    <w:rsid w:val="00055FF9"/>
    <w:rsid w:val="00056011"/>
    <w:rsid w:val="00056158"/>
    <w:rsid w:val="00056183"/>
    <w:rsid w:val="0005619D"/>
    <w:rsid w:val="000561F7"/>
    <w:rsid w:val="00056245"/>
    <w:rsid w:val="0005639B"/>
    <w:rsid w:val="00056419"/>
    <w:rsid w:val="00056450"/>
    <w:rsid w:val="00056531"/>
    <w:rsid w:val="000565C8"/>
    <w:rsid w:val="00056722"/>
    <w:rsid w:val="00056765"/>
    <w:rsid w:val="0005678C"/>
    <w:rsid w:val="000567D6"/>
    <w:rsid w:val="00056849"/>
    <w:rsid w:val="00056A15"/>
    <w:rsid w:val="00056A57"/>
    <w:rsid w:val="00056B60"/>
    <w:rsid w:val="00056B7E"/>
    <w:rsid w:val="00056BA1"/>
    <w:rsid w:val="00056BB9"/>
    <w:rsid w:val="00056C29"/>
    <w:rsid w:val="00056C90"/>
    <w:rsid w:val="00056D22"/>
    <w:rsid w:val="00056D35"/>
    <w:rsid w:val="00056D7E"/>
    <w:rsid w:val="00056DE3"/>
    <w:rsid w:val="00056E7F"/>
    <w:rsid w:val="00056E9D"/>
    <w:rsid w:val="00056F12"/>
    <w:rsid w:val="00056F64"/>
    <w:rsid w:val="0005700E"/>
    <w:rsid w:val="0005719E"/>
    <w:rsid w:val="00057237"/>
    <w:rsid w:val="00057247"/>
    <w:rsid w:val="00057256"/>
    <w:rsid w:val="00057258"/>
    <w:rsid w:val="00057266"/>
    <w:rsid w:val="000572D6"/>
    <w:rsid w:val="00057371"/>
    <w:rsid w:val="00057403"/>
    <w:rsid w:val="00057582"/>
    <w:rsid w:val="0005774E"/>
    <w:rsid w:val="000577FC"/>
    <w:rsid w:val="000578B9"/>
    <w:rsid w:val="000579B9"/>
    <w:rsid w:val="000579DA"/>
    <w:rsid w:val="000579E0"/>
    <w:rsid w:val="00057ADC"/>
    <w:rsid w:val="00057AE4"/>
    <w:rsid w:val="00057C14"/>
    <w:rsid w:val="00057D55"/>
    <w:rsid w:val="00057DD4"/>
    <w:rsid w:val="00057EC6"/>
    <w:rsid w:val="00057F40"/>
    <w:rsid w:val="00057FDC"/>
    <w:rsid w:val="00057FE1"/>
    <w:rsid w:val="0005E3E0"/>
    <w:rsid w:val="00060063"/>
    <w:rsid w:val="00060195"/>
    <w:rsid w:val="000601AA"/>
    <w:rsid w:val="000601BA"/>
    <w:rsid w:val="000601D8"/>
    <w:rsid w:val="000601F8"/>
    <w:rsid w:val="0006029C"/>
    <w:rsid w:val="0006029D"/>
    <w:rsid w:val="000602F1"/>
    <w:rsid w:val="0006034B"/>
    <w:rsid w:val="000604E6"/>
    <w:rsid w:val="000606BC"/>
    <w:rsid w:val="00060706"/>
    <w:rsid w:val="00060843"/>
    <w:rsid w:val="000609EE"/>
    <w:rsid w:val="00060A32"/>
    <w:rsid w:val="00060A39"/>
    <w:rsid w:val="00060AA4"/>
    <w:rsid w:val="00060AB8"/>
    <w:rsid w:val="00060BDB"/>
    <w:rsid w:val="00060C9D"/>
    <w:rsid w:val="00060CC1"/>
    <w:rsid w:val="00060D54"/>
    <w:rsid w:val="00060D6C"/>
    <w:rsid w:val="00060DBB"/>
    <w:rsid w:val="00060E77"/>
    <w:rsid w:val="00060FD0"/>
    <w:rsid w:val="00061057"/>
    <w:rsid w:val="00061077"/>
    <w:rsid w:val="0006112E"/>
    <w:rsid w:val="00061168"/>
    <w:rsid w:val="00061185"/>
    <w:rsid w:val="00061289"/>
    <w:rsid w:val="000613D7"/>
    <w:rsid w:val="00061535"/>
    <w:rsid w:val="00061561"/>
    <w:rsid w:val="00061709"/>
    <w:rsid w:val="000617E6"/>
    <w:rsid w:val="0006188D"/>
    <w:rsid w:val="000618F6"/>
    <w:rsid w:val="00061963"/>
    <w:rsid w:val="00061B33"/>
    <w:rsid w:val="00061D08"/>
    <w:rsid w:val="00061D7A"/>
    <w:rsid w:val="00061DC5"/>
    <w:rsid w:val="00061E91"/>
    <w:rsid w:val="00061F56"/>
    <w:rsid w:val="000620E6"/>
    <w:rsid w:val="000621F5"/>
    <w:rsid w:val="0006226E"/>
    <w:rsid w:val="000624D7"/>
    <w:rsid w:val="00062552"/>
    <w:rsid w:val="00062586"/>
    <w:rsid w:val="000625E8"/>
    <w:rsid w:val="0006265F"/>
    <w:rsid w:val="000627EF"/>
    <w:rsid w:val="000628A8"/>
    <w:rsid w:val="00062A02"/>
    <w:rsid w:val="00062A25"/>
    <w:rsid w:val="00062BE0"/>
    <w:rsid w:val="00062C02"/>
    <w:rsid w:val="00062D76"/>
    <w:rsid w:val="00062E8E"/>
    <w:rsid w:val="00062F35"/>
    <w:rsid w:val="0006302D"/>
    <w:rsid w:val="00063077"/>
    <w:rsid w:val="00063141"/>
    <w:rsid w:val="00063178"/>
    <w:rsid w:val="000631D1"/>
    <w:rsid w:val="000631EE"/>
    <w:rsid w:val="00063446"/>
    <w:rsid w:val="00063451"/>
    <w:rsid w:val="00063462"/>
    <w:rsid w:val="0006350C"/>
    <w:rsid w:val="00063534"/>
    <w:rsid w:val="000638F7"/>
    <w:rsid w:val="00063A69"/>
    <w:rsid w:val="00063B3E"/>
    <w:rsid w:val="00063C2C"/>
    <w:rsid w:val="00063C71"/>
    <w:rsid w:val="00063C96"/>
    <w:rsid w:val="00063DD2"/>
    <w:rsid w:val="00063DD5"/>
    <w:rsid w:val="00063F2A"/>
    <w:rsid w:val="000640FB"/>
    <w:rsid w:val="00064143"/>
    <w:rsid w:val="00064156"/>
    <w:rsid w:val="00064249"/>
    <w:rsid w:val="00064279"/>
    <w:rsid w:val="0006439F"/>
    <w:rsid w:val="00064567"/>
    <w:rsid w:val="000645C3"/>
    <w:rsid w:val="00064604"/>
    <w:rsid w:val="000646EC"/>
    <w:rsid w:val="000646F6"/>
    <w:rsid w:val="0006474C"/>
    <w:rsid w:val="000647EA"/>
    <w:rsid w:val="000648A0"/>
    <w:rsid w:val="000648DE"/>
    <w:rsid w:val="00064A7F"/>
    <w:rsid w:val="00064ACB"/>
    <w:rsid w:val="00064C0F"/>
    <w:rsid w:val="00064DA5"/>
    <w:rsid w:val="00064E49"/>
    <w:rsid w:val="00064E76"/>
    <w:rsid w:val="00064F93"/>
    <w:rsid w:val="0006515B"/>
    <w:rsid w:val="000653E7"/>
    <w:rsid w:val="00065445"/>
    <w:rsid w:val="00065538"/>
    <w:rsid w:val="00065544"/>
    <w:rsid w:val="00065579"/>
    <w:rsid w:val="000655BC"/>
    <w:rsid w:val="00065605"/>
    <w:rsid w:val="00065664"/>
    <w:rsid w:val="000657E2"/>
    <w:rsid w:val="00065819"/>
    <w:rsid w:val="00065992"/>
    <w:rsid w:val="000659B4"/>
    <w:rsid w:val="00065AE1"/>
    <w:rsid w:val="00065BBE"/>
    <w:rsid w:val="00065EA4"/>
    <w:rsid w:val="00065F32"/>
    <w:rsid w:val="00065FCD"/>
    <w:rsid w:val="000660BE"/>
    <w:rsid w:val="00066189"/>
    <w:rsid w:val="000661B9"/>
    <w:rsid w:val="00066205"/>
    <w:rsid w:val="000662F5"/>
    <w:rsid w:val="00066579"/>
    <w:rsid w:val="00066618"/>
    <w:rsid w:val="00066726"/>
    <w:rsid w:val="000667D4"/>
    <w:rsid w:val="0006691C"/>
    <w:rsid w:val="000669F8"/>
    <w:rsid w:val="00066A5D"/>
    <w:rsid w:val="00066B84"/>
    <w:rsid w:val="00066BB2"/>
    <w:rsid w:val="00066BC5"/>
    <w:rsid w:val="00066BF9"/>
    <w:rsid w:val="00066CB4"/>
    <w:rsid w:val="00066CED"/>
    <w:rsid w:val="00066D5E"/>
    <w:rsid w:val="00066E78"/>
    <w:rsid w:val="00066E9D"/>
    <w:rsid w:val="00066F06"/>
    <w:rsid w:val="00067096"/>
    <w:rsid w:val="00067282"/>
    <w:rsid w:val="00067649"/>
    <w:rsid w:val="00067715"/>
    <w:rsid w:val="0006771A"/>
    <w:rsid w:val="000677A0"/>
    <w:rsid w:val="000678F2"/>
    <w:rsid w:val="00067913"/>
    <w:rsid w:val="000679C8"/>
    <w:rsid w:val="00067C11"/>
    <w:rsid w:val="00067C31"/>
    <w:rsid w:val="00067C80"/>
    <w:rsid w:val="00067DD0"/>
    <w:rsid w:val="00067E6C"/>
    <w:rsid w:val="000700AF"/>
    <w:rsid w:val="000701B0"/>
    <w:rsid w:val="0007020A"/>
    <w:rsid w:val="00070299"/>
    <w:rsid w:val="00070316"/>
    <w:rsid w:val="0007064A"/>
    <w:rsid w:val="000707CE"/>
    <w:rsid w:val="0007081B"/>
    <w:rsid w:val="00070854"/>
    <w:rsid w:val="000709A3"/>
    <w:rsid w:val="000709FB"/>
    <w:rsid w:val="00070A27"/>
    <w:rsid w:val="00070AE3"/>
    <w:rsid w:val="00070B65"/>
    <w:rsid w:val="00070C98"/>
    <w:rsid w:val="00070CDF"/>
    <w:rsid w:val="00070CE3"/>
    <w:rsid w:val="00070D5B"/>
    <w:rsid w:val="00070D88"/>
    <w:rsid w:val="00070DB9"/>
    <w:rsid w:val="00070DDD"/>
    <w:rsid w:val="00070E46"/>
    <w:rsid w:val="00070EF1"/>
    <w:rsid w:val="00070EFE"/>
    <w:rsid w:val="00070F33"/>
    <w:rsid w:val="00071084"/>
    <w:rsid w:val="00071121"/>
    <w:rsid w:val="00071239"/>
    <w:rsid w:val="000712B4"/>
    <w:rsid w:val="00071362"/>
    <w:rsid w:val="00071378"/>
    <w:rsid w:val="000713E1"/>
    <w:rsid w:val="00071421"/>
    <w:rsid w:val="0007149E"/>
    <w:rsid w:val="000714A4"/>
    <w:rsid w:val="000714C3"/>
    <w:rsid w:val="000714C9"/>
    <w:rsid w:val="00071533"/>
    <w:rsid w:val="0007154C"/>
    <w:rsid w:val="000715AA"/>
    <w:rsid w:val="000716C2"/>
    <w:rsid w:val="00071730"/>
    <w:rsid w:val="000717C3"/>
    <w:rsid w:val="0007194D"/>
    <w:rsid w:val="00071B10"/>
    <w:rsid w:val="00071B5F"/>
    <w:rsid w:val="00071B8D"/>
    <w:rsid w:val="00071BEC"/>
    <w:rsid w:val="00071C44"/>
    <w:rsid w:val="00071E70"/>
    <w:rsid w:val="00071F14"/>
    <w:rsid w:val="00071F2A"/>
    <w:rsid w:val="00071F35"/>
    <w:rsid w:val="00071F5C"/>
    <w:rsid w:val="0007202F"/>
    <w:rsid w:val="00072096"/>
    <w:rsid w:val="0007214D"/>
    <w:rsid w:val="0007215B"/>
    <w:rsid w:val="000721E1"/>
    <w:rsid w:val="0007229A"/>
    <w:rsid w:val="0007241F"/>
    <w:rsid w:val="0007250A"/>
    <w:rsid w:val="0007252B"/>
    <w:rsid w:val="000726A9"/>
    <w:rsid w:val="00072768"/>
    <w:rsid w:val="000727BB"/>
    <w:rsid w:val="0007281D"/>
    <w:rsid w:val="00072865"/>
    <w:rsid w:val="000728AA"/>
    <w:rsid w:val="0007291A"/>
    <w:rsid w:val="0007294B"/>
    <w:rsid w:val="000729F7"/>
    <w:rsid w:val="00072BCB"/>
    <w:rsid w:val="00072C3A"/>
    <w:rsid w:val="00072C9F"/>
    <w:rsid w:val="00072CB3"/>
    <w:rsid w:val="00072D40"/>
    <w:rsid w:val="00072DBD"/>
    <w:rsid w:val="00073001"/>
    <w:rsid w:val="00073369"/>
    <w:rsid w:val="000734A0"/>
    <w:rsid w:val="000734F4"/>
    <w:rsid w:val="00073576"/>
    <w:rsid w:val="000735E0"/>
    <w:rsid w:val="00073649"/>
    <w:rsid w:val="00073704"/>
    <w:rsid w:val="000737B2"/>
    <w:rsid w:val="0007381C"/>
    <w:rsid w:val="00073887"/>
    <w:rsid w:val="000738FF"/>
    <w:rsid w:val="00073977"/>
    <w:rsid w:val="000739F6"/>
    <w:rsid w:val="00073C3E"/>
    <w:rsid w:val="00073DBE"/>
    <w:rsid w:val="00073E6F"/>
    <w:rsid w:val="00073E8A"/>
    <w:rsid w:val="00073F5C"/>
    <w:rsid w:val="00073FD0"/>
    <w:rsid w:val="00073FD5"/>
    <w:rsid w:val="00074169"/>
    <w:rsid w:val="000741F3"/>
    <w:rsid w:val="000743BD"/>
    <w:rsid w:val="000743E5"/>
    <w:rsid w:val="00074407"/>
    <w:rsid w:val="00074453"/>
    <w:rsid w:val="00074674"/>
    <w:rsid w:val="00074696"/>
    <w:rsid w:val="000746CA"/>
    <w:rsid w:val="0007476C"/>
    <w:rsid w:val="00074772"/>
    <w:rsid w:val="00074809"/>
    <w:rsid w:val="0007490F"/>
    <w:rsid w:val="00074930"/>
    <w:rsid w:val="0007495C"/>
    <w:rsid w:val="000749B1"/>
    <w:rsid w:val="00074A11"/>
    <w:rsid w:val="00074AEF"/>
    <w:rsid w:val="00074B10"/>
    <w:rsid w:val="00074B6F"/>
    <w:rsid w:val="00074FB7"/>
    <w:rsid w:val="00075024"/>
    <w:rsid w:val="00075032"/>
    <w:rsid w:val="0007506C"/>
    <w:rsid w:val="0007508E"/>
    <w:rsid w:val="000750DD"/>
    <w:rsid w:val="00075104"/>
    <w:rsid w:val="00075171"/>
    <w:rsid w:val="00075224"/>
    <w:rsid w:val="00075356"/>
    <w:rsid w:val="00075476"/>
    <w:rsid w:val="000754BA"/>
    <w:rsid w:val="0007552E"/>
    <w:rsid w:val="0007579F"/>
    <w:rsid w:val="000757C5"/>
    <w:rsid w:val="00075895"/>
    <w:rsid w:val="000758B1"/>
    <w:rsid w:val="00075958"/>
    <w:rsid w:val="00075A16"/>
    <w:rsid w:val="00075A2D"/>
    <w:rsid w:val="00075AAD"/>
    <w:rsid w:val="00075AF7"/>
    <w:rsid w:val="00075D65"/>
    <w:rsid w:val="00075D99"/>
    <w:rsid w:val="00075DB2"/>
    <w:rsid w:val="00075FBF"/>
    <w:rsid w:val="00075FDB"/>
    <w:rsid w:val="0007600A"/>
    <w:rsid w:val="00076023"/>
    <w:rsid w:val="00076123"/>
    <w:rsid w:val="0007632D"/>
    <w:rsid w:val="000763EF"/>
    <w:rsid w:val="0007656A"/>
    <w:rsid w:val="0007656C"/>
    <w:rsid w:val="0007657C"/>
    <w:rsid w:val="0007658C"/>
    <w:rsid w:val="000766C9"/>
    <w:rsid w:val="00076711"/>
    <w:rsid w:val="0007673E"/>
    <w:rsid w:val="00076845"/>
    <w:rsid w:val="00076A99"/>
    <w:rsid w:val="00076B46"/>
    <w:rsid w:val="00076B8F"/>
    <w:rsid w:val="00076C82"/>
    <w:rsid w:val="00076CC4"/>
    <w:rsid w:val="00076D44"/>
    <w:rsid w:val="00076DC6"/>
    <w:rsid w:val="00076E57"/>
    <w:rsid w:val="00076EB4"/>
    <w:rsid w:val="00076EC4"/>
    <w:rsid w:val="00076EDF"/>
    <w:rsid w:val="00076F26"/>
    <w:rsid w:val="00076F94"/>
    <w:rsid w:val="00076FD9"/>
    <w:rsid w:val="00077038"/>
    <w:rsid w:val="00077098"/>
    <w:rsid w:val="000770A9"/>
    <w:rsid w:val="000770DF"/>
    <w:rsid w:val="000770F6"/>
    <w:rsid w:val="000771D1"/>
    <w:rsid w:val="00077220"/>
    <w:rsid w:val="000773DF"/>
    <w:rsid w:val="0007745C"/>
    <w:rsid w:val="0007752F"/>
    <w:rsid w:val="00077778"/>
    <w:rsid w:val="000777FC"/>
    <w:rsid w:val="00077864"/>
    <w:rsid w:val="0007786F"/>
    <w:rsid w:val="0007787A"/>
    <w:rsid w:val="0007789E"/>
    <w:rsid w:val="0007799C"/>
    <w:rsid w:val="000779FB"/>
    <w:rsid w:val="00077C01"/>
    <w:rsid w:val="00077E9A"/>
    <w:rsid w:val="00077F8C"/>
    <w:rsid w:val="00080218"/>
    <w:rsid w:val="00080283"/>
    <w:rsid w:val="00080449"/>
    <w:rsid w:val="0008044C"/>
    <w:rsid w:val="0008052A"/>
    <w:rsid w:val="000805AA"/>
    <w:rsid w:val="000805DF"/>
    <w:rsid w:val="00080727"/>
    <w:rsid w:val="00080923"/>
    <w:rsid w:val="000809A0"/>
    <w:rsid w:val="000809C3"/>
    <w:rsid w:val="00080A09"/>
    <w:rsid w:val="00080A32"/>
    <w:rsid w:val="00080A96"/>
    <w:rsid w:val="00080AEF"/>
    <w:rsid w:val="00080BA4"/>
    <w:rsid w:val="00080C28"/>
    <w:rsid w:val="00080D43"/>
    <w:rsid w:val="00080D8E"/>
    <w:rsid w:val="00080DAD"/>
    <w:rsid w:val="00080DFB"/>
    <w:rsid w:val="00080F58"/>
    <w:rsid w:val="000810EB"/>
    <w:rsid w:val="0008116D"/>
    <w:rsid w:val="00081313"/>
    <w:rsid w:val="00081373"/>
    <w:rsid w:val="0008146A"/>
    <w:rsid w:val="000814F1"/>
    <w:rsid w:val="00081500"/>
    <w:rsid w:val="00081535"/>
    <w:rsid w:val="0008173C"/>
    <w:rsid w:val="000817B1"/>
    <w:rsid w:val="00081979"/>
    <w:rsid w:val="00081AB3"/>
    <w:rsid w:val="00081AB7"/>
    <w:rsid w:val="00081B38"/>
    <w:rsid w:val="00081C4E"/>
    <w:rsid w:val="00081CD7"/>
    <w:rsid w:val="00081D57"/>
    <w:rsid w:val="00081DA4"/>
    <w:rsid w:val="00081E13"/>
    <w:rsid w:val="00081E3F"/>
    <w:rsid w:val="00081E74"/>
    <w:rsid w:val="00081E88"/>
    <w:rsid w:val="00081EAC"/>
    <w:rsid w:val="00081FD0"/>
    <w:rsid w:val="000823F2"/>
    <w:rsid w:val="00082479"/>
    <w:rsid w:val="0008255F"/>
    <w:rsid w:val="00082610"/>
    <w:rsid w:val="00082830"/>
    <w:rsid w:val="00082A20"/>
    <w:rsid w:val="00082AC0"/>
    <w:rsid w:val="00082AFE"/>
    <w:rsid w:val="00082B52"/>
    <w:rsid w:val="00082C5B"/>
    <w:rsid w:val="00082D5F"/>
    <w:rsid w:val="000831A3"/>
    <w:rsid w:val="00083417"/>
    <w:rsid w:val="00083482"/>
    <w:rsid w:val="00083531"/>
    <w:rsid w:val="00083549"/>
    <w:rsid w:val="00083554"/>
    <w:rsid w:val="0008355A"/>
    <w:rsid w:val="00083632"/>
    <w:rsid w:val="000836E4"/>
    <w:rsid w:val="000837DE"/>
    <w:rsid w:val="00083931"/>
    <w:rsid w:val="00083994"/>
    <w:rsid w:val="0008399F"/>
    <w:rsid w:val="00083A8C"/>
    <w:rsid w:val="00083B17"/>
    <w:rsid w:val="00083B34"/>
    <w:rsid w:val="00083B5B"/>
    <w:rsid w:val="00083D08"/>
    <w:rsid w:val="00083D53"/>
    <w:rsid w:val="00083E4D"/>
    <w:rsid w:val="00083E6C"/>
    <w:rsid w:val="00083F96"/>
    <w:rsid w:val="0008415F"/>
    <w:rsid w:val="00084306"/>
    <w:rsid w:val="0008430A"/>
    <w:rsid w:val="0008436A"/>
    <w:rsid w:val="00084450"/>
    <w:rsid w:val="0008458C"/>
    <w:rsid w:val="000845CF"/>
    <w:rsid w:val="000846CE"/>
    <w:rsid w:val="00084763"/>
    <w:rsid w:val="00084958"/>
    <w:rsid w:val="0008495C"/>
    <w:rsid w:val="00084AA9"/>
    <w:rsid w:val="00084B5E"/>
    <w:rsid w:val="00084BA7"/>
    <w:rsid w:val="00084BBA"/>
    <w:rsid w:val="000850DD"/>
    <w:rsid w:val="00085193"/>
    <w:rsid w:val="00085383"/>
    <w:rsid w:val="0008538D"/>
    <w:rsid w:val="000853AC"/>
    <w:rsid w:val="000853E2"/>
    <w:rsid w:val="00085404"/>
    <w:rsid w:val="00085510"/>
    <w:rsid w:val="000855AC"/>
    <w:rsid w:val="0008561C"/>
    <w:rsid w:val="000856B8"/>
    <w:rsid w:val="00085737"/>
    <w:rsid w:val="000857BA"/>
    <w:rsid w:val="0008599B"/>
    <w:rsid w:val="00085A9D"/>
    <w:rsid w:val="00085BC5"/>
    <w:rsid w:val="00085BCF"/>
    <w:rsid w:val="00085C24"/>
    <w:rsid w:val="00085C2C"/>
    <w:rsid w:val="00085C77"/>
    <w:rsid w:val="00085CB2"/>
    <w:rsid w:val="00085EF8"/>
    <w:rsid w:val="00085F48"/>
    <w:rsid w:val="00086034"/>
    <w:rsid w:val="00086074"/>
    <w:rsid w:val="0008607D"/>
    <w:rsid w:val="000860B5"/>
    <w:rsid w:val="00086141"/>
    <w:rsid w:val="00086192"/>
    <w:rsid w:val="00086237"/>
    <w:rsid w:val="000862A0"/>
    <w:rsid w:val="00086318"/>
    <w:rsid w:val="00086348"/>
    <w:rsid w:val="00086383"/>
    <w:rsid w:val="000863A4"/>
    <w:rsid w:val="000863B2"/>
    <w:rsid w:val="000863FC"/>
    <w:rsid w:val="00086662"/>
    <w:rsid w:val="0008668D"/>
    <w:rsid w:val="00086693"/>
    <w:rsid w:val="000866AC"/>
    <w:rsid w:val="00086743"/>
    <w:rsid w:val="000867C6"/>
    <w:rsid w:val="0008688B"/>
    <w:rsid w:val="000868F6"/>
    <w:rsid w:val="00086908"/>
    <w:rsid w:val="0008693D"/>
    <w:rsid w:val="00086B43"/>
    <w:rsid w:val="00086B59"/>
    <w:rsid w:val="00086BF1"/>
    <w:rsid w:val="00086C5B"/>
    <w:rsid w:val="00086F2D"/>
    <w:rsid w:val="00087019"/>
    <w:rsid w:val="0008712A"/>
    <w:rsid w:val="000871F4"/>
    <w:rsid w:val="00087270"/>
    <w:rsid w:val="000872B4"/>
    <w:rsid w:val="00087312"/>
    <w:rsid w:val="00087388"/>
    <w:rsid w:val="000873C2"/>
    <w:rsid w:val="000873EE"/>
    <w:rsid w:val="0008748B"/>
    <w:rsid w:val="000876D4"/>
    <w:rsid w:val="00087844"/>
    <w:rsid w:val="000878DA"/>
    <w:rsid w:val="00087989"/>
    <w:rsid w:val="00087B3A"/>
    <w:rsid w:val="00087BF1"/>
    <w:rsid w:val="00087C02"/>
    <w:rsid w:val="00087D09"/>
    <w:rsid w:val="00087D23"/>
    <w:rsid w:val="00087D5A"/>
    <w:rsid w:val="00087DCB"/>
    <w:rsid w:val="00087E60"/>
    <w:rsid w:val="00087EB2"/>
    <w:rsid w:val="00087F59"/>
    <w:rsid w:val="00087FA8"/>
    <w:rsid w:val="00090005"/>
    <w:rsid w:val="00090021"/>
    <w:rsid w:val="00090071"/>
    <w:rsid w:val="000902BB"/>
    <w:rsid w:val="000903EC"/>
    <w:rsid w:val="00090529"/>
    <w:rsid w:val="000905C4"/>
    <w:rsid w:val="00090664"/>
    <w:rsid w:val="000906FE"/>
    <w:rsid w:val="00090902"/>
    <w:rsid w:val="000909CF"/>
    <w:rsid w:val="00090A55"/>
    <w:rsid w:val="00090ACA"/>
    <w:rsid w:val="00090B29"/>
    <w:rsid w:val="00090C13"/>
    <w:rsid w:val="00090D1B"/>
    <w:rsid w:val="00090DA4"/>
    <w:rsid w:val="00090DD6"/>
    <w:rsid w:val="00090E1C"/>
    <w:rsid w:val="00090F56"/>
    <w:rsid w:val="00090F74"/>
    <w:rsid w:val="00090F9F"/>
    <w:rsid w:val="00090FAF"/>
    <w:rsid w:val="00091001"/>
    <w:rsid w:val="0009100A"/>
    <w:rsid w:val="00091065"/>
    <w:rsid w:val="000910A1"/>
    <w:rsid w:val="00091179"/>
    <w:rsid w:val="000911AD"/>
    <w:rsid w:val="000911AF"/>
    <w:rsid w:val="000911B5"/>
    <w:rsid w:val="000911F2"/>
    <w:rsid w:val="00091364"/>
    <w:rsid w:val="00091549"/>
    <w:rsid w:val="000915A3"/>
    <w:rsid w:val="0009160E"/>
    <w:rsid w:val="000916AE"/>
    <w:rsid w:val="00091725"/>
    <w:rsid w:val="00091752"/>
    <w:rsid w:val="0009175C"/>
    <w:rsid w:val="000917C2"/>
    <w:rsid w:val="00091831"/>
    <w:rsid w:val="00091967"/>
    <w:rsid w:val="000919A1"/>
    <w:rsid w:val="000919DD"/>
    <w:rsid w:val="00091A60"/>
    <w:rsid w:val="00091AA9"/>
    <w:rsid w:val="00091AAE"/>
    <w:rsid w:val="00091C1D"/>
    <w:rsid w:val="00091C52"/>
    <w:rsid w:val="00091CD0"/>
    <w:rsid w:val="00091D37"/>
    <w:rsid w:val="00091E22"/>
    <w:rsid w:val="00091E94"/>
    <w:rsid w:val="000920F3"/>
    <w:rsid w:val="00092116"/>
    <w:rsid w:val="000921FE"/>
    <w:rsid w:val="00092449"/>
    <w:rsid w:val="00092499"/>
    <w:rsid w:val="000924A8"/>
    <w:rsid w:val="000924B2"/>
    <w:rsid w:val="000925C9"/>
    <w:rsid w:val="00092837"/>
    <w:rsid w:val="0009287B"/>
    <w:rsid w:val="00092975"/>
    <w:rsid w:val="0009298B"/>
    <w:rsid w:val="000929B6"/>
    <w:rsid w:val="00092A21"/>
    <w:rsid w:val="00092A23"/>
    <w:rsid w:val="00092CB4"/>
    <w:rsid w:val="00092CFC"/>
    <w:rsid w:val="00092D0E"/>
    <w:rsid w:val="00092DA5"/>
    <w:rsid w:val="00092DB6"/>
    <w:rsid w:val="00093002"/>
    <w:rsid w:val="0009308C"/>
    <w:rsid w:val="00093091"/>
    <w:rsid w:val="0009311D"/>
    <w:rsid w:val="000931A6"/>
    <w:rsid w:val="000931C0"/>
    <w:rsid w:val="00093248"/>
    <w:rsid w:val="00093276"/>
    <w:rsid w:val="00093324"/>
    <w:rsid w:val="0009332D"/>
    <w:rsid w:val="00093330"/>
    <w:rsid w:val="0009344F"/>
    <w:rsid w:val="00093457"/>
    <w:rsid w:val="000934C6"/>
    <w:rsid w:val="00093645"/>
    <w:rsid w:val="0009367A"/>
    <w:rsid w:val="00093685"/>
    <w:rsid w:val="00093750"/>
    <w:rsid w:val="0009376B"/>
    <w:rsid w:val="0009381E"/>
    <w:rsid w:val="00093860"/>
    <w:rsid w:val="000938B0"/>
    <w:rsid w:val="00093AC4"/>
    <w:rsid w:val="00093B7C"/>
    <w:rsid w:val="00093BF2"/>
    <w:rsid w:val="00093CC1"/>
    <w:rsid w:val="00093CCE"/>
    <w:rsid w:val="00093CD3"/>
    <w:rsid w:val="00093F9E"/>
    <w:rsid w:val="00094103"/>
    <w:rsid w:val="00094108"/>
    <w:rsid w:val="0009425F"/>
    <w:rsid w:val="00094262"/>
    <w:rsid w:val="00094622"/>
    <w:rsid w:val="0009464F"/>
    <w:rsid w:val="00094717"/>
    <w:rsid w:val="0009482B"/>
    <w:rsid w:val="00094BA1"/>
    <w:rsid w:val="00094C71"/>
    <w:rsid w:val="00094C7E"/>
    <w:rsid w:val="00094CAD"/>
    <w:rsid w:val="00094CBD"/>
    <w:rsid w:val="00094E76"/>
    <w:rsid w:val="00094E99"/>
    <w:rsid w:val="00094EC2"/>
    <w:rsid w:val="00094EC5"/>
    <w:rsid w:val="00094F3C"/>
    <w:rsid w:val="00095070"/>
    <w:rsid w:val="000950CD"/>
    <w:rsid w:val="00095244"/>
    <w:rsid w:val="0009528E"/>
    <w:rsid w:val="000952CA"/>
    <w:rsid w:val="0009532A"/>
    <w:rsid w:val="0009532D"/>
    <w:rsid w:val="00095384"/>
    <w:rsid w:val="000953DC"/>
    <w:rsid w:val="0009541A"/>
    <w:rsid w:val="0009544C"/>
    <w:rsid w:val="00095510"/>
    <w:rsid w:val="0009551A"/>
    <w:rsid w:val="00095528"/>
    <w:rsid w:val="0009564B"/>
    <w:rsid w:val="00095778"/>
    <w:rsid w:val="00095850"/>
    <w:rsid w:val="000959D4"/>
    <w:rsid w:val="00095A57"/>
    <w:rsid w:val="00095BA9"/>
    <w:rsid w:val="00095DC4"/>
    <w:rsid w:val="00095DCF"/>
    <w:rsid w:val="00095DE6"/>
    <w:rsid w:val="00095E03"/>
    <w:rsid w:val="00095F08"/>
    <w:rsid w:val="00095F96"/>
    <w:rsid w:val="00095F9A"/>
    <w:rsid w:val="00095FF6"/>
    <w:rsid w:val="0009603C"/>
    <w:rsid w:val="000961BB"/>
    <w:rsid w:val="0009645D"/>
    <w:rsid w:val="0009646F"/>
    <w:rsid w:val="0009653D"/>
    <w:rsid w:val="00096541"/>
    <w:rsid w:val="000965AC"/>
    <w:rsid w:val="000966A1"/>
    <w:rsid w:val="000966E8"/>
    <w:rsid w:val="00096737"/>
    <w:rsid w:val="00096744"/>
    <w:rsid w:val="00096780"/>
    <w:rsid w:val="00096911"/>
    <w:rsid w:val="00096985"/>
    <w:rsid w:val="0009698B"/>
    <w:rsid w:val="00096B27"/>
    <w:rsid w:val="00096B5B"/>
    <w:rsid w:val="00096B79"/>
    <w:rsid w:val="00096BDE"/>
    <w:rsid w:val="00096BF7"/>
    <w:rsid w:val="00096CEB"/>
    <w:rsid w:val="00096D86"/>
    <w:rsid w:val="00096D90"/>
    <w:rsid w:val="00096D9A"/>
    <w:rsid w:val="00096E16"/>
    <w:rsid w:val="00096F43"/>
    <w:rsid w:val="00097074"/>
    <w:rsid w:val="00097218"/>
    <w:rsid w:val="0009722E"/>
    <w:rsid w:val="00097265"/>
    <w:rsid w:val="00097442"/>
    <w:rsid w:val="000974C5"/>
    <w:rsid w:val="000977ED"/>
    <w:rsid w:val="000978E0"/>
    <w:rsid w:val="00097985"/>
    <w:rsid w:val="00097988"/>
    <w:rsid w:val="000979DF"/>
    <w:rsid w:val="00097AEC"/>
    <w:rsid w:val="00097DE2"/>
    <w:rsid w:val="00097DEB"/>
    <w:rsid w:val="00097E49"/>
    <w:rsid w:val="00097E79"/>
    <w:rsid w:val="00097EDC"/>
    <w:rsid w:val="00097FEC"/>
    <w:rsid w:val="000A001B"/>
    <w:rsid w:val="000A0044"/>
    <w:rsid w:val="000A016A"/>
    <w:rsid w:val="000A01E0"/>
    <w:rsid w:val="000A05A2"/>
    <w:rsid w:val="000A062C"/>
    <w:rsid w:val="000A071E"/>
    <w:rsid w:val="000A0787"/>
    <w:rsid w:val="000A08AC"/>
    <w:rsid w:val="000A09C3"/>
    <w:rsid w:val="000A09EB"/>
    <w:rsid w:val="000A0A04"/>
    <w:rsid w:val="000A0AF7"/>
    <w:rsid w:val="000A0BA2"/>
    <w:rsid w:val="000A0DC5"/>
    <w:rsid w:val="000A0E82"/>
    <w:rsid w:val="000A0ED8"/>
    <w:rsid w:val="000A0F92"/>
    <w:rsid w:val="000A1001"/>
    <w:rsid w:val="000A1072"/>
    <w:rsid w:val="000A10FC"/>
    <w:rsid w:val="000A10FF"/>
    <w:rsid w:val="000A1114"/>
    <w:rsid w:val="000A1126"/>
    <w:rsid w:val="000A1138"/>
    <w:rsid w:val="000A114D"/>
    <w:rsid w:val="000A1216"/>
    <w:rsid w:val="000A122F"/>
    <w:rsid w:val="000A1321"/>
    <w:rsid w:val="000A13B7"/>
    <w:rsid w:val="000A14E2"/>
    <w:rsid w:val="000A14F4"/>
    <w:rsid w:val="000A1525"/>
    <w:rsid w:val="000A152C"/>
    <w:rsid w:val="000A161C"/>
    <w:rsid w:val="000A1748"/>
    <w:rsid w:val="000A1774"/>
    <w:rsid w:val="000A1830"/>
    <w:rsid w:val="000A1850"/>
    <w:rsid w:val="000A195C"/>
    <w:rsid w:val="000A1BC5"/>
    <w:rsid w:val="000A1C4D"/>
    <w:rsid w:val="000A1CEC"/>
    <w:rsid w:val="000A1D7C"/>
    <w:rsid w:val="000A1D88"/>
    <w:rsid w:val="000A1E77"/>
    <w:rsid w:val="000A1F3E"/>
    <w:rsid w:val="000A1F55"/>
    <w:rsid w:val="000A22A2"/>
    <w:rsid w:val="000A23B7"/>
    <w:rsid w:val="000A23E0"/>
    <w:rsid w:val="000A2443"/>
    <w:rsid w:val="000A24A1"/>
    <w:rsid w:val="000A25E2"/>
    <w:rsid w:val="000A261C"/>
    <w:rsid w:val="000A2625"/>
    <w:rsid w:val="000A272A"/>
    <w:rsid w:val="000A273C"/>
    <w:rsid w:val="000A274E"/>
    <w:rsid w:val="000A27AB"/>
    <w:rsid w:val="000A27DB"/>
    <w:rsid w:val="000A286D"/>
    <w:rsid w:val="000A28EC"/>
    <w:rsid w:val="000A29E0"/>
    <w:rsid w:val="000A2A03"/>
    <w:rsid w:val="000A2BE2"/>
    <w:rsid w:val="000A2D32"/>
    <w:rsid w:val="000A2D56"/>
    <w:rsid w:val="000A2D9A"/>
    <w:rsid w:val="000A2DAA"/>
    <w:rsid w:val="000A2E20"/>
    <w:rsid w:val="000A2ED0"/>
    <w:rsid w:val="000A2F54"/>
    <w:rsid w:val="000A3017"/>
    <w:rsid w:val="000A3104"/>
    <w:rsid w:val="000A3127"/>
    <w:rsid w:val="000A313D"/>
    <w:rsid w:val="000A3225"/>
    <w:rsid w:val="000A3437"/>
    <w:rsid w:val="000A34A2"/>
    <w:rsid w:val="000A35D6"/>
    <w:rsid w:val="000A367B"/>
    <w:rsid w:val="000A36FA"/>
    <w:rsid w:val="000A3798"/>
    <w:rsid w:val="000A391A"/>
    <w:rsid w:val="000A39BF"/>
    <w:rsid w:val="000A3BC7"/>
    <w:rsid w:val="000A3C70"/>
    <w:rsid w:val="000A3C7C"/>
    <w:rsid w:val="000A3E65"/>
    <w:rsid w:val="000A3EF1"/>
    <w:rsid w:val="000A3F8D"/>
    <w:rsid w:val="000A400D"/>
    <w:rsid w:val="000A407E"/>
    <w:rsid w:val="000A40BF"/>
    <w:rsid w:val="000A4133"/>
    <w:rsid w:val="000A421E"/>
    <w:rsid w:val="000A4253"/>
    <w:rsid w:val="000A4306"/>
    <w:rsid w:val="000A4549"/>
    <w:rsid w:val="000A45E6"/>
    <w:rsid w:val="000A465D"/>
    <w:rsid w:val="000A46B3"/>
    <w:rsid w:val="000A4754"/>
    <w:rsid w:val="000A4855"/>
    <w:rsid w:val="000A485D"/>
    <w:rsid w:val="000A48E2"/>
    <w:rsid w:val="000A490C"/>
    <w:rsid w:val="000A4938"/>
    <w:rsid w:val="000A4A96"/>
    <w:rsid w:val="000A4B0A"/>
    <w:rsid w:val="000A4C4F"/>
    <w:rsid w:val="000A4C53"/>
    <w:rsid w:val="000A4CF4"/>
    <w:rsid w:val="000A4E52"/>
    <w:rsid w:val="000A5157"/>
    <w:rsid w:val="000A5191"/>
    <w:rsid w:val="000A51DA"/>
    <w:rsid w:val="000A52C5"/>
    <w:rsid w:val="000A5316"/>
    <w:rsid w:val="000A538B"/>
    <w:rsid w:val="000A547B"/>
    <w:rsid w:val="000A551E"/>
    <w:rsid w:val="000A55DD"/>
    <w:rsid w:val="000A5694"/>
    <w:rsid w:val="000A56F2"/>
    <w:rsid w:val="000A5891"/>
    <w:rsid w:val="000A5935"/>
    <w:rsid w:val="000A5A2A"/>
    <w:rsid w:val="000A5A60"/>
    <w:rsid w:val="000A5BC5"/>
    <w:rsid w:val="000A5EC0"/>
    <w:rsid w:val="000A5F02"/>
    <w:rsid w:val="000A5F3B"/>
    <w:rsid w:val="000A5FD5"/>
    <w:rsid w:val="000A61D3"/>
    <w:rsid w:val="000A6202"/>
    <w:rsid w:val="000A627C"/>
    <w:rsid w:val="000A628A"/>
    <w:rsid w:val="000A647D"/>
    <w:rsid w:val="000A649D"/>
    <w:rsid w:val="000A64BC"/>
    <w:rsid w:val="000A6515"/>
    <w:rsid w:val="000A65C8"/>
    <w:rsid w:val="000A65D5"/>
    <w:rsid w:val="000A662D"/>
    <w:rsid w:val="000A6776"/>
    <w:rsid w:val="000A6900"/>
    <w:rsid w:val="000A6925"/>
    <w:rsid w:val="000A6A5E"/>
    <w:rsid w:val="000A6A76"/>
    <w:rsid w:val="000A6A86"/>
    <w:rsid w:val="000A6B2C"/>
    <w:rsid w:val="000A6B5F"/>
    <w:rsid w:val="000A6C13"/>
    <w:rsid w:val="000A6D74"/>
    <w:rsid w:val="000A6DCF"/>
    <w:rsid w:val="000A6DF3"/>
    <w:rsid w:val="000A6E86"/>
    <w:rsid w:val="000A6F29"/>
    <w:rsid w:val="000A6FF9"/>
    <w:rsid w:val="000A7112"/>
    <w:rsid w:val="000A736C"/>
    <w:rsid w:val="000A74CF"/>
    <w:rsid w:val="000A7538"/>
    <w:rsid w:val="000A7563"/>
    <w:rsid w:val="000A759B"/>
    <w:rsid w:val="000A75B1"/>
    <w:rsid w:val="000A7665"/>
    <w:rsid w:val="000A7894"/>
    <w:rsid w:val="000A7CC7"/>
    <w:rsid w:val="000A7D40"/>
    <w:rsid w:val="000A7E75"/>
    <w:rsid w:val="000A7F1D"/>
    <w:rsid w:val="000A7FEB"/>
    <w:rsid w:val="000B00FA"/>
    <w:rsid w:val="000B0221"/>
    <w:rsid w:val="000B026A"/>
    <w:rsid w:val="000B0466"/>
    <w:rsid w:val="000B0594"/>
    <w:rsid w:val="000B0611"/>
    <w:rsid w:val="000B0668"/>
    <w:rsid w:val="000B099C"/>
    <w:rsid w:val="000B0A6F"/>
    <w:rsid w:val="000B0AE7"/>
    <w:rsid w:val="000B0BDA"/>
    <w:rsid w:val="000B0C26"/>
    <w:rsid w:val="000B0CC6"/>
    <w:rsid w:val="000B0D2E"/>
    <w:rsid w:val="000B0E77"/>
    <w:rsid w:val="000B0E83"/>
    <w:rsid w:val="000B0F8D"/>
    <w:rsid w:val="000B1149"/>
    <w:rsid w:val="000B11AE"/>
    <w:rsid w:val="000B11C8"/>
    <w:rsid w:val="000B122B"/>
    <w:rsid w:val="000B123E"/>
    <w:rsid w:val="000B128A"/>
    <w:rsid w:val="000B13FB"/>
    <w:rsid w:val="000B155B"/>
    <w:rsid w:val="000B1685"/>
    <w:rsid w:val="000B1756"/>
    <w:rsid w:val="000B17C7"/>
    <w:rsid w:val="000B1876"/>
    <w:rsid w:val="000B1A7E"/>
    <w:rsid w:val="000B1AAB"/>
    <w:rsid w:val="000B1C4E"/>
    <w:rsid w:val="000B1C5B"/>
    <w:rsid w:val="000B1E18"/>
    <w:rsid w:val="000B1F00"/>
    <w:rsid w:val="000B1F30"/>
    <w:rsid w:val="000B1F7A"/>
    <w:rsid w:val="000B2121"/>
    <w:rsid w:val="000B2161"/>
    <w:rsid w:val="000B2296"/>
    <w:rsid w:val="000B23C1"/>
    <w:rsid w:val="000B25A6"/>
    <w:rsid w:val="000B2752"/>
    <w:rsid w:val="000B2933"/>
    <w:rsid w:val="000B2939"/>
    <w:rsid w:val="000B294E"/>
    <w:rsid w:val="000B2977"/>
    <w:rsid w:val="000B2B16"/>
    <w:rsid w:val="000B2CC0"/>
    <w:rsid w:val="000B2CCC"/>
    <w:rsid w:val="000B2D9C"/>
    <w:rsid w:val="000B2E85"/>
    <w:rsid w:val="000B2F60"/>
    <w:rsid w:val="000B30BA"/>
    <w:rsid w:val="000B3546"/>
    <w:rsid w:val="000B3618"/>
    <w:rsid w:val="000B3658"/>
    <w:rsid w:val="000B3682"/>
    <w:rsid w:val="000B3818"/>
    <w:rsid w:val="000B3848"/>
    <w:rsid w:val="000B38D3"/>
    <w:rsid w:val="000B3989"/>
    <w:rsid w:val="000B39F1"/>
    <w:rsid w:val="000B3BC5"/>
    <w:rsid w:val="000B3C57"/>
    <w:rsid w:val="000B3C7C"/>
    <w:rsid w:val="000B3D28"/>
    <w:rsid w:val="000B3E2A"/>
    <w:rsid w:val="000B3EE7"/>
    <w:rsid w:val="000B3F68"/>
    <w:rsid w:val="000B40EF"/>
    <w:rsid w:val="000B41F0"/>
    <w:rsid w:val="000B4299"/>
    <w:rsid w:val="000B42A9"/>
    <w:rsid w:val="000B42C2"/>
    <w:rsid w:val="000B4306"/>
    <w:rsid w:val="000B43E6"/>
    <w:rsid w:val="000B4491"/>
    <w:rsid w:val="000B44FC"/>
    <w:rsid w:val="000B4546"/>
    <w:rsid w:val="000B458E"/>
    <w:rsid w:val="000B4627"/>
    <w:rsid w:val="000B48A3"/>
    <w:rsid w:val="000B48F4"/>
    <w:rsid w:val="000B48F5"/>
    <w:rsid w:val="000B4959"/>
    <w:rsid w:val="000B4A5B"/>
    <w:rsid w:val="000B4A8A"/>
    <w:rsid w:val="000B4B3B"/>
    <w:rsid w:val="000B4C10"/>
    <w:rsid w:val="000B4CAB"/>
    <w:rsid w:val="000B4CF0"/>
    <w:rsid w:val="000B4D98"/>
    <w:rsid w:val="000B4DBC"/>
    <w:rsid w:val="000B4E44"/>
    <w:rsid w:val="000B4EB9"/>
    <w:rsid w:val="000B4EE6"/>
    <w:rsid w:val="000B4FE6"/>
    <w:rsid w:val="000B50D3"/>
    <w:rsid w:val="000B514B"/>
    <w:rsid w:val="000B5151"/>
    <w:rsid w:val="000B519D"/>
    <w:rsid w:val="000B51D1"/>
    <w:rsid w:val="000B5215"/>
    <w:rsid w:val="000B5251"/>
    <w:rsid w:val="000B52DB"/>
    <w:rsid w:val="000B5438"/>
    <w:rsid w:val="000B54BD"/>
    <w:rsid w:val="000B55ED"/>
    <w:rsid w:val="000B563C"/>
    <w:rsid w:val="000B571E"/>
    <w:rsid w:val="000B5761"/>
    <w:rsid w:val="000B579B"/>
    <w:rsid w:val="000B57B5"/>
    <w:rsid w:val="000B57F6"/>
    <w:rsid w:val="000B5849"/>
    <w:rsid w:val="000B591B"/>
    <w:rsid w:val="000B5A6C"/>
    <w:rsid w:val="000B5C18"/>
    <w:rsid w:val="000B5C26"/>
    <w:rsid w:val="000B5C37"/>
    <w:rsid w:val="000B5C54"/>
    <w:rsid w:val="000B5DDE"/>
    <w:rsid w:val="000B5DDF"/>
    <w:rsid w:val="000B5E68"/>
    <w:rsid w:val="000B5E97"/>
    <w:rsid w:val="000B5F46"/>
    <w:rsid w:val="000B610F"/>
    <w:rsid w:val="000B619C"/>
    <w:rsid w:val="000B646E"/>
    <w:rsid w:val="000B652D"/>
    <w:rsid w:val="000B672E"/>
    <w:rsid w:val="000B6874"/>
    <w:rsid w:val="000B68F5"/>
    <w:rsid w:val="000B6933"/>
    <w:rsid w:val="000B69FE"/>
    <w:rsid w:val="000B6A83"/>
    <w:rsid w:val="000B6A88"/>
    <w:rsid w:val="000B6AAB"/>
    <w:rsid w:val="000B6AC0"/>
    <w:rsid w:val="000B6B3F"/>
    <w:rsid w:val="000B6B50"/>
    <w:rsid w:val="000B6BE8"/>
    <w:rsid w:val="000B6C67"/>
    <w:rsid w:val="000B6D49"/>
    <w:rsid w:val="000B6DE4"/>
    <w:rsid w:val="000B6E48"/>
    <w:rsid w:val="000B6E72"/>
    <w:rsid w:val="000B70EF"/>
    <w:rsid w:val="000B727F"/>
    <w:rsid w:val="000B730F"/>
    <w:rsid w:val="000B7434"/>
    <w:rsid w:val="000B7493"/>
    <w:rsid w:val="000B74E6"/>
    <w:rsid w:val="000B751C"/>
    <w:rsid w:val="000B758B"/>
    <w:rsid w:val="000B76FE"/>
    <w:rsid w:val="000B773E"/>
    <w:rsid w:val="000B779B"/>
    <w:rsid w:val="000B785E"/>
    <w:rsid w:val="000B788A"/>
    <w:rsid w:val="000B78DC"/>
    <w:rsid w:val="000B7948"/>
    <w:rsid w:val="000B795E"/>
    <w:rsid w:val="000B7A6F"/>
    <w:rsid w:val="000B7A7D"/>
    <w:rsid w:val="000B7B0E"/>
    <w:rsid w:val="000B7B46"/>
    <w:rsid w:val="000B7B67"/>
    <w:rsid w:val="000B7BEB"/>
    <w:rsid w:val="000B7CA9"/>
    <w:rsid w:val="000B7CBB"/>
    <w:rsid w:val="000B7D8D"/>
    <w:rsid w:val="000B7E1A"/>
    <w:rsid w:val="000B7EB6"/>
    <w:rsid w:val="000B7F38"/>
    <w:rsid w:val="000C0065"/>
    <w:rsid w:val="000C00BB"/>
    <w:rsid w:val="000C01D9"/>
    <w:rsid w:val="000C02F3"/>
    <w:rsid w:val="000C031F"/>
    <w:rsid w:val="000C033C"/>
    <w:rsid w:val="000C039B"/>
    <w:rsid w:val="000C03A0"/>
    <w:rsid w:val="000C078B"/>
    <w:rsid w:val="000C0963"/>
    <w:rsid w:val="000C09F3"/>
    <w:rsid w:val="000C0ACA"/>
    <w:rsid w:val="000C0ACF"/>
    <w:rsid w:val="000C0AEF"/>
    <w:rsid w:val="000C0B57"/>
    <w:rsid w:val="000C0C66"/>
    <w:rsid w:val="000C0DA5"/>
    <w:rsid w:val="000C0DB4"/>
    <w:rsid w:val="000C101B"/>
    <w:rsid w:val="000C10A4"/>
    <w:rsid w:val="000C122E"/>
    <w:rsid w:val="000C1235"/>
    <w:rsid w:val="000C1270"/>
    <w:rsid w:val="000C1303"/>
    <w:rsid w:val="000C1318"/>
    <w:rsid w:val="000C14FD"/>
    <w:rsid w:val="000C153E"/>
    <w:rsid w:val="000C1AE6"/>
    <w:rsid w:val="000C1B43"/>
    <w:rsid w:val="000C1C00"/>
    <w:rsid w:val="000C1C2D"/>
    <w:rsid w:val="000C1C50"/>
    <w:rsid w:val="000C1CE1"/>
    <w:rsid w:val="000C1EDF"/>
    <w:rsid w:val="000C1F8D"/>
    <w:rsid w:val="000C1FF8"/>
    <w:rsid w:val="000C2013"/>
    <w:rsid w:val="000C2039"/>
    <w:rsid w:val="000C20E3"/>
    <w:rsid w:val="000C22EE"/>
    <w:rsid w:val="000C22F1"/>
    <w:rsid w:val="000C23C3"/>
    <w:rsid w:val="000C2469"/>
    <w:rsid w:val="000C2476"/>
    <w:rsid w:val="000C2522"/>
    <w:rsid w:val="000C25AB"/>
    <w:rsid w:val="000C25B6"/>
    <w:rsid w:val="000C2668"/>
    <w:rsid w:val="000C274A"/>
    <w:rsid w:val="000C2786"/>
    <w:rsid w:val="000C281F"/>
    <w:rsid w:val="000C29EB"/>
    <w:rsid w:val="000C2A64"/>
    <w:rsid w:val="000C2A88"/>
    <w:rsid w:val="000C2AE5"/>
    <w:rsid w:val="000C2AFE"/>
    <w:rsid w:val="000C2B13"/>
    <w:rsid w:val="000C2D22"/>
    <w:rsid w:val="000C2D80"/>
    <w:rsid w:val="000C2E6A"/>
    <w:rsid w:val="000C2EF3"/>
    <w:rsid w:val="000C2F79"/>
    <w:rsid w:val="000C2FD4"/>
    <w:rsid w:val="000C3041"/>
    <w:rsid w:val="000C317D"/>
    <w:rsid w:val="000C329B"/>
    <w:rsid w:val="000C32E9"/>
    <w:rsid w:val="000C32FC"/>
    <w:rsid w:val="000C334D"/>
    <w:rsid w:val="000C3459"/>
    <w:rsid w:val="000C3485"/>
    <w:rsid w:val="000C34BA"/>
    <w:rsid w:val="000C3680"/>
    <w:rsid w:val="000C3760"/>
    <w:rsid w:val="000C37A4"/>
    <w:rsid w:val="000C381D"/>
    <w:rsid w:val="000C3831"/>
    <w:rsid w:val="000C3873"/>
    <w:rsid w:val="000C391B"/>
    <w:rsid w:val="000C3A20"/>
    <w:rsid w:val="000C3A48"/>
    <w:rsid w:val="000C3B21"/>
    <w:rsid w:val="000C3B4D"/>
    <w:rsid w:val="000C3BC4"/>
    <w:rsid w:val="000C3C4E"/>
    <w:rsid w:val="000C3CD9"/>
    <w:rsid w:val="000C3DF8"/>
    <w:rsid w:val="000C3E19"/>
    <w:rsid w:val="000C3E7A"/>
    <w:rsid w:val="000C3EC8"/>
    <w:rsid w:val="000C3F9C"/>
    <w:rsid w:val="000C4012"/>
    <w:rsid w:val="000C41AA"/>
    <w:rsid w:val="000C42D3"/>
    <w:rsid w:val="000C42E9"/>
    <w:rsid w:val="000C44C0"/>
    <w:rsid w:val="000C45D9"/>
    <w:rsid w:val="000C470E"/>
    <w:rsid w:val="000C4795"/>
    <w:rsid w:val="000C47CC"/>
    <w:rsid w:val="000C47F6"/>
    <w:rsid w:val="000C4A3D"/>
    <w:rsid w:val="000C4B73"/>
    <w:rsid w:val="000C4B86"/>
    <w:rsid w:val="000C4BF6"/>
    <w:rsid w:val="000C4C95"/>
    <w:rsid w:val="000C4CB2"/>
    <w:rsid w:val="000C4D58"/>
    <w:rsid w:val="000C4DC7"/>
    <w:rsid w:val="000C4E24"/>
    <w:rsid w:val="000C4F0B"/>
    <w:rsid w:val="000C5172"/>
    <w:rsid w:val="000C52F7"/>
    <w:rsid w:val="000C5343"/>
    <w:rsid w:val="000C5441"/>
    <w:rsid w:val="000C5445"/>
    <w:rsid w:val="000C54AC"/>
    <w:rsid w:val="000C54F9"/>
    <w:rsid w:val="000C55E2"/>
    <w:rsid w:val="000C5606"/>
    <w:rsid w:val="000C5696"/>
    <w:rsid w:val="000C56ED"/>
    <w:rsid w:val="000C5745"/>
    <w:rsid w:val="000C5754"/>
    <w:rsid w:val="000C57E3"/>
    <w:rsid w:val="000C5A16"/>
    <w:rsid w:val="000C5A24"/>
    <w:rsid w:val="000C5BC5"/>
    <w:rsid w:val="000C5BF8"/>
    <w:rsid w:val="000C5C82"/>
    <w:rsid w:val="000C5D37"/>
    <w:rsid w:val="000C5D76"/>
    <w:rsid w:val="000C5DF4"/>
    <w:rsid w:val="000C5E90"/>
    <w:rsid w:val="000C5F1C"/>
    <w:rsid w:val="000C5F55"/>
    <w:rsid w:val="000C5F90"/>
    <w:rsid w:val="000C5FE6"/>
    <w:rsid w:val="000C6043"/>
    <w:rsid w:val="000C604F"/>
    <w:rsid w:val="000C6139"/>
    <w:rsid w:val="000C617F"/>
    <w:rsid w:val="000C61E8"/>
    <w:rsid w:val="000C6277"/>
    <w:rsid w:val="000C633B"/>
    <w:rsid w:val="000C63F0"/>
    <w:rsid w:val="000C646F"/>
    <w:rsid w:val="000C6616"/>
    <w:rsid w:val="000C66D0"/>
    <w:rsid w:val="000C66EE"/>
    <w:rsid w:val="000C67E3"/>
    <w:rsid w:val="000C6889"/>
    <w:rsid w:val="000C6A41"/>
    <w:rsid w:val="000C6D3F"/>
    <w:rsid w:val="000C6D78"/>
    <w:rsid w:val="000C7051"/>
    <w:rsid w:val="000C70B7"/>
    <w:rsid w:val="000C70D1"/>
    <w:rsid w:val="000C70F1"/>
    <w:rsid w:val="000C7242"/>
    <w:rsid w:val="000C7252"/>
    <w:rsid w:val="000C72EB"/>
    <w:rsid w:val="000C7460"/>
    <w:rsid w:val="000C7536"/>
    <w:rsid w:val="000C7586"/>
    <w:rsid w:val="000C75E0"/>
    <w:rsid w:val="000C780C"/>
    <w:rsid w:val="000C7859"/>
    <w:rsid w:val="000C7975"/>
    <w:rsid w:val="000C799D"/>
    <w:rsid w:val="000C79DE"/>
    <w:rsid w:val="000C7B19"/>
    <w:rsid w:val="000C7B60"/>
    <w:rsid w:val="000C7BD5"/>
    <w:rsid w:val="000C7BE2"/>
    <w:rsid w:val="000C7CFA"/>
    <w:rsid w:val="000C7D0C"/>
    <w:rsid w:val="000C7DEF"/>
    <w:rsid w:val="000C7EB4"/>
    <w:rsid w:val="000C7F75"/>
    <w:rsid w:val="000D013B"/>
    <w:rsid w:val="000D01E8"/>
    <w:rsid w:val="000D026F"/>
    <w:rsid w:val="000D03DA"/>
    <w:rsid w:val="000D0446"/>
    <w:rsid w:val="000D04A5"/>
    <w:rsid w:val="000D0601"/>
    <w:rsid w:val="000D063E"/>
    <w:rsid w:val="000D06CF"/>
    <w:rsid w:val="000D06F1"/>
    <w:rsid w:val="000D0779"/>
    <w:rsid w:val="000D0860"/>
    <w:rsid w:val="000D08DD"/>
    <w:rsid w:val="000D09AB"/>
    <w:rsid w:val="000D0B58"/>
    <w:rsid w:val="000D0C27"/>
    <w:rsid w:val="000D0DDE"/>
    <w:rsid w:val="000D0E16"/>
    <w:rsid w:val="000D0EB5"/>
    <w:rsid w:val="000D0F5B"/>
    <w:rsid w:val="000D10D7"/>
    <w:rsid w:val="000D1109"/>
    <w:rsid w:val="000D120D"/>
    <w:rsid w:val="000D1396"/>
    <w:rsid w:val="000D13AB"/>
    <w:rsid w:val="000D13ED"/>
    <w:rsid w:val="000D14BD"/>
    <w:rsid w:val="000D151F"/>
    <w:rsid w:val="000D16CB"/>
    <w:rsid w:val="000D16F1"/>
    <w:rsid w:val="000D1736"/>
    <w:rsid w:val="000D1804"/>
    <w:rsid w:val="000D195E"/>
    <w:rsid w:val="000D1981"/>
    <w:rsid w:val="000D19DF"/>
    <w:rsid w:val="000D1A22"/>
    <w:rsid w:val="000D1A36"/>
    <w:rsid w:val="000D1A65"/>
    <w:rsid w:val="000D1DAC"/>
    <w:rsid w:val="000D1DE0"/>
    <w:rsid w:val="000D1EE4"/>
    <w:rsid w:val="000D212B"/>
    <w:rsid w:val="000D21B9"/>
    <w:rsid w:val="000D2266"/>
    <w:rsid w:val="000D227B"/>
    <w:rsid w:val="000D22F9"/>
    <w:rsid w:val="000D231E"/>
    <w:rsid w:val="000D2427"/>
    <w:rsid w:val="000D2428"/>
    <w:rsid w:val="000D2495"/>
    <w:rsid w:val="000D2513"/>
    <w:rsid w:val="000D2569"/>
    <w:rsid w:val="000D27A8"/>
    <w:rsid w:val="000D27DF"/>
    <w:rsid w:val="000D284A"/>
    <w:rsid w:val="000D293D"/>
    <w:rsid w:val="000D29DD"/>
    <w:rsid w:val="000D2B03"/>
    <w:rsid w:val="000D2B47"/>
    <w:rsid w:val="000D2C2D"/>
    <w:rsid w:val="000D2C6D"/>
    <w:rsid w:val="000D2CBD"/>
    <w:rsid w:val="000D2DBC"/>
    <w:rsid w:val="000D2DD1"/>
    <w:rsid w:val="000D2E10"/>
    <w:rsid w:val="000D2E3D"/>
    <w:rsid w:val="000D2EB2"/>
    <w:rsid w:val="000D2F9D"/>
    <w:rsid w:val="000D31A3"/>
    <w:rsid w:val="000D3213"/>
    <w:rsid w:val="000D3246"/>
    <w:rsid w:val="000D32D4"/>
    <w:rsid w:val="000D32FE"/>
    <w:rsid w:val="000D3330"/>
    <w:rsid w:val="000D33A0"/>
    <w:rsid w:val="000D33EC"/>
    <w:rsid w:val="000D34DA"/>
    <w:rsid w:val="000D3505"/>
    <w:rsid w:val="000D376F"/>
    <w:rsid w:val="000D3773"/>
    <w:rsid w:val="000D38DA"/>
    <w:rsid w:val="000D39C7"/>
    <w:rsid w:val="000D3C05"/>
    <w:rsid w:val="000D3D59"/>
    <w:rsid w:val="000D40AF"/>
    <w:rsid w:val="000D40E0"/>
    <w:rsid w:val="000D41AD"/>
    <w:rsid w:val="000D41CE"/>
    <w:rsid w:val="000D4249"/>
    <w:rsid w:val="000D42D1"/>
    <w:rsid w:val="000D4393"/>
    <w:rsid w:val="000D43AF"/>
    <w:rsid w:val="000D43E9"/>
    <w:rsid w:val="000D4460"/>
    <w:rsid w:val="000D4541"/>
    <w:rsid w:val="000D4563"/>
    <w:rsid w:val="000D4614"/>
    <w:rsid w:val="000D4767"/>
    <w:rsid w:val="000D48C2"/>
    <w:rsid w:val="000D49BD"/>
    <w:rsid w:val="000D4AD9"/>
    <w:rsid w:val="000D4B7B"/>
    <w:rsid w:val="000D4D05"/>
    <w:rsid w:val="000D4D17"/>
    <w:rsid w:val="000D4DE9"/>
    <w:rsid w:val="000D4F88"/>
    <w:rsid w:val="000D51D5"/>
    <w:rsid w:val="000D52FE"/>
    <w:rsid w:val="000D5460"/>
    <w:rsid w:val="000D56A8"/>
    <w:rsid w:val="000D5752"/>
    <w:rsid w:val="000D5984"/>
    <w:rsid w:val="000D5A07"/>
    <w:rsid w:val="000D5A09"/>
    <w:rsid w:val="000D5A42"/>
    <w:rsid w:val="000D5AE0"/>
    <w:rsid w:val="000D5AE2"/>
    <w:rsid w:val="000D5B85"/>
    <w:rsid w:val="000D5FFD"/>
    <w:rsid w:val="000D60D1"/>
    <w:rsid w:val="000D623C"/>
    <w:rsid w:val="000D67FE"/>
    <w:rsid w:val="000D6863"/>
    <w:rsid w:val="000D68FE"/>
    <w:rsid w:val="000D69E2"/>
    <w:rsid w:val="000D69F9"/>
    <w:rsid w:val="000D6B45"/>
    <w:rsid w:val="000D6BA3"/>
    <w:rsid w:val="000D6C55"/>
    <w:rsid w:val="000D6D2F"/>
    <w:rsid w:val="000D6DB7"/>
    <w:rsid w:val="000D6E19"/>
    <w:rsid w:val="000D6F2B"/>
    <w:rsid w:val="000D6F3E"/>
    <w:rsid w:val="000D7061"/>
    <w:rsid w:val="000D70C1"/>
    <w:rsid w:val="000D7157"/>
    <w:rsid w:val="000D7206"/>
    <w:rsid w:val="000D7321"/>
    <w:rsid w:val="000D735E"/>
    <w:rsid w:val="000D7449"/>
    <w:rsid w:val="000D7473"/>
    <w:rsid w:val="000D74D9"/>
    <w:rsid w:val="000D75AE"/>
    <w:rsid w:val="000D7618"/>
    <w:rsid w:val="000D76D2"/>
    <w:rsid w:val="000D7770"/>
    <w:rsid w:val="000D780E"/>
    <w:rsid w:val="000D78EA"/>
    <w:rsid w:val="000D79C3"/>
    <w:rsid w:val="000D7A42"/>
    <w:rsid w:val="000D7AA2"/>
    <w:rsid w:val="000D7BDB"/>
    <w:rsid w:val="000D7BF9"/>
    <w:rsid w:val="000D7CEE"/>
    <w:rsid w:val="000D7D36"/>
    <w:rsid w:val="000D7D3D"/>
    <w:rsid w:val="000D7E1C"/>
    <w:rsid w:val="000D7FA2"/>
    <w:rsid w:val="000D7FB6"/>
    <w:rsid w:val="000D7FC7"/>
    <w:rsid w:val="000E0009"/>
    <w:rsid w:val="000E008D"/>
    <w:rsid w:val="000E01D1"/>
    <w:rsid w:val="000E02C9"/>
    <w:rsid w:val="000E0390"/>
    <w:rsid w:val="000E0401"/>
    <w:rsid w:val="000E049D"/>
    <w:rsid w:val="000E052F"/>
    <w:rsid w:val="000E0665"/>
    <w:rsid w:val="000E0759"/>
    <w:rsid w:val="000E07BD"/>
    <w:rsid w:val="000E0878"/>
    <w:rsid w:val="000E0883"/>
    <w:rsid w:val="000E0957"/>
    <w:rsid w:val="000E0984"/>
    <w:rsid w:val="000E0BA2"/>
    <w:rsid w:val="000E0CB4"/>
    <w:rsid w:val="000E0FEC"/>
    <w:rsid w:val="000E118E"/>
    <w:rsid w:val="000E1237"/>
    <w:rsid w:val="000E12E3"/>
    <w:rsid w:val="000E1355"/>
    <w:rsid w:val="000E14C4"/>
    <w:rsid w:val="000E1590"/>
    <w:rsid w:val="000E166A"/>
    <w:rsid w:val="000E16A5"/>
    <w:rsid w:val="000E16CB"/>
    <w:rsid w:val="000E1730"/>
    <w:rsid w:val="000E18C9"/>
    <w:rsid w:val="000E1910"/>
    <w:rsid w:val="000E1913"/>
    <w:rsid w:val="000E1AC3"/>
    <w:rsid w:val="000E1B9B"/>
    <w:rsid w:val="000E1BEF"/>
    <w:rsid w:val="000E1C3D"/>
    <w:rsid w:val="000E1C71"/>
    <w:rsid w:val="000E1D15"/>
    <w:rsid w:val="000E1D4E"/>
    <w:rsid w:val="000E1D52"/>
    <w:rsid w:val="000E1DA5"/>
    <w:rsid w:val="000E1E1B"/>
    <w:rsid w:val="000E1ED1"/>
    <w:rsid w:val="000E1F0E"/>
    <w:rsid w:val="000E1FD1"/>
    <w:rsid w:val="000E208B"/>
    <w:rsid w:val="000E2131"/>
    <w:rsid w:val="000E2185"/>
    <w:rsid w:val="000E21CD"/>
    <w:rsid w:val="000E21F7"/>
    <w:rsid w:val="000E2284"/>
    <w:rsid w:val="000E231A"/>
    <w:rsid w:val="000E232A"/>
    <w:rsid w:val="000E2354"/>
    <w:rsid w:val="000E2426"/>
    <w:rsid w:val="000E245C"/>
    <w:rsid w:val="000E247E"/>
    <w:rsid w:val="000E24A2"/>
    <w:rsid w:val="000E2727"/>
    <w:rsid w:val="000E27AC"/>
    <w:rsid w:val="000E27D9"/>
    <w:rsid w:val="000E2868"/>
    <w:rsid w:val="000E28CA"/>
    <w:rsid w:val="000E292B"/>
    <w:rsid w:val="000E29CA"/>
    <w:rsid w:val="000E2A71"/>
    <w:rsid w:val="000E2B8A"/>
    <w:rsid w:val="000E2BA0"/>
    <w:rsid w:val="000E2BD6"/>
    <w:rsid w:val="000E2C0B"/>
    <w:rsid w:val="000E2D6D"/>
    <w:rsid w:val="000E2F4D"/>
    <w:rsid w:val="000E301B"/>
    <w:rsid w:val="000E30E8"/>
    <w:rsid w:val="000E3101"/>
    <w:rsid w:val="000E3119"/>
    <w:rsid w:val="000E319C"/>
    <w:rsid w:val="000E3297"/>
    <w:rsid w:val="000E3370"/>
    <w:rsid w:val="000E342C"/>
    <w:rsid w:val="000E344E"/>
    <w:rsid w:val="000E358E"/>
    <w:rsid w:val="000E366F"/>
    <w:rsid w:val="000E36D5"/>
    <w:rsid w:val="000E37D0"/>
    <w:rsid w:val="000E38A0"/>
    <w:rsid w:val="000E38FB"/>
    <w:rsid w:val="000E3A1F"/>
    <w:rsid w:val="000E3B3C"/>
    <w:rsid w:val="000E3BCC"/>
    <w:rsid w:val="000E3BD1"/>
    <w:rsid w:val="000E3DFB"/>
    <w:rsid w:val="000E3E65"/>
    <w:rsid w:val="000E3EEF"/>
    <w:rsid w:val="000E3F8E"/>
    <w:rsid w:val="000E4047"/>
    <w:rsid w:val="000E4090"/>
    <w:rsid w:val="000E410E"/>
    <w:rsid w:val="000E4277"/>
    <w:rsid w:val="000E4286"/>
    <w:rsid w:val="000E44B0"/>
    <w:rsid w:val="000E4588"/>
    <w:rsid w:val="000E4605"/>
    <w:rsid w:val="000E46BE"/>
    <w:rsid w:val="000E4782"/>
    <w:rsid w:val="000E4828"/>
    <w:rsid w:val="000E48E8"/>
    <w:rsid w:val="000E48F7"/>
    <w:rsid w:val="000E4980"/>
    <w:rsid w:val="000E4982"/>
    <w:rsid w:val="000E49F7"/>
    <w:rsid w:val="000E4A12"/>
    <w:rsid w:val="000E4A1C"/>
    <w:rsid w:val="000E4B50"/>
    <w:rsid w:val="000E4B74"/>
    <w:rsid w:val="000E4BB1"/>
    <w:rsid w:val="000E4C14"/>
    <w:rsid w:val="000E4C5C"/>
    <w:rsid w:val="000E4CAB"/>
    <w:rsid w:val="000E4CC2"/>
    <w:rsid w:val="000E4D02"/>
    <w:rsid w:val="000E4E64"/>
    <w:rsid w:val="000E4F4C"/>
    <w:rsid w:val="000E4F87"/>
    <w:rsid w:val="000E4FC2"/>
    <w:rsid w:val="000E5001"/>
    <w:rsid w:val="000E51C8"/>
    <w:rsid w:val="000E524E"/>
    <w:rsid w:val="000E5299"/>
    <w:rsid w:val="000E52DE"/>
    <w:rsid w:val="000E540F"/>
    <w:rsid w:val="000E592B"/>
    <w:rsid w:val="000E5C91"/>
    <w:rsid w:val="000E5CDD"/>
    <w:rsid w:val="000E5D34"/>
    <w:rsid w:val="000E5D71"/>
    <w:rsid w:val="000E5DDB"/>
    <w:rsid w:val="000E5E8F"/>
    <w:rsid w:val="000E5F7D"/>
    <w:rsid w:val="000E5F80"/>
    <w:rsid w:val="000E600A"/>
    <w:rsid w:val="000E60E9"/>
    <w:rsid w:val="000E60FB"/>
    <w:rsid w:val="000E6175"/>
    <w:rsid w:val="000E61DF"/>
    <w:rsid w:val="000E61E6"/>
    <w:rsid w:val="000E63D6"/>
    <w:rsid w:val="000E6541"/>
    <w:rsid w:val="000E6570"/>
    <w:rsid w:val="000E664E"/>
    <w:rsid w:val="000E66CB"/>
    <w:rsid w:val="000E66F4"/>
    <w:rsid w:val="000E676E"/>
    <w:rsid w:val="000E6800"/>
    <w:rsid w:val="000E6803"/>
    <w:rsid w:val="000E6B12"/>
    <w:rsid w:val="000E6BA4"/>
    <w:rsid w:val="000E6BD8"/>
    <w:rsid w:val="000E6C1E"/>
    <w:rsid w:val="000E6DFC"/>
    <w:rsid w:val="000E6F8D"/>
    <w:rsid w:val="000E6FC2"/>
    <w:rsid w:val="000E7189"/>
    <w:rsid w:val="000E72FA"/>
    <w:rsid w:val="000E72FF"/>
    <w:rsid w:val="000E73D1"/>
    <w:rsid w:val="000E7488"/>
    <w:rsid w:val="000E7596"/>
    <w:rsid w:val="000E7632"/>
    <w:rsid w:val="000E768B"/>
    <w:rsid w:val="000E76D4"/>
    <w:rsid w:val="000E7778"/>
    <w:rsid w:val="000E77A0"/>
    <w:rsid w:val="000E77C5"/>
    <w:rsid w:val="000E77D8"/>
    <w:rsid w:val="000E783F"/>
    <w:rsid w:val="000E792D"/>
    <w:rsid w:val="000E799E"/>
    <w:rsid w:val="000E79BD"/>
    <w:rsid w:val="000E7A1A"/>
    <w:rsid w:val="000E7B44"/>
    <w:rsid w:val="000E7B58"/>
    <w:rsid w:val="000E7BBF"/>
    <w:rsid w:val="000E7C23"/>
    <w:rsid w:val="000E7D09"/>
    <w:rsid w:val="000E7D7F"/>
    <w:rsid w:val="000E7E4F"/>
    <w:rsid w:val="000E7F55"/>
    <w:rsid w:val="000E7F67"/>
    <w:rsid w:val="000E7F7A"/>
    <w:rsid w:val="000F0083"/>
    <w:rsid w:val="000F0097"/>
    <w:rsid w:val="000F00B1"/>
    <w:rsid w:val="000F0190"/>
    <w:rsid w:val="000F025C"/>
    <w:rsid w:val="000F04D8"/>
    <w:rsid w:val="000F0570"/>
    <w:rsid w:val="000F05AD"/>
    <w:rsid w:val="000F06A6"/>
    <w:rsid w:val="000F06F8"/>
    <w:rsid w:val="000F086D"/>
    <w:rsid w:val="000F092F"/>
    <w:rsid w:val="000F0A9D"/>
    <w:rsid w:val="000F0B8B"/>
    <w:rsid w:val="000F0BBA"/>
    <w:rsid w:val="000F0C95"/>
    <w:rsid w:val="000F0CB3"/>
    <w:rsid w:val="000F0E44"/>
    <w:rsid w:val="000F0EAE"/>
    <w:rsid w:val="000F0EC4"/>
    <w:rsid w:val="000F0F2C"/>
    <w:rsid w:val="000F0FAD"/>
    <w:rsid w:val="000F0FE9"/>
    <w:rsid w:val="000F106F"/>
    <w:rsid w:val="000F1077"/>
    <w:rsid w:val="000F10DA"/>
    <w:rsid w:val="000F122A"/>
    <w:rsid w:val="000F1296"/>
    <w:rsid w:val="000F12F8"/>
    <w:rsid w:val="000F14EF"/>
    <w:rsid w:val="000F156A"/>
    <w:rsid w:val="000F15D1"/>
    <w:rsid w:val="000F1786"/>
    <w:rsid w:val="000F17D2"/>
    <w:rsid w:val="000F17E8"/>
    <w:rsid w:val="000F184E"/>
    <w:rsid w:val="000F1966"/>
    <w:rsid w:val="000F19BE"/>
    <w:rsid w:val="000F1A78"/>
    <w:rsid w:val="000F1B00"/>
    <w:rsid w:val="000F1B3E"/>
    <w:rsid w:val="000F1BE4"/>
    <w:rsid w:val="000F1CB3"/>
    <w:rsid w:val="000F1CCA"/>
    <w:rsid w:val="000F1CFA"/>
    <w:rsid w:val="000F1DF8"/>
    <w:rsid w:val="000F1E0D"/>
    <w:rsid w:val="000F1F0F"/>
    <w:rsid w:val="000F1F40"/>
    <w:rsid w:val="000F1FC9"/>
    <w:rsid w:val="000F20C1"/>
    <w:rsid w:val="000F214C"/>
    <w:rsid w:val="000F21F1"/>
    <w:rsid w:val="000F2229"/>
    <w:rsid w:val="000F23A5"/>
    <w:rsid w:val="000F23D3"/>
    <w:rsid w:val="000F23EF"/>
    <w:rsid w:val="000F2572"/>
    <w:rsid w:val="000F2609"/>
    <w:rsid w:val="000F263F"/>
    <w:rsid w:val="000F2656"/>
    <w:rsid w:val="000F2757"/>
    <w:rsid w:val="000F27D2"/>
    <w:rsid w:val="000F27F3"/>
    <w:rsid w:val="000F2944"/>
    <w:rsid w:val="000F2A44"/>
    <w:rsid w:val="000F2A63"/>
    <w:rsid w:val="000F2A80"/>
    <w:rsid w:val="000F2B62"/>
    <w:rsid w:val="000F2BAC"/>
    <w:rsid w:val="000F2CDE"/>
    <w:rsid w:val="000F2D19"/>
    <w:rsid w:val="000F2E14"/>
    <w:rsid w:val="000F2E86"/>
    <w:rsid w:val="000F2FD0"/>
    <w:rsid w:val="000F3052"/>
    <w:rsid w:val="000F313B"/>
    <w:rsid w:val="000F31D9"/>
    <w:rsid w:val="000F3292"/>
    <w:rsid w:val="000F32DF"/>
    <w:rsid w:val="000F334F"/>
    <w:rsid w:val="000F3389"/>
    <w:rsid w:val="000F343B"/>
    <w:rsid w:val="000F3452"/>
    <w:rsid w:val="000F34F3"/>
    <w:rsid w:val="000F3566"/>
    <w:rsid w:val="000F377E"/>
    <w:rsid w:val="000F37AE"/>
    <w:rsid w:val="000F38F0"/>
    <w:rsid w:val="000F3922"/>
    <w:rsid w:val="000F3961"/>
    <w:rsid w:val="000F39DE"/>
    <w:rsid w:val="000F3AC6"/>
    <w:rsid w:val="000F3AD2"/>
    <w:rsid w:val="000F3BA5"/>
    <w:rsid w:val="000F3CDB"/>
    <w:rsid w:val="000F3CE7"/>
    <w:rsid w:val="000F3CFD"/>
    <w:rsid w:val="000F3D27"/>
    <w:rsid w:val="000F4062"/>
    <w:rsid w:val="000F419C"/>
    <w:rsid w:val="000F41AF"/>
    <w:rsid w:val="000F42B9"/>
    <w:rsid w:val="000F42E5"/>
    <w:rsid w:val="000F435F"/>
    <w:rsid w:val="000F43BE"/>
    <w:rsid w:val="000F4621"/>
    <w:rsid w:val="000F4724"/>
    <w:rsid w:val="000F4747"/>
    <w:rsid w:val="000F4753"/>
    <w:rsid w:val="000F476B"/>
    <w:rsid w:val="000F4843"/>
    <w:rsid w:val="000F4870"/>
    <w:rsid w:val="000F494A"/>
    <w:rsid w:val="000F498F"/>
    <w:rsid w:val="000F49A1"/>
    <w:rsid w:val="000F4A73"/>
    <w:rsid w:val="000F4B7D"/>
    <w:rsid w:val="000F4CF8"/>
    <w:rsid w:val="000F4E6D"/>
    <w:rsid w:val="000F4E9A"/>
    <w:rsid w:val="000F4EDE"/>
    <w:rsid w:val="000F5012"/>
    <w:rsid w:val="000F50A7"/>
    <w:rsid w:val="000F5189"/>
    <w:rsid w:val="000F5280"/>
    <w:rsid w:val="000F5288"/>
    <w:rsid w:val="000F5369"/>
    <w:rsid w:val="000F5376"/>
    <w:rsid w:val="000F5390"/>
    <w:rsid w:val="000F5477"/>
    <w:rsid w:val="000F54C3"/>
    <w:rsid w:val="000F5582"/>
    <w:rsid w:val="000F563A"/>
    <w:rsid w:val="000F5648"/>
    <w:rsid w:val="000F565B"/>
    <w:rsid w:val="000F5832"/>
    <w:rsid w:val="000F5A24"/>
    <w:rsid w:val="000F5A4A"/>
    <w:rsid w:val="000F5AC5"/>
    <w:rsid w:val="000F5B44"/>
    <w:rsid w:val="000F5B68"/>
    <w:rsid w:val="000F5D90"/>
    <w:rsid w:val="000F5E1A"/>
    <w:rsid w:val="000F5FD8"/>
    <w:rsid w:val="000F60FB"/>
    <w:rsid w:val="000F6173"/>
    <w:rsid w:val="000F618B"/>
    <w:rsid w:val="000F62CB"/>
    <w:rsid w:val="000F63E7"/>
    <w:rsid w:val="000F640D"/>
    <w:rsid w:val="000F641F"/>
    <w:rsid w:val="000F6483"/>
    <w:rsid w:val="000F6551"/>
    <w:rsid w:val="000F656B"/>
    <w:rsid w:val="000F6581"/>
    <w:rsid w:val="000F6593"/>
    <w:rsid w:val="000F65E5"/>
    <w:rsid w:val="000F663A"/>
    <w:rsid w:val="000F6752"/>
    <w:rsid w:val="000F6879"/>
    <w:rsid w:val="000F68A4"/>
    <w:rsid w:val="000F68CA"/>
    <w:rsid w:val="000F68FC"/>
    <w:rsid w:val="000F6948"/>
    <w:rsid w:val="000F6B22"/>
    <w:rsid w:val="000F6B5B"/>
    <w:rsid w:val="000F6B76"/>
    <w:rsid w:val="000F6BD3"/>
    <w:rsid w:val="000F6C16"/>
    <w:rsid w:val="000F6CAC"/>
    <w:rsid w:val="000F6CC1"/>
    <w:rsid w:val="000F6D52"/>
    <w:rsid w:val="000F6DC1"/>
    <w:rsid w:val="000F6DC8"/>
    <w:rsid w:val="000F6EB3"/>
    <w:rsid w:val="000F6EEE"/>
    <w:rsid w:val="000F709D"/>
    <w:rsid w:val="000F70C8"/>
    <w:rsid w:val="000F7293"/>
    <w:rsid w:val="000F72E9"/>
    <w:rsid w:val="000F745D"/>
    <w:rsid w:val="000F766B"/>
    <w:rsid w:val="000F769F"/>
    <w:rsid w:val="000F77AD"/>
    <w:rsid w:val="000F791F"/>
    <w:rsid w:val="000F7A97"/>
    <w:rsid w:val="000F7DAF"/>
    <w:rsid w:val="000F7DB0"/>
    <w:rsid w:val="000F7E66"/>
    <w:rsid w:val="000F7E7E"/>
    <w:rsid w:val="000F7FB0"/>
    <w:rsid w:val="0010002E"/>
    <w:rsid w:val="0010010E"/>
    <w:rsid w:val="0010011C"/>
    <w:rsid w:val="0010011F"/>
    <w:rsid w:val="00100293"/>
    <w:rsid w:val="001002F4"/>
    <w:rsid w:val="00100486"/>
    <w:rsid w:val="0010048A"/>
    <w:rsid w:val="001007BA"/>
    <w:rsid w:val="0010082F"/>
    <w:rsid w:val="0010098E"/>
    <w:rsid w:val="001009DA"/>
    <w:rsid w:val="001009F7"/>
    <w:rsid w:val="00100B72"/>
    <w:rsid w:val="00100D03"/>
    <w:rsid w:val="00100D1F"/>
    <w:rsid w:val="00100DB3"/>
    <w:rsid w:val="00100F24"/>
    <w:rsid w:val="00100FCE"/>
    <w:rsid w:val="00101002"/>
    <w:rsid w:val="001010B1"/>
    <w:rsid w:val="00101106"/>
    <w:rsid w:val="001011F9"/>
    <w:rsid w:val="001012D7"/>
    <w:rsid w:val="001013CD"/>
    <w:rsid w:val="0010146A"/>
    <w:rsid w:val="00101685"/>
    <w:rsid w:val="00101938"/>
    <w:rsid w:val="001019E7"/>
    <w:rsid w:val="001019F2"/>
    <w:rsid w:val="00101B20"/>
    <w:rsid w:val="00101D0C"/>
    <w:rsid w:val="00101DF2"/>
    <w:rsid w:val="00101F1B"/>
    <w:rsid w:val="00101F71"/>
    <w:rsid w:val="00101F7B"/>
    <w:rsid w:val="00101F9D"/>
    <w:rsid w:val="0010204D"/>
    <w:rsid w:val="001020A4"/>
    <w:rsid w:val="0010212A"/>
    <w:rsid w:val="0010233D"/>
    <w:rsid w:val="00102410"/>
    <w:rsid w:val="001025F4"/>
    <w:rsid w:val="00102606"/>
    <w:rsid w:val="001026DB"/>
    <w:rsid w:val="0010275D"/>
    <w:rsid w:val="001027C8"/>
    <w:rsid w:val="001029DC"/>
    <w:rsid w:val="00102A88"/>
    <w:rsid w:val="00102B71"/>
    <w:rsid w:val="00102CBA"/>
    <w:rsid w:val="00102CE1"/>
    <w:rsid w:val="00102DA7"/>
    <w:rsid w:val="00102EC5"/>
    <w:rsid w:val="00102F44"/>
    <w:rsid w:val="00102FC7"/>
    <w:rsid w:val="001030A3"/>
    <w:rsid w:val="001031B5"/>
    <w:rsid w:val="00103348"/>
    <w:rsid w:val="0010352D"/>
    <w:rsid w:val="0010358F"/>
    <w:rsid w:val="00103899"/>
    <w:rsid w:val="00103A21"/>
    <w:rsid w:val="00103BB9"/>
    <w:rsid w:val="00103CE7"/>
    <w:rsid w:val="00103D9A"/>
    <w:rsid w:val="00103E8F"/>
    <w:rsid w:val="00104169"/>
    <w:rsid w:val="001041E0"/>
    <w:rsid w:val="0010434E"/>
    <w:rsid w:val="001043AC"/>
    <w:rsid w:val="001045F9"/>
    <w:rsid w:val="001047D8"/>
    <w:rsid w:val="001048F9"/>
    <w:rsid w:val="0010494E"/>
    <w:rsid w:val="00104AEA"/>
    <w:rsid w:val="00104BD1"/>
    <w:rsid w:val="00104CCD"/>
    <w:rsid w:val="00104D87"/>
    <w:rsid w:val="00104D9C"/>
    <w:rsid w:val="00104DC0"/>
    <w:rsid w:val="00104E11"/>
    <w:rsid w:val="00104EED"/>
    <w:rsid w:val="00104F3E"/>
    <w:rsid w:val="00105066"/>
    <w:rsid w:val="0010508B"/>
    <w:rsid w:val="001050BF"/>
    <w:rsid w:val="00105131"/>
    <w:rsid w:val="00105299"/>
    <w:rsid w:val="001052ED"/>
    <w:rsid w:val="001053B4"/>
    <w:rsid w:val="001053BE"/>
    <w:rsid w:val="001053F4"/>
    <w:rsid w:val="00105435"/>
    <w:rsid w:val="001054D3"/>
    <w:rsid w:val="001054DA"/>
    <w:rsid w:val="0010552E"/>
    <w:rsid w:val="00105650"/>
    <w:rsid w:val="001057A4"/>
    <w:rsid w:val="0010584D"/>
    <w:rsid w:val="00105884"/>
    <w:rsid w:val="00105889"/>
    <w:rsid w:val="00105908"/>
    <w:rsid w:val="0010591C"/>
    <w:rsid w:val="00105962"/>
    <w:rsid w:val="001059AC"/>
    <w:rsid w:val="00105A0E"/>
    <w:rsid w:val="00105A8F"/>
    <w:rsid w:val="00105B3F"/>
    <w:rsid w:val="00105BE4"/>
    <w:rsid w:val="00105C04"/>
    <w:rsid w:val="00105CDC"/>
    <w:rsid w:val="00105DB3"/>
    <w:rsid w:val="00105DCE"/>
    <w:rsid w:val="00105E2D"/>
    <w:rsid w:val="00105F4D"/>
    <w:rsid w:val="0010629D"/>
    <w:rsid w:val="0010634F"/>
    <w:rsid w:val="00106444"/>
    <w:rsid w:val="00106453"/>
    <w:rsid w:val="001064CC"/>
    <w:rsid w:val="0010655B"/>
    <w:rsid w:val="001065F5"/>
    <w:rsid w:val="001067A2"/>
    <w:rsid w:val="001067E8"/>
    <w:rsid w:val="0010685C"/>
    <w:rsid w:val="001068D8"/>
    <w:rsid w:val="001068FF"/>
    <w:rsid w:val="00106950"/>
    <w:rsid w:val="00106977"/>
    <w:rsid w:val="00106A63"/>
    <w:rsid w:val="00106A65"/>
    <w:rsid w:val="00106AB2"/>
    <w:rsid w:val="00106B69"/>
    <w:rsid w:val="00106B79"/>
    <w:rsid w:val="00106BF8"/>
    <w:rsid w:val="00106C28"/>
    <w:rsid w:val="00106CA3"/>
    <w:rsid w:val="00106CED"/>
    <w:rsid w:val="00106E00"/>
    <w:rsid w:val="00106ECB"/>
    <w:rsid w:val="00106F42"/>
    <w:rsid w:val="00106F56"/>
    <w:rsid w:val="00106F7E"/>
    <w:rsid w:val="001070AA"/>
    <w:rsid w:val="001070F6"/>
    <w:rsid w:val="001071BA"/>
    <w:rsid w:val="001071DC"/>
    <w:rsid w:val="00107239"/>
    <w:rsid w:val="00107433"/>
    <w:rsid w:val="00107481"/>
    <w:rsid w:val="00107650"/>
    <w:rsid w:val="00107663"/>
    <w:rsid w:val="0010770F"/>
    <w:rsid w:val="0010776C"/>
    <w:rsid w:val="001077D0"/>
    <w:rsid w:val="0010792D"/>
    <w:rsid w:val="00107986"/>
    <w:rsid w:val="001079EC"/>
    <w:rsid w:val="00107A39"/>
    <w:rsid w:val="00107BD8"/>
    <w:rsid w:val="00107C56"/>
    <w:rsid w:val="00107CCD"/>
    <w:rsid w:val="00107CD7"/>
    <w:rsid w:val="00107D57"/>
    <w:rsid w:val="00107E7B"/>
    <w:rsid w:val="00107F0B"/>
    <w:rsid w:val="001100E9"/>
    <w:rsid w:val="001101AB"/>
    <w:rsid w:val="001102E2"/>
    <w:rsid w:val="001103E3"/>
    <w:rsid w:val="00110484"/>
    <w:rsid w:val="001104A4"/>
    <w:rsid w:val="0011050E"/>
    <w:rsid w:val="001105C4"/>
    <w:rsid w:val="00110674"/>
    <w:rsid w:val="00110681"/>
    <w:rsid w:val="0011081E"/>
    <w:rsid w:val="0011088C"/>
    <w:rsid w:val="0011089C"/>
    <w:rsid w:val="0011098D"/>
    <w:rsid w:val="00110AEC"/>
    <w:rsid w:val="00110B52"/>
    <w:rsid w:val="00110B5A"/>
    <w:rsid w:val="00110B9F"/>
    <w:rsid w:val="00110BB7"/>
    <w:rsid w:val="00110C40"/>
    <w:rsid w:val="00110C5C"/>
    <w:rsid w:val="00110D17"/>
    <w:rsid w:val="00110D5F"/>
    <w:rsid w:val="00110DC3"/>
    <w:rsid w:val="00110FED"/>
    <w:rsid w:val="00111146"/>
    <w:rsid w:val="001111BB"/>
    <w:rsid w:val="001111D7"/>
    <w:rsid w:val="00111276"/>
    <w:rsid w:val="001112F1"/>
    <w:rsid w:val="00111369"/>
    <w:rsid w:val="00111378"/>
    <w:rsid w:val="00111419"/>
    <w:rsid w:val="001114AC"/>
    <w:rsid w:val="001114F6"/>
    <w:rsid w:val="00111502"/>
    <w:rsid w:val="0011150C"/>
    <w:rsid w:val="0011153F"/>
    <w:rsid w:val="001116A5"/>
    <w:rsid w:val="00111740"/>
    <w:rsid w:val="00111924"/>
    <w:rsid w:val="0011195F"/>
    <w:rsid w:val="0011199F"/>
    <w:rsid w:val="00111A57"/>
    <w:rsid w:val="00111A60"/>
    <w:rsid w:val="00111C03"/>
    <w:rsid w:val="00111CAF"/>
    <w:rsid w:val="00111CB0"/>
    <w:rsid w:val="00111D29"/>
    <w:rsid w:val="00111E65"/>
    <w:rsid w:val="0011207A"/>
    <w:rsid w:val="00112098"/>
    <w:rsid w:val="00112158"/>
    <w:rsid w:val="0011223B"/>
    <w:rsid w:val="00112395"/>
    <w:rsid w:val="00112432"/>
    <w:rsid w:val="00112476"/>
    <w:rsid w:val="0011249C"/>
    <w:rsid w:val="001124E3"/>
    <w:rsid w:val="00112507"/>
    <w:rsid w:val="00112618"/>
    <w:rsid w:val="00112847"/>
    <w:rsid w:val="0011297B"/>
    <w:rsid w:val="00112A0F"/>
    <w:rsid w:val="00112A98"/>
    <w:rsid w:val="00112D9F"/>
    <w:rsid w:val="00113018"/>
    <w:rsid w:val="00113176"/>
    <w:rsid w:val="001131A7"/>
    <w:rsid w:val="001132C5"/>
    <w:rsid w:val="001132FF"/>
    <w:rsid w:val="00113318"/>
    <w:rsid w:val="00113367"/>
    <w:rsid w:val="0011336C"/>
    <w:rsid w:val="00113440"/>
    <w:rsid w:val="00113462"/>
    <w:rsid w:val="00113586"/>
    <w:rsid w:val="0011359A"/>
    <w:rsid w:val="00113661"/>
    <w:rsid w:val="00113804"/>
    <w:rsid w:val="0011384E"/>
    <w:rsid w:val="0011387B"/>
    <w:rsid w:val="001138C4"/>
    <w:rsid w:val="00113901"/>
    <w:rsid w:val="00113986"/>
    <w:rsid w:val="00113A94"/>
    <w:rsid w:val="00113C2F"/>
    <w:rsid w:val="00113C50"/>
    <w:rsid w:val="00113C6A"/>
    <w:rsid w:val="00113CF8"/>
    <w:rsid w:val="00113DED"/>
    <w:rsid w:val="00113E1E"/>
    <w:rsid w:val="00113E45"/>
    <w:rsid w:val="00113E5E"/>
    <w:rsid w:val="00113E66"/>
    <w:rsid w:val="00114054"/>
    <w:rsid w:val="00114091"/>
    <w:rsid w:val="001140E9"/>
    <w:rsid w:val="001140F3"/>
    <w:rsid w:val="00114119"/>
    <w:rsid w:val="00114193"/>
    <w:rsid w:val="001141F8"/>
    <w:rsid w:val="001142AC"/>
    <w:rsid w:val="001142E1"/>
    <w:rsid w:val="001143C3"/>
    <w:rsid w:val="00114402"/>
    <w:rsid w:val="00114470"/>
    <w:rsid w:val="00114474"/>
    <w:rsid w:val="001144F5"/>
    <w:rsid w:val="001145AF"/>
    <w:rsid w:val="001145DF"/>
    <w:rsid w:val="00114754"/>
    <w:rsid w:val="001147A9"/>
    <w:rsid w:val="001147BA"/>
    <w:rsid w:val="0011484B"/>
    <w:rsid w:val="001148C6"/>
    <w:rsid w:val="00114986"/>
    <w:rsid w:val="0011498F"/>
    <w:rsid w:val="00114C64"/>
    <w:rsid w:val="00114D1D"/>
    <w:rsid w:val="00114DB1"/>
    <w:rsid w:val="00114EAA"/>
    <w:rsid w:val="00114FB2"/>
    <w:rsid w:val="00115074"/>
    <w:rsid w:val="001150D2"/>
    <w:rsid w:val="00115121"/>
    <w:rsid w:val="00115154"/>
    <w:rsid w:val="001151D5"/>
    <w:rsid w:val="00115252"/>
    <w:rsid w:val="0011539C"/>
    <w:rsid w:val="0011556A"/>
    <w:rsid w:val="00115603"/>
    <w:rsid w:val="001156D5"/>
    <w:rsid w:val="00115877"/>
    <w:rsid w:val="00115891"/>
    <w:rsid w:val="0011593B"/>
    <w:rsid w:val="00115AD1"/>
    <w:rsid w:val="00115B3F"/>
    <w:rsid w:val="00115BDD"/>
    <w:rsid w:val="00115CA7"/>
    <w:rsid w:val="00115D1A"/>
    <w:rsid w:val="00115DA1"/>
    <w:rsid w:val="00115DB9"/>
    <w:rsid w:val="00115DD5"/>
    <w:rsid w:val="00115E50"/>
    <w:rsid w:val="00115F1F"/>
    <w:rsid w:val="00115FCC"/>
    <w:rsid w:val="00116077"/>
    <w:rsid w:val="00116267"/>
    <w:rsid w:val="001163D2"/>
    <w:rsid w:val="001163EB"/>
    <w:rsid w:val="001164C7"/>
    <w:rsid w:val="0011687D"/>
    <w:rsid w:val="0011687E"/>
    <w:rsid w:val="00116990"/>
    <w:rsid w:val="001169A8"/>
    <w:rsid w:val="00116BC3"/>
    <w:rsid w:val="00116CF3"/>
    <w:rsid w:val="00116E1C"/>
    <w:rsid w:val="00116E48"/>
    <w:rsid w:val="00116E84"/>
    <w:rsid w:val="00116F0E"/>
    <w:rsid w:val="00116F36"/>
    <w:rsid w:val="00116FC6"/>
    <w:rsid w:val="0011718F"/>
    <w:rsid w:val="00117212"/>
    <w:rsid w:val="00117357"/>
    <w:rsid w:val="00117541"/>
    <w:rsid w:val="001175B3"/>
    <w:rsid w:val="00117721"/>
    <w:rsid w:val="00117788"/>
    <w:rsid w:val="00117832"/>
    <w:rsid w:val="0011783B"/>
    <w:rsid w:val="0011795D"/>
    <w:rsid w:val="001179D2"/>
    <w:rsid w:val="001179DE"/>
    <w:rsid w:val="00117A57"/>
    <w:rsid w:val="00117AC6"/>
    <w:rsid w:val="00117B82"/>
    <w:rsid w:val="00117BB2"/>
    <w:rsid w:val="00117BCB"/>
    <w:rsid w:val="00117CD7"/>
    <w:rsid w:val="00117D51"/>
    <w:rsid w:val="00117DA9"/>
    <w:rsid w:val="00117DE9"/>
    <w:rsid w:val="00117EAC"/>
    <w:rsid w:val="00117F09"/>
    <w:rsid w:val="00117F99"/>
    <w:rsid w:val="00120096"/>
    <w:rsid w:val="001200EF"/>
    <w:rsid w:val="001201DD"/>
    <w:rsid w:val="001202F2"/>
    <w:rsid w:val="0012030E"/>
    <w:rsid w:val="00120325"/>
    <w:rsid w:val="00120414"/>
    <w:rsid w:val="00120444"/>
    <w:rsid w:val="0012071B"/>
    <w:rsid w:val="0012071D"/>
    <w:rsid w:val="0012078F"/>
    <w:rsid w:val="001208C7"/>
    <w:rsid w:val="001208F5"/>
    <w:rsid w:val="00120904"/>
    <w:rsid w:val="0012094A"/>
    <w:rsid w:val="00120A38"/>
    <w:rsid w:val="00120A59"/>
    <w:rsid w:val="00120A9E"/>
    <w:rsid w:val="00120AF8"/>
    <w:rsid w:val="00120B74"/>
    <w:rsid w:val="00120B7A"/>
    <w:rsid w:val="00120BA3"/>
    <w:rsid w:val="00120C73"/>
    <w:rsid w:val="00120CBD"/>
    <w:rsid w:val="00120DF9"/>
    <w:rsid w:val="00120EB8"/>
    <w:rsid w:val="00120FD8"/>
    <w:rsid w:val="00121007"/>
    <w:rsid w:val="00121280"/>
    <w:rsid w:val="001212A8"/>
    <w:rsid w:val="00121391"/>
    <w:rsid w:val="00121432"/>
    <w:rsid w:val="00121469"/>
    <w:rsid w:val="0012149D"/>
    <w:rsid w:val="001214AF"/>
    <w:rsid w:val="00121564"/>
    <w:rsid w:val="001215C7"/>
    <w:rsid w:val="00121690"/>
    <w:rsid w:val="00121744"/>
    <w:rsid w:val="0012175E"/>
    <w:rsid w:val="001217D8"/>
    <w:rsid w:val="00121B51"/>
    <w:rsid w:val="00121C0B"/>
    <w:rsid w:val="00121CAE"/>
    <w:rsid w:val="00121CD2"/>
    <w:rsid w:val="00121D70"/>
    <w:rsid w:val="00121E10"/>
    <w:rsid w:val="00121E11"/>
    <w:rsid w:val="00121E72"/>
    <w:rsid w:val="00121ED1"/>
    <w:rsid w:val="00121F0D"/>
    <w:rsid w:val="00121FAB"/>
    <w:rsid w:val="0012202A"/>
    <w:rsid w:val="00122160"/>
    <w:rsid w:val="00122569"/>
    <w:rsid w:val="0012266E"/>
    <w:rsid w:val="00122710"/>
    <w:rsid w:val="001227CF"/>
    <w:rsid w:val="00122831"/>
    <w:rsid w:val="001229BB"/>
    <w:rsid w:val="001229FD"/>
    <w:rsid w:val="00122A7F"/>
    <w:rsid w:val="00122B70"/>
    <w:rsid w:val="00122B76"/>
    <w:rsid w:val="00122BBA"/>
    <w:rsid w:val="00122C69"/>
    <w:rsid w:val="00122C7B"/>
    <w:rsid w:val="00122E0C"/>
    <w:rsid w:val="00122E45"/>
    <w:rsid w:val="00122F29"/>
    <w:rsid w:val="00123132"/>
    <w:rsid w:val="001231FA"/>
    <w:rsid w:val="00123278"/>
    <w:rsid w:val="001232DC"/>
    <w:rsid w:val="001233A8"/>
    <w:rsid w:val="001234DF"/>
    <w:rsid w:val="00123506"/>
    <w:rsid w:val="00123540"/>
    <w:rsid w:val="00123590"/>
    <w:rsid w:val="001235ED"/>
    <w:rsid w:val="001236FE"/>
    <w:rsid w:val="0012370E"/>
    <w:rsid w:val="0012373B"/>
    <w:rsid w:val="00123797"/>
    <w:rsid w:val="001237A4"/>
    <w:rsid w:val="001237E2"/>
    <w:rsid w:val="00123847"/>
    <w:rsid w:val="0012388E"/>
    <w:rsid w:val="001238B4"/>
    <w:rsid w:val="001238EF"/>
    <w:rsid w:val="001239B1"/>
    <w:rsid w:val="00123A6A"/>
    <w:rsid w:val="00123AA3"/>
    <w:rsid w:val="00123B45"/>
    <w:rsid w:val="00123B85"/>
    <w:rsid w:val="00123DB5"/>
    <w:rsid w:val="00123DC5"/>
    <w:rsid w:val="00123FEF"/>
    <w:rsid w:val="00124041"/>
    <w:rsid w:val="00124168"/>
    <w:rsid w:val="00124466"/>
    <w:rsid w:val="0012450D"/>
    <w:rsid w:val="0012457F"/>
    <w:rsid w:val="001245B0"/>
    <w:rsid w:val="00124659"/>
    <w:rsid w:val="00124690"/>
    <w:rsid w:val="00124697"/>
    <w:rsid w:val="00124737"/>
    <w:rsid w:val="00124846"/>
    <w:rsid w:val="001249CD"/>
    <w:rsid w:val="001249F3"/>
    <w:rsid w:val="00124A34"/>
    <w:rsid w:val="00124A86"/>
    <w:rsid w:val="00124B3C"/>
    <w:rsid w:val="00124B78"/>
    <w:rsid w:val="00124C24"/>
    <w:rsid w:val="00124C81"/>
    <w:rsid w:val="00124CFE"/>
    <w:rsid w:val="00124DF5"/>
    <w:rsid w:val="00124E21"/>
    <w:rsid w:val="00124EF4"/>
    <w:rsid w:val="00124F44"/>
    <w:rsid w:val="00124F8C"/>
    <w:rsid w:val="00125049"/>
    <w:rsid w:val="0012511C"/>
    <w:rsid w:val="00125177"/>
    <w:rsid w:val="001251E8"/>
    <w:rsid w:val="001252FA"/>
    <w:rsid w:val="001254DD"/>
    <w:rsid w:val="0012555E"/>
    <w:rsid w:val="001256AC"/>
    <w:rsid w:val="00125873"/>
    <w:rsid w:val="001259DB"/>
    <w:rsid w:val="00125B33"/>
    <w:rsid w:val="00125B6A"/>
    <w:rsid w:val="00125B90"/>
    <w:rsid w:val="00125C58"/>
    <w:rsid w:val="00125C62"/>
    <w:rsid w:val="00125D1A"/>
    <w:rsid w:val="00125E2F"/>
    <w:rsid w:val="00125E81"/>
    <w:rsid w:val="00125E8F"/>
    <w:rsid w:val="00125EC8"/>
    <w:rsid w:val="00125FB5"/>
    <w:rsid w:val="00125FF1"/>
    <w:rsid w:val="00126073"/>
    <w:rsid w:val="001260B9"/>
    <w:rsid w:val="001260DB"/>
    <w:rsid w:val="001260FF"/>
    <w:rsid w:val="001261B1"/>
    <w:rsid w:val="00126248"/>
    <w:rsid w:val="001263F0"/>
    <w:rsid w:val="00126428"/>
    <w:rsid w:val="00126647"/>
    <w:rsid w:val="00126715"/>
    <w:rsid w:val="001267C8"/>
    <w:rsid w:val="00126926"/>
    <w:rsid w:val="0012694E"/>
    <w:rsid w:val="00126963"/>
    <w:rsid w:val="00126A5E"/>
    <w:rsid w:val="00126AEC"/>
    <w:rsid w:val="00126BBD"/>
    <w:rsid w:val="00126D67"/>
    <w:rsid w:val="00126DBD"/>
    <w:rsid w:val="00126DFD"/>
    <w:rsid w:val="00127013"/>
    <w:rsid w:val="00127122"/>
    <w:rsid w:val="00127231"/>
    <w:rsid w:val="00127372"/>
    <w:rsid w:val="001273C3"/>
    <w:rsid w:val="00127448"/>
    <w:rsid w:val="001274C0"/>
    <w:rsid w:val="00127529"/>
    <w:rsid w:val="0012768A"/>
    <w:rsid w:val="00127749"/>
    <w:rsid w:val="00127751"/>
    <w:rsid w:val="0012779C"/>
    <w:rsid w:val="00127807"/>
    <w:rsid w:val="0012792A"/>
    <w:rsid w:val="0012794E"/>
    <w:rsid w:val="0012795D"/>
    <w:rsid w:val="00127985"/>
    <w:rsid w:val="0012799D"/>
    <w:rsid w:val="00127A2F"/>
    <w:rsid w:val="00127A52"/>
    <w:rsid w:val="00127B38"/>
    <w:rsid w:val="00127B61"/>
    <w:rsid w:val="00127C23"/>
    <w:rsid w:val="00127D71"/>
    <w:rsid w:val="00127E15"/>
    <w:rsid w:val="00127F27"/>
    <w:rsid w:val="00127F4C"/>
    <w:rsid w:val="0013002C"/>
    <w:rsid w:val="00130045"/>
    <w:rsid w:val="0013012B"/>
    <w:rsid w:val="00130144"/>
    <w:rsid w:val="0013015A"/>
    <w:rsid w:val="0013029D"/>
    <w:rsid w:val="0013033F"/>
    <w:rsid w:val="00130367"/>
    <w:rsid w:val="00130452"/>
    <w:rsid w:val="001304A9"/>
    <w:rsid w:val="001304CE"/>
    <w:rsid w:val="00130500"/>
    <w:rsid w:val="001307DA"/>
    <w:rsid w:val="001308E8"/>
    <w:rsid w:val="001309C7"/>
    <w:rsid w:val="00130B03"/>
    <w:rsid w:val="00130B72"/>
    <w:rsid w:val="00130CA9"/>
    <w:rsid w:val="00130CE1"/>
    <w:rsid w:val="00130E8D"/>
    <w:rsid w:val="00130EC3"/>
    <w:rsid w:val="00130F96"/>
    <w:rsid w:val="001310B3"/>
    <w:rsid w:val="001312C3"/>
    <w:rsid w:val="0013130F"/>
    <w:rsid w:val="0013139C"/>
    <w:rsid w:val="001313EE"/>
    <w:rsid w:val="0013145F"/>
    <w:rsid w:val="001314A8"/>
    <w:rsid w:val="0013157D"/>
    <w:rsid w:val="001315C3"/>
    <w:rsid w:val="001315EA"/>
    <w:rsid w:val="00131760"/>
    <w:rsid w:val="001317C8"/>
    <w:rsid w:val="001317E0"/>
    <w:rsid w:val="001317EB"/>
    <w:rsid w:val="001318CF"/>
    <w:rsid w:val="0013195C"/>
    <w:rsid w:val="0013195D"/>
    <w:rsid w:val="00131A34"/>
    <w:rsid w:val="00131B9F"/>
    <w:rsid w:val="00131C15"/>
    <w:rsid w:val="00131CDD"/>
    <w:rsid w:val="00131E97"/>
    <w:rsid w:val="001320D6"/>
    <w:rsid w:val="00132140"/>
    <w:rsid w:val="001321C8"/>
    <w:rsid w:val="001321F2"/>
    <w:rsid w:val="0013221C"/>
    <w:rsid w:val="00132220"/>
    <w:rsid w:val="001324E1"/>
    <w:rsid w:val="001325FA"/>
    <w:rsid w:val="0013269B"/>
    <w:rsid w:val="001327F5"/>
    <w:rsid w:val="0013298E"/>
    <w:rsid w:val="00132B9C"/>
    <w:rsid w:val="00132BB0"/>
    <w:rsid w:val="00132BE7"/>
    <w:rsid w:val="00132E76"/>
    <w:rsid w:val="00132E99"/>
    <w:rsid w:val="00132EDE"/>
    <w:rsid w:val="00132EF0"/>
    <w:rsid w:val="001331C7"/>
    <w:rsid w:val="001331D5"/>
    <w:rsid w:val="001331E7"/>
    <w:rsid w:val="0013321E"/>
    <w:rsid w:val="0013323D"/>
    <w:rsid w:val="0013331D"/>
    <w:rsid w:val="00133322"/>
    <w:rsid w:val="00133393"/>
    <w:rsid w:val="001333A8"/>
    <w:rsid w:val="0013342D"/>
    <w:rsid w:val="00133593"/>
    <w:rsid w:val="001335F4"/>
    <w:rsid w:val="00133754"/>
    <w:rsid w:val="00133794"/>
    <w:rsid w:val="001337AA"/>
    <w:rsid w:val="001338AB"/>
    <w:rsid w:val="001338D7"/>
    <w:rsid w:val="001338FE"/>
    <w:rsid w:val="001339C1"/>
    <w:rsid w:val="00133A5D"/>
    <w:rsid w:val="00133A9C"/>
    <w:rsid w:val="00133AE4"/>
    <w:rsid w:val="00133B07"/>
    <w:rsid w:val="00133B9C"/>
    <w:rsid w:val="00133DC3"/>
    <w:rsid w:val="001341BF"/>
    <w:rsid w:val="00134291"/>
    <w:rsid w:val="001342E6"/>
    <w:rsid w:val="001343C2"/>
    <w:rsid w:val="001343D1"/>
    <w:rsid w:val="00134403"/>
    <w:rsid w:val="00134413"/>
    <w:rsid w:val="001344B9"/>
    <w:rsid w:val="00134531"/>
    <w:rsid w:val="001345C0"/>
    <w:rsid w:val="00134614"/>
    <w:rsid w:val="00134626"/>
    <w:rsid w:val="00134630"/>
    <w:rsid w:val="0013469A"/>
    <w:rsid w:val="001346CA"/>
    <w:rsid w:val="00134744"/>
    <w:rsid w:val="0013476B"/>
    <w:rsid w:val="0013476C"/>
    <w:rsid w:val="00134850"/>
    <w:rsid w:val="0013489C"/>
    <w:rsid w:val="001348B1"/>
    <w:rsid w:val="00134957"/>
    <w:rsid w:val="0013496A"/>
    <w:rsid w:val="00134A0F"/>
    <w:rsid w:val="00134AA9"/>
    <w:rsid w:val="00134ADA"/>
    <w:rsid w:val="00134B61"/>
    <w:rsid w:val="00134E1E"/>
    <w:rsid w:val="00134F28"/>
    <w:rsid w:val="00134FE4"/>
    <w:rsid w:val="0013505B"/>
    <w:rsid w:val="00135068"/>
    <w:rsid w:val="001350F4"/>
    <w:rsid w:val="0013510E"/>
    <w:rsid w:val="0013520E"/>
    <w:rsid w:val="0013521E"/>
    <w:rsid w:val="00135225"/>
    <w:rsid w:val="0013526D"/>
    <w:rsid w:val="001353A1"/>
    <w:rsid w:val="001353FE"/>
    <w:rsid w:val="00135440"/>
    <w:rsid w:val="0013544D"/>
    <w:rsid w:val="00135528"/>
    <w:rsid w:val="00135565"/>
    <w:rsid w:val="00135581"/>
    <w:rsid w:val="00135B0A"/>
    <w:rsid w:val="00135D16"/>
    <w:rsid w:val="00135D49"/>
    <w:rsid w:val="00135D52"/>
    <w:rsid w:val="00135DAD"/>
    <w:rsid w:val="00135DCD"/>
    <w:rsid w:val="00135FBB"/>
    <w:rsid w:val="00136036"/>
    <w:rsid w:val="00136084"/>
    <w:rsid w:val="00136167"/>
    <w:rsid w:val="0013618B"/>
    <w:rsid w:val="001361E5"/>
    <w:rsid w:val="00136211"/>
    <w:rsid w:val="0013625B"/>
    <w:rsid w:val="0013626E"/>
    <w:rsid w:val="0013628D"/>
    <w:rsid w:val="0013630E"/>
    <w:rsid w:val="00136312"/>
    <w:rsid w:val="00136389"/>
    <w:rsid w:val="001363EC"/>
    <w:rsid w:val="0013642C"/>
    <w:rsid w:val="001365E5"/>
    <w:rsid w:val="001365ED"/>
    <w:rsid w:val="0013686C"/>
    <w:rsid w:val="00136A70"/>
    <w:rsid w:val="00136B9B"/>
    <w:rsid w:val="00136BE1"/>
    <w:rsid w:val="00136D0A"/>
    <w:rsid w:val="00136D1B"/>
    <w:rsid w:val="00136DA5"/>
    <w:rsid w:val="00136EDF"/>
    <w:rsid w:val="00136EE7"/>
    <w:rsid w:val="00137089"/>
    <w:rsid w:val="001370F0"/>
    <w:rsid w:val="001370F8"/>
    <w:rsid w:val="001371B2"/>
    <w:rsid w:val="001372BA"/>
    <w:rsid w:val="0013737A"/>
    <w:rsid w:val="001373D3"/>
    <w:rsid w:val="001375D6"/>
    <w:rsid w:val="001376E4"/>
    <w:rsid w:val="0013779A"/>
    <w:rsid w:val="0013779B"/>
    <w:rsid w:val="001377A6"/>
    <w:rsid w:val="00137B95"/>
    <w:rsid w:val="00137BA7"/>
    <w:rsid w:val="00137C2F"/>
    <w:rsid w:val="00137C66"/>
    <w:rsid w:val="00137CA9"/>
    <w:rsid w:val="00137D56"/>
    <w:rsid w:val="00137D70"/>
    <w:rsid w:val="00137DD1"/>
    <w:rsid w:val="001401E1"/>
    <w:rsid w:val="0014022D"/>
    <w:rsid w:val="00140238"/>
    <w:rsid w:val="001402DF"/>
    <w:rsid w:val="00140347"/>
    <w:rsid w:val="00140468"/>
    <w:rsid w:val="001404FE"/>
    <w:rsid w:val="00140571"/>
    <w:rsid w:val="001405AF"/>
    <w:rsid w:val="00140626"/>
    <w:rsid w:val="00140660"/>
    <w:rsid w:val="00140723"/>
    <w:rsid w:val="00140754"/>
    <w:rsid w:val="0014095D"/>
    <w:rsid w:val="001409CD"/>
    <w:rsid w:val="001409E5"/>
    <w:rsid w:val="00140A0B"/>
    <w:rsid w:val="00140C81"/>
    <w:rsid w:val="00140C98"/>
    <w:rsid w:val="00140CBD"/>
    <w:rsid w:val="00140D23"/>
    <w:rsid w:val="00140D44"/>
    <w:rsid w:val="00140D58"/>
    <w:rsid w:val="00140DAE"/>
    <w:rsid w:val="00140E23"/>
    <w:rsid w:val="00140ED1"/>
    <w:rsid w:val="00140FFA"/>
    <w:rsid w:val="00141070"/>
    <w:rsid w:val="0014114D"/>
    <w:rsid w:val="00141192"/>
    <w:rsid w:val="001411B6"/>
    <w:rsid w:val="001411DC"/>
    <w:rsid w:val="001411EF"/>
    <w:rsid w:val="00141224"/>
    <w:rsid w:val="00141248"/>
    <w:rsid w:val="0014128E"/>
    <w:rsid w:val="001412D4"/>
    <w:rsid w:val="0014132A"/>
    <w:rsid w:val="00141393"/>
    <w:rsid w:val="001413E0"/>
    <w:rsid w:val="00141431"/>
    <w:rsid w:val="0014143A"/>
    <w:rsid w:val="001414B6"/>
    <w:rsid w:val="00141505"/>
    <w:rsid w:val="0014152C"/>
    <w:rsid w:val="0014155B"/>
    <w:rsid w:val="001415BE"/>
    <w:rsid w:val="001415D4"/>
    <w:rsid w:val="00141612"/>
    <w:rsid w:val="001416C0"/>
    <w:rsid w:val="00141708"/>
    <w:rsid w:val="0014183E"/>
    <w:rsid w:val="00141978"/>
    <w:rsid w:val="00141A0F"/>
    <w:rsid w:val="00141BFD"/>
    <w:rsid w:val="00141C84"/>
    <w:rsid w:val="00141D9D"/>
    <w:rsid w:val="00141EA9"/>
    <w:rsid w:val="00141F3F"/>
    <w:rsid w:val="00141FB7"/>
    <w:rsid w:val="001420A0"/>
    <w:rsid w:val="001420B6"/>
    <w:rsid w:val="001420BA"/>
    <w:rsid w:val="00142230"/>
    <w:rsid w:val="00142266"/>
    <w:rsid w:val="00142280"/>
    <w:rsid w:val="001422DF"/>
    <w:rsid w:val="0014239C"/>
    <w:rsid w:val="0014242E"/>
    <w:rsid w:val="001424A4"/>
    <w:rsid w:val="001424E5"/>
    <w:rsid w:val="00142524"/>
    <w:rsid w:val="00142771"/>
    <w:rsid w:val="001427D0"/>
    <w:rsid w:val="001428E0"/>
    <w:rsid w:val="001428F4"/>
    <w:rsid w:val="00142A5C"/>
    <w:rsid w:val="00142B9B"/>
    <w:rsid w:val="00142CC0"/>
    <w:rsid w:val="00142CE4"/>
    <w:rsid w:val="00142D08"/>
    <w:rsid w:val="00142DA0"/>
    <w:rsid w:val="00142DC4"/>
    <w:rsid w:val="00142E80"/>
    <w:rsid w:val="00142F27"/>
    <w:rsid w:val="00142F2B"/>
    <w:rsid w:val="00142FF0"/>
    <w:rsid w:val="00142FFA"/>
    <w:rsid w:val="00143030"/>
    <w:rsid w:val="00143036"/>
    <w:rsid w:val="00143099"/>
    <w:rsid w:val="00143252"/>
    <w:rsid w:val="00143323"/>
    <w:rsid w:val="00143331"/>
    <w:rsid w:val="001433BF"/>
    <w:rsid w:val="001435F8"/>
    <w:rsid w:val="0014361D"/>
    <w:rsid w:val="00143622"/>
    <w:rsid w:val="0014363B"/>
    <w:rsid w:val="00143700"/>
    <w:rsid w:val="001437AA"/>
    <w:rsid w:val="001437F4"/>
    <w:rsid w:val="00143826"/>
    <w:rsid w:val="00143845"/>
    <w:rsid w:val="001438B1"/>
    <w:rsid w:val="0014390B"/>
    <w:rsid w:val="0014394C"/>
    <w:rsid w:val="0014394E"/>
    <w:rsid w:val="00143ACC"/>
    <w:rsid w:val="00143B82"/>
    <w:rsid w:val="00143BBF"/>
    <w:rsid w:val="00143D9D"/>
    <w:rsid w:val="00144043"/>
    <w:rsid w:val="00144118"/>
    <w:rsid w:val="0014413B"/>
    <w:rsid w:val="0014418A"/>
    <w:rsid w:val="0014422A"/>
    <w:rsid w:val="0014428F"/>
    <w:rsid w:val="001444FB"/>
    <w:rsid w:val="00144649"/>
    <w:rsid w:val="00144713"/>
    <w:rsid w:val="00144718"/>
    <w:rsid w:val="00144730"/>
    <w:rsid w:val="0014474E"/>
    <w:rsid w:val="001448C5"/>
    <w:rsid w:val="00144906"/>
    <w:rsid w:val="001449B4"/>
    <w:rsid w:val="00144BB8"/>
    <w:rsid w:val="00144C84"/>
    <w:rsid w:val="00144D96"/>
    <w:rsid w:val="00144DC5"/>
    <w:rsid w:val="00144EB2"/>
    <w:rsid w:val="00144FC5"/>
    <w:rsid w:val="00144FFC"/>
    <w:rsid w:val="0014503B"/>
    <w:rsid w:val="00145093"/>
    <w:rsid w:val="00145173"/>
    <w:rsid w:val="001451A6"/>
    <w:rsid w:val="00145203"/>
    <w:rsid w:val="0014528E"/>
    <w:rsid w:val="001452CA"/>
    <w:rsid w:val="00145320"/>
    <w:rsid w:val="0014538B"/>
    <w:rsid w:val="001453D0"/>
    <w:rsid w:val="001454BA"/>
    <w:rsid w:val="001456C9"/>
    <w:rsid w:val="0014570F"/>
    <w:rsid w:val="0014587D"/>
    <w:rsid w:val="001458C7"/>
    <w:rsid w:val="00145BB7"/>
    <w:rsid w:val="00145C58"/>
    <w:rsid w:val="00145C7E"/>
    <w:rsid w:val="00145C8B"/>
    <w:rsid w:val="00145DD6"/>
    <w:rsid w:val="00145E4A"/>
    <w:rsid w:val="00145F5B"/>
    <w:rsid w:val="0014611A"/>
    <w:rsid w:val="001461A6"/>
    <w:rsid w:val="001462ED"/>
    <w:rsid w:val="00146355"/>
    <w:rsid w:val="00146593"/>
    <w:rsid w:val="001465C3"/>
    <w:rsid w:val="00146651"/>
    <w:rsid w:val="00146656"/>
    <w:rsid w:val="0014671E"/>
    <w:rsid w:val="00146A68"/>
    <w:rsid w:val="00146B19"/>
    <w:rsid w:val="00146D0F"/>
    <w:rsid w:val="00146EC1"/>
    <w:rsid w:val="00146F5C"/>
    <w:rsid w:val="00146FC2"/>
    <w:rsid w:val="00146FC6"/>
    <w:rsid w:val="001470C0"/>
    <w:rsid w:val="001470D3"/>
    <w:rsid w:val="001470DE"/>
    <w:rsid w:val="001472F1"/>
    <w:rsid w:val="00147322"/>
    <w:rsid w:val="001473DC"/>
    <w:rsid w:val="001473ED"/>
    <w:rsid w:val="0014747A"/>
    <w:rsid w:val="00147490"/>
    <w:rsid w:val="001474C4"/>
    <w:rsid w:val="001476CE"/>
    <w:rsid w:val="00147770"/>
    <w:rsid w:val="00147862"/>
    <w:rsid w:val="0014789C"/>
    <w:rsid w:val="001478D2"/>
    <w:rsid w:val="001478D7"/>
    <w:rsid w:val="001479F5"/>
    <w:rsid w:val="00147AD0"/>
    <w:rsid w:val="00147B24"/>
    <w:rsid w:val="00147B46"/>
    <w:rsid w:val="00147B6E"/>
    <w:rsid w:val="00147BB0"/>
    <w:rsid w:val="00147C29"/>
    <w:rsid w:val="00147CF7"/>
    <w:rsid w:val="00147D57"/>
    <w:rsid w:val="00147DED"/>
    <w:rsid w:val="00147E35"/>
    <w:rsid w:val="00147E4E"/>
    <w:rsid w:val="00147EDA"/>
    <w:rsid w:val="00147F08"/>
    <w:rsid w:val="00147FBC"/>
    <w:rsid w:val="001500DE"/>
    <w:rsid w:val="001501E0"/>
    <w:rsid w:val="001501EB"/>
    <w:rsid w:val="00150224"/>
    <w:rsid w:val="001502DD"/>
    <w:rsid w:val="00150337"/>
    <w:rsid w:val="00150392"/>
    <w:rsid w:val="00150497"/>
    <w:rsid w:val="001504C3"/>
    <w:rsid w:val="00150518"/>
    <w:rsid w:val="0015067F"/>
    <w:rsid w:val="00150682"/>
    <w:rsid w:val="00150693"/>
    <w:rsid w:val="00150714"/>
    <w:rsid w:val="00150756"/>
    <w:rsid w:val="0015075B"/>
    <w:rsid w:val="001507E1"/>
    <w:rsid w:val="00150815"/>
    <w:rsid w:val="001508AD"/>
    <w:rsid w:val="00150937"/>
    <w:rsid w:val="001509A9"/>
    <w:rsid w:val="00150A7A"/>
    <w:rsid w:val="00150B20"/>
    <w:rsid w:val="00150D13"/>
    <w:rsid w:val="00150DD5"/>
    <w:rsid w:val="00150E33"/>
    <w:rsid w:val="00150EA5"/>
    <w:rsid w:val="00150EB1"/>
    <w:rsid w:val="00151118"/>
    <w:rsid w:val="00151284"/>
    <w:rsid w:val="00151361"/>
    <w:rsid w:val="00151373"/>
    <w:rsid w:val="001513C8"/>
    <w:rsid w:val="001513D6"/>
    <w:rsid w:val="00151489"/>
    <w:rsid w:val="001514FC"/>
    <w:rsid w:val="00151542"/>
    <w:rsid w:val="001515FA"/>
    <w:rsid w:val="00151639"/>
    <w:rsid w:val="00151658"/>
    <w:rsid w:val="001516E7"/>
    <w:rsid w:val="001517C4"/>
    <w:rsid w:val="00151848"/>
    <w:rsid w:val="0015184D"/>
    <w:rsid w:val="00151AB1"/>
    <w:rsid w:val="00151B80"/>
    <w:rsid w:val="00151BCB"/>
    <w:rsid w:val="00151BE4"/>
    <w:rsid w:val="00151C44"/>
    <w:rsid w:val="00151D61"/>
    <w:rsid w:val="00151D67"/>
    <w:rsid w:val="00151D95"/>
    <w:rsid w:val="00151DAB"/>
    <w:rsid w:val="00151DAE"/>
    <w:rsid w:val="00151DC4"/>
    <w:rsid w:val="00151DF5"/>
    <w:rsid w:val="00151E89"/>
    <w:rsid w:val="00151EDA"/>
    <w:rsid w:val="00151F1E"/>
    <w:rsid w:val="001520D4"/>
    <w:rsid w:val="00152135"/>
    <w:rsid w:val="0015213A"/>
    <w:rsid w:val="0015213D"/>
    <w:rsid w:val="0015216D"/>
    <w:rsid w:val="001522D7"/>
    <w:rsid w:val="001522E5"/>
    <w:rsid w:val="00152457"/>
    <w:rsid w:val="0015247A"/>
    <w:rsid w:val="00152535"/>
    <w:rsid w:val="001525C4"/>
    <w:rsid w:val="001525D5"/>
    <w:rsid w:val="0015261C"/>
    <w:rsid w:val="00152638"/>
    <w:rsid w:val="001526AA"/>
    <w:rsid w:val="00152791"/>
    <w:rsid w:val="00152793"/>
    <w:rsid w:val="00152AB1"/>
    <w:rsid w:val="00152CF6"/>
    <w:rsid w:val="00152CFB"/>
    <w:rsid w:val="00152D04"/>
    <w:rsid w:val="00152E1D"/>
    <w:rsid w:val="00152F1B"/>
    <w:rsid w:val="001530C3"/>
    <w:rsid w:val="001530E4"/>
    <w:rsid w:val="001532F6"/>
    <w:rsid w:val="001535AD"/>
    <w:rsid w:val="00153685"/>
    <w:rsid w:val="001536A8"/>
    <w:rsid w:val="001536D9"/>
    <w:rsid w:val="0015371A"/>
    <w:rsid w:val="0015376E"/>
    <w:rsid w:val="0015376F"/>
    <w:rsid w:val="00153798"/>
    <w:rsid w:val="001537BB"/>
    <w:rsid w:val="00153816"/>
    <w:rsid w:val="00153835"/>
    <w:rsid w:val="00153977"/>
    <w:rsid w:val="0015398E"/>
    <w:rsid w:val="00153A60"/>
    <w:rsid w:val="00153B55"/>
    <w:rsid w:val="00153C89"/>
    <w:rsid w:val="00153C9B"/>
    <w:rsid w:val="00153CF3"/>
    <w:rsid w:val="00153DC0"/>
    <w:rsid w:val="00153DDE"/>
    <w:rsid w:val="00153DFF"/>
    <w:rsid w:val="00153E0E"/>
    <w:rsid w:val="00153F93"/>
    <w:rsid w:val="00153FE0"/>
    <w:rsid w:val="00153FF5"/>
    <w:rsid w:val="00154053"/>
    <w:rsid w:val="00154092"/>
    <w:rsid w:val="001541B1"/>
    <w:rsid w:val="001543BC"/>
    <w:rsid w:val="00154462"/>
    <w:rsid w:val="001545A4"/>
    <w:rsid w:val="0015462E"/>
    <w:rsid w:val="001546E3"/>
    <w:rsid w:val="00154701"/>
    <w:rsid w:val="00154891"/>
    <w:rsid w:val="001548FA"/>
    <w:rsid w:val="00154971"/>
    <w:rsid w:val="00154A0B"/>
    <w:rsid w:val="00154A51"/>
    <w:rsid w:val="00154B60"/>
    <w:rsid w:val="00154BA1"/>
    <w:rsid w:val="00154D03"/>
    <w:rsid w:val="00154D4D"/>
    <w:rsid w:val="00154E29"/>
    <w:rsid w:val="00154E96"/>
    <w:rsid w:val="00155011"/>
    <w:rsid w:val="00155056"/>
    <w:rsid w:val="0015507A"/>
    <w:rsid w:val="0015510E"/>
    <w:rsid w:val="001551AA"/>
    <w:rsid w:val="001552D7"/>
    <w:rsid w:val="001552DA"/>
    <w:rsid w:val="00155362"/>
    <w:rsid w:val="00155489"/>
    <w:rsid w:val="001554AA"/>
    <w:rsid w:val="001554C6"/>
    <w:rsid w:val="00155636"/>
    <w:rsid w:val="00155728"/>
    <w:rsid w:val="00155823"/>
    <w:rsid w:val="00155865"/>
    <w:rsid w:val="001558ED"/>
    <w:rsid w:val="0015591B"/>
    <w:rsid w:val="00155C07"/>
    <w:rsid w:val="00155D37"/>
    <w:rsid w:val="00155D51"/>
    <w:rsid w:val="00155FA7"/>
    <w:rsid w:val="00155FB9"/>
    <w:rsid w:val="0015613D"/>
    <w:rsid w:val="00156173"/>
    <w:rsid w:val="00156249"/>
    <w:rsid w:val="001562DC"/>
    <w:rsid w:val="00156338"/>
    <w:rsid w:val="00156425"/>
    <w:rsid w:val="00156485"/>
    <w:rsid w:val="001564D4"/>
    <w:rsid w:val="0015656A"/>
    <w:rsid w:val="0015663B"/>
    <w:rsid w:val="001566A9"/>
    <w:rsid w:val="001566E2"/>
    <w:rsid w:val="001567CF"/>
    <w:rsid w:val="001567DE"/>
    <w:rsid w:val="00156806"/>
    <w:rsid w:val="0015688E"/>
    <w:rsid w:val="001568F9"/>
    <w:rsid w:val="0015691A"/>
    <w:rsid w:val="0015695C"/>
    <w:rsid w:val="001569BF"/>
    <w:rsid w:val="00156A91"/>
    <w:rsid w:val="00156B83"/>
    <w:rsid w:val="00156C0D"/>
    <w:rsid w:val="00156C1B"/>
    <w:rsid w:val="00156C4F"/>
    <w:rsid w:val="00156C69"/>
    <w:rsid w:val="00156CAC"/>
    <w:rsid w:val="00156F26"/>
    <w:rsid w:val="00156FB8"/>
    <w:rsid w:val="0015704F"/>
    <w:rsid w:val="001570D4"/>
    <w:rsid w:val="0015720A"/>
    <w:rsid w:val="0015723D"/>
    <w:rsid w:val="0015729F"/>
    <w:rsid w:val="0015734B"/>
    <w:rsid w:val="00157417"/>
    <w:rsid w:val="00157541"/>
    <w:rsid w:val="00157583"/>
    <w:rsid w:val="00157596"/>
    <w:rsid w:val="00157694"/>
    <w:rsid w:val="0015769B"/>
    <w:rsid w:val="001576B0"/>
    <w:rsid w:val="00157703"/>
    <w:rsid w:val="00157729"/>
    <w:rsid w:val="0015774F"/>
    <w:rsid w:val="001578AE"/>
    <w:rsid w:val="001578D0"/>
    <w:rsid w:val="001579E1"/>
    <w:rsid w:val="00157ACF"/>
    <w:rsid w:val="00157B69"/>
    <w:rsid w:val="00157BF0"/>
    <w:rsid w:val="00157DE3"/>
    <w:rsid w:val="00157E2A"/>
    <w:rsid w:val="00157E65"/>
    <w:rsid w:val="00157EE1"/>
    <w:rsid w:val="001601C5"/>
    <w:rsid w:val="001601FB"/>
    <w:rsid w:val="00160228"/>
    <w:rsid w:val="0016024C"/>
    <w:rsid w:val="00160329"/>
    <w:rsid w:val="00160391"/>
    <w:rsid w:val="00160397"/>
    <w:rsid w:val="00160399"/>
    <w:rsid w:val="001604A7"/>
    <w:rsid w:val="00160659"/>
    <w:rsid w:val="00160755"/>
    <w:rsid w:val="00160787"/>
    <w:rsid w:val="0016088F"/>
    <w:rsid w:val="00160C14"/>
    <w:rsid w:val="00160CAB"/>
    <w:rsid w:val="00160CC5"/>
    <w:rsid w:val="00160E6B"/>
    <w:rsid w:val="00160EEE"/>
    <w:rsid w:val="00160F3C"/>
    <w:rsid w:val="00160F81"/>
    <w:rsid w:val="00161161"/>
    <w:rsid w:val="00161173"/>
    <w:rsid w:val="001613D5"/>
    <w:rsid w:val="00161492"/>
    <w:rsid w:val="00161495"/>
    <w:rsid w:val="00161A56"/>
    <w:rsid w:val="00161B13"/>
    <w:rsid w:val="00161B7C"/>
    <w:rsid w:val="00161BA0"/>
    <w:rsid w:val="00161D26"/>
    <w:rsid w:val="00161E7A"/>
    <w:rsid w:val="00161FF3"/>
    <w:rsid w:val="00162034"/>
    <w:rsid w:val="00162163"/>
    <w:rsid w:val="0016220D"/>
    <w:rsid w:val="00162221"/>
    <w:rsid w:val="001623FF"/>
    <w:rsid w:val="00162633"/>
    <w:rsid w:val="00162666"/>
    <w:rsid w:val="001627DC"/>
    <w:rsid w:val="00162809"/>
    <w:rsid w:val="001628EC"/>
    <w:rsid w:val="00162AAD"/>
    <w:rsid w:val="00162C1B"/>
    <w:rsid w:val="00162C33"/>
    <w:rsid w:val="00162CB8"/>
    <w:rsid w:val="00162E47"/>
    <w:rsid w:val="00162E6D"/>
    <w:rsid w:val="00162FEF"/>
    <w:rsid w:val="00163046"/>
    <w:rsid w:val="00163062"/>
    <w:rsid w:val="001630ED"/>
    <w:rsid w:val="00163123"/>
    <w:rsid w:val="00163194"/>
    <w:rsid w:val="001631A2"/>
    <w:rsid w:val="001631EB"/>
    <w:rsid w:val="00163248"/>
    <w:rsid w:val="0016324F"/>
    <w:rsid w:val="0016342A"/>
    <w:rsid w:val="001634D6"/>
    <w:rsid w:val="00163550"/>
    <w:rsid w:val="0016367F"/>
    <w:rsid w:val="00163807"/>
    <w:rsid w:val="0016383A"/>
    <w:rsid w:val="0016384F"/>
    <w:rsid w:val="001638CD"/>
    <w:rsid w:val="001638F9"/>
    <w:rsid w:val="00163956"/>
    <w:rsid w:val="001639A4"/>
    <w:rsid w:val="00163A57"/>
    <w:rsid w:val="00163AE8"/>
    <w:rsid w:val="00163D17"/>
    <w:rsid w:val="00163D32"/>
    <w:rsid w:val="00163D6A"/>
    <w:rsid w:val="00163F49"/>
    <w:rsid w:val="00163F59"/>
    <w:rsid w:val="0016403D"/>
    <w:rsid w:val="001640FA"/>
    <w:rsid w:val="00164164"/>
    <w:rsid w:val="001641C3"/>
    <w:rsid w:val="001641E6"/>
    <w:rsid w:val="001641EA"/>
    <w:rsid w:val="00164204"/>
    <w:rsid w:val="0016439D"/>
    <w:rsid w:val="0016445C"/>
    <w:rsid w:val="00164628"/>
    <w:rsid w:val="00164703"/>
    <w:rsid w:val="0016481A"/>
    <w:rsid w:val="0016486E"/>
    <w:rsid w:val="0016496C"/>
    <w:rsid w:val="00164989"/>
    <w:rsid w:val="001649EB"/>
    <w:rsid w:val="00164A03"/>
    <w:rsid w:val="00164A92"/>
    <w:rsid w:val="00164B44"/>
    <w:rsid w:val="00164C26"/>
    <w:rsid w:val="00164E2A"/>
    <w:rsid w:val="00164E39"/>
    <w:rsid w:val="00164F86"/>
    <w:rsid w:val="00164FFB"/>
    <w:rsid w:val="001650EF"/>
    <w:rsid w:val="00165233"/>
    <w:rsid w:val="00165306"/>
    <w:rsid w:val="00165380"/>
    <w:rsid w:val="001653DD"/>
    <w:rsid w:val="00165469"/>
    <w:rsid w:val="00165480"/>
    <w:rsid w:val="001654E8"/>
    <w:rsid w:val="001655A6"/>
    <w:rsid w:val="001655E9"/>
    <w:rsid w:val="00165662"/>
    <w:rsid w:val="0016567E"/>
    <w:rsid w:val="001656B7"/>
    <w:rsid w:val="00165739"/>
    <w:rsid w:val="001657AC"/>
    <w:rsid w:val="001657F2"/>
    <w:rsid w:val="00165811"/>
    <w:rsid w:val="001658A7"/>
    <w:rsid w:val="001658DC"/>
    <w:rsid w:val="0016596A"/>
    <w:rsid w:val="0016597C"/>
    <w:rsid w:val="00165B5A"/>
    <w:rsid w:val="00165BB6"/>
    <w:rsid w:val="00165CA0"/>
    <w:rsid w:val="00165E5F"/>
    <w:rsid w:val="00165E70"/>
    <w:rsid w:val="00165F7F"/>
    <w:rsid w:val="00165FC7"/>
    <w:rsid w:val="00165FF8"/>
    <w:rsid w:val="001662E7"/>
    <w:rsid w:val="00166348"/>
    <w:rsid w:val="00166365"/>
    <w:rsid w:val="0016640E"/>
    <w:rsid w:val="00166493"/>
    <w:rsid w:val="0016649F"/>
    <w:rsid w:val="001664E3"/>
    <w:rsid w:val="00166603"/>
    <w:rsid w:val="00166644"/>
    <w:rsid w:val="00166646"/>
    <w:rsid w:val="00166839"/>
    <w:rsid w:val="00166871"/>
    <w:rsid w:val="00166910"/>
    <w:rsid w:val="00166A33"/>
    <w:rsid w:val="00166A72"/>
    <w:rsid w:val="00166ABC"/>
    <w:rsid w:val="00166B51"/>
    <w:rsid w:val="00166BE5"/>
    <w:rsid w:val="00166D2F"/>
    <w:rsid w:val="00166E20"/>
    <w:rsid w:val="00166E24"/>
    <w:rsid w:val="00166E27"/>
    <w:rsid w:val="00166E33"/>
    <w:rsid w:val="00166F55"/>
    <w:rsid w:val="00166F89"/>
    <w:rsid w:val="00166FFA"/>
    <w:rsid w:val="00167088"/>
    <w:rsid w:val="001671C1"/>
    <w:rsid w:val="0016732A"/>
    <w:rsid w:val="001673ED"/>
    <w:rsid w:val="0016749B"/>
    <w:rsid w:val="00167516"/>
    <w:rsid w:val="00167555"/>
    <w:rsid w:val="00167590"/>
    <w:rsid w:val="00167634"/>
    <w:rsid w:val="0016763E"/>
    <w:rsid w:val="00167684"/>
    <w:rsid w:val="00167758"/>
    <w:rsid w:val="001678EC"/>
    <w:rsid w:val="00167928"/>
    <w:rsid w:val="0016794E"/>
    <w:rsid w:val="0016799F"/>
    <w:rsid w:val="00167A1F"/>
    <w:rsid w:val="00167B1A"/>
    <w:rsid w:val="00167B1E"/>
    <w:rsid w:val="00167BCC"/>
    <w:rsid w:val="00167D27"/>
    <w:rsid w:val="00167D61"/>
    <w:rsid w:val="0017003E"/>
    <w:rsid w:val="00170086"/>
    <w:rsid w:val="00170163"/>
    <w:rsid w:val="001701E3"/>
    <w:rsid w:val="0017022C"/>
    <w:rsid w:val="0017030F"/>
    <w:rsid w:val="001703B0"/>
    <w:rsid w:val="001703D1"/>
    <w:rsid w:val="001703DB"/>
    <w:rsid w:val="00170472"/>
    <w:rsid w:val="0017050F"/>
    <w:rsid w:val="001707FB"/>
    <w:rsid w:val="00170868"/>
    <w:rsid w:val="0017086C"/>
    <w:rsid w:val="00170916"/>
    <w:rsid w:val="0017092B"/>
    <w:rsid w:val="00170994"/>
    <w:rsid w:val="0017099B"/>
    <w:rsid w:val="001709A9"/>
    <w:rsid w:val="00170A18"/>
    <w:rsid w:val="00170A51"/>
    <w:rsid w:val="00170AE4"/>
    <w:rsid w:val="00170B1C"/>
    <w:rsid w:val="00170C65"/>
    <w:rsid w:val="00170C72"/>
    <w:rsid w:val="00170CF4"/>
    <w:rsid w:val="00170F01"/>
    <w:rsid w:val="00170F2C"/>
    <w:rsid w:val="00170FF6"/>
    <w:rsid w:val="00170FFD"/>
    <w:rsid w:val="00171035"/>
    <w:rsid w:val="00171087"/>
    <w:rsid w:val="001710D3"/>
    <w:rsid w:val="00171176"/>
    <w:rsid w:val="001711C1"/>
    <w:rsid w:val="001711E3"/>
    <w:rsid w:val="00171216"/>
    <w:rsid w:val="00171417"/>
    <w:rsid w:val="0017172C"/>
    <w:rsid w:val="00171765"/>
    <w:rsid w:val="00171876"/>
    <w:rsid w:val="0017187E"/>
    <w:rsid w:val="00171943"/>
    <w:rsid w:val="001719A2"/>
    <w:rsid w:val="001719C0"/>
    <w:rsid w:val="00171B8E"/>
    <w:rsid w:val="00171B94"/>
    <w:rsid w:val="00171C00"/>
    <w:rsid w:val="00171C0A"/>
    <w:rsid w:val="00171C41"/>
    <w:rsid w:val="00171CAB"/>
    <w:rsid w:val="00171CB5"/>
    <w:rsid w:val="00171DBD"/>
    <w:rsid w:val="00171E5A"/>
    <w:rsid w:val="00171F45"/>
    <w:rsid w:val="00172130"/>
    <w:rsid w:val="00172229"/>
    <w:rsid w:val="00172234"/>
    <w:rsid w:val="00172415"/>
    <w:rsid w:val="001724D2"/>
    <w:rsid w:val="00172578"/>
    <w:rsid w:val="00172629"/>
    <w:rsid w:val="00172696"/>
    <w:rsid w:val="001726AD"/>
    <w:rsid w:val="00172743"/>
    <w:rsid w:val="001727C4"/>
    <w:rsid w:val="0017281E"/>
    <w:rsid w:val="0017287F"/>
    <w:rsid w:val="001728F2"/>
    <w:rsid w:val="00172997"/>
    <w:rsid w:val="00172ABC"/>
    <w:rsid w:val="00172B82"/>
    <w:rsid w:val="00172BEC"/>
    <w:rsid w:val="00172C9B"/>
    <w:rsid w:val="00172DBF"/>
    <w:rsid w:val="00172FBA"/>
    <w:rsid w:val="00173082"/>
    <w:rsid w:val="00173096"/>
    <w:rsid w:val="001730BE"/>
    <w:rsid w:val="00173151"/>
    <w:rsid w:val="001731CA"/>
    <w:rsid w:val="00173311"/>
    <w:rsid w:val="0017333D"/>
    <w:rsid w:val="0017343A"/>
    <w:rsid w:val="0017358E"/>
    <w:rsid w:val="0017363D"/>
    <w:rsid w:val="001736F0"/>
    <w:rsid w:val="001738A7"/>
    <w:rsid w:val="00173A04"/>
    <w:rsid w:val="00173B34"/>
    <w:rsid w:val="00173D4B"/>
    <w:rsid w:val="00173E6E"/>
    <w:rsid w:val="00173EB6"/>
    <w:rsid w:val="00173FC3"/>
    <w:rsid w:val="0017404A"/>
    <w:rsid w:val="00174135"/>
    <w:rsid w:val="0017418E"/>
    <w:rsid w:val="001742CC"/>
    <w:rsid w:val="0017439E"/>
    <w:rsid w:val="0017441D"/>
    <w:rsid w:val="0017444A"/>
    <w:rsid w:val="001744A0"/>
    <w:rsid w:val="001744A7"/>
    <w:rsid w:val="001746BA"/>
    <w:rsid w:val="001747D8"/>
    <w:rsid w:val="001748AA"/>
    <w:rsid w:val="001748AC"/>
    <w:rsid w:val="001748E4"/>
    <w:rsid w:val="00174905"/>
    <w:rsid w:val="00174936"/>
    <w:rsid w:val="00174A92"/>
    <w:rsid w:val="00174AA1"/>
    <w:rsid w:val="00174B35"/>
    <w:rsid w:val="00174B8F"/>
    <w:rsid w:val="00174BCA"/>
    <w:rsid w:val="00174C2B"/>
    <w:rsid w:val="00174C92"/>
    <w:rsid w:val="00174D61"/>
    <w:rsid w:val="00174EAE"/>
    <w:rsid w:val="00174F92"/>
    <w:rsid w:val="00174FCA"/>
    <w:rsid w:val="0017501A"/>
    <w:rsid w:val="0017507B"/>
    <w:rsid w:val="0017529F"/>
    <w:rsid w:val="001753E3"/>
    <w:rsid w:val="00175458"/>
    <w:rsid w:val="001755D2"/>
    <w:rsid w:val="00175736"/>
    <w:rsid w:val="001757CB"/>
    <w:rsid w:val="001757FF"/>
    <w:rsid w:val="00175814"/>
    <w:rsid w:val="00175A23"/>
    <w:rsid w:val="00175AD4"/>
    <w:rsid w:val="00175CA9"/>
    <w:rsid w:val="00175CF7"/>
    <w:rsid w:val="00175D37"/>
    <w:rsid w:val="0017604B"/>
    <w:rsid w:val="00176066"/>
    <w:rsid w:val="00176111"/>
    <w:rsid w:val="00176200"/>
    <w:rsid w:val="00176457"/>
    <w:rsid w:val="00176471"/>
    <w:rsid w:val="0017649E"/>
    <w:rsid w:val="00176510"/>
    <w:rsid w:val="0017651E"/>
    <w:rsid w:val="001765A7"/>
    <w:rsid w:val="00176638"/>
    <w:rsid w:val="0017676A"/>
    <w:rsid w:val="0017680C"/>
    <w:rsid w:val="001768C1"/>
    <w:rsid w:val="001768E5"/>
    <w:rsid w:val="00176992"/>
    <w:rsid w:val="00176A62"/>
    <w:rsid w:val="00176ADE"/>
    <w:rsid w:val="00176BBE"/>
    <w:rsid w:val="00176C64"/>
    <w:rsid w:val="00176CE2"/>
    <w:rsid w:val="00176D13"/>
    <w:rsid w:val="00176D1B"/>
    <w:rsid w:val="00176D88"/>
    <w:rsid w:val="00176DF9"/>
    <w:rsid w:val="00176F25"/>
    <w:rsid w:val="0017701D"/>
    <w:rsid w:val="00177099"/>
    <w:rsid w:val="00177271"/>
    <w:rsid w:val="001772A2"/>
    <w:rsid w:val="001772FA"/>
    <w:rsid w:val="00177310"/>
    <w:rsid w:val="00177347"/>
    <w:rsid w:val="0017735C"/>
    <w:rsid w:val="001773BF"/>
    <w:rsid w:val="0017745E"/>
    <w:rsid w:val="0017754E"/>
    <w:rsid w:val="00177691"/>
    <w:rsid w:val="00177744"/>
    <w:rsid w:val="0017776F"/>
    <w:rsid w:val="001777D4"/>
    <w:rsid w:val="00177B87"/>
    <w:rsid w:val="00177BFB"/>
    <w:rsid w:val="00177D23"/>
    <w:rsid w:val="00177E1D"/>
    <w:rsid w:val="00177E8A"/>
    <w:rsid w:val="00177F1C"/>
    <w:rsid w:val="00177F36"/>
    <w:rsid w:val="0018000C"/>
    <w:rsid w:val="001802B3"/>
    <w:rsid w:val="00180465"/>
    <w:rsid w:val="00180481"/>
    <w:rsid w:val="00180750"/>
    <w:rsid w:val="00180790"/>
    <w:rsid w:val="001807FD"/>
    <w:rsid w:val="00180836"/>
    <w:rsid w:val="0018083B"/>
    <w:rsid w:val="00180949"/>
    <w:rsid w:val="001809EB"/>
    <w:rsid w:val="00180A1C"/>
    <w:rsid w:val="00180B09"/>
    <w:rsid w:val="00180C0D"/>
    <w:rsid w:val="00180C5E"/>
    <w:rsid w:val="00180CC3"/>
    <w:rsid w:val="00180CD5"/>
    <w:rsid w:val="00180D4A"/>
    <w:rsid w:val="00180EBA"/>
    <w:rsid w:val="00180F6B"/>
    <w:rsid w:val="00180FA0"/>
    <w:rsid w:val="0018110F"/>
    <w:rsid w:val="001811A8"/>
    <w:rsid w:val="001811D9"/>
    <w:rsid w:val="0018122A"/>
    <w:rsid w:val="00181344"/>
    <w:rsid w:val="001813F0"/>
    <w:rsid w:val="00181444"/>
    <w:rsid w:val="001814AC"/>
    <w:rsid w:val="00181663"/>
    <w:rsid w:val="00181BEB"/>
    <w:rsid w:val="00181BF6"/>
    <w:rsid w:val="00181D5D"/>
    <w:rsid w:val="00181E5C"/>
    <w:rsid w:val="00181EFE"/>
    <w:rsid w:val="00181F36"/>
    <w:rsid w:val="0018204F"/>
    <w:rsid w:val="00182148"/>
    <w:rsid w:val="001821F2"/>
    <w:rsid w:val="0018228D"/>
    <w:rsid w:val="001822B7"/>
    <w:rsid w:val="0018244E"/>
    <w:rsid w:val="001824C8"/>
    <w:rsid w:val="0018251A"/>
    <w:rsid w:val="001825F9"/>
    <w:rsid w:val="0018267C"/>
    <w:rsid w:val="0018268D"/>
    <w:rsid w:val="00182769"/>
    <w:rsid w:val="00182866"/>
    <w:rsid w:val="00182B12"/>
    <w:rsid w:val="00182B96"/>
    <w:rsid w:val="00182B98"/>
    <w:rsid w:val="00182C63"/>
    <w:rsid w:val="00182DA9"/>
    <w:rsid w:val="00182DCC"/>
    <w:rsid w:val="00182E53"/>
    <w:rsid w:val="00182EBF"/>
    <w:rsid w:val="00182F0A"/>
    <w:rsid w:val="00182F31"/>
    <w:rsid w:val="00182F85"/>
    <w:rsid w:val="00182FA8"/>
    <w:rsid w:val="00182FC3"/>
    <w:rsid w:val="0018306F"/>
    <w:rsid w:val="001830D1"/>
    <w:rsid w:val="001831F4"/>
    <w:rsid w:val="00183248"/>
    <w:rsid w:val="00183256"/>
    <w:rsid w:val="00183329"/>
    <w:rsid w:val="00183345"/>
    <w:rsid w:val="00183518"/>
    <w:rsid w:val="00183577"/>
    <w:rsid w:val="001835CF"/>
    <w:rsid w:val="00183673"/>
    <w:rsid w:val="00183759"/>
    <w:rsid w:val="001837C3"/>
    <w:rsid w:val="001838BE"/>
    <w:rsid w:val="001839DB"/>
    <w:rsid w:val="00183B2E"/>
    <w:rsid w:val="00183B59"/>
    <w:rsid w:val="00183C95"/>
    <w:rsid w:val="00183CCC"/>
    <w:rsid w:val="00183EEF"/>
    <w:rsid w:val="00183EF0"/>
    <w:rsid w:val="00184094"/>
    <w:rsid w:val="00184103"/>
    <w:rsid w:val="0018424C"/>
    <w:rsid w:val="00184277"/>
    <w:rsid w:val="001843B0"/>
    <w:rsid w:val="001844D4"/>
    <w:rsid w:val="001846F2"/>
    <w:rsid w:val="0018472D"/>
    <w:rsid w:val="00184796"/>
    <w:rsid w:val="0018483B"/>
    <w:rsid w:val="001848B5"/>
    <w:rsid w:val="00184B44"/>
    <w:rsid w:val="00184B7F"/>
    <w:rsid w:val="00184C42"/>
    <w:rsid w:val="00184CEA"/>
    <w:rsid w:val="00184D72"/>
    <w:rsid w:val="00184D8A"/>
    <w:rsid w:val="00184DCD"/>
    <w:rsid w:val="00184FF0"/>
    <w:rsid w:val="0018517D"/>
    <w:rsid w:val="00185265"/>
    <w:rsid w:val="00185267"/>
    <w:rsid w:val="001855FD"/>
    <w:rsid w:val="0018567A"/>
    <w:rsid w:val="001857C1"/>
    <w:rsid w:val="00185875"/>
    <w:rsid w:val="001858ED"/>
    <w:rsid w:val="001858F7"/>
    <w:rsid w:val="00185972"/>
    <w:rsid w:val="001859B0"/>
    <w:rsid w:val="001859B2"/>
    <w:rsid w:val="001859F4"/>
    <w:rsid w:val="00185B33"/>
    <w:rsid w:val="00185B71"/>
    <w:rsid w:val="00185B8A"/>
    <w:rsid w:val="00185C2F"/>
    <w:rsid w:val="00185CC7"/>
    <w:rsid w:val="00185DA8"/>
    <w:rsid w:val="00185F86"/>
    <w:rsid w:val="00186018"/>
    <w:rsid w:val="00186140"/>
    <w:rsid w:val="001861BE"/>
    <w:rsid w:val="00186256"/>
    <w:rsid w:val="001862C5"/>
    <w:rsid w:val="00186364"/>
    <w:rsid w:val="001863BA"/>
    <w:rsid w:val="00186635"/>
    <w:rsid w:val="001866E9"/>
    <w:rsid w:val="0018689B"/>
    <w:rsid w:val="00186906"/>
    <w:rsid w:val="00186A27"/>
    <w:rsid w:val="00186A56"/>
    <w:rsid w:val="00186AB2"/>
    <w:rsid w:val="00186CA1"/>
    <w:rsid w:val="00186CF7"/>
    <w:rsid w:val="00186DCD"/>
    <w:rsid w:val="00186DD9"/>
    <w:rsid w:val="00186E39"/>
    <w:rsid w:val="00186E87"/>
    <w:rsid w:val="00186ED6"/>
    <w:rsid w:val="00186EE7"/>
    <w:rsid w:val="001870C7"/>
    <w:rsid w:val="00187245"/>
    <w:rsid w:val="0018747D"/>
    <w:rsid w:val="00187606"/>
    <w:rsid w:val="0018762B"/>
    <w:rsid w:val="00187697"/>
    <w:rsid w:val="00187762"/>
    <w:rsid w:val="001877C9"/>
    <w:rsid w:val="00187925"/>
    <w:rsid w:val="00187980"/>
    <w:rsid w:val="00187AC8"/>
    <w:rsid w:val="00187B3C"/>
    <w:rsid w:val="00187CB3"/>
    <w:rsid w:val="00187E1C"/>
    <w:rsid w:val="00187EA3"/>
    <w:rsid w:val="00187EB9"/>
    <w:rsid w:val="0019002B"/>
    <w:rsid w:val="0019014B"/>
    <w:rsid w:val="0019029B"/>
    <w:rsid w:val="0019039B"/>
    <w:rsid w:val="001903E7"/>
    <w:rsid w:val="00190510"/>
    <w:rsid w:val="00190607"/>
    <w:rsid w:val="001906F3"/>
    <w:rsid w:val="0019072C"/>
    <w:rsid w:val="001907F9"/>
    <w:rsid w:val="00190870"/>
    <w:rsid w:val="001909D5"/>
    <w:rsid w:val="00190A27"/>
    <w:rsid w:val="00190A44"/>
    <w:rsid w:val="00190AF0"/>
    <w:rsid w:val="00190B2A"/>
    <w:rsid w:val="00190B67"/>
    <w:rsid w:val="00190C13"/>
    <w:rsid w:val="00190C36"/>
    <w:rsid w:val="00190C3B"/>
    <w:rsid w:val="00190D11"/>
    <w:rsid w:val="00190D5F"/>
    <w:rsid w:val="00190DF2"/>
    <w:rsid w:val="00190E5B"/>
    <w:rsid w:val="00191039"/>
    <w:rsid w:val="001910A3"/>
    <w:rsid w:val="001910E6"/>
    <w:rsid w:val="00191120"/>
    <w:rsid w:val="00191154"/>
    <w:rsid w:val="00191170"/>
    <w:rsid w:val="0019135B"/>
    <w:rsid w:val="00191421"/>
    <w:rsid w:val="001915AE"/>
    <w:rsid w:val="0019178C"/>
    <w:rsid w:val="00191867"/>
    <w:rsid w:val="001918BF"/>
    <w:rsid w:val="001918C3"/>
    <w:rsid w:val="00191B38"/>
    <w:rsid w:val="00191B53"/>
    <w:rsid w:val="00191C31"/>
    <w:rsid w:val="00191E19"/>
    <w:rsid w:val="00191E29"/>
    <w:rsid w:val="00192089"/>
    <w:rsid w:val="00192147"/>
    <w:rsid w:val="00192260"/>
    <w:rsid w:val="001922B5"/>
    <w:rsid w:val="001922C8"/>
    <w:rsid w:val="00192344"/>
    <w:rsid w:val="001923C8"/>
    <w:rsid w:val="00192429"/>
    <w:rsid w:val="0019255C"/>
    <w:rsid w:val="00192600"/>
    <w:rsid w:val="001926E8"/>
    <w:rsid w:val="00192783"/>
    <w:rsid w:val="001927CD"/>
    <w:rsid w:val="00192845"/>
    <w:rsid w:val="00192A98"/>
    <w:rsid w:val="00192A9E"/>
    <w:rsid w:val="00192B78"/>
    <w:rsid w:val="00192D98"/>
    <w:rsid w:val="00192DA6"/>
    <w:rsid w:val="00192DC6"/>
    <w:rsid w:val="00193012"/>
    <w:rsid w:val="0019308F"/>
    <w:rsid w:val="0019319A"/>
    <w:rsid w:val="001931C2"/>
    <w:rsid w:val="0019324A"/>
    <w:rsid w:val="001932D4"/>
    <w:rsid w:val="00193392"/>
    <w:rsid w:val="001933CE"/>
    <w:rsid w:val="0019347B"/>
    <w:rsid w:val="001934EF"/>
    <w:rsid w:val="001935CD"/>
    <w:rsid w:val="001936BA"/>
    <w:rsid w:val="0019373A"/>
    <w:rsid w:val="0019373D"/>
    <w:rsid w:val="001937E2"/>
    <w:rsid w:val="00193921"/>
    <w:rsid w:val="00193A08"/>
    <w:rsid w:val="00193A1F"/>
    <w:rsid w:val="00193B72"/>
    <w:rsid w:val="00193BB3"/>
    <w:rsid w:val="00193C5D"/>
    <w:rsid w:val="00193D32"/>
    <w:rsid w:val="00193E84"/>
    <w:rsid w:val="00193F0C"/>
    <w:rsid w:val="00193F8B"/>
    <w:rsid w:val="00194021"/>
    <w:rsid w:val="00194113"/>
    <w:rsid w:val="00194264"/>
    <w:rsid w:val="00194350"/>
    <w:rsid w:val="00194401"/>
    <w:rsid w:val="00194425"/>
    <w:rsid w:val="001944A6"/>
    <w:rsid w:val="001944BF"/>
    <w:rsid w:val="001944D0"/>
    <w:rsid w:val="001945A0"/>
    <w:rsid w:val="001945AC"/>
    <w:rsid w:val="001945EB"/>
    <w:rsid w:val="00194740"/>
    <w:rsid w:val="0019479F"/>
    <w:rsid w:val="001947E8"/>
    <w:rsid w:val="00194857"/>
    <w:rsid w:val="00194998"/>
    <w:rsid w:val="00194A81"/>
    <w:rsid w:val="00194AB5"/>
    <w:rsid w:val="00194B1F"/>
    <w:rsid w:val="00194C35"/>
    <w:rsid w:val="00194D0A"/>
    <w:rsid w:val="00194D35"/>
    <w:rsid w:val="00194D7F"/>
    <w:rsid w:val="00194DFD"/>
    <w:rsid w:val="00194E0E"/>
    <w:rsid w:val="00194E1C"/>
    <w:rsid w:val="00195001"/>
    <w:rsid w:val="00195245"/>
    <w:rsid w:val="001952ED"/>
    <w:rsid w:val="0019533E"/>
    <w:rsid w:val="0019538B"/>
    <w:rsid w:val="00195544"/>
    <w:rsid w:val="00195736"/>
    <w:rsid w:val="0019573C"/>
    <w:rsid w:val="00195767"/>
    <w:rsid w:val="001957C5"/>
    <w:rsid w:val="00195878"/>
    <w:rsid w:val="00195A09"/>
    <w:rsid w:val="00195AC4"/>
    <w:rsid w:val="00195BE2"/>
    <w:rsid w:val="00195BFA"/>
    <w:rsid w:val="00195C9D"/>
    <w:rsid w:val="00195D2F"/>
    <w:rsid w:val="00195D71"/>
    <w:rsid w:val="00195D73"/>
    <w:rsid w:val="00195D8A"/>
    <w:rsid w:val="00195DD4"/>
    <w:rsid w:val="00195E84"/>
    <w:rsid w:val="001960AF"/>
    <w:rsid w:val="0019612D"/>
    <w:rsid w:val="0019623E"/>
    <w:rsid w:val="001962D1"/>
    <w:rsid w:val="0019640B"/>
    <w:rsid w:val="00196437"/>
    <w:rsid w:val="001964D8"/>
    <w:rsid w:val="0019674F"/>
    <w:rsid w:val="00196775"/>
    <w:rsid w:val="00196801"/>
    <w:rsid w:val="0019684C"/>
    <w:rsid w:val="00196B2C"/>
    <w:rsid w:val="00196B5A"/>
    <w:rsid w:val="00196B83"/>
    <w:rsid w:val="00196BF4"/>
    <w:rsid w:val="00196D1F"/>
    <w:rsid w:val="00196D3A"/>
    <w:rsid w:val="00196DAF"/>
    <w:rsid w:val="00196DC5"/>
    <w:rsid w:val="00196DCC"/>
    <w:rsid w:val="00196DF0"/>
    <w:rsid w:val="00196E89"/>
    <w:rsid w:val="00197105"/>
    <w:rsid w:val="0019714B"/>
    <w:rsid w:val="00197171"/>
    <w:rsid w:val="00197172"/>
    <w:rsid w:val="00197224"/>
    <w:rsid w:val="001975E2"/>
    <w:rsid w:val="001975FD"/>
    <w:rsid w:val="00197613"/>
    <w:rsid w:val="0019763D"/>
    <w:rsid w:val="001976FE"/>
    <w:rsid w:val="00197761"/>
    <w:rsid w:val="001977C6"/>
    <w:rsid w:val="00197822"/>
    <w:rsid w:val="001978B8"/>
    <w:rsid w:val="0019794E"/>
    <w:rsid w:val="00197ABB"/>
    <w:rsid w:val="00197B88"/>
    <w:rsid w:val="00197BA5"/>
    <w:rsid w:val="00197C0F"/>
    <w:rsid w:val="00197C1A"/>
    <w:rsid w:val="00197CBE"/>
    <w:rsid w:val="00197CD2"/>
    <w:rsid w:val="00197E67"/>
    <w:rsid w:val="00197EF1"/>
    <w:rsid w:val="001A00C7"/>
    <w:rsid w:val="001A00D2"/>
    <w:rsid w:val="001A00DA"/>
    <w:rsid w:val="001A0124"/>
    <w:rsid w:val="001A017E"/>
    <w:rsid w:val="001A01F3"/>
    <w:rsid w:val="001A0271"/>
    <w:rsid w:val="001A02C8"/>
    <w:rsid w:val="001A037B"/>
    <w:rsid w:val="001A03DB"/>
    <w:rsid w:val="001A0578"/>
    <w:rsid w:val="001A06AD"/>
    <w:rsid w:val="001A07BC"/>
    <w:rsid w:val="001A07EA"/>
    <w:rsid w:val="001A081F"/>
    <w:rsid w:val="001A085E"/>
    <w:rsid w:val="001A0863"/>
    <w:rsid w:val="001A0A25"/>
    <w:rsid w:val="001A0A8F"/>
    <w:rsid w:val="001A0ACE"/>
    <w:rsid w:val="001A0ADE"/>
    <w:rsid w:val="001A0B19"/>
    <w:rsid w:val="001A0C19"/>
    <w:rsid w:val="001A0C97"/>
    <w:rsid w:val="001A0CD3"/>
    <w:rsid w:val="001A0DFA"/>
    <w:rsid w:val="001A0EB4"/>
    <w:rsid w:val="001A0EBC"/>
    <w:rsid w:val="001A0F71"/>
    <w:rsid w:val="001A100E"/>
    <w:rsid w:val="001A1035"/>
    <w:rsid w:val="001A109F"/>
    <w:rsid w:val="001A10A0"/>
    <w:rsid w:val="001A10A1"/>
    <w:rsid w:val="001A114F"/>
    <w:rsid w:val="001A11FC"/>
    <w:rsid w:val="001A125E"/>
    <w:rsid w:val="001A13C1"/>
    <w:rsid w:val="001A14F1"/>
    <w:rsid w:val="001A1510"/>
    <w:rsid w:val="001A1554"/>
    <w:rsid w:val="001A1594"/>
    <w:rsid w:val="001A15DF"/>
    <w:rsid w:val="001A1702"/>
    <w:rsid w:val="001A19F4"/>
    <w:rsid w:val="001A1A12"/>
    <w:rsid w:val="001A1BA8"/>
    <w:rsid w:val="001A1D57"/>
    <w:rsid w:val="001A1DD7"/>
    <w:rsid w:val="001A1E8D"/>
    <w:rsid w:val="001A1EBD"/>
    <w:rsid w:val="001A1EE5"/>
    <w:rsid w:val="001A1FE9"/>
    <w:rsid w:val="001A211A"/>
    <w:rsid w:val="001A22D0"/>
    <w:rsid w:val="001A231D"/>
    <w:rsid w:val="001A2415"/>
    <w:rsid w:val="001A2570"/>
    <w:rsid w:val="001A25E0"/>
    <w:rsid w:val="001A2617"/>
    <w:rsid w:val="001A268D"/>
    <w:rsid w:val="001A26C5"/>
    <w:rsid w:val="001A283C"/>
    <w:rsid w:val="001A2887"/>
    <w:rsid w:val="001A28B8"/>
    <w:rsid w:val="001A28D8"/>
    <w:rsid w:val="001A2968"/>
    <w:rsid w:val="001A29C1"/>
    <w:rsid w:val="001A2A50"/>
    <w:rsid w:val="001A2C19"/>
    <w:rsid w:val="001A2C28"/>
    <w:rsid w:val="001A2C2C"/>
    <w:rsid w:val="001A2C95"/>
    <w:rsid w:val="001A2CBE"/>
    <w:rsid w:val="001A2CEE"/>
    <w:rsid w:val="001A2D55"/>
    <w:rsid w:val="001A300E"/>
    <w:rsid w:val="001A30DA"/>
    <w:rsid w:val="001A30E0"/>
    <w:rsid w:val="001A3238"/>
    <w:rsid w:val="001A3335"/>
    <w:rsid w:val="001A336E"/>
    <w:rsid w:val="001A33A4"/>
    <w:rsid w:val="001A33C3"/>
    <w:rsid w:val="001A3419"/>
    <w:rsid w:val="001A344D"/>
    <w:rsid w:val="001A3526"/>
    <w:rsid w:val="001A35A2"/>
    <w:rsid w:val="001A37BA"/>
    <w:rsid w:val="001A37F4"/>
    <w:rsid w:val="001A3896"/>
    <w:rsid w:val="001A3960"/>
    <w:rsid w:val="001A39BC"/>
    <w:rsid w:val="001A3A1D"/>
    <w:rsid w:val="001A3A79"/>
    <w:rsid w:val="001A3CD1"/>
    <w:rsid w:val="001A3CEB"/>
    <w:rsid w:val="001A3D89"/>
    <w:rsid w:val="001A3DC5"/>
    <w:rsid w:val="001A3DD8"/>
    <w:rsid w:val="001A3E91"/>
    <w:rsid w:val="001A3F79"/>
    <w:rsid w:val="001A3FD8"/>
    <w:rsid w:val="001A40A9"/>
    <w:rsid w:val="001A40E6"/>
    <w:rsid w:val="001A40EC"/>
    <w:rsid w:val="001A41A3"/>
    <w:rsid w:val="001A426D"/>
    <w:rsid w:val="001A43B1"/>
    <w:rsid w:val="001A43C8"/>
    <w:rsid w:val="001A43D1"/>
    <w:rsid w:val="001A4483"/>
    <w:rsid w:val="001A44C5"/>
    <w:rsid w:val="001A44D1"/>
    <w:rsid w:val="001A4508"/>
    <w:rsid w:val="001A4516"/>
    <w:rsid w:val="001A4538"/>
    <w:rsid w:val="001A45B8"/>
    <w:rsid w:val="001A466B"/>
    <w:rsid w:val="001A466D"/>
    <w:rsid w:val="001A469A"/>
    <w:rsid w:val="001A47E5"/>
    <w:rsid w:val="001A47EA"/>
    <w:rsid w:val="001A4838"/>
    <w:rsid w:val="001A4963"/>
    <w:rsid w:val="001A49D3"/>
    <w:rsid w:val="001A4A66"/>
    <w:rsid w:val="001A4A74"/>
    <w:rsid w:val="001A4A8F"/>
    <w:rsid w:val="001A4B74"/>
    <w:rsid w:val="001A4CEB"/>
    <w:rsid w:val="001A4D3A"/>
    <w:rsid w:val="001A4D70"/>
    <w:rsid w:val="001A4D76"/>
    <w:rsid w:val="001A4E2D"/>
    <w:rsid w:val="001A4E66"/>
    <w:rsid w:val="001A4F1A"/>
    <w:rsid w:val="001A500B"/>
    <w:rsid w:val="001A502D"/>
    <w:rsid w:val="001A5051"/>
    <w:rsid w:val="001A50C4"/>
    <w:rsid w:val="001A5298"/>
    <w:rsid w:val="001A5432"/>
    <w:rsid w:val="001A5477"/>
    <w:rsid w:val="001A54AA"/>
    <w:rsid w:val="001A5525"/>
    <w:rsid w:val="001A55AC"/>
    <w:rsid w:val="001A55AD"/>
    <w:rsid w:val="001A55E3"/>
    <w:rsid w:val="001A560A"/>
    <w:rsid w:val="001A5614"/>
    <w:rsid w:val="001A5678"/>
    <w:rsid w:val="001A56C3"/>
    <w:rsid w:val="001A5700"/>
    <w:rsid w:val="001A574F"/>
    <w:rsid w:val="001A5750"/>
    <w:rsid w:val="001A57DA"/>
    <w:rsid w:val="001A59B5"/>
    <w:rsid w:val="001A5B23"/>
    <w:rsid w:val="001A5B9B"/>
    <w:rsid w:val="001A5D54"/>
    <w:rsid w:val="001A5F84"/>
    <w:rsid w:val="001A6061"/>
    <w:rsid w:val="001A61C3"/>
    <w:rsid w:val="001A6215"/>
    <w:rsid w:val="001A6274"/>
    <w:rsid w:val="001A62CF"/>
    <w:rsid w:val="001A63AA"/>
    <w:rsid w:val="001A63F7"/>
    <w:rsid w:val="001A649C"/>
    <w:rsid w:val="001A64EB"/>
    <w:rsid w:val="001A666C"/>
    <w:rsid w:val="001A673D"/>
    <w:rsid w:val="001A675F"/>
    <w:rsid w:val="001A6ABF"/>
    <w:rsid w:val="001A6B0D"/>
    <w:rsid w:val="001A6B5B"/>
    <w:rsid w:val="001A6C54"/>
    <w:rsid w:val="001A6D69"/>
    <w:rsid w:val="001A6D7D"/>
    <w:rsid w:val="001A6DE1"/>
    <w:rsid w:val="001A6E84"/>
    <w:rsid w:val="001A6EDE"/>
    <w:rsid w:val="001A6F71"/>
    <w:rsid w:val="001A7050"/>
    <w:rsid w:val="001A7187"/>
    <w:rsid w:val="001A71C9"/>
    <w:rsid w:val="001A71E4"/>
    <w:rsid w:val="001A74F6"/>
    <w:rsid w:val="001A7521"/>
    <w:rsid w:val="001A783D"/>
    <w:rsid w:val="001A785E"/>
    <w:rsid w:val="001A7872"/>
    <w:rsid w:val="001A788F"/>
    <w:rsid w:val="001A78C6"/>
    <w:rsid w:val="001A7BDA"/>
    <w:rsid w:val="001A7C17"/>
    <w:rsid w:val="001A7D91"/>
    <w:rsid w:val="001A7E81"/>
    <w:rsid w:val="001A7F36"/>
    <w:rsid w:val="001A7F4A"/>
    <w:rsid w:val="001A7FB6"/>
    <w:rsid w:val="001B0023"/>
    <w:rsid w:val="001B0033"/>
    <w:rsid w:val="001B006E"/>
    <w:rsid w:val="001B009B"/>
    <w:rsid w:val="001B03A8"/>
    <w:rsid w:val="001B03B0"/>
    <w:rsid w:val="001B0584"/>
    <w:rsid w:val="001B05CA"/>
    <w:rsid w:val="001B06E6"/>
    <w:rsid w:val="001B0758"/>
    <w:rsid w:val="001B0A2D"/>
    <w:rsid w:val="001B0A92"/>
    <w:rsid w:val="001B0B40"/>
    <w:rsid w:val="001B0BBF"/>
    <w:rsid w:val="001B0BD7"/>
    <w:rsid w:val="001B0CCF"/>
    <w:rsid w:val="001B0D62"/>
    <w:rsid w:val="001B0ED9"/>
    <w:rsid w:val="001B0EE0"/>
    <w:rsid w:val="001B1018"/>
    <w:rsid w:val="001B1029"/>
    <w:rsid w:val="001B123F"/>
    <w:rsid w:val="001B131D"/>
    <w:rsid w:val="001B1470"/>
    <w:rsid w:val="001B1584"/>
    <w:rsid w:val="001B16B3"/>
    <w:rsid w:val="001B16B7"/>
    <w:rsid w:val="001B17C4"/>
    <w:rsid w:val="001B1882"/>
    <w:rsid w:val="001B1884"/>
    <w:rsid w:val="001B18A5"/>
    <w:rsid w:val="001B1938"/>
    <w:rsid w:val="001B1A8A"/>
    <w:rsid w:val="001B1AE1"/>
    <w:rsid w:val="001B1BF3"/>
    <w:rsid w:val="001B1C94"/>
    <w:rsid w:val="001B1ECF"/>
    <w:rsid w:val="001B211D"/>
    <w:rsid w:val="001B21E4"/>
    <w:rsid w:val="001B2251"/>
    <w:rsid w:val="001B23B4"/>
    <w:rsid w:val="001B24E9"/>
    <w:rsid w:val="001B2544"/>
    <w:rsid w:val="001B254D"/>
    <w:rsid w:val="001B263C"/>
    <w:rsid w:val="001B26B5"/>
    <w:rsid w:val="001B2753"/>
    <w:rsid w:val="001B2784"/>
    <w:rsid w:val="001B2809"/>
    <w:rsid w:val="001B28AD"/>
    <w:rsid w:val="001B28E8"/>
    <w:rsid w:val="001B29B6"/>
    <w:rsid w:val="001B2B94"/>
    <w:rsid w:val="001B2BE6"/>
    <w:rsid w:val="001B2C7D"/>
    <w:rsid w:val="001B2CB7"/>
    <w:rsid w:val="001B2EC2"/>
    <w:rsid w:val="001B2ED5"/>
    <w:rsid w:val="001B3021"/>
    <w:rsid w:val="001B302C"/>
    <w:rsid w:val="001B305D"/>
    <w:rsid w:val="001B3094"/>
    <w:rsid w:val="001B30F9"/>
    <w:rsid w:val="001B3144"/>
    <w:rsid w:val="001B3300"/>
    <w:rsid w:val="001B337D"/>
    <w:rsid w:val="001B36B3"/>
    <w:rsid w:val="001B36BD"/>
    <w:rsid w:val="001B3733"/>
    <w:rsid w:val="001B3773"/>
    <w:rsid w:val="001B38BC"/>
    <w:rsid w:val="001B39B0"/>
    <w:rsid w:val="001B3BD8"/>
    <w:rsid w:val="001B3CB0"/>
    <w:rsid w:val="001B3DCD"/>
    <w:rsid w:val="001B3E52"/>
    <w:rsid w:val="001B3F45"/>
    <w:rsid w:val="001B3F62"/>
    <w:rsid w:val="001B3FDA"/>
    <w:rsid w:val="001B4041"/>
    <w:rsid w:val="001B40C0"/>
    <w:rsid w:val="001B4111"/>
    <w:rsid w:val="001B4183"/>
    <w:rsid w:val="001B42FB"/>
    <w:rsid w:val="001B4352"/>
    <w:rsid w:val="001B43D7"/>
    <w:rsid w:val="001B4453"/>
    <w:rsid w:val="001B4490"/>
    <w:rsid w:val="001B44C0"/>
    <w:rsid w:val="001B4566"/>
    <w:rsid w:val="001B4680"/>
    <w:rsid w:val="001B47CB"/>
    <w:rsid w:val="001B486C"/>
    <w:rsid w:val="001B4A37"/>
    <w:rsid w:val="001B4C7A"/>
    <w:rsid w:val="001B4C84"/>
    <w:rsid w:val="001B4C98"/>
    <w:rsid w:val="001B4D67"/>
    <w:rsid w:val="001B4DA2"/>
    <w:rsid w:val="001B5048"/>
    <w:rsid w:val="001B51F3"/>
    <w:rsid w:val="001B5284"/>
    <w:rsid w:val="001B528C"/>
    <w:rsid w:val="001B52EC"/>
    <w:rsid w:val="001B5311"/>
    <w:rsid w:val="001B5371"/>
    <w:rsid w:val="001B53D4"/>
    <w:rsid w:val="001B5406"/>
    <w:rsid w:val="001B542A"/>
    <w:rsid w:val="001B5664"/>
    <w:rsid w:val="001B57C4"/>
    <w:rsid w:val="001B58A0"/>
    <w:rsid w:val="001B5903"/>
    <w:rsid w:val="001B5922"/>
    <w:rsid w:val="001B5983"/>
    <w:rsid w:val="001B5A03"/>
    <w:rsid w:val="001B5A40"/>
    <w:rsid w:val="001B5AF9"/>
    <w:rsid w:val="001B5B10"/>
    <w:rsid w:val="001B5B16"/>
    <w:rsid w:val="001B5BB0"/>
    <w:rsid w:val="001B5D32"/>
    <w:rsid w:val="001B5D3D"/>
    <w:rsid w:val="001B5DA9"/>
    <w:rsid w:val="001B6058"/>
    <w:rsid w:val="001B62B3"/>
    <w:rsid w:val="001B62BA"/>
    <w:rsid w:val="001B62FC"/>
    <w:rsid w:val="001B6312"/>
    <w:rsid w:val="001B64D0"/>
    <w:rsid w:val="001B650B"/>
    <w:rsid w:val="001B6685"/>
    <w:rsid w:val="001B67EB"/>
    <w:rsid w:val="001B686E"/>
    <w:rsid w:val="001B6957"/>
    <w:rsid w:val="001B6A9C"/>
    <w:rsid w:val="001B6AB5"/>
    <w:rsid w:val="001B6AD8"/>
    <w:rsid w:val="001B6C6F"/>
    <w:rsid w:val="001B6C89"/>
    <w:rsid w:val="001B6DD6"/>
    <w:rsid w:val="001B7243"/>
    <w:rsid w:val="001B73AA"/>
    <w:rsid w:val="001B73E0"/>
    <w:rsid w:val="001B7410"/>
    <w:rsid w:val="001B7447"/>
    <w:rsid w:val="001B74CF"/>
    <w:rsid w:val="001B751E"/>
    <w:rsid w:val="001B75AB"/>
    <w:rsid w:val="001B7629"/>
    <w:rsid w:val="001B76E0"/>
    <w:rsid w:val="001B792E"/>
    <w:rsid w:val="001B796B"/>
    <w:rsid w:val="001B79B5"/>
    <w:rsid w:val="001B7A67"/>
    <w:rsid w:val="001B7AF6"/>
    <w:rsid w:val="001B7B3D"/>
    <w:rsid w:val="001B7B4E"/>
    <w:rsid w:val="001B7B85"/>
    <w:rsid w:val="001B7B97"/>
    <w:rsid w:val="001B7F49"/>
    <w:rsid w:val="001C0090"/>
    <w:rsid w:val="001C0120"/>
    <w:rsid w:val="001C0139"/>
    <w:rsid w:val="001C03BD"/>
    <w:rsid w:val="001C03CB"/>
    <w:rsid w:val="001C0449"/>
    <w:rsid w:val="001C07AE"/>
    <w:rsid w:val="001C084E"/>
    <w:rsid w:val="001C08D5"/>
    <w:rsid w:val="001C0920"/>
    <w:rsid w:val="001C0941"/>
    <w:rsid w:val="001C0A12"/>
    <w:rsid w:val="001C0A39"/>
    <w:rsid w:val="001C0ABA"/>
    <w:rsid w:val="001C0F62"/>
    <w:rsid w:val="001C0FA6"/>
    <w:rsid w:val="001C1070"/>
    <w:rsid w:val="001C10D8"/>
    <w:rsid w:val="001C10D9"/>
    <w:rsid w:val="001C1107"/>
    <w:rsid w:val="001C116E"/>
    <w:rsid w:val="001C122A"/>
    <w:rsid w:val="001C1244"/>
    <w:rsid w:val="001C1287"/>
    <w:rsid w:val="001C1577"/>
    <w:rsid w:val="001C159D"/>
    <w:rsid w:val="001C15C9"/>
    <w:rsid w:val="001C1616"/>
    <w:rsid w:val="001C182A"/>
    <w:rsid w:val="001C18AC"/>
    <w:rsid w:val="001C18CB"/>
    <w:rsid w:val="001C19C7"/>
    <w:rsid w:val="001C19D4"/>
    <w:rsid w:val="001C1AB9"/>
    <w:rsid w:val="001C1ACA"/>
    <w:rsid w:val="001C1AF9"/>
    <w:rsid w:val="001C1B36"/>
    <w:rsid w:val="001C1BA1"/>
    <w:rsid w:val="001C1C58"/>
    <w:rsid w:val="001C1CFE"/>
    <w:rsid w:val="001C1E26"/>
    <w:rsid w:val="001C1E2E"/>
    <w:rsid w:val="001C1E69"/>
    <w:rsid w:val="001C1F2E"/>
    <w:rsid w:val="001C2031"/>
    <w:rsid w:val="001C212B"/>
    <w:rsid w:val="001C2166"/>
    <w:rsid w:val="001C21D5"/>
    <w:rsid w:val="001C2213"/>
    <w:rsid w:val="001C2259"/>
    <w:rsid w:val="001C2267"/>
    <w:rsid w:val="001C2391"/>
    <w:rsid w:val="001C24F6"/>
    <w:rsid w:val="001C2637"/>
    <w:rsid w:val="001C265E"/>
    <w:rsid w:val="001C2809"/>
    <w:rsid w:val="001C29F1"/>
    <w:rsid w:val="001C2A36"/>
    <w:rsid w:val="001C2A3B"/>
    <w:rsid w:val="001C2B23"/>
    <w:rsid w:val="001C2B85"/>
    <w:rsid w:val="001C2BA7"/>
    <w:rsid w:val="001C2EFB"/>
    <w:rsid w:val="001C2F58"/>
    <w:rsid w:val="001C30A8"/>
    <w:rsid w:val="001C312D"/>
    <w:rsid w:val="001C3296"/>
    <w:rsid w:val="001C32D6"/>
    <w:rsid w:val="001C3359"/>
    <w:rsid w:val="001C33E4"/>
    <w:rsid w:val="001C3458"/>
    <w:rsid w:val="001C3507"/>
    <w:rsid w:val="001C3717"/>
    <w:rsid w:val="001C3774"/>
    <w:rsid w:val="001C37AF"/>
    <w:rsid w:val="001C3829"/>
    <w:rsid w:val="001C38D8"/>
    <w:rsid w:val="001C3943"/>
    <w:rsid w:val="001C3945"/>
    <w:rsid w:val="001C397A"/>
    <w:rsid w:val="001C3A59"/>
    <w:rsid w:val="001C3C29"/>
    <w:rsid w:val="001C3D16"/>
    <w:rsid w:val="001C3DE1"/>
    <w:rsid w:val="001C3F18"/>
    <w:rsid w:val="001C4016"/>
    <w:rsid w:val="001C403B"/>
    <w:rsid w:val="001C41B8"/>
    <w:rsid w:val="001C41B9"/>
    <w:rsid w:val="001C4246"/>
    <w:rsid w:val="001C426E"/>
    <w:rsid w:val="001C426F"/>
    <w:rsid w:val="001C4339"/>
    <w:rsid w:val="001C4350"/>
    <w:rsid w:val="001C4430"/>
    <w:rsid w:val="001C4581"/>
    <w:rsid w:val="001C4598"/>
    <w:rsid w:val="001C465D"/>
    <w:rsid w:val="001C4688"/>
    <w:rsid w:val="001C46BA"/>
    <w:rsid w:val="001C479C"/>
    <w:rsid w:val="001C4803"/>
    <w:rsid w:val="001C48BD"/>
    <w:rsid w:val="001C48F9"/>
    <w:rsid w:val="001C48FF"/>
    <w:rsid w:val="001C4961"/>
    <w:rsid w:val="001C4A9C"/>
    <w:rsid w:val="001C4B16"/>
    <w:rsid w:val="001C4C85"/>
    <w:rsid w:val="001C4CD0"/>
    <w:rsid w:val="001C4E3C"/>
    <w:rsid w:val="001C4F27"/>
    <w:rsid w:val="001C500A"/>
    <w:rsid w:val="001C50E1"/>
    <w:rsid w:val="001C5104"/>
    <w:rsid w:val="001C51C8"/>
    <w:rsid w:val="001C5258"/>
    <w:rsid w:val="001C529C"/>
    <w:rsid w:val="001C52A9"/>
    <w:rsid w:val="001C52F4"/>
    <w:rsid w:val="001C53ED"/>
    <w:rsid w:val="001C541E"/>
    <w:rsid w:val="001C54B2"/>
    <w:rsid w:val="001C54C6"/>
    <w:rsid w:val="001C5667"/>
    <w:rsid w:val="001C56C9"/>
    <w:rsid w:val="001C56E8"/>
    <w:rsid w:val="001C5702"/>
    <w:rsid w:val="001C5796"/>
    <w:rsid w:val="001C5950"/>
    <w:rsid w:val="001C5A22"/>
    <w:rsid w:val="001C5A52"/>
    <w:rsid w:val="001C5B59"/>
    <w:rsid w:val="001C5BDF"/>
    <w:rsid w:val="001C5CCB"/>
    <w:rsid w:val="001C5CF2"/>
    <w:rsid w:val="001C5E04"/>
    <w:rsid w:val="001C5F20"/>
    <w:rsid w:val="001C6063"/>
    <w:rsid w:val="001C60D3"/>
    <w:rsid w:val="001C614A"/>
    <w:rsid w:val="001C61D2"/>
    <w:rsid w:val="001C62A6"/>
    <w:rsid w:val="001C6433"/>
    <w:rsid w:val="001C6505"/>
    <w:rsid w:val="001C671A"/>
    <w:rsid w:val="001C67BF"/>
    <w:rsid w:val="001C6810"/>
    <w:rsid w:val="001C6885"/>
    <w:rsid w:val="001C68F6"/>
    <w:rsid w:val="001C6947"/>
    <w:rsid w:val="001C6984"/>
    <w:rsid w:val="001C6986"/>
    <w:rsid w:val="001C6A83"/>
    <w:rsid w:val="001C6AD9"/>
    <w:rsid w:val="001C6AE2"/>
    <w:rsid w:val="001C6B75"/>
    <w:rsid w:val="001C6BAC"/>
    <w:rsid w:val="001C6C52"/>
    <w:rsid w:val="001C6E8D"/>
    <w:rsid w:val="001C6F44"/>
    <w:rsid w:val="001C6FA8"/>
    <w:rsid w:val="001C7060"/>
    <w:rsid w:val="001C70A7"/>
    <w:rsid w:val="001C712A"/>
    <w:rsid w:val="001C7172"/>
    <w:rsid w:val="001C7251"/>
    <w:rsid w:val="001C72AD"/>
    <w:rsid w:val="001C72D6"/>
    <w:rsid w:val="001C7324"/>
    <w:rsid w:val="001C7344"/>
    <w:rsid w:val="001C7371"/>
    <w:rsid w:val="001C73AB"/>
    <w:rsid w:val="001C740A"/>
    <w:rsid w:val="001C7480"/>
    <w:rsid w:val="001C74AE"/>
    <w:rsid w:val="001C74F6"/>
    <w:rsid w:val="001C75AB"/>
    <w:rsid w:val="001C767B"/>
    <w:rsid w:val="001C784D"/>
    <w:rsid w:val="001C7874"/>
    <w:rsid w:val="001C7895"/>
    <w:rsid w:val="001C7B7E"/>
    <w:rsid w:val="001C7D4A"/>
    <w:rsid w:val="001C7D89"/>
    <w:rsid w:val="001C7E17"/>
    <w:rsid w:val="001C7E37"/>
    <w:rsid w:val="001C7E3B"/>
    <w:rsid w:val="001C7EFA"/>
    <w:rsid w:val="001C7F38"/>
    <w:rsid w:val="001C7F95"/>
    <w:rsid w:val="001D02AD"/>
    <w:rsid w:val="001D02E7"/>
    <w:rsid w:val="001D0315"/>
    <w:rsid w:val="001D032C"/>
    <w:rsid w:val="001D03AA"/>
    <w:rsid w:val="001D03EC"/>
    <w:rsid w:val="001D0452"/>
    <w:rsid w:val="001D0490"/>
    <w:rsid w:val="001D0496"/>
    <w:rsid w:val="001D049A"/>
    <w:rsid w:val="001D0581"/>
    <w:rsid w:val="001D0602"/>
    <w:rsid w:val="001D0607"/>
    <w:rsid w:val="001D06AB"/>
    <w:rsid w:val="001D075E"/>
    <w:rsid w:val="001D09AA"/>
    <w:rsid w:val="001D09B2"/>
    <w:rsid w:val="001D09F1"/>
    <w:rsid w:val="001D0A1B"/>
    <w:rsid w:val="001D0B0E"/>
    <w:rsid w:val="001D0B11"/>
    <w:rsid w:val="001D0B50"/>
    <w:rsid w:val="001D0D27"/>
    <w:rsid w:val="001D0E33"/>
    <w:rsid w:val="001D0EEE"/>
    <w:rsid w:val="001D0F1D"/>
    <w:rsid w:val="001D0F35"/>
    <w:rsid w:val="001D104A"/>
    <w:rsid w:val="001D10CA"/>
    <w:rsid w:val="001D1163"/>
    <w:rsid w:val="001D1210"/>
    <w:rsid w:val="001D1257"/>
    <w:rsid w:val="001D1335"/>
    <w:rsid w:val="001D14C3"/>
    <w:rsid w:val="001D1719"/>
    <w:rsid w:val="001D173B"/>
    <w:rsid w:val="001D17F1"/>
    <w:rsid w:val="001D1868"/>
    <w:rsid w:val="001D1894"/>
    <w:rsid w:val="001D1D57"/>
    <w:rsid w:val="001D1D6B"/>
    <w:rsid w:val="001D1E54"/>
    <w:rsid w:val="001D1F67"/>
    <w:rsid w:val="001D1F6B"/>
    <w:rsid w:val="001D2185"/>
    <w:rsid w:val="001D22D6"/>
    <w:rsid w:val="001D23D4"/>
    <w:rsid w:val="001D25A1"/>
    <w:rsid w:val="001D25BF"/>
    <w:rsid w:val="001D25CD"/>
    <w:rsid w:val="001D262D"/>
    <w:rsid w:val="001D2654"/>
    <w:rsid w:val="001D26EB"/>
    <w:rsid w:val="001D2875"/>
    <w:rsid w:val="001D287D"/>
    <w:rsid w:val="001D28E8"/>
    <w:rsid w:val="001D290A"/>
    <w:rsid w:val="001D2945"/>
    <w:rsid w:val="001D2975"/>
    <w:rsid w:val="001D2C04"/>
    <w:rsid w:val="001D2CE7"/>
    <w:rsid w:val="001D2CFC"/>
    <w:rsid w:val="001D2DB7"/>
    <w:rsid w:val="001D2E90"/>
    <w:rsid w:val="001D2EB9"/>
    <w:rsid w:val="001D2F7D"/>
    <w:rsid w:val="001D2F95"/>
    <w:rsid w:val="001D2FB5"/>
    <w:rsid w:val="001D3060"/>
    <w:rsid w:val="001D3081"/>
    <w:rsid w:val="001D3088"/>
    <w:rsid w:val="001D30D4"/>
    <w:rsid w:val="001D30D6"/>
    <w:rsid w:val="001D3281"/>
    <w:rsid w:val="001D3368"/>
    <w:rsid w:val="001D33C1"/>
    <w:rsid w:val="001D349D"/>
    <w:rsid w:val="001D355C"/>
    <w:rsid w:val="001D358F"/>
    <w:rsid w:val="001D35F3"/>
    <w:rsid w:val="001D384E"/>
    <w:rsid w:val="001D38BE"/>
    <w:rsid w:val="001D38CE"/>
    <w:rsid w:val="001D391C"/>
    <w:rsid w:val="001D39F5"/>
    <w:rsid w:val="001D3A74"/>
    <w:rsid w:val="001D3C43"/>
    <w:rsid w:val="001D3C86"/>
    <w:rsid w:val="001D3CBF"/>
    <w:rsid w:val="001D3D3E"/>
    <w:rsid w:val="001D3D78"/>
    <w:rsid w:val="001D3DD6"/>
    <w:rsid w:val="001D3E5B"/>
    <w:rsid w:val="001D3F5A"/>
    <w:rsid w:val="001D3FBD"/>
    <w:rsid w:val="001D3FE8"/>
    <w:rsid w:val="001D3FFC"/>
    <w:rsid w:val="001D4015"/>
    <w:rsid w:val="001D40B0"/>
    <w:rsid w:val="001D416C"/>
    <w:rsid w:val="001D419E"/>
    <w:rsid w:val="001D41DA"/>
    <w:rsid w:val="001D420F"/>
    <w:rsid w:val="001D4233"/>
    <w:rsid w:val="001D4297"/>
    <w:rsid w:val="001D4363"/>
    <w:rsid w:val="001D43B8"/>
    <w:rsid w:val="001D43F7"/>
    <w:rsid w:val="001D4484"/>
    <w:rsid w:val="001D44AA"/>
    <w:rsid w:val="001D4566"/>
    <w:rsid w:val="001D469B"/>
    <w:rsid w:val="001D46B0"/>
    <w:rsid w:val="001D46E7"/>
    <w:rsid w:val="001D4824"/>
    <w:rsid w:val="001D486F"/>
    <w:rsid w:val="001D4AA2"/>
    <w:rsid w:val="001D4AB5"/>
    <w:rsid w:val="001D4C1A"/>
    <w:rsid w:val="001D4D2A"/>
    <w:rsid w:val="001D4E31"/>
    <w:rsid w:val="001D4EDE"/>
    <w:rsid w:val="001D4FF7"/>
    <w:rsid w:val="001D53B5"/>
    <w:rsid w:val="001D54C4"/>
    <w:rsid w:val="001D55F5"/>
    <w:rsid w:val="001D56D7"/>
    <w:rsid w:val="001D5AE3"/>
    <w:rsid w:val="001D5AED"/>
    <w:rsid w:val="001D5C55"/>
    <w:rsid w:val="001D5C60"/>
    <w:rsid w:val="001D5E37"/>
    <w:rsid w:val="001D5F71"/>
    <w:rsid w:val="001D5F99"/>
    <w:rsid w:val="001D5FBA"/>
    <w:rsid w:val="001D604E"/>
    <w:rsid w:val="001D60C5"/>
    <w:rsid w:val="001D610B"/>
    <w:rsid w:val="001D614D"/>
    <w:rsid w:val="001D6185"/>
    <w:rsid w:val="001D62E7"/>
    <w:rsid w:val="001D6377"/>
    <w:rsid w:val="001D6494"/>
    <w:rsid w:val="001D6495"/>
    <w:rsid w:val="001D65AA"/>
    <w:rsid w:val="001D677A"/>
    <w:rsid w:val="001D6787"/>
    <w:rsid w:val="001D6921"/>
    <w:rsid w:val="001D6961"/>
    <w:rsid w:val="001D6AD6"/>
    <w:rsid w:val="001D6AEC"/>
    <w:rsid w:val="001D6C95"/>
    <w:rsid w:val="001D6CF6"/>
    <w:rsid w:val="001D6DA3"/>
    <w:rsid w:val="001D6DBE"/>
    <w:rsid w:val="001D6DC6"/>
    <w:rsid w:val="001D6DFC"/>
    <w:rsid w:val="001D6EBE"/>
    <w:rsid w:val="001D6F30"/>
    <w:rsid w:val="001D6F92"/>
    <w:rsid w:val="001D6FBE"/>
    <w:rsid w:val="001D708B"/>
    <w:rsid w:val="001D7138"/>
    <w:rsid w:val="001D7144"/>
    <w:rsid w:val="001D7298"/>
    <w:rsid w:val="001D72F4"/>
    <w:rsid w:val="001D741C"/>
    <w:rsid w:val="001D765C"/>
    <w:rsid w:val="001D76C1"/>
    <w:rsid w:val="001D7732"/>
    <w:rsid w:val="001D7761"/>
    <w:rsid w:val="001D7794"/>
    <w:rsid w:val="001D79AC"/>
    <w:rsid w:val="001D79B0"/>
    <w:rsid w:val="001D7B02"/>
    <w:rsid w:val="001D7B66"/>
    <w:rsid w:val="001D7B91"/>
    <w:rsid w:val="001D7CAA"/>
    <w:rsid w:val="001D7F9F"/>
    <w:rsid w:val="001E006A"/>
    <w:rsid w:val="001E013E"/>
    <w:rsid w:val="001E0185"/>
    <w:rsid w:val="001E01AA"/>
    <w:rsid w:val="001E0319"/>
    <w:rsid w:val="001E03AA"/>
    <w:rsid w:val="001E05DB"/>
    <w:rsid w:val="001E06DD"/>
    <w:rsid w:val="001E07CD"/>
    <w:rsid w:val="001E082B"/>
    <w:rsid w:val="001E0879"/>
    <w:rsid w:val="001E08A2"/>
    <w:rsid w:val="001E09CC"/>
    <w:rsid w:val="001E0AB0"/>
    <w:rsid w:val="001E0B69"/>
    <w:rsid w:val="001E0B8B"/>
    <w:rsid w:val="001E0DAE"/>
    <w:rsid w:val="001E0E34"/>
    <w:rsid w:val="001E0EE0"/>
    <w:rsid w:val="001E10F8"/>
    <w:rsid w:val="001E158E"/>
    <w:rsid w:val="001E158F"/>
    <w:rsid w:val="001E15E8"/>
    <w:rsid w:val="001E15F1"/>
    <w:rsid w:val="001E1642"/>
    <w:rsid w:val="001E1780"/>
    <w:rsid w:val="001E1856"/>
    <w:rsid w:val="001E1B3F"/>
    <w:rsid w:val="001E1B4C"/>
    <w:rsid w:val="001E1BED"/>
    <w:rsid w:val="001E1D25"/>
    <w:rsid w:val="001E1D77"/>
    <w:rsid w:val="001E1DB7"/>
    <w:rsid w:val="001E1E02"/>
    <w:rsid w:val="001E1E1D"/>
    <w:rsid w:val="001E1F6B"/>
    <w:rsid w:val="001E204F"/>
    <w:rsid w:val="001E205D"/>
    <w:rsid w:val="001E2127"/>
    <w:rsid w:val="001E2182"/>
    <w:rsid w:val="001E220C"/>
    <w:rsid w:val="001E25E0"/>
    <w:rsid w:val="001E26DE"/>
    <w:rsid w:val="001E270D"/>
    <w:rsid w:val="001E272D"/>
    <w:rsid w:val="001E2845"/>
    <w:rsid w:val="001E2867"/>
    <w:rsid w:val="001E28B0"/>
    <w:rsid w:val="001E29AD"/>
    <w:rsid w:val="001E2BCD"/>
    <w:rsid w:val="001E2CB0"/>
    <w:rsid w:val="001E2CC3"/>
    <w:rsid w:val="001E2D1F"/>
    <w:rsid w:val="001E2D2F"/>
    <w:rsid w:val="001E2DA1"/>
    <w:rsid w:val="001E2DB5"/>
    <w:rsid w:val="001E2E4C"/>
    <w:rsid w:val="001E2EC9"/>
    <w:rsid w:val="001E2EDD"/>
    <w:rsid w:val="001E3058"/>
    <w:rsid w:val="001E3064"/>
    <w:rsid w:val="001E30EA"/>
    <w:rsid w:val="001E317D"/>
    <w:rsid w:val="001E3184"/>
    <w:rsid w:val="001E3220"/>
    <w:rsid w:val="001E32B1"/>
    <w:rsid w:val="001E33A7"/>
    <w:rsid w:val="001E34AB"/>
    <w:rsid w:val="001E34C1"/>
    <w:rsid w:val="001E356F"/>
    <w:rsid w:val="001E35EF"/>
    <w:rsid w:val="001E3612"/>
    <w:rsid w:val="001E3622"/>
    <w:rsid w:val="001E3977"/>
    <w:rsid w:val="001E3993"/>
    <w:rsid w:val="001E39A9"/>
    <w:rsid w:val="001E39BC"/>
    <w:rsid w:val="001E39F6"/>
    <w:rsid w:val="001E3A86"/>
    <w:rsid w:val="001E3AAB"/>
    <w:rsid w:val="001E3B8F"/>
    <w:rsid w:val="001E3BCE"/>
    <w:rsid w:val="001E3BDA"/>
    <w:rsid w:val="001E3C1F"/>
    <w:rsid w:val="001E3C8A"/>
    <w:rsid w:val="001E3CA8"/>
    <w:rsid w:val="001E3CC1"/>
    <w:rsid w:val="001E3D14"/>
    <w:rsid w:val="001E3E03"/>
    <w:rsid w:val="001E3F00"/>
    <w:rsid w:val="001E3F4B"/>
    <w:rsid w:val="001E4024"/>
    <w:rsid w:val="001E41FF"/>
    <w:rsid w:val="001E4204"/>
    <w:rsid w:val="001E42CE"/>
    <w:rsid w:val="001E42DF"/>
    <w:rsid w:val="001E43D1"/>
    <w:rsid w:val="001E4419"/>
    <w:rsid w:val="001E446D"/>
    <w:rsid w:val="001E4734"/>
    <w:rsid w:val="001E476F"/>
    <w:rsid w:val="001E4773"/>
    <w:rsid w:val="001E482B"/>
    <w:rsid w:val="001E48E5"/>
    <w:rsid w:val="001E4947"/>
    <w:rsid w:val="001E497E"/>
    <w:rsid w:val="001E49A2"/>
    <w:rsid w:val="001E4B9B"/>
    <w:rsid w:val="001E4BF1"/>
    <w:rsid w:val="001E4C3A"/>
    <w:rsid w:val="001E4C7F"/>
    <w:rsid w:val="001E4CE1"/>
    <w:rsid w:val="001E4D70"/>
    <w:rsid w:val="001E4D88"/>
    <w:rsid w:val="001E4E7E"/>
    <w:rsid w:val="001E4E9B"/>
    <w:rsid w:val="001E4ECD"/>
    <w:rsid w:val="001E50B4"/>
    <w:rsid w:val="001E52E8"/>
    <w:rsid w:val="001E5496"/>
    <w:rsid w:val="001E54EE"/>
    <w:rsid w:val="001E54EF"/>
    <w:rsid w:val="001E55FF"/>
    <w:rsid w:val="001E564F"/>
    <w:rsid w:val="001E583B"/>
    <w:rsid w:val="001E5894"/>
    <w:rsid w:val="001E597B"/>
    <w:rsid w:val="001E5AFE"/>
    <w:rsid w:val="001E5B23"/>
    <w:rsid w:val="001E5CD3"/>
    <w:rsid w:val="001E5FA3"/>
    <w:rsid w:val="001E604C"/>
    <w:rsid w:val="001E6055"/>
    <w:rsid w:val="001E606C"/>
    <w:rsid w:val="001E6111"/>
    <w:rsid w:val="001E61E8"/>
    <w:rsid w:val="001E63AB"/>
    <w:rsid w:val="001E645D"/>
    <w:rsid w:val="001E654E"/>
    <w:rsid w:val="001E66DC"/>
    <w:rsid w:val="001E6969"/>
    <w:rsid w:val="001E6A3C"/>
    <w:rsid w:val="001E6AA5"/>
    <w:rsid w:val="001E6DB8"/>
    <w:rsid w:val="001E6DBA"/>
    <w:rsid w:val="001E7086"/>
    <w:rsid w:val="001E708A"/>
    <w:rsid w:val="001E7091"/>
    <w:rsid w:val="001E7100"/>
    <w:rsid w:val="001E7118"/>
    <w:rsid w:val="001E717F"/>
    <w:rsid w:val="001E719C"/>
    <w:rsid w:val="001E7207"/>
    <w:rsid w:val="001E722A"/>
    <w:rsid w:val="001E72DE"/>
    <w:rsid w:val="001E7369"/>
    <w:rsid w:val="001E73CF"/>
    <w:rsid w:val="001E747F"/>
    <w:rsid w:val="001E7570"/>
    <w:rsid w:val="001E776C"/>
    <w:rsid w:val="001E7864"/>
    <w:rsid w:val="001E7939"/>
    <w:rsid w:val="001E795E"/>
    <w:rsid w:val="001E79AB"/>
    <w:rsid w:val="001E7A14"/>
    <w:rsid w:val="001E7A60"/>
    <w:rsid w:val="001E7B5B"/>
    <w:rsid w:val="001E7DD4"/>
    <w:rsid w:val="001E7E55"/>
    <w:rsid w:val="001E7EE2"/>
    <w:rsid w:val="001E7FAF"/>
    <w:rsid w:val="001E7FF7"/>
    <w:rsid w:val="001F0175"/>
    <w:rsid w:val="001F024D"/>
    <w:rsid w:val="001F0448"/>
    <w:rsid w:val="001F0594"/>
    <w:rsid w:val="001F05D4"/>
    <w:rsid w:val="001F067E"/>
    <w:rsid w:val="001F06A6"/>
    <w:rsid w:val="001F07E9"/>
    <w:rsid w:val="001F0816"/>
    <w:rsid w:val="001F0824"/>
    <w:rsid w:val="001F09BC"/>
    <w:rsid w:val="001F0A22"/>
    <w:rsid w:val="001F0A8F"/>
    <w:rsid w:val="001F0AC0"/>
    <w:rsid w:val="001F0C5B"/>
    <w:rsid w:val="001F0EFF"/>
    <w:rsid w:val="001F0F9D"/>
    <w:rsid w:val="001F0FDC"/>
    <w:rsid w:val="001F11BC"/>
    <w:rsid w:val="001F152A"/>
    <w:rsid w:val="001F1536"/>
    <w:rsid w:val="001F156A"/>
    <w:rsid w:val="001F17F5"/>
    <w:rsid w:val="001F1834"/>
    <w:rsid w:val="001F186D"/>
    <w:rsid w:val="001F1986"/>
    <w:rsid w:val="001F1A59"/>
    <w:rsid w:val="001F1AB0"/>
    <w:rsid w:val="001F1AE4"/>
    <w:rsid w:val="001F1B99"/>
    <w:rsid w:val="001F1D9F"/>
    <w:rsid w:val="001F1DB2"/>
    <w:rsid w:val="001F1DD6"/>
    <w:rsid w:val="001F1F28"/>
    <w:rsid w:val="001F1FB7"/>
    <w:rsid w:val="001F227B"/>
    <w:rsid w:val="001F2331"/>
    <w:rsid w:val="001F23FA"/>
    <w:rsid w:val="001F243B"/>
    <w:rsid w:val="001F2541"/>
    <w:rsid w:val="001F2697"/>
    <w:rsid w:val="001F27DC"/>
    <w:rsid w:val="001F27F8"/>
    <w:rsid w:val="001F28C9"/>
    <w:rsid w:val="001F2BFD"/>
    <w:rsid w:val="001F2CDC"/>
    <w:rsid w:val="001F2CE9"/>
    <w:rsid w:val="001F2D18"/>
    <w:rsid w:val="001F2D48"/>
    <w:rsid w:val="001F2F5D"/>
    <w:rsid w:val="001F3090"/>
    <w:rsid w:val="001F30A0"/>
    <w:rsid w:val="001F3197"/>
    <w:rsid w:val="001F31F5"/>
    <w:rsid w:val="001F3231"/>
    <w:rsid w:val="001F3262"/>
    <w:rsid w:val="001F32AB"/>
    <w:rsid w:val="001F3335"/>
    <w:rsid w:val="001F357D"/>
    <w:rsid w:val="001F36B7"/>
    <w:rsid w:val="001F3727"/>
    <w:rsid w:val="001F378C"/>
    <w:rsid w:val="001F3855"/>
    <w:rsid w:val="001F3873"/>
    <w:rsid w:val="001F3891"/>
    <w:rsid w:val="001F390E"/>
    <w:rsid w:val="001F3993"/>
    <w:rsid w:val="001F3ABB"/>
    <w:rsid w:val="001F3B23"/>
    <w:rsid w:val="001F3B36"/>
    <w:rsid w:val="001F3B8A"/>
    <w:rsid w:val="001F3C14"/>
    <w:rsid w:val="001F3CF8"/>
    <w:rsid w:val="001F3DB5"/>
    <w:rsid w:val="001F3F2C"/>
    <w:rsid w:val="001F3FBB"/>
    <w:rsid w:val="001F3FF7"/>
    <w:rsid w:val="001F4024"/>
    <w:rsid w:val="001F4027"/>
    <w:rsid w:val="001F409D"/>
    <w:rsid w:val="001F416C"/>
    <w:rsid w:val="001F41C6"/>
    <w:rsid w:val="001F41FB"/>
    <w:rsid w:val="001F425B"/>
    <w:rsid w:val="001F42CB"/>
    <w:rsid w:val="001F4397"/>
    <w:rsid w:val="001F4489"/>
    <w:rsid w:val="001F44E8"/>
    <w:rsid w:val="001F452A"/>
    <w:rsid w:val="001F4553"/>
    <w:rsid w:val="001F45BC"/>
    <w:rsid w:val="001F464B"/>
    <w:rsid w:val="001F4961"/>
    <w:rsid w:val="001F4A8A"/>
    <w:rsid w:val="001F4A99"/>
    <w:rsid w:val="001F4AFE"/>
    <w:rsid w:val="001F4C37"/>
    <w:rsid w:val="001F4D00"/>
    <w:rsid w:val="001F4DEF"/>
    <w:rsid w:val="001F4E5A"/>
    <w:rsid w:val="001F4ED9"/>
    <w:rsid w:val="001F4FA1"/>
    <w:rsid w:val="001F51F6"/>
    <w:rsid w:val="001F5229"/>
    <w:rsid w:val="001F5247"/>
    <w:rsid w:val="001F524B"/>
    <w:rsid w:val="001F52B0"/>
    <w:rsid w:val="001F52DB"/>
    <w:rsid w:val="001F53C4"/>
    <w:rsid w:val="001F55BA"/>
    <w:rsid w:val="001F561E"/>
    <w:rsid w:val="001F5642"/>
    <w:rsid w:val="001F57D8"/>
    <w:rsid w:val="001F5835"/>
    <w:rsid w:val="001F5864"/>
    <w:rsid w:val="001F58D1"/>
    <w:rsid w:val="001F5968"/>
    <w:rsid w:val="001F5AC7"/>
    <w:rsid w:val="001F5C9C"/>
    <w:rsid w:val="001F5D1F"/>
    <w:rsid w:val="001F5D7F"/>
    <w:rsid w:val="001F5ED7"/>
    <w:rsid w:val="001F5F94"/>
    <w:rsid w:val="001F6092"/>
    <w:rsid w:val="001F60FA"/>
    <w:rsid w:val="001F6153"/>
    <w:rsid w:val="001F615C"/>
    <w:rsid w:val="001F6196"/>
    <w:rsid w:val="001F619E"/>
    <w:rsid w:val="001F6243"/>
    <w:rsid w:val="001F62C8"/>
    <w:rsid w:val="001F6457"/>
    <w:rsid w:val="001F649E"/>
    <w:rsid w:val="001F64AE"/>
    <w:rsid w:val="001F64CA"/>
    <w:rsid w:val="001F65F6"/>
    <w:rsid w:val="001F665D"/>
    <w:rsid w:val="001F66BE"/>
    <w:rsid w:val="001F66D6"/>
    <w:rsid w:val="001F67C8"/>
    <w:rsid w:val="001F67D6"/>
    <w:rsid w:val="001F6856"/>
    <w:rsid w:val="001F6895"/>
    <w:rsid w:val="001F6897"/>
    <w:rsid w:val="001F69B3"/>
    <w:rsid w:val="001F6B5C"/>
    <w:rsid w:val="001F6CAA"/>
    <w:rsid w:val="001F6E62"/>
    <w:rsid w:val="001F6EAD"/>
    <w:rsid w:val="001F6EF1"/>
    <w:rsid w:val="001F6FDD"/>
    <w:rsid w:val="001F7067"/>
    <w:rsid w:val="001F711A"/>
    <w:rsid w:val="001F7240"/>
    <w:rsid w:val="001F728A"/>
    <w:rsid w:val="001F72AC"/>
    <w:rsid w:val="001F7384"/>
    <w:rsid w:val="001F7435"/>
    <w:rsid w:val="001F7548"/>
    <w:rsid w:val="001F762E"/>
    <w:rsid w:val="001F76A7"/>
    <w:rsid w:val="001F7784"/>
    <w:rsid w:val="001F7796"/>
    <w:rsid w:val="001F78FB"/>
    <w:rsid w:val="001F79AD"/>
    <w:rsid w:val="001F79B6"/>
    <w:rsid w:val="001F7A26"/>
    <w:rsid w:val="001F7A49"/>
    <w:rsid w:val="001F7A57"/>
    <w:rsid w:val="001F7A74"/>
    <w:rsid w:val="001F7BC7"/>
    <w:rsid w:val="001F7BCF"/>
    <w:rsid w:val="001F7C59"/>
    <w:rsid w:val="001F7CA9"/>
    <w:rsid w:val="001F7D43"/>
    <w:rsid w:val="001F7D8F"/>
    <w:rsid w:val="001F7D9D"/>
    <w:rsid w:val="001F7E90"/>
    <w:rsid w:val="00200065"/>
    <w:rsid w:val="002001B0"/>
    <w:rsid w:val="00200325"/>
    <w:rsid w:val="002003C2"/>
    <w:rsid w:val="00200411"/>
    <w:rsid w:val="002006FF"/>
    <w:rsid w:val="00200719"/>
    <w:rsid w:val="0020076C"/>
    <w:rsid w:val="00200776"/>
    <w:rsid w:val="0020085E"/>
    <w:rsid w:val="00200887"/>
    <w:rsid w:val="002008D6"/>
    <w:rsid w:val="00200986"/>
    <w:rsid w:val="002009E3"/>
    <w:rsid w:val="00200A20"/>
    <w:rsid w:val="00200BF4"/>
    <w:rsid w:val="00200D75"/>
    <w:rsid w:val="00200DFC"/>
    <w:rsid w:val="00200F41"/>
    <w:rsid w:val="00200FF0"/>
    <w:rsid w:val="002010E0"/>
    <w:rsid w:val="002011D5"/>
    <w:rsid w:val="00201271"/>
    <w:rsid w:val="00201311"/>
    <w:rsid w:val="00201330"/>
    <w:rsid w:val="00201486"/>
    <w:rsid w:val="002014CB"/>
    <w:rsid w:val="002016C5"/>
    <w:rsid w:val="00201773"/>
    <w:rsid w:val="00201846"/>
    <w:rsid w:val="002018BA"/>
    <w:rsid w:val="002018E1"/>
    <w:rsid w:val="00201A80"/>
    <w:rsid w:val="00201C3F"/>
    <w:rsid w:val="00201C52"/>
    <w:rsid w:val="00201DB1"/>
    <w:rsid w:val="00201EA8"/>
    <w:rsid w:val="00201FC2"/>
    <w:rsid w:val="00201FFA"/>
    <w:rsid w:val="002020B1"/>
    <w:rsid w:val="00202122"/>
    <w:rsid w:val="002021B0"/>
    <w:rsid w:val="00202243"/>
    <w:rsid w:val="00202291"/>
    <w:rsid w:val="002025F7"/>
    <w:rsid w:val="0020261F"/>
    <w:rsid w:val="00202672"/>
    <w:rsid w:val="00202791"/>
    <w:rsid w:val="002027FD"/>
    <w:rsid w:val="002028CB"/>
    <w:rsid w:val="00202911"/>
    <w:rsid w:val="00202A20"/>
    <w:rsid w:val="00202A30"/>
    <w:rsid w:val="00202B02"/>
    <w:rsid w:val="00202B06"/>
    <w:rsid w:val="00202B72"/>
    <w:rsid w:val="00202BF7"/>
    <w:rsid w:val="00202C4A"/>
    <w:rsid w:val="00202D65"/>
    <w:rsid w:val="00202D9F"/>
    <w:rsid w:val="00202F1E"/>
    <w:rsid w:val="00202FF1"/>
    <w:rsid w:val="002030BE"/>
    <w:rsid w:val="00203143"/>
    <w:rsid w:val="00203270"/>
    <w:rsid w:val="00203369"/>
    <w:rsid w:val="002035A4"/>
    <w:rsid w:val="002035B9"/>
    <w:rsid w:val="002036E0"/>
    <w:rsid w:val="00203721"/>
    <w:rsid w:val="00203775"/>
    <w:rsid w:val="002037F2"/>
    <w:rsid w:val="002037F3"/>
    <w:rsid w:val="00203974"/>
    <w:rsid w:val="002039A2"/>
    <w:rsid w:val="002039D9"/>
    <w:rsid w:val="00203B15"/>
    <w:rsid w:val="00203B4D"/>
    <w:rsid w:val="00203B50"/>
    <w:rsid w:val="00203BFF"/>
    <w:rsid w:val="00203CA8"/>
    <w:rsid w:val="00203CB7"/>
    <w:rsid w:val="00203CCC"/>
    <w:rsid w:val="00203D44"/>
    <w:rsid w:val="00203D4F"/>
    <w:rsid w:val="00203DDE"/>
    <w:rsid w:val="00203E28"/>
    <w:rsid w:val="002040AE"/>
    <w:rsid w:val="00204122"/>
    <w:rsid w:val="00204145"/>
    <w:rsid w:val="00204197"/>
    <w:rsid w:val="002042A1"/>
    <w:rsid w:val="002042D8"/>
    <w:rsid w:val="00204545"/>
    <w:rsid w:val="00204573"/>
    <w:rsid w:val="00204621"/>
    <w:rsid w:val="00204681"/>
    <w:rsid w:val="002049B3"/>
    <w:rsid w:val="00204ADA"/>
    <w:rsid w:val="00204B36"/>
    <w:rsid w:val="00204C57"/>
    <w:rsid w:val="00204EAB"/>
    <w:rsid w:val="00204EC6"/>
    <w:rsid w:val="00204F46"/>
    <w:rsid w:val="00204F7A"/>
    <w:rsid w:val="00204F85"/>
    <w:rsid w:val="0020507F"/>
    <w:rsid w:val="002052EB"/>
    <w:rsid w:val="0020530C"/>
    <w:rsid w:val="002054C4"/>
    <w:rsid w:val="0020550F"/>
    <w:rsid w:val="002055A6"/>
    <w:rsid w:val="002056A8"/>
    <w:rsid w:val="002057F2"/>
    <w:rsid w:val="00205913"/>
    <w:rsid w:val="00205C3A"/>
    <w:rsid w:val="00205C5B"/>
    <w:rsid w:val="00205D7E"/>
    <w:rsid w:val="00205EE9"/>
    <w:rsid w:val="00205EF4"/>
    <w:rsid w:val="00205F15"/>
    <w:rsid w:val="00206002"/>
    <w:rsid w:val="0020610D"/>
    <w:rsid w:val="00206140"/>
    <w:rsid w:val="0020618B"/>
    <w:rsid w:val="002061FC"/>
    <w:rsid w:val="0020624F"/>
    <w:rsid w:val="0020644E"/>
    <w:rsid w:val="002064A6"/>
    <w:rsid w:val="002064AA"/>
    <w:rsid w:val="0020659D"/>
    <w:rsid w:val="0020662E"/>
    <w:rsid w:val="0020669B"/>
    <w:rsid w:val="00206714"/>
    <w:rsid w:val="0020687C"/>
    <w:rsid w:val="00206955"/>
    <w:rsid w:val="00206982"/>
    <w:rsid w:val="00206999"/>
    <w:rsid w:val="00206AE6"/>
    <w:rsid w:val="00206BBA"/>
    <w:rsid w:val="00206BD5"/>
    <w:rsid w:val="00206C44"/>
    <w:rsid w:val="00206CD3"/>
    <w:rsid w:val="0020706C"/>
    <w:rsid w:val="002070B8"/>
    <w:rsid w:val="002070D4"/>
    <w:rsid w:val="0020716D"/>
    <w:rsid w:val="00207227"/>
    <w:rsid w:val="002073AD"/>
    <w:rsid w:val="00207417"/>
    <w:rsid w:val="0020745F"/>
    <w:rsid w:val="0020754D"/>
    <w:rsid w:val="00207650"/>
    <w:rsid w:val="00207807"/>
    <w:rsid w:val="002078AD"/>
    <w:rsid w:val="00207942"/>
    <w:rsid w:val="0020795C"/>
    <w:rsid w:val="002079CD"/>
    <w:rsid w:val="00207B43"/>
    <w:rsid w:val="00207B6E"/>
    <w:rsid w:val="00207B8B"/>
    <w:rsid w:val="00207BA2"/>
    <w:rsid w:val="00207D0C"/>
    <w:rsid w:val="00207D60"/>
    <w:rsid w:val="00207DB2"/>
    <w:rsid w:val="00207E48"/>
    <w:rsid w:val="00207FAF"/>
    <w:rsid w:val="002101E3"/>
    <w:rsid w:val="002101E4"/>
    <w:rsid w:val="00210249"/>
    <w:rsid w:val="0021026B"/>
    <w:rsid w:val="002103C0"/>
    <w:rsid w:val="0021046F"/>
    <w:rsid w:val="002104F1"/>
    <w:rsid w:val="00210588"/>
    <w:rsid w:val="0021060E"/>
    <w:rsid w:val="002106F7"/>
    <w:rsid w:val="002107D5"/>
    <w:rsid w:val="002108B3"/>
    <w:rsid w:val="00210A61"/>
    <w:rsid w:val="00210B1B"/>
    <w:rsid w:val="00210B23"/>
    <w:rsid w:val="00210B34"/>
    <w:rsid w:val="00210B51"/>
    <w:rsid w:val="00210B9D"/>
    <w:rsid w:val="00210D12"/>
    <w:rsid w:val="00210D6B"/>
    <w:rsid w:val="00210E36"/>
    <w:rsid w:val="00210EF4"/>
    <w:rsid w:val="00210F23"/>
    <w:rsid w:val="00210FCA"/>
    <w:rsid w:val="0021131C"/>
    <w:rsid w:val="0021132C"/>
    <w:rsid w:val="00211379"/>
    <w:rsid w:val="00211433"/>
    <w:rsid w:val="0021196D"/>
    <w:rsid w:val="00211AC2"/>
    <w:rsid w:val="00211BD0"/>
    <w:rsid w:val="00211C76"/>
    <w:rsid w:val="00211CB9"/>
    <w:rsid w:val="00211CEF"/>
    <w:rsid w:val="00211D5F"/>
    <w:rsid w:val="00211E5B"/>
    <w:rsid w:val="00211E87"/>
    <w:rsid w:val="00211EA8"/>
    <w:rsid w:val="00212086"/>
    <w:rsid w:val="00212159"/>
    <w:rsid w:val="0021219C"/>
    <w:rsid w:val="0021243A"/>
    <w:rsid w:val="002124F4"/>
    <w:rsid w:val="00212537"/>
    <w:rsid w:val="00212629"/>
    <w:rsid w:val="0021273D"/>
    <w:rsid w:val="0021277A"/>
    <w:rsid w:val="002127C0"/>
    <w:rsid w:val="0021283B"/>
    <w:rsid w:val="002129EB"/>
    <w:rsid w:val="00212A7D"/>
    <w:rsid w:val="00212B73"/>
    <w:rsid w:val="00212BEE"/>
    <w:rsid w:val="00212C7B"/>
    <w:rsid w:val="00212C94"/>
    <w:rsid w:val="00212D80"/>
    <w:rsid w:val="00212DC3"/>
    <w:rsid w:val="00212F21"/>
    <w:rsid w:val="00212F93"/>
    <w:rsid w:val="00213036"/>
    <w:rsid w:val="00213138"/>
    <w:rsid w:val="0021314E"/>
    <w:rsid w:val="0021325E"/>
    <w:rsid w:val="00213271"/>
    <w:rsid w:val="0021339B"/>
    <w:rsid w:val="002133F7"/>
    <w:rsid w:val="00213522"/>
    <w:rsid w:val="00213586"/>
    <w:rsid w:val="00213633"/>
    <w:rsid w:val="00213655"/>
    <w:rsid w:val="0021368C"/>
    <w:rsid w:val="00213756"/>
    <w:rsid w:val="002137EE"/>
    <w:rsid w:val="002139A1"/>
    <w:rsid w:val="00213B0C"/>
    <w:rsid w:val="00213B5D"/>
    <w:rsid w:val="00213C42"/>
    <w:rsid w:val="00213D0C"/>
    <w:rsid w:val="00213D2E"/>
    <w:rsid w:val="00213F64"/>
    <w:rsid w:val="002140E8"/>
    <w:rsid w:val="00214146"/>
    <w:rsid w:val="002141D1"/>
    <w:rsid w:val="0021424E"/>
    <w:rsid w:val="0021429F"/>
    <w:rsid w:val="0021430A"/>
    <w:rsid w:val="002145A4"/>
    <w:rsid w:val="002145FF"/>
    <w:rsid w:val="00214689"/>
    <w:rsid w:val="0021471C"/>
    <w:rsid w:val="00214788"/>
    <w:rsid w:val="002147CC"/>
    <w:rsid w:val="00214822"/>
    <w:rsid w:val="002148EB"/>
    <w:rsid w:val="00214925"/>
    <w:rsid w:val="002149A4"/>
    <w:rsid w:val="00214A82"/>
    <w:rsid w:val="00214BBE"/>
    <w:rsid w:val="00214CA2"/>
    <w:rsid w:val="00214CD3"/>
    <w:rsid w:val="00214DBF"/>
    <w:rsid w:val="00214F6F"/>
    <w:rsid w:val="00214FB6"/>
    <w:rsid w:val="002150FD"/>
    <w:rsid w:val="00215105"/>
    <w:rsid w:val="0021518A"/>
    <w:rsid w:val="002151AF"/>
    <w:rsid w:val="00215255"/>
    <w:rsid w:val="00215335"/>
    <w:rsid w:val="0021558E"/>
    <w:rsid w:val="002155F0"/>
    <w:rsid w:val="002155F8"/>
    <w:rsid w:val="00215616"/>
    <w:rsid w:val="002156D2"/>
    <w:rsid w:val="002157C0"/>
    <w:rsid w:val="0021587E"/>
    <w:rsid w:val="00215934"/>
    <w:rsid w:val="0021593F"/>
    <w:rsid w:val="00215979"/>
    <w:rsid w:val="00215991"/>
    <w:rsid w:val="002159A2"/>
    <w:rsid w:val="00215AA6"/>
    <w:rsid w:val="00215B7D"/>
    <w:rsid w:val="00215CB3"/>
    <w:rsid w:val="00215E33"/>
    <w:rsid w:val="00215E76"/>
    <w:rsid w:val="00215E77"/>
    <w:rsid w:val="00215F25"/>
    <w:rsid w:val="00215F33"/>
    <w:rsid w:val="00216106"/>
    <w:rsid w:val="0021612E"/>
    <w:rsid w:val="00216130"/>
    <w:rsid w:val="00216176"/>
    <w:rsid w:val="00216246"/>
    <w:rsid w:val="0021624E"/>
    <w:rsid w:val="0021634C"/>
    <w:rsid w:val="00216527"/>
    <w:rsid w:val="00216528"/>
    <w:rsid w:val="002165F6"/>
    <w:rsid w:val="00216615"/>
    <w:rsid w:val="002166A9"/>
    <w:rsid w:val="002167BF"/>
    <w:rsid w:val="002167D7"/>
    <w:rsid w:val="002167E6"/>
    <w:rsid w:val="0021683C"/>
    <w:rsid w:val="002169F0"/>
    <w:rsid w:val="00216B76"/>
    <w:rsid w:val="00216BC0"/>
    <w:rsid w:val="00216CB5"/>
    <w:rsid w:val="00216E9C"/>
    <w:rsid w:val="00216F00"/>
    <w:rsid w:val="00216FAD"/>
    <w:rsid w:val="00217020"/>
    <w:rsid w:val="002170A8"/>
    <w:rsid w:val="002172D8"/>
    <w:rsid w:val="0021730C"/>
    <w:rsid w:val="00217342"/>
    <w:rsid w:val="00217345"/>
    <w:rsid w:val="0021737B"/>
    <w:rsid w:val="0021750E"/>
    <w:rsid w:val="0021755A"/>
    <w:rsid w:val="0021765C"/>
    <w:rsid w:val="002178BD"/>
    <w:rsid w:val="0021790E"/>
    <w:rsid w:val="002179BA"/>
    <w:rsid w:val="002179C5"/>
    <w:rsid w:val="00217A1E"/>
    <w:rsid w:val="00217A71"/>
    <w:rsid w:val="00217BFB"/>
    <w:rsid w:val="00217D0A"/>
    <w:rsid w:val="00217D81"/>
    <w:rsid w:val="00217E88"/>
    <w:rsid w:val="00217EB8"/>
    <w:rsid w:val="0022004C"/>
    <w:rsid w:val="00220096"/>
    <w:rsid w:val="0022013F"/>
    <w:rsid w:val="002201DC"/>
    <w:rsid w:val="00220239"/>
    <w:rsid w:val="0022025F"/>
    <w:rsid w:val="0022034C"/>
    <w:rsid w:val="0022039E"/>
    <w:rsid w:val="002203B1"/>
    <w:rsid w:val="0022051F"/>
    <w:rsid w:val="0022054D"/>
    <w:rsid w:val="00220572"/>
    <w:rsid w:val="00220619"/>
    <w:rsid w:val="00220734"/>
    <w:rsid w:val="002207DC"/>
    <w:rsid w:val="002208C0"/>
    <w:rsid w:val="002209BD"/>
    <w:rsid w:val="00220B57"/>
    <w:rsid w:val="00220C5E"/>
    <w:rsid w:val="00220C64"/>
    <w:rsid w:val="00220C8D"/>
    <w:rsid w:val="00220CE0"/>
    <w:rsid w:val="00220CE8"/>
    <w:rsid w:val="00220F3B"/>
    <w:rsid w:val="0022105D"/>
    <w:rsid w:val="002210BE"/>
    <w:rsid w:val="00221294"/>
    <w:rsid w:val="002212E5"/>
    <w:rsid w:val="002212E9"/>
    <w:rsid w:val="002212FA"/>
    <w:rsid w:val="0022130D"/>
    <w:rsid w:val="002214AE"/>
    <w:rsid w:val="00221504"/>
    <w:rsid w:val="0022168B"/>
    <w:rsid w:val="002216DB"/>
    <w:rsid w:val="002218B7"/>
    <w:rsid w:val="002218C6"/>
    <w:rsid w:val="002219B8"/>
    <w:rsid w:val="00221A14"/>
    <w:rsid w:val="00221A6F"/>
    <w:rsid w:val="00221AB1"/>
    <w:rsid w:val="00221B89"/>
    <w:rsid w:val="00221B9B"/>
    <w:rsid w:val="00221C53"/>
    <w:rsid w:val="00221E19"/>
    <w:rsid w:val="00221E36"/>
    <w:rsid w:val="00221E85"/>
    <w:rsid w:val="00221F1C"/>
    <w:rsid w:val="00221F6A"/>
    <w:rsid w:val="00221FAF"/>
    <w:rsid w:val="00221FB8"/>
    <w:rsid w:val="00222189"/>
    <w:rsid w:val="00222315"/>
    <w:rsid w:val="0022233E"/>
    <w:rsid w:val="00222472"/>
    <w:rsid w:val="00222554"/>
    <w:rsid w:val="002227F5"/>
    <w:rsid w:val="002228CA"/>
    <w:rsid w:val="00222A24"/>
    <w:rsid w:val="00222A6F"/>
    <w:rsid w:val="00222A81"/>
    <w:rsid w:val="00222AFE"/>
    <w:rsid w:val="00222C2A"/>
    <w:rsid w:val="00222D2A"/>
    <w:rsid w:val="00222D59"/>
    <w:rsid w:val="00222DA4"/>
    <w:rsid w:val="00222E0A"/>
    <w:rsid w:val="00222FAD"/>
    <w:rsid w:val="00223000"/>
    <w:rsid w:val="00223066"/>
    <w:rsid w:val="0022323B"/>
    <w:rsid w:val="0022326D"/>
    <w:rsid w:val="00223397"/>
    <w:rsid w:val="0022349C"/>
    <w:rsid w:val="0022353C"/>
    <w:rsid w:val="002235E2"/>
    <w:rsid w:val="0022361F"/>
    <w:rsid w:val="002236BB"/>
    <w:rsid w:val="002236C9"/>
    <w:rsid w:val="002236D1"/>
    <w:rsid w:val="00223739"/>
    <w:rsid w:val="00223899"/>
    <w:rsid w:val="00223A24"/>
    <w:rsid w:val="00223B70"/>
    <w:rsid w:val="00223C48"/>
    <w:rsid w:val="00223D74"/>
    <w:rsid w:val="00223D92"/>
    <w:rsid w:val="00223E14"/>
    <w:rsid w:val="00223EDD"/>
    <w:rsid w:val="00223EE0"/>
    <w:rsid w:val="00223FA1"/>
    <w:rsid w:val="002240FF"/>
    <w:rsid w:val="00224131"/>
    <w:rsid w:val="0022424A"/>
    <w:rsid w:val="00224439"/>
    <w:rsid w:val="002244E0"/>
    <w:rsid w:val="0022459A"/>
    <w:rsid w:val="0022463C"/>
    <w:rsid w:val="00224689"/>
    <w:rsid w:val="002246EF"/>
    <w:rsid w:val="00224756"/>
    <w:rsid w:val="00224802"/>
    <w:rsid w:val="00224838"/>
    <w:rsid w:val="002248E6"/>
    <w:rsid w:val="00224953"/>
    <w:rsid w:val="002249E6"/>
    <w:rsid w:val="00224AA5"/>
    <w:rsid w:val="00224B60"/>
    <w:rsid w:val="00224BA6"/>
    <w:rsid w:val="00224C05"/>
    <w:rsid w:val="00224C33"/>
    <w:rsid w:val="00224F46"/>
    <w:rsid w:val="00224F5C"/>
    <w:rsid w:val="00225018"/>
    <w:rsid w:val="00225070"/>
    <w:rsid w:val="00225342"/>
    <w:rsid w:val="0022550A"/>
    <w:rsid w:val="0022555E"/>
    <w:rsid w:val="002255A1"/>
    <w:rsid w:val="002255B6"/>
    <w:rsid w:val="00225899"/>
    <w:rsid w:val="00225AAB"/>
    <w:rsid w:val="00225B46"/>
    <w:rsid w:val="00225DEE"/>
    <w:rsid w:val="00225E53"/>
    <w:rsid w:val="002260A6"/>
    <w:rsid w:val="002260CF"/>
    <w:rsid w:val="002261A2"/>
    <w:rsid w:val="002261D4"/>
    <w:rsid w:val="002261E4"/>
    <w:rsid w:val="0022624A"/>
    <w:rsid w:val="00226263"/>
    <w:rsid w:val="002262DA"/>
    <w:rsid w:val="002263B5"/>
    <w:rsid w:val="002263C4"/>
    <w:rsid w:val="00226459"/>
    <w:rsid w:val="002264BD"/>
    <w:rsid w:val="002264F6"/>
    <w:rsid w:val="002265C7"/>
    <w:rsid w:val="002267F9"/>
    <w:rsid w:val="0022686A"/>
    <w:rsid w:val="002268DF"/>
    <w:rsid w:val="002269CC"/>
    <w:rsid w:val="00226A30"/>
    <w:rsid w:val="00226A98"/>
    <w:rsid w:val="00226B0B"/>
    <w:rsid w:val="00226B4A"/>
    <w:rsid w:val="00226BB1"/>
    <w:rsid w:val="00226C97"/>
    <w:rsid w:val="00226CF6"/>
    <w:rsid w:val="00226EE2"/>
    <w:rsid w:val="0022706A"/>
    <w:rsid w:val="002270CC"/>
    <w:rsid w:val="00227173"/>
    <w:rsid w:val="00227187"/>
    <w:rsid w:val="002271BA"/>
    <w:rsid w:val="002271C9"/>
    <w:rsid w:val="0022724A"/>
    <w:rsid w:val="00227321"/>
    <w:rsid w:val="002273CB"/>
    <w:rsid w:val="00227401"/>
    <w:rsid w:val="002274CF"/>
    <w:rsid w:val="002275C7"/>
    <w:rsid w:val="00227688"/>
    <w:rsid w:val="002276AE"/>
    <w:rsid w:val="00227700"/>
    <w:rsid w:val="00227701"/>
    <w:rsid w:val="00227783"/>
    <w:rsid w:val="00227942"/>
    <w:rsid w:val="002279BC"/>
    <w:rsid w:val="00227A0D"/>
    <w:rsid w:val="00227A31"/>
    <w:rsid w:val="00227A6A"/>
    <w:rsid w:val="00227A83"/>
    <w:rsid w:val="00227AF0"/>
    <w:rsid w:val="00227B5B"/>
    <w:rsid w:val="00227C8B"/>
    <w:rsid w:val="00227D0C"/>
    <w:rsid w:val="00227E9A"/>
    <w:rsid w:val="00227F16"/>
    <w:rsid w:val="00230063"/>
    <w:rsid w:val="002300BC"/>
    <w:rsid w:val="002300C8"/>
    <w:rsid w:val="00230170"/>
    <w:rsid w:val="00230336"/>
    <w:rsid w:val="00230378"/>
    <w:rsid w:val="002305C8"/>
    <w:rsid w:val="00230780"/>
    <w:rsid w:val="002307D5"/>
    <w:rsid w:val="002307F2"/>
    <w:rsid w:val="00230807"/>
    <w:rsid w:val="00230A72"/>
    <w:rsid w:val="00230ACA"/>
    <w:rsid w:val="00230ACF"/>
    <w:rsid w:val="00230BEF"/>
    <w:rsid w:val="00230C47"/>
    <w:rsid w:val="00230C4A"/>
    <w:rsid w:val="00230CB5"/>
    <w:rsid w:val="00231074"/>
    <w:rsid w:val="00231085"/>
    <w:rsid w:val="00231099"/>
    <w:rsid w:val="002310CD"/>
    <w:rsid w:val="00231162"/>
    <w:rsid w:val="00231223"/>
    <w:rsid w:val="00231403"/>
    <w:rsid w:val="002314BD"/>
    <w:rsid w:val="002314C4"/>
    <w:rsid w:val="00231616"/>
    <w:rsid w:val="0023161D"/>
    <w:rsid w:val="0023172B"/>
    <w:rsid w:val="0023183D"/>
    <w:rsid w:val="002318F7"/>
    <w:rsid w:val="00231908"/>
    <w:rsid w:val="002319CE"/>
    <w:rsid w:val="002319E2"/>
    <w:rsid w:val="00231ACD"/>
    <w:rsid w:val="00231B61"/>
    <w:rsid w:val="00231D45"/>
    <w:rsid w:val="00231D95"/>
    <w:rsid w:val="00231D9E"/>
    <w:rsid w:val="00231DF2"/>
    <w:rsid w:val="00231EE5"/>
    <w:rsid w:val="00231F74"/>
    <w:rsid w:val="00231F83"/>
    <w:rsid w:val="00231FCD"/>
    <w:rsid w:val="00231FDD"/>
    <w:rsid w:val="0023208A"/>
    <w:rsid w:val="002320FE"/>
    <w:rsid w:val="00232117"/>
    <w:rsid w:val="00232126"/>
    <w:rsid w:val="00232168"/>
    <w:rsid w:val="00232195"/>
    <w:rsid w:val="002321E7"/>
    <w:rsid w:val="0023221C"/>
    <w:rsid w:val="0023228A"/>
    <w:rsid w:val="00232541"/>
    <w:rsid w:val="00232591"/>
    <w:rsid w:val="002326C2"/>
    <w:rsid w:val="002326F2"/>
    <w:rsid w:val="0023281E"/>
    <w:rsid w:val="00232945"/>
    <w:rsid w:val="002329B0"/>
    <w:rsid w:val="002329E7"/>
    <w:rsid w:val="00232BBC"/>
    <w:rsid w:val="00232C05"/>
    <w:rsid w:val="00232DD6"/>
    <w:rsid w:val="00232E1F"/>
    <w:rsid w:val="00232FDB"/>
    <w:rsid w:val="00233036"/>
    <w:rsid w:val="0023324C"/>
    <w:rsid w:val="0023328C"/>
    <w:rsid w:val="002332A2"/>
    <w:rsid w:val="002333AA"/>
    <w:rsid w:val="00233445"/>
    <w:rsid w:val="002334CF"/>
    <w:rsid w:val="002334E8"/>
    <w:rsid w:val="00233537"/>
    <w:rsid w:val="002335DB"/>
    <w:rsid w:val="00233682"/>
    <w:rsid w:val="002338E1"/>
    <w:rsid w:val="00233958"/>
    <w:rsid w:val="00233A12"/>
    <w:rsid w:val="00233A72"/>
    <w:rsid w:val="00233AC5"/>
    <w:rsid w:val="00233B74"/>
    <w:rsid w:val="00233BBA"/>
    <w:rsid w:val="00233C0A"/>
    <w:rsid w:val="00233CE1"/>
    <w:rsid w:val="00233DC7"/>
    <w:rsid w:val="00233F25"/>
    <w:rsid w:val="00234052"/>
    <w:rsid w:val="002340FA"/>
    <w:rsid w:val="00234198"/>
    <w:rsid w:val="002342AD"/>
    <w:rsid w:val="0023436F"/>
    <w:rsid w:val="002343FC"/>
    <w:rsid w:val="002345BF"/>
    <w:rsid w:val="00234716"/>
    <w:rsid w:val="0023490A"/>
    <w:rsid w:val="002349CB"/>
    <w:rsid w:val="002349E1"/>
    <w:rsid w:val="002349E5"/>
    <w:rsid w:val="002349EE"/>
    <w:rsid w:val="00234A74"/>
    <w:rsid w:val="00234ACF"/>
    <w:rsid w:val="00234D9E"/>
    <w:rsid w:val="00234E4E"/>
    <w:rsid w:val="00234E71"/>
    <w:rsid w:val="00234E90"/>
    <w:rsid w:val="00234F90"/>
    <w:rsid w:val="00235019"/>
    <w:rsid w:val="002350ED"/>
    <w:rsid w:val="0023519B"/>
    <w:rsid w:val="002352C6"/>
    <w:rsid w:val="0023535B"/>
    <w:rsid w:val="00235616"/>
    <w:rsid w:val="002356D8"/>
    <w:rsid w:val="00235880"/>
    <w:rsid w:val="002358CA"/>
    <w:rsid w:val="00235942"/>
    <w:rsid w:val="002359BF"/>
    <w:rsid w:val="00235A06"/>
    <w:rsid w:val="00235ACC"/>
    <w:rsid w:val="00235B73"/>
    <w:rsid w:val="00235C2A"/>
    <w:rsid w:val="00235C63"/>
    <w:rsid w:val="00235DC0"/>
    <w:rsid w:val="00235F0A"/>
    <w:rsid w:val="0023612A"/>
    <w:rsid w:val="00236131"/>
    <w:rsid w:val="00236195"/>
    <w:rsid w:val="002361F1"/>
    <w:rsid w:val="002361FD"/>
    <w:rsid w:val="002365E4"/>
    <w:rsid w:val="00236624"/>
    <w:rsid w:val="002367B3"/>
    <w:rsid w:val="002367C4"/>
    <w:rsid w:val="002367CE"/>
    <w:rsid w:val="002367E6"/>
    <w:rsid w:val="002368BC"/>
    <w:rsid w:val="002368E9"/>
    <w:rsid w:val="00236913"/>
    <w:rsid w:val="0023699E"/>
    <w:rsid w:val="002369B5"/>
    <w:rsid w:val="00236B49"/>
    <w:rsid w:val="00236B99"/>
    <w:rsid w:val="00236BAA"/>
    <w:rsid w:val="00236C6E"/>
    <w:rsid w:val="00236D2B"/>
    <w:rsid w:val="00236D62"/>
    <w:rsid w:val="00236E7A"/>
    <w:rsid w:val="00236EBD"/>
    <w:rsid w:val="00236F12"/>
    <w:rsid w:val="00236F1C"/>
    <w:rsid w:val="00237037"/>
    <w:rsid w:val="00237248"/>
    <w:rsid w:val="0023738C"/>
    <w:rsid w:val="0023738E"/>
    <w:rsid w:val="0023739C"/>
    <w:rsid w:val="002373C1"/>
    <w:rsid w:val="002374A2"/>
    <w:rsid w:val="002374D9"/>
    <w:rsid w:val="002377F3"/>
    <w:rsid w:val="00237A7A"/>
    <w:rsid w:val="00237AEF"/>
    <w:rsid w:val="00237C4A"/>
    <w:rsid w:val="00237C86"/>
    <w:rsid w:val="00237D5C"/>
    <w:rsid w:val="00237D6F"/>
    <w:rsid w:val="00237DF7"/>
    <w:rsid w:val="00237EA1"/>
    <w:rsid w:val="00237F81"/>
    <w:rsid w:val="00237FEA"/>
    <w:rsid w:val="00240033"/>
    <w:rsid w:val="00240104"/>
    <w:rsid w:val="00240160"/>
    <w:rsid w:val="00240285"/>
    <w:rsid w:val="002402F6"/>
    <w:rsid w:val="00240438"/>
    <w:rsid w:val="00240492"/>
    <w:rsid w:val="002404A4"/>
    <w:rsid w:val="00240508"/>
    <w:rsid w:val="0024058C"/>
    <w:rsid w:val="002408F0"/>
    <w:rsid w:val="00240906"/>
    <w:rsid w:val="00240A82"/>
    <w:rsid w:val="00240A83"/>
    <w:rsid w:val="00240B13"/>
    <w:rsid w:val="00240B6E"/>
    <w:rsid w:val="00240B8A"/>
    <w:rsid w:val="00240C94"/>
    <w:rsid w:val="00240CA4"/>
    <w:rsid w:val="00240EE2"/>
    <w:rsid w:val="002413A2"/>
    <w:rsid w:val="002414AE"/>
    <w:rsid w:val="002414E0"/>
    <w:rsid w:val="002415B5"/>
    <w:rsid w:val="002415C7"/>
    <w:rsid w:val="002416CF"/>
    <w:rsid w:val="002416F5"/>
    <w:rsid w:val="0024170D"/>
    <w:rsid w:val="0024181E"/>
    <w:rsid w:val="0024198B"/>
    <w:rsid w:val="0024199A"/>
    <w:rsid w:val="00241A92"/>
    <w:rsid w:val="00241B0C"/>
    <w:rsid w:val="00241B41"/>
    <w:rsid w:val="00241C52"/>
    <w:rsid w:val="00241D49"/>
    <w:rsid w:val="00241D8F"/>
    <w:rsid w:val="00241DC6"/>
    <w:rsid w:val="00241EF6"/>
    <w:rsid w:val="00241F1F"/>
    <w:rsid w:val="002420C1"/>
    <w:rsid w:val="002422C8"/>
    <w:rsid w:val="002422D8"/>
    <w:rsid w:val="0024237F"/>
    <w:rsid w:val="002424C3"/>
    <w:rsid w:val="002424F3"/>
    <w:rsid w:val="0024262C"/>
    <w:rsid w:val="00242637"/>
    <w:rsid w:val="00242759"/>
    <w:rsid w:val="0024276B"/>
    <w:rsid w:val="0024282B"/>
    <w:rsid w:val="00242957"/>
    <w:rsid w:val="0024298B"/>
    <w:rsid w:val="00242C98"/>
    <w:rsid w:val="00242CC3"/>
    <w:rsid w:val="00242D4F"/>
    <w:rsid w:val="00242E5C"/>
    <w:rsid w:val="002431EA"/>
    <w:rsid w:val="002431FC"/>
    <w:rsid w:val="00243340"/>
    <w:rsid w:val="002433B2"/>
    <w:rsid w:val="00243431"/>
    <w:rsid w:val="002434A9"/>
    <w:rsid w:val="00243569"/>
    <w:rsid w:val="00243856"/>
    <w:rsid w:val="002438BE"/>
    <w:rsid w:val="002439E6"/>
    <w:rsid w:val="00243A05"/>
    <w:rsid w:val="00243A55"/>
    <w:rsid w:val="00243AEB"/>
    <w:rsid w:val="00243BB1"/>
    <w:rsid w:val="00243CC2"/>
    <w:rsid w:val="00243D0E"/>
    <w:rsid w:val="00243E7A"/>
    <w:rsid w:val="00243E9B"/>
    <w:rsid w:val="00244061"/>
    <w:rsid w:val="00244096"/>
    <w:rsid w:val="0024420A"/>
    <w:rsid w:val="00244231"/>
    <w:rsid w:val="00244385"/>
    <w:rsid w:val="002443F5"/>
    <w:rsid w:val="0024447A"/>
    <w:rsid w:val="0024457C"/>
    <w:rsid w:val="002445B8"/>
    <w:rsid w:val="002445C0"/>
    <w:rsid w:val="002445D9"/>
    <w:rsid w:val="00244646"/>
    <w:rsid w:val="002446FB"/>
    <w:rsid w:val="00244845"/>
    <w:rsid w:val="0024493A"/>
    <w:rsid w:val="00244987"/>
    <w:rsid w:val="00244A08"/>
    <w:rsid w:val="00244ADF"/>
    <w:rsid w:val="00244B52"/>
    <w:rsid w:val="00244B7A"/>
    <w:rsid w:val="00244BAC"/>
    <w:rsid w:val="00244C97"/>
    <w:rsid w:val="00244F0B"/>
    <w:rsid w:val="00244FC0"/>
    <w:rsid w:val="00245073"/>
    <w:rsid w:val="002451C5"/>
    <w:rsid w:val="0024547B"/>
    <w:rsid w:val="00245484"/>
    <w:rsid w:val="00245542"/>
    <w:rsid w:val="002455FC"/>
    <w:rsid w:val="0024567A"/>
    <w:rsid w:val="0024574B"/>
    <w:rsid w:val="00245774"/>
    <w:rsid w:val="0024587B"/>
    <w:rsid w:val="002458AF"/>
    <w:rsid w:val="00245932"/>
    <w:rsid w:val="00245A0D"/>
    <w:rsid w:val="00245A32"/>
    <w:rsid w:val="00245C0A"/>
    <w:rsid w:val="00245D3F"/>
    <w:rsid w:val="00245DE1"/>
    <w:rsid w:val="00245E48"/>
    <w:rsid w:val="00245FB0"/>
    <w:rsid w:val="00245FC0"/>
    <w:rsid w:val="002460DF"/>
    <w:rsid w:val="002461C6"/>
    <w:rsid w:val="00246222"/>
    <w:rsid w:val="002462E0"/>
    <w:rsid w:val="00246303"/>
    <w:rsid w:val="0024640A"/>
    <w:rsid w:val="00246491"/>
    <w:rsid w:val="002464D6"/>
    <w:rsid w:val="002464D7"/>
    <w:rsid w:val="00246638"/>
    <w:rsid w:val="0024672F"/>
    <w:rsid w:val="0024681F"/>
    <w:rsid w:val="00246821"/>
    <w:rsid w:val="00246963"/>
    <w:rsid w:val="00246964"/>
    <w:rsid w:val="002469CE"/>
    <w:rsid w:val="00246A4D"/>
    <w:rsid w:val="00246A8B"/>
    <w:rsid w:val="00246AC3"/>
    <w:rsid w:val="00246AF3"/>
    <w:rsid w:val="00246BA9"/>
    <w:rsid w:val="00246C02"/>
    <w:rsid w:val="00246C10"/>
    <w:rsid w:val="00246CE4"/>
    <w:rsid w:val="00246DB5"/>
    <w:rsid w:val="00246E09"/>
    <w:rsid w:val="00246E48"/>
    <w:rsid w:val="00246F99"/>
    <w:rsid w:val="002470CB"/>
    <w:rsid w:val="002471C2"/>
    <w:rsid w:val="00247241"/>
    <w:rsid w:val="0024729A"/>
    <w:rsid w:val="0024733D"/>
    <w:rsid w:val="002475D2"/>
    <w:rsid w:val="002475F5"/>
    <w:rsid w:val="00247641"/>
    <w:rsid w:val="0024765B"/>
    <w:rsid w:val="002476B0"/>
    <w:rsid w:val="00247779"/>
    <w:rsid w:val="0024795D"/>
    <w:rsid w:val="0024797C"/>
    <w:rsid w:val="0024799C"/>
    <w:rsid w:val="00247A7A"/>
    <w:rsid w:val="00247BFB"/>
    <w:rsid w:val="00247C6E"/>
    <w:rsid w:val="00247C77"/>
    <w:rsid w:val="00247CEC"/>
    <w:rsid w:val="00247CFC"/>
    <w:rsid w:val="00247F78"/>
    <w:rsid w:val="00250018"/>
    <w:rsid w:val="00250113"/>
    <w:rsid w:val="00250145"/>
    <w:rsid w:val="002501AC"/>
    <w:rsid w:val="0025021A"/>
    <w:rsid w:val="002502DD"/>
    <w:rsid w:val="002503C1"/>
    <w:rsid w:val="00250409"/>
    <w:rsid w:val="00250475"/>
    <w:rsid w:val="00250818"/>
    <w:rsid w:val="002509E5"/>
    <w:rsid w:val="002509F8"/>
    <w:rsid w:val="00250A9F"/>
    <w:rsid w:val="00250AB3"/>
    <w:rsid w:val="00250ABD"/>
    <w:rsid w:val="00250CEA"/>
    <w:rsid w:val="00250CF7"/>
    <w:rsid w:val="00250CFA"/>
    <w:rsid w:val="00250D32"/>
    <w:rsid w:val="00250E23"/>
    <w:rsid w:val="00250ED1"/>
    <w:rsid w:val="00250FF4"/>
    <w:rsid w:val="00251120"/>
    <w:rsid w:val="00251129"/>
    <w:rsid w:val="00251199"/>
    <w:rsid w:val="0025125C"/>
    <w:rsid w:val="00251312"/>
    <w:rsid w:val="00251384"/>
    <w:rsid w:val="002513A5"/>
    <w:rsid w:val="002513A8"/>
    <w:rsid w:val="00251464"/>
    <w:rsid w:val="002514C3"/>
    <w:rsid w:val="002515D6"/>
    <w:rsid w:val="002515E6"/>
    <w:rsid w:val="00251690"/>
    <w:rsid w:val="002516CB"/>
    <w:rsid w:val="002516DB"/>
    <w:rsid w:val="002516DF"/>
    <w:rsid w:val="00251721"/>
    <w:rsid w:val="00251750"/>
    <w:rsid w:val="0025176C"/>
    <w:rsid w:val="0025187A"/>
    <w:rsid w:val="00251886"/>
    <w:rsid w:val="002518D9"/>
    <w:rsid w:val="00251942"/>
    <w:rsid w:val="00251994"/>
    <w:rsid w:val="002519C4"/>
    <w:rsid w:val="00251AE9"/>
    <w:rsid w:val="00251B76"/>
    <w:rsid w:val="00251BA4"/>
    <w:rsid w:val="00251F2F"/>
    <w:rsid w:val="00251F86"/>
    <w:rsid w:val="00251FA3"/>
    <w:rsid w:val="0025210B"/>
    <w:rsid w:val="0025212F"/>
    <w:rsid w:val="002521D7"/>
    <w:rsid w:val="0025245B"/>
    <w:rsid w:val="00252479"/>
    <w:rsid w:val="00252490"/>
    <w:rsid w:val="002524A1"/>
    <w:rsid w:val="0025252C"/>
    <w:rsid w:val="00252554"/>
    <w:rsid w:val="002526CA"/>
    <w:rsid w:val="002526CD"/>
    <w:rsid w:val="00252711"/>
    <w:rsid w:val="0025292B"/>
    <w:rsid w:val="0025299C"/>
    <w:rsid w:val="00252A0F"/>
    <w:rsid w:val="00252A34"/>
    <w:rsid w:val="00252A6C"/>
    <w:rsid w:val="00252D08"/>
    <w:rsid w:val="00252D9F"/>
    <w:rsid w:val="00252F77"/>
    <w:rsid w:val="002530CB"/>
    <w:rsid w:val="002530EE"/>
    <w:rsid w:val="002532A2"/>
    <w:rsid w:val="002533D1"/>
    <w:rsid w:val="00253598"/>
    <w:rsid w:val="002535A6"/>
    <w:rsid w:val="002535B6"/>
    <w:rsid w:val="00253667"/>
    <w:rsid w:val="002536C3"/>
    <w:rsid w:val="002538FE"/>
    <w:rsid w:val="00253950"/>
    <w:rsid w:val="00253990"/>
    <w:rsid w:val="00253A1C"/>
    <w:rsid w:val="00253ADD"/>
    <w:rsid w:val="00253B17"/>
    <w:rsid w:val="00253BB5"/>
    <w:rsid w:val="00253EFC"/>
    <w:rsid w:val="00253FF4"/>
    <w:rsid w:val="002540C2"/>
    <w:rsid w:val="002540D3"/>
    <w:rsid w:val="00254188"/>
    <w:rsid w:val="00254296"/>
    <w:rsid w:val="00254348"/>
    <w:rsid w:val="0025437F"/>
    <w:rsid w:val="00254398"/>
    <w:rsid w:val="002543EB"/>
    <w:rsid w:val="002544CE"/>
    <w:rsid w:val="00254566"/>
    <w:rsid w:val="00254589"/>
    <w:rsid w:val="002546E6"/>
    <w:rsid w:val="002547FD"/>
    <w:rsid w:val="00254822"/>
    <w:rsid w:val="00254B00"/>
    <w:rsid w:val="00254B96"/>
    <w:rsid w:val="00254DBB"/>
    <w:rsid w:val="00254E61"/>
    <w:rsid w:val="00254EB8"/>
    <w:rsid w:val="00254EE3"/>
    <w:rsid w:val="00254FEB"/>
    <w:rsid w:val="0025501C"/>
    <w:rsid w:val="002550BB"/>
    <w:rsid w:val="0025512D"/>
    <w:rsid w:val="002552C1"/>
    <w:rsid w:val="002554D6"/>
    <w:rsid w:val="00255510"/>
    <w:rsid w:val="0025561D"/>
    <w:rsid w:val="002557D9"/>
    <w:rsid w:val="002558C2"/>
    <w:rsid w:val="00255914"/>
    <w:rsid w:val="00255942"/>
    <w:rsid w:val="0025599A"/>
    <w:rsid w:val="002559B8"/>
    <w:rsid w:val="00255A22"/>
    <w:rsid w:val="00255BAE"/>
    <w:rsid w:val="00255BFC"/>
    <w:rsid w:val="00255BFE"/>
    <w:rsid w:val="00255C5D"/>
    <w:rsid w:val="00255CB5"/>
    <w:rsid w:val="00255D14"/>
    <w:rsid w:val="00255EC4"/>
    <w:rsid w:val="00255F2D"/>
    <w:rsid w:val="0025612D"/>
    <w:rsid w:val="00256137"/>
    <w:rsid w:val="002561C6"/>
    <w:rsid w:val="002561D9"/>
    <w:rsid w:val="002561DD"/>
    <w:rsid w:val="002561F5"/>
    <w:rsid w:val="00256211"/>
    <w:rsid w:val="00256278"/>
    <w:rsid w:val="002562AA"/>
    <w:rsid w:val="00256387"/>
    <w:rsid w:val="0025640E"/>
    <w:rsid w:val="00256435"/>
    <w:rsid w:val="00256492"/>
    <w:rsid w:val="002565A3"/>
    <w:rsid w:val="0025668A"/>
    <w:rsid w:val="002566AD"/>
    <w:rsid w:val="00256782"/>
    <w:rsid w:val="002567BA"/>
    <w:rsid w:val="002567D8"/>
    <w:rsid w:val="00256916"/>
    <w:rsid w:val="00256958"/>
    <w:rsid w:val="00256AFC"/>
    <w:rsid w:val="00256C8F"/>
    <w:rsid w:val="00256C93"/>
    <w:rsid w:val="00256D4E"/>
    <w:rsid w:val="00256D7C"/>
    <w:rsid w:val="00256E5F"/>
    <w:rsid w:val="00256E62"/>
    <w:rsid w:val="00256EEA"/>
    <w:rsid w:val="0025707C"/>
    <w:rsid w:val="002570BF"/>
    <w:rsid w:val="002570F8"/>
    <w:rsid w:val="002571FA"/>
    <w:rsid w:val="002573BD"/>
    <w:rsid w:val="002573BE"/>
    <w:rsid w:val="002575B5"/>
    <w:rsid w:val="002576DA"/>
    <w:rsid w:val="002576E9"/>
    <w:rsid w:val="00257C01"/>
    <w:rsid w:val="00257C0A"/>
    <w:rsid w:val="00257D38"/>
    <w:rsid w:val="00257E8B"/>
    <w:rsid w:val="00257FB4"/>
    <w:rsid w:val="00257FDF"/>
    <w:rsid w:val="00260062"/>
    <w:rsid w:val="002600BD"/>
    <w:rsid w:val="0026021D"/>
    <w:rsid w:val="00260235"/>
    <w:rsid w:val="002603A1"/>
    <w:rsid w:val="00260438"/>
    <w:rsid w:val="00260598"/>
    <w:rsid w:val="002605B7"/>
    <w:rsid w:val="0026063A"/>
    <w:rsid w:val="00260745"/>
    <w:rsid w:val="00260748"/>
    <w:rsid w:val="0026083A"/>
    <w:rsid w:val="00260A18"/>
    <w:rsid w:val="00260A35"/>
    <w:rsid w:val="00260A6F"/>
    <w:rsid w:val="00260C3B"/>
    <w:rsid w:val="00260CEC"/>
    <w:rsid w:val="00260E22"/>
    <w:rsid w:val="00260E44"/>
    <w:rsid w:val="00260EE5"/>
    <w:rsid w:val="00260F39"/>
    <w:rsid w:val="00260FC2"/>
    <w:rsid w:val="002610DD"/>
    <w:rsid w:val="002611A2"/>
    <w:rsid w:val="00261478"/>
    <w:rsid w:val="002614D1"/>
    <w:rsid w:val="0026151E"/>
    <w:rsid w:val="00261577"/>
    <w:rsid w:val="0026159F"/>
    <w:rsid w:val="002615C8"/>
    <w:rsid w:val="00261821"/>
    <w:rsid w:val="0026191B"/>
    <w:rsid w:val="00261951"/>
    <w:rsid w:val="00261ABE"/>
    <w:rsid w:val="00261C56"/>
    <w:rsid w:val="00261C81"/>
    <w:rsid w:val="00261F52"/>
    <w:rsid w:val="00261FB1"/>
    <w:rsid w:val="00261FBA"/>
    <w:rsid w:val="00261FEF"/>
    <w:rsid w:val="00262007"/>
    <w:rsid w:val="00262012"/>
    <w:rsid w:val="00262065"/>
    <w:rsid w:val="00262107"/>
    <w:rsid w:val="00262121"/>
    <w:rsid w:val="002621C3"/>
    <w:rsid w:val="002621D4"/>
    <w:rsid w:val="00262366"/>
    <w:rsid w:val="002624DF"/>
    <w:rsid w:val="0026258A"/>
    <w:rsid w:val="002625D1"/>
    <w:rsid w:val="00262743"/>
    <w:rsid w:val="0026291A"/>
    <w:rsid w:val="00262B57"/>
    <w:rsid w:val="00262B5D"/>
    <w:rsid w:val="00262B8E"/>
    <w:rsid w:val="00262C4A"/>
    <w:rsid w:val="00262CBB"/>
    <w:rsid w:val="00262CFF"/>
    <w:rsid w:val="00262DAC"/>
    <w:rsid w:val="00262E6C"/>
    <w:rsid w:val="00262ED7"/>
    <w:rsid w:val="00262F02"/>
    <w:rsid w:val="00263204"/>
    <w:rsid w:val="00263211"/>
    <w:rsid w:val="0026327F"/>
    <w:rsid w:val="002632CE"/>
    <w:rsid w:val="0026338F"/>
    <w:rsid w:val="002634F0"/>
    <w:rsid w:val="002635CD"/>
    <w:rsid w:val="002635D0"/>
    <w:rsid w:val="0026364C"/>
    <w:rsid w:val="0026373E"/>
    <w:rsid w:val="00263902"/>
    <w:rsid w:val="0026396F"/>
    <w:rsid w:val="00263AA7"/>
    <w:rsid w:val="00263B64"/>
    <w:rsid w:val="00263BC2"/>
    <w:rsid w:val="00263D5B"/>
    <w:rsid w:val="00263D6D"/>
    <w:rsid w:val="00263E79"/>
    <w:rsid w:val="00263EFC"/>
    <w:rsid w:val="00263FEC"/>
    <w:rsid w:val="00264049"/>
    <w:rsid w:val="002641D2"/>
    <w:rsid w:val="002641F9"/>
    <w:rsid w:val="0026434E"/>
    <w:rsid w:val="002643E0"/>
    <w:rsid w:val="00264439"/>
    <w:rsid w:val="00264474"/>
    <w:rsid w:val="0026449D"/>
    <w:rsid w:val="00264703"/>
    <w:rsid w:val="00264861"/>
    <w:rsid w:val="00264968"/>
    <w:rsid w:val="00264993"/>
    <w:rsid w:val="00264A42"/>
    <w:rsid w:val="00264AAC"/>
    <w:rsid w:val="00264AE1"/>
    <w:rsid w:val="00264C76"/>
    <w:rsid w:val="00264CE4"/>
    <w:rsid w:val="00264D90"/>
    <w:rsid w:val="00264E5F"/>
    <w:rsid w:val="00264EFC"/>
    <w:rsid w:val="00264F67"/>
    <w:rsid w:val="00264F95"/>
    <w:rsid w:val="0026505C"/>
    <w:rsid w:val="002650BA"/>
    <w:rsid w:val="0026510E"/>
    <w:rsid w:val="00265117"/>
    <w:rsid w:val="00265308"/>
    <w:rsid w:val="0026530C"/>
    <w:rsid w:val="00265507"/>
    <w:rsid w:val="00265700"/>
    <w:rsid w:val="0026577B"/>
    <w:rsid w:val="002657EE"/>
    <w:rsid w:val="00265B37"/>
    <w:rsid w:val="00265F82"/>
    <w:rsid w:val="00265FDC"/>
    <w:rsid w:val="002660C9"/>
    <w:rsid w:val="0026621B"/>
    <w:rsid w:val="00266376"/>
    <w:rsid w:val="002663A3"/>
    <w:rsid w:val="002664F2"/>
    <w:rsid w:val="00266572"/>
    <w:rsid w:val="00266591"/>
    <w:rsid w:val="002665AF"/>
    <w:rsid w:val="0026666E"/>
    <w:rsid w:val="00266C05"/>
    <w:rsid w:val="00266C1D"/>
    <w:rsid w:val="00266CB7"/>
    <w:rsid w:val="00266CDF"/>
    <w:rsid w:val="00266D2C"/>
    <w:rsid w:val="00266D6E"/>
    <w:rsid w:val="00266DA9"/>
    <w:rsid w:val="00266DDB"/>
    <w:rsid w:val="00266DF3"/>
    <w:rsid w:val="00266E88"/>
    <w:rsid w:val="00266FD2"/>
    <w:rsid w:val="002670E2"/>
    <w:rsid w:val="002671A0"/>
    <w:rsid w:val="002671C8"/>
    <w:rsid w:val="002671D5"/>
    <w:rsid w:val="00267205"/>
    <w:rsid w:val="00267231"/>
    <w:rsid w:val="00267245"/>
    <w:rsid w:val="002672B0"/>
    <w:rsid w:val="002674E0"/>
    <w:rsid w:val="00267602"/>
    <w:rsid w:val="0026760C"/>
    <w:rsid w:val="00267631"/>
    <w:rsid w:val="002676A5"/>
    <w:rsid w:val="0026780F"/>
    <w:rsid w:val="00267836"/>
    <w:rsid w:val="0026786B"/>
    <w:rsid w:val="002679B3"/>
    <w:rsid w:val="002679EF"/>
    <w:rsid w:val="00267A0E"/>
    <w:rsid w:val="00267A73"/>
    <w:rsid w:val="00267E32"/>
    <w:rsid w:val="00267EAF"/>
    <w:rsid w:val="00267EDB"/>
    <w:rsid w:val="00267F66"/>
    <w:rsid w:val="00270061"/>
    <w:rsid w:val="0027017F"/>
    <w:rsid w:val="002701B0"/>
    <w:rsid w:val="002702BF"/>
    <w:rsid w:val="00270348"/>
    <w:rsid w:val="0027036F"/>
    <w:rsid w:val="002704EE"/>
    <w:rsid w:val="00270546"/>
    <w:rsid w:val="00270609"/>
    <w:rsid w:val="00270648"/>
    <w:rsid w:val="002707FF"/>
    <w:rsid w:val="0027095B"/>
    <w:rsid w:val="00270994"/>
    <w:rsid w:val="00270A12"/>
    <w:rsid w:val="00270B8F"/>
    <w:rsid w:val="00270BC1"/>
    <w:rsid w:val="00270C02"/>
    <w:rsid w:val="00270CB2"/>
    <w:rsid w:val="00270E25"/>
    <w:rsid w:val="00270EE3"/>
    <w:rsid w:val="00270F46"/>
    <w:rsid w:val="00270FB8"/>
    <w:rsid w:val="00270FE6"/>
    <w:rsid w:val="002711C2"/>
    <w:rsid w:val="002712BB"/>
    <w:rsid w:val="00271398"/>
    <w:rsid w:val="002713DB"/>
    <w:rsid w:val="002713EA"/>
    <w:rsid w:val="0027150C"/>
    <w:rsid w:val="00271528"/>
    <w:rsid w:val="00271562"/>
    <w:rsid w:val="00271607"/>
    <w:rsid w:val="0027169D"/>
    <w:rsid w:val="0027169E"/>
    <w:rsid w:val="002717E2"/>
    <w:rsid w:val="002718B6"/>
    <w:rsid w:val="002718EC"/>
    <w:rsid w:val="00271AD5"/>
    <w:rsid w:val="00271B76"/>
    <w:rsid w:val="00271B8C"/>
    <w:rsid w:val="00271BE9"/>
    <w:rsid w:val="00271CA5"/>
    <w:rsid w:val="00271CE1"/>
    <w:rsid w:val="00271D59"/>
    <w:rsid w:val="00271D70"/>
    <w:rsid w:val="00271ED6"/>
    <w:rsid w:val="00271F2B"/>
    <w:rsid w:val="00271F5F"/>
    <w:rsid w:val="00271FBC"/>
    <w:rsid w:val="00271FFE"/>
    <w:rsid w:val="00272016"/>
    <w:rsid w:val="0027203C"/>
    <w:rsid w:val="00272066"/>
    <w:rsid w:val="0027219B"/>
    <w:rsid w:val="002722C9"/>
    <w:rsid w:val="00272385"/>
    <w:rsid w:val="00272456"/>
    <w:rsid w:val="0027246C"/>
    <w:rsid w:val="00272476"/>
    <w:rsid w:val="0027251A"/>
    <w:rsid w:val="00272534"/>
    <w:rsid w:val="002726F5"/>
    <w:rsid w:val="00272779"/>
    <w:rsid w:val="00272956"/>
    <w:rsid w:val="00272994"/>
    <w:rsid w:val="002729A7"/>
    <w:rsid w:val="002729D7"/>
    <w:rsid w:val="002729E2"/>
    <w:rsid w:val="00272BD2"/>
    <w:rsid w:val="00272E45"/>
    <w:rsid w:val="00272E63"/>
    <w:rsid w:val="00272E6F"/>
    <w:rsid w:val="00272FD4"/>
    <w:rsid w:val="00272FE0"/>
    <w:rsid w:val="00273037"/>
    <w:rsid w:val="00273089"/>
    <w:rsid w:val="002731BB"/>
    <w:rsid w:val="002731FA"/>
    <w:rsid w:val="00273272"/>
    <w:rsid w:val="002732A9"/>
    <w:rsid w:val="0027334F"/>
    <w:rsid w:val="00273381"/>
    <w:rsid w:val="002733BA"/>
    <w:rsid w:val="002733C4"/>
    <w:rsid w:val="002735E5"/>
    <w:rsid w:val="00273734"/>
    <w:rsid w:val="00273867"/>
    <w:rsid w:val="002738CD"/>
    <w:rsid w:val="002739AA"/>
    <w:rsid w:val="00273A35"/>
    <w:rsid w:val="00273A9C"/>
    <w:rsid w:val="00273B85"/>
    <w:rsid w:val="00273BA5"/>
    <w:rsid w:val="00273C29"/>
    <w:rsid w:val="00273C8F"/>
    <w:rsid w:val="00273CE5"/>
    <w:rsid w:val="00273D7E"/>
    <w:rsid w:val="00273DC3"/>
    <w:rsid w:val="00273DC6"/>
    <w:rsid w:val="00273DDA"/>
    <w:rsid w:val="00273E40"/>
    <w:rsid w:val="00273E8F"/>
    <w:rsid w:val="00273EC9"/>
    <w:rsid w:val="00273F40"/>
    <w:rsid w:val="00273FE6"/>
    <w:rsid w:val="00274068"/>
    <w:rsid w:val="00274138"/>
    <w:rsid w:val="002741CD"/>
    <w:rsid w:val="0027428D"/>
    <w:rsid w:val="0027441B"/>
    <w:rsid w:val="00274425"/>
    <w:rsid w:val="00274483"/>
    <w:rsid w:val="002744FF"/>
    <w:rsid w:val="0027468F"/>
    <w:rsid w:val="002746A8"/>
    <w:rsid w:val="002747A2"/>
    <w:rsid w:val="002747B3"/>
    <w:rsid w:val="002747D0"/>
    <w:rsid w:val="00274824"/>
    <w:rsid w:val="002749DF"/>
    <w:rsid w:val="00274BFB"/>
    <w:rsid w:val="00274DB0"/>
    <w:rsid w:val="00274E05"/>
    <w:rsid w:val="00274E0A"/>
    <w:rsid w:val="00274E2F"/>
    <w:rsid w:val="00274EA0"/>
    <w:rsid w:val="00275113"/>
    <w:rsid w:val="0027518B"/>
    <w:rsid w:val="002751D1"/>
    <w:rsid w:val="002751E8"/>
    <w:rsid w:val="00275204"/>
    <w:rsid w:val="0027538F"/>
    <w:rsid w:val="0027544B"/>
    <w:rsid w:val="002754A5"/>
    <w:rsid w:val="002754C3"/>
    <w:rsid w:val="002754CB"/>
    <w:rsid w:val="00275743"/>
    <w:rsid w:val="00275796"/>
    <w:rsid w:val="00275845"/>
    <w:rsid w:val="00275946"/>
    <w:rsid w:val="00275B79"/>
    <w:rsid w:val="00275B8A"/>
    <w:rsid w:val="00275CAF"/>
    <w:rsid w:val="00275DAC"/>
    <w:rsid w:val="00275DED"/>
    <w:rsid w:val="00275F18"/>
    <w:rsid w:val="00275F5E"/>
    <w:rsid w:val="00275FF5"/>
    <w:rsid w:val="00276131"/>
    <w:rsid w:val="002761A2"/>
    <w:rsid w:val="002761EB"/>
    <w:rsid w:val="0027620E"/>
    <w:rsid w:val="0027625C"/>
    <w:rsid w:val="00276358"/>
    <w:rsid w:val="0027643B"/>
    <w:rsid w:val="00276543"/>
    <w:rsid w:val="00276582"/>
    <w:rsid w:val="0027668E"/>
    <w:rsid w:val="002766F3"/>
    <w:rsid w:val="0027673C"/>
    <w:rsid w:val="0027680A"/>
    <w:rsid w:val="00276969"/>
    <w:rsid w:val="002769E5"/>
    <w:rsid w:val="00276AE0"/>
    <w:rsid w:val="00276B0C"/>
    <w:rsid w:val="00276CD6"/>
    <w:rsid w:val="00276D6B"/>
    <w:rsid w:val="00276DD3"/>
    <w:rsid w:val="00276DF1"/>
    <w:rsid w:val="00276E77"/>
    <w:rsid w:val="00276EE7"/>
    <w:rsid w:val="00276F76"/>
    <w:rsid w:val="00276FA8"/>
    <w:rsid w:val="00277126"/>
    <w:rsid w:val="0027718B"/>
    <w:rsid w:val="00277194"/>
    <w:rsid w:val="0027719E"/>
    <w:rsid w:val="00277219"/>
    <w:rsid w:val="00277284"/>
    <w:rsid w:val="0027730D"/>
    <w:rsid w:val="00277323"/>
    <w:rsid w:val="0027747E"/>
    <w:rsid w:val="002774B7"/>
    <w:rsid w:val="002775DE"/>
    <w:rsid w:val="002777FF"/>
    <w:rsid w:val="002778BB"/>
    <w:rsid w:val="00277AB6"/>
    <w:rsid w:val="00277C3B"/>
    <w:rsid w:val="00277D2A"/>
    <w:rsid w:val="00277D65"/>
    <w:rsid w:val="00277DA1"/>
    <w:rsid w:val="00277DB9"/>
    <w:rsid w:val="00277DE4"/>
    <w:rsid w:val="00277F82"/>
    <w:rsid w:val="00277FDA"/>
    <w:rsid w:val="00277FF6"/>
    <w:rsid w:val="002800BA"/>
    <w:rsid w:val="00280126"/>
    <w:rsid w:val="0028012D"/>
    <w:rsid w:val="0028015B"/>
    <w:rsid w:val="002801B0"/>
    <w:rsid w:val="00280412"/>
    <w:rsid w:val="00280607"/>
    <w:rsid w:val="002806F5"/>
    <w:rsid w:val="00280785"/>
    <w:rsid w:val="00280920"/>
    <w:rsid w:val="002809FB"/>
    <w:rsid w:val="00280A1D"/>
    <w:rsid w:val="00280A4B"/>
    <w:rsid w:val="00280A5B"/>
    <w:rsid w:val="00280ACB"/>
    <w:rsid w:val="00280AFE"/>
    <w:rsid w:val="00280B42"/>
    <w:rsid w:val="00280C47"/>
    <w:rsid w:val="00280CC2"/>
    <w:rsid w:val="00280CD8"/>
    <w:rsid w:val="00280D07"/>
    <w:rsid w:val="00280D5A"/>
    <w:rsid w:val="00280DC5"/>
    <w:rsid w:val="00280E01"/>
    <w:rsid w:val="00280FD3"/>
    <w:rsid w:val="00281014"/>
    <w:rsid w:val="00281059"/>
    <w:rsid w:val="002810F7"/>
    <w:rsid w:val="002811F5"/>
    <w:rsid w:val="0028120C"/>
    <w:rsid w:val="0028121F"/>
    <w:rsid w:val="0028129F"/>
    <w:rsid w:val="002813CE"/>
    <w:rsid w:val="00281549"/>
    <w:rsid w:val="0028159B"/>
    <w:rsid w:val="00281625"/>
    <w:rsid w:val="00281946"/>
    <w:rsid w:val="00281A27"/>
    <w:rsid w:val="00281B06"/>
    <w:rsid w:val="00281BA4"/>
    <w:rsid w:val="00281E66"/>
    <w:rsid w:val="00281F8E"/>
    <w:rsid w:val="00281FDE"/>
    <w:rsid w:val="0028205F"/>
    <w:rsid w:val="0028207A"/>
    <w:rsid w:val="002820E9"/>
    <w:rsid w:val="00282135"/>
    <w:rsid w:val="00282327"/>
    <w:rsid w:val="0028236C"/>
    <w:rsid w:val="002823FB"/>
    <w:rsid w:val="00282575"/>
    <w:rsid w:val="00282639"/>
    <w:rsid w:val="00282748"/>
    <w:rsid w:val="002827EE"/>
    <w:rsid w:val="0028283E"/>
    <w:rsid w:val="00282878"/>
    <w:rsid w:val="00282936"/>
    <w:rsid w:val="0028294D"/>
    <w:rsid w:val="00282960"/>
    <w:rsid w:val="002829C3"/>
    <w:rsid w:val="00282A27"/>
    <w:rsid w:val="00282ADA"/>
    <w:rsid w:val="00282B33"/>
    <w:rsid w:val="00282C2F"/>
    <w:rsid w:val="00282E28"/>
    <w:rsid w:val="00282EA6"/>
    <w:rsid w:val="00282EBA"/>
    <w:rsid w:val="00282F27"/>
    <w:rsid w:val="00282FF2"/>
    <w:rsid w:val="00283114"/>
    <w:rsid w:val="00283180"/>
    <w:rsid w:val="00283193"/>
    <w:rsid w:val="002831BE"/>
    <w:rsid w:val="002831EC"/>
    <w:rsid w:val="002832A7"/>
    <w:rsid w:val="00283376"/>
    <w:rsid w:val="002833EC"/>
    <w:rsid w:val="00283440"/>
    <w:rsid w:val="0028344A"/>
    <w:rsid w:val="002834A5"/>
    <w:rsid w:val="00283508"/>
    <w:rsid w:val="00283571"/>
    <w:rsid w:val="002835CD"/>
    <w:rsid w:val="002836F7"/>
    <w:rsid w:val="002837BF"/>
    <w:rsid w:val="00283869"/>
    <w:rsid w:val="00283924"/>
    <w:rsid w:val="0028393A"/>
    <w:rsid w:val="00283984"/>
    <w:rsid w:val="00283987"/>
    <w:rsid w:val="00283B34"/>
    <w:rsid w:val="00283D94"/>
    <w:rsid w:val="00283E14"/>
    <w:rsid w:val="00283E55"/>
    <w:rsid w:val="00283FCF"/>
    <w:rsid w:val="0028409C"/>
    <w:rsid w:val="002840E1"/>
    <w:rsid w:val="00284102"/>
    <w:rsid w:val="0028434B"/>
    <w:rsid w:val="00284385"/>
    <w:rsid w:val="002843EE"/>
    <w:rsid w:val="002844D4"/>
    <w:rsid w:val="00284649"/>
    <w:rsid w:val="002846D1"/>
    <w:rsid w:val="0028472B"/>
    <w:rsid w:val="002848AC"/>
    <w:rsid w:val="002848B2"/>
    <w:rsid w:val="002849CE"/>
    <w:rsid w:val="002849E1"/>
    <w:rsid w:val="00284A34"/>
    <w:rsid w:val="00284B70"/>
    <w:rsid w:val="00284BCF"/>
    <w:rsid w:val="00284BFB"/>
    <w:rsid w:val="00284C26"/>
    <w:rsid w:val="00284C6F"/>
    <w:rsid w:val="00284C9B"/>
    <w:rsid w:val="00284D27"/>
    <w:rsid w:val="00284EE1"/>
    <w:rsid w:val="00284FAE"/>
    <w:rsid w:val="00284FDD"/>
    <w:rsid w:val="00284FE8"/>
    <w:rsid w:val="0028528D"/>
    <w:rsid w:val="0028544E"/>
    <w:rsid w:val="00285539"/>
    <w:rsid w:val="00285615"/>
    <w:rsid w:val="00285726"/>
    <w:rsid w:val="0028578F"/>
    <w:rsid w:val="002858A1"/>
    <w:rsid w:val="00285909"/>
    <w:rsid w:val="00285926"/>
    <w:rsid w:val="00285BC6"/>
    <w:rsid w:val="00285BD8"/>
    <w:rsid w:val="00285BEE"/>
    <w:rsid w:val="00285BFA"/>
    <w:rsid w:val="00285EC8"/>
    <w:rsid w:val="00285F07"/>
    <w:rsid w:val="00285F53"/>
    <w:rsid w:val="00285F76"/>
    <w:rsid w:val="0028609D"/>
    <w:rsid w:val="002860E8"/>
    <w:rsid w:val="00286107"/>
    <w:rsid w:val="00286233"/>
    <w:rsid w:val="002862D5"/>
    <w:rsid w:val="0028632A"/>
    <w:rsid w:val="002863F6"/>
    <w:rsid w:val="00286478"/>
    <w:rsid w:val="002864AA"/>
    <w:rsid w:val="002864EC"/>
    <w:rsid w:val="002865F1"/>
    <w:rsid w:val="002867D0"/>
    <w:rsid w:val="002867E8"/>
    <w:rsid w:val="002867EA"/>
    <w:rsid w:val="0028694B"/>
    <w:rsid w:val="0028699B"/>
    <w:rsid w:val="00286BB2"/>
    <w:rsid w:val="00286BBE"/>
    <w:rsid w:val="00286C17"/>
    <w:rsid w:val="00286CED"/>
    <w:rsid w:val="00286D98"/>
    <w:rsid w:val="00286DEC"/>
    <w:rsid w:val="00286E20"/>
    <w:rsid w:val="00286EAF"/>
    <w:rsid w:val="00286FA6"/>
    <w:rsid w:val="00287078"/>
    <w:rsid w:val="002870C3"/>
    <w:rsid w:val="00287126"/>
    <w:rsid w:val="002871FB"/>
    <w:rsid w:val="00287501"/>
    <w:rsid w:val="002875B2"/>
    <w:rsid w:val="002875F9"/>
    <w:rsid w:val="00287632"/>
    <w:rsid w:val="002876F0"/>
    <w:rsid w:val="002877A0"/>
    <w:rsid w:val="00287879"/>
    <w:rsid w:val="00287A0A"/>
    <w:rsid w:val="00287C97"/>
    <w:rsid w:val="00287D24"/>
    <w:rsid w:val="00287E3C"/>
    <w:rsid w:val="00287ED2"/>
    <w:rsid w:val="00290005"/>
    <w:rsid w:val="00290127"/>
    <w:rsid w:val="002901EE"/>
    <w:rsid w:val="00290238"/>
    <w:rsid w:val="0029024E"/>
    <w:rsid w:val="00290289"/>
    <w:rsid w:val="002904CB"/>
    <w:rsid w:val="00290575"/>
    <w:rsid w:val="00290608"/>
    <w:rsid w:val="00290673"/>
    <w:rsid w:val="00290795"/>
    <w:rsid w:val="0029079C"/>
    <w:rsid w:val="00290876"/>
    <w:rsid w:val="00290973"/>
    <w:rsid w:val="002909E9"/>
    <w:rsid w:val="002909EB"/>
    <w:rsid w:val="00290B40"/>
    <w:rsid w:val="00290C16"/>
    <w:rsid w:val="00290C27"/>
    <w:rsid w:val="00290CFF"/>
    <w:rsid w:val="00290D05"/>
    <w:rsid w:val="00290D22"/>
    <w:rsid w:val="00290D66"/>
    <w:rsid w:val="00290E0D"/>
    <w:rsid w:val="00290E93"/>
    <w:rsid w:val="00290EC2"/>
    <w:rsid w:val="00290F70"/>
    <w:rsid w:val="00290FE3"/>
    <w:rsid w:val="00291031"/>
    <w:rsid w:val="0029103C"/>
    <w:rsid w:val="002910A1"/>
    <w:rsid w:val="00291236"/>
    <w:rsid w:val="00291338"/>
    <w:rsid w:val="00291372"/>
    <w:rsid w:val="0029143F"/>
    <w:rsid w:val="0029144E"/>
    <w:rsid w:val="002914CE"/>
    <w:rsid w:val="002914FF"/>
    <w:rsid w:val="002916F1"/>
    <w:rsid w:val="002917EB"/>
    <w:rsid w:val="002917EC"/>
    <w:rsid w:val="00291A95"/>
    <w:rsid w:val="00291AB8"/>
    <w:rsid w:val="00291ABD"/>
    <w:rsid w:val="00291ABF"/>
    <w:rsid w:val="00291CE4"/>
    <w:rsid w:val="00291CE9"/>
    <w:rsid w:val="00291E42"/>
    <w:rsid w:val="00291E72"/>
    <w:rsid w:val="002920D8"/>
    <w:rsid w:val="002922CE"/>
    <w:rsid w:val="00292357"/>
    <w:rsid w:val="00292474"/>
    <w:rsid w:val="00292516"/>
    <w:rsid w:val="002926D6"/>
    <w:rsid w:val="002926F5"/>
    <w:rsid w:val="002927E9"/>
    <w:rsid w:val="00292882"/>
    <w:rsid w:val="002929A3"/>
    <w:rsid w:val="00292A30"/>
    <w:rsid w:val="00292AE7"/>
    <w:rsid w:val="00292B5E"/>
    <w:rsid w:val="00292E06"/>
    <w:rsid w:val="00292E9B"/>
    <w:rsid w:val="00292F04"/>
    <w:rsid w:val="00292F22"/>
    <w:rsid w:val="00292F4E"/>
    <w:rsid w:val="002932FD"/>
    <w:rsid w:val="00293380"/>
    <w:rsid w:val="00293394"/>
    <w:rsid w:val="002933E9"/>
    <w:rsid w:val="00293438"/>
    <w:rsid w:val="0029351E"/>
    <w:rsid w:val="002935AA"/>
    <w:rsid w:val="00293602"/>
    <w:rsid w:val="002937A6"/>
    <w:rsid w:val="002937B5"/>
    <w:rsid w:val="00293875"/>
    <w:rsid w:val="00293AEE"/>
    <w:rsid w:val="00293AFD"/>
    <w:rsid w:val="00293B69"/>
    <w:rsid w:val="00293B9A"/>
    <w:rsid w:val="00293CED"/>
    <w:rsid w:val="00293E42"/>
    <w:rsid w:val="00293E88"/>
    <w:rsid w:val="00294381"/>
    <w:rsid w:val="002945D4"/>
    <w:rsid w:val="0029470D"/>
    <w:rsid w:val="002947FB"/>
    <w:rsid w:val="002949A9"/>
    <w:rsid w:val="00294A00"/>
    <w:rsid w:val="00294A4D"/>
    <w:rsid w:val="00294B22"/>
    <w:rsid w:val="00294B4C"/>
    <w:rsid w:val="00294BCC"/>
    <w:rsid w:val="00294E5D"/>
    <w:rsid w:val="00294E82"/>
    <w:rsid w:val="00294ECA"/>
    <w:rsid w:val="00294ECC"/>
    <w:rsid w:val="00294F22"/>
    <w:rsid w:val="00294FB7"/>
    <w:rsid w:val="0029517D"/>
    <w:rsid w:val="0029519B"/>
    <w:rsid w:val="002951FD"/>
    <w:rsid w:val="00295201"/>
    <w:rsid w:val="00295224"/>
    <w:rsid w:val="00295268"/>
    <w:rsid w:val="002952FE"/>
    <w:rsid w:val="0029533F"/>
    <w:rsid w:val="002953D1"/>
    <w:rsid w:val="002953DC"/>
    <w:rsid w:val="002954C6"/>
    <w:rsid w:val="00295660"/>
    <w:rsid w:val="0029578E"/>
    <w:rsid w:val="0029580B"/>
    <w:rsid w:val="002958B7"/>
    <w:rsid w:val="002958FE"/>
    <w:rsid w:val="00295901"/>
    <w:rsid w:val="0029591D"/>
    <w:rsid w:val="00295AFB"/>
    <w:rsid w:val="00295B99"/>
    <w:rsid w:val="00295D27"/>
    <w:rsid w:val="00295F63"/>
    <w:rsid w:val="00295FB8"/>
    <w:rsid w:val="00296102"/>
    <w:rsid w:val="0029613C"/>
    <w:rsid w:val="002961D1"/>
    <w:rsid w:val="00296205"/>
    <w:rsid w:val="00296258"/>
    <w:rsid w:val="0029636D"/>
    <w:rsid w:val="002963D5"/>
    <w:rsid w:val="0029642C"/>
    <w:rsid w:val="002964D7"/>
    <w:rsid w:val="002965AE"/>
    <w:rsid w:val="002965B4"/>
    <w:rsid w:val="00296917"/>
    <w:rsid w:val="00296967"/>
    <w:rsid w:val="00296C3B"/>
    <w:rsid w:val="00296F11"/>
    <w:rsid w:val="00296F5C"/>
    <w:rsid w:val="00296F63"/>
    <w:rsid w:val="00296F6D"/>
    <w:rsid w:val="00296FA3"/>
    <w:rsid w:val="00296FA9"/>
    <w:rsid w:val="00297074"/>
    <w:rsid w:val="002970C4"/>
    <w:rsid w:val="002971BD"/>
    <w:rsid w:val="00297226"/>
    <w:rsid w:val="00297291"/>
    <w:rsid w:val="002972AB"/>
    <w:rsid w:val="0029732B"/>
    <w:rsid w:val="002978F9"/>
    <w:rsid w:val="00297A29"/>
    <w:rsid w:val="00297C15"/>
    <w:rsid w:val="00297CB1"/>
    <w:rsid w:val="00297D5C"/>
    <w:rsid w:val="00297E34"/>
    <w:rsid w:val="00297F79"/>
    <w:rsid w:val="00297FAC"/>
    <w:rsid w:val="002A0170"/>
    <w:rsid w:val="002A01E8"/>
    <w:rsid w:val="002A01F7"/>
    <w:rsid w:val="002A0221"/>
    <w:rsid w:val="002A02BC"/>
    <w:rsid w:val="002A0315"/>
    <w:rsid w:val="002A04B8"/>
    <w:rsid w:val="002A04E9"/>
    <w:rsid w:val="002A053E"/>
    <w:rsid w:val="002A0545"/>
    <w:rsid w:val="002A06AD"/>
    <w:rsid w:val="002A081E"/>
    <w:rsid w:val="002A092E"/>
    <w:rsid w:val="002A09FC"/>
    <w:rsid w:val="002A0A26"/>
    <w:rsid w:val="002A0B7B"/>
    <w:rsid w:val="002A0D52"/>
    <w:rsid w:val="002A0D60"/>
    <w:rsid w:val="002A0DE9"/>
    <w:rsid w:val="002A0E17"/>
    <w:rsid w:val="002A0F64"/>
    <w:rsid w:val="002A0FB8"/>
    <w:rsid w:val="002A100F"/>
    <w:rsid w:val="002A109E"/>
    <w:rsid w:val="002A10F5"/>
    <w:rsid w:val="002A1147"/>
    <w:rsid w:val="002A128F"/>
    <w:rsid w:val="002A1427"/>
    <w:rsid w:val="002A15AC"/>
    <w:rsid w:val="002A15E8"/>
    <w:rsid w:val="002A16F0"/>
    <w:rsid w:val="002A170C"/>
    <w:rsid w:val="002A1754"/>
    <w:rsid w:val="002A1792"/>
    <w:rsid w:val="002A17C4"/>
    <w:rsid w:val="002A18B6"/>
    <w:rsid w:val="002A18BE"/>
    <w:rsid w:val="002A18FC"/>
    <w:rsid w:val="002A1923"/>
    <w:rsid w:val="002A1BD6"/>
    <w:rsid w:val="002A1DA4"/>
    <w:rsid w:val="002A1DE2"/>
    <w:rsid w:val="002A1E93"/>
    <w:rsid w:val="002A1EB8"/>
    <w:rsid w:val="002A1F4A"/>
    <w:rsid w:val="002A1F9A"/>
    <w:rsid w:val="002A202B"/>
    <w:rsid w:val="002A21BE"/>
    <w:rsid w:val="002A2227"/>
    <w:rsid w:val="002A23EC"/>
    <w:rsid w:val="002A2488"/>
    <w:rsid w:val="002A2516"/>
    <w:rsid w:val="002A2797"/>
    <w:rsid w:val="002A27BD"/>
    <w:rsid w:val="002A283A"/>
    <w:rsid w:val="002A2962"/>
    <w:rsid w:val="002A2DC4"/>
    <w:rsid w:val="002A2F40"/>
    <w:rsid w:val="002A2F45"/>
    <w:rsid w:val="002A2FB6"/>
    <w:rsid w:val="002A303B"/>
    <w:rsid w:val="002A309E"/>
    <w:rsid w:val="002A3142"/>
    <w:rsid w:val="002A3168"/>
    <w:rsid w:val="002A319D"/>
    <w:rsid w:val="002A31C9"/>
    <w:rsid w:val="002A31E1"/>
    <w:rsid w:val="002A322B"/>
    <w:rsid w:val="002A32BD"/>
    <w:rsid w:val="002A339A"/>
    <w:rsid w:val="002A33A2"/>
    <w:rsid w:val="002A33EB"/>
    <w:rsid w:val="002A349F"/>
    <w:rsid w:val="002A350D"/>
    <w:rsid w:val="002A360D"/>
    <w:rsid w:val="002A365E"/>
    <w:rsid w:val="002A3803"/>
    <w:rsid w:val="002A383A"/>
    <w:rsid w:val="002A394C"/>
    <w:rsid w:val="002A3A23"/>
    <w:rsid w:val="002A3AE2"/>
    <w:rsid w:val="002A3B23"/>
    <w:rsid w:val="002A3C59"/>
    <w:rsid w:val="002A3C71"/>
    <w:rsid w:val="002A3CF6"/>
    <w:rsid w:val="002A3E04"/>
    <w:rsid w:val="002A3E77"/>
    <w:rsid w:val="002A3E8E"/>
    <w:rsid w:val="002A3EEB"/>
    <w:rsid w:val="002A3F1C"/>
    <w:rsid w:val="002A3F8A"/>
    <w:rsid w:val="002A3FD7"/>
    <w:rsid w:val="002A40B0"/>
    <w:rsid w:val="002A415E"/>
    <w:rsid w:val="002A4201"/>
    <w:rsid w:val="002A43A7"/>
    <w:rsid w:val="002A4411"/>
    <w:rsid w:val="002A4442"/>
    <w:rsid w:val="002A4508"/>
    <w:rsid w:val="002A4576"/>
    <w:rsid w:val="002A4592"/>
    <w:rsid w:val="002A465F"/>
    <w:rsid w:val="002A4660"/>
    <w:rsid w:val="002A4818"/>
    <w:rsid w:val="002A486F"/>
    <w:rsid w:val="002A497B"/>
    <w:rsid w:val="002A49C7"/>
    <w:rsid w:val="002A4A55"/>
    <w:rsid w:val="002A4AF2"/>
    <w:rsid w:val="002A4B41"/>
    <w:rsid w:val="002A4B76"/>
    <w:rsid w:val="002A4B94"/>
    <w:rsid w:val="002A4BB2"/>
    <w:rsid w:val="002A4BC8"/>
    <w:rsid w:val="002A4D2F"/>
    <w:rsid w:val="002A4E47"/>
    <w:rsid w:val="002A4F50"/>
    <w:rsid w:val="002A4FE5"/>
    <w:rsid w:val="002A523F"/>
    <w:rsid w:val="002A5273"/>
    <w:rsid w:val="002A536E"/>
    <w:rsid w:val="002A5406"/>
    <w:rsid w:val="002A5493"/>
    <w:rsid w:val="002A54C6"/>
    <w:rsid w:val="002A5562"/>
    <w:rsid w:val="002A5591"/>
    <w:rsid w:val="002A57D1"/>
    <w:rsid w:val="002A5965"/>
    <w:rsid w:val="002A5972"/>
    <w:rsid w:val="002A597D"/>
    <w:rsid w:val="002A5A20"/>
    <w:rsid w:val="002A5A6D"/>
    <w:rsid w:val="002A5A92"/>
    <w:rsid w:val="002A5C33"/>
    <w:rsid w:val="002A5C6A"/>
    <w:rsid w:val="002A5D35"/>
    <w:rsid w:val="002A5D81"/>
    <w:rsid w:val="002A5E1A"/>
    <w:rsid w:val="002A5E85"/>
    <w:rsid w:val="002A5EF6"/>
    <w:rsid w:val="002A5FDB"/>
    <w:rsid w:val="002A6220"/>
    <w:rsid w:val="002A6293"/>
    <w:rsid w:val="002A62CD"/>
    <w:rsid w:val="002A6423"/>
    <w:rsid w:val="002A65A2"/>
    <w:rsid w:val="002A65B4"/>
    <w:rsid w:val="002A6751"/>
    <w:rsid w:val="002A689A"/>
    <w:rsid w:val="002A6933"/>
    <w:rsid w:val="002A6958"/>
    <w:rsid w:val="002A6AED"/>
    <w:rsid w:val="002A6AFD"/>
    <w:rsid w:val="002A6BFF"/>
    <w:rsid w:val="002A6C30"/>
    <w:rsid w:val="002A6D70"/>
    <w:rsid w:val="002A6E1D"/>
    <w:rsid w:val="002A6EBB"/>
    <w:rsid w:val="002A6EBE"/>
    <w:rsid w:val="002A6ED3"/>
    <w:rsid w:val="002A6F6D"/>
    <w:rsid w:val="002A71B1"/>
    <w:rsid w:val="002A732B"/>
    <w:rsid w:val="002A754E"/>
    <w:rsid w:val="002A7564"/>
    <w:rsid w:val="002A7583"/>
    <w:rsid w:val="002A7673"/>
    <w:rsid w:val="002A76FA"/>
    <w:rsid w:val="002A77F8"/>
    <w:rsid w:val="002A7968"/>
    <w:rsid w:val="002A7AAD"/>
    <w:rsid w:val="002A7B4B"/>
    <w:rsid w:val="002A7BD0"/>
    <w:rsid w:val="002A7C59"/>
    <w:rsid w:val="002A7CF7"/>
    <w:rsid w:val="002A7E05"/>
    <w:rsid w:val="002A7ECE"/>
    <w:rsid w:val="002A7EE5"/>
    <w:rsid w:val="002A7FD1"/>
    <w:rsid w:val="002B0296"/>
    <w:rsid w:val="002B02AD"/>
    <w:rsid w:val="002B030F"/>
    <w:rsid w:val="002B0355"/>
    <w:rsid w:val="002B048D"/>
    <w:rsid w:val="002B056C"/>
    <w:rsid w:val="002B06CA"/>
    <w:rsid w:val="002B0717"/>
    <w:rsid w:val="002B078C"/>
    <w:rsid w:val="002B0856"/>
    <w:rsid w:val="002B09A6"/>
    <w:rsid w:val="002B09B1"/>
    <w:rsid w:val="002B09CB"/>
    <w:rsid w:val="002B0A2A"/>
    <w:rsid w:val="002B0A2D"/>
    <w:rsid w:val="002B0B06"/>
    <w:rsid w:val="002B0C12"/>
    <w:rsid w:val="002B0C78"/>
    <w:rsid w:val="002B0DF5"/>
    <w:rsid w:val="002B0E4A"/>
    <w:rsid w:val="002B0F73"/>
    <w:rsid w:val="002B0F80"/>
    <w:rsid w:val="002B10F3"/>
    <w:rsid w:val="002B1124"/>
    <w:rsid w:val="002B11B4"/>
    <w:rsid w:val="002B12C0"/>
    <w:rsid w:val="002B12FE"/>
    <w:rsid w:val="002B144E"/>
    <w:rsid w:val="002B1455"/>
    <w:rsid w:val="002B15F8"/>
    <w:rsid w:val="002B161F"/>
    <w:rsid w:val="002B166A"/>
    <w:rsid w:val="002B16B5"/>
    <w:rsid w:val="002B1886"/>
    <w:rsid w:val="002B19CD"/>
    <w:rsid w:val="002B19DE"/>
    <w:rsid w:val="002B1A62"/>
    <w:rsid w:val="002B1B25"/>
    <w:rsid w:val="002B1C54"/>
    <w:rsid w:val="002B1DB5"/>
    <w:rsid w:val="002B1DC2"/>
    <w:rsid w:val="002B1E72"/>
    <w:rsid w:val="002B1FC5"/>
    <w:rsid w:val="002B20CA"/>
    <w:rsid w:val="002B20D3"/>
    <w:rsid w:val="002B210D"/>
    <w:rsid w:val="002B2162"/>
    <w:rsid w:val="002B21A1"/>
    <w:rsid w:val="002B247C"/>
    <w:rsid w:val="002B252D"/>
    <w:rsid w:val="002B253E"/>
    <w:rsid w:val="002B25B8"/>
    <w:rsid w:val="002B2A36"/>
    <w:rsid w:val="002B2B31"/>
    <w:rsid w:val="002B2B89"/>
    <w:rsid w:val="002B2C8A"/>
    <w:rsid w:val="002B2CA0"/>
    <w:rsid w:val="002B2CB0"/>
    <w:rsid w:val="002B2CCC"/>
    <w:rsid w:val="002B2D67"/>
    <w:rsid w:val="002B2F14"/>
    <w:rsid w:val="002B2F21"/>
    <w:rsid w:val="002B2FEC"/>
    <w:rsid w:val="002B3048"/>
    <w:rsid w:val="002B30AF"/>
    <w:rsid w:val="002B310E"/>
    <w:rsid w:val="002B316E"/>
    <w:rsid w:val="002B31A8"/>
    <w:rsid w:val="002B31F7"/>
    <w:rsid w:val="002B3247"/>
    <w:rsid w:val="002B34BF"/>
    <w:rsid w:val="002B3629"/>
    <w:rsid w:val="002B36C9"/>
    <w:rsid w:val="002B3701"/>
    <w:rsid w:val="002B37A9"/>
    <w:rsid w:val="002B37C3"/>
    <w:rsid w:val="002B3895"/>
    <w:rsid w:val="002B3937"/>
    <w:rsid w:val="002B3942"/>
    <w:rsid w:val="002B3ABF"/>
    <w:rsid w:val="002B3AE2"/>
    <w:rsid w:val="002B3B6C"/>
    <w:rsid w:val="002B3B8C"/>
    <w:rsid w:val="002B3C2E"/>
    <w:rsid w:val="002B3CF5"/>
    <w:rsid w:val="002B3D1A"/>
    <w:rsid w:val="002B3E94"/>
    <w:rsid w:val="002B3EB9"/>
    <w:rsid w:val="002B3EFF"/>
    <w:rsid w:val="002B3F48"/>
    <w:rsid w:val="002B405F"/>
    <w:rsid w:val="002B40DF"/>
    <w:rsid w:val="002B4157"/>
    <w:rsid w:val="002B423B"/>
    <w:rsid w:val="002B42E2"/>
    <w:rsid w:val="002B4341"/>
    <w:rsid w:val="002B4418"/>
    <w:rsid w:val="002B444C"/>
    <w:rsid w:val="002B44F9"/>
    <w:rsid w:val="002B475E"/>
    <w:rsid w:val="002B47E4"/>
    <w:rsid w:val="002B4973"/>
    <w:rsid w:val="002B4A02"/>
    <w:rsid w:val="002B4ADE"/>
    <w:rsid w:val="002B4B11"/>
    <w:rsid w:val="002B4C02"/>
    <w:rsid w:val="002B4C3C"/>
    <w:rsid w:val="002B4D65"/>
    <w:rsid w:val="002B4E2C"/>
    <w:rsid w:val="002B4F44"/>
    <w:rsid w:val="002B4FB1"/>
    <w:rsid w:val="002B5054"/>
    <w:rsid w:val="002B50B4"/>
    <w:rsid w:val="002B51C4"/>
    <w:rsid w:val="002B5389"/>
    <w:rsid w:val="002B53B9"/>
    <w:rsid w:val="002B5486"/>
    <w:rsid w:val="002B5638"/>
    <w:rsid w:val="002B5936"/>
    <w:rsid w:val="002B5A48"/>
    <w:rsid w:val="002B5B1B"/>
    <w:rsid w:val="002B5D41"/>
    <w:rsid w:val="002B5DAB"/>
    <w:rsid w:val="002B5DB7"/>
    <w:rsid w:val="002B5E27"/>
    <w:rsid w:val="002B5E74"/>
    <w:rsid w:val="002B5EAE"/>
    <w:rsid w:val="002B5EC4"/>
    <w:rsid w:val="002B5F37"/>
    <w:rsid w:val="002B5F7F"/>
    <w:rsid w:val="002B6027"/>
    <w:rsid w:val="002B61D6"/>
    <w:rsid w:val="002B626C"/>
    <w:rsid w:val="002B626F"/>
    <w:rsid w:val="002B6299"/>
    <w:rsid w:val="002B63D0"/>
    <w:rsid w:val="002B6472"/>
    <w:rsid w:val="002B6576"/>
    <w:rsid w:val="002B668A"/>
    <w:rsid w:val="002B66F0"/>
    <w:rsid w:val="002B6740"/>
    <w:rsid w:val="002B696D"/>
    <w:rsid w:val="002B6982"/>
    <w:rsid w:val="002B6BEB"/>
    <w:rsid w:val="002B6BF2"/>
    <w:rsid w:val="002B6C35"/>
    <w:rsid w:val="002B6C78"/>
    <w:rsid w:val="002B6C8C"/>
    <w:rsid w:val="002B6D08"/>
    <w:rsid w:val="002B6DA8"/>
    <w:rsid w:val="002B6DDB"/>
    <w:rsid w:val="002B6DE1"/>
    <w:rsid w:val="002B6EE1"/>
    <w:rsid w:val="002B6F8A"/>
    <w:rsid w:val="002B7031"/>
    <w:rsid w:val="002B7060"/>
    <w:rsid w:val="002B70FD"/>
    <w:rsid w:val="002B7195"/>
    <w:rsid w:val="002B72D3"/>
    <w:rsid w:val="002B72DB"/>
    <w:rsid w:val="002B73AF"/>
    <w:rsid w:val="002B73E5"/>
    <w:rsid w:val="002B75C6"/>
    <w:rsid w:val="002B75F8"/>
    <w:rsid w:val="002B7684"/>
    <w:rsid w:val="002B7689"/>
    <w:rsid w:val="002B7698"/>
    <w:rsid w:val="002B7763"/>
    <w:rsid w:val="002B7822"/>
    <w:rsid w:val="002B789F"/>
    <w:rsid w:val="002B79DD"/>
    <w:rsid w:val="002B79DE"/>
    <w:rsid w:val="002B7A6D"/>
    <w:rsid w:val="002B7A87"/>
    <w:rsid w:val="002B7B2E"/>
    <w:rsid w:val="002B7B59"/>
    <w:rsid w:val="002B7C98"/>
    <w:rsid w:val="002B7CA0"/>
    <w:rsid w:val="002B7CA8"/>
    <w:rsid w:val="002B7CBB"/>
    <w:rsid w:val="002B7DC7"/>
    <w:rsid w:val="002B7E4B"/>
    <w:rsid w:val="002B7E8E"/>
    <w:rsid w:val="002B7ED9"/>
    <w:rsid w:val="002B7F00"/>
    <w:rsid w:val="002C0082"/>
    <w:rsid w:val="002C00BF"/>
    <w:rsid w:val="002C036E"/>
    <w:rsid w:val="002C03FD"/>
    <w:rsid w:val="002C0475"/>
    <w:rsid w:val="002C067A"/>
    <w:rsid w:val="002C0798"/>
    <w:rsid w:val="002C089D"/>
    <w:rsid w:val="002C08C8"/>
    <w:rsid w:val="002C0990"/>
    <w:rsid w:val="002C09C9"/>
    <w:rsid w:val="002C0A19"/>
    <w:rsid w:val="002C0AEA"/>
    <w:rsid w:val="002C0B2A"/>
    <w:rsid w:val="002C0CB7"/>
    <w:rsid w:val="002C0D05"/>
    <w:rsid w:val="002C0D20"/>
    <w:rsid w:val="002C0DA2"/>
    <w:rsid w:val="002C1041"/>
    <w:rsid w:val="002C104C"/>
    <w:rsid w:val="002C106A"/>
    <w:rsid w:val="002C1191"/>
    <w:rsid w:val="002C12A9"/>
    <w:rsid w:val="002C12FB"/>
    <w:rsid w:val="002C145A"/>
    <w:rsid w:val="002C163B"/>
    <w:rsid w:val="002C166E"/>
    <w:rsid w:val="002C167B"/>
    <w:rsid w:val="002C189E"/>
    <w:rsid w:val="002C18B2"/>
    <w:rsid w:val="002C18F3"/>
    <w:rsid w:val="002C1945"/>
    <w:rsid w:val="002C1948"/>
    <w:rsid w:val="002C19E9"/>
    <w:rsid w:val="002C1A64"/>
    <w:rsid w:val="002C1AC5"/>
    <w:rsid w:val="002C1C16"/>
    <w:rsid w:val="002C1E06"/>
    <w:rsid w:val="002C1E0E"/>
    <w:rsid w:val="002C1F73"/>
    <w:rsid w:val="002C20B8"/>
    <w:rsid w:val="002C20DB"/>
    <w:rsid w:val="002C20DC"/>
    <w:rsid w:val="002C2212"/>
    <w:rsid w:val="002C234B"/>
    <w:rsid w:val="002C239F"/>
    <w:rsid w:val="002C24F2"/>
    <w:rsid w:val="002C25D8"/>
    <w:rsid w:val="002C261D"/>
    <w:rsid w:val="002C2621"/>
    <w:rsid w:val="002C28B7"/>
    <w:rsid w:val="002C2C08"/>
    <w:rsid w:val="002C2C25"/>
    <w:rsid w:val="002C2C56"/>
    <w:rsid w:val="002C2C61"/>
    <w:rsid w:val="002C2C91"/>
    <w:rsid w:val="002C2C94"/>
    <w:rsid w:val="002C2D04"/>
    <w:rsid w:val="002C2DAC"/>
    <w:rsid w:val="002C2DB9"/>
    <w:rsid w:val="002C2FC5"/>
    <w:rsid w:val="002C2FDD"/>
    <w:rsid w:val="002C3045"/>
    <w:rsid w:val="002C3096"/>
    <w:rsid w:val="002C3175"/>
    <w:rsid w:val="002C31A3"/>
    <w:rsid w:val="002C31E0"/>
    <w:rsid w:val="002C349F"/>
    <w:rsid w:val="002C34D5"/>
    <w:rsid w:val="002C351C"/>
    <w:rsid w:val="002C36BA"/>
    <w:rsid w:val="002C3769"/>
    <w:rsid w:val="002C3804"/>
    <w:rsid w:val="002C396B"/>
    <w:rsid w:val="002C3A2A"/>
    <w:rsid w:val="002C3A3D"/>
    <w:rsid w:val="002C3AC5"/>
    <w:rsid w:val="002C3BAA"/>
    <w:rsid w:val="002C3BAF"/>
    <w:rsid w:val="002C3C45"/>
    <w:rsid w:val="002C3CBD"/>
    <w:rsid w:val="002C3D6E"/>
    <w:rsid w:val="002C3D81"/>
    <w:rsid w:val="002C3E33"/>
    <w:rsid w:val="002C3E39"/>
    <w:rsid w:val="002C3F12"/>
    <w:rsid w:val="002C40A8"/>
    <w:rsid w:val="002C40EC"/>
    <w:rsid w:val="002C4144"/>
    <w:rsid w:val="002C4244"/>
    <w:rsid w:val="002C427E"/>
    <w:rsid w:val="002C4320"/>
    <w:rsid w:val="002C43A0"/>
    <w:rsid w:val="002C4429"/>
    <w:rsid w:val="002C44B9"/>
    <w:rsid w:val="002C4567"/>
    <w:rsid w:val="002C4577"/>
    <w:rsid w:val="002C458E"/>
    <w:rsid w:val="002C45C8"/>
    <w:rsid w:val="002C4622"/>
    <w:rsid w:val="002C4668"/>
    <w:rsid w:val="002C46C6"/>
    <w:rsid w:val="002C4740"/>
    <w:rsid w:val="002C4791"/>
    <w:rsid w:val="002C4A40"/>
    <w:rsid w:val="002C4A59"/>
    <w:rsid w:val="002C4ADB"/>
    <w:rsid w:val="002C4AF3"/>
    <w:rsid w:val="002C4B83"/>
    <w:rsid w:val="002C4BB5"/>
    <w:rsid w:val="002C4BB9"/>
    <w:rsid w:val="002C4CA5"/>
    <w:rsid w:val="002C4CB1"/>
    <w:rsid w:val="002C4E2D"/>
    <w:rsid w:val="002C4E42"/>
    <w:rsid w:val="002C4ED6"/>
    <w:rsid w:val="002C4F44"/>
    <w:rsid w:val="002C4FCB"/>
    <w:rsid w:val="002C4FD7"/>
    <w:rsid w:val="002C4FEA"/>
    <w:rsid w:val="002C5204"/>
    <w:rsid w:val="002C52D8"/>
    <w:rsid w:val="002C5556"/>
    <w:rsid w:val="002C57D9"/>
    <w:rsid w:val="002C589C"/>
    <w:rsid w:val="002C593D"/>
    <w:rsid w:val="002C5976"/>
    <w:rsid w:val="002C5A2D"/>
    <w:rsid w:val="002C5A63"/>
    <w:rsid w:val="002C5A9A"/>
    <w:rsid w:val="002C5C13"/>
    <w:rsid w:val="002C5F6F"/>
    <w:rsid w:val="002C6091"/>
    <w:rsid w:val="002C6107"/>
    <w:rsid w:val="002C6139"/>
    <w:rsid w:val="002C6143"/>
    <w:rsid w:val="002C6348"/>
    <w:rsid w:val="002C6523"/>
    <w:rsid w:val="002C6753"/>
    <w:rsid w:val="002C68BE"/>
    <w:rsid w:val="002C6958"/>
    <w:rsid w:val="002C6996"/>
    <w:rsid w:val="002C6A0C"/>
    <w:rsid w:val="002C6B87"/>
    <w:rsid w:val="002C6C9E"/>
    <w:rsid w:val="002C6C9F"/>
    <w:rsid w:val="002C6D44"/>
    <w:rsid w:val="002C6D46"/>
    <w:rsid w:val="002C6DB7"/>
    <w:rsid w:val="002C6E84"/>
    <w:rsid w:val="002C6FD8"/>
    <w:rsid w:val="002C7024"/>
    <w:rsid w:val="002C7110"/>
    <w:rsid w:val="002C711F"/>
    <w:rsid w:val="002C7149"/>
    <w:rsid w:val="002C71D9"/>
    <w:rsid w:val="002C72CA"/>
    <w:rsid w:val="002C73FC"/>
    <w:rsid w:val="002C7409"/>
    <w:rsid w:val="002C75DB"/>
    <w:rsid w:val="002C75ED"/>
    <w:rsid w:val="002C76B8"/>
    <w:rsid w:val="002C77BF"/>
    <w:rsid w:val="002C7844"/>
    <w:rsid w:val="002C79FA"/>
    <w:rsid w:val="002C7ABC"/>
    <w:rsid w:val="002C7AD8"/>
    <w:rsid w:val="002C7BAA"/>
    <w:rsid w:val="002C7CB1"/>
    <w:rsid w:val="002C7D22"/>
    <w:rsid w:val="002C7D56"/>
    <w:rsid w:val="002C7D73"/>
    <w:rsid w:val="002C7F0E"/>
    <w:rsid w:val="002C7F5B"/>
    <w:rsid w:val="002C7FD0"/>
    <w:rsid w:val="002D003E"/>
    <w:rsid w:val="002D00E9"/>
    <w:rsid w:val="002D0111"/>
    <w:rsid w:val="002D0175"/>
    <w:rsid w:val="002D01C8"/>
    <w:rsid w:val="002D0275"/>
    <w:rsid w:val="002D0327"/>
    <w:rsid w:val="002D0456"/>
    <w:rsid w:val="002D04E7"/>
    <w:rsid w:val="002D050D"/>
    <w:rsid w:val="002D05FD"/>
    <w:rsid w:val="002D06F8"/>
    <w:rsid w:val="002D0773"/>
    <w:rsid w:val="002D07AA"/>
    <w:rsid w:val="002D08DA"/>
    <w:rsid w:val="002D0B28"/>
    <w:rsid w:val="002D0B56"/>
    <w:rsid w:val="002D0B7D"/>
    <w:rsid w:val="002D0BA8"/>
    <w:rsid w:val="002D0C78"/>
    <w:rsid w:val="002D0CCB"/>
    <w:rsid w:val="002D0D8D"/>
    <w:rsid w:val="002D1444"/>
    <w:rsid w:val="002D147C"/>
    <w:rsid w:val="002D1576"/>
    <w:rsid w:val="002D1793"/>
    <w:rsid w:val="002D17D1"/>
    <w:rsid w:val="002D1833"/>
    <w:rsid w:val="002D186E"/>
    <w:rsid w:val="002D1903"/>
    <w:rsid w:val="002D192C"/>
    <w:rsid w:val="002D1982"/>
    <w:rsid w:val="002D19FD"/>
    <w:rsid w:val="002D1AAA"/>
    <w:rsid w:val="002D1B4E"/>
    <w:rsid w:val="002D1D3E"/>
    <w:rsid w:val="002D1D40"/>
    <w:rsid w:val="002D1EF8"/>
    <w:rsid w:val="002D1F83"/>
    <w:rsid w:val="002D209A"/>
    <w:rsid w:val="002D21A6"/>
    <w:rsid w:val="002D229C"/>
    <w:rsid w:val="002D22CA"/>
    <w:rsid w:val="002D22F4"/>
    <w:rsid w:val="002D2461"/>
    <w:rsid w:val="002D24D8"/>
    <w:rsid w:val="002D24FE"/>
    <w:rsid w:val="002D2552"/>
    <w:rsid w:val="002D2561"/>
    <w:rsid w:val="002D2591"/>
    <w:rsid w:val="002D26A5"/>
    <w:rsid w:val="002D2737"/>
    <w:rsid w:val="002D2742"/>
    <w:rsid w:val="002D2781"/>
    <w:rsid w:val="002D2833"/>
    <w:rsid w:val="002D289E"/>
    <w:rsid w:val="002D28BB"/>
    <w:rsid w:val="002D2A03"/>
    <w:rsid w:val="002D2A28"/>
    <w:rsid w:val="002D2BF0"/>
    <w:rsid w:val="002D2C22"/>
    <w:rsid w:val="002D2C2D"/>
    <w:rsid w:val="002D2CA9"/>
    <w:rsid w:val="002D2D1F"/>
    <w:rsid w:val="002D2DA2"/>
    <w:rsid w:val="002D2DE9"/>
    <w:rsid w:val="002D2ED8"/>
    <w:rsid w:val="002D2F89"/>
    <w:rsid w:val="002D2FA3"/>
    <w:rsid w:val="002D30F7"/>
    <w:rsid w:val="002D3133"/>
    <w:rsid w:val="002D3195"/>
    <w:rsid w:val="002D3267"/>
    <w:rsid w:val="002D32C5"/>
    <w:rsid w:val="002D33FF"/>
    <w:rsid w:val="002D3553"/>
    <w:rsid w:val="002D35CD"/>
    <w:rsid w:val="002D3600"/>
    <w:rsid w:val="002D36CF"/>
    <w:rsid w:val="002D36D3"/>
    <w:rsid w:val="002D3773"/>
    <w:rsid w:val="002D3797"/>
    <w:rsid w:val="002D37AE"/>
    <w:rsid w:val="002D37F9"/>
    <w:rsid w:val="002D38FF"/>
    <w:rsid w:val="002D39F3"/>
    <w:rsid w:val="002D3A01"/>
    <w:rsid w:val="002D3A8B"/>
    <w:rsid w:val="002D3B1A"/>
    <w:rsid w:val="002D3C97"/>
    <w:rsid w:val="002D3D14"/>
    <w:rsid w:val="002D3DE9"/>
    <w:rsid w:val="002D3E8F"/>
    <w:rsid w:val="002D3EBD"/>
    <w:rsid w:val="002D3FBA"/>
    <w:rsid w:val="002D3FCD"/>
    <w:rsid w:val="002D3FF3"/>
    <w:rsid w:val="002D410D"/>
    <w:rsid w:val="002D4152"/>
    <w:rsid w:val="002D41A9"/>
    <w:rsid w:val="002D41C8"/>
    <w:rsid w:val="002D4307"/>
    <w:rsid w:val="002D4409"/>
    <w:rsid w:val="002D4675"/>
    <w:rsid w:val="002D4745"/>
    <w:rsid w:val="002D4898"/>
    <w:rsid w:val="002D48C1"/>
    <w:rsid w:val="002D4A19"/>
    <w:rsid w:val="002D4A6B"/>
    <w:rsid w:val="002D4BE6"/>
    <w:rsid w:val="002D4BF0"/>
    <w:rsid w:val="002D4BF7"/>
    <w:rsid w:val="002D4E61"/>
    <w:rsid w:val="002D4F97"/>
    <w:rsid w:val="002D4FD3"/>
    <w:rsid w:val="002D5061"/>
    <w:rsid w:val="002D5159"/>
    <w:rsid w:val="002D51E1"/>
    <w:rsid w:val="002D5208"/>
    <w:rsid w:val="002D5366"/>
    <w:rsid w:val="002D53D2"/>
    <w:rsid w:val="002D545A"/>
    <w:rsid w:val="002D54BC"/>
    <w:rsid w:val="002D54E0"/>
    <w:rsid w:val="002D5501"/>
    <w:rsid w:val="002D55A3"/>
    <w:rsid w:val="002D55E3"/>
    <w:rsid w:val="002D56C2"/>
    <w:rsid w:val="002D579D"/>
    <w:rsid w:val="002D592A"/>
    <w:rsid w:val="002D5948"/>
    <w:rsid w:val="002D5A26"/>
    <w:rsid w:val="002D5A64"/>
    <w:rsid w:val="002D5B55"/>
    <w:rsid w:val="002D5C0D"/>
    <w:rsid w:val="002D5DCB"/>
    <w:rsid w:val="002D5E6D"/>
    <w:rsid w:val="002D5F72"/>
    <w:rsid w:val="002D60E9"/>
    <w:rsid w:val="002D6151"/>
    <w:rsid w:val="002D617B"/>
    <w:rsid w:val="002D6244"/>
    <w:rsid w:val="002D62FA"/>
    <w:rsid w:val="002D63EE"/>
    <w:rsid w:val="002D666E"/>
    <w:rsid w:val="002D66AA"/>
    <w:rsid w:val="002D676F"/>
    <w:rsid w:val="002D6820"/>
    <w:rsid w:val="002D6891"/>
    <w:rsid w:val="002D693E"/>
    <w:rsid w:val="002D69C0"/>
    <w:rsid w:val="002D6A6E"/>
    <w:rsid w:val="002D6E90"/>
    <w:rsid w:val="002D6EBB"/>
    <w:rsid w:val="002D6F25"/>
    <w:rsid w:val="002D6F67"/>
    <w:rsid w:val="002D6FCE"/>
    <w:rsid w:val="002D7271"/>
    <w:rsid w:val="002D73BA"/>
    <w:rsid w:val="002D7492"/>
    <w:rsid w:val="002D75B8"/>
    <w:rsid w:val="002D767A"/>
    <w:rsid w:val="002D7702"/>
    <w:rsid w:val="002D77E9"/>
    <w:rsid w:val="002D783E"/>
    <w:rsid w:val="002D7861"/>
    <w:rsid w:val="002D7873"/>
    <w:rsid w:val="002D7922"/>
    <w:rsid w:val="002D79B2"/>
    <w:rsid w:val="002D79D9"/>
    <w:rsid w:val="002D7AC6"/>
    <w:rsid w:val="002D7ADE"/>
    <w:rsid w:val="002D7C60"/>
    <w:rsid w:val="002D7CA3"/>
    <w:rsid w:val="002D7DB3"/>
    <w:rsid w:val="002D7F50"/>
    <w:rsid w:val="002E0000"/>
    <w:rsid w:val="002E00E1"/>
    <w:rsid w:val="002E00E7"/>
    <w:rsid w:val="002E00E9"/>
    <w:rsid w:val="002E0204"/>
    <w:rsid w:val="002E0254"/>
    <w:rsid w:val="002E0453"/>
    <w:rsid w:val="002E0513"/>
    <w:rsid w:val="002E0517"/>
    <w:rsid w:val="002E0546"/>
    <w:rsid w:val="002E0611"/>
    <w:rsid w:val="002E0636"/>
    <w:rsid w:val="002E0664"/>
    <w:rsid w:val="002E0671"/>
    <w:rsid w:val="002E08FF"/>
    <w:rsid w:val="002E097F"/>
    <w:rsid w:val="002E0B4A"/>
    <w:rsid w:val="002E0B4B"/>
    <w:rsid w:val="002E0BCF"/>
    <w:rsid w:val="002E0C13"/>
    <w:rsid w:val="002E0C98"/>
    <w:rsid w:val="002E0CAF"/>
    <w:rsid w:val="002E0CCF"/>
    <w:rsid w:val="002E0FB5"/>
    <w:rsid w:val="002E10A5"/>
    <w:rsid w:val="002E10D5"/>
    <w:rsid w:val="002E1169"/>
    <w:rsid w:val="002E11B7"/>
    <w:rsid w:val="002E1278"/>
    <w:rsid w:val="002E12E7"/>
    <w:rsid w:val="002E1300"/>
    <w:rsid w:val="002E1328"/>
    <w:rsid w:val="002E133D"/>
    <w:rsid w:val="002E138A"/>
    <w:rsid w:val="002E1398"/>
    <w:rsid w:val="002E143E"/>
    <w:rsid w:val="002E146D"/>
    <w:rsid w:val="002E152D"/>
    <w:rsid w:val="002E1575"/>
    <w:rsid w:val="002E15B7"/>
    <w:rsid w:val="002E1708"/>
    <w:rsid w:val="002E17D8"/>
    <w:rsid w:val="002E192F"/>
    <w:rsid w:val="002E1943"/>
    <w:rsid w:val="002E1A8F"/>
    <w:rsid w:val="002E1B25"/>
    <w:rsid w:val="002E1DC7"/>
    <w:rsid w:val="002E1EBC"/>
    <w:rsid w:val="002E1EC6"/>
    <w:rsid w:val="002E1F11"/>
    <w:rsid w:val="002E2081"/>
    <w:rsid w:val="002E2086"/>
    <w:rsid w:val="002E21D2"/>
    <w:rsid w:val="002E2296"/>
    <w:rsid w:val="002E2310"/>
    <w:rsid w:val="002E258D"/>
    <w:rsid w:val="002E259C"/>
    <w:rsid w:val="002E25A1"/>
    <w:rsid w:val="002E2601"/>
    <w:rsid w:val="002E2863"/>
    <w:rsid w:val="002E28B2"/>
    <w:rsid w:val="002E299A"/>
    <w:rsid w:val="002E2A7F"/>
    <w:rsid w:val="002E2AA4"/>
    <w:rsid w:val="002E2ADE"/>
    <w:rsid w:val="002E2B9A"/>
    <w:rsid w:val="002E2BCF"/>
    <w:rsid w:val="002E2CAB"/>
    <w:rsid w:val="002E2D71"/>
    <w:rsid w:val="002E2DEA"/>
    <w:rsid w:val="002E2E4D"/>
    <w:rsid w:val="002E2E71"/>
    <w:rsid w:val="002E2FC8"/>
    <w:rsid w:val="002E3145"/>
    <w:rsid w:val="002E31C9"/>
    <w:rsid w:val="002E3357"/>
    <w:rsid w:val="002E336D"/>
    <w:rsid w:val="002E3381"/>
    <w:rsid w:val="002E3431"/>
    <w:rsid w:val="002E34AC"/>
    <w:rsid w:val="002E3727"/>
    <w:rsid w:val="002E3802"/>
    <w:rsid w:val="002E3B30"/>
    <w:rsid w:val="002E3BA1"/>
    <w:rsid w:val="002E3BBD"/>
    <w:rsid w:val="002E3BE5"/>
    <w:rsid w:val="002E3C07"/>
    <w:rsid w:val="002E3D75"/>
    <w:rsid w:val="002E4247"/>
    <w:rsid w:val="002E425A"/>
    <w:rsid w:val="002E425E"/>
    <w:rsid w:val="002E42AC"/>
    <w:rsid w:val="002E42B2"/>
    <w:rsid w:val="002E4328"/>
    <w:rsid w:val="002E43BB"/>
    <w:rsid w:val="002E449D"/>
    <w:rsid w:val="002E44B2"/>
    <w:rsid w:val="002E4658"/>
    <w:rsid w:val="002E465F"/>
    <w:rsid w:val="002E4665"/>
    <w:rsid w:val="002E4719"/>
    <w:rsid w:val="002E482C"/>
    <w:rsid w:val="002E4853"/>
    <w:rsid w:val="002E4BEB"/>
    <w:rsid w:val="002E4C41"/>
    <w:rsid w:val="002E4CE9"/>
    <w:rsid w:val="002E4E64"/>
    <w:rsid w:val="002E4E7E"/>
    <w:rsid w:val="002E514E"/>
    <w:rsid w:val="002E51D0"/>
    <w:rsid w:val="002E51E0"/>
    <w:rsid w:val="002E53AE"/>
    <w:rsid w:val="002E54C6"/>
    <w:rsid w:val="002E54E1"/>
    <w:rsid w:val="002E54F6"/>
    <w:rsid w:val="002E5557"/>
    <w:rsid w:val="002E55BC"/>
    <w:rsid w:val="002E55D6"/>
    <w:rsid w:val="002E5650"/>
    <w:rsid w:val="002E570F"/>
    <w:rsid w:val="002E57E2"/>
    <w:rsid w:val="002E5818"/>
    <w:rsid w:val="002E5825"/>
    <w:rsid w:val="002E5840"/>
    <w:rsid w:val="002E59F7"/>
    <w:rsid w:val="002E5AD0"/>
    <w:rsid w:val="002E5AF4"/>
    <w:rsid w:val="002E5AFA"/>
    <w:rsid w:val="002E5DD7"/>
    <w:rsid w:val="002E5E06"/>
    <w:rsid w:val="002E5E51"/>
    <w:rsid w:val="002E5F13"/>
    <w:rsid w:val="002E5F3F"/>
    <w:rsid w:val="002E5FCD"/>
    <w:rsid w:val="002E61DD"/>
    <w:rsid w:val="002E6290"/>
    <w:rsid w:val="002E62A2"/>
    <w:rsid w:val="002E62B8"/>
    <w:rsid w:val="002E62E5"/>
    <w:rsid w:val="002E64DF"/>
    <w:rsid w:val="002E6607"/>
    <w:rsid w:val="002E6687"/>
    <w:rsid w:val="002E68B0"/>
    <w:rsid w:val="002E68BD"/>
    <w:rsid w:val="002E69B2"/>
    <w:rsid w:val="002E6A54"/>
    <w:rsid w:val="002E6CF1"/>
    <w:rsid w:val="002E6D67"/>
    <w:rsid w:val="002E6DAE"/>
    <w:rsid w:val="002E6DEC"/>
    <w:rsid w:val="002E7055"/>
    <w:rsid w:val="002E71AC"/>
    <w:rsid w:val="002E72DA"/>
    <w:rsid w:val="002E754B"/>
    <w:rsid w:val="002E76FB"/>
    <w:rsid w:val="002E770C"/>
    <w:rsid w:val="002E793A"/>
    <w:rsid w:val="002E7A3E"/>
    <w:rsid w:val="002E7AF8"/>
    <w:rsid w:val="002E7C19"/>
    <w:rsid w:val="002E7CB0"/>
    <w:rsid w:val="002E7DC1"/>
    <w:rsid w:val="002E7F22"/>
    <w:rsid w:val="002E7F58"/>
    <w:rsid w:val="002E7F8F"/>
    <w:rsid w:val="002E7FF3"/>
    <w:rsid w:val="002F0022"/>
    <w:rsid w:val="002F0082"/>
    <w:rsid w:val="002F00A3"/>
    <w:rsid w:val="002F01C9"/>
    <w:rsid w:val="002F020C"/>
    <w:rsid w:val="002F026A"/>
    <w:rsid w:val="002F044D"/>
    <w:rsid w:val="002F0471"/>
    <w:rsid w:val="002F04A2"/>
    <w:rsid w:val="002F05D8"/>
    <w:rsid w:val="002F0637"/>
    <w:rsid w:val="002F06AC"/>
    <w:rsid w:val="002F084E"/>
    <w:rsid w:val="002F0A07"/>
    <w:rsid w:val="002F0A38"/>
    <w:rsid w:val="002F0B14"/>
    <w:rsid w:val="002F0C87"/>
    <w:rsid w:val="002F0DA9"/>
    <w:rsid w:val="002F0DC2"/>
    <w:rsid w:val="002F0E5C"/>
    <w:rsid w:val="002F0E9C"/>
    <w:rsid w:val="002F0EB3"/>
    <w:rsid w:val="002F1043"/>
    <w:rsid w:val="002F109A"/>
    <w:rsid w:val="002F11AE"/>
    <w:rsid w:val="002F11CC"/>
    <w:rsid w:val="002F1245"/>
    <w:rsid w:val="002F131B"/>
    <w:rsid w:val="002F1389"/>
    <w:rsid w:val="002F13A7"/>
    <w:rsid w:val="002F13E2"/>
    <w:rsid w:val="002F141F"/>
    <w:rsid w:val="002F1428"/>
    <w:rsid w:val="002F142B"/>
    <w:rsid w:val="002F145A"/>
    <w:rsid w:val="002F147F"/>
    <w:rsid w:val="002F14B8"/>
    <w:rsid w:val="002F14CE"/>
    <w:rsid w:val="002F1521"/>
    <w:rsid w:val="002F156C"/>
    <w:rsid w:val="002F15CB"/>
    <w:rsid w:val="002F16C4"/>
    <w:rsid w:val="002F16C6"/>
    <w:rsid w:val="002F16EE"/>
    <w:rsid w:val="002F170E"/>
    <w:rsid w:val="002F19A1"/>
    <w:rsid w:val="002F1B81"/>
    <w:rsid w:val="002F1C44"/>
    <w:rsid w:val="002F1CEF"/>
    <w:rsid w:val="002F1D4C"/>
    <w:rsid w:val="002F1E23"/>
    <w:rsid w:val="002F1FC0"/>
    <w:rsid w:val="002F1FF2"/>
    <w:rsid w:val="002F218C"/>
    <w:rsid w:val="002F22E3"/>
    <w:rsid w:val="002F2324"/>
    <w:rsid w:val="002F23C7"/>
    <w:rsid w:val="002F23D7"/>
    <w:rsid w:val="002F2547"/>
    <w:rsid w:val="002F2559"/>
    <w:rsid w:val="002F259B"/>
    <w:rsid w:val="002F25A8"/>
    <w:rsid w:val="002F26B2"/>
    <w:rsid w:val="002F27DB"/>
    <w:rsid w:val="002F2809"/>
    <w:rsid w:val="002F2938"/>
    <w:rsid w:val="002F29C6"/>
    <w:rsid w:val="002F2C60"/>
    <w:rsid w:val="002F2CDC"/>
    <w:rsid w:val="002F2D2C"/>
    <w:rsid w:val="002F3002"/>
    <w:rsid w:val="002F30BE"/>
    <w:rsid w:val="002F317C"/>
    <w:rsid w:val="002F31AE"/>
    <w:rsid w:val="002F326A"/>
    <w:rsid w:val="002F3278"/>
    <w:rsid w:val="002F335A"/>
    <w:rsid w:val="002F3367"/>
    <w:rsid w:val="002F3473"/>
    <w:rsid w:val="002F34DB"/>
    <w:rsid w:val="002F35B0"/>
    <w:rsid w:val="002F3636"/>
    <w:rsid w:val="002F3855"/>
    <w:rsid w:val="002F3960"/>
    <w:rsid w:val="002F3B24"/>
    <w:rsid w:val="002F3B8F"/>
    <w:rsid w:val="002F3B95"/>
    <w:rsid w:val="002F3C35"/>
    <w:rsid w:val="002F3D39"/>
    <w:rsid w:val="002F3DAA"/>
    <w:rsid w:val="002F3F21"/>
    <w:rsid w:val="002F3F8A"/>
    <w:rsid w:val="002F3FC2"/>
    <w:rsid w:val="002F40F9"/>
    <w:rsid w:val="002F41AA"/>
    <w:rsid w:val="002F4347"/>
    <w:rsid w:val="002F46E9"/>
    <w:rsid w:val="002F4705"/>
    <w:rsid w:val="002F4843"/>
    <w:rsid w:val="002F48DE"/>
    <w:rsid w:val="002F4B98"/>
    <w:rsid w:val="002F4C2F"/>
    <w:rsid w:val="002F4CF0"/>
    <w:rsid w:val="002F4CF3"/>
    <w:rsid w:val="002F4DB4"/>
    <w:rsid w:val="002F50F2"/>
    <w:rsid w:val="002F52CC"/>
    <w:rsid w:val="002F5355"/>
    <w:rsid w:val="002F53C1"/>
    <w:rsid w:val="002F53C4"/>
    <w:rsid w:val="002F540E"/>
    <w:rsid w:val="002F5551"/>
    <w:rsid w:val="002F55AA"/>
    <w:rsid w:val="002F564F"/>
    <w:rsid w:val="002F56F6"/>
    <w:rsid w:val="002F582F"/>
    <w:rsid w:val="002F5A56"/>
    <w:rsid w:val="002F5A89"/>
    <w:rsid w:val="002F5A9C"/>
    <w:rsid w:val="002F5B31"/>
    <w:rsid w:val="002F5C0F"/>
    <w:rsid w:val="002F5C16"/>
    <w:rsid w:val="002F5CCC"/>
    <w:rsid w:val="002F5D2F"/>
    <w:rsid w:val="002F5DCB"/>
    <w:rsid w:val="002F5E13"/>
    <w:rsid w:val="002F5E3B"/>
    <w:rsid w:val="002F5EC5"/>
    <w:rsid w:val="002F5EE3"/>
    <w:rsid w:val="002F5FF3"/>
    <w:rsid w:val="002F6095"/>
    <w:rsid w:val="002F60B4"/>
    <w:rsid w:val="002F61F1"/>
    <w:rsid w:val="002F61F2"/>
    <w:rsid w:val="002F6250"/>
    <w:rsid w:val="002F6261"/>
    <w:rsid w:val="002F64BB"/>
    <w:rsid w:val="002F665A"/>
    <w:rsid w:val="002F673F"/>
    <w:rsid w:val="002F67D7"/>
    <w:rsid w:val="002F6921"/>
    <w:rsid w:val="002F6A28"/>
    <w:rsid w:val="002F6AA1"/>
    <w:rsid w:val="002F6B41"/>
    <w:rsid w:val="002F6BA7"/>
    <w:rsid w:val="002F6BB3"/>
    <w:rsid w:val="002F6C35"/>
    <w:rsid w:val="002F6C70"/>
    <w:rsid w:val="002F6D94"/>
    <w:rsid w:val="002F6DE2"/>
    <w:rsid w:val="002F6EB5"/>
    <w:rsid w:val="002F6EDE"/>
    <w:rsid w:val="002F6F52"/>
    <w:rsid w:val="002F6FAC"/>
    <w:rsid w:val="002F7045"/>
    <w:rsid w:val="002F7092"/>
    <w:rsid w:val="002F7098"/>
    <w:rsid w:val="002F711A"/>
    <w:rsid w:val="002F71EF"/>
    <w:rsid w:val="002F7207"/>
    <w:rsid w:val="002F721F"/>
    <w:rsid w:val="002F7250"/>
    <w:rsid w:val="002F7262"/>
    <w:rsid w:val="002F726E"/>
    <w:rsid w:val="002F734C"/>
    <w:rsid w:val="002F7485"/>
    <w:rsid w:val="002F7656"/>
    <w:rsid w:val="002F76C1"/>
    <w:rsid w:val="002F77EC"/>
    <w:rsid w:val="002F780D"/>
    <w:rsid w:val="002F790A"/>
    <w:rsid w:val="002F793A"/>
    <w:rsid w:val="002F796B"/>
    <w:rsid w:val="002F7A09"/>
    <w:rsid w:val="002F7A11"/>
    <w:rsid w:val="002F7AC7"/>
    <w:rsid w:val="002F7AFA"/>
    <w:rsid w:val="002F7BA9"/>
    <w:rsid w:val="002F7BC9"/>
    <w:rsid w:val="002F7C11"/>
    <w:rsid w:val="002F7CA9"/>
    <w:rsid w:val="0030003A"/>
    <w:rsid w:val="00300104"/>
    <w:rsid w:val="0030016C"/>
    <w:rsid w:val="00300190"/>
    <w:rsid w:val="00300212"/>
    <w:rsid w:val="0030028F"/>
    <w:rsid w:val="00300370"/>
    <w:rsid w:val="003003E5"/>
    <w:rsid w:val="00300455"/>
    <w:rsid w:val="0030051D"/>
    <w:rsid w:val="003005D7"/>
    <w:rsid w:val="00300794"/>
    <w:rsid w:val="003007E5"/>
    <w:rsid w:val="00300822"/>
    <w:rsid w:val="00300910"/>
    <w:rsid w:val="00300934"/>
    <w:rsid w:val="00300A2D"/>
    <w:rsid w:val="00300AB0"/>
    <w:rsid w:val="00300ACF"/>
    <w:rsid w:val="00300F8F"/>
    <w:rsid w:val="00300FAE"/>
    <w:rsid w:val="00300FC8"/>
    <w:rsid w:val="003010AD"/>
    <w:rsid w:val="003010CE"/>
    <w:rsid w:val="0030112F"/>
    <w:rsid w:val="0030115F"/>
    <w:rsid w:val="00301229"/>
    <w:rsid w:val="00301359"/>
    <w:rsid w:val="003013F7"/>
    <w:rsid w:val="0030145A"/>
    <w:rsid w:val="00301551"/>
    <w:rsid w:val="0030155A"/>
    <w:rsid w:val="0030168A"/>
    <w:rsid w:val="00301692"/>
    <w:rsid w:val="0030178E"/>
    <w:rsid w:val="003017A4"/>
    <w:rsid w:val="00301810"/>
    <w:rsid w:val="00301B72"/>
    <w:rsid w:val="00301DD3"/>
    <w:rsid w:val="00301DF1"/>
    <w:rsid w:val="00301E47"/>
    <w:rsid w:val="00301EEA"/>
    <w:rsid w:val="00301F30"/>
    <w:rsid w:val="00301F52"/>
    <w:rsid w:val="00301F57"/>
    <w:rsid w:val="00301F91"/>
    <w:rsid w:val="00301FD7"/>
    <w:rsid w:val="0030203F"/>
    <w:rsid w:val="0030204D"/>
    <w:rsid w:val="00302125"/>
    <w:rsid w:val="003021EB"/>
    <w:rsid w:val="00302203"/>
    <w:rsid w:val="003023D5"/>
    <w:rsid w:val="00302436"/>
    <w:rsid w:val="003025F6"/>
    <w:rsid w:val="0030278B"/>
    <w:rsid w:val="003027DD"/>
    <w:rsid w:val="00302801"/>
    <w:rsid w:val="0030282C"/>
    <w:rsid w:val="0030284C"/>
    <w:rsid w:val="00302A45"/>
    <w:rsid w:val="00302A4A"/>
    <w:rsid w:val="00302B68"/>
    <w:rsid w:val="00302BA6"/>
    <w:rsid w:val="00302C2E"/>
    <w:rsid w:val="00302CB1"/>
    <w:rsid w:val="00302D83"/>
    <w:rsid w:val="00302DE8"/>
    <w:rsid w:val="00303174"/>
    <w:rsid w:val="003031DE"/>
    <w:rsid w:val="003032C0"/>
    <w:rsid w:val="00303317"/>
    <w:rsid w:val="00303321"/>
    <w:rsid w:val="00303336"/>
    <w:rsid w:val="003033C5"/>
    <w:rsid w:val="003033D2"/>
    <w:rsid w:val="003034D2"/>
    <w:rsid w:val="003034D4"/>
    <w:rsid w:val="00303711"/>
    <w:rsid w:val="0030374B"/>
    <w:rsid w:val="003037CC"/>
    <w:rsid w:val="003038D5"/>
    <w:rsid w:val="003038FA"/>
    <w:rsid w:val="00303907"/>
    <w:rsid w:val="0030393A"/>
    <w:rsid w:val="00303979"/>
    <w:rsid w:val="00303A5D"/>
    <w:rsid w:val="00303A7B"/>
    <w:rsid w:val="00303ABE"/>
    <w:rsid w:val="00303B31"/>
    <w:rsid w:val="00303B6C"/>
    <w:rsid w:val="00303C1B"/>
    <w:rsid w:val="00303CED"/>
    <w:rsid w:val="00303DF1"/>
    <w:rsid w:val="00303EA8"/>
    <w:rsid w:val="00303EF6"/>
    <w:rsid w:val="00303F6A"/>
    <w:rsid w:val="00303F81"/>
    <w:rsid w:val="00303FB9"/>
    <w:rsid w:val="00303FF5"/>
    <w:rsid w:val="00304084"/>
    <w:rsid w:val="00304240"/>
    <w:rsid w:val="0030462B"/>
    <w:rsid w:val="0030469A"/>
    <w:rsid w:val="00304767"/>
    <w:rsid w:val="00304796"/>
    <w:rsid w:val="003048A1"/>
    <w:rsid w:val="003048B5"/>
    <w:rsid w:val="003048C6"/>
    <w:rsid w:val="00304937"/>
    <w:rsid w:val="00304986"/>
    <w:rsid w:val="003049A0"/>
    <w:rsid w:val="00304C06"/>
    <w:rsid w:val="00304E76"/>
    <w:rsid w:val="00304EC6"/>
    <w:rsid w:val="00304F3F"/>
    <w:rsid w:val="00304F55"/>
    <w:rsid w:val="00304F6F"/>
    <w:rsid w:val="00304F74"/>
    <w:rsid w:val="003050E8"/>
    <w:rsid w:val="003052E2"/>
    <w:rsid w:val="00305410"/>
    <w:rsid w:val="00305459"/>
    <w:rsid w:val="003054BE"/>
    <w:rsid w:val="003054FF"/>
    <w:rsid w:val="003057AC"/>
    <w:rsid w:val="00305936"/>
    <w:rsid w:val="0030598E"/>
    <w:rsid w:val="003059CC"/>
    <w:rsid w:val="00305A6B"/>
    <w:rsid w:val="00305B0C"/>
    <w:rsid w:val="00305C04"/>
    <w:rsid w:val="00305CC0"/>
    <w:rsid w:val="00305CCD"/>
    <w:rsid w:val="00305D47"/>
    <w:rsid w:val="00305ED7"/>
    <w:rsid w:val="00305F8D"/>
    <w:rsid w:val="00306029"/>
    <w:rsid w:val="0030605A"/>
    <w:rsid w:val="00306127"/>
    <w:rsid w:val="00306206"/>
    <w:rsid w:val="003062FC"/>
    <w:rsid w:val="00306367"/>
    <w:rsid w:val="0030649D"/>
    <w:rsid w:val="003064C7"/>
    <w:rsid w:val="00306543"/>
    <w:rsid w:val="0030659E"/>
    <w:rsid w:val="003065CE"/>
    <w:rsid w:val="00306612"/>
    <w:rsid w:val="0030666F"/>
    <w:rsid w:val="003066B3"/>
    <w:rsid w:val="00306740"/>
    <w:rsid w:val="00306765"/>
    <w:rsid w:val="0030676C"/>
    <w:rsid w:val="003067A8"/>
    <w:rsid w:val="00306828"/>
    <w:rsid w:val="0030685F"/>
    <w:rsid w:val="003068C0"/>
    <w:rsid w:val="0030698C"/>
    <w:rsid w:val="00306AAB"/>
    <w:rsid w:val="00306C94"/>
    <w:rsid w:val="00306D0B"/>
    <w:rsid w:val="00306DC3"/>
    <w:rsid w:val="00306DCC"/>
    <w:rsid w:val="00306DF0"/>
    <w:rsid w:val="00306FCE"/>
    <w:rsid w:val="00306FE7"/>
    <w:rsid w:val="00307032"/>
    <w:rsid w:val="003070A2"/>
    <w:rsid w:val="003071A2"/>
    <w:rsid w:val="003072F8"/>
    <w:rsid w:val="0030738E"/>
    <w:rsid w:val="003073F7"/>
    <w:rsid w:val="00307477"/>
    <w:rsid w:val="00307532"/>
    <w:rsid w:val="00307552"/>
    <w:rsid w:val="00307663"/>
    <w:rsid w:val="003076C0"/>
    <w:rsid w:val="00307755"/>
    <w:rsid w:val="003077D6"/>
    <w:rsid w:val="003078FF"/>
    <w:rsid w:val="00307919"/>
    <w:rsid w:val="0030791A"/>
    <w:rsid w:val="00307B7B"/>
    <w:rsid w:val="00307D62"/>
    <w:rsid w:val="00307DCA"/>
    <w:rsid w:val="00307E1C"/>
    <w:rsid w:val="00307E47"/>
    <w:rsid w:val="00307E7E"/>
    <w:rsid w:val="00307F5A"/>
    <w:rsid w:val="00307F98"/>
    <w:rsid w:val="00307FAA"/>
    <w:rsid w:val="0031002A"/>
    <w:rsid w:val="003100C0"/>
    <w:rsid w:val="00310156"/>
    <w:rsid w:val="00310179"/>
    <w:rsid w:val="003101A4"/>
    <w:rsid w:val="0031021E"/>
    <w:rsid w:val="0031040C"/>
    <w:rsid w:val="00310500"/>
    <w:rsid w:val="0031056E"/>
    <w:rsid w:val="00310599"/>
    <w:rsid w:val="003105BF"/>
    <w:rsid w:val="003105D8"/>
    <w:rsid w:val="00310608"/>
    <w:rsid w:val="00310770"/>
    <w:rsid w:val="00310930"/>
    <w:rsid w:val="0031093D"/>
    <w:rsid w:val="0031098F"/>
    <w:rsid w:val="00310B7C"/>
    <w:rsid w:val="00310D84"/>
    <w:rsid w:val="00310DE5"/>
    <w:rsid w:val="00310E09"/>
    <w:rsid w:val="00310E61"/>
    <w:rsid w:val="00310F17"/>
    <w:rsid w:val="00310F84"/>
    <w:rsid w:val="0031100D"/>
    <w:rsid w:val="003111FF"/>
    <w:rsid w:val="0031126A"/>
    <w:rsid w:val="003112CF"/>
    <w:rsid w:val="00311311"/>
    <w:rsid w:val="00311394"/>
    <w:rsid w:val="00311395"/>
    <w:rsid w:val="003113D8"/>
    <w:rsid w:val="00311421"/>
    <w:rsid w:val="00311458"/>
    <w:rsid w:val="0031164D"/>
    <w:rsid w:val="003116EF"/>
    <w:rsid w:val="00311721"/>
    <w:rsid w:val="00311869"/>
    <w:rsid w:val="003118AA"/>
    <w:rsid w:val="003118B6"/>
    <w:rsid w:val="00311983"/>
    <w:rsid w:val="00311AED"/>
    <w:rsid w:val="00311B38"/>
    <w:rsid w:val="00311BBB"/>
    <w:rsid w:val="00311C78"/>
    <w:rsid w:val="00311C9B"/>
    <w:rsid w:val="00311DB1"/>
    <w:rsid w:val="00311E21"/>
    <w:rsid w:val="00311FED"/>
    <w:rsid w:val="00312111"/>
    <w:rsid w:val="0031211E"/>
    <w:rsid w:val="00312226"/>
    <w:rsid w:val="00312299"/>
    <w:rsid w:val="003122DA"/>
    <w:rsid w:val="003122F4"/>
    <w:rsid w:val="0031230F"/>
    <w:rsid w:val="0031248E"/>
    <w:rsid w:val="00312536"/>
    <w:rsid w:val="0031256D"/>
    <w:rsid w:val="003125BB"/>
    <w:rsid w:val="00312754"/>
    <w:rsid w:val="0031294E"/>
    <w:rsid w:val="00312997"/>
    <w:rsid w:val="003129F8"/>
    <w:rsid w:val="00312CE6"/>
    <w:rsid w:val="00312E46"/>
    <w:rsid w:val="0031303E"/>
    <w:rsid w:val="00313061"/>
    <w:rsid w:val="00313218"/>
    <w:rsid w:val="00313245"/>
    <w:rsid w:val="0031326B"/>
    <w:rsid w:val="003132D8"/>
    <w:rsid w:val="0031331E"/>
    <w:rsid w:val="0031335F"/>
    <w:rsid w:val="003133FB"/>
    <w:rsid w:val="0031349F"/>
    <w:rsid w:val="003134C7"/>
    <w:rsid w:val="00313530"/>
    <w:rsid w:val="003135B2"/>
    <w:rsid w:val="00313744"/>
    <w:rsid w:val="00313787"/>
    <w:rsid w:val="00313789"/>
    <w:rsid w:val="0031379A"/>
    <w:rsid w:val="003137C2"/>
    <w:rsid w:val="00313902"/>
    <w:rsid w:val="00313961"/>
    <w:rsid w:val="00313973"/>
    <w:rsid w:val="0031399B"/>
    <w:rsid w:val="00313A42"/>
    <w:rsid w:val="00313B71"/>
    <w:rsid w:val="00313BEF"/>
    <w:rsid w:val="00313D4E"/>
    <w:rsid w:val="00313EAC"/>
    <w:rsid w:val="00313FF1"/>
    <w:rsid w:val="0031408C"/>
    <w:rsid w:val="00314092"/>
    <w:rsid w:val="003140B9"/>
    <w:rsid w:val="00314208"/>
    <w:rsid w:val="00314390"/>
    <w:rsid w:val="003143F5"/>
    <w:rsid w:val="00314420"/>
    <w:rsid w:val="00314496"/>
    <w:rsid w:val="003144F5"/>
    <w:rsid w:val="003146C7"/>
    <w:rsid w:val="003147DF"/>
    <w:rsid w:val="00314861"/>
    <w:rsid w:val="003148D7"/>
    <w:rsid w:val="003149A8"/>
    <w:rsid w:val="003149EE"/>
    <w:rsid w:val="00314A66"/>
    <w:rsid w:val="00314B20"/>
    <w:rsid w:val="00314B8B"/>
    <w:rsid w:val="00314BF1"/>
    <w:rsid w:val="00314C1F"/>
    <w:rsid w:val="00314CF3"/>
    <w:rsid w:val="00314CFF"/>
    <w:rsid w:val="00314D23"/>
    <w:rsid w:val="00314DB8"/>
    <w:rsid w:val="00314E5C"/>
    <w:rsid w:val="00314E97"/>
    <w:rsid w:val="00314EDC"/>
    <w:rsid w:val="00314F9D"/>
    <w:rsid w:val="00314FB7"/>
    <w:rsid w:val="00315097"/>
    <w:rsid w:val="003150D8"/>
    <w:rsid w:val="00315273"/>
    <w:rsid w:val="00315359"/>
    <w:rsid w:val="003153E0"/>
    <w:rsid w:val="003155C3"/>
    <w:rsid w:val="003155DB"/>
    <w:rsid w:val="003155E0"/>
    <w:rsid w:val="003156A3"/>
    <w:rsid w:val="00315744"/>
    <w:rsid w:val="0031577F"/>
    <w:rsid w:val="003157BA"/>
    <w:rsid w:val="00315A13"/>
    <w:rsid w:val="00315BDA"/>
    <w:rsid w:val="00315BE1"/>
    <w:rsid w:val="00315E13"/>
    <w:rsid w:val="00315E37"/>
    <w:rsid w:val="00315F22"/>
    <w:rsid w:val="00316013"/>
    <w:rsid w:val="00316014"/>
    <w:rsid w:val="00316089"/>
    <w:rsid w:val="003160B8"/>
    <w:rsid w:val="003160EB"/>
    <w:rsid w:val="003160F1"/>
    <w:rsid w:val="003161BC"/>
    <w:rsid w:val="003162CA"/>
    <w:rsid w:val="003163BD"/>
    <w:rsid w:val="003164FA"/>
    <w:rsid w:val="0031651B"/>
    <w:rsid w:val="003166B1"/>
    <w:rsid w:val="003168FF"/>
    <w:rsid w:val="003169D1"/>
    <w:rsid w:val="003169F2"/>
    <w:rsid w:val="00316D1A"/>
    <w:rsid w:val="00316DEA"/>
    <w:rsid w:val="00316E7C"/>
    <w:rsid w:val="00316F1D"/>
    <w:rsid w:val="00316F3A"/>
    <w:rsid w:val="00316F9E"/>
    <w:rsid w:val="0031705E"/>
    <w:rsid w:val="00317090"/>
    <w:rsid w:val="0031712F"/>
    <w:rsid w:val="0031729B"/>
    <w:rsid w:val="003173AB"/>
    <w:rsid w:val="003173B1"/>
    <w:rsid w:val="003173BC"/>
    <w:rsid w:val="003173F7"/>
    <w:rsid w:val="003173FC"/>
    <w:rsid w:val="0031745F"/>
    <w:rsid w:val="003176E1"/>
    <w:rsid w:val="00317751"/>
    <w:rsid w:val="0031777D"/>
    <w:rsid w:val="003178B3"/>
    <w:rsid w:val="00317902"/>
    <w:rsid w:val="0031793A"/>
    <w:rsid w:val="00317979"/>
    <w:rsid w:val="00317983"/>
    <w:rsid w:val="00317B0A"/>
    <w:rsid w:val="00317B36"/>
    <w:rsid w:val="00317B8D"/>
    <w:rsid w:val="00317C96"/>
    <w:rsid w:val="00317CB9"/>
    <w:rsid w:val="00317D8B"/>
    <w:rsid w:val="00317DE0"/>
    <w:rsid w:val="00317E84"/>
    <w:rsid w:val="00317EAF"/>
    <w:rsid w:val="00317EEC"/>
    <w:rsid w:val="00317EFC"/>
    <w:rsid w:val="00317F31"/>
    <w:rsid w:val="00317F4D"/>
    <w:rsid w:val="00320029"/>
    <w:rsid w:val="0032006E"/>
    <w:rsid w:val="00320112"/>
    <w:rsid w:val="00320121"/>
    <w:rsid w:val="00320288"/>
    <w:rsid w:val="003202BC"/>
    <w:rsid w:val="00320357"/>
    <w:rsid w:val="0032049F"/>
    <w:rsid w:val="003205BE"/>
    <w:rsid w:val="003205C8"/>
    <w:rsid w:val="00320647"/>
    <w:rsid w:val="00320686"/>
    <w:rsid w:val="0032068D"/>
    <w:rsid w:val="00320707"/>
    <w:rsid w:val="0032070C"/>
    <w:rsid w:val="00320725"/>
    <w:rsid w:val="00320726"/>
    <w:rsid w:val="0032087D"/>
    <w:rsid w:val="003208D6"/>
    <w:rsid w:val="00320A5F"/>
    <w:rsid w:val="00320AEE"/>
    <w:rsid w:val="00320B1C"/>
    <w:rsid w:val="00320C20"/>
    <w:rsid w:val="00320C85"/>
    <w:rsid w:val="00320C8B"/>
    <w:rsid w:val="00320C8E"/>
    <w:rsid w:val="00320D32"/>
    <w:rsid w:val="00320D6B"/>
    <w:rsid w:val="00320ED5"/>
    <w:rsid w:val="00320F23"/>
    <w:rsid w:val="00321073"/>
    <w:rsid w:val="0032126C"/>
    <w:rsid w:val="00321350"/>
    <w:rsid w:val="00321465"/>
    <w:rsid w:val="00321490"/>
    <w:rsid w:val="00321496"/>
    <w:rsid w:val="003217B8"/>
    <w:rsid w:val="003217DB"/>
    <w:rsid w:val="0032192F"/>
    <w:rsid w:val="003219E7"/>
    <w:rsid w:val="00321AAB"/>
    <w:rsid w:val="00321B4B"/>
    <w:rsid w:val="00321B62"/>
    <w:rsid w:val="00321C3E"/>
    <w:rsid w:val="00321CC1"/>
    <w:rsid w:val="00321D97"/>
    <w:rsid w:val="00321E0E"/>
    <w:rsid w:val="0032204A"/>
    <w:rsid w:val="003220B0"/>
    <w:rsid w:val="00322113"/>
    <w:rsid w:val="003221C7"/>
    <w:rsid w:val="00322220"/>
    <w:rsid w:val="0032224B"/>
    <w:rsid w:val="003222D8"/>
    <w:rsid w:val="003222EF"/>
    <w:rsid w:val="00322324"/>
    <w:rsid w:val="0032238D"/>
    <w:rsid w:val="003223E2"/>
    <w:rsid w:val="00322410"/>
    <w:rsid w:val="0032242A"/>
    <w:rsid w:val="003224ED"/>
    <w:rsid w:val="00322531"/>
    <w:rsid w:val="0032257F"/>
    <w:rsid w:val="0032258B"/>
    <w:rsid w:val="003227B4"/>
    <w:rsid w:val="0032288D"/>
    <w:rsid w:val="00322902"/>
    <w:rsid w:val="0032294C"/>
    <w:rsid w:val="003229C1"/>
    <w:rsid w:val="003229FD"/>
    <w:rsid w:val="00322A7F"/>
    <w:rsid w:val="00322A84"/>
    <w:rsid w:val="00322C58"/>
    <w:rsid w:val="00322C9F"/>
    <w:rsid w:val="00322D1A"/>
    <w:rsid w:val="00322E92"/>
    <w:rsid w:val="00323024"/>
    <w:rsid w:val="00323038"/>
    <w:rsid w:val="003231DA"/>
    <w:rsid w:val="00323345"/>
    <w:rsid w:val="00323400"/>
    <w:rsid w:val="003234BF"/>
    <w:rsid w:val="003234D2"/>
    <w:rsid w:val="003235DD"/>
    <w:rsid w:val="003238FC"/>
    <w:rsid w:val="003239AC"/>
    <w:rsid w:val="00323A79"/>
    <w:rsid w:val="00323ABC"/>
    <w:rsid w:val="00323AE9"/>
    <w:rsid w:val="00323B03"/>
    <w:rsid w:val="00323CF0"/>
    <w:rsid w:val="00323E0D"/>
    <w:rsid w:val="00323EB5"/>
    <w:rsid w:val="00323F0A"/>
    <w:rsid w:val="00323F8A"/>
    <w:rsid w:val="00324110"/>
    <w:rsid w:val="0032412C"/>
    <w:rsid w:val="00324198"/>
    <w:rsid w:val="00324228"/>
    <w:rsid w:val="00324245"/>
    <w:rsid w:val="00324278"/>
    <w:rsid w:val="003243A7"/>
    <w:rsid w:val="003243D5"/>
    <w:rsid w:val="0032459E"/>
    <w:rsid w:val="00324648"/>
    <w:rsid w:val="00324681"/>
    <w:rsid w:val="00324697"/>
    <w:rsid w:val="0032482A"/>
    <w:rsid w:val="003248B1"/>
    <w:rsid w:val="00324911"/>
    <w:rsid w:val="00324A83"/>
    <w:rsid w:val="00324BCA"/>
    <w:rsid w:val="00324C33"/>
    <w:rsid w:val="00324C9D"/>
    <w:rsid w:val="00324CD2"/>
    <w:rsid w:val="00324D00"/>
    <w:rsid w:val="00324D58"/>
    <w:rsid w:val="00324D7F"/>
    <w:rsid w:val="00324E53"/>
    <w:rsid w:val="00324F9A"/>
    <w:rsid w:val="00325011"/>
    <w:rsid w:val="003250BA"/>
    <w:rsid w:val="003250C5"/>
    <w:rsid w:val="00325130"/>
    <w:rsid w:val="00325204"/>
    <w:rsid w:val="0032533D"/>
    <w:rsid w:val="00325418"/>
    <w:rsid w:val="0032559B"/>
    <w:rsid w:val="00325610"/>
    <w:rsid w:val="00325641"/>
    <w:rsid w:val="003256B6"/>
    <w:rsid w:val="003257F8"/>
    <w:rsid w:val="00325830"/>
    <w:rsid w:val="0032585B"/>
    <w:rsid w:val="003258A6"/>
    <w:rsid w:val="003258E4"/>
    <w:rsid w:val="003259A8"/>
    <w:rsid w:val="003259FF"/>
    <w:rsid w:val="00325A60"/>
    <w:rsid w:val="00325A8B"/>
    <w:rsid w:val="00325B03"/>
    <w:rsid w:val="00325C79"/>
    <w:rsid w:val="00325C81"/>
    <w:rsid w:val="00325DA2"/>
    <w:rsid w:val="00325E0A"/>
    <w:rsid w:val="00325F7D"/>
    <w:rsid w:val="0032601B"/>
    <w:rsid w:val="0032602F"/>
    <w:rsid w:val="003260AE"/>
    <w:rsid w:val="003261B7"/>
    <w:rsid w:val="00326202"/>
    <w:rsid w:val="00326284"/>
    <w:rsid w:val="003262E6"/>
    <w:rsid w:val="003263C6"/>
    <w:rsid w:val="003263E1"/>
    <w:rsid w:val="0032641A"/>
    <w:rsid w:val="003266FE"/>
    <w:rsid w:val="0032686E"/>
    <w:rsid w:val="00326941"/>
    <w:rsid w:val="0032699F"/>
    <w:rsid w:val="00326C7E"/>
    <w:rsid w:val="00326DD0"/>
    <w:rsid w:val="00326E3F"/>
    <w:rsid w:val="00326EB8"/>
    <w:rsid w:val="00326EC7"/>
    <w:rsid w:val="00326F83"/>
    <w:rsid w:val="00326F89"/>
    <w:rsid w:val="00326F9B"/>
    <w:rsid w:val="00326F9C"/>
    <w:rsid w:val="00326FD0"/>
    <w:rsid w:val="0032705B"/>
    <w:rsid w:val="0032705D"/>
    <w:rsid w:val="003270A7"/>
    <w:rsid w:val="003270BD"/>
    <w:rsid w:val="00327121"/>
    <w:rsid w:val="00327262"/>
    <w:rsid w:val="00327368"/>
    <w:rsid w:val="003273C4"/>
    <w:rsid w:val="00327477"/>
    <w:rsid w:val="00327683"/>
    <w:rsid w:val="003276C2"/>
    <w:rsid w:val="003276DB"/>
    <w:rsid w:val="00327727"/>
    <w:rsid w:val="0032773B"/>
    <w:rsid w:val="00327842"/>
    <w:rsid w:val="00327AD8"/>
    <w:rsid w:val="00327C01"/>
    <w:rsid w:val="00327CD2"/>
    <w:rsid w:val="00327D33"/>
    <w:rsid w:val="00327E0E"/>
    <w:rsid w:val="00327E52"/>
    <w:rsid w:val="00327F09"/>
    <w:rsid w:val="00327F4A"/>
    <w:rsid w:val="00327F65"/>
    <w:rsid w:val="00330073"/>
    <w:rsid w:val="00330208"/>
    <w:rsid w:val="003302D5"/>
    <w:rsid w:val="003303D9"/>
    <w:rsid w:val="00330435"/>
    <w:rsid w:val="0033051C"/>
    <w:rsid w:val="00330626"/>
    <w:rsid w:val="00330633"/>
    <w:rsid w:val="00330677"/>
    <w:rsid w:val="003306A5"/>
    <w:rsid w:val="003306B9"/>
    <w:rsid w:val="00330811"/>
    <w:rsid w:val="0033088B"/>
    <w:rsid w:val="00330896"/>
    <w:rsid w:val="00330A3D"/>
    <w:rsid w:val="00330C4C"/>
    <w:rsid w:val="00330CF2"/>
    <w:rsid w:val="00330D72"/>
    <w:rsid w:val="00330F5C"/>
    <w:rsid w:val="00330FB0"/>
    <w:rsid w:val="00330FE0"/>
    <w:rsid w:val="003310F4"/>
    <w:rsid w:val="003310FE"/>
    <w:rsid w:val="00331251"/>
    <w:rsid w:val="00331285"/>
    <w:rsid w:val="003312B9"/>
    <w:rsid w:val="003312BE"/>
    <w:rsid w:val="003312E4"/>
    <w:rsid w:val="00331321"/>
    <w:rsid w:val="003313E7"/>
    <w:rsid w:val="003314AF"/>
    <w:rsid w:val="00331542"/>
    <w:rsid w:val="00331562"/>
    <w:rsid w:val="003315BB"/>
    <w:rsid w:val="0033169F"/>
    <w:rsid w:val="00331714"/>
    <w:rsid w:val="00331819"/>
    <w:rsid w:val="00331877"/>
    <w:rsid w:val="00331887"/>
    <w:rsid w:val="0033190B"/>
    <w:rsid w:val="003319E8"/>
    <w:rsid w:val="00331A02"/>
    <w:rsid w:val="00331AA9"/>
    <w:rsid w:val="00331B51"/>
    <w:rsid w:val="00331B5D"/>
    <w:rsid w:val="00331BAF"/>
    <w:rsid w:val="00331BC5"/>
    <w:rsid w:val="00331C28"/>
    <w:rsid w:val="00331D4D"/>
    <w:rsid w:val="00331D95"/>
    <w:rsid w:val="00331DF0"/>
    <w:rsid w:val="00331E4D"/>
    <w:rsid w:val="00331E4E"/>
    <w:rsid w:val="00331EF3"/>
    <w:rsid w:val="00331F41"/>
    <w:rsid w:val="00331FBB"/>
    <w:rsid w:val="0033205D"/>
    <w:rsid w:val="00332071"/>
    <w:rsid w:val="003320FE"/>
    <w:rsid w:val="003321D7"/>
    <w:rsid w:val="003322DA"/>
    <w:rsid w:val="003323DF"/>
    <w:rsid w:val="00332440"/>
    <w:rsid w:val="003324A1"/>
    <w:rsid w:val="00332654"/>
    <w:rsid w:val="0033268C"/>
    <w:rsid w:val="00332760"/>
    <w:rsid w:val="003327EF"/>
    <w:rsid w:val="003328B5"/>
    <w:rsid w:val="0033294D"/>
    <w:rsid w:val="00332988"/>
    <w:rsid w:val="00332B69"/>
    <w:rsid w:val="00332C47"/>
    <w:rsid w:val="00332C89"/>
    <w:rsid w:val="00332DA6"/>
    <w:rsid w:val="00332EAF"/>
    <w:rsid w:val="00332EEC"/>
    <w:rsid w:val="00333012"/>
    <w:rsid w:val="0033310C"/>
    <w:rsid w:val="003332DD"/>
    <w:rsid w:val="003333E8"/>
    <w:rsid w:val="0033344A"/>
    <w:rsid w:val="0033356B"/>
    <w:rsid w:val="00333580"/>
    <w:rsid w:val="003335E5"/>
    <w:rsid w:val="003336E8"/>
    <w:rsid w:val="0033375C"/>
    <w:rsid w:val="00333881"/>
    <w:rsid w:val="0033388F"/>
    <w:rsid w:val="0033392B"/>
    <w:rsid w:val="00333959"/>
    <w:rsid w:val="0033395E"/>
    <w:rsid w:val="003339E4"/>
    <w:rsid w:val="00333CDE"/>
    <w:rsid w:val="00333CFC"/>
    <w:rsid w:val="00333D1C"/>
    <w:rsid w:val="00333EEA"/>
    <w:rsid w:val="00333F8B"/>
    <w:rsid w:val="003340ED"/>
    <w:rsid w:val="003341DE"/>
    <w:rsid w:val="00334245"/>
    <w:rsid w:val="0033428E"/>
    <w:rsid w:val="0033435E"/>
    <w:rsid w:val="003343B1"/>
    <w:rsid w:val="003343BB"/>
    <w:rsid w:val="0033445C"/>
    <w:rsid w:val="003344AD"/>
    <w:rsid w:val="003344C0"/>
    <w:rsid w:val="003348A5"/>
    <w:rsid w:val="00334930"/>
    <w:rsid w:val="00334955"/>
    <w:rsid w:val="003349A0"/>
    <w:rsid w:val="00334A3E"/>
    <w:rsid w:val="00334AE3"/>
    <w:rsid w:val="00334B7B"/>
    <w:rsid w:val="00334C3C"/>
    <w:rsid w:val="00334D8D"/>
    <w:rsid w:val="00334DA4"/>
    <w:rsid w:val="00334DC9"/>
    <w:rsid w:val="00334E4A"/>
    <w:rsid w:val="00334E5F"/>
    <w:rsid w:val="00334E75"/>
    <w:rsid w:val="00334E7E"/>
    <w:rsid w:val="00334EDC"/>
    <w:rsid w:val="00334FBB"/>
    <w:rsid w:val="00335050"/>
    <w:rsid w:val="0033506D"/>
    <w:rsid w:val="003350D2"/>
    <w:rsid w:val="003351D5"/>
    <w:rsid w:val="00335200"/>
    <w:rsid w:val="0033552A"/>
    <w:rsid w:val="00335631"/>
    <w:rsid w:val="0033579C"/>
    <w:rsid w:val="0033582F"/>
    <w:rsid w:val="00335866"/>
    <w:rsid w:val="00335870"/>
    <w:rsid w:val="0033588C"/>
    <w:rsid w:val="003358C4"/>
    <w:rsid w:val="003358ED"/>
    <w:rsid w:val="003359EA"/>
    <w:rsid w:val="00335B16"/>
    <w:rsid w:val="00335B83"/>
    <w:rsid w:val="00335CC0"/>
    <w:rsid w:val="00335CDD"/>
    <w:rsid w:val="00335D19"/>
    <w:rsid w:val="00335D2D"/>
    <w:rsid w:val="00335DD8"/>
    <w:rsid w:val="00335E02"/>
    <w:rsid w:val="00335EAC"/>
    <w:rsid w:val="00335EB3"/>
    <w:rsid w:val="00335EE4"/>
    <w:rsid w:val="00335F83"/>
    <w:rsid w:val="00335F9A"/>
    <w:rsid w:val="003360A2"/>
    <w:rsid w:val="003360C7"/>
    <w:rsid w:val="003362B1"/>
    <w:rsid w:val="003362C6"/>
    <w:rsid w:val="00336305"/>
    <w:rsid w:val="003363DE"/>
    <w:rsid w:val="003364DD"/>
    <w:rsid w:val="003365EE"/>
    <w:rsid w:val="003365F4"/>
    <w:rsid w:val="0033663A"/>
    <w:rsid w:val="00336663"/>
    <w:rsid w:val="00336762"/>
    <w:rsid w:val="003367E4"/>
    <w:rsid w:val="003368A3"/>
    <w:rsid w:val="003369A7"/>
    <w:rsid w:val="003369AB"/>
    <w:rsid w:val="00336A09"/>
    <w:rsid w:val="00336A38"/>
    <w:rsid w:val="00336B38"/>
    <w:rsid w:val="00336BC9"/>
    <w:rsid w:val="00336C2C"/>
    <w:rsid w:val="00336C80"/>
    <w:rsid w:val="00336CE9"/>
    <w:rsid w:val="00336CF4"/>
    <w:rsid w:val="00336F08"/>
    <w:rsid w:val="00337043"/>
    <w:rsid w:val="00337077"/>
    <w:rsid w:val="00337112"/>
    <w:rsid w:val="0033716B"/>
    <w:rsid w:val="003371CD"/>
    <w:rsid w:val="00337300"/>
    <w:rsid w:val="003373C1"/>
    <w:rsid w:val="00337408"/>
    <w:rsid w:val="003374B5"/>
    <w:rsid w:val="00337646"/>
    <w:rsid w:val="003376F3"/>
    <w:rsid w:val="003379E6"/>
    <w:rsid w:val="00337B4C"/>
    <w:rsid w:val="00337BA1"/>
    <w:rsid w:val="00337CED"/>
    <w:rsid w:val="00337F6C"/>
    <w:rsid w:val="00337F72"/>
    <w:rsid w:val="0034007A"/>
    <w:rsid w:val="00340147"/>
    <w:rsid w:val="003401E3"/>
    <w:rsid w:val="003402EB"/>
    <w:rsid w:val="00340360"/>
    <w:rsid w:val="0034045B"/>
    <w:rsid w:val="00340524"/>
    <w:rsid w:val="00340546"/>
    <w:rsid w:val="00340586"/>
    <w:rsid w:val="003405BF"/>
    <w:rsid w:val="00340629"/>
    <w:rsid w:val="00340682"/>
    <w:rsid w:val="00340689"/>
    <w:rsid w:val="00340867"/>
    <w:rsid w:val="0034089A"/>
    <w:rsid w:val="00340A28"/>
    <w:rsid w:val="00340A30"/>
    <w:rsid w:val="00340AA2"/>
    <w:rsid w:val="00340CE4"/>
    <w:rsid w:val="00340D19"/>
    <w:rsid w:val="00340D1F"/>
    <w:rsid w:val="00340E66"/>
    <w:rsid w:val="00340E9A"/>
    <w:rsid w:val="00340ECD"/>
    <w:rsid w:val="00340F4E"/>
    <w:rsid w:val="00340F50"/>
    <w:rsid w:val="00341035"/>
    <w:rsid w:val="00341191"/>
    <w:rsid w:val="0034129F"/>
    <w:rsid w:val="003412A6"/>
    <w:rsid w:val="00341552"/>
    <w:rsid w:val="00341576"/>
    <w:rsid w:val="003415CE"/>
    <w:rsid w:val="00341726"/>
    <w:rsid w:val="0034182F"/>
    <w:rsid w:val="0034192C"/>
    <w:rsid w:val="00341B49"/>
    <w:rsid w:val="00341B6A"/>
    <w:rsid w:val="00341C04"/>
    <w:rsid w:val="00341C96"/>
    <w:rsid w:val="00341D31"/>
    <w:rsid w:val="00341D7A"/>
    <w:rsid w:val="00341E07"/>
    <w:rsid w:val="00341E25"/>
    <w:rsid w:val="00341EAD"/>
    <w:rsid w:val="00341EE4"/>
    <w:rsid w:val="00341F37"/>
    <w:rsid w:val="003420AE"/>
    <w:rsid w:val="003421C0"/>
    <w:rsid w:val="00342236"/>
    <w:rsid w:val="00342288"/>
    <w:rsid w:val="003423A2"/>
    <w:rsid w:val="003423FC"/>
    <w:rsid w:val="0034243F"/>
    <w:rsid w:val="00342698"/>
    <w:rsid w:val="00342718"/>
    <w:rsid w:val="003427DA"/>
    <w:rsid w:val="00342984"/>
    <w:rsid w:val="003429FE"/>
    <w:rsid w:val="00342A14"/>
    <w:rsid w:val="00342A35"/>
    <w:rsid w:val="00342A4C"/>
    <w:rsid w:val="00342A9C"/>
    <w:rsid w:val="00342B41"/>
    <w:rsid w:val="00342BB0"/>
    <w:rsid w:val="00342BC7"/>
    <w:rsid w:val="00342C3A"/>
    <w:rsid w:val="00342C52"/>
    <w:rsid w:val="00342D4C"/>
    <w:rsid w:val="00342FCE"/>
    <w:rsid w:val="00343284"/>
    <w:rsid w:val="003432AF"/>
    <w:rsid w:val="003432D8"/>
    <w:rsid w:val="0034337D"/>
    <w:rsid w:val="00343550"/>
    <w:rsid w:val="003436B1"/>
    <w:rsid w:val="0034376E"/>
    <w:rsid w:val="00343842"/>
    <w:rsid w:val="00343866"/>
    <w:rsid w:val="0034396D"/>
    <w:rsid w:val="0034399F"/>
    <w:rsid w:val="003439AE"/>
    <w:rsid w:val="00343AD9"/>
    <w:rsid w:val="00343B79"/>
    <w:rsid w:val="00343BA2"/>
    <w:rsid w:val="00343C10"/>
    <w:rsid w:val="00343C50"/>
    <w:rsid w:val="00343C8C"/>
    <w:rsid w:val="00343D3B"/>
    <w:rsid w:val="00343D8D"/>
    <w:rsid w:val="00343E0C"/>
    <w:rsid w:val="00343E63"/>
    <w:rsid w:val="00343EAC"/>
    <w:rsid w:val="00343EC6"/>
    <w:rsid w:val="00343F06"/>
    <w:rsid w:val="00343F3F"/>
    <w:rsid w:val="0034405C"/>
    <w:rsid w:val="003440ED"/>
    <w:rsid w:val="00344123"/>
    <w:rsid w:val="0034415C"/>
    <w:rsid w:val="003441A9"/>
    <w:rsid w:val="00344206"/>
    <w:rsid w:val="003443F0"/>
    <w:rsid w:val="0034443E"/>
    <w:rsid w:val="00344446"/>
    <w:rsid w:val="00344453"/>
    <w:rsid w:val="0034451C"/>
    <w:rsid w:val="00344546"/>
    <w:rsid w:val="003447F7"/>
    <w:rsid w:val="00344816"/>
    <w:rsid w:val="00344BA2"/>
    <w:rsid w:val="00344C07"/>
    <w:rsid w:val="00344F1B"/>
    <w:rsid w:val="00344FE9"/>
    <w:rsid w:val="00344FFC"/>
    <w:rsid w:val="00345033"/>
    <w:rsid w:val="003450EA"/>
    <w:rsid w:val="00345276"/>
    <w:rsid w:val="003453BE"/>
    <w:rsid w:val="003454C3"/>
    <w:rsid w:val="003454FA"/>
    <w:rsid w:val="00345777"/>
    <w:rsid w:val="003459E6"/>
    <w:rsid w:val="00345BF2"/>
    <w:rsid w:val="00345C55"/>
    <w:rsid w:val="00345C71"/>
    <w:rsid w:val="00345CD2"/>
    <w:rsid w:val="00345CF6"/>
    <w:rsid w:val="00345D46"/>
    <w:rsid w:val="00345DB7"/>
    <w:rsid w:val="00345E04"/>
    <w:rsid w:val="0034608F"/>
    <w:rsid w:val="00346105"/>
    <w:rsid w:val="00346121"/>
    <w:rsid w:val="00346131"/>
    <w:rsid w:val="0034618B"/>
    <w:rsid w:val="00346236"/>
    <w:rsid w:val="00346269"/>
    <w:rsid w:val="00346284"/>
    <w:rsid w:val="00346293"/>
    <w:rsid w:val="00346391"/>
    <w:rsid w:val="00346462"/>
    <w:rsid w:val="0034649D"/>
    <w:rsid w:val="003464FA"/>
    <w:rsid w:val="003465D6"/>
    <w:rsid w:val="003467D8"/>
    <w:rsid w:val="00346981"/>
    <w:rsid w:val="00346A04"/>
    <w:rsid w:val="00346A0D"/>
    <w:rsid w:val="00346C61"/>
    <w:rsid w:val="00346E00"/>
    <w:rsid w:val="00346FAA"/>
    <w:rsid w:val="003471BC"/>
    <w:rsid w:val="00347244"/>
    <w:rsid w:val="003472CC"/>
    <w:rsid w:val="0034734F"/>
    <w:rsid w:val="003473DE"/>
    <w:rsid w:val="0034769A"/>
    <w:rsid w:val="00347752"/>
    <w:rsid w:val="00347C10"/>
    <w:rsid w:val="00347CD6"/>
    <w:rsid w:val="00347D27"/>
    <w:rsid w:val="00347E75"/>
    <w:rsid w:val="00347EEC"/>
    <w:rsid w:val="00347F83"/>
    <w:rsid w:val="00347FB9"/>
    <w:rsid w:val="00350211"/>
    <w:rsid w:val="003502BD"/>
    <w:rsid w:val="00350413"/>
    <w:rsid w:val="0035050E"/>
    <w:rsid w:val="003506A3"/>
    <w:rsid w:val="003507CA"/>
    <w:rsid w:val="003507ED"/>
    <w:rsid w:val="0035095D"/>
    <w:rsid w:val="0035095E"/>
    <w:rsid w:val="003509A8"/>
    <w:rsid w:val="00350A61"/>
    <w:rsid w:val="00350B02"/>
    <w:rsid w:val="00350B12"/>
    <w:rsid w:val="00350B70"/>
    <w:rsid w:val="00350C5C"/>
    <w:rsid w:val="00350CAF"/>
    <w:rsid w:val="00350D81"/>
    <w:rsid w:val="00350DA5"/>
    <w:rsid w:val="00350FA4"/>
    <w:rsid w:val="00351004"/>
    <w:rsid w:val="00351029"/>
    <w:rsid w:val="00351201"/>
    <w:rsid w:val="0035121A"/>
    <w:rsid w:val="00351314"/>
    <w:rsid w:val="00351442"/>
    <w:rsid w:val="00351498"/>
    <w:rsid w:val="003514DA"/>
    <w:rsid w:val="003514E0"/>
    <w:rsid w:val="00351525"/>
    <w:rsid w:val="0035156E"/>
    <w:rsid w:val="0035157B"/>
    <w:rsid w:val="003515A0"/>
    <w:rsid w:val="003516DC"/>
    <w:rsid w:val="0035178D"/>
    <w:rsid w:val="00351791"/>
    <w:rsid w:val="0035186F"/>
    <w:rsid w:val="003518F1"/>
    <w:rsid w:val="0035199F"/>
    <w:rsid w:val="00351A7A"/>
    <w:rsid w:val="00351B51"/>
    <w:rsid w:val="00351BF3"/>
    <w:rsid w:val="00351BFF"/>
    <w:rsid w:val="00351CC4"/>
    <w:rsid w:val="00351D06"/>
    <w:rsid w:val="00351D5B"/>
    <w:rsid w:val="00351D99"/>
    <w:rsid w:val="00351DEE"/>
    <w:rsid w:val="00351E83"/>
    <w:rsid w:val="00351EE3"/>
    <w:rsid w:val="00351F85"/>
    <w:rsid w:val="0035202B"/>
    <w:rsid w:val="0035202E"/>
    <w:rsid w:val="003520F7"/>
    <w:rsid w:val="00352114"/>
    <w:rsid w:val="00352184"/>
    <w:rsid w:val="00352186"/>
    <w:rsid w:val="00352236"/>
    <w:rsid w:val="00352242"/>
    <w:rsid w:val="00352249"/>
    <w:rsid w:val="00352349"/>
    <w:rsid w:val="0035241E"/>
    <w:rsid w:val="00352496"/>
    <w:rsid w:val="003526E4"/>
    <w:rsid w:val="003527ED"/>
    <w:rsid w:val="00352815"/>
    <w:rsid w:val="00352826"/>
    <w:rsid w:val="00352951"/>
    <w:rsid w:val="00352965"/>
    <w:rsid w:val="00352A25"/>
    <w:rsid w:val="00352ACB"/>
    <w:rsid w:val="00352B2C"/>
    <w:rsid w:val="00352B7A"/>
    <w:rsid w:val="00352BB7"/>
    <w:rsid w:val="00352CDA"/>
    <w:rsid w:val="00352DCF"/>
    <w:rsid w:val="00352DEE"/>
    <w:rsid w:val="00352DF8"/>
    <w:rsid w:val="00352E15"/>
    <w:rsid w:val="0035303F"/>
    <w:rsid w:val="003530A8"/>
    <w:rsid w:val="00353161"/>
    <w:rsid w:val="0035326B"/>
    <w:rsid w:val="00353276"/>
    <w:rsid w:val="00353369"/>
    <w:rsid w:val="003533FC"/>
    <w:rsid w:val="0035340A"/>
    <w:rsid w:val="003534F7"/>
    <w:rsid w:val="003536F7"/>
    <w:rsid w:val="00353707"/>
    <w:rsid w:val="0035382D"/>
    <w:rsid w:val="003538D1"/>
    <w:rsid w:val="003538D9"/>
    <w:rsid w:val="003538F7"/>
    <w:rsid w:val="00353AC1"/>
    <w:rsid w:val="00353D86"/>
    <w:rsid w:val="00353DA9"/>
    <w:rsid w:val="00353DEE"/>
    <w:rsid w:val="00353E98"/>
    <w:rsid w:val="00353E99"/>
    <w:rsid w:val="00353ECD"/>
    <w:rsid w:val="00353EEB"/>
    <w:rsid w:val="00353EEC"/>
    <w:rsid w:val="00353F31"/>
    <w:rsid w:val="00354027"/>
    <w:rsid w:val="00354047"/>
    <w:rsid w:val="00354197"/>
    <w:rsid w:val="0035427D"/>
    <w:rsid w:val="00354324"/>
    <w:rsid w:val="003543E4"/>
    <w:rsid w:val="00354617"/>
    <w:rsid w:val="00354768"/>
    <w:rsid w:val="0035488F"/>
    <w:rsid w:val="003548E2"/>
    <w:rsid w:val="00354A79"/>
    <w:rsid w:val="00354AC3"/>
    <w:rsid w:val="00354B47"/>
    <w:rsid w:val="00354B65"/>
    <w:rsid w:val="00354BA2"/>
    <w:rsid w:val="00354BCE"/>
    <w:rsid w:val="00354BFF"/>
    <w:rsid w:val="00354DB1"/>
    <w:rsid w:val="00354DFA"/>
    <w:rsid w:val="0035500E"/>
    <w:rsid w:val="0035508D"/>
    <w:rsid w:val="0035527F"/>
    <w:rsid w:val="003552E5"/>
    <w:rsid w:val="00355479"/>
    <w:rsid w:val="003555D9"/>
    <w:rsid w:val="003556CF"/>
    <w:rsid w:val="00355706"/>
    <w:rsid w:val="00355716"/>
    <w:rsid w:val="0035574F"/>
    <w:rsid w:val="003557AC"/>
    <w:rsid w:val="00355813"/>
    <w:rsid w:val="00355A0E"/>
    <w:rsid w:val="00355A0F"/>
    <w:rsid w:val="00355ACF"/>
    <w:rsid w:val="00355B31"/>
    <w:rsid w:val="00355B36"/>
    <w:rsid w:val="00355B56"/>
    <w:rsid w:val="00355BC9"/>
    <w:rsid w:val="00355C0A"/>
    <w:rsid w:val="00355CC9"/>
    <w:rsid w:val="00355CE5"/>
    <w:rsid w:val="00355D33"/>
    <w:rsid w:val="00355E92"/>
    <w:rsid w:val="00355E93"/>
    <w:rsid w:val="00355FFE"/>
    <w:rsid w:val="0035613E"/>
    <w:rsid w:val="003561FF"/>
    <w:rsid w:val="0035625F"/>
    <w:rsid w:val="0035631E"/>
    <w:rsid w:val="003563C4"/>
    <w:rsid w:val="003564D0"/>
    <w:rsid w:val="00356536"/>
    <w:rsid w:val="0035675A"/>
    <w:rsid w:val="00356835"/>
    <w:rsid w:val="00356A0E"/>
    <w:rsid w:val="00356A58"/>
    <w:rsid w:val="00356CA1"/>
    <w:rsid w:val="00356CF6"/>
    <w:rsid w:val="00356D88"/>
    <w:rsid w:val="00356E48"/>
    <w:rsid w:val="00356EB0"/>
    <w:rsid w:val="0035702D"/>
    <w:rsid w:val="00357141"/>
    <w:rsid w:val="00357157"/>
    <w:rsid w:val="00357183"/>
    <w:rsid w:val="0035720A"/>
    <w:rsid w:val="0035721B"/>
    <w:rsid w:val="00357290"/>
    <w:rsid w:val="0035738B"/>
    <w:rsid w:val="00357467"/>
    <w:rsid w:val="00357502"/>
    <w:rsid w:val="00357560"/>
    <w:rsid w:val="003575D4"/>
    <w:rsid w:val="00357664"/>
    <w:rsid w:val="00357721"/>
    <w:rsid w:val="003577D9"/>
    <w:rsid w:val="00357821"/>
    <w:rsid w:val="00357830"/>
    <w:rsid w:val="00357C1F"/>
    <w:rsid w:val="00357D4C"/>
    <w:rsid w:val="00357DB3"/>
    <w:rsid w:val="00357E53"/>
    <w:rsid w:val="00357E86"/>
    <w:rsid w:val="00357F3F"/>
    <w:rsid w:val="00357FE5"/>
    <w:rsid w:val="003600A4"/>
    <w:rsid w:val="00360150"/>
    <w:rsid w:val="00360173"/>
    <w:rsid w:val="00360335"/>
    <w:rsid w:val="00360373"/>
    <w:rsid w:val="00360535"/>
    <w:rsid w:val="0036058D"/>
    <w:rsid w:val="00360797"/>
    <w:rsid w:val="00360860"/>
    <w:rsid w:val="00360866"/>
    <w:rsid w:val="00360A54"/>
    <w:rsid w:val="00360BF4"/>
    <w:rsid w:val="00360CAB"/>
    <w:rsid w:val="00360CD3"/>
    <w:rsid w:val="00360CDE"/>
    <w:rsid w:val="00360D1D"/>
    <w:rsid w:val="00360D20"/>
    <w:rsid w:val="00360E04"/>
    <w:rsid w:val="00360EA7"/>
    <w:rsid w:val="003610AE"/>
    <w:rsid w:val="0036127E"/>
    <w:rsid w:val="0036144F"/>
    <w:rsid w:val="00361541"/>
    <w:rsid w:val="003615C3"/>
    <w:rsid w:val="0036168B"/>
    <w:rsid w:val="003616B5"/>
    <w:rsid w:val="0036181F"/>
    <w:rsid w:val="0036185C"/>
    <w:rsid w:val="0036187E"/>
    <w:rsid w:val="00361884"/>
    <w:rsid w:val="0036189B"/>
    <w:rsid w:val="0036192B"/>
    <w:rsid w:val="00361947"/>
    <w:rsid w:val="003619C7"/>
    <w:rsid w:val="00361A32"/>
    <w:rsid w:val="00361B20"/>
    <w:rsid w:val="00361C51"/>
    <w:rsid w:val="00361C70"/>
    <w:rsid w:val="00361D52"/>
    <w:rsid w:val="00361D56"/>
    <w:rsid w:val="00361EE8"/>
    <w:rsid w:val="00361F15"/>
    <w:rsid w:val="00361F22"/>
    <w:rsid w:val="00361F73"/>
    <w:rsid w:val="00362096"/>
    <w:rsid w:val="003621F7"/>
    <w:rsid w:val="00362512"/>
    <w:rsid w:val="0036253C"/>
    <w:rsid w:val="003625BB"/>
    <w:rsid w:val="00362618"/>
    <w:rsid w:val="0036262C"/>
    <w:rsid w:val="00362706"/>
    <w:rsid w:val="003628AD"/>
    <w:rsid w:val="0036295E"/>
    <w:rsid w:val="00362A3A"/>
    <w:rsid w:val="00362A72"/>
    <w:rsid w:val="00362A8D"/>
    <w:rsid w:val="00362A9B"/>
    <w:rsid w:val="00362ACE"/>
    <w:rsid w:val="00362BC9"/>
    <w:rsid w:val="00362BFD"/>
    <w:rsid w:val="00362E70"/>
    <w:rsid w:val="00363017"/>
    <w:rsid w:val="0036301A"/>
    <w:rsid w:val="0036301D"/>
    <w:rsid w:val="0036310A"/>
    <w:rsid w:val="00363198"/>
    <w:rsid w:val="003631BE"/>
    <w:rsid w:val="003631C5"/>
    <w:rsid w:val="003631EF"/>
    <w:rsid w:val="0036325B"/>
    <w:rsid w:val="0036327E"/>
    <w:rsid w:val="0036329B"/>
    <w:rsid w:val="003632EF"/>
    <w:rsid w:val="00363541"/>
    <w:rsid w:val="003635C3"/>
    <w:rsid w:val="0036361C"/>
    <w:rsid w:val="00363645"/>
    <w:rsid w:val="0036364E"/>
    <w:rsid w:val="003636AF"/>
    <w:rsid w:val="00363910"/>
    <w:rsid w:val="0036392B"/>
    <w:rsid w:val="0036396E"/>
    <w:rsid w:val="00363A14"/>
    <w:rsid w:val="00363AE2"/>
    <w:rsid w:val="00363AF0"/>
    <w:rsid w:val="00363BC9"/>
    <w:rsid w:val="00363C89"/>
    <w:rsid w:val="00363D08"/>
    <w:rsid w:val="00363E1C"/>
    <w:rsid w:val="00363ECC"/>
    <w:rsid w:val="00363F2D"/>
    <w:rsid w:val="003640F3"/>
    <w:rsid w:val="003643E4"/>
    <w:rsid w:val="0036457C"/>
    <w:rsid w:val="0036460E"/>
    <w:rsid w:val="0036467E"/>
    <w:rsid w:val="00364739"/>
    <w:rsid w:val="0036477D"/>
    <w:rsid w:val="003648B3"/>
    <w:rsid w:val="00364910"/>
    <w:rsid w:val="0036497D"/>
    <w:rsid w:val="0036499E"/>
    <w:rsid w:val="003649BA"/>
    <w:rsid w:val="003649CF"/>
    <w:rsid w:val="00364A46"/>
    <w:rsid w:val="00364CDB"/>
    <w:rsid w:val="00364CEB"/>
    <w:rsid w:val="00364E9F"/>
    <w:rsid w:val="00364F4B"/>
    <w:rsid w:val="00364F4F"/>
    <w:rsid w:val="00364FED"/>
    <w:rsid w:val="00365042"/>
    <w:rsid w:val="003650B4"/>
    <w:rsid w:val="00365193"/>
    <w:rsid w:val="00365230"/>
    <w:rsid w:val="00365258"/>
    <w:rsid w:val="00365394"/>
    <w:rsid w:val="003653F7"/>
    <w:rsid w:val="0036547C"/>
    <w:rsid w:val="003654A6"/>
    <w:rsid w:val="003654BD"/>
    <w:rsid w:val="003654FC"/>
    <w:rsid w:val="003655CA"/>
    <w:rsid w:val="003655F9"/>
    <w:rsid w:val="00365617"/>
    <w:rsid w:val="00365802"/>
    <w:rsid w:val="0036580B"/>
    <w:rsid w:val="0036585D"/>
    <w:rsid w:val="003658F8"/>
    <w:rsid w:val="00365911"/>
    <w:rsid w:val="00365B33"/>
    <w:rsid w:val="00365BEA"/>
    <w:rsid w:val="00365CB8"/>
    <w:rsid w:val="00365DA0"/>
    <w:rsid w:val="00365EAE"/>
    <w:rsid w:val="00365F6B"/>
    <w:rsid w:val="00366179"/>
    <w:rsid w:val="00366265"/>
    <w:rsid w:val="0036630B"/>
    <w:rsid w:val="003666CD"/>
    <w:rsid w:val="00366746"/>
    <w:rsid w:val="00366773"/>
    <w:rsid w:val="003667EF"/>
    <w:rsid w:val="00366842"/>
    <w:rsid w:val="0036688B"/>
    <w:rsid w:val="003669A0"/>
    <w:rsid w:val="00366B39"/>
    <w:rsid w:val="00366B7E"/>
    <w:rsid w:val="00366BBF"/>
    <w:rsid w:val="00366C96"/>
    <w:rsid w:val="00366CBA"/>
    <w:rsid w:val="00366D42"/>
    <w:rsid w:val="00366DCC"/>
    <w:rsid w:val="00366E78"/>
    <w:rsid w:val="00366E94"/>
    <w:rsid w:val="00366EA1"/>
    <w:rsid w:val="00366EBA"/>
    <w:rsid w:val="00366EF1"/>
    <w:rsid w:val="00367108"/>
    <w:rsid w:val="00367175"/>
    <w:rsid w:val="00367199"/>
    <w:rsid w:val="0036719F"/>
    <w:rsid w:val="003672F7"/>
    <w:rsid w:val="00367671"/>
    <w:rsid w:val="003676EB"/>
    <w:rsid w:val="00367704"/>
    <w:rsid w:val="003677AC"/>
    <w:rsid w:val="003677BD"/>
    <w:rsid w:val="003678A5"/>
    <w:rsid w:val="003678EE"/>
    <w:rsid w:val="00367925"/>
    <w:rsid w:val="0036795D"/>
    <w:rsid w:val="003679BA"/>
    <w:rsid w:val="00367A98"/>
    <w:rsid w:val="00367B31"/>
    <w:rsid w:val="00367C5A"/>
    <w:rsid w:val="00367C87"/>
    <w:rsid w:val="00367C9D"/>
    <w:rsid w:val="00367CD7"/>
    <w:rsid w:val="00367D2B"/>
    <w:rsid w:val="00367DC0"/>
    <w:rsid w:val="00367DF0"/>
    <w:rsid w:val="00367E6E"/>
    <w:rsid w:val="00367F8D"/>
    <w:rsid w:val="003700B2"/>
    <w:rsid w:val="003700D5"/>
    <w:rsid w:val="00370150"/>
    <w:rsid w:val="0037015A"/>
    <w:rsid w:val="00370229"/>
    <w:rsid w:val="003703D4"/>
    <w:rsid w:val="0037042B"/>
    <w:rsid w:val="00370490"/>
    <w:rsid w:val="00370548"/>
    <w:rsid w:val="003708C1"/>
    <w:rsid w:val="003709A4"/>
    <w:rsid w:val="00370A14"/>
    <w:rsid w:val="00370A96"/>
    <w:rsid w:val="00370ABF"/>
    <w:rsid w:val="00370B09"/>
    <w:rsid w:val="00370D4F"/>
    <w:rsid w:val="00370DBE"/>
    <w:rsid w:val="00370DD5"/>
    <w:rsid w:val="00370ECD"/>
    <w:rsid w:val="00370EF8"/>
    <w:rsid w:val="00370FAE"/>
    <w:rsid w:val="00370FFB"/>
    <w:rsid w:val="0037101E"/>
    <w:rsid w:val="003711DC"/>
    <w:rsid w:val="00371286"/>
    <w:rsid w:val="003712AC"/>
    <w:rsid w:val="00371356"/>
    <w:rsid w:val="00371378"/>
    <w:rsid w:val="003714D3"/>
    <w:rsid w:val="00371550"/>
    <w:rsid w:val="003715A0"/>
    <w:rsid w:val="003715D1"/>
    <w:rsid w:val="003715DA"/>
    <w:rsid w:val="00371639"/>
    <w:rsid w:val="00371659"/>
    <w:rsid w:val="0037174C"/>
    <w:rsid w:val="00371853"/>
    <w:rsid w:val="003718F8"/>
    <w:rsid w:val="0037190D"/>
    <w:rsid w:val="0037193B"/>
    <w:rsid w:val="00371B1E"/>
    <w:rsid w:val="00371C40"/>
    <w:rsid w:val="00371CDC"/>
    <w:rsid w:val="00371E4F"/>
    <w:rsid w:val="00371E58"/>
    <w:rsid w:val="00371FEC"/>
    <w:rsid w:val="00372078"/>
    <w:rsid w:val="003720D7"/>
    <w:rsid w:val="00372343"/>
    <w:rsid w:val="00372355"/>
    <w:rsid w:val="003723B4"/>
    <w:rsid w:val="003723FE"/>
    <w:rsid w:val="0037245B"/>
    <w:rsid w:val="00372591"/>
    <w:rsid w:val="003726D1"/>
    <w:rsid w:val="003727C6"/>
    <w:rsid w:val="003727F1"/>
    <w:rsid w:val="00372812"/>
    <w:rsid w:val="00372881"/>
    <w:rsid w:val="003728A6"/>
    <w:rsid w:val="003728E9"/>
    <w:rsid w:val="0037292E"/>
    <w:rsid w:val="003729A9"/>
    <w:rsid w:val="00372AE6"/>
    <w:rsid w:val="00372AEA"/>
    <w:rsid w:val="00372AFF"/>
    <w:rsid w:val="00372BA5"/>
    <w:rsid w:val="00372C93"/>
    <w:rsid w:val="00372D60"/>
    <w:rsid w:val="00372E4B"/>
    <w:rsid w:val="00372E8C"/>
    <w:rsid w:val="00372FF6"/>
    <w:rsid w:val="00373157"/>
    <w:rsid w:val="0037315E"/>
    <w:rsid w:val="00373188"/>
    <w:rsid w:val="003731AD"/>
    <w:rsid w:val="003732C9"/>
    <w:rsid w:val="003732CA"/>
    <w:rsid w:val="0037331F"/>
    <w:rsid w:val="0037332F"/>
    <w:rsid w:val="00373351"/>
    <w:rsid w:val="00373381"/>
    <w:rsid w:val="0037338C"/>
    <w:rsid w:val="003733F5"/>
    <w:rsid w:val="0037355E"/>
    <w:rsid w:val="0037360A"/>
    <w:rsid w:val="00373717"/>
    <w:rsid w:val="00373718"/>
    <w:rsid w:val="00373791"/>
    <w:rsid w:val="0037380C"/>
    <w:rsid w:val="00373850"/>
    <w:rsid w:val="0037395F"/>
    <w:rsid w:val="003739A9"/>
    <w:rsid w:val="00373A2B"/>
    <w:rsid w:val="00373A5F"/>
    <w:rsid w:val="00373D40"/>
    <w:rsid w:val="00373E3D"/>
    <w:rsid w:val="00373E41"/>
    <w:rsid w:val="00373E4A"/>
    <w:rsid w:val="00373E64"/>
    <w:rsid w:val="00373ED7"/>
    <w:rsid w:val="00373F09"/>
    <w:rsid w:val="00373FF3"/>
    <w:rsid w:val="00374011"/>
    <w:rsid w:val="003740EA"/>
    <w:rsid w:val="00374180"/>
    <w:rsid w:val="00374242"/>
    <w:rsid w:val="003742AF"/>
    <w:rsid w:val="003742EE"/>
    <w:rsid w:val="0037439B"/>
    <w:rsid w:val="003743D3"/>
    <w:rsid w:val="003743DC"/>
    <w:rsid w:val="0037442A"/>
    <w:rsid w:val="0037447E"/>
    <w:rsid w:val="003744EC"/>
    <w:rsid w:val="003746CB"/>
    <w:rsid w:val="003747FC"/>
    <w:rsid w:val="003749D6"/>
    <w:rsid w:val="00374A1C"/>
    <w:rsid w:val="00374A4F"/>
    <w:rsid w:val="00374A87"/>
    <w:rsid w:val="00374A88"/>
    <w:rsid w:val="00374BAC"/>
    <w:rsid w:val="00374C36"/>
    <w:rsid w:val="00374C42"/>
    <w:rsid w:val="00374D55"/>
    <w:rsid w:val="00374D5D"/>
    <w:rsid w:val="00374E01"/>
    <w:rsid w:val="00374E97"/>
    <w:rsid w:val="00374EA3"/>
    <w:rsid w:val="00375014"/>
    <w:rsid w:val="003750B7"/>
    <w:rsid w:val="003750D7"/>
    <w:rsid w:val="003751BD"/>
    <w:rsid w:val="003751FB"/>
    <w:rsid w:val="003752A9"/>
    <w:rsid w:val="003753DF"/>
    <w:rsid w:val="0037547C"/>
    <w:rsid w:val="0037572D"/>
    <w:rsid w:val="0037576B"/>
    <w:rsid w:val="00375854"/>
    <w:rsid w:val="0037588A"/>
    <w:rsid w:val="003759A6"/>
    <w:rsid w:val="003759D1"/>
    <w:rsid w:val="00375A1C"/>
    <w:rsid w:val="00375A69"/>
    <w:rsid w:val="00375A84"/>
    <w:rsid w:val="00375E75"/>
    <w:rsid w:val="00375E99"/>
    <w:rsid w:val="00375ECA"/>
    <w:rsid w:val="00375F6E"/>
    <w:rsid w:val="00375FF9"/>
    <w:rsid w:val="00376300"/>
    <w:rsid w:val="003763ED"/>
    <w:rsid w:val="0037646A"/>
    <w:rsid w:val="003764DC"/>
    <w:rsid w:val="003765B4"/>
    <w:rsid w:val="003765ED"/>
    <w:rsid w:val="0037677A"/>
    <w:rsid w:val="00376781"/>
    <w:rsid w:val="003767BC"/>
    <w:rsid w:val="0037689F"/>
    <w:rsid w:val="003769DF"/>
    <w:rsid w:val="00376A85"/>
    <w:rsid w:val="00376B30"/>
    <w:rsid w:val="00376B8A"/>
    <w:rsid w:val="00376BAE"/>
    <w:rsid w:val="00376C12"/>
    <w:rsid w:val="00376CFA"/>
    <w:rsid w:val="00376FB0"/>
    <w:rsid w:val="0037703A"/>
    <w:rsid w:val="00377141"/>
    <w:rsid w:val="003772ED"/>
    <w:rsid w:val="00377351"/>
    <w:rsid w:val="003773BE"/>
    <w:rsid w:val="003773BF"/>
    <w:rsid w:val="0037755F"/>
    <w:rsid w:val="0037761D"/>
    <w:rsid w:val="003776A3"/>
    <w:rsid w:val="00377703"/>
    <w:rsid w:val="00377898"/>
    <w:rsid w:val="003778A2"/>
    <w:rsid w:val="003779A4"/>
    <w:rsid w:val="00377AC6"/>
    <w:rsid w:val="00377BFA"/>
    <w:rsid w:val="00377C14"/>
    <w:rsid w:val="00377DE6"/>
    <w:rsid w:val="00377F8D"/>
    <w:rsid w:val="00380057"/>
    <w:rsid w:val="003800B6"/>
    <w:rsid w:val="0038014E"/>
    <w:rsid w:val="00380183"/>
    <w:rsid w:val="003801FC"/>
    <w:rsid w:val="003802C1"/>
    <w:rsid w:val="003803D1"/>
    <w:rsid w:val="00380424"/>
    <w:rsid w:val="0038045F"/>
    <w:rsid w:val="003805A0"/>
    <w:rsid w:val="00380641"/>
    <w:rsid w:val="00380856"/>
    <w:rsid w:val="00380866"/>
    <w:rsid w:val="00380913"/>
    <w:rsid w:val="0038091D"/>
    <w:rsid w:val="0038094D"/>
    <w:rsid w:val="00380991"/>
    <w:rsid w:val="003809AA"/>
    <w:rsid w:val="003809C3"/>
    <w:rsid w:val="00380A0E"/>
    <w:rsid w:val="00380A80"/>
    <w:rsid w:val="00380B8C"/>
    <w:rsid w:val="00380CE7"/>
    <w:rsid w:val="00380E4A"/>
    <w:rsid w:val="00380E5C"/>
    <w:rsid w:val="00380E69"/>
    <w:rsid w:val="00380F80"/>
    <w:rsid w:val="00381000"/>
    <w:rsid w:val="00381104"/>
    <w:rsid w:val="00381115"/>
    <w:rsid w:val="0038116E"/>
    <w:rsid w:val="00381178"/>
    <w:rsid w:val="003811BC"/>
    <w:rsid w:val="0038123C"/>
    <w:rsid w:val="003812DD"/>
    <w:rsid w:val="003812DF"/>
    <w:rsid w:val="00381498"/>
    <w:rsid w:val="003814A1"/>
    <w:rsid w:val="003814F4"/>
    <w:rsid w:val="00381519"/>
    <w:rsid w:val="003815A4"/>
    <w:rsid w:val="00381683"/>
    <w:rsid w:val="00381692"/>
    <w:rsid w:val="003817CA"/>
    <w:rsid w:val="00381801"/>
    <w:rsid w:val="0038184C"/>
    <w:rsid w:val="0038198F"/>
    <w:rsid w:val="003819F0"/>
    <w:rsid w:val="003819F7"/>
    <w:rsid w:val="00381A1C"/>
    <w:rsid w:val="00381A3B"/>
    <w:rsid w:val="00381A6B"/>
    <w:rsid w:val="00381AC0"/>
    <w:rsid w:val="00381AE2"/>
    <w:rsid w:val="00381C14"/>
    <w:rsid w:val="00381C1A"/>
    <w:rsid w:val="00381D41"/>
    <w:rsid w:val="00381E4F"/>
    <w:rsid w:val="00381E5F"/>
    <w:rsid w:val="00381F14"/>
    <w:rsid w:val="00381F83"/>
    <w:rsid w:val="00382389"/>
    <w:rsid w:val="00382423"/>
    <w:rsid w:val="003824CA"/>
    <w:rsid w:val="0038264A"/>
    <w:rsid w:val="003826C0"/>
    <w:rsid w:val="003826F8"/>
    <w:rsid w:val="003827FA"/>
    <w:rsid w:val="0038284A"/>
    <w:rsid w:val="003828B5"/>
    <w:rsid w:val="0038292A"/>
    <w:rsid w:val="003829F7"/>
    <w:rsid w:val="00382A1A"/>
    <w:rsid w:val="00382ABE"/>
    <w:rsid w:val="00382BCB"/>
    <w:rsid w:val="00382C7D"/>
    <w:rsid w:val="00382C7F"/>
    <w:rsid w:val="00382CB0"/>
    <w:rsid w:val="00382CB8"/>
    <w:rsid w:val="00382E46"/>
    <w:rsid w:val="00382EF1"/>
    <w:rsid w:val="0038301A"/>
    <w:rsid w:val="003830B4"/>
    <w:rsid w:val="00383163"/>
    <w:rsid w:val="00383306"/>
    <w:rsid w:val="0038337D"/>
    <w:rsid w:val="003833B2"/>
    <w:rsid w:val="00383466"/>
    <w:rsid w:val="003834BC"/>
    <w:rsid w:val="00383538"/>
    <w:rsid w:val="003835F7"/>
    <w:rsid w:val="0038361B"/>
    <w:rsid w:val="00383637"/>
    <w:rsid w:val="00383681"/>
    <w:rsid w:val="003836DB"/>
    <w:rsid w:val="00383701"/>
    <w:rsid w:val="0038371B"/>
    <w:rsid w:val="0038386E"/>
    <w:rsid w:val="00383990"/>
    <w:rsid w:val="0038399C"/>
    <w:rsid w:val="00383C47"/>
    <w:rsid w:val="00383C50"/>
    <w:rsid w:val="00383C7C"/>
    <w:rsid w:val="00383D79"/>
    <w:rsid w:val="00383E83"/>
    <w:rsid w:val="00383F08"/>
    <w:rsid w:val="00383F16"/>
    <w:rsid w:val="00383FF7"/>
    <w:rsid w:val="00384022"/>
    <w:rsid w:val="00384187"/>
    <w:rsid w:val="00384382"/>
    <w:rsid w:val="00384409"/>
    <w:rsid w:val="0038441D"/>
    <w:rsid w:val="003844AB"/>
    <w:rsid w:val="003845FD"/>
    <w:rsid w:val="0038470A"/>
    <w:rsid w:val="0038476E"/>
    <w:rsid w:val="003847A5"/>
    <w:rsid w:val="003847C5"/>
    <w:rsid w:val="00384941"/>
    <w:rsid w:val="00384A8F"/>
    <w:rsid w:val="00384AAD"/>
    <w:rsid w:val="00384BE3"/>
    <w:rsid w:val="00384CB8"/>
    <w:rsid w:val="00384D4C"/>
    <w:rsid w:val="00384E26"/>
    <w:rsid w:val="00384E9A"/>
    <w:rsid w:val="00384F0D"/>
    <w:rsid w:val="00384F62"/>
    <w:rsid w:val="00384FBA"/>
    <w:rsid w:val="00384FF4"/>
    <w:rsid w:val="003850CA"/>
    <w:rsid w:val="0038524A"/>
    <w:rsid w:val="0038538F"/>
    <w:rsid w:val="003853A6"/>
    <w:rsid w:val="0038543A"/>
    <w:rsid w:val="003854C7"/>
    <w:rsid w:val="0038556E"/>
    <w:rsid w:val="003855A9"/>
    <w:rsid w:val="00385617"/>
    <w:rsid w:val="00385653"/>
    <w:rsid w:val="003856A6"/>
    <w:rsid w:val="0038571D"/>
    <w:rsid w:val="0038572D"/>
    <w:rsid w:val="00385803"/>
    <w:rsid w:val="003858AE"/>
    <w:rsid w:val="003858DB"/>
    <w:rsid w:val="00385956"/>
    <w:rsid w:val="00385ACC"/>
    <w:rsid w:val="00385BEF"/>
    <w:rsid w:val="00385C54"/>
    <w:rsid w:val="00385C90"/>
    <w:rsid w:val="00385D62"/>
    <w:rsid w:val="00385DA2"/>
    <w:rsid w:val="00385DDE"/>
    <w:rsid w:val="00385EF6"/>
    <w:rsid w:val="00385F30"/>
    <w:rsid w:val="00385F67"/>
    <w:rsid w:val="00385F78"/>
    <w:rsid w:val="00385FC2"/>
    <w:rsid w:val="0038609D"/>
    <w:rsid w:val="0038636C"/>
    <w:rsid w:val="003863BB"/>
    <w:rsid w:val="00386490"/>
    <w:rsid w:val="003865C8"/>
    <w:rsid w:val="00386644"/>
    <w:rsid w:val="003866AD"/>
    <w:rsid w:val="0038679C"/>
    <w:rsid w:val="003867DE"/>
    <w:rsid w:val="0038681A"/>
    <w:rsid w:val="00386857"/>
    <w:rsid w:val="00386A28"/>
    <w:rsid w:val="00386B1B"/>
    <w:rsid w:val="00386EA6"/>
    <w:rsid w:val="00386F16"/>
    <w:rsid w:val="00386F63"/>
    <w:rsid w:val="00386F6B"/>
    <w:rsid w:val="00387045"/>
    <w:rsid w:val="00387135"/>
    <w:rsid w:val="00387149"/>
    <w:rsid w:val="00387300"/>
    <w:rsid w:val="003874CD"/>
    <w:rsid w:val="00387503"/>
    <w:rsid w:val="00387518"/>
    <w:rsid w:val="00387538"/>
    <w:rsid w:val="003875D5"/>
    <w:rsid w:val="0038767D"/>
    <w:rsid w:val="003876D2"/>
    <w:rsid w:val="00387815"/>
    <w:rsid w:val="003878AF"/>
    <w:rsid w:val="003879BB"/>
    <w:rsid w:val="00387C52"/>
    <w:rsid w:val="00387C83"/>
    <w:rsid w:val="00387CC9"/>
    <w:rsid w:val="00387D07"/>
    <w:rsid w:val="00387D0B"/>
    <w:rsid w:val="00387D26"/>
    <w:rsid w:val="00387D29"/>
    <w:rsid w:val="00387D44"/>
    <w:rsid w:val="00387E6B"/>
    <w:rsid w:val="00387EA4"/>
    <w:rsid w:val="00387EF3"/>
    <w:rsid w:val="0039002F"/>
    <w:rsid w:val="00390055"/>
    <w:rsid w:val="003900EF"/>
    <w:rsid w:val="0039024A"/>
    <w:rsid w:val="003902F8"/>
    <w:rsid w:val="00390406"/>
    <w:rsid w:val="00390428"/>
    <w:rsid w:val="0039058E"/>
    <w:rsid w:val="003905A1"/>
    <w:rsid w:val="0039063F"/>
    <w:rsid w:val="00390642"/>
    <w:rsid w:val="003906FF"/>
    <w:rsid w:val="00390714"/>
    <w:rsid w:val="0039079D"/>
    <w:rsid w:val="00390835"/>
    <w:rsid w:val="003908EF"/>
    <w:rsid w:val="0039090B"/>
    <w:rsid w:val="00390973"/>
    <w:rsid w:val="00390B0D"/>
    <w:rsid w:val="00390BD6"/>
    <w:rsid w:val="00390C20"/>
    <w:rsid w:val="00390CCD"/>
    <w:rsid w:val="00390CE0"/>
    <w:rsid w:val="00390E4A"/>
    <w:rsid w:val="00390E83"/>
    <w:rsid w:val="00390EC2"/>
    <w:rsid w:val="00390EEA"/>
    <w:rsid w:val="00390F2F"/>
    <w:rsid w:val="0039102B"/>
    <w:rsid w:val="0039114F"/>
    <w:rsid w:val="003911A0"/>
    <w:rsid w:val="003911F9"/>
    <w:rsid w:val="0039120B"/>
    <w:rsid w:val="0039133B"/>
    <w:rsid w:val="003914A6"/>
    <w:rsid w:val="003914EC"/>
    <w:rsid w:val="00391676"/>
    <w:rsid w:val="00391724"/>
    <w:rsid w:val="003917D9"/>
    <w:rsid w:val="003919B7"/>
    <w:rsid w:val="003919F2"/>
    <w:rsid w:val="00391A32"/>
    <w:rsid w:val="00391B00"/>
    <w:rsid w:val="00391C68"/>
    <w:rsid w:val="00391D3A"/>
    <w:rsid w:val="00391DA9"/>
    <w:rsid w:val="00391E6F"/>
    <w:rsid w:val="00391E9A"/>
    <w:rsid w:val="00391F04"/>
    <w:rsid w:val="00391F1D"/>
    <w:rsid w:val="0039220A"/>
    <w:rsid w:val="00392210"/>
    <w:rsid w:val="0039224B"/>
    <w:rsid w:val="00392429"/>
    <w:rsid w:val="00392446"/>
    <w:rsid w:val="003924AF"/>
    <w:rsid w:val="0039256D"/>
    <w:rsid w:val="0039256E"/>
    <w:rsid w:val="00392573"/>
    <w:rsid w:val="003925AC"/>
    <w:rsid w:val="00392769"/>
    <w:rsid w:val="0039281F"/>
    <w:rsid w:val="003928DF"/>
    <w:rsid w:val="0039293A"/>
    <w:rsid w:val="00392A22"/>
    <w:rsid w:val="00392AA4"/>
    <w:rsid w:val="00392ADD"/>
    <w:rsid w:val="00392B17"/>
    <w:rsid w:val="00392BA0"/>
    <w:rsid w:val="00392BF2"/>
    <w:rsid w:val="00392BF6"/>
    <w:rsid w:val="00392CFB"/>
    <w:rsid w:val="00392DA2"/>
    <w:rsid w:val="00392FCF"/>
    <w:rsid w:val="0039318C"/>
    <w:rsid w:val="003932F5"/>
    <w:rsid w:val="00393463"/>
    <w:rsid w:val="00393561"/>
    <w:rsid w:val="003935A4"/>
    <w:rsid w:val="003935CC"/>
    <w:rsid w:val="00393608"/>
    <w:rsid w:val="0039373D"/>
    <w:rsid w:val="003937C3"/>
    <w:rsid w:val="003938C9"/>
    <w:rsid w:val="003938CB"/>
    <w:rsid w:val="00393916"/>
    <w:rsid w:val="00393919"/>
    <w:rsid w:val="0039399A"/>
    <w:rsid w:val="00393AEE"/>
    <w:rsid w:val="00393BDE"/>
    <w:rsid w:val="00393C9E"/>
    <w:rsid w:val="00393CA1"/>
    <w:rsid w:val="00393CF0"/>
    <w:rsid w:val="00393DB8"/>
    <w:rsid w:val="00393F1E"/>
    <w:rsid w:val="00393FB0"/>
    <w:rsid w:val="00393FD5"/>
    <w:rsid w:val="00394171"/>
    <w:rsid w:val="00394227"/>
    <w:rsid w:val="0039424C"/>
    <w:rsid w:val="0039425C"/>
    <w:rsid w:val="00394297"/>
    <w:rsid w:val="003942CA"/>
    <w:rsid w:val="00394485"/>
    <w:rsid w:val="003944BC"/>
    <w:rsid w:val="00394517"/>
    <w:rsid w:val="00394757"/>
    <w:rsid w:val="003947D8"/>
    <w:rsid w:val="0039483A"/>
    <w:rsid w:val="00394857"/>
    <w:rsid w:val="0039498A"/>
    <w:rsid w:val="003949DD"/>
    <w:rsid w:val="00394B48"/>
    <w:rsid w:val="00394BB3"/>
    <w:rsid w:val="00394BD4"/>
    <w:rsid w:val="00394BF3"/>
    <w:rsid w:val="00394C49"/>
    <w:rsid w:val="00394D5E"/>
    <w:rsid w:val="00394D62"/>
    <w:rsid w:val="00394ED5"/>
    <w:rsid w:val="00394EE1"/>
    <w:rsid w:val="00394F39"/>
    <w:rsid w:val="00394FA4"/>
    <w:rsid w:val="00395040"/>
    <w:rsid w:val="0039504D"/>
    <w:rsid w:val="0039509C"/>
    <w:rsid w:val="003950FE"/>
    <w:rsid w:val="003952EA"/>
    <w:rsid w:val="003952FC"/>
    <w:rsid w:val="0039532A"/>
    <w:rsid w:val="003953D0"/>
    <w:rsid w:val="003953FC"/>
    <w:rsid w:val="00395406"/>
    <w:rsid w:val="00395472"/>
    <w:rsid w:val="00395530"/>
    <w:rsid w:val="0039556D"/>
    <w:rsid w:val="0039565C"/>
    <w:rsid w:val="003956AC"/>
    <w:rsid w:val="0039582E"/>
    <w:rsid w:val="0039593F"/>
    <w:rsid w:val="003959EA"/>
    <w:rsid w:val="00395A57"/>
    <w:rsid w:val="00395BC4"/>
    <w:rsid w:val="00395D69"/>
    <w:rsid w:val="00395EB5"/>
    <w:rsid w:val="00395EC1"/>
    <w:rsid w:val="00396147"/>
    <w:rsid w:val="0039616E"/>
    <w:rsid w:val="003961B8"/>
    <w:rsid w:val="00396201"/>
    <w:rsid w:val="0039625B"/>
    <w:rsid w:val="00396291"/>
    <w:rsid w:val="003962D2"/>
    <w:rsid w:val="0039637D"/>
    <w:rsid w:val="0039638C"/>
    <w:rsid w:val="003963AF"/>
    <w:rsid w:val="003963FF"/>
    <w:rsid w:val="003964C0"/>
    <w:rsid w:val="00396633"/>
    <w:rsid w:val="0039665F"/>
    <w:rsid w:val="00396665"/>
    <w:rsid w:val="0039666D"/>
    <w:rsid w:val="0039669E"/>
    <w:rsid w:val="00396788"/>
    <w:rsid w:val="0039683C"/>
    <w:rsid w:val="003968CE"/>
    <w:rsid w:val="00396925"/>
    <w:rsid w:val="003969B0"/>
    <w:rsid w:val="003969E5"/>
    <w:rsid w:val="00396A9A"/>
    <w:rsid w:val="00396AC2"/>
    <w:rsid w:val="00396D0D"/>
    <w:rsid w:val="00396D7D"/>
    <w:rsid w:val="00396DB1"/>
    <w:rsid w:val="00396FA6"/>
    <w:rsid w:val="00396FF2"/>
    <w:rsid w:val="00397023"/>
    <w:rsid w:val="003970AE"/>
    <w:rsid w:val="003970ED"/>
    <w:rsid w:val="00397360"/>
    <w:rsid w:val="0039745E"/>
    <w:rsid w:val="00397524"/>
    <w:rsid w:val="00397724"/>
    <w:rsid w:val="00397825"/>
    <w:rsid w:val="003978E2"/>
    <w:rsid w:val="00397919"/>
    <w:rsid w:val="0039793C"/>
    <w:rsid w:val="0039797E"/>
    <w:rsid w:val="003979F5"/>
    <w:rsid w:val="00397A34"/>
    <w:rsid w:val="00397AF1"/>
    <w:rsid w:val="00397B5F"/>
    <w:rsid w:val="00397BE9"/>
    <w:rsid w:val="00397CA0"/>
    <w:rsid w:val="00397D7B"/>
    <w:rsid w:val="00397DC2"/>
    <w:rsid w:val="00397E2C"/>
    <w:rsid w:val="00397F1D"/>
    <w:rsid w:val="00397FE8"/>
    <w:rsid w:val="003A0004"/>
    <w:rsid w:val="003A0130"/>
    <w:rsid w:val="003A0159"/>
    <w:rsid w:val="003A01A0"/>
    <w:rsid w:val="003A0207"/>
    <w:rsid w:val="003A03B0"/>
    <w:rsid w:val="003A0429"/>
    <w:rsid w:val="003A0441"/>
    <w:rsid w:val="003A04CF"/>
    <w:rsid w:val="003A0591"/>
    <w:rsid w:val="003A059D"/>
    <w:rsid w:val="003A06EC"/>
    <w:rsid w:val="003A07CA"/>
    <w:rsid w:val="003A0844"/>
    <w:rsid w:val="003A08C7"/>
    <w:rsid w:val="003A08DB"/>
    <w:rsid w:val="003A092F"/>
    <w:rsid w:val="003A0984"/>
    <w:rsid w:val="003A0A0C"/>
    <w:rsid w:val="003A0A74"/>
    <w:rsid w:val="003A0AC8"/>
    <w:rsid w:val="003A0B0A"/>
    <w:rsid w:val="003A0B36"/>
    <w:rsid w:val="003A0BFB"/>
    <w:rsid w:val="003A0C3F"/>
    <w:rsid w:val="003A0D8A"/>
    <w:rsid w:val="003A0F94"/>
    <w:rsid w:val="003A10C9"/>
    <w:rsid w:val="003A110E"/>
    <w:rsid w:val="003A12CD"/>
    <w:rsid w:val="003A12FA"/>
    <w:rsid w:val="003A1319"/>
    <w:rsid w:val="003A155D"/>
    <w:rsid w:val="003A15FB"/>
    <w:rsid w:val="003A1623"/>
    <w:rsid w:val="003A1626"/>
    <w:rsid w:val="003A1743"/>
    <w:rsid w:val="003A1744"/>
    <w:rsid w:val="003A1824"/>
    <w:rsid w:val="003A195D"/>
    <w:rsid w:val="003A19E8"/>
    <w:rsid w:val="003A1AE2"/>
    <w:rsid w:val="003A1C5D"/>
    <w:rsid w:val="003A1D20"/>
    <w:rsid w:val="003A1DC4"/>
    <w:rsid w:val="003A1DDE"/>
    <w:rsid w:val="003A1E11"/>
    <w:rsid w:val="003A1F59"/>
    <w:rsid w:val="003A1F73"/>
    <w:rsid w:val="003A2017"/>
    <w:rsid w:val="003A206A"/>
    <w:rsid w:val="003A209A"/>
    <w:rsid w:val="003A210D"/>
    <w:rsid w:val="003A2168"/>
    <w:rsid w:val="003A21C4"/>
    <w:rsid w:val="003A21DC"/>
    <w:rsid w:val="003A2252"/>
    <w:rsid w:val="003A2254"/>
    <w:rsid w:val="003A2315"/>
    <w:rsid w:val="003A2646"/>
    <w:rsid w:val="003A2783"/>
    <w:rsid w:val="003A2784"/>
    <w:rsid w:val="003A27ED"/>
    <w:rsid w:val="003A27FF"/>
    <w:rsid w:val="003A289A"/>
    <w:rsid w:val="003A2AAA"/>
    <w:rsid w:val="003A2BE9"/>
    <w:rsid w:val="003A2C19"/>
    <w:rsid w:val="003A2CA4"/>
    <w:rsid w:val="003A2CD8"/>
    <w:rsid w:val="003A2D1E"/>
    <w:rsid w:val="003A2DD5"/>
    <w:rsid w:val="003A2F97"/>
    <w:rsid w:val="003A2FB3"/>
    <w:rsid w:val="003A2FF4"/>
    <w:rsid w:val="003A3011"/>
    <w:rsid w:val="003A3045"/>
    <w:rsid w:val="003A30BF"/>
    <w:rsid w:val="003A317B"/>
    <w:rsid w:val="003A32B9"/>
    <w:rsid w:val="003A3363"/>
    <w:rsid w:val="003A3372"/>
    <w:rsid w:val="003A3388"/>
    <w:rsid w:val="003A3466"/>
    <w:rsid w:val="003A3699"/>
    <w:rsid w:val="003A36A1"/>
    <w:rsid w:val="003A3762"/>
    <w:rsid w:val="003A3A2F"/>
    <w:rsid w:val="003A3A99"/>
    <w:rsid w:val="003A3B99"/>
    <w:rsid w:val="003A3BBA"/>
    <w:rsid w:val="003A3C55"/>
    <w:rsid w:val="003A3C9C"/>
    <w:rsid w:val="003A3CF6"/>
    <w:rsid w:val="003A3D59"/>
    <w:rsid w:val="003A3EEC"/>
    <w:rsid w:val="003A3F43"/>
    <w:rsid w:val="003A3F57"/>
    <w:rsid w:val="003A3FF8"/>
    <w:rsid w:val="003A41D7"/>
    <w:rsid w:val="003A4239"/>
    <w:rsid w:val="003A4279"/>
    <w:rsid w:val="003A42FC"/>
    <w:rsid w:val="003A4333"/>
    <w:rsid w:val="003A43CA"/>
    <w:rsid w:val="003A457A"/>
    <w:rsid w:val="003A457E"/>
    <w:rsid w:val="003A4617"/>
    <w:rsid w:val="003A47B1"/>
    <w:rsid w:val="003A47F6"/>
    <w:rsid w:val="003A49C5"/>
    <w:rsid w:val="003A4B1A"/>
    <w:rsid w:val="003A4B61"/>
    <w:rsid w:val="003A4BF6"/>
    <w:rsid w:val="003A4C53"/>
    <w:rsid w:val="003A4D51"/>
    <w:rsid w:val="003A4D6D"/>
    <w:rsid w:val="003A4E99"/>
    <w:rsid w:val="003A4F3F"/>
    <w:rsid w:val="003A4F46"/>
    <w:rsid w:val="003A5093"/>
    <w:rsid w:val="003A50C1"/>
    <w:rsid w:val="003A50DC"/>
    <w:rsid w:val="003A51A4"/>
    <w:rsid w:val="003A5285"/>
    <w:rsid w:val="003A52ED"/>
    <w:rsid w:val="003A545D"/>
    <w:rsid w:val="003A54B6"/>
    <w:rsid w:val="003A57CC"/>
    <w:rsid w:val="003A5BE2"/>
    <w:rsid w:val="003A5C2A"/>
    <w:rsid w:val="003A5CCD"/>
    <w:rsid w:val="003A5D13"/>
    <w:rsid w:val="003A5E0B"/>
    <w:rsid w:val="003A5E36"/>
    <w:rsid w:val="003A5FD3"/>
    <w:rsid w:val="003A605D"/>
    <w:rsid w:val="003A61CB"/>
    <w:rsid w:val="003A6217"/>
    <w:rsid w:val="003A6354"/>
    <w:rsid w:val="003A647C"/>
    <w:rsid w:val="003A648C"/>
    <w:rsid w:val="003A664D"/>
    <w:rsid w:val="003A6653"/>
    <w:rsid w:val="003A666F"/>
    <w:rsid w:val="003A676C"/>
    <w:rsid w:val="003A67BA"/>
    <w:rsid w:val="003A681F"/>
    <w:rsid w:val="003A6AA8"/>
    <w:rsid w:val="003A6AF9"/>
    <w:rsid w:val="003A6C11"/>
    <w:rsid w:val="003A6C5D"/>
    <w:rsid w:val="003A6C6C"/>
    <w:rsid w:val="003A6D67"/>
    <w:rsid w:val="003A6D71"/>
    <w:rsid w:val="003A6E58"/>
    <w:rsid w:val="003A6FCF"/>
    <w:rsid w:val="003A73F6"/>
    <w:rsid w:val="003A754F"/>
    <w:rsid w:val="003A7568"/>
    <w:rsid w:val="003A757F"/>
    <w:rsid w:val="003A7800"/>
    <w:rsid w:val="003A7822"/>
    <w:rsid w:val="003A7A7E"/>
    <w:rsid w:val="003A7A99"/>
    <w:rsid w:val="003A7B01"/>
    <w:rsid w:val="003A7B60"/>
    <w:rsid w:val="003A7BA9"/>
    <w:rsid w:val="003A7BC2"/>
    <w:rsid w:val="003A7E7F"/>
    <w:rsid w:val="003A7F3A"/>
    <w:rsid w:val="003A7FB6"/>
    <w:rsid w:val="003B015E"/>
    <w:rsid w:val="003B01FC"/>
    <w:rsid w:val="003B0255"/>
    <w:rsid w:val="003B03AA"/>
    <w:rsid w:val="003B043F"/>
    <w:rsid w:val="003B0452"/>
    <w:rsid w:val="003B0661"/>
    <w:rsid w:val="003B06B7"/>
    <w:rsid w:val="003B088B"/>
    <w:rsid w:val="003B0996"/>
    <w:rsid w:val="003B0ADB"/>
    <w:rsid w:val="003B0AE4"/>
    <w:rsid w:val="003B0C32"/>
    <w:rsid w:val="003B0C7C"/>
    <w:rsid w:val="003B0D49"/>
    <w:rsid w:val="003B0E99"/>
    <w:rsid w:val="003B0EA2"/>
    <w:rsid w:val="003B0F27"/>
    <w:rsid w:val="003B0FF7"/>
    <w:rsid w:val="003B11C8"/>
    <w:rsid w:val="003B12F6"/>
    <w:rsid w:val="003B1395"/>
    <w:rsid w:val="003B144B"/>
    <w:rsid w:val="003B14A5"/>
    <w:rsid w:val="003B1582"/>
    <w:rsid w:val="003B158A"/>
    <w:rsid w:val="003B159B"/>
    <w:rsid w:val="003B15E0"/>
    <w:rsid w:val="003B16C5"/>
    <w:rsid w:val="003B1703"/>
    <w:rsid w:val="003B174E"/>
    <w:rsid w:val="003B17DB"/>
    <w:rsid w:val="003B18E7"/>
    <w:rsid w:val="003B19CB"/>
    <w:rsid w:val="003B1A9F"/>
    <w:rsid w:val="003B1B88"/>
    <w:rsid w:val="003B1C01"/>
    <w:rsid w:val="003B1C04"/>
    <w:rsid w:val="003B1C1E"/>
    <w:rsid w:val="003B1D00"/>
    <w:rsid w:val="003B1D37"/>
    <w:rsid w:val="003B1D5C"/>
    <w:rsid w:val="003B1D8E"/>
    <w:rsid w:val="003B1DCC"/>
    <w:rsid w:val="003B1DF9"/>
    <w:rsid w:val="003B1F66"/>
    <w:rsid w:val="003B216D"/>
    <w:rsid w:val="003B21E7"/>
    <w:rsid w:val="003B21FC"/>
    <w:rsid w:val="003B22BB"/>
    <w:rsid w:val="003B230A"/>
    <w:rsid w:val="003B23A8"/>
    <w:rsid w:val="003B2405"/>
    <w:rsid w:val="003B251B"/>
    <w:rsid w:val="003B2533"/>
    <w:rsid w:val="003B257D"/>
    <w:rsid w:val="003B2728"/>
    <w:rsid w:val="003B27E4"/>
    <w:rsid w:val="003B2821"/>
    <w:rsid w:val="003B28E5"/>
    <w:rsid w:val="003B291F"/>
    <w:rsid w:val="003B296B"/>
    <w:rsid w:val="003B29B5"/>
    <w:rsid w:val="003B2A71"/>
    <w:rsid w:val="003B2AA0"/>
    <w:rsid w:val="003B2ACC"/>
    <w:rsid w:val="003B2AEC"/>
    <w:rsid w:val="003B2BA9"/>
    <w:rsid w:val="003B2BBB"/>
    <w:rsid w:val="003B2C3C"/>
    <w:rsid w:val="003B2DBC"/>
    <w:rsid w:val="003B2F3E"/>
    <w:rsid w:val="003B2F4B"/>
    <w:rsid w:val="003B2FE5"/>
    <w:rsid w:val="003B30A9"/>
    <w:rsid w:val="003B3298"/>
    <w:rsid w:val="003B3302"/>
    <w:rsid w:val="003B330A"/>
    <w:rsid w:val="003B3335"/>
    <w:rsid w:val="003B335D"/>
    <w:rsid w:val="003B33A4"/>
    <w:rsid w:val="003B3459"/>
    <w:rsid w:val="003B348D"/>
    <w:rsid w:val="003B367D"/>
    <w:rsid w:val="003B399B"/>
    <w:rsid w:val="003B39B2"/>
    <w:rsid w:val="003B39DA"/>
    <w:rsid w:val="003B39F6"/>
    <w:rsid w:val="003B3A49"/>
    <w:rsid w:val="003B3AA3"/>
    <w:rsid w:val="003B3B49"/>
    <w:rsid w:val="003B3B51"/>
    <w:rsid w:val="003B3C0B"/>
    <w:rsid w:val="003B3C56"/>
    <w:rsid w:val="003B3CA4"/>
    <w:rsid w:val="003B3D62"/>
    <w:rsid w:val="003B3E1A"/>
    <w:rsid w:val="003B3EC6"/>
    <w:rsid w:val="003B402E"/>
    <w:rsid w:val="003B4213"/>
    <w:rsid w:val="003B4220"/>
    <w:rsid w:val="003B431A"/>
    <w:rsid w:val="003B4399"/>
    <w:rsid w:val="003B43C5"/>
    <w:rsid w:val="003B43E0"/>
    <w:rsid w:val="003B4469"/>
    <w:rsid w:val="003B44A8"/>
    <w:rsid w:val="003B44FB"/>
    <w:rsid w:val="003B4569"/>
    <w:rsid w:val="003B4600"/>
    <w:rsid w:val="003B4611"/>
    <w:rsid w:val="003B4657"/>
    <w:rsid w:val="003B4839"/>
    <w:rsid w:val="003B4864"/>
    <w:rsid w:val="003B48DB"/>
    <w:rsid w:val="003B4929"/>
    <w:rsid w:val="003B4938"/>
    <w:rsid w:val="003B499A"/>
    <w:rsid w:val="003B49C2"/>
    <w:rsid w:val="003B4A08"/>
    <w:rsid w:val="003B4D02"/>
    <w:rsid w:val="003B4DB1"/>
    <w:rsid w:val="003B4EAA"/>
    <w:rsid w:val="003B4F02"/>
    <w:rsid w:val="003B4F17"/>
    <w:rsid w:val="003B50CA"/>
    <w:rsid w:val="003B50D3"/>
    <w:rsid w:val="003B514F"/>
    <w:rsid w:val="003B51BA"/>
    <w:rsid w:val="003B5259"/>
    <w:rsid w:val="003B52D4"/>
    <w:rsid w:val="003B5301"/>
    <w:rsid w:val="003B53F6"/>
    <w:rsid w:val="003B53FA"/>
    <w:rsid w:val="003B5428"/>
    <w:rsid w:val="003B546E"/>
    <w:rsid w:val="003B54D1"/>
    <w:rsid w:val="003B5584"/>
    <w:rsid w:val="003B55D4"/>
    <w:rsid w:val="003B5673"/>
    <w:rsid w:val="003B56DE"/>
    <w:rsid w:val="003B576E"/>
    <w:rsid w:val="003B57BF"/>
    <w:rsid w:val="003B57FB"/>
    <w:rsid w:val="003B584A"/>
    <w:rsid w:val="003B589D"/>
    <w:rsid w:val="003B58D8"/>
    <w:rsid w:val="003B5970"/>
    <w:rsid w:val="003B59A9"/>
    <w:rsid w:val="003B59B2"/>
    <w:rsid w:val="003B5C02"/>
    <w:rsid w:val="003B5C46"/>
    <w:rsid w:val="003B5C61"/>
    <w:rsid w:val="003B5CFD"/>
    <w:rsid w:val="003B5E48"/>
    <w:rsid w:val="003B5E6D"/>
    <w:rsid w:val="003B5FFA"/>
    <w:rsid w:val="003B6012"/>
    <w:rsid w:val="003B601D"/>
    <w:rsid w:val="003B61D7"/>
    <w:rsid w:val="003B6276"/>
    <w:rsid w:val="003B62A1"/>
    <w:rsid w:val="003B62AF"/>
    <w:rsid w:val="003B63E7"/>
    <w:rsid w:val="003B656A"/>
    <w:rsid w:val="003B65CD"/>
    <w:rsid w:val="003B6658"/>
    <w:rsid w:val="003B6724"/>
    <w:rsid w:val="003B6938"/>
    <w:rsid w:val="003B6998"/>
    <w:rsid w:val="003B69DA"/>
    <w:rsid w:val="003B6A3A"/>
    <w:rsid w:val="003B6B19"/>
    <w:rsid w:val="003B6C55"/>
    <w:rsid w:val="003B6C84"/>
    <w:rsid w:val="003B6CE1"/>
    <w:rsid w:val="003B6D57"/>
    <w:rsid w:val="003B6DF5"/>
    <w:rsid w:val="003B6E22"/>
    <w:rsid w:val="003B6F27"/>
    <w:rsid w:val="003B6F99"/>
    <w:rsid w:val="003B7058"/>
    <w:rsid w:val="003B712D"/>
    <w:rsid w:val="003B7251"/>
    <w:rsid w:val="003B73F4"/>
    <w:rsid w:val="003B7634"/>
    <w:rsid w:val="003B7652"/>
    <w:rsid w:val="003B7655"/>
    <w:rsid w:val="003B76C4"/>
    <w:rsid w:val="003B7705"/>
    <w:rsid w:val="003B799B"/>
    <w:rsid w:val="003B7BB7"/>
    <w:rsid w:val="003B7C99"/>
    <w:rsid w:val="003B7CD6"/>
    <w:rsid w:val="003B7DD0"/>
    <w:rsid w:val="003B7E4D"/>
    <w:rsid w:val="003B7F21"/>
    <w:rsid w:val="003C008E"/>
    <w:rsid w:val="003C0136"/>
    <w:rsid w:val="003C028E"/>
    <w:rsid w:val="003C0295"/>
    <w:rsid w:val="003C02B2"/>
    <w:rsid w:val="003C0665"/>
    <w:rsid w:val="003C0669"/>
    <w:rsid w:val="003C06BB"/>
    <w:rsid w:val="003C06D6"/>
    <w:rsid w:val="003C0815"/>
    <w:rsid w:val="003C0865"/>
    <w:rsid w:val="003C0A7D"/>
    <w:rsid w:val="003C0B77"/>
    <w:rsid w:val="003C0BE2"/>
    <w:rsid w:val="003C0C98"/>
    <w:rsid w:val="003C0D21"/>
    <w:rsid w:val="003C0E22"/>
    <w:rsid w:val="003C0EBF"/>
    <w:rsid w:val="003C0ED6"/>
    <w:rsid w:val="003C0F4D"/>
    <w:rsid w:val="003C10DB"/>
    <w:rsid w:val="003C11E3"/>
    <w:rsid w:val="003C133C"/>
    <w:rsid w:val="003C1634"/>
    <w:rsid w:val="003C16DE"/>
    <w:rsid w:val="003C182C"/>
    <w:rsid w:val="003C1863"/>
    <w:rsid w:val="003C186C"/>
    <w:rsid w:val="003C18FD"/>
    <w:rsid w:val="003C194E"/>
    <w:rsid w:val="003C1953"/>
    <w:rsid w:val="003C1A2A"/>
    <w:rsid w:val="003C1A52"/>
    <w:rsid w:val="003C1BCA"/>
    <w:rsid w:val="003C1BF3"/>
    <w:rsid w:val="003C1CAF"/>
    <w:rsid w:val="003C1E0C"/>
    <w:rsid w:val="003C1E90"/>
    <w:rsid w:val="003C1F4E"/>
    <w:rsid w:val="003C2035"/>
    <w:rsid w:val="003C21F1"/>
    <w:rsid w:val="003C2286"/>
    <w:rsid w:val="003C229D"/>
    <w:rsid w:val="003C2303"/>
    <w:rsid w:val="003C239D"/>
    <w:rsid w:val="003C24E9"/>
    <w:rsid w:val="003C24F5"/>
    <w:rsid w:val="003C257E"/>
    <w:rsid w:val="003C25D4"/>
    <w:rsid w:val="003C28C5"/>
    <w:rsid w:val="003C2A98"/>
    <w:rsid w:val="003C2DD3"/>
    <w:rsid w:val="003C2E2D"/>
    <w:rsid w:val="003C2FD3"/>
    <w:rsid w:val="003C3029"/>
    <w:rsid w:val="003C30E1"/>
    <w:rsid w:val="003C3160"/>
    <w:rsid w:val="003C31A0"/>
    <w:rsid w:val="003C31AC"/>
    <w:rsid w:val="003C31C6"/>
    <w:rsid w:val="003C31DB"/>
    <w:rsid w:val="003C320C"/>
    <w:rsid w:val="003C33B9"/>
    <w:rsid w:val="003C348E"/>
    <w:rsid w:val="003C34E9"/>
    <w:rsid w:val="003C36E1"/>
    <w:rsid w:val="003C36FD"/>
    <w:rsid w:val="003C36FF"/>
    <w:rsid w:val="003C3734"/>
    <w:rsid w:val="003C373A"/>
    <w:rsid w:val="003C39DB"/>
    <w:rsid w:val="003C3A7A"/>
    <w:rsid w:val="003C3B00"/>
    <w:rsid w:val="003C3CEF"/>
    <w:rsid w:val="003C3CFC"/>
    <w:rsid w:val="003C3D06"/>
    <w:rsid w:val="003C3D70"/>
    <w:rsid w:val="003C3E2C"/>
    <w:rsid w:val="003C400C"/>
    <w:rsid w:val="003C40D1"/>
    <w:rsid w:val="003C41B7"/>
    <w:rsid w:val="003C42F4"/>
    <w:rsid w:val="003C43DF"/>
    <w:rsid w:val="003C45FE"/>
    <w:rsid w:val="003C46A3"/>
    <w:rsid w:val="003C46FB"/>
    <w:rsid w:val="003C4791"/>
    <w:rsid w:val="003C4793"/>
    <w:rsid w:val="003C47E9"/>
    <w:rsid w:val="003C480F"/>
    <w:rsid w:val="003C4B17"/>
    <w:rsid w:val="003C4B5C"/>
    <w:rsid w:val="003C4BAC"/>
    <w:rsid w:val="003C4D17"/>
    <w:rsid w:val="003C4E1D"/>
    <w:rsid w:val="003C4F87"/>
    <w:rsid w:val="003C4F8A"/>
    <w:rsid w:val="003C506B"/>
    <w:rsid w:val="003C50B5"/>
    <w:rsid w:val="003C5216"/>
    <w:rsid w:val="003C5250"/>
    <w:rsid w:val="003C52B2"/>
    <w:rsid w:val="003C534B"/>
    <w:rsid w:val="003C540E"/>
    <w:rsid w:val="003C5438"/>
    <w:rsid w:val="003C546A"/>
    <w:rsid w:val="003C5637"/>
    <w:rsid w:val="003C5639"/>
    <w:rsid w:val="003C56EA"/>
    <w:rsid w:val="003C5726"/>
    <w:rsid w:val="003C59FC"/>
    <w:rsid w:val="003C5A20"/>
    <w:rsid w:val="003C5A2F"/>
    <w:rsid w:val="003C5B6D"/>
    <w:rsid w:val="003C5C18"/>
    <w:rsid w:val="003C5CED"/>
    <w:rsid w:val="003C5EBF"/>
    <w:rsid w:val="003C609E"/>
    <w:rsid w:val="003C61B1"/>
    <w:rsid w:val="003C62A6"/>
    <w:rsid w:val="003C62BE"/>
    <w:rsid w:val="003C6410"/>
    <w:rsid w:val="003C64F6"/>
    <w:rsid w:val="003C654D"/>
    <w:rsid w:val="003C6701"/>
    <w:rsid w:val="003C6733"/>
    <w:rsid w:val="003C686E"/>
    <w:rsid w:val="003C68C4"/>
    <w:rsid w:val="003C68FD"/>
    <w:rsid w:val="003C6977"/>
    <w:rsid w:val="003C69BA"/>
    <w:rsid w:val="003C6B98"/>
    <w:rsid w:val="003C6C20"/>
    <w:rsid w:val="003C6C87"/>
    <w:rsid w:val="003C6C8F"/>
    <w:rsid w:val="003C6CDE"/>
    <w:rsid w:val="003C6D21"/>
    <w:rsid w:val="003C6D68"/>
    <w:rsid w:val="003C6F8B"/>
    <w:rsid w:val="003C6FA2"/>
    <w:rsid w:val="003C7065"/>
    <w:rsid w:val="003C7218"/>
    <w:rsid w:val="003C72B8"/>
    <w:rsid w:val="003C73C0"/>
    <w:rsid w:val="003C73D9"/>
    <w:rsid w:val="003C73FA"/>
    <w:rsid w:val="003C7457"/>
    <w:rsid w:val="003C7560"/>
    <w:rsid w:val="003C75A5"/>
    <w:rsid w:val="003C75E9"/>
    <w:rsid w:val="003C7613"/>
    <w:rsid w:val="003C76CA"/>
    <w:rsid w:val="003C7712"/>
    <w:rsid w:val="003C7765"/>
    <w:rsid w:val="003C779E"/>
    <w:rsid w:val="003C77FD"/>
    <w:rsid w:val="003C7D6D"/>
    <w:rsid w:val="003C7D7C"/>
    <w:rsid w:val="003C7E29"/>
    <w:rsid w:val="003C7E8A"/>
    <w:rsid w:val="003C7EA1"/>
    <w:rsid w:val="003C7F5C"/>
    <w:rsid w:val="003C7FEE"/>
    <w:rsid w:val="003D004A"/>
    <w:rsid w:val="003D00B8"/>
    <w:rsid w:val="003D0129"/>
    <w:rsid w:val="003D018B"/>
    <w:rsid w:val="003D0197"/>
    <w:rsid w:val="003D01B2"/>
    <w:rsid w:val="003D02A6"/>
    <w:rsid w:val="003D040E"/>
    <w:rsid w:val="003D061B"/>
    <w:rsid w:val="003D0702"/>
    <w:rsid w:val="003D087E"/>
    <w:rsid w:val="003D089E"/>
    <w:rsid w:val="003D08E1"/>
    <w:rsid w:val="003D0911"/>
    <w:rsid w:val="003D091A"/>
    <w:rsid w:val="003D0941"/>
    <w:rsid w:val="003D0963"/>
    <w:rsid w:val="003D096B"/>
    <w:rsid w:val="003D0AD3"/>
    <w:rsid w:val="003D0B42"/>
    <w:rsid w:val="003D0CBD"/>
    <w:rsid w:val="003D0DD3"/>
    <w:rsid w:val="003D0E0F"/>
    <w:rsid w:val="003D0F5D"/>
    <w:rsid w:val="003D1001"/>
    <w:rsid w:val="003D10E1"/>
    <w:rsid w:val="003D1171"/>
    <w:rsid w:val="003D119D"/>
    <w:rsid w:val="003D154B"/>
    <w:rsid w:val="003D1568"/>
    <w:rsid w:val="003D158A"/>
    <w:rsid w:val="003D168D"/>
    <w:rsid w:val="003D16E4"/>
    <w:rsid w:val="003D178E"/>
    <w:rsid w:val="003D17B6"/>
    <w:rsid w:val="003D184C"/>
    <w:rsid w:val="003D18E8"/>
    <w:rsid w:val="003D1A59"/>
    <w:rsid w:val="003D1A5C"/>
    <w:rsid w:val="003D1BAE"/>
    <w:rsid w:val="003D1C4C"/>
    <w:rsid w:val="003D1CA2"/>
    <w:rsid w:val="003D1DEF"/>
    <w:rsid w:val="003D1DFB"/>
    <w:rsid w:val="003D1E12"/>
    <w:rsid w:val="003D1E2D"/>
    <w:rsid w:val="003D1E48"/>
    <w:rsid w:val="003D1FB1"/>
    <w:rsid w:val="003D2018"/>
    <w:rsid w:val="003D2158"/>
    <w:rsid w:val="003D21B8"/>
    <w:rsid w:val="003D21D1"/>
    <w:rsid w:val="003D2389"/>
    <w:rsid w:val="003D2536"/>
    <w:rsid w:val="003D2541"/>
    <w:rsid w:val="003D25E4"/>
    <w:rsid w:val="003D2732"/>
    <w:rsid w:val="003D2733"/>
    <w:rsid w:val="003D27CA"/>
    <w:rsid w:val="003D2968"/>
    <w:rsid w:val="003D2B52"/>
    <w:rsid w:val="003D2BA2"/>
    <w:rsid w:val="003D2BE3"/>
    <w:rsid w:val="003D2D51"/>
    <w:rsid w:val="003D2DB1"/>
    <w:rsid w:val="003D2E0A"/>
    <w:rsid w:val="003D2F79"/>
    <w:rsid w:val="003D2FE9"/>
    <w:rsid w:val="003D3077"/>
    <w:rsid w:val="003D313A"/>
    <w:rsid w:val="003D3375"/>
    <w:rsid w:val="003D351B"/>
    <w:rsid w:val="003D3528"/>
    <w:rsid w:val="003D35E2"/>
    <w:rsid w:val="003D36E2"/>
    <w:rsid w:val="003D3724"/>
    <w:rsid w:val="003D379E"/>
    <w:rsid w:val="003D37C7"/>
    <w:rsid w:val="003D380A"/>
    <w:rsid w:val="003D3848"/>
    <w:rsid w:val="003D3851"/>
    <w:rsid w:val="003D39CB"/>
    <w:rsid w:val="003D3AD0"/>
    <w:rsid w:val="003D3ADC"/>
    <w:rsid w:val="003D3C16"/>
    <w:rsid w:val="003D3C85"/>
    <w:rsid w:val="003D3D94"/>
    <w:rsid w:val="003D3E8E"/>
    <w:rsid w:val="003D4002"/>
    <w:rsid w:val="003D406D"/>
    <w:rsid w:val="003D4107"/>
    <w:rsid w:val="003D41E8"/>
    <w:rsid w:val="003D428F"/>
    <w:rsid w:val="003D4853"/>
    <w:rsid w:val="003D4902"/>
    <w:rsid w:val="003D49B0"/>
    <w:rsid w:val="003D49E8"/>
    <w:rsid w:val="003D4A91"/>
    <w:rsid w:val="003D4B0D"/>
    <w:rsid w:val="003D4B8A"/>
    <w:rsid w:val="003D4CCF"/>
    <w:rsid w:val="003D4CEA"/>
    <w:rsid w:val="003D4D4E"/>
    <w:rsid w:val="003D4E18"/>
    <w:rsid w:val="003D4EC3"/>
    <w:rsid w:val="003D4EFD"/>
    <w:rsid w:val="003D5009"/>
    <w:rsid w:val="003D5159"/>
    <w:rsid w:val="003D51E4"/>
    <w:rsid w:val="003D523A"/>
    <w:rsid w:val="003D539F"/>
    <w:rsid w:val="003D5449"/>
    <w:rsid w:val="003D5511"/>
    <w:rsid w:val="003D5539"/>
    <w:rsid w:val="003D56D7"/>
    <w:rsid w:val="003D5784"/>
    <w:rsid w:val="003D578D"/>
    <w:rsid w:val="003D5907"/>
    <w:rsid w:val="003D5939"/>
    <w:rsid w:val="003D5A18"/>
    <w:rsid w:val="003D5AE5"/>
    <w:rsid w:val="003D5C7A"/>
    <w:rsid w:val="003D5C9D"/>
    <w:rsid w:val="003D5D33"/>
    <w:rsid w:val="003D5E21"/>
    <w:rsid w:val="003D5E8E"/>
    <w:rsid w:val="003D6119"/>
    <w:rsid w:val="003D6174"/>
    <w:rsid w:val="003D61B6"/>
    <w:rsid w:val="003D61CA"/>
    <w:rsid w:val="003D629F"/>
    <w:rsid w:val="003D6463"/>
    <w:rsid w:val="003D646D"/>
    <w:rsid w:val="003D648F"/>
    <w:rsid w:val="003D64E6"/>
    <w:rsid w:val="003D6563"/>
    <w:rsid w:val="003D6592"/>
    <w:rsid w:val="003D65D8"/>
    <w:rsid w:val="003D661B"/>
    <w:rsid w:val="003D665B"/>
    <w:rsid w:val="003D6661"/>
    <w:rsid w:val="003D67A3"/>
    <w:rsid w:val="003D67C0"/>
    <w:rsid w:val="003D67E9"/>
    <w:rsid w:val="003D6917"/>
    <w:rsid w:val="003D6943"/>
    <w:rsid w:val="003D69B8"/>
    <w:rsid w:val="003D6C9D"/>
    <w:rsid w:val="003D6CD9"/>
    <w:rsid w:val="003D6CE9"/>
    <w:rsid w:val="003D6E73"/>
    <w:rsid w:val="003D6EA7"/>
    <w:rsid w:val="003D7069"/>
    <w:rsid w:val="003D7095"/>
    <w:rsid w:val="003D7327"/>
    <w:rsid w:val="003D732B"/>
    <w:rsid w:val="003D74FE"/>
    <w:rsid w:val="003D765A"/>
    <w:rsid w:val="003D76EA"/>
    <w:rsid w:val="003D77E7"/>
    <w:rsid w:val="003D77F4"/>
    <w:rsid w:val="003D7817"/>
    <w:rsid w:val="003D7932"/>
    <w:rsid w:val="003D7999"/>
    <w:rsid w:val="003D799F"/>
    <w:rsid w:val="003D7A05"/>
    <w:rsid w:val="003D7ADE"/>
    <w:rsid w:val="003D7B48"/>
    <w:rsid w:val="003D7B9C"/>
    <w:rsid w:val="003D7BF4"/>
    <w:rsid w:val="003D7C1A"/>
    <w:rsid w:val="003D7D16"/>
    <w:rsid w:val="003D7DD0"/>
    <w:rsid w:val="003D7F4E"/>
    <w:rsid w:val="003E0020"/>
    <w:rsid w:val="003E00CB"/>
    <w:rsid w:val="003E0150"/>
    <w:rsid w:val="003E02F4"/>
    <w:rsid w:val="003E04CC"/>
    <w:rsid w:val="003E0579"/>
    <w:rsid w:val="003E066F"/>
    <w:rsid w:val="003E06E6"/>
    <w:rsid w:val="003E06E8"/>
    <w:rsid w:val="003E07E9"/>
    <w:rsid w:val="003E0A01"/>
    <w:rsid w:val="003E0A29"/>
    <w:rsid w:val="003E0A71"/>
    <w:rsid w:val="003E0B6E"/>
    <w:rsid w:val="003E0BD2"/>
    <w:rsid w:val="003E0CEA"/>
    <w:rsid w:val="003E0E2C"/>
    <w:rsid w:val="003E0E3A"/>
    <w:rsid w:val="003E0F3D"/>
    <w:rsid w:val="003E1124"/>
    <w:rsid w:val="003E1296"/>
    <w:rsid w:val="003E12B7"/>
    <w:rsid w:val="003E1316"/>
    <w:rsid w:val="003E13EF"/>
    <w:rsid w:val="003E14FC"/>
    <w:rsid w:val="003E15D6"/>
    <w:rsid w:val="003E160C"/>
    <w:rsid w:val="003E1770"/>
    <w:rsid w:val="003E195C"/>
    <w:rsid w:val="003E198A"/>
    <w:rsid w:val="003E1A47"/>
    <w:rsid w:val="003E1ADD"/>
    <w:rsid w:val="003E1BE4"/>
    <w:rsid w:val="003E1C95"/>
    <w:rsid w:val="003E201D"/>
    <w:rsid w:val="003E20A1"/>
    <w:rsid w:val="003E2224"/>
    <w:rsid w:val="003E2248"/>
    <w:rsid w:val="003E22FA"/>
    <w:rsid w:val="003E2343"/>
    <w:rsid w:val="003E23A3"/>
    <w:rsid w:val="003E23E6"/>
    <w:rsid w:val="003E23E7"/>
    <w:rsid w:val="003E2668"/>
    <w:rsid w:val="003E2670"/>
    <w:rsid w:val="003E277F"/>
    <w:rsid w:val="003E27A0"/>
    <w:rsid w:val="003E27D2"/>
    <w:rsid w:val="003E2815"/>
    <w:rsid w:val="003E293C"/>
    <w:rsid w:val="003E2946"/>
    <w:rsid w:val="003E29E4"/>
    <w:rsid w:val="003E2A51"/>
    <w:rsid w:val="003E2A52"/>
    <w:rsid w:val="003E2CF7"/>
    <w:rsid w:val="003E2D34"/>
    <w:rsid w:val="003E3182"/>
    <w:rsid w:val="003E3232"/>
    <w:rsid w:val="003E3242"/>
    <w:rsid w:val="003E3583"/>
    <w:rsid w:val="003E3692"/>
    <w:rsid w:val="003E378A"/>
    <w:rsid w:val="003E399B"/>
    <w:rsid w:val="003E3A42"/>
    <w:rsid w:val="003E3A50"/>
    <w:rsid w:val="003E3CAB"/>
    <w:rsid w:val="003E3D2C"/>
    <w:rsid w:val="003E3D9D"/>
    <w:rsid w:val="003E3E91"/>
    <w:rsid w:val="003E3E9A"/>
    <w:rsid w:val="003E3FA5"/>
    <w:rsid w:val="003E4337"/>
    <w:rsid w:val="003E43D1"/>
    <w:rsid w:val="003E4486"/>
    <w:rsid w:val="003E4517"/>
    <w:rsid w:val="003E451C"/>
    <w:rsid w:val="003E470A"/>
    <w:rsid w:val="003E4793"/>
    <w:rsid w:val="003E48B4"/>
    <w:rsid w:val="003E48FE"/>
    <w:rsid w:val="003E4943"/>
    <w:rsid w:val="003E4945"/>
    <w:rsid w:val="003E4986"/>
    <w:rsid w:val="003E4A0F"/>
    <w:rsid w:val="003E4A3F"/>
    <w:rsid w:val="003E4C11"/>
    <w:rsid w:val="003E4CC4"/>
    <w:rsid w:val="003E4CD7"/>
    <w:rsid w:val="003E4D70"/>
    <w:rsid w:val="003E4DD1"/>
    <w:rsid w:val="003E4E6A"/>
    <w:rsid w:val="003E4ED3"/>
    <w:rsid w:val="003E4FA7"/>
    <w:rsid w:val="003E5103"/>
    <w:rsid w:val="003E5134"/>
    <w:rsid w:val="003E51BE"/>
    <w:rsid w:val="003E521E"/>
    <w:rsid w:val="003E528C"/>
    <w:rsid w:val="003E52AB"/>
    <w:rsid w:val="003E52B2"/>
    <w:rsid w:val="003E52DB"/>
    <w:rsid w:val="003E534D"/>
    <w:rsid w:val="003E54A6"/>
    <w:rsid w:val="003E55B3"/>
    <w:rsid w:val="003E5650"/>
    <w:rsid w:val="003E57D5"/>
    <w:rsid w:val="003E58C9"/>
    <w:rsid w:val="003E5925"/>
    <w:rsid w:val="003E59A4"/>
    <w:rsid w:val="003E59CE"/>
    <w:rsid w:val="003E5A9E"/>
    <w:rsid w:val="003E5AC1"/>
    <w:rsid w:val="003E5B2A"/>
    <w:rsid w:val="003E5BEA"/>
    <w:rsid w:val="003E5CDD"/>
    <w:rsid w:val="003E5E6F"/>
    <w:rsid w:val="003E5EA7"/>
    <w:rsid w:val="003E5F93"/>
    <w:rsid w:val="003E5FB3"/>
    <w:rsid w:val="003E5FE0"/>
    <w:rsid w:val="003E60EE"/>
    <w:rsid w:val="003E63BC"/>
    <w:rsid w:val="003E64E6"/>
    <w:rsid w:val="003E6723"/>
    <w:rsid w:val="003E68A7"/>
    <w:rsid w:val="003E69D4"/>
    <w:rsid w:val="003E6A3A"/>
    <w:rsid w:val="003E6D2C"/>
    <w:rsid w:val="003E6D35"/>
    <w:rsid w:val="003E6D5B"/>
    <w:rsid w:val="003E6D88"/>
    <w:rsid w:val="003E6DE1"/>
    <w:rsid w:val="003E6E1C"/>
    <w:rsid w:val="003E6ED0"/>
    <w:rsid w:val="003E6F1B"/>
    <w:rsid w:val="003E6F3A"/>
    <w:rsid w:val="003E7085"/>
    <w:rsid w:val="003E7086"/>
    <w:rsid w:val="003E70A8"/>
    <w:rsid w:val="003E7304"/>
    <w:rsid w:val="003E76BC"/>
    <w:rsid w:val="003E76C7"/>
    <w:rsid w:val="003E7739"/>
    <w:rsid w:val="003E7831"/>
    <w:rsid w:val="003E79C3"/>
    <w:rsid w:val="003E7A53"/>
    <w:rsid w:val="003E7AD5"/>
    <w:rsid w:val="003E7B07"/>
    <w:rsid w:val="003E7B48"/>
    <w:rsid w:val="003E7C8B"/>
    <w:rsid w:val="003E7CA0"/>
    <w:rsid w:val="003E7CEF"/>
    <w:rsid w:val="003E7DA4"/>
    <w:rsid w:val="003E7EBF"/>
    <w:rsid w:val="003E7EE1"/>
    <w:rsid w:val="003E7F05"/>
    <w:rsid w:val="003E7F7F"/>
    <w:rsid w:val="003F00C7"/>
    <w:rsid w:val="003F00F8"/>
    <w:rsid w:val="003F01A5"/>
    <w:rsid w:val="003F0461"/>
    <w:rsid w:val="003F055F"/>
    <w:rsid w:val="003F059A"/>
    <w:rsid w:val="003F0644"/>
    <w:rsid w:val="003F06F0"/>
    <w:rsid w:val="003F06F7"/>
    <w:rsid w:val="003F0753"/>
    <w:rsid w:val="003F0767"/>
    <w:rsid w:val="003F08FA"/>
    <w:rsid w:val="003F0928"/>
    <w:rsid w:val="003F0A01"/>
    <w:rsid w:val="003F0A70"/>
    <w:rsid w:val="003F0BA8"/>
    <w:rsid w:val="003F0C07"/>
    <w:rsid w:val="003F0C5A"/>
    <w:rsid w:val="003F0D80"/>
    <w:rsid w:val="003F0E2F"/>
    <w:rsid w:val="003F0EC8"/>
    <w:rsid w:val="003F0FDF"/>
    <w:rsid w:val="003F1078"/>
    <w:rsid w:val="003F10D6"/>
    <w:rsid w:val="003F10F8"/>
    <w:rsid w:val="003F140C"/>
    <w:rsid w:val="003F141A"/>
    <w:rsid w:val="003F14AD"/>
    <w:rsid w:val="003F1566"/>
    <w:rsid w:val="003F15C5"/>
    <w:rsid w:val="003F165F"/>
    <w:rsid w:val="003F16B7"/>
    <w:rsid w:val="003F1752"/>
    <w:rsid w:val="003F1762"/>
    <w:rsid w:val="003F1786"/>
    <w:rsid w:val="003F17A1"/>
    <w:rsid w:val="003F181A"/>
    <w:rsid w:val="003F18DB"/>
    <w:rsid w:val="003F1B56"/>
    <w:rsid w:val="003F1B9E"/>
    <w:rsid w:val="003F1CC6"/>
    <w:rsid w:val="003F1D0D"/>
    <w:rsid w:val="003F2050"/>
    <w:rsid w:val="003F23B8"/>
    <w:rsid w:val="003F24B3"/>
    <w:rsid w:val="003F24FE"/>
    <w:rsid w:val="003F2507"/>
    <w:rsid w:val="003F254D"/>
    <w:rsid w:val="003F2584"/>
    <w:rsid w:val="003F25A8"/>
    <w:rsid w:val="003F2655"/>
    <w:rsid w:val="003F26D6"/>
    <w:rsid w:val="003F271E"/>
    <w:rsid w:val="003F29F6"/>
    <w:rsid w:val="003F2B86"/>
    <w:rsid w:val="003F2BBD"/>
    <w:rsid w:val="003F2D32"/>
    <w:rsid w:val="003F2DAA"/>
    <w:rsid w:val="003F2DB4"/>
    <w:rsid w:val="003F2DC0"/>
    <w:rsid w:val="003F301A"/>
    <w:rsid w:val="003F30EA"/>
    <w:rsid w:val="003F313C"/>
    <w:rsid w:val="003F326C"/>
    <w:rsid w:val="003F32BD"/>
    <w:rsid w:val="003F32CE"/>
    <w:rsid w:val="003F3350"/>
    <w:rsid w:val="003F33B5"/>
    <w:rsid w:val="003F33DB"/>
    <w:rsid w:val="003F3530"/>
    <w:rsid w:val="003F36D0"/>
    <w:rsid w:val="003F3787"/>
    <w:rsid w:val="003F3789"/>
    <w:rsid w:val="003F38F3"/>
    <w:rsid w:val="003F3945"/>
    <w:rsid w:val="003F396B"/>
    <w:rsid w:val="003F3991"/>
    <w:rsid w:val="003F39E0"/>
    <w:rsid w:val="003F3A7F"/>
    <w:rsid w:val="003F3B43"/>
    <w:rsid w:val="003F3B66"/>
    <w:rsid w:val="003F3BC3"/>
    <w:rsid w:val="003F3C82"/>
    <w:rsid w:val="003F3C89"/>
    <w:rsid w:val="003F3CFC"/>
    <w:rsid w:val="003F3ED7"/>
    <w:rsid w:val="003F3FA8"/>
    <w:rsid w:val="003F4022"/>
    <w:rsid w:val="003F4031"/>
    <w:rsid w:val="003F4189"/>
    <w:rsid w:val="003F41E9"/>
    <w:rsid w:val="003F4205"/>
    <w:rsid w:val="003F429E"/>
    <w:rsid w:val="003F42EB"/>
    <w:rsid w:val="003F4439"/>
    <w:rsid w:val="003F4506"/>
    <w:rsid w:val="003F4562"/>
    <w:rsid w:val="003F45D4"/>
    <w:rsid w:val="003F45FE"/>
    <w:rsid w:val="003F46FE"/>
    <w:rsid w:val="003F47AB"/>
    <w:rsid w:val="003F4945"/>
    <w:rsid w:val="003F4AE4"/>
    <w:rsid w:val="003F4B5D"/>
    <w:rsid w:val="003F4BE9"/>
    <w:rsid w:val="003F4BFB"/>
    <w:rsid w:val="003F4C63"/>
    <w:rsid w:val="003F4C7F"/>
    <w:rsid w:val="003F4C92"/>
    <w:rsid w:val="003F4CDA"/>
    <w:rsid w:val="003F4CF0"/>
    <w:rsid w:val="003F4DA1"/>
    <w:rsid w:val="003F4EDC"/>
    <w:rsid w:val="003F4EF2"/>
    <w:rsid w:val="003F50E3"/>
    <w:rsid w:val="003F5259"/>
    <w:rsid w:val="003F52DD"/>
    <w:rsid w:val="003F54C2"/>
    <w:rsid w:val="003F550C"/>
    <w:rsid w:val="003F5576"/>
    <w:rsid w:val="003F571C"/>
    <w:rsid w:val="003F574A"/>
    <w:rsid w:val="003F5785"/>
    <w:rsid w:val="003F586B"/>
    <w:rsid w:val="003F5950"/>
    <w:rsid w:val="003F5BBB"/>
    <w:rsid w:val="003F5C95"/>
    <w:rsid w:val="003F5D89"/>
    <w:rsid w:val="003F5E69"/>
    <w:rsid w:val="003F5F07"/>
    <w:rsid w:val="003F5FFA"/>
    <w:rsid w:val="003F611D"/>
    <w:rsid w:val="003F61B8"/>
    <w:rsid w:val="003F61D3"/>
    <w:rsid w:val="003F61D4"/>
    <w:rsid w:val="003F641F"/>
    <w:rsid w:val="003F647A"/>
    <w:rsid w:val="003F64FA"/>
    <w:rsid w:val="003F650E"/>
    <w:rsid w:val="003F678C"/>
    <w:rsid w:val="003F68A2"/>
    <w:rsid w:val="003F6AC5"/>
    <w:rsid w:val="003F6BB6"/>
    <w:rsid w:val="003F6CA6"/>
    <w:rsid w:val="003F6D34"/>
    <w:rsid w:val="003F6DFA"/>
    <w:rsid w:val="003F6E9B"/>
    <w:rsid w:val="003F6EF5"/>
    <w:rsid w:val="003F6F0E"/>
    <w:rsid w:val="003F6F24"/>
    <w:rsid w:val="003F6F7E"/>
    <w:rsid w:val="003F6F9C"/>
    <w:rsid w:val="003F7028"/>
    <w:rsid w:val="003F70E3"/>
    <w:rsid w:val="003F714E"/>
    <w:rsid w:val="003F729D"/>
    <w:rsid w:val="003F7361"/>
    <w:rsid w:val="003F7374"/>
    <w:rsid w:val="003F7407"/>
    <w:rsid w:val="003F74D4"/>
    <w:rsid w:val="003F7599"/>
    <w:rsid w:val="003F76A7"/>
    <w:rsid w:val="003F77A8"/>
    <w:rsid w:val="003F7808"/>
    <w:rsid w:val="003F781E"/>
    <w:rsid w:val="003F7912"/>
    <w:rsid w:val="003F79FF"/>
    <w:rsid w:val="003F7A43"/>
    <w:rsid w:val="003F7A9F"/>
    <w:rsid w:val="003F7AE8"/>
    <w:rsid w:val="003F7B0E"/>
    <w:rsid w:val="003F7B21"/>
    <w:rsid w:val="003F7B23"/>
    <w:rsid w:val="003F7BFD"/>
    <w:rsid w:val="003F7D45"/>
    <w:rsid w:val="003F7E91"/>
    <w:rsid w:val="003F7F1B"/>
    <w:rsid w:val="003F7F5A"/>
    <w:rsid w:val="00400235"/>
    <w:rsid w:val="00400279"/>
    <w:rsid w:val="004003D2"/>
    <w:rsid w:val="00400401"/>
    <w:rsid w:val="00400578"/>
    <w:rsid w:val="0040058C"/>
    <w:rsid w:val="0040058F"/>
    <w:rsid w:val="004005E7"/>
    <w:rsid w:val="00400723"/>
    <w:rsid w:val="00400777"/>
    <w:rsid w:val="004007FA"/>
    <w:rsid w:val="00400926"/>
    <w:rsid w:val="00400A09"/>
    <w:rsid w:val="00400A82"/>
    <w:rsid w:val="00400AAC"/>
    <w:rsid w:val="00400B44"/>
    <w:rsid w:val="00400C14"/>
    <w:rsid w:val="00400C96"/>
    <w:rsid w:val="00400C99"/>
    <w:rsid w:val="00400D74"/>
    <w:rsid w:val="00400DAB"/>
    <w:rsid w:val="00400FCF"/>
    <w:rsid w:val="0040107C"/>
    <w:rsid w:val="004010A9"/>
    <w:rsid w:val="0040110A"/>
    <w:rsid w:val="0040114C"/>
    <w:rsid w:val="00401150"/>
    <w:rsid w:val="00401215"/>
    <w:rsid w:val="00401314"/>
    <w:rsid w:val="0040155C"/>
    <w:rsid w:val="004015B8"/>
    <w:rsid w:val="004015EF"/>
    <w:rsid w:val="00401619"/>
    <w:rsid w:val="0040171F"/>
    <w:rsid w:val="00401727"/>
    <w:rsid w:val="00401942"/>
    <w:rsid w:val="004019F9"/>
    <w:rsid w:val="00401B69"/>
    <w:rsid w:val="00401B86"/>
    <w:rsid w:val="00401C13"/>
    <w:rsid w:val="00401ED0"/>
    <w:rsid w:val="00401F15"/>
    <w:rsid w:val="00401F90"/>
    <w:rsid w:val="0040217C"/>
    <w:rsid w:val="00402184"/>
    <w:rsid w:val="00402223"/>
    <w:rsid w:val="00402361"/>
    <w:rsid w:val="00402380"/>
    <w:rsid w:val="004023F6"/>
    <w:rsid w:val="00402418"/>
    <w:rsid w:val="004024A3"/>
    <w:rsid w:val="0040252A"/>
    <w:rsid w:val="004025D2"/>
    <w:rsid w:val="004025FB"/>
    <w:rsid w:val="004026FF"/>
    <w:rsid w:val="004027C5"/>
    <w:rsid w:val="0040281B"/>
    <w:rsid w:val="0040282F"/>
    <w:rsid w:val="0040291E"/>
    <w:rsid w:val="004029BA"/>
    <w:rsid w:val="00402A3A"/>
    <w:rsid w:val="00402CAC"/>
    <w:rsid w:val="00402CE6"/>
    <w:rsid w:val="00402D19"/>
    <w:rsid w:val="00402D1E"/>
    <w:rsid w:val="00402D6B"/>
    <w:rsid w:val="00402D7B"/>
    <w:rsid w:val="00402E22"/>
    <w:rsid w:val="00402E52"/>
    <w:rsid w:val="00402FB5"/>
    <w:rsid w:val="00403059"/>
    <w:rsid w:val="004030B8"/>
    <w:rsid w:val="004030E1"/>
    <w:rsid w:val="004032A6"/>
    <w:rsid w:val="004032C1"/>
    <w:rsid w:val="004033A5"/>
    <w:rsid w:val="00403415"/>
    <w:rsid w:val="00403501"/>
    <w:rsid w:val="004035E3"/>
    <w:rsid w:val="00403607"/>
    <w:rsid w:val="00403612"/>
    <w:rsid w:val="00403622"/>
    <w:rsid w:val="004036BE"/>
    <w:rsid w:val="004037CC"/>
    <w:rsid w:val="0040387D"/>
    <w:rsid w:val="004038D5"/>
    <w:rsid w:val="00403AFB"/>
    <w:rsid w:val="00403B0D"/>
    <w:rsid w:val="00403B11"/>
    <w:rsid w:val="00403CEC"/>
    <w:rsid w:val="00403D40"/>
    <w:rsid w:val="00403E56"/>
    <w:rsid w:val="00403EAA"/>
    <w:rsid w:val="00403EED"/>
    <w:rsid w:val="00403F63"/>
    <w:rsid w:val="00403F90"/>
    <w:rsid w:val="00403FAE"/>
    <w:rsid w:val="00403FE9"/>
    <w:rsid w:val="00404253"/>
    <w:rsid w:val="0040425F"/>
    <w:rsid w:val="0040427B"/>
    <w:rsid w:val="004042AA"/>
    <w:rsid w:val="00404330"/>
    <w:rsid w:val="00404372"/>
    <w:rsid w:val="004043C8"/>
    <w:rsid w:val="00404557"/>
    <w:rsid w:val="004045B8"/>
    <w:rsid w:val="0040462D"/>
    <w:rsid w:val="0040466F"/>
    <w:rsid w:val="00404769"/>
    <w:rsid w:val="0040490E"/>
    <w:rsid w:val="0040494A"/>
    <w:rsid w:val="004049A8"/>
    <w:rsid w:val="004049C7"/>
    <w:rsid w:val="004049FB"/>
    <w:rsid w:val="00404A68"/>
    <w:rsid w:val="00404C38"/>
    <w:rsid w:val="00404D6E"/>
    <w:rsid w:val="00404DD3"/>
    <w:rsid w:val="00404DD8"/>
    <w:rsid w:val="00404EAF"/>
    <w:rsid w:val="00404F89"/>
    <w:rsid w:val="004050B9"/>
    <w:rsid w:val="004050CF"/>
    <w:rsid w:val="004050E7"/>
    <w:rsid w:val="0040518D"/>
    <w:rsid w:val="00405209"/>
    <w:rsid w:val="0040528A"/>
    <w:rsid w:val="00405322"/>
    <w:rsid w:val="00405661"/>
    <w:rsid w:val="00405668"/>
    <w:rsid w:val="004056A1"/>
    <w:rsid w:val="0040576B"/>
    <w:rsid w:val="0040578C"/>
    <w:rsid w:val="004057E3"/>
    <w:rsid w:val="0040582D"/>
    <w:rsid w:val="00405848"/>
    <w:rsid w:val="00405875"/>
    <w:rsid w:val="004059F8"/>
    <w:rsid w:val="00405C54"/>
    <w:rsid w:val="00406054"/>
    <w:rsid w:val="004060D6"/>
    <w:rsid w:val="0040615F"/>
    <w:rsid w:val="00406201"/>
    <w:rsid w:val="0040630B"/>
    <w:rsid w:val="00406372"/>
    <w:rsid w:val="0040640A"/>
    <w:rsid w:val="0040649C"/>
    <w:rsid w:val="004065CD"/>
    <w:rsid w:val="004066B1"/>
    <w:rsid w:val="004066F9"/>
    <w:rsid w:val="0040684C"/>
    <w:rsid w:val="00406891"/>
    <w:rsid w:val="0040690B"/>
    <w:rsid w:val="00406A2A"/>
    <w:rsid w:val="00406BAF"/>
    <w:rsid w:val="00406C06"/>
    <w:rsid w:val="00406D0D"/>
    <w:rsid w:val="00406DAF"/>
    <w:rsid w:val="00406E3D"/>
    <w:rsid w:val="00406E81"/>
    <w:rsid w:val="00406E86"/>
    <w:rsid w:val="00406F0C"/>
    <w:rsid w:val="00406F28"/>
    <w:rsid w:val="0040710B"/>
    <w:rsid w:val="00407142"/>
    <w:rsid w:val="00407195"/>
    <w:rsid w:val="004071FC"/>
    <w:rsid w:val="004072B6"/>
    <w:rsid w:val="00407360"/>
    <w:rsid w:val="00407390"/>
    <w:rsid w:val="004073F1"/>
    <w:rsid w:val="00407400"/>
    <w:rsid w:val="0040747F"/>
    <w:rsid w:val="004076FD"/>
    <w:rsid w:val="00407703"/>
    <w:rsid w:val="00407742"/>
    <w:rsid w:val="0040779C"/>
    <w:rsid w:val="004078A7"/>
    <w:rsid w:val="004078B5"/>
    <w:rsid w:val="004078BC"/>
    <w:rsid w:val="00407A27"/>
    <w:rsid w:val="00407B35"/>
    <w:rsid w:val="00407B8C"/>
    <w:rsid w:val="00407C26"/>
    <w:rsid w:val="00407C75"/>
    <w:rsid w:val="00407D30"/>
    <w:rsid w:val="00407DE7"/>
    <w:rsid w:val="00407FF5"/>
    <w:rsid w:val="0041005D"/>
    <w:rsid w:val="0041009D"/>
    <w:rsid w:val="004100E2"/>
    <w:rsid w:val="0041020C"/>
    <w:rsid w:val="0041037B"/>
    <w:rsid w:val="0041051A"/>
    <w:rsid w:val="004105D5"/>
    <w:rsid w:val="004105FA"/>
    <w:rsid w:val="00410646"/>
    <w:rsid w:val="00410760"/>
    <w:rsid w:val="004107DA"/>
    <w:rsid w:val="00410935"/>
    <w:rsid w:val="004109FB"/>
    <w:rsid w:val="00410C13"/>
    <w:rsid w:val="00410C29"/>
    <w:rsid w:val="00410CB3"/>
    <w:rsid w:val="00410DDC"/>
    <w:rsid w:val="00410DE2"/>
    <w:rsid w:val="00410F8A"/>
    <w:rsid w:val="00410F9C"/>
    <w:rsid w:val="00411062"/>
    <w:rsid w:val="00411072"/>
    <w:rsid w:val="00411117"/>
    <w:rsid w:val="00411159"/>
    <w:rsid w:val="00411224"/>
    <w:rsid w:val="00411448"/>
    <w:rsid w:val="0041147F"/>
    <w:rsid w:val="0041148D"/>
    <w:rsid w:val="00411564"/>
    <w:rsid w:val="004115BA"/>
    <w:rsid w:val="00411662"/>
    <w:rsid w:val="00411C49"/>
    <w:rsid w:val="00411D16"/>
    <w:rsid w:val="00411DE2"/>
    <w:rsid w:val="004120A9"/>
    <w:rsid w:val="0041224D"/>
    <w:rsid w:val="0041233A"/>
    <w:rsid w:val="00412344"/>
    <w:rsid w:val="00412358"/>
    <w:rsid w:val="00412427"/>
    <w:rsid w:val="004124FC"/>
    <w:rsid w:val="00412584"/>
    <w:rsid w:val="004125C1"/>
    <w:rsid w:val="00412681"/>
    <w:rsid w:val="0041269F"/>
    <w:rsid w:val="00412711"/>
    <w:rsid w:val="0041271B"/>
    <w:rsid w:val="00412724"/>
    <w:rsid w:val="00412773"/>
    <w:rsid w:val="00412863"/>
    <w:rsid w:val="00412A79"/>
    <w:rsid w:val="00412ADC"/>
    <w:rsid w:val="00412AED"/>
    <w:rsid w:val="00412AF7"/>
    <w:rsid w:val="00412BDF"/>
    <w:rsid w:val="00412C3A"/>
    <w:rsid w:val="00412D65"/>
    <w:rsid w:val="00412E28"/>
    <w:rsid w:val="00412F11"/>
    <w:rsid w:val="00412F8C"/>
    <w:rsid w:val="00412FCB"/>
    <w:rsid w:val="00412FDD"/>
    <w:rsid w:val="004130C2"/>
    <w:rsid w:val="0041317F"/>
    <w:rsid w:val="004131A1"/>
    <w:rsid w:val="004132D1"/>
    <w:rsid w:val="00413321"/>
    <w:rsid w:val="0041333A"/>
    <w:rsid w:val="004133BD"/>
    <w:rsid w:val="004133F8"/>
    <w:rsid w:val="00413457"/>
    <w:rsid w:val="004134BB"/>
    <w:rsid w:val="00413557"/>
    <w:rsid w:val="00413620"/>
    <w:rsid w:val="00413656"/>
    <w:rsid w:val="004136A8"/>
    <w:rsid w:val="00413711"/>
    <w:rsid w:val="004137F9"/>
    <w:rsid w:val="004138BF"/>
    <w:rsid w:val="004138E8"/>
    <w:rsid w:val="004138EB"/>
    <w:rsid w:val="00413A06"/>
    <w:rsid w:val="00413B56"/>
    <w:rsid w:val="00413BB6"/>
    <w:rsid w:val="00413BD4"/>
    <w:rsid w:val="00413BE8"/>
    <w:rsid w:val="00413C47"/>
    <w:rsid w:val="00413C86"/>
    <w:rsid w:val="00413D3F"/>
    <w:rsid w:val="00413D7D"/>
    <w:rsid w:val="00413DDB"/>
    <w:rsid w:val="00413ED6"/>
    <w:rsid w:val="00413ED7"/>
    <w:rsid w:val="00413EF8"/>
    <w:rsid w:val="00413FF4"/>
    <w:rsid w:val="00414036"/>
    <w:rsid w:val="0041409E"/>
    <w:rsid w:val="00414159"/>
    <w:rsid w:val="00414170"/>
    <w:rsid w:val="004141EC"/>
    <w:rsid w:val="00414318"/>
    <w:rsid w:val="00414699"/>
    <w:rsid w:val="00414707"/>
    <w:rsid w:val="004147F0"/>
    <w:rsid w:val="004147F5"/>
    <w:rsid w:val="00414862"/>
    <w:rsid w:val="00414939"/>
    <w:rsid w:val="00414B30"/>
    <w:rsid w:val="00414BC8"/>
    <w:rsid w:val="00414BD9"/>
    <w:rsid w:val="00414C27"/>
    <w:rsid w:val="00414C87"/>
    <w:rsid w:val="00414E97"/>
    <w:rsid w:val="00414F5F"/>
    <w:rsid w:val="00414FC8"/>
    <w:rsid w:val="00415006"/>
    <w:rsid w:val="0041500C"/>
    <w:rsid w:val="004150E4"/>
    <w:rsid w:val="004151CC"/>
    <w:rsid w:val="00415273"/>
    <w:rsid w:val="004152B1"/>
    <w:rsid w:val="004152C1"/>
    <w:rsid w:val="004152D3"/>
    <w:rsid w:val="004153B4"/>
    <w:rsid w:val="004154AC"/>
    <w:rsid w:val="00415501"/>
    <w:rsid w:val="00415846"/>
    <w:rsid w:val="0041586A"/>
    <w:rsid w:val="0041589D"/>
    <w:rsid w:val="004158A9"/>
    <w:rsid w:val="004158D0"/>
    <w:rsid w:val="00415910"/>
    <w:rsid w:val="00415985"/>
    <w:rsid w:val="004159EC"/>
    <w:rsid w:val="00415BBE"/>
    <w:rsid w:val="00415CCE"/>
    <w:rsid w:val="00415CE7"/>
    <w:rsid w:val="004160AA"/>
    <w:rsid w:val="00416252"/>
    <w:rsid w:val="004162F4"/>
    <w:rsid w:val="00416328"/>
    <w:rsid w:val="004163B0"/>
    <w:rsid w:val="00416469"/>
    <w:rsid w:val="00416476"/>
    <w:rsid w:val="0041658B"/>
    <w:rsid w:val="00416789"/>
    <w:rsid w:val="004167AE"/>
    <w:rsid w:val="004169FE"/>
    <w:rsid w:val="00416A95"/>
    <w:rsid w:val="00416ACE"/>
    <w:rsid w:val="00416B30"/>
    <w:rsid w:val="00416B96"/>
    <w:rsid w:val="00416BE9"/>
    <w:rsid w:val="00416BFB"/>
    <w:rsid w:val="00416C0E"/>
    <w:rsid w:val="00416C20"/>
    <w:rsid w:val="00416CE2"/>
    <w:rsid w:val="00416D6D"/>
    <w:rsid w:val="00416DD0"/>
    <w:rsid w:val="0041703B"/>
    <w:rsid w:val="00417172"/>
    <w:rsid w:val="004173C4"/>
    <w:rsid w:val="00417453"/>
    <w:rsid w:val="00417462"/>
    <w:rsid w:val="004174C5"/>
    <w:rsid w:val="004175A7"/>
    <w:rsid w:val="00417622"/>
    <w:rsid w:val="00417668"/>
    <w:rsid w:val="004178DB"/>
    <w:rsid w:val="00417962"/>
    <w:rsid w:val="00417966"/>
    <w:rsid w:val="00417BB4"/>
    <w:rsid w:val="00417C25"/>
    <w:rsid w:val="00417C4F"/>
    <w:rsid w:val="00417C6C"/>
    <w:rsid w:val="00417CD8"/>
    <w:rsid w:val="00417D1E"/>
    <w:rsid w:val="00417E1D"/>
    <w:rsid w:val="00417E40"/>
    <w:rsid w:val="00417E77"/>
    <w:rsid w:val="00417F01"/>
    <w:rsid w:val="00417F07"/>
    <w:rsid w:val="00417F75"/>
    <w:rsid w:val="00420018"/>
    <w:rsid w:val="004200F7"/>
    <w:rsid w:val="0042010E"/>
    <w:rsid w:val="0042014F"/>
    <w:rsid w:val="00420205"/>
    <w:rsid w:val="00420261"/>
    <w:rsid w:val="004202B7"/>
    <w:rsid w:val="0042042F"/>
    <w:rsid w:val="00420551"/>
    <w:rsid w:val="00420818"/>
    <w:rsid w:val="00420879"/>
    <w:rsid w:val="004208E4"/>
    <w:rsid w:val="004208F3"/>
    <w:rsid w:val="0042093A"/>
    <w:rsid w:val="00420A0F"/>
    <w:rsid w:val="00420A60"/>
    <w:rsid w:val="00420AAA"/>
    <w:rsid w:val="00420B6C"/>
    <w:rsid w:val="00420C4A"/>
    <w:rsid w:val="00420C61"/>
    <w:rsid w:val="00420F56"/>
    <w:rsid w:val="00420F8B"/>
    <w:rsid w:val="0042111D"/>
    <w:rsid w:val="00421254"/>
    <w:rsid w:val="004212FB"/>
    <w:rsid w:val="00421326"/>
    <w:rsid w:val="00421337"/>
    <w:rsid w:val="0042143A"/>
    <w:rsid w:val="00421464"/>
    <w:rsid w:val="004216BD"/>
    <w:rsid w:val="004216C3"/>
    <w:rsid w:val="00421721"/>
    <w:rsid w:val="0042173C"/>
    <w:rsid w:val="00421763"/>
    <w:rsid w:val="00421821"/>
    <w:rsid w:val="00421923"/>
    <w:rsid w:val="00421936"/>
    <w:rsid w:val="0042198C"/>
    <w:rsid w:val="00421AD0"/>
    <w:rsid w:val="00421AEA"/>
    <w:rsid w:val="00421CA8"/>
    <w:rsid w:val="00421F7E"/>
    <w:rsid w:val="00421F8C"/>
    <w:rsid w:val="00422116"/>
    <w:rsid w:val="0042214B"/>
    <w:rsid w:val="00422261"/>
    <w:rsid w:val="00422278"/>
    <w:rsid w:val="004222DB"/>
    <w:rsid w:val="004223A3"/>
    <w:rsid w:val="004223AC"/>
    <w:rsid w:val="0042250C"/>
    <w:rsid w:val="00422599"/>
    <w:rsid w:val="00422694"/>
    <w:rsid w:val="004226C2"/>
    <w:rsid w:val="0042277F"/>
    <w:rsid w:val="0042278C"/>
    <w:rsid w:val="004227A9"/>
    <w:rsid w:val="004227AE"/>
    <w:rsid w:val="0042287D"/>
    <w:rsid w:val="00422985"/>
    <w:rsid w:val="0042298E"/>
    <w:rsid w:val="00422BA3"/>
    <w:rsid w:val="00422C43"/>
    <w:rsid w:val="00422CAE"/>
    <w:rsid w:val="00422E7D"/>
    <w:rsid w:val="00422F8E"/>
    <w:rsid w:val="00422FC6"/>
    <w:rsid w:val="0042306E"/>
    <w:rsid w:val="004230A0"/>
    <w:rsid w:val="004230D3"/>
    <w:rsid w:val="004230DA"/>
    <w:rsid w:val="004232FD"/>
    <w:rsid w:val="00423388"/>
    <w:rsid w:val="004233BF"/>
    <w:rsid w:val="004234DB"/>
    <w:rsid w:val="004234EA"/>
    <w:rsid w:val="0042376F"/>
    <w:rsid w:val="004238D5"/>
    <w:rsid w:val="00423957"/>
    <w:rsid w:val="0042395F"/>
    <w:rsid w:val="00423A2D"/>
    <w:rsid w:val="00423AD0"/>
    <w:rsid w:val="00423B32"/>
    <w:rsid w:val="00423B7F"/>
    <w:rsid w:val="00423CD0"/>
    <w:rsid w:val="00424090"/>
    <w:rsid w:val="004240A5"/>
    <w:rsid w:val="00424114"/>
    <w:rsid w:val="0042416E"/>
    <w:rsid w:val="00424242"/>
    <w:rsid w:val="00424314"/>
    <w:rsid w:val="0042437D"/>
    <w:rsid w:val="004243B7"/>
    <w:rsid w:val="004243EC"/>
    <w:rsid w:val="004243F0"/>
    <w:rsid w:val="004244B9"/>
    <w:rsid w:val="00424502"/>
    <w:rsid w:val="0042452D"/>
    <w:rsid w:val="004245DC"/>
    <w:rsid w:val="004245E3"/>
    <w:rsid w:val="004245EA"/>
    <w:rsid w:val="004245F4"/>
    <w:rsid w:val="00424698"/>
    <w:rsid w:val="004246B0"/>
    <w:rsid w:val="004248C5"/>
    <w:rsid w:val="0042496C"/>
    <w:rsid w:val="004249F6"/>
    <w:rsid w:val="00424A4A"/>
    <w:rsid w:val="00424A80"/>
    <w:rsid w:val="00424BDA"/>
    <w:rsid w:val="00424CB2"/>
    <w:rsid w:val="00424E05"/>
    <w:rsid w:val="00424E3E"/>
    <w:rsid w:val="00424E8B"/>
    <w:rsid w:val="00424EE4"/>
    <w:rsid w:val="00424EED"/>
    <w:rsid w:val="00424F9C"/>
    <w:rsid w:val="004250BE"/>
    <w:rsid w:val="004252A7"/>
    <w:rsid w:val="004252B4"/>
    <w:rsid w:val="0042530A"/>
    <w:rsid w:val="004255CD"/>
    <w:rsid w:val="0042560E"/>
    <w:rsid w:val="00425663"/>
    <w:rsid w:val="004256B2"/>
    <w:rsid w:val="0042574C"/>
    <w:rsid w:val="0042586E"/>
    <w:rsid w:val="004258AB"/>
    <w:rsid w:val="00425AF1"/>
    <w:rsid w:val="00425B12"/>
    <w:rsid w:val="00425B19"/>
    <w:rsid w:val="00425BD4"/>
    <w:rsid w:val="00425C2A"/>
    <w:rsid w:val="00425DF9"/>
    <w:rsid w:val="00425E0C"/>
    <w:rsid w:val="00425E5B"/>
    <w:rsid w:val="00425E94"/>
    <w:rsid w:val="00425F3F"/>
    <w:rsid w:val="00425F46"/>
    <w:rsid w:val="00425FB1"/>
    <w:rsid w:val="00426087"/>
    <w:rsid w:val="004260A6"/>
    <w:rsid w:val="0042612D"/>
    <w:rsid w:val="00426331"/>
    <w:rsid w:val="00426396"/>
    <w:rsid w:val="00426450"/>
    <w:rsid w:val="0042648E"/>
    <w:rsid w:val="004264EF"/>
    <w:rsid w:val="004265AF"/>
    <w:rsid w:val="004266FD"/>
    <w:rsid w:val="00426731"/>
    <w:rsid w:val="004267B1"/>
    <w:rsid w:val="004267CE"/>
    <w:rsid w:val="0042681E"/>
    <w:rsid w:val="00426882"/>
    <w:rsid w:val="004269C2"/>
    <w:rsid w:val="00426B02"/>
    <w:rsid w:val="00426BFB"/>
    <w:rsid w:val="00426BFD"/>
    <w:rsid w:val="00426C61"/>
    <w:rsid w:val="00426E05"/>
    <w:rsid w:val="00426E4A"/>
    <w:rsid w:val="00426F08"/>
    <w:rsid w:val="00426F8F"/>
    <w:rsid w:val="00426FA6"/>
    <w:rsid w:val="00426FD6"/>
    <w:rsid w:val="0042700A"/>
    <w:rsid w:val="0042703F"/>
    <w:rsid w:val="00427299"/>
    <w:rsid w:val="004272BC"/>
    <w:rsid w:val="004272C7"/>
    <w:rsid w:val="004273C3"/>
    <w:rsid w:val="00427565"/>
    <w:rsid w:val="00427920"/>
    <w:rsid w:val="00427997"/>
    <w:rsid w:val="00427A27"/>
    <w:rsid w:val="00427AF8"/>
    <w:rsid w:val="00427BCD"/>
    <w:rsid w:val="00427C1E"/>
    <w:rsid w:val="00427C8E"/>
    <w:rsid w:val="00427D4E"/>
    <w:rsid w:val="00427DD1"/>
    <w:rsid w:val="00427E5F"/>
    <w:rsid w:val="00427F5A"/>
    <w:rsid w:val="0043007D"/>
    <w:rsid w:val="004300C1"/>
    <w:rsid w:val="0043011B"/>
    <w:rsid w:val="00430144"/>
    <w:rsid w:val="004302D9"/>
    <w:rsid w:val="00430337"/>
    <w:rsid w:val="00430384"/>
    <w:rsid w:val="004303D3"/>
    <w:rsid w:val="00430470"/>
    <w:rsid w:val="004304D4"/>
    <w:rsid w:val="004305BB"/>
    <w:rsid w:val="004306B1"/>
    <w:rsid w:val="004306EC"/>
    <w:rsid w:val="0043082E"/>
    <w:rsid w:val="00430838"/>
    <w:rsid w:val="00430955"/>
    <w:rsid w:val="00430985"/>
    <w:rsid w:val="004309AF"/>
    <w:rsid w:val="004309D8"/>
    <w:rsid w:val="00430A46"/>
    <w:rsid w:val="00430A92"/>
    <w:rsid w:val="00430AF6"/>
    <w:rsid w:val="00430B1C"/>
    <w:rsid w:val="00430C4C"/>
    <w:rsid w:val="00430C64"/>
    <w:rsid w:val="00430CE3"/>
    <w:rsid w:val="00430CF7"/>
    <w:rsid w:val="00430D3D"/>
    <w:rsid w:val="00430E30"/>
    <w:rsid w:val="00430E8A"/>
    <w:rsid w:val="00430EA7"/>
    <w:rsid w:val="00430F62"/>
    <w:rsid w:val="00431166"/>
    <w:rsid w:val="004311CC"/>
    <w:rsid w:val="004311EF"/>
    <w:rsid w:val="00431256"/>
    <w:rsid w:val="0043131B"/>
    <w:rsid w:val="00431325"/>
    <w:rsid w:val="0043141B"/>
    <w:rsid w:val="004314FE"/>
    <w:rsid w:val="00431592"/>
    <w:rsid w:val="004315DF"/>
    <w:rsid w:val="0043162C"/>
    <w:rsid w:val="004316B4"/>
    <w:rsid w:val="00431783"/>
    <w:rsid w:val="004317EA"/>
    <w:rsid w:val="00431801"/>
    <w:rsid w:val="004318B6"/>
    <w:rsid w:val="0043191C"/>
    <w:rsid w:val="00431A1A"/>
    <w:rsid w:val="00431AE3"/>
    <w:rsid w:val="00431AFD"/>
    <w:rsid w:val="00431B5A"/>
    <w:rsid w:val="00431CEA"/>
    <w:rsid w:val="00431D09"/>
    <w:rsid w:val="00431D57"/>
    <w:rsid w:val="00431D98"/>
    <w:rsid w:val="00431DF2"/>
    <w:rsid w:val="00431E20"/>
    <w:rsid w:val="00431E21"/>
    <w:rsid w:val="00431E5F"/>
    <w:rsid w:val="00431F3E"/>
    <w:rsid w:val="00431F66"/>
    <w:rsid w:val="0043201C"/>
    <w:rsid w:val="00432074"/>
    <w:rsid w:val="0043208C"/>
    <w:rsid w:val="00432093"/>
    <w:rsid w:val="004320D9"/>
    <w:rsid w:val="004322B2"/>
    <w:rsid w:val="004323C2"/>
    <w:rsid w:val="004324D4"/>
    <w:rsid w:val="00432540"/>
    <w:rsid w:val="0043258B"/>
    <w:rsid w:val="00432677"/>
    <w:rsid w:val="00432699"/>
    <w:rsid w:val="00432709"/>
    <w:rsid w:val="00432717"/>
    <w:rsid w:val="004328B6"/>
    <w:rsid w:val="004328CA"/>
    <w:rsid w:val="00432A60"/>
    <w:rsid w:val="00432A9A"/>
    <w:rsid w:val="00432B09"/>
    <w:rsid w:val="00432BC4"/>
    <w:rsid w:val="00432E14"/>
    <w:rsid w:val="00432E39"/>
    <w:rsid w:val="00432FAC"/>
    <w:rsid w:val="0043301A"/>
    <w:rsid w:val="0043301E"/>
    <w:rsid w:val="00433102"/>
    <w:rsid w:val="00433178"/>
    <w:rsid w:val="00433212"/>
    <w:rsid w:val="004332E8"/>
    <w:rsid w:val="00433375"/>
    <w:rsid w:val="00433406"/>
    <w:rsid w:val="00433437"/>
    <w:rsid w:val="004335E3"/>
    <w:rsid w:val="00433700"/>
    <w:rsid w:val="00433D73"/>
    <w:rsid w:val="00433F56"/>
    <w:rsid w:val="0043405E"/>
    <w:rsid w:val="004340E4"/>
    <w:rsid w:val="004341C3"/>
    <w:rsid w:val="00434227"/>
    <w:rsid w:val="00434433"/>
    <w:rsid w:val="0043458B"/>
    <w:rsid w:val="00434678"/>
    <w:rsid w:val="00434690"/>
    <w:rsid w:val="00434746"/>
    <w:rsid w:val="004347AF"/>
    <w:rsid w:val="0043484D"/>
    <w:rsid w:val="0043491B"/>
    <w:rsid w:val="00434932"/>
    <w:rsid w:val="004349AC"/>
    <w:rsid w:val="00434A5A"/>
    <w:rsid w:val="00434A86"/>
    <w:rsid w:val="00434A9B"/>
    <w:rsid w:val="00434AAB"/>
    <w:rsid w:val="00434B81"/>
    <w:rsid w:val="00434BC8"/>
    <w:rsid w:val="00434BE6"/>
    <w:rsid w:val="00434C30"/>
    <w:rsid w:val="00434D96"/>
    <w:rsid w:val="00434D9E"/>
    <w:rsid w:val="00434E4D"/>
    <w:rsid w:val="00435186"/>
    <w:rsid w:val="004353B8"/>
    <w:rsid w:val="004353B9"/>
    <w:rsid w:val="00435419"/>
    <w:rsid w:val="004355BB"/>
    <w:rsid w:val="0043567D"/>
    <w:rsid w:val="004356D5"/>
    <w:rsid w:val="0043578F"/>
    <w:rsid w:val="00435795"/>
    <w:rsid w:val="0043579C"/>
    <w:rsid w:val="004358A4"/>
    <w:rsid w:val="00435C47"/>
    <w:rsid w:val="00435C6D"/>
    <w:rsid w:val="00435C8A"/>
    <w:rsid w:val="00435DF7"/>
    <w:rsid w:val="00435FA3"/>
    <w:rsid w:val="004361F6"/>
    <w:rsid w:val="004362B4"/>
    <w:rsid w:val="00436317"/>
    <w:rsid w:val="0043633D"/>
    <w:rsid w:val="0043635C"/>
    <w:rsid w:val="00436724"/>
    <w:rsid w:val="0043681E"/>
    <w:rsid w:val="00436959"/>
    <w:rsid w:val="00436976"/>
    <w:rsid w:val="004369D2"/>
    <w:rsid w:val="00436A01"/>
    <w:rsid w:val="00436AA9"/>
    <w:rsid w:val="00436B00"/>
    <w:rsid w:val="00436BB7"/>
    <w:rsid w:val="00436BD1"/>
    <w:rsid w:val="00436C2C"/>
    <w:rsid w:val="00436CF1"/>
    <w:rsid w:val="00436D0D"/>
    <w:rsid w:val="00436D34"/>
    <w:rsid w:val="00436D8A"/>
    <w:rsid w:val="00436F41"/>
    <w:rsid w:val="00436F7D"/>
    <w:rsid w:val="00437031"/>
    <w:rsid w:val="0043714B"/>
    <w:rsid w:val="0043715C"/>
    <w:rsid w:val="00437165"/>
    <w:rsid w:val="00437189"/>
    <w:rsid w:val="0043728E"/>
    <w:rsid w:val="004372AD"/>
    <w:rsid w:val="004372E9"/>
    <w:rsid w:val="00437418"/>
    <w:rsid w:val="00437632"/>
    <w:rsid w:val="00437698"/>
    <w:rsid w:val="00437705"/>
    <w:rsid w:val="00437857"/>
    <w:rsid w:val="00437929"/>
    <w:rsid w:val="004379CA"/>
    <w:rsid w:val="00437A7B"/>
    <w:rsid w:val="00437D98"/>
    <w:rsid w:val="00437DF9"/>
    <w:rsid w:val="00437F88"/>
    <w:rsid w:val="00440000"/>
    <w:rsid w:val="004401C9"/>
    <w:rsid w:val="00440204"/>
    <w:rsid w:val="004402E6"/>
    <w:rsid w:val="0044030F"/>
    <w:rsid w:val="00440392"/>
    <w:rsid w:val="0044039F"/>
    <w:rsid w:val="004403F5"/>
    <w:rsid w:val="00440AAE"/>
    <w:rsid w:val="00440AC9"/>
    <w:rsid w:val="00440B03"/>
    <w:rsid w:val="00440B27"/>
    <w:rsid w:val="00440B6C"/>
    <w:rsid w:val="00440BCC"/>
    <w:rsid w:val="00440D4A"/>
    <w:rsid w:val="00440E27"/>
    <w:rsid w:val="00440E82"/>
    <w:rsid w:val="0044104F"/>
    <w:rsid w:val="004411AC"/>
    <w:rsid w:val="00441215"/>
    <w:rsid w:val="004414E9"/>
    <w:rsid w:val="004414EC"/>
    <w:rsid w:val="00441523"/>
    <w:rsid w:val="0044164A"/>
    <w:rsid w:val="00441669"/>
    <w:rsid w:val="004416A1"/>
    <w:rsid w:val="004416EA"/>
    <w:rsid w:val="00441803"/>
    <w:rsid w:val="00441860"/>
    <w:rsid w:val="004418CF"/>
    <w:rsid w:val="004418E3"/>
    <w:rsid w:val="00441ADB"/>
    <w:rsid w:val="00441BCA"/>
    <w:rsid w:val="00441CE2"/>
    <w:rsid w:val="00441CE5"/>
    <w:rsid w:val="00441D9B"/>
    <w:rsid w:val="00441EF2"/>
    <w:rsid w:val="00441F36"/>
    <w:rsid w:val="00441FC0"/>
    <w:rsid w:val="004420F9"/>
    <w:rsid w:val="004421D1"/>
    <w:rsid w:val="004422E6"/>
    <w:rsid w:val="00442408"/>
    <w:rsid w:val="0044248E"/>
    <w:rsid w:val="004424A8"/>
    <w:rsid w:val="004424B7"/>
    <w:rsid w:val="00442559"/>
    <w:rsid w:val="00442592"/>
    <w:rsid w:val="00442659"/>
    <w:rsid w:val="00442677"/>
    <w:rsid w:val="004426FD"/>
    <w:rsid w:val="00442736"/>
    <w:rsid w:val="004427A8"/>
    <w:rsid w:val="004427FF"/>
    <w:rsid w:val="00442848"/>
    <w:rsid w:val="00442880"/>
    <w:rsid w:val="004428CD"/>
    <w:rsid w:val="0044296F"/>
    <w:rsid w:val="00442973"/>
    <w:rsid w:val="00442996"/>
    <w:rsid w:val="004429E6"/>
    <w:rsid w:val="00442A00"/>
    <w:rsid w:val="00442A2D"/>
    <w:rsid w:val="00442AE6"/>
    <w:rsid w:val="00442B7C"/>
    <w:rsid w:val="00442B91"/>
    <w:rsid w:val="00442D7F"/>
    <w:rsid w:val="00442F09"/>
    <w:rsid w:val="00442FC8"/>
    <w:rsid w:val="00442FE2"/>
    <w:rsid w:val="00442FEA"/>
    <w:rsid w:val="00443003"/>
    <w:rsid w:val="00443080"/>
    <w:rsid w:val="00443093"/>
    <w:rsid w:val="00443155"/>
    <w:rsid w:val="00443186"/>
    <w:rsid w:val="00443288"/>
    <w:rsid w:val="0044339C"/>
    <w:rsid w:val="004435D8"/>
    <w:rsid w:val="004436D2"/>
    <w:rsid w:val="004437FB"/>
    <w:rsid w:val="00443921"/>
    <w:rsid w:val="00443A86"/>
    <w:rsid w:val="00443B9D"/>
    <w:rsid w:val="00443B9E"/>
    <w:rsid w:val="00443BC2"/>
    <w:rsid w:val="00443C0D"/>
    <w:rsid w:val="00443CD1"/>
    <w:rsid w:val="00443D62"/>
    <w:rsid w:val="00443DAC"/>
    <w:rsid w:val="00443EC3"/>
    <w:rsid w:val="00443FE8"/>
    <w:rsid w:val="00444066"/>
    <w:rsid w:val="004440D8"/>
    <w:rsid w:val="004441A8"/>
    <w:rsid w:val="0044428C"/>
    <w:rsid w:val="00444302"/>
    <w:rsid w:val="00444402"/>
    <w:rsid w:val="0044444C"/>
    <w:rsid w:val="004445B7"/>
    <w:rsid w:val="004445B8"/>
    <w:rsid w:val="00444726"/>
    <w:rsid w:val="004447B1"/>
    <w:rsid w:val="00444850"/>
    <w:rsid w:val="004448CC"/>
    <w:rsid w:val="004448FD"/>
    <w:rsid w:val="00444A39"/>
    <w:rsid w:val="00444B1F"/>
    <w:rsid w:val="00444C38"/>
    <w:rsid w:val="00444D6A"/>
    <w:rsid w:val="00444EFC"/>
    <w:rsid w:val="00444F2E"/>
    <w:rsid w:val="00444FD3"/>
    <w:rsid w:val="004451EE"/>
    <w:rsid w:val="00445482"/>
    <w:rsid w:val="004454C8"/>
    <w:rsid w:val="004455CE"/>
    <w:rsid w:val="0044564C"/>
    <w:rsid w:val="0044565F"/>
    <w:rsid w:val="0044568F"/>
    <w:rsid w:val="0044573A"/>
    <w:rsid w:val="004457E1"/>
    <w:rsid w:val="004457EF"/>
    <w:rsid w:val="00445822"/>
    <w:rsid w:val="004458FD"/>
    <w:rsid w:val="004459F2"/>
    <w:rsid w:val="00445AF1"/>
    <w:rsid w:val="00445B3A"/>
    <w:rsid w:val="00445B76"/>
    <w:rsid w:val="00445C8A"/>
    <w:rsid w:val="00445CA2"/>
    <w:rsid w:val="00445CBA"/>
    <w:rsid w:val="00445D1A"/>
    <w:rsid w:val="00445EA5"/>
    <w:rsid w:val="00445F9C"/>
    <w:rsid w:val="00445FB4"/>
    <w:rsid w:val="00445FD4"/>
    <w:rsid w:val="004460DC"/>
    <w:rsid w:val="00446233"/>
    <w:rsid w:val="0044629D"/>
    <w:rsid w:val="004463E5"/>
    <w:rsid w:val="00446453"/>
    <w:rsid w:val="00446538"/>
    <w:rsid w:val="0044655D"/>
    <w:rsid w:val="0044656B"/>
    <w:rsid w:val="00446610"/>
    <w:rsid w:val="004466E4"/>
    <w:rsid w:val="00446755"/>
    <w:rsid w:val="00446761"/>
    <w:rsid w:val="00446784"/>
    <w:rsid w:val="00446797"/>
    <w:rsid w:val="004468A2"/>
    <w:rsid w:val="0044697A"/>
    <w:rsid w:val="00446998"/>
    <w:rsid w:val="004469C4"/>
    <w:rsid w:val="00446A34"/>
    <w:rsid w:val="00446B25"/>
    <w:rsid w:val="00446B49"/>
    <w:rsid w:val="00446BB8"/>
    <w:rsid w:val="00446C87"/>
    <w:rsid w:val="00446D0D"/>
    <w:rsid w:val="00446DAC"/>
    <w:rsid w:val="00446E1D"/>
    <w:rsid w:val="00446E21"/>
    <w:rsid w:val="00446E34"/>
    <w:rsid w:val="00446F19"/>
    <w:rsid w:val="00446F8A"/>
    <w:rsid w:val="00447007"/>
    <w:rsid w:val="004470E5"/>
    <w:rsid w:val="00447139"/>
    <w:rsid w:val="0044727E"/>
    <w:rsid w:val="004472A1"/>
    <w:rsid w:val="00447314"/>
    <w:rsid w:val="0044732C"/>
    <w:rsid w:val="00447377"/>
    <w:rsid w:val="0044745F"/>
    <w:rsid w:val="004476B9"/>
    <w:rsid w:val="0044770F"/>
    <w:rsid w:val="00447779"/>
    <w:rsid w:val="0044785F"/>
    <w:rsid w:val="004478CC"/>
    <w:rsid w:val="0044797B"/>
    <w:rsid w:val="00447A94"/>
    <w:rsid w:val="00447A98"/>
    <w:rsid w:val="00447ACE"/>
    <w:rsid w:val="00447BF4"/>
    <w:rsid w:val="00447D22"/>
    <w:rsid w:val="00447D54"/>
    <w:rsid w:val="00447D6C"/>
    <w:rsid w:val="00447E56"/>
    <w:rsid w:val="00447F0E"/>
    <w:rsid w:val="00447F2E"/>
    <w:rsid w:val="00447FCC"/>
    <w:rsid w:val="004501D5"/>
    <w:rsid w:val="00450288"/>
    <w:rsid w:val="00450511"/>
    <w:rsid w:val="00450528"/>
    <w:rsid w:val="00450592"/>
    <w:rsid w:val="004505BC"/>
    <w:rsid w:val="004507BF"/>
    <w:rsid w:val="00450843"/>
    <w:rsid w:val="00450846"/>
    <w:rsid w:val="004508F4"/>
    <w:rsid w:val="00450A7A"/>
    <w:rsid w:val="00450A95"/>
    <w:rsid w:val="00450AA6"/>
    <w:rsid w:val="00450ACC"/>
    <w:rsid w:val="00450DCC"/>
    <w:rsid w:val="00450E15"/>
    <w:rsid w:val="00450FBB"/>
    <w:rsid w:val="0045106F"/>
    <w:rsid w:val="004510DB"/>
    <w:rsid w:val="00451157"/>
    <w:rsid w:val="00451161"/>
    <w:rsid w:val="004511AE"/>
    <w:rsid w:val="00451277"/>
    <w:rsid w:val="00451284"/>
    <w:rsid w:val="00451415"/>
    <w:rsid w:val="00451433"/>
    <w:rsid w:val="00451452"/>
    <w:rsid w:val="004514ED"/>
    <w:rsid w:val="004515A7"/>
    <w:rsid w:val="0045166A"/>
    <w:rsid w:val="0045166E"/>
    <w:rsid w:val="00451779"/>
    <w:rsid w:val="00451A53"/>
    <w:rsid w:val="00451AC3"/>
    <w:rsid w:val="00451B2C"/>
    <w:rsid w:val="00451B5C"/>
    <w:rsid w:val="00451B74"/>
    <w:rsid w:val="00451BD9"/>
    <w:rsid w:val="00451C21"/>
    <w:rsid w:val="00451CF3"/>
    <w:rsid w:val="00451D09"/>
    <w:rsid w:val="00451D13"/>
    <w:rsid w:val="00451D19"/>
    <w:rsid w:val="00451D22"/>
    <w:rsid w:val="00451D42"/>
    <w:rsid w:val="00451D5F"/>
    <w:rsid w:val="00451D78"/>
    <w:rsid w:val="00451DE3"/>
    <w:rsid w:val="00451E18"/>
    <w:rsid w:val="00451E5C"/>
    <w:rsid w:val="00451FB8"/>
    <w:rsid w:val="00451FD2"/>
    <w:rsid w:val="00452153"/>
    <w:rsid w:val="004523B5"/>
    <w:rsid w:val="004524A0"/>
    <w:rsid w:val="00452651"/>
    <w:rsid w:val="0045266D"/>
    <w:rsid w:val="004526D7"/>
    <w:rsid w:val="00452724"/>
    <w:rsid w:val="004527A2"/>
    <w:rsid w:val="00452844"/>
    <w:rsid w:val="00452886"/>
    <w:rsid w:val="00452994"/>
    <w:rsid w:val="00452A7D"/>
    <w:rsid w:val="00452AE8"/>
    <w:rsid w:val="00452B04"/>
    <w:rsid w:val="00452C96"/>
    <w:rsid w:val="00452DBB"/>
    <w:rsid w:val="00452E51"/>
    <w:rsid w:val="00452EAC"/>
    <w:rsid w:val="00453001"/>
    <w:rsid w:val="0045307F"/>
    <w:rsid w:val="004530CF"/>
    <w:rsid w:val="0045312E"/>
    <w:rsid w:val="004531A6"/>
    <w:rsid w:val="004531AC"/>
    <w:rsid w:val="004531BD"/>
    <w:rsid w:val="00453282"/>
    <w:rsid w:val="004532F6"/>
    <w:rsid w:val="00453324"/>
    <w:rsid w:val="0045342A"/>
    <w:rsid w:val="00453444"/>
    <w:rsid w:val="00453468"/>
    <w:rsid w:val="004534EE"/>
    <w:rsid w:val="00453556"/>
    <w:rsid w:val="00453600"/>
    <w:rsid w:val="004536C2"/>
    <w:rsid w:val="004536DF"/>
    <w:rsid w:val="0045391B"/>
    <w:rsid w:val="0045395A"/>
    <w:rsid w:val="00453AF5"/>
    <w:rsid w:val="00453CAC"/>
    <w:rsid w:val="00453DAC"/>
    <w:rsid w:val="00453DB6"/>
    <w:rsid w:val="00453DC8"/>
    <w:rsid w:val="00453ED2"/>
    <w:rsid w:val="00453F5F"/>
    <w:rsid w:val="0045412E"/>
    <w:rsid w:val="0045419D"/>
    <w:rsid w:val="00454206"/>
    <w:rsid w:val="004542D7"/>
    <w:rsid w:val="00454363"/>
    <w:rsid w:val="00454740"/>
    <w:rsid w:val="004547E8"/>
    <w:rsid w:val="004548F9"/>
    <w:rsid w:val="00454A64"/>
    <w:rsid w:val="00454BB3"/>
    <w:rsid w:val="00454CDE"/>
    <w:rsid w:val="00454DC2"/>
    <w:rsid w:val="00454E79"/>
    <w:rsid w:val="00454EAA"/>
    <w:rsid w:val="00454F7C"/>
    <w:rsid w:val="00454FAC"/>
    <w:rsid w:val="00455064"/>
    <w:rsid w:val="004550B0"/>
    <w:rsid w:val="00455118"/>
    <w:rsid w:val="004551EF"/>
    <w:rsid w:val="0045522A"/>
    <w:rsid w:val="004552CB"/>
    <w:rsid w:val="00455353"/>
    <w:rsid w:val="0045538E"/>
    <w:rsid w:val="00455452"/>
    <w:rsid w:val="004555F1"/>
    <w:rsid w:val="004556AE"/>
    <w:rsid w:val="0045575B"/>
    <w:rsid w:val="004557D4"/>
    <w:rsid w:val="004559EE"/>
    <w:rsid w:val="00455A4E"/>
    <w:rsid w:val="00455BE0"/>
    <w:rsid w:val="00455C01"/>
    <w:rsid w:val="00455C13"/>
    <w:rsid w:val="00455CDD"/>
    <w:rsid w:val="00455D1C"/>
    <w:rsid w:val="00455F02"/>
    <w:rsid w:val="00455F66"/>
    <w:rsid w:val="00455FB7"/>
    <w:rsid w:val="004560D6"/>
    <w:rsid w:val="004560E2"/>
    <w:rsid w:val="004561F8"/>
    <w:rsid w:val="0045628C"/>
    <w:rsid w:val="004562FC"/>
    <w:rsid w:val="00456365"/>
    <w:rsid w:val="0045636A"/>
    <w:rsid w:val="004564F9"/>
    <w:rsid w:val="00456541"/>
    <w:rsid w:val="0045656A"/>
    <w:rsid w:val="00456570"/>
    <w:rsid w:val="004565AF"/>
    <w:rsid w:val="00456607"/>
    <w:rsid w:val="004566E9"/>
    <w:rsid w:val="004567C6"/>
    <w:rsid w:val="0045686B"/>
    <w:rsid w:val="0045694A"/>
    <w:rsid w:val="004569D0"/>
    <w:rsid w:val="00456A27"/>
    <w:rsid w:val="00456ABD"/>
    <w:rsid w:val="00456B96"/>
    <w:rsid w:val="00456CDA"/>
    <w:rsid w:val="00456E27"/>
    <w:rsid w:val="00457086"/>
    <w:rsid w:val="004570C5"/>
    <w:rsid w:val="004572BE"/>
    <w:rsid w:val="00457318"/>
    <w:rsid w:val="004573BC"/>
    <w:rsid w:val="0045753D"/>
    <w:rsid w:val="0045758A"/>
    <w:rsid w:val="00457776"/>
    <w:rsid w:val="0045777C"/>
    <w:rsid w:val="0045791D"/>
    <w:rsid w:val="00457AFC"/>
    <w:rsid w:val="00457B45"/>
    <w:rsid w:val="00457C0D"/>
    <w:rsid w:val="00457C4C"/>
    <w:rsid w:val="00457C5B"/>
    <w:rsid w:val="00457DA3"/>
    <w:rsid w:val="00457DC2"/>
    <w:rsid w:val="00457DD4"/>
    <w:rsid w:val="00457DF1"/>
    <w:rsid w:val="0046004E"/>
    <w:rsid w:val="0046009E"/>
    <w:rsid w:val="004601B3"/>
    <w:rsid w:val="004601BC"/>
    <w:rsid w:val="00460247"/>
    <w:rsid w:val="0046027F"/>
    <w:rsid w:val="00460355"/>
    <w:rsid w:val="00460371"/>
    <w:rsid w:val="004603DD"/>
    <w:rsid w:val="0046041B"/>
    <w:rsid w:val="0046058A"/>
    <w:rsid w:val="0046067A"/>
    <w:rsid w:val="004606CC"/>
    <w:rsid w:val="00460719"/>
    <w:rsid w:val="00460743"/>
    <w:rsid w:val="0046077E"/>
    <w:rsid w:val="00460827"/>
    <w:rsid w:val="004608C1"/>
    <w:rsid w:val="00460920"/>
    <w:rsid w:val="00460921"/>
    <w:rsid w:val="00460933"/>
    <w:rsid w:val="00460AB1"/>
    <w:rsid w:val="00460AF3"/>
    <w:rsid w:val="00460BC3"/>
    <w:rsid w:val="00460D09"/>
    <w:rsid w:val="00460D1F"/>
    <w:rsid w:val="00460D9D"/>
    <w:rsid w:val="00460DCF"/>
    <w:rsid w:val="00460E04"/>
    <w:rsid w:val="00460E3F"/>
    <w:rsid w:val="00460E50"/>
    <w:rsid w:val="00460EB5"/>
    <w:rsid w:val="00460F2F"/>
    <w:rsid w:val="00461113"/>
    <w:rsid w:val="00461144"/>
    <w:rsid w:val="00461335"/>
    <w:rsid w:val="00461415"/>
    <w:rsid w:val="004614B2"/>
    <w:rsid w:val="004614F2"/>
    <w:rsid w:val="0046162F"/>
    <w:rsid w:val="004616A2"/>
    <w:rsid w:val="004616AD"/>
    <w:rsid w:val="00461899"/>
    <w:rsid w:val="00461940"/>
    <w:rsid w:val="00461B0A"/>
    <w:rsid w:val="00461B44"/>
    <w:rsid w:val="00461B5B"/>
    <w:rsid w:val="00461BC4"/>
    <w:rsid w:val="00461C03"/>
    <w:rsid w:val="00461D71"/>
    <w:rsid w:val="00461E0A"/>
    <w:rsid w:val="004621D9"/>
    <w:rsid w:val="004621FD"/>
    <w:rsid w:val="004622EE"/>
    <w:rsid w:val="0046232B"/>
    <w:rsid w:val="004623DE"/>
    <w:rsid w:val="0046274D"/>
    <w:rsid w:val="004627AC"/>
    <w:rsid w:val="004628AC"/>
    <w:rsid w:val="00462945"/>
    <w:rsid w:val="00462A3D"/>
    <w:rsid w:val="00462A53"/>
    <w:rsid w:val="00462B95"/>
    <w:rsid w:val="00462CFC"/>
    <w:rsid w:val="00462E19"/>
    <w:rsid w:val="00462E42"/>
    <w:rsid w:val="00462E55"/>
    <w:rsid w:val="00462E5A"/>
    <w:rsid w:val="00462F61"/>
    <w:rsid w:val="00462FB0"/>
    <w:rsid w:val="00462FE0"/>
    <w:rsid w:val="0046327D"/>
    <w:rsid w:val="004632A5"/>
    <w:rsid w:val="004632AD"/>
    <w:rsid w:val="00463474"/>
    <w:rsid w:val="004635C3"/>
    <w:rsid w:val="004635E0"/>
    <w:rsid w:val="00463701"/>
    <w:rsid w:val="00463740"/>
    <w:rsid w:val="0046374F"/>
    <w:rsid w:val="00463764"/>
    <w:rsid w:val="004638F5"/>
    <w:rsid w:val="00463964"/>
    <w:rsid w:val="004639ED"/>
    <w:rsid w:val="00463C0A"/>
    <w:rsid w:val="00463D30"/>
    <w:rsid w:val="00463DCB"/>
    <w:rsid w:val="00463DFC"/>
    <w:rsid w:val="00463F02"/>
    <w:rsid w:val="00463FE1"/>
    <w:rsid w:val="00463FF1"/>
    <w:rsid w:val="004640B6"/>
    <w:rsid w:val="004642E5"/>
    <w:rsid w:val="0046431D"/>
    <w:rsid w:val="00464335"/>
    <w:rsid w:val="004643E2"/>
    <w:rsid w:val="00464401"/>
    <w:rsid w:val="004644C4"/>
    <w:rsid w:val="00464717"/>
    <w:rsid w:val="00464858"/>
    <w:rsid w:val="00464880"/>
    <w:rsid w:val="0046490F"/>
    <w:rsid w:val="0046493B"/>
    <w:rsid w:val="00464A2D"/>
    <w:rsid w:val="00464AD6"/>
    <w:rsid w:val="00464CCA"/>
    <w:rsid w:val="00464F0B"/>
    <w:rsid w:val="004650A0"/>
    <w:rsid w:val="00465144"/>
    <w:rsid w:val="00465184"/>
    <w:rsid w:val="004653E8"/>
    <w:rsid w:val="0046540F"/>
    <w:rsid w:val="004654E7"/>
    <w:rsid w:val="004655CC"/>
    <w:rsid w:val="00465643"/>
    <w:rsid w:val="004656BF"/>
    <w:rsid w:val="00465793"/>
    <w:rsid w:val="004657BF"/>
    <w:rsid w:val="004657E5"/>
    <w:rsid w:val="004657F4"/>
    <w:rsid w:val="0046580A"/>
    <w:rsid w:val="00465876"/>
    <w:rsid w:val="0046593C"/>
    <w:rsid w:val="00465983"/>
    <w:rsid w:val="00465BAA"/>
    <w:rsid w:val="00465C9D"/>
    <w:rsid w:val="00465CB2"/>
    <w:rsid w:val="00465DBB"/>
    <w:rsid w:val="00465DDE"/>
    <w:rsid w:val="00465DFB"/>
    <w:rsid w:val="00465E95"/>
    <w:rsid w:val="00465ED7"/>
    <w:rsid w:val="00465F3C"/>
    <w:rsid w:val="00465F50"/>
    <w:rsid w:val="00465F80"/>
    <w:rsid w:val="00466137"/>
    <w:rsid w:val="004661A3"/>
    <w:rsid w:val="004663AE"/>
    <w:rsid w:val="004663F8"/>
    <w:rsid w:val="0046654B"/>
    <w:rsid w:val="0046657A"/>
    <w:rsid w:val="00466608"/>
    <w:rsid w:val="0046661B"/>
    <w:rsid w:val="0046674A"/>
    <w:rsid w:val="004667C5"/>
    <w:rsid w:val="0046680F"/>
    <w:rsid w:val="0046683B"/>
    <w:rsid w:val="0046694A"/>
    <w:rsid w:val="0046699A"/>
    <w:rsid w:val="00466A01"/>
    <w:rsid w:val="00466B26"/>
    <w:rsid w:val="00466B56"/>
    <w:rsid w:val="00466B63"/>
    <w:rsid w:val="00466B79"/>
    <w:rsid w:val="00466C5D"/>
    <w:rsid w:val="00466D9D"/>
    <w:rsid w:val="00466DAC"/>
    <w:rsid w:val="00466ED9"/>
    <w:rsid w:val="004671BC"/>
    <w:rsid w:val="004671DB"/>
    <w:rsid w:val="0046729D"/>
    <w:rsid w:val="004673BB"/>
    <w:rsid w:val="004675DF"/>
    <w:rsid w:val="004676BE"/>
    <w:rsid w:val="004676DA"/>
    <w:rsid w:val="0046782D"/>
    <w:rsid w:val="00467838"/>
    <w:rsid w:val="004678DC"/>
    <w:rsid w:val="004679C6"/>
    <w:rsid w:val="004679E5"/>
    <w:rsid w:val="00467A35"/>
    <w:rsid w:val="00467AA5"/>
    <w:rsid w:val="00467AD1"/>
    <w:rsid w:val="00467B3E"/>
    <w:rsid w:val="00467B7B"/>
    <w:rsid w:val="00467B87"/>
    <w:rsid w:val="00467BAA"/>
    <w:rsid w:val="00467BDF"/>
    <w:rsid w:val="00467C4D"/>
    <w:rsid w:val="00467C6A"/>
    <w:rsid w:val="00467C6B"/>
    <w:rsid w:val="00467CB7"/>
    <w:rsid w:val="00467D84"/>
    <w:rsid w:val="00467DBA"/>
    <w:rsid w:val="00467DDB"/>
    <w:rsid w:val="00467E3F"/>
    <w:rsid w:val="00467EFA"/>
    <w:rsid w:val="00467F9D"/>
    <w:rsid w:val="004700F6"/>
    <w:rsid w:val="004701C1"/>
    <w:rsid w:val="00470240"/>
    <w:rsid w:val="004702D0"/>
    <w:rsid w:val="0047039D"/>
    <w:rsid w:val="00470504"/>
    <w:rsid w:val="004705DF"/>
    <w:rsid w:val="00470614"/>
    <w:rsid w:val="004707E9"/>
    <w:rsid w:val="004707F4"/>
    <w:rsid w:val="00470802"/>
    <w:rsid w:val="004708AA"/>
    <w:rsid w:val="00470938"/>
    <w:rsid w:val="004709CD"/>
    <w:rsid w:val="00470A36"/>
    <w:rsid w:val="00470A9A"/>
    <w:rsid w:val="00470B5A"/>
    <w:rsid w:val="00470B69"/>
    <w:rsid w:val="00470D1D"/>
    <w:rsid w:val="00470D31"/>
    <w:rsid w:val="00470D4F"/>
    <w:rsid w:val="00470DA0"/>
    <w:rsid w:val="00470DAF"/>
    <w:rsid w:val="00470DE3"/>
    <w:rsid w:val="00470F34"/>
    <w:rsid w:val="00470F7E"/>
    <w:rsid w:val="00471032"/>
    <w:rsid w:val="004710C1"/>
    <w:rsid w:val="004713C8"/>
    <w:rsid w:val="00471493"/>
    <w:rsid w:val="00471572"/>
    <w:rsid w:val="004715BF"/>
    <w:rsid w:val="004718C7"/>
    <w:rsid w:val="00471965"/>
    <w:rsid w:val="00471A01"/>
    <w:rsid w:val="00471ACC"/>
    <w:rsid w:val="00471ADC"/>
    <w:rsid w:val="00471B32"/>
    <w:rsid w:val="00471B33"/>
    <w:rsid w:val="00471B86"/>
    <w:rsid w:val="00471BCB"/>
    <w:rsid w:val="00471C97"/>
    <w:rsid w:val="00471CA1"/>
    <w:rsid w:val="00471CC6"/>
    <w:rsid w:val="00471D34"/>
    <w:rsid w:val="00471E80"/>
    <w:rsid w:val="004720AE"/>
    <w:rsid w:val="004720C3"/>
    <w:rsid w:val="004720FA"/>
    <w:rsid w:val="004721DF"/>
    <w:rsid w:val="00472211"/>
    <w:rsid w:val="0047248F"/>
    <w:rsid w:val="004725BD"/>
    <w:rsid w:val="004726A0"/>
    <w:rsid w:val="004726BF"/>
    <w:rsid w:val="00472774"/>
    <w:rsid w:val="0047278F"/>
    <w:rsid w:val="00472804"/>
    <w:rsid w:val="00472967"/>
    <w:rsid w:val="004729C2"/>
    <w:rsid w:val="00472A47"/>
    <w:rsid w:val="00472BBC"/>
    <w:rsid w:val="00472C21"/>
    <w:rsid w:val="00472CE5"/>
    <w:rsid w:val="00472D6C"/>
    <w:rsid w:val="00472DF5"/>
    <w:rsid w:val="00472EC6"/>
    <w:rsid w:val="00472ED6"/>
    <w:rsid w:val="00473067"/>
    <w:rsid w:val="0047312C"/>
    <w:rsid w:val="004731F7"/>
    <w:rsid w:val="004732AB"/>
    <w:rsid w:val="00473637"/>
    <w:rsid w:val="0047363B"/>
    <w:rsid w:val="004736A1"/>
    <w:rsid w:val="004736AF"/>
    <w:rsid w:val="00473707"/>
    <w:rsid w:val="00473745"/>
    <w:rsid w:val="00473751"/>
    <w:rsid w:val="0047378F"/>
    <w:rsid w:val="004738B6"/>
    <w:rsid w:val="00473919"/>
    <w:rsid w:val="00473982"/>
    <w:rsid w:val="004739BB"/>
    <w:rsid w:val="00473B6E"/>
    <w:rsid w:val="00473C87"/>
    <w:rsid w:val="00473D3D"/>
    <w:rsid w:val="00473DA3"/>
    <w:rsid w:val="00473DA7"/>
    <w:rsid w:val="00473EAC"/>
    <w:rsid w:val="004740F0"/>
    <w:rsid w:val="004740FA"/>
    <w:rsid w:val="00474125"/>
    <w:rsid w:val="0047420F"/>
    <w:rsid w:val="0047423B"/>
    <w:rsid w:val="00474288"/>
    <w:rsid w:val="004743ED"/>
    <w:rsid w:val="004744C9"/>
    <w:rsid w:val="0047458F"/>
    <w:rsid w:val="004745DA"/>
    <w:rsid w:val="004745E9"/>
    <w:rsid w:val="0047468A"/>
    <w:rsid w:val="004746E3"/>
    <w:rsid w:val="004746FC"/>
    <w:rsid w:val="0047478F"/>
    <w:rsid w:val="004747B9"/>
    <w:rsid w:val="004747CF"/>
    <w:rsid w:val="00474885"/>
    <w:rsid w:val="004749E4"/>
    <w:rsid w:val="00474AC0"/>
    <w:rsid w:val="00474B1E"/>
    <w:rsid w:val="00474B84"/>
    <w:rsid w:val="00474D1F"/>
    <w:rsid w:val="00474D3F"/>
    <w:rsid w:val="00474E65"/>
    <w:rsid w:val="00474ECC"/>
    <w:rsid w:val="00474F29"/>
    <w:rsid w:val="00474FBB"/>
    <w:rsid w:val="004750C5"/>
    <w:rsid w:val="0047519B"/>
    <w:rsid w:val="004754B8"/>
    <w:rsid w:val="00475520"/>
    <w:rsid w:val="00475650"/>
    <w:rsid w:val="004756B2"/>
    <w:rsid w:val="00475742"/>
    <w:rsid w:val="00475752"/>
    <w:rsid w:val="00475931"/>
    <w:rsid w:val="00475AD5"/>
    <w:rsid w:val="00475C34"/>
    <w:rsid w:val="00475C38"/>
    <w:rsid w:val="00475C7B"/>
    <w:rsid w:val="00475CE6"/>
    <w:rsid w:val="00475CEF"/>
    <w:rsid w:val="00475D7B"/>
    <w:rsid w:val="00475F6E"/>
    <w:rsid w:val="0047604E"/>
    <w:rsid w:val="00476198"/>
    <w:rsid w:val="0047619C"/>
    <w:rsid w:val="0047620F"/>
    <w:rsid w:val="0047623C"/>
    <w:rsid w:val="00476298"/>
    <w:rsid w:val="0047636A"/>
    <w:rsid w:val="0047636C"/>
    <w:rsid w:val="0047640F"/>
    <w:rsid w:val="00476430"/>
    <w:rsid w:val="00476489"/>
    <w:rsid w:val="004764D9"/>
    <w:rsid w:val="0047658B"/>
    <w:rsid w:val="004765AE"/>
    <w:rsid w:val="004766A7"/>
    <w:rsid w:val="0047671D"/>
    <w:rsid w:val="004767F4"/>
    <w:rsid w:val="00476870"/>
    <w:rsid w:val="00476A54"/>
    <w:rsid w:val="00476B00"/>
    <w:rsid w:val="00476BF6"/>
    <w:rsid w:val="00476C96"/>
    <w:rsid w:val="00476CD9"/>
    <w:rsid w:val="00476E11"/>
    <w:rsid w:val="00476F31"/>
    <w:rsid w:val="0047703C"/>
    <w:rsid w:val="004771CD"/>
    <w:rsid w:val="004772A8"/>
    <w:rsid w:val="00477351"/>
    <w:rsid w:val="004773CB"/>
    <w:rsid w:val="00477526"/>
    <w:rsid w:val="00477581"/>
    <w:rsid w:val="004775D0"/>
    <w:rsid w:val="00477627"/>
    <w:rsid w:val="004776C2"/>
    <w:rsid w:val="0047797A"/>
    <w:rsid w:val="0047799D"/>
    <w:rsid w:val="00477D1A"/>
    <w:rsid w:val="00477E8D"/>
    <w:rsid w:val="00477EBB"/>
    <w:rsid w:val="00477F09"/>
    <w:rsid w:val="00477F9E"/>
    <w:rsid w:val="0048002E"/>
    <w:rsid w:val="00480207"/>
    <w:rsid w:val="004802E5"/>
    <w:rsid w:val="00480315"/>
    <w:rsid w:val="0048043D"/>
    <w:rsid w:val="00480477"/>
    <w:rsid w:val="004804D0"/>
    <w:rsid w:val="0048072F"/>
    <w:rsid w:val="004807B7"/>
    <w:rsid w:val="004807E6"/>
    <w:rsid w:val="004807ED"/>
    <w:rsid w:val="0048086D"/>
    <w:rsid w:val="0048093A"/>
    <w:rsid w:val="0048096B"/>
    <w:rsid w:val="00480970"/>
    <w:rsid w:val="004809A1"/>
    <w:rsid w:val="00480AD3"/>
    <w:rsid w:val="00480B9D"/>
    <w:rsid w:val="00480BDF"/>
    <w:rsid w:val="00480C9A"/>
    <w:rsid w:val="00480ECD"/>
    <w:rsid w:val="00480F04"/>
    <w:rsid w:val="00480F08"/>
    <w:rsid w:val="00480F50"/>
    <w:rsid w:val="00481056"/>
    <w:rsid w:val="00481213"/>
    <w:rsid w:val="00481263"/>
    <w:rsid w:val="0048130A"/>
    <w:rsid w:val="004813B4"/>
    <w:rsid w:val="0048141D"/>
    <w:rsid w:val="00481507"/>
    <w:rsid w:val="0048157E"/>
    <w:rsid w:val="0048159D"/>
    <w:rsid w:val="00481666"/>
    <w:rsid w:val="004816A0"/>
    <w:rsid w:val="004816D3"/>
    <w:rsid w:val="004816F6"/>
    <w:rsid w:val="0048183C"/>
    <w:rsid w:val="00481879"/>
    <w:rsid w:val="0048194A"/>
    <w:rsid w:val="004819E2"/>
    <w:rsid w:val="00481A0B"/>
    <w:rsid w:val="00481A66"/>
    <w:rsid w:val="00481A9F"/>
    <w:rsid w:val="00481B0C"/>
    <w:rsid w:val="00481BDD"/>
    <w:rsid w:val="00481C37"/>
    <w:rsid w:val="00481C56"/>
    <w:rsid w:val="00481D2A"/>
    <w:rsid w:val="00481D39"/>
    <w:rsid w:val="00481F37"/>
    <w:rsid w:val="00481F8C"/>
    <w:rsid w:val="004821B7"/>
    <w:rsid w:val="004822A3"/>
    <w:rsid w:val="004822B5"/>
    <w:rsid w:val="00482481"/>
    <w:rsid w:val="004824F5"/>
    <w:rsid w:val="0048259C"/>
    <w:rsid w:val="004825E6"/>
    <w:rsid w:val="00482842"/>
    <w:rsid w:val="00482845"/>
    <w:rsid w:val="00482881"/>
    <w:rsid w:val="00482887"/>
    <w:rsid w:val="004829D1"/>
    <w:rsid w:val="00482A4D"/>
    <w:rsid w:val="00482B47"/>
    <w:rsid w:val="00482B4C"/>
    <w:rsid w:val="00482B6E"/>
    <w:rsid w:val="00482BFC"/>
    <w:rsid w:val="00482C6C"/>
    <w:rsid w:val="00482C6D"/>
    <w:rsid w:val="00482C9E"/>
    <w:rsid w:val="00482D4D"/>
    <w:rsid w:val="00482D50"/>
    <w:rsid w:val="00482DA1"/>
    <w:rsid w:val="00482DAF"/>
    <w:rsid w:val="00482DC1"/>
    <w:rsid w:val="00482E23"/>
    <w:rsid w:val="00482E3C"/>
    <w:rsid w:val="00482E3E"/>
    <w:rsid w:val="00482E47"/>
    <w:rsid w:val="00482EEC"/>
    <w:rsid w:val="00482F3F"/>
    <w:rsid w:val="00482FFF"/>
    <w:rsid w:val="00483231"/>
    <w:rsid w:val="0048324B"/>
    <w:rsid w:val="0048328E"/>
    <w:rsid w:val="00483341"/>
    <w:rsid w:val="004833A9"/>
    <w:rsid w:val="0048347B"/>
    <w:rsid w:val="00483580"/>
    <w:rsid w:val="0048374E"/>
    <w:rsid w:val="004839FE"/>
    <w:rsid w:val="00483AC3"/>
    <w:rsid w:val="00483B69"/>
    <w:rsid w:val="00483BDC"/>
    <w:rsid w:val="00483BF8"/>
    <w:rsid w:val="00483C6B"/>
    <w:rsid w:val="00483C73"/>
    <w:rsid w:val="00483CFD"/>
    <w:rsid w:val="00483D13"/>
    <w:rsid w:val="00483DD1"/>
    <w:rsid w:val="00483E52"/>
    <w:rsid w:val="00483ED5"/>
    <w:rsid w:val="00483F39"/>
    <w:rsid w:val="00483F83"/>
    <w:rsid w:val="004840CF"/>
    <w:rsid w:val="004840F6"/>
    <w:rsid w:val="0048422E"/>
    <w:rsid w:val="0048425B"/>
    <w:rsid w:val="004842CE"/>
    <w:rsid w:val="004842F9"/>
    <w:rsid w:val="00484703"/>
    <w:rsid w:val="0048471F"/>
    <w:rsid w:val="00484773"/>
    <w:rsid w:val="004847D8"/>
    <w:rsid w:val="004847DE"/>
    <w:rsid w:val="004849AB"/>
    <w:rsid w:val="00484A24"/>
    <w:rsid w:val="00484A65"/>
    <w:rsid w:val="00484C77"/>
    <w:rsid w:val="00484DDC"/>
    <w:rsid w:val="00484DFC"/>
    <w:rsid w:val="00484E06"/>
    <w:rsid w:val="00484F75"/>
    <w:rsid w:val="00485090"/>
    <w:rsid w:val="00485106"/>
    <w:rsid w:val="00485193"/>
    <w:rsid w:val="004851B7"/>
    <w:rsid w:val="004851EF"/>
    <w:rsid w:val="00485358"/>
    <w:rsid w:val="00485431"/>
    <w:rsid w:val="00485450"/>
    <w:rsid w:val="00485555"/>
    <w:rsid w:val="00485665"/>
    <w:rsid w:val="004856BC"/>
    <w:rsid w:val="004856D5"/>
    <w:rsid w:val="004856E4"/>
    <w:rsid w:val="0048573C"/>
    <w:rsid w:val="00485819"/>
    <w:rsid w:val="004858AB"/>
    <w:rsid w:val="004858DE"/>
    <w:rsid w:val="00485923"/>
    <w:rsid w:val="00485A1A"/>
    <w:rsid w:val="00485B38"/>
    <w:rsid w:val="00485CCD"/>
    <w:rsid w:val="00485DA4"/>
    <w:rsid w:val="00485DEF"/>
    <w:rsid w:val="00485E33"/>
    <w:rsid w:val="00486025"/>
    <w:rsid w:val="00486217"/>
    <w:rsid w:val="00486357"/>
    <w:rsid w:val="004863AD"/>
    <w:rsid w:val="0048651C"/>
    <w:rsid w:val="0048652D"/>
    <w:rsid w:val="00486695"/>
    <w:rsid w:val="004866D9"/>
    <w:rsid w:val="0048674D"/>
    <w:rsid w:val="004867C1"/>
    <w:rsid w:val="004867F6"/>
    <w:rsid w:val="00486974"/>
    <w:rsid w:val="00486A26"/>
    <w:rsid w:val="00486A48"/>
    <w:rsid w:val="00486C9E"/>
    <w:rsid w:val="00486CF9"/>
    <w:rsid w:val="00486D32"/>
    <w:rsid w:val="00486D96"/>
    <w:rsid w:val="00486F0D"/>
    <w:rsid w:val="00486F17"/>
    <w:rsid w:val="00486FC0"/>
    <w:rsid w:val="00487008"/>
    <w:rsid w:val="00487093"/>
    <w:rsid w:val="0048709A"/>
    <w:rsid w:val="00487173"/>
    <w:rsid w:val="0048728A"/>
    <w:rsid w:val="004872E5"/>
    <w:rsid w:val="004872FE"/>
    <w:rsid w:val="00487412"/>
    <w:rsid w:val="0048753B"/>
    <w:rsid w:val="004875A7"/>
    <w:rsid w:val="004875DD"/>
    <w:rsid w:val="00487642"/>
    <w:rsid w:val="004876D6"/>
    <w:rsid w:val="0048770D"/>
    <w:rsid w:val="0048781F"/>
    <w:rsid w:val="004878AC"/>
    <w:rsid w:val="004878C2"/>
    <w:rsid w:val="004878CF"/>
    <w:rsid w:val="00487A20"/>
    <w:rsid w:val="00487A90"/>
    <w:rsid w:val="00487A9C"/>
    <w:rsid w:val="00487CE4"/>
    <w:rsid w:val="00487E0F"/>
    <w:rsid w:val="00487ECF"/>
    <w:rsid w:val="00487F51"/>
    <w:rsid w:val="00487FA7"/>
    <w:rsid w:val="00490031"/>
    <w:rsid w:val="00490043"/>
    <w:rsid w:val="0049004B"/>
    <w:rsid w:val="00490065"/>
    <w:rsid w:val="00490182"/>
    <w:rsid w:val="004902AA"/>
    <w:rsid w:val="00490439"/>
    <w:rsid w:val="0049046F"/>
    <w:rsid w:val="00490520"/>
    <w:rsid w:val="00490550"/>
    <w:rsid w:val="00490785"/>
    <w:rsid w:val="0049085E"/>
    <w:rsid w:val="00490868"/>
    <w:rsid w:val="004908FF"/>
    <w:rsid w:val="00490A35"/>
    <w:rsid w:val="00490AAF"/>
    <w:rsid w:val="00490B3D"/>
    <w:rsid w:val="00490BB1"/>
    <w:rsid w:val="00490BCF"/>
    <w:rsid w:val="00490BD9"/>
    <w:rsid w:val="00490CC9"/>
    <w:rsid w:val="00490DDD"/>
    <w:rsid w:val="00490F47"/>
    <w:rsid w:val="00490F88"/>
    <w:rsid w:val="00491140"/>
    <w:rsid w:val="00491178"/>
    <w:rsid w:val="0049125B"/>
    <w:rsid w:val="004912B2"/>
    <w:rsid w:val="0049143B"/>
    <w:rsid w:val="00491556"/>
    <w:rsid w:val="0049157B"/>
    <w:rsid w:val="004916FC"/>
    <w:rsid w:val="004917A7"/>
    <w:rsid w:val="004917C4"/>
    <w:rsid w:val="00491838"/>
    <w:rsid w:val="00491955"/>
    <w:rsid w:val="004919AD"/>
    <w:rsid w:val="00491A09"/>
    <w:rsid w:val="00491A75"/>
    <w:rsid w:val="00491BC6"/>
    <w:rsid w:val="00491D6A"/>
    <w:rsid w:val="00491D6E"/>
    <w:rsid w:val="00491E12"/>
    <w:rsid w:val="00491E71"/>
    <w:rsid w:val="00491E81"/>
    <w:rsid w:val="00492108"/>
    <w:rsid w:val="0049212F"/>
    <w:rsid w:val="0049213E"/>
    <w:rsid w:val="004924CE"/>
    <w:rsid w:val="0049251C"/>
    <w:rsid w:val="00492621"/>
    <w:rsid w:val="004927AA"/>
    <w:rsid w:val="004927DD"/>
    <w:rsid w:val="00492878"/>
    <w:rsid w:val="00492A63"/>
    <w:rsid w:val="00492ABE"/>
    <w:rsid w:val="00492ADC"/>
    <w:rsid w:val="00492B94"/>
    <w:rsid w:val="00492C21"/>
    <w:rsid w:val="00492C30"/>
    <w:rsid w:val="00492CAD"/>
    <w:rsid w:val="00492DD0"/>
    <w:rsid w:val="004930B2"/>
    <w:rsid w:val="00493105"/>
    <w:rsid w:val="004931AF"/>
    <w:rsid w:val="00493291"/>
    <w:rsid w:val="00493317"/>
    <w:rsid w:val="00493489"/>
    <w:rsid w:val="004934B9"/>
    <w:rsid w:val="004936D0"/>
    <w:rsid w:val="004936D2"/>
    <w:rsid w:val="00493829"/>
    <w:rsid w:val="004938CE"/>
    <w:rsid w:val="004938DB"/>
    <w:rsid w:val="0049393A"/>
    <w:rsid w:val="004939C3"/>
    <w:rsid w:val="00493A93"/>
    <w:rsid w:val="00493CA1"/>
    <w:rsid w:val="00493D08"/>
    <w:rsid w:val="00493D34"/>
    <w:rsid w:val="00493ED5"/>
    <w:rsid w:val="00493F50"/>
    <w:rsid w:val="00493F8B"/>
    <w:rsid w:val="004940E7"/>
    <w:rsid w:val="00494111"/>
    <w:rsid w:val="00494115"/>
    <w:rsid w:val="004941F6"/>
    <w:rsid w:val="00494218"/>
    <w:rsid w:val="0049439B"/>
    <w:rsid w:val="004944A1"/>
    <w:rsid w:val="004944C6"/>
    <w:rsid w:val="00494589"/>
    <w:rsid w:val="004945D9"/>
    <w:rsid w:val="004945EC"/>
    <w:rsid w:val="004946D5"/>
    <w:rsid w:val="00494779"/>
    <w:rsid w:val="00494789"/>
    <w:rsid w:val="0049478B"/>
    <w:rsid w:val="004947A5"/>
    <w:rsid w:val="004947A8"/>
    <w:rsid w:val="004947F4"/>
    <w:rsid w:val="0049482D"/>
    <w:rsid w:val="004949E7"/>
    <w:rsid w:val="00494A38"/>
    <w:rsid w:val="00494C3F"/>
    <w:rsid w:val="00494C56"/>
    <w:rsid w:val="00494C7E"/>
    <w:rsid w:val="00494D51"/>
    <w:rsid w:val="00494E44"/>
    <w:rsid w:val="00494EDF"/>
    <w:rsid w:val="00494EE5"/>
    <w:rsid w:val="00494FEE"/>
    <w:rsid w:val="0049516D"/>
    <w:rsid w:val="004951B1"/>
    <w:rsid w:val="004951F8"/>
    <w:rsid w:val="00495264"/>
    <w:rsid w:val="004952CD"/>
    <w:rsid w:val="004953EF"/>
    <w:rsid w:val="004954AD"/>
    <w:rsid w:val="0049556C"/>
    <w:rsid w:val="00495667"/>
    <w:rsid w:val="0049566B"/>
    <w:rsid w:val="004956A2"/>
    <w:rsid w:val="0049573A"/>
    <w:rsid w:val="00495787"/>
    <w:rsid w:val="0049579E"/>
    <w:rsid w:val="00495884"/>
    <w:rsid w:val="004959AF"/>
    <w:rsid w:val="00495A70"/>
    <w:rsid w:val="00495AAB"/>
    <w:rsid w:val="00495AEE"/>
    <w:rsid w:val="00495BF2"/>
    <w:rsid w:val="00495CB0"/>
    <w:rsid w:val="00495CF5"/>
    <w:rsid w:val="00495E69"/>
    <w:rsid w:val="00495EB6"/>
    <w:rsid w:val="00496164"/>
    <w:rsid w:val="00496250"/>
    <w:rsid w:val="00496263"/>
    <w:rsid w:val="0049626F"/>
    <w:rsid w:val="004962E4"/>
    <w:rsid w:val="00496380"/>
    <w:rsid w:val="00496557"/>
    <w:rsid w:val="0049673B"/>
    <w:rsid w:val="004967B5"/>
    <w:rsid w:val="00496895"/>
    <w:rsid w:val="00496940"/>
    <w:rsid w:val="00496959"/>
    <w:rsid w:val="0049697C"/>
    <w:rsid w:val="00496A12"/>
    <w:rsid w:val="00496A82"/>
    <w:rsid w:val="00496AF3"/>
    <w:rsid w:val="00496C38"/>
    <w:rsid w:val="00496CE4"/>
    <w:rsid w:val="00496D1E"/>
    <w:rsid w:val="00496E85"/>
    <w:rsid w:val="00496F10"/>
    <w:rsid w:val="004970EF"/>
    <w:rsid w:val="0049710C"/>
    <w:rsid w:val="00497120"/>
    <w:rsid w:val="0049714D"/>
    <w:rsid w:val="00497197"/>
    <w:rsid w:val="00497277"/>
    <w:rsid w:val="0049728E"/>
    <w:rsid w:val="004972F6"/>
    <w:rsid w:val="0049730B"/>
    <w:rsid w:val="004976D7"/>
    <w:rsid w:val="0049770C"/>
    <w:rsid w:val="004977E9"/>
    <w:rsid w:val="004977FA"/>
    <w:rsid w:val="004978CC"/>
    <w:rsid w:val="004979BB"/>
    <w:rsid w:val="00497A75"/>
    <w:rsid w:val="00497A93"/>
    <w:rsid w:val="00497B8D"/>
    <w:rsid w:val="00497B95"/>
    <w:rsid w:val="00497B96"/>
    <w:rsid w:val="00497D9A"/>
    <w:rsid w:val="00497E00"/>
    <w:rsid w:val="00497F22"/>
    <w:rsid w:val="00497FF9"/>
    <w:rsid w:val="004A01EA"/>
    <w:rsid w:val="004A02BB"/>
    <w:rsid w:val="004A050B"/>
    <w:rsid w:val="004A05E1"/>
    <w:rsid w:val="004A064F"/>
    <w:rsid w:val="004A0724"/>
    <w:rsid w:val="004A0743"/>
    <w:rsid w:val="004A07E0"/>
    <w:rsid w:val="004A0956"/>
    <w:rsid w:val="004A0AAF"/>
    <w:rsid w:val="004A0B4F"/>
    <w:rsid w:val="004A0BDB"/>
    <w:rsid w:val="004A0C1B"/>
    <w:rsid w:val="004A0C20"/>
    <w:rsid w:val="004A0C2E"/>
    <w:rsid w:val="004A0C5B"/>
    <w:rsid w:val="004A0D3A"/>
    <w:rsid w:val="004A0E1E"/>
    <w:rsid w:val="004A0F5C"/>
    <w:rsid w:val="004A109C"/>
    <w:rsid w:val="004A10C3"/>
    <w:rsid w:val="004A113B"/>
    <w:rsid w:val="004A114D"/>
    <w:rsid w:val="004A12B2"/>
    <w:rsid w:val="004A1324"/>
    <w:rsid w:val="004A1405"/>
    <w:rsid w:val="004A1417"/>
    <w:rsid w:val="004A141A"/>
    <w:rsid w:val="004A144B"/>
    <w:rsid w:val="004A14E8"/>
    <w:rsid w:val="004A1535"/>
    <w:rsid w:val="004A156A"/>
    <w:rsid w:val="004A1631"/>
    <w:rsid w:val="004A165B"/>
    <w:rsid w:val="004A188F"/>
    <w:rsid w:val="004A19B3"/>
    <w:rsid w:val="004A1D43"/>
    <w:rsid w:val="004A1DCC"/>
    <w:rsid w:val="004A1F0D"/>
    <w:rsid w:val="004A1F19"/>
    <w:rsid w:val="004A1F52"/>
    <w:rsid w:val="004A20C9"/>
    <w:rsid w:val="004A20F5"/>
    <w:rsid w:val="004A21C9"/>
    <w:rsid w:val="004A2235"/>
    <w:rsid w:val="004A226F"/>
    <w:rsid w:val="004A22A0"/>
    <w:rsid w:val="004A22F7"/>
    <w:rsid w:val="004A2399"/>
    <w:rsid w:val="004A23B7"/>
    <w:rsid w:val="004A23C4"/>
    <w:rsid w:val="004A262F"/>
    <w:rsid w:val="004A26F2"/>
    <w:rsid w:val="004A26F3"/>
    <w:rsid w:val="004A271E"/>
    <w:rsid w:val="004A27C6"/>
    <w:rsid w:val="004A280E"/>
    <w:rsid w:val="004A28B7"/>
    <w:rsid w:val="004A2918"/>
    <w:rsid w:val="004A2AD2"/>
    <w:rsid w:val="004A2CED"/>
    <w:rsid w:val="004A2D2D"/>
    <w:rsid w:val="004A2DA0"/>
    <w:rsid w:val="004A2DF4"/>
    <w:rsid w:val="004A2EB6"/>
    <w:rsid w:val="004A2EB7"/>
    <w:rsid w:val="004A2FF8"/>
    <w:rsid w:val="004A3055"/>
    <w:rsid w:val="004A30BF"/>
    <w:rsid w:val="004A30E2"/>
    <w:rsid w:val="004A31AD"/>
    <w:rsid w:val="004A32E7"/>
    <w:rsid w:val="004A3369"/>
    <w:rsid w:val="004A33A9"/>
    <w:rsid w:val="004A33C8"/>
    <w:rsid w:val="004A35FC"/>
    <w:rsid w:val="004A369A"/>
    <w:rsid w:val="004A36CC"/>
    <w:rsid w:val="004A36EC"/>
    <w:rsid w:val="004A36FA"/>
    <w:rsid w:val="004A3700"/>
    <w:rsid w:val="004A3736"/>
    <w:rsid w:val="004A3742"/>
    <w:rsid w:val="004A379D"/>
    <w:rsid w:val="004A37C0"/>
    <w:rsid w:val="004A3887"/>
    <w:rsid w:val="004A3959"/>
    <w:rsid w:val="004A395F"/>
    <w:rsid w:val="004A3AC7"/>
    <w:rsid w:val="004A3AD4"/>
    <w:rsid w:val="004A3BB1"/>
    <w:rsid w:val="004A3C8D"/>
    <w:rsid w:val="004A3D35"/>
    <w:rsid w:val="004A3E01"/>
    <w:rsid w:val="004A3E53"/>
    <w:rsid w:val="004A3E8A"/>
    <w:rsid w:val="004A3F7C"/>
    <w:rsid w:val="004A4092"/>
    <w:rsid w:val="004A4127"/>
    <w:rsid w:val="004A428E"/>
    <w:rsid w:val="004A42EA"/>
    <w:rsid w:val="004A43F2"/>
    <w:rsid w:val="004A4490"/>
    <w:rsid w:val="004A457E"/>
    <w:rsid w:val="004A461F"/>
    <w:rsid w:val="004A463B"/>
    <w:rsid w:val="004A497B"/>
    <w:rsid w:val="004A4991"/>
    <w:rsid w:val="004A4A59"/>
    <w:rsid w:val="004A4A5A"/>
    <w:rsid w:val="004A4B38"/>
    <w:rsid w:val="004A4BE3"/>
    <w:rsid w:val="004A4CC5"/>
    <w:rsid w:val="004A4D70"/>
    <w:rsid w:val="004A4D7F"/>
    <w:rsid w:val="004A4FB9"/>
    <w:rsid w:val="004A4FD7"/>
    <w:rsid w:val="004A5016"/>
    <w:rsid w:val="004A5019"/>
    <w:rsid w:val="004A5078"/>
    <w:rsid w:val="004A508D"/>
    <w:rsid w:val="004A50A7"/>
    <w:rsid w:val="004A50E1"/>
    <w:rsid w:val="004A5156"/>
    <w:rsid w:val="004A523D"/>
    <w:rsid w:val="004A52F9"/>
    <w:rsid w:val="004A540C"/>
    <w:rsid w:val="004A543B"/>
    <w:rsid w:val="004A55BF"/>
    <w:rsid w:val="004A5639"/>
    <w:rsid w:val="004A56B9"/>
    <w:rsid w:val="004A57BF"/>
    <w:rsid w:val="004A57FD"/>
    <w:rsid w:val="004A590C"/>
    <w:rsid w:val="004A598A"/>
    <w:rsid w:val="004A59BE"/>
    <w:rsid w:val="004A5A1B"/>
    <w:rsid w:val="004A5A3C"/>
    <w:rsid w:val="004A5B02"/>
    <w:rsid w:val="004A5C1D"/>
    <w:rsid w:val="004A5C51"/>
    <w:rsid w:val="004A5D15"/>
    <w:rsid w:val="004A603D"/>
    <w:rsid w:val="004A604A"/>
    <w:rsid w:val="004A60C2"/>
    <w:rsid w:val="004A61BB"/>
    <w:rsid w:val="004A61F8"/>
    <w:rsid w:val="004A62AC"/>
    <w:rsid w:val="004A62E1"/>
    <w:rsid w:val="004A632A"/>
    <w:rsid w:val="004A63DE"/>
    <w:rsid w:val="004A640C"/>
    <w:rsid w:val="004A64A6"/>
    <w:rsid w:val="004A64B3"/>
    <w:rsid w:val="004A64CB"/>
    <w:rsid w:val="004A65BE"/>
    <w:rsid w:val="004A65C6"/>
    <w:rsid w:val="004A65D2"/>
    <w:rsid w:val="004A6620"/>
    <w:rsid w:val="004A67CF"/>
    <w:rsid w:val="004A681A"/>
    <w:rsid w:val="004A694F"/>
    <w:rsid w:val="004A6C68"/>
    <w:rsid w:val="004A6CC9"/>
    <w:rsid w:val="004A6CD1"/>
    <w:rsid w:val="004A6F0B"/>
    <w:rsid w:val="004A6F5F"/>
    <w:rsid w:val="004A6F83"/>
    <w:rsid w:val="004A6FBE"/>
    <w:rsid w:val="004A70C8"/>
    <w:rsid w:val="004A7129"/>
    <w:rsid w:val="004A716C"/>
    <w:rsid w:val="004A7196"/>
    <w:rsid w:val="004A71AA"/>
    <w:rsid w:val="004A71D3"/>
    <w:rsid w:val="004A7340"/>
    <w:rsid w:val="004A73E3"/>
    <w:rsid w:val="004A74ED"/>
    <w:rsid w:val="004A7518"/>
    <w:rsid w:val="004A7660"/>
    <w:rsid w:val="004A76AD"/>
    <w:rsid w:val="004A771A"/>
    <w:rsid w:val="004A77DB"/>
    <w:rsid w:val="004A77F0"/>
    <w:rsid w:val="004A7840"/>
    <w:rsid w:val="004A7D3C"/>
    <w:rsid w:val="004A7D69"/>
    <w:rsid w:val="004B0070"/>
    <w:rsid w:val="004B0212"/>
    <w:rsid w:val="004B02B2"/>
    <w:rsid w:val="004B02D3"/>
    <w:rsid w:val="004B0319"/>
    <w:rsid w:val="004B0389"/>
    <w:rsid w:val="004B040E"/>
    <w:rsid w:val="004B0466"/>
    <w:rsid w:val="004B0588"/>
    <w:rsid w:val="004B063E"/>
    <w:rsid w:val="004B069E"/>
    <w:rsid w:val="004B06BC"/>
    <w:rsid w:val="004B06D8"/>
    <w:rsid w:val="004B06DE"/>
    <w:rsid w:val="004B0739"/>
    <w:rsid w:val="004B08DE"/>
    <w:rsid w:val="004B090F"/>
    <w:rsid w:val="004B0AA8"/>
    <w:rsid w:val="004B0B80"/>
    <w:rsid w:val="004B0FE4"/>
    <w:rsid w:val="004B1002"/>
    <w:rsid w:val="004B103D"/>
    <w:rsid w:val="004B10B0"/>
    <w:rsid w:val="004B10E8"/>
    <w:rsid w:val="004B1185"/>
    <w:rsid w:val="004B12FF"/>
    <w:rsid w:val="004B1307"/>
    <w:rsid w:val="004B13E8"/>
    <w:rsid w:val="004B15E4"/>
    <w:rsid w:val="004B16A9"/>
    <w:rsid w:val="004B16C3"/>
    <w:rsid w:val="004B17F3"/>
    <w:rsid w:val="004B18FF"/>
    <w:rsid w:val="004B1983"/>
    <w:rsid w:val="004B1984"/>
    <w:rsid w:val="004B19AC"/>
    <w:rsid w:val="004B1A1A"/>
    <w:rsid w:val="004B1AB4"/>
    <w:rsid w:val="004B1B0C"/>
    <w:rsid w:val="004B1B0D"/>
    <w:rsid w:val="004B1B2E"/>
    <w:rsid w:val="004B1B5D"/>
    <w:rsid w:val="004B1CDE"/>
    <w:rsid w:val="004B1DB9"/>
    <w:rsid w:val="004B1F54"/>
    <w:rsid w:val="004B1FAD"/>
    <w:rsid w:val="004B2017"/>
    <w:rsid w:val="004B20F4"/>
    <w:rsid w:val="004B2241"/>
    <w:rsid w:val="004B224E"/>
    <w:rsid w:val="004B246F"/>
    <w:rsid w:val="004B2495"/>
    <w:rsid w:val="004B2593"/>
    <w:rsid w:val="004B26E3"/>
    <w:rsid w:val="004B2704"/>
    <w:rsid w:val="004B28A3"/>
    <w:rsid w:val="004B28A8"/>
    <w:rsid w:val="004B2928"/>
    <w:rsid w:val="004B2988"/>
    <w:rsid w:val="004B2A37"/>
    <w:rsid w:val="004B2A54"/>
    <w:rsid w:val="004B2A8B"/>
    <w:rsid w:val="004B2AF3"/>
    <w:rsid w:val="004B2B59"/>
    <w:rsid w:val="004B2C33"/>
    <w:rsid w:val="004B2DF6"/>
    <w:rsid w:val="004B2E2B"/>
    <w:rsid w:val="004B2F43"/>
    <w:rsid w:val="004B3184"/>
    <w:rsid w:val="004B3187"/>
    <w:rsid w:val="004B3205"/>
    <w:rsid w:val="004B324E"/>
    <w:rsid w:val="004B346F"/>
    <w:rsid w:val="004B34DE"/>
    <w:rsid w:val="004B352C"/>
    <w:rsid w:val="004B369A"/>
    <w:rsid w:val="004B36D6"/>
    <w:rsid w:val="004B36FD"/>
    <w:rsid w:val="004B384D"/>
    <w:rsid w:val="004B38B8"/>
    <w:rsid w:val="004B38E4"/>
    <w:rsid w:val="004B39EB"/>
    <w:rsid w:val="004B39EC"/>
    <w:rsid w:val="004B39F5"/>
    <w:rsid w:val="004B3A34"/>
    <w:rsid w:val="004B3AAE"/>
    <w:rsid w:val="004B3B6D"/>
    <w:rsid w:val="004B3B87"/>
    <w:rsid w:val="004B3C2C"/>
    <w:rsid w:val="004B3C51"/>
    <w:rsid w:val="004B3D50"/>
    <w:rsid w:val="004B4023"/>
    <w:rsid w:val="004B40D4"/>
    <w:rsid w:val="004B4112"/>
    <w:rsid w:val="004B4132"/>
    <w:rsid w:val="004B4184"/>
    <w:rsid w:val="004B42EA"/>
    <w:rsid w:val="004B4370"/>
    <w:rsid w:val="004B4440"/>
    <w:rsid w:val="004B4485"/>
    <w:rsid w:val="004B454C"/>
    <w:rsid w:val="004B457A"/>
    <w:rsid w:val="004B4610"/>
    <w:rsid w:val="004B4682"/>
    <w:rsid w:val="004B46FD"/>
    <w:rsid w:val="004B4817"/>
    <w:rsid w:val="004B4872"/>
    <w:rsid w:val="004B48A5"/>
    <w:rsid w:val="004B48C4"/>
    <w:rsid w:val="004B4B18"/>
    <w:rsid w:val="004B4BD5"/>
    <w:rsid w:val="004B4C45"/>
    <w:rsid w:val="004B4D47"/>
    <w:rsid w:val="004B4F00"/>
    <w:rsid w:val="004B4F06"/>
    <w:rsid w:val="004B4F4A"/>
    <w:rsid w:val="004B4F89"/>
    <w:rsid w:val="004B503C"/>
    <w:rsid w:val="004B504C"/>
    <w:rsid w:val="004B50D7"/>
    <w:rsid w:val="004B50E4"/>
    <w:rsid w:val="004B5352"/>
    <w:rsid w:val="004B540E"/>
    <w:rsid w:val="004B55B3"/>
    <w:rsid w:val="004B56A2"/>
    <w:rsid w:val="004B56C2"/>
    <w:rsid w:val="004B5781"/>
    <w:rsid w:val="004B5830"/>
    <w:rsid w:val="004B591E"/>
    <w:rsid w:val="004B5B82"/>
    <w:rsid w:val="004B5BB5"/>
    <w:rsid w:val="004B5C75"/>
    <w:rsid w:val="004B5D76"/>
    <w:rsid w:val="004B5D7C"/>
    <w:rsid w:val="004B5EB9"/>
    <w:rsid w:val="004B5EC6"/>
    <w:rsid w:val="004B5EF2"/>
    <w:rsid w:val="004B60E5"/>
    <w:rsid w:val="004B60F4"/>
    <w:rsid w:val="004B6143"/>
    <w:rsid w:val="004B6194"/>
    <w:rsid w:val="004B61D2"/>
    <w:rsid w:val="004B61E7"/>
    <w:rsid w:val="004B649A"/>
    <w:rsid w:val="004B64CC"/>
    <w:rsid w:val="004B6568"/>
    <w:rsid w:val="004B68D4"/>
    <w:rsid w:val="004B68F4"/>
    <w:rsid w:val="004B6905"/>
    <w:rsid w:val="004B693E"/>
    <w:rsid w:val="004B6A3A"/>
    <w:rsid w:val="004B6AA5"/>
    <w:rsid w:val="004B6DD6"/>
    <w:rsid w:val="004B6DD7"/>
    <w:rsid w:val="004B6E7F"/>
    <w:rsid w:val="004B6F67"/>
    <w:rsid w:val="004B6F6B"/>
    <w:rsid w:val="004B70C1"/>
    <w:rsid w:val="004B7296"/>
    <w:rsid w:val="004B72F6"/>
    <w:rsid w:val="004B731A"/>
    <w:rsid w:val="004B73C6"/>
    <w:rsid w:val="004B742B"/>
    <w:rsid w:val="004B747F"/>
    <w:rsid w:val="004B754F"/>
    <w:rsid w:val="004B7645"/>
    <w:rsid w:val="004B76D4"/>
    <w:rsid w:val="004B76DF"/>
    <w:rsid w:val="004B788E"/>
    <w:rsid w:val="004B78C0"/>
    <w:rsid w:val="004B78E4"/>
    <w:rsid w:val="004B7ADB"/>
    <w:rsid w:val="004B7B27"/>
    <w:rsid w:val="004B7B5D"/>
    <w:rsid w:val="004B7BA8"/>
    <w:rsid w:val="004B7BCD"/>
    <w:rsid w:val="004B7C66"/>
    <w:rsid w:val="004B7C7C"/>
    <w:rsid w:val="004B7CED"/>
    <w:rsid w:val="004B7D08"/>
    <w:rsid w:val="004C002F"/>
    <w:rsid w:val="004C0228"/>
    <w:rsid w:val="004C023E"/>
    <w:rsid w:val="004C02EA"/>
    <w:rsid w:val="004C0328"/>
    <w:rsid w:val="004C0357"/>
    <w:rsid w:val="004C0408"/>
    <w:rsid w:val="004C04C4"/>
    <w:rsid w:val="004C0741"/>
    <w:rsid w:val="004C077E"/>
    <w:rsid w:val="004C07B6"/>
    <w:rsid w:val="004C082F"/>
    <w:rsid w:val="004C0A03"/>
    <w:rsid w:val="004C0AED"/>
    <w:rsid w:val="004C0B73"/>
    <w:rsid w:val="004C0C0C"/>
    <w:rsid w:val="004C0C15"/>
    <w:rsid w:val="004C0D58"/>
    <w:rsid w:val="004C0EAB"/>
    <w:rsid w:val="004C0F25"/>
    <w:rsid w:val="004C0FB1"/>
    <w:rsid w:val="004C106D"/>
    <w:rsid w:val="004C10F2"/>
    <w:rsid w:val="004C1136"/>
    <w:rsid w:val="004C1170"/>
    <w:rsid w:val="004C122C"/>
    <w:rsid w:val="004C154C"/>
    <w:rsid w:val="004C16B3"/>
    <w:rsid w:val="004C16C5"/>
    <w:rsid w:val="004C17C1"/>
    <w:rsid w:val="004C18D6"/>
    <w:rsid w:val="004C195C"/>
    <w:rsid w:val="004C19CF"/>
    <w:rsid w:val="004C1ABE"/>
    <w:rsid w:val="004C1BBF"/>
    <w:rsid w:val="004C1DB6"/>
    <w:rsid w:val="004C1DBB"/>
    <w:rsid w:val="004C1E7B"/>
    <w:rsid w:val="004C206B"/>
    <w:rsid w:val="004C208D"/>
    <w:rsid w:val="004C226F"/>
    <w:rsid w:val="004C2313"/>
    <w:rsid w:val="004C2575"/>
    <w:rsid w:val="004C2760"/>
    <w:rsid w:val="004C2768"/>
    <w:rsid w:val="004C2980"/>
    <w:rsid w:val="004C2A3E"/>
    <w:rsid w:val="004C2A83"/>
    <w:rsid w:val="004C2B72"/>
    <w:rsid w:val="004C2D22"/>
    <w:rsid w:val="004C2D61"/>
    <w:rsid w:val="004C2DD4"/>
    <w:rsid w:val="004C2DE3"/>
    <w:rsid w:val="004C2DED"/>
    <w:rsid w:val="004C2E4F"/>
    <w:rsid w:val="004C2EB6"/>
    <w:rsid w:val="004C2F6A"/>
    <w:rsid w:val="004C2F72"/>
    <w:rsid w:val="004C2FF7"/>
    <w:rsid w:val="004C303F"/>
    <w:rsid w:val="004C30AF"/>
    <w:rsid w:val="004C30C6"/>
    <w:rsid w:val="004C3119"/>
    <w:rsid w:val="004C311E"/>
    <w:rsid w:val="004C3206"/>
    <w:rsid w:val="004C3364"/>
    <w:rsid w:val="004C337C"/>
    <w:rsid w:val="004C33F3"/>
    <w:rsid w:val="004C35A6"/>
    <w:rsid w:val="004C3658"/>
    <w:rsid w:val="004C3842"/>
    <w:rsid w:val="004C385F"/>
    <w:rsid w:val="004C38C8"/>
    <w:rsid w:val="004C39B9"/>
    <w:rsid w:val="004C3A78"/>
    <w:rsid w:val="004C3A9F"/>
    <w:rsid w:val="004C3AAB"/>
    <w:rsid w:val="004C3AC2"/>
    <w:rsid w:val="004C3B65"/>
    <w:rsid w:val="004C3B82"/>
    <w:rsid w:val="004C3C49"/>
    <w:rsid w:val="004C3C82"/>
    <w:rsid w:val="004C3D64"/>
    <w:rsid w:val="004C3DCF"/>
    <w:rsid w:val="004C3E76"/>
    <w:rsid w:val="004C3ECD"/>
    <w:rsid w:val="004C3F54"/>
    <w:rsid w:val="004C3FE6"/>
    <w:rsid w:val="004C41C4"/>
    <w:rsid w:val="004C425B"/>
    <w:rsid w:val="004C42EE"/>
    <w:rsid w:val="004C435C"/>
    <w:rsid w:val="004C43A4"/>
    <w:rsid w:val="004C44D0"/>
    <w:rsid w:val="004C4504"/>
    <w:rsid w:val="004C450A"/>
    <w:rsid w:val="004C450B"/>
    <w:rsid w:val="004C45BB"/>
    <w:rsid w:val="004C4690"/>
    <w:rsid w:val="004C47C6"/>
    <w:rsid w:val="004C491C"/>
    <w:rsid w:val="004C49DE"/>
    <w:rsid w:val="004C4AA4"/>
    <w:rsid w:val="004C4AF1"/>
    <w:rsid w:val="004C4B3B"/>
    <w:rsid w:val="004C4BC4"/>
    <w:rsid w:val="004C4D6A"/>
    <w:rsid w:val="004C4E60"/>
    <w:rsid w:val="004C4E9F"/>
    <w:rsid w:val="004C4ECA"/>
    <w:rsid w:val="004C500B"/>
    <w:rsid w:val="004C504E"/>
    <w:rsid w:val="004C50DA"/>
    <w:rsid w:val="004C5183"/>
    <w:rsid w:val="004C51E9"/>
    <w:rsid w:val="004C5291"/>
    <w:rsid w:val="004C52D2"/>
    <w:rsid w:val="004C52F3"/>
    <w:rsid w:val="004C5306"/>
    <w:rsid w:val="004C536F"/>
    <w:rsid w:val="004C54A6"/>
    <w:rsid w:val="004C5564"/>
    <w:rsid w:val="004C5618"/>
    <w:rsid w:val="004C5717"/>
    <w:rsid w:val="004C5824"/>
    <w:rsid w:val="004C5910"/>
    <w:rsid w:val="004C59CD"/>
    <w:rsid w:val="004C5A00"/>
    <w:rsid w:val="004C5A2C"/>
    <w:rsid w:val="004C5A58"/>
    <w:rsid w:val="004C5A7E"/>
    <w:rsid w:val="004C5B8C"/>
    <w:rsid w:val="004C5CAF"/>
    <w:rsid w:val="004C5D8B"/>
    <w:rsid w:val="004C5D9B"/>
    <w:rsid w:val="004C5E30"/>
    <w:rsid w:val="004C5F53"/>
    <w:rsid w:val="004C5F91"/>
    <w:rsid w:val="004C5F99"/>
    <w:rsid w:val="004C605E"/>
    <w:rsid w:val="004C60B7"/>
    <w:rsid w:val="004C60BF"/>
    <w:rsid w:val="004C60D8"/>
    <w:rsid w:val="004C611E"/>
    <w:rsid w:val="004C621E"/>
    <w:rsid w:val="004C62C6"/>
    <w:rsid w:val="004C642B"/>
    <w:rsid w:val="004C64AC"/>
    <w:rsid w:val="004C64EE"/>
    <w:rsid w:val="004C65B5"/>
    <w:rsid w:val="004C6659"/>
    <w:rsid w:val="004C66B9"/>
    <w:rsid w:val="004C6799"/>
    <w:rsid w:val="004C6815"/>
    <w:rsid w:val="004C684A"/>
    <w:rsid w:val="004C688E"/>
    <w:rsid w:val="004C694C"/>
    <w:rsid w:val="004C6955"/>
    <w:rsid w:val="004C6B35"/>
    <w:rsid w:val="004C6B39"/>
    <w:rsid w:val="004C6B51"/>
    <w:rsid w:val="004C6CBF"/>
    <w:rsid w:val="004C6DBF"/>
    <w:rsid w:val="004C6E05"/>
    <w:rsid w:val="004C6EAB"/>
    <w:rsid w:val="004C6F50"/>
    <w:rsid w:val="004C6FC2"/>
    <w:rsid w:val="004C70FE"/>
    <w:rsid w:val="004C727E"/>
    <w:rsid w:val="004C728F"/>
    <w:rsid w:val="004C742F"/>
    <w:rsid w:val="004C74A5"/>
    <w:rsid w:val="004C752E"/>
    <w:rsid w:val="004C75B3"/>
    <w:rsid w:val="004C75E0"/>
    <w:rsid w:val="004C76CB"/>
    <w:rsid w:val="004C76CF"/>
    <w:rsid w:val="004C77A1"/>
    <w:rsid w:val="004C783B"/>
    <w:rsid w:val="004C7879"/>
    <w:rsid w:val="004C78FA"/>
    <w:rsid w:val="004C7963"/>
    <w:rsid w:val="004C7A59"/>
    <w:rsid w:val="004C7A9F"/>
    <w:rsid w:val="004C7ADD"/>
    <w:rsid w:val="004C7B1C"/>
    <w:rsid w:val="004C7FA6"/>
    <w:rsid w:val="004D001A"/>
    <w:rsid w:val="004D009D"/>
    <w:rsid w:val="004D0126"/>
    <w:rsid w:val="004D018B"/>
    <w:rsid w:val="004D0255"/>
    <w:rsid w:val="004D02F4"/>
    <w:rsid w:val="004D0339"/>
    <w:rsid w:val="004D038E"/>
    <w:rsid w:val="004D03E3"/>
    <w:rsid w:val="004D03F8"/>
    <w:rsid w:val="004D0777"/>
    <w:rsid w:val="004D093A"/>
    <w:rsid w:val="004D0940"/>
    <w:rsid w:val="004D09D6"/>
    <w:rsid w:val="004D09F1"/>
    <w:rsid w:val="004D0B51"/>
    <w:rsid w:val="004D0BE6"/>
    <w:rsid w:val="004D0BFD"/>
    <w:rsid w:val="004D0C22"/>
    <w:rsid w:val="004D0D7A"/>
    <w:rsid w:val="004D0D8B"/>
    <w:rsid w:val="004D0DDE"/>
    <w:rsid w:val="004D0E42"/>
    <w:rsid w:val="004D0E96"/>
    <w:rsid w:val="004D0EC1"/>
    <w:rsid w:val="004D0EDC"/>
    <w:rsid w:val="004D0F02"/>
    <w:rsid w:val="004D0F9A"/>
    <w:rsid w:val="004D0FA7"/>
    <w:rsid w:val="004D105A"/>
    <w:rsid w:val="004D10A7"/>
    <w:rsid w:val="004D1115"/>
    <w:rsid w:val="004D137D"/>
    <w:rsid w:val="004D14B3"/>
    <w:rsid w:val="004D152B"/>
    <w:rsid w:val="004D153E"/>
    <w:rsid w:val="004D15F3"/>
    <w:rsid w:val="004D15FF"/>
    <w:rsid w:val="004D1621"/>
    <w:rsid w:val="004D163F"/>
    <w:rsid w:val="004D16A4"/>
    <w:rsid w:val="004D173C"/>
    <w:rsid w:val="004D1781"/>
    <w:rsid w:val="004D1787"/>
    <w:rsid w:val="004D17D3"/>
    <w:rsid w:val="004D1848"/>
    <w:rsid w:val="004D19B5"/>
    <w:rsid w:val="004D1ACD"/>
    <w:rsid w:val="004D1B97"/>
    <w:rsid w:val="004D1BE5"/>
    <w:rsid w:val="004D1C4F"/>
    <w:rsid w:val="004D1C52"/>
    <w:rsid w:val="004D1CD7"/>
    <w:rsid w:val="004D1D47"/>
    <w:rsid w:val="004D1D5B"/>
    <w:rsid w:val="004D1D83"/>
    <w:rsid w:val="004D1E0C"/>
    <w:rsid w:val="004D1E84"/>
    <w:rsid w:val="004D1EA7"/>
    <w:rsid w:val="004D1EC3"/>
    <w:rsid w:val="004D1F0D"/>
    <w:rsid w:val="004D1FAC"/>
    <w:rsid w:val="004D2009"/>
    <w:rsid w:val="004D215A"/>
    <w:rsid w:val="004D2251"/>
    <w:rsid w:val="004D225E"/>
    <w:rsid w:val="004D259E"/>
    <w:rsid w:val="004D25B9"/>
    <w:rsid w:val="004D261B"/>
    <w:rsid w:val="004D2631"/>
    <w:rsid w:val="004D2643"/>
    <w:rsid w:val="004D265D"/>
    <w:rsid w:val="004D27A0"/>
    <w:rsid w:val="004D27AF"/>
    <w:rsid w:val="004D2894"/>
    <w:rsid w:val="004D294B"/>
    <w:rsid w:val="004D29BE"/>
    <w:rsid w:val="004D2A22"/>
    <w:rsid w:val="004D2A27"/>
    <w:rsid w:val="004D2A2D"/>
    <w:rsid w:val="004D2B07"/>
    <w:rsid w:val="004D2BD8"/>
    <w:rsid w:val="004D2C84"/>
    <w:rsid w:val="004D2D56"/>
    <w:rsid w:val="004D2D8A"/>
    <w:rsid w:val="004D2DB7"/>
    <w:rsid w:val="004D2E1C"/>
    <w:rsid w:val="004D30CF"/>
    <w:rsid w:val="004D30EC"/>
    <w:rsid w:val="004D314F"/>
    <w:rsid w:val="004D31E9"/>
    <w:rsid w:val="004D320A"/>
    <w:rsid w:val="004D3259"/>
    <w:rsid w:val="004D3363"/>
    <w:rsid w:val="004D3396"/>
    <w:rsid w:val="004D33A9"/>
    <w:rsid w:val="004D3438"/>
    <w:rsid w:val="004D3481"/>
    <w:rsid w:val="004D3482"/>
    <w:rsid w:val="004D3520"/>
    <w:rsid w:val="004D35BD"/>
    <w:rsid w:val="004D3619"/>
    <w:rsid w:val="004D37ED"/>
    <w:rsid w:val="004D3871"/>
    <w:rsid w:val="004D38BB"/>
    <w:rsid w:val="004D38E7"/>
    <w:rsid w:val="004D39AB"/>
    <w:rsid w:val="004D39C8"/>
    <w:rsid w:val="004D39EE"/>
    <w:rsid w:val="004D3B41"/>
    <w:rsid w:val="004D3CB9"/>
    <w:rsid w:val="004D3D12"/>
    <w:rsid w:val="004D3E36"/>
    <w:rsid w:val="004D3E70"/>
    <w:rsid w:val="004D3F57"/>
    <w:rsid w:val="004D3FEC"/>
    <w:rsid w:val="004D4093"/>
    <w:rsid w:val="004D40B3"/>
    <w:rsid w:val="004D4217"/>
    <w:rsid w:val="004D42B9"/>
    <w:rsid w:val="004D42ED"/>
    <w:rsid w:val="004D437A"/>
    <w:rsid w:val="004D4413"/>
    <w:rsid w:val="004D4426"/>
    <w:rsid w:val="004D46DD"/>
    <w:rsid w:val="004D47CB"/>
    <w:rsid w:val="004D48A4"/>
    <w:rsid w:val="004D4AC9"/>
    <w:rsid w:val="004D4B55"/>
    <w:rsid w:val="004D4BCD"/>
    <w:rsid w:val="004D4BE2"/>
    <w:rsid w:val="004D4BF1"/>
    <w:rsid w:val="004D4D44"/>
    <w:rsid w:val="004D4FF8"/>
    <w:rsid w:val="004D50B5"/>
    <w:rsid w:val="004D5175"/>
    <w:rsid w:val="004D543D"/>
    <w:rsid w:val="004D54C2"/>
    <w:rsid w:val="004D5539"/>
    <w:rsid w:val="004D55CE"/>
    <w:rsid w:val="004D55E5"/>
    <w:rsid w:val="004D55F9"/>
    <w:rsid w:val="004D56CF"/>
    <w:rsid w:val="004D56D5"/>
    <w:rsid w:val="004D5760"/>
    <w:rsid w:val="004D57D5"/>
    <w:rsid w:val="004D5A0F"/>
    <w:rsid w:val="004D5A52"/>
    <w:rsid w:val="004D5AAF"/>
    <w:rsid w:val="004D5B6F"/>
    <w:rsid w:val="004D5C3A"/>
    <w:rsid w:val="004D5C48"/>
    <w:rsid w:val="004D5D46"/>
    <w:rsid w:val="004D5EF6"/>
    <w:rsid w:val="004D5F13"/>
    <w:rsid w:val="004D5F53"/>
    <w:rsid w:val="004D5F5B"/>
    <w:rsid w:val="004D5F69"/>
    <w:rsid w:val="004D613B"/>
    <w:rsid w:val="004D63B3"/>
    <w:rsid w:val="004D65C8"/>
    <w:rsid w:val="004D660D"/>
    <w:rsid w:val="004D6743"/>
    <w:rsid w:val="004D67E8"/>
    <w:rsid w:val="004D68F6"/>
    <w:rsid w:val="004D6942"/>
    <w:rsid w:val="004D6960"/>
    <w:rsid w:val="004D6A6E"/>
    <w:rsid w:val="004D6A7F"/>
    <w:rsid w:val="004D6CAA"/>
    <w:rsid w:val="004D6CF1"/>
    <w:rsid w:val="004D6CF5"/>
    <w:rsid w:val="004D6DC1"/>
    <w:rsid w:val="004D6E09"/>
    <w:rsid w:val="004D6E32"/>
    <w:rsid w:val="004D6E8D"/>
    <w:rsid w:val="004D6F0C"/>
    <w:rsid w:val="004D6F19"/>
    <w:rsid w:val="004D6F2E"/>
    <w:rsid w:val="004D7055"/>
    <w:rsid w:val="004D7064"/>
    <w:rsid w:val="004D7144"/>
    <w:rsid w:val="004D72EE"/>
    <w:rsid w:val="004D7305"/>
    <w:rsid w:val="004D7326"/>
    <w:rsid w:val="004D7331"/>
    <w:rsid w:val="004D7358"/>
    <w:rsid w:val="004D7474"/>
    <w:rsid w:val="004D74AD"/>
    <w:rsid w:val="004D75A7"/>
    <w:rsid w:val="004D7667"/>
    <w:rsid w:val="004D76A2"/>
    <w:rsid w:val="004D773B"/>
    <w:rsid w:val="004D782C"/>
    <w:rsid w:val="004D789B"/>
    <w:rsid w:val="004D7910"/>
    <w:rsid w:val="004D79C3"/>
    <w:rsid w:val="004D7A80"/>
    <w:rsid w:val="004D7AF0"/>
    <w:rsid w:val="004D7B01"/>
    <w:rsid w:val="004D7B60"/>
    <w:rsid w:val="004D7D4D"/>
    <w:rsid w:val="004D7D4E"/>
    <w:rsid w:val="004D7D6A"/>
    <w:rsid w:val="004D7DB4"/>
    <w:rsid w:val="004D7DBC"/>
    <w:rsid w:val="004D7DC8"/>
    <w:rsid w:val="004D7E0C"/>
    <w:rsid w:val="004D7E43"/>
    <w:rsid w:val="004D7EA8"/>
    <w:rsid w:val="004D7FB5"/>
    <w:rsid w:val="004D7FB7"/>
    <w:rsid w:val="004E0022"/>
    <w:rsid w:val="004E0051"/>
    <w:rsid w:val="004E00F0"/>
    <w:rsid w:val="004E014B"/>
    <w:rsid w:val="004E0374"/>
    <w:rsid w:val="004E03A5"/>
    <w:rsid w:val="004E0400"/>
    <w:rsid w:val="004E0437"/>
    <w:rsid w:val="004E04A8"/>
    <w:rsid w:val="004E04DD"/>
    <w:rsid w:val="004E0630"/>
    <w:rsid w:val="004E0834"/>
    <w:rsid w:val="004E091D"/>
    <w:rsid w:val="004E093D"/>
    <w:rsid w:val="004E0AF0"/>
    <w:rsid w:val="004E0BBD"/>
    <w:rsid w:val="004E0C73"/>
    <w:rsid w:val="004E0DC9"/>
    <w:rsid w:val="004E0DF1"/>
    <w:rsid w:val="004E0E46"/>
    <w:rsid w:val="004E0EDB"/>
    <w:rsid w:val="004E0F08"/>
    <w:rsid w:val="004E0F8D"/>
    <w:rsid w:val="004E0FC5"/>
    <w:rsid w:val="004E1019"/>
    <w:rsid w:val="004E108A"/>
    <w:rsid w:val="004E1147"/>
    <w:rsid w:val="004E12CC"/>
    <w:rsid w:val="004E1305"/>
    <w:rsid w:val="004E143C"/>
    <w:rsid w:val="004E148A"/>
    <w:rsid w:val="004E150A"/>
    <w:rsid w:val="004E158B"/>
    <w:rsid w:val="004E15D0"/>
    <w:rsid w:val="004E16B1"/>
    <w:rsid w:val="004E18E1"/>
    <w:rsid w:val="004E1942"/>
    <w:rsid w:val="004E19CD"/>
    <w:rsid w:val="004E1A03"/>
    <w:rsid w:val="004E1B01"/>
    <w:rsid w:val="004E1DF7"/>
    <w:rsid w:val="004E1E44"/>
    <w:rsid w:val="004E1EEA"/>
    <w:rsid w:val="004E1F17"/>
    <w:rsid w:val="004E1FEA"/>
    <w:rsid w:val="004E210C"/>
    <w:rsid w:val="004E2241"/>
    <w:rsid w:val="004E22C8"/>
    <w:rsid w:val="004E2434"/>
    <w:rsid w:val="004E2480"/>
    <w:rsid w:val="004E2595"/>
    <w:rsid w:val="004E2597"/>
    <w:rsid w:val="004E2609"/>
    <w:rsid w:val="004E26D9"/>
    <w:rsid w:val="004E27B7"/>
    <w:rsid w:val="004E2852"/>
    <w:rsid w:val="004E29C4"/>
    <w:rsid w:val="004E2BC3"/>
    <w:rsid w:val="004E2C45"/>
    <w:rsid w:val="004E2C4C"/>
    <w:rsid w:val="004E2DB9"/>
    <w:rsid w:val="004E2E1D"/>
    <w:rsid w:val="004E2E31"/>
    <w:rsid w:val="004E2F95"/>
    <w:rsid w:val="004E3071"/>
    <w:rsid w:val="004E313F"/>
    <w:rsid w:val="004E3218"/>
    <w:rsid w:val="004E321A"/>
    <w:rsid w:val="004E333B"/>
    <w:rsid w:val="004E33E8"/>
    <w:rsid w:val="004E3403"/>
    <w:rsid w:val="004E36A8"/>
    <w:rsid w:val="004E370C"/>
    <w:rsid w:val="004E3732"/>
    <w:rsid w:val="004E377C"/>
    <w:rsid w:val="004E37D8"/>
    <w:rsid w:val="004E37ED"/>
    <w:rsid w:val="004E3912"/>
    <w:rsid w:val="004E398E"/>
    <w:rsid w:val="004E3999"/>
    <w:rsid w:val="004E3A5A"/>
    <w:rsid w:val="004E3A6A"/>
    <w:rsid w:val="004E3D2E"/>
    <w:rsid w:val="004E3D6B"/>
    <w:rsid w:val="004E3E64"/>
    <w:rsid w:val="004E40EE"/>
    <w:rsid w:val="004E41AB"/>
    <w:rsid w:val="004E4221"/>
    <w:rsid w:val="004E429E"/>
    <w:rsid w:val="004E4338"/>
    <w:rsid w:val="004E4353"/>
    <w:rsid w:val="004E4365"/>
    <w:rsid w:val="004E43C5"/>
    <w:rsid w:val="004E445A"/>
    <w:rsid w:val="004E44B4"/>
    <w:rsid w:val="004E4677"/>
    <w:rsid w:val="004E47BE"/>
    <w:rsid w:val="004E47ED"/>
    <w:rsid w:val="004E48D5"/>
    <w:rsid w:val="004E498C"/>
    <w:rsid w:val="004E49D3"/>
    <w:rsid w:val="004E4BED"/>
    <w:rsid w:val="004E4C38"/>
    <w:rsid w:val="004E4CD1"/>
    <w:rsid w:val="004E4CE5"/>
    <w:rsid w:val="004E4E4F"/>
    <w:rsid w:val="004E4E8D"/>
    <w:rsid w:val="004E4F0C"/>
    <w:rsid w:val="004E4FB8"/>
    <w:rsid w:val="004E5042"/>
    <w:rsid w:val="004E511C"/>
    <w:rsid w:val="004E513D"/>
    <w:rsid w:val="004E5151"/>
    <w:rsid w:val="004E5185"/>
    <w:rsid w:val="004E532C"/>
    <w:rsid w:val="004E5416"/>
    <w:rsid w:val="004E5466"/>
    <w:rsid w:val="004E5479"/>
    <w:rsid w:val="004E5646"/>
    <w:rsid w:val="004E5647"/>
    <w:rsid w:val="004E572A"/>
    <w:rsid w:val="004E5868"/>
    <w:rsid w:val="004E594E"/>
    <w:rsid w:val="004E59F2"/>
    <w:rsid w:val="004E5A52"/>
    <w:rsid w:val="004E5B23"/>
    <w:rsid w:val="004E5B46"/>
    <w:rsid w:val="004E5C12"/>
    <w:rsid w:val="004E5CC6"/>
    <w:rsid w:val="004E5D08"/>
    <w:rsid w:val="004E5D6D"/>
    <w:rsid w:val="004E5EEB"/>
    <w:rsid w:val="004E604B"/>
    <w:rsid w:val="004E605D"/>
    <w:rsid w:val="004E61F5"/>
    <w:rsid w:val="004E6201"/>
    <w:rsid w:val="004E6266"/>
    <w:rsid w:val="004E62BC"/>
    <w:rsid w:val="004E6312"/>
    <w:rsid w:val="004E64FE"/>
    <w:rsid w:val="004E6523"/>
    <w:rsid w:val="004E66A0"/>
    <w:rsid w:val="004E66D3"/>
    <w:rsid w:val="004E66E3"/>
    <w:rsid w:val="004E67D7"/>
    <w:rsid w:val="004E67DA"/>
    <w:rsid w:val="004E681E"/>
    <w:rsid w:val="004E684F"/>
    <w:rsid w:val="004E6998"/>
    <w:rsid w:val="004E6AA6"/>
    <w:rsid w:val="004E6AC2"/>
    <w:rsid w:val="004E6CA1"/>
    <w:rsid w:val="004E6D48"/>
    <w:rsid w:val="004E6FC8"/>
    <w:rsid w:val="004E7036"/>
    <w:rsid w:val="004E70F2"/>
    <w:rsid w:val="004E715E"/>
    <w:rsid w:val="004E7161"/>
    <w:rsid w:val="004E717A"/>
    <w:rsid w:val="004E743F"/>
    <w:rsid w:val="004E7479"/>
    <w:rsid w:val="004E74A7"/>
    <w:rsid w:val="004E74B9"/>
    <w:rsid w:val="004E7601"/>
    <w:rsid w:val="004E764E"/>
    <w:rsid w:val="004E76FE"/>
    <w:rsid w:val="004E772B"/>
    <w:rsid w:val="004E783D"/>
    <w:rsid w:val="004E78F2"/>
    <w:rsid w:val="004E7958"/>
    <w:rsid w:val="004E79CF"/>
    <w:rsid w:val="004E79F3"/>
    <w:rsid w:val="004E7A8E"/>
    <w:rsid w:val="004E7B39"/>
    <w:rsid w:val="004E7B54"/>
    <w:rsid w:val="004E7B9C"/>
    <w:rsid w:val="004E7BBE"/>
    <w:rsid w:val="004E7CC8"/>
    <w:rsid w:val="004E7DE4"/>
    <w:rsid w:val="004E7E13"/>
    <w:rsid w:val="004E7EC4"/>
    <w:rsid w:val="004E7FD1"/>
    <w:rsid w:val="004F00EC"/>
    <w:rsid w:val="004F0151"/>
    <w:rsid w:val="004F03E2"/>
    <w:rsid w:val="004F04CD"/>
    <w:rsid w:val="004F0522"/>
    <w:rsid w:val="004F052E"/>
    <w:rsid w:val="004F0544"/>
    <w:rsid w:val="004F054D"/>
    <w:rsid w:val="004F056D"/>
    <w:rsid w:val="004F0605"/>
    <w:rsid w:val="004F09E8"/>
    <w:rsid w:val="004F0BAE"/>
    <w:rsid w:val="004F0C52"/>
    <w:rsid w:val="004F0C63"/>
    <w:rsid w:val="004F0E20"/>
    <w:rsid w:val="004F0E6F"/>
    <w:rsid w:val="004F0F07"/>
    <w:rsid w:val="004F0F55"/>
    <w:rsid w:val="004F0F66"/>
    <w:rsid w:val="004F0F72"/>
    <w:rsid w:val="004F104D"/>
    <w:rsid w:val="004F10F7"/>
    <w:rsid w:val="004F11BB"/>
    <w:rsid w:val="004F120F"/>
    <w:rsid w:val="004F126F"/>
    <w:rsid w:val="004F15BB"/>
    <w:rsid w:val="004F1798"/>
    <w:rsid w:val="004F1871"/>
    <w:rsid w:val="004F1879"/>
    <w:rsid w:val="004F1885"/>
    <w:rsid w:val="004F1A0D"/>
    <w:rsid w:val="004F1BBD"/>
    <w:rsid w:val="004F1CF4"/>
    <w:rsid w:val="004F1F85"/>
    <w:rsid w:val="004F219D"/>
    <w:rsid w:val="004F21AD"/>
    <w:rsid w:val="004F21BF"/>
    <w:rsid w:val="004F2264"/>
    <w:rsid w:val="004F2305"/>
    <w:rsid w:val="004F233E"/>
    <w:rsid w:val="004F247A"/>
    <w:rsid w:val="004F25BF"/>
    <w:rsid w:val="004F2604"/>
    <w:rsid w:val="004F265A"/>
    <w:rsid w:val="004F275F"/>
    <w:rsid w:val="004F278A"/>
    <w:rsid w:val="004F287A"/>
    <w:rsid w:val="004F28F6"/>
    <w:rsid w:val="004F2B12"/>
    <w:rsid w:val="004F2C6E"/>
    <w:rsid w:val="004F2CC4"/>
    <w:rsid w:val="004F2DB0"/>
    <w:rsid w:val="004F2DB8"/>
    <w:rsid w:val="004F2E24"/>
    <w:rsid w:val="004F3244"/>
    <w:rsid w:val="004F33A3"/>
    <w:rsid w:val="004F35EE"/>
    <w:rsid w:val="004F363C"/>
    <w:rsid w:val="004F36DD"/>
    <w:rsid w:val="004F36E6"/>
    <w:rsid w:val="004F3883"/>
    <w:rsid w:val="004F39B9"/>
    <w:rsid w:val="004F3B4D"/>
    <w:rsid w:val="004F3CBD"/>
    <w:rsid w:val="004F3DBD"/>
    <w:rsid w:val="004F3EA0"/>
    <w:rsid w:val="004F3EBF"/>
    <w:rsid w:val="004F4083"/>
    <w:rsid w:val="004F42C3"/>
    <w:rsid w:val="004F4337"/>
    <w:rsid w:val="004F4341"/>
    <w:rsid w:val="004F434D"/>
    <w:rsid w:val="004F4356"/>
    <w:rsid w:val="004F435F"/>
    <w:rsid w:val="004F43F4"/>
    <w:rsid w:val="004F4503"/>
    <w:rsid w:val="004F4555"/>
    <w:rsid w:val="004F46E5"/>
    <w:rsid w:val="004F46EB"/>
    <w:rsid w:val="004F47B2"/>
    <w:rsid w:val="004F48C4"/>
    <w:rsid w:val="004F4A32"/>
    <w:rsid w:val="004F4A6D"/>
    <w:rsid w:val="004F4B10"/>
    <w:rsid w:val="004F4CC9"/>
    <w:rsid w:val="004F4CE7"/>
    <w:rsid w:val="004F4DC0"/>
    <w:rsid w:val="004F4E62"/>
    <w:rsid w:val="004F4EE2"/>
    <w:rsid w:val="004F4F95"/>
    <w:rsid w:val="004F5074"/>
    <w:rsid w:val="004F50F3"/>
    <w:rsid w:val="004F5150"/>
    <w:rsid w:val="004F52A6"/>
    <w:rsid w:val="004F53F7"/>
    <w:rsid w:val="004F5448"/>
    <w:rsid w:val="004F54C4"/>
    <w:rsid w:val="004F55C3"/>
    <w:rsid w:val="004F55E3"/>
    <w:rsid w:val="004F5791"/>
    <w:rsid w:val="004F57A3"/>
    <w:rsid w:val="004F57FC"/>
    <w:rsid w:val="004F58B8"/>
    <w:rsid w:val="004F58D6"/>
    <w:rsid w:val="004F59F4"/>
    <w:rsid w:val="004F5A26"/>
    <w:rsid w:val="004F5A2A"/>
    <w:rsid w:val="004F5B4D"/>
    <w:rsid w:val="004F5B7E"/>
    <w:rsid w:val="004F5B90"/>
    <w:rsid w:val="004F5D7A"/>
    <w:rsid w:val="004F5DF0"/>
    <w:rsid w:val="004F606F"/>
    <w:rsid w:val="004F60F6"/>
    <w:rsid w:val="004F6157"/>
    <w:rsid w:val="004F61F3"/>
    <w:rsid w:val="004F635A"/>
    <w:rsid w:val="004F63BB"/>
    <w:rsid w:val="004F6410"/>
    <w:rsid w:val="004F65AE"/>
    <w:rsid w:val="004F6693"/>
    <w:rsid w:val="004F6764"/>
    <w:rsid w:val="004F68AC"/>
    <w:rsid w:val="004F68D6"/>
    <w:rsid w:val="004F68EE"/>
    <w:rsid w:val="004F68F8"/>
    <w:rsid w:val="004F6A79"/>
    <w:rsid w:val="004F6BB4"/>
    <w:rsid w:val="004F6C8D"/>
    <w:rsid w:val="004F6D3F"/>
    <w:rsid w:val="004F6D6C"/>
    <w:rsid w:val="004F6DF1"/>
    <w:rsid w:val="004F6E3F"/>
    <w:rsid w:val="004F6E51"/>
    <w:rsid w:val="004F6F2E"/>
    <w:rsid w:val="004F71EF"/>
    <w:rsid w:val="004F727F"/>
    <w:rsid w:val="004F7317"/>
    <w:rsid w:val="004F73BF"/>
    <w:rsid w:val="004F7414"/>
    <w:rsid w:val="004F748A"/>
    <w:rsid w:val="004F75B4"/>
    <w:rsid w:val="004F7656"/>
    <w:rsid w:val="004F7769"/>
    <w:rsid w:val="004F7832"/>
    <w:rsid w:val="004F7967"/>
    <w:rsid w:val="004F7A03"/>
    <w:rsid w:val="004F7AF1"/>
    <w:rsid w:val="004F7B5A"/>
    <w:rsid w:val="004F7C57"/>
    <w:rsid w:val="004F7F4A"/>
    <w:rsid w:val="004F7FEE"/>
    <w:rsid w:val="00500023"/>
    <w:rsid w:val="00500059"/>
    <w:rsid w:val="00500065"/>
    <w:rsid w:val="0050016D"/>
    <w:rsid w:val="00500187"/>
    <w:rsid w:val="00500188"/>
    <w:rsid w:val="005004BD"/>
    <w:rsid w:val="005004F0"/>
    <w:rsid w:val="00500515"/>
    <w:rsid w:val="00500560"/>
    <w:rsid w:val="0050067E"/>
    <w:rsid w:val="00500745"/>
    <w:rsid w:val="005007E4"/>
    <w:rsid w:val="0050081B"/>
    <w:rsid w:val="005009C5"/>
    <w:rsid w:val="00500C12"/>
    <w:rsid w:val="00500DF8"/>
    <w:rsid w:val="00500DFE"/>
    <w:rsid w:val="00500E0D"/>
    <w:rsid w:val="00500F15"/>
    <w:rsid w:val="0050108A"/>
    <w:rsid w:val="0050117B"/>
    <w:rsid w:val="00501324"/>
    <w:rsid w:val="0050136B"/>
    <w:rsid w:val="005013B3"/>
    <w:rsid w:val="0050140C"/>
    <w:rsid w:val="005015A4"/>
    <w:rsid w:val="005015C0"/>
    <w:rsid w:val="005015FF"/>
    <w:rsid w:val="005017B6"/>
    <w:rsid w:val="005019AF"/>
    <w:rsid w:val="00501A23"/>
    <w:rsid w:val="00501A3C"/>
    <w:rsid w:val="00501A4D"/>
    <w:rsid w:val="00501B92"/>
    <w:rsid w:val="00501BD1"/>
    <w:rsid w:val="00501C3D"/>
    <w:rsid w:val="00501C87"/>
    <w:rsid w:val="00501CFF"/>
    <w:rsid w:val="00501D2D"/>
    <w:rsid w:val="00501DD2"/>
    <w:rsid w:val="00501DFB"/>
    <w:rsid w:val="00501EFA"/>
    <w:rsid w:val="0050208D"/>
    <w:rsid w:val="005020E3"/>
    <w:rsid w:val="00502208"/>
    <w:rsid w:val="0050229A"/>
    <w:rsid w:val="005022B2"/>
    <w:rsid w:val="0050235B"/>
    <w:rsid w:val="00502452"/>
    <w:rsid w:val="005024F9"/>
    <w:rsid w:val="00502647"/>
    <w:rsid w:val="005027C3"/>
    <w:rsid w:val="005028BC"/>
    <w:rsid w:val="005028E4"/>
    <w:rsid w:val="005028FC"/>
    <w:rsid w:val="0050290E"/>
    <w:rsid w:val="00502A55"/>
    <w:rsid w:val="00502AFE"/>
    <w:rsid w:val="00502B32"/>
    <w:rsid w:val="00502BD7"/>
    <w:rsid w:val="00502C2B"/>
    <w:rsid w:val="00502C41"/>
    <w:rsid w:val="00502CF7"/>
    <w:rsid w:val="00502DA1"/>
    <w:rsid w:val="00502DC1"/>
    <w:rsid w:val="00502E7B"/>
    <w:rsid w:val="00502FF4"/>
    <w:rsid w:val="005030DA"/>
    <w:rsid w:val="0050313D"/>
    <w:rsid w:val="005031A3"/>
    <w:rsid w:val="00503367"/>
    <w:rsid w:val="00503605"/>
    <w:rsid w:val="005036D8"/>
    <w:rsid w:val="00503705"/>
    <w:rsid w:val="0050372D"/>
    <w:rsid w:val="0050377F"/>
    <w:rsid w:val="00503788"/>
    <w:rsid w:val="0050378E"/>
    <w:rsid w:val="005037E7"/>
    <w:rsid w:val="005037EE"/>
    <w:rsid w:val="00503970"/>
    <w:rsid w:val="00503986"/>
    <w:rsid w:val="00503A9D"/>
    <w:rsid w:val="00503ABE"/>
    <w:rsid w:val="00503B6F"/>
    <w:rsid w:val="00503BE1"/>
    <w:rsid w:val="00503C3D"/>
    <w:rsid w:val="00503D21"/>
    <w:rsid w:val="00503D85"/>
    <w:rsid w:val="00503E3C"/>
    <w:rsid w:val="00503F04"/>
    <w:rsid w:val="00503F90"/>
    <w:rsid w:val="00503FE2"/>
    <w:rsid w:val="00504077"/>
    <w:rsid w:val="005040CE"/>
    <w:rsid w:val="00504181"/>
    <w:rsid w:val="00504273"/>
    <w:rsid w:val="00504334"/>
    <w:rsid w:val="00504542"/>
    <w:rsid w:val="005045C0"/>
    <w:rsid w:val="0050467D"/>
    <w:rsid w:val="005046DB"/>
    <w:rsid w:val="00504781"/>
    <w:rsid w:val="005047F1"/>
    <w:rsid w:val="00504837"/>
    <w:rsid w:val="00504865"/>
    <w:rsid w:val="005048B9"/>
    <w:rsid w:val="00504943"/>
    <w:rsid w:val="00504975"/>
    <w:rsid w:val="00504A63"/>
    <w:rsid w:val="00504B62"/>
    <w:rsid w:val="00504B77"/>
    <w:rsid w:val="00504BA0"/>
    <w:rsid w:val="00504C76"/>
    <w:rsid w:val="00504CA5"/>
    <w:rsid w:val="00504CA7"/>
    <w:rsid w:val="00504D84"/>
    <w:rsid w:val="00504DFA"/>
    <w:rsid w:val="00504EBF"/>
    <w:rsid w:val="0050506D"/>
    <w:rsid w:val="0050507A"/>
    <w:rsid w:val="005050C7"/>
    <w:rsid w:val="005050F1"/>
    <w:rsid w:val="005050F6"/>
    <w:rsid w:val="0050515B"/>
    <w:rsid w:val="00505223"/>
    <w:rsid w:val="00505266"/>
    <w:rsid w:val="00505282"/>
    <w:rsid w:val="00505291"/>
    <w:rsid w:val="00505298"/>
    <w:rsid w:val="005052C6"/>
    <w:rsid w:val="0050561B"/>
    <w:rsid w:val="00505652"/>
    <w:rsid w:val="00505658"/>
    <w:rsid w:val="005056F4"/>
    <w:rsid w:val="005057F7"/>
    <w:rsid w:val="00505B10"/>
    <w:rsid w:val="00505BA0"/>
    <w:rsid w:val="00505BC5"/>
    <w:rsid w:val="00505BC7"/>
    <w:rsid w:val="00505CAD"/>
    <w:rsid w:val="00505D55"/>
    <w:rsid w:val="00505DB2"/>
    <w:rsid w:val="00505E05"/>
    <w:rsid w:val="00505E4E"/>
    <w:rsid w:val="00505F29"/>
    <w:rsid w:val="00505FFB"/>
    <w:rsid w:val="0050603F"/>
    <w:rsid w:val="00506085"/>
    <w:rsid w:val="0050608A"/>
    <w:rsid w:val="0050610B"/>
    <w:rsid w:val="005061A6"/>
    <w:rsid w:val="00506244"/>
    <w:rsid w:val="00506274"/>
    <w:rsid w:val="005062F8"/>
    <w:rsid w:val="00506411"/>
    <w:rsid w:val="0050675D"/>
    <w:rsid w:val="005069EF"/>
    <w:rsid w:val="00506A34"/>
    <w:rsid w:val="00506BC1"/>
    <w:rsid w:val="00506DB5"/>
    <w:rsid w:val="00507000"/>
    <w:rsid w:val="00507071"/>
    <w:rsid w:val="0050713F"/>
    <w:rsid w:val="0050723F"/>
    <w:rsid w:val="005072EE"/>
    <w:rsid w:val="00507358"/>
    <w:rsid w:val="005073C0"/>
    <w:rsid w:val="0050750E"/>
    <w:rsid w:val="00507540"/>
    <w:rsid w:val="0050756A"/>
    <w:rsid w:val="005075EB"/>
    <w:rsid w:val="005075F5"/>
    <w:rsid w:val="00507886"/>
    <w:rsid w:val="005079B6"/>
    <w:rsid w:val="00507A4E"/>
    <w:rsid w:val="00507A86"/>
    <w:rsid w:val="00507AC6"/>
    <w:rsid w:val="00507B82"/>
    <w:rsid w:val="00507BDD"/>
    <w:rsid w:val="00507DF0"/>
    <w:rsid w:val="00507EDF"/>
    <w:rsid w:val="00507FD9"/>
    <w:rsid w:val="0051008F"/>
    <w:rsid w:val="005100FC"/>
    <w:rsid w:val="00510161"/>
    <w:rsid w:val="005101D4"/>
    <w:rsid w:val="00510200"/>
    <w:rsid w:val="0051020C"/>
    <w:rsid w:val="0051020E"/>
    <w:rsid w:val="005103AA"/>
    <w:rsid w:val="00510483"/>
    <w:rsid w:val="005104D8"/>
    <w:rsid w:val="00510582"/>
    <w:rsid w:val="00510634"/>
    <w:rsid w:val="0051075E"/>
    <w:rsid w:val="005107EA"/>
    <w:rsid w:val="00510932"/>
    <w:rsid w:val="00510A9D"/>
    <w:rsid w:val="00510B57"/>
    <w:rsid w:val="00510BD1"/>
    <w:rsid w:val="00510C2E"/>
    <w:rsid w:val="00510DEF"/>
    <w:rsid w:val="00510E0E"/>
    <w:rsid w:val="00510E9A"/>
    <w:rsid w:val="00511206"/>
    <w:rsid w:val="005112EF"/>
    <w:rsid w:val="00511354"/>
    <w:rsid w:val="005113ED"/>
    <w:rsid w:val="0051142D"/>
    <w:rsid w:val="0051154B"/>
    <w:rsid w:val="00511563"/>
    <w:rsid w:val="0051168C"/>
    <w:rsid w:val="005116A6"/>
    <w:rsid w:val="005116AD"/>
    <w:rsid w:val="00511736"/>
    <w:rsid w:val="00511771"/>
    <w:rsid w:val="0051178F"/>
    <w:rsid w:val="0051189F"/>
    <w:rsid w:val="005118E9"/>
    <w:rsid w:val="0051190A"/>
    <w:rsid w:val="0051192C"/>
    <w:rsid w:val="00511981"/>
    <w:rsid w:val="00511A44"/>
    <w:rsid w:val="00511B09"/>
    <w:rsid w:val="00511B47"/>
    <w:rsid w:val="00511B8B"/>
    <w:rsid w:val="00511BCA"/>
    <w:rsid w:val="00511BD0"/>
    <w:rsid w:val="00511C1E"/>
    <w:rsid w:val="00511F35"/>
    <w:rsid w:val="00511F80"/>
    <w:rsid w:val="005120E2"/>
    <w:rsid w:val="0051215C"/>
    <w:rsid w:val="00512191"/>
    <w:rsid w:val="005121D0"/>
    <w:rsid w:val="00512369"/>
    <w:rsid w:val="00512464"/>
    <w:rsid w:val="00512476"/>
    <w:rsid w:val="005124FE"/>
    <w:rsid w:val="005125A1"/>
    <w:rsid w:val="0051262A"/>
    <w:rsid w:val="0051276E"/>
    <w:rsid w:val="005128A1"/>
    <w:rsid w:val="005129CE"/>
    <w:rsid w:val="00512A26"/>
    <w:rsid w:val="00512AC8"/>
    <w:rsid w:val="00512B61"/>
    <w:rsid w:val="00512B7D"/>
    <w:rsid w:val="00512BDA"/>
    <w:rsid w:val="00512C4A"/>
    <w:rsid w:val="00512DC4"/>
    <w:rsid w:val="00512FB8"/>
    <w:rsid w:val="00513024"/>
    <w:rsid w:val="0051302F"/>
    <w:rsid w:val="00513165"/>
    <w:rsid w:val="00513263"/>
    <w:rsid w:val="005132C7"/>
    <w:rsid w:val="005134B3"/>
    <w:rsid w:val="005134C3"/>
    <w:rsid w:val="005135E1"/>
    <w:rsid w:val="005136A2"/>
    <w:rsid w:val="005136EB"/>
    <w:rsid w:val="005136F3"/>
    <w:rsid w:val="005137E2"/>
    <w:rsid w:val="00513898"/>
    <w:rsid w:val="005138B9"/>
    <w:rsid w:val="005138CC"/>
    <w:rsid w:val="00513943"/>
    <w:rsid w:val="00513A99"/>
    <w:rsid w:val="00513B40"/>
    <w:rsid w:val="00513C7A"/>
    <w:rsid w:val="00513D27"/>
    <w:rsid w:val="00513E59"/>
    <w:rsid w:val="00514073"/>
    <w:rsid w:val="0051409A"/>
    <w:rsid w:val="005140A4"/>
    <w:rsid w:val="005140BB"/>
    <w:rsid w:val="00514176"/>
    <w:rsid w:val="005142A6"/>
    <w:rsid w:val="0051433E"/>
    <w:rsid w:val="0051439A"/>
    <w:rsid w:val="005143C6"/>
    <w:rsid w:val="005143E3"/>
    <w:rsid w:val="0051440B"/>
    <w:rsid w:val="00514417"/>
    <w:rsid w:val="00514483"/>
    <w:rsid w:val="00514676"/>
    <w:rsid w:val="005146F7"/>
    <w:rsid w:val="0051477E"/>
    <w:rsid w:val="005148DC"/>
    <w:rsid w:val="005148DF"/>
    <w:rsid w:val="0051493E"/>
    <w:rsid w:val="00514940"/>
    <w:rsid w:val="005149F9"/>
    <w:rsid w:val="00514A8D"/>
    <w:rsid w:val="00514B16"/>
    <w:rsid w:val="00514CAC"/>
    <w:rsid w:val="00514CD4"/>
    <w:rsid w:val="00514CEB"/>
    <w:rsid w:val="00514DDA"/>
    <w:rsid w:val="00514EA7"/>
    <w:rsid w:val="00514ECE"/>
    <w:rsid w:val="005150CC"/>
    <w:rsid w:val="005151C4"/>
    <w:rsid w:val="0051523C"/>
    <w:rsid w:val="0051533F"/>
    <w:rsid w:val="00515408"/>
    <w:rsid w:val="00515421"/>
    <w:rsid w:val="005154A6"/>
    <w:rsid w:val="005154C4"/>
    <w:rsid w:val="005155AB"/>
    <w:rsid w:val="005155B1"/>
    <w:rsid w:val="005155E7"/>
    <w:rsid w:val="005156D2"/>
    <w:rsid w:val="005156DA"/>
    <w:rsid w:val="00515787"/>
    <w:rsid w:val="00515817"/>
    <w:rsid w:val="0051583E"/>
    <w:rsid w:val="00515876"/>
    <w:rsid w:val="005159C8"/>
    <w:rsid w:val="00515B6D"/>
    <w:rsid w:val="00515BBA"/>
    <w:rsid w:val="00515C8E"/>
    <w:rsid w:val="00515D53"/>
    <w:rsid w:val="00515D69"/>
    <w:rsid w:val="00515E8C"/>
    <w:rsid w:val="00515FBD"/>
    <w:rsid w:val="005160CF"/>
    <w:rsid w:val="00516122"/>
    <w:rsid w:val="0051617A"/>
    <w:rsid w:val="00516598"/>
    <w:rsid w:val="005165A4"/>
    <w:rsid w:val="005165A5"/>
    <w:rsid w:val="005165B0"/>
    <w:rsid w:val="0051666F"/>
    <w:rsid w:val="00516680"/>
    <w:rsid w:val="0051668B"/>
    <w:rsid w:val="005166B7"/>
    <w:rsid w:val="005168BD"/>
    <w:rsid w:val="005169EE"/>
    <w:rsid w:val="00516AFF"/>
    <w:rsid w:val="00516B50"/>
    <w:rsid w:val="00516C1F"/>
    <w:rsid w:val="00516C41"/>
    <w:rsid w:val="00516C48"/>
    <w:rsid w:val="00516D14"/>
    <w:rsid w:val="00516E0C"/>
    <w:rsid w:val="00516E63"/>
    <w:rsid w:val="00516EC2"/>
    <w:rsid w:val="00516ECB"/>
    <w:rsid w:val="00516EE0"/>
    <w:rsid w:val="00516EE6"/>
    <w:rsid w:val="00516F8A"/>
    <w:rsid w:val="00516FCB"/>
    <w:rsid w:val="005171AA"/>
    <w:rsid w:val="0051724C"/>
    <w:rsid w:val="00517341"/>
    <w:rsid w:val="00517352"/>
    <w:rsid w:val="0051735D"/>
    <w:rsid w:val="00517543"/>
    <w:rsid w:val="0051758F"/>
    <w:rsid w:val="005175F1"/>
    <w:rsid w:val="00517624"/>
    <w:rsid w:val="005176A4"/>
    <w:rsid w:val="0051783E"/>
    <w:rsid w:val="00517848"/>
    <w:rsid w:val="00517926"/>
    <w:rsid w:val="00517CB7"/>
    <w:rsid w:val="00517DBF"/>
    <w:rsid w:val="00517E10"/>
    <w:rsid w:val="00517E12"/>
    <w:rsid w:val="00517E74"/>
    <w:rsid w:val="00517F5C"/>
    <w:rsid w:val="00517FC3"/>
    <w:rsid w:val="0052007C"/>
    <w:rsid w:val="005200C0"/>
    <w:rsid w:val="0052016E"/>
    <w:rsid w:val="0052017C"/>
    <w:rsid w:val="005202AA"/>
    <w:rsid w:val="0052031F"/>
    <w:rsid w:val="0052040A"/>
    <w:rsid w:val="005204B5"/>
    <w:rsid w:val="005204D3"/>
    <w:rsid w:val="00520518"/>
    <w:rsid w:val="00520552"/>
    <w:rsid w:val="00520795"/>
    <w:rsid w:val="0052079D"/>
    <w:rsid w:val="0052084B"/>
    <w:rsid w:val="005208B3"/>
    <w:rsid w:val="005208E6"/>
    <w:rsid w:val="00520A27"/>
    <w:rsid w:val="00520A71"/>
    <w:rsid w:val="00520B12"/>
    <w:rsid w:val="00520B6B"/>
    <w:rsid w:val="00520BC9"/>
    <w:rsid w:val="00520BD4"/>
    <w:rsid w:val="00520D38"/>
    <w:rsid w:val="00520EAF"/>
    <w:rsid w:val="00520FD2"/>
    <w:rsid w:val="005211A1"/>
    <w:rsid w:val="005211E4"/>
    <w:rsid w:val="00521237"/>
    <w:rsid w:val="005212BA"/>
    <w:rsid w:val="00521303"/>
    <w:rsid w:val="0052139C"/>
    <w:rsid w:val="005213A3"/>
    <w:rsid w:val="0052145D"/>
    <w:rsid w:val="005215A6"/>
    <w:rsid w:val="00521650"/>
    <w:rsid w:val="00521715"/>
    <w:rsid w:val="00521863"/>
    <w:rsid w:val="00521926"/>
    <w:rsid w:val="00521A78"/>
    <w:rsid w:val="00521AB9"/>
    <w:rsid w:val="00521BB9"/>
    <w:rsid w:val="00521C76"/>
    <w:rsid w:val="00521C9F"/>
    <w:rsid w:val="00521D2D"/>
    <w:rsid w:val="00521D3D"/>
    <w:rsid w:val="00521D6E"/>
    <w:rsid w:val="00521DC4"/>
    <w:rsid w:val="00521E6F"/>
    <w:rsid w:val="00521EE2"/>
    <w:rsid w:val="0052209C"/>
    <w:rsid w:val="0052213B"/>
    <w:rsid w:val="0052215C"/>
    <w:rsid w:val="00522160"/>
    <w:rsid w:val="005221DC"/>
    <w:rsid w:val="00522253"/>
    <w:rsid w:val="005223F4"/>
    <w:rsid w:val="0052244A"/>
    <w:rsid w:val="00522473"/>
    <w:rsid w:val="005224E5"/>
    <w:rsid w:val="0052268A"/>
    <w:rsid w:val="0052269B"/>
    <w:rsid w:val="005226C5"/>
    <w:rsid w:val="00522727"/>
    <w:rsid w:val="0052282E"/>
    <w:rsid w:val="005229FE"/>
    <w:rsid w:val="00522AC3"/>
    <w:rsid w:val="00522AD4"/>
    <w:rsid w:val="00522C1A"/>
    <w:rsid w:val="00522CD1"/>
    <w:rsid w:val="00522CFC"/>
    <w:rsid w:val="00522E13"/>
    <w:rsid w:val="00522E60"/>
    <w:rsid w:val="00523042"/>
    <w:rsid w:val="0052315A"/>
    <w:rsid w:val="00523282"/>
    <w:rsid w:val="005232A3"/>
    <w:rsid w:val="005232B8"/>
    <w:rsid w:val="0052330A"/>
    <w:rsid w:val="00523341"/>
    <w:rsid w:val="0052362C"/>
    <w:rsid w:val="0052364E"/>
    <w:rsid w:val="00523736"/>
    <w:rsid w:val="00523757"/>
    <w:rsid w:val="00523780"/>
    <w:rsid w:val="005238AB"/>
    <w:rsid w:val="005239D0"/>
    <w:rsid w:val="00523A9A"/>
    <w:rsid w:val="00523B57"/>
    <w:rsid w:val="00523B60"/>
    <w:rsid w:val="00523B94"/>
    <w:rsid w:val="00523C90"/>
    <w:rsid w:val="00523FD8"/>
    <w:rsid w:val="00524004"/>
    <w:rsid w:val="0052403B"/>
    <w:rsid w:val="005240F6"/>
    <w:rsid w:val="0052411C"/>
    <w:rsid w:val="005241AA"/>
    <w:rsid w:val="005242B4"/>
    <w:rsid w:val="005243B1"/>
    <w:rsid w:val="005243EC"/>
    <w:rsid w:val="00524442"/>
    <w:rsid w:val="0052448B"/>
    <w:rsid w:val="00524704"/>
    <w:rsid w:val="00524931"/>
    <w:rsid w:val="005249DF"/>
    <w:rsid w:val="00524A2B"/>
    <w:rsid w:val="00524A8B"/>
    <w:rsid w:val="00524B37"/>
    <w:rsid w:val="00524CCB"/>
    <w:rsid w:val="00524D9B"/>
    <w:rsid w:val="00524DCF"/>
    <w:rsid w:val="00524F4F"/>
    <w:rsid w:val="00524F66"/>
    <w:rsid w:val="005250BF"/>
    <w:rsid w:val="0052510C"/>
    <w:rsid w:val="00525244"/>
    <w:rsid w:val="005252FA"/>
    <w:rsid w:val="005252FD"/>
    <w:rsid w:val="00525384"/>
    <w:rsid w:val="005253D4"/>
    <w:rsid w:val="00525455"/>
    <w:rsid w:val="00525484"/>
    <w:rsid w:val="00525561"/>
    <w:rsid w:val="00525587"/>
    <w:rsid w:val="00525594"/>
    <w:rsid w:val="005255E7"/>
    <w:rsid w:val="005256ED"/>
    <w:rsid w:val="00525712"/>
    <w:rsid w:val="005257CA"/>
    <w:rsid w:val="005257FB"/>
    <w:rsid w:val="00525845"/>
    <w:rsid w:val="005258BE"/>
    <w:rsid w:val="00525971"/>
    <w:rsid w:val="005259AA"/>
    <w:rsid w:val="00525A08"/>
    <w:rsid w:val="00525AE7"/>
    <w:rsid w:val="00525B02"/>
    <w:rsid w:val="00525B37"/>
    <w:rsid w:val="00525BE5"/>
    <w:rsid w:val="00525D77"/>
    <w:rsid w:val="00525E63"/>
    <w:rsid w:val="00525ED2"/>
    <w:rsid w:val="00525FB4"/>
    <w:rsid w:val="00526012"/>
    <w:rsid w:val="00526183"/>
    <w:rsid w:val="0052628A"/>
    <w:rsid w:val="005262A3"/>
    <w:rsid w:val="0052633D"/>
    <w:rsid w:val="005264F8"/>
    <w:rsid w:val="00526519"/>
    <w:rsid w:val="00526521"/>
    <w:rsid w:val="0052653E"/>
    <w:rsid w:val="00526569"/>
    <w:rsid w:val="0052656D"/>
    <w:rsid w:val="00526616"/>
    <w:rsid w:val="005267D3"/>
    <w:rsid w:val="00526862"/>
    <w:rsid w:val="005269FE"/>
    <w:rsid w:val="00526A6A"/>
    <w:rsid w:val="00526ACD"/>
    <w:rsid w:val="00526B64"/>
    <w:rsid w:val="00526DC4"/>
    <w:rsid w:val="00526E35"/>
    <w:rsid w:val="00526E38"/>
    <w:rsid w:val="00526EB3"/>
    <w:rsid w:val="00526ECB"/>
    <w:rsid w:val="00526F39"/>
    <w:rsid w:val="00527009"/>
    <w:rsid w:val="0052701A"/>
    <w:rsid w:val="00527023"/>
    <w:rsid w:val="005271C1"/>
    <w:rsid w:val="00527320"/>
    <w:rsid w:val="00527405"/>
    <w:rsid w:val="00527492"/>
    <w:rsid w:val="00527651"/>
    <w:rsid w:val="005277EC"/>
    <w:rsid w:val="00527889"/>
    <w:rsid w:val="00527901"/>
    <w:rsid w:val="00527935"/>
    <w:rsid w:val="00527AC7"/>
    <w:rsid w:val="00527C28"/>
    <w:rsid w:val="00527C37"/>
    <w:rsid w:val="00527C78"/>
    <w:rsid w:val="00527CC7"/>
    <w:rsid w:val="00527DCD"/>
    <w:rsid w:val="00527E75"/>
    <w:rsid w:val="00527EA1"/>
    <w:rsid w:val="00527F18"/>
    <w:rsid w:val="00527F23"/>
    <w:rsid w:val="00527F50"/>
    <w:rsid w:val="00527FD0"/>
    <w:rsid w:val="005300BF"/>
    <w:rsid w:val="00530106"/>
    <w:rsid w:val="0053011C"/>
    <w:rsid w:val="005301CD"/>
    <w:rsid w:val="0053024E"/>
    <w:rsid w:val="0053033B"/>
    <w:rsid w:val="00530491"/>
    <w:rsid w:val="005304A0"/>
    <w:rsid w:val="00530592"/>
    <w:rsid w:val="0053059A"/>
    <w:rsid w:val="0053060E"/>
    <w:rsid w:val="0053064F"/>
    <w:rsid w:val="00530680"/>
    <w:rsid w:val="005307D8"/>
    <w:rsid w:val="005307EA"/>
    <w:rsid w:val="005307FE"/>
    <w:rsid w:val="005308BC"/>
    <w:rsid w:val="00530D04"/>
    <w:rsid w:val="00530D64"/>
    <w:rsid w:val="00530E38"/>
    <w:rsid w:val="00530F80"/>
    <w:rsid w:val="00531012"/>
    <w:rsid w:val="00531045"/>
    <w:rsid w:val="0053116F"/>
    <w:rsid w:val="005311E1"/>
    <w:rsid w:val="00531261"/>
    <w:rsid w:val="00531278"/>
    <w:rsid w:val="005315F0"/>
    <w:rsid w:val="0053170E"/>
    <w:rsid w:val="0053178A"/>
    <w:rsid w:val="005318F4"/>
    <w:rsid w:val="00531A03"/>
    <w:rsid w:val="00531AE0"/>
    <w:rsid w:val="00531D11"/>
    <w:rsid w:val="00531D9D"/>
    <w:rsid w:val="00531DBD"/>
    <w:rsid w:val="00531E2D"/>
    <w:rsid w:val="00531ECD"/>
    <w:rsid w:val="00531F87"/>
    <w:rsid w:val="00532061"/>
    <w:rsid w:val="005320B0"/>
    <w:rsid w:val="005320F0"/>
    <w:rsid w:val="00532117"/>
    <w:rsid w:val="00532241"/>
    <w:rsid w:val="00532482"/>
    <w:rsid w:val="00532513"/>
    <w:rsid w:val="005325DC"/>
    <w:rsid w:val="00532658"/>
    <w:rsid w:val="00532709"/>
    <w:rsid w:val="0053271D"/>
    <w:rsid w:val="00532726"/>
    <w:rsid w:val="0053272B"/>
    <w:rsid w:val="00532747"/>
    <w:rsid w:val="00532895"/>
    <w:rsid w:val="005328DB"/>
    <w:rsid w:val="005328FD"/>
    <w:rsid w:val="005329B5"/>
    <w:rsid w:val="00532A76"/>
    <w:rsid w:val="00532AEF"/>
    <w:rsid w:val="00532B9D"/>
    <w:rsid w:val="00532C73"/>
    <w:rsid w:val="00532CC1"/>
    <w:rsid w:val="00532CD2"/>
    <w:rsid w:val="00532EC0"/>
    <w:rsid w:val="00532ED4"/>
    <w:rsid w:val="00532F3E"/>
    <w:rsid w:val="00532F51"/>
    <w:rsid w:val="005330A4"/>
    <w:rsid w:val="0053316E"/>
    <w:rsid w:val="0053326B"/>
    <w:rsid w:val="005332B2"/>
    <w:rsid w:val="005333A2"/>
    <w:rsid w:val="005333C1"/>
    <w:rsid w:val="00533454"/>
    <w:rsid w:val="0053345E"/>
    <w:rsid w:val="005334C0"/>
    <w:rsid w:val="0053350D"/>
    <w:rsid w:val="00533536"/>
    <w:rsid w:val="00533637"/>
    <w:rsid w:val="00533686"/>
    <w:rsid w:val="005336F1"/>
    <w:rsid w:val="00533736"/>
    <w:rsid w:val="00533923"/>
    <w:rsid w:val="00533951"/>
    <w:rsid w:val="0053395A"/>
    <w:rsid w:val="005339B4"/>
    <w:rsid w:val="005339CB"/>
    <w:rsid w:val="005339FA"/>
    <w:rsid w:val="00533B14"/>
    <w:rsid w:val="00533DC2"/>
    <w:rsid w:val="00533EC7"/>
    <w:rsid w:val="00533FAF"/>
    <w:rsid w:val="00533FEB"/>
    <w:rsid w:val="00534059"/>
    <w:rsid w:val="00534069"/>
    <w:rsid w:val="0053409A"/>
    <w:rsid w:val="00534180"/>
    <w:rsid w:val="00534232"/>
    <w:rsid w:val="00534345"/>
    <w:rsid w:val="005343B7"/>
    <w:rsid w:val="0053440D"/>
    <w:rsid w:val="00534426"/>
    <w:rsid w:val="00534469"/>
    <w:rsid w:val="005344D4"/>
    <w:rsid w:val="00534515"/>
    <w:rsid w:val="00534559"/>
    <w:rsid w:val="0053461D"/>
    <w:rsid w:val="00534810"/>
    <w:rsid w:val="005348A2"/>
    <w:rsid w:val="00534BAA"/>
    <w:rsid w:val="00534BC3"/>
    <w:rsid w:val="00534C57"/>
    <w:rsid w:val="00534D30"/>
    <w:rsid w:val="00534E7F"/>
    <w:rsid w:val="00534FFF"/>
    <w:rsid w:val="0053508E"/>
    <w:rsid w:val="00535233"/>
    <w:rsid w:val="005352D1"/>
    <w:rsid w:val="005356D5"/>
    <w:rsid w:val="005357A0"/>
    <w:rsid w:val="00535872"/>
    <w:rsid w:val="0053595C"/>
    <w:rsid w:val="005359C8"/>
    <w:rsid w:val="00535AE1"/>
    <w:rsid w:val="00535AEF"/>
    <w:rsid w:val="00535B9E"/>
    <w:rsid w:val="00535BB3"/>
    <w:rsid w:val="00535C99"/>
    <w:rsid w:val="00535D20"/>
    <w:rsid w:val="00535D56"/>
    <w:rsid w:val="00535EB3"/>
    <w:rsid w:val="00535F86"/>
    <w:rsid w:val="00535FAC"/>
    <w:rsid w:val="005360EA"/>
    <w:rsid w:val="005361EE"/>
    <w:rsid w:val="005362C8"/>
    <w:rsid w:val="0053636A"/>
    <w:rsid w:val="00536481"/>
    <w:rsid w:val="00536525"/>
    <w:rsid w:val="005365A8"/>
    <w:rsid w:val="005366EF"/>
    <w:rsid w:val="005367A6"/>
    <w:rsid w:val="00536819"/>
    <w:rsid w:val="00536830"/>
    <w:rsid w:val="00536874"/>
    <w:rsid w:val="00536980"/>
    <w:rsid w:val="005369AC"/>
    <w:rsid w:val="005369B9"/>
    <w:rsid w:val="005369F9"/>
    <w:rsid w:val="00536A1B"/>
    <w:rsid w:val="00536B16"/>
    <w:rsid w:val="00536BC5"/>
    <w:rsid w:val="00536C28"/>
    <w:rsid w:val="00536CE2"/>
    <w:rsid w:val="00536D34"/>
    <w:rsid w:val="00536EA5"/>
    <w:rsid w:val="00536EAE"/>
    <w:rsid w:val="00536EBF"/>
    <w:rsid w:val="00537110"/>
    <w:rsid w:val="0053713F"/>
    <w:rsid w:val="005374CD"/>
    <w:rsid w:val="00537693"/>
    <w:rsid w:val="005376C1"/>
    <w:rsid w:val="0053775B"/>
    <w:rsid w:val="0053776F"/>
    <w:rsid w:val="005377A7"/>
    <w:rsid w:val="00537950"/>
    <w:rsid w:val="00537ADD"/>
    <w:rsid w:val="00537C37"/>
    <w:rsid w:val="00537CB5"/>
    <w:rsid w:val="00537D6D"/>
    <w:rsid w:val="00537DA4"/>
    <w:rsid w:val="00537DF6"/>
    <w:rsid w:val="00537E1E"/>
    <w:rsid w:val="00537E5C"/>
    <w:rsid w:val="00537F5A"/>
    <w:rsid w:val="00540150"/>
    <w:rsid w:val="0054015D"/>
    <w:rsid w:val="005402BF"/>
    <w:rsid w:val="005403F6"/>
    <w:rsid w:val="0054051B"/>
    <w:rsid w:val="005407A1"/>
    <w:rsid w:val="005407B5"/>
    <w:rsid w:val="005407D2"/>
    <w:rsid w:val="00540871"/>
    <w:rsid w:val="005408FB"/>
    <w:rsid w:val="0054093E"/>
    <w:rsid w:val="00540AF1"/>
    <w:rsid w:val="00540B4C"/>
    <w:rsid w:val="00540B6E"/>
    <w:rsid w:val="00540BA5"/>
    <w:rsid w:val="00540BA7"/>
    <w:rsid w:val="00540C80"/>
    <w:rsid w:val="00540C8E"/>
    <w:rsid w:val="00541131"/>
    <w:rsid w:val="00541136"/>
    <w:rsid w:val="0054113C"/>
    <w:rsid w:val="00541215"/>
    <w:rsid w:val="00541452"/>
    <w:rsid w:val="00541525"/>
    <w:rsid w:val="00541599"/>
    <w:rsid w:val="00541868"/>
    <w:rsid w:val="00541913"/>
    <w:rsid w:val="00541B18"/>
    <w:rsid w:val="00541B1B"/>
    <w:rsid w:val="00541C7D"/>
    <w:rsid w:val="00541CD0"/>
    <w:rsid w:val="00541D3C"/>
    <w:rsid w:val="00541DA1"/>
    <w:rsid w:val="00541E8D"/>
    <w:rsid w:val="00541ECC"/>
    <w:rsid w:val="00541F84"/>
    <w:rsid w:val="00542068"/>
    <w:rsid w:val="00542174"/>
    <w:rsid w:val="005421D3"/>
    <w:rsid w:val="005421DF"/>
    <w:rsid w:val="00542256"/>
    <w:rsid w:val="0054249D"/>
    <w:rsid w:val="005424B4"/>
    <w:rsid w:val="0054253A"/>
    <w:rsid w:val="00542618"/>
    <w:rsid w:val="005426D6"/>
    <w:rsid w:val="005426F1"/>
    <w:rsid w:val="00542829"/>
    <w:rsid w:val="00542840"/>
    <w:rsid w:val="005428C1"/>
    <w:rsid w:val="0054291A"/>
    <w:rsid w:val="00542974"/>
    <w:rsid w:val="005429EC"/>
    <w:rsid w:val="00542A87"/>
    <w:rsid w:val="00542C58"/>
    <w:rsid w:val="00542D0C"/>
    <w:rsid w:val="00542EAD"/>
    <w:rsid w:val="00542ED7"/>
    <w:rsid w:val="00542F9E"/>
    <w:rsid w:val="005430EA"/>
    <w:rsid w:val="00543157"/>
    <w:rsid w:val="00543242"/>
    <w:rsid w:val="00543299"/>
    <w:rsid w:val="00543337"/>
    <w:rsid w:val="0054368F"/>
    <w:rsid w:val="00543698"/>
    <w:rsid w:val="00543699"/>
    <w:rsid w:val="005436A5"/>
    <w:rsid w:val="005436D4"/>
    <w:rsid w:val="00543711"/>
    <w:rsid w:val="00543738"/>
    <w:rsid w:val="00543885"/>
    <w:rsid w:val="00543A6A"/>
    <w:rsid w:val="00543B0A"/>
    <w:rsid w:val="00543B40"/>
    <w:rsid w:val="00543C14"/>
    <w:rsid w:val="00543C1F"/>
    <w:rsid w:val="00543D16"/>
    <w:rsid w:val="00543E91"/>
    <w:rsid w:val="00544067"/>
    <w:rsid w:val="0054408E"/>
    <w:rsid w:val="0054430C"/>
    <w:rsid w:val="00544459"/>
    <w:rsid w:val="00544504"/>
    <w:rsid w:val="0054459F"/>
    <w:rsid w:val="00544638"/>
    <w:rsid w:val="00544879"/>
    <w:rsid w:val="00544917"/>
    <w:rsid w:val="0054497F"/>
    <w:rsid w:val="00544995"/>
    <w:rsid w:val="005449D1"/>
    <w:rsid w:val="00544A95"/>
    <w:rsid w:val="00544AE1"/>
    <w:rsid w:val="00544B29"/>
    <w:rsid w:val="00544BA5"/>
    <w:rsid w:val="00544BE8"/>
    <w:rsid w:val="00544C28"/>
    <w:rsid w:val="00544D42"/>
    <w:rsid w:val="00544D64"/>
    <w:rsid w:val="00544DA0"/>
    <w:rsid w:val="00544E74"/>
    <w:rsid w:val="00544E8E"/>
    <w:rsid w:val="00544E94"/>
    <w:rsid w:val="00544EBD"/>
    <w:rsid w:val="00544F57"/>
    <w:rsid w:val="00545070"/>
    <w:rsid w:val="0054526A"/>
    <w:rsid w:val="00545346"/>
    <w:rsid w:val="00545361"/>
    <w:rsid w:val="00545623"/>
    <w:rsid w:val="0054567E"/>
    <w:rsid w:val="00545752"/>
    <w:rsid w:val="00545954"/>
    <w:rsid w:val="005459CE"/>
    <w:rsid w:val="00545A3A"/>
    <w:rsid w:val="00545D48"/>
    <w:rsid w:val="00545DBD"/>
    <w:rsid w:val="00545E0C"/>
    <w:rsid w:val="00545EC4"/>
    <w:rsid w:val="00545EF4"/>
    <w:rsid w:val="00545F10"/>
    <w:rsid w:val="00545F9E"/>
    <w:rsid w:val="0054604B"/>
    <w:rsid w:val="0054613C"/>
    <w:rsid w:val="00546657"/>
    <w:rsid w:val="005466ED"/>
    <w:rsid w:val="005467CA"/>
    <w:rsid w:val="00546875"/>
    <w:rsid w:val="005468F4"/>
    <w:rsid w:val="005468FF"/>
    <w:rsid w:val="00546932"/>
    <w:rsid w:val="005469F8"/>
    <w:rsid w:val="00546AB0"/>
    <w:rsid w:val="00546D52"/>
    <w:rsid w:val="00546E0C"/>
    <w:rsid w:val="00546E25"/>
    <w:rsid w:val="00546EE9"/>
    <w:rsid w:val="00546F51"/>
    <w:rsid w:val="00547049"/>
    <w:rsid w:val="00547103"/>
    <w:rsid w:val="00547126"/>
    <w:rsid w:val="00547224"/>
    <w:rsid w:val="00547268"/>
    <w:rsid w:val="005472C9"/>
    <w:rsid w:val="0054738D"/>
    <w:rsid w:val="005473B6"/>
    <w:rsid w:val="00547439"/>
    <w:rsid w:val="0054747D"/>
    <w:rsid w:val="00547514"/>
    <w:rsid w:val="00547599"/>
    <w:rsid w:val="005475CB"/>
    <w:rsid w:val="00547653"/>
    <w:rsid w:val="005477B1"/>
    <w:rsid w:val="005478FF"/>
    <w:rsid w:val="00547AC8"/>
    <w:rsid w:val="00547B6E"/>
    <w:rsid w:val="00547B7A"/>
    <w:rsid w:val="00547E09"/>
    <w:rsid w:val="00547EF5"/>
    <w:rsid w:val="00547F32"/>
    <w:rsid w:val="00547F63"/>
    <w:rsid w:val="00547FD4"/>
    <w:rsid w:val="00547FF8"/>
    <w:rsid w:val="0055025E"/>
    <w:rsid w:val="005502E4"/>
    <w:rsid w:val="005503D8"/>
    <w:rsid w:val="0055076A"/>
    <w:rsid w:val="0055077B"/>
    <w:rsid w:val="0055084A"/>
    <w:rsid w:val="0055097D"/>
    <w:rsid w:val="00550980"/>
    <w:rsid w:val="005509F7"/>
    <w:rsid w:val="00550B62"/>
    <w:rsid w:val="00550C26"/>
    <w:rsid w:val="00550C69"/>
    <w:rsid w:val="00550EAA"/>
    <w:rsid w:val="00550ED5"/>
    <w:rsid w:val="00550EDB"/>
    <w:rsid w:val="0055118F"/>
    <w:rsid w:val="00551272"/>
    <w:rsid w:val="005512B8"/>
    <w:rsid w:val="00551377"/>
    <w:rsid w:val="0055138C"/>
    <w:rsid w:val="0055139B"/>
    <w:rsid w:val="00551560"/>
    <w:rsid w:val="00551595"/>
    <w:rsid w:val="005515E7"/>
    <w:rsid w:val="005516A6"/>
    <w:rsid w:val="005516BD"/>
    <w:rsid w:val="00551878"/>
    <w:rsid w:val="005518ED"/>
    <w:rsid w:val="0055199C"/>
    <w:rsid w:val="00551A76"/>
    <w:rsid w:val="00551A9B"/>
    <w:rsid w:val="00551AA9"/>
    <w:rsid w:val="00551ABF"/>
    <w:rsid w:val="00551B0A"/>
    <w:rsid w:val="00551B4B"/>
    <w:rsid w:val="00551D43"/>
    <w:rsid w:val="00551DB6"/>
    <w:rsid w:val="00551E2A"/>
    <w:rsid w:val="00551E4B"/>
    <w:rsid w:val="00551F18"/>
    <w:rsid w:val="005520FC"/>
    <w:rsid w:val="0055218A"/>
    <w:rsid w:val="005521AA"/>
    <w:rsid w:val="0055226F"/>
    <w:rsid w:val="00552361"/>
    <w:rsid w:val="005523F0"/>
    <w:rsid w:val="0055250B"/>
    <w:rsid w:val="005525CB"/>
    <w:rsid w:val="0055265E"/>
    <w:rsid w:val="005527C5"/>
    <w:rsid w:val="005528DB"/>
    <w:rsid w:val="00552981"/>
    <w:rsid w:val="005529B4"/>
    <w:rsid w:val="00552A31"/>
    <w:rsid w:val="00552BC7"/>
    <w:rsid w:val="00552C4A"/>
    <w:rsid w:val="00552CAA"/>
    <w:rsid w:val="00552D82"/>
    <w:rsid w:val="00552D92"/>
    <w:rsid w:val="00552D9E"/>
    <w:rsid w:val="00552DCC"/>
    <w:rsid w:val="00553043"/>
    <w:rsid w:val="0055328A"/>
    <w:rsid w:val="0055329A"/>
    <w:rsid w:val="005532E2"/>
    <w:rsid w:val="00553342"/>
    <w:rsid w:val="00553436"/>
    <w:rsid w:val="005535DA"/>
    <w:rsid w:val="005537EB"/>
    <w:rsid w:val="005537F5"/>
    <w:rsid w:val="0055390A"/>
    <w:rsid w:val="0055395A"/>
    <w:rsid w:val="005539B7"/>
    <w:rsid w:val="00553A66"/>
    <w:rsid w:val="00553A7D"/>
    <w:rsid w:val="00553AFA"/>
    <w:rsid w:val="00553B61"/>
    <w:rsid w:val="00553B73"/>
    <w:rsid w:val="00553BB0"/>
    <w:rsid w:val="00553BEA"/>
    <w:rsid w:val="00553D47"/>
    <w:rsid w:val="00553E46"/>
    <w:rsid w:val="00553E6F"/>
    <w:rsid w:val="00553F86"/>
    <w:rsid w:val="00553F8E"/>
    <w:rsid w:val="005540E6"/>
    <w:rsid w:val="00554135"/>
    <w:rsid w:val="00554197"/>
    <w:rsid w:val="00554227"/>
    <w:rsid w:val="00554237"/>
    <w:rsid w:val="00554278"/>
    <w:rsid w:val="00554590"/>
    <w:rsid w:val="005545C8"/>
    <w:rsid w:val="0055472C"/>
    <w:rsid w:val="00554823"/>
    <w:rsid w:val="0055490B"/>
    <w:rsid w:val="005549BD"/>
    <w:rsid w:val="00554A01"/>
    <w:rsid w:val="00554BA0"/>
    <w:rsid w:val="00554C9F"/>
    <w:rsid w:val="00554E59"/>
    <w:rsid w:val="00554FB7"/>
    <w:rsid w:val="00554FFB"/>
    <w:rsid w:val="00555025"/>
    <w:rsid w:val="0055519D"/>
    <w:rsid w:val="005553BF"/>
    <w:rsid w:val="005555EB"/>
    <w:rsid w:val="00555836"/>
    <w:rsid w:val="00555975"/>
    <w:rsid w:val="0055598B"/>
    <w:rsid w:val="00555A8B"/>
    <w:rsid w:val="00555AF0"/>
    <w:rsid w:val="00555B50"/>
    <w:rsid w:val="00555B63"/>
    <w:rsid w:val="00555BB7"/>
    <w:rsid w:val="00555D58"/>
    <w:rsid w:val="00555FD5"/>
    <w:rsid w:val="00556039"/>
    <w:rsid w:val="00556062"/>
    <w:rsid w:val="0055610E"/>
    <w:rsid w:val="00556226"/>
    <w:rsid w:val="005562AB"/>
    <w:rsid w:val="005562CE"/>
    <w:rsid w:val="00556400"/>
    <w:rsid w:val="0055640E"/>
    <w:rsid w:val="005565B7"/>
    <w:rsid w:val="0055660F"/>
    <w:rsid w:val="0055663E"/>
    <w:rsid w:val="00556679"/>
    <w:rsid w:val="005567F4"/>
    <w:rsid w:val="0055698F"/>
    <w:rsid w:val="00556A3E"/>
    <w:rsid w:val="00556B06"/>
    <w:rsid w:val="00556B2D"/>
    <w:rsid w:val="00556C23"/>
    <w:rsid w:val="00556C62"/>
    <w:rsid w:val="00556C63"/>
    <w:rsid w:val="00556DEF"/>
    <w:rsid w:val="00556EA1"/>
    <w:rsid w:val="00556EFD"/>
    <w:rsid w:val="00557005"/>
    <w:rsid w:val="00557006"/>
    <w:rsid w:val="005570C0"/>
    <w:rsid w:val="0055712F"/>
    <w:rsid w:val="00557242"/>
    <w:rsid w:val="005572C0"/>
    <w:rsid w:val="00557358"/>
    <w:rsid w:val="005573AC"/>
    <w:rsid w:val="005573CF"/>
    <w:rsid w:val="0055742F"/>
    <w:rsid w:val="005575E4"/>
    <w:rsid w:val="0055766D"/>
    <w:rsid w:val="0055780C"/>
    <w:rsid w:val="005578D1"/>
    <w:rsid w:val="0055794E"/>
    <w:rsid w:val="00557A16"/>
    <w:rsid w:val="00557A2F"/>
    <w:rsid w:val="00557A69"/>
    <w:rsid w:val="00557AFB"/>
    <w:rsid w:val="00557BFF"/>
    <w:rsid w:val="00557C06"/>
    <w:rsid w:val="00557D33"/>
    <w:rsid w:val="00557DC4"/>
    <w:rsid w:val="00557EE7"/>
    <w:rsid w:val="00557F4D"/>
    <w:rsid w:val="00557F90"/>
    <w:rsid w:val="00557F93"/>
    <w:rsid w:val="0056001B"/>
    <w:rsid w:val="00560035"/>
    <w:rsid w:val="0056008D"/>
    <w:rsid w:val="0056009D"/>
    <w:rsid w:val="005601E1"/>
    <w:rsid w:val="005601F8"/>
    <w:rsid w:val="00560282"/>
    <w:rsid w:val="00560365"/>
    <w:rsid w:val="0056046B"/>
    <w:rsid w:val="00560470"/>
    <w:rsid w:val="005604D4"/>
    <w:rsid w:val="00560518"/>
    <w:rsid w:val="00560553"/>
    <w:rsid w:val="005606B2"/>
    <w:rsid w:val="00560B4F"/>
    <w:rsid w:val="00560C8F"/>
    <w:rsid w:val="00560E10"/>
    <w:rsid w:val="0056116C"/>
    <w:rsid w:val="0056121C"/>
    <w:rsid w:val="00561235"/>
    <w:rsid w:val="0056137E"/>
    <w:rsid w:val="0056152D"/>
    <w:rsid w:val="00561617"/>
    <w:rsid w:val="00561732"/>
    <w:rsid w:val="0056176E"/>
    <w:rsid w:val="005617E1"/>
    <w:rsid w:val="00561964"/>
    <w:rsid w:val="00561995"/>
    <w:rsid w:val="00561A97"/>
    <w:rsid w:val="00561BB6"/>
    <w:rsid w:val="00561C02"/>
    <w:rsid w:val="00561C16"/>
    <w:rsid w:val="00561C88"/>
    <w:rsid w:val="00561C99"/>
    <w:rsid w:val="00561C9B"/>
    <w:rsid w:val="00561D08"/>
    <w:rsid w:val="00561D45"/>
    <w:rsid w:val="00561D99"/>
    <w:rsid w:val="00561DCA"/>
    <w:rsid w:val="00561DF1"/>
    <w:rsid w:val="00561E61"/>
    <w:rsid w:val="00561EC0"/>
    <w:rsid w:val="00561EFA"/>
    <w:rsid w:val="00561F04"/>
    <w:rsid w:val="005620C1"/>
    <w:rsid w:val="0056222A"/>
    <w:rsid w:val="005622C6"/>
    <w:rsid w:val="005622DA"/>
    <w:rsid w:val="00562473"/>
    <w:rsid w:val="0056262A"/>
    <w:rsid w:val="0056291E"/>
    <w:rsid w:val="00562ACA"/>
    <w:rsid w:val="00562B61"/>
    <w:rsid w:val="00562D3E"/>
    <w:rsid w:val="00562E1B"/>
    <w:rsid w:val="00562E50"/>
    <w:rsid w:val="00562E58"/>
    <w:rsid w:val="00563080"/>
    <w:rsid w:val="005632F5"/>
    <w:rsid w:val="0056331F"/>
    <w:rsid w:val="005634E5"/>
    <w:rsid w:val="005634E6"/>
    <w:rsid w:val="005636F5"/>
    <w:rsid w:val="00563792"/>
    <w:rsid w:val="005637AD"/>
    <w:rsid w:val="005638BD"/>
    <w:rsid w:val="00563A86"/>
    <w:rsid w:val="00563A94"/>
    <w:rsid w:val="00563AA8"/>
    <w:rsid w:val="00563C3B"/>
    <w:rsid w:val="00563C5D"/>
    <w:rsid w:val="00563C78"/>
    <w:rsid w:val="00563D73"/>
    <w:rsid w:val="00563E4F"/>
    <w:rsid w:val="00563FDC"/>
    <w:rsid w:val="005640E4"/>
    <w:rsid w:val="0056417D"/>
    <w:rsid w:val="005641A2"/>
    <w:rsid w:val="00564247"/>
    <w:rsid w:val="0056439E"/>
    <w:rsid w:val="00564478"/>
    <w:rsid w:val="005645B7"/>
    <w:rsid w:val="00564769"/>
    <w:rsid w:val="0056488C"/>
    <w:rsid w:val="005648CD"/>
    <w:rsid w:val="00564997"/>
    <w:rsid w:val="005649D7"/>
    <w:rsid w:val="00564A1E"/>
    <w:rsid w:val="00564A87"/>
    <w:rsid w:val="00564B3E"/>
    <w:rsid w:val="00564BBC"/>
    <w:rsid w:val="00564C25"/>
    <w:rsid w:val="00564C6D"/>
    <w:rsid w:val="00564C7B"/>
    <w:rsid w:val="00564CD1"/>
    <w:rsid w:val="00564CE7"/>
    <w:rsid w:val="00564DCC"/>
    <w:rsid w:val="00564E3B"/>
    <w:rsid w:val="00564E9C"/>
    <w:rsid w:val="00564EAF"/>
    <w:rsid w:val="00564EC3"/>
    <w:rsid w:val="005651FF"/>
    <w:rsid w:val="005653D2"/>
    <w:rsid w:val="0056544F"/>
    <w:rsid w:val="00565522"/>
    <w:rsid w:val="0056584F"/>
    <w:rsid w:val="0056588C"/>
    <w:rsid w:val="005659E0"/>
    <w:rsid w:val="00565B02"/>
    <w:rsid w:val="00565B11"/>
    <w:rsid w:val="00565B8F"/>
    <w:rsid w:val="00565CD6"/>
    <w:rsid w:val="00565E53"/>
    <w:rsid w:val="00565E96"/>
    <w:rsid w:val="00565EA4"/>
    <w:rsid w:val="00566045"/>
    <w:rsid w:val="0056604B"/>
    <w:rsid w:val="00566062"/>
    <w:rsid w:val="005661AF"/>
    <w:rsid w:val="005661C8"/>
    <w:rsid w:val="0056642B"/>
    <w:rsid w:val="00566445"/>
    <w:rsid w:val="00566552"/>
    <w:rsid w:val="005666BA"/>
    <w:rsid w:val="005667B0"/>
    <w:rsid w:val="0056693A"/>
    <w:rsid w:val="00566A2B"/>
    <w:rsid w:val="00566A8C"/>
    <w:rsid w:val="00566AA9"/>
    <w:rsid w:val="00566B67"/>
    <w:rsid w:val="00566CBF"/>
    <w:rsid w:val="00566D53"/>
    <w:rsid w:val="00566F3E"/>
    <w:rsid w:val="0056716B"/>
    <w:rsid w:val="0056742E"/>
    <w:rsid w:val="0056743B"/>
    <w:rsid w:val="005674A7"/>
    <w:rsid w:val="00567504"/>
    <w:rsid w:val="0056771B"/>
    <w:rsid w:val="0056777C"/>
    <w:rsid w:val="005677FA"/>
    <w:rsid w:val="00567882"/>
    <w:rsid w:val="00567979"/>
    <w:rsid w:val="005679D7"/>
    <w:rsid w:val="00567A0C"/>
    <w:rsid w:val="00567AC6"/>
    <w:rsid w:val="00567B56"/>
    <w:rsid w:val="00567B57"/>
    <w:rsid w:val="00567C5D"/>
    <w:rsid w:val="00567D09"/>
    <w:rsid w:val="00567D1C"/>
    <w:rsid w:val="00567D92"/>
    <w:rsid w:val="00567DB8"/>
    <w:rsid w:val="00567E10"/>
    <w:rsid w:val="00567F2D"/>
    <w:rsid w:val="0057004F"/>
    <w:rsid w:val="0057016B"/>
    <w:rsid w:val="005701FB"/>
    <w:rsid w:val="00570315"/>
    <w:rsid w:val="00570332"/>
    <w:rsid w:val="00570436"/>
    <w:rsid w:val="0057070F"/>
    <w:rsid w:val="0057071C"/>
    <w:rsid w:val="0057072F"/>
    <w:rsid w:val="0057074E"/>
    <w:rsid w:val="0057087B"/>
    <w:rsid w:val="00570A7A"/>
    <w:rsid w:val="00570AC8"/>
    <w:rsid w:val="00570AFA"/>
    <w:rsid w:val="00570B62"/>
    <w:rsid w:val="00570BA6"/>
    <w:rsid w:val="00570DB5"/>
    <w:rsid w:val="00570DC1"/>
    <w:rsid w:val="00570DD2"/>
    <w:rsid w:val="00570E98"/>
    <w:rsid w:val="00570EF1"/>
    <w:rsid w:val="00570F0B"/>
    <w:rsid w:val="00570FD9"/>
    <w:rsid w:val="00571018"/>
    <w:rsid w:val="00571175"/>
    <w:rsid w:val="00571211"/>
    <w:rsid w:val="005712CE"/>
    <w:rsid w:val="005714AE"/>
    <w:rsid w:val="0057158B"/>
    <w:rsid w:val="005715C2"/>
    <w:rsid w:val="005715F1"/>
    <w:rsid w:val="0057167B"/>
    <w:rsid w:val="005716C1"/>
    <w:rsid w:val="00571882"/>
    <w:rsid w:val="0057196B"/>
    <w:rsid w:val="00571AB5"/>
    <w:rsid w:val="00571B37"/>
    <w:rsid w:val="00571B6E"/>
    <w:rsid w:val="00571C19"/>
    <w:rsid w:val="00571C1A"/>
    <w:rsid w:val="00571C23"/>
    <w:rsid w:val="00571C28"/>
    <w:rsid w:val="00571C71"/>
    <w:rsid w:val="00571CAA"/>
    <w:rsid w:val="00571CE8"/>
    <w:rsid w:val="00571D3D"/>
    <w:rsid w:val="00571D94"/>
    <w:rsid w:val="00571DF6"/>
    <w:rsid w:val="00571E60"/>
    <w:rsid w:val="005721B0"/>
    <w:rsid w:val="005721F4"/>
    <w:rsid w:val="00572223"/>
    <w:rsid w:val="0057238B"/>
    <w:rsid w:val="005724CB"/>
    <w:rsid w:val="005725A9"/>
    <w:rsid w:val="00572642"/>
    <w:rsid w:val="00572754"/>
    <w:rsid w:val="0057278C"/>
    <w:rsid w:val="005728E7"/>
    <w:rsid w:val="0057293C"/>
    <w:rsid w:val="005729CA"/>
    <w:rsid w:val="00572A2B"/>
    <w:rsid w:val="00572A2D"/>
    <w:rsid w:val="00572A53"/>
    <w:rsid w:val="00572CFB"/>
    <w:rsid w:val="00572D0F"/>
    <w:rsid w:val="00572E36"/>
    <w:rsid w:val="00572EA9"/>
    <w:rsid w:val="00572F01"/>
    <w:rsid w:val="00573083"/>
    <w:rsid w:val="005730FB"/>
    <w:rsid w:val="0057312A"/>
    <w:rsid w:val="00573192"/>
    <w:rsid w:val="005731FE"/>
    <w:rsid w:val="005732C2"/>
    <w:rsid w:val="005732F5"/>
    <w:rsid w:val="0057331C"/>
    <w:rsid w:val="00573333"/>
    <w:rsid w:val="00573352"/>
    <w:rsid w:val="00573388"/>
    <w:rsid w:val="005733BD"/>
    <w:rsid w:val="0057354B"/>
    <w:rsid w:val="0057355B"/>
    <w:rsid w:val="00573610"/>
    <w:rsid w:val="0057370B"/>
    <w:rsid w:val="0057380E"/>
    <w:rsid w:val="0057381D"/>
    <w:rsid w:val="00573850"/>
    <w:rsid w:val="00573978"/>
    <w:rsid w:val="005739FE"/>
    <w:rsid w:val="00573A93"/>
    <w:rsid w:val="00573AB1"/>
    <w:rsid w:val="00573AE6"/>
    <w:rsid w:val="00573B0D"/>
    <w:rsid w:val="00573BD8"/>
    <w:rsid w:val="00573C00"/>
    <w:rsid w:val="00573CCF"/>
    <w:rsid w:val="00573D41"/>
    <w:rsid w:val="00573D9F"/>
    <w:rsid w:val="00573E7B"/>
    <w:rsid w:val="00573EA3"/>
    <w:rsid w:val="00573EC3"/>
    <w:rsid w:val="00573F7F"/>
    <w:rsid w:val="00573F9F"/>
    <w:rsid w:val="0057406E"/>
    <w:rsid w:val="0057409A"/>
    <w:rsid w:val="00574139"/>
    <w:rsid w:val="00574289"/>
    <w:rsid w:val="005743FE"/>
    <w:rsid w:val="0057443D"/>
    <w:rsid w:val="00574448"/>
    <w:rsid w:val="005744C5"/>
    <w:rsid w:val="005744DB"/>
    <w:rsid w:val="005744EC"/>
    <w:rsid w:val="00574505"/>
    <w:rsid w:val="005746C3"/>
    <w:rsid w:val="0057476F"/>
    <w:rsid w:val="005747B1"/>
    <w:rsid w:val="005747BE"/>
    <w:rsid w:val="00574898"/>
    <w:rsid w:val="005748E2"/>
    <w:rsid w:val="00574AE6"/>
    <w:rsid w:val="00574AEC"/>
    <w:rsid w:val="00574B53"/>
    <w:rsid w:val="00574C12"/>
    <w:rsid w:val="00574C49"/>
    <w:rsid w:val="00574CE7"/>
    <w:rsid w:val="00574E26"/>
    <w:rsid w:val="00574E65"/>
    <w:rsid w:val="00574F79"/>
    <w:rsid w:val="0057522D"/>
    <w:rsid w:val="005752F9"/>
    <w:rsid w:val="0057531A"/>
    <w:rsid w:val="0057535C"/>
    <w:rsid w:val="005753BF"/>
    <w:rsid w:val="00575414"/>
    <w:rsid w:val="005754F4"/>
    <w:rsid w:val="00575551"/>
    <w:rsid w:val="005755B8"/>
    <w:rsid w:val="00575833"/>
    <w:rsid w:val="0057583D"/>
    <w:rsid w:val="005758E7"/>
    <w:rsid w:val="00575903"/>
    <w:rsid w:val="0057593C"/>
    <w:rsid w:val="00575A5E"/>
    <w:rsid w:val="00575B00"/>
    <w:rsid w:val="00575C3B"/>
    <w:rsid w:val="00575CB7"/>
    <w:rsid w:val="00575DA8"/>
    <w:rsid w:val="00575E04"/>
    <w:rsid w:val="005760E0"/>
    <w:rsid w:val="00576141"/>
    <w:rsid w:val="00576161"/>
    <w:rsid w:val="005762B0"/>
    <w:rsid w:val="00576375"/>
    <w:rsid w:val="005763BD"/>
    <w:rsid w:val="005763FF"/>
    <w:rsid w:val="0057640E"/>
    <w:rsid w:val="0057643E"/>
    <w:rsid w:val="005765EB"/>
    <w:rsid w:val="00576611"/>
    <w:rsid w:val="0057682A"/>
    <w:rsid w:val="00576838"/>
    <w:rsid w:val="00576844"/>
    <w:rsid w:val="00576899"/>
    <w:rsid w:val="005768BD"/>
    <w:rsid w:val="00576A5C"/>
    <w:rsid w:val="00576D60"/>
    <w:rsid w:val="00576EA5"/>
    <w:rsid w:val="00576EB5"/>
    <w:rsid w:val="00577009"/>
    <w:rsid w:val="005770BE"/>
    <w:rsid w:val="0057718F"/>
    <w:rsid w:val="005771B9"/>
    <w:rsid w:val="00577248"/>
    <w:rsid w:val="005773CF"/>
    <w:rsid w:val="0057743F"/>
    <w:rsid w:val="0057749D"/>
    <w:rsid w:val="005774F4"/>
    <w:rsid w:val="00577740"/>
    <w:rsid w:val="005778FE"/>
    <w:rsid w:val="00577923"/>
    <w:rsid w:val="00577A76"/>
    <w:rsid w:val="00577A7A"/>
    <w:rsid w:val="00577AB5"/>
    <w:rsid w:val="00577B68"/>
    <w:rsid w:val="00577B6B"/>
    <w:rsid w:val="00577BAB"/>
    <w:rsid w:val="00577BF6"/>
    <w:rsid w:val="00577BF8"/>
    <w:rsid w:val="00577CD8"/>
    <w:rsid w:val="00577EFB"/>
    <w:rsid w:val="00577F38"/>
    <w:rsid w:val="00577F6D"/>
    <w:rsid w:val="00580049"/>
    <w:rsid w:val="005800DF"/>
    <w:rsid w:val="00580132"/>
    <w:rsid w:val="005801AC"/>
    <w:rsid w:val="005802C7"/>
    <w:rsid w:val="00580316"/>
    <w:rsid w:val="005805AA"/>
    <w:rsid w:val="00580667"/>
    <w:rsid w:val="005806CA"/>
    <w:rsid w:val="00580732"/>
    <w:rsid w:val="00580798"/>
    <w:rsid w:val="00580816"/>
    <w:rsid w:val="005808CA"/>
    <w:rsid w:val="00580A9C"/>
    <w:rsid w:val="00580C02"/>
    <w:rsid w:val="00580F58"/>
    <w:rsid w:val="00580FA2"/>
    <w:rsid w:val="00580FE6"/>
    <w:rsid w:val="00581012"/>
    <w:rsid w:val="00581197"/>
    <w:rsid w:val="005811D6"/>
    <w:rsid w:val="00581302"/>
    <w:rsid w:val="0058130D"/>
    <w:rsid w:val="00581403"/>
    <w:rsid w:val="00581544"/>
    <w:rsid w:val="00581556"/>
    <w:rsid w:val="00581669"/>
    <w:rsid w:val="0058180F"/>
    <w:rsid w:val="005819C2"/>
    <w:rsid w:val="00581B3F"/>
    <w:rsid w:val="00581C17"/>
    <w:rsid w:val="00581DED"/>
    <w:rsid w:val="00581E4D"/>
    <w:rsid w:val="00581F90"/>
    <w:rsid w:val="00581FED"/>
    <w:rsid w:val="005820BF"/>
    <w:rsid w:val="005820DA"/>
    <w:rsid w:val="0058210B"/>
    <w:rsid w:val="005822FC"/>
    <w:rsid w:val="005824BB"/>
    <w:rsid w:val="00582543"/>
    <w:rsid w:val="0058259B"/>
    <w:rsid w:val="005825BF"/>
    <w:rsid w:val="00582694"/>
    <w:rsid w:val="00582706"/>
    <w:rsid w:val="00582730"/>
    <w:rsid w:val="00582732"/>
    <w:rsid w:val="0058279F"/>
    <w:rsid w:val="005829C5"/>
    <w:rsid w:val="005829E8"/>
    <w:rsid w:val="00582A16"/>
    <w:rsid w:val="00582A76"/>
    <w:rsid w:val="00582DC8"/>
    <w:rsid w:val="00582DFA"/>
    <w:rsid w:val="00582EAB"/>
    <w:rsid w:val="00583014"/>
    <w:rsid w:val="00583032"/>
    <w:rsid w:val="00583163"/>
    <w:rsid w:val="0058316D"/>
    <w:rsid w:val="00583183"/>
    <w:rsid w:val="005831D9"/>
    <w:rsid w:val="0058321D"/>
    <w:rsid w:val="005832A3"/>
    <w:rsid w:val="00583365"/>
    <w:rsid w:val="005833B0"/>
    <w:rsid w:val="00583497"/>
    <w:rsid w:val="005836AB"/>
    <w:rsid w:val="005836AC"/>
    <w:rsid w:val="005836CC"/>
    <w:rsid w:val="00583838"/>
    <w:rsid w:val="005838BD"/>
    <w:rsid w:val="005838DD"/>
    <w:rsid w:val="005838E9"/>
    <w:rsid w:val="00583A40"/>
    <w:rsid w:val="00583A57"/>
    <w:rsid w:val="00583C11"/>
    <w:rsid w:val="00583CD4"/>
    <w:rsid w:val="00583D11"/>
    <w:rsid w:val="00583E84"/>
    <w:rsid w:val="00583EC4"/>
    <w:rsid w:val="00583EF3"/>
    <w:rsid w:val="00583FAB"/>
    <w:rsid w:val="00583FED"/>
    <w:rsid w:val="005840B2"/>
    <w:rsid w:val="00584351"/>
    <w:rsid w:val="0058435E"/>
    <w:rsid w:val="005843CE"/>
    <w:rsid w:val="005845B6"/>
    <w:rsid w:val="005845C5"/>
    <w:rsid w:val="00584667"/>
    <w:rsid w:val="005846F3"/>
    <w:rsid w:val="0058476F"/>
    <w:rsid w:val="0058481A"/>
    <w:rsid w:val="00584875"/>
    <w:rsid w:val="00584876"/>
    <w:rsid w:val="005849DB"/>
    <w:rsid w:val="005849FC"/>
    <w:rsid w:val="00584A14"/>
    <w:rsid w:val="00584AF9"/>
    <w:rsid w:val="00584BF2"/>
    <w:rsid w:val="00584C62"/>
    <w:rsid w:val="00584CF1"/>
    <w:rsid w:val="00584D21"/>
    <w:rsid w:val="00584D2F"/>
    <w:rsid w:val="00584DCA"/>
    <w:rsid w:val="00584E12"/>
    <w:rsid w:val="00584F60"/>
    <w:rsid w:val="00584FA5"/>
    <w:rsid w:val="00584FA6"/>
    <w:rsid w:val="00584FEF"/>
    <w:rsid w:val="00585031"/>
    <w:rsid w:val="0058504D"/>
    <w:rsid w:val="0058507C"/>
    <w:rsid w:val="00585104"/>
    <w:rsid w:val="00585113"/>
    <w:rsid w:val="00585132"/>
    <w:rsid w:val="00585438"/>
    <w:rsid w:val="00585465"/>
    <w:rsid w:val="00585499"/>
    <w:rsid w:val="0058551E"/>
    <w:rsid w:val="00585677"/>
    <w:rsid w:val="005856DD"/>
    <w:rsid w:val="005856FE"/>
    <w:rsid w:val="0058571D"/>
    <w:rsid w:val="0058573D"/>
    <w:rsid w:val="00585757"/>
    <w:rsid w:val="00585861"/>
    <w:rsid w:val="005858A1"/>
    <w:rsid w:val="0058595E"/>
    <w:rsid w:val="00585B53"/>
    <w:rsid w:val="00585BCB"/>
    <w:rsid w:val="00585D54"/>
    <w:rsid w:val="00585E0E"/>
    <w:rsid w:val="00585E4C"/>
    <w:rsid w:val="00585EC4"/>
    <w:rsid w:val="00585F8C"/>
    <w:rsid w:val="00585FAE"/>
    <w:rsid w:val="00585FCC"/>
    <w:rsid w:val="00586090"/>
    <w:rsid w:val="005860F8"/>
    <w:rsid w:val="00586281"/>
    <w:rsid w:val="005863B8"/>
    <w:rsid w:val="00586416"/>
    <w:rsid w:val="005864AB"/>
    <w:rsid w:val="0058658B"/>
    <w:rsid w:val="005865E2"/>
    <w:rsid w:val="005867BE"/>
    <w:rsid w:val="0058683D"/>
    <w:rsid w:val="00586979"/>
    <w:rsid w:val="00586A88"/>
    <w:rsid w:val="00586B14"/>
    <w:rsid w:val="00586CA1"/>
    <w:rsid w:val="00586D66"/>
    <w:rsid w:val="00586D86"/>
    <w:rsid w:val="00586D9E"/>
    <w:rsid w:val="00586E69"/>
    <w:rsid w:val="00586F6D"/>
    <w:rsid w:val="00586FA1"/>
    <w:rsid w:val="0058708C"/>
    <w:rsid w:val="00587098"/>
    <w:rsid w:val="00587200"/>
    <w:rsid w:val="00587257"/>
    <w:rsid w:val="005872ED"/>
    <w:rsid w:val="00587362"/>
    <w:rsid w:val="00587524"/>
    <w:rsid w:val="00587647"/>
    <w:rsid w:val="005876ED"/>
    <w:rsid w:val="00587788"/>
    <w:rsid w:val="00587888"/>
    <w:rsid w:val="005878E0"/>
    <w:rsid w:val="00587AD0"/>
    <w:rsid w:val="00587B06"/>
    <w:rsid w:val="00587BC7"/>
    <w:rsid w:val="00587D02"/>
    <w:rsid w:val="005900A1"/>
    <w:rsid w:val="005901E8"/>
    <w:rsid w:val="0059025B"/>
    <w:rsid w:val="00590283"/>
    <w:rsid w:val="0059049C"/>
    <w:rsid w:val="00590688"/>
    <w:rsid w:val="005906C3"/>
    <w:rsid w:val="005907D8"/>
    <w:rsid w:val="00590842"/>
    <w:rsid w:val="00590945"/>
    <w:rsid w:val="005909C8"/>
    <w:rsid w:val="00590BC4"/>
    <w:rsid w:val="00590C4B"/>
    <w:rsid w:val="00590C61"/>
    <w:rsid w:val="00590DF1"/>
    <w:rsid w:val="00590F0D"/>
    <w:rsid w:val="00590F87"/>
    <w:rsid w:val="00590FE7"/>
    <w:rsid w:val="00591142"/>
    <w:rsid w:val="005911DD"/>
    <w:rsid w:val="00591208"/>
    <w:rsid w:val="00591395"/>
    <w:rsid w:val="0059149B"/>
    <w:rsid w:val="005914B9"/>
    <w:rsid w:val="00591580"/>
    <w:rsid w:val="005915A2"/>
    <w:rsid w:val="005915C2"/>
    <w:rsid w:val="0059164B"/>
    <w:rsid w:val="00591724"/>
    <w:rsid w:val="00591725"/>
    <w:rsid w:val="005918BC"/>
    <w:rsid w:val="005918F6"/>
    <w:rsid w:val="00591905"/>
    <w:rsid w:val="00591D2B"/>
    <w:rsid w:val="00591DF8"/>
    <w:rsid w:val="00591F00"/>
    <w:rsid w:val="00591F02"/>
    <w:rsid w:val="0059203E"/>
    <w:rsid w:val="00592057"/>
    <w:rsid w:val="005920B5"/>
    <w:rsid w:val="0059211F"/>
    <w:rsid w:val="0059213B"/>
    <w:rsid w:val="005924F0"/>
    <w:rsid w:val="00592789"/>
    <w:rsid w:val="00592826"/>
    <w:rsid w:val="00592835"/>
    <w:rsid w:val="005929C6"/>
    <w:rsid w:val="005929D5"/>
    <w:rsid w:val="005929F1"/>
    <w:rsid w:val="00592B0D"/>
    <w:rsid w:val="00592B2B"/>
    <w:rsid w:val="00592B37"/>
    <w:rsid w:val="00592B7F"/>
    <w:rsid w:val="00592B8B"/>
    <w:rsid w:val="00592C0A"/>
    <w:rsid w:val="00592CDB"/>
    <w:rsid w:val="00592DC3"/>
    <w:rsid w:val="00592DCD"/>
    <w:rsid w:val="00592E38"/>
    <w:rsid w:val="00592E6A"/>
    <w:rsid w:val="00593027"/>
    <w:rsid w:val="00593078"/>
    <w:rsid w:val="005930AA"/>
    <w:rsid w:val="00593120"/>
    <w:rsid w:val="005931C4"/>
    <w:rsid w:val="005931DC"/>
    <w:rsid w:val="00593248"/>
    <w:rsid w:val="0059324B"/>
    <w:rsid w:val="0059327C"/>
    <w:rsid w:val="005932DB"/>
    <w:rsid w:val="005932F8"/>
    <w:rsid w:val="005935C2"/>
    <w:rsid w:val="00593655"/>
    <w:rsid w:val="0059369D"/>
    <w:rsid w:val="00593733"/>
    <w:rsid w:val="0059377A"/>
    <w:rsid w:val="00593843"/>
    <w:rsid w:val="0059399D"/>
    <w:rsid w:val="00593A8F"/>
    <w:rsid w:val="00593C3F"/>
    <w:rsid w:val="00593C68"/>
    <w:rsid w:val="00593CBE"/>
    <w:rsid w:val="00593DA0"/>
    <w:rsid w:val="00593DE7"/>
    <w:rsid w:val="00593F29"/>
    <w:rsid w:val="00593F67"/>
    <w:rsid w:val="005940A8"/>
    <w:rsid w:val="00594177"/>
    <w:rsid w:val="005943B0"/>
    <w:rsid w:val="005943D0"/>
    <w:rsid w:val="005944CB"/>
    <w:rsid w:val="005944F2"/>
    <w:rsid w:val="00594582"/>
    <w:rsid w:val="0059458F"/>
    <w:rsid w:val="00594601"/>
    <w:rsid w:val="005947A4"/>
    <w:rsid w:val="0059489C"/>
    <w:rsid w:val="005949E4"/>
    <w:rsid w:val="00594AA0"/>
    <w:rsid w:val="00594AAC"/>
    <w:rsid w:val="00594B37"/>
    <w:rsid w:val="00594C1D"/>
    <w:rsid w:val="00594C76"/>
    <w:rsid w:val="00594CA7"/>
    <w:rsid w:val="00594DFC"/>
    <w:rsid w:val="00594E3F"/>
    <w:rsid w:val="00594F20"/>
    <w:rsid w:val="00594FBD"/>
    <w:rsid w:val="005950D8"/>
    <w:rsid w:val="0059521C"/>
    <w:rsid w:val="00595238"/>
    <w:rsid w:val="0059528E"/>
    <w:rsid w:val="00595678"/>
    <w:rsid w:val="00595787"/>
    <w:rsid w:val="00595813"/>
    <w:rsid w:val="00595AD0"/>
    <w:rsid w:val="00595EF1"/>
    <w:rsid w:val="005960FF"/>
    <w:rsid w:val="00596206"/>
    <w:rsid w:val="005963EA"/>
    <w:rsid w:val="00596683"/>
    <w:rsid w:val="0059676F"/>
    <w:rsid w:val="005967CB"/>
    <w:rsid w:val="00596AEE"/>
    <w:rsid w:val="00596B60"/>
    <w:rsid w:val="00596E42"/>
    <w:rsid w:val="00597004"/>
    <w:rsid w:val="005970A8"/>
    <w:rsid w:val="005970E0"/>
    <w:rsid w:val="005970EC"/>
    <w:rsid w:val="0059713F"/>
    <w:rsid w:val="0059719E"/>
    <w:rsid w:val="00597226"/>
    <w:rsid w:val="0059730C"/>
    <w:rsid w:val="0059743A"/>
    <w:rsid w:val="0059746E"/>
    <w:rsid w:val="00597508"/>
    <w:rsid w:val="00597673"/>
    <w:rsid w:val="00597707"/>
    <w:rsid w:val="0059781A"/>
    <w:rsid w:val="00597850"/>
    <w:rsid w:val="005978AE"/>
    <w:rsid w:val="00597A24"/>
    <w:rsid w:val="00597AAB"/>
    <w:rsid w:val="00597B34"/>
    <w:rsid w:val="00597B7D"/>
    <w:rsid w:val="00597BDB"/>
    <w:rsid w:val="00597BFF"/>
    <w:rsid w:val="00597C57"/>
    <w:rsid w:val="00597C9D"/>
    <w:rsid w:val="00597CA2"/>
    <w:rsid w:val="00597E39"/>
    <w:rsid w:val="005A020C"/>
    <w:rsid w:val="005A0212"/>
    <w:rsid w:val="005A028D"/>
    <w:rsid w:val="005A0405"/>
    <w:rsid w:val="005A0481"/>
    <w:rsid w:val="005A04E9"/>
    <w:rsid w:val="005A04FC"/>
    <w:rsid w:val="005A0522"/>
    <w:rsid w:val="005A05A5"/>
    <w:rsid w:val="005A05A7"/>
    <w:rsid w:val="005A06A3"/>
    <w:rsid w:val="005A06C6"/>
    <w:rsid w:val="005A0705"/>
    <w:rsid w:val="005A0746"/>
    <w:rsid w:val="005A0750"/>
    <w:rsid w:val="005A0872"/>
    <w:rsid w:val="005A0907"/>
    <w:rsid w:val="005A0A47"/>
    <w:rsid w:val="005A0B38"/>
    <w:rsid w:val="005A0B60"/>
    <w:rsid w:val="005A0CE0"/>
    <w:rsid w:val="005A0E46"/>
    <w:rsid w:val="005A0F07"/>
    <w:rsid w:val="005A0F96"/>
    <w:rsid w:val="005A1017"/>
    <w:rsid w:val="005A1029"/>
    <w:rsid w:val="005A10AC"/>
    <w:rsid w:val="005A11C4"/>
    <w:rsid w:val="005A11D6"/>
    <w:rsid w:val="005A1251"/>
    <w:rsid w:val="005A1316"/>
    <w:rsid w:val="005A1357"/>
    <w:rsid w:val="005A14C5"/>
    <w:rsid w:val="005A14E4"/>
    <w:rsid w:val="005A1519"/>
    <w:rsid w:val="005A161C"/>
    <w:rsid w:val="005A1640"/>
    <w:rsid w:val="005A1646"/>
    <w:rsid w:val="005A16DE"/>
    <w:rsid w:val="005A175C"/>
    <w:rsid w:val="005A183F"/>
    <w:rsid w:val="005A1887"/>
    <w:rsid w:val="005A18E2"/>
    <w:rsid w:val="005A1991"/>
    <w:rsid w:val="005A1A0D"/>
    <w:rsid w:val="005A1AF4"/>
    <w:rsid w:val="005A1C30"/>
    <w:rsid w:val="005A1C92"/>
    <w:rsid w:val="005A1CDC"/>
    <w:rsid w:val="005A1E25"/>
    <w:rsid w:val="005A1E84"/>
    <w:rsid w:val="005A1EA0"/>
    <w:rsid w:val="005A1FED"/>
    <w:rsid w:val="005A1FF4"/>
    <w:rsid w:val="005A2054"/>
    <w:rsid w:val="005A207A"/>
    <w:rsid w:val="005A25FF"/>
    <w:rsid w:val="005A27BD"/>
    <w:rsid w:val="005A2871"/>
    <w:rsid w:val="005A2887"/>
    <w:rsid w:val="005A29C3"/>
    <w:rsid w:val="005A29FB"/>
    <w:rsid w:val="005A2A95"/>
    <w:rsid w:val="005A2AA4"/>
    <w:rsid w:val="005A2B22"/>
    <w:rsid w:val="005A2C42"/>
    <w:rsid w:val="005A2C7D"/>
    <w:rsid w:val="005A2DE4"/>
    <w:rsid w:val="005A2F4A"/>
    <w:rsid w:val="005A3053"/>
    <w:rsid w:val="005A3181"/>
    <w:rsid w:val="005A3268"/>
    <w:rsid w:val="005A329C"/>
    <w:rsid w:val="005A3341"/>
    <w:rsid w:val="005A33A4"/>
    <w:rsid w:val="005A3448"/>
    <w:rsid w:val="005A352A"/>
    <w:rsid w:val="005A35C3"/>
    <w:rsid w:val="005A3633"/>
    <w:rsid w:val="005A3640"/>
    <w:rsid w:val="005A37E3"/>
    <w:rsid w:val="005A38AA"/>
    <w:rsid w:val="005A38EF"/>
    <w:rsid w:val="005A39BD"/>
    <w:rsid w:val="005A39DC"/>
    <w:rsid w:val="005A39F4"/>
    <w:rsid w:val="005A3A35"/>
    <w:rsid w:val="005A3B4F"/>
    <w:rsid w:val="005A3B71"/>
    <w:rsid w:val="005A3BC6"/>
    <w:rsid w:val="005A3BF1"/>
    <w:rsid w:val="005A3C5F"/>
    <w:rsid w:val="005A3CCD"/>
    <w:rsid w:val="005A3DB4"/>
    <w:rsid w:val="005A3DF1"/>
    <w:rsid w:val="005A3F09"/>
    <w:rsid w:val="005A3F30"/>
    <w:rsid w:val="005A3F58"/>
    <w:rsid w:val="005A3FB0"/>
    <w:rsid w:val="005A4079"/>
    <w:rsid w:val="005A413F"/>
    <w:rsid w:val="005A4207"/>
    <w:rsid w:val="005A430F"/>
    <w:rsid w:val="005A43D4"/>
    <w:rsid w:val="005A43DB"/>
    <w:rsid w:val="005A4456"/>
    <w:rsid w:val="005A4459"/>
    <w:rsid w:val="005A44BA"/>
    <w:rsid w:val="005A45E5"/>
    <w:rsid w:val="005A4733"/>
    <w:rsid w:val="005A473E"/>
    <w:rsid w:val="005A47CF"/>
    <w:rsid w:val="005A4A61"/>
    <w:rsid w:val="005A4A79"/>
    <w:rsid w:val="005A4ABF"/>
    <w:rsid w:val="005A4AEA"/>
    <w:rsid w:val="005A4AF5"/>
    <w:rsid w:val="005A4BEB"/>
    <w:rsid w:val="005A4BF1"/>
    <w:rsid w:val="005A4C6A"/>
    <w:rsid w:val="005A4C7B"/>
    <w:rsid w:val="005A4CC6"/>
    <w:rsid w:val="005A4D02"/>
    <w:rsid w:val="005A4D0C"/>
    <w:rsid w:val="005A4D90"/>
    <w:rsid w:val="005A4D9E"/>
    <w:rsid w:val="005A4E85"/>
    <w:rsid w:val="005A4EDD"/>
    <w:rsid w:val="005A4EEC"/>
    <w:rsid w:val="005A4F23"/>
    <w:rsid w:val="005A4FD7"/>
    <w:rsid w:val="005A52EB"/>
    <w:rsid w:val="005A5361"/>
    <w:rsid w:val="005A53B8"/>
    <w:rsid w:val="005A540E"/>
    <w:rsid w:val="005A56E8"/>
    <w:rsid w:val="005A5719"/>
    <w:rsid w:val="005A5780"/>
    <w:rsid w:val="005A5850"/>
    <w:rsid w:val="005A5879"/>
    <w:rsid w:val="005A589A"/>
    <w:rsid w:val="005A5932"/>
    <w:rsid w:val="005A5A2C"/>
    <w:rsid w:val="005A5AE4"/>
    <w:rsid w:val="005A5D24"/>
    <w:rsid w:val="005A5E5E"/>
    <w:rsid w:val="005A60B2"/>
    <w:rsid w:val="005A6101"/>
    <w:rsid w:val="005A610F"/>
    <w:rsid w:val="005A6152"/>
    <w:rsid w:val="005A6196"/>
    <w:rsid w:val="005A6197"/>
    <w:rsid w:val="005A628F"/>
    <w:rsid w:val="005A62B0"/>
    <w:rsid w:val="005A6360"/>
    <w:rsid w:val="005A63AD"/>
    <w:rsid w:val="005A63BE"/>
    <w:rsid w:val="005A644D"/>
    <w:rsid w:val="005A6802"/>
    <w:rsid w:val="005A68C3"/>
    <w:rsid w:val="005A68C9"/>
    <w:rsid w:val="005A693C"/>
    <w:rsid w:val="005A6A16"/>
    <w:rsid w:val="005A6A2E"/>
    <w:rsid w:val="005A6B24"/>
    <w:rsid w:val="005A6D5F"/>
    <w:rsid w:val="005A6F3E"/>
    <w:rsid w:val="005A6F45"/>
    <w:rsid w:val="005A7104"/>
    <w:rsid w:val="005A7177"/>
    <w:rsid w:val="005A7207"/>
    <w:rsid w:val="005A73AD"/>
    <w:rsid w:val="005A755E"/>
    <w:rsid w:val="005A75D1"/>
    <w:rsid w:val="005A75D7"/>
    <w:rsid w:val="005A760C"/>
    <w:rsid w:val="005A76DA"/>
    <w:rsid w:val="005A7737"/>
    <w:rsid w:val="005A7768"/>
    <w:rsid w:val="005A77D1"/>
    <w:rsid w:val="005A77DE"/>
    <w:rsid w:val="005A77F1"/>
    <w:rsid w:val="005A7805"/>
    <w:rsid w:val="005A7843"/>
    <w:rsid w:val="005A7883"/>
    <w:rsid w:val="005A78E2"/>
    <w:rsid w:val="005A7A5C"/>
    <w:rsid w:val="005A7AC5"/>
    <w:rsid w:val="005A7AD3"/>
    <w:rsid w:val="005A7BB6"/>
    <w:rsid w:val="005A7D75"/>
    <w:rsid w:val="005A7EE2"/>
    <w:rsid w:val="005A7F8B"/>
    <w:rsid w:val="005B0212"/>
    <w:rsid w:val="005B041A"/>
    <w:rsid w:val="005B0488"/>
    <w:rsid w:val="005B0494"/>
    <w:rsid w:val="005B0578"/>
    <w:rsid w:val="005B0638"/>
    <w:rsid w:val="005B0692"/>
    <w:rsid w:val="005B07DA"/>
    <w:rsid w:val="005B08C4"/>
    <w:rsid w:val="005B08EC"/>
    <w:rsid w:val="005B09C7"/>
    <w:rsid w:val="005B0A2D"/>
    <w:rsid w:val="005B0AA4"/>
    <w:rsid w:val="005B0C1D"/>
    <w:rsid w:val="005B0C5E"/>
    <w:rsid w:val="005B0D67"/>
    <w:rsid w:val="005B0E35"/>
    <w:rsid w:val="005B0ED3"/>
    <w:rsid w:val="005B1069"/>
    <w:rsid w:val="005B10E3"/>
    <w:rsid w:val="005B1154"/>
    <w:rsid w:val="005B11A0"/>
    <w:rsid w:val="005B12DF"/>
    <w:rsid w:val="005B1499"/>
    <w:rsid w:val="005B16CC"/>
    <w:rsid w:val="005B17C9"/>
    <w:rsid w:val="005B18D3"/>
    <w:rsid w:val="005B18D8"/>
    <w:rsid w:val="005B19E1"/>
    <w:rsid w:val="005B1A39"/>
    <w:rsid w:val="005B1C8A"/>
    <w:rsid w:val="005B1E81"/>
    <w:rsid w:val="005B1EB6"/>
    <w:rsid w:val="005B1F5C"/>
    <w:rsid w:val="005B1FF1"/>
    <w:rsid w:val="005B2016"/>
    <w:rsid w:val="005B20B4"/>
    <w:rsid w:val="005B21D4"/>
    <w:rsid w:val="005B2296"/>
    <w:rsid w:val="005B2316"/>
    <w:rsid w:val="005B2448"/>
    <w:rsid w:val="005B2476"/>
    <w:rsid w:val="005B24F5"/>
    <w:rsid w:val="005B251E"/>
    <w:rsid w:val="005B2591"/>
    <w:rsid w:val="005B25B3"/>
    <w:rsid w:val="005B25C3"/>
    <w:rsid w:val="005B25CD"/>
    <w:rsid w:val="005B264E"/>
    <w:rsid w:val="005B277C"/>
    <w:rsid w:val="005B28A2"/>
    <w:rsid w:val="005B2907"/>
    <w:rsid w:val="005B2A60"/>
    <w:rsid w:val="005B2AE1"/>
    <w:rsid w:val="005B2C57"/>
    <w:rsid w:val="005B2CCD"/>
    <w:rsid w:val="005B2CE8"/>
    <w:rsid w:val="005B2E6F"/>
    <w:rsid w:val="005B2E72"/>
    <w:rsid w:val="005B2EC1"/>
    <w:rsid w:val="005B311A"/>
    <w:rsid w:val="005B31CC"/>
    <w:rsid w:val="005B3254"/>
    <w:rsid w:val="005B327B"/>
    <w:rsid w:val="005B331F"/>
    <w:rsid w:val="005B33A5"/>
    <w:rsid w:val="005B33E9"/>
    <w:rsid w:val="005B3450"/>
    <w:rsid w:val="005B347F"/>
    <w:rsid w:val="005B3571"/>
    <w:rsid w:val="005B3581"/>
    <w:rsid w:val="005B3694"/>
    <w:rsid w:val="005B370B"/>
    <w:rsid w:val="005B387E"/>
    <w:rsid w:val="005B39C1"/>
    <w:rsid w:val="005B3AC0"/>
    <w:rsid w:val="005B3ACE"/>
    <w:rsid w:val="005B3AE5"/>
    <w:rsid w:val="005B3CAB"/>
    <w:rsid w:val="005B3CFE"/>
    <w:rsid w:val="005B3E7A"/>
    <w:rsid w:val="005B3EBD"/>
    <w:rsid w:val="005B3F22"/>
    <w:rsid w:val="005B3FA2"/>
    <w:rsid w:val="005B41C9"/>
    <w:rsid w:val="005B4214"/>
    <w:rsid w:val="005B42C4"/>
    <w:rsid w:val="005B42CE"/>
    <w:rsid w:val="005B436E"/>
    <w:rsid w:val="005B4380"/>
    <w:rsid w:val="005B43B9"/>
    <w:rsid w:val="005B45E7"/>
    <w:rsid w:val="005B4602"/>
    <w:rsid w:val="005B472F"/>
    <w:rsid w:val="005B4793"/>
    <w:rsid w:val="005B4914"/>
    <w:rsid w:val="005B4A22"/>
    <w:rsid w:val="005B4A98"/>
    <w:rsid w:val="005B4B5D"/>
    <w:rsid w:val="005B4B65"/>
    <w:rsid w:val="005B4CE1"/>
    <w:rsid w:val="005B4D3C"/>
    <w:rsid w:val="005B4DFC"/>
    <w:rsid w:val="005B4E24"/>
    <w:rsid w:val="005B4FCA"/>
    <w:rsid w:val="005B4FCD"/>
    <w:rsid w:val="005B50EB"/>
    <w:rsid w:val="005B5120"/>
    <w:rsid w:val="005B5190"/>
    <w:rsid w:val="005B5228"/>
    <w:rsid w:val="005B53D8"/>
    <w:rsid w:val="005B53F3"/>
    <w:rsid w:val="005B5581"/>
    <w:rsid w:val="005B55DF"/>
    <w:rsid w:val="005B571F"/>
    <w:rsid w:val="005B573F"/>
    <w:rsid w:val="005B587C"/>
    <w:rsid w:val="005B590D"/>
    <w:rsid w:val="005B5956"/>
    <w:rsid w:val="005B59FF"/>
    <w:rsid w:val="005B5AB6"/>
    <w:rsid w:val="005B5C24"/>
    <w:rsid w:val="005B5F4A"/>
    <w:rsid w:val="005B6235"/>
    <w:rsid w:val="005B637D"/>
    <w:rsid w:val="005B63C7"/>
    <w:rsid w:val="005B646E"/>
    <w:rsid w:val="005B64C6"/>
    <w:rsid w:val="005B65D9"/>
    <w:rsid w:val="005B6632"/>
    <w:rsid w:val="005B67F2"/>
    <w:rsid w:val="005B68E3"/>
    <w:rsid w:val="005B6BBB"/>
    <w:rsid w:val="005B6BE0"/>
    <w:rsid w:val="005B6BFC"/>
    <w:rsid w:val="005B6C41"/>
    <w:rsid w:val="005B6D8B"/>
    <w:rsid w:val="005B6DA1"/>
    <w:rsid w:val="005B6E26"/>
    <w:rsid w:val="005B6E35"/>
    <w:rsid w:val="005B6E61"/>
    <w:rsid w:val="005B6EF7"/>
    <w:rsid w:val="005B70C7"/>
    <w:rsid w:val="005B7184"/>
    <w:rsid w:val="005B7233"/>
    <w:rsid w:val="005B7385"/>
    <w:rsid w:val="005B7390"/>
    <w:rsid w:val="005B74BE"/>
    <w:rsid w:val="005B74F3"/>
    <w:rsid w:val="005B75A7"/>
    <w:rsid w:val="005B75FD"/>
    <w:rsid w:val="005B7641"/>
    <w:rsid w:val="005B76E1"/>
    <w:rsid w:val="005B771E"/>
    <w:rsid w:val="005B7840"/>
    <w:rsid w:val="005B79FC"/>
    <w:rsid w:val="005B7AC4"/>
    <w:rsid w:val="005B7C71"/>
    <w:rsid w:val="005B7CE2"/>
    <w:rsid w:val="005B7D35"/>
    <w:rsid w:val="005B7DC6"/>
    <w:rsid w:val="005B7FA9"/>
    <w:rsid w:val="005C00BB"/>
    <w:rsid w:val="005C0165"/>
    <w:rsid w:val="005C0198"/>
    <w:rsid w:val="005C025E"/>
    <w:rsid w:val="005C0337"/>
    <w:rsid w:val="005C0482"/>
    <w:rsid w:val="005C0527"/>
    <w:rsid w:val="005C0548"/>
    <w:rsid w:val="005C072A"/>
    <w:rsid w:val="005C082C"/>
    <w:rsid w:val="005C0889"/>
    <w:rsid w:val="005C0B1D"/>
    <w:rsid w:val="005C0B82"/>
    <w:rsid w:val="005C0C7C"/>
    <w:rsid w:val="005C0DD3"/>
    <w:rsid w:val="005C0F6E"/>
    <w:rsid w:val="005C1035"/>
    <w:rsid w:val="005C10CE"/>
    <w:rsid w:val="005C111B"/>
    <w:rsid w:val="005C117E"/>
    <w:rsid w:val="005C1263"/>
    <w:rsid w:val="005C12B8"/>
    <w:rsid w:val="005C12FE"/>
    <w:rsid w:val="005C137F"/>
    <w:rsid w:val="005C13F7"/>
    <w:rsid w:val="005C1400"/>
    <w:rsid w:val="005C1539"/>
    <w:rsid w:val="005C16F8"/>
    <w:rsid w:val="005C177F"/>
    <w:rsid w:val="005C17CA"/>
    <w:rsid w:val="005C187E"/>
    <w:rsid w:val="005C198C"/>
    <w:rsid w:val="005C1A3C"/>
    <w:rsid w:val="005C1A4E"/>
    <w:rsid w:val="005C1B66"/>
    <w:rsid w:val="005C1B80"/>
    <w:rsid w:val="005C1BB8"/>
    <w:rsid w:val="005C1BDB"/>
    <w:rsid w:val="005C1C03"/>
    <w:rsid w:val="005C1C5A"/>
    <w:rsid w:val="005C1DE3"/>
    <w:rsid w:val="005C1EC5"/>
    <w:rsid w:val="005C1EC7"/>
    <w:rsid w:val="005C1F15"/>
    <w:rsid w:val="005C1F6A"/>
    <w:rsid w:val="005C1FB3"/>
    <w:rsid w:val="005C1FDE"/>
    <w:rsid w:val="005C2111"/>
    <w:rsid w:val="005C214C"/>
    <w:rsid w:val="005C2169"/>
    <w:rsid w:val="005C22D7"/>
    <w:rsid w:val="005C2378"/>
    <w:rsid w:val="005C23E2"/>
    <w:rsid w:val="005C23E7"/>
    <w:rsid w:val="005C244C"/>
    <w:rsid w:val="005C259F"/>
    <w:rsid w:val="005C25A6"/>
    <w:rsid w:val="005C25D7"/>
    <w:rsid w:val="005C2600"/>
    <w:rsid w:val="005C2603"/>
    <w:rsid w:val="005C2664"/>
    <w:rsid w:val="005C2693"/>
    <w:rsid w:val="005C2700"/>
    <w:rsid w:val="005C2731"/>
    <w:rsid w:val="005C2753"/>
    <w:rsid w:val="005C2755"/>
    <w:rsid w:val="005C27E2"/>
    <w:rsid w:val="005C2872"/>
    <w:rsid w:val="005C28DA"/>
    <w:rsid w:val="005C290B"/>
    <w:rsid w:val="005C299E"/>
    <w:rsid w:val="005C29CD"/>
    <w:rsid w:val="005C29FE"/>
    <w:rsid w:val="005C2A7B"/>
    <w:rsid w:val="005C2B25"/>
    <w:rsid w:val="005C2B9D"/>
    <w:rsid w:val="005C2C6F"/>
    <w:rsid w:val="005C2D8D"/>
    <w:rsid w:val="005C2DAB"/>
    <w:rsid w:val="005C2FBC"/>
    <w:rsid w:val="005C30C9"/>
    <w:rsid w:val="005C30E7"/>
    <w:rsid w:val="005C3122"/>
    <w:rsid w:val="005C31D3"/>
    <w:rsid w:val="005C31FE"/>
    <w:rsid w:val="005C323C"/>
    <w:rsid w:val="005C33C1"/>
    <w:rsid w:val="005C33DA"/>
    <w:rsid w:val="005C343D"/>
    <w:rsid w:val="005C3561"/>
    <w:rsid w:val="005C3580"/>
    <w:rsid w:val="005C360B"/>
    <w:rsid w:val="005C37B4"/>
    <w:rsid w:val="005C37DB"/>
    <w:rsid w:val="005C3858"/>
    <w:rsid w:val="005C3880"/>
    <w:rsid w:val="005C38C9"/>
    <w:rsid w:val="005C38E0"/>
    <w:rsid w:val="005C3996"/>
    <w:rsid w:val="005C3B27"/>
    <w:rsid w:val="005C3B38"/>
    <w:rsid w:val="005C3B79"/>
    <w:rsid w:val="005C3B95"/>
    <w:rsid w:val="005C3C98"/>
    <w:rsid w:val="005C3DE6"/>
    <w:rsid w:val="005C3E35"/>
    <w:rsid w:val="005C4001"/>
    <w:rsid w:val="005C4038"/>
    <w:rsid w:val="005C412B"/>
    <w:rsid w:val="005C43E5"/>
    <w:rsid w:val="005C4424"/>
    <w:rsid w:val="005C4582"/>
    <w:rsid w:val="005C45DC"/>
    <w:rsid w:val="005C45ED"/>
    <w:rsid w:val="005C4868"/>
    <w:rsid w:val="005C4AC2"/>
    <w:rsid w:val="005C4ACB"/>
    <w:rsid w:val="005C4C3A"/>
    <w:rsid w:val="005C4FBA"/>
    <w:rsid w:val="005C50F4"/>
    <w:rsid w:val="005C5117"/>
    <w:rsid w:val="005C5171"/>
    <w:rsid w:val="005C5189"/>
    <w:rsid w:val="005C5262"/>
    <w:rsid w:val="005C538C"/>
    <w:rsid w:val="005C54A9"/>
    <w:rsid w:val="005C54E0"/>
    <w:rsid w:val="005C5539"/>
    <w:rsid w:val="005C55E5"/>
    <w:rsid w:val="005C563B"/>
    <w:rsid w:val="005C5746"/>
    <w:rsid w:val="005C583B"/>
    <w:rsid w:val="005C5849"/>
    <w:rsid w:val="005C593D"/>
    <w:rsid w:val="005C5982"/>
    <w:rsid w:val="005C5AF3"/>
    <w:rsid w:val="005C5B48"/>
    <w:rsid w:val="005C5B8F"/>
    <w:rsid w:val="005C5DB2"/>
    <w:rsid w:val="005C5E96"/>
    <w:rsid w:val="005C5F93"/>
    <w:rsid w:val="005C6042"/>
    <w:rsid w:val="005C6082"/>
    <w:rsid w:val="005C6171"/>
    <w:rsid w:val="005C61FD"/>
    <w:rsid w:val="005C63FB"/>
    <w:rsid w:val="005C645E"/>
    <w:rsid w:val="005C6623"/>
    <w:rsid w:val="005C6679"/>
    <w:rsid w:val="005C67E9"/>
    <w:rsid w:val="005C69E7"/>
    <w:rsid w:val="005C6A57"/>
    <w:rsid w:val="005C6A69"/>
    <w:rsid w:val="005C6A89"/>
    <w:rsid w:val="005C6B74"/>
    <w:rsid w:val="005C6BD1"/>
    <w:rsid w:val="005C6BFD"/>
    <w:rsid w:val="005C6C2A"/>
    <w:rsid w:val="005C6CE5"/>
    <w:rsid w:val="005C6D5C"/>
    <w:rsid w:val="005C6D90"/>
    <w:rsid w:val="005C6E2E"/>
    <w:rsid w:val="005C6E51"/>
    <w:rsid w:val="005C6FF7"/>
    <w:rsid w:val="005C7281"/>
    <w:rsid w:val="005C7405"/>
    <w:rsid w:val="005C7534"/>
    <w:rsid w:val="005C75D8"/>
    <w:rsid w:val="005C75FA"/>
    <w:rsid w:val="005C7627"/>
    <w:rsid w:val="005C7693"/>
    <w:rsid w:val="005C7768"/>
    <w:rsid w:val="005C78C8"/>
    <w:rsid w:val="005C7938"/>
    <w:rsid w:val="005C7AA0"/>
    <w:rsid w:val="005C7B82"/>
    <w:rsid w:val="005C7C25"/>
    <w:rsid w:val="005C7CDC"/>
    <w:rsid w:val="005C7D01"/>
    <w:rsid w:val="005C7ED8"/>
    <w:rsid w:val="005C7EDD"/>
    <w:rsid w:val="005C7F50"/>
    <w:rsid w:val="005C7FC0"/>
    <w:rsid w:val="005D01CF"/>
    <w:rsid w:val="005D01D8"/>
    <w:rsid w:val="005D0276"/>
    <w:rsid w:val="005D033B"/>
    <w:rsid w:val="005D03F6"/>
    <w:rsid w:val="005D0407"/>
    <w:rsid w:val="005D04CC"/>
    <w:rsid w:val="005D052D"/>
    <w:rsid w:val="005D0685"/>
    <w:rsid w:val="005D06D6"/>
    <w:rsid w:val="005D06FE"/>
    <w:rsid w:val="005D07C2"/>
    <w:rsid w:val="005D0895"/>
    <w:rsid w:val="005D0B32"/>
    <w:rsid w:val="005D0B9D"/>
    <w:rsid w:val="005D0C36"/>
    <w:rsid w:val="005D0C3B"/>
    <w:rsid w:val="005D0D92"/>
    <w:rsid w:val="005D0E62"/>
    <w:rsid w:val="005D0E9F"/>
    <w:rsid w:val="005D0EC0"/>
    <w:rsid w:val="005D0EF0"/>
    <w:rsid w:val="005D10D7"/>
    <w:rsid w:val="005D1101"/>
    <w:rsid w:val="005D12DC"/>
    <w:rsid w:val="005D12E0"/>
    <w:rsid w:val="005D13FE"/>
    <w:rsid w:val="005D1426"/>
    <w:rsid w:val="005D146E"/>
    <w:rsid w:val="005D155A"/>
    <w:rsid w:val="005D163A"/>
    <w:rsid w:val="005D1705"/>
    <w:rsid w:val="005D1797"/>
    <w:rsid w:val="005D18AE"/>
    <w:rsid w:val="005D19E1"/>
    <w:rsid w:val="005D1A33"/>
    <w:rsid w:val="005D1ACF"/>
    <w:rsid w:val="005D1DBA"/>
    <w:rsid w:val="005D1E1C"/>
    <w:rsid w:val="005D1ED9"/>
    <w:rsid w:val="005D1FB4"/>
    <w:rsid w:val="005D1FFD"/>
    <w:rsid w:val="005D20DE"/>
    <w:rsid w:val="005D2196"/>
    <w:rsid w:val="005D2361"/>
    <w:rsid w:val="005D238E"/>
    <w:rsid w:val="005D2450"/>
    <w:rsid w:val="005D2559"/>
    <w:rsid w:val="005D25C6"/>
    <w:rsid w:val="005D26A3"/>
    <w:rsid w:val="005D2710"/>
    <w:rsid w:val="005D2754"/>
    <w:rsid w:val="005D2781"/>
    <w:rsid w:val="005D2795"/>
    <w:rsid w:val="005D2825"/>
    <w:rsid w:val="005D282E"/>
    <w:rsid w:val="005D2837"/>
    <w:rsid w:val="005D298E"/>
    <w:rsid w:val="005D2A82"/>
    <w:rsid w:val="005D2B13"/>
    <w:rsid w:val="005D2BD8"/>
    <w:rsid w:val="005D2C1F"/>
    <w:rsid w:val="005D2C98"/>
    <w:rsid w:val="005D2D2C"/>
    <w:rsid w:val="005D2FD9"/>
    <w:rsid w:val="005D315F"/>
    <w:rsid w:val="005D31BB"/>
    <w:rsid w:val="005D33DC"/>
    <w:rsid w:val="005D341A"/>
    <w:rsid w:val="005D343F"/>
    <w:rsid w:val="005D3524"/>
    <w:rsid w:val="005D35B2"/>
    <w:rsid w:val="005D3622"/>
    <w:rsid w:val="005D368F"/>
    <w:rsid w:val="005D3793"/>
    <w:rsid w:val="005D3858"/>
    <w:rsid w:val="005D38B6"/>
    <w:rsid w:val="005D3954"/>
    <w:rsid w:val="005D395A"/>
    <w:rsid w:val="005D3BF1"/>
    <w:rsid w:val="005D3C0D"/>
    <w:rsid w:val="005D3C73"/>
    <w:rsid w:val="005D3C8D"/>
    <w:rsid w:val="005D3D14"/>
    <w:rsid w:val="005D3E23"/>
    <w:rsid w:val="005D3EDB"/>
    <w:rsid w:val="005D3FCE"/>
    <w:rsid w:val="005D3FE5"/>
    <w:rsid w:val="005D410A"/>
    <w:rsid w:val="005D4111"/>
    <w:rsid w:val="005D416F"/>
    <w:rsid w:val="005D4258"/>
    <w:rsid w:val="005D42FB"/>
    <w:rsid w:val="005D440F"/>
    <w:rsid w:val="005D447B"/>
    <w:rsid w:val="005D4525"/>
    <w:rsid w:val="005D45E0"/>
    <w:rsid w:val="005D4627"/>
    <w:rsid w:val="005D4659"/>
    <w:rsid w:val="005D467E"/>
    <w:rsid w:val="005D46E0"/>
    <w:rsid w:val="005D47AA"/>
    <w:rsid w:val="005D47CF"/>
    <w:rsid w:val="005D481A"/>
    <w:rsid w:val="005D4878"/>
    <w:rsid w:val="005D4885"/>
    <w:rsid w:val="005D4A5A"/>
    <w:rsid w:val="005D4A8A"/>
    <w:rsid w:val="005D4B1E"/>
    <w:rsid w:val="005D4B46"/>
    <w:rsid w:val="005D4BB9"/>
    <w:rsid w:val="005D4CDC"/>
    <w:rsid w:val="005D4DB1"/>
    <w:rsid w:val="005D4FBE"/>
    <w:rsid w:val="005D5092"/>
    <w:rsid w:val="005D520B"/>
    <w:rsid w:val="005D5246"/>
    <w:rsid w:val="005D52B1"/>
    <w:rsid w:val="005D52CD"/>
    <w:rsid w:val="005D53E9"/>
    <w:rsid w:val="005D5486"/>
    <w:rsid w:val="005D5490"/>
    <w:rsid w:val="005D54D0"/>
    <w:rsid w:val="005D5539"/>
    <w:rsid w:val="005D55DC"/>
    <w:rsid w:val="005D571A"/>
    <w:rsid w:val="005D57E9"/>
    <w:rsid w:val="005D584C"/>
    <w:rsid w:val="005D5932"/>
    <w:rsid w:val="005D596C"/>
    <w:rsid w:val="005D59D1"/>
    <w:rsid w:val="005D5A5E"/>
    <w:rsid w:val="005D5A8A"/>
    <w:rsid w:val="005D5BD3"/>
    <w:rsid w:val="005D5E4F"/>
    <w:rsid w:val="005D5EB8"/>
    <w:rsid w:val="005D5FE2"/>
    <w:rsid w:val="005D60BB"/>
    <w:rsid w:val="005D614A"/>
    <w:rsid w:val="005D6232"/>
    <w:rsid w:val="005D62E2"/>
    <w:rsid w:val="005D63D9"/>
    <w:rsid w:val="005D6435"/>
    <w:rsid w:val="005D64CE"/>
    <w:rsid w:val="005D654B"/>
    <w:rsid w:val="005D6559"/>
    <w:rsid w:val="005D660B"/>
    <w:rsid w:val="005D6821"/>
    <w:rsid w:val="005D6891"/>
    <w:rsid w:val="005D697F"/>
    <w:rsid w:val="005D6AAC"/>
    <w:rsid w:val="005D6BD0"/>
    <w:rsid w:val="005D6CB5"/>
    <w:rsid w:val="005D6D32"/>
    <w:rsid w:val="005D6DCC"/>
    <w:rsid w:val="005D6E01"/>
    <w:rsid w:val="005D6EE2"/>
    <w:rsid w:val="005D6EEE"/>
    <w:rsid w:val="005D6F27"/>
    <w:rsid w:val="005D71F8"/>
    <w:rsid w:val="005D7318"/>
    <w:rsid w:val="005D7395"/>
    <w:rsid w:val="005D7408"/>
    <w:rsid w:val="005D74B3"/>
    <w:rsid w:val="005D74C1"/>
    <w:rsid w:val="005D74E2"/>
    <w:rsid w:val="005D7560"/>
    <w:rsid w:val="005D7569"/>
    <w:rsid w:val="005D76D4"/>
    <w:rsid w:val="005D770E"/>
    <w:rsid w:val="005D7976"/>
    <w:rsid w:val="005D7988"/>
    <w:rsid w:val="005D7C11"/>
    <w:rsid w:val="005D7C5D"/>
    <w:rsid w:val="005D7C78"/>
    <w:rsid w:val="005D7C84"/>
    <w:rsid w:val="005D7DF5"/>
    <w:rsid w:val="005E0117"/>
    <w:rsid w:val="005E01E7"/>
    <w:rsid w:val="005E0306"/>
    <w:rsid w:val="005E03D4"/>
    <w:rsid w:val="005E041D"/>
    <w:rsid w:val="005E047D"/>
    <w:rsid w:val="005E0489"/>
    <w:rsid w:val="005E0491"/>
    <w:rsid w:val="005E04A5"/>
    <w:rsid w:val="005E04B7"/>
    <w:rsid w:val="005E0524"/>
    <w:rsid w:val="005E054B"/>
    <w:rsid w:val="005E0556"/>
    <w:rsid w:val="005E0573"/>
    <w:rsid w:val="005E0574"/>
    <w:rsid w:val="005E05DA"/>
    <w:rsid w:val="005E0628"/>
    <w:rsid w:val="005E06E1"/>
    <w:rsid w:val="005E0940"/>
    <w:rsid w:val="005E0ADE"/>
    <w:rsid w:val="005E0B06"/>
    <w:rsid w:val="005E0B24"/>
    <w:rsid w:val="005E0BA1"/>
    <w:rsid w:val="005E0C08"/>
    <w:rsid w:val="005E0C1D"/>
    <w:rsid w:val="005E0D38"/>
    <w:rsid w:val="005E0D7E"/>
    <w:rsid w:val="005E0DA7"/>
    <w:rsid w:val="005E0E7B"/>
    <w:rsid w:val="005E0EFA"/>
    <w:rsid w:val="005E0F04"/>
    <w:rsid w:val="005E110F"/>
    <w:rsid w:val="005E1121"/>
    <w:rsid w:val="005E11FA"/>
    <w:rsid w:val="005E13AE"/>
    <w:rsid w:val="005E145A"/>
    <w:rsid w:val="005E14E7"/>
    <w:rsid w:val="005E1527"/>
    <w:rsid w:val="005E1762"/>
    <w:rsid w:val="005E1785"/>
    <w:rsid w:val="005E1806"/>
    <w:rsid w:val="005E18B7"/>
    <w:rsid w:val="005E1932"/>
    <w:rsid w:val="005E19C3"/>
    <w:rsid w:val="005E19F6"/>
    <w:rsid w:val="005E1B4E"/>
    <w:rsid w:val="005E1BAD"/>
    <w:rsid w:val="005E1C73"/>
    <w:rsid w:val="005E1CC1"/>
    <w:rsid w:val="005E1E90"/>
    <w:rsid w:val="005E1F1C"/>
    <w:rsid w:val="005E2073"/>
    <w:rsid w:val="005E20AB"/>
    <w:rsid w:val="005E20CC"/>
    <w:rsid w:val="005E2158"/>
    <w:rsid w:val="005E2184"/>
    <w:rsid w:val="005E220D"/>
    <w:rsid w:val="005E228E"/>
    <w:rsid w:val="005E2296"/>
    <w:rsid w:val="005E2300"/>
    <w:rsid w:val="005E2353"/>
    <w:rsid w:val="005E23C5"/>
    <w:rsid w:val="005E24C6"/>
    <w:rsid w:val="005E253C"/>
    <w:rsid w:val="005E253F"/>
    <w:rsid w:val="005E2556"/>
    <w:rsid w:val="005E2575"/>
    <w:rsid w:val="005E259D"/>
    <w:rsid w:val="005E26E8"/>
    <w:rsid w:val="005E26F5"/>
    <w:rsid w:val="005E28B0"/>
    <w:rsid w:val="005E29C1"/>
    <w:rsid w:val="005E2BC8"/>
    <w:rsid w:val="005E2BDB"/>
    <w:rsid w:val="005E2CDA"/>
    <w:rsid w:val="005E2D2F"/>
    <w:rsid w:val="005E2D30"/>
    <w:rsid w:val="005E2D36"/>
    <w:rsid w:val="005E2D3D"/>
    <w:rsid w:val="005E2D56"/>
    <w:rsid w:val="005E2DEF"/>
    <w:rsid w:val="005E2E60"/>
    <w:rsid w:val="005E2E8C"/>
    <w:rsid w:val="005E2F38"/>
    <w:rsid w:val="005E2FB3"/>
    <w:rsid w:val="005E2FC3"/>
    <w:rsid w:val="005E2FDD"/>
    <w:rsid w:val="005E3076"/>
    <w:rsid w:val="005E30F7"/>
    <w:rsid w:val="005E31E3"/>
    <w:rsid w:val="005E3202"/>
    <w:rsid w:val="005E321F"/>
    <w:rsid w:val="005E32C2"/>
    <w:rsid w:val="005E32F6"/>
    <w:rsid w:val="005E3312"/>
    <w:rsid w:val="005E340B"/>
    <w:rsid w:val="005E34F6"/>
    <w:rsid w:val="005E358B"/>
    <w:rsid w:val="005E3590"/>
    <w:rsid w:val="005E3672"/>
    <w:rsid w:val="005E3685"/>
    <w:rsid w:val="005E3744"/>
    <w:rsid w:val="005E388E"/>
    <w:rsid w:val="005E3907"/>
    <w:rsid w:val="005E3925"/>
    <w:rsid w:val="005E3930"/>
    <w:rsid w:val="005E3B55"/>
    <w:rsid w:val="005E3B58"/>
    <w:rsid w:val="005E3BC2"/>
    <w:rsid w:val="005E3BED"/>
    <w:rsid w:val="005E3C1D"/>
    <w:rsid w:val="005E3C67"/>
    <w:rsid w:val="005E3D83"/>
    <w:rsid w:val="005E3EED"/>
    <w:rsid w:val="005E3F62"/>
    <w:rsid w:val="005E3FDC"/>
    <w:rsid w:val="005E4026"/>
    <w:rsid w:val="005E408F"/>
    <w:rsid w:val="005E409D"/>
    <w:rsid w:val="005E4170"/>
    <w:rsid w:val="005E4198"/>
    <w:rsid w:val="005E41AC"/>
    <w:rsid w:val="005E41C2"/>
    <w:rsid w:val="005E4249"/>
    <w:rsid w:val="005E430B"/>
    <w:rsid w:val="005E436E"/>
    <w:rsid w:val="005E43BD"/>
    <w:rsid w:val="005E4406"/>
    <w:rsid w:val="005E442C"/>
    <w:rsid w:val="005E4552"/>
    <w:rsid w:val="005E456B"/>
    <w:rsid w:val="005E46B1"/>
    <w:rsid w:val="005E46E2"/>
    <w:rsid w:val="005E48D3"/>
    <w:rsid w:val="005E48D4"/>
    <w:rsid w:val="005E4A6E"/>
    <w:rsid w:val="005E4ADD"/>
    <w:rsid w:val="005E4DBC"/>
    <w:rsid w:val="005E4E37"/>
    <w:rsid w:val="005E4E3E"/>
    <w:rsid w:val="005E4E40"/>
    <w:rsid w:val="005E5075"/>
    <w:rsid w:val="005E50CA"/>
    <w:rsid w:val="005E5183"/>
    <w:rsid w:val="005E518C"/>
    <w:rsid w:val="005E51E9"/>
    <w:rsid w:val="005E5293"/>
    <w:rsid w:val="005E52B4"/>
    <w:rsid w:val="005E538B"/>
    <w:rsid w:val="005E54E9"/>
    <w:rsid w:val="005E5554"/>
    <w:rsid w:val="005E556E"/>
    <w:rsid w:val="005E5578"/>
    <w:rsid w:val="005E5637"/>
    <w:rsid w:val="005E5780"/>
    <w:rsid w:val="005E5912"/>
    <w:rsid w:val="005E599C"/>
    <w:rsid w:val="005E59F2"/>
    <w:rsid w:val="005E5A36"/>
    <w:rsid w:val="005E5D92"/>
    <w:rsid w:val="005E5DCA"/>
    <w:rsid w:val="005E5F1E"/>
    <w:rsid w:val="005E5F7C"/>
    <w:rsid w:val="005E5F91"/>
    <w:rsid w:val="005E60E6"/>
    <w:rsid w:val="005E60F3"/>
    <w:rsid w:val="005E623B"/>
    <w:rsid w:val="005E626D"/>
    <w:rsid w:val="005E6371"/>
    <w:rsid w:val="005E639A"/>
    <w:rsid w:val="005E63E3"/>
    <w:rsid w:val="005E65B4"/>
    <w:rsid w:val="005E68B2"/>
    <w:rsid w:val="005E68C9"/>
    <w:rsid w:val="005E6907"/>
    <w:rsid w:val="005E6982"/>
    <w:rsid w:val="005E6A1B"/>
    <w:rsid w:val="005E6B4A"/>
    <w:rsid w:val="005E6C1B"/>
    <w:rsid w:val="005E6C53"/>
    <w:rsid w:val="005E6C9D"/>
    <w:rsid w:val="005E6D66"/>
    <w:rsid w:val="005E6E6B"/>
    <w:rsid w:val="005E7029"/>
    <w:rsid w:val="005E70A8"/>
    <w:rsid w:val="005E7107"/>
    <w:rsid w:val="005E710B"/>
    <w:rsid w:val="005E71BD"/>
    <w:rsid w:val="005E7254"/>
    <w:rsid w:val="005E72D8"/>
    <w:rsid w:val="005E74B1"/>
    <w:rsid w:val="005E7622"/>
    <w:rsid w:val="005E763D"/>
    <w:rsid w:val="005E769F"/>
    <w:rsid w:val="005E76A3"/>
    <w:rsid w:val="005E77A1"/>
    <w:rsid w:val="005E78BD"/>
    <w:rsid w:val="005E78C4"/>
    <w:rsid w:val="005E79F2"/>
    <w:rsid w:val="005E7A11"/>
    <w:rsid w:val="005E7B01"/>
    <w:rsid w:val="005E7B58"/>
    <w:rsid w:val="005E7BA7"/>
    <w:rsid w:val="005E7C64"/>
    <w:rsid w:val="005E7E9A"/>
    <w:rsid w:val="005E7F21"/>
    <w:rsid w:val="005E7F65"/>
    <w:rsid w:val="005E7FBE"/>
    <w:rsid w:val="005E7FD4"/>
    <w:rsid w:val="005E7FEF"/>
    <w:rsid w:val="005F0105"/>
    <w:rsid w:val="005F0135"/>
    <w:rsid w:val="005F01D3"/>
    <w:rsid w:val="005F0249"/>
    <w:rsid w:val="005F0281"/>
    <w:rsid w:val="005F0359"/>
    <w:rsid w:val="005F037A"/>
    <w:rsid w:val="005F03EF"/>
    <w:rsid w:val="005F040A"/>
    <w:rsid w:val="005F0591"/>
    <w:rsid w:val="005F067B"/>
    <w:rsid w:val="005F08D5"/>
    <w:rsid w:val="005F095F"/>
    <w:rsid w:val="005F097C"/>
    <w:rsid w:val="005F0A16"/>
    <w:rsid w:val="005F0A83"/>
    <w:rsid w:val="005F0B68"/>
    <w:rsid w:val="005F0D4E"/>
    <w:rsid w:val="005F0DF8"/>
    <w:rsid w:val="005F0E12"/>
    <w:rsid w:val="005F0FE2"/>
    <w:rsid w:val="005F1030"/>
    <w:rsid w:val="005F109E"/>
    <w:rsid w:val="005F10CE"/>
    <w:rsid w:val="005F1273"/>
    <w:rsid w:val="005F1323"/>
    <w:rsid w:val="005F144D"/>
    <w:rsid w:val="005F1504"/>
    <w:rsid w:val="005F1615"/>
    <w:rsid w:val="005F1753"/>
    <w:rsid w:val="005F1B10"/>
    <w:rsid w:val="005F1B61"/>
    <w:rsid w:val="005F1B83"/>
    <w:rsid w:val="005F1B99"/>
    <w:rsid w:val="005F1BF9"/>
    <w:rsid w:val="005F1CD1"/>
    <w:rsid w:val="005F1D32"/>
    <w:rsid w:val="005F1D8C"/>
    <w:rsid w:val="005F1E34"/>
    <w:rsid w:val="005F1E97"/>
    <w:rsid w:val="005F1F17"/>
    <w:rsid w:val="005F1F4E"/>
    <w:rsid w:val="005F2095"/>
    <w:rsid w:val="005F2262"/>
    <w:rsid w:val="005F226E"/>
    <w:rsid w:val="005F22BE"/>
    <w:rsid w:val="005F2360"/>
    <w:rsid w:val="005F24B0"/>
    <w:rsid w:val="005F26EA"/>
    <w:rsid w:val="005F2710"/>
    <w:rsid w:val="005F29D8"/>
    <w:rsid w:val="005F2B21"/>
    <w:rsid w:val="005F2BE2"/>
    <w:rsid w:val="005F2C6B"/>
    <w:rsid w:val="005F2CE3"/>
    <w:rsid w:val="005F2D30"/>
    <w:rsid w:val="005F2D51"/>
    <w:rsid w:val="005F2D76"/>
    <w:rsid w:val="005F2E47"/>
    <w:rsid w:val="005F2E5A"/>
    <w:rsid w:val="005F2FB8"/>
    <w:rsid w:val="005F3075"/>
    <w:rsid w:val="005F30AC"/>
    <w:rsid w:val="005F3103"/>
    <w:rsid w:val="005F3179"/>
    <w:rsid w:val="005F32BD"/>
    <w:rsid w:val="005F334A"/>
    <w:rsid w:val="005F3379"/>
    <w:rsid w:val="005F3474"/>
    <w:rsid w:val="005F34A1"/>
    <w:rsid w:val="005F35E1"/>
    <w:rsid w:val="005F3664"/>
    <w:rsid w:val="005F3840"/>
    <w:rsid w:val="005F3926"/>
    <w:rsid w:val="005F3C0C"/>
    <w:rsid w:val="005F3CC1"/>
    <w:rsid w:val="005F3D30"/>
    <w:rsid w:val="005F3ECE"/>
    <w:rsid w:val="005F3F0D"/>
    <w:rsid w:val="005F3FE8"/>
    <w:rsid w:val="005F3FED"/>
    <w:rsid w:val="005F41A4"/>
    <w:rsid w:val="005F428A"/>
    <w:rsid w:val="005F4381"/>
    <w:rsid w:val="005F4436"/>
    <w:rsid w:val="005F44EF"/>
    <w:rsid w:val="005F451E"/>
    <w:rsid w:val="005F46F7"/>
    <w:rsid w:val="005F47B2"/>
    <w:rsid w:val="005F47FF"/>
    <w:rsid w:val="005F4822"/>
    <w:rsid w:val="005F4881"/>
    <w:rsid w:val="005F49C2"/>
    <w:rsid w:val="005F4AA9"/>
    <w:rsid w:val="005F4BC6"/>
    <w:rsid w:val="005F4C13"/>
    <w:rsid w:val="005F4C15"/>
    <w:rsid w:val="005F4C58"/>
    <w:rsid w:val="005F4C76"/>
    <w:rsid w:val="005F4C82"/>
    <w:rsid w:val="005F4D03"/>
    <w:rsid w:val="005F4E02"/>
    <w:rsid w:val="005F4F0C"/>
    <w:rsid w:val="005F4F9D"/>
    <w:rsid w:val="005F53D0"/>
    <w:rsid w:val="005F53EE"/>
    <w:rsid w:val="005F5433"/>
    <w:rsid w:val="005F5559"/>
    <w:rsid w:val="005F55BB"/>
    <w:rsid w:val="005F55EA"/>
    <w:rsid w:val="005F562D"/>
    <w:rsid w:val="005F569C"/>
    <w:rsid w:val="005F56E0"/>
    <w:rsid w:val="005F5752"/>
    <w:rsid w:val="005F58F3"/>
    <w:rsid w:val="005F5920"/>
    <w:rsid w:val="005F5A10"/>
    <w:rsid w:val="005F5B17"/>
    <w:rsid w:val="005F5BA8"/>
    <w:rsid w:val="005F5C0D"/>
    <w:rsid w:val="005F5C59"/>
    <w:rsid w:val="005F5D59"/>
    <w:rsid w:val="005F5D83"/>
    <w:rsid w:val="005F5E45"/>
    <w:rsid w:val="005F5EAF"/>
    <w:rsid w:val="005F5EB5"/>
    <w:rsid w:val="005F5F33"/>
    <w:rsid w:val="005F60B5"/>
    <w:rsid w:val="005F61F7"/>
    <w:rsid w:val="005F6291"/>
    <w:rsid w:val="005F62AA"/>
    <w:rsid w:val="005F634B"/>
    <w:rsid w:val="005F63DE"/>
    <w:rsid w:val="005F63F3"/>
    <w:rsid w:val="005F64F2"/>
    <w:rsid w:val="005F6561"/>
    <w:rsid w:val="005F65BD"/>
    <w:rsid w:val="005F6601"/>
    <w:rsid w:val="005F6696"/>
    <w:rsid w:val="005F67B3"/>
    <w:rsid w:val="005F6870"/>
    <w:rsid w:val="005F68CA"/>
    <w:rsid w:val="005F6903"/>
    <w:rsid w:val="005F698F"/>
    <w:rsid w:val="005F6A85"/>
    <w:rsid w:val="005F6BCA"/>
    <w:rsid w:val="005F6BCE"/>
    <w:rsid w:val="005F6BDE"/>
    <w:rsid w:val="005F6CF2"/>
    <w:rsid w:val="005F6D63"/>
    <w:rsid w:val="005F6DDC"/>
    <w:rsid w:val="005F6FE2"/>
    <w:rsid w:val="005F7119"/>
    <w:rsid w:val="005F71AE"/>
    <w:rsid w:val="005F721A"/>
    <w:rsid w:val="005F7242"/>
    <w:rsid w:val="005F7394"/>
    <w:rsid w:val="005F73AB"/>
    <w:rsid w:val="005F73F0"/>
    <w:rsid w:val="005F7518"/>
    <w:rsid w:val="005F755F"/>
    <w:rsid w:val="005F757C"/>
    <w:rsid w:val="005F7645"/>
    <w:rsid w:val="005F7840"/>
    <w:rsid w:val="005F7868"/>
    <w:rsid w:val="005F78AE"/>
    <w:rsid w:val="005F79CE"/>
    <w:rsid w:val="005F7ADA"/>
    <w:rsid w:val="005F7B2A"/>
    <w:rsid w:val="005F7B9D"/>
    <w:rsid w:val="005F7BF4"/>
    <w:rsid w:val="005F7D06"/>
    <w:rsid w:val="006001E1"/>
    <w:rsid w:val="0060023B"/>
    <w:rsid w:val="006002A6"/>
    <w:rsid w:val="00600459"/>
    <w:rsid w:val="0060046D"/>
    <w:rsid w:val="00600477"/>
    <w:rsid w:val="00600537"/>
    <w:rsid w:val="006005AD"/>
    <w:rsid w:val="006005AF"/>
    <w:rsid w:val="0060064B"/>
    <w:rsid w:val="006007AB"/>
    <w:rsid w:val="0060094E"/>
    <w:rsid w:val="0060099C"/>
    <w:rsid w:val="00600A03"/>
    <w:rsid w:val="00600BD5"/>
    <w:rsid w:val="00600DB4"/>
    <w:rsid w:val="00600EB7"/>
    <w:rsid w:val="00600F6C"/>
    <w:rsid w:val="006010CF"/>
    <w:rsid w:val="0060116C"/>
    <w:rsid w:val="00601238"/>
    <w:rsid w:val="006012E9"/>
    <w:rsid w:val="006013C0"/>
    <w:rsid w:val="0060145A"/>
    <w:rsid w:val="006014FC"/>
    <w:rsid w:val="00601534"/>
    <w:rsid w:val="0060181B"/>
    <w:rsid w:val="00601841"/>
    <w:rsid w:val="00601977"/>
    <w:rsid w:val="00601995"/>
    <w:rsid w:val="00601A1D"/>
    <w:rsid w:val="00601B66"/>
    <w:rsid w:val="00601BDB"/>
    <w:rsid w:val="00601C85"/>
    <w:rsid w:val="00601E8B"/>
    <w:rsid w:val="00601FBC"/>
    <w:rsid w:val="00601FED"/>
    <w:rsid w:val="00602109"/>
    <w:rsid w:val="00602263"/>
    <w:rsid w:val="006022CA"/>
    <w:rsid w:val="00602366"/>
    <w:rsid w:val="00602584"/>
    <w:rsid w:val="00602698"/>
    <w:rsid w:val="00602793"/>
    <w:rsid w:val="00602794"/>
    <w:rsid w:val="00602879"/>
    <w:rsid w:val="0060294B"/>
    <w:rsid w:val="006029E9"/>
    <w:rsid w:val="00602ABF"/>
    <w:rsid w:val="00602C5E"/>
    <w:rsid w:val="00602C82"/>
    <w:rsid w:val="00602CCA"/>
    <w:rsid w:val="00602D8B"/>
    <w:rsid w:val="00602FD7"/>
    <w:rsid w:val="0060302E"/>
    <w:rsid w:val="0060308B"/>
    <w:rsid w:val="006030A2"/>
    <w:rsid w:val="0060315E"/>
    <w:rsid w:val="0060317B"/>
    <w:rsid w:val="006031A4"/>
    <w:rsid w:val="006031BC"/>
    <w:rsid w:val="00603327"/>
    <w:rsid w:val="00603383"/>
    <w:rsid w:val="006034CF"/>
    <w:rsid w:val="0060368A"/>
    <w:rsid w:val="006036B9"/>
    <w:rsid w:val="006037E8"/>
    <w:rsid w:val="00603812"/>
    <w:rsid w:val="0060382D"/>
    <w:rsid w:val="006038AF"/>
    <w:rsid w:val="00603966"/>
    <w:rsid w:val="00603A43"/>
    <w:rsid w:val="00603A68"/>
    <w:rsid w:val="00603B41"/>
    <w:rsid w:val="00603C98"/>
    <w:rsid w:val="00603D45"/>
    <w:rsid w:val="00603E49"/>
    <w:rsid w:val="00603F7A"/>
    <w:rsid w:val="00603F93"/>
    <w:rsid w:val="00604005"/>
    <w:rsid w:val="0060409E"/>
    <w:rsid w:val="00604124"/>
    <w:rsid w:val="00604130"/>
    <w:rsid w:val="0060429E"/>
    <w:rsid w:val="0060431E"/>
    <w:rsid w:val="00604480"/>
    <w:rsid w:val="00604514"/>
    <w:rsid w:val="00604568"/>
    <w:rsid w:val="00604650"/>
    <w:rsid w:val="006046BC"/>
    <w:rsid w:val="0060470B"/>
    <w:rsid w:val="0060473D"/>
    <w:rsid w:val="0060475D"/>
    <w:rsid w:val="006047E7"/>
    <w:rsid w:val="006047FA"/>
    <w:rsid w:val="0060484F"/>
    <w:rsid w:val="006048D8"/>
    <w:rsid w:val="006048ED"/>
    <w:rsid w:val="00604A40"/>
    <w:rsid w:val="00604A63"/>
    <w:rsid w:val="00604B67"/>
    <w:rsid w:val="00604BAA"/>
    <w:rsid w:val="00604C0A"/>
    <w:rsid w:val="00604C5F"/>
    <w:rsid w:val="00604C9C"/>
    <w:rsid w:val="00604CE4"/>
    <w:rsid w:val="00604D22"/>
    <w:rsid w:val="00604DDC"/>
    <w:rsid w:val="00604E0F"/>
    <w:rsid w:val="00604E5E"/>
    <w:rsid w:val="00604EB5"/>
    <w:rsid w:val="00604EEC"/>
    <w:rsid w:val="00604F8C"/>
    <w:rsid w:val="0060516E"/>
    <w:rsid w:val="00605256"/>
    <w:rsid w:val="006053AC"/>
    <w:rsid w:val="006053C8"/>
    <w:rsid w:val="006055F7"/>
    <w:rsid w:val="0060564F"/>
    <w:rsid w:val="0060573E"/>
    <w:rsid w:val="00605748"/>
    <w:rsid w:val="006057F3"/>
    <w:rsid w:val="0060581D"/>
    <w:rsid w:val="00605872"/>
    <w:rsid w:val="00605891"/>
    <w:rsid w:val="006058E1"/>
    <w:rsid w:val="006059A2"/>
    <w:rsid w:val="006059EA"/>
    <w:rsid w:val="00605B91"/>
    <w:rsid w:val="00605C35"/>
    <w:rsid w:val="00605C6F"/>
    <w:rsid w:val="00605C9B"/>
    <w:rsid w:val="00605D33"/>
    <w:rsid w:val="00605D56"/>
    <w:rsid w:val="00605DAD"/>
    <w:rsid w:val="00605DB3"/>
    <w:rsid w:val="00605E01"/>
    <w:rsid w:val="00605E74"/>
    <w:rsid w:val="00605E86"/>
    <w:rsid w:val="00605F5B"/>
    <w:rsid w:val="006060BE"/>
    <w:rsid w:val="006060C5"/>
    <w:rsid w:val="0060625A"/>
    <w:rsid w:val="00606302"/>
    <w:rsid w:val="00606357"/>
    <w:rsid w:val="00606380"/>
    <w:rsid w:val="006063B0"/>
    <w:rsid w:val="00606505"/>
    <w:rsid w:val="00606579"/>
    <w:rsid w:val="00606688"/>
    <w:rsid w:val="006066D9"/>
    <w:rsid w:val="00606985"/>
    <w:rsid w:val="00606BF8"/>
    <w:rsid w:val="00606C80"/>
    <w:rsid w:val="00606D82"/>
    <w:rsid w:val="00606F6F"/>
    <w:rsid w:val="006071C1"/>
    <w:rsid w:val="006071ED"/>
    <w:rsid w:val="006073DD"/>
    <w:rsid w:val="0060740D"/>
    <w:rsid w:val="0060762F"/>
    <w:rsid w:val="006076FE"/>
    <w:rsid w:val="0060777C"/>
    <w:rsid w:val="006078E1"/>
    <w:rsid w:val="00607970"/>
    <w:rsid w:val="006079D7"/>
    <w:rsid w:val="00607A43"/>
    <w:rsid w:val="00607C03"/>
    <w:rsid w:val="00607CA4"/>
    <w:rsid w:val="00607DDD"/>
    <w:rsid w:val="00607E53"/>
    <w:rsid w:val="00607E6A"/>
    <w:rsid w:val="00607F4A"/>
    <w:rsid w:val="00607FD8"/>
    <w:rsid w:val="00607FEB"/>
    <w:rsid w:val="00610007"/>
    <w:rsid w:val="00610029"/>
    <w:rsid w:val="006101A1"/>
    <w:rsid w:val="006101A9"/>
    <w:rsid w:val="00610332"/>
    <w:rsid w:val="006103DA"/>
    <w:rsid w:val="006103DD"/>
    <w:rsid w:val="006103F0"/>
    <w:rsid w:val="00610461"/>
    <w:rsid w:val="006105BC"/>
    <w:rsid w:val="00610651"/>
    <w:rsid w:val="00610721"/>
    <w:rsid w:val="00610955"/>
    <w:rsid w:val="00610984"/>
    <w:rsid w:val="0061099F"/>
    <w:rsid w:val="00610AB0"/>
    <w:rsid w:val="00610B53"/>
    <w:rsid w:val="00610BA7"/>
    <w:rsid w:val="00610BDD"/>
    <w:rsid w:val="00610C03"/>
    <w:rsid w:val="00610D12"/>
    <w:rsid w:val="00610F4F"/>
    <w:rsid w:val="00611093"/>
    <w:rsid w:val="006110FD"/>
    <w:rsid w:val="0061111A"/>
    <w:rsid w:val="00611127"/>
    <w:rsid w:val="00611187"/>
    <w:rsid w:val="0061118B"/>
    <w:rsid w:val="0061120E"/>
    <w:rsid w:val="006112B5"/>
    <w:rsid w:val="006114F7"/>
    <w:rsid w:val="00611613"/>
    <w:rsid w:val="00611635"/>
    <w:rsid w:val="00611662"/>
    <w:rsid w:val="00611669"/>
    <w:rsid w:val="006116E8"/>
    <w:rsid w:val="00611713"/>
    <w:rsid w:val="0061173B"/>
    <w:rsid w:val="00611832"/>
    <w:rsid w:val="006118BC"/>
    <w:rsid w:val="00611937"/>
    <w:rsid w:val="00611A0F"/>
    <w:rsid w:val="00611A56"/>
    <w:rsid w:val="00611ADF"/>
    <w:rsid w:val="00611CB8"/>
    <w:rsid w:val="00611CFA"/>
    <w:rsid w:val="00611D11"/>
    <w:rsid w:val="00611D7E"/>
    <w:rsid w:val="0061202E"/>
    <w:rsid w:val="0061205E"/>
    <w:rsid w:val="00612107"/>
    <w:rsid w:val="00612240"/>
    <w:rsid w:val="00612274"/>
    <w:rsid w:val="00612290"/>
    <w:rsid w:val="006122A0"/>
    <w:rsid w:val="00612371"/>
    <w:rsid w:val="0061237F"/>
    <w:rsid w:val="00612391"/>
    <w:rsid w:val="006123B3"/>
    <w:rsid w:val="006123F1"/>
    <w:rsid w:val="006125E7"/>
    <w:rsid w:val="006126CF"/>
    <w:rsid w:val="00612740"/>
    <w:rsid w:val="0061291C"/>
    <w:rsid w:val="00612B3B"/>
    <w:rsid w:val="00612B60"/>
    <w:rsid w:val="00612C17"/>
    <w:rsid w:val="00612D53"/>
    <w:rsid w:val="00612DF2"/>
    <w:rsid w:val="00612EBF"/>
    <w:rsid w:val="00612FBD"/>
    <w:rsid w:val="00612FD8"/>
    <w:rsid w:val="00613009"/>
    <w:rsid w:val="006130DF"/>
    <w:rsid w:val="00613174"/>
    <w:rsid w:val="0061325E"/>
    <w:rsid w:val="00613343"/>
    <w:rsid w:val="00613487"/>
    <w:rsid w:val="00613562"/>
    <w:rsid w:val="006136E0"/>
    <w:rsid w:val="0061379E"/>
    <w:rsid w:val="006138D8"/>
    <w:rsid w:val="006138DE"/>
    <w:rsid w:val="00613927"/>
    <w:rsid w:val="00613948"/>
    <w:rsid w:val="00613A19"/>
    <w:rsid w:val="00613A29"/>
    <w:rsid w:val="00613AC2"/>
    <w:rsid w:val="00613C28"/>
    <w:rsid w:val="00613C40"/>
    <w:rsid w:val="00613C55"/>
    <w:rsid w:val="00613CC0"/>
    <w:rsid w:val="00613D90"/>
    <w:rsid w:val="00613DDA"/>
    <w:rsid w:val="00614065"/>
    <w:rsid w:val="006140EE"/>
    <w:rsid w:val="00614127"/>
    <w:rsid w:val="00614225"/>
    <w:rsid w:val="00614242"/>
    <w:rsid w:val="006142F2"/>
    <w:rsid w:val="00614460"/>
    <w:rsid w:val="00614519"/>
    <w:rsid w:val="00614867"/>
    <w:rsid w:val="006148BD"/>
    <w:rsid w:val="006148F8"/>
    <w:rsid w:val="00614977"/>
    <w:rsid w:val="00614AF3"/>
    <w:rsid w:val="00614DCD"/>
    <w:rsid w:val="00614E95"/>
    <w:rsid w:val="00614F1A"/>
    <w:rsid w:val="00614F81"/>
    <w:rsid w:val="00614FE1"/>
    <w:rsid w:val="00614FF0"/>
    <w:rsid w:val="0061501C"/>
    <w:rsid w:val="0061508F"/>
    <w:rsid w:val="00615090"/>
    <w:rsid w:val="00615097"/>
    <w:rsid w:val="0061514E"/>
    <w:rsid w:val="006151DC"/>
    <w:rsid w:val="006152DE"/>
    <w:rsid w:val="0061530E"/>
    <w:rsid w:val="006153EF"/>
    <w:rsid w:val="006154B0"/>
    <w:rsid w:val="00615556"/>
    <w:rsid w:val="006155A1"/>
    <w:rsid w:val="006159FA"/>
    <w:rsid w:val="00615AD2"/>
    <w:rsid w:val="00615B02"/>
    <w:rsid w:val="00615B9E"/>
    <w:rsid w:val="00615BB4"/>
    <w:rsid w:val="00615F35"/>
    <w:rsid w:val="00615FC8"/>
    <w:rsid w:val="0061615B"/>
    <w:rsid w:val="00616198"/>
    <w:rsid w:val="00616229"/>
    <w:rsid w:val="006162AD"/>
    <w:rsid w:val="006162D9"/>
    <w:rsid w:val="006164B5"/>
    <w:rsid w:val="006165ED"/>
    <w:rsid w:val="0061663D"/>
    <w:rsid w:val="00616667"/>
    <w:rsid w:val="00616A1D"/>
    <w:rsid w:val="00616ACB"/>
    <w:rsid w:val="00616B50"/>
    <w:rsid w:val="00616C9B"/>
    <w:rsid w:val="00616CE7"/>
    <w:rsid w:val="00616D7D"/>
    <w:rsid w:val="00616D81"/>
    <w:rsid w:val="00616DBF"/>
    <w:rsid w:val="00616DE2"/>
    <w:rsid w:val="00616EB5"/>
    <w:rsid w:val="00617160"/>
    <w:rsid w:val="00617207"/>
    <w:rsid w:val="0061738A"/>
    <w:rsid w:val="00617465"/>
    <w:rsid w:val="00617469"/>
    <w:rsid w:val="006174D1"/>
    <w:rsid w:val="00617503"/>
    <w:rsid w:val="00617657"/>
    <w:rsid w:val="006177D1"/>
    <w:rsid w:val="006179EA"/>
    <w:rsid w:val="00617BAF"/>
    <w:rsid w:val="00617CA5"/>
    <w:rsid w:val="00617D25"/>
    <w:rsid w:val="00617D39"/>
    <w:rsid w:val="00617E0E"/>
    <w:rsid w:val="00617E87"/>
    <w:rsid w:val="00617EB2"/>
    <w:rsid w:val="00617EF1"/>
    <w:rsid w:val="00617FFD"/>
    <w:rsid w:val="00620043"/>
    <w:rsid w:val="00620053"/>
    <w:rsid w:val="00620120"/>
    <w:rsid w:val="006201B1"/>
    <w:rsid w:val="006202BC"/>
    <w:rsid w:val="00620465"/>
    <w:rsid w:val="006204BA"/>
    <w:rsid w:val="00620503"/>
    <w:rsid w:val="0062054C"/>
    <w:rsid w:val="0062067E"/>
    <w:rsid w:val="0062069B"/>
    <w:rsid w:val="00620732"/>
    <w:rsid w:val="006207D5"/>
    <w:rsid w:val="006208A4"/>
    <w:rsid w:val="00620AD1"/>
    <w:rsid w:val="00620B37"/>
    <w:rsid w:val="00620BB4"/>
    <w:rsid w:val="00620BC5"/>
    <w:rsid w:val="00620BF5"/>
    <w:rsid w:val="00620D8A"/>
    <w:rsid w:val="00620DC9"/>
    <w:rsid w:val="00620E01"/>
    <w:rsid w:val="00621043"/>
    <w:rsid w:val="00621073"/>
    <w:rsid w:val="0062120C"/>
    <w:rsid w:val="00621218"/>
    <w:rsid w:val="006212E0"/>
    <w:rsid w:val="0062135A"/>
    <w:rsid w:val="0062137C"/>
    <w:rsid w:val="0062139E"/>
    <w:rsid w:val="006213A2"/>
    <w:rsid w:val="006213A3"/>
    <w:rsid w:val="006213A4"/>
    <w:rsid w:val="0062154E"/>
    <w:rsid w:val="00621577"/>
    <w:rsid w:val="00621580"/>
    <w:rsid w:val="00621664"/>
    <w:rsid w:val="00621712"/>
    <w:rsid w:val="006219C7"/>
    <w:rsid w:val="006219E6"/>
    <w:rsid w:val="00621A79"/>
    <w:rsid w:val="00621B0D"/>
    <w:rsid w:val="00621B87"/>
    <w:rsid w:val="00621C3A"/>
    <w:rsid w:val="00621D0D"/>
    <w:rsid w:val="00621D6F"/>
    <w:rsid w:val="00621DF9"/>
    <w:rsid w:val="00621E34"/>
    <w:rsid w:val="00621E3F"/>
    <w:rsid w:val="00621E7A"/>
    <w:rsid w:val="00622184"/>
    <w:rsid w:val="00622266"/>
    <w:rsid w:val="00622296"/>
    <w:rsid w:val="0062234E"/>
    <w:rsid w:val="00622351"/>
    <w:rsid w:val="006223A0"/>
    <w:rsid w:val="006224E4"/>
    <w:rsid w:val="006226A0"/>
    <w:rsid w:val="00622721"/>
    <w:rsid w:val="0062280F"/>
    <w:rsid w:val="006229B1"/>
    <w:rsid w:val="00622A1A"/>
    <w:rsid w:val="00622A71"/>
    <w:rsid w:val="00622C0B"/>
    <w:rsid w:val="00622C25"/>
    <w:rsid w:val="00622CC6"/>
    <w:rsid w:val="00622D98"/>
    <w:rsid w:val="00622E25"/>
    <w:rsid w:val="00622E26"/>
    <w:rsid w:val="00622EB2"/>
    <w:rsid w:val="006230EE"/>
    <w:rsid w:val="00623593"/>
    <w:rsid w:val="00623789"/>
    <w:rsid w:val="00623819"/>
    <w:rsid w:val="006238B5"/>
    <w:rsid w:val="00623904"/>
    <w:rsid w:val="0062392C"/>
    <w:rsid w:val="0062394B"/>
    <w:rsid w:val="0062398A"/>
    <w:rsid w:val="006239C0"/>
    <w:rsid w:val="006239DD"/>
    <w:rsid w:val="00623A2D"/>
    <w:rsid w:val="00623A7E"/>
    <w:rsid w:val="00623DDE"/>
    <w:rsid w:val="00623E01"/>
    <w:rsid w:val="00623E97"/>
    <w:rsid w:val="00623F98"/>
    <w:rsid w:val="00623FCF"/>
    <w:rsid w:val="00623FDB"/>
    <w:rsid w:val="006241B6"/>
    <w:rsid w:val="006241D7"/>
    <w:rsid w:val="0062434B"/>
    <w:rsid w:val="00624487"/>
    <w:rsid w:val="006244F1"/>
    <w:rsid w:val="00624586"/>
    <w:rsid w:val="006245A3"/>
    <w:rsid w:val="00624740"/>
    <w:rsid w:val="006247CA"/>
    <w:rsid w:val="00624838"/>
    <w:rsid w:val="00624870"/>
    <w:rsid w:val="006248C2"/>
    <w:rsid w:val="00624908"/>
    <w:rsid w:val="00624932"/>
    <w:rsid w:val="006249EA"/>
    <w:rsid w:val="00624A76"/>
    <w:rsid w:val="00624AD0"/>
    <w:rsid w:val="00624C9F"/>
    <w:rsid w:val="00624D38"/>
    <w:rsid w:val="00624E24"/>
    <w:rsid w:val="00624E38"/>
    <w:rsid w:val="00624EAA"/>
    <w:rsid w:val="00624FB0"/>
    <w:rsid w:val="00624FB8"/>
    <w:rsid w:val="00625048"/>
    <w:rsid w:val="00625167"/>
    <w:rsid w:val="00625174"/>
    <w:rsid w:val="0062523C"/>
    <w:rsid w:val="006252E3"/>
    <w:rsid w:val="00625340"/>
    <w:rsid w:val="0062534B"/>
    <w:rsid w:val="00625393"/>
    <w:rsid w:val="006253BC"/>
    <w:rsid w:val="006253FF"/>
    <w:rsid w:val="00625530"/>
    <w:rsid w:val="00625551"/>
    <w:rsid w:val="0062557C"/>
    <w:rsid w:val="0062559E"/>
    <w:rsid w:val="00625665"/>
    <w:rsid w:val="0062577F"/>
    <w:rsid w:val="00625797"/>
    <w:rsid w:val="00625879"/>
    <w:rsid w:val="00625A3C"/>
    <w:rsid w:val="00625C20"/>
    <w:rsid w:val="00625C58"/>
    <w:rsid w:val="00625C75"/>
    <w:rsid w:val="00625CEC"/>
    <w:rsid w:val="00625D68"/>
    <w:rsid w:val="00625DA9"/>
    <w:rsid w:val="00625F24"/>
    <w:rsid w:val="00625F61"/>
    <w:rsid w:val="0062600F"/>
    <w:rsid w:val="0062605A"/>
    <w:rsid w:val="00626128"/>
    <w:rsid w:val="00626152"/>
    <w:rsid w:val="006262C9"/>
    <w:rsid w:val="00626466"/>
    <w:rsid w:val="00626524"/>
    <w:rsid w:val="00626538"/>
    <w:rsid w:val="0062669C"/>
    <w:rsid w:val="006266E2"/>
    <w:rsid w:val="006266F0"/>
    <w:rsid w:val="0062672D"/>
    <w:rsid w:val="00626839"/>
    <w:rsid w:val="0062683B"/>
    <w:rsid w:val="006268E8"/>
    <w:rsid w:val="00626906"/>
    <w:rsid w:val="00626908"/>
    <w:rsid w:val="00626A2D"/>
    <w:rsid w:val="00626A3B"/>
    <w:rsid w:val="00626A95"/>
    <w:rsid w:val="00626B9F"/>
    <w:rsid w:val="00626C44"/>
    <w:rsid w:val="00626DA9"/>
    <w:rsid w:val="00626E3E"/>
    <w:rsid w:val="00626ED3"/>
    <w:rsid w:val="00626F0C"/>
    <w:rsid w:val="00626FBC"/>
    <w:rsid w:val="00626FCC"/>
    <w:rsid w:val="006270BD"/>
    <w:rsid w:val="006271BB"/>
    <w:rsid w:val="006272E7"/>
    <w:rsid w:val="006272EB"/>
    <w:rsid w:val="0062735C"/>
    <w:rsid w:val="00627378"/>
    <w:rsid w:val="0062748C"/>
    <w:rsid w:val="0062753E"/>
    <w:rsid w:val="006275EC"/>
    <w:rsid w:val="00627602"/>
    <w:rsid w:val="006276CA"/>
    <w:rsid w:val="006276E0"/>
    <w:rsid w:val="00627715"/>
    <w:rsid w:val="00627775"/>
    <w:rsid w:val="0062784F"/>
    <w:rsid w:val="006278E6"/>
    <w:rsid w:val="006278E9"/>
    <w:rsid w:val="00627A81"/>
    <w:rsid w:val="00627AC2"/>
    <w:rsid w:val="00627B08"/>
    <w:rsid w:val="00627B8C"/>
    <w:rsid w:val="00627BEC"/>
    <w:rsid w:val="00627C0F"/>
    <w:rsid w:val="00627C41"/>
    <w:rsid w:val="00627C73"/>
    <w:rsid w:val="00627CB9"/>
    <w:rsid w:val="00627D87"/>
    <w:rsid w:val="00627FBD"/>
    <w:rsid w:val="006300C1"/>
    <w:rsid w:val="006301C1"/>
    <w:rsid w:val="00630235"/>
    <w:rsid w:val="0063025A"/>
    <w:rsid w:val="006302FF"/>
    <w:rsid w:val="00630359"/>
    <w:rsid w:val="0063036E"/>
    <w:rsid w:val="006304A2"/>
    <w:rsid w:val="006304C5"/>
    <w:rsid w:val="006304DA"/>
    <w:rsid w:val="00630511"/>
    <w:rsid w:val="00630552"/>
    <w:rsid w:val="00630592"/>
    <w:rsid w:val="00630615"/>
    <w:rsid w:val="00630654"/>
    <w:rsid w:val="0063082B"/>
    <w:rsid w:val="00630A60"/>
    <w:rsid w:val="00630A69"/>
    <w:rsid w:val="00630B4A"/>
    <w:rsid w:val="00630BAB"/>
    <w:rsid w:val="00630BE0"/>
    <w:rsid w:val="00630C8D"/>
    <w:rsid w:val="00630CD2"/>
    <w:rsid w:val="00630D05"/>
    <w:rsid w:val="00630D9E"/>
    <w:rsid w:val="00630DD3"/>
    <w:rsid w:val="00630E70"/>
    <w:rsid w:val="00630EC6"/>
    <w:rsid w:val="00630EEF"/>
    <w:rsid w:val="0063102F"/>
    <w:rsid w:val="006310CD"/>
    <w:rsid w:val="00631237"/>
    <w:rsid w:val="00631261"/>
    <w:rsid w:val="006312B8"/>
    <w:rsid w:val="00631328"/>
    <w:rsid w:val="00631354"/>
    <w:rsid w:val="00631435"/>
    <w:rsid w:val="0063146B"/>
    <w:rsid w:val="00631487"/>
    <w:rsid w:val="00631577"/>
    <w:rsid w:val="00631684"/>
    <w:rsid w:val="00631826"/>
    <w:rsid w:val="00631869"/>
    <w:rsid w:val="00631AE1"/>
    <w:rsid w:val="00631B44"/>
    <w:rsid w:val="00631B6B"/>
    <w:rsid w:val="00631BF7"/>
    <w:rsid w:val="00631CC8"/>
    <w:rsid w:val="00631CE5"/>
    <w:rsid w:val="00631DB2"/>
    <w:rsid w:val="00631DC3"/>
    <w:rsid w:val="00631E02"/>
    <w:rsid w:val="00631E21"/>
    <w:rsid w:val="00631E77"/>
    <w:rsid w:val="00632000"/>
    <w:rsid w:val="00632013"/>
    <w:rsid w:val="006320CF"/>
    <w:rsid w:val="0063217C"/>
    <w:rsid w:val="006321B0"/>
    <w:rsid w:val="006321F6"/>
    <w:rsid w:val="00632466"/>
    <w:rsid w:val="0063266F"/>
    <w:rsid w:val="006327B0"/>
    <w:rsid w:val="0063283E"/>
    <w:rsid w:val="00632847"/>
    <w:rsid w:val="0063296C"/>
    <w:rsid w:val="00632994"/>
    <w:rsid w:val="00632AB4"/>
    <w:rsid w:val="00632B58"/>
    <w:rsid w:val="00632B85"/>
    <w:rsid w:val="00632B8F"/>
    <w:rsid w:val="00632F5A"/>
    <w:rsid w:val="0063303A"/>
    <w:rsid w:val="006330AC"/>
    <w:rsid w:val="006331F3"/>
    <w:rsid w:val="00633294"/>
    <w:rsid w:val="006332CC"/>
    <w:rsid w:val="00633319"/>
    <w:rsid w:val="00633327"/>
    <w:rsid w:val="006335B1"/>
    <w:rsid w:val="006335D9"/>
    <w:rsid w:val="006335FF"/>
    <w:rsid w:val="0063367A"/>
    <w:rsid w:val="006336E5"/>
    <w:rsid w:val="0063374A"/>
    <w:rsid w:val="006337B8"/>
    <w:rsid w:val="006338EA"/>
    <w:rsid w:val="006339E8"/>
    <w:rsid w:val="00633CDF"/>
    <w:rsid w:val="00633E33"/>
    <w:rsid w:val="00633E65"/>
    <w:rsid w:val="00633FCF"/>
    <w:rsid w:val="0063410D"/>
    <w:rsid w:val="0063418D"/>
    <w:rsid w:val="006342E3"/>
    <w:rsid w:val="00634392"/>
    <w:rsid w:val="00634599"/>
    <w:rsid w:val="0063461B"/>
    <w:rsid w:val="006346CE"/>
    <w:rsid w:val="006346D5"/>
    <w:rsid w:val="006346F8"/>
    <w:rsid w:val="006347D4"/>
    <w:rsid w:val="00634873"/>
    <w:rsid w:val="006348A8"/>
    <w:rsid w:val="006348CE"/>
    <w:rsid w:val="00634ADF"/>
    <w:rsid w:val="00634C3B"/>
    <w:rsid w:val="00634D6C"/>
    <w:rsid w:val="00634D79"/>
    <w:rsid w:val="00634EEC"/>
    <w:rsid w:val="0063513B"/>
    <w:rsid w:val="006351F8"/>
    <w:rsid w:val="006351F9"/>
    <w:rsid w:val="0063523D"/>
    <w:rsid w:val="0063547D"/>
    <w:rsid w:val="006354D5"/>
    <w:rsid w:val="006355CB"/>
    <w:rsid w:val="0063562A"/>
    <w:rsid w:val="00635655"/>
    <w:rsid w:val="00635788"/>
    <w:rsid w:val="006358C4"/>
    <w:rsid w:val="0063594D"/>
    <w:rsid w:val="006359F8"/>
    <w:rsid w:val="00635AB9"/>
    <w:rsid w:val="00635B60"/>
    <w:rsid w:val="00635C7D"/>
    <w:rsid w:val="00635D82"/>
    <w:rsid w:val="00635DB3"/>
    <w:rsid w:val="00635E62"/>
    <w:rsid w:val="00635E7D"/>
    <w:rsid w:val="00635ECF"/>
    <w:rsid w:val="00635EDD"/>
    <w:rsid w:val="00635F4C"/>
    <w:rsid w:val="0063612F"/>
    <w:rsid w:val="00636143"/>
    <w:rsid w:val="00636374"/>
    <w:rsid w:val="0063642C"/>
    <w:rsid w:val="006364B5"/>
    <w:rsid w:val="00636507"/>
    <w:rsid w:val="00636585"/>
    <w:rsid w:val="00636608"/>
    <w:rsid w:val="006366FF"/>
    <w:rsid w:val="00636822"/>
    <w:rsid w:val="006369C6"/>
    <w:rsid w:val="00636A1D"/>
    <w:rsid w:val="00636A8C"/>
    <w:rsid w:val="00636A92"/>
    <w:rsid w:val="00636B50"/>
    <w:rsid w:val="00636BEB"/>
    <w:rsid w:val="00636C19"/>
    <w:rsid w:val="00636C4D"/>
    <w:rsid w:val="00636D18"/>
    <w:rsid w:val="00636E36"/>
    <w:rsid w:val="00636E5A"/>
    <w:rsid w:val="00637087"/>
    <w:rsid w:val="0063727A"/>
    <w:rsid w:val="00637365"/>
    <w:rsid w:val="00637400"/>
    <w:rsid w:val="00637413"/>
    <w:rsid w:val="006374B1"/>
    <w:rsid w:val="00637552"/>
    <w:rsid w:val="00637604"/>
    <w:rsid w:val="006377E6"/>
    <w:rsid w:val="006378ED"/>
    <w:rsid w:val="00637949"/>
    <w:rsid w:val="00637995"/>
    <w:rsid w:val="00637AB4"/>
    <w:rsid w:val="00637B7E"/>
    <w:rsid w:val="00637CE5"/>
    <w:rsid w:val="00637D32"/>
    <w:rsid w:val="00637F6D"/>
    <w:rsid w:val="00637FBC"/>
    <w:rsid w:val="0064000B"/>
    <w:rsid w:val="0064002B"/>
    <w:rsid w:val="006400B1"/>
    <w:rsid w:val="00640244"/>
    <w:rsid w:val="00640253"/>
    <w:rsid w:val="00640265"/>
    <w:rsid w:val="00640273"/>
    <w:rsid w:val="0064034C"/>
    <w:rsid w:val="00640359"/>
    <w:rsid w:val="006403E3"/>
    <w:rsid w:val="006403FE"/>
    <w:rsid w:val="00640401"/>
    <w:rsid w:val="0064061B"/>
    <w:rsid w:val="006406E9"/>
    <w:rsid w:val="0064070C"/>
    <w:rsid w:val="00640749"/>
    <w:rsid w:val="00640788"/>
    <w:rsid w:val="0064089F"/>
    <w:rsid w:val="006409F9"/>
    <w:rsid w:val="00640BB3"/>
    <w:rsid w:val="00640CAF"/>
    <w:rsid w:val="00640CE1"/>
    <w:rsid w:val="00640CE6"/>
    <w:rsid w:val="00640D2D"/>
    <w:rsid w:val="00640E3E"/>
    <w:rsid w:val="00640E51"/>
    <w:rsid w:val="00640E6A"/>
    <w:rsid w:val="00640EE3"/>
    <w:rsid w:val="00640FA8"/>
    <w:rsid w:val="00641119"/>
    <w:rsid w:val="00641146"/>
    <w:rsid w:val="0064132A"/>
    <w:rsid w:val="00641337"/>
    <w:rsid w:val="00641363"/>
    <w:rsid w:val="006413A7"/>
    <w:rsid w:val="00641473"/>
    <w:rsid w:val="00641496"/>
    <w:rsid w:val="006415B7"/>
    <w:rsid w:val="006415E0"/>
    <w:rsid w:val="0064161B"/>
    <w:rsid w:val="006416D9"/>
    <w:rsid w:val="00641785"/>
    <w:rsid w:val="0064189C"/>
    <w:rsid w:val="006419D4"/>
    <w:rsid w:val="006419D5"/>
    <w:rsid w:val="00641A43"/>
    <w:rsid w:val="00641A61"/>
    <w:rsid w:val="00641AB3"/>
    <w:rsid w:val="00641B0A"/>
    <w:rsid w:val="00641B1E"/>
    <w:rsid w:val="00641B2F"/>
    <w:rsid w:val="00641BB7"/>
    <w:rsid w:val="00641C1C"/>
    <w:rsid w:val="00641C23"/>
    <w:rsid w:val="00641D18"/>
    <w:rsid w:val="00641D3C"/>
    <w:rsid w:val="00641E41"/>
    <w:rsid w:val="00641EED"/>
    <w:rsid w:val="006421B4"/>
    <w:rsid w:val="006421BB"/>
    <w:rsid w:val="006421E8"/>
    <w:rsid w:val="00642310"/>
    <w:rsid w:val="006423AD"/>
    <w:rsid w:val="006423BA"/>
    <w:rsid w:val="006423BC"/>
    <w:rsid w:val="006424ED"/>
    <w:rsid w:val="00642514"/>
    <w:rsid w:val="00642527"/>
    <w:rsid w:val="006425AF"/>
    <w:rsid w:val="0064269A"/>
    <w:rsid w:val="006426FD"/>
    <w:rsid w:val="00642A37"/>
    <w:rsid w:val="00642C6C"/>
    <w:rsid w:val="00642E63"/>
    <w:rsid w:val="00642EE0"/>
    <w:rsid w:val="00642F96"/>
    <w:rsid w:val="0064305A"/>
    <w:rsid w:val="0064307E"/>
    <w:rsid w:val="00643081"/>
    <w:rsid w:val="00643260"/>
    <w:rsid w:val="006432DA"/>
    <w:rsid w:val="00643348"/>
    <w:rsid w:val="006433EF"/>
    <w:rsid w:val="0064344B"/>
    <w:rsid w:val="00643517"/>
    <w:rsid w:val="00643584"/>
    <w:rsid w:val="006435F9"/>
    <w:rsid w:val="00643767"/>
    <w:rsid w:val="00643848"/>
    <w:rsid w:val="00643A57"/>
    <w:rsid w:val="00643C3D"/>
    <w:rsid w:val="00643DB1"/>
    <w:rsid w:val="00643E58"/>
    <w:rsid w:val="00643E7E"/>
    <w:rsid w:val="00643E8A"/>
    <w:rsid w:val="00643E92"/>
    <w:rsid w:val="00643F13"/>
    <w:rsid w:val="00643FBB"/>
    <w:rsid w:val="00643FE8"/>
    <w:rsid w:val="00644061"/>
    <w:rsid w:val="006440A0"/>
    <w:rsid w:val="00644231"/>
    <w:rsid w:val="006442DF"/>
    <w:rsid w:val="006443D8"/>
    <w:rsid w:val="00644403"/>
    <w:rsid w:val="00644415"/>
    <w:rsid w:val="006445E3"/>
    <w:rsid w:val="006445F8"/>
    <w:rsid w:val="00644756"/>
    <w:rsid w:val="006448AA"/>
    <w:rsid w:val="006449F5"/>
    <w:rsid w:val="00644A46"/>
    <w:rsid w:val="00644A4A"/>
    <w:rsid w:val="00644B75"/>
    <w:rsid w:val="00644BCE"/>
    <w:rsid w:val="00644E10"/>
    <w:rsid w:val="00644FD6"/>
    <w:rsid w:val="00644FF3"/>
    <w:rsid w:val="00644FFE"/>
    <w:rsid w:val="006451F8"/>
    <w:rsid w:val="00645207"/>
    <w:rsid w:val="0064521D"/>
    <w:rsid w:val="0064522D"/>
    <w:rsid w:val="0064527B"/>
    <w:rsid w:val="0064537E"/>
    <w:rsid w:val="00645476"/>
    <w:rsid w:val="006454E7"/>
    <w:rsid w:val="0064571D"/>
    <w:rsid w:val="0064583A"/>
    <w:rsid w:val="006458C6"/>
    <w:rsid w:val="006458EC"/>
    <w:rsid w:val="00645A2B"/>
    <w:rsid w:val="00645A7D"/>
    <w:rsid w:val="00645B67"/>
    <w:rsid w:val="00645CA0"/>
    <w:rsid w:val="00645CCB"/>
    <w:rsid w:val="00645DE9"/>
    <w:rsid w:val="00646098"/>
    <w:rsid w:val="006460C8"/>
    <w:rsid w:val="006461AD"/>
    <w:rsid w:val="00646311"/>
    <w:rsid w:val="0064640B"/>
    <w:rsid w:val="0064642D"/>
    <w:rsid w:val="0064642E"/>
    <w:rsid w:val="00646483"/>
    <w:rsid w:val="006464AE"/>
    <w:rsid w:val="00646743"/>
    <w:rsid w:val="00646797"/>
    <w:rsid w:val="0064683E"/>
    <w:rsid w:val="00646862"/>
    <w:rsid w:val="0064688F"/>
    <w:rsid w:val="006468C2"/>
    <w:rsid w:val="006468C9"/>
    <w:rsid w:val="00646ACD"/>
    <w:rsid w:val="00646AFB"/>
    <w:rsid w:val="00646B78"/>
    <w:rsid w:val="00646CBD"/>
    <w:rsid w:val="00646CEE"/>
    <w:rsid w:val="00646D4C"/>
    <w:rsid w:val="00646D8F"/>
    <w:rsid w:val="00646F2C"/>
    <w:rsid w:val="00646F3C"/>
    <w:rsid w:val="006470F9"/>
    <w:rsid w:val="00647392"/>
    <w:rsid w:val="00647408"/>
    <w:rsid w:val="00647417"/>
    <w:rsid w:val="006474B1"/>
    <w:rsid w:val="006474D8"/>
    <w:rsid w:val="00647572"/>
    <w:rsid w:val="00647685"/>
    <w:rsid w:val="00647693"/>
    <w:rsid w:val="006477C0"/>
    <w:rsid w:val="00647856"/>
    <w:rsid w:val="0064786D"/>
    <w:rsid w:val="0064789A"/>
    <w:rsid w:val="00647904"/>
    <w:rsid w:val="006479AE"/>
    <w:rsid w:val="00647A1D"/>
    <w:rsid w:val="00647A4C"/>
    <w:rsid w:val="00647B05"/>
    <w:rsid w:val="00647BDD"/>
    <w:rsid w:val="00647CD2"/>
    <w:rsid w:val="00647D13"/>
    <w:rsid w:val="00647DB0"/>
    <w:rsid w:val="00647E51"/>
    <w:rsid w:val="00647E95"/>
    <w:rsid w:val="00647FFE"/>
    <w:rsid w:val="00650085"/>
    <w:rsid w:val="006500F7"/>
    <w:rsid w:val="00650121"/>
    <w:rsid w:val="006501B6"/>
    <w:rsid w:val="006501E2"/>
    <w:rsid w:val="00650301"/>
    <w:rsid w:val="00650310"/>
    <w:rsid w:val="0065031B"/>
    <w:rsid w:val="00650370"/>
    <w:rsid w:val="00650490"/>
    <w:rsid w:val="00650521"/>
    <w:rsid w:val="006505FF"/>
    <w:rsid w:val="00650619"/>
    <w:rsid w:val="0065067F"/>
    <w:rsid w:val="006506BA"/>
    <w:rsid w:val="006507C4"/>
    <w:rsid w:val="0065080B"/>
    <w:rsid w:val="00650A30"/>
    <w:rsid w:val="00650B69"/>
    <w:rsid w:val="00650BA0"/>
    <w:rsid w:val="00650BA7"/>
    <w:rsid w:val="00650CF0"/>
    <w:rsid w:val="00650D6D"/>
    <w:rsid w:val="00650D90"/>
    <w:rsid w:val="00650EB4"/>
    <w:rsid w:val="00650F3F"/>
    <w:rsid w:val="00650F59"/>
    <w:rsid w:val="00650F9C"/>
    <w:rsid w:val="00651170"/>
    <w:rsid w:val="00651185"/>
    <w:rsid w:val="006511CE"/>
    <w:rsid w:val="006511EF"/>
    <w:rsid w:val="00651225"/>
    <w:rsid w:val="00651271"/>
    <w:rsid w:val="006512A3"/>
    <w:rsid w:val="00651336"/>
    <w:rsid w:val="00651475"/>
    <w:rsid w:val="0065149C"/>
    <w:rsid w:val="006514CC"/>
    <w:rsid w:val="006514F4"/>
    <w:rsid w:val="0065167B"/>
    <w:rsid w:val="006516B9"/>
    <w:rsid w:val="006516E6"/>
    <w:rsid w:val="00651720"/>
    <w:rsid w:val="0065174F"/>
    <w:rsid w:val="00651848"/>
    <w:rsid w:val="00651A16"/>
    <w:rsid w:val="00651A27"/>
    <w:rsid w:val="00651ACE"/>
    <w:rsid w:val="00651B9D"/>
    <w:rsid w:val="00651BBC"/>
    <w:rsid w:val="00651BFF"/>
    <w:rsid w:val="00651C1D"/>
    <w:rsid w:val="00651C67"/>
    <w:rsid w:val="00651D74"/>
    <w:rsid w:val="00651E0C"/>
    <w:rsid w:val="00651EE7"/>
    <w:rsid w:val="00651F56"/>
    <w:rsid w:val="0065227E"/>
    <w:rsid w:val="006524EF"/>
    <w:rsid w:val="0065267B"/>
    <w:rsid w:val="006526DE"/>
    <w:rsid w:val="0065270A"/>
    <w:rsid w:val="006529AE"/>
    <w:rsid w:val="00652AD4"/>
    <w:rsid w:val="00652C19"/>
    <w:rsid w:val="00652CB9"/>
    <w:rsid w:val="00652CC4"/>
    <w:rsid w:val="00652D96"/>
    <w:rsid w:val="00652DC0"/>
    <w:rsid w:val="00652EE0"/>
    <w:rsid w:val="00652F05"/>
    <w:rsid w:val="00652F94"/>
    <w:rsid w:val="0065303F"/>
    <w:rsid w:val="0065306E"/>
    <w:rsid w:val="00653105"/>
    <w:rsid w:val="00653109"/>
    <w:rsid w:val="00653335"/>
    <w:rsid w:val="0065334C"/>
    <w:rsid w:val="006534F4"/>
    <w:rsid w:val="00653545"/>
    <w:rsid w:val="006535B1"/>
    <w:rsid w:val="006535F2"/>
    <w:rsid w:val="00653608"/>
    <w:rsid w:val="006536AD"/>
    <w:rsid w:val="006536D3"/>
    <w:rsid w:val="006536E1"/>
    <w:rsid w:val="00653856"/>
    <w:rsid w:val="006538F0"/>
    <w:rsid w:val="0065395B"/>
    <w:rsid w:val="006539A9"/>
    <w:rsid w:val="006539CB"/>
    <w:rsid w:val="006539E3"/>
    <w:rsid w:val="00653AC3"/>
    <w:rsid w:val="00653C1F"/>
    <w:rsid w:val="00653C54"/>
    <w:rsid w:val="00653D4F"/>
    <w:rsid w:val="00653EE4"/>
    <w:rsid w:val="00653F41"/>
    <w:rsid w:val="00653F8E"/>
    <w:rsid w:val="00653FE7"/>
    <w:rsid w:val="006540B2"/>
    <w:rsid w:val="00654142"/>
    <w:rsid w:val="006541E9"/>
    <w:rsid w:val="00654220"/>
    <w:rsid w:val="00654266"/>
    <w:rsid w:val="0065430A"/>
    <w:rsid w:val="00654335"/>
    <w:rsid w:val="00654341"/>
    <w:rsid w:val="0065445B"/>
    <w:rsid w:val="006544A3"/>
    <w:rsid w:val="00654517"/>
    <w:rsid w:val="0065453E"/>
    <w:rsid w:val="00654570"/>
    <w:rsid w:val="006545B1"/>
    <w:rsid w:val="006545CF"/>
    <w:rsid w:val="006545DC"/>
    <w:rsid w:val="006545E3"/>
    <w:rsid w:val="006546FA"/>
    <w:rsid w:val="0065476E"/>
    <w:rsid w:val="00654878"/>
    <w:rsid w:val="006549A2"/>
    <w:rsid w:val="00654B70"/>
    <w:rsid w:val="00654BA0"/>
    <w:rsid w:val="00654BC6"/>
    <w:rsid w:val="00654BFE"/>
    <w:rsid w:val="00654C01"/>
    <w:rsid w:val="00654C3D"/>
    <w:rsid w:val="00654C43"/>
    <w:rsid w:val="00654CC8"/>
    <w:rsid w:val="00654E8C"/>
    <w:rsid w:val="00654EB1"/>
    <w:rsid w:val="00654ED0"/>
    <w:rsid w:val="00654EF4"/>
    <w:rsid w:val="00655050"/>
    <w:rsid w:val="00655124"/>
    <w:rsid w:val="006551AF"/>
    <w:rsid w:val="006551CD"/>
    <w:rsid w:val="006552B8"/>
    <w:rsid w:val="0065531F"/>
    <w:rsid w:val="00655376"/>
    <w:rsid w:val="0065537F"/>
    <w:rsid w:val="00655428"/>
    <w:rsid w:val="00655437"/>
    <w:rsid w:val="00655614"/>
    <w:rsid w:val="00655662"/>
    <w:rsid w:val="00655712"/>
    <w:rsid w:val="0065579D"/>
    <w:rsid w:val="006557C3"/>
    <w:rsid w:val="0065598B"/>
    <w:rsid w:val="006559B7"/>
    <w:rsid w:val="006559DB"/>
    <w:rsid w:val="00655AF3"/>
    <w:rsid w:val="00655B2C"/>
    <w:rsid w:val="00655B9B"/>
    <w:rsid w:val="00655BEA"/>
    <w:rsid w:val="00655CC0"/>
    <w:rsid w:val="00655D28"/>
    <w:rsid w:val="00655D6D"/>
    <w:rsid w:val="00655DDB"/>
    <w:rsid w:val="00655E16"/>
    <w:rsid w:val="00655E6D"/>
    <w:rsid w:val="00655F06"/>
    <w:rsid w:val="00655F44"/>
    <w:rsid w:val="00655FD7"/>
    <w:rsid w:val="00655FE6"/>
    <w:rsid w:val="00656101"/>
    <w:rsid w:val="00656112"/>
    <w:rsid w:val="0065612C"/>
    <w:rsid w:val="0065614C"/>
    <w:rsid w:val="0065619E"/>
    <w:rsid w:val="00656220"/>
    <w:rsid w:val="00656221"/>
    <w:rsid w:val="0065629A"/>
    <w:rsid w:val="00656440"/>
    <w:rsid w:val="006564DE"/>
    <w:rsid w:val="00656503"/>
    <w:rsid w:val="006565D7"/>
    <w:rsid w:val="0065665A"/>
    <w:rsid w:val="00656664"/>
    <w:rsid w:val="00656789"/>
    <w:rsid w:val="006568DE"/>
    <w:rsid w:val="00656A1C"/>
    <w:rsid w:val="00656AE8"/>
    <w:rsid w:val="00656AEA"/>
    <w:rsid w:val="00656B03"/>
    <w:rsid w:val="00656C8E"/>
    <w:rsid w:val="00656CFF"/>
    <w:rsid w:val="00656D4F"/>
    <w:rsid w:val="00656DF5"/>
    <w:rsid w:val="00656EE6"/>
    <w:rsid w:val="00656F9B"/>
    <w:rsid w:val="00657004"/>
    <w:rsid w:val="0065703E"/>
    <w:rsid w:val="00657153"/>
    <w:rsid w:val="006572A3"/>
    <w:rsid w:val="006572F8"/>
    <w:rsid w:val="00657324"/>
    <w:rsid w:val="0065749E"/>
    <w:rsid w:val="0065753F"/>
    <w:rsid w:val="0065757A"/>
    <w:rsid w:val="0065758C"/>
    <w:rsid w:val="00657732"/>
    <w:rsid w:val="00657763"/>
    <w:rsid w:val="006577EE"/>
    <w:rsid w:val="00657838"/>
    <w:rsid w:val="0065788F"/>
    <w:rsid w:val="006578F2"/>
    <w:rsid w:val="0065791A"/>
    <w:rsid w:val="0065791C"/>
    <w:rsid w:val="00657985"/>
    <w:rsid w:val="0065798A"/>
    <w:rsid w:val="00657A15"/>
    <w:rsid w:val="00657A80"/>
    <w:rsid w:val="00657AB3"/>
    <w:rsid w:val="00657AE1"/>
    <w:rsid w:val="00657D2F"/>
    <w:rsid w:val="00657FB3"/>
    <w:rsid w:val="00657FDA"/>
    <w:rsid w:val="0066003D"/>
    <w:rsid w:val="00660100"/>
    <w:rsid w:val="00660111"/>
    <w:rsid w:val="00660268"/>
    <w:rsid w:val="006602DF"/>
    <w:rsid w:val="00660303"/>
    <w:rsid w:val="0066045A"/>
    <w:rsid w:val="006604A4"/>
    <w:rsid w:val="006604C4"/>
    <w:rsid w:val="006605BF"/>
    <w:rsid w:val="00660704"/>
    <w:rsid w:val="006607CC"/>
    <w:rsid w:val="00660849"/>
    <w:rsid w:val="0066086E"/>
    <w:rsid w:val="006609B4"/>
    <w:rsid w:val="006609E8"/>
    <w:rsid w:val="00660A29"/>
    <w:rsid w:val="00660AAC"/>
    <w:rsid w:val="00660B73"/>
    <w:rsid w:val="00660D08"/>
    <w:rsid w:val="00660D3D"/>
    <w:rsid w:val="00660F7C"/>
    <w:rsid w:val="00660FA1"/>
    <w:rsid w:val="00661044"/>
    <w:rsid w:val="006612D7"/>
    <w:rsid w:val="0066136F"/>
    <w:rsid w:val="006613A3"/>
    <w:rsid w:val="006613C2"/>
    <w:rsid w:val="00661436"/>
    <w:rsid w:val="006614AA"/>
    <w:rsid w:val="00661769"/>
    <w:rsid w:val="00661A08"/>
    <w:rsid w:val="00661A86"/>
    <w:rsid w:val="00661B74"/>
    <w:rsid w:val="00661D8A"/>
    <w:rsid w:val="00661DC4"/>
    <w:rsid w:val="00661EC8"/>
    <w:rsid w:val="0066200E"/>
    <w:rsid w:val="0066215A"/>
    <w:rsid w:val="006622C8"/>
    <w:rsid w:val="006622EB"/>
    <w:rsid w:val="00662539"/>
    <w:rsid w:val="00662665"/>
    <w:rsid w:val="0066272A"/>
    <w:rsid w:val="00662AA5"/>
    <w:rsid w:val="00662CCF"/>
    <w:rsid w:val="00662D13"/>
    <w:rsid w:val="00662D97"/>
    <w:rsid w:val="00662E39"/>
    <w:rsid w:val="00662E91"/>
    <w:rsid w:val="00662EC4"/>
    <w:rsid w:val="00662EC7"/>
    <w:rsid w:val="00662EC9"/>
    <w:rsid w:val="00662FC3"/>
    <w:rsid w:val="006630DE"/>
    <w:rsid w:val="00663461"/>
    <w:rsid w:val="00663464"/>
    <w:rsid w:val="00663468"/>
    <w:rsid w:val="006634D0"/>
    <w:rsid w:val="00663761"/>
    <w:rsid w:val="006637AE"/>
    <w:rsid w:val="00663881"/>
    <w:rsid w:val="006638D2"/>
    <w:rsid w:val="0066396E"/>
    <w:rsid w:val="0066397E"/>
    <w:rsid w:val="00663A0A"/>
    <w:rsid w:val="00663A1A"/>
    <w:rsid w:val="00663A23"/>
    <w:rsid w:val="00663A55"/>
    <w:rsid w:val="00663A86"/>
    <w:rsid w:val="00663B2E"/>
    <w:rsid w:val="00663BA4"/>
    <w:rsid w:val="00663E3B"/>
    <w:rsid w:val="00663E68"/>
    <w:rsid w:val="00664028"/>
    <w:rsid w:val="0066404A"/>
    <w:rsid w:val="00664079"/>
    <w:rsid w:val="0066408B"/>
    <w:rsid w:val="006640C4"/>
    <w:rsid w:val="006641AE"/>
    <w:rsid w:val="006641B4"/>
    <w:rsid w:val="0066427B"/>
    <w:rsid w:val="006642BA"/>
    <w:rsid w:val="00664303"/>
    <w:rsid w:val="00664379"/>
    <w:rsid w:val="00664388"/>
    <w:rsid w:val="006643A8"/>
    <w:rsid w:val="006643F2"/>
    <w:rsid w:val="0066449C"/>
    <w:rsid w:val="0066455D"/>
    <w:rsid w:val="0066458B"/>
    <w:rsid w:val="006645A5"/>
    <w:rsid w:val="0066463D"/>
    <w:rsid w:val="0066468C"/>
    <w:rsid w:val="0066471A"/>
    <w:rsid w:val="006647F7"/>
    <w:rsid w:val="00664A4E"/>
    <w:rsid w:val="00664B7A"/>
    <w:rsid w:val="00664C6A"/>
    <w:rsid w:val="00664C6E"/>
    <w:rsid w:val="00664CF1"/>
    <w:rsid w:val="00664E04"/>
    <w:rsid w:val="00664F62"/>
    <w:rsid w:val="006650A8"/>
    <w:rsid w:val="0066515B"/>
    <w:rsid w:val="00665383"/>
    <w:rsid w:val="006653C6"/>
    <w:rsid w:val="0066551A"/>
    <w:rsid w:val="0066555F"/>
    <w:rsid w:val="00665593"/>
    <w:rsid w:val="006655B0"/>
    <w:rsid w:val="006655C6"/>
    <w:rsid w:val="00665742"/>
    <w:rsid w:val="006657E6"/>
    <w:rsid w:val="0066583D"/>
    <w:rsid w:val="0066585D"/>
    <w:rsid w:val="00665942"/>
    <w:rsid w:val="00665953"/>
    <w:rsid w:val="00665973"/>
    <w:rsid w:val="00665AF6"/>
    <w:rsid w:val="00665B91"/>
    <w:rsid w:val="00665BAB"/>
    <w:rsid w:val="00665BC3"/>
    <w:rsid w:val="00665C46"/>
    <w:rsid w:val="00665CA4"/>
    <w:rsid w:val="00665F5F"/>
    <w:rsid w:val="00665FF8"/>
    <w:rsid w:val="00666143"/>
    <w:rsid w:val="0066614F"/>
    <w:rsid w:val="00666150"/>
    <w:rsid w:val="006661D0"/>
    <w:rsid w:val="00666275"/>
    <w:rsid w:val="00666285"/>
    <w:rsid w:val="00666359"/>
    <w:rsid w:val="006663B4"/>
    <w:rsid w:val="006664BE"/>
    <w:rsid w:val="006664C8"/>
    <w:rsid w:val="006664DB"/>
    <w:rsid w:val="00666559"/>
    <w:rsid w:val="006665C9"/>
    <w:rsid w:val="0066662A"/>
    <w:rsid w:val="0066675E"/>
    <w:rsid w:val="0066677F"/>
    <w:rsid w:val="0066678A"/>
    <w:rsid w:val="00666877"/>
    <w:rsid w:val="006669C0"/>
    <w:rsid w:val="00666A7E"/>
    <w:rsid w:val="00666ADA"/>
    <w:rsid w:val="00666B72"/>
    <w:rsid w:val="00666BEE"/>
    <w:rsid w:val="00666C28"/>
    <w:rsid w:val="00666C42"/>
    <w:rsid w:val="00666CCA"/>
    <w:rsid w:val="00666D01"/>
    <w:rsid w:val="00666D08"/>
    <w:rsid w:val="00666E64"/>
    <w:rsid w:val="00666E6E"/>
    <w:rsid w:val="00666EE1"/>
    <w:rsid w:val="00666FA3"/>
    <w:rsid w:val="00667126"/>
    <w:rsid w:val="006671F2"/>
    <w:rsid w:val="0066725E"/>
    <w:rsid w:val="006673B8"/>
    <w:rsid w:val="006673BD"/>
    <w:rsid w:val="0066749E"/>
    <w:rsid w:val="006676A9"/>
    <w:rsid w:val="00667894"/>
    <w:rsid w:val="006678B1"/>
    <w:rsid w:val="006678E6"/>
    <w:rsid w:val="00667981"/>
    <w:rsid w:val="006679CF"/>
    <w:rsid w:val="006679EE"/>
    <w:rsid w:val="00667A57"/>
    <w:rsid w:val="00667B39"/>
    <w:rsid w:val="00667C7D"/>
    <w:rsid w:val="00667DA5"/>
    <w:rsid w:val="00667EAD"/>
    <w:rsid w:val="00667F07"/>
    <w:rsid w:val="00670097"/>
    <w:rsid w:val="006700A1"/>
    <w:rsid w:val="006700BF"/>
    <w:rsid w:val="00670110"/>
    <w:rsid w:val="00670264"/>
    <w:rsid w:val="006702D3"/>
    <w:rsid w:val="00670399"/>
    <w:rsid w:val="006704AE"/>
    <w:rsid w:val="00670558"/>
    <w:rsid w:val="00670680"/>
    <w:rsid w:val="006707B5"/>
    <w:rsid w:val="0067084A"/>
    <w:rsid w:val="006708A0"/>
    <w:rsid w:val="00670945"/>
    <w:rsid w:val="00670A63"/>
    <w:rsid w:val="00670A75"/>
    <w:rsid w:val="00670B22"/>
    <w:rsid w:val="00670B29"/>
    <w:rsid w:val="00670B68"/>
    <w:rsid w:val="00670BEE"/>
    <w:rsid w:val="00670C71"/>
    <w:rsid w:val="00670C89"/>
    <w:rsid w:val="00670D29"/>
    <w:rsid w:val="00670D2E"/>
    <w:rsid w:val="00670D45"/>
    <w:rsid w:val="00670E97"/>
    <w:rsid w:val="00670FE7"/>
    <w:rsid w:val="006710C1"/>
    <w:rsid w:val="006710CA"/>
    <w:rsid w:val="00671134"/>
    <w:rsid w:val="006712E7"/>
    <w:rsid w:val="006712F9"/>
    <w:rsid w:val="00671313"/>
    <w:rsid w:val="0067139D"/>
    <w:rsid w:val="0067152C"/>
    <w:rsid w:val="00671556"/>
    <w:rsid w:val="00671579"/>
    <w:rsid w:val="006715CB"/>
    <w:rsid w:val="00671678"/>
    <w:rsid w:val="00671865"/>
    <w:rsid w:val="00671874"/>
    <w:rsid w:val="006718F0"/>
    <w:rsid w:val="00671AA7"/>
    <w:rsid w:val="00671AC7"/>
    <w:rsid w:val="00671ADE"/>
    <w:rsid w:val="00671B2E"/>
    <w:rsid w:val="00671B5D"/>
    <w:rsid w:val="00671BB2"/>
    <w:rsid w:val="00671BBC"/>
    <w:rsid w:val="00671D25"/>
    <w:rsid w:val="00671DF4"/>
    <w:rsid w:val="00671EFC"/>
    <w:rsid w:val="00671F70"/>
    <w:rsid w:val="00671FE6"/>
    <w:rsid w:val="00672000"/>
    <w:rsid w:val="0067210E"/>
    <w:rsid w:val="0067212A"/>
    <w:rsid w:val="00672178"/>
    <w:rsid w:val="0067222F"/>
    <w:rsid w:val="00672246"/>
    <w:rsid w:val="00672400"/>
    <w:rsid w:val="0067241F"/>
    <w:rsid w:val="0067249D"/>
    <w:rsid w:val="006724C5"/>
    <w:rsid w:val="0067251A"/>
    <w:rsid w:val="006725A8"/>
    <w:rsid w:val="006725E3"/>
    <w:rsid w:val="00672685"/>
    <w:rsid w:val="006726CF"/>
    <w:rsid w:val="006728D7"/>
    <w:rsid w:val="0067299C"/>
    <w:rsid w:val="006729A7"/>
    <w:rsid w:val="00672AA4"/>
    <w:rsid w:val="00672ADC"/>
    <w:rsid w:val="00672B73"/>
    <w:rsid w:val="00672BCB"/>
    <w:rsid w:val="00672D80"/>
    <w:rsid w:val="00672DA2"/>
    <w:rsid w:val="00672DFE"/>
    <w:rsid w:val="00672E01"/>
    <w:rsid w:val="00672E05"/>
    <w:rsid w:val="00672E37"/>
    <w:rsid w:val="00672EC3"/>
    <w:rsid w:val="006732FE"/>
    <w:rsid w:val="006734F5"/>
    <w:rsid w:val="0067355A"/>
    <w:rsid w:val="0067366A"/>
    <w:rsid w:val="006736F2"/>
    <w:rsid w:val="0067372C"/>
    <w:rsid w:val="006737C9"/>
    <w:rsid w:val="00673824"/>
    <w:rsid w:val="006738B0"/>
    <w:rsid w:val="006738D9"/>
    <w:rsid w:val="00673B7D"/>
    <w:rsid w:val="00673BB4"/>
    <w:rsid w:val="00673BD4"/>
    <w:rsid w:val="00673C2D"/>
    <w:rsid w:val="00673C7E"/>
    <w:rsid w:val="00673D25"/>
    <w:rsid w:val="00673F57"/>
    <w:rsid w:val="00673F7F"/>
    <w:rsid w:val="0067415B"/>
    <w:rsid w:val="006741A8"/>
    <w:rsid w:val="00674238"/>
    <w:rsid w:val="00674687"/>
    <w:rsid w:val="006746DC"/>
    <w:rsid w:val="00674773"/>
    <w:rsid w:val="00674C25"/>
    <w:rsid w:val="00674E25"/>
    <w:rsid w:val="00674E64"/>
    <w:rsid w:val="0067518D"/>
    <w:rsid w:val="006751EB"/>
    <w:rsid w:val="00675276"/>
    <w:rsid w:val="006752AC"/>
    <w:rsid w:val="006752EB"/>
    <w:rsid w:val="006752FA"/>
    <w:rsid w:val="00675445"/>
    <w:rsid w:val="0067547B"/>
    <w:rsid w:val="00675487"/>
    <w:rsid w:val="006755E2"/>
    <w:rsid w:val="006757DF"/>
    <w:rsid w:val="00675876"/>
    <w:rsid w:val="0067591D"/>
    <w:rsid w:val="006759DD"/>
    <w:rsid w:val="00675B6B"/>
    <w:rsid w:val="00675DC1"/>
    <w:rsid w:val="00675DCD"/>
    <w:rsid w:val="00675DFB"/>
    <w:rsid w:val="00675E48"/>
    <w:rsid w:val="00675F41"/>
    <w:rsid w:val="00675FFC"/>
    <w:rsid w:val="00676070"/>
    <w:rsid w:val="0067610E"/>
    <w:rsid w:val="006761FA"/>
    <w:rsid w:val="00676242"/>
    <w:rsid w:val="0067629E"/>
    <w:rsid w:val="006762F9"/>
    <w:rsid w:val="0067633E"/>
    <w:rsid w:val="006763E8"/>
    <w:rsid w:val="00676685"/>
    <w:rsid w:val="0067673C"/>
    <w:rsid w:val="0067679E"/>
    <w:rsid w:val="006768AA"/>
    <w:rsid w:val="00676A47"/>
    <w:rsid w:val="00676AD8"/>
    <w:rsid w:val="00676B5E"/>
    <w:rsid w:val="00676C3D"/>
    <w:rsid w:val="00676CCD"/>
    <w:rsid w:val="00676F96"/>
    <w:rsid w:val="0067702D"/>
    <w:rsid w:val="0067703F"/>
    <w:rsid w:val="0067707C"/>
    <w:rsid w:val="006771CB"/>
    <w:rsid w:val="00677206"/>
    <w:rsid w:val="006772C7"/>
    <w:rsid w:val="00677380"/>
    <w:rsid w:val="006773D4"/>
    <w:rsid w:val="00677430"/>
    <w:rsid w:val="00677453"/>
    <w:rsid w:val="00677523"/>
    <w:rsid w:val="00677549"/>
    <w:rsid w:val="00677554"/>
    <w:rsid w:val="00677571"/>
    <w:rsid w:val="00677601"/>
    <w:rsid w:val="00677608"/>
    <w:rsid w:val="00677719"/>
    <w:rsid w:val="00677737"/>
    <w:rsid w:val="00677749"/>
    <w:rsid w:val="006777C5"/>
    <w:rsid w:val="006777D4"/>
    <w:rsid w:val="006777EC"/>
    <w:rsid w:val="0067786E"/>
    <w:rsid w:val="0067799B"/>
    <w:rsid w:val="006779E1"/>
    <w:rsid w:val="00677AC2"/>
    <w:rsid w:val="00677B39"/>
    <w:rsid w:val="00677B46"/>
    <w:rsid w:val="00677C0B"/>
    <w:rsid w:val="00677C2E"/>
    <w:rsid w:val="00677C53"/>
    <w:rsid w:val="00677C73"/>
    <w:rsid w:val="00677CC3"/>
    <w:rsid w:val="00677D89"/>
    <w:rsid w:val="00677DC8"/>
    <w:rsid w:val="00677E37"/>
    <w:rsid w:val="00677E61"/>
    <w:rsid w:val="00677E75"/>
    <w:rsid w:val="00677EAA"/>
    <w:rsid w:val="00677FD2"/>
    <w:rsid w:val="00680075"/>
    <w:rsid w:val="006800C0"/>
    <w:rsid w:val="006801A5"/>
    <w:rsid w:val="00680450"/>
    <w:rsid w:val="006804E1"/>
    <w:rsid w:val="0068054A"/>
    <w:rsid w:val="0068056F"/>
    <w:rsid w:val="00680610"/>
    <w:rsid w:val="0068067A"/>
    <w:rsid w:val="006806BF"/>
    <w:rsid w:val="006806F8"/>
    <w:rsid w:val="00680753"/>
    <w:rsid w:val="006807C2"/>
    <w:rsid w:val="00680894"/>
    <w:rsid w:val="00680A84"/>
    <w:rsid w:val="00680A8D"/>
    <w:rsid w:val="00680CA8"/>
    <w:rsid w:val="00680D2B"/>
    <w:rsid w:val="00680D8F"/>
    <w:rsid w:val="00680DF8"/>
    <w:rsid w:val="00680F29"/>
    <w:rsid w:val="00680F35"/>
    <w:rsid w:val="00680F69"/>
    <w:rsid w:val="00680F76"/>
    <w:rsid w:val="00680FA0"/>
    <w:rsid w:val="0068104D"/>
    <w:rsid w:val="006811FD"/>
    <w:rsid w:val="00681228"/>
    <w:rsid w:val="006812F6"/>
    <w:rsid w:val="00681372"/>
    <w:rsid w:val="00681417"/>
    <w:rsid w:val="006814D3"/>
    <w:rsid w:val="006814D6"/>
    <w:rsid w:val="006814D8"/>
    <w:rsid w:val="0068165D"/>
    <w:rsid w:val="00681676"/>
    <w:rsid w:val="00681A61"/>
    <w:rsid w:val="00681AF0"/>
    <w:rsid w:val="00681BBC"/>
    <w:rsid w:val="00681EB8"/>
    <w:rsid w:val="00681EF8"/>
    <w:rsid w:val="00681F4E"/>
    <w:rsid w:val="00681FD0"/>
    <w:rsid w:val="00682007"/>
    <w:rsid w:val="0068221E"/>
    <w:rsid w:val="006825B4"/>
    <w:rsid w:val="00682718"/>
    <w:rsid w:val="00682826"/>
    <w:rsid w:val="00682852"/>
    <w:rsid w:val="00682858"/>
    <w:rsid w:val="006828D0"/>
    <w:rsid w:val="006828E1"/>
    <w:rsid w:val="0068293A"/>
    <w:rsid w:val="0068295D"/>
    <w:rsid w:val="006829AE"/>
    <w:rsid w:val="00682EF2"/>
    <w:rsid w:val="00682F8A"/>
    <w:rsid w:val="00683053"/>
    <w:rsid w:val="006830E5"/>
    <w:rsid w:val="0068310E"/>
    <w:rsid w:val="0068325F"/>
    <w:rsid w:val="00683264"/>
    <w:rsid w:val="00683281"/>
    <w:rsid w:val="0068336C"/>
    <w:rsid w:val="00683383"/>
    <w:rsid w:val="00683389"/>
    <w:rsid w:val="00683443"/>
    <w:rsid w:val="006836EF"/>
    <w:rsid w:val="0068372D"/>
    <w:rsid w:val="00683796"/>
    <w:rsid w:val="006838EF"/>
    <w:rsid w:val="00683912"/>
    <w:rsid w:val="00683980"/>
    <w:rsid w:val="00683B02"/>
    <w:rsid w:val="00683BE0"/>
    <w:rsid w:val="00683CEF"/>
    <w:rsid w:val="00683D4B"/>
    <w:rsid w:val="00683E70"/>
    <w:rsid w:val="00683EAF"/>
    <w:rsid w:val="00683EE1"/>
    <w:rsid w:val="00683F1F"/>
    <w:rsid w:val="00683FDC"/>
    <w:rsid w:val="0068404C"/>
    <w:rsid w:val="00684086"/>
    <w:rsid w:val="00684491"/>
    <w:rsid w:val="006844E4"/>
    <w:rsid w:val="006845A9"/>
    <w:rsid w:val="0068463F"/>
    <w:rsid w:val="0068465E"/>
    <w:rsid w:val="00684717"/>
    <w:rsid w:val="006847D5"/>
    <w:rsid w:val="006847D8"/>
    <w:rsid w:val="0068483B"/>
    <w:rsid w:val="0068484D"/>
    <w:rsid w:val="00684892"/>
    <w:rsid w:val="00684971"/>
    <w:rsid w:val="006849D6"/>
    <w:rsid w:val="00684A8D"/>
    <w:rsid w:val="00684BBA"/>
    <w:rsid w:val="00684BC9"/>
    <w:rsid w:val="00684E5D"/>
    <w:rsid w:val="00684EF3"/>
    <w:rsid w:val="00684F51"/>
    <w:rsid w:val="0068509B"/>
    <w:rsid w:val="00685242"/>
    <w:rsid w:val="006852C7"/>
    <w:rsid w:val="0068537F"/>
    <w:rsid w:val="006853BC"/>
    <w:rsid w:val="006853E0"/>
    <w:rsid w:val="0068553B"/>
    <w:rsid w:val="0068564A"/>
    <w:rsid w:val="00685840"/>
    <w:rsid w:val="00685851"/>
    <w:rsid w:val="0068588E"/>
    <w:rsid w:val="00685898"/>
    <w:rsid w:val="00685962"/>
    <w:rsid w:val="00685A3D"/>
    <w:rsid w:val="00685BED"/>
    <w:rsid w:val="00685C61"/>
    <w:rsid w:val="00685E66"/>
    <w:rsid w:val="00685EAA"/>
    <w:rsid w:val="00685EBA"/>
    <w:rsid w:val="00685ECA"/>
    <w:rsid w:val="00685F1C"/>
    <w:rsid w:val="00685FE9"/>
    <w:rsid w:val="00686030"/>
    <w:rsid w:val="0068604D"/>
    <w:rsid w:val="00686099"/>
    <w:rsid w:val="006860E2"/>
    <w:rsid w:val="006860FE"/>
    <w:rsid w:val="006861D5"/>
    <w:rsid w:val="006861DD"/>
    <w:rsid w:val="006861FC"/>
    <w:rsid w:val="00686260"/>
    <w:rsid w:val="00686295"/>
    <w:rsid w:val="006863D3"/>
    <w:rsid w:val="006863F7"/>
    <w:rsid w:val="00686475"/>
    <w:rsid w:val="00686480"/>
    <w:rsid w:val="006865C2"/>
    <w:rsid w:val="006865ED"/>
    <w:rsid w:val="00686761"/>
    <w:rsid w:val="00686771"/>
    <w:rsid w:val="00686877"/>
    <w:rsid w:val="00686A26"/>
    <w:rsid w:val="00686A5B"/>
    <w:rsid w:val="00686B96"/>
    <w:rsid w:val="00686CD8"/>
    <w:rsid w:val="00686D25"/>
    <w:rsid w:val="00686D34"/>
    <w:rsid w:val="00686E5D"/>
    <w:rsid w:val="00686E69"/>
    <w:rsid w:val="00686E8E"/>
    <w:rsid w:val="00686F23"/>
    <w:rsid w:val="0068702C"/>
    <w:rsid w:val="0068707C"/>
    <w:rsid w:val="00687113"/>
    <w:rsid w:val="0068713F"/>
    <w:rsid w:val="006871C5"/>
    <w:rsid w:val="00687273"/>
    <w:rsid w:val="006873DC"/>
    <w:rsid w:val="006874C6"/>
    <w:rsid w:val="006874CF"/>
    <w:rsid w:val="006875B5"/>
    <w:rsid w:val="006877A4"/>
    <w:rsid w:val="00687829"/>
    <w:rsid w:val="0068789D"/>
    <w:rsid w:val="006878B1"/>
    <w:rsid w:val="00687B32"/>
    <w:rsid w:val="00687B4B"/>
    <w:rsid w:val="00687C94"/>
    <w:rsid w:val="00687D4A"/>
    <w:rsid w:val="00687DF8"/>
    <w:rsid w:val="00687E2B"/>
    <w:rsid w:val="00687E6C"/>
    <w:rsid w:val="00687E70"/>
    <w:rsid w:val="00687F6B"/>
    <w:rsid w:val="00687F79"/>
    <w:rsid w:val="00690209"/>
    <w:rsid w:val="0069020B"/>
    <w:rsid w:val="00690230"/>
    <w:rsid w:val="0069042E"/>
    <w:rsid w:val="00690466"/>
    <w:rsid w:val="0069064A"/>
    <w:rsid w:val="0069064B"/>
    <w:rsid w:val="0069065E"/>
    <w:rsid w:val="00690673"/>
    <w:rsid w:val="00690761"/>
    <w:rsid w:val="0069080A"/>
    <w:rsid w:val="0069094B"/>
    <w:rsid w:val="00690965"/>
    <w:rsid w:val="00690989"/>
    <w:rsid w:val="00690A70"/>
    <w:rsid w:val="00690ACA"/>
    <w:rsid w:val="00690B3B"/>
    <w:rsid w:val="00690CAA"/>
    <w:rsid w:val="00690D64"/>
    <w:rsid w:val="00690EBD"/>
    <w:rsid w:val="00690F23"/>
    <w:rsid w:val="00690F41"/>
    <w:rsid w:val="0069105E"/>
    <w:rsid w:val="00691066"/>
    <w:rsid w:val="006911EA"/>
    <w:rsid w:val="006912D3"/>
    <w:rsid w:val="00691446"/>
    <w:rsid w:val="00691485"/>
    <w:rsid w:val="00691638"/>
    <w:rsid w:val="0069163E"/>
    <w:rsid w:val="006916FA"/>
    <w:rsid w:val="00691843"/>
    <w:rsid w:val="006918F5"/>
    <w:rsid w:val="00691917"/>
    <w:rsid w:val="00691982"/>
    <w:rsid w:val="00691A09"/>
    <w:rsid w:val="00691AD7"/>
    <w:rsid w:val="00691B24"/>
    <w:rsid w:val="00691B4F"/>
    <w:rsid w:val="00691C62"/>
    <w:rsid w:val="00691D76"/>
    <w:rsid w:val="00691E25"/>
    <w:rsid w:val="00691F4B"/>
    <w:rsid w:val="00691F6F"/>
    <w:rsid w:val="00691F75"/>
    <w:rsid w:val="00691FCF"/>
    <w:rsid w:val="00692106"/>
    <w:rsid w:val="00692129"/>
    <w:rsid w:val="00692213"/>
    <w:rsid w:val="00692352"/>
    <w:rsid w:val="00692444"/>
    <w:rsid w:val="00692448"/>
    <w:rsid w:val="0069246B"/>
    <w:rsid w:val="0069247D"/>
    <w:rsid w:val="006924DB"/>
    <w:rsid w:val="00692650"/>
    <w:rsid w:val="0069269E"/>
    <w:rsid w:val="006926F1"/>
    <w:rsid w:val="00692729"/>
    <w:rsid w:val="00692766"/>
    <w:rsid w:val="006928FE"/>
    <w:rsid w:val="00692A65"/>
    <w:rsid w:val="00692ABD"/>
    <w:rsid w:val="00692AD9"/>
    <w:rsid w:val="00692B22"/>
    <w:rsid w:val="00692C29"/>
    <w:rsid w:val="00692CF1"/>
    <w:rsid w:val="00692D30"/>
    <w:rsid w:val="00692E45"/>
    <w:rsid w:val="00692E51"/>
    <w:rsid w:val="00692F92"/>
    <w:rsid w:val="00692FEA"/>
    <w:rsid w:val="00693025"/>
    <w:rsid w:val="00693035"/>
    <w:rsid w:val="0069307D"/>
    <w:rsid w:val="006930BD"/>
    <w:rsid w:val="0069319A"/>
    <w:rsid w:val="006932B8"/>
    <w:rsid w:val="00693361"/>
    <w:rsid w:val="00693469"/>
    <w:rsid w:val="00693509"/>
    <w:rsid w:val="006935DC"/>
    <w:rsid w:val="006935EF"/>
    <w:rsid w:val="00693752"/>
    <w:rsid w:val="006938A8"/>
    <w:rsid w:val="0069399C"/>
    <w:rsid w:val="006939A6"/>
    <w:rsid w:val="00693A55"/>
    <w:rsid w:val="00693C7D"/>
    <w:rsid w:val="00693D4A"/>
    <w:rsid w:val="00693D63"/>
    <w:rsid w:val="00693DC9"/>
    <w:rsid w:val="00693E71"/>
    <w:rsid w:val="00693ECA"/>
    <w:rsid w:val="00693ECB"/>
    <w:rsid w:val="00693F1B"/>
    <w:rsid w:val="00694028"/>
    <w:rsid w:val="006940CF"/>
    <w:rsid w:val="00694170"/>
    <w:rsid w:val="0069430E"/>
    <w:rsid w:val="006944E4"/>
    <w:rsid w:val="00694587"/>
    <w:rsid w:val="006946E0"/>
    <w:rsid w:val="00694715"/>
    <w:rsid w:val="00694750"/>
    <w:rsid w:val="00694802"/>
    <w:rsid w:val="006948E0"/>
    <w:rsid w:val="00694970"/>
    <w:rsid w:val="00694A0E"/>
    <w:rsid w:val="00694A53"/>
    <w:rsid w:val="00694CE2"/>
    <w:rsid w:val="00694E0D"/>
    <w:rsid w:val="00694E55"/>
    <w:rsid w:val="00694E5A"/>
    <w:rsid w:val="00694E75"/>
    <w:rsid w:val="00694F55"/>
    <w:rsid w:val="00694F63"/>
    <w:rsid w:val="00694FC7"/>
    <w:rsid w:val="006950FD"/>
    <w:rsid w:val="00695221"/>
    <w:rsid w:val="006952E3"/>
    <w:rsid w:val="00695348"/>
    <w:rsid w:val="0069538F"/>
    <w:rsid w:val="00695394"/>
    <w:rsid w:val="0069542A"/>
    <w:rsid w:val="0069542B"/>
    <w:rsid w:val="00695436"/>
    <w:rsid w:val="0069549D"/>
    <w:rsid w:val="006954F3"/>
    <w:rsid w:val="00695500"/>
    <w:rsid w:val="006955EB"/>
    <w:rsid w:val="006956A5"/>
    <w:rsid w:val="006956B7"/>
    <w:rsid w:val="00695823"/>
    <w:rsid w:val="0069582E"/>
    <w:rsid w:val="00695831"/>
    <w:rsid w:val="0069585D"/>
    <w:rsid w:val="0069588D"/>
    <w:rsid w:val="006958C8"/>
    <w:rsid w:val="00695A52"/>
    <w:rsid w:val="00695A96"/>
    <w:rsid w:val="00695AB8"/>
    <w:rsid w:val="00695AC3"/>
    <w:rsid w:val="00695AE7"/>
    <w:rsid w:val="00695AF4"/>
    <w:rsid w:val="00695E78"/>
    <w:rsid w:val="006960A3"/>
    <w:rsid w:val="006960EC"/>
    <w:rsid w:val="006961FA"/>
    <w:rsid w:val="006962E9"/>
    <w:rsid w:val="00696344"/>
    <w:rsid w:val="0069639B"/>
    <w:rsid w:val="006964BA"/>
    <w:rsid w:val="006964BE"/>
    <w:rsid w:val="00696515"/>
    <w:rsid w:val="00696540"/>
    <w:rsid w:val="006965A3"/>
    <w:rsid w:val="006965CE"/>
    <w:rsid w:val="0069668B"/>
    <w:rsid w:val="00696793"/>
    <w:rsid w:val="00696A4F"/>
    <w:rsid w:val="00696AA0"/>
    <w:rsid w:val="00696BE3"/>
    <w:rsid w:val="00696D1E"/>
    <w:rsid w:val="00696D9A"/>
    <w:rsid w:val="00696DDF"/>
    <w:rsid w:val="00696F22"/>
    <w:rsid w:val="00696FF8"/>
    <w:rsid w:val="006970C9"/>
    <w:rsid w:val="006970F6"/>
    <w:rsid w:val="006971DD"/>
    <w:rsid w:val="00697281"/>
    <w:rsid w:val="006972B5"/>
    <w:rsid w:val="006973E4"/>
    <w:rsid w:val="00697465"/>
    <w:rsid w:val="00697521"/>
    <w:rsid w:val="00697540"/>
    <w:rsid w:val="00697546"/>
    <w:rsid w:val="00697736"/>
    <w:rsid w:val="0069783F"/>
    <w:rsid w:val="006978F2"/>
    <w:rsid w:val="0069794A"/>
    <w:rsid w:val="00697971"/>
    <w:rsid w:val="00697998"/>
    <w:rsid w:val="00697AB9"/>
    <w:rsid w:val="00697B77"/>
    <w:rsid w:val="00697C17"/>
    <w:rsid w:val="00697C9D"/>
    <w:rsid w:val="00697D19"/>
    <w:rsid w:val="00697E91"/>
    <w:rsid w:val="00697EAE"/>
    <w:rsid w:val="00697F02"/>
    <w:rsid w:val="006A02B4"/>
    <w:rsid w:val="006A02C4"/>
    <w:rsid w:val="006A04F1"/>
    <w:rsid w:val="006A062B"/>
    <w:rsid w:val="006A0717"/>
    <w:rsid w:val="006A0A3E"/>
    <w:rsid w:val="006A0A79"/>
    <w:rsid w:val="006A0AC7"/>
    <w:rsid w:val="006A0B11"/>
    <w:rsid w:val="006A0B29"/>
    <w:rsid w:val="006A0C64"/>
    <w:rsid w:val="006A0D55"/>
    <w:rsid w:val="006A0D98"/>
    <w:rsid w:val="006A0DAE"/>
    <w:rsid w:val="006A0E5C"/>
    <w:rsid w:val="006A0EE2"/>
    <w:rsid w:val="006A0F16"/>
    <w:rsid w:val="006A0F1F"/>
    <w:rsid w:val="006A0FD5"/>
    <w:rsid w:val="006A10BA"/>
    <w:rsid w:val="006A115F"/>
    <w:rsid w:val="006A14D0"/>
    <w:rsid w:val="006A15CE"/>
    <w:rsid w:val="006A1649"/>
    <w:rsid w:val="006A1670"/>
    <w:rsid w:val="006A16D3"/>
    <w:rsid w:val="006A1755"/>
    <w:rsid w:val="006A1844"/>
    <w:rsid w:val="006A1883"/>
    <w:rsid w:val="006A18C6"/>
    <w:rsid w:val="006A1904"/>
    <w:rsid w:val="006A190D"/>
    <w:rsid w:val="006A199E"/>
    <w:rsid w:val="006A19D1"/>
    <w:rsid w:val="006A1A3E"/>
    <w:rsid w:val="006A1A73"/>
    <w:rsid w:val="006A1B5A"/>
    <w:rsid w:val="006A1BDA"/>
    <w:rsid w:val="006A1C4E"/>
    <w:rsid w:val="006A1CF2"/>
    <w:rsid w:val="006A1D7A"/>
    <w:rsid w:val="006A1DA0"/>
    <w:rsid w:val="006A200C"/>
    <w:rsid w:val="006A2091"/>
    <w:rsid w:val="006A2150"/>
    <w:rsid w:val="006A21B3"/>
    <w:rsid w:val="006A21E5"/>
    <w:rsid w:val="006A22F8"/>
    <w:rsid w:val="006A242F"/>
    <w:rsid w:val="006A25A2"/>
    <w:rsid w:val="006A25D8"/>
    <w:rsid w:val="006A27C5"/>
    <w:rsid w:val="006A2889"/>
    <w:rsid w:val="006A291D"/>
    <w:rsid w:val="006A295B"/>
    <w:rsid w:val="006A2981"/>
    <w:rsid w:val="006A2B4E"/>
    <w:rsid w:val="006A2B5C"/>
    <w:rsid w:val="006A2BAE"/>
    <w:rsid w:val="006A2BDD"/>
    <w:rsid w:val="006A2D6E"/>
    <w:rsid w:val="006A2DF4"/>
    <w:rsid w:val="006A2E1C"/>
    <w:rsid w:val="006A2E36"/>
    <w:rsid w:val="006A2E52"/>
    <w:rsid w:val="006A2E5B"/>
    <w:rsid w:val="006A2FAD"/>
    <w:rsid w:val="006A3020"/>
    <w:rsid w:val="006A304B"/>
    <w:rsid w:val="006A3227"/>
    <w:rsid w:val="006A32E4"/>
    <w:rsid w:val="006A32E8"/>
    <w:rsid w:val="006A34B4"/>
    <w:rsid w:val="006A34CE"/>
    <w:rsid w:val="006A34EC"/>
    <w:rsid w:val="006A3604"/>
    <w:rsid w:val="006A3610"/>
    <w:rsid w:val="006A36C6"/>
    <w:rsid w:val="006A3806"/>
    <w:rsid w:val="006A381C"/>
    <w:rsid w:val="006A387B"/>
    <w:rsid w:val="006A38A9"/>
    <w:rsid w:val="006A38B2"/>
    <w:rsid w:val="006A3A04"/>
    <w:rsid w:val="006A3C5B"/>
    <w:rsid w:val="006A3CA1"/>
    <w:rsid w:val="006A3D18"/>
    <w:rsid w:val="006A4187"/>
    <w:rsid w:val="006A4316"/>
    <w:rsid w:val="006A43BB"/>
    <w:rsid w:val="006A4416"/>
    <w:rsid w:val="006A4452"/>
    <w:rsid w:val="006A451E"/>
    <w:rsid w:val="006A4681"/>
    <w:rsid w:val="006A46E9"/>
    <w:rsid w:val="006A47BE"/>
    <w:rsid w:val="006A47D1"/>
    <w:rsid w:val="006A4886"/>
    <w:rsid w:val="006A48D3"/>
    <w:rsid w:val="006A4989"/>
    <w:rsid w:val="006A49B2"/>
    <w:rsid w:val="006A4A3A"/>
    <w:rsid w:val="006A4AAA"/>
    <w:rsid w:val="006A4C06"/>
    <w:rsid w:val="006A4C7F"/>
    <w:rsid w:val="006A4DD4"/>
    <w:rsid w:val="006A4E7D"/>
    <w:rsid w:val="006A504F"/>
    <w:rsid w:val="006A5063"/>
    <w:rsid w:val="006A538F"/>
    <w:rsid w:val="006A551F"/>
    <w:rsid w:val="006A55CA"/>
    <w:rsid w:val="006A55F2"/>
    <w:rsid w:val="006A5881"/>
    <w:rsid w:val="006A58FA"/>
    <w:rsid w:val="006A5905"/>
    <w:rsid w:val="006A5950"/>
    <w:rsid w:val="006A5A7D"/>
    <w:rsid w:val="006A5B8A"/>
    <w:rsid w:val="006A5C33"/>
    <w:rsid w:val="006A5D2E"/>
    <w:rsid w:val="006A5D3D"/>
    <w:rsid w:val="006A5D9C"/>
    <w:rsid w:val="006A5EA1"/>
    <w:rsid w:val="006A5F02"/>
    <w:rsid w:val="006A5F31"/>
    <w:rsid w:val="006A6088"/>
    <w:rsid w:val="006A60DE"/>
    <w:rsid w:val="006A60EE"/>
    <w:rsid w:val="006A60F2"/>
    <w:rsid w:val="006A61E1"/>
    <w:rsid w:val="006A623F"/>
    <w:rsid w:val="006A62D7"/>
    <w:rsid w:val="006A66DA"/>
    <w:rsid w:val="006A670B"/>
    <w:rsid w:val="006A6843"/>
    <w:rsid w:val="006A68A3"/>
    <w:rsid w:val="006A6994"/>
    <w:rsid w:val="006A6996"/>
    <w:rsid w:val="006A69AE"/>
    <w:rsid w:val="006A6ABD"/>
    <w:rsid w:val="006A6B48"/>
    <w:rsid w:val="006A6B98"/>
    <w:rsid w:val="006A6BB5"/>
    <w:rsid w:val="006A6DA0"/>
    <w:rsid w:val="006A6EA1"/>
    <w:rsid w:val="006A6EAB"/>
    <w:rsid w:val="006A6ECD"/>
    <w:rsid w:val="006A6F16"/>
    <w:rsid w:val="006A6F86"/>
    <w:rsid w:val="006A6F92"/>
    <w:rsid w:val="006A6FAF"/>
    <w:rsid w:val="006A7175"/>
    <w:rsid w:val="006A72CC"/>
    <w:rsid w:val="006A74BA"/>
    <w:rsid w:val="006A755F"/>
    <w:rsid w:val="006A7592"/>
    <w:rsid w:val="006A759B"/>
    <w:rsid w:val="006A75D7"/>
    <w:rsid w:val="006A76DE"/>
    <w:rsid w:val="006A788B"/>
    <w:rsid w:val="006A7913"/>
    <w:rsid w:val="006A7C26"/>
    <w:rsid w:val="006A7C2F"/>
    <w:rsid w:val="006A7D4D"/>
    <w:rsid w:val="006A7D8C"/>
    <w:rsid w:val="006A7EA0"/>
    <w:rsid w:val="006B013C"/>
    <w:rsid w:val="006B033C"/>
    <w:rsid w:val="006B039C"/>
    <w:rsid w:val="006B03D8"/>
    <w:rsid w:val="006B03F3"/>
    <w:rsid w:val="006B0488"/>
    <w:rsid w:val="006B04D7"/>
    <w:rsid w:val="006B0597"/>
    <w:rsid w:val="006B05AD"/>
    <w:rsid w:val="006B06ED"/>
    <w:rsid w:val="006B0705"/>
    <w:rsid w:val="006B0730"/>
    <w:rsid w:val="006B0740"/>
    <w:rsid w:val="006B087A"/>
    <w:rsid w:val="006B08A7"/>
    <w:rsid w:val="006B0929"/>
    <w:rsid w:val="006B0983"/>
    <w:rsid w:val="006B0B54"/>
    <w:rsid w:val="006B0BBA"/>
    <w:rsid w:val="006B0D2A"/>
    <w:rsid w:val="006B0E37"/>
    <w:rsid w:val="006B0ECE"/>
    <w:rsid w:val="006B115F"/>
    <w:rsid w:val="006B147A"/>
    <w:rsid w:val="006B1490"/>
    <w:rsid w:val="006B1616"/>
    <w:rsid w:val="006B1667"/>
    <w:rsid w:val="006B1681"/>
    <w:rsid w:val="006B169D"/>
    <w:rsid w:val="006B184B"/>
    <w:rsid w:val="006B1868"/>
    <w:rsid w:val="006B1883"/>
    <w:rsid w:val="006B1931"/>
    <w:rsid w:val="006B196C"/>
    <w:rsid w:val="006B1B35"/>
    <w:rsid w:val="006B1B4F"/>
    <w:rsid w:val="006B1C5C"/>
    <w:rsid w:val="006B1CD0"/>
    <w:rsid w:val="006B1D35"/>
    <w:rsid w:val="006B1D83"/>
    <w:rsid w:val="006B1DE9"/>
    <w:rsid w:val="006B1ED5"/>
    <w:rsid w:val="006B1EE0"/>
    <w:rsid w:val="006B2038"/>
    <w:rsid w:val="006B2061"/>
    <w:rsid w:val="006B2080"/>
    <w:rsid w:val="006B211B"/>
    <w:rsid w:val="006B2154"/>
    <w:rsid w:val="006B226B"/>
    <w:rsid w:val="006B227B"/>
    <w:rsid w:val="006B2298"/>
    <w:rsid w:val="006B22D2"/>
    <w:rsid w:val="006B22D6"/>
    <w:rsid w:val="006B22F7"/>
    <w:rsid w:val="006B23CE"/>
    <w:rsid w:val="006B23ED"/>
    <w:rsid w:val="006B23F2"/>
    <w:rsid w:val="006B2445"/>
    <w:rsid w:val="006B2596"/>
    <w:rsid w:val="006B25CC"/>
    <w:rsid w:val="006B25F8"/>
    <w:rsid w:val="006B2695"/>
    <w:rsid w:val="006B2971"/>
    <w:rsid w:val="006B29BF"/>
    <w:rsid w:val="006B29E5"/>
    <w:rsid w:val="006B2A5D"/>
    <w:rsid w:val="006B2A65"/>
    <w:rsid w:val="006B2A9C"/>
    <w:rsid w:val="006B2BF4"/>
    <w:rsid w:val="006B2CEB"/>
    <w:rsid w:val="006B2DAF"/>
    <w:rsid w:val="006B2E33"/>
    <w:rsid w:val="006B2EB4"/>
    <w:rsid w:val="006B30C0"/>
    <w:rsid w:val="006B3144"/>
    <w:rsid w:val="006B32A7"/>
    <w:rsid w:val="006B333A"/>
    <w:rsid w:val="006B3419"/>
    <w:rsid w:val="006B34BC"/>
    <w:rsid w:val="006B3510"/>
    <w:rsid w:val="006B3634"/>
    <w:rsid w:val="006B38EB"/>
    <w:rsid w:val="006B3A68"/>
    <w:rsid w:val="006B3A9B"/>
    <w:rsid w:val="006B3B35"/>
    <w:rsid w:val="006B3BA1"/>
    <w:rsid w:val="006B3BF1"/>
    <w:rsid w:val="006B3C3E"/>
    <w:rsid w:val="006B3C66"/>
    <w:rsid w:val="006B3D48"/>
    <w:rsid w:val="006B3E85"/>
    <w:rsid w:val="006B3F1C"/>
    <w:rsid w:val="006B3F70"/>
    <w:rsid w:val="006B400F"/>
    <w:rsid w:val="006B409E"/>
    <w:rsid w:val="006B42D0"/>
    <w:rsid w:val="006B42FC"/>
    <w:rsid w:val="006B43D2"/>
    <w:rsid w:val="006B444D"/>
    <w:rsid w:val="006B4556"/>
    <w:rsid w:val="006B464D"/>
    <w:rsid w:val="006B4660"/>
    <w:rsid w:val="006B47C4"/>
    <w:rsid w:val="006B47FC"/>
    <w:rsid w:val="006B4856"/>
    <w:rsid w:val="006B488B"/>
    <w:rsid w:val="006B48F1"/>
    <w:rsid w:val="006B4916"/>
    <w:rsid w:val="006B498C"/>
    <w:rsid w:val="006B4BD4"/>
    <w:rsid w:val="006B4CF6"/>
    <w:rsid w:val="006B4D3A"/>
    <w:rsid w:val="006B4E21"/>
    <w:rsid w:val="006B4E99"/>
    <w:rsid w:val="006B507A"/>
    <w:rsid w:val="006B50FA"/>
    <w:rsid w:val="006B51AA"/>
    <w:rsid w:val="006B5251"/>
    <w:rsid w:val="006B525F"/>
    <w:rsid w:val="006B530B"/>
    <w:rsid w:val="006B53A7"/>
    <w:rsid w:val="006B540E"/>
    <w:rsid w:val="006B550B"/>
    <w:rsid w:val="006B57FB"/>
    <w:rsid w:val="006B58CC"/>
    <w:rsid w:val="006B58E3"/>
    <w:rsid w:val="006B59FF"/>
    <w:rsid w:val="006B5A5C"/>
    <w:rsid w:val="006B5C0B"/>
    <w:rsid w:val="006B5E84"/>
    <w:rsid w:val="006B5EFC"/>
    <w:rsid w:val="006B5FE7"/>
    <w:rsid w:val="006B6065"/>
    <w:rsid w:val="006B6098"/>
    <w:rsid w:val="006B6104"/>
    <w:rsid w:val="006B611F"/>
    <w:rsid w:val="006B6182"/>
    <w:rsid w:val="006B6336"/>
    <w:rsid w:val="006B64AB"/>
    <w:rsid w:val="006B64B7"/>
    <w:rsid w:val="006B64E7"/>
    <w:rsid w:val="006B655A"/>
    <w:rsid w:val="006B6562"/>
    <w:rsid w:val="006B6682"/>
    <w:rsid w:val="006B670C"/>
    <w:rsid w:val="006B671C"/>
    <w:rsid w:val="006B6815"/>
    <w:rsid w:val="006B6829"/>
    <w:rsid w:val="006B686B"/>
    <w:rsid w:val="006B68F1"/>
    <w:rsid w:val="006B6985"/>
    <w:rsid w:val="006B69BE"/>
    <w:rsid w:val="006B6AA9"/>
    <w:rsid w:val="006B6B99"/>
    <w:rsid w:val="006B6BDB"/>
    <w:rsid w:val="006B6E07"/>
    <w:rsid w:val="006B6EC4"/>
    <w:rsid w:val="006B6F43"/>
    <w:rsid w:val="006B6F62"/>
    <w:rsid w:val="006B711D"/>
    <w:rsid w:val="006B720E"/>
    <w:rsid w:val="006B72EC"/>
    <w:rsid w:val="006B7470"/>
    <w:rsid w:val="006B749F"/>
    <w:rsid w:val="006B74F4"/>
    <w:rsid w:val="006B74FD"/>
    <w:rsid w:val="006B751B"/>
    <w:rsid w:val="006B7582"/>
    <w:rsid w:val="006B76D4"/>
    <w:rsid w:val="006B79E5"/>
    <w:rsid w:val="006B7A7D"/>
    <w:rsid w:val="006B7AA1"/>
    <w:rsid w:val="006B7B0C"/>
    <w:rsid w:val="006B7C10"/>
    <w:rsid w:val="006B7C43"/>
    <w:rsid w:val="006B7DCE"/>
    <w:rsid w:val="006B7E73"/>
    <w:rsid w:val="006B7EC1"/>
    <w:rsid w:val="006B7F77"/>
    <w:rsid w:val="006B7FF8"/>
    <w:rsid w:val="006C0054"/>
    <w:rsid w:val="006C0077"/>
    <w:rsid w:val="006C0142"/>
    <w:rsid w:val="006C01D4"/>
    <w:rsid w:val="006C0209"/>
    <w:rsid w:val="006C021B"/>
    <w:rsid w:val="006C02BE"/>
    <w:rsid w:val="006C038F"/>
    <w:rsid w:val="006C0489"/>
    <w:rsid w:val="006C0512"/>
    <w:rsid w:val="006C051A"/>
    <w:rsid w:val="006C0533"/>
    <w:rsid w:val="006C055C"/>
    <w:rsid w:val="006C05D9"/>
    <w:rsid w:val="006C069B"/>
    <w:rsid w:val="006C06AD"/>
    <w:rsid w:val="006C06F7"/>
    <w:rsid w:val="006C0786"/>
    <w:rsid w:val="006C084D"/>
    <w:rsid w:val="006C093D"/>
    <w:rsid w:val="006C0958"/>
    <w:rsid w:val="006C0A03"/>
    <w:rsid w:val="006C0B84"/>
    <w:rsid w:val="006C0C7D"/>
    <w:rsid w:val="006C0CE6"/>
    <w:rsid w:val="006C0D17"/>
    <w:rsid w:val="006C0D90"/>
    <w:rsid w:val="006C0E4C"/>
    <w:rsid w:val="006C0E6A"/>
    <w:rsid w:val="006C0EB6"/>
    <w:rsid w:val="006C0EF5"/>
    <w:rsid w:val="006C0EFD"/>
    <w:rsid w:val="006C0F3D"/>
    <w:rsid w:val="006C0F6A"/>
    <w:rsid w:val="006C0F95"/>
    <w:rsid w:val="006C1161"/>
    <w:rsid w:val="006C11C1"/>
    <w:rsid w:val="006C136F"/>
    <w:rsid w:val="006C1388"/>
    <w:rsid w:val="006C1422"/>
    <w:rsid w:val="006C143E"/>
    <w:rsid w:val="006C1618"/>
    <w:rsid w:val="006C16B6"/>
    <w:rsid w:val="006C178D"/>
    <w:rsid w:val="006C17BB"/>
    <w:rsid w:val="006C181A"/>
    <w:rsid w:val="006C19FD"/>
    <w:rsid w:val="006C1B8B"/>
    <w:rsid w:val="006C1C5D"/>
    <w:rsid w:val="006C1E21"/>
    <w:rsid w:val="006C1E33"/>
    <w:rsid w:val="006C1E77"/>
    <w:rsid w:val="006C2013"/>
    <w:rsid w:val="006C2090"/>
    <w:rsid w:val="006C20AA"/>
    <w:rsid w:val="006C22EE"/>
    <w:rsid w:val="006C24DD"/>
    <w:rsid w:val="006C2572"/>
    <w:rsid w:val="006C2583"/>
    <w:rsid w:val="006C259D"/>
    <w:rsid w:val="006C26A9"/>
    <w:rsid w:val="006C275F"/>
    <w:rsid w:val="006C27FF"/>
    <w:rsid w:val="006C2A02"/>
    <w:rsid w:val="006C2A7C"/>
    <w:rsid w:val="006C2A8E"/>
    <w:rsid w:val="006C2AA6"/>
    <w:rsid w:val="006C2BCD"/>
    <w:rsid w:val="006C2C76"/>
    <w:rsid w:val="006C2EAC"/>
    <w:rsid w:val="006C307B"/>
    <w:rsid w:val="006C31DF"/>
    <w:rsid w:val="006C3258"/>
    <w:rsid w:val="006C32EA"/>
    <w:rsid w:val="006C355D"/>
    <w:rsid w:val="006C35CB"/>
    <w:rsid w:val="006C3668"/>
    <w:rsid w:val="006C3756"/>
    <w:rsid w:val="006C3784"/>
    <w:rsid w:val="006C381D"/>
    <w:rsid w:val="006C3899"/>
    <w:rsid w:val="006C3980"/>
    <w:rsid w:val="006C3A0B"/>
    <w:rsid w:val="006C3CB9"/>
    <w:rsid w:val="006C3D03"/>
    <w:rsid w:val="006C3FE2"/>
    <w:rsid w:val="006C403D"/>
    <w:rsid w:val="006C40B7"/>
    <w:rsid w:val="006C4124"/>
    <w:rsid w:val="006C4163"/>
    <w:rsid w:val="006C4354"/>
    <w:rsid w:val="006C44D3"/>
    <w:rsid w:val="006C4535"/>
    <w:rsid w:val="006C4556"/>
    <w:rsid w:val="006C457E"/>
    <w:rsid w:val="006C45A0"/>
    <w:rsid w:val="006C45DD"/>
    <w:rsid w:val="006C4676"/>
    <w:rsid w:val="006C470A"/>
    <w:rsid w:val="006C4734"/>
    <w:rsid w:val="006C474F"/>
    <w:rsid w:val="006C489B"/>
    <w:rsid w:val="006C4904"/>
    <w:rsid w:val="006C4A43"/>
    <w:rsid w:val="006C4AB4"/>
    <w:rsid w:val="006C4BB2"/>
    <w:rsid w:val="006C4EC7"/>
    <w:rsid w:val="006C4ECF"/>
    <w:rsid w:val="006C4F43"/>
    <w:rsid w:val="006C4F72"/>
    <w:rsid w:val="006C4F7B"/>
    <w:rsid w:val="006C5043"/>
    <w:rsid w:val="006C504C"/>
    <w:rsid w:val="006C5208"/>
    <w:rsid w:val="006C5460"/>
    <w:rsid w:val="006C5497"/>
    <w:rsid w:val="006C5619"/>
    <w:rsid w:val="006C564E"/>
    <w:rsid w:val="006C57AA"/>
    <w:rsid w:val="006C57EA"/>
    <w:rsid w:val="006C58CE"/>
    <w:rsid w:val="006C59C6"/>
    <w:rsid w:val="006C59F9"/>
    <w:rsid w:val="006C5A38"/>
    <w:rsid w:val="006C5A82"/>
    <w:rsid w:val="006C5B1D"/>
    <w:rsid w:val="006C5D22"/>
    <w:rsid w:val="006C5D34"/>
    <w:rsid w:val="006C5D43"/>
    <w:rsid w:val="006C5E4F"/>
    <w:rsid w:val="006C5F0D"/>
    <w:rsid w:val="006C5FBE"/>
    <w:rsid w:val="006C5FC0"/>
    <w:rsid w:val="006C6017"/>
    <w:rsid w:val="006C606C"/>
    <w:rsid w:val="006C60CB"/>
    <w:rsid w:val="006C6113"/>
    <w:rsid w:val="006C6184"/>
    <w:rsid w:val="006C6194"/>
    <w:rsid w:val="006C6227"/>
    <w:rsid w:val="006C6247"/>
    <w:rsid w:val="006C626F"/>
    <w:rsid w:val="006C62B4"/>
    <w:rsid w:val="006C6349"/>
    <w:rsid w:val="006C637E"/>
    <w:rsid w:val="006C63F0"/>
    <w:rsid w:val="006C644E"/>
    <w:rsid w:val="006C6576"/>
    <w:rsid w:val="006C6604"/>
    <w:rsid w:val="006C6837"/>
    <w:rsid w:val="006C683A"/>
    <w:rsid w:val="006C688B"/>
    <w:rsid w:val="006C695E"/>
    <w:rsid w:val="006C6B00"/>
    <w:rsid w:val="006C6B3F"/>
    <w:rsid w:val="006C6B8B"/>
    <w:rsid w:val="006C6C39"/>
    <w:rsid w:val="006C6D3C"/>
    <w:rsid w:val="006C6DB5"/>
    <w:rsid w:val="006C6E4D"/>
    <w:rsid w:val="006C6F59"/>
    <w:rsid w:val="006C6F8E"/>
    <w:rsid w:val="006C70CF"/>
    <w:rsid w:val="006C7109"/>
    <w:rsid w:val="006C7162"/>
    <w:rsid w:val="006C71FB"/>
    <w:rsid w:val="006C725B"/>
    <w:rsid w:val="006C736A"/>
    <w:rsid w:val="006C7541"/>
    <w:rsid w:val="006C75C3"/>
    <w:rsid w:val="006C7674"/>
    <w:rsid w:val="006C7688"/>
    <w:rsid w:val="006C76E2"/>
    <w:rsid w:val="006C7776"/>
    <w:rsid w:val="006C78CE"/>
    <w:rsid w:val="006C78EA"/>
    <w:rsid w:val="006C7C38"/>
    <w:rsid w:val="006C7DA0"/>
    <w:rsid w:val="006C7DFC"/>
    <w:rsid w:val="006C7F1F"/>
    <w:rsid w:val="006D0163"/>
    <w:rsid w:val="006D0203"/>
    <w:rsid w:val="006D02C0"/>
    <w:rsid w:val="006D0352"/>
    <w:rsid w:val="006D036C"/>
    <w:rsid w:val="006D0442"/>
    <w:rsid w:val="006D0505"/>
    <w:rsid w:val="006D05A4"/>
    <w:rsid w:val="006D0737"/>
    <w:rsid w:val="006D07A6"/>
    <w:rsid w:val="006D084A"/>
    <w:rsid w:val="006D0859"/>
    <w:rsid w:val="006D098A"/>
    <w:rsid w:val="006D09C2"/>
    <w:rsid w:val="006D09EC"/>
    <w:rsid w:val="006D0A8D"/>
    <w:rsid w:val="006D0B7D"/>
    <w:rsid w:val="006D0BA8"/>
    <w:rsid w:val="006D0BD2"/>
    <w:rsid w:val="006D0CC0"/>
    <w:rsid w:val="006D0CE1"/>
    <w:rsid w:val="006D0DB9"/>
    <w:rsid w:val="006D0DD2"/>
    <w:rsid w:val="006D0EEB"/>
    <w:rsid w:val="006D0F0D"/>
    <w:rsid w:val="006D0F10"/>
    <w:rsid w:val="006D0FE4"/>
    <w:rsid w:val="006D0FE6"/>
    <w:rsid w:val="006D10FB"/>
    <w:rsid w:val="006D11A2"/>
    <w:rsid w:val="006D127D"/>
    <w:rsid w:val="006D14CE"/>
    <w:rsid w:val="006D1520"/>
    <w:rsid w:val="006D15D6"/>
    <w:rsid w:val="006D15FA"/>
    <w:rsid w:val="006D16AA"/>
    <w:rsid w:val="006D16E4"/>
    <w:rsid w:val="006D186F"/>
    <w:rsid w:val="006D18EB"/>
    <w:rsid w:val="006D1923"/>
    <w:rsid w:val="006D1933"/>
    <w:rsid w:val="006D193F"/>
    <w:rsid w:val="006D1A9C"/>
    <w:rsid w:val="006D1A9E"/>
    <w:rsid w:val="006D1AA1"/>
    <w:rsid w:val="006D1B5C"/>
    <w:rsid w:val="006D1DCC"/>
    <w:rsid w:val="006D1E2B"/>
    <w:rsid w:val="006D1E30"/>
    <w:rsid w:val="006D1EAC"/>
    <w:rsid w:val="006D2125"/>
    <w:rsid w:val="006D2190"/>
    <w:rsid w:val="006D239F"/>
    <w:rsid w:val="006D23D1"/>
    <w:rsid w:val="006D24D9"/>
    <w:rsid w:val="006D2602"/>
    <w:rsid w:val="006D2800"/>
    <w:rsid w:val="006D288F"/>
    <w:rsid w:val="006D292C"/>
    <w:rsid w:val="006D294D"/>
    <w:rsid w:val="006D29FF"/>
    <w:rsid w:val="006D2A96"/>
    <w:rsid w:val="006D2B8C"/>
    <w:rsid w:val="006D2D6C"/>
    <w:rsid w:val="006D2EDA"/>
    <w:rsid w:val="006D2EE3"/>
    <w:rsid w:val="006D2FBD"/>
    <w:rsid w:val="006D2FDB"/>
    <w:rsid w:val="006D308C"/>
    <w:rsid w:val="006D31D7"/>
    <w:rsid w:val="006D32CF"/>
    <w:rsid w:val="006D32F2"/>
    <w:rsid w:val="006D3379"/>
    <w:rsid w:val="006D3422"/>
    <w:rsid w:val="006D3480"/>
    <w:rsid w:val="006D3582"/>
    <w:rsid w:val="006D35B1"/>
    <w:rsid w:val="006D3692"/>
    <w:rsid w:val="006D3707"/>
    <w:rsid w:val="006D3796"/>
    <w:rsid w:val="006D381A"/>
    <w:rsid w:val="006D38B7"/>
    <w:rsid w:val="006D39B2"/>
    <w:rsid w:val="006D39D2"/>
    <w:rsid w:val="006D3AD1"/>
    <w:rsid w:val="006D3B58"/>
    <w:rsid w:val="006D3C39"/>
    <w:rsid w:val="006D3C64"/>
    <w:rsid w:val="006D3C7B"/>
    <w:rsid w:val="006D3E21"/>
    <w:rsid w:val="006D3F8C"/>
    <w:rsid w:val="006D3FF6"/>
    <w:rsid w:val="006D406C"/>
    <w:rsid w:val="006D40A9"/>
    <w:rsid w:val="006D4152"/>
    <w:rsid w:val="006D41D1"/>
    <w:rsid w:val="006D4233"/>
    <w:rsid w:val="006D42AC"/>
    <w:rsid w:val="006D437E"/>
    <w:rsid w:val="006D43F8"/>
    <w:rsid w:val="006D4421"/>
    <w:rsid w:val="006D4536"/>
    <w:rsid w:val="006D459A"/>
    <w:rsid w:val="006D45BE"/>
    <w:rsid w:val="006D4795"/>
    <w:rsid w:val="006D47E3"/>
    <w:rsid w:val="006D4A7E"/>
    <w:rsid w:val="006D4ACE"/>
    <w:rsid w:val="006D4DA5"/>
    <w:rsid w:val="006D4DC8"/>
    <w:rsid w:val="006D4E4D"/>
    <w:rsid w:val="006D4E58"/>
    <w:rsid w:val="006D4F65"/>
    <w:rsid w:val="006D517C"/>
    <w:rsid w:val="006D51A5"/>
    <w:rsid w:val="006D53B3"/>
    <w:rsid w:val="006D53F1"/>
    <w:rsid w:val="006D5453"/>
    <w:rsid w:val="006D5482"/>
    <w:rsid w:val="006D549D"/>
    <w:rsid w:val="006D562B"/>
    <w:rsid w:val="006D5808"/>
    <w:rsid w:val="006D584C"/>
    <w:rsid w:val="006D5866"/>
    <w:rsid w:val="006D5876"/>
    <w:rsid w:val="006D59F5"/>
    <w:rsid w:val="006D5D83"/>
    <w:rsid w:val="006D5E15"/>
    <w:rsid w:val="006D5E3A"/>
    <w:rsid w:val="006D5E58"/>
    <w:rsid w:val="006D5EAB"/>
    <w:rsid w:val="006D5F52"/>
    <w:rsid w:val="006D5F57"/>
    <w:rsid w:val="006D6039"/>
    <w:rsid w:val="006D6157"/>
    <w:rsid w:val="006D6179"/>
    <w:rsid w:val="006D623D"/>
    <w:rsid w:val="006D62D9"/>
    <w:rsid w:val="006D6397"/>
    <w:rsid w:val="006D6433"/>
    <w:rsid w:val="006D64DE"/>
    <w:rsid w:val="006D651C"/>
    <w:rsid w:val="006D66CA"/>
    <w:rsid w:val="006D6788"/>
    <w:rsid w:val="006D68BF"/>
    <w:rsid w:val="006D6925"/>
    <w:rsid w:val="006D6A85"/>
    <w:rsid w:val="006D6CAD"/>
    <w:rsid w:val="006D6D3F"/>
    <w:rsid w:val="006D6D80"/>
    <w:rsid w:val="006D6EAE"/>
    <w:rsid w:val="006D735D"/>
    <w:rsid w:val="006D73EB"/>
    <w:rsid w:val="006D748C"/>
    <w:rsid w:val="006D7513"/>
    <w:rsid w:val="006D754E"/>
    <w:rsid w:val="006D7555"/>
    <w:rsid w:val="006D75B4"/>
    <w:rsid w:val="006D75B5"/>
    <w:rsid w:val="006D75E6"/>
    <w:rsid w:val="006D76F0"/>
    <w:rsid w:val="006D772E"/>
    <w:rsid w:val="006D776B"/>
    <w:rsid w:val="006D781B"/>
    <w:rsid w:val="006D7934"/>
    <w:rsid w:val="006D79FA"/>
    <w:rsid w:val="006D7A53"/>
    <w:rsid w:val="006D7AAD"/>
    <w:rsid w:val="006D7AAF"/>
    <w:rsid w:val="006D7C37"/>
    <w:rsid w:val="006D7CF9"/>
    <w:rsid w:val="006D7D0A"/>
    <w:rsid w:val="006D7D3B"/>
    <w:rsid w:val="006D7D81"/>
    <w:rsid w:val="006D7DF0"/>
    <w:rsid w:val="006D7E54"/>
    <w:rsid w:val="006D7EA6"/>
    <w:rsid w:val="006D7EC8"/>
    <w:rsid w:val="006E00B7"/>
    <w:rsid w:val="006E00E2"/>
    <w:rsid w:val="006E013D"/>
    <w:rsid w:val="006E023D"/>
    <w:rsid w:val="006E0242"/>
    <w:rsid w:val="006E030B"/>
    <w:rsid w:val="006E03EB"/>
    <w:rsid w:val="006E04F9"/>
    <w:rsid w:val="006E07CA"/>
    <w:rsid w:val="006E0AC0"/>
    <w:rsid w:val="006E0B14"/>
    <w:rsid w:val="006E0B7E"/>
    <w:rsid w:val="006E0C3C"/>
    <w:rsid w:val="006E0C5F"/>
    <w:rsid w:val="006E0C7F"/>
    <w:rsid w:val="006E0D19"/>
    <w:rsid w:val="006E0F36"/>
    <w:rsid w:val="006E104A"/>
    <w:rsid w:val="006E11A8"/>
    <w:rsid w:val="006E11FB"/>
    <w:rsid w:val="006E1422"/>
    <w:rsid w:val="006E1497"/>
    <w:rsid w:val="006E14FB"/>
    <w:rsid w:val="006E15EA"/>
    <w:rsid w:val="006E16C8"/>
    <w:rsid w:val="006E16FB"/>
    <w:rsid w:val="006E18C4"/>
    <w:rsid w:val="006E19EB"/>
    <w:rsid w:val="006E19ED"/>
    <w:rsid w:val="006E1AE9"/>
    <w:rsid w:val="006E1B26"/>
    <w:rsid w:val="006E1B55"/>
    <w:rsid w:val="006E1B9A"/>
    <w:rsid w:val="006E1CD3"/>
    <w:rsid w:val="006E1D6F"/>
    <w:rsid w:val="006E1DF6"/>
    <w:rsid w:val="006E1F4B"/>
    <w:rsid w:val="006E1F74"/>
    <w:rsid w:val="006E1F9C"/>
    <w:rsid w:val="006E1FB1"/>
    <w:rsid w:val="006E2003"/>
    <w:rsid w:val="006E2122"/>
    <w:rsid w:val="006E2159"/>
    <w:rsid w:val="006E2261"/>
    <w:rsid w:val="006E22E0"/>
    <w:rsid w:val="006E2479"/>
    <w:rsid w:val="006E248B"/>
    <w:rsid w:val="006E2512"/>
    <w:rsid w:val="006E251B"/>
    <w:rsid w:val="006E262F"/>
    <w:rsid w:val="006E27DC"/>
    <w:rsid w:val="006E28C4"/>
    <w:rsid w:val="006E2963"/>
    <w:rsid w:val="006E297A"/>
    <w:rsid w:val="006E2A19"/>
    <w:rsid w:val="006E2C52"/>
    <w:rsid w:val="006E2C6D"/>
    <w:rsid w:val="006E2CCC"/>
    <w:rsid w:val="006E2DCF"/>
    <w:rsid w:val="006E2E3C"/>
    <w:rsid w:val="006E2E48"/>
    <w:rsid w:val="006E2F19"/>
    <w:rsid w:val="006E2F3D"/>
    <w:rsid w:val="006E2F61"/>
    <w:rsid w:val="006E3106"/>
    <w:rsid w:val="006E3149"/>
    <w:rsid w:val="006E316F"/>
    <w:rsid w:val="006E319C"/>
    <w:rsid w:val="006E31AD"/>
    <w:rsid w:val="006E31DD"/>
    <w:rsid w:val="006E31EA"/>
    <w:rsid w:val="006E31FD"/>
    <w:rsid w:val="006E33DC"/>
    <w:rsid w:val="006E33E6"/>
    <w:rsid w:val="006E3435"/>
    <w:rsid w:val="006E348B"/>
    <w:rsid w:val="006E34C4"/>
    <w:rsid w:val="006E357F"/>
    <w:rsid w:val="006E35F5"/>
    <w:rsid w:val="006E37F4"/>
    <w:rsid w:val="006E3900"/>
    <w:rsid w:val="006E3970"/>
    <w:rsid w:val="006E3A06"/>
    <w:rsid w:val="006E3D8E"/>
    <w:rsid w:val="006E3DC7"/>
    <w:rsid w:val="006E3EED"/>
    <w:rsid w:val="006E3F70"/>
    <w:rsid w:val="006E3FA2"/>
    <w:rsid w:val="006E406B"/>
    <w:rsid w:val="006E4078"/>
    <w:rsid w:val="006E408C"/>
    <w:rsid w:val="006E416E"/>
    <w:rsid w:val="006E41E2"/>
    <w:rsid w:val="006E432E"/>
    <w:rsid w:val="006E4448"/>
    <w:rsid w:val="006E4590"/>
    <w:rsid w:val="006E45BA"/>
    <w:rsid w:val="006E4613"/>
    <w:rsid w:val="006E463E"/>
    <w:rsid w:val="006E479C"/>
    <w:rsid w:val="006E47E1"/>
    <w:rsid w:val="006E48C8"/>
    <w:rsid w:val="006E4964"/>
    <w:rsid w:val="006E496E"/>
    <w:rsid w:val="006E49A4"/>
    <w:rsid w:val="006E4A9F"/>
    <w:rsid w:val="006E4AF9"/>
    <w:rsid w:val="006E4B93"/>
    <w:rsid w:val="006E4CEB"/>
    <w:rsid w:val="006E4F92"/>
    <w:rsid w:val="006E4F97"/>
    <w:rsid w:val="006E5008"/>
    <w:rsid w:val="006E50AB"/>
    <w:rsid w:val="006E50C6"/>
    <w:rsid w:val="006E50DE"/>
    <w:rsid w:val="006E5132"/>
    <w:rsid w:val="006E51A7"/>
    <w:rsid w:val="006E51AB"/>
    <w:rsid w:val="006E51F4"/>
    <w:rsid w:val="006E5297"/>
    <w:rsid w:val="006E52A0"/>
    <w:rsid w:val="006E541D"/>
    <w:rsid w:val="006E562D"/>
    <w:rsid w:val="006E5704"/>
    <w:rsid w:val="006E576B"/>
    <w:rsid w:val="006E5A54"/>
    <w:rsid w:val="006E5AD3"/>
    <w:rsid w:val="006E5AE1"/>
    <w:rsid w:val="006E5B2F"/>
    <w:rsid w:val="006E5B4B"/>
    <w:rsid w:val="006E5BE6"/>
    <w:rsid w:val="006E5C32"/>
    <w:rsid w:val="006E5D83"/>
    <w:rsid w:val="006E5DF8"/>
    <w:rsid w:val="006E5EBC"/>
    <w:rsid w:val="006E5F20"/>
    <w:rsid w:val="006E6032"/>
    <w:rsid w:val="006E6134"/>
    <w:rsid w:val="006E6150"/>
    <w:rsid w:val="006E61B4"/>
    <w:rsid w:val="006E63C5"/>
    <w:rsid w:val="006E6426"/>
    <w:rsid w:val="006E68D6"/>
    <w:rsid w:val="006E693C"/>
    <w:rsid w:val="006E6998"/>
    <w:rsid w:val="006E6A70"/>
    <w:rsid w:val="006E6AB9"/>
    <w:rsid w:val="006E6C9B"/>
    <w:rsid w:val="006E6DF4"/>
    <w:rsid w:val="006E6EBC"/>
    <w:rsid w:val="006E6FBB"/>
    <w:rsid w:val="006E7022"/>
    <w:rsid w:val="006E703C"/>
    <w:rsid w:val="006E7088"/>
    <w:rsid w:val="006E709A"/>
    <w:rsid w:val="006E70B9"/>
    <w:rsid w:val="006E70BF"/>
    <w:rsid w:val="006E7121"/>
    <w:rsid w:val="006E71B0"/>
    <w:rsid w:val="006E741A"/>
    <w:rsid w:val="006E7429"/>
    <w:rsid w:val="006E753F"/>
    <w:rsid w:val="006E76D8"/>
    <w:rsid w:val="006E7726"/>
    <w:rsid w:val="006E7761"/>
    <w:rsid w:val="006E77D4"/>
    <w:rsid w:val="006E7823"/>
    <w:rsid w:val="006E782D"/>
    <w:rsid w:val="006E7831"/>
    <w:rsid w:val="006E786A"/>
    <w:rsid w:val="006E7927"/>
    <w:rsid w:val="006E795D"/>
    <w:rsid w:val="006E7A3F"/>
    <w:rsid w:val="006E7AC8"/>
    <w:rsid w:val="006E7B2D"/>
    <w:rsid w:val="006E7BB4"/>
    <w:rsid w:val="006E7C6B"/>
    <w:rsid w:val="006E7C70"/>
    <w:rsid w:val="006E7CD2"/>
    <w:rsid w:val="006E7CDD"/>
    <w:rsid w:val="006E7DB9"/>
    <w:rsid w:val="006E7DF2"/>
    <w:rsid w:val="006E7E18"/>
    <w:rsid w:val="006E7EBA"/>
    <w:rsid w:val="006F0065"/>
    <w:rsid w:val="006F01A6"/>
    <w:rsid w:val="006F02B2"/>
    <w:rsid w:val="006F0342"/>
    <w:rsid w:val="006F0425"/>
    <w:rsid w:val="006F04BC"/>
    <w:rsid w:val="006F050B"/>
    <w:rsid w:val="006F05F4"/>
    <w:rsid w:val="006F0601"/>
    <w:rsid w:val="006F06B3"/>
    <w:rsid w:val="006F0907"/>
    <w:rsid w:val="006F0ABC"/>
    <w:rsid w:val="006F0ABF"/>
    <w:rsid w:val="006F0B11"/>
    <w:rsid w:val="006F0C81"/>
    <w:rsid w:val="006F0D78"/>
    <w:rsid w:val="006F0D99"/>
    <w:rsid w:val="006F0DA4"/>
    <w:rsid w:val="006F0DB9"/>
    <w:rsid w:val="006F0EBC"/>
    <w:rsid w:val="006F0EE0"/>
    <w:rsid w:val="006F1007"/>
    <w:rsid w:val="006F1050"/>
    <w:rsid w:val="006F11C7"/>
    <w:rsid w:val="006F120E"/>
    <w:rsid w:val="006F12BA"/>
    <w:rsid w:val="006F1352"/>
    <w:rsid w:val="006F1363"/>
    <w:rsid w:val="006F1379"/>
    <w:rsid w:val="006F143C"/>
    <w:rsid w:val="006F161E"/>
    <w:rsid w:val="006F162F"/>
    <w:rsid w:val="006F1714"/>
    <w:rsid w:val="006F1812"/>
    <w:rsid w:val="006F1817"/>
    <w:rsid w:val="006F1878"/>
    <w:rsid w:val="006F1891"/>
    <w:rsid w:val="006F18E9"/>
    <w:rsid w:val="006F1930"/>
    <w:rsid w:val="006F1959"/>
    <w:rsid w:val="006F1A13"/>
    <w:rsid w:val="006F1A3B"/>
    <w:rsid w:val="006F1B6B"/>
    <w:rsid w:val="006F1C7F"/>
    <w:rsid w:val="006F1C9F"/>
    <w:rsid w:val="006F1D2C"/>
    <w:rsid w:val="006F1E12"/>
    <w:rsid w:val="006F1ED4"/>
    <w:rsid w:val="006F1F0E"/>
    <w:rsid w:val="006F1FD0"/>
    <w:rsid w:val="006F21B3"/>
    <w:rsid w:val="006F21C7"/>
    <w:rsid w:val="006F2256"/>
    <w:rsid w:val="006F2339"/>
    <w:rsid w:val="006F2376"/>
    <w:rsid w:val="006F23C9"/>
    <w:rsid w:val="006F24A3"/>
    <w:rsid w:val="006F259B"/>
    <w:rsid w:val="006F2678"/>
    <w:rsid w:val="006F2882"/>
    <w:rsid w:val="006F297C"/>
    <w:rsid w:val="006F2BB1"/>
    <w:rsid w:val="006F2BDF"/>
    <w:rsid w:val="006F2C57"/>
    <w:rsid w:val="006F2CAD"/>
    <w:rsid w:val="006F2E2B"/>
    <w:rsid w:val="006F2FE1"/>
    <w:rsid w:val="006F3061"/>
    <w:rsid w:val="006F30E7"/>
    <w:rsid w:val="006F3119"/>
    <w:rsid w:val="006F3158"/>
    <w:rsid w:val="006F319C"/>
    <w:rsid w:val="006F3211"/>
    <w:rsid w:val="006F35AE"/>
    <w:rsid w:val="006F35DA"/>
    <w:rsid w:val="006F379B"/>
    <w:rsid w:val="006F383C"/>
    <w:rsid w:val="006F3843"/>
    <w:rsid w:val="006F384E"/>
    <w:rsid w:val="006F38C6"/>
    <w:rsid w:val="006F38F7"/>
    <w:rsid w:val="006F393E"/>
    <w:rsid w:val="006F3A22"/>
    <w:rsid w:val="006F3B21"/>
    <w:rsid w:val="006F3B8A"/>
    <w:rsid w:val="006F3C82"/>
    <w:rsid w:val="006F3CCC"/>
    <w:rsid w:val="006F3CD7"/>
    <w:rsid w:val="006F3D38"/>
    <w:rsid w:val="006F3E0F"/>
    <w:rsid w:val="006F3E59"/>
    <w:rsid w:val="006F3F21"/>
    <w:rsid w:val="006F3F52"/>
    <w:rsid w:val="006F3F9A"/>
    <w:rsid w:val="006F3FC8"/>
    <w:rsid w:val="006F40CE"/>
    <w:rsid w:val="006F40DC"/>
    <w:rsid w:val="006F4134"/>
    <w:rsid w:val="006F419D"/>
    <w:rsid w:val="006F421C"/>
    <w:rsid w:val="006F4248"/>
    <w:rsid w:val="006F4263"/>
    <w:rsid w:val="006F42CA"/>
    <w:rsid w:val="006F42E2"/>
    <w:rsid w:val="006F4575"/>
    <w:rsid w:val="006F46D9"/>
    <w:rsid w:val="006F46E3"/>
    <w:rsid w:val="006F4702"/>
    <w:rsid w:val="006F484B"/>
    <w:rsid w:val="006F48C1"/>
    <w:rsid w:val="006F48DA"/>
    <w:rsid w:val="006F4915"/>
    <w:rsid w:val="006F49AA"/>
    <w:rsid w:val="006F49F7"/>
    <w:rsid w:val="006F4A0D"/>
    <w:rsid w:val="006F4AA0"/>
    <w:rsid w:val="006F4AA4"/>
    <w:rsid w:val="006F4B05"/>
    <w:rsid w:val="006F4C08"/>
    <w:rsid w:val="006F4D9D"/>
    <w:rsid w:val="006F4DCC"/>
    <w:rsid w:val="006F4E08"/>
    <w:rsid w:val="006F4E6F"/>
    <w:rsid w:val="006F4FD9"/>
    <w:rsid w:val="006F50A1"/>
    <w:rsid w:val="006F5239"/>
    <w:rsid w:val="006F525B"/>
    <w:rsid w:val="006F52B5"/>
    <w:rsid w:val="006F52DE"/>
    <w:rsid w:val="006F5311"/>
    <w:rsid w:val="006F53D1"/>
    <w:rsid w:val="006F54FC"/>
    <w:rsid w:val="006F54FE"/>
    <w:rsid w:val="006F5635"/>
    <w:rsid w:val="006F5988"/>
    <w:rsid w:val="006F59C2"/>
    <w:rsid w:val="006F5B1B"/>
    <w:rsid w:val="006F5B2A"/>
    <w:rsid w:val="006F5B63"/>
    <w:rsid w:val="006F5B6A"/>
    <w:rsid w:val="006F5BEE"/>
    <w:rsid w:val="006F5D28"/>
    <w:rsid w:val="006F5EF0"/>
    <w:rsid w:val="006F5F58"/>
    <w:rsid w:val="006F5F9B"/>
    <w:rsid w:val="006F5FA4"/>
    <w:rsid w:val="006F6028"/>
    <w:rsid w:val="006F60E4"/>
    <w:rsid w:val="006F6372"/>
    <w:rsid w:val="006F6437"/>
    <w:rsid w:val="006F661B"/>
    <w:rsid w:val="006F6644"/>
    <w:rsid w:val="006F6684"/>
    <w:rsid w:val="006F68ED"/>
    <w:rsid w:val="006F68F7"/>
    <w:rsid w:val="006F6A82"/>
    <w:rsid w:val="006F6E31"/>
    <w:rsid w:val="006F6E5F"/>
    <w:rsid w:val="006F6E80"/>
    <w:rsid w:val="006F6F5C"/>
    <w:rsid w:val="006F6F71"/>
    <w:rsid w:val="006F6FB9"/>
    <w:rsid w:val="006F6FE1"/>
    <w:rsid w:val="006F7104"/>
    <w:rsid w:val="006F71DC"/>
    <w:rsid w:val="006F71F1"/>
    <w:rsid w:val="006F7210"/>
    <w:rsid w:val="006F7331"/>
    <w:rsid w:val="006F734A"/>
    <w:rsid w:val="006F7480"/>
    <w:rsid w:val="006F7523"/>
    <w:rsid w:val="006F759C"/>
    <w:rsid w:val="006F761F"/>
    <w:rsid w:val="006F7645"/>
    <w:rsid w:val="006F7677"/>
    <w:rsid w:val="006F77C0"/>
    <w:rsid w:val="006F7829"/>
    <w:rsid w:val="006F783B"/>
    <w:rsid w:val="006F7A07"/>
    <w:rsid w:val="006F7AA2"/>
    <w:rsid w:val="006F7C0B"/>
    <w:rsid w:val="006F7C8E"/>
    <w:rsid w:val="006F7C92"/>
    <w:rsid w:val="006F7CCF"/>
    <w:rsid w:val="006F7E0C"/>
    <w:rsid w:val="006F7E43"/>
    <w:rsid w:val="006F7E99"/>
    <w:rsid w:val="006F7EF2"/>
    <w:rsid w:val="0070009D"/>
    <w:rsid w:val="007000C3"/>
    <w:rsid w:val="00700155"/>
    <w:rsid w:val="00700594"/>
    <w:rsid w:val="00700632"/>
    <w:rsid w:val="007006C7"/>
    <w:rsid w:val="007007C2"/>
    <w:rsid w:val="007007E6"/>
    <w:rsid w:val="00700B7B"/>
    <w:rsid w:val="00700BAC"/>
    <w:rsid w:val="00700BD0"/>
    <w:rsid w:val="00700C17"/>
    <w:rsid w:val="00700D3D"/>
    <w:rsid w:val="00700D48"/>
    <w:rsid w:val="00700EFB"/>
    <w:rsid w:val="00700F7D"/>
    <w:rsid w:val="00700FE1"/>
    <w:rsid w:val="007010D2"/>
    <w:rsid w:val="0070110B"/>
    <w:rsid w:val="00701144"/>
    <w:rsid w:val="00701185"/>
    <w:rsid w:val="007011DC"/>
    <w:rsid w:val="00701200"/>
    <w:rsid w:val="0070129A"/>
    <w:rsid w:val="007014F4"/>
    <w:rsid w:val="0070170C"/>
    <w:rsid w:val="0070170D"/>
    <w:rsid w:val="0070176C"/>
    <w:rsid w:val="007018DD"/>
    <w:rsid w:val="0070192D"/>
    <w:rsid w:val="00701A2D"/>
    <w:rsid w:val="00701A47"/>
    <w:rsid w:val="00701DBD"/>
    <w:rsid w:val="00701E8C"/>
    <w:rsid w:val="00701FB4"/>
    <w:rsid w:val="00701FFA"/>
    <w:rsid w:val="0070202B"/>
    <w:rsid w:val="00702045"/>
    <w:rsid w:val="007020FA"/>
    <w:rsid w:val="007021C1"/>
    <w:rsid w:val="00702280"/>
    <w:rsid w:val="00702362"/>
    <w:rsid w:val="007024CE"/>
    <w:rsid w:val="007024D2"/>
    <w:rsid w:val="0070251D"/>
    <w:rsid w:val="00702561"/>
    <w:rsid w:val="00702733"/>
    <w:rsid w:val="0070274B"/>
    <w:rsid w:val="00702761"/>
    <w:rsid w:val="007027C0"/>
    <w:rsid w:val="00702944"/>
    <w:rsid w:val="007029A2"/>
    <w:rsid w:val="007029D5"/>
    <w:rsid w:val="00702A1A"/>
    <w:rsid w:val="00702A1D"/>
    <w:rsid w:val="00702A9B"/>
    <w:rsid w:val="00702AB6"/>
    <w:rsid w:val="00702B58"/>
    <w:rsid w:val="00702BE8"/>
    <w:rsid w:val="00702C85"/>
    <w:rsid w:val="00703026"/>
    <w:rsid w:val="00703045"/>
    <w:rsid w:val="007030B0"/>
    <w:rsid w:val="007030FF"/>
    <w:rsid w:val="0070311C"/>
    <w:rsid w:val="007031FC"/>
    <w:rsid w:val="00703231"/>
    <w:rsid w:val="0070324C"/>
    <w:rsid w:val="007032C0"/>
    <w:rsid w:val="00703514"/>
    <w:rsid w:val="007035BC"/>
    <w:rsid w:val="00703851"/>
    <w:rsid w:val="007038C6"/>
    <w:rsid w:val="00703926"/>
    <w:rsid w:val="007039D8"/>
    <w:rsid w:val="007039EF"/>
    <w:rsid w:val="00703A15"/>
    <w:rsid w:val="00703B72"/>
    <w:rsid w:val="00703B9C"/>
    <w:rsid w:val="00703CEC"/>
    <w:rsid w:val="00703D3A"/>
    <w:rsid w:val="00703E45"/>
    <w:rsid w:val="00703E5B"/>
    <w:rsid w:val="00703E8F"/>
    <w:rsid w:val="00703F1A"/>
    <w:rsid w:val="00703F89"/>
    <w:rsid w:val="0070403E"/>
    <w:rsid w:val="007044CD"/>
    <w:rsid w:val="007044E9"/>
    <w:rsid w:val="0070483A"/>
    <w:rsid w:val="007048D5"/>
    <w:rsid w:val="00704902"/>
    <w:rsid w:val="0070497D"/>
    <w:rsid w:val="00704A6A"/>
    <w:rsid w:val="00704B06"/>
    <w:rsid w:val="00704CA2"/>
    <w:rsid w:val="00704E38"/>
    <w:rsid w:val="00704E8C"/>
    <w:rsid w:val="00704FE7"/>
    <w:rsid w:val="00705091"/>
    <w:rsid w:val="007050AC"/>
    <w:rsid w:val="00705168"/>
    <w:rsid w:val="00705215"/>
    <w:rsid w:val="007052DB"/>
    <w:rsid w:val="00705420"/>
    <w:rsid w:val="00705622"/>
    <w:rsid w:val="00705673"/>
    <w:rsid w:val="007059C6"/>
    <w:rsid w:val="00705A09"/>
    <w:rsid w:val="00705BA5"/>
    <w:rsid w:val="00705C02"/>
    <w:rsid w:val="00705C06"/>
    <w:rsid w:val="00705C96"/>
    <w:rsid w:val="00705D6D"/>
    <w:rsid w:val="00705DE3"/>
    <w:rsid w:val="00705E6D"/>
    <w:rsid w:val="00705E7D"/>
    <w:rsid w:val="00705E8B"/>
    <w:rsid w:val="00706044"/>
    <w:rsid w:val="00706140"/>
    <w:rsid w:val="00706179"/>
    <w:rsid w:val="007061C2"/>
    <w:rsid w:val="00706256"/>
    <w:rsid w:val="0070631A"/>
    <w:rsid w:val="0070632C"/>
    <w:rsid w:val="00706497"/>
    <w:rsid w:val="007064F2"/>
    <w:rsid w:val="007066EF"/>
    <w:rsid w:val="007066FF"/>
    <w:rsid w:val="00706738"/>
    <w:rsid w:val="00706875"/>
    <w:rsid w:val="007068D1"/>
    <w:rsid w:val="0070696D"/>
    <w:rsid w:val="007069DA"/>
    <w:rsid w:val="00706A47"/>
    <w:rsid w:val="00706BD2"/>
    <w:rsid w:val="00706C04"/>
    <w:rsid w:val="00706D2D"/>
    <w:rsid w:val="00706D4D"/>
    <w:rsid w:val="00706EA7"/>
    <w:rsid w:val="00707056"/>
    <w:rsid w:val="00707068"/>
    <w:rsid w:val="00707077"/>
    <w:rsid w:val="00707144"/>
    <w:rsid w:val="0070736F"/>
    <w:rsid w:val="007073AF"/>
    <w:rsid w:val="00707464"/>
    <w:rsid w:val="00707479"/>
    <w:rsid w:val="007074FD"/>
    <w:rsid w:val="00707535"/>
    <w:rsid w:val="00707681"/>
    <w:rsid w:val="007077B0"/>
    <w:rsid w:val="00707824"/>
    <w:rsid w:val="0070791F"/>
    <w:rsid w:val="00707971"/>
    <w:rsid w:val="00707AB8"/>
    <w:rsid w:val="00707C1A"/>
    <w:rsid w:val="00707D03"/>
    <w:rsid w:val="00707D0B"/>
    <w:rsid w:val="00707E5A"/>
    <w:rsid w:val="00707E6B"/>
    <w:rsid w:val="00707EA1"/>
    <w:rsid w:val="00707FA6"/>
    <w:rsid w:val="0071000C"/>
    <w:rsid w:val="007100BC"/>
    <w:rsid w:val="007100CA"/>
    <w:rsid w:val="00710399"/>
    <w:rsid w:val="007103C4"/>
    <w:rsid w:val="00710439"/>
    <w:rsid w:val="0071045E"/>
    <w:rsid w:val="007104D9"/>
    <w:rsid w:val="00710549"/>
    <w:rsid w:val="00710725"/>
    <w:rsid w:val="00710941"/>
    <w:rsid w:val="00710976"/>
    <w:rsid w:val="00710A79"/>
    <w:rsid w:val="00710A9E"/>
    <w:rsid w:val="00710AED"/>
    <w:rsid w:val="00710B1F"/>
    <w:rsid w:val="00710B89"/>
    <w:rsid w:val="00710BE9"/>
    <w:rsid w:val="00710BEC"/>
    <w:rsid w:val="00710CCC"/>
    <w:rsid w:val="00710D33"/>
    <w:rsid w:val="00710D6F"/>
    <w:rsid w:val="00710DB5"/>
    <w:rsid w:val="00711125"/>
    <w:rsid w:val="0071113A"/>
    <w:rsid w:val="007111BC"/>
    <w:rsid w:val="007112C2"/>
    <w:rsid w:val="00711357"/>
    <w:rsid w:val="007114D5"/>
    <w:rsid w:val="007115BF"/>
    <w:rsid w:val="00711609"/>
    <w:rsid w:val="0071166F"/>
    <w:rsid w:val="0071177D"/>
    <w:rsid w:val="00711825"/>
    <w:rsid w:val="0071185B"/>
    <w:rsid w:val="007118C9"/>
    <w:rsid w:val="00711A00"/>
    <w:rsid w:val="00711B95"/>
    <w:rsid w:val="00711BDB"/>
    <w:rsid w:val="00711D7C"/>
    <w:rsid w:val="00711E47"/>
    <w:rsid w:val="00711E6A"/>
    <w:rsid w:val="00711F0E"/>
    <w:rsid w:val="00711F66"/>
    <w:rsid w:val="00712074"/>
    <w:rsid w:val="007121A8"/>
    <w:rsid w:val="007121F5"/>
    <w:rsid w:val="007121F9"/>
    <w:rsid w:val="00712279"/>
    <w:rsid w:val="00712324"/>
    <w:rsid w:val="0071248C"/>
    <w:rsid w:val="007124ED"/>
    <w:rsid w:val="007126B6"/>
    <w:rsid w:val="007127DD"/>
    <w:rsid w:val="007128C9"/>
    <w:rsid w:val="00712AA9"/>
    <w:rsid w:val="00712C29"/>
    <w:rsid w:val="00712CB2"/>
    <w:rsid w:val="00712D0C"/>
    <w:rsid w:val="00712F5C"/>
    <w:rsid w:val="00712F8A"/>
    <w:rsid w:val="00712FF5"/>
    <w:rsid w:val="0071318D"/>
    <w:rsid w:val="007132D6"/>
    <w:rsid w:val="0071336B"/>
    <w:rsid w:val="00713398"/>
    <w:rsid w:val="0071345E"/>
    <w:rsid w:val="007134AA"/>
    <w:rsid w:val="007135E8"/>
    <w:rsid w:val="00713655"/>
    <w:rsid w:val="007136D9"/>
    <w:rsid w:val="007136F8"/>
    <w:rsid w:val="0071381D"/>
    <w:rsid w:val="00713920"/>
    <w:rsid w:val="00713925"/>
    <w:rsid w:val="00713981"/>
    <w:rsid w:val="00713A83"/>
    <w:rsid w:val="00713B78"/>
    <w:rsid w:val="00713C39"/>
    <w:rsid w:val="00713C5F"/>
    <w:rsid w:val="00713D4F"/>
    <w:rsid w:val="00713D85"/>
    <w:rsid w:val="00713EEB"/>
    <w:rsid w:val="00713FA0"/>
    <w:rsid w:val="00713FC3"/>
    <w:rsid w:val="0071404A"/>
    <w:rsid w:val="00714165"/>
    <w:rsid w:val="00714189"/>
    <w:rsid w:val="007141B8"/>
    <w:rsid w:val="00714248"/>
    <w:rsid w:val="00714286"/>
    <w:rsid w:val="00714316"/>
    <w:rsid w:val="0071446F"/>
    <w:rsid w:val="007144BE"/>
    <w:rsid w:val="00714597"/>
    <w:rsid w:val="00714617"/>
    <w:rsid w:val="007146C8"/>
    <w:rsid w:val="007146DB"/>
    <w:rsid w:val="00714763"/>
    <w:rsid w:val="0071494D"/>
    <w:rsid w:val="00714A4A"/>
    <w:rsid w:val="00714C8C"/>
    <w:rsid w:val="00714DC8"/>
    <w:rsid w:val="00714E35"/>
    <w:rsid w:val="00714E91"/>
    <w:rsid w:val="00714F1E"/>
    <w:rsid w:val="00714FA2"/>
    <w:rsid w:val="00715098"/>
    <w:rsid w:val="00715132"/>
    <w:rsid w:val="00715197"/>
    <w:rsid w:val="00715204"/>
    <w:rsid w:val="007152A0"/>
    <w:rsid w:val="00715314"/>
    <w:rsid w:val="007156D4"/>
    <w:rsid w:val="007156F3"/>
    <w:rsid w:val="0071583E"/>
    <w:rsid w:val="0071586B"/>
    <w:rsid w:val="007159BE"/>
    <w:rsid w:val="00715A50"/>
    <w:rsid w:val="00715B60"/>
    <w:rsid w:val="00715B77"/>
    <w:rsid w:val="00715BD8"/>
    <w:rsid w:val="00715C16"/>
    <w:rsid w:val="00715CCF"/>
    <w:rsid w:val="00715E00"/>
    <w:rsid w:val="00715E73"/>
    <w:rsid w:val="00715E79"/>
    <w:rsid w:val="0071605D"/>
    <w:rsid w:val="0071622B"/>
    <w:rsid w:val="00716249"/>
    <w:rsid w:val="00716392"/>
    <w:rsid w:val="0071650D"/>
    <w:rsid w:val="007165CA"/>
    <w:rsid w:val="007167A1"/>
    <w:rsid w:val="007167AC"/>
    <w:rsid w:val="007167B0"/>
    <w:rsid w:val="0071685E"/>
    <w:rsid w:val="007168FA"/>
    <w:rsid w:val="00716AD8"/>
    <w:rsid w:val="00716AF2"/>
    <w:rsid w:val="00716B36"/>
    <w:rsid w:val="00716BC6"/>
    <w:rsid w:val="00716C55"/>
    <w:rsid w:val="00716C5A"/>
    <w:rsid w:val="00716D01"/>
    <w:rsid w:val="00716DAC"/>
    <w:rsid w:val="00716F4C"/>
    <w:rsid w:val="00716FB4"/>
    <w:rsid w:val="007170A3"/>
    <w:rsid w:val="00717143"/>
    <w:rsid w:val="007171C8"/>
    <w:rsid w:val="0071725A"/>
    <w:rsid w:val="00717283"/>
    <w:rsid w:val="0071735E"/>
    <w:rsid w:val="007173C6"/>
    <w:rsid w:val="007173C8"/>
    <w:rsid w:val="00717657"/>
    <w:rsid w:val="007176CD"/>
    <w:rsid w:val="007176CF"/>
    <w:rsid w:val="0071777C"/>
    <w:rsid w:val="007178AA"/>
    <w:rsid w:val="00717934"/>
    <w:rsid w:val="007179A5"/>
    <w:rsid w:val="007179E0"/>
    <w:rsid w:val="00717C7C"/>
    <w:rsid w:val="00717CBB"/>
    <w:rsid w:val="00717CBF"/>
    <w:rsid w:val="00717CE5"/>
    <w:rsid w:val="00717D47"/>
    <w:rsid w:val="00717D83"/>
    <w:rsid w:val="00717DFA"/>
    <w:rsid w:val="00717E33"/>
    <w:rsid w:val="00717E4C"/>
    <w:rsid w:val="00717ECB"/>
    <w:rsid w:val="00717F85"/>
    <w:rsid w:val="007200C2"/>
    <w:rsid w:val="0072033D"/>
    <w:rsid w:val="0072044A"/>
    <w:rsid w:val="0072049E"/>
    <w:rsid w:val="00720537"/>
    <w:rsid w:val="00720553"/>
    <w:rsid w:val="007205A3"/>
    <w:rsid w:val="007205CA"/>
    <w:rsid w:val="007205D8"/>
    <w:rsid w:val="0072067B"/>
    <w:rsid w:val="0072086D"/>
    <w:rsid w:val="0072089F"/>
    <w:rsid w:val="00720A26"/>
    <w:rsid w:val="00720A6A"/>
    <w:rsid w:val="00720A7F"/>
    <w:rsid w:val="00720B67"/>
    <w:rsid w:val="00720BED"/>
    <w:rsid w:val="00720C66"/>
    <w:rsid w:val="00720C6F"/>
    <w:rsid w:val="00720D54"/>
    <w:rsid w:val="00720D7B"/>
    <w:rsid w:val="00720DC5"/>
    <w:rsid w:val="00720DFF"/>
    <w:rsid w:val="00720E10"/>
    <w:rsid w:val="007210F7"/>
    <w:rsid w:val="00721114"/>
    <w:rsid w:val="0072115F"/>
    <w:rsid w:val="00721284"/>
    <w:rsid w:val="00721405"/>
    <w:rsid w:val="00721431"/>
    <w:rsid w:val="007215E9"/>
    <w:rsid w:val="0072168E"/>
    <w:rsid w:val="00721698"/>
    <w:rsid w:val="007216BE"/>
    <w:rsid w:val="00721719"/>
    <w:rsid w:val="00721897"/>
    <w:rsid w:val="007218CB"/>
    <w:rsid w:val="007218E2"/>
    <w:rsid w:val="00721960"/>
    <w:rsid w:val="00721961"/>
    <w:rsid w:val="00721992"/>
    <w:rsid w:val="007219CC"/>
    <w:rsid w:val="00721A41"/>
    <w:rsid w:val="00721BC4"/>
    <w:rsid w:val="00721BFB"/>
    <w:rsid w:val="00721D13"/>
    <w:rsid w:val="00721DE7"/>
    <w:rsid w:val="00721F9D"/>
    <w:rsid w:val="00722066"/>
    <w:rsid w:val="00722375"/>
    <w:rsid w:val="007223FF"/>
    <w:rsid w:val="007225BA"/>
    <w:rsid w:val="00722684"/>
    <w:rsid w:val="007226E4"/>
    <w:rsid w:val="0072283A"/>
    <w:rsid w:val="00722A1E"/>
    <w:rsid w:val="00722A88"/>
    <w:rsid w:val="00722ABD"/>
    <w:rsid w:val="00722E13"/>
    <w:rsid w:val="00722EA3"/>
    <w:rsid w:val="00722F7D"/>
    <w:rsid w:val="0072306B"/>
    <w:rsid w:val="00723131"/>
    <w:rsid w:val="0072313D"/>
    <w:rsid w:val="007232AE"/>
    <w:rsid w:val="00723364"/>
    <w:rsid w:val="007233F6"/>
    <w:rsid w:val="0072341A"/>
    <w:rsid w:val="007234EB"/>
    <w:rsid w:val="00723682"/>
    <w:rsid w:val="007236F0"/>
    <w:rsid w:val="007237F0"/>
    <w:rsid w:val="00723863"/>
    <w:rsid w:val="00723869"/>
    <w:rsid w:val="007239E5"/>
    <w:rsid w:val="00723B1C"/>
    <w:rsid w:val="00723BDB"/>
    <w:rsid w:val="00723D1F"/>
    <w:rsid w:val="00723D3D"/>
    <w:rsid w:val="00723E61"/>
    <w:rsid w:val="00723ED7"/>
    <w:rsid w:val="00724073"/>
    <w:rsid w:val="007241DE"/>
    <w:rsid w:val="0072424F"/>
    <w:rsid w:val="007243EF"/>
    <w:rsid w:val="0072450D"/>
    <w:rsid w:val="0072459C"/>
    <w:rsid w:val="007245E2"/>
    <w:rsid w:val="00724630"/>
    <w:rsid w:val="00724664"/>
    <w:rsid w:val="007246BE"/>
    <w:rsid w:val="00724780"/>
    <w:rsid w:val="00724803"/>
    <w:rsid w:val="00724886"/>
    <w:rsid w:val="00724921"/>
    <w:rsid w:val="00724965"/>
    <w:rsid w:val="00724988"/>
    <w:rsid w:val="00724A67"/>
    <w:rsid w:val="00724AC4"/>
    <w:rsid w:val="00724B65"/>
    <w:rsid w:val="00724B75"/>
    <w:rsid w:val="00724B8F"/>
    <w:rsid w:val="00724B9C"/>
    <w:rsid w:val="00724BE6"/>
    <w:rsid w:val="00724D3F"/>
    <w:rsid w:val="00724D90"/>
    <w:rsid w:val="00724DC6"/>
    <w:rsid w:val="00724EC0"/>
    <w:rsid w:val="007250AC"/>
    <w:rsid w:val="007250B1"/>
    <w:rsid w:val="007250BF"/>
    <w:rsid w:val="00725223"/>
    <w:rsid w:val="007253D0"/>
    <w:rsid w:val="007253D9"/>
    <w:rsid w:val="00725400"/>
    <w:rsid w:val="00725460"/>
    <w:rsid w:val="007254FE"/>
    <w:rsid w:val="00725529"/>
    <w:rsid w:val="00725601"/>
    <w:rsid w:val="007256B4"/>
    <w:rsid w:val="007256DF"/>
    <w:rsid w:val="007256F9"/>
    <w:rsid w:val="0072571E"/>
    <w:rsid w:val="0072573E"/>
    <w:rsid w:val="007257EC"/>
    <w:rsid w:val="0072599A"/>
    <w:rsid w:val="00725AB1"/>
    <w:rsid w:val="00725B98"/>
    <w:rsid w:val="00725CE0"/>
    <w:rsid w:val="00725D43"/>
    <w:rsid w:val="00725D51"/>
    <w:rsid w:val="00725DC4"/>
    <w:rsid w:val="00725E4B"/>
    <w:rsid w:val="00725E6B"/>
    <w:rsid w:val="00725FBC"/>
    <w:rsid w:val="00726091"/>
    <w:rsid w:val="0072617C"/>
    <w:rsid w:val="00726266"/>
    <w:rsid w:val="00726396"/>
    <w:rsid w:val="007263C6"/>
    <w:rsid w:val="007263F1"/>
    <w:rsid w:val="00726419"/>
    <w:rsid w:val="0072642A"/>
    <w:rsid w:val="007265D1"/>
    <w:rsid w:val="0072663A"/>
    <w:rsid w:val="0072668E"/>
    <w:rsid w:val="007268B4"/>
    <w:rsid w:val="007269AE"/>
    <w:rsid w:val="007269EC"/>
    <w:rsid w:val="00726A14"/>
    <w:rsid w:val="00726A7A"/>
    <w:rsid w:val="00726B48"/>
    <w:rsid w:val="00726B84"/>
    <w:rsid w:val="00726BC5"/>
    <w:rsid w:val="00726CDB"/>
    <w:rsid w:val="00726DA8"/>
    <w:rsid w:val="00726DBA"/>
    <w:rsid w:val="00726DD4"/>
    <w:rsid w:val="00726E4E"/>
    <w:rsid w:val="00726E67"/>
    <w:rsid w:val="00726F7E"/>
    <w:rsid w:val="00726FB4"/>
    <w:rsid w:val="00727119"/>
    <w:rsid w:val="00727129"/>
    <w:rsid w:val="007271C5"/>
    <w:rsid w:val="00727270"/>
    <w:rsid w:val="0072728F"/>
    <w:rsid w:val="007272A0"/>
    <w:rsid w:val="007272F5"/>
    <w:rsid w:val="007273A5"/>
    <w:rsid w:val="00727523"/>
    <w:rsid w:val="007276EB"/>
    <w:rsid w:val="007277BC"/>
    <w:rsid w:val="00727819"/>
    <w:rsid w:val="00727867"/>
    <w:rsid w:val="00727A70"/>
    <w:rsid w:val="00727BBD"/>
    <w:rsid w:val="00727BE5"/>
    <w:rsid w:val="00727C97"/>
    <w:rsid w:val="00727DC1"/>
    <w:rsid w:val="00727DCA"/>
    <w:rsid w:val="00727F33"/>
    <w:rsid w:val="00730147"/>
    <w:rsid w:val="007301CB"/>
    <w:rsid w:val="007301F5"/>
    <w:rsid w:val="00730227"/>
    <w:rsid w:val="007302A9"/>
    <w:rsid w:val="007302CE"/>
    <w:rsid w:val="0073037C"/>
    <w:rsid w:val="00730417"/>
    <w:rsid w:val="0073044E"/>
    <w:rsid w:val="00730503"/>
    <w:rsid w:val="007305D6"/>
    <w:rsid w:val="00730608"/>
    <w:rsid w:val="00730717"/>
    <w:rsid w:val="007307EC"/>
    <w:rsid w:val="00730A7F"/>
    <w:rsid w:val="00730BC0"/>
    <w:rsid w:val="00730BC1"/>
    <w:rsid w:val="00730DB9"/>
    <w:rsid w:val="00730DF3"/>
    <w:rsid w:val="00730E44"/>
    <w:rsid w:val="00730EE4"/>
    <w:rsid w:val="00730F4C"/>
    <w:rsid w:val="00731002"/>
    <w:rsid w:val="00731085"/>
    <w:rsid w:val="007312A5"/>
    <w:rsid w:val="007313CE"/>
    <w:rsid w:val="007315BD"/>
    <w:rsid w:val="007315EB"/>
    <w:rsid w:val="0073169C"/>
    <w:rsid w:val="007316D9"/>
    <w:rsid w:val="007318D7"/>
    <w:rsid w:val="00731AB7"/>
    <w:rsid w:val="00731BA7"/>
    <w:rsid w:val="00731C90"/>
    <w:rsid w:val="00731DBA"/>
    <w:rsid w:val="00731EB4"/>
    <w:rsid w:val="00732025"/>
    <w:rsid w:val="007320AC"/>
    <w:rsid w:val="00732136"/>
    <w:rsid w:val="007322B6"/>
    <w:rsid w:val="007322E8"/>
    <w:rsid w:val="0073241A"/>
    <w:rsid w:val="0073243F"/>
    <w:rsid w:val="007325BE"/>
    <w:rsid w:val="007325F7"/>
    <w:rsid w:val="007326F2"/>
    <w:rsid w:val="00732871"/>
    <w:rsid w:val="007328F0"/>
    <w:rsid w:val="00732961"/>
    <w:rsid w:val="007329B9"/>
    <w:rsid w:val="00732B3F"/>
    <w:rsid w:val="00732BC8"/>
    <w:rsid w:val="00732D62"/>
    <w:rsid w:val="00732D73"/>
    <w:rsid w:val="00732E65"/>
    <w:rsid w:val="00732E80"/>
    <w:rsid w:val="00732ECF"/>
    <w:rsid w:val="00732EDA"/>
    <w:rsid w:val="0073318F"/>
    <w:rsid w:val="00733237"/>
    <w:rsid w:val="0073329A"/>
    <w:rsid w:val="007332C2"/>
    <w:rsid w:val="007333F4"/>
    <w:rsid w:val="0073340E"/>
    <w:rsid w:val="007334A3"/>
    <w:rsid w:val="007334EB"/>
    <w:rsid w:val="00733627"/>
    <w:rsid w:val="0073369A"/>
    <w:rsid w:val="007336BA"/>
    <w:rsid w:val="00733845"/>
    <w:rsid w:val="00733B19"/>
    <w:rsid w:val="00733B35"/>
    <w:rsid w:val="00733BD3"/>
    <w:rsid w:val="00733C55"/>
    <w:rsid w:val="00733D48"/>
    <w:rsid w:val="00733DFB"/>
    <w:rsid w:val="00733E33"/>
    <w:rsid w:val="00733F80"/>
    <w:rsid w:val="00734070"/>
    <w:rsid w:val="007341BC"/>
    <w:rsid w:val="007341D0"/>
    <w:rsid w:val="0073420B"/>
    <w:rsid w:val="00734290"/>
    <w:rsid w:val="007342B8"/>
    <w:rsid w:val="007343FE"/>
    <w:rsid w:val="00734414"/>
    <w:rsid w:val="007344A9"/>
    <w:rsid w:val="007344D7"/>
    <w:rsid w:val="00734522"/>
    <w:rsid w:val="00734759"/>
    <w:rsid w:val="00734777"/>
    <w:rsid w:val="007347E4"/>
    <w:rsid w:val="007347E7"/>
    <w:rsid w:val="00734802"/>
    <w:rsid w:val="0073489A"/>
    <w:rsid w:val="007348D2"/>
    <w:rsid w:val="00734A10"/>
    <w:rsid w:val="00734A5C"/>
    <w:rsid w:val="00734A71"/>
    <w:rsid w:val="00734B39"/>
    <w:rsid w:val="00734C85"/>
    <w:rsid w:val="00734D93"/>
    <w:rsid w:val="00734D98"/>
    <w:rsid w:val="00734E2E"/>
    <w:rsid w:val="00734EE7"/>
    <w:rsid w:val="00734FC1"/>
    <w:rsid w:val="0073500D"/>
    <w:rsid w:val="00735014"/>
    <w:rsid w:val="0073508E"/>
    <w:rsid w:val="007350CA"/>
    <w:rsid w:val="00735272"/>
    <w:rsid w:val="00735296"/>
    <w:rsid w:val="007353C3"/>
    <w:rsid w:val="007353D1"/>
    <w:rsid w:val="0073566A"/>
    <w:rsid w:val="0073573B"/>
    <w:rsid w:val="007357FC"/>
    <w:rsid w:val="007358D4"/>
    <w:rsid w:val="00735948"/>
    <w:rsid w:val="0073596A"/>
    <w:rsid w:val="0073598C"/>
    <w:rsid w:val="00735A44"/>
    <w:rsid w:val="00735C35"/>
    <w:rsid w:val="00735D70"/>
    <w:rsid w:val="00735DB9"/>
    <w:rsid w:val="00735EAB"/>
    <w:rsid w:val="00735F77"/>
    <w:rsid w:val="00735FAF"/>
    <w:rsid w:val="00736091"/>
    <w:rsid w:val="007360E2"/>
    <w:rsid w:val="00736188"/>
    <w:rsid w:val="007361A8"/>
    <w:rsid w:val="00736245"/>
    <w:rsid w:val="0073633C"/>
    <w:rsid w:val="00736515"/>
    <w:rsid w:val="007365F2"/>
    <w:rsid w:val="0073663A"/>
    <w:rsid w:val="00736682"/>
    <w:rsid w:val="007368EB"/>
    <w:rsid w:val="0073694F"/>
    <w:rsid w:val="00736B4E"/>
    <w:rsid w:val="00736CE1"/>
    <w:rsid w:val="00736D6C"/>
    <w:rsid w:val="00736D8D"/>
    <w:rsid w:val="00736E8C"/>
    <w:rsid w:val="00736ECA"/>
    <w:rsid w:val="00736F7B"/>
    <w:rsid w:val="00737149"/>
    <w:rsid w:val="007371B2"/>
    <w:rsid w:val="00737217"/>
    <w:rsid w:val="007372CB"/>
    <w:rsid w:val="00737393"/>
    <w:rsid w:val="007373C9"/>
    <w:rsid w:val="0073740C"/>
    <w:rsid w:val="0073747A"/>
    <w:rsid w:val="00737528"/>
    <w:rsid w:val="00737574"/>
    <w:rsid w:val="00737651"/>
    <w:rsid w:val="007376D2"/>
    <w:rsid w:val="007379E1"/>
    <w:rsid w:val="007379F0"/>
    <w:rsid w:val="00737BAE"/>
    <w:rsid w:val="00737D0C"/>
    <w:rsid w:val="00737E83"/>
    <w:rsid w:val="00737F1C"/>
    <w:rsid w:val="00737F3F"/>
    <w:rsid w:val="00737F54"/>
    <w:rsid w:val="00737F9E"/>
    <w:rsid w:val="0074015B"/>
    <w:rsid w:val="00740187"/>
    <w:rsid w:val="00740251"/>
    <w:rsid w:val="0074049B"/>
    <w:rsid w:val="0074058E"/>
    <w:rsid w:val="00740606"/>
    <w:rsid w:val="007406A4"/>
    <w:rsid w:val="0074070C"/>
    <w:rsid w:val="0074073F"/>
    <w:rsid w:val="0074080B"/>
    <w:rsid w:val="007408A9"/>
    <w:rsid w:val="00740AAE"/>
    <w:rsid w:val="00740BD6"/>
    <w:rsid w:val="00740C60"/>
    <w:rsid w:val="00740CA5"/>
    <w:rsid w:val="00740CAA"/>
    <w:rsid w:val="00740D0C"/>
    <w:rsid w:val="00740EAB"/>
    <w:rsid w:val="00740EC5"/>
    <w:rsid w:val="00740EE9"/>
    <w:rsid w:val="00740EFB"/>
    <w:rsid w:val="00740F6D"/>
    <w:rsid w:val="00740FB9"/>
    <w:rsid w:val="00741101"/>
    <w:rsid w:val="00741104"/>
    <w:rsid w:val="0074112E"/>
    <w:rsid w:val="007411C6"/>
    <w:rsid w:val="007411D3"/>
    <w:rsid w:val="007413D9"/>
    <w:rsid w:val="00741413"/>
    <w:rsid w:val="00741446"/>
    <w:rsid w:val="00741453"/>
    <w:rsid w:val="0074193D"/>
    <w:rsid w:val="0074199C"/>
    <w:rsid w:val="00741A28"/>
    <w:rsid w:val="00741DB9"/>
    <w:rsid w:val="00741E9C"/>
    <w:rsid w:val="00741F1C"/>
    <w:rsid w:val="00741FAC"/>
    <w:rsid w:val="007422BD"/>
    <w:rsid w:val="007422DA"/>
    <w:rsid w:val="00742314"/>
    <w:rsid w:val="0074245A"/>
    <w:rsid w:val="007424E5"/>
    <w:rsid w:val="00742551"/>
    <w:rsid w:val="007425C6"/>
    <w:rsid w:val="007425E5"/>
    <w:rsid w:val="007425FA"/>
    <w:rsid w:val="00742799"/>
    <w:rsid w:val="00742AB7"/>
    <w:rsid w:val="00742B98"/>
    <w:rsid w:val="00742BBC"/>
    <w:rsid w:val="00742BD3"/>
    <w:rsid w:val="00742C8F"/>
    <w:rsid w:val="00742CF4"/>
    <w:rsid w:val="00742D28"/>
    <w:rsid w:val="00742EBF"/>
    <w:rsid w:val="00742F16"/>
    <w:rsid w:val="00742F90"/>
    <w:rsid w:val="00743045"/>
    <w:rsid w:val="007430A7"/>
    <w:rsid w:val="007430E4"/>
    <w:rsid w:val="0074310B"/>
    <w:rsid w:val="00743185"/>
    <w:rsid w:val="0074321D"/>
    <w:rsid w:val="007432B9"/>
    <w:rsid w:val="00743320"/>
    <w:rsid w:val="00743420"/>
    <w:rsid w:val="00743480"/>
    <w:rsid w:val="00743562"/>
    <w:rsid w:val="007436B9"/>
    <w:rsid w:val="007436D0"/>
    <w:rsid w:val="00743843"/>
    <w:rsid w:val="00743897"/>
    <w:rsid w:val="007438AB"/>
    <w:rsid w:val="007438F6"/>
    <w:rsid w:val="00743904"/>
    <w:rsid w:val="00743A3C"/>
    <w:rsid w:val="00743AF6"/>
    <w:rsid w:val="00743C33"/>
    <w:rsid w:val="00743C5C"/>
    <w:rsid w:val="00743D0F"/>
    <w:rsid w:val="00743DBE"/>
    <w:rsid w:val="00743E39"/>
    <w:rsid w:val="00743E5A"/>
    <w:rsid w:val="00743E67"/>
    <w:rsid w:val="00743EC3"/>
    <w:rsid w:val="00743F1A"/>
    <w:rsid w:val="00743F3D"/>
    <w:rsid w:val="00743FB9"/>
    <w:rsid w:val="0074412B"/>
    <w:rsid w:val="00744229"/>
    <w:rsid w:val="0074423B"/>
    <w:rsid w:val="007442CC"/>
    <w:rsid w:val="007442E3"/>
    <w:rsid w:val="007443FE"/>
    <w:rsid w:val="00744502"/>
    <w:rsid w:val="007446F2"/>
    <w:rsid w:val="00744765"/>
    <w:rsid w:val="007447EC"/>
    <w:rsid w:val="0074481E"/>
    <w:rsid w:val="0074485C"/>
    <w:rsid w:val="00744882"/>
    <w:rsid w:val="0074499D"/>
    <w:rsid w:val="00744A4B"/>
    <w:rsid w:val="00744AB2"/>
    <w:rsid w:val="00744AD5"/>
    <w:rsid w:val="00744B49"/>
    <w:rsid w:val="00744C27"/>
    <w:rsid w:val="00744D2B"/>
    <w:rsid w:val="00744FCD"/>
    <w:rsid w:val="00744FD4"/>
    <w:rsid w:val="00745027"/>
    <w:rsid w:val="00745235"/>
    <w:rsid w:val="00745247"/>
    <w:rsid w:val="0074528E"/>
    <w:rsid w:val="00745295"/>
    <w:rsid w:val="007452E4"/>
    <w:rsid w:val="007454AE"/>
    <w:rsid w:val="007454CE"/>
    <w:rsid w:val="00745513"/>
    <w:rsid w:val="007455B0"/>
    <w:rsid w:val="00745658"/>
    <w:rsid w:val="0074576E"/>
    <w:rsid w:val="007457F1"/>
    <w:rsid w:val="00745877"/>
    <w:rsid w:val="0074593C"/>
    <w:rsid w:val="00745A40"/>
    <w:rsid w:val="00745B7D"/>
    <w:rsid w:val="00745B88"/>
    <w:rsid w:val="00745B98"/>
    <w:rsid w:val="00745B9B"/>
    <w:rsid w:val="00745BBC"/>
    <w:rsid w:val="00745C71"/>
    <w:rsid w:val="00745E83"/>
    <w:rsid w:val="00745F78"/>
    <w:rsid w:val="0074615C"/>
    <w:rsid w:val="00746204"/>
    <w:rsid w:val="00746214"/>
    <w:rsid w:val="00746240"/>
    <w:rsid w:val="00746278"/>
    <w:rsid w:val="007462D5"/>
    <w:rsid w:val="007462F6"/>
    <w:rsid w:val="00746389"/>
    <w:rsid w:val="00746425"/>
    <w:rsid w:val="007464DF"/>
    <w:rsid w:val="007464EE"/>
    <w:rsid w:val="007465C5"/>
    <w:rsid w:val="00746677"/>
    <w:rsid w:val="00746685"/>
    <w:rsid w:val="007466BA"/>
    <w:rsid w:val="00746758"/>
    <w:rsid w:val="007467DF"/>
    <w:rsid w:val="00746818"/>
    <w:rsid w:val="007468AF"/>
    <w:rsid w:val="00746976"/>
    <w:rsid w:val="00746B54"/>
    <w:rsid w:val="00746CD9"/>
    <w:rsid w:val="00746D42"/>
    <w:rsid w:val="00746F09"/>
    <w:rsid w:val="00746F70"/>
    <w:rsid w:val="00746F85"/>
    <w:rsid w:val="00746FE1"/>
    <w:rsid w:val="00747015"/>
    <w:rsid w:val="007471EF"/>
    <w:rsid w:val="00747226"/>
    <w:rsid w:val="007472B1"/>
    <w:rsid w:val="00747308"/>
    <w:rsid w:val="00747554"/>
    <w:rsid w:val="0074757E"/>
    <w:rsid w:val="00747A1A"/>
    <w:rsid w:val="00747CD5"/>
    <w:rsid w:val="00747D92"/>
    <w:rsid w:val="00747E98"/>
    <w:rsid w:val="00747EC4"/>
    <w:rsid w:val="00747EF4"/>
    <w:rsid w:val="00750043"/>
    <w:rsid w:val="007500A7"/>
    <w:rsid w:val="007501CE"/>
    <w:rsid w:val="007502F1"/>
    <w:rsid w:val="0075035D"/>
    <w:rsid w:val="007503BA"/>
    <w:rsid w:val="007503E3"/>
    <w:rsid w:val="0075042C"/>
    <w:rsid w:val="007504BC"/>
    <w:rsid w:val="007505BF"/>
    <w:rsid w:val="007505DF"/>
    <w:rsid w:val="00750769"/>
    <w:rsid w:val="00750884"/>
    <w:rsid w:val="00750934"/>
    <w:rsid w:val="007509AC"/>
    <w:rsid w:val="00750A25"/>
    <w:rsid w:val="00750A37"/>
    <w:rsid w:val="00750B25"/>
    <w:rsid w:val="00750B3C"/>
    <w:rsid w:val="00750D62"/>
    <w:rsid w:val="00750DC2"/>
    <w:rsid w:val="007510B3"/>
    <w:rsid w:val="00751127"/>
    <w:rsid w:val="00751180"/>
    <w:rsid w:val="00751266"/>
    <w:rsid w:val="007512CB"/>
    <w:rsid w:val="007513D2"/>
    <w:rsid w:val="00751410"/>
    <w:rsid w:val="0075141B"/>
    <w:rsid w:val="007515B8"/>
    <w:rsid w:val="007517DB"/>
    <w:rsid w:val="00751855"/>
    <w:rsid w:val="0075196D"/>
    <w:rsid w:val="00751991"/>
    <w:rsid w:val="00751A0F"/>
    <w:rsid w:val="00751A2C"/>
    <w:rsid w:val="00751AA3"/>
    <w:rsid w:val="00751BF2"/>
    <w:rsid w:val="00751CE8"/>
    <w:rsid w:val="00751CF4"/>
    <w:rsid w:val="00751D0F"/>
    <w:rsid w:val="00751E09"/>
    <w:rsid w:val="00751EFC"/>
    <w:rsid w:val="00751F3C"/>
    <w:rsid w:val="00751F49"/>
    <w:rsid w:val="00752030"/>
    <w:rsid w:val="007520CE"/>
    <w:rsid w:val="007521A1"/>
    <w:rsid w:val="007522B1"/>
    <w:rsid w:val="007522F2"/>
    <w:rsid w:val="0075245E"/>
    <w:rsid w:val="00752479"/>
    <w:rsid w:val="00752481"/>
    <w:rsid w:val="00752526"/>
    <w:rsid w:val="007525C9"/>
    <w:rsid w:val="007526CE"/>
    <w:rsid w:val="00752700"/>
    <w:rsid w:val="00752763"/>
    <w:rsid w:val="007527E3"/>
    <w:rsid w:val="00752842"/>
    <w:rsid w:val="00752A18"/>
    <w:rsid w:val="00752ACC"/>
    <w:rsid w:val="00752CE4"/>
    <w:rsid w:val="00752F6A"/>
    <w:rsid w:val="00753054"/>
    <w:rsid w:val="0075310A"/>
    <w:rsid w:val="0075318E"/>
    <w:rsid w:val="00753239"/>
    <w:rsid w:val="0075330B"/>
    <w:rsid w:val="00753388"/>
    <w:rsid w:val="0075343A"/>
    <w:rsid w:val="0075352E"/>
    <w:rsid w:val="007535A9"/>
    <w:rsid w:val="007535D3"/>
    <w:rsid w:val="00753820"/>
    <w:rsid w:val="007538E8"/>
    <w:rsid w:val="00753942"/>
    <w:rsid w:val="007539FE"/>
    <w:rsid w:val="00753A54"/>
    <w:rsid w:val="00753A91"/>
    <w:rsid w:val="00753D20"/>
    <w:rsid w:val="00753D9C"/>
    <w:rsid w:val="00754223"/>
    <w:rsid w:val="00754242"/>
    <w:rsid w:val="0075424D"/>
    <w:rsid w:val="00754388"/>
    <w:rsid w:val="00754415"/>
    <w:rsid w:val="00754462"/>
    <w:rsid w:val="00754490"/>
    <w:rsid w:val="007544C9"/>
    <w:rsid w:val="007546DE"/>
    <w:rsid w:val="007546EE"/>
    <w:rsid w:val="00754728"/>
    <w:rsid w:val="007548C4"/>
    <w:rsid w:val="007548C5"/>
    <w:rsid w:val="00754A11"/>
    <w:rsid w:val="00754A7F"/>
    <w:rsid w:val="00754B9A"/>
    <w:rsid w:val="00754E24"/>
    <w:rsid w:val="00754E44"/>
    <w:rsid w:val="00754E52"/>
    <w:rsid w:val="00754E87"/>
    <w:rsid w:val="00754F01"/>
    <w:rsid w:val="00755055"/>
    <w:rsid w:val="007550A8"/>
    <w:rsid w:val="00755239"/>
    <w:rsid w:val="0075532E"/>
    <w:rsid w:val="007553BB"/>
    <w:rsid w:val="00755464"/>
    <w:rsid w:val="007554A2"/>
    <w:rsid w:val="0075554C"/>
    <w:rsid w:val="007555C9"/>
    <w:rsid w:val="007555E4"/>
    <w:rsid w:val="00755786"/>
    <w:rsid w:val="007557E3"/>
    <w:rsid w:val="00755893"/>
    <w:rsid w:val="007558FC"/>
    <w:rsid w:val="0075596F"/>
    <w:rsid w:val="00755DD7"/>
    <w:rsid w:val="00755E1C"/>
    <w:rsid w:val="00755EE2"/>
    <w:rsid w:val="00755F56"/>
    <w:rsid w:val="00755FB0"/>
    <w:rsid w:val="00756112"/>
    <w:rsid w:val="00756181"/>
    <w:rsid w:val="00756570"/>
    <w:rsid w:val="00756598"/>
    <w:rsid w:val="007566AA"/>
    <w:rsid w:val="0075672D"/>
    <w:rsid w:val="00756790"/>
    <w:rsid w:val="00756825"/>
    <w:rsid w:val="007568C2"/>
    <w:rsid w:val="007568D8"/>
    <w:rsid w:val="00756995"/>
    <w:rsid w:val="00756ADE"/>
    <w:rsid w:val="00756B19"/>
    <w:rsid w:val="00756BE4"/>
    <w:rsid w:val="00756BF4"/>
    <w:rsid w:val="00756F2A"/>
    <w:rsid w:val="00756F72"/>
    <w:rsid w:val="00757085"/>
    <w:rsid w:val="007571EC"/>
    <w:rsid w:val="00757226"/>
    <w:rsid w:val="00757228"/>
    <w:rsid w:val="0075724A"/>
    <w:rsid w:val="0075728F"/>
    <w:rsid w:val="007572AC"/>
    <w:rsid w:val="007573FD"/>
    <w:rsid w:val="00757454"/>
    <w:rsid w:val="007575B3"/>
    <w:rsid w:val="007576AD"/>
    <w:rsid w:val="007576C8"/>
    <w:rsid w:val="00757812"/>
    <w:rsid w:val="00757865"/>
    <w:rsid w:val="00757889"/>
    <w:rsid w:val="00757899"/>
    <w:rsid w:val="00757913"/>
    <w:rsid w:val="00757A1B"/>
    <w:rsid w:val="00757AF6"/>
    <w:rsid w:val="00757AF7"/>
    <w:rsid w:val="00757B5B"/>
    <w:rsid w:val="00757CCA"/>
    <w:rsid w:val="00757D4C"/>
    <w:rsid w:val="00757D71"/>
    <w:rsid w:val="00757DAA"/>
    <w:rsid w:val="00757E60"/>
    <w:rsid w:val="00757FF1"/>
    <w:rsid w:val="007600C8"/>
    <w:rsid w:val="0076014E"/>
    <w:rsid w:val="007601DE"/>
    <w:rsid w:val="00760230"/>
    <w:rsid w:val="0076031D"/>
    <w:rsid w:val="00760351"/>
    <w:rsid w:val="00760362"/>
    <w:rsid w:val="0076038C"/>
    <w:rsid w:val="007603CE"/>
    <w:rsid w:val="00760400"/>
    <w:rsid w:val="00760446"/>
    <w:rsid w:val="007604C4"/>
    <w:rsid w:val="00760545"/>
    <w:rsid w:val="00760586"/>
    <w:rsid w:val="00760598"/>
    <w:rsid w:val="00760642"/>
    <w:rsid w:val="0076068B"/>
    <w:rsid w:val="007606AD"/>
    <w:rsid w:val="007606D6"/>
    <w:rsid w:val="007607F5"/>
    <w:rsid w:val="00760878"/>
    <w:rsid w:val="007608F0"/>
    <w:rsid w:val="00760904"/>
    <w:rsid w:val="0076092B"/>
    <w:rsid w:val="007609DF"/>
    <w:rsid w:val="007609EE"/>
    <w:rsid w:val="00760A4C"/>
    <w:rsid w:val="00760A9B"/>
    <w:rsid w:val="00760AAC"/>
    <w:rsid w:val="00760DCD"/>
    <w:rsid w:val="00760E34"/>
    <w:rsid w:val="00760E8A"/>
    <w:rsid w:val="00760FB7"/>
    <w:rsid w:val="00761000"/>
    <w:rsid w:val="00761046"/>
    <w:rsid w:val="0076108D"/>
    <w:rsid w:val="007610A1"/>
    <w:rsid w:val="007610D2"/>
    <w:rsid w:val="0076128E"/>
    <w:rsid w:val="007612F7"/>
    <w:rsid w:val="0076132F"/>
    <w:rsid w:val="007613E6"/>
    <w:rsid w:val="00761455"/>
    <w:rsid w:val="007614BA"/>
    <w:rsid w:val="00761716"/>
    <w:rsid w:val="00761725"/>
    <w:rsid w:val="00761A30"/>
    <w:rsid w:val="00761B74"/>
    <w:rsid w:val="00761B84"/>
    <w:rsid w:val="00761BE7"/>
    <w:rsid w:val="00761C14"/>
    <w:rsid w:val="00761C51"/>
    <w:rsid w:val="00761CCE"/>
    <w:rsid w:val="00761D4E"/>
    <w:rsid w:val="00761D56"/>
    <w:rsid w:val="00761F6E"/>
    <w:rsid w:val="00761FBA"/>
    <w:rsid w:val="0076205C"/>
    <w:rsid w:val="007620E9"/>
    <w:rsid w:val="0076223F"/>
    <w:rsid w:val="007622AE"/>
    <w:rsid w:val="0076233D"/>
    <w:rsid w:val="007623A4"/>
    <w:rsid w:val="007624B2"/>
    <w:rsid w:val="007624C0"/>
    <w:rsid w:val="007624D1"/>
    <w:rsid w:val="0076255D"/>
    <w:rsid w:val="00762760"/>
    <w:rsid w:val="007627CD"/>
    <w:rsid w:val="0076282A"/>
    <w:rsid w:val="0076288C"/>
    <w:rsid w:val="00762947"/>
    <w:rsid w:val="007629FA"/>
    <w:rsid w:val="00762AB8"/>
    <w:rsid w:val="00762AE6"/>
    <w:rsid w:val="00762B4C"/>
    <w:rsid w:val="00762B9A"/>
    <w:rsid w:val="00762BE3"/>
    <w:rsid w:val="00762C88"/>
    <w:rsid w:val="00762CDA"/>
    <w:rsid w:val="00762E5B"/>
    <w:rsid w:val="00762E69"/>
    <w:rsid w:val="00762FD9"/>
    <w:rsid w:val="00763003"/>
    <w:rsid w:val="0076320C"/>
    <w:rsid w:val="0076327B"/>
    <w:rsid w:val="007632C9"/>
    <w:rsid w:val="00763491"/>
    <w:rsid w:val="007634AF"/>
    <w:rsid w:val="007634CC"/>
    <w:rsid w:val="007634FE"/>
    <w:rsid w:val="0076354F"/>
    <w:rsid w:val="0076359C"/>
    <w:rsid w:val="007635DB"/>
    <w:rsid w:val="007635EE"/>
    <w:rsid w:val="00763647"/>
    <w:rsid w:val="00763651"/>
    <w:rsid w:val="007637A9"/>
    <w:rsid w:val="007637F9"/>
    <w:rsid w:val="00763851"/>
    <w:rsid w:val="007638DF"/>
    <w:rsid w:val="00763AE1"/>
    <w:rsid w:val="00763C75"/>
    <w:rsid w:val="00763D52"/>
    <w:rsid w:val="00763EC7"/>
    <w:rsid w:val="007640C6"/>
    <w:rsid w:val="0076420B"/>
    <w:rsid w:val="0076424C"/>
    <w:rsid w:val="007642C6"/>
    <w:rsid w:val="00764311"/>
    <w:rsid w:val="00764438"/>
    <w:rsid w:val="0076455E"/>
    <w:rsid w:val="007645AC"/>
    <w:rsid w:val="00764758"/>
    <w:rsid w:val="00764872"/>
    <w:rsid w:val="00764ABA"/>
    <w:rsid w:val="00764B1F"/>
    <w:rsid w:val="00764BEA"/>
    <w:rsid w:val="00764C2D"/>
    <w:rsid w:val="00764C49"/>
    <w:rsid w:val="00764C73"/>
    <w:rsid w:val="00764DC7"/>
    <w:rsid w:val="00764E51"/>
    <w:rsid w:val="00764F31"/>
    <w:rsid w:val="00765005"/>
    <w:rsid w:val="00765084"/>
    <w:rsid w:val="007650FB"/>
    <w:rsid w:val="00765163"/>
    <w:rsid w:val="0076568D"/>
    <w:rsid w:val="007659DF"/>
    <w:rsid w:val="00765AC0"/>
    <w:rsid w:val="00765B16"/>
    <w:rsid w:val="00765B68"/>
    <w:rsid w:val="00765BB6"/>
    <w:rsid w:val="00765D07"/>
    <w:rsid w:val="00765D5C"/>
    <w:rsid w:val="00765E00"/>
    <w:rsid w:val="00765E13"/>
    <w:rsid w:val="00765E8E"/>
    <w:rsid w:val="0076603A"/>
    <w:rsid w:val="00766159"/>
    <w:rsid w:val="0076617A"/>
    <w:rsid w:val="00766189"/>
    <w:rsid w:val="007662C0"/>
    <w:rsid w:val="007662E6"/>
    <w:rsid w:val="00766374"/>
    <w:rsid w:val="00766384"/>
    <w:rsid w:val="0076648C"/>
    <w:rsid w:val="00766531"/>
    <w:rsid w:val="00766570"/>
    <w:rsid w:val="00766641"/>
    <w:rsid w:val="00766790"/>
    <w:rsid w:val="007668A1"/>
    <w:rsid w:val="007668A5"/>
    <w:rsid w:val="00766A08"/>
    <w:rsid w:val="00766AAC"/>
    <w:rsid w:val="00766ABB"/>
    <w:rsid w:val="00766B2F"/>
    <w:rsid w:val="00766B4E"/>
    <w:rsid w:val="00766BCF"/>
    <w:rsid w:val="00766C31"/>
    <w:rsid w:val="00766EB6"/>
    <w:rsid w:val="00766F63"/>
    <w:rsid w:val="00766FCD"/>
    <w:rsid w:val="00767114"/>
    <w:rsid w:val="007671D9"/>
    <w:rsid w:val="007672BA"/>
    <w:rsid w:val="007672FE"/>
    <w:rsid w:val="007674C9"/>
    <w:rsid w:val="00767524"/>
    <w:rsid w:val="00767568"/>
    <w:rsid w:val="007676C8"/>
    <w:rsid w:val="007676D8"/>
    <w:rsid w:val="00767739"/>
    <w:rsid w:val="00767776"/>
    <w:rsid w:val="00767932"/>
    <w:rsid w:val="0076794B"/>
    <w:rsid w:val="00767B60"/>
    <w:rsid w:val="00767C0B"/>
    <w:rsid w:val="00767E60"/>
    <w:rsid w:val="00767EE5"/>
    <w:rsid w:val="00770115"/>
    <w:rsid w:val="0077025D"/>
    <w:rsid w:val="0077044F"/>
    <w:rsid w:val="00770467"/>
    <w:rsid w:val="00770492"/>
    <w:rsid w:val="00770781"/>
    <w:rsid w:val="007708C0"/>
    <w:rsid w:val="007708F0"/>
    <w:rsid w:val="0077099E"/>
    <w:rsid w:val="007709C1"/>
    <w:rsid w:val="00770B10"/>
    <w:rsid w:val="00770BBB"/>
    <w:rsid w:val="00770C10"/>
    <w:rsid w:val="00770CAD"/>
    <w:rsid w:val="00770D28"/>
    <w:rsid w:val="00770F97"/>
    <w:rsid w:val="00771088"/>
    <w:rsid w:val="007710CC"/>
    <w:rsid w:val="00771179"/>
    <w:rsid w:val="00771449"/>
    <w:rsid w:val="0077152E"/>
    <w:rsid w:val="00771553"/>
    <w:rsid w:val="0077157D"/>
    <w:rsid w:val="0077173C"/>
    <w:rsid w:val="0077174E"/>
    <w:rsid w:val="00771979"/>
    <w:rsid w:val="00771AA0"/>
    <w:rsid w:val="00771B66"/>
    <w:rsid w:val="00771C23"/>
    <w:rsid w:val="00771D71"/>
    <w:rsid w:val="00771E51"/>
    <w:rsid w:val="00771E53"/>
    <w:rsid w:val="00771EC1"/>
    <w:rsid w:val="00771FAB"/>
    <w:rsid w:val="00771FAD"/>
    <w:rsid w:val="007721F0"/>
    <w:rsid w:val="0077238E"/>
    <w:rsid w:val="007723E4"/>
    <w:rsid w:val="0077248C"/>
    <w:rsid w:val="007724D8"/>
    <w:rsid w:val="0077272D"/>
    <w:rsid w:val="0077276D"/>
    <w:rsid w:val="007728A2"/>
    <w:rsid w:val="007728C8"/>
    <w:rsid w:val="00772926"/>
    <w:rsid w:val="007729DE"/>
    <w:rsid w:val="00772A14"/>
    <w:rsid w:val="00772A4B"/>
    <w:rsid w:val="00772A92"/>
    <w:rsid w:val="00772AE9"/>
    <w:rsid w:val="00772B85"/>
    <w:rsid w:val="00772CB5"/>
    <w:rsid w:val="00772DC8"/>
    <w:rsid w:val="00772E2B"/>
    <w:rsid w:val="00772E4F"/>
    <w:rsid w:val="00772E90"/>
    <w:rsid w:val="00773065"/>
    <w:rsid w:val="007730CB"/>
    <w:rsid w:val="0077320A"/>
    <w:rsid w:val="007732EE"/>
    <w:rsid w:val="00773331"/>
    <w:rsid w:val="00773373"/>
    <w:rsid w:val="0077341A"/>
    <w:rsid w:val="00773535"/>
    <w:rsid w:val="0077355C"/>
    <w:rsid w:val="00773694"/>
    <w:rsid w:val="007737B4"/>
    <w:rsid w:val="007737D7"/>
    <w:rsid w:val="007737E9"/>
    <w:rsid w:val="00773A04"/>
    <w:rsid w:val="00773CF2"/>
    <w:rsid w:val="00773D1E"/>
    <w:rsid w:val="00773D20"/>
    <w:rsid w:val="00773D7C"/>
    <w:rsid w:val="00773D82"/>
    <w:rsid w:val="00773DB5"/>
    <w:rsid w:val="00773DEA"/>
    <w:rsid w:val="00773F17"/>
    <w:rsid w:val="00773F7F"/>
    <w:rsid w:val="00773FB0"/>
    <w:rsid w:val="00773FEE"/>
    <w:rsid w:val="00774037"/>
    <w:rsid w:val="00774090"/>
    <w:rsid w:val="007740FE"/>
    <w:rsid w:val="00774199"/>
    <w:rsid w:val="0077419D"/>
    <w:rsid w:val="00774301"/>
    <w:rsid w:val="007744B1"/>
    <w:rsid w:val="00774640"/>
    <w:rsid w:val="0077467B"/>
    <w:rsid w:val="0077471F"/>
    <w:rsid w:val="00774814"/>
    <w:rsid w:val="007748E9"/>
    <w:rsid w:val="00774926"/>
    <w:rsid w:val="00774C4E"/>
    <w:rsid w:val="00774C64"/>
    <w:rsid w:val="00774D3F"/>
    <w:rsid w:val="00774DDC"/>
    <w:rsid w:val="00774EEE"/>
    <w:rsid w:val="00774F88"/>
    <w:rsid w:val="0077521D"/>
    <w:rsid w:val="00775338"/>
    <w:rsid w:val="00775351"/>
    <w:rsid w:val="007753EE"/>
    <w:rsid w:val="00775483"/>
    <w:rsid w:val="00775526"/>
    <w:rsid w:val="00775652"/>
    <w:rsid w:val="007756FC"/>
    <w:rsid w:val="0077570B"/>
    <w:rsid w:val="00775752"/>
    <w:rsid w:val="00775A10"/>
    <w:rsid w:val="00775BE0"/>
    <w:rsid w:val="00775D2E"/>
    <w:rsid w:val="00775D33"/>
    <w:rsid w:val="00775DAE"/>
    <w:rsid w:val="00775DD6"/>
    <w:rsid w:val="00775E2B"/>
    <w:rsid w:val="00775EC0"/>
    <w:rsid w:val="00775F07"/>
    <w:rsid w:val="007760C2"/>
    <w:rsid w:val="007760DC"/>
    <w:rsid w:val="007760F0"/>
    <w:rsid w:val="0077614C"/>
    <w:rsid w:val="007761CE"/>
    <w:rsid w:val="00776236"/>
    <w:rsid w:val="0077627E"/>
    <w:rsid w:val="0077635A"/>
    <w:rsid w:val="007763EB"/>
    <w:rsid w:val="007766AD"/>
    <w:rsid w:val="00776756"/>
    <w:rsid w:val="007767DB"/>
    <w:rsid w:val="00776852"/>
    <w:rsid w:val="00776A61"/>
    <w:rsid w:val="00776A64"/>
    <w:rsid w:val="00776AFE"/>
    <w:rsid w:val="00776C4D"/>
    <w:rsid w:val="00776C9C"/>
    <w:rsid w:val="00776CA3"/>
    <w:rsid w:val="00776D18"/>
    <w:rsid w:val="00776D31"/>
    <w:rsid w:val="00776D4A"/>
    <w:rsid w:val="00776D5F"/>
    <w:rsid w:val="00776E30"/>
    <w:rsid w:val="00776E88"/>
    <w:rsid w:val="007770AF"/>
    <w:rsid w:val="0077714F"/>
    <w:rsid w:val="00777166"/>
    <w:rsid w:val="00777183"/>
    <w:rsid w:val="007772CD"/>
    <w:rsid w:val="00777401"/>
    <w:rsid w:val="007774E0"/>
    <w:rsid w:val="00777563"/>
    <w:rsid w:val="007777B6"/>
    <w:rsid w:val="007777CF"/>
    <w:rsid w:val="00777A47"/>
    <w:rsid w:val="00777A71"/>
    <w:rsid w:val="00777A79"/>
    <w:rsid w:val="00777B81"/>
    <w:rsid w:val="00777BB0"/>
    <w:rsid w:val="00777D91"/>
    <w:rsid w:val="00777F1B"/>
    <w:rsid w:val="00777FCA"/>
    <w:rsid w:val="00777FE1"/>
    <w:rsid w:val="00777FFD"/>
    <w:rsid w:val="0078017A"/>
    <w:rsid w:val="007801B8"/>
    <w:rsid w:val="00780263"/>
    <w:rsid w:val="007802B7"/>
    <w:rsid w:val="00780310"/>
    <w:rsid w:val="0078033B"/>
    <w:rsid w:val="007803B6"/>
    <w:rsid w:val="007803E9"/>
    <w:rsid w:val="00780650"/>
    <w:rsid w:val="00780676"/>
    <w:rsid w:val="007806B3"/>
    <w:rsid w:val="0078080F"/>
    <w:rsid w:val="00780855"/>
    <w:rsid w:val="007808DD"/>
    <w:rsid w:val="00780908"/>
    <w:rsid w:val="00780A41"/>
    <w:rsid w:val="00780CE9"/>
    <w:rsid w:val="00780CFF"/>
    <w:rsid w:val="00780DA2"/>
    <w:rsid w:val="00780DAD"/>
    <w:rsid w:val="00780EAA"/>
    <w:rsid w:val="00780ECC"/>
    <w:rsid w:val="0078107F"/>
    <w:rsid w:val="0078116F"/>
    <w:rsid w:val="00781222"/>
    <w:rsid w:val="00781276"/>
    <w:rsid w:val="007812CF"/>
    <w:rsid w:val="00781356"/>
    <w:rsid w:val="00781362"/>
    <w:rsid w:val="007813CE"/>
    <w:rsid w:val="007813D5"/>
    <w:rsid w:val="007813EE"/>
    <w:rsid w:val="00781578"/>
    <w:rsid w:val="0078167C"/>
    <w:rsid w:val="00781867"/>
    <w:rsid w:val="007818E5"/>
    <w:rsid w:val="00781A28"/>
    <w:rsid w:val="00781A62"/>
    <w:rsid w:val="00781A93"/>
    <w:rsid w:val="00781ABD"/>
    <w:rsid w:val="00781D7F"/>
    <w:rsid w:val="00781D82"/>
    <w:rsid w:val="00781DCB"/>
    <w:rsid w:val="00781E36"/>
    <w:rsid w:val="00781E74"/>
    <w:rsid w:val="00781E84"/>
    <w:rsid w:val="00781E88"/>
    <w:rsid w:val="00781EAE"/>
    <w:rsid w:val="00781F8E"/>
    <w:rsid w:val="00782060"/>
    <w:rsid w:val="0078206F"/>
    <w:rsid w:val="007820D3"/>
    <w:rsid w:val="007821CD"/>
    <w:rsid w:val="007821D6"/>
    <w:rsid w:val="0078227D"/>
    <w:rsid w:val="00782302"/>
    <w:rsid w:val="00782459"/>
    <w:rsid w:val="0078257E"/>
    <w:rsid w:val="0078274D"/>
    <w:rsid w:val="00782826"/>
    <w:rsid w:val="00782A21"/>
    <w:rsid w:val="00782A98"/>
    <w:rsid w:val="00782AA8"/>
    <w:rsid w:val="00782BC2"/>
    <w:rsid w:val="00782C1F"/>
    <w:rsid w:val="00782E0F"/>
    <w:rsid w:val="00782F2D"/>
    <w:rsid w:val="00782F3D"/>
    <w:rsid w:val="00782F95"/>
    <w:rsid w:val="00783304"/>
    <w:rsid w:val="0078333B"/>
    <w:rsid w:val="007834C4"/>
    <w:rsid w:val="00783570"/>
    <w:rsid w:val="0078362A"/>
    <w:rsid w:val="0078371E"/>
    <w:rsid w:val="007837B8"/>
    <w:rsid w:val="00783821"/>
    <w:rsid w:val="00783830"/>
    <w:rsid w:val="00783A54"/>
    <w:rsid w:val="00783A8D"/>
    <w:rsid w:val="00783ADB"/>
    <w:rsid w:val="00783B1E"/>
    <w:rsid w:val="00783B39"/>
    <w:rsid w:val="00783C00"/>
    <w:rsid w:val="00783D34"/>
    <w:rsid w:val="00783D5A"/>
    <w:rsid w:val="00783DE4"/>
    <w:rsid w:val="00783E57"/>
    <w:rsid w:val="00783F01"/>
    <w:rsid w:val="00784130"/>
    <w:rsid w:val="00784190"/>
    <w:rsid w:val="007841C6"/>
    <w:rsid w:val="007842BF"/>
    <w:rsid w:val="0078432C"/>
    <w:rsid w:val="00784344"/>
    <w:rsid w:val="007844A4"/>
    <w:rsid w:val="00784519"/>
    <w:rsid w:val="0078472E"/>
    <w:rsid w:val="007848AC"/>
    <w:rsid w:val="007848BD"/>
    <w:rsid w:val="0078491A"/>
    <w:rsid w:val="0078497C"/>
    <w:rsid w:val="00784AD9"/>
    <w:rsid w:val="00784B29"/>
    <w:rsid w:val="00784B79"/>
    <w:rsid w:val="00784C47"/>
    <w:rsid w:val="00784E31"/>
    <w:rsid w:val="00784F2F"/>
    <w:rsid w:val="00784F7C"/>
    <w:rsid w:val="00784FF9"/>
    <w:rsid w:val="007850F8"/>
    <w:rsid w:val="00785180"/>
    <w:rsid w:val="007853CD"/>
    <w:rsid w:val="00785670"/>
    <w:rsid w:val="007857EC"/>
    <w:rsid w:val="00785924"/>
    <w:rsid w:val="00785953"/>
    <w:rsid w:val="007859A0"/>
    <w:rsid w:val="007859A8"/>
    <w:rsid w:val="00785B2D"/>
    <w:rsid w:val="00785C0B"/>
    <w:rsid w:val="00785C91"/>
    <w:rsid w:val="00785C92"/>
    <w:rsid w:val="00785CA2"/>
    <w:rsid w:val="00785E10"/>
    <w:rsid w:val="00785E22"/>
    <w:rsid w:val="00785EAD"/>
    <w:rsid w:val="00785EBD"/>
    <w:rsid w:val="007860A5"/>
    <w:rsid w:val="0078613C"/>
    <w:rsid w:val="0078637B"/>
    <w:rsid w:val="00786480"/>
    <w:rsid w:val="00786499"/>
    <w:rsid w:val="0078659C"/>
    <w:rsid w:val="007865D8"/>
    <w:rsid w:val="00786769"/>
    <w:rsid w:val="00786869"/>
    <w:rsid w:val="007868F8"/>
    <w:rsid w:val="00786921"/>
    <w:rsid w:val="00786985"/>
    <w:rsid w:val="00786986"/>
    <w:rsid w:val="00786AF8"/>
    <w:rsid w:val="00786BA2"/>
    <w:rsid w:val="00786C03"/>
    <w:rsid w:val="00786C2D"/>
    <w:rsid w:val="00786C93"/>
    <w:rsid w:val="00786D8E"/>
    <w:rsid w:val="00786DC6"/>
    <w:rsid w:val="00786E0B"/>
    <w:rsid w:val="00786EEF"/>
    <w:rsid w:val="00787094"/>
    <w:rsid w:val="007871BC"/>
    <w:rsid w:val="007871D8"/>
    <w:rsid w:val="007871E4"/>
    <w:rsid w:val="0078722D"/>
    <w:rsid w:val="007872B2"/>
    <w:rsid w:val="007872F1"/>
    <w:rsid w:val="0078732F"/>
    <w:rsid w:val="00787374"/>
    <w:rsid w:val="00787380"/>
    <w:rsid w:val="007873BC"/>
    <w:rsid w:val="0078744F"/>
    <w:rsid w:val="00787472"/>
    <w:rsid w:val="0078747A"/>
    <w:rsid w:val="00787556"/>
    <w:rsid w:val="0078763E"/>
    <w:rsid w:val="007876B6"/>
    <w:rsid w:val="0078770C"/>
    <w:rsid w:val="00787796"/>
    <w:rsid w:val="0078785B"/>
    <w:rsid w:val="00787991"/>
    <w:rsid w:val="007879A0"/>
    <w:rsid w:val="00787AA6"/>
    <w:rsid w:val="00787D1D"/>
    <w:rsid w:val="00787D41"/>
    <w:rsid w:val="00790007"/>
    <w:rsid w:val="0079009A"/>
    <w:rsid w:val="007902C2"/>
    <w:rsid w:val="007902DC"/>
    <w:rsid w:val="0079048C"/>
    <w:rsid w:val="007904A4"/>
    <w:rsid w:val="00790579"/>
    <w:rsid w:val="007908E6"/>
    <w:rsid w:val="0079091B"/>
    <w:rsid w:val="0079098F"/>
    <w:rsid w:val="00790AB1"/>
    <w:rsid w:val="00790AB4"/>
    <w:rsid w:val="00790B23"/>
    <w:rsid w:val="00790B28"/>
    <w:rsid w:val="00790C01"/>
    <w:rsid w:val="00790DA5"/>
    <w:rsid w:val="00790FE9"/>
    <w:rsid w:val="00790FF5"/>
    <w:rsid w:val="0079109A"/>
    <w:rsid w:val="0079110B"/>
    <w:rsid w:val="007911DC"/>
    <w:rsid w:val="00791260"/>
    <w:rsid w:val="007914B7"/>
    <w:rsid w:val="0079156B"/>
    <w:rsid w:val="007915A0"/>
    <w:rsid w:val="00791763"/>
    <w:rsid w:val="007917BA"/>
    <w:rsid w:val="00791864"/>
    <w:rsid w:val="0079186B"/>
    <w:rsid w:val="007918DC"/>
    <w:rsid w:val="0079198A"/>
    <w:rsid w:val="007919BB"/>
    <w:rsid w:val="00791AAC"/>
    <w:rsid w:val="00791C86"/>
    <w:rsid w:val="00791CAE"/>
    <w:rsid w:val="00791DC0"/>
    <w:rsid w:val="00791DC4"/>
    <w:rsid w:val="00791F05"/>
    <w:rsid w:val="00791FF2"/>
    <w:rsid w:val="007922B7"/>
    <w:rsid w:val="00792308"/>
    <w:rsid w:val="0079255F"/>
    <w:rsid w:val="0079259B"/>
    <w:rsid w:val="0079259E"/>
    <w:rsid w:val="007925BB"/>
    <w:rsid w:val="00792711"/>
    <w:rsid w:val="007928A5"/>
    <w:rsid w:val="00792926"/>
    <w:rsid w:val="00792AD6"/>
    <w:rsid w:val="00792B54"/>
    <w:rsid w:val="00792B9E"/>
    <w:rsid w:val="00792BE8"/>
    <w:rsid w:val="00792CF9"/>
    <w:rsid w:val="00792D06"/>
    <w:rsid w:val="00792EB2"/>
    <w:rsid w:val="007930D8"/>
    <w:rsid w:val="007931B4"/>
    <w:rsid w:val="0079320D"/>
    <w:rsid w:val="0079321E"/>
    <w:rsid w:val="0079329D"/>
    <w:rsid w:val="007932EF"/>
    <w:rsid w:val="00793410"/>
    <w:rsid w:val="007934FD"/>
    <w:rsid w:val="0079363A"/>
    <w:rsid w:val="00793D0E"/>
    <w:rsid w:val="00793DD9"/>
    <w:rsid w:val="00793FFA"/>
    <w:rsid w:val="007941DD"/>
    <w:rsid w:val="00794399"/>
    <w:rsid w:val="007943CD"/>
    <w:rsid w:val="00794415"/>
    <w:rsid w:val="007946A8"/>
    <w:rsid w:val="007946AD"/>
    <w:rsid w:val="00794716"/>
    <w:rsid w:val="00794792"/>
    <w:rsid w:val="00794879"/>
    <w:rsid w:val="007949C7"/>
    <w:rsid w:val="00794AD4"/>
    <w:rsid w:val="00794BEB"/>
    <w:rsid w:val="00794C44"/>
    <w:rsid w:val="00794D6E"/>
    <w:rsid w:val="00794EDB"/>
    <w:rsid w:val="00794F23"/>
    <w:rsid w:val="0079505E"/>
    <w:rsid w:val="0079506D"/>
    <w:rsid w:val="007950F4"/>
    <w:rsid w:val="00795146"/>
    <w:rsid w:val="00795154"/>
    <w:rsid w:val="00795463"/>
    <w:rsid w:val="0079552B"/>
    <w:rsid w:val="007956F5"/>
    <w:rsid w:val="0079576E"/>
    <w:rsid w:val="00795784"/>
    <w:rsid w:val="00795913"/>
    <w:rsid w:val="007959B7"/>
    <w:rsid w:val="00795C00"/>
    <w:rsid w:val="00795C27"/>
    <w:rsid w:val="00795C83"/>
    <w:rsid w:val="00795F47"/>
    <w:rsid w:val="00795FDE"/>
    <w:rsid w:val="00795FF6"/>
    <w:rsid w:val="007960FA"/>
    <w:rsid w:val="00796149"/>
    <w:rsid w:val="007962BE"/>
    <w:rsid w:val="00796440"/>
    <w:rsid w:val="00796523"/>
    <w:rsid w:val="00796545"/>
    <w:rsid w:val="007965FE"/>
    <w:rsid w:val="00796683"/>
    <w:rsid w:val="007966C6"/>
    <w:rsid w:val="007966EB"/>
    <w:rsid w:val="0079673B"/>
    <w:rsid w:val="00796777"/>
    <w:rsid w:val="0079679B"/>
    <w:rsid w:val="00796873"/>
    <w:rsid w:val="007968AE"/>
    <w:rsid w:val="007969E1"/>
    <w:rsid w:val="00796AA7"/>
    <w:rsid w:val="00796B47"/>
    <w:rsid w:val="00796C0E"/>
    <w:rsid w:val="00796C77"/>
    <w:rsid w:val="00796CC0"/>
    <w:rsid w:val="00796EDF"/>
    <w:rsid w:val="00797196"/>
    <w:rsid w:val="00797330"/>
    <w:rsid w:val="0079759C"/>
    <w:rsid w:val="00797730"/>
    <w:rsid w:val="00797848"/>
    <w:rsid w:val="00797884"/>
    <w:rsid w:val="00797954"/>
    <w:rsid w:val="00797969"/>
    <w:rsid w:val="00797B5E"/>
    <w:rsid w:val="00797CE9"/>
    <w:rsid w:val="00797CEF"/>
    <w:rsid w:val="00797D3A"/>
    <w:rsid w:val="00797D4E"/>
    <w:rsid w:val="00797DCF"/>
    <w:rsid w:val="007A0062"/>
    <w:rsid w:val="007A00C9"/>
    <w:rsid w:val="007A0151"/>
    <w:rsid w:val="007A02CC"/>
    <w:rsid w:val="007A02D3"/>
    <w:rsid w:val="007A0356"/>
    <w:rsid w:val="007A03AD"/>
    <w:rsid w:val="007A03C9"/>
    <w:rsid w:val="007A04D5"/>
    <w:rsid w:val="007A05E8"/>
    <w:rsid w:val="007A05F9"/>
    <w:rsid w:val="007A072A"/>
    <w:rsid w:val="007A07B7"/>
    <w:rsid w:val="007A08A4"/>
    <w:rsid w:val="007A08F2"/>
    <w:rsid w:val="007A0947"/>
    <w:rsid w:val="007A098F"/>
    <w:rsid w:val="007A0B2F"/>
    <w:rsid w:val="007A0B45"/>
    <w:rsid w:val="007A0B9C"/>
    <w:rsid w:val="007A0BDB"/>
    <w:rsid w:val="007A0C8E"/>
    <w:rsid w:val="007A0DFD"/>
    <w:rsid w:val="007A0F9A"/>
    <w:rsid w:val="007A1000"/>
    <w:rsid w:val="007A101B"/>
    <w:rsid w:val="007A1055"/>
    <w:rsid w:val="007A1146"/>
    <w:rsid w:val="007A11B0"/>
    <w:rsid w:val="007A1274"/>
    <w:rsid w:val="007A1299"/>
    <w:rsid w:val="007A12B9"/>
    <w:rsid w:val="007A1483"/>
    <w:rsid w:val="007A1519"/>
    <w:rsid w:val="007A155C"/>
    <w:rsid w:val="007A1573"/>
    <w:rsid w:val="007A1595"/>
    <w:rsid w:val="007A170E"/>
    <w:rsid w:val="007A178F"/>
    <w:rsid w:val="007A17C3"/>
    <w:rsid w:val="007A1857"/>
    <w:rsid w:val="007A1A19"/>
    <w:rsid w:val="007A1AB0"/>
    <w:rsid w:val="007A1AEF"/>
    <w:rsid w:val="007A1B36"/>
    <w:rsid w:val="007A1B9C"/>
    <w:rsid w:val="007A1BEF"/>
    <w:rsid w:val="007A1C10"/>
    <w:rsid w:val="007A1D51"/>
    <w:rsid w:val="007A1D75"/>
    <w:rsid w:val="007A1DFE"/>
    <w:rsid w:val="007A1F4D"/>
    <w:rsid w:val="007A1F9B"/>
    <w:rsid w:val="007A1FC6"/>
    <w:rsid w:val="007A1FDE"/>
    <w:rsid w:val="007A2139"/>
    <w:rsid w:val="007A213A"/>
    <w:rsid w:val="007A238D"/>
    <w:rsid w:val="007A23B8"/>
    <w:rsid w:val="007A23C3"/>
    <w:rsid w:val="007A23F2"/>
    <w:rsid w:val="007A262A"/>
    <w:rsid w:val="007A26E4"/>
    <w:rsid w:val="007A276D"/>
    <w:rsid w:val="007A2777"/>
    <w:rsid w:val="007A2864"/>
    <w:rsid w:val="007A2894"/>
    <w:rsid w:val="007A28CC"/>
    <w:rsid w:val="007A2A72"/>
    <w:rsid w:val="007A2A9F"/>
    <w:rsid w:val="007A2AE5"/>
    <w:rsid w:val="007A2AE6"/>
    <w:rsid w:val="007A2B3C"/>
    <w:rsid w:val="007A2BBE"/>
    <w:rsid w:val="007A2BE5"/>
    <w:rsid w:val="007A2E4C"/>
    <w:rsid w:val="007A2F58"/>
    <w:rsid w:val="007A2F8D"/>
    <w:rsid w:val="007A3284"/>
    <w:rsid w:val="007A332A"/>
    <w:rsid w:val="007A3353"/>
    <w:rsid w:val="007A336B"/>
    <w:rsid w:val="007A344F"/>
    <w:rsid w:val="007A37F7"/>
    <w:rsid w:val="007A3801"/>
    <w:rsid w:val="007A383A"/>
    <w:rsid w:val="007A38D8"/>
    <w:rsid w:val="007A39E1"/>
    <w:rsid w:val="007A3A5B"/>
    <w:rsid w:val="007A3AC7"/>
    <w:rsid w:val="007A3B1F"/>
    <w:rsid w:val="007A3B29"/>
    <w:rsid w:val="007A3BAE"/>
    <w:rsid w:val="007A3C9E"/>
    <w:rsid w:val="007A3CAE"/>
    <w:rsid w:val="007A3D89"/>
    <w:rsid w:val="007A3DBD"/>
    <w:rsid w:val="007A3E2F"/>
    <w:rsid w:val="007A3EB1"/>
    <w:rsid w:val="007A3F25"/>
    <w:rsid w:val="007A3F72"/>
    <w:rsid w:val="007A3FAE"/>
    <w:rsid w:val="007A4009"/>
    <w:rsid w:val="007A402B"/>
    <w:rsid w:val="007A40A7"/>
    <w:rsid w:val="007A4186"/>
    <w:rsid w:val="007A41F2"/>
    <w:rsid w:val="007A4252"/>
    <w:rsid w:val="007A4338"/>
    <w:rsid w:val="007A433E"/>
    <w:rsid w:val="007A4365"/>
    <w:rsid w:val="007A4388"/>
    <w:rsid w:val="007A43B5"/>
    <w:rsid w:val="007A43FE"/>
    <w:rsid w:val="007A442C"/>
    <w:rsid w:val="007A44B9"/>
    <w:rsid w:val="007A44C9"/>
    <w:rsid w:val="007A46D3"/>
    <w:rsid w:val="007A4782"/>
    <w:rsid w:val="007A4983"/>
    <w:rsid w:val="007A49A6"/>
    <w:rsid w:val="007A4D22"/>
    <w:rsid w:val="007A4D66"/>
    <w:rsid w:val="007A4E71"/>
    <w:rsid w:val="007A4EA7"/>
    <w:rsid w:val="007A4F59"/>
    <w:rsid w:val="007A4F63"/>
    <w:rsid w:val="007A5022"/>
    <w:rsid w:val="007A5131"/>
    <w:rsid w:val="007A518E"/>
    <w:rsid w:val="007A5193"/>
    <w:rsid w:val="007A529A"/>
    <w:rsid w:val="007A538A"/>
    <w:rsid w:val="007A54B6"/>
    <w:rsid w:val="007A55FB"/>
    <w:rsid w:val="007A5611"/>
    <w:rsid w:val="007A5677"/>
    <w:rsid w:val="007A5721"/>
    <w:rsid w:val="007A574E"/>
    <w:rsid w:val="007A5774"/>
    <w:rsid w:val="007A57F2"/>
    <w:rsid w:val="007A5A55"/>
    <w:rsid w:val="007A5B0A"/>
    <w:rsid w:val="007A5C77"/>
    <w:rsid w:val="007A5D5B"/>
    <w:rsid w:val="007A5F1F"/>
    <w:rsid w:val="007A5F82"/>
    <w:rsid w:val="007A5F93"/>
    <w:rsid w:val="007A614E"/>
    <w:rsid w:val="007A616E"/>
    <w:rsid w:val="007A622F"/>
    <w:rsid w:val="007A6299"/>
    <w:rsid w:val="007A62D1"/>
    <w:rsid w:val="007A63C3"/>
    <w:rsid w:val="007A6500"/>
    <w:rsid w:val="007A6551"/>
    <w:rsid w:val="007A6694"/>
    <w:rsid w:val="007A66F8"/>
    <w:rsid w:val="007A6723"/>
    <w:rsid w:val="007A67C7"/>
    <w:rsid w:val="007A68FB"/>
    <w:rsid w:val="007A6935"/>
    <w:rsid w:val="007A69FF"/>
    <w:rsid w:val="007A6A0D"/>
    <w:rsid w:val="007A6B32"/>
    <w:rsid w:val="007A6BBE"/>
    <w:rsid w:val="007A6D23"/>
    <w:rsid w:val="007A6D40"/>
    <w:rsid w:val="007A6E1B"/>
    <w:rsid w:val="007A6E43"/>
    <w:rsid w:val="007A6F44"/>
    <w:rsid w:val="007A7112"/>
    <w:rsid w:val="007A711F"/>
    <w:rsid w:val="007A724B"/>
    <w:rsid w:val="007A7287"/>
    <w:rsid w:val="007A7409"/>
    <w:rsid w:val="007A7436"/>
    <w:rsid w:val="007A743C"/>
    <w:rsid w:val="007A747D"/>
    <w:rsid w:val="007A749B"/>
    <w:rsid w:val="007A7592"/>
    <w:rsid w:val="007A763D"/>
    <w:rsid w:val="007A784A"/>
    <w:rsid w:val="007A785B"/>
    <w:rsid w:val="007A7A43"/>
    <w:rsid w:val="007A7B22"/>
    <w:rsid w:val="007A7BB3"/>
    <w:rsid w:val="007A7C1B"/>
    <w:rsid w:val="007A7C2C"/>
    <w:rsid w:val="007A7C8B"/>
    <w:rsid w:val="007A7CC0"/>
    <w:rsid w:val="007A7D0A"/>
    <w:rsid w:val="007A7D54"/>
    <w:rsid w:val="007A7DFC"/>
    <w:rsid w:val="007A7E63"/>
    <w:rsid w:val="007A7F66"/>
    <w:rsid w:val="007B00A5"/>
    <w:rsid w:val="007B00F2"/>
    <w:rsid w:val="007B0104"/>
    <w:rsid w:val="007B01D8"/>
    <w:rsid w:val="007B0371"/>
    <w:rsid w:val="007B04F7"/>
    <w:rsid w:val="007B0573"/>
    <w:rsid w:val="007B061D"/>
    <w:rsid w:val="007B0631"/>
    <w:rsid w:val="007B0659"/>
    <w:rsid w:val="007B06C0"/>
    <w:rsid w:val="007B0720"/>
    <w:rsid w:val="007B0755"/>
    <w:rsid w:val="007B078C"/>
    <w:rsid w:val="007B0813"/>
    <w:rsid w:val="007B08D3"/>
    <w:rsid w:val="007B0B08"/>
    <w:rsid w:val="007B0BDE"/>
    <w:rsid w:val="007B0BED"/>
    <w:rsid w:val="007B0E41"/>
    <w:rsid w:val="007B0F29"/>
    <w:rsid w:val="007B0FC9"/>
    <w:rsid w:val="007B0FD3"/>
    <w:rsid w:val="007B1010"/>
    <w:rsid w:val="007B1208"/>
    <w:rsid w:val="007B13F4"/>
    <w:rsid w:val="007B14B9"/>
    <w:rsid w:val="007B15B9"/>
    <w:rsid w:val="007B15C4"/>
    <w:rsid w:val="007B17AE"/>
    <w:rsid w:val="007B17B4"/>
    <w:rsid w:val="007B18DA"/>
    <w:rsid w:val="007B1914"/>
    <w:rsid w:val="007B19F4"/>
    <w:rsid w:val="007B1A19"/>
    <w:rsid w:val="007B1A62"/>
    <w:rsid w:val="007B1B1A"/>
    <w:rsid w:val="007B1B21"/>
    <w:rsid w:val="007B1B28"/>
    <w:rsid w:val="007B1B44"/>
    <w:rsid w:val="007B1C66"/>
    <w:rsid w:val="007B1C8E"/>
    <w:rsid w:val="007B1CAA"/>
    <w:rsid w:val="007B1CC9"/>
    <w:rsid w:val="007B1F4C"/>
    <w:rsid w:val="007B1FE0"/>
    <w:rsid w:val="007B20B7"/>
    <w:rsid w:val="007B224C"/>
    <w:rsid w:val="007B238A"/>
    <w:rsid w:val="007B2405"/>
    <w:rsid w:val="007B25DF"/>
    <w:rsid w:val="007B2793"/>
    <w:rsid w:val="007B2951"/>
    <w:rsid w:val="007B29DA"/>
    <w:rsid w:val="007B2A45"/>
    <w:rsid w:val="007B2B19"/>
    <w:rsid w:val="007B2B2C"/>
    <w:rsid w:val="007B2B5F"/>
    <w:rsid w:val="007B2BF0"/>
    <w:rsid w:val="007B2D09"/>
    <w:rsid w:val="007B2D3B"/>
    <w:rsid w:val="007B2D7C"/>
    <w:rsid w:val="007B2D99"/>
    <w:rsid w:val="007B2DA3"/>
    <w:rsid w:val="007B2E0F"/>
    <w:rsid w:val="007B2E1B"/>
    <w:rsid w:val="007B30E9"/>
    <w:rsid w:val="007B316D"/>
    <w:rsid w:val="007B3232"/>
    <w:rsid w:val="007B32AA"/>
    <w:rsid w:val="007B339F"/>
    <w:rsid w:val="007B3601"/>
    <w:rsid w:val="007B3650"/>
    <w:rsid w:val="007B36C7"/>
    <w:rsid w:val="007B3755"/>
    <w:rsid w:val="007B383F"/>
    <w:rsid w:val="007B38A0"/>
    <w:rsid w:val="007B3918"/>
    <w:rsid w:val="007B3B28"/>
    <w:rsid w:val="007B3B3A"/>
    <w:rsid w:val="007B3B73"/>
    <w:rsid w:val="007B3B78"/>
    <w:rsid w:val="007B3B8E"/>
    <w:rsid w:val="007B3B91"/>
    <w:rsid w:val="007B3B9F"/>
    <w:rsid w:val="007B3BAE"/>
    <w:rsid w:val="007B3BF7"/>
    <w:rsid w:val="007B3C24"/>
    <w:rsid w:val="007B3D0A"/>
    <w:rsid w:val="007B3D0F"/>
    <w:rsid w:val="007B3D34"/>
    <w:rsid w:val="007B3DDA"/>
    <w:rsid w:val="007B3E01"/>
    <w:rsid w:val="007B3F63"/>
    <w:rsid w:val="007B3F72"/>
    <w:rsid w:val="007B41B0"/>
    <w:rsid w:val="007B422A"/>
    <w:rsid w:val="007B43A4"/>
    <w:rsid w:val="007B4403"/>
    <w:rsid w:val="007B44BB"/>
    <w:rsid w:val="007B44D2"/>
    <w:rsid w:val="007B44FF"/>
    <w:rsid w:val="007B45F0"/>
    <w:rsid w:val="007B45FE"/>
    <w:rsid w:val="007B46E1"/>
    <w:rsid w:val="007B47CE"/>
    <w:rsid w:val="007B4ADC"/>
    <w:rsid w:val="007B4B3B"/>
    <w:rsid w:val="007B4B44"/>
    <w:rsid w:val="007B4C28"/>
    <w:rsid w:val="007B4C77"/>
    <w:rsid w:val="007B4C83"/>
    <w:rsid w:val="007B4C96"/>
    <w:rsid w:val="007B4CCC"/>
    <w:rsid w:val="007B4E7A"/>
    <w:rsid w:val="007B4FB4"/>
    <w:rsid w:val="007B5023"/>
    <w:rsid w:val="007B50E0"/>
    <w:rsid w:val="007B51AC"/>
    <w:rsid w:val="007B52DD"/>
    <w:rsid w:val="007B52FA"/>
    <w:rsid w:val="007B53C3"/>
    <w:rsid w:val="007B5457"/>
    <w:rsid w:val="007B54B2"/>
    <w:rsid w:val="007B559A"/>
    <w:rsid w:val="007B579B"/>
    <w:rsid w:val="007B58DE"/>
    <w:rsid w:val="007B58E0"/>
    <w:rsid w:val="007B58F0"/>
    <w:rsid w:val="007B599F"/>
    <w:rsid w:val="007B59B9"/>
    <w:rsid w:val="007B59D0"/>
    <w:rsid w:val="007B59F1"/>
    <w:rsid w:val="007B5AFE"/>
    <w:rsid w:val="007B5B82"/>
    <w:rsid w:val="007B5CBB"/>
    <w:rsid w:val="007B5D63"/>
    <w:rsid w:val="007B5D9E"/>
    <w:rsid w:val="007B5E1E"/>
    <w:rsid w:val="007B5E3D"/>
    <w:rsid w:val="007B5E41"/>
    <w:rsid w:val="007B6042"/>
    <w:rsid w:val="007B6055"/>
    <w:rsid w:val="007B6378"/>
    <w:rsid w:val="007B641D"/>
    <w:rsid w:val="007B6470"/>
    <w:rsid w:val="007B653B"/>
    <w:rsid w:val="007B6565"/>
    <w:rsid w:val="007B65A5"/>
    <w:rsid w:val="007B65AD"/>
    <w:rsid w:val="007B65FF"/>
    <w:rsid w:val="007B6665"/>
    <w:rsid w:val="007B6679"/>
    <w:rsid w:val="007B6733"/>
    <w:rsid w:val="007B6746"/>
    <w:rsid w:val="007B684C"/>
    <w:rsid w:val="007B6850"/>
    <w:rsid w:val="007B6865"/>
    <w:rsid w:val="007B69AC"/>
    <w:rsid w:val="007B6A35"/>
    <w:rsid w:val="007B6A40"/>
    <w:rsid w:val="007B6A9E"/>
    <w:rsid w:val="007B6AB5"/>
    <w:rsid w:val="007B6ACA"/>
    <w:rsid w:val="007B6AD6"/>
    <w:rsid w:val="007B6B04"/>
    <w:rsid w:val="007B6C37"/>
    <w:rsid w:val="007B6C5F"/>
    <w:rsid w:val="007B6CFB"/>
    <w:rsid w:val="007B6D1A"/>
    <w:rsid w:val="007B6D28"/>
    <w:rsid w:val="007B6E45"/>
    <w:rsid w:val="007B6EC8"/>
    <w:rsid w:val="007B6EDE"/>
    <w:rsid w:val="007B6EE6"/>
    <w:rsid w:val="007B70CF"/>
    <w:rsid w:val="007B7165"/>
    <w:rsid w:val="007B7194"/>
    <w:rsid w:val="007B73CC"/>
    <w:rsid w:val="007B745A"/>
    <w:rsid w:val="007B74E3"/>
    <w:rsid w:val="007B750B"/>
    <w:rsid w:val="007B75A2"/>
    <w:rsid w:val="007B7609"/>
    <w:rsid w:val="007B77FD"/>
    <w:rsid w:val="007B7819"/>
    <w:rsid w:val="007B782F"/>
    <w:rsid w:val="007B7A4D"/>
    <w:rsid w:val="007B7AB1"/>
    <w:rsid w:val="007B7ABD"/>
    <w:rsid w:val="007B7BA0"/>
    <w:rsid w:val="007B7C72"/>
    <w:rsid w:val="007B7CE5"/>
    <w:rsid w:val="007B7D25"/>
    <w:rsid w:val="007B7E1F"/>
    <w:rsid w:val="007B7E9A"/>
    <w:rsid w:val="007B7EF6"/>
    <w:rsid w:val="007C00AE"/>
    <w:rsid w:val="007C0244"/>
    <w:rsid w:val="007C028B"/>
    <w:rsid w:val="007C04B2"/>
    <w:rsid w:val="007C0569"/>
    <w:rsid w:val="007C05C6"/>
    <w:rsid w:val="007C0772"/>
    <w:rsid w:val="007C07F8"/>
    <w:rsid w:val="007C0870"/>
    <w:rsid w:val="007C0A1A"/>
    <w:rsid w:val="007C0A2D"/>
    <w:rsid w:val="007C0B02"/>
    <w:rsid w:val="007C0C19"/>
    <w:rsid w:val="007C0C73"/>
    <w:rsid w:val="007C0D41"/>
    <w:rsid w:val="007C0D55"/>
    <w:rsid w:val="007C0D78"/>
    <w:rsid w:val="007C0ED3"/>
    <w:rsid w:val="007C1034"/>
    <w:rsid w:val="007C10B5"/>
    <w:rsid w:val="007C10B6"/>
    <w:rsid w:val="007C10D0"/>
    <w:rsid w:val="007C111F"/>
    <w:rsid w:val="007C1157"/>
    <w:rsid w:val="007C11DF"/>
    <w:rsid w:val="007C1222"/>
    <w:rsid w:val="007C132F"/>
    <w:rsid w:val="007C13E4"/>
    <w:rsid w:val="007C1404"/>
    <w:rsid w:val="007C1447"/>
    <w:rsid w:val="007C1464"/>
    <w:rsid w:val="007C1495"/>
    <w:rsid w:val="007C15C1"/>
    <w:rsid w:val="007C17DC"/>
    <w:rsid w:val="007C1818"/>
    <w:rsid w:val="007C182D"/>
    <w:rsid w:val="007C192D"/>
    <w:rsid w:val="007C1A8A"/>
    <w:rsid w:val="007C1AE9"/>
    <w:rsid w:val="007C1C14"/>
    <w:rsid w:val="007C1CC4"/>
    <w:rsid w:val="007C1CDA"/>
    <w:rsid w:val="007C1E19"/>
    <w:rsid w:val="007C1EED"/>
    <w:rsid w:val="007C1F17"/>
    <w:rsid w:val="007C200F"/>
    <w:rsid w:val="007C2183"/>
    <w:rsid w:val="007C2234"/>
    <w:rsid w:val="007C2254"/>
    <w:rsid w:val="007C22A3"/>
    <w:rsid w:val="007C238A"/>
    <w:rsid w:val="007C2432"/>
    <w:rsid w:val="007C2433"/>
    <w:rsid w:val="007C251E"/>
    <w:rsid w:val="007C2637"/>
    <w:rsid w:val="007C2650"/>
    <w:rsid w:val="007C26B5"/>
    <w:rsid w:val="007C277E"/>
    <w:rsid w:val="007C2970"/>
    <w:rsid w:val="007C2AAA"/>
    <w:rsid w:val="007C2AAB"/>
    <w:rsid w:val="007C2B06"/>
    <w:rsid w:val="007C2CF2"/>
    <w:rsid w:val="007C2D1B"/>
    <w:rsid w:val="007C2E2E"/>
    <w:rsid w:val="007C2E43"/>
    <w:rsid w:val="007C2F20"/>
    <w:rsid w:val="007C2F2F"/>
    <w:rsid w:val="007C2F68"/>
    <w:rsid w:val="007C2F7B"/>
    <w:rsid w:val="007C302B"/>
    <w:rsid w:val="007C3030"/>
    <w:rsid w:val="007C30F8"/>
    <w:rsid w:val="007C3121"/>
    <w:rsid w:val="007C3131"/>
    <w:rsid w:val="007C31A4"/>
    <w:rsid w:val="007C31B4"/>
    <w:rsid w:val="007C31EB"/>
    <w:rsid w:val="007C32BA"/>
    <w:rsid w:val="007C32DD"/>
    <w:rsid w:val="007C34C0"/>
    <w:rsid w:val="007C34E9"/>
    <w:rsid w:val="007C351F"/>
    <w:rsid w:val="007C366F"/>
    <w:rsid w:val="007C3868"/>
    <w:rsid w:val="007C3943"/>
    <w:rsid w:val="007C39C7"/>
    <w:rsid w:val="007C39EA"/>
    <w:rsid w:val="007C3A6C"/>
    <w:rsid w:val="007C3BB7"/>
    <w:rsid w:val="007C3CB3"/>
    <w:rsid w:val="007C3DBA"/>
    <w:rsid w:val="007C3E1C"/>
    <w:rsid w:val="007C3E48"/>
    <w:rsid w:val="007C3E6F"/>
    <w:rsid w:val="007C3EF9"/>
    <w:rsid w:val="007C3F6D"/>
    <w:rsid w:val="007C3F72"/>
    <w:rsid w:val="007C3FD1"/>
    <w:rsid w:val="007C4118"/>
    <w:rsid w:val="007C41A9"/>
    <w:rsid w:val="007C44C0"/>
    <w:rsid w:val="007C4696"/>
    <w:rsid w:val="007C4739"/>
    <w:rsid w:val="007C4755"/>
    <w:rsid w:val="007C49B8"/>
    <w:rsid w:val="007C4A34"/>
    <w:rsid w:val="007C4A78"/>
    <w:rsid w:val="007C4A9E"/>
    <w:rsid w:val="007C4D0E"/>
    <w:rsid w:val="007C4F35"/>
    <w:rsid w:val="007C4F52"/>
    <w:rsid w:val="007C4F99"/>
    <w:rsid w:val="007C4FB1"/>
    <w:rsid w:val="007C4FB6"/>
    <w:rsid w:val="007C4FDC"/>
    <w:rsid w:val="007C5166"/>
    <w:rsid w:val="007C5174"/>
    <w:rsid w:val="007C51DC"/>
    <w:rsid w:val="007C5200"/>
    <w:rsid w:val="007C5226"/>
    <w:rsid w:val="007C53D2"/>
    <w:rsid w:val="007C54AA"/>
    <w:rsid w:val="007C553F"/>
    <w:rsid w:val="007C5719"/>
    <w:rsid w:val="007C57F4"/>
    <w:rsid w:val="007C591F"/>
    <w:rsid w:val="007C599B"/>
    <w:rsid w:val="007C59E5"/>
    <w:rsid w:val="007C5A53"/>
    <w:rsid w:val="007C5AFA"/>
    <w:rsid w:val="007C5B44"/>
    <w:rsid w:val="007C5B79"/>
    <w:rsid w:val="007C5B94"/>
    <w:rsid w:val="007C5DFF"/>
    <w:rsid w:val="007C5E17"/>
    <w:rsid w:val="007C5E48"/>
    <w:rsid w:val="007C5EEB"/>
    <w:rsid w:val="007C6090"/>
    <w:rsid w:val="007C6197"/>
    <w:rsid w:val="007C61D6"/>
    <w:rsid w:val="007C6284"/>
    <w:rsid w:val="007C62FE"/>
    <w:rsid w:val="007C63BD"/>
    <w:rsid w:val="007C6521"/>
    <w:rsid w:val="007C6522"/>
    <w:rsid w:val="007C659D"/>
    <w:rsid w:val="007C6604"/>
    <w:rsid w:val="007C661C"/>
    <w:rsid w:val="007C66B1"/>
    <w:rsid w:val="007C6728"/>
    <w:rsid w:val="007C6797"/>
    <w:rsid w:val="007C6801"/>
    <w:rsid w:val="007C6873"/>
    <w:rsid w:val="007C6966"/>
    <w:rsid w:val="007C697F"/>
    <w:rsid w:val="007C6A30"/>
    <w:rsid w:val="007C6A74"/>
    <w:rsid w:val="007C6AD5"/>
    <w:rsid w:val="007C6B1D"/>
    <w:rsid w:val="007C6D5D"/>
    <w:rsid w:val="007C6DC1"/>
    <w:rsid w:val="007C6E78"/>
    <w:rsid w:val="007C6F20"/>
    <w:rsid w:val="007C70AC"/>
    <w:rsid w:val="007C71D2"/>
    <w:rsid w:val="007C720B"/>
    <w:rsid w:val="007C7222"/>
    <w:rsid w:val="007C72CD"/>
    <w:rsid w:val="007C746B"/>
    <w:rsid w:val="007C7585"/>
    <w:rsid w:val="007C75C0"/>
    <w:rsid w:val="007C75D8"/>
    <w:rsid w:val="007C7616"/>
    <w:rsid w:val="007C7671"/>
    <w:rsid w:val="007C773A"/>
    <w:rsid w:val="007C7913"/>
    <w:rsid w:val="007C7AF2"/>
    <w:rsid w:val="007C7B80"/>
    <w:rsid w:val="007C7CA9"/>
    <w:rsid w:val="007C7EAC"/>
    <w:rsid w:val="007C7EEB"/>
    <w:rsid w:val="007C7EF8"/>
    <w:rsid w:val="007C7F14"/>
    <w:rsid w:val="007C7FA1"/>
    <w:rsid w:val="007D003D"/>
    <w:rsid w:val="007D039F"/>
    <w:rsid w:val="007D03E9"/>
    <w:rsid w:val="007D0451"/>
    <w:rsid w:val="007D04D6"/>
    <w:rsid w:val="007D04EC"/>
    <w:rsid w:val="007D074B"/>
    <w:rsid w:val="007D0798"/>
    <w:rsid w:val="007D07AB"/>
    <w:rsid w:val="007D07C4"/>
    <w:rsid w:val="007D0822"/>
    <w:rsid w:val="007D0897"/>
    <w:rsid w:val="007D08B2"/>
    <w:rsid w:val="007D09DE"/>
    <w:rsid w:val="007D0C30"/>
    <w:rsid w:val="007D0D47"/>
    <w:rsid w:val="007D0D6A"/>
    <w:rsid w:val="007D0F0B"/>
    <w:rsid w:val="007D1003"/>
    <w:rsid w:val="007D103B"/>
    <w:rsid w:val="007D115D"/>
    <w:rsid w:val="007D129C"/>
    <w:rsid w:val="007D1303"/>
    <w:rsid w:val="007D1405"/>
    <w:rsid w:val="007D148A"/>
    <w:rsid w:val="007D151D"/>
    <w:rsid w:val="007D153A"/>
    <w:rsid w:val="007D15EA"/>
    <w:rsid w:val="007D167F"/>
    <w:rsid w:val="007D16B5"/>
    <w:rsid w:val="007D16C1"/>
    <w:rsid w:val="007D16DD"/>
    <w:rsid w:val="007D1771"/>
    <w:rsid w:val="007D197B"/>
    <w:rsid w:val="007D19F6"/>
    <w:rsid w:val="007D1A07"/>
    <w:rsid w:val="007D1B00"/>
    <w:rsid w:val="007D1BF7"/>
    <w:rsid w:val="007D1C33"/>
    <w:rsid w:val="007D1C40"/>
    <w:rsid w:val="007D1D60"/>
    <w:rsid w:val="007D1E69"/>
    <w:rsid w:val="007D1EBD"/>
    <w:rsid w:val="007D1F39"/>
    <w:rsid w:val="007D1F65"/>
    <w:rsid w:val="007D1F83"/>
    <w:rsid w:val="007D1FB6"/>
    <w:rsid w:val="007D1FEA"/>
    <w:rsid w:val="007D2192"/>
    <w:rsid w:val="007D21A0"/>
    <w:rsid w:val="007D21A3"/>
    <w:rsid w:val="007D22DF"/>
    <w:rsid w:val="007D22E8"/>
    <w:rsid w:val="007D25DA"/>
    <w:rsid w:val="007D261A"/>
    <w:rsid w:val="007D2666"/>
    <w:rsid w:val="007D2780"/>
    <w:rsid w:val="007D27D5"/>
    <w:rsid w:val="007D29EC"/>
    <w:rsid w:val="007D2A18"/>
    <w:rsid w:val="007D2AB0"/>
    <w:rsid w:val="007D2ADC"/>
    <w:rsid w:val="007D2F3F"/>
    <w:rsid w:val="007D2F9D"/>
    <w:rsid w:val="007D2FD1"/>
    <w:rsid w:val="007D2FEA"/>
    <w:rsid w:val="007D30DA"/>
    <w:rsid w:val="007D31A3"/>
    <w:rsid w:val="007D3248"/>
    <w:rsid w:val="007D32A2"/>
    <w:rsid w:val="007D3334"/>
    <w:rsid w:val="007D3434"/>
    <w:rsid w:val="007D3487"/>
    <w:rsid w:val="007D355B"/>
    <w:rsid w:val="007D367A"/>
    <w:rsid w:val="007D3963"/>
    <w:rsid w:val="007D3965"/>
    <w:rsid w:val="007D3AB1"/>
    <w:rsid w:val="007D3BE0"/>
    <w:rsid w:val="007D3CFD"/>
    <w:rsid w:val="007D3E43"/>
    <w:rsid w:val="007D4003"/>
    <w:rsid w:val="007D4130"/>
    <w:rsid w:val="007D4204"/>
    <w:rsid w:val="007D423D"/>
    <w:rsid w:val="007D431D"/>
    <w:rsid w:val="007D43B0"/>
    <w:rsid w:val="007D44B6"/>
    <w:rsid w:val="007D44FC"/>
    <w:rsid w:val="007D4500"/>
    <w:rsid w:val="007D4637"/>
    <w:rsid w:val="007D4694"/>
    <w:rsid w:val="007D4719"/>
    <w:rsid w:val="007D4722"/>
    <w:rsid w:val="007D4739"/>
    <w:rsid w:val="007D47C0"/>
    <w:rsid w:val="007D481E"/>
    <w:rsid w:val="007D48A9"/>
    <w:rsid w:val="007D4A93"/>
    <w:rsid w:val="007D4D3B"/>
    <w:rsid w:val="007D4E77"/>
    <w:rsid w:val="007D4ED7"/>
    <w:rsid w:val="007D4F93"/>
    <w:rsid w:val="007D5006"/>
    <w:rsid w:val="007D500D"/>
    <w:rsid w:val="007D5069"/>
    <w:rsid w:val="007D5083"/>
    <w:rsid w:val="007D514F"/>
    <w:rsid w:val="007D5156"/>
    <w:rsid w:val="007D524C"/>
    <w:rsid w:val="007D5326"/>
    <w:rsid w:val="007D5396"/>
    <w:rsid w:val="007D5418"/>
    <w:rsid w:val="007D545F"/>
    <w:rsid w:val="007D5493"/>
    <w:rsid w:val="007D564A"/>
    <w:rsid w:val="007D5658"/>
    <w:rsid w:val="007D56AC"/>
    <w:rsid w:val="007D5989"/>
    <w:rsid w:val="007D59E9"/>
    <w:rsid w:val="007D5ADD"/>
    <w:rsid w:val="007D5B09"/>
    <w:rsid w:val="007D5B46"/>
    <w:rsid w:val="007D5BCB"/>
    <w:rsid w:val="007D5CDD"/>
    <w:rsid w:val="007D5DCE"/>
    <w:rsid w:val="007D5E39"/>
    <w:rsid w:val="007D608E"/>
    <w:rsid w:val="007D61A2"/>
    <w:rsid w:val="007D624C"/>
    <w:rsid w:val="007D6262"/>
    <w:rsid w:val="007D6281"/>
    <w:rsid w:val="007D6345"/>
    <w:rsid w:val="007D6443"/>
    <w:rsid w:val="007D645A"/>
    <w:rsid w:val="007D64F1"/>
    <w:rsid w:val="007D673F"/>
    <w:rsid w:val="007D68A4"/>
    <w:rsid w:val="007D699B"/>
    <w:rsid w:val="007D6A38"/>
    <w:rsid w:val="007D6C43"/>
    <w:rsid w:val="007D6C61"/>
    <w:rsid w:val="007D6DAB"/>
    <w:rsid w:val="007D6DEE"/>
    <w:rsid w:val="007D6E9C"/>
    <w:rsid w:val="007D6F4A"/>
    <w:rsid w:val="007D6F54"/>
    <w:rsid w:val="007D6F7B"/>
    <w:rsid w:val="007D7003"/>
    <w:rsid w:val="007D7014"/>
    <w:rsid w:val="007D7080"/>
    <w:rsid w:val="007D708C"/>
    <w:rsid w:val="007D7100"/>
    <w:rsid w:val="007D71A3"/>
    <w:rsid w:val="007D71DC"/>
    <w:rsid w:val="007D7263"/>
    <w:rsid w:val="007D727F"/>
    <w:rsid w:val="007D7281"/>
    <w:rsid w:val="007D7357"/>
    <w:rsid w:val="007D7467"/>
    <w:rsid w:val="007D74EC"/>
    <w:rsid w:val="007D752A"/>
    <w:rsid w:val="007D7768"/>
    <w:rsid w:val="007D78A8"/>
    <w:rsid w:val="007D7DC0"/>
    <w:rsid w:val="007D7FD0"/>
    <w:rsid w:val="007D7FD6"/>
    <w:rsid w:val="007E0293"/>
    <w:rsid w:val="007E043B"/>
    <w:rsid w:val="007E04A5"/>
    <w:rsid w:val="007E04FD"/>
    <w:rsid w:val="007E05B0"/>
    <w:rsid w:val="007E05C6"/>
    <w:rsid w:val="007E05F2"/>
    <w:rsid w:val="007E0643"/>
    <w:rsid w:val="007E0798"/>
    <w:rsid w:val="007E0832"/>
    <w:rsid w:val="007E0901"/>
    <w:rsid w:val="007E091F"/>
    <w:rsid w:val="007E0997"/>
    <w:rsid w:val="007E0B76"/>
    <w:rsid w:val="007E0CCE"/>
    <w:rsid w:val="007E0CDA"/>
    <w:rsid w:val="007E0D93"/>
    <w:rsid w:val="007E0DA2"/>
    <w:rsid w:val="007E0E48"/>
    <w:rsid w:val="007E0E53"/>
    <w:rsid w:val="007E0EB4"/>
    <w:rsid w:val="007E0EF6"/>
    <w:rsid w:val="007E0F7A"/>
    <w:rsid w:val="007E0F91"/>
    <w:rsid w:val="007E1013"/>
    <w:rsid w:val="007E1046"/>
    <w:rsid w:val="007E1110"/>
    <w:rsid w:val="007E111A"/>
    <w:rsid w:val="007E113A"/>
    <w:rsid w:val="007E117B"/>
    <w:rsid w:val="007E1308"/>
    <w:rsid w:val="007E1478"/>
    <w:rsid w:val="007E14A1"/>
    <w:rsid w:val="007E14AB"/>
    <w:rsid w:val="007E14F9"/>
    <w:rsid w:val="007E1581"/>
    <w:rsid w:val="007E15CF"/>
    <w:rsid w:val="007E15D5"/>
    <w:rsid w:val="007E1792"/>
    <w:rsid w:val="007E1821"/>
    <w:rsid w:val="007E18FB"/>
    <w:rsid w:val="007E195A"/>
    <w:rsid w:val="007E19AE"/>
    <w:rsid w:val="007E19FD"/>
    <w:rsid w:val="007E1A43"/>
    <w:rsid w:val="007E1AFB"/>
    <w:rsid w:val="007E1B3A"/>
    <w:rsid w:val="007E1C16"/>
    <w:rsid w:val="007E1CCD"/>
    <w:rsid w:val="007E1CD9"/>
    <w:rsid w:val="007E1EB7"/>
    <w:rsid w:val="007E2310"/>
    <w:rsid w:val="007E2375"/>
    <w:rsid w:val="007E242F"/>
    <w:rsid w:val="007E2454"/>
    <w:rsid w:val="007E256A"/>
    <w:rsid w:val="007E26BE"/>
    <w:rsid w:val="007E26D8"/>
    <w:rsid w:val="007E27A6"/>
    <w:rsid w:val="007E28F4"/>
    <w:rsid w:val="007E2911"/>
    <w:rsid w:val="007E292D"/>
    <w:rsid w:val="007E2982"/>
    <w:rsid w:val="007E2A08"/>
    <w:rsid w:val="007E2A21"/>
    <w:rsid w:val="007E2FFD"/>
    <w:rsid w:val="007E301B"/>
    <w:rsid w:val="007E30D0"/>
    <w:rsid w:val="007E31C7"/>
    <w:rsid w:val="007E323E"/>
    <w:rsid w:val="007E3284"/>
    <w:rsid w:val="007E3331"/>
    <w:rsid w:val="007E3350"/>
    <w:rsid w:val="007E34A1"/>
    <w:rsid w:val="007E350C"/>
    <w:rsid w:val="007E3747"/>
    <w:rsid w:val="007E377A"/>
    <w:rsid w:val="007E3814"/>
    <w:rsid w:val="007E3840"/>
    <w:rsid w:val="007E387F"/>
    <w:rsid w:val="007E39B9"/>
    <w:rsid w:val="007E39ED"/>
    <w:rsid w:val="007E3B33"/>
    <w:rsid w:val="007E3B8C"/>
    <w:rsid w:val="007E3BA7"/>
    <w:rsid w:val="007E3C35"/>
    <w:rsid w:val="007E3C44"/>
    <w:rsid w:val="007E3E3D"/>
    <w:rsid w:val="007E4154"/>
    <w:rsid w:val="007E419B"/>
    <w:rsid w:val="007E41BA"/>
    <w:rsid w:val="007E41C8"/>
    <w:rsid w:val="007E43B2"/>
    <w:rsid w:val="007E440F"/>
    <w:rsid w:val="007E444F"/>
    <w:rsid w:val="007E446B"/>
    <w:rsid w:val="007E44F6"/>
    <w:rsid w:val="007E4733"/>
    <w:rsid w:val="007E4874"/>
    <w:rsid w:val="007E492D"/>
    <w:rsid w:val="007E49DE"/>
    <w:rsid w:val="007E49F8"/>
    <w:rsid w:val="007E4A02"/>
    <w:rsid w:val="007E4AF9"/>
    <w:rsid w:val="007E4B8B"/>
    <w:rsid w:val="007E4B9A"/>
    <w:rsid w:val="007E4BAC"/>
    <w:rsid w:val="007E4CA9"/>
    <w:rsid w:val="007E4D38"/>
    <w:rsid w:val="007E4DCA"/>
    <w:rsid w:val="007E4E27"/>
    <w:rsid w:val="007E4E68"/>
    <w:rsid w:val="007E50C0"/>
    <w:rsid w:val="007E5119"/>
    <w:rsid w:val="007E514A"/>
    <w:rsid w:val="007E520E"/>
    <w:rsid w:val="007E5215"/>
    <w:rsid w:val="007E52F7"/>
    <w:rsid w:val="007E533D"/>
    <w:rsid w:val="007E5395"/>
    <w:rsid w:val="007E53FE"/>
    <w:rsid w:val="007E5495"/>
    <w:rsid w:val="007E54C2"/>
    <w:rsid w:val="007E56F7"/>
    <w:rsid w:val="007E57D4"/>
    <w:rsid w:val="007E5875"/>
    <w:rsid w:val="007E58A5"/>
    <w:rsid w:val="007E58FE"/>
    <w:rsid w:val="007E5B25"/>
    <w:rsid w:val="007E5B39"/>
    <w:rsid w:val="007E5C61"/>
    <w:rsid w:val="007E5C6B"/>
    <w:rsid w:val="007E5CAA"/>
    <w:rsid w:val="007E5D9A"/>
    <w:rsid w:val="007E5E34"/>
    <w:rsid w:val="007E5FA4"/>
    <w:rsid w:val="007E6072"/>
    <w:rsid w:val="007E60C4"/>
    <w:rsid w:val="007E61B8"/>
    <w:rsid w:val="007E629D"/>
    <w:rsid w:val="007E62E5"/>
    <w:rsid w:val="007E634C"/>
    <w:rsid w:val="007E646E"/>
    <w:rsid w:val="007E654E"/>
    <w:rsid w:val="007E6659"/>
    <w:rsid w:val="007E671A"/>
    <w:rsid w:val="007E67F6"/>
    <w:rsid w:val="007E6849"/>
    <w:rsid w:val="007E6980"/>
    <w:rsid w:val="007E6988"/>
    <w:rsid w:val="007E6A56"/>
    <w:rsid w:val="007E6B28"/>
    <w:rsid w:val="007E6B77"/>
    <w:rsid w:val="007E6BC0"/>
    <w:rsid w:val="007E6BEB"/>
    <w:rsid w:val="007E6BFC"/>
    <w:rsid w:val="007E6BFD"/>
    <w:rsid w:val="007E6D2B"/>
    <w:rsid w:val="007E6E0B"/>
    <w:rsid w:val="007E6EF2"/>
    <w:rsid w:val="007E6F4C"/>
    <w:rsid w:val="007E6F94"/>
    <w:rsid w:val="007E702A"/>
    <w:rsid w:val="007E70EA"/>
    <w:rsid w:val="007E710F"/>
    <w:rsid w:val="007E716C"/>
    <w:rsid w:val="007E71E4"/>
    <w:rsid w:val="007E7208"/>
    <w:rsid w:val="007E72B9"/>
    <w:rsid w:val="007E72DA"/>
    <w:rsid w:val="007E72E2"/>
    <w:rsid w:val="007E7379"/>
    <w:rsid w:val="007E73A2"/>
    <w:rsid w:val="007E73C0"/>
    <w:rsid w:val="007E73C1"/>
    <w:rsid w:val="007E7502"/>
    <w:rsid w:val="007E75D5"/>
    <w:rsid w:val="007E7683"/>
    <w:rsid w:val="007E77D6"/>
    <w:rsid w:val="007E7801"/>
    <w:rsid w:val="007E78A8"/>
    <w:rsid w:val="007E78AD"/>
    <w:rsid w:val="007E7AB9"/>
    <w:rsid w:val="007E7E6E"/>
    <w:rsid w:val="007E7F2F"/>
    <w:rsid w:val="007F005A"/>
    <w:rsid w:val="007F015E"/>
    <w:rsid w:val="007F0284"/>
    <w:rsid w:val="007F02E9"/>
    <w:rsid w:val="007F0347"/>
    <w:rsid w:val="007F0378"/>
    <w:rsid w:val="007F043A"/>
    <w:rsid w:val="007F0459"/>
    <w:rsid w:val="007F04C2"/>
    <w:rsid w:val="007F053A"/>
    <w:rsid w:val="007F0555"/>
    <w:rsid w:val="007F05D7"/>
    <w:rsid w:val="007F071F"/>
    <w:rsid w:val="007F0800"/>
    <w:rsid w:val="007F0877"/>
    <w:rsid w:val="007F087D"/>
    <w:rsid w:val="007F08F1"/>
    <w:rsid w:val="007F0909"/>
    <w:rsid w:val="007F0950"/>
    <w:rsid w:val="007F095B"/>
    <w:rsid w:val="007F096C"/>
    <w:rsid w:val="007F0B51"/>
    <w:rsid w:val="007F0B9E"/>
    <w:rsid w:val="007F0CEA"/>
    <w:rsid w:val="007F0CF1"/>
    <w:rsid w:val="007F0E3F"/>
    <w:rsid w:val="007F0E63"/>
    <w:rsid w:val="007F0E9E"/>
    <w:rsid w:val="007F0F67"/>
    <w:rsid w:val="007F0FA5"/>
    <w:rsid w:val="007F1009"/>
    <w:rsid w:val="007F10BE"/>
    <w:rsid w:val="007F10D8"/>
    <w:rsid w:val="007F119E"/>
    <w:rsid w:val="007F11F3"/>
    <w:rsid w:val="007F1243"/>
    <w:rsid w:val="007F13A0"/>
    <w:rsid w:val="007F1523"/>
    <w:rsid w:val="007F1760"/>
    <w:rsid w:val="007F1887"/>
    <w:rsid w:val="007F18BC"/>
    <w:rsid w:val="007F1A31"/>
    <w:rsid w:val="007F1BE7"/>
    <w:rsid w:val="007F1CF7"/>
    <w:rsid w:val="007F1E39"/>
    <w:rsid w:val="007F1E44"/>
    <w:rsid w:val="007F20DA"/>
    <w:rsid w:val="007F2141"/>
    <w:rsid w:val="007F21F6"/>
    <w:rsid w:val="007F2223"/>
    <w:rsid w:val="007F2289"/>
    <w:rsid w:val="007F2301"/>
    <w:rsid w:val="007F2358"/>
    <w:rsid w:val="007F23D2"/>
    <w:rsid w:val="007F246E"/>
    <w:rsid w:val="007F24AD"/>
    <w:rsid w:val="007F2562"/>
    <w:rsid w:val="007F257B"/>
    <w:rsid w:val="007F26AC"/>
    <w:rsid w:val="007F28B4"/>
    <w:rsid w:val="007F29C6"/>
    <w:rsid w:val="007F29D3"/>
    <w:rsid w:val="007F2A0F"/>
    <w:rsid w:val="007F2A10"/>
    <w:rsid w:val="007F2ACA"/>
    <w:rsid w:val="007F2B5B"/>
    <w:rsid w:val="007F2B69"/>
    <w:rsid w:val="007F2C7A"/>
    <w:rsid w:val="007F2D01"/>
    <w:rsid w:val="007F2D09"/>
    <w:rsid w:val="007F2E4D"/>
    <w:rsid w:val="007F2E6A"/>
    <w:rsid w:val="007F2EA0"/>
    <w:rsid w:val="007F2EB5"/>
    <w:rsid w:val="007F3040"/>
    <w:rsid w:val="007F309A"/>
    <w:rsid w:val="007F30B9"/>
    <w:rsid w:val="007F31F8"/>
    <w:rsid w:val="007F32AB"/>
    <w:rsid w:val="007F330F"/>
    <w:rsid w:val="007F3460"/>
    <w:rsid w:val="007F34F7"/>
    <w:rsid w:val="007F3518"/>
    <w:rsid w:val="007F351D"/>
    <w:rsid w:val="007F35EE"/>
    <w:rsid w:val="007F3738"/>
    <w:rsid w:val="007F394D"/>
    <w:rsid w:val="007F39CB"/>
    <w:rsid w:val="007F3A0E"/>
    <w:rsid w:val="007F3A67"/>
    <w:rsid w:val="007F3B0E"/>
    <w:rsid w:val="007F3BE2"/>
    <w:rsid w:val="007F3D63"/>
    <w:rsid w:val="007F3E84"/>
    <w:rsid w:val="007F3ED8"/>
    <w:rsid w:val="007F3F14"/>
    <w:rsid w:val="007F3F20"/>
    <w:rsid w:val="007F3F28"/>
    <w:rsid w:val="007F3FD1"/>
    <w:rsid w:val="007F4018"/>
    <w:rsid w:val="007F40BD"/>
    <w:rsid w:val="007F4241"/>
    <w:rsid w:val="007F4258"/>
    <w:rsid w:val="007F42AB"/>
    <w:rsid w:val="007F42E7"/>
    <w:rsid w:val="007F42EB"/>
    <w:rsid w:val="007F4306"/>
    <w:rsid w:val="007F430E"/>
    <w:rsid w:val="007F458A"/>
    <w:rsid w:val="007F49E1"/>
    <w:rsid w:val="007F4A8C"/>
    <w:rsid w:val="007F4B1D"/>
    <w:rsid w:val="007F4BC1"/>
    <w:rsid w:val="007F4CA2"/>
    <w:rsid w:val="007F4EB2"/>
    <w:rsid w:val="007F4F68"/>
    <w:rsid w:val="007F4F80"/>
    <w:rsid w:val="007F4F8A"/>
    <w:rsid w:val="007F4FDC"/>
    <w:rsid w:val="007F501C"/>
    <w:rsid w:val="007F5098"/>
    <w:rsid w:val="007F50BF"/>
    <w:rsid w:val="007F5143"/>
    <w:rsid w:val="007F519F"/>
    <w:rsid w:val="007F5216"/>
    <w:rsid w:val="007F52AA"/>
    <w:rsid w:val="007F52C9"/>
    <w:rsid w:val="007F52F6"/>
    <w:rsid w:val="007F532A"/>
    <w:rsid w:val="007F54BE"/>
    <w:rsid w:val="007F5588"/>
    <w:rsid w:val="007F5624"/>
    <w:rsid w:val="007F575D"/>
    <w:rsid w:val="007F5791"/>
    <w:rsid w:val="007F57B6"/>
    <w:rsid w:val="007F58A2"/>
    <w:rsid w:val="007F599C"/>
    <w:rsid w:val="007F59BF"/>
    <w:rsid w:val="007F5AA0"/>
    <w:rsid w:val="007F5B7E"/>
    <w:rsid w:val="007F5BE7"/>
    <w:rsid w:val="007F5CEC"/>
    <w:rsid w:val="007F5DD0"/>
    <w:rsid w:val="007F5E01"/>
    <w:rsid w:val="007F5F98"/>
    <w:rsid w:val="007F6004"/>
    <w:rsid w:val="007F6005"/>
    <w:rsid w:val="007F61A5"/>
    <w:rsid w:val="007F61FB"/>
    <w:rsid w:val="007F627C"/>
    <w:rsid w:val="007F6315"/>
    <w:rsid w:val="007F64E5"/>
    <w:rsid w:val="007F6607"/>
    <w:rsid w:val="007F662A"/>
    <w:rsid w:val="007F66E0"/>
    <w:rsid w:val="007F6844"/>
    <w:rsid w:val="007F68D4"/>
    <w:rsid w:val="007F68E5"/>
    <w:rsid w:val="007F6909"/>
    <w:rsid w:val="007F690C"/>
    <w:rsid w:val="007F6A60"/>
    <w:rsid w:val="007F6A99"/>
    <w:rsid w:val="007F6B87"/>
    <w:rsid w:val="007F6C20"/>
    <w:rsid w:val="007F6E1B"/>
    <w:rsid w:val="007F6ED2"/>
    <w:rsid w:val="007F6F68"/>
    <w:rsid w:val="007F71B0"/>
    <w:rsid w:val="007F720E"/>
    <w:rsid w:val="007F72AA"/>
    <w:rsid w:val="007F7375"/>
    <w:rsid w:val="007F738A"/>
    <w:rsid w:val="007F7437"/>
    <w:rsid w:val="007F752A"/>
    <w:rsid w:val="007F763A"/>
    <w:rsid w:val="007F785C"/>
    <w:rsid w:val="007F793A"/>
    <w:rsid w:val="007F7AA0"/>
    <w:rsid w:val="007F7B3F"/>
    <w:rsid w:val="007F7BC9"/>
    <w:rsid w:val="007F7BFF"/>
    <w:rsid w:val="007F7C36"/>
    <w:rsid w:val="007F7D0C"/>
    <w:rsid w:val="007F7D64"/>
    <w:rsid w:val="007F7EA6"/>
    <w:rsid w:val="007F7FC6"/>
    <w:rsid w:val="0080009C"/>
    <w:rsid w:val="008001AE"/>
    <w:rsid w:val="0080025A"/>
    <w:rsid w:val="0080027A"/>
    <w:rsid w:val="00800447"/>
    <w:rsid w:val="00800483"/>
    <w:rsid w:val="008004B2"/>
    <w:rsid w:val="008007C2"/>
    <w:rsid w:val="0080083C"/>
    <w:rsid w:val="0080093B"/>
    <w:rsid w:val="00800BF4"/>
    <w:rsid w:val="00800CE9"/>
    <w:rsid w:val="00800DCB"/>
    <w:rsid w:val="00800EA1"/>
    <w:rsid w:val="0080109E"/>
    <w:rsid w:val="00801100"/>
    <w:rsid w:val="008012DD"/>
    <w:rsid w:val="00801353"/>
    <w:rsid w:val="00801379"/>
    <w:rsid w:val="00801407"/>
    <w:rsid w:val="00801440"/>
    <w:rsid w:val="00801483"/>
    <w:rsid w:val="00801662"/>
    <w:rsid w:val="00801752"/>
    <w:rsid w:val="00801777"/>
    <w:rsid w:val="008018CE"/>
    <w:rsid w:val="00801A32"/>
    <w:rsid w:val="00801AAA"/>
    <w:rsid w:val="00801B81"/>
    <w:rsid w:val="00801C93"/>
    <w:rsid w:val="00801F88"/>
    <w:rsid w:val="00802034"/>
    <w:rsid w:val="008021F8"/>
    <w:rsid w:val="008022B6"/>
    <w:rsid w:val="00802370"/>
    <w:rsid w:val="008023AB"/>
    <w:rsid w:val="008025DE"/>
    <w:rsid w:val="00802663"/>
    <w:rsid w:val="008027DC"/>
    <w:rsid w:val="008029C7"/>
    <w:rsid w:val="008029F2"/>
    <w:rsid w:val="00802A98"/>
    <w:rsid w:val="00802C49"/>
    <w:rsid w:val="00802C6E"/>
    <w:rsid w:val="00802CA9"/>
    <w:rsid w:val="00802D51"/>
    <w:rsid w:val="00802DE0"/>
    <w:rsid w:val="00802DFE"/>
    <w:rsid w:val="00802EE3"/>
    <w:rsid w:val="0080303C"/>
    <w:rsid w:val="008030E3"/>
    <w:rsid w:val="008030E6"/>
    <w:rsid w:val="00803149"/>
    <w:rsid w:val="00803759"/>
    <w:rsid w:val="008038DA"/>
    <w:rsid w:val="00803950"/>
    <w:rsid w:val="00803AB2"/>
    <w:rsid w:val="00803B44"/>
    <w:rsid w:val="00803B93"/>
    <w:rsid w:val="00803CF6"/>
    <w:rsid w:val="00803CF7"/>
    <w:rsid w:val="00803DB1"/>
    <w:rsid w:val="008040EA"/>
    <w:rsid w:val="008041D2"/>
    <w:rsid w:val="00804378"/>
    <w:rsid w:val="008043E9"/>
    <w:rsid w:val="008044CB"/>
    <w:rsid w:val="008044CD"/>
    <w:rsid w:val="008044E2"/>
    <w:rsid w:val="0080450A"/>
    <w:rsid w:val="00804517"/>
    <w:rsid w:val="00804584"/>
    <w:rsid w:val="008045C2"/>
    <w:rsid w:val="008045CF"/>
    <w:rsid w:val="00804600"/>
    <w:rsid w:val="008046B3"/>
    <w:rsid w:val="008046C7"/>
    <w:rsid w:val="008046C9"/>
    <w:rsid w:val="008046CC"/>
    <w:rsid w:val="008046DE"/>
    <w:rsid w:val="00804731"/>
    <w:rsid w:val="0080478E"/>
    <w:rsid w:val="008047C2"/>
    <w:rsid w:val="0080497E"/>
    <w:rsid w:val="00804B2D"/>
    <w:rsid w:val="00804B66"/>
    <w:rsid w:val="00804BAB"/>
    <w:rsid w:val="00804C04"/>
    <w:rsid w:val="00804C2C"/>
    <w:rsid w:val="00804CB5"/>
    <w:rsid w:val="00804D59"/>
    <w:rsid w:val="00804E73"/>
    <w:rsid w:val="00804E7E"/>
    <w:rsid w:val="00804E9B"/>
    <w:rsid w:val="00804F05"/>
    <w:rsid w:val="00804FFE"/>
    <w:rsid w:val="00805131"/>
    <w:rsid w:val="00805142"/>
    <w:rsid w:val="00805162"/>
    <w:rsid w:val="0080535E"/>
    <w:rsid w:val="0080538F"/>
    <w:rsid w:val="00805435"/>
    <w:rsid w:val="008054FF"/>
    <w:rsid w:val="0080555D"/>
    <w:rsid w:val="00805566"/>
    <w:rsid w:val="008055DC"/>
    <w:rsid w:val="008056A4"/>
    <w:rsid w:val="0080571E"/>
    <w:rsid w:val="00805890"/>
    <w:rsid w:val="00805A0B"/>
    <w:rsid w:val="00805AA2"/>
    <w:rsid w:val="00805AB8"/>
    <w:rsid w:val="00805ACB"/>
    <w:rsid w:val="00805C2F"/>
    <w:rsid w:val="00805C3D"/>
    <w:rsid w:val="00805CAB"/>
    <w:rsid w:val="00805D3B"/>
    <w:rsid w:val="00805D5F"/>
    <w:rsid w:val="00805DC1"/>
    <w:rsid w:val="00805E2E"/>
    <w:rsid w:val="00805E43"/>
    <w:rsid w:val="00806052"/>
    <w:rsid w:val="0080605E"/>
    <w:rsid w:val="00806062"/>
    <w:rsid w:val="00806095"/>
    <w:rsid w:val="0080615A"/>
    <w:rsid w:val="00806214"/>
    <w:rsid w:val="0080628B"/>
    <w:rsid w:val="00806295"/>
    <w:rsid w:val="00806392"/>
    <w:rsid w:val="00806436"/>
    <w:rsid w:val="0080646F"/>
    <w:rsid w:val="00806560"/>
    <w:rsid w:val="0080660E"/>
    <w:rsid w:val="00806628"/>
    <w:rsid w:val="00806800"/>
    <w:rsid w:val="00806849"/>
    <w:rsid w:val="00806882"/>
    <w:rsid w:val="00806885"/>
    <w:rsid w:val="00806A31"/>
    <w:rsid w:val="00806A5D"/>
    <w:rsid w:val="00806B1E"/>
    <w:rsid w:val="00806B87"/>
    <w:rsid w:val="00806B99"/>
    <w:rsid w:val="00806C3D"/>
    <w:rsid w:val="00806F06"/>
    <w:rsid w:val="008071A2"/>
    <w:rsid w:val="0080727E"/>
    <w:rsid w:val="00807297"/>
    <w:rsid w:val="008072E0"/>
    <w:rsid w:val="008076DA"/>
    <w:rsid w:val="00807750"/>
    <w:rsid w:val="00807852"/>
    <w:rsid w:val="00807870"/>
    <w:rsid w:val="00807917"/>
    <w:rsid w:val="00807919"/>
    <w:rsid w:val="00807952"/>
    <w:rsid w:val="008079B7"/>
    <w:rsid w:val="00807AB9"/>
    <w:rsid w:val="00807C9E"/>
    <w:rsid w:val="00807CE0"/>
    <w:rsid w:val="00807EED"/>
    <w:rsid w:val="00807F71"/>
    <w:rsid w:val="00810066"/>
    <w:rsid w:val="0081008E"/>
    <w:rsid w:val="008100DA"/>
    <w:rsid w:val="00810119"/>
    <w:rsid w:val="0081017C"/>
    <w:rsid w:val="008101BB"/>
    <w:rsid w:val="008102A8"/>
    <w:rsid w:val="008102D9"/>
    <w:rsid w:val="00810309"/>
    <w:rsid w:val="00810461"/>
    <w:rsid w:val="00810490"/>
    <w:rsid w:val="008104F6"/>
    <w:rsid w:val="0081066B"/>
    <w:rsid w:val="00810674"/>
    <w:rsid w:val="0081076F"/>
    <w:rsid w:val="00810808"/>
    <w:rsid w:val="008108D9"/>
    <w:rsid w:val="00810928"/>
    <w:rsid w:val="00810933"/>
    <w:rsid w:val="00810AED"/>
    <w:rsid w:val="00810B64"/>
    <w:rsid w:val="00810B65"/>
    <w:rsid w:val="00810B77"/>
    <w:rsid w:val="00810BD5"/>
    <w:rsid w:val="00810BE2"/>
    <w:rsid w:val="00810C1F"/>
    <w:rsid w:val="00810CF8"/>
    <w:rsid w:val="00810D85"/>
    <w:rsid w:val="00810D8F"/>
    <w:rsid w:val="00810DC9"/>
    <w:rsid w:val="00810DE0"/>
    <w:rsid w:val="00810EF0"/>
    <w:rsid w:val="00810F15"/>
    <w:rsid w:val="00811038"/>
    <w:rsid w:val="008110E2"/>
    <w:rsid w:val="00811110"/>
    <w:rsid w:val="00811154"/>
    <w:rsid w:val="0081124C"/>
    <w:rsid w:val="0081130B"/>
    <w:rsid w:val="00811470"/>
    <w:rsid w:val="008114B1"/>
    <w:rsid w:val="00811619"/>
    <w:rsid w:val="00811668"/>
    <w:rsid w:val="00811729"/>
    <w:rsid w:val="008119D1"/>
    <w:rsid w:val="00811BBB"/>
    <w:rsid w:val="00811C1D"/>
    <w:rsid w:val="00811C9D"/>
    <w:rsid w:val="00811CBD"/>
    <w:rsid w:val="00811D95"/>
    <w:rsid w:val="00811E84"/>
    <w:rsid w:val="00811F95"/>
    <w:rsid w:val="00811FDD"/>
    <w:rsid w:val="00812092"/>
    <w:rsid w:val="0081209C"/>
    <w:rsid w:val="0081211F"/>
    <w:rsid w:val="00812200"/>
    <w:rsid w:val="0081232E"/>
    <w:rsid w:val="008124BA"/>
    <w:rsid w:val="008124C6"/>
    <w:rsid w:val="00812552"/>
    <w:rsid w:val="008125B0"/>
    <w:rsid w:val="008125EF"/>
    <w:rsid w:val="00812645"/>
    <w:rsid w:val="0081271A"/>
    <w:rsid w:val="008128F1"/>
    <w:rsid w:val="00812B72"/>
    <w:rsid w:val="00812BA9"/>
    <w:rsid w:val="00812C99"/>
    <w:rsid w:val="00812C9D"/>
    <w:rsid w:val="00812DAB"/>
    <w:rsid w:val="00812DB0"/>
    <w:rsid w:val="00812ED9"/>
    <w:rsid w:val="0081307F"/>
    <w:rsid w:val="008130AC"/>
    <w:rsid w:val="008130CA"/>
    <w:rsid w:val="00813106"/>
    <w:rsid w:val="0081313C"/>
    <w:rsid w:val="008131D4"/>
    <w:rsid w:val="008133DC"/>
    <w:rsid w:val="008134AB"/>
    <w:rsid w:val="0081350B"/>
    <w:rsid w:val="00813575"/>
    <w:rsid w:val="008136E8"/>
    <w:rsid w:val="008137D8"/>
    <w:rsid w:val="00813A44"/>
    <w:rsid w:val="00813B6C"/>
    <w:rsid w:val="00813BF9"/>
    <w:rsid w:val="00813C08"/>
    <w:rsid w:val="00813C28"/>
    <w:rsid w:val="00813C59"/>
    <w:rsid w:val="00813E32"/>
    <w:rsid w:val="00813EBE"/>
    <w:rsid w:val="00813ECD"/>
    <w:rsid w:val="008141EA"/>
    <w:rsid w:val="00814368"/>
    <w:rsid w:val="008143CF"/>
    <w:rsid w:val="00814588"/>
    <w:rsid w:val="008145B7"/>
    <w:rsid w:val="008145D8"/>
    <w:rsid w:val="00814756"/>
    <w:rsid w:val="00814818"/>
    <w:rsid w:val="00814AF1"/>
    <w:rsid w:val="00814AFB"/>
    <w:rsid w:val="00814B04"/>
    <w:rsid w:val="00814BB0"/>
    <w:rsid w:val="00814BF9"/>
    <w:rsid w:val="00814C2F"/>
    <w:rsid w:val="00814C53"/>
    <w:rsid w:val="00814F6B"/>
    <w:rsid w:val="00814FF5"/>
    <w:rsid w:val="008150B7"/>
    <w:rsid w:val="008150F6"/>
    <w:rsid w:val="0081510D"/>
    <w:rsid w:val="00815183"/>
    <w:rsid w:val="008153AB"/>
    <w:rsid w:val="00815495"/>
    <w:rsid w:val="008154B6"/>
    <w:rsid w:val="008155AC"/>
    <w:rsid w:val="00815627"/>
    <w:rsid w:val="00815635"/>
    <w:rsid w:val="008156EB"/>
    <w:rsid w:val="00815784"/>
    <w:rsid w:val="0081587C"/>
    <w:rsid w:val="008158F6"/>
    <w:rsid w:val="00815A81"/>
    <w:rsid w:val="00815AC8"/>
    <w:rsid w:val="00815AF5"/>
    <w:rsid w:val="00815C7C"/>
    <w:rsid w:val="00815EB1"/>
    <w:rsid w:val="00815EDA"/>
    <w:rsid w:val="0081604E"/>
    <w:rsid w:val="00816067"/>
    <w:rsid w:val="008160EE"/>
    <w:rsid w:val="008161A0"/>
    <w:rsid w:val="00816382"/>
    <w:rsid w:val="00816417"/>
    <w:rsid w:val="00816537"/>
    <w:rsid w:val="00816611"/>
    <w:rsid w:val="0081672C"/>
    <w:rsid w:val="00816734"/>
    <w:rsid w:val="00816739"/>
    <w:rsid w:val="008167BC"/>
    <w:rsid w:val="00816940"/>
    <w:rsid w:val="00816B35"/>
    <w:rsid w:val="00816B90"/>
    <w:rsid w:val="00816BB0"/>
    <w:rsid w:val="00816C1D"/>
    <w:rsid w:val="00816E85"/>
    <w:rsid w:val="00816FDB"/>
    <w:rsid w:val="00816FE2"/>
    <w:rsid w:val="008170A6"/>
    <w:rsid w:val="008172D3"/>
    <w:rsid w:val="00817326"/>
    <w:rsid w:val="0081735F"/>
    <w:rsid w:val="0081741C"/>
    <w:rsid w:val="00817714"/>
    <w:rsid w:val="00817915"/>
    <w:rsid w:val="00817A56"/>
    <w:rsid w:val="00817BCC"/>
    <w:rsid w:val="00817C83"/>
    <w:rsid w:val="00817DA5"/>
    <w:rsid w:val="00817E6F"/>
    <w:rsid w:val="00817E82"/>
    <w:rsid w:val="00820007"/>
    <w:rsid w:val="00820035"/>
    <w:rsid w:val="0082004B"/>
    <w:rsid w:val="008200BE"/>
    <w:rsid w:val="00820350"/>
    <w:rsid w:val="008203DC"/>
    <w:rsid w:val="0082045E"/>
    <w:rsid w:val="00820571"/>
    <w:rsid w:val="0082075D"/>
    <w:rsid w:val="008207C5"/>
    <w:rsid w:val="00820866"/>
    <w:rsid w:val="008209B5"/>
    <w:rsid w:val="00820BD7"/>
    <w:rsid w:val="00820C79"/>
    <w:rsid w:val="0082101A"/>
    <w:rsid w:val="008210A8"/>
    <w:rsid w:val="008211EF"/>
    <w:rsid w:val="00821218"/>
    <w:rsid w:val="00821259"/>
    <w:rsid w:val="0082132E"/>
    <w:rsid w:val="008213A6"/>
    <w:rsid w:val="008214D2"/>
    <w:rsid w:val="0082157E"/>
    <w:rsid w:val="00821607"/>
    <w:rsid w:val="008216C1"/>
    <w:rsid w:val="0082170B"/>
    <w:rsid w:val="0082172A"/>
    <w:rsid w:val="00821795"/>
    <w:rsid w:val="008217D5"/>
    <w:rsid w:val="00821809"/>
    <w:rsid w:val="00821A4D"/>
    <w:rsid w:val="00821A71"/>
    <w:rsid w:val="00821B5B"/>
    <w:rsid w:val="00821B91"/>
    <w:rsid w:val="00821C4C"/>
    <w:rsid w:val="00821C67"/>
    <w:rsid w:val="00821CD2"/>
    <w:rsid w:val="00821CFD"/>
    <w:rsid w:val="00821D6D"/>
    <w:rsid w:val="00821F88"/>
    <w:rsid w:val="008220B1"/>
    <w:rsid w:val="0082216D"/>
    <w:rsid w:val="00822363"/>
    <w:rsid w:val="008225D5"/>
    <w:rsid w:val="0082272A"/>
    <w:rsid w:val="00822801"/>
    <w:rsid w:val="00822918"/>
    <w:rsid w:val="008229B2"/>
    <w:rsid w:val="00822A34"/>
    <w:rsid w:val="00822AD8"/>
    <w:rsid w:val="00822B01"/>
    <w:rsid w:val="00822B47"/>
    <w:rsid w:val="00822C04"/>
    <w:rsid w:val="00822DB5"/>
    <w:rsid w:val="00822E88"/>
    <w:rsid w:val="00822FAD"/>
    <w:rsid w:val="00823035"/>
    <w:rsid w:val="00823121"/>
    <w:rsid w:val="008231CB"/>
    <w:rsid w:val="008231E7"/>
    <w:rsid w:val="008231E9"/>
    <w:rsid w:val="00823223"/>
    <w:rsid w:val="00823238"/>
    <w:rsid w:val="00823279"/>
    <w:rsid w:val="00823382"/>
    <w:rsid w:val="00823416"/>
    <w:rsid w:val="008234A2"/>
    <w:rsid w:val="008234FF"/>
    <w:rsid w:val="0082353E"/>
    <w:rsid w:val="00823550"/>
    <w:rsid w:val="008235AF"/>
    <w:rsid w:val="008235E2"/>
    <w:rsid w:val="008236A2"/>
    <w:rsid w:val="0082381C"/>
    <w:rsid w:val="0082384E"/>
    <w:rsid w:val="00823A27"/>
    <w:rsid w:val="00823BC2"/>
    <w:rsid w:val="00823C01"/>
    <w:rsid w:val="00823C55"/>
    <w:rsid w:val="00823D32"/>
    <w:rsid w:val="00823E57"/>
    <w:rsid w:val="00824074"/>
    <w:rsid w:val="008241A9"/>
    <w:rsid w:val="00824312"/>
    <w:rsid w:val="0082431D"/>
    <w:rsid w:val="008244AC"/>
    <w:rsid w:val="008244CC"/>
    <w:rsid w:val="00824549"/>
    <w:rsid w:val="00824629"/>
    <w:rsid w:val="0082468B"/>
    <w:rsid w:val="0082472A"/>
    <w:rsid w:val="00824754"/>
    <w:rsid w:val="0082487E"/>
    <w:rsid w:val="0082498F"/>
    <w:rsid w:val="008249D7"/>
    <w:rsid w:val="008249DA"/>
    <w:rsid w:val="00824B38"/>
    <w:rsid w:val="00824B57"/>
    <w:rsid w:val="00824B9A"/>
    <w:rsid w:val="00824CE5"/>
    <w:rsid w:val="00824DB9"/>
    <w:rsid w:val="00824DD6"/>
    <w:rsid w:val="00824E61"/>
    <w:rsid w:val="00824FA9"/>
    <w:rsid w:val="00824FAC"/>
    <w:rsid w:val="00824FD0"/>
    <w:rsid w:val="008251DC"/>
    <w:rsid w:val="008252B3"/>
    <w:rsid w:val="0082536C"/>
    <w:rsid w:val="00825466"/>
    <w:rsid w:val="00825485"/>
    <w:rsid w:val="008254F9"/>
    <w:rsid w:val="0082555E"/>
    <w:rsid w:val="00825629"/>
    <w:rsid w:val="00825907"/>
    <w:rsid w:val="0082592C"/>
    <w:rsid w:val="0082597C"/>
    <w:rsid w:val="00825AB9"/>
    <w:rsid w:val="00825C56"/>
    <w:rsid w:val="00825CB4"/>
    <w:rsid w:val="00825E10"/>
    <w:rsid w:val="00825F75"/>
    <w:rsid w:val="00826031"/>
    <w:rsid w:val="00826305"/>
    <w:rsid w:val="0082636E"/>
    <w:rsid w:val="008263F9"/>
    <w:rsid w:val="0082641C"/>
    <w:rsid w:val="00826446"/>
    <w:rsid w:val="008264F4"/>
    <w:rsid w:val="0082659D"/>
    <w:rsid w:val="00826682"/>
    <w:rsid w:val="00826763"/>
    <w:rsid w:val="00826940"/>
    <w:rsid w:val="0082697A"/>
    <w:rsid w:val="00826A5D"/>
    <w:rsid w:val="00826AF7"/>
    <w:rsid w:val="00826B34"/>
    <w:rsid w:val="00826CBE"/>
    <w:rsid w:val="00826CD2"/>
    <w:rsid w:val="00826D3B"/>
    <w:rsid w:val="00826E67"/>
    <w:rsid w:val="00826EAF"/>
    <w:rsid w:val="00826FF1"/>
    <w:rsid w:val="00827020"/>
    <w:rsid w:val="0082705B"/>
    <w:rsid w:val="008271BC"/>
    <w:rsid w:val="00827250"/>
    <w:rsid w:val="00827267"/>
    <w:rsid w:val="008274E2"/>
    <w:rsid w:val="008274FA"/>
    <w:rsid w:val="008275B8"/>
    <w:rsid w:val="008276C4"/>
    <w:rsid w:val="0082775F"/>
    <w:rsid w:val="00827829"/>
    <w:rsid w:val="008279A4"/>
    <w:rsid w:val="00827AFA"/>
    <w:rsid w:val="00827AFE"/>
    <w:rsid w:val="00827B2C"/>
    <w:rsid w:val="00827C65"/>
    <w:rsid w:val="00827CAA"/>
    <w:rsid w:val="00827DCD"/>
    <w:rsid w:val="00827E25"/>
    <w:rsid w:val="00827EA2"/>
    <w:rsid w:val="00827ECD"/>
    <w:rsid w:val="00827F49"/>
    <w:rsid w:val="00830030"/>
    <w:rsid w:val="008300C7"/>
    <w:rsid w:val="0083010D"/>
    <w:rsid w:val="008301D6"/>
    <w:rsid w:val="008302FC"/>
    <w:rsid w:val="0083038C"/>
    <w:rsid w:val="008303AA"/>
    <w:rsid w:val="008304C2"/>
    <w:rsid w:val="0083050A"/>
    <w:rsid w:val="0083061E"/>
    <w:rsid w:val="0083064C"/>
    <w:rsid w:val="008307A1"/>
    <w:rsid w:val="008307A5"/>
    <w:rsid w:val="00830B31"/>
    <w:rsid w:val="00830B47"/>
    <w:rsid w:val="00830C4E"/>
    <w:rsid w:val="00830C5E"/>
    <w:rsid w:val="00830C6B"/>
    <w:rsid w:val="00830CD8"/>
    <w:rsid w:val="00830CFF"/>
    <w:rsid w:val="00830D5D"/>
    <w:rsid w:val="00830D93"/>
    <w:rsid w:val="00830DD6"/>
    <w:rsid w:val="00830E28"/>
    <w:rsid w:val="00830E8F"/>
    <w:rsid w:val="00830F47"/>
    <w:rsid w:val="00830F82"/>
    <w:rsid w:val="00831137"/>
    <w:rsid w:val="0083119D"/>
    <w:rsid w:val="008312D7"/>
    <w:rsid w:val="008313C0"/>
    <w:rsid w:val="00831476"/>
    <w:rsid w:val="008314CA"/>
    <w:rsid w:val="00831535"/>
    <w:rsid w:val="00831A1F"/>
    <w:rsid w:val="00831AEB"/>
    <w:rsid w:val="00831B6B"/>
    <w:rsid w:val="00831D65"/>
    <w:rsid w:val="00831F42"/>
    <w:rsid w:val="00831F64"/>
    <w:rsid w:val="00831F6F"/>
    <w:rsid w:val="00831FFB"/>
    <w:rsid w:val="0083209D"/>
    <w:rsid w:val="008320AA"/>
    <w:rsid w:val="00832281"/>
    <w:rsid w:val="0083232B"/>
    <w:rsid w:val="00832388"/>
    <w:rsid w:val="008324B2"/>
    <w:rsid w:val="00832566"/>
    <w:rsid w:val="008325FC"/>
    <w:rsid w:val="00832622"/>
    <w:rsid w:val="00832653"/>
    <w:rsid w:val="0083266C"/>
    <w:rsid w:val="008326F0"/>
    <w:rsid w:val="008327E4"/>
    <w:rsid w:val="00832824"/>
    <w:rsid w:val="00832903"/>
    <w:rsid w:val="0083294A"/>
    <w:rsid w:val="00832AB6"/>
    <w:rsid w:val="00832AFB"/>
    <w:rsid w:val="00832B37"/>
    <w:rsid w:val="00832B56"/>
    <w:rsid w:val="00832CD1"/>
    <w:rsid w:val="00832DA5"/>
    <w:rsid w:val="00832EA7"/>
    <w:rsid w:val="00832F2A"/>
    <w:rsid w:val="00832F69"/>
    <w:rsid w:val="0083305B"/>
    <w:rsid w:val="008330A1"/>
    <w:rsid w:val="00833443"/>
    <w:rsid w:val="00833490"/>
    <w:rsid w:val="00833573"/>
    <w:rsid w:val="008335D2"/>
    <w:rsid w:val="008337FD"/>
    <w:rsid w:val="00833A11"/>
    <w:rsid w:val="00833B0A"/>
    <w:rsid w:val="00833B14"/>
    <w:rsid w:val="00833BEA"/>
    <w:rsid w:val="00833C01"/>
    <w:rsid w:val="00833C52"/>
    <w:rsid w:val="00833C62"/>
    <w:rsid w:val="00833CA9"/>
    <w:rsid w:val="00833D1E"/>
    <w:rsid w:val="00833E23"/>
    <w:rsid w:val="00833E2E"/>
    <w:rsid w:val="00833E67"/>
    <w:rsid w:val="00833F46"/>
    <w:rsid w:val="00833FCB"/>
    <w:rsid w:val="0083404C"/>
    <w:rsid w:val="0083409E"/>
    <w:rsid w:val="0083417B"/>
    <w:rsid w:val="00834184"/>
    <w:rsid w:val="00834211"/>
    <w:rsid w:val="00834272"/>
    <w:rsid w:val="00834293"/>
    <w:rsid w:val="008342C4"/>
    <w:rsid w:val="008342D8"/>
    <w:rsid w:val="008342E5"/>
    <w:rsid w:val="008343EE"/>
    <w:rsid w:val="0083448E"/>
    <w:rsid w:val="0083450C"/>
    <w:rsid w:val="00834538"/>
    <w:rsid w:val="0083490F"/>
    <w:rsid w:val="00834914"/>
    <w:rsid w:val="0083498E"/>
    <w:rsid w:val="008349BB"/>
    <w:rsid w:val="00834A56"/>
    <w:rsid w:val="00834C14"/>
    <w:rsid w:val="00834C18"/>
    <w:rsid w:val="00834CFD"/>
    <w:rsid w:val="00835271"/>
    <w:rsid w:val="008354BD"/>
    <w:rsid w:val="00835510"/>
    <w:rsid w:val="00835564"/>
    <w:rsid w:val="00835570"/>
    <w:rsid w:val="00835635"/>
    <w:rsid w:val="00835672"/>
    <w:rsid w:val="008356A1"/>
    <w:rsid w:val="0083572A"/>
    <w:rsid w:val="0083596D"/>
    <w:rsid w:val="00835A00"/>
    <w:rsid w:val="00835A6E"/>
    <w:rsid w:val="00835BF8"/>
    <w:rsid w:val="00835C69"/>
    <w:rsid w:val="00835F11"/>
    <w:rsid w:val="00835F17"/>
    <w:rsid w:val="00835FDB"/>
    <w:rsid w:val="008360BB"/>
    <w:rsid w:val="0083621C"/>
    <w:rsid w:val="008362B5"/>
    <w:rsid w:val="00836440"/>
    <w:rsid w:val="008364C4"/>
    <w:rsid w:val="008364CE"/>
    <w:rsid w:val="008364F3"/>
    <w:rsid w:val="0083652C"/>
    <w:rsid w:val="0083655E"/>
    <w:rsid w:val="0083675F"/>
    <w:rsid w:val="00836833"/>
    <w:rsid w:val="00836892"/>
    <w:rsid w:val="008368AA"/>
    <w:rsid w:val="00836A64"/>
    <w:rsid w:val="00836AF6"/>
    <w:rsid w:val="00836B9B"/>
    <w:rsid w:val="00836C90"/>
    <w:rsid w:val="00836D77"/>
    <w:rsid w:val="00836E19"/>
    <w:rsid w:val="00836F28"/>
    <w:rsid w:val="00836F89"/>
    <w:rsid w:val="00837079"/>
    <w:rsid w:val="00837159"/>
    <w:rsid w:val="00837170"/>
    <w:rsid w:val="008372E1"/>
    <w:rsid w:val="0083733D"/>
    <w:rsid w:val="008373BC"/>
    <w:rsid w:val="008375B2"/>
    <w:rsid w:val="008375C1"/>
    <w:rsid w:val="00837759"/>
    <w:rsid w:val="00837892"/>
    <w:rsid w:val="008378B3"/>
    <w:rsid w:val="00837998"/>
    <w:rsid w:val="008379A9"/>
    <w:rsid w:val="00837AA3"/>
    <w:rsid w:val="00837AD1"/>
    <w:rsid w:val="00837B30"/>
    <w:rsid w:val="00837BDF"/>
    <w:rsid w:val="00837CA6"/>
    <w:rsid w:val="00837CC9"/>
    <w:rsid w:val="00837D3D"/>
    <w:rsid w:val="00837DCE"/>
    <w:rsid w:val="00837E4E"/>
    <w:rsid w:val="00837F4A"/>
    <w:rsid w:val="008400B0"/>
    <w:rsid w:val="008401B0"/>
    <w:rsid w:val="0084022E"/>
    <w:rsid w:val="00840236"/>
    <w:rsid w:val="0084029D"/>
    <w:rsid w:val="008404AD"/>
    <w:rsid w:val="008404EC"/>
    <w:rsid w:val="00840612"/>
    <w:rsid w:val="008406EA"/>
    <w:rsid w:val="0084078A"/>
    <w:rsid w:val="00840851"/>
    <w:rsid w:val="008409F4"/>
    <w:rsid w:val="00840A9A"/>
    <w:rsid w:val="00840CF2"/>
    <w:rsid w:val="00840DAB"/>
    <w:rsid w:val="00840EEE"/>
    <w:rsid w:val="0084119F"/>
    <w:rsid w:val="008411D1"/>
    <w:rsid w:val="0084135F"/>
    <w:rsid w:val="00841393"/>
    <w:rsid w:val="008413A5"/>
    <w:rsid w:val="008413EB"/>
    <w:rsid w:val="008413FF"/>
    <w:rsid w:val="00841423"/>
    <w:rsid w:val="0084149C"/>
    <w:rsid w:val="00841546"/>
    <w:rsid w:val="008416CF"/>
    <w:rsid w:val="008416F2"/>
    <w:rsid w:val="0084175E"/>
    <w:rsid w:val="00841CBE"/>
    <w:rsid w:val="00841E09"/>
    <w:rsid w:val="00841E4E"/>
    <w:rsid w:val="00841EB4"/>
    <w:rsid w:val="00841EBB"/>
    <w:rsid w:val="00841F2F"/>
    <w:rsid w:val="00842008"/>
    <w:rsid w:val="008420B1"/>
    <w:rsid w:val="008420D2"/>
    <w:rsid w:val="0084266F"/>
    <w:rsid w:val="00842870"/>
    <w:rsid w:val="008428DF"/>
    <w:rsid w:val="008428F3"/>
    <w:rsid w:val="00842A08"/>
    <w:rsid w:val="00842B14"/>
    <w:rsid w:val="00842B51"/>
    <w:rsid w:val="00842B56"/>
    <w:rsid w:val="00842B8A"/>
    <w:rsid w:val="00842B9B"/>
    <w:rsid w:val="00842D21"/>
    <w:rsid w:val="00842D7D"/>
    <w:rsid w:val="00842E19"/>
    <w:rsid w:val="00842F7B"/>
    <w:rsid w:val="00842F9F"/>
    <w:rsid w:val="0084309C"/>
    <w:rsid w:val="00843147"/>
    <w:rsid w:val="00843185"/>
    <w:rsid w:val="008433B2"/>
    <w:rsid w:val="00843448"/>
    <w:rsid w:val="008435B7"/>
    <w:rsid w:val="008435F1"/>
    <w:rsid w:val="00843614"/>
    <w:rsid w:val="008436AF"/>
    <w:rsid w:val="008436BC"/>
    <w:rsid w:val="008436DB"/>
    <w:rsid w:val="00843777"/>
    <w:rsid w:val="0084379F"/>
    <w:rsid w:val="0084387B"/>
    <w:rsid w:val="00843896"/>
    <w:rsid w:val="0084392C"/>
    <w:rsid w:val="00843ABA"/>
    <w:rsid w:val="00843B65"/>
    <w:rsid w:val="00843DEF"/>
    <w:rsid w:val="00843F2E"/>
    <w:rsid w:val="0084411F"/>
    <w:rsid w:val="00844139"/>
    <w:rsid w:val="008442C5"/>
    <w:rsid w:val="00844333"/>
    <w:rsid w:val="0084437D"/>
    <w:rsid w:val="00844381"/>
    <w:rsid w:val="008444C3"/>
    <w:rsid w:val="008445B3"/>
    <w:rsid w:val="0084483A"/>
    <w:rsid w:val="0084483F"/>
    <w:rsid w:val="008448E6"/>
    <w:rsid w:val="00844930"/>
    <w:rsid w:val="008449F5"/>
    <w:rsid w:val="00844A79"/>
    <w:rsid w:val="00844AB8"/>
    <w:rsid w:val="00844AD6"/>
    <w:rsid w:val="00844B04"/>
    <w:rsid w:val="00844D00"/>
    <w:rsid w:val="00844D1B"/>
    <w:rsid w:val="00844D64"/>
    <w:rsid w:val="00844DBC"/>
    <w:rsid w:val="00844E0E"/>
    <w:rsid w:val="00844E5C"/>
    <w:rsid w:val="00844F7A"/>
    <w:rsid w:val="00844FEA"/>
    <w:rsid w:val="008450E0"/>
    <w:rsid w:val="008450F5"/>
    <w:rsid w:val="00845144"/>
    <w:rsid w:val="00845238"/>
    <w:rsid w:val="00845266"/>
    <w:rsid w:val="00845283"/>
    <w:rsid w:val="008452AD"/>
    <w:rsid w:val="00845340"/>
    <w:rsid w:val="0084551A"/>
    <w:rsid w:val="00845703"/>
    <w:rsid w:val="00845728"/>
    <w:rsid w:val="008458BA"/>
    <w:rsid w:val="0084591F"/>
    <w:rsid w:val="0084596F"/>
    <w:rsid w:val="00845A8A"/>
    <w:rsid w:val="00845BF5"/>
    <w:rsid w:val="00845CEB"/>
    <w:rsid w:val="00845D24"/>
    <w:rsid w:val="00845D3D"/>
    <w:rsid w:val="00845D52"/>
    <w:rsid w:val="00845E59"/>
    <w:rsid w:val="00845E87"/>
    <w:rsid w:val="00846020"/>
    <w:rsid w:val="0084608B"/>
    <w:rsid w:val="00846094"/>
    <w:rsid w:val="00846133"/>
    <w:rsid w:val="008463B4"/>
    <w:rsid w:val="0084653C"/>
    <w:rsid w:val="00846558"/>
    <w:rsid w:val="008465CA"/>
    <w:rsid w:val="00846629"/>
    <w:rsid w:val="008466CF"/>
    <w:rsid w:val="008467DA"/>
    <w:rsid w:val="0084682D"/>
    <w:rsid w:val="008468CE"/>
    <w:rsid w:val="008469DA"/>
    <w:rsid w:val="00846BA1"/>
    <w:rsid w:val="00846C3F"/>
    <w:rsid w:val="00846CFF"/>
    <w:rsid w:val="00846D16"/>
    <w:rsid w:val="00846D35"/>
    <w:rsid w:val="00846D36"/>
    <w:rsid w:val="00846D74"/>
    <w:rsid w:val="00846D99"/>
    <w:rsid w:val="00846E5A"/>
    <w:rsid w:val="00846EDB"/>
    <w:rsid w:val="00846FAB"/>
    <w:rsid w:val="00846FBF"/>
    <w:rsid w:val="00846FC7"/>
    <w:rsid w:val="00847220"/>
    <w:rsid w:val="00847369"/>
    <w:rsid w:val="0084743F"/>
    <w:rsid w:val="008474DC"/>
    <w:rsid w:val="008475D6"/>
    <w:rsid w:val="00847671"/>
    <w:rsid w:val="0084782D"/>
    <w:rsid w:val="0084782F"/>
    <w:rsid w:val="00847839"/>
    <w:rsid w:val="008478ED"/>
    <w:rsid w:val="00847948"/>
    <w:rsid w:val="008479EF"/>
    <w:rsid w:val="00847ABA"/>
    <w:rsid w:val="00847BD0"/>
    <w:rsid w:val="00847D49"/>
    <w:rsid w:val="00847DB5"/>
    <w:rsid w:val="00847E1E"/>
    <w:rsid w:val="00847E24"/>
    <w:rsid w:val="00850017"/>
    <w:rsid w:val="008502DD"/>
    <w:rsid w:val="00850461"/>
    <w:rsid w:val="008504A2"/>
    <w:rsid w:val="0085067E"/>
    <w:rsid w:val="00850871"/>
    <w:rsid w:val="00850920"/>
    <w:rsid w:val="0085094D"/>
    <w:rsid w:val="00850968"/>
    <w:rsid w:val="008509BF"/>
    <w:rsid w:val="00850A4A"/>
    <w:rsid w:val="00850ABC"/>
    <w:rsid w:val="00850C46"/>
    <w:rsid w:val="00850D0B"/>
    <w:rsid w:val="00850D13"/>
    <w:rsid w:val="00850D54"/>
    <w:rsid w:val="00850D71"/>
    <w:rsid w:val="00850DFA"/>
    <w:rsid w:val="008511D5"/>
    <w:rsid w:val="008511FD"/>
    <w:rsid w:val="008512E4"/>
    <w:rsid w:val="0085130D"/>
    <w:rsid w:val="008513E4"/>
    <w:rsid w:val="0085152B"/>
    <w:rsid w:val="00851558"/>
    <w:rsid w:val="008515CA"/>
    <w:rsid w:val="00851631"/>
    <w:rsid w:val="0085178E"/>
    <w:rsid w:val="00851800"/>
    <w:rsid w:val="00851892"/>
    <w:rsid w:val="008518CC"/>
    <w:rsid w:val="0085190E"/>
    <w:rsid w:val="008519D1"/>
    <w:rsid w:val="00851A85"/>
    <w:rsid w:val="00851D66"/>
    <w:rsid w:val="00851D81"/>
    <w:rsid w:val="00851E8F"/>
    <w:rsid w:val="00851F33"/>
    <w:rsid w:val="00851F78"/>
    <w:rsid w:val="00851FDC"/>
    <w:rsid w:val="00852081"/>
    <w:rsid w:val="00852203"/>
    <w:rsid w:val="0085222B"/>
    <w:rsid w:val="00852353"/>
    <w:rsid w:val="00852442"/>
    <w:rsid w:val="00852516"/>
    <w:rsid w:val="00852577"/>
    <w:rsid w:val="008526CA"/>
    <w:rsid w:val="00852830"/>
    <w:rsid w:val="00852915"/>
    <w:rsid w:val="00852953"/>
    <w:rsid w:val="008529B0"/>
    <w:rsid w:val="00852A25"/>
    <w:rsid w:val="00852B2D"/>
    <w:rsid w:val="00852C5B"/>
    <w:rsid w:val="00852C80"/>
    <w:rsid w:val="00852CA5"/>
    <w:rsid w:val="00852D15"/>
    <w:rsid w:val="00852E50"/>
    <w:rsid w:val="0085307C"/>
    <w:rsid w:val="00853115"/>
    <w:rsid w:val="0085313F"/>
    <w:rsid w:val="0085315C"/>
    <w:rsid w:val="00853192"/>
    <w:rsid w:val="008534F9"/>
    <w:rsid w:val="008536E8"/>
    <w:rsid w:val="00853775"/>
    <w:rsid w:val="00853804"/>
    <w:rsid w:val="00853826"/>
    <w:rsid w:val="0085384C"/>
    <w:rsid w:val="008538EC"/>
    <w:rsid w:val="008539E0"/>
    <w:rsid w:val="00853B3C"/>
    <w:rsid w:val="00853C6F"/>
    <w:rsid w:val="00853D18"/>
    <w:rsid w:val="00853DAF"/>
    <w:rsid w:val="00853E3C"/>
    <w:rsid w:val="00853ECC"/>
    <w:rsid w:val="00853F7F"/>
    <w:rsid w:val="00853FDB"/>
    <w:rsid w:val="00854009"/>
    <w:rsid w:val="00854149"/>
    <w:rsid w:val="00854160"/>
    <w:rsid w:val="008541B5"/>
    <w:rsid w:val="0085421D"/>
    <w:rsid w:val="0085431E"/>
    <w:rsid w:val="0085433A"/>
    <w:rsid w:val="00854467"/>
    <w:rsid w:val="008544BA"/>
    <w:rsid w:val="008545DC"/>
    <w:rsid w:val="008546DA"/>
    <w:rsid w:val="00854733"/>
    <w:rsid w:val="008548F4"/>
    <w:rsid w:val="008549F4"/>
    <w:rsid w:val="00854B6C"/>
    <w:rsid w:val="00854BC5"/>
    <w:rsid w:val="00854C06"/>
    <w:rsid w:val="00854D5A"/>
    <w:rsid w:val="00854FC5"/>
    <w:rsid w:val="0085502E"/>
    <w:rsid w:val="008550CD"/>
    <w:rsid w:val="008550D9"/>
    <w:rsid w:val="008551A9"/>
    <w:rsid w:val="00855290"/>
    <w:rsid w:val="008553D4"/>
    <w:rsid w:val="0085548E"/>
    <w:rsid w:val="008554BF"/>
    <w:rsid w:val="008554C8"/>
    <w:rsid w:val="00855601"/>
    <w:rsid w:val="008556A3"/>
    <w:rsid w:val="00855836"/>
    <w:rsid w:val="00855A6A"/>
    <w:rsid w:val="00855ABF"/>
    <w:rsid w:val="00855AF4"/>
    <w:rsid w:val="00855B14"/>
    <w:rsid w:val="00855D28"/>
    <w:rsid w:val="00855DC8"/>
    <w:rsid w:val="00855EDA"/>
    <w:rsid w:val="00856285"/>
    <w:rsid w:val="00856302"/>
    <w:rsid w:val="0085635A"/>
    <w:rsid w:val="00856382"/>
    <w:rsid w:val="008563BF"/>
    <w:rsid w:val="00856427"/>
    <w:rsid w:val="0085653D"/>
    <w:rsid w:val="00856587"/>
    <w:rsid w:val="00856770"/>
    <w:rsid w:val="00856772"/>
    <w:rsid w:val="008567F8"/>
    <w:rsid w:val="00856908"/>
    <w:rsid w:val="008569F2"/>
    <w:rsid w:val="00856A03"/>
    <w:rsid w:val="00856B3D"/>
    <w:rsid w:val="00856C21"/>
    <w:rsid w:val="00856CB8"/>
    <w:rsid w:val="00856D33"/>
    <w:rsid w:val="00856D73"/>
    <w:rsid w:val="00856D88"/>
    <w:rsid w:val="00856DEE"/>
    <w:rsid w:val="00856E1E"/>
    <w:rsid w:val="00856E76"/>
    <w:rsid w:val="00856ECC"/>
    <w:rsid w:val="00856EF6"/>
    <w:rsid w:val="0085705C"/>
    <w:rsid w:val="0085708F"/>
    <w:rsid w:val="008571A7"/>
    <w:rsid w:val="008571D3"/>
    <w:rsid w:val="00857252"/>
    <w:rsid w:val="00857317"/>
    <w:rsid w:val="00857357"/>
    <w:rsid w:val="00857476"/>
    <w:rsid w:val="00857534"/>
    <w:rsid w:val="008575A4"/>
    <w:rsid w:val="008575BE"/>
    <w:rsid w:val="0085762C"/>
    <w:rsid w:val="0085771F"/>
    <w:rsid w:val="008577E7"/>
    <w:rsid w:val="00857A47"/>
    <w:rsid w:val="00857AA2"/>
    <w:rsid w:val="00857B0B"/>
    <w:rsid w:val="00857CE3"/>
    <w:rsid w:val="00857D31"/>
    <w:rsid w:val="00857E44"/>
    <w:rsid w:val="00857EA5"/>
    <w:rsid w:val="00857FEF"/>
    <w:rsid w:val="008601ED"/>
    <w:rsid w:val="0086026C"/>
    <w:rsid w:val="0086048E"/>
    <w:rsid w:val="008604DA"/>
    <w:rsid w:val="0086065B"/>
    <w:rsid w:val="00860681"/>
    <w:rsid w:val="008606EB"/>
    <w:rsid w:val="008607E3"/>
    <w:rsid w:val="008608CF"/>
    <w:rsid w:val="008609BD"/>
    <w:rsid w:val="00860B25"/>
    <w:rsid w:val="00860B2E"/>
    <w:rsid w:val="00860C1A"/>
    <w:rsid w:val="00860C91"/>
    <w:rsid w:val="00860FA6"/>
    <w:rsid w:val="00861021"/>
    <w:rsid w:val="0086128C"/>
    <w:rsid w:val="008613E2"/>
    <w:rsid w:val="00861436"/>
    <w:rsid w:val="00861496"/>
    <w:rsid w:val="00861603"/>
    <w:rsid w:val="00861634"/>
    <w:rsid w:val="008617D7"/>
    <w:rsid w:val="0086192A"/>
    <w:rsid w:val="0086194A"/>
    <w:rsid w:val="00861A9A"/>
    <w:rsid w:val="00861B23"/>
    <w:rsid w:val="00861B35"/>
    <w:rsid w:val="00861BC9"/>
    <w:rsid w:val="00861C3B"/>
    <w:rsid w:val="00861CA6"/>
    <w:rsid w:val="00861D83"/>
    <w:rsid w:val="00861E04"/>
    <w:rsid w:val="00861E3B"/>
    <w:rsid w:val="00861EBB"/>
    <w:rsid w:val="00861ED3"/>
    <w:rsid w:val="00861EFA"/>
    <w:rsid w:val="00861F16"/>
    <w:rsid w:val="00861F68"/>
    <w:rsid w:val="00861FFF"/>
    <w:rsid w:val="0086216F"/>
    <w:rsid w:val="00862244"/>
    <w:rsid w:val="00862272"/>
    <w:rsid w:val="00862286"/>
    <w:rsid w:val="0086228B"/>
    <w:rsid w:val="00862445"/>
    <w:rsid w:val="0086251A"/>
    <w:rsid w:val="008625F2"/>
    <w:rsid w:val="0086271A"/>
    <w:rsid w:val="00862775"/>
    <w:rsid w:val="00862798"/>
    <w:rsid w:val="00862825"/>
    <w:rsid w:val="00862829"/>
    <w:rsid w:val="00862853"/>
    <w:rsid w:val="00862857"/>
    <w:rsid w:val="008628EB"/>
    <w:rsid w:val="00862914"/>
    <w:rsid w:val="0086298F"/>
    <w:rsid w:val="008629F0"/>
    <w:rsid w:val="00862A2A"/>
    <w:rsid w:val="00862BBD"/>
    <w:rsid w:val="00862C66"/>
    <w:rsid w:val="00862F34"/>
    <w:rsid w:val="00862F75"/>
    <w:rsid w:val="00862FD0"/>
    <w:rsid w:val="00863121"/>
    <w:rsid w:val="0086317F"/>
    <w:rsid w:val="008631BB"/>
    <w:rsid w:val="008631C3"/>
    <w:rsid w:val="008632CB"/>
    <w:rsid w:val="008633D7"/>
    <w:rsid w:val="00863526"/>
    <w:rsid w:val="008635BD"/>
    <w:rsid w:val="0086372E"/>
    <w:rsid w:val="00863A10"/>
    <w:rsid w:val="00863A8F"/>
    <w:rsid w:val="00863B59"/>
    <w:rsid w:val="00863C50"/>
    <w:rsid w:val="00863D4D"/>
    <w:rsid w:val="00863DDC"/>
    <w:rsid w:val="00863DEC"/>
    <w:rsid w:val="00863DF4"/>
    <w:rsid w:val="00863E0D"/>
    <w:rsid w:val="00864071"/>
    <w:rsid w:val="00864298"/>
    <w:rsid w:val="008642C4"/>
    <w:rsid w:val="008642DB"/>
    <w:rsid w:val="008642F4"/>
    <w:rsid w:val="008643E0"/>
    <w:rsid w:val="00864458"/>
    <w:rsid w:val="008644AF"/>
    <w:rsid w:val="00864512"/>
    <w:rsid w:val="0086453D"/>
    <w:rsid w:val="0086455A"/>
    <w:rsid w:val="008647A5"/>
    <w:rsid w:val="00864829"/>
    <w:rsid w:val="0086491D"/>
    <w:rsid w:val="00864993"/>
    <w:rsid w:val="00864A32"/>
    <w:rsid w:val="00864A51"/>
    <w:rsid w:val="00864A8E"/>
    <w:rsid w:val="00864AC0"/>
    <w:rsid w:val="00864B0C"/>
    <w:rsid w:val="00864B7D"/>
    <w:rsid w:val="00864D5B"/>
    <w:rsid w:val="00864EAA"/>
    <w:rsid w:val="00864FC5"/>
    <w:rsid w:val="0086502C"/>
    <w:rsid w:val="00865046"/>
    <w:rsid w:val="00865231"/>
    <w:rsid w:val="008653C0"/>
    <w:rsid w:val="0086540D"/>
    <w:rsid w:val="0086547E"/>
    <w:rsid w:val="008656C7"/>
    <w:rsid w:val="008656F2"/>
    <w:rsid w:val="0086579E"/>
    <w:rsid w:val="008657BC"/>
    <w:rsid w:val="008658BA"/>
    <w:rsid w:val="00865B13"/>
    <w:rsid w:val="00865C3B"/>
    <w:rsid w:val="00865C8F"/>
    <w:rsid w:val="00865D1F"/>
    <w:rsid w:val="00865E30"/>
    <w:rsid w:val="00865E83"/>
    <w:rsid w:val="00865F3A"/>
    <w:rsid w:val="00865FE2"/>
    <w:rsid w:val="00866047"/>
    <w:rsid w:val="0086614F"/>
    <w:rsid w:val="0086618B"/>
    <w:rsid w:val="008661E7"/>
    <w:rsid w:val="008661F0"/>
    <w:rsid w:val="0086629F"/>
    <w:rsid w:val="008668A3"/>
    <w:rsid w:val="008669A5"/>
    <w:rsid w:val="00866A93"/>
    <w:rsid w:val="00866D29"/>
    <w:rsid w:val="00866D5C"/>
    <w:rsid w:val="00866D98"/>
    <w:rsid w:val="00866DE3"/>
    <w:rsid w:val="00866EDD"/>
    <w:rsid w:val="00866EE4"/>
    <w:rsid w:val="00867002"/>
    <w:rsid w:val="008670B8"/>
    <w:rsid w:val="008671FC"/>
    <w:rsid w:val="00867366"/>
    <w:rsid w:val="00867412"/>
    <w:rsid w:val="008676CD"/>
    <w:rsid w:val="00867780"/>
    <w:rsid w:val="0086783F"/>
    <w:rsid w:val="00867932"/>
    <w:rsid w:val="00867963"/>
    <w:rsid w:val="00867A7D"/>
    <w:rsid w:val="00867A8F"/>
    <w:rsid w:val="00867AE5"/>
    <w:rsid w:val="00867B73"/>
    <w:rsid w:val="00867C6C"/>
    <w:rsid w:val="00867D17"/>
    <w:rsid w:val="00867DC0"/>
    <w:rsid w:val="00867E09"/>
    <w:rsid w:val="00867E6C"/>
    <w:rsid w:val="00867EEC"/>
    <w:rsid w:val="00867F17"/>
    <w:rsid w:val="00867F8C"/>
    <w:rsid w:val="00867FB6"/>
    <w:rsid w:val="00867FCD"/>
    <w:rsid w:val="0087004E"/>
    <w:rsid w:val="008700E1"/>
    <w:rsid w:val="00870109"/>
    <w:rsid w:val="00870155"/>
    <w:rsid w:val="008702B4"/>
    <w:rsid w:val="008702CB"/>
    <w:rsid w:val="0087030F"/>
    <w:rsid w:val="0087032F"/>
    <w:rsid w:val="008703A0"/>
    <w:rsid w:val="008703EE"/>
    <w:rsid w:val="0087044D"/>
    <w:rsid w:val="008704CF"/>
    <w:rsid w:val="00870512"/>
    <w:rsid w:val="00870566"/>
    <w:rsid w:val="008705D6"/>
    <w:rsid w:val="00870655"/>
    <w:rsid w:val="0087081E"/>
    <w:rsid w:val="008708DE"/>
    <w:rsid w:val="00870A0E"/>
    <w:rsid w:val="00870A4C"/>
    <w:rsid w:val="00870A9E"/>
    <w:rsid w:val="00870BD5"/>
    <w:rsid w:val="00870C13"/>
    <w:rsid w:val="00870C8F"/>
    <w:rsid w:val="00870CA8"/>
    <w:rsid w:val="00870EEE"/>
    <w:rsid w:val="00870F07"/>
    <w:rsid w:val="00870FBE"/>
    <w:rsid w:val="00871118"/>
    <w:rsid w:val="00871162"/>
    <w:rsid w:val="00871278"/>
    <w:rsid w:val="008712CF"/>
    <w:rsid w:val="00871435"/>
    <w:rsid w:val="00871459"/>
    <w:rsid w:val="00871492"/>
    <w:rsid w:val="00871550"/>
    <w:rsid w:val="008715A2"/>
    <w:rsid w:val="008715D8"/>
    <w:rsid w:val="008715D9"/>
    <w:rsid w:val="00871602"/>
    <w:rsid w:val="0087165F"/>
    <w:rsid w:val="008716BA"/>
    <w:rsid w:val="00871702"/>
    <w:rsid w:val="00871707"/>
    <w:rsid w:val="00871735"/>
    <w:rsid w:val="008717C2"/>
    <w:rsid w:val="0087189F"/>
    <w:rsid w:val="0087195F"/>
    <w:rsid w:val="00871A93"/>
    <w:rsid w:val="00871B8D"/>
    <w:rsid w:val="00871C24"/>
    <w:rsid w:val="00871C81"/>
    <w:rsid w:val="00871D25"/>
    <w:rsid w:val="00871D31"/>
    <w:rsid w:val="00871DD9"/>
    <w:rsid w:val="00871F02"/>
    <w:rsid w:val="00871F31"/>
    <w:rsid w:val="00871FB6"/>
    <w:rsid w:val="00871FFE"/>
    <w:rsid w:val="008720D6"/>
    <w:rsid w:val="00872154"/>
    <w:rsid w:val="0087245B"/>
    <w:rsid w:val="0087250A"/>
    <w:rsid w:val="00872610"/>
    <w:rsid w:val="00872679"/>
    <w:rsid w:val="008727A5"/>
    <w:rsid w:val="008727FE"/>
    <w:rsid w:val="00872879"/>
    <w:rsid w:val="00872A44"/>
    <w:rsid w:val="00872C7C"/>
    <w:rsid w:val="00872CDF"/>
    <w:rsid w:val="00872EB8"/>
    <w:rsid w:val="00873098"/>
    <w:rsid w:val="008731B0"/>
    <w:rsid w:val="00873276"/>
    <w:rsid w:val="008732B2"/>
    <w:rsid w:val="008732E5"/>
    <w:rsid w:val="00873303"/>
    <w:rsid w:val="0087335F"/>
    <w:rsid w:val="00873471"/>
    <w:rsid w:val="0087354F"/>
    <w:rsid w:val="0087364E"/>
    <w:rsid w:val="0087365F"/>
    <w:rsid w:val="008736BF"/>
    <w:rsid w:val="008736E9"/>
    <w:rsid w:val="00873999"/>
    <w:rsid w:val="008739CE"/>
    <w:rsid w:val="00873B3E"/>
    <w:rsid w:val="00873C03"/>
    <w:rsid w:val="00873CE4"/>
    <w:rsid w:val="00873CEA"/>
    <w:rsid w:val="00873D73"/>
    <w:rsid w:val="00873DD4"/>
    <w:rsid w:val="00873E10"/>
    <w:rsid w:val="00873E51"/>
    <w:rsid w:val="00873E6C"/>
    <w:rsid w:val="00873E8F"/>
    <w:rsid w:val="00873EA7"/>
    <w:rsid w:val="0087402F"/>
    <w:rsid w:val="0087408C"/>
    <w:rsid w:val="00874189"/>
    <w:rsid w:val="00874289"/>
    <w:rsid w:val="0087428F"/>
    <w:rsid w:val="008742C8"/>
    <w:rsid w:val="00874375"/>
    <w:rsid w:val="00874393"/>
    <w:rsid w:val="008743D5"/>
    <w:rsid w:val="00874476"/>
    <w:rsid w:val="0087456B"/>
    <w:rsid w:val="008745FC"/>
    <w:rsid w:val="00874659"/>
    <w:rsid w:val="008746D8"/>
    <w:rsid w:val="00874995"/>
    <w:rsid w:val="00874A79"/>
    <w:rsid w:val="00874AE8"/>
    <w:rsid w:val="00874B08"/>
    <w:rsid w:val="00874B32"/>
    <w:rsid w:val="00874D0A"/>
    <w:rsid w:val="00874D22"/>
    <w:rsid w:val="00874D7B"/>
    <w:rsid w:val="00874F07"/>
    <w:rsid w:val="00874F90"/>
    <w:rsid w:val="00875080"/>
    <w:rsid w:val="00875246"/>
    <w:rsid w:val="00875329"/>
    <w:rsid w:val="0087534B"/>
    <w:rsid w:val="008754B7"/>
    <w:rsid w:val="008754F3"/>
    <w:rsid w:val="0087564F"/>
    <w:rsid w:val="0087565E"/>
    <w:rsid w:val="00875779"/>
    <w:rsid w:val="008757F6"/>
    <w:rsid w:val="008758A1"/>
    <w:rsid w:val="00875916"/>
    <w:rsid w:val="0087599A"/>
    <w:rsid w:val="00875B17"/>
    <w:rsid w:val="00875B21"/>
    <w:rsid w:val="00875B38"/>
    <w:rsid w:val="00875C40"/>
    <w:rsid w:val="00875C51"/>
    <w:rsid w:val="00875CCC"/>
    <w:rsid w:val="00875ED3"/>
    <w:rsid w:val="00875ED9"/>
    <w:rsid w:val="00875FAB"/>
    <w:rsid w:val="00875FE2"/>
    <w:rsid w:val="00876006"/>
    <w:rsid w:val="00876158"/>
    <w:rsid w:val="0087617E"/>
    <w:rsid w:val="00876226"/>
    <w:rsid w:val="00876342"/>
    <w:rsid w:val="008763B1"/>
    <w:rsid w:val="008763E5"/>
    <w:rsid w:val="0087640C"/>
    <w:rsid w:val="0087646E"/>
    <w:rsid w:val="008764B9"/>
    <w:rsid w:val="008765C6"/>
    <w:rsid w:val="008766D7"/>
    <w:rsid w:val="00876781"/>
    <w:rsid w:val="00876973"/>
    <w:rsid w:val="00876A3C"/>
    <w:rsid w:val="00876B80"/>
    <w:rsid w:val="00876B8A"/>
    <w:rsid w:val="00876CED"/>
    <w:rsid w:val="00876DCC"/>
    <w:rsid w:val="00876E1F"/>
    <w:rsid w:val="00876E58"/>
    <w:rsid w:val="00876ED5"/>
    <w:rsid w:val="00876F0C"/>
    <w:rsid w:val="00876F1E"/>
    <w:rsid w:val="00876F9E"/>
    <w:rsid w:val="00876FCD"/>
    <w:rsid w:val="00877100"/>
    <w:rsid w:val="00877154"/>
    <w:rsid w:val="00877178"/>
    <w:rsid w:val="00877187"/>
    <w:rsid w:val="00877215"/>
    <w:rsid w:val="0087723B"/>
    <w:rsid w:val="00877453"/>
    <w:rsid w:val="00877465"/>
    <w:rsid w:val="008775EF"/>
    <w:rsid w:val="008775F3"/>
    <w:rsid w:val="00877733"/>
    <w:rsid w:val="00877934"/>
    <w:rsid w:val="0087794D"/>
    <w:rsid w:val="0087799C"/>
    <w:rsid w:val="00877A5E"/>
    <w:rsid w:val="00877BB2"/>
    <w:rsid w:val="00877BBA"/>
    <w:rsid w:val="00877C30"/>
    <w:rsid w:val="00877DA1"/>
    <w:rsid w:val="00877DE6"/>
    <w:rsid w:val="00877DF4"/>
    <w:rsid w:val="00877DF9"/>
    <w:rsid w:val="00880034"/>
    <w:rsid w:val="00880187"/>
    <w:rsid w:val="00880319"/>
    <w:rsid w:val="0088054C"/>
    <w:rsid w:val="00880628"/>
    <w:rsid w:val="008806D8"/>
    <w:rsid w:val="008806EC"/>
    <w:rsid w:val="0088073B"/>
    <w:rsid w:val="0088081F"/>
    <w:rsid w:val="00880877"/>
    <w:rsid w:val="00880900"/>
    <w:rsid w:val="0088095A"/>
    <w:rsid w:val="008809BA"/>
    <w:rsid w:val="00880A96"/>
    <w:rsid w:val="00880A97"/>
    <w:rsid w:val="00880B2A"/>
    <w:rsid w:val="00880B49"/>
    <w:rsid w:val="00880BC2"/>
    <w:rsid w:val="00880C2C"/>
    <w:rsid w:val="00880C5B"/>
    <w:rsid w:val="00880DBF"/>
    <w:rsid w:val="00880E52"/>
    <w:rsid w:val="00880E7B"/>
    <w:rsid w:val="00880E85"/>
    <w:rsid w:val="00880F2A"/>
    <w:rsid w:val="00880FBE"/>
    <w:rsid w:val="00880FFC"/>
    <w:rsid w:val="0088104C"/>
    <w:rsid w:val="00881133"/>
    <w:rsid w:val="0088113E"/>
    <w:rsid w:val="0088134F"/>
    <w:rsid w:val="00881429"/>
    <w:rsid w:val="008814DF"/>
    <w:rsid w:val="00881516"/>
    <w:rsid w:val="00881615"/>
    <w:rsid w:val="008818D9"/>
    <w:rsid w:val="00881C03"/>
    <w:rsid w:val="00881C5F"/>
    <w:rsid w:val="00881C9F"/>
    <w:rsid w:val="00881CF1"/>
    <w:rsid w:val="00881DAC"/>
    <w:rsid w:val="00882182"/>
    <w:rsid w:val="00882184"/>
    <w:rsid w:val="008823F2"/>
    <w:rsid w:val="008824B0"/>
    <w:rsid w:val="00882592"/>
    <w:rsid w:val="00882657"/>
    <w:rsid w:val="008826B6"/>
    <w:rsid w:val="008826B9"/>
    <w:rsid w:val="00882772"/>
    <w:rsid w:val="008829E5"/>
    <w:rsid w:val="00882BB7"/>
    <w:rsid w:val="00882BD3"/>
    <w:rsid w:val="00882BD5"/>
    <w:rsid w:val="00882C16"/>
    <w:rsid w:val="00882C4E"/>
    <w:rsid w:val="00882E15"/>
    <w:rsid w:val="00882E56"/>
    <w:rsid w:val="00882F8F"/>
    <w:rsid w:val="00882F9D"/>
    <w:rsid w:val="00883083"/>
    <w:rsid w:val="008830B3"/>
    <w:rsid w:val="008830D1"/>
    <w:rsid w:val="008830DC"/>
    <w:rsid w:val="008830EA"/>
    <w:rsid w:val="008833F8"/>
    <w:rsid w:val="0088358A"/>
    <w:rsid w:val="008835DD"/>
    <w:rsid w:val="008836AA"/>
    <w:rsid w:val="0088385C"/>
    <w:rsid w:val="0088396D"/>
    <w:rsid w:val="00883B40"/>
    <w:rsid w:val="00883B54"/>
    <w:rsid w:val="00883BFF"/>
    <w:rsid w:val="00883CF0"/>
    <w:rsid w:val="00883D0F"/>
    <w:rsid w:val="00883EC5"/>
    <w:rsid w:val="00883FA0"/>
    <w:rsid w:val="008840F9"/>
    <w:rsid w:val="0088423C"/>
    <w:rsid w:val="00884249"/>
    <w:rsid w:val="008843A0"/>
    <w:rsid w:val="00884474"/>
    <w:rsid w:val="008845BD"/>
    <w:rsid w:val="008845CC"/>
    <w:rsid w:val="00884689"/>
    <w:rsid w:val="008846B1"/>
    <w:rsid w:val="008846B5"/>
    <w:rsid w:val="00884747"/>
    <w:rsid w:val="00884771"/>
    <w:rsid w:val="008847AB"/>
    <w:rsid w:val="00884823"/>
    <w:rsid w:val="0088482A"/>
    <w:rsid w:val="008848A5"/>
    <w:rsid w:val="00884918"/>
    <w:rsid w:val="0088495C"/>
    <w:rsid w:val="00884A1B"/>
    <w:rsid w:val="00884ABF"/>
    <w:rsid w:val="00884AC2"/>
    <w:rsid w:val="00884B34"/>
    <w:rsid w:val="00884B59"/>
    <w:rsid w:val="00884C55"/>
    <w:rsid w:val="00884C91"/>
    <w:rsid w:val="00884D1F"/>
    <w:rsid w:val="00884F8C"/>
    <w:rsid w:val="00885055"/>
    <w:rsid w:val="00885114"/>
    <w:rsid w:val="00885128"/>
    <w:rsid w:val="0088516F"/>
    <w:rsid w:val="0088529F"/>
    <w:rsid w:val="008852F8"/>
    <w:rsid w:val="00885386"/>
    <w:rsid w:val="00885392"/>
    <w:rsid w:val="008853D5"/>
    <w:rsid w:val="00885524"/>
    <w:rsid w:val="00885539"/>
    <w:rsid w:val="00885573"/>
    <w:rsid w:val="00885870"/>
    <w:rsid w:val="00885A69"/>
    <w:rsid w:val="00885AD8"/>
    <w:rsid w:val="00885D81"/>
    <w:rsid w:val="00885E8F"/>
    <w:rsid w:val="00886121"/>
    <w:rsid w:val="00886129"/>
    <w:rsid w:val="008861DD"/>
    <w:rsid w:val="008861EC"/>
    <w:rsid w:val="008862E0"/>
    <w:rsid w:val="0088631A"/>
    <w:rsid w:val="00886333"/>
    <w:rsid w:val="00886353"/>
    <w:rsid w:val="0088641A"/>
    <w:rsid w:val="008864C9"/>
    <w:rsid w:val="0088658B"/>
    <w:rsid w:val="0088666A"/>
    <w:rsid w:val="008868F5"/>
    <w:rsid w:val="008869CC"/>
    <w:rsid w:val="00886A3A"/>
    <w:rsid w:val="00886B20"/>
    <w:rsid w:val="00886B93"/>
    <w:rsid w:val="00886DFF"/>
    <w:rsid w:val="00886F31"/>
    <w:rsid w:val="00886FF3"/>
    <w:rsid w:val="00887036"/>
    <w:rsid w:val="0088730B"/>
    <w:rsid w:val="00887333"/>
    <w:rsid w:val="0088750E"/>
    <w:rsid w:val="0088758B"/>
    <w:rsid w:val="008875E8"/>
    <w:rsid w:val="00887686"/>
    <w:rsid w:val="00887784"/>
    <w:rsid w:val="00887809"/>
    <w:rsid w:val="008878BE"/>
    <w:rsid w:val="00887A5F"/>
    <w:rsid w:val="00887B5C"/>
    <w:rsid w:val="00887F39"/>
    <w:rsid w:val="00887F48"/>
    <w:rsid w:val="00887F77"/>
    <w:rsid w:val="00890140"/>
    <w:rsid w:val="008901C3"/>
    <w:rsid w:val="0089020F"/>
    <w:rsid w:val="0089026B"/>
    <w:rsid w:val="0089030A"/>
    <w:rsid w:val="00890360"/>
    <w:rsid w:val="008903CD"/>
    <w:rsid w:val="0089040C"/>
    <w:rsid w:val="008904A7"/>
    <w:rsid w:val="008905A3"/>
    <w:rsid w:val="008905C4"/>
    <w:rsid w:val="0089073B"/>
    <w:rsid w:val="008907D0"/>
    <w:rsid w:val="00890963"/>
    <w:rsid w:val="008909A1"/>
    <w:rsid w:val="008909B4"/>
    <w:rsid w:val="00890C84"/>
    <w:rsid w:val="00890D46"/>
    <w:rsid w:val="00890DB3"/>
    <w:rsid w:val="00890E8C"/>
    <w:rsid w:val="00890F72"/>
    <w:rsid w:val="00890FCB"/>
    <w:rsid w:val="00891161"/>
    <w:rsid w:val="008911FB"/>
    <w:rsid w:val="00891214"/>
    <w:rsid w:val="00891351"/>
    <w:rsid w:val="008913F4"/>
    <w:rsid w:val="00891421"/>
    <w:rsid w:val="0089181E"/>
    <w:rsid w:val="008918DF"/>
    <w:rsid w:val="00891A77"/>
    <w:rsid w:val="00891B15"/>
    <w:rsid w:val="00891C32"/>
    <w:rsid w:val="00891C42"/>
    <w:rsid w:val="00891C86"/>
    <w:rsid w:val="00891CDC"/>
    <w:rsid w:val="00891DAF"/>
    <w:rsid w:val="00891DB0"/>
    <w:rsid w:val="008921AB"/>
    <w:rsid w:val="008921F2"/>
    <w:rsid w:val="008923C0"/>
    <w:rsid w:val="008923CD"/>
    <w:rsid w:val="008923D9"/>
    <w:rsid w:val="00892413"/>
    <w:rsid w:val="00892437"/>
    <w:rsid w:val="008925F5"/>
    <w:rsid w:val="008926EE"/>
    <w:rsid w:val="00892720"/>
    <w:rsid w:val="00892776"/>
    <w:rsid w:val="0089283C"/>
    <w:rsid w:val="008928CF"/>
    <w:rsid w:val="008928D1"/>
    <w:rsid w:val="00892953"/>
    <w:rsid w:val="00892965"/>
    <w:rsid w:val="00892987"/>
    <w:rsid w:val="00892A55"/>
    <w:rsid w:val="00892ACE"/>
    <w:rsid w:val="00892B1E"/>
    <w:rsid w:val="00892B6F"/>
    <w:rsid w:val="00892BFF"/>
    <w:rsid w:val="00892E2B"/>
    <w:rsid w:val="00892E61"/>
    <w:rsid w:val="00892F3C"/>
    <w:rsid w:val="00892FD2"/>
    <w:rsid w:val="00893054"/>
    <w:rsid w:val="008930E7"/>
    <w:rsid w:val="008930F7"/>
    <w:rsid w:val="0089314B"/>
    <w:rsid w:val="008932FD"/>
    <w:rsid w:val="008933C6"/>
    <w:rsid w:val="00893450"/>
    <w:rsid w:val="0089356C"/>
    <w:rsid w:val="0089383F"/>
    <w:rsid w:val="00893946"/>
    <w:rsid w:val="00893988"/>
    <w:rsid w:val="0089399E"/>
    <w:rsid w:val="008939A6"/>
    <w:rsid w:val="00893AF5"/>
    <w:rsid w:val="00893D41"/>
    <w:rsid w:val="00893DB9"/>
    <w:rsid w:val="00893DE1"/>
    <w:rsid w:val="00893E5A"/>
    <w:rsid w:val="00893EA6"/>
    <w:rsid w:val="00893FAC"/>
    <w:rsid w:val="008941CC"/>
    <w:rsid w:val="00894264"/>
    <w:rsid w:val="0089430C"/>
    <w:rsid w:val="008943A4"/>
    <w:rsid w:val="008943BD"/>
    <w:rsid w:val="00894432"/>
    <w:rsid w:val="008945E5"/>
    <w:rsid w:val="0089467C"/>
    <w:rsid w:val="008946F6"/>
    <w:rsid w:val="0089477C"/>
    <w:rsid w:val="00894784"/>
    <w:rsid w:val="008947AD"/>
    <w:rsid w:val="008947DB"/>
    <w:rsid w:val="00894904"/>
    <w:rsid w:val="008949FE"/>
    <w:rsid w:val="00894AD1"/>
    <w:rsid w:val="00894B7D"/>
    <w:rsid w:val="00894C62"/>
    <w:rsid w:val="00894C78"/>
    <w:rsid w:val="00894CA8"/>
    <w:rsid w:val="00894DBC"/>
    <w:rsid w:val="00894E86"/>
    <w:rsid w:val="00894EBF"/>
    <w:rsid w:val="00894ED5"/>
    <w:rsid w:val="00894F86"/>
    <w:rsid w:val="00894FA4"/>
    <w:rsid w:val="00894FB3"/>
    <w:rsid w:val="0089503F"/>
    <w:rsid w:val="00895073"/>
    <w:rsid w:val="008951C6"/>
    <w:rsid w:val="008951D2"/>
    <w:rsid w:val="00895272"/>
    <w:rsid w:val="0089529D"/>
    <w:rsid w:val="0089533B"/>
    <w:rsid w:val="0089553C"/>
    <w:rsid w:val="0089562C"/>
    <w:rsid w:val="0089579F"/>
    <w:rsid w:val="008958C1"/>
    <w:rsid w:val="00895AE7"/>
    <w:rsid w:val="00895C0B"/>
    <w:rsid w:val="00895C11"/>
    <w:rsid w:val="00895CFC"/>
    <w:rsid w:val="00895E70"/>
    <w:rsid w:val="00895F68"/>
    <w:rsid w:val="00895FC2"/>
    <w:rsid w:val="00896014"/>
    <w:rsid w:val="0089605B"/>
    <w:rsid w:val="008960B0"/>
    <w:rsid w:val="00896144"/>
    <w:rsid w:val="008962FD"/>
    <w:rsid w:val="008963F3"/>
    <w:rsid w:val="008965DA"/>
    <w:rsid w:val="008965E8"/>
    <w:rsid w:val="0089677E"/>
    <w:rsid w:val="008967AF"/>
    <w:rsid w:val="0089682E"/>
    <w:rsid w:val="0089694E"/>
    <w:rsid w:val="008969DB"/>
    <w:rsid w:val="00896A33"/>
    <w:rsid w:val="00896A5B"/>
    <w:rsid w:val="00896A5F"/>
    <w:rsid w:val="00896B15"/>
    <w:rsid w:val="00896D4B"/>
    <w:rsid w:val="00896E48"/>
    <w:rsid w:val="00896ED2"/>
    <w:rsid w:val="00896FBF"/>
    <w:rsid w:val="008970C6"/>
    <w:rsid w:val="0089719D"/>
    <w:rsid w:val="008971FF"/>
    <w:rsid w:val="00897351"/>
    <w:rsid w:val="00897432"/>
    <w:rsid w:val="00897459"/>
    <w:rsid w:val="008975D5"/>
    <w:rsid w:val="008977D5"/>
    <w:rsid w:val="0089785B"/>
    <w:rsid w:val="0089785E"/>
    <w:rsid w:val="008979FD"/>
    <w:rsid w:val="008979FF"/>
    <w:rsid w:val="00897B30"/>
    <w:rsid w:val="00897BDA"/>
    <w:rsid w:val="00897C0B"/>
    <w:rsid w:val="00897C6D"/>
    <w:rsid w:val="00897CDD"/>
    <w:rsid w:val="00897D69"/>
    <w:rsid w:val="00897D6B"/>
    <w:rsid w:val="00897DB5"/>
    <w:rsid w:val="00897EC9"/>
    <w:rsid w:val="00897F1B"/>
    <w:rsid w:val="008A0029"/>
    <w:rsid w:val="008A004A"/>
    <w:rsid w:val="008A013B"/>
    <w:rsid w:val="008A01AF"/>
    <w:rsid w:val="008A01DE"/>
    <w:rsid w:val="008A039C"/>
    <w:rsid w:val="008A03B4"/>
    <w:rsid w:val="008A040D"/>
    <w:rsid w:val="008A04B6"/>
    <w:rsid w:val="008A04E4"/>
    <w:rsid w:val="008A04E9"/>
    <w:rsid w:val="008A0507"/>
    <w:rsid w:val="008A050E"/>
    <w:rsid w:val="008A051D"/>
    <w:rsid w:val="008A05A6"/>
    <w:rsid w:val="008A05C0"/>
    <w:rsid w:val="008A0674"/>
    <w:rsid w:val="008A0698"/>
    <w:rsid w:val="008A07A7"/>
    <w:rsid w:val="008A0C21"/>
    <w:rsid w:val="008A0C92"/>
    <w:rsid w:val="008A0CDF"/>
    <w:rsid w:val="008A106E"/>
    <w:rsid w:val="008A108C"/>
    <w:rsid w:val="008A10A6"/>
    <w:rsid w:val="008A1242"/>
    <w:rsid w:val="008A1286"/>
    <w:rsid w:val="008A1417"/>
    <w:rsid w:val="008A1458"/>
    <w:rsid w:val="008A14A3"/>
    <w:rsid w:val="008A14E9"/>
    <w:rsid w:val="008A1586"/>
    <w:rsid w:val="008A159A"/>
    <w:rsid w:val="008A16B1"/>
    <w:rsid w:val="008A16D6"/>
    <w:rsid w:val="008A1828"/>
    <w:rsid w:val="008A18E5"/>
    <w:rsid w:val="008A1935"/>
    <w:rsid w:val="008A19A5"/>
    <w:rsid w:val="008A1AA9"/>
    <w:rsid w:val="008A1BE5"/>
    <w:rsid w:val="008A1C55"/>
    <w:rsid w:val="008A1DF3"/>
    <w:rsid w:val="008A1EA9"/>
    <w:rsid w:val="008A1EFB"/>
    <w:rsid w:val="008A1F03"/>
    <w:rsid w:val="008A1F36"/>
    <w:rsid w:val="008A2003"/>
    <w:rsid w:val="008A203B"/>
    <w:rsid w:val="008A2077"/>
    <w:rsid w:val="008A218B"/>
    <w:rsid w:val="008A21EC"/>
    <w:rsid w:val="008A2362"/>
    <w:rsid w:val="008A2481"/>
    <w:rsid w:val="008A24D5"/>
    <w:rsid w:val="008A25E3"/>
    <w:rsid w:val="008A2619"/>
    <w:rsid w:val="008A268D"/>
    <w:rsid w:val="008A2789"/>
    <w:rsid w:val="008A27D6"/>
    <w:rsid w:val="008A28AD"/>
    <w:rsid w:val="008A2914"/>
    <w:rsid w:val="008A2943"/>
    <w:rsid w:val="008A29F1"/>
    <w:rsid w:val="008A2B89"/>
    <w:rsid w:val="008A2C78"/>
    <w:rsid w:val="008A2D03"/>
    <w:rsid w:val="008A2D10"/>
    <w:rsid w:val="008A2D13"/>
    <w:rsid w:val="008A2D8E"/>
    <w:rsid w:val="008A2E10"/>
    <w:rsid w:val="008A2F31"/>
    <w:rsid w:val="008A2FF0"/>
    <w:rsid w:val="008A313C"/>
    <w:rsid w:val="008A3159"/>
    <w:rsid w:val="008A317C"/>
    <w:rsid w:val="008A3187"/>
    <w:rsid w:val="008A3242"/>
    <w:rsid w:val="008A324A"/>
    <w:rsid w:val="008A32E5"/>
    <w:rsid w:val="008A3333"/>
    <w:rsid w:val="008A33AC"/>
    <w:rsid w:val="008A33E0"/>
    <w:rsid w:val="008A33F9"/>
    <w:rsid w:val="008A34BB"/>
    <w:rsid w:val="008A34BD"/>
    <w:rsid w:val="008A3594"/>
    <w:rsid w:val="008A3811"/>
    <w:rsid w:val="008A3A73"/>
    <w:rsid w:val="008A3B2F"/>
    <w:rsid w:val="008A3C52"/>
    <w:rsid w:val="008A3C81"/>
    <w:rsid w:val="008A3CA4"/>
    <w:rsid w:val="008A3CC8"/>
    <w:rsid w:val="008A3CFB"/>
    <w:rsid w:val="008A3DCC"/>
    <w:rsid w:val="008A3EAB"/>
    <w:rsid w:val="008A3F81"/>
    <w:rsid w:val="008A4231"/>
    <w:rsid w:val="008A4302"/>
    <w:rsid w:val="008A434F"/>
    <w:rsid w:val="008A43AB"/>
    <w:rsid w:val="008A440A"/>
    <w:rsid w:val="008A4455"/>
    <w:rsid w:val="008A449D"/>
    <w:rsid w:val="008A4522"/>
    <w:rsid w:val="008A45F6"/>
    <w:rsid w:val="008A469D"/>
    <w:rsid w:val="008A46BA"/>
    <w:rsid w:val="008A46EF"/>
    <w:rsid w:val="008A46F8"/>
    <w:rsid w:val="008A472F"/>
    <w:rsid w:val="008A4731"/>
    <w:rsid w:val="008A4774"/>
    <w:rsid w:val="008A483E"/>
    <w:rsid w:val="008A4847"/>
    <w:rsid w:val="008A4873"/>
    <w:rsid w:val="008A496E"/>
    <w:rsid w:val="008A49F3"/>
    <w:rsid w:val="008A4A8A"/>
    <w:rsid w:val="008A4AEC"/>
    <w:rsid w:val="008A4B10"/>
    <w:rsid w:val="008A4C43"/>
    <w:rsid w:val="008A4CA7"/>
    <w:rsid w:val="008A4CEB"/>
    <w:rsid w:val="008A4D93"/>
    <w:rsid w:val="008A4DB7"/>
    <w:rsid w:val="008A4E66"/>
    <w:rsid w:val="008A5013"/>
    <w:rsid w:val="008A509C"/>
    <w:rsid w:val="008A5194"/>
    <w:rsid w:val="008A51AB"/>
    <w:rsid w:val="008A5312"/>
    <w:rsid w:val="008A5429"/>
    <w:rsid w:val="008A5545"/>
    <w:rsid w:val="008A5552"/>
    <w:rsid w:val="008A561A"/>
    <w:rsid w:val="008A5688"/>
    <w:rsid w:val="008A577A"/>
    <w:rsid w:val="008A59A8"/>
    <w:rsid w:val="008A5AD1"/>
    <w:rsid w:val="008A5B11"/>
    <w:rsid w:val="008A5B56"/>
    <w:rsid w:val="008A5C92"/>
    <w:rsid w:val="008A5CC1"/>
    <w:rsid w:val="008A5CF6"/>
    <w:rsid w:val="008A5D0D"/>
    <w:rsid w:val="008A5D56"/>
    <w:rsid w:val="008A5DD2"/>
    <w:rsid w:val="008A5DDD"/>
    <w:rsid w:val="008A5EC6"/>
    <w:rsid w:val="008A5F55"/>
    <w:rsid w:val="008A5F8A"/>
    <w:rsid w:val="008A607F"/>
    <w:rsid w:val="008A611F"/>
    <w:rsid w:val="008A614D"/>
    <w:rsid w:val="008A61BF"/>
    <w:rsid w:val="008A6334"/>
    <w:rsid w:val="008A647D"/>
    <w:rsid w:val="008A650F"/>
    <w:rsid w:val="008A6788"/>
    <w:rsid w:val="008A6832"/>
    <w:rsid w:val="008A68AF"/>
    <w:rsid w:val="008A68FD"/>
    <w:rsid w:val="008A69B9"/>
    <w:rsid w:val="008A69DD"/>
    <w:rsid w:val="008A6A79"/>
    <w:rsid w:val="008A6AD8"/>
    <w:rsid w:val="008A6DA7"/>
    <w:rsid w:val="008A6DF6"/>
    <w:rsid w:val="008A6FFF"/>
    <w:rsid w:val="008A7166"/>
    <w:rsid w:val="008A7189"/>
    <w:rsid w:val="008A71B6"/>
    <w:rsid w:val="008A722B"/>
    <w:rsid w:val="008A7252"/>
    <w:rsid w:val="008A726C"/>
    <w:rsid w:val="008A734A"/>
    <w:rsid w:val="008A761C"/>
    <w:rsid w:val="008A7693"/>
    <w:rsid w:val="008A7983"/>
    <w:rsid w:val="008A7D67"/>
    <w:rsid w:val="008A7DA4"/>
    <w:rsid w:val="008A7E21"/>
    <w:rsid w:val="008A7F51"/>
    <w:rsid w:val="008A7F7A"/>
    <w:rsid w:val="008A7FD5"/>
    <w:rsid w:val="008B0060"/>
    <w:rsid w:val="008B026F"/>
    <w:rsid w:val="008B0394"/>
    <w:rsid w:val="008B0401"/>
    <w:rsid w:val="008B059B"/>
    <w:rsid w:val="008B05BC"/>
    <w:rsid w:val="008B0698"/>
    <w:rsid w:val="008B0768"/>
    <w:rsid w:val="008B07FC"/>
    <w:rsid w:val="008B0A6C"/>
    <w:rsid w:val="008B0A89"/>
    <w:rsid w:val="008B0D97"/>
    <w:rsid w:val="008B0E73"/>
    <w:rsid w:val="008B0F00"/>
    <w:rsid w:val="008B1037"/>
    <w:rsid w:val="008B1144"/>
    <w:rsid w:val="008B1216"/>
    <w:rsid w:val="008B1265"/>
    <w:rsid w:val="008B1291"/>
    <w:rsid w:val="008B135F"/>
    <w:rsid w:val="008B1382"/>
    <w:rsid w:val="008B1512"/>
    <w:rsid w:val="008B15BE"/>
    <w:rsid w:val="008B1633"/>
    <w:rsid w:val="008B16E6"/>
    <w:rsid w:val="008B1915"/>
    <w:rsid w:val="008B1932"/>
    <w:rsid w:val="008B1954"/>
    <w:rsid w:val="008B19E7"/>
    <w:rsid w:val="008B19F1"/>
    <w:rsid w:val="008B1AEB"/>
    <w:rsid w:val="008B1BA0"/>
    <w:rsid w:val="008B1D56"/>
    <w:rsid w:val="008B1D6F"/>
    <w:rsid w:val="008B1E16"/>
    <w:rsid w:val="008B1EBC"/>
    <w:rsid w:val="008B1EDD"/>
    <w:rsid w:val="008B2067"/>
    <w:rsid w:val="008B2079"/>
    <w:rsid w:val="008B2094"/>
    <w:rsid w:val="008B20C2"/>
    <w:rsid w:val="008B2125"/>
    <w:rsid w:val="008B2146"/>
    <w:rsid w:val="008B229C"/>
    <w:rsid w:val="008B22A4"/>
    <w:rsid w:val="008B24F0"/>
    <w:rsid w:val="008B2508"/>
    <w:rsid w:val="008B259B"/>
    <w:rsid w:val="008B2690"/>
    <w:rsid w:val="008B271D"/>
    <w:rsid w:val="008B2751"/>
    <w:rsid w:val="008B2804"/>
    <w:rsid w:val="008B2A9B"/>
    <w:rsid w:val="008B2AC6"/>
    <w:rsid w:val="008B2ADF"/>
    <w:rsid w:val="008B2B46"/>
    <w:rsid w:val="008B2BAC"/>
    <w:rsid w:val="008B2C15"/>
    <w:rsid w:val="008B2C33"/>
    <w:rsid w:val="008B2C64"/>
    <w:rsid w:val="008B2D05"/>
    <w:rsid w:val="008B2D2C"/>
    <w:rsid w:val="008B2D8E"/>
    <w:rsid w:val="008B2F15"/>
    <w:rsid w:val="008B3019"/>
    <w:rsid w:val="008B310E"/>
    <w:rsid w:val="008B3248"/>
    <w:rsid w:val="008B328A"/>
    <w:rsid w:val="008B3394"/>
    <w:rsid w:val="008B343F"/>
    <w:rsid w:val="008B3570"/>
    <w:rsid w:val="008B361D"/>
    <w:rsid w:val="008B3676"/>
    <w:rsid w:val="008B3829"/>
    <w:rsid w:val="008B384A"/>
    <w:rsid w:val="008B3860"/>
    <w:rsid w:val="008B389A"/>
    <w:rsid w:val="008B3997"/>
    <w:rsid w:val="008B39C4"/>
    <w:rsid w:val="008B39D2"/>
    <w:rsid w:val="008B3A2D"/>
    <w:rsid w:val="008B3AA3"/>
    <w:rsid w:val="008B3ADC"/>
    <w:rsid w:val="008B3C27"/>
    <w:rsid w:val="008B3D5A"/>
    <w:rsid w:val="008B3D8D"/>
    <w:rsid w:val="008B3D90"/>
    <w:rsid w:val="008B3D9F"/>
    <w:rsid w:val="008B3DC3"/>
    <w:rsid w:val="008B3EF6"/>
    <w:rsid w:val="008B3F10"/>
    <w:rsid w:val="008B3F13"/>
    <w:rsid w:val="008B3F16"/>
    <w:rsid w:val="008B402B"/>
    <w:rsid w:val="008B4098"/>
    <w:rsid w:val="008B41D5"/>
    <w:rsid w:val="008B41E0"/>
    <w:rsid w:val="008B420A"/>
    <w:rsid w:val="008B4284"/>
    <w:rsid w:val="008B4287"/>
    <w:rsid w:val="008B430F"/>
    <w:rsid w:val="008B442E"/>
    <w:rsid w:val="008B47B9"/>
    <w:rsid w:val="008B4867"/>
    <w:rsid w:val="008B4B06"/>
    <w:rsid w:val="008B4BAA"/>
    <w:rsid w:val="008B4C31"/>
    <w:rsid w:val="008B4D4F"/>
    <w:rsid w:val="008B4E44"/>
    <w:rsid w:val="008B4F6E"/>
    <w:rsid w:val="008B4FEE"/>
    <w:rsid w:val="008B5080"/>
    <w:rsid w:val="008B50F1"/>
    <w:rsid w:val="008B5188"/>
    <w:rsid w:val="008B53B4"/>
    <w:rsid w:val="008B549E"/>
    <w:rsid w:val="008B5590"/>
    <w:rsid w:val="008B568C"/>
    <w:rsid w:val="008B56D0"/>
    <w:rsid w:val="008B579A"/>
    <w:rsid w:val="008B586A"/>
    <w:rsid w:val="008B58A0"/>
    <w:rsid w:val="008B58B8"/>
    <w:rsid w:val="008B58C5"/>
    <w:rsid w:val="008B5951"/>
    <w:rsid w:val="008B5A47"/>
    <w:rsid w:val="008B5BA3"/>
    <w:rsid w:val="008B5BA4"/>
    <w:rsid w:val="008B5C09"/>
    <w:rsid w:val="008B5CE6"/>
    <w:rsid w:val="008B5D2E"/>
    <w:rsid w:val="008B5E7E"/>
    <w:rsid w:val="008B5EA2"/>
    <w:rsid w:val="008B5EB1"/>
    <w:rsid w:val="008B5ED8"/>
    <w:rsid w:val="008B5FFC"/>
    <w:rsid w:val="008B6002"/>
    <w:rsid w:val="008B6032"/>
    <w:rsid w:val="008B606C"/>
    <w:rsid w:val="008B6081"/>
    <w:rsid w:val="008B60BC"/>
    <w:rsid w:val="008B6110"/>
    <w:rsid w:val="008B6132"/>
    <w:rsid w:val="008B614D"/>
    <w:rsid w:val="008B6208"/>
    <w:rsid w:val="008B638E"/>
    <w:rsid w:val="008B6409"/>
    <w:rsid w:val="008B6494"/>
    <w:rsid w:val="008B64C7"/>
    <w:rsid w:val="008B64D3"/>
    <w:rsid w:val="008B65DF"/>
    <w:rsid w:val="008B660A"/>
    <w:rsid w:val="008B6641"/>
    <w:rsid w:val="008B673F"/>
    <w:rsid w:val="008B67A6"/>
    <w:rsid w:val="008B6989"/>
    <w:rsid w:val="008B69A7"/>
    <w:rsid w:val="008B69DD"/>
    <w:rsid w:val="008B6ADB"/>
    <w:rsid w:val="008B6B86"/>
    <w:rsid w:val="008B6BD5"/>
    <w:rsid w:val="008B6BF7"/>
    <w:rsid w:val="008B6D21"/>
    <w:rsid w:val="008B6E64"/>
    <w:rsid w:val="008B6F78"/>
    <w:rsid w:val="008B7095"/>
    <w:rsid w:val="008B70D5"/>
    <w:rsid w:val="008B7212"/>
    <w:rsid w:val="008B7318"/>
    <w:rsid w:val="008B734A"/>
    <w:rsid w:val="008B740E"/>
    <w:rsid w:val="008B756B"/>
    <w:rsid w:val="008B7593"/>
    <w:rsid w:val="008B7816"/>
    <w:rsid w:val="008B7D90"/>
    <w:rsid w:val="008B7EB8"/>
    <w:rsid w:val="008B7F46"/>
    <w:rsid w:val="008C00B7"/>
    <w:rsid w:val="008C02E4"/>
    <w:rsid w:val="008C039E"/>
    <w:rsid w:val="008C03A2"/>
    <w:rsid w:val="008C041E"/>
    <w:rsid w:val="008C046F"/>
    <w:rsid w:val="008C0487"/>
    <w:rsid w:val="008C0560"/>
    <w:rsid w:val="008C056E"/>
    <w:rsid w:val="008C073D"/>
    <w:rsid w:val="008C0810"/>
    <w:rsid w:val="008C0838"/>
    <w:rsid w:val="008C093B"/>
    <w:rsid w:val="008C09EC"/>
    <w:rsid w:val="008C0BE7"/>
    <w:rsid w:val="008C0C33"/>
    <w:rsid w:val="008C0C99"/>
    <w:rsid w:val="008C0E4D"/>
    <w:rsid w:val="008C0ED4"/>
    <w:rsid w:val="008C0F3B"/>
    <w:rsid w:val="008C0F9D"/>
    <w:rsid w:val="008C1083"/>
    <w:rsid w:val="008C127C"/>
    <w:rsid w:val="008C14A0"/>
    <w:rsid w:val="008C15CD"/>
    <w:rsid w:val="008C165E"/>
    <w:rsid w:val="008C1802"/>
    <w:rsid w:val="008C18C8"/>
    <w:rsid w:val="008C1AA3"/>
    <w:rsid w:val="008C1BE5"/>
    <w:rsid w:val="008C1BFD"/>
    <w:rsid w:val="008C1D11"/>
    <w:rsid w:val="008C1D60"/>
    <w:rsid w:val="008C1F09"/>
    <w:rsid w:val="008C1F96"/>
    <w:rsid w:val="008C2097"/>
    <w:rsid w:val="008C211B"/>
    <w:rsid w:val="008C21E9"/>
    <w:rsid w:val="008C21F4"/>
    <w:rsid w:val="008C239E"/>
    <w:rsid w:val="008C2462"/>
    <w:rsid w:val="008C24A5"/>
    <w:rsid w:val="008C24FD"/>
    <w:rsid w:val="008C2663"/>
    <w:rsid w:val="008C2676"/>
    <w:rsid w:val="008C2712"/>
    <w:rsid w:val="008C278F"/>
    <w:rsid w:val="008C2809"/>
    <w:rsid w:val="008C28F8"/>
    <w:rsid w:val="008C2A9C"/>
    <w:rsid w:val="008C2AEE"/>
    <w:rsid w:val="008C2B0D"/>
    <w:rsid w:val="008C2B27"/>
    <w:rsid w:val="008C2EC9"/>
    <w:rsid w:val="008C2F67"/>
    <w:rsid w:val="008C3014"/>
    <w:rsid w:val="008C3142"/>
    <w:rsid w:val="008C31E7"/>
    <w:rsid w:val="008C32E4"/>
    <w:rsid w:val="008C3325"/>
    <w:rsid w:val="008C33D1"/>
    <w:rsid w:val="008C360A"/>
    <w:rsid w:val="008C3667"/>
    <w:rsid w:val="008C3675"/>
    <w:rsid w:val="008C3679"/>
    <w:rsid w:val="008C372A"/>
    <w:rsid w:val="008C3890"/>
    <w:rsid w:val="008C3994"/>
    <w:rsid w:val="008C3B57"/>
    <w:rsid w:val="008C3C32"/>
    <w:rsid w:val="008C3D91"/>
    <w:rsid w:val="008C3DC1"/>
    <w:rsid w:val="008C3DF5"/>
    <w:rsid w:val="008C3E1C"/>
    <w:rsid w:val="008C3E83"/>
    <w:rsid w:val="008C3EDF"/>
    <w:rsid w:val="008C3F7F"/>
    <w:rsid w:val="008C40BB"/>
    <w:rsid w:val="008C40D8"/>
    <w:rsid w:val="008C4288"/>
    <w:rsid w:val="008C433D"/>
    <w:rsid w:val="008C43F2"/>
    <w:rsid w:val="008C4501"/>
    <w:rsid w:val="008C454B"/>
    <w:rsid w:val="008C45B8"/>
    <w:rsid w:val="008C45DA"/>
    <w:rsid w:val="008C467F"/>
    <w:rsid w:val="008C4697"/>
    <w:rsid w:val="008C4746"/>
    <w:rsid w:val="008C4895"/>
    <w:rsid w:val="008C48C0"/>
    <w:rsid w:val="008C49F0"/>
    <w:rsid w:val="008C4ADA"/>
    <w:rsid w:val="008C4B21"/>
    <w:rsid w:val="008C4B79"/>
    <w:rsid w:val="008C4BAC"/>
    <w:rsid w:val="008C4BB9"/>
    <w:rsid w:val="008C4C65"/>
    <w:rsid w:val="008C4D2F"/>
    <w:rsid w:val="008C4DFE"/>
    <w:rsid w:val="008C4E1A"/>
    <w:rsid w:val="008C4F00"/>
    <w:rsid w:val="008C50AD"/>
    <w:rsid w:val="008C5107"/>
    <w:rsid w:val="008C518C"/>
    <w:rsid w:val="008C51BC"/>
    <w:rsid w:val="008C51EB"/>
    <w:rsid w:val="008C5293"/>
    <w:rsid w:val="008C53A9"/>
    <w:rsid w:val="008C5468"/>
    <w:rsid w:val="008C56B9"/>
    <w:rsid w:val="008C575D"/>
    <w:rsid w:val="008C57BC"/>
    <w:rsid w:val="008C580E"/>
    <w:rsid w:val="008C5955"/>
    <w:rsid w:val="008C5982"/>
    <w:rsid w:val="008C59D8"/>
    <w:rsid w:val="008C5A06"/>
    <w:rsid w:val="008C5A93"/>
    <w:rsid w:val="008C5A97"/>
    <w:rsid w:val="008C5B14"/>
    <w:rsid w:val="008C5CBE"/>
    <w:rsid w:val="008C5D72"/>
    <w:rsid w:val="008C5DAE"/>
    <w:rsid w:val="008C5E0B"/>
    <w:rsid w:val="008C5F0A"/>
    <w:rsid w:val="008C5FAF"/>
    <w:rsid w:val="008C5FE6"/>
    <w:rsid w:val="008C6040"/>
    <w:rsid w:val="008C604A"/>
    <w:rsid w:val="008C6129"/>
    <w:rsid w:val="008C614D"/>
    <w:rsid w:val="008C615D"/>
    <w:rsid w:val="008C6178"/>
    <w:rsid w:val="008C61BA"/>
    <w:rsid w:val="008C61E8"/>
    <w:rsid w:val="008C658D"/>
    <w:rsid w:val="008C6672"/>
    <w:rsid w:val="008C67B2"/>
    <w:rsid w:val="008C68DD"/>
    <w:rsid w:val="008C6A61"/>
    <w:rsid w:val="008C6A91"/>
    <w:rsid w:val="008C6ABA"/>
    <w:rsid w:val="008C6ACB"/>
    <w:rsid w:val="008C6C57"/>
    <w:rsid w:val="008C6CEB"/>
    <w:rsid w:val="008C6D4A"/>
    <w:rsid w:val="008C70BC"/>
    <w:rsid w:val="008C7261"/>
    <w:rsid w:val="008C73C3"/>
    <w:rsid w:val="008C73E1"/>
    <w:rsid w:val="008C7687"/>
    <w:rsid w:val="008C7734"/>
    <w:rsid w:val="008C77CB"/>
    <w:rsid w:val="008C782C"/>
    <w:rsid w:val="008C7871"/>
    <w:rsid w:val="008C792B"/>
    <w:rsid w:val="008C79B5"/>
    <w:rsid w:val="008C7A15"/>
    <w:rsid w:val="008C7AD3"/>
    <w:rsid w:val="008C7ADE"/>
    <w:rsid w:val="008C7B0C"/>
    <w:rsid w:val="008C7B3A"/>
    <w:rsid w:val="008C7BAC"/>
    <w:rsid w:val="008C7C18"/>
    <w:rsid w:val="008C7C29"/>
    <w:rsid w:val="008C7C86"/>
    <w:rsid w:val="008C7C9E"/>
    <w:rsid w:val="008C7F77"/>
    <w:rsid w:val="008C7F96"/>
    <w:rsid w:val="008D00C0"/>
    <w:rsid w:val="008D01AB"/>
    <w:rsid w:val="008D02FD"/>
    <w:rsid w:val="008D053C"/>
    <w:rsid w:val="008D0544"/>
    <w:rsid w:val="008D05B2"/>
    <w:rsid w:val="008D05E5"/>
    <w:rsid w:val="008D062A"/>
    <w:rsid w:val="008D066D"/>
    <w:rsid w:val="008D06E5"/>
    <w:rsid w:val="008D072F"/>
    <w:rsid w:val="008D07B6"/>
    <w:rsid w:val="008D08BB"/>
    <w:rsid w:val="008D0934"/>
    <w:rsid w:val="008D0993"/>
    <w:rsid w:val="008D0AC9"/>
    <w:rsid w:val="008D0AD5"/>
    <w:rsid w:val="008D0C90"/>
    <w:rsid w:val="008D0CC8"/>
    <w:rsid w:val="008D0DE0"/>
    <w:rsid w:val="008D0E19"/>
    <w:rsid w:val="008D0F00"/>
    <w:rsid w:val="008D102B"/>
    <w:rsid w:val="008D1072"/>
    <w:rsid w:val="008D12E0"/>
    <w:rsid w:val="008D1307"/>
    <w:rsid w:val="008D137C"/>
    <w:rsid w:val="008D154D"/>
    <w:rsid w:val="008D177D"/>
    <w:rsid w:val="008D17A2"/>
    <w:rsid w:val="008D17AE"/>
    <w:rsid w:val="008D1868"/>
    <w:rsid w:val="008D196E"/>
    <w:rsid w:val="008D1B0B"/>
    <w:rsid w:val="008D1B23"/>
    <w:rsid w:val="008D1BED"/>
    <w:rsid w:val="008D1C32"/>
    <w:rsid w:val="008D1D8E"/>
    <w:rsid w:val="008D1DC0"/>
    <w:rsid w:val="008D1E37"/>
    <w:rsid w:val="008D1E63"/>
    <w:rsid w:val="008D1EB2"/>
    <w:rsid w:val="008D1F11"/>
    <w:rsid w:val="008D2001"/>
    <w:rsid w:val="008D206F"/>
    <w:rsid w:val="008D2086"/>
    <w:rsid w:val="008D20AE"/>
    <w:rsid w:val="008D20E1"/>
    <w:rsid w:val="008D2128"/>
    <w:rsid w:val="008D2227"/>
    <w:rsid w:val="008D224C"/>
    <w:rsid w:val="008D229D"/>
    <w:rsid w:val="008D248F"/>
    <w:rsid w:val="008D25FB"/>
    <w:rsid w:val="008D2630"/>
    <w:rsid w:val="008D26B9"/>
    <w:rsid w:val="008D2743"/>
    <w:rsid w:val="008D2984"/>
    <w:rsid w:val="008D29F8"/>
    <w:rsid w:val="008D2A5B"/>
    <w:rsid w:val="008D2BEF"/>
    <w:rsid w:val="008D2CE8"/>
    <w:rsid w:val="008D2D02"/>
    <w:rsid w:val="008D2D36"/>
    <w:rsid w:val="008D2DF0"/>
    <w:rsid w:val="008D2EA3"/>
    <w:rsid w:val="008D2F21"/>
    <w:rsid w:val="008D2F5B"/>
    <w:rsid w:val="008D2F6C"/>
    <w:rsid w:val="008D3175"/>
    <w:rsid w:val="008D3176"/>
    <w:rsid w:val="008D3185"/>
    <w:rsid w:val="008D325F"/>
    <w:rsid w:val="008D3262"/>
    <w:rsid w:val="008D32E5"/>
    <w:rsid w:val="008D336C"/>
    <w:rsid w:val="008D3433"/>
    <w:rsid w:val="008D34D0"/>
    <w:rsid w:val="008D34F4"/>
    <w:rsid w:val="008D3534"/>
    <w:rsid w:val="008D3561"/>
    <w:rsid w:val="008D37B4"/>
    <w:rsid w:val="008D37E5"/>
    <w:rsid w:val="008D384D"/>
    <w:rsid w:val="008D38AC"/>
    <w:rsid w:val="008D3956"/>
    <w:rsid w:val="008D3998"/>
    <w:rsid w:val="008D3A20"/>
    <w:rsid w:val="008D3A5C"/>
    <w:rsid w:val="008D3B55"/>
    <w:rsid w:val="008D3B6E"/>
    <w:rsid w:val="008D3CBA"/>
    <w:rsid w:val="008D3CE8"/>
    <w:rsid w:val="008D3EA8"/>
    <w:rsid w:val="008D3ED2"/>
    <w:rsid w:val="008D3F83"/>
    <w:rsid w:val="008D3FB6"/>
    <w:rsid w:val="008D3FE0"/>
    <w:rsid w:val="008D4065"/>
    <w:rsid w:val="008D40F1"/>
    <w:rsid w:val="008D419D"/>
    <w:rsid w:val="008D419E"/>
    <w:rsid w:val="008D420A"/>
    <w:rsid w:val="008D42E1"/>
    <w:rsid w:val="008D4334"/>
    <w:rsid w:val="008D434B"/>
    <w:rsid w:val="008D43AF"/>
    <w:rsid w:val="008D43BE"/>
    <w:rsid w:val="008D44E0"/>
    <w:rsid w:val="008D45E2"/>
    <w:rsid w:val="008D46FD"/>
    <w:rsid w:val="008D478F"/>
    <w:rsid w:val="008D4940"/>
    <w:rsid w:val="008D49A1"/>
    <w:rsid w:val="008D4AEF"/>
    <w:rsid w:val="008D4B18"/>
    <w:rsid w:val="008D4B59"/>
    <w:rsid w:val="008D4C3D"/>
    <w:rsid w:val="008D4E0B"/>
    <w:rsid w:val="008D4E2D"/>
    <w:rsid w:val="008D4E4C"/>
    <w:rsid w:val="008D4EDF"/>
    <w:rsid w:val="008D4EE8"/>
    <w:rsid w:val="008D504C"/>
    <w:rsid w:val="008D517C"/>
    <w:rsid w:val="008D527E"/>
    <w:rsid w:val="008D541D"/>
    <w:rsid w:val="008D5649"/>
    <w:rsid w:val="008D576C"/>
    <w:rsid w:val="008D5782"/>
    <w:rsid w:val="008D581A"/>
    <w:rsid w:val="008D58ED"/>
    <w:rsid w:val="008D5933"/>
    <w:rsid w:val="008D596D"/>
    <w:rsid w:val="008D5A57"/>
    <w:rsid w:val="008D5B87"/>
    <w:rsid w:val="008D5DCF"/>
    <w:rsid w:val="008D5FA3"/>
    <w:rsid w:val="008D5FB1"/>
    <w:rsid w:val="008D5FCC"/>
    <w:rsid w:val="008D600F"/>
    <w:rsid w:val="008D6057"/>
    <w:rsid w:val="008D6182"/>
    <w:rsid w:val="008D62AB"/>
    <w:rsid w:val="008D63D4"/>
    <w:rsid w:val="008D63E3"/>
    <w:rsid w:val="008D64B6"/>
    <w:rsid w:val="008D6522"/>
    <w:rsid w:val="008D65C0"/>
    <w:rsid w:val="008D6757"/>
    <w:rsid w:val="008D68DB"/>
    <w:rsid w:val="008D68DF"/>
    <w:rsid w:val="008D6920"/>
    <w:rsid w:val="008D6AED"/>
    <w:rsid w:val="008D6B46"/>
    <w:rsid w:val="008D6B89"/>
    <w:rsid w:val="008D6C6C"/>
    <w:rsid w:val="008D6D2A"/>
    <w:rsid w:val="008D6E71"/>
    <w:rsid w:val="008D6EF6"/>
    <w:rsid w:val="008D6F54"/>
    <w:rsid w:val="008D6F5B"/>
    <w:rsid w:val="008D6FFA"/>
    <w:rsid w:val="008D702C"/>
    <w:rsid w:val="008D7047"/>
    <w:rsid w:val="008D7089"/>
    <w:rsid w:val="008D723E"/>
    <w:rsid w:val="008D7245"/>
    <w:rsid w:val="008D73C4"/>
    <w:rsid w:val="008D74B8"/>
    <w:rsid w:val="008D74D0"/>
    <w:rsid w:val="008D7513"/>
    <w:rsid w:val="008D751A"/>
    <w:rsid w:val="008D7566"/>
    <w:rsid w:val="008D7715"/>
    <w:rsid w:val="008D7835"/>
    <w:rsid w:val="008D7852"/>
    <w:rsid w:val="008D7B2A"/>
    <w:rsid w:val="008D7BD0"/>
    <w:rsid w:val="008D7CF5"/>
    <w:rsid w:val="008D7D22"/>
    <w:rsid w:val="008D7F1D"/>
    <w:rsid w:val="008D7F4A"/>
    <w:rsid w:val="008D7F6E"/>
    <w:rsid w:val="008E00E3"/>
    <w:rsid w:val="008E0115"/>
    <w:rsid w:val="008E0128"/>
    <w:rsid w:val="008E0285"/>
    <w:rsid w:val="008E0326"/>
    <w:rsid w:val="008E03BE"/>
    <w:rsid w:val="008E045C"/>
    <w:rsid w:val="008E04C5"/>
    <w:rsid w:val="008E055D"/>
    <w:rsid w:val="008E0586"/>
    <w:rsid w:val="008E06EF"/>
    <w:rsid w:val="008E07DE"/>
    <w:rsid w:val="008E0803"/>
    <w:rsid w:val="008E0831"/>
    <w:rsid w:val="008E0878"/>
    <w:rsid w:val="008E091D"/>
    <w:rsid w:val="008E0954"/>
    <w:rsid w:val="008E0A4F"/>
    <w:rsid w:val="008E0BF5"/>
    <w:rsid w:val="008E0C1D"/>
    <w:rsid w:val="008E0C26"/>
    <w:rsid w:val="008E0CA4"/>
    <w:rsid w:val="008E0EF8"/>
    <w:rsid w:val="008E0F0F"/>
    <w:rsid w:val="008E0FF5"/>
    <w:rsid w:val="008E111B"/>
    <w:rsid w:val="008E114A"/>
    <w:rsid w:val="008E12DC"/>
    <w:rsid w:val="008E1351"/>
    <w:rsid w:val="008E1369"/>
    <w:rsid w:val="008E1493"/>
    <w:rsid w:val="008E14D8"/>
    <w:rsid w:val="008E14ED"/>
    <w:rsid w:val="008E1585"/>
    <w:rsid w:val="008E15B9"/>
    <w:rsid w:val="008E1602"/>
    <w:rsid w:val="008E163B"/>
    <w:rsid w:val="008E1663"/>
    <w:rsid w:val="008E1675"/>
    <w:rsid w:val="008E173D"/>
    <w:rsid w:val="008E178B"/>
    <w:rsid w:val="008E17F1"/>
    <w:rsid w:val="008E185B"/>
    <w:rsid w:val="008E185C"/>
    <w:rsid w:val="008E18BF"/>
    <w:rsid w:val="008E1A9B"/>
    <w:rsid w:val="008E1ABE"/>
    <w:rsid w:val="008E1B33"/>
    <w:rsid w:val="008E1C53"/>
    <w:rsid w:val="008E1CA4"/>
    <w:rsid w:val="008E1CFA"/>
    <w:rsid w:val="008E1D68"/>
    <w:rsid w:val="008E1DD8"/>
    <w:rsid w:val="008E1E11"/>
    <w:rsid w:val="008E1E78"/>
    <w:rsid w:val="008E1F94"/>
    <w:rsid w:val="008E2027"/>
    <w:rsid w:val="008E2035"/>
    <w:rsid w:val="008E21BF"/>
    <w:rsid w:val="008E23A4"/>
    <w:rsid w:val="008E2583"/>
    <w:rsid w:val="008E25DE"/>
    <w:rsid w:val="008E2A27"/>
    <w:rsid w:val="008E2AE2"/>
    <w:rsid w:val="008E2B1E"/>
    <w:rsid w:val="008E2C6F"/>
    <w:rsid w:val="008E2CD5"/>
    <w:rsid w:val="008E2D96"/>
    <w:rsid w:val="008E2DC6"/>
    <w:rsid w:val="008E2DDB"/>
    <w:rsid w:val="008E2E8F"/>
    <w:rsid w:val="008E2ED3"/>
    <w:rsid w:val="008E2F03"/>
    <w:rsid w:val="008E2F06"/>
    <w:rsid w:val="008E2F60"/>
    <w:rsid w:val="008E328F"/>
    <w:rsid w:val="008E32D5"/>
    <w:rsid w:val="008E32F2"/>
    <w:rsid w:val="008E3448"/>
    <w:rsid w:val="008E3466"/>
    <w:rsid w:val="008E34A1"/>
    <w:rsid w:val="008E34E0"/>
    <w:rsid w:val="008E359D"/>
    <w:rsid w:val="008E360C"/>
    <w:rsid w:val="008E3807"/>
    <w:rsid w:val="008E383D"/>
    <w:rsid w:val="008E38D2"/>
    <w:rsid w:val="008E38F0"/>
    <w:rsid w:val="008E39EC"/>
    <w:rsid w:val="008E3AC4"/>
    <w:rsid w:val="008E3B9F"/>
    <w:rsid w:val="008E3C61"/>
    <w:rsid w:val="008E3D50"/>
    <w:rsid w:val="008E3D67"/>
    <w:rsid w:val="008E3DD1"/>
    <w:rsid w:val="008E3F79"/>
    <w:rsid w:val="008E4108"/>
    <w:rsid w:val="008E412F"/>
    <w:rsid w:val="008E4157"/>
    <w:rsid w:val="008E4180"/>
    <w:rsid w:val="008E41A5"/>
    <w:rsid w:val="008E42B7"/>
    <w:rsid w:val="008E44A2"/>
    <w:rsid w:val="008E458A"/>
    <w:rsid w:val="008E460B"/>
    <w:rsid w:val="008E461B"/>
    <w:rsid w:val="008E4634"/>
    <w:rsid w:val="008E4690"/>
    <w:rsid w:val="008E47EB"/>
    <w:rsid w:val="008E4883"/>
    <w:rsid w:val="008E49F7"/>
    <w:rsid w:val="008E4C7D"/>
    <w:rsid w:val="008E4D22"/>
    <w:rsid w:val="008E4D33"/>
    <w:rsid w:val="008E4D68"/>
    <w:rsid w:val="008E4D8E"/>
    <w:rsid w:val="008E4DE7"/>
    <w:rsid w:val="008E4EF5"/>
    <w:rsid w:val="008E4F3B"/>
    <w:rsid w:val="008E4FA2"/>
    <w:rsid w:val="008E4FE5"/>
    <w:rsid w:val="008E5175"/>
    <w:rsid w:val="008E5181"/>
    <w:rsid w:val="008E5202"/>
    <w:rsid w:val="008E5223"/>
    <w:rsid w:val="008E5227"/>
    <w:rsid w:val="008E52B2"/>
    <w:rsid w:val="008E52E3"/>
    <w:rsid w:val="008E569C"/>
    <w:rsid w:val="008E56F1"/>
    <w:rsid w:val="008E57F8"/>
    <w:rsid w:val="008E5849"/>
    <w:rsid w:val="008E5850"/>
    <w:rsid w:val="008E5867"/>
    <w:rsid w:val="008E58E0"/>
    <w:rsid w:val="008E5B47"/>
    <w:rsid w:val="008E5B9F"/>
    <w:rsid w:val="008E5BF4"/>
    <w:rsid w:val="008E5C05"/>
    <w:rsid w:val="008E5D3B"/>
    <w:rsid w:val="008E5D68"/>
    <w:rsid w:val="008E5E12"/>
    <w:rsid w:val="008E5EDA"/>
    <w:rsid w:val="008E5F41"/>
    <w:rsid w:val="008E604C"/>
    <w:rsid w:val="008E60A6"/>
    <w:rsid w:val="008E60BA"/>
    <w:rsid w:val="008E60C2"/>
    <w:rsid w:val="008E6145"/>
    <w:rsid w:val="008E616F"/>
    <w:rsid w:val="008E61CE"/>
    <w:rsid w:val="008E61FD"/>
    <w:rsid w:val="008E628E"/>
    <w:rsid w:val="008E6323"/>
    <w:rsid w:val="008E6512"/>
    <w:rsid w:val="008E654E"/>
    <w:rsid w:val="008E65DD"/>
    <w:rsid w:val="008E6630"/>
    <w:rsid w:val="008E6788"/>
    <w:rsid w:val="008E6793"/>
    <w:rsid w:val="008E6826"/>
    <w:rsid w:val="008E6967"/>
    <w:rsid w:val="008E69E3"/>
    <w:rsid w:val="008E6A66"/>
    <w:rsid w:val="008E6C8E"/>
    <w:rsid w:val="008E6E47"/>
    <w:rsid w:val="008E6FDC"/>
    <w:rsid w:val="008E6FE0"/>
    <w:rsid w:val="008E7035"/>
    <w:rsid w:val="008E7088"/>
    <w:rsid w:val="008E70B0"/>
    <w:rsid w:val="008E71A8"/>
    <w:rsid w:val="008E7232"/>
    <w:rsid w:val="008E72B9"/>
    <w:rsid w:val="008E72E4"/>
    <w:rsid w:val="008E730A"/>
    <w:rsid w:val="008E731F"/>
    <w:rsid w:val="008E73D0"/>
    <w:rsid w:val="008E7659"/>
    <w:rsid w:val="008E766F"/>
    <w:rsid w:val="008E76B5"/>
    <w:rsid w:val="008E7818"/>
    <w:rsid w:val="008E79B2"/>
    <w:rsid w:val="008E7A70"/>
    <w:rsid w:val="008E7AE8"/>
    <w:rsid w:val="008E7B24"/>
    <w:rsid w:val="008E7BD5"/>
    <w:rsid w:val="008E7C3C"/>
    <w:rsid w:val="008E7D42"/>
    <w:rsid w:val="008E7D9F"/>
    <w:rsid w:val="008E7ED4"/>
    <w:rsid w:val="008E7EE2"/>
    <w:rsid w:val="008E7EE5"/>
    <w:rsid w:val="008F0021"/>
    <w:rsid w:val="008F009E"/>
    <w:rsid w:val="008F00AA"/>
    <w:rsid w:val="008F0119"/>
    <w:rsid w:val="008F0262"/>
    <w:rsid w:val="008F0345"/>
    <w:rsid w:val="008F0650"/>
    <w:rsid w:val="008F065B"/>
    <w:rsid w:val="008F0675"/>
    <w:rsid w:val="008F0685"/>
    <w:rsid w:val="008F0734"/>
    <w:rsid w:val="008F0803"/>
    <w:rsid w:val="008F0904"/>
    <w:rsid w:val="008F091D"/>
    <w:rsid w:val="008F0930"/>
    <w:rsid w:val="008F0A33"/>
    <w:rsid w:val="008F0B37"/>
    <w:rsid w:val="008F0CD0"/>
    <w:rsid w:val="008F0DCE"/>
    <w:rsid w:val="008F0FEA"/>
    <w:rsid w:val="008F1033"/>
    <w:rsid w:val="008F1113"/>
    <w:rsid w:val="008F1148"/>
    <w:rsid w:val="008F11D6"/>
    <w:rsid w:val="008F121C"/>
    <w:rsid w:val="008F12FE"/>
    <w:rsid w:val="008F140C"/>
    <w:rsid w:val="008F1493"/>
    <w:rsid w:val="008F14AF"/>
    <w:rsid w:val="008F14BE"/>
    <w:rsid w:val="008F15E6"/>
    <w:rsid w:val="008F163C"/>
    <w:rsid w:val="008F17A3"/>
    <w:rsid w:val="008F1864"/>
    <w:rsid w:val="008F191D"/>
    <w:rsid w:val="008F1B54"/>
    <w:rsid w:val="008F1B67"/>
    <w:rsid w:val="008F1B97"/>
    <w:rsid w:val="008F1D01"/>
    <w:rsid w:val="008F1D49"/>
    <w:rsid w:val="008F1DB2"/>
    <w:rsid w:val="008F1E38"/>
    <w:rsid w:val="008F1F7D"/>
    <w:rsid w:val="008F1FEF"/>
    <w:rsid w:val="008F206D"/>
    <w:rsid w:val="008F213B"/>
    <w:rsid w:val="008F21DC"/>
    <w:rsid w:val="008F228E"/>
    <w:rsid w:val="008F229D"/>
    <w:rsid w:val="008F2369"/>
    <w:rsid w:val="008F2462"/>
    <w:rsid w:val="008F24B8"/>
    <w:rsid w:val="008F24FD"/>
    <w:rsid w:val="008F25A2"/>
    <w:rsid w:val="008F2603"/>
    <w:rsid w:val="008F26AB"/>
    <w:rsid w:val="008F2721"/>
    <w:rsid w:val="008F273B"/>
    <w:rsid w:val="008F2883"/>
    <w:rsid w:val="008F28FA"/>
    <w:rsid w:val="008F29C0"/>
    <w:rsid w:val="008F29FB"/>
    <w:rsid w:val="008F2A43"/>
    <w:rsid w:val="008F2AE3"/>
    <w:rsid w:val="008F2C28"/>
    <w:rsid w:val="008F2C48"/>
    <w:rsid w:val="008F2C67"/>
    <w:rsid w:val="008F2D97"/>
    <w:rsid w:val="008F2DB6"/>
    <w:rsid w:val="008F2E25"/>
    <w:rsid w:val="008F2E26"/>
    <w:rsid w:val="008F2F09"/>
    <w:rsid w:val="008F2F19"/>
    <w:rsid w:val="008F2F94"/>
    <w:rsid w:val="008F31DF"/>
    <w:rsid w:val="008F3308"/>
    <w:rsid w:val="008F3406"/>
    <w:rsid w:val="008F351E"/>
    <w:rsid w:val="008F3558"/>
    <w:rsid w:val="008F36A5"/>
    <w:rsid w:val="008F36B6"/>
    <w:rsid w:val="008F37C6"/>
    <w:rsid w:val="008F37FF"/>
    <w:rsid w:val="008F3839"/>
    <w:rsid w:val="008F3916"/>
    <w:rsid w:val="008F398E"/>
    <w:rsid w:val="008F3B3C"/>
    <w:rsid w:val="008F3B7F"/>
    <w:rsid w:val="008F3B84"/>
    <w:rsid w:val="008F3D45"/>
    <w:rsid w:val="008F3DCF"/>
    <w:rsid w:val="008F3DE2"/>
    <w:rsid w:val="008F3E6A"/>
    <w:rsid w:val="008F3F29"/>
    <w:rsid w:val="008F3F33"/>
    <w:rsid w:val="008F3FFC"/>
    <w:rsid w:val="008F4025"/>
    <w:rsid w:val="008F413C"/>
    <w:rsid w:val="008F437C"/>
    <w:rsid w:val="008F451F"/>
    <w:rsid w:val="008F453B"/>
    <w:rsid w:val="008F4710"/>
    <w:rsid w:val="008F478B"/>
    <w:rsid w:val="008F47CB"/>
    <w:rsid w:val="008F482C"/>
    <w:rsid w:val="008F4875"/>
    <w:rsid w:val="008F4976"/>
    <w:rsid w:val="008F4A29"/>
    <w:rsid w:val="008F4B84"/>
    <w:rsid w:val="008F4BDE"/>
    <w:rsid w:val="008F4C1A"/>
    <w:rsid w:val="008F4D0C"/>
    <w:rsid w:val="008F4D66"/>
    <w:rsid w:val="008F4EFB"/>
    <w:rsid w:val="008F4F2F"/>
    <w:rsid w:val="008F5028"/>
    <w:rsid w:val="008F513B"/>
    <w:rsid w:val="008F51A3"/>
    <w:rsid w:val="008F536F"/>
    <w:rsid w:val="008F5462"/>
    <w:rsid w:val="008F54BA"/>
    <w:rsid w:val="008F54BD"/>
    <w:rsid w:val="008F54F9"/>
    <w:rsid w:val="008F5500"/>
    <w:rsid w:val="008F5515"/>
    <w:rsid w:val="008F55FF"/>
    <w:rsid w:val="008F5617"/>
    <w:rsid w:val="008F574E"/>
    <w:rsid w:val="008F57CC"/>
    <w:rsid w:val="008F57E2"/>
    <w:rsid w:val="008F5822"/>
    <w:rsid w:val="008F58FB"/>
    <w:rsid w:val="008F5C07"/>
    <w:rsid w:val="008F5C67"/>
    <w:rsid w:val="008F5D99"/>
    <w:rsid w:val="008F618F"/>
    <w:rsid w:val="008F6257"/>
    <w:rsid w:val="008F63C8"/>
    <w:rsid w:val="008F6425"/>
    <w:rsid w:val="008F6582"/>
    <w:rsid w:val="008F65A1"/>
    <w:rsid w:val="008F664D"/>
    <w:rsid w:val="008F66B8"/>
    <w:rsid w:val="008F66FF"/>
    <w:rsid w:val="008F6749"/>
    <w:rsid w:val="008F67D1"/>
    <w:rsid w:val="008F67E0"/>
    <w:rsid w:val="008F67FE"/>
    <w:rsid w:val="008F6812"/>
    <w:rsid w:val="008F68CB"/>
    <w:rsid w:val="008F693C"/>
    <w:rsid w:val="008F69C4"/>
    <w:rsid w:val="008F6A06"/>
    <w:rsid w:val="008F6B4A"/>
    <w:rsid w:val="008F6B83"/>
    <w:rsid w:val="008F6C0E"/>
    <w:rsid w:val="008F6CB6"/>
    <w:rsid w:val="008F6D19"/>
    <w:rsid w:val="008F6D5D"/>
    <w:rsid w:val="008F6E93"/>
    <w:rsid w:val="008F70CC"/>
    <w:rsid w:val="008F72C9"/>
    <w:rsid w:val="008F7545"/>
    <w:rsid w:val="008F758A"/>
    <w:rsid w:val="008F75C5"/>
    <w:rsid w:val="008F7698"/>
    <w:rsid w:val="008F77A1"/>
    <w:rsid w:val="008F7950"/>
    <w:rsid w:val="008F798B"/>
    <w:rsid w:val="008F7AB8"/>
    <w:rsid w:val="008F7C37"/>
    <w:rsid w:val="008F7DF6"/>
    <w:rsid w:val="008F7F03"/>
    <w:rsid w:val="008F7FC4"/>
    <w:rsid w:val="00900028"/>
    <w:rsid w:val="00900034"/>
    <w:rsid w:val="0090019A"/>
    <w:rsid w:val="009002D8"/>
    <w:rsid w:val="009003A9"/>
    <w:rsid w:val="00900474"/>
    <w:rsid w:val="009004F7"/>
    <w:rsid w:val="0090080D"/>
    <w:rsid w:val="00900820"/>
    <w:rsid w:val="00900835"/>
    <w:rsid w:val="009008EF"/>
    <w:rsid w:val="00900934"/>
    <w:rsid w:val="0090098D"/>
    <w:rsid w:val="00900A34"/>
    <w:rsid w:val="00900A42"/>
    <w:rsid w:val="00900B4F"/>
    <w:rsid w:val="00900B87"/>
    <w:rsid w:val="00900BED"/>
    <w:rsid w:val="00900C93"/>
    <w:rsid w:val="00900CCB"/>
    <w:rsid w:val="00900CE3"/>
    <w:rsid w:val="00900E01"/>
    <w:rsid w:val="00900E0C"/>
    <w:rsid w:val="00900F4B"/>
    <w:rsid w:val="00900F55"/>
    <w:rsid w:val="00900F6E"/>
    <w:rsid w:val="00900F84"/>
    <w:rsid w:val="0090105C"/>
    <w:rsid w:val="009010DD"/>
    <w:rsid w:val="009010EB"/>
    <w:rsid w:val="0090123A"/>
    <w:rsid w:val="00901394"/>
    <w:rsid w:val="00901454"/>
    <w:rsid w:val="0090172F"/>
    <w:rsid w:val="00901814"/>
    <w:rsid w:val="009018C5"/>
    <w:rsid w:val="009018CE"/>
    <w:rsid w:val="009018DA"/>
    <w:rsid w:val="00901969"/>
    <w:rsid w:val="009019CA"/>
    <w:rsid w:val="009019FA"/>
    <w:rsid w:val="00901A74"/>
    <w:rsid w:val="00901B44"/>
    <w:rsid w:val="00901B8C"/>
    <w:rsid w:val="00901C81"/>
    <w:rsid w:val="00901CAC"/>
    <w:rsid w:val="00901D2A"/>
    <w:rsid w:val="00901EF3"/>
    <w:rsid w:val="0090210B"/>
    <w:rsid w:val="00902256"/>
    <w:rsid w:val="009022BF"/>
    <w:rsid w:val="009022D1"/>
    <w:rsid w:val="0090234B"/>
    <w:rsid w:val="0090237A"/>
    <w:rsid w:val="009023C5"/>
    <w:rsid w:val="009023F8"/>
    <w:rsid w:val="00902437"/>
    <w:rsid w:val="009024A6"/>
    <w:rsid w:val="00902522"/>
    <w:rsid w:val="00902535"/>
    <w:rsid w:val="00902586"/>
    <w:rsid w:val="009025B8"/>
    <w:rsid w:val="00902654"/>
    <w:rsid w:val="00902684"/>
    <w:rsid w:val="00902778"/>
    <w:rsid w:val="009027C5"/>
    <w:rsid w:val="00902831"/>
    <w:rsid w:val="00902941"/>
    <w:rsid w:val="009029E8"/>
    <w:rsid w:val="00902AC5"/>
    <w:rsid w:val="00902BCE"/>
    <w:rsid w:val="00902BF8"/>
    <w:rsid w:val="00902CE5"/>
    <w:rsid w:val="00902D43"/>
    <w:rsid w:val="00902EB2"/>
    <w:rsid w:val="00902F8F"/>
    <w:rsid w:val="00903029"/>
    <w:rsid w:val="00903037"/>
    <w:rsid w:val="0090319E"/>
    <w:rsid w:val="009032D3"/>
    <w:rsid w:val="00903406"/>
    <w:rsid w:val="0090346C"/>
    <w:rsid w:val="00903520"/>
    <w:rsid w:val="0090357C"/>
    <w:rsid w:val="0090357F"/>
    <w:rsid w:val="00903744"/>
    <w:rsid w:val="00903770"/>
    <w:rsid w:val="0090379D"/>
    <w:rsid w:val="009037D3"/>
    <w:rsid w:val="009038B0"/>
    <w:rsid w:val="009038B8"/>
    <w:rsid w:val="0090392D"/>
    <w:rsid w:val="00903A0E"/>
    <w:rsid w:val="00903A8A"/>
    <w:rsid w:val="00903AA3"/>
    <w:rsid w:val="00903ABE"/>
    <w:rsid w:val="00903B28"/>
    <w:rsid w:val="00903B87"/>
    <w:rsid w:val="00903C5A"/>
    <w:rsid w:val="00904070"/>
    <w:rsid w:val="009040AF"/>
    <w:rsid w:val="009041BB"/>
    <w:rsid w:val="009041DA"/>
    <w:rsid w:val="0090421C"/>
    <w:rsid w:val="00904231"/>
    <w:rsid w:val="009043F7"/>
    <w:rsid w:val="009044B6"/>
    <w:rsid w:val="009044BF"/>
    <w:rsid w:val="009045E6"/>
    <w:rsid w:val="00904653"/>
    <w:rsid w:val="00904947"/>
    <w:rsid w:val="00904A0A"/>
    <w:rsid w:val="00904A22"/>
    <w:rsid w:val="00904BA2"/>
    <w:rsid w:val="00904BC7"/>
    <w:rsid w:val="00904C10"/>
    <w:rsid w:val="00904C91"/>
    <w:rsid w:val="00904CDA"/>
    <w:rsid w:val="00904D03"/>
    <w:rsid w:val="00904D2B"/>
    <w:rsid w:val="00904EC0"/>
    <w:rsid w:val="00904F71"/>
    <w:rsid w:val="00904F75"/>
    <w:rsid w:val="00905016"/>
    <w:rsid w:val="00905081"/>
    <w:rsid w:val="009051D3"/>
    <w:rsid w:val="009051D7"/>
    <w:rsid w:val="0090523D"/>
    <w:rsid w:val="0090528A"/>
    <w:rsid w:val="00905322"/>
    <w:rsid w:val="00905387"/>
    <w:rsid w:val="009053C7"/>
    <w:rsid w:val="00905401"/>
    <w:rsid w:val="00905494"/>
    <w:rsid w:val="009054B5"/>
    <w:rsid w:val="009055AD"/>
    <w:rsid w:val="009055C7"/>
    <w:rsid w:val="0090574F"/>
    <w:rsid w:val="00905764"/>
    <w:rsid w:val="0090583B"/>
    <w:rsid w:val="00905846"/>
    <w:rsid w:val="00905863"/>
    <w:rsid w:val="00905869"/>
    <w:rsid w:val="00905951"/>
    <w:rsid w:val="00905A03"/>
    <w:rsid w:val="00905A86"/>
    <w:rsid w:val="00905AB4"/>
    <w:rsid w:val="00905B5F"/>
    <w:rsid w:val="00905C42"/>
    <w:rsid w:val="00905CF8"/>
    <w:rsid w:val="00905D82"/>
    <w:rsid w:val="00905DB5"/>
    <w:rsid w:val="00905E93"/>
    <w:rsid w:val="0090603B"/>
    <w:rsid w:val="009060E3"/>
    <w:rsid w:val="009062A6"/>
    <w:rsid w:val="00906352"/>
    <w:rsid w:val="0090648F"/>
    <w:rsid w:val="009065B1"/>
    <w:rsid w:val="00906643"/>
    <w:rsid w:val="0090667E"/>
    <w:rsid w:val="009066AA"/>
    <w:rsid w:val="009066BF"/>
    <w:rsid w:val="009066FD"/>
    <w:rsid w:val="00906701"/>
    <w:rsid w:val="0090671C"/>
    <w:rsid w:val="00906720"/>
    <w:rsid w:val="00906820"/>
    <w:rsid w:val="009068FC"/>
    <w:rsid w:val="0090698D"/>
    <w:rsid w:val="00906C7F"/>
    <w:rsid w:val="00906D6F"/>
    <w:rsid w:val="00906ECF"/>
    <w:rsid w:val="00906FC0"/>
    <w:rsid w:val="00906FD6"/>
    <w:rsid w:val="009070A9"/>
    <w:rsid w:val="009070B8"/>
    <w:rsid w:val="009070BB"/>
    <w:rsid w:val="0090713E"/>
    <w:rsid w:val="00907207"/>
    <w:rsid w:val="00907257"/>
    <w:rsid w:val="009072A0"/>
    <w:rsid w:val="009072B1"/>
    <w:rsid w:val="009072E3"/>
    <w:rsid w:val="00907354"/>
    <w:rsid w:val="00907486"/>
    <w:rsid w:val="009074B8"/>
    <w:rsid w:val="00907534"/>
    <w:rsid w:val="0090754A"/>
    <w:rsid w:val="009075B0"/>
    <w:rsid w:val="009076E9"/>
    <w:rsid w:val="00907805"/>
    <w:rsid w:val="0090780B"/>
    <w:rsid w:val="00907820"/>
    <w:rsid w:val="00907838"/>
    <w:rsid w:val="00907902"/>
    <w:rsid w:val="009079E3"/>
    <w:rsid w:val="009079ED"/>
    <w:rsid w:val="00907A40"/>
    <w:rsid w:val="00907B37"/>
    <w:rsid w:val="00907CDA"/>
    <w:rsid w:val="00907DFC"/>
    <w:rsid w:val="00907EBC"/>
    <w:rsid w:val="00907F5B"/>
    <w:rsid w:val="00910017"/>
    <w:rsid w:val="009100D0"/>
    <w:rsid w:val="00910202"/>
    <w:rsid w:val="0091021F"/>
    <w:rsid w:val="0091028A"/>
    <w:rsid w:val="0091032E"/>
    <w:rsid w:val="009103A0"/>
    <w:rsid w:val="009103D1"/>
    <w:rsid w:val="00910448"/>
    <w:rsid w:val="0091050B"/>
    <w:rsid w:val="009105EA"/>
    <w:rsid w:val="00910608"/>
    <w:rsid w:val="00910692"/>
    <w:rsid w:val="00910775"/>
    <w:rsid w:val="009107F6"/>
    <w:rsid w:val="00910864"/>
    <w:rsid w:val="00910B71"/>
    <w:rsid w:val="00910B9F"/>
    <w:rsid w:val="00910BC7"/>
    <w:rsid w:val="00910F6E"/>
    <w:rsid w:val="00910FB6"/>
    <w:rsid w:val="00911102"/>
    <w:rsid w:val="009111B4"/>
    <w:rsid w:val="0091135E"/>
    <w:rsid w:val="009113C8"/>
    <w:rsid w:val="009113D4"/>
    <w:rsid w:val="00911401"/>
    <w:rsid w:val="00911462"/>
    <w:rsid w:val="00911463"/>
    <w:rsid w:val="009114C2"/>
    <w:rsid w:val="009116F8"/>
    <w:rsid w:val="00911723"/>
    <w:rsid w:val="00911895"/>
    <w:rsid w:val="009118EA"/>
    <w:rsid w:val="00911A90"/>
    <w:rsid w:val="00911D2E"/>
    <w:rsid w:val="00911D3A"/>
    <w:rsid w:val="00911DE5"/>
    <w:rsid w:val="00911E8E"/>
    <w:rsid w:val="00911F01"/>
    <w:rsid w:val="00911F2B"/>
    <w:rsid w:val="00911F6D"/>
    <w:rsid w:val="00912061"/>
    <w:rsid w:val="00912112"/>
    <w:rsid w:val="00912128"/>
    <w:rsid w:val="009121C7"/>
    <w:rsid w:val="009121CE"/>
    <w:rsid w:val="009122D3"/>
    <w:rsid w:val="009124B8"/>
    <w:rsid w:val="00912683"/>
    <w:rsid w:val="009127B5"/>
    <w:rsid w:val="009127EF"/>
    <w:rsid w:val="00912807"/>
    <w:rsid w:val="0091286F"/>
    <w:rsid w:val="0091292E"/>
    <w:rsid w:val="00912A09"/>
    <w:rsid w:val="00912A58"/>
    <w:rsid w:val="00912A65"/>
    <w:rsid w:val="00912BD6"/>
    <w:rsid w:val="00912C40"/>
    <w:rsid w:val="00912CC4"/>
    <w:rsid w:val="00912CC8"/>
    <w:rsid w:val="00912D06"/>
    <w:rsid w:val="00912D3F"/>
    <w:rsid w:val="00912D99"/>
    <w:rsid w:val="00912E32"/>
    <w:rsid w:val="00912F6A"/>
    <w:rsid w:val="00912F9F"/>
    <w:rsid w:val="00912FC5"/>
    <w:rsid w:val="00913175"/>
    <w:rsid w:val="00913263"/>
    <w:rsid w:val="0091346F"/>
    <w:rsid w:val="0091352E"/>
    <w:rsid w:val="0091359A"/>
    <w:rsid w:val="0091364F"/>
    <w:rsid w:val="0091371A"/>
    <w:rsid w:val="00913772"/>
    <w:rsid w:val="009137AD"/>
    <w:rsid w:val="009137F9"/>
    <w:rsid w:val="00913AD3"/>
    <w:rsid w:val="00913B5F"/>
    <w:rsid w:val="00913C03"/>
    <w:rsid w:val="00913C36"/>
    <w:rsid w:val="00913C3F"/>
    <w:rsid w:val="00913CAB"/>
    <w:rsid w:val="00913CBC"/>
    <w:rsid w:val="00913D26"/>
    <w:rsid w:val="00913D28"/>
    <w:rsid w:val="00913D6C"/>
    <w:rsid w:val="00913E6E"/>
    <w:rsid w:val="00913E76"/>
    <w:rsid w:val="00913E9F"/>
    <w:rsid w:val="00913EDB"/>
    <w:rsid w:val="00913FC1"/>
    <w:rsid w:val="00914046"/>
    <w:rsid w:val="00914162"/>
    <w:rsid w:val="00914220"/>
    <w:rsid w:val="00914229"/>
    <w:rsid w:val="009142E1"/>
    <w:rsid w:val="0091443A"/>
    <w:rsid w:val="00914491"/>
    <w:rsid w:val="009148FA"/>
    <w:rsid w:val="009149D5"/>
    <w:rsid w:val="00914A80"/>
    <w:rsid w:val="00914BBA"/>
    <w:rsid w:val="00914CA6"/>
    <w:rsid w:val="00914D7D"/>
    <w:rsid w:val="00914D81"/>
    <w:rsid w:val="00914DCD"/>
    <w:rsid w:val="00914F0E"/>
    <w:rsid w:val="00914F39"/>
    <w:rsid w:val="009150D2"/>
    <w:rsid w:val="00915253"/>
    <w:rsid w:val="009152EB"/>
    <w:rsid w:val="00915413"/>
    <w:rsid w:val="0091546B"/>
    <w:rsid w:val="00915634"/>
    <w:rsid w:val="00915678"/>
    <w:rsid w:val="00915689"/>
    <w:rsid w:val="0091568C"/>
    <w:rsid w:val="009156F8"/>
    <w:rsid w:val="00915701"/>
    <w:rsid w:val="00915706"/>
    <w:rsid w:val="00915850"/>
    <w:rsid w:val="0091586D"/>
    <w:rsid w:val="009158C6"/>
    <w:rsid w:val="00915900"/>
    <w:rsid w:val="0091591A"/>
    <w:rsid w:val="0091592B"/>
    <w:rsid w:val="00915A5A"/>
    <w:rsid w:val="00915AAF"/>
    <w:rsid w:val="00915AF2"/>
    <w:rsid w:val="00915B31"/>
    <w:rsid w:val="00915C3D"/>
    <w:rsid w:val="00915CE8"/>
    <w:rsid w:val="00915D6E"/>
    <w:rsid w:val="00915DF5"/>
    <w:rsid w:val="00915DFD"/>
    <w:rsid w:val="00915E76"/>
    <w:rsid w:val="00915FA2"/>
    <w:rsid w:val="00915FFE"/>
    <w:rsid w:val="0091600A"/>
    <w:rsid w:val="0091601A"/>
    <w:rsid w:val="00916038"/>
    <w:rsid w:val="009160AE"/>
    <w:rsid w:val="009160DC"/>
    <w:rsid w:val="00916195"/>
    <w:rsid w:val="00916246"/>
    <w:rsid w:val="00916286"/>
    <w:rsid w:val="00916316"/>
    <w:rsid w:val="009165BB"/>
    <w:rsid w:val="0091670B"/>
    <w:rsid w:val="0091670D"/>
    <w:rsid w:val="0091672F"/>
    <w:rsid w:val="00916759"/>
    <w:rsid w:val="0091685B"/>
    <w:rsid w:val="00916952"/>
    <w:rsid w:val="0091696A"/>
    <w:rsid w:val="00916982"/>
    <w:rsid w:val="009169F3"/>
    <w:rsid w:val="00916CF7"/>
    <w:rsid w:val="00916E6F"/>
    <w:rsid w:val="00916EFE"/>
    <w:rsid w:val="00917055"/>
    <w:rsid w:val="00917064"/>
    <w:rsid w:val="00917079"/>
    <w:rsid w:val="0091709D"/>
    <w:rsid w:val="0091709E"/>
    <w:rsid w:val="00917107"/>
    <w:rsid w:val="0091716E"/>
    <w:rsid w:val="009171E9"/>
    <w:rsid w:val="0091728E"/>
    <w:rsid w:val="009172DC"/>
    <w:rsid w:val="00917360"/>
    <w:rsid w:val="00917420"/>
    <w:rsid w:val="00917453"/>
    <w:rsid w:val="009175A1"/>
    <w:rsid w:val="009175C2"/>
    <w:rsid w:val="009176DA"/>
    <w:rsid w:val="0091772E"/>
    <w:rsid w:val="009177EC"/>
    <w:rsid w:val="009178AE"/>
    <w:rsid w:val="00917990"/>
    <w:rsid w:val="00917A39"/>
    <w:rsid w:val="00917B89"/>
    <w:rsid w:val="00917BD1"/>
    <w:rsid w:val="00917BEA"/>
    <w:rsid w:val="00917BF7"/>
    <w:rsid w:val="00917C5D"/>
    <w:rsid w:val="00917C78"/>
    <w:rsid w:val="00917D40"/>
    <w:rsid w:val="00917DD7"/>
    <w:rsid w:val="00917E6B"/>
    <w:rsid w:val="00917F43"/>
    <w:rsid w:val="00917F9B"/>
    <w:rsid w:val="00920040"/>
    <w:rsid w:val="00920053"/>
    <w:rsid w:val="0092007E"/>
    <w:rsid w:val="0092028D"/>
    <w:rsid w:val="009202F1"/>
    <w:rsid w:val="00920342"/>
    <w:rsid w:val="00920351"/>
    <w:rsid w:val="0092039B"/>
    <w:rsid w:val="0092044C"/>
    <w:rsid w:val="0092055E"/>
    <w:rsid w:val="0092062C"/>
    <w:rsid w:val="00920681"/>
    <w:rsid w:val="009207AB"/>
    <w:rsid w:val="009207D8"/>
    <w:rsid w:val="00920811"/>
    <w:rsid w:val="00920821"/>
    <w:rsid w:val="00920875"/>
    <w:rsid w:val="00920904"/>
    <w:rsid w:val="0092090F"/>
    <w:rsid w:val="00920914"/>
    <w:rsid w:val="0092091E"/>
    <w:rsid w:val="0092096F"/>
    <w:rsid w:val="00920A54"/>
    <w:rsid w:val="00920B95"/>
    <w:rsid w:val="00920C42"/>
    <w:rsid w:val="00920CB9"/>
    <w:rsid w:val="00921100"/>
    <w:rsid w:val="009211D3"/>
    <w:rsid w:val="009213E9"/>
    <w:rsid w:val="00921421"/>
    <w:rsid w:val="0092156C"/>
    <w:rsid w:val="009215C4"/>
    <w:rsid w:val="009215FA"/>
    <w:rsid w:val="009216E6"/>
    <w:rsid w:val="0092179C"/>
    <w:rsid w:val="009219AE"/>
    <w:rsid w:val="009219B8"/>
    <w:rsid w:val="00921C22"/>
    <w:rsid w:val="00921C3B"/>
    <w:rsid w:val="00921C97"/>
    <w:rsid w:val="00921CEC"/>
    <w:rsid w:val="00921E49"/>
    <w:rsid w:val="00921F81"/>
    <w:rsid w:val="00921FF9"/>
    <w:rsid w:val="0092207B"/>
    <w:rsid w:val="009220BB"/>
    <w:rsid w:val="00922152"/>
    <w:rsid w:val="00922260"/>
    <w:rsid w:val="009222CB"/>
    <w:rsid w:val="009223C0"/>
    <w:rsid w:val="009224CA"/>
    <w:rsid w:val="00922507"/>
    <w:rsid w:val="0092257E"/>
    <w:rsid w:val="00922595"/>
    <w:rsid w:val="009225F0"/>
    <w:rsid w:val="0092278E"/>
    <w:rsid w:val="00922843"/>
    <w:rsid w:val="00922893"/>
    <w:rsid w:val="009228EC"/>
    <w:rsid w:val="00922911"/>
    <w:rsid w:val="00922913"/>
    <w:rsid w:val="00922A02"/>
    <w:rsid w:val="00922A49"/>
    <w:rsid w:val="00922BAE"/>
    <w:rsid w:val="00922BBE"/>
    <w:rsid w:val="00922C4C"/>
    <w:rsid w:val="00922DD9"/>
    <w:rsid w:val="00922EC9"/>
    <w:rsid w:val="00922ED5"/>
    <w:rsid w:val="00922FFC"/>
    <w:rsid w:val="00923056"/>
    <w:rsid w:val="0092313F"/>
    <w:rsid w:val="009231D1"/>
    <w:rsid w:val="0092334C"/>
    <w:rsid w:val="00923446"/>
    <w:rsid w:val="00923476"/>
    <w:rsid w:val="009235DF"/>
    <w:rsid w:val="0092363B"/>
    <w:rsid w:val="009236AB"/>
    <w:rsid w:val="009237F7"/>
    <w:rsid w:val="00923934"/>
    <w:rsid w:val="00923937"/>
    <w:rsid w:val="0092396B"/>
    <w:rsid w:val="009239B8"/>
    <w:rsid w:val="00923A55"/>
    <w:rsid w:val="00923B18"/>
    <w:rsid w:val="00923BA7"/>
    <w:rsid w:val="00923D73"/>
    <w:rsid w:val="00923E47"/>
    <w:rsid w:val="00923ECA"/>
    <w:rsid w:val="00923F0D"/>
    <w:rsid w:val="00923F6E"/>
    <w:rsid w:val="00923FC5"/>
    <w:rsid w:val="00923FCE"/>
    <w:rsid w:val="00923FDB"/>
    <w:rsid w:val="0092409F"/>
    <w:rsid w:val="0092410C"/>
    <w:rsid w:val="009241C0"/>
    <w:rsid w:val="009241F3"/>
    <w:rsid w:val="00924365"/>
    <w:rsid w:val="00924553"/>
    <w:rsid w:val="00924554"/>
    <w:rsid w:val="0092469B"/>
    <w:rsid w:val="009246DF"/>
    <w:rsid w:val="00924966"/>
    <w:rsid w:val="00924A14"/>
    <w:rsid w:val="00924A23"/>
    <w:rsid w:val="00924AE4"/>
    <w:rsid w:val="00924BB6"/>
    <w:rsid w:val="00924C36"/>
    <w:rsid w:val="00924D9A"/>
    <w:rsid w:val="00924DA2"/>
    <w:rsid w:val="00924EAD"/>
    <w:rsid w:val="00924F50"/>
    <w:rsid w:val="00924FDA"/>
    <w:rsid w:val="00924FEB"/>
    <w:rsid w:val="0092504A"/>
    <w:rsid w:val="009251D5"/>
    <w:rsid w:val="00925264"/>
    <w:rsid w:val="00925296"/>
    <w:rsid w:val="009252CC"/>
    <w:rsid w:val="0092534B"/>
    <w:rsid w:val="00925398"/>
    <w:rsid w:val="0092543C"/>
    <w:rsid w:val="00925510"/>
    <w:rsid w:val="0092589C"/>
    <w:rsid w:val="00925997"/>
    <w:rsid w:val="009259D9"/>
    <w:rsid w:val="00925A0F"/>
    <w:rsid w:val="00925A29"/>
    <w:rsid w:val="00925AD1"/>
    <w:rsid w:val="00925B79"/>
    <w:rsid w:val="00925BC2"/>
    <w:rsid w:val="00925DEB"/>
    <w:rsid w:val="00925E5F"/>
    <w:rsid w:val="00926085"/>
    <w:rsid w:val="009260F9"/>
    <w:rsid w:val="0092617F"/>
    <w:rsid w:val="00926240"/>
    <w:rsid w:val="009262C2"/>
    <w:rsid w:val="009262D7"/>
    <w:rsid w:val="009263AE"/>
    <w:rsid w:val="00926468"/>
    <w:rsid w:val="00926570"/>
    <w:rsid w:val="009265C4"/>
    <w:rsid w:val="00926616"/>
    <w:rsid w:val="00926687"/>
    <w:rsid w:val="00926696"/>
    <w:rsid w:val="00926B7B"/>
    <w:rsid w:val="00926B86"/>
    <w:rsid w:val="00926BBE"/>
    <w:rsid w:val="00926BFF"/>
    <w:rsid w:val="00926D0E"/>
    <w:rsid w:val="00926E6D"/>
    <w:rsid w:val="00926EFE"/>
    <w:rsid w:val="00926F2D"/>
    <w:rsid w:val="0092701A"/>
    <w:rsid w:val="00927276"/>
    <w:rsid w:val="00927286"/>
    <w:rsid w:val="00927293"/>
    <w:rsid w:val="009272DB"/>
    <w:rsid w:val="009272F5"/>
    <w:rsid w:val="009275EE"/>
    <w:rsid w:val="00927629"/>
    <w:rsid w:val="00927665"/>
    <w:rsid w:val="00927706"/>
    <w:rsid w:val="0092770A"/>
    <w:rsid w:val="0092771F"/>
    <w:rsid w:val="00927866"/>
    <w:rsid w:val="009278DB"/>
    <w:rsid w:val="00927A0C"/>
    <w:rsid w:val="00927AD1"/>
    <w:rsid w:val="00927C09"/>
    <w:rsid w:val="00927C36"/>
    <w:rsid w:val="00927C88"/>
    <w:rsid w:val="00927E05"/>
    <w:rsid w:val="00927EB0"/>
    <w:rsid w:val="00927EFF"/>
    <w:rsid w:val="00927F17"/>
    <w:rsid w:val="00927F1C"/>
    <w:rsid w:val="00930008"/>
    <w:rsid w:val="00930300"/>
    <w:rsid w:val="00930400"/>
    <w:rsid w:val="0093054E"/>
    <w:rsid w:val="00930679"/>
    <w:rsid w:val="00930957"/>
    <w:rsid w:val="00930A97"/>
    <w:rsid w:val="00930BF9"/>
    <w:rsid w:val="00930D1E"/>
    <w:rsid w:val="00930E00"/>
    <w:rsid w:val="0093106D"/>
    <w:rsid w:val="009310C0"/>
    <w:rsid w:val="0093115C"/>
    <w:rsid w:val="0093118E"/>
    <w:rsid w:val="00931265"/>
    <w:rsid w:val="009312E8"/>
    <w:rsid w:val="00931303"/>
    <w:rsid w:val="00931539"/>
    <w:rsid w:val="0093158F"/>
    <w:rsid w:val="00931591"/>
    <w:rsid w:val="0093164E"/>
    <w:rsid w:val="00931876"/>
    <w:rsid w:val="00931894"/>
    <w:rsid w:val="0093190E"/>
    <w:rsid w:val="009319A5"/>
    <w:rsid w:val="00931A59"/>
    <w:rsid w:val="00931B3D"/>
    <w:rsid w:val="00931B53"/>
    <w:rsid w:val="00931B8E"/>
    <w:rsid w:val="00931BE8"/>
    <w:rsid w:val="00931EBF"/>
    <w:rsid w:val="00931EFA"/>
    <w:rsid w:val="00931F02"/>
    <w:rsid w:val="00931F70"/>
    <w:rsid w:val="00931FA7"/>
    <w:rsid w:val="009320BD"/>
    <w:rsid w:val="009321B0"/>
    <w:rsid w:val="00932472"/>
    <w:rsid w:val="00932483"/>
    <w:rsid w:val="00932559"/>
    <w:rsid w:val="00932582"/>
    <w:rsid w:val="009325CB"/>
    <w:rsid w:val="0093275E"/>
    <w:rsid w:val="00932907"/>
    <w:rsid w:val="00932A2D"/>
    <w:rsid w:val="00932A62"/>
    <w:rsid w:val="00932B83"/>
    <w:rsid w:val="00932B85"/>
    <w:rsid w:val="00932D67"/>
    <w:rsid w:val="00932D7E"/>
    <w:rsid w:val="00932E2F"/>
    <w:rsid w:val="00932E3E"/>
    <w:rsid w:val="00932EA7"/>
    <w:rsid w:val="00932F5F"/>
    <w:rsid w:val="00932FD8"/>
    <w:rsid w:val="00933036"/>
    <w:rsid w:val="009331C0"/>
    <w:rsid w:val="00933208"/>
    <w:rsid w:val="0093335F"/>
    <w:rsid w:val="009333EB"/>
    <w:rsid w:val="009334DC"/>
    <w:rsid w:val="0093353F"/>
    <w:rsid w:val="00933615"/>
    <w:rsid w:val="0093369E"/>
    <w:rsid w:val="00933754"/>
    <w:rsid w:val="009338D1"/>
    <w:rsid w:val="00933977"/>
    <w:rsid w:val="00933A7A"/>
    <w:rsid w:val="00933BDE"/>
    <w:rsid w:val="00933BED"/>
    <w:rsid w:val="00933C20"/>
    <w:rsid w:val="00933C33"/>
    <w:rsid w:val="00933C8C"/>
    <w:rsid w:val="00933D7F"/>
    <w:rsid w:val="00933D9B"/>
    <w:rsid w:val="00933E32"/>
    <w:rsid w:val="00933EA2"/>
    <w:rsid w:val="00933F0A"/>
    <w:rsid w:val="00934177"/>
    <w:rsid w:val="009342C8"/>
    <w:rsid w:val="009344E7"/>
    <w:rsid w:val="00934585"/>
    <w:rsid w:val="0093474B"/>
    <w:rsid w:val="00934A2F"/>
    <w:rsid w:val="00934B43"/>
    <w:rsid w:val="00934C1A"/>
    <w:rsid w:val="00934C36"/>
    <w:rsid w:val="00934C90"/>
    <w:rsid w:val="00934D5B"/>
    <w:rsid w:val="00934E5C"/>
    <w:rsid w:val="00934E98"/>
    <w:rsid w:val="00934FE5"/>
    <w:rsid w:val="0093510A"/>
    <w:rsid w:val="0093514C"/>
    <w:rsid w:val="009351A5"/>
    <w:rsid w:val="009351D3"/>
    <w:rsid w:val="00935208"/>
    <w:rsid w:val="0093523E"/>
    <w:rsid w:val="00935312"/>
    <w:rsid w:val="00935360"/>
    <w:rsid w:val="0093552A"/>
    <w:rsid w:val="00935544"/>
    <w:rsid w:val="009355F8"/>
    <w:rsid w:val="0093577A"/>
    <w:rsid w:val="009357A5"/>
    <w:rsid w:val="009357C9"/>
    <w:rsid w:val="009357F7"/>
    <w:rsid w:val="009358F8"/>
    <w:rsid w:val="00935A03"/>
    <w:rsid w:val="00935A1B"/>
    <w:rsid w:val="00935A6B"/>
    <w:rsid w:val="00935A89"/>
    <w:rsid w:val="00935ABE"/>
    <w:rsid w:val="00935AD6"/>
    <w:rsid w:val="00935BA3"/>
    <w:rsid w:val="00935CEB"/>
    <w:rsid w:val="00935D3F"/>
    <w:rsid w:val="00935D87"/>
    <w:rsid w:val="00935DA7"/>
    <w:rsid w:val="00935EB9"/>
    <w:rsid w:val="00935EBC"/>
    <w:rsid w:val="009360BF"/>
    <w:rsid w:val="009360D6"/>
    <w:rsid w:val="009361F4"/>
    <w:rsid w:val="00936281"/>
    <w:rsid w:val="0093629D"/>
    <w:rsid w:val="009362CC"/>
    <w:rsid w:val="00936436"/>
    <w:rsid w:val="00936455"/>
    <w:rsid w:val="00936493"/>
    <w:rsid w:val="00936556"/>
    <w:rsid w:val="009366B2"/>
    <w:rsid w:val="009366EB"/>
    <w:rsid w:val="00936828"/>
    <w:rsid w:val="0093685C"/>
    <w:rsid w:val="00936B25"/>
    <w:rsid w:val="00936B61"/>
    <w:rsid w:val="00936DA7"/>
    <w:rsid w:val="00936E20"/>
    <w:rsid w:val="00936E50"/>
    <w:rsid w:val="00936E54"/>
    <w:rsid w:val="00936EA2"/>
    <w:rsid w:val="009370FC"/>
    <w:rsid w:val="009371AC"/>
    <w:rsid w:val="009371BB"/>
    <w:rsid w:val="0093732A"/>
    <w:rsid w:val="009373BD"/>
    <w:rsid w:val="00937420"/>
    <w:rsid w:val="0093768D"/>
    <w:rsid w:val="009377D8"/>
    <w:rsid w:val="009379F0"/>
    <w:rsid w:val="00937B64"/>
    <w:rsid w:val="00937C7A"/>
    <w:rsid w:val="00937E66"/>
    <w:rsid w:val="00937E90"/>
    <w:rsid w:val="00937F00"/>
    <w:rsid w:val="00937FCB"/>
    <w:rsid w:val="00940114"/>
    <w:rsid w:val="0094023F"/>
    <w:rsid w:val="0094026A"/>
    <w:rsid w:val="00940387"/>
    <w:rsid w:val="009403B5"/>
    <w:rsid w:val="00940464"/>
    <w:rsid w:val="0094051F"/>
    <w:rsid w:val="00940523"/>
    <w:rsid w:val="00940661"/>
    <w:rsid w:val="009406D9"/>
    <w:rsid w:val="00940734"/>
    <w:rsid w:val="0094079F"/>
    <w:rsid w:val="00940872"/>
    <w:rsid w:val="009408B2"/>
    <w:rsid w:val="009408CA"/>
    <w:rsid w:val="0094096A"/>
    <w:rsid w:val="00940B2E"/>
    <w:rsid w:val="00940B8B"/>
    <w:rsid w:val="00940C17"/>
    <w:rsid w:val="00940E4E"/>
    <w:rsid w:val="00940FC2"/>
    <w:rsid w:val="00940FD6"/>
    <w:rsid w:val="00941023"/>
    <w:rsid w:val="0094108B"/>
    <w:rsid w:val="00941159"/>
    <w:rsid w:val="009411A8"/>
    <w:rsid w:val="00941283"/>
    <w:rsid w:val="009412A5"/>
    <w:rsid w:val="009412AF"/>
    <w:rsid w:val="009412BC"/>
    <w:rsid w:val="00941426"/>
    <w:rsid w:val="00941471"/>
    <w:rsid w:val="009414C6"/>
    <w:rsid w:val="00941752"/>
    <w:rsid w:val="00941856"/>
    <w:rsid w:val="009418BE"/>
    <w:rsid w:val="00941ABF"/>
    <w:rsid w:val="00941AD1"/>
    <w:rsid w:val="00941DA2"/>
    <w:rsid w:val="00941DC4"/>
    <w:rsid w:val="00941F28"/>
    <w:rsid w:val="00942088"/>
    <w:rsid w:val="00942099"/>
    <w:rsid w:val="009420DE"/>
    <w:rsid w:val="00942389"/>
    <w:rsid w:val="009424D5"/>
    <w:rsid w:val="0094272A"/>
    <w:rsid w:val="00942761"/>
    <w:rsid w:val="00942791"/>
    <w:rsid w:val="0094282F"/>
    <w:rsid w:val="00942833"/>
    <w:rsid w:val="00942A56"/>
    <w:rsid w:val="00942A62"/>
    <w:rsid w:val="00942A91"/>
    <w:rsid w:val="00942CD2"/>
    <w:rsid w:val="00942D1E"/>
    <w:rsid w:val="00942DCB"/>
    <w:rsid w:val="00942EB7"/>
    <w:rsid w:val="0094324D"/>
    <w:rsid w:val="009433BF"/>
    <w:rsid w:val="00943528"/>
    <w:rsid w:val="0094353D"/>
    <w:rsid w:val="00943551"/>
    <w:rsid w:val="00943562"/>
    <w:rsid w:val="009435B5"/>
    <w:rsid w:val="0094360D"/>
    <w:rsid w:val="00943647"/>
    <w:rsid w:val="00943683"/>
    <w:rsid w:val="0094368A"/>
    <w:rsid w:val="009436D6"/>
    <w:rsid w:val="00943803"/>
    <w:rsid w:val="0094385F"/>
    <w:rsid w:val="0094398D"/>
    <w:rsid w:val="009439C0"/>
    <w:rsid w:val="00943A3F"/>
    <w:rsid w:val="00943BE0"/>
    <w:rsid w:val="00943D0E"/>
    <w:rsid w:val="00943DFC"/>
    <w:rsid w:val="00943E05"/>
    <w:rsid w:val="00943E77"/>
    <w:rsid w:val="00943E91"/>
    <w:rsid w:val="00943F70"/>
    <w:rsid w:val="00944090"/>
    <w:rsid w:val="0094409D"/>
    <w:rsid w:val="009441D6"/>
    <w:rsid w:val="009441DD"/>
    <w:rsid w:val="00944280"/>
    <w:rsid w:val="009443FB"/>
    <w:rsid w:val="009444A4"/>
    <w:rsid w:val="009445BE"/>
    <w:rsid w:val="009445CB"/>
    <w:rsid w:val="00944615"/>
    <w:rsid w:val="00944667"/>
    <w:rsid w:val="00944690"/>
    <w:rsid w:val="009447A2"/>
    <w:rsid w:val="00944A9C"/>
    <w:rsid w:val="00944BD9"/>
    <w:rsid w:val="00944BE6"/>
    <w:rsid w:val="00944C2E"/>
    <w:rsid w:val="00944C8F"/>
    <w:rsid w:val="00944D2D"/>
    <w:rsid w:val="00944DC8"/>
    <w:rsid w:val="00944EA0"/>
    <w:rsid w:val="00944F90"/>
    <w:rsid w:val="00945154"/>
    <w:rsid w:val="00945171"/>
    <w:rsid w:val="009451BE"/>
    <w:rsid w:val="00945318"/>
    <w:rsid w:val="0094531F"/>
    <w:rsid w:val="0094533B"/>
    <w:rsid w:val="0094533E"/>
    <w:rsid w:val="009453F6"/>
    <w:rsid w:val="00945435"/>
    <w:rsid w:val="00945535"/>
    <w:rsid w:val="0094573C"/>
    <w:rsid w:val="00945872"/>
    <w:rsid w:val="009459C4"/>
    <w:rsid w:val="00945B0C"/>
    <w:rsid w:val="00945B80"/>
    <w:rsid w:val="00945C24"/>
    <w:rsid w:val="00945CAE"/>
    <w:rsid w:val="00945CE5"/>
    <w:rsid w:val="00945D2B"/>
    <w:rsid w:val="00945D44"/>
    <w:rsid w:val="00945D81"/>
    <w:rsid w:val="00945DAB"/>
    <w:rsid w:val="00945E46"/>
    <w:rsid w:val="00945E73"/>
    <w:rsid w:val="00945EC1"/>
    <w:rsid w:val="00945F09"/>
    <w:rsid w:val="00946034"/>
    <w:rsid w:val="00946040"/>
    <w:rsid w:val="00946138"/>
    <w:rsid w:val="009462EF"/>
    <w:rsid w:val="009463EA"/>
    <w:rsid w:val="009463EE"/>
    <w:rsid w:val="00946535"/>
    <w:rsid w:val="0094663A"/>
    <w:rsid w:val="0094674F"/>
    <w:rsid w:val="009467B7"/>
    <w:rsid w:val="00946854"/>
    <w:rsid w:val="00946866"/>
    <w:rsid w:val="00946877"/>
    <w:rsid w:val="0094694A"/>
    <w:rsid w:val="00946B62"/>
    <w:rsid w:val="00946BF9"/>
    <w:rsid w:val="00946D44"/>
    <w:rsid w:val="00946D62"/>
    <w:rsid w:val="00946D87"/>
    <w:rsid w:val="0094711D"/>
    <w:rsid w:val="009471AC"/>
    <w:rsid w:val="00947272"/>
    <w:rsid w:val="0094739D"/>
    <w:rsid w:val="009473A4"/>
    <w:rsid w:val="009474EC"/>
    <w:rsid w:val="00947683"/>
    <w:rsid w:val="00947707"/>
    <w:rsid w:val="0094782A"/>
    <w:rsid w:val="009478B2"/>
    <w:rsid w:val="0094795B"/>
    <w:rsid w:val="00947A1B"/>
    <w:rsid w:val="00947A3A"/>
    <w:rsid w:val="00947AC4"/>
    <w:rsid w:val="00947EB4"/>
    <w:rsid w:val="00950022"/>
    <w:rsid w:val="00950042"/>
    <w:rsid w:val="00950062"/>
    <w:rsid w:val="009500F0"/>
    <w:rsid w:val="009501E0"/>
    <w:rsid w:val="009502AD"/>
    <w:rsid w:val="00950328"/>
    <w:rsid w:val="009503B0"/>
    <w:rsid w:val="009503F2"/>
    <w:rsid w:val="00950444"/>
    <w:rsid w:val="00950459"/>
    <w:rsid w:val="0095049B"/>
    <w:rsid w:val="009505B5"/>
    <w:rsid w:val="009506EA"/>
    <w:rsid w:val="00950717"/>
    <w:rsid w:val="00950742"/>
    <w:rsid w:val="009508A2"/>
    <w:rsid w:val="00950971"/>
    <w:rsid w:val="00950CB6"/>
    <w:rsid w:val="00950CEC"/>
    <w:rsid w:val="00950D0C"/>
    <w:rsid w:val="00950D87"/>
    <w:rsid w:val="00950E28"/>
    <w:rsid w:val="00950E4A"/>
    <w:rsid w:val="00950F40"/>
    <w:rsid w:val="00950F85"/>
    <w:rsid w:val="00950FA1"/>
    <w:rsid w:val="00951082"/>
    <w:rsid w:val="009511B2"/>
    <w:rsid w:val="00951226"/>
    <w:rsid w:val="0095138E"/>
    <w:rsid w:val="009513A7"/>
    <w:rsid w:val="009514FD"/>
    <w:rsid w:val="0095151B"/>
    <w:rsid w:val="00951669"/>
    <w:rsid w:val="009519B5"/>
    <w:rsid w:val="009519D5"/>
    <w:rsid w:val="00951A20"/>
    <w:rsid w:val="00951AEE"/>
    <w:rsid w:val="00951B0B"/>
    <w:rsid w:val="00951B90"/>
    <w:rsid w:val="00951BA9"/>
    <w:rsid w:val="00951CD5"/>
    <w:rsid w:val="00951CF2"/>
    <w:rsid w:val="00951CFE"/>
    <w:rsid w:val="00951DBC"/>
    <w:rsid w:val="00951E20"/>
    <w:rsid w:val="00951FDB"/>
    <w:rsid w:val="009520B4"/>
    <w:rsid w:val="009520D2"/>
    <w:rsid w:val="009522A8"/>
    <w:rsid w:val="00952343"/>
    <w:rsid w:val="0095245B"/>
    <w:rsid w:val="009524F4"/>
    <w:rsid w:val="009525A1"/>
    <w:rsid w:val="0095270C"/>
    <w:rsid w:val="00952915"/>
    <w:rsid w:val="009529B2"/>
    <w:rsid w:val="009529DD"/>
    <w:rsid w:val="00952A64"/>
    <w:rsid w:val="00952ACF"/>
    <w:rsid w:val="00952B69"/>
    <w:rsid w:val="00952C1C"/>
    <w:rsid w:val="00952C50"/>
    <w:rsid w:val="00952D3D"/>
    <w:rsid w:val="00952E19"/>
    <w:rsid w:val="00952F56"/>
    <w:rsid w:val="00952FCB"/>
    <w:rsid w:val="00952FEF"/>
    <w:rsid w:val="00952FF2"/>
    <w:rsid w:val="00952FFE"/>
    <w:rsid w:val="00953085"/>
    <w:rsid w:val="00953270"/>
    <w:rsid w:val="009533B8"/>
    <w:rsid w:val="009533E3"/>
    <w:rsid w:val="00953402"/>
    <w:rsid w:val="00953444"/>
    <w:rsid w:val="009534FB"/>
    <w:rsid w:val="00953516"/>
    <w:rsid w:val="00953593"/>
    <w:rsid w:val="009535E5"/>
    <w:rsid w:val="00953723"/>
    <w:rsid w:val="00953753"/>
    <w:rsid w:val="00953789"/>
    <w:rsid w:val="009538D9"/>
    <w:rsid w:val="00953994"/>
    <w:rsid w:val="009539AA"/>
    <w:rsid w:val="009539FB"/>
    <w:rsid w:val="00953AB5"/>
    <w:rsid w:val="00953AF7"/>
    <w:rsid w:val="00953B3F"/>
    <w:rsid w:val="00953BB8"/>
    <w:rsid w:val="00953BCE"/>
    <w:rsid w:val="00953C9A"/>
    <w:rsid w:val="00953EE6"/>
    <w:rsid w:val="00953F9B"/>
    <w:rsid w:val="00954085"/>
    <w:rsid w:val="009540A0"/>
    <w:rsid w:val="009540E2"/>
    <w:rsid w:val="00954146"/>
    <w:rsid w:val="00954155"/>
    <w:rsid w:val="0095417D"/>
    <w:rsid w:val="0095419B"/>
    <w:rsid w:val="009541F5"/>
    <w:rsid w:val="0095447B"/>
    <w:rsid w:val="00954572"/>
    <w:rsid w:val="009547D3"/>
    <w:rsid w:val="009547E0"/>
    <w:rsid w:val="009547E2"/>
    <w:rsid w:val="009547E9"/>
    <w:rsid w:val="009547F4"/>
    <w:rsid w:val="009548BF"/>
    <w:rsid w:val="00954AF4"/>
    <w:rsid w:val="00954B7C"/>
    <w:rsid w:val="00954BCE"/>
    <w:rsid w:val="00954CE1"/>
    <w:rsid w:val="00954EEF"/>
    <w:rsid w:val="00954F48"/>
    <w:rsid w:val="00955131"/>
    <w:rsid w:val="009551A0"/>
    <w:rsid w:val="009551C8"/>
    <w:rsid w:val="00955242"/>
    <w:rsid w:val="0095526D"/>
    <w:rsid w:val="009552CC"/>
    <w:rsid w:val="00955308"/>
    <w:rsid w:val="00955378"/>
    <w:rsid w:val="00955430"/>
    <w:rsid w:val="009554B1"/>
    <w:rsid w:val="0095581B"/>
    <w:rsid w:val="00955875"/>
    <w:rsid w:val="009558ED"/>
    <w:rsid w:val="0095590F"/>
    <w:rsid w:val="00955953"/>
    <w:rsid w:val="0095598C"/>
    <w:rsid w:val="00955AB0"/>
    <w:rsid w:val="00955E0B"/>
    <w:rsid w:val="00955E16"/>
    <w:rsid w:val="00955EBA"/>
    <w:rsid w:val="00955F9E"/>
    <w:rsid w:val="009560C5"/>
    <w:rsid w:val="00956237"/>
    <w:rsid w:val="0095628D"/>
    <w:rsid w:val="009563F2"/>
    <w:rsid w:val="00956523"/>
    <w:rsid w:val="00956678"/>
    <w:rsid w:val="00956749"/>
    <w:rsid w:val="0095678F"/>
    <w:rsid w:val="009568BA"/>
    <w:rsid w:val="009569FA"/>
    <w:rsid w:val="00956AEC"/>
    <w:rsid w:val="00956B8D"/>
    <w:rsid w:val="00956BF4"/>
    <w:rsid w:val="00956DE4"/>
    <w:rsid w:val="00956E76"/>
    <w:rsid w:val="00956EBF"/>
    <w:rsid w:val="00956F77"/>
    <w:rsid w:val="00957166"/>
    <w:rsid w:val="0095727A"/>
    <w:rsid w:val="00957286"/>
    <w:rsid w:val="0095729C"/>
    <w:rsid w:val="009572A3"/>
    <w:rsid w:val="009572DD"/>
    <w:rsid w:val="009572F2"/>
    <w:rsid w:val="009572F7"/>
    <w:rsid w:val="0095730D"/>
    <w:rsid w:val="009573CD"/>
    <w:rsid w:val="00957425"/>
    <w:rsid w:val="00957485"/>
    <w:rsid w:val="00957591"/>
    <w:rsid w:val="009575B9"/>
    <w:rsid w:val="0095763A"/>
    <w:rsid w:val="009577AF"/>
    <w:rsid w:val="00957855"/>
    <w:rsid w:val="00957898"/>
    <w:rsid w:val="00957899"/>
    <w:rsid w:val="009578B5"/>
    <w:rsid w:val="00957A63"/>
    <w:rsid w:val="00957B68"/>
    <w:rsid w:val="00957BCA"/>
    <w:rsid w:val="00957BE2"/>
    <w:rsid w:val="00957E23"/>
    <w:rsid w:val="0096002F"/>
    <w:rsid w:val="009600F6"/>
    <w:rsid w:val="009601D7"/>
    <w:rsid w:val="00960238"/>
    <w:rsid w:val="00960388"/>
    <w:rsid w:val="009603A6"/>
    <w:rsid w:val="009603E6"/>
    <w:rsid w:val="00960422"/>
    <w:rsid w:val="0096046F"/>
    <w:rsid w:val="009604E0"/>
    <w:rsid w:val="00960507"/>
    <w:rsid w:val="00960546"/>
    <w:rsid w:val="009605B2"/>
    <w:rsid w:val="009605CA"/>
    <w:rsid w:val="0096066B"/>
    <w:rsid w:val="009606C1"/>
    <w:rsid w:val="009606F0"/>
    <w:rsid w:val="00960713"/>
    <w:rsid w:val="00960942"/>
    <w:rsid w:val="00960A54"/>
    <w:rsid w:val="00960AD7"/>
    <w:rsid w:val="00960BD3"/>
    <w:rsid w:val="00960BE3"/>
    <w:rsid w:val="00960C3E"/>
    <w:rsid w:val="00960D21"/>
    <w:rsid w:val="00960DA4"/>
    <w:rsid w:val="00960F07"/>
    <w:rsid w:val="00960F86"/>
    <w:rsid w:val="00960FBB"/>
    <w:rsid w:val="00960FD8"/>
    <w:rsid w:val="00961034"/>
    <w:rsid w:val="009610EE"/>
    <w:rsid w:val="00961101"/>
    <w:rsid w:val="00961225"/>
    <w:rsid w:val="0096127F"/>
    <w:rsid w:val="0096128A"/>
    <w:rsid w:val="00961329"/>
    <w:rsid w:val="00961399"/>
    <w:rsid w:val="009613BD"/>
    <w:rsid w:val="009613BE"/>
    <w:rsid w:val="009614C6"/>
    <w:rsid w:val="0096150F"/>
    <w:rsid w:val="0096156B"/>
    <w:rsid w:val="0096173F"/>
    <w:rsid w:val="0096184C"/>
    <w:rsid w:val="009618F6"/>
    <w:rsid w:val="00961A32"/>
    <w:rsid w:val="00961AA5"/>
    <w:rsid w:val="00961BD5"/>
    <w:rsid w:val="00961C1B"/>
    <w:rsid w:val="00961D51"/>
    <w:rsid w:val="00961DAD"/>
    <w:rsid w:val="00961DDC"/>
    <w:rsid w:val="00961EE9"/>
    <w:rsid w:val="009620B5"/>
    <w:rsid w:val="009623F8"/>
    <w:rsid w:val="00962490"/>
    <w:rsid w:val="00962540"/>
    <w:rsid w:val="009625AE"/>
    <w:rsid w:val="009625B3"/>
    <w:rsid w:val="00962698"/>
    <w:rsid w:val="009626F0"/>
    <w:rsid w:val="009626FA"/>
    <w:rsid w:val="00962802"/>
    <w:rsid w:val="00962902"/>
    <w:rsid w:val="00962909"/>
    <w:rsid w:val="00962ACE"/>
    <w:rsid w:val="00962AD4"/>
    <w:rsid w:val="00962B83"/>
    <w:rsid w:val="00962CDB"/>
    <w:rsid w:val="00962D63"/>
    <w:rsid w:val="00962DDC"/>
    <w:rsid w:val="009630A0"/>
    <w:rsid w:val="009630C1"/>
    <w:rsid w:val="009630E2"/>
    <w:rsid w:val="00963133"/>
    <w:rsid w:val="0096314A"/>
    <w:rsid w:val="009631E5"/>
    <w:rsid w:val="00963468"/>
    <w:rsid w:val="00963472"/>
    <w:rsid w:val="009634B6"/>
    <w:rsid w:val="00963527"/>
    <w:rsid w:val="009635C0"/>
    <w:rsid w:val="00963608"/>
    <w:rsid w:val="00963694"/>
    <w:rsid w:val="009636BC"/>
    <w:rsid w:val="009636F4"/>
    <w:rsid w:val="009637F8"/>
    <w:rsid w:val="0096382B"/>
    <w:rsid w:val="0096388F"/>
    <w:rsid w:val="009639A4"/>
    <w:rsid w:val="00963B8F"/>
    <w:rsid w:val="00963C0C"/>
    <w:rsid w:val="00963D11"/>
    <w:rsid w:val="00963D9C"/>
    <w:rsid w:val="00963DCB"/>
    <w:rsid w:val="00963DF7"/>
    <w:rsid w:val="00963EBB"/>
    <w:rsid w:val="00964098"/>
    <w:rsid w:val="00964233"/>
    <w:rsid w:val="009642D6"/>
    <w:rsid w:val="0096438D"/>
    <w:rsid w:val="009643D1"/>
    <w:rsid w:val="00964405"/>
    <w:rsid w:val="00964496"/>
    <w:rsid w:val="00964497"/>
    <w:rsid w:val="009644FD"/>
    <w:rsid w:val="00964521"/>
    <w:rsid w:val="00964554"/>
    <w:rsid w:val="0096464B"/>
    <w:rsid w:val="00964733"/>
    <w:rsid w:val="009647FF"/>
    <w:rsid w:val="00964978"/>
    <w:rsid w:val="009649A7"/>
    <w:rsid w:val="00964ABE"/>
    <w:rsid w:val="00964B80"/>
    <w:rsid w:val="00964B8C"/>
    <w:rsid w:val="00964B9F"/>
    <w:rsid w:val="00964BA2"/>
    <w:rsid w:val="00964D50"/>
    <w:rsid w:val="00964D87"/>
    <w:rsid w:val="00964EC4"/>
    <w:rsid w:val="00964F11"/>
    <w:rsid w:val="00964F61"/>
    <w:rsid w:val="00964FD6"/>
    <w:rsid w:val="009650D2"/>
    <w:rsid w:val="0096511D"/>
    <w:rsid w:val="0096524A"/>
    <w:rsid w:val="0096525F"/>
    <w:rsid w:val="009652EF"/>
    <w:rsid w:val="009654CB"/>
    <w:rsid w:val="009654E1"/>
    <w:rsid w:val="0096560E"/>
    <w:rsid w:val="00965637"/>
    <w:rsid w:val="00965799"/>
    <w:rsid w:val="009659E5"/>
    <w:rsid w:val="00965B8E"/>
    <w:rsid w:val="00965CAE"/>
    <w:rsid w:val="00965CEB"/>
    <w:rsid w:val="00965E39"/>
    <w:rsid w:val="00965FF4"/>
    <w:rsid w:val="0096608F"/>
    <w:rsid w:val="00966151"/>
    <w:rsid w:val="009661F6"/>
    <w:rsid w:val="009662BE"/>
    <w:rsid w:val="00966326"/>
    <w:rsid w:val="0096634A"/>
    <w:rsid w:val="00966486"/>
    <w:rsid w:val="0096662D"/>
    <w:rsid w:val="009666A4"/>
    <w:rsid w:val="0096672B"/>
    <w:rsid w:val="0096675A"/>
    <w:rsid w:val="0096691A"/>
    <w:rsid w:val="00966930"/>
    <w:rsid w:val="0096695E"/>
    <w:rsid w:val="009669BC"/>
    <w:rsid w:val="009669DC"/>
    <w:rsid w:val="009669EF"/>
    <w:rsid w:val="00966AA2"/>
    <w:rsid w:val="00966AAF"/>
    <w:rsid w:val="00966BC5"/>
    <w:rsid w:val="00966DD2"/>
    <w:rsid w:val="00966F12"/>
    <w:rsid w:val="00967138"/>
    <w:rsid w:val="00967205"/>
    <w:rsid w:val="009673CF"/>
    <w:rsid w:val="0096741D"/>
    <w:rsid w:val="00967498"/>
    <w:rsid w:val="009675A0"/>
    <w:rsid w:val="009675FA"/>
    <w:rsid w:val="00967692"/>
    <w:rsid w:val="0096775A"/>
    <w:rsid w:val="009677D1"/>
    <w:rsid w:val="009677D5"/>
    <w:rsid w:val="0096781D"/>
    <w:rsid w:val="0096794B"/>
    <w:rsid w:val="0096795A"/>
    <w:rsid w:val="009679E6"/>
    <w:rsid w:val="00967B4F"/>
    <w:rsid w:val="00967B96"/>
    <w:rsid w:val="00967C87"/>
    <w:rsid w:val="00967D67"/>
    <w:rsid w:val="00967E1B"/>
    <w:rsid w:val="00967E52"/>
    <w:rsid w:val="00967E5D"/>
    <w:rsid w:val="00967EB7"/>
    <w:rsid w:val="009700B5"/>
    <w:rsid w:val="00970105"/>
    <w:rsid w:val="0097022F"/>
    <w:rsid w:val="009702AD"/>
    <w:rsid w:val="00970480"/>
    <w:rsid w:val="009704F5"/>
    <w:rsid w:val="00970573"/>
    <w:rsid w:val="009705B3"/>
    <w:rsid w:val="00970632"/>
    <w:rsid w:val="00970772"/>
    <w:rsid w:val="009707E1"/>
    <w:rsid w:val="009707E2"/>
    <w:rsid w:val="00970859"/>
    <w:rsid w:val="0097090D"/>
    <w:rsid w:val="009709D5"/>
    <w:rsid w:val="00970A53"/>
    <w:rsid w:val="00970AF1"/>
    <w:rsid w:val="00970BB1"/>
    <w:rsid w:val="00970C83"/>
    <w:rsid w:val="00970D0D"/>
    <w:rsid w:val="00970D7C"/>
    <w:rsid w:val="00970E45"/>
    <w:rsid w:val="00970EE2"/>
    <w:rsid w:val="00970F47"/>
    <w:rsid w:val="009710D6"/>
    <w:rsid w:val="009711E9"/>
    <w:rsid w:val="0097122D"/>
    <w:rsid w:val="009712E7"/>
    <w:rsid w:val="00971352"/>
    <w:rsid w:val="00971353"/>
    <w:rsid w:val="00971422"/>
    <w:rsid w:val="00971548"/>
    <w:rsid w:val="0097166F"/>
    <w:rsid w:val="009716ED"/>
    <w:rsid w:val="00971745"/>
    <w:rsid w:val="0097188C"/>
    <w:rsid w:val="009719E4"/>
    <w:rsid w:val="009719FD"/>
    <w:rsid w:val="00971B89"/>
    <w:rsid w:val="00971C05"/>
    <w:rsid w:val="00971D53"/>
    <w:rsid w:val="00971DA7"/>
    <w:rsid w:val="00971E1E"/>
    <w:rsid w:val="00971E31"/>
    <w:rsid w:val="00971E84"/>
    <w:rsid w:val="00971ED4"/>
    <w:rsid w:val="00971EF1"/>
    <w:rsid w:val="00971F77"/>
    <w:rsid w:val="009720EA"/>
    <w:rsid w:val="009721A0"/>
    <w:rsid w:val="009723B2"/>
    <w:rsid w:val="009723CB"/>
    <w:rsid w:val="00972470"/>
    <w:rsid w:val="00972538"/>
    <w:rsid w:val="009725D5"/>
    <w:rsid w:val="00972647"/>
    <w:rsid w:val="00972820"/>
    <w:rsid w:val="00972922"/>
    <w:rsid w:val="0097295C"/>
    <w:rsid w:val="009729AC"/>
    <w:rsid w:val="009729BB"/>
    <w:rsid w:val="00972AC0"/>
    <w:rsid w:val="00972AF1"/>
    <w:rsid w:val="00972BB0"/>
    <w:rsid w:val="00972C8B"/>
    <w:rsid w:val="00972CDA"/>
    <w:rsid w:val="00972D7E"/>
    <w:rsid w:val="00972FF4"/>
    <w:rsid w:val="009730AD"/>
    <w:rsid w:val="0097313B"/>
    <w:rsid w:val="00973143"/>
    <w:rsid w:val="0097317C"/>
    <w:rsid w:val="00973182"/>
    <w:rsid w:val="009731F6"/>
    <w:rsid w:val="00973259"/>
    <w:rsid w:val="00973269"/>
    <w:rsid w:val="009732CC"/>
    <w:rsid w:val="00973310"/>
    <w:rsid w:val="00973395"/>
    <w:rsid w:val="00973447"/>
    <w:rsid w:val="009735AB"/>
    <w:rsid w:val="009735B6"/>
    <w:rsid w:val="009735CB"/>
    <w:rsid w:val="00973701"/>
    <w:rsid w:val="009738AC"/>
    <w:rsid w:val="00973924"/>
    <w:rsid w:val="009739EE"/>
    <w:rsid w:val="00973A32"/>
    <w:rsid w:val="00973A46"/>
    <w:rsid w:val="00973AE0"/>
    <w:rsid w:val="00973B3B"/>
    <w:rsid w:val="00973C70"/>
    <w:rsid w:val="00973DC3"/>
    <w:rsid w:val="00973F7A"/>
    <w:rsid w:val="0097408C"/>
    <w:rsid w:val="00974192"/>
    <w:rsid w:val="009741D7"/>
    <w:rsid w:val="009742F1"/>
    <w:rsid w:val="009743A6"/>
    <w:rsid w:val="009743BD"/>
    <w:rsid w:val="009744F2"/>
    <w:rsid w:val="00974743"/>
    <w:rsid w:val="0097475E"/>
    <w:rsid w:val="00974823"/>
    <w:rsid w:val="00974875"/>
    <w:rsid w:val="00974AF3"/>
    <w:rsid w:val="00974BB2"/>
    <w:rsid w:val="00974BE6"/>
    <w:rsid w:val="00974C04"/>
    <w:rsid w:val="00974C5D"/>
    <w:rsid w:val="00974CC3"/>
    <w:rsid w:val="00974FC9"/>
    <w:rsid w:val="009750EE"/>
    <w:rsid w:val="009750F6"/>
    <w:rsid w:val="00975176"/>
    <w:rsid w:val="0097539A"/>
    <w:rsid w:val="009754AE"/>
    <w:rsid w:val="009754B0"/>
    <w:rsid w:val="0097581B"/>
    <w:rsid w:val="00975826"/>
    <w:rsid w:val="00975906"/>
    <w:rsid w:val="009759A6"/>
    <w:rsid w:val="00975AA2"/>
    <w:rsid w:val="00975C97"/>
    <w:rsid w:val="00975D5D"/>
    <w:rsid w:val="00975F0F"/>
    <w:rsid w:val="00975FB4"/>
    <w:rsid w:val="0097606D"/>
    <w:rsid w:val="009760D0"/>
    <w:rsid w:val="0097610D"/>
    <w:rsid w:val="0097615C"/>
    <w:rsid w:val="0097628C"/>
    <w:rsid w:val="0097648D"/>
    <w:rsid w:val="009765DD"/>
    <w:rsid w:val="00976788"/>
    <w:rsid w:val="0097683D"/>
    <w:rsid w:val="0097695E"/>
    <w:rsid w:val="00976964"/>
    <w:rsid w:val="00976970"/>
    <w:rsid w:val="00976DD4"/>
    <w:rsid w:val="00976E11"/>
    <w:rsid w:val="00976F8F"/>
    <w:rsid w:val="00976F96"/>
    <w:rsid w:val="00977071"/>
    <w:rsid w:val="0097707C"/>
    <w:rsid w:val="0097715D"/>
    <w:rsid w:val="00977204"/>
    <w:rsid w:val="00977281"/>
    <w:rsid w:val="00977376"/>
    <w:rsid w:val="00977397"/>
    <w:rsid w:val="009774BE"/>
    <w:rsid w:val="009774DA"/>
    <w:rsid w:val="0097754A"/>
    <w:rsid w:val="00977638"/>
    <w:rsid w:val="0097763D"/>
    <w:rsid w:val="0097768A"/>
    <w:rsid w:val="00977786"/>
    <w:rsid w:val="00977885"/>
    <w:rsid w:val="009779DE"/>
    <w:rsid w:val="00977A20"/>
    <w:rsid w:val="00977A2E"/>
    <w:rsid w:val="00977A77"/>
    <w:rsid w:val="00977B34"/>
    <w:rsid w:val="00977BDA"/>
    <w:rsid w:val="00977BDF"/>
    <w:rsid w:val="00977BEF"/>
    <w:rsid w:val="00977CD5"/>
    <w:rsid w:val="00977D79"/>
    <w:rsid w:val="00977DF0"/>
    <w:rsid w:val="00977E00"/>
    <w:rsid w:val="00977F7E"/>
    <w:rsid w:val="00977F93"/>
    <w:rsid w:val="0098011C"/>
    <w:rsid w:val="009801D6"/>
    <w:rsid w:val="0098037A"/>
    <w:rsid w:val="00980426"/>
    <w:rsid w:val="00980470"/>
    <w:rsid w:val="00980648"/>
    <w:rsid w:val="009806B5"/>
    <w:rsid w:val="0098085F"/>
    <w:rsid w:val="009808AA"/>
    <w:rsid w:val="009808B8"/>
    <w:rsid w:val="009808CC"/>
    <w:rsid w:val="009808EE"/>
    <w:rsid w:val="0098092A"/>
    <w:rsid w:val="00980B3F"/>
    <w:rsid w:val="00980C27"/>
    <w:rsid w:val="009810B2"/>
    <w:rsid w:val="00981165"/>
    <w:rsid w:val="009811F0"/>
    <w:rsid w:val="00981339"/>
    <w:rsid w:val="00981429"/>
    <w:rsid w:val="009814FF"/>
    <w:rsid w:val="009815A9"/>
    <w:rsid w:val="009815F1"/>
    <w:rsid w:val="00981850"/>
    <w:rsid w:val="009818BF"/>
    <w:rsid w:val="0098193C"/>
    <w:rsid w:val="00981AC0"/>
    <w:rsid w:val="00981ACA"/>
    <w:rsid w:val="00981D85"/>
    <w:rsid w:val="00981FD2"/>
    <w:rsid w:val="009820D2"/>
    <w:rsid w:val="009822BA"/>
    <w:rsid w:val="00982364"/>
    <w:rsid w:val="0098247C"/>
    <w:rsid w:val="009824A4"/>
    <w:rsid w:val="00982590"/>
    <w:rsid w:val="00982686"/>
    <w:rsid w:val="0098284C"/>
    <w:rsid w:val="00982902"/>
    <w:rsid w:val="00982C17"/>
    <w:rsid w:val="00982C46"/>
    <w:rsid w:val="00982C87"/>
    <w:rsid w:val="00982C8F"/>
    <w:rsid w:val="00982CAF"/>
    <w:rsid w:val="00982DAA"/>
    <w:rsid w:val="00982F71"/>
    <w:rsid w:val="00982F9A"/>
    <w:rsid w:val="00982FA0"/>
    <w:rsid w:val="00982FF1"/>
    <w:rsid w:val="00983289"/>
    <w:rsid w:val="00983318"/>
    <w:rsid w:val="0098331A"/>
    <w:rsid w:val="0098342C"/>
    <w:rsid w:val="00983496"/>
    <w:rsid w:val="009834E0"/>
    <w:rsid w:val="00983521"/>
    <w:rsid w:val="009835F8"/>
    <w:rsid w:val="009838DC"/>
    <w:rsid w:val="0098395F"/>
    <w:rsid w:val="009839C1"/>
    <w:rsid w:val="00983A45"/>
    <w:rsid w:val="00983ADF"/>
    <w:rsid w:val="00983AE9"/>
    <w:rsid w:val="00983B89"/>
    <w:rsid w:val="00983BCB"/>
    <w:rsid w:val="00983CC5"/>
    <w:rsid w:val="00983D6D"/>
    <w:rsid w:val="00983D86"/>
    <w:rsid w:val="00983DF9"/>
    <w:rsid w:val="00983E74"/>
    <w:rsid w:val="00983E98"/>
    <w:rsid w:val="00983F22"/>
    <w:rsid w:val="00984015"/>
    <w:rsid w:val="0098403E"/>
    <w:rsid w:val="00984099"/>
    <w:rsid w:val="009840BA"/>
    <w:rsid w:val="009842DC"/>
    <w:rsid w:val="009844DD"/>
    <w:rsid w:val="00984506"/>
    <w:rsid w:val="009845F1"/>
    <w:rsid w:val="009845F3"/>
    <w:rsid w:val="0098463F"/>
    <w:rsid w:val="0098487A"/>
    <w:rsid w:val="00984960"/>
    <w:rsid w:val="00984975"/>
    <w:rsid w:val="00984A39"/>
    <w:rsid w:val="00984BAC"/>
    <w:rsid w:val="00984BF6"/>
    <w:rsid w:val="00984CC5"/>
    <w:rsid w:val="00984CF1"/>
    <w:rsid w:val="00984D1B"/>
    <w:rsid w:val="00984DC3"/>
    <w:rsid w:val="00984DDF"/>
    <w:rsid w:val="00984E1E"/>
    <w:rsid w:val="00984E47"/>
    <w:rsid w:val="00984E5E"/>
    <w:rsid w:val="00984FA6"/>
    <w:rsid w:val="00984FD0"/>
    <w:rsid w:val="00984FF1"/>
    <w:rsid w:val="00984FF5"/>
    <w:rsid w:val="00985151"/>
    <w:rsid w:val="00985273"/>
    <w:rsid w:val="0098528C"/>
    <w:rsid w:val="0098531B"/>
    <w:rsid w:val="00985494"/>
    <w:rsid w:val="009857FD"/>
    <w:rsid w:val="009858D7"/>
    <w:rsid w:val="009858E4"/>
    <w:rsid w:val="009859C2"/>
    <w:rsid w:val="009859E6"/>
    <w:rsid w:val="00985A26"/>
    <w:rsid w:val="00985AA2"/>
    <w:rsid w:val="00985B49"/>
    <w:rsid w:val="00985C11"/>
    <w:rsid w:val="00985C67"/>
    <w:rsid w:val="00985DC0"/>
    <w:rsid w:val="00985DDB"/>
    <w:rsid w:val="00985F16"/>
    <w:rsid w:val="00985FC0"/>
    <w:rsid w:val="00986140"/>
    <w:rsid w:val="00986150"/>
    <w:rsid w:val="00986183"/>
    <w:rsid w:val="009861AE"/>
    <w:rsid w:val="0098639E"/>
    <w:rsid w:val="009863E0"/>
    <w:rsid w:val="00986476"/>
    <w:rsid w:val="009865CE"/>
    <w:rsid w:val="00986693"/>
    <w:rsid w:val="009866D7"/>
    <w:rsid w:val="00986858"/>
    <w:rsid w:val="00986896"/>
    <w:rsid w:val="009868BA"/>
    <w:rsid w:val="009868E5"/>
    <w:rsid w:val="00986A05"/>
    <w:rsid w:val="00986A30"/>
    <w:rsid w:val="00986AEA"/>
    <w:rsid w:val="00986AFB"/>
    <w:rsid w:val="00986BCE"/>
    <w:rsid w:val="00986C57"/>
    <w:rsid w:val="00986CEE"/>
    <w:rsid w:val="00986E16"/>
    <w:rsid w:val="00986E94"/>
    <w:rsid w:val="00986EC3"/>
    <w:rsid w:val="00986F13"/>
    <w:rsid w:val="0098703E"/>
    <w:rsid w:val="009871B1"/>
    <w:rsid w:val="0098729E"/>
    <w:rsid w:val="009872EA"/>
    <w:rsid w:val="009872FB"/>
    <w:rsid w:val="00987385"/>
    <w:rsid w:val="00987497"/>
    <w:rsid w:val="0098755E"/>
    <w:rsid w:val="00987753"/>
    <w:rsid w:val="009877B8"/>
    <w:rsid w:val="009877FC"/>
    <w:rsid w:val="00987997"/>
    <w:rsid w:val="00987AD0"/>
    <w:rsid w:val="00987D73"/>
    <w:rsid w:val="00990172"/>
    <w:rsid w:val="0099033F"/>
    <w:rsid w:val="0099050F"/>
    <w:rsid w:val="00990663"/>
    <w:rsid w:val="00990669"/>
    <w:rsid w:val="009906C5"/>
    <w:rsid w:val="00990806"/>
    <w:rsid w:val="0099089C"/>
    <w:rsid w:val="00990A14"/>
    <w:rsid w:val="00990C76"/>
    <w:rsid w:val="00990CFB"/>
    <w:rsid w:val="00990F6C"/>
    <w:rsid w:val="009910E9"/>
    <w:rsid w:val="009910F5"/>
    <w:rsid w:val="0099114E"/>
    <w:rsid w:val="0099117B"/>
    <w:rsid w:val="009911F6"/>
    <w:rsid w:val="00991213"/>
    <w:rsid w:val="009912AA"/>
    <w:rsid w:val="00991350"/>
    <w:rsid w:val="009913FA"/>
    <w:rsid w:val="0099144B"/>
    <w:rsid w:val="00991472"/>
    <w:rsid w:val="00991476"/>
    <w:rsid w:val="009915BB"/>
    <w:rsid w:val="00991646"/>
    <w:rsid w:val="009916BC"/>
    <w:rsid w:val="009916F9"/>
    <w:rsid w:val="009917FF"/>
    <w:rsid w:val="009918D7"/>
    <w:rsid w:val="009918FB"/>
    <w:rsid w:val="00991A5A"/>
    <w:rsid w:val="00991A7B"/>
    <w:rsid w:val="00991A81"/>
    <w:rsid w:val="00991A89"/>
    <w:rsid w:val="00991ADA"/>
    <w:rsid w:val="00991AFC"/>
    <w:rsid w:val="00991BCB"/>
    <w:rsid w:val="00991CC2"/>
    <w:rsid w:val="00991E04"/>
    <w:rsid w:val="00991E64"/>
    <w:rsid w:val="0099205D"/>
    <w:rsid w:val="00992065"/>
    <w:rsid w:val="0099210A"/>
    <w:rsid w:val="00992116"/>
    <w:rsid w:val="00992426"/>
    <w:rsid w:val="009924F8"/>
    <w:rsid w:val="009925CC"/>
    <w:rsid w:val="009925E4"/>
    <w:rsid w:val="009926E5"/>
    <w:rsid w:val="00992766"/>
    <w:rsid w:val="0099298E"/>
    <w:rsid w:val="00992A59"/>
    <w:rsid w:val="00992A94"/>
    <w:rsid w:val="00992A9A"/>
    <w:rsid w:val="00992ACE"/>
    <w:rsid w:val="00992AD0"/>
    <w:rsid w:val="00992B87"/>
    <w:rsid w:val="00992C61"/>
    <w:rsid w:val="00992CB7"/>
    <w:rsid w:val="00992F14"/>
    <w:rsid w:val="00992F7C"/>
    <w:rsid w:val="0099300E"/>
    <w:rsid w:val="00993030"/>
    <w:rsid w:val="0099303B"/>
    <w:rsid w:val="00993094"/>
    <w:rsid w:val="009930E8"/>
    <w:rsid w:val="0099317A"/>
    <w:rsid w:val="0099320E"/>
    <w:rsid w:val="009932CD"/>
    <w:rsid w:val="0099349D"/>
    <w:rsid w:val="009934CB"/>
    <w:rsid w:val="0099351F"/>
    <w:rsid w:val="009935AC"/>
    <w:rsid w:val="00993621"/>
    <w:rsid w:val="0099364A"/>
    <w:rsid w:val="00993779"/>
    <w:rsid w:val="00993865"/>
    <w:rsid w:val="00993960"/>
    <w:rsid w:val="00993B88"/>
    <w:rsid w:val="00993BB9"/>
    <w:rsid w:val="00993D36"/>
    <w:rsid w:val="00993FC1"/>
    <w:rsid w:val="0099417B"/>
    <w:rsid w:val="0099417E"/>
    <w:rsid w:val="00994309"/>
    <w:rsid w:val="00994443"/>
    <w:rsid w:val="009944E6"/>
    <w:rsid w:val="0099452E"/>
    <w:rsid w:val="00994579"/>
    <w:rsid w:val="009945D6"/>
    <w:rsid w:val="0099463D"/>
    <w:rsid w:val="0099466E"/>
    <w:rsid w:val="0099474C"/>
    <w:rsid w:val="009947C1"/>
    <w:rsid w:val="00994885"/>
    <w:rsid w:val="009948A1"/>
    <w:rsid w:val="009948BE"/>
    <w:rsid w:val="0099492B"/>
    <w:rsid w:val="00994991"/>
    <w:rsid w:val="00994B57"/>
    <w:rsid w:val="00994B97"/>
    <w:rsid w:val="00994BF5"/>
    <w:rsid w:val="00994C81"/>
    <w:rsid w:val="00994EAE"/>
    <w:rsid w:val="00994EE5"/>
    <w:rsid w:val="00994EFC"/>
    <w:rsid w:val="00994FCF"/>
    <w:rsid w:val="009951A3"/>
    <w:rsid w:val="00995261"/>
    <w:rsid w:val="009952ED"/>
    <w:rsid w:val="00995316"/>
    <w:rsid w:val="00995326"/>
    <w:rsid w:val="00995341"/>
    <w:rsid w:val="0099534E"/>
    <w:rsid w:val="009953E2"/>
    <w:rsid w:val="009953F3"/>
    <w:rsid w:val="0099559F"/>
    <w:rsid w:val="009955AC"/>
    <w:rsid w:val="0099568B"/>
    <w:rsid w:val="009956A7"/>
    <w:rsid w:val="00995756"/>
    <w:rsid w:val="009957FC"/>
    <w:rsid w:val="0099594B"/>
    <w:rsid w:val="00995B23"/>
    <w:rsid w:val="00995B45"/>
    <w:rsid w:val="00995B48"/>
    <w:rsid w:val="00995B64"/>
    <w:rsid w:val="00995B8A"/>
    <w:rsid w:val="00995BA1"/>
    <w:rsid w:val="00995C21"/>
    <w:rsid w:val="00995C70"/>
    <w:rsid w:val="00995CB8"/>
    <w:rsid w:val="00995CEC"/>
    <w:rsid w:val="00995D51"/>
    <w:rsid w:val="00995E0A"/>
    <w:rsid w:val="00995EC3"/>
    <w:rsid w:val="00995F3A"/>
    <w:rsid w:val="00995F62"/>
    <w:rsid w:val="00995FF8"/>
    <w:rsid w:val="00996130"/>
    <w:rsid w:val="00996168"/>
    <w:rsid w:val="00996200"/>
    <w:rsid w:val="0099623A"/>
    <w:rsid w:val="009962FF"/>
    <w:rsid w:val="00996380"/>
    <w:rsid w:val="00996443"/>
    <w:rsid w:val="00996493"/>
    <w:rsid w:val="00996501"/>
    <w:rsid w:val="0099660F"/>
    <w:rsid w:val="0099662F"/>
    <w:rsid w:val="0099671C"/>
    <w:rsid w:val="009967FB"/>
    <w:rsid w:val="00996A7C"/>
    <w:rsid w:val="00996C00"/>
    <w:rsid w:val="00996C39"/>
    <w:rsid w:val="00996C46"/>
    <w:rsid w:val="00996C65"/>
    <w:rsid w:val="00996CD1"/>
    <w:rsid w:val="00996D79"/>
    <w:rsid w:val="00996DB4"/>
    <w:rsid w:val="00996EA1"/>
    <w:rsid w:val="00996EF1"/>
    <w:rsid w:val="00996F6C"/>
    <w:rsid w:val="00996FD5"/>
    <w:rsid w:val="0099713F"/>
    <w:rsid w:val="0099714A"/>
    <w:rsid w:val="00997186"/>
    <w:rsid w:val="009971E7"/>
    <w:rsid w:val="00997282"/>
    <w:rsid w:val="0099728F"/>
    <w:rsid w:val="009972AB"/>
    <w:rsid w:val="009972DE"/>
    <w:rsid w:val="00997367"/>
    <w:rsid w:val="00997381"/>
    <w:rsid w:val="0099738E"/>
    <w:rsid w:val="00997407"/>
    <w:rsid w:val="00997494"/>
    <w:rsid w:val="009977A9"/>
    <w:rsid w:val="00997A7A"/>
    <w:rsid w:val="00997D94"/>
    <w:rsid w:val="00997F77"/>
    <w:rsid w:val="00997FAA"/>
    <w:rsid w:val="00997FD9"/>
    <w:rsid w:val="009A0034"/>
    <w:rsid w:val="009A01F8"/>
    <w:rsid w:val="009A0215"/>
    <w:rsid w:val="009A0298"/>
    <w:rsid w:val="009A0497"/>
    <w:rsid w:val="009A049E"/>
    <w:rsid w:val="009A04A6"/>
    <w:rsid w:val="009A0695"/>
    <w:rsid w:val="009A081B"/>
    <w:rsid w:val="009A0825"/>
    <w:rsid w:val="009A0939"/>
    <w:rsid w:val="009A0B25"/>
    <w:rsid w:val="009A0BBD"/>
    <w:rsid w:val="009A0BE2"/>
    <w:rsid w:val="009A0BEC"/>
    <w:rsid w:val="009A0C81"/>
    <w:rsid w:val="009A0D00"/>
    <w:rsid w:val="009A0D0E"/>
    <w:rsid w:val="009A0D65"/>
    <w:rsid w:val="009A0F31"/>
    <w:rsid w:val="009A0F8D"/>
    <w:rsid w:val="009A1020"/>
    <w:rsid w:val="009A10FF"/>
    <w:rsid w:val="009A110F"/>
    <w:rsid w:val="009A11A8"/>
    <w:rsid w:val="009A11D8"/>
    <w:rsid w:val="009A1225"/>
    <w:rsid w:val="009A13EF"/>
    <w:rsid w:val="009A1512"/>
    <w:rsid w:val="009A15AE"/>
    <w:rsid w:val="009A15F1"/>
    <w:rsid w:val="009A1602"/>
    <w:rsid w:val="009A178D"/>
    <w:rsid w:val="009A18D5"/>
    <w:rsid w:val="009A19B1"/>
    <w:rsid w:val="009A1A2E"/>
    <w:rsid w:val="009A1ABA"/>
    <w:rsid w:val="009A1AF8"/>
    <w:rsid w:val="009A1B64"/>
    <w:rsid w:val="009A1B82"/>
    <w:rsid w:val="009A1C5C"/>
    <w:rsid w:val="009A1E37"/>
    <w:rsid w:val="009A210A"/>
    <w:rsid w:val="009A2147"/>
    <w:rsid w:val="009A220C"/>
    <w:rsid w:val="009A22B2"/>
    <w:rsid w:val="009A2389"/>
    <w:rsid w:val="009A2421"/>
    <w:rsid w:val="009A25A9"/>
    <w:rsid w:val="009A266D"/>
    <w:rsid w:val="009A2729"/>
    <w:rsid w:val="009A28B5"/>
    <w:rsid w:val="009A291E"/>
    <w:rsid w:val="009A293C"/>
    <w:rsid w:val="009A2AB4"/>
    <w:rsid w:val="009A2CA6"/>
    <w:rsid w:val="009A2DF8"/>
    <w:rsid w:val="009A2E07"/>
    <w:rsid w:val="009A2E6E"/>
    <w:rsid w:val="009A2EE5"/>
    <w:rsid w:val="009A2F34"/>
    <w:rsid w:val="009A3026"/>
    <w:rsid w:val="009A310E"/>
    <w:rsid w:val="009A31ED"/>
    <w:rsid w:val="009A3320"/>
    <w:rsid w:val="009A3381"/>
    <w:rsid w:val="009A34E0"/>
    <w:rsid w:val="009A34EC"/>
    <w:rsid w:val="009A3504"/>
    <w:rsid w:val="009A3505"/>
    <w:rsid w:val="009A3516"/>
    <w:rsid w:val="009A352E"/>
    <w:rsid w:val="009A3554"/>
    <w:rsid w:val="009A355B"/>
    <w:rsid w:val="009A3596"/>
    <w:rsid w:val="009A35CE"/>
    <w:rsid w:val="009A364C"/>
    <w:rsid w:val="009A36FC"/>
    <w:rsid w:val="009A37EB"/>
    <w:rsid w:val="009A3813"/>
    <w:rsid w:val="009A3B32"/>
    <w:rsid w:val="009A3B4F"/>
    <w:rsid w:val="009A3CC3"/>
    <w:rsid w:val="009A3DF2"/>
    <w:rsid w:val="009A3F53"/>
    <w:rsid w:val="009A3FD0"/>
    <w:rsid w:val="009A4036"/>
    <w:rsid w:val="009A404F"/>
    <w:rsid w:val="009A40A5"/>
    <w:rsid w:val="009A4133"/>
    <w:rsid w:val="009A428C"/>
    <w:rsid w:val="009A45C2"/>
    <w:rsid w:val="009A45E5"/>
    <w:rsid w:val="009A460B"/>
    <w:rsid w:val="009A46E3"/>
    <w:rsid w:val="009A471E"/>
    <w:rsid w:val="009A485B"/>
    <w:rsid w:val="009A499E"/>
    <w:rsid w:val="009A49BA"/>
    <w:rsid w:val="009A49CC"/>
    <w:rsid w:val="009A4A5E"/>
    <w:rsid w:val="009A4AC2"/>
    <w:rsid w:val="009A4B9C"/>
    <w:rsid w:val="009A4BDA"/>
    <w:rsid w:val="009A4CDC"/>
    <w:rsid w:val="009A4F4D"/>
    <w:rsid w:val="009A4F8D"/>
    <w:rsid w:val="009A5131"/>
    <w:rsid w:val="009A517A"/>
    <w:rsid w:val="009A518C"/>
    <w:rsid w:val="009A53D2"/>
    <w:rsid w:val="009A54C4"/>
    <w:rsid w:val="009A550E"/>
    <w:rsid w:val="009A5552"/>
    <w:rsid w:val="009A55A9"/>
    <w:rsid w:val="009A5641"/>
    <w:rsid w:val="009A567D"/>
    <w:rsid w:val="009A591F"/>
    <w:rsid w:val="009A59C4"/>
    <w:rsid w:val="009A59D3"/>
    <w:rsid w:val="009A59EA"/>
    <w:rsid w:val="009A5B58"/>
    <w:rsid w:val="009A5CF7"/>
    <w:rsid w:val="009A5D00"/>
    <w:rsid w:val="009A5D16"/>
    <w:rsid w:val="009A5D82"/>
    <w:rsid w:val="009A5F9E"/>
    <w:rsid w:val="009A5FE7"/>
    <w:rsid w:val="009A60CA"/>
    <w:rsid w:val="009A6174"/>
    <w:rsid w:val="009A627C"/>
    <w:rsid w:val="009A62A9"/>
    <w:rsid w:val="009A631F"/>
    <w:rsid w:val="009A6354"/>
    <w:rsid w:val="009A636A"/>
    <w:rsid w:val="009A63B4"/>
    <w:rsid w:val="009A66CE"/>
    <w:rsid w:val="009A66FB"/>
    <w:rsid w:val="009A6749"/>
    <w:rsid w:val="009A6A42"/>
    <w:rsid w:val="009A6A6A"/>
    <w:rsid w:val="009A6A88"/>
    <w:rsid w:val="009A6AB5"/>
    <w:rsid w:val="009A6C6C"/>
    <w:rsid w:val="009A6E05"/>
    <w:rsid w:val="009A6E51"/>
    <w:rsid w:val="009A6EE3"/>
    <w:rsid w:val="009A722F"/>
    <w:rsid w:val="009A726C"/>
    <w:rsid w:val="009A73F2"/>
    <w:rsid w:val="009A73F3"/>
    <w:rsid w:val="009A74E6"/>
    <w:rsid w:val="009A7583"/>
    <w:rsid w:val="009A766F"/>
    <w:rsid w:val="009A769F"/>
    <w:rsid w:val="009A76C6"/>
    <w:rsid w:val="009A78F1"/>
    <w:rsid w:val="009A794F"/>
    <w:rsid w:val="009A79ED"/>
    <w:rsid w:val="009A7A45"/>
    <w:rsid w:val="009A7B6C"/>
    <w:rsid w:val="009A7C33"/>
    <w:rsid w:val="009A7D72"/>
    <w:rsid w:val="009A7E12"/>
    <w:rsid w:val="009A7E15"/>
    <w:rsid w:val="009A7EDC"/>
    <w:rsid w:val="009B0004"/>
    <w:rsid w:val="009B002F"/>
    <w:rsid w:val="009B0032"/>
    <w:rsid w:val="009B00D0"/>
    <w:rsid w:val="009B0108"/>
    <w:rsid w:val="009B0195"/>
    <w:rsid w:val="009B0215"/>
    <w:rsid w:val="009B027A"/>
    <w:rsid w:val="009B0298"/>
    <w:rsid w:val="009B02BB"/>
    <w:rsid w:val="009B038F"/>
    <w:rsid w:val="009B03C2"/>
    <w:rsid w:val="009B05A0"/>
    <w:rsid w:val="009B05A6"/>
    <w:rsid w:val="009B062F"/>
    <w:rsid w:val="009B07CE"/>
    <w:rsid w:val="009B07FE"/>
    <w:rsid w:val="009B086C"/>
    <w:rsid w:val="009B08BF"/>
    <w:rsid w:val="009B09DC"/>
    <w:rsid w:val="009B0A41"/>
    <w:rsid w:val="009B0C8D"/>
    <w:rsid w:val="009B0E1A"/>
    <w:rsid w:val="009B0EC9"/>
    <w:rsid w:val="009B1056"/>
    <w:rsid w:val="009B1085"/>
    <w:rsid w:val="009B111B"/>
    <w:rsid w:val="009B111E"/>
    <w:rsid w:val="009B1131"/>
    <w:rsid w:val="009B11BD"/>
    <w:rsid w:val="009B11FC"/>
    <w:rsid w:val="009B1279"/>
    <w:rsid w:val="009B13B2"/>
    <w:rsid w:val="009B13C6"/>
    <w:rsid w:val="009B15CA"/>
    <w:rsid w:val="009B16D4"/>
    <w:rsid w:val="009B18EC"/>
    <w:rsid w:val="009B1941"/>
    <w:rsid w:val="009B1969"/>
    <w:rsid w:val="009B1AA5"/>
    <w:rsid w:val="009B1ADC"/>
    <w:rsid w:val="009B1BD4"/>
    <w:rsid w:val="009B1C11"/>
    <w:rsid w:val="009B1CD2"/>
    <w:rsid w:val="009B1E46"/>
    <w:rsid w:val="009B1F09"/>
    <w:rsid w:val="009B1FAD"/>
    <w:rsid w:val="009B203C"/>
    <w:rsid w:val="009B2248"/>
    <w:rsid w:val="009B22FF"/>
    <w:rsid w:val="009B234A"/>
    <w:rsid w:val="009B23B5"/>
    <w:rsid w:val="009B2468"/>
    <w:rsid w:val="009B2517"/>
    <w:rsid w:val="009B25CE"/>
    <w:rsid w:val="009B25D5"/>
    <w:rsid w:val="009B263D"/>
    <w:rsid w:val="009B2669"/>
    <w:rsid w:val="009B28A9"/>
    <w:rsid w:val="009B299C"/>
    <w:rsid w:val="009B2A24"/>
    <w:rsid w:val="009B2A9E"/>
    <w:rsid w:val="009B2F00"/>
    <w:rsid w:val="009B30C3"/>
    <w:rsid w:val="009B32A5"/>
    <w:rsid w:val="009B32B7"/>
    <w:rsid w:val="009B3355"/>
    <w:rsid w:val="009B335F"/>
    <w:rsid w:val="009B36D0"/>
    <w:rsid w:val="009B36EF"/>
    <w:rsid w:val="009B36F4"/>
    <w:rsid w:val="009B384E"/>
    <w:rsid w:val="009B38B8"/>
    <w:rsid w:val="009B38E6"/>
    <w:rsid w:val="009B3967"/>
    <w:rsid w:val="009B3B33"/>
    <w:rsid w:val="009B3B5B"/>
    <w:rsid w:val="009B3B60"/>
    <w:rsid w:val="009B3C8C"/>
    <w:rsid w:val="009B3CBD"/>
    <w:rsid w:val="009B3F15"/>
    <w:rsid w:val="009B3FBB"/>
    <w:rsid w:val="009B40E2"/>
    <w:rsid w:val="009B4166"/>
    <w:rsid w:val="009B4173"/>
    <w:rsid w:val="009B425A"/>
    <w:rsid w:val="009B439B"/>
    <w:rsid w:val="009B43E0"/>
    <w:rsid w:val="009B43E4"/>
    <w:rsid w:val="009B454C"/>
    <w:rsid w:val="009B4560"/>
    <w:rsid w:val="009B45F6"/>
    <w:rsid w:val="009B4617"/>
    <w:rsid w:val="009B46D2"/>
    <w:rsid w:val="009B4705"/>
    <w:rsid w:val="009B4723"/>
    <w:rsid w:val="009B4768"/>
    <w:rsid w:val="009B4779"/>
    <w:rsid w:val="009B4905"/>
    <w:rsid w:val="009B4970"/>
    <w:rsid w:val="009B498F"/>
    <w:rsid w:val="009B49E2"/>
    <w:rsid w:val="009B49F4"/>
    <w:rsid w:val="009B4AA7"/>
    <w:rsid w:val="009B4AD7"/>
    <w:rsid w:val="009B4ADE"/>
    <w:rsid w:val="009B4B2F"/>
    <w:rsid w:val="009B4B66"/>
    <w:rsid w:val="009B4BA2"/>
    <w:rsid w:val="009B4BC1"/>
    <w:rsid w:val="009B4CCA"/>
    <w:rsid w:val="009B4D1D"/>
    <w:rsid w:val="009B4DBC"/>
    <w:rsid w:val="009B4DCE"/>
    <w:rsid w:val="009B4E85"/>
    <w:rsid w:val="009B4EE8"/>
    <w:rsid w:val="009B4FD4"/>
    <w:rsid w:val="009B5184"/>
    <w:rsid w:val="009B5257"/>
    <w:rsid w:val="009B52E4"/>
    <w:rsid w:val="009B54AC"/>
    <w:rsid w:val="009B5583"/>
    <w:rsid w:val="009B55F9"/>
    <w:rsid w:val="009B565D"/>
    <w:rsid w:val="009B566E"/>
    <w:rsid w:val="009B56AC"/>
    <w:rsid w:val="009B56E6"/>
    <w:rsid w:val="009B5804"/>
    <w:rsid w:val="009B58A5"/>
    <w:rsid w:val="009B5902"/>
    <w:rsid w:val="009B5966"/>
    <w:rsid w:val="009B59D3"/>
    <w:rsid w:val="009B5A92"/>
    <w:rsid w:val="009B5A95"/>
    <w:rsid w:val="009B5CE5"/>
    <w:rsid w:val="009B5D40"/>
    <w:rsid w:val="009B5D62"/>
    <w:rsid w:val="009B5F0D"/>
    <w:rsid w:val="009B6086"/>
    <w:rsid w:val="009B6091"/>
    <w:rsid w:val="009B6287"/>
    <w:rsid w:val="009B629E"/>
    <w:rsid w:val="009B6318"/>
    <w:rsid w:val="009B63C7"/>
    <w:rsid w:val="009B64A8"/>
    <w:rsid w:val="009B654E"/>
    <w:rsid w:val="009B6676"/>
    <w:rsid w:val="009B6678"/>
    <w:rsid w:val="009B66DB"/>
    <w:rsid w:val="009B69B8"/>
    <w:rsid w:val="009B69F5"/>
    <w:rsid w:val="009B6A53"/>
    <w:rsid w:val="009B6A83"/>
    <w:rsid w:val="009B6C12"/>
    <w:rsid w:val="009B6C1E"/>
    <w:rsid w:val="009B6CBE"/>
    <w:rsid w:val="009B6E01"/>
    <w:rsid w:val="009B6E2A"/>
    <w:rsid w:val="009B6E3E"/>
    <w:rsid w:val="009B6E89"/>
    <w:rsid w:val="009B6F9F"/>
    <w:rsid w:val="009B7037"/>
    <w:rsid w:val="009B70CB"/>
    <w:rsid w:val="009B720C"/>
    <w:rsid w:val="009B722E"/>
    <w:rsid w:val="009B725C"/>
    <w:rsid w:val="009B7345"/>
    <w:rsid w:val="009B7351"/>
    <w:rsid w:val="009B7438"/>
    <w:rsid w:val="009B7554"/>
    <w:rsid w:val="009B758F"/>
    <w:rsid w:val="009B769C"/>
    <w:rsid w:val="009B779A"/>
    <w:rsid w:val="009B77A7"/>
    <w:rsid w:val="009B7819"/>
    <w:rsid w:val="009B79E9"/>
    <w:rsid w:val="009B7A0E"/>
    <w:rsid w:val="009B7A4B"/>
    <w:rsid w:val="009B7A8F"/>
    <w:rsid w:val="009B7A92"/>
    <w:rsid w:val="009B7BAA"/>
    <w:rsid w:val="009B7C08"/>
    <w:rsid w:val="009B7C82"/>
    <w:rsid w:val="009B7CD2"/>
    <w:rsid w:val="009B7D7A"/>
    <w:rsid w:val="009B7E12"/>
    <w:rsid w:val="009B7E9E"/>
    <w:rsid w:val="009B7EE5"/>
    <w:rsid w:val="009C0116"/>
    <w:rsid w:val="009C0155"/>
    <w:rsid w:val="009C015C"/>
    <w:rsid w:val="009C0167"/>
    <w:rsid w:val="009C0347"/>
    <w:rsid w:val="009C0492"/>
    <w:rsid w:val="009C04D9"/>
    <w:rsid w:val="009C05B9"/>
    <w:rsid w:val="009C05DA"/>
    <w:rsid w:val="009C0691"/>
    <w:rsid w:val="009C071A"/>
    <w:rsid w:val="009C07FE"/>
    <w:rsid w:val="009C084F"/>
    <w:rsid w:val="009C0893"/>
    <w:rsid w:val="009C097C"/>
    <w:rsid w:val="009C0A14"/>
    <w:rsid w:val="009C0A54"/>
    <w:rsid w:val="009C0BAF"/>
    <w:rsid w:val="009C0C20"/>
    <w:rsid w:val="009C0C8E"/>
    <w:rsid w:val="009C0CC9"/>
    <w:rsid w:val="009C0D89"/>
    <w:rsid w:val="009C0E5E"/>
    <w:rsid w:val="009C0EE4"/>
    <w:rsid w:val="009C11B4"/>
    <w:rsid w:val="009C11FC"/>
    <w:rsid w:val="009C1275"/>
    <w:rsid w:val="009C12B9"/>
    <w:rsid w:val="009C1311"/>
    <w:rsid w:val="009C133A"/>
    <w:rsid w:val="009C141A"/>
    <w:rsid w:val="009C1442"/>
    <w:rsid w:val="009C152E"/>
    <w:rsid w:val="009C15AE"/>
    <w:rsid w:val="009C16A2"/>
    <w:rsid w:val="009C18FE"/>
    <w:rsid w:val="009C19BA"/>
    <w:rsid w:val="009C1A20"/>
    <w:rsid w:val="009C1A79"/>
    <w:rsid w:val="009C1B2D"/>
    <w:rsid w:val="009C1BC8"/>
    <w:rsid w:val="009C1D3C"/>
    <w:rsid w:val="009C1D43"/>
    <w:rsid w:val="009C1EBA"/>
    <w:rsid w:val="009C2012"/>
    <w:rsid w:val="009C2021"/>
    <w:rsid w:val="009C202E"/>
    <w:rsid w:val="009C219C"/>
    <w:rsid w:val="009C225D"/>
    <w:rsid w:val="009C22DA"/>
    <w:rsid w:val="009C2386"/>
    <w:rsid w:val="009C23E6"/>
    <w:rsid w:val="009C25DB"/>
    <w:rsid w:val="009C269D"/>
    <w:rsid w:val="009C26BD"/>
    <w:rsid w:val="009C2858"/>
    <w:rsid w:val="009C2C02"/>
    <w:rsid w:val="009C2E40"/>
    <w:rsid w:val="009C2E9C"/>
    <w:rsid w:val="009C2EB8"/>
    <w:rsid w:val="009C2EBE"/>
    <w:rsid w:val="009C2F2F"/>
    <w:rsid w:val="009C3445"/>
    <w:rsid w:val="009C34BB"/>
    <w:rsid w:val="009C34CE"/>
    <w:rsid w:val="009C3552"/>
    <w:rsid w:val="009C35F9"/>
    <w:rsid w:val="009C367B"/>
    <w:rsid w:val="009C396C"/>
    <w:rsid w:val="009C3A2D"/>
    <w:rsid w:val="009C3BBD"/>
    <w:rsid w:val="009C3C3C"/>
    <w:rsid w:val="009C3CA2"/>
    <w:rsid w:val="009C3CC0"/>
    <w:rsid w:val="009C3D71"/>
    <w:rsid w:val="009C3DD3"/>
    <w:rsid w:val="009C3EFD"/>
    <w:rsid w:val="009C3F01"/>
    <w:rsid w:val="009C3F2D"/>
    <w:rsid w:val="009C3FB5"/>
    <w:rsid w:val="009C3FC3"/>
    <w:rsid w:val="009C3FDD"/>
    <w:rsid w:val="009C409B"/>
    <w:rsid w:val="009C411D"/>
    <w:rsid w:val="009C42B0"/>
    <w:rsid w:val="009C42E7"/>
    <w:rsid w:val="009C432E"/>
    <w:rsid w:val="009C4346"/>
    <w:rsid w:val="009C441D"/>
    <w:rsid w:val="009C4576"/>
    <w:rsid w:val="009C4606"/>
    <w:rsid w:val="009C4914"/>
    <w:rsid w:val="009C49EE"/>
    <w:rsid w:val="009C4A5A"/>
    <w:rsid w:val="009C4B41"/>
    <w:rsid w:val="009C4BB9"/>
    <w:rsid w:val="009C4C90"/>
    <w:rsid w:val="009C4D0D"/>
    <w:rsid w:val="009C503D"/>
    <w:rsid w:val="009C5052"/>
    <w:rsid w:val="009C50F6"/>
    <w:rsid w:val="009C5101"/>
    <w:rsid w:val="009C5269"/>
    <w:rsid w:val="009C52E4"/>
    <w:rsid w:val="009C52EE"/>
    <w:rsid w:val="009C53BC"/>
    <w:rsid w:val="009C53E4"/>
    <w:rsid w:val="009C5457"/>
    <w:rsid w:val="009C5489"/>
    <w:rsid w:val="009C5899"/>
    <w:rsid w:val="009C5934"/>
    <w:rsid w:val="009C5AF4"/>
    <w:rsid w:val="009C5B0F"/>
    <w:rsid w:val="009C5B36"/>
    <w:rsid w:val="009C5D30"/>
    <w:rsid w:val="009C5D3D"/>
    <w:rsid w:val="009C5D93"/>
    <w:rsid w:val="009C5DD1"/>
    <w:rsid w:val="009C5E2F"/>
    <w:rsid w:val="009C5ED8"/>
    <w:rsid w:val="009C5F48"/>
    <w:rsid w:val="009C60FF"/>
    <w:rsid w:val="009C6129"/>
    <w:rsid w:val="009C613B"/>
    <w:rsid w:val="009C6189"/>
    <w:rsid w:val="009C6387"/>
    <w:rsid w:val="009C63C1"/>
    <w:rsid w:val="009C63DF"/>
    <w:rsid w:val="009C64A6"/>
    <w:rsid w:val="009C65FA"/>
    <w:rsid w:val="009C660A"/>
    <w:rsid w:val="009C662C"/>
    <w:rsid w:val="009C6652"/>
    <w:rsid w:val="009C66A2"/>
    <w:rsid w:val="009C66A5"/>
    <w:rsid w:val="009C66BB"/>
    <w:rsid w:val="009C67FE"/>
    <w:rsid w:val="009C6979"/>
    <w:rsid w:val="009C6982"/>
    <w:rsid w:val="009C6983"/>
    <w:rsid w:val="009C6989"/>
    <w:rsid w:val="009C6A3D"/>
    <w:rsid w:val="009C6A87"/>
    <w:rsid w:val="009C6AD6"/>
    <w:rsid w:val="009C6B2A"/>
    <w:rsid w:val="009C6B5F"/>
    <w:rsid w:val="009C6D86"/>
    <w:rsid w:val="009C6E6B"/>
    <w:rsid w:val="009C6EB0"/>
    <w:rsid w:val="009C7055"/>
    <w:rsid w:val="009C709C"/>
    <w:rsid w:val="009C70B8"/>
    <w:rsid w:val="009C7131"/>
    <w:rsid w:val="009C7158"/>
    <w:rsid w:val="009C71D9"/>
    <w:rsid w:val="009C725E"/>
    <w:rsid w:val="009C726B"/>
    <w:rsid w:val="009C72D3"/>
    <w:rsid w:val="009C72E2"/>
    <w:rsid w:val="009C74BA"/>
    <w:rsid w:val="009C74DE"/>
    <w:rsid w:val="009C7503"/>
    <w:rsid w:val="009C7578"/>
    <w:rsid w:val="009C758B"/>
    <w:rsid w:val="009C76B6"/>
    <w:rsid w:val="009C7747"/>
    <w:rsid w:val="009C77F3"/>
    <w:rsid w:val="009C78CA"/>
    <w:rsid w:val="009C7AF2"/>
    <w:rsid w:val="009C7B29"/>
    <w:rsid w:val="009C7B5B"/>
    <w:rsid w:val="009C7B91"/>
    <w:rsid w:val="009C7BB3"/>
    <w:rsid w:val="009D004D"/>
    <w:rsid w:val="009D006D"/>
    <w:rsid w:val="009D012F"/>
    <w:rsid w:val="009D0246"/>
    <w:rsid w:val="009D02A6"/>
    <w:rsid w:val="009D03A5"/>
    <w:rsid w:val="009D0413"/>
    <w:rsid w:val="009D0498"/>
    <w:rsid w:val="009D0559"/>
    <w:rsid w:val="009D0637"/>
    <w:rsid w:val="009D0705"/>
    <w:rsid w:val="009D070E"/>
    <w:rsid w:val="009D078D"/>
    <w:rsid w:val="009D07D9"/>
    <w:rsid w:val="009D0854"/>
    <w:rsid w:val="009D087D"/>
    <w:rsid w:val="009D092C"/>
    <w:rsid w:val="009D093D"/>
    <w:rsid w:val="009D094B"/>
    <w:rsid w:val="009D0A26"/>
    <w:rsid w:val="009D0B5A"/>
    <w:rsid w:val="009D0CE4"/>
    <w:rsid w:val="009D0D22"/>
    <w:rsid w:val="009D1015"/>
    <w:rsid w:val="009D1176"/>
    <w:rsid w:val="009D11F7"/>
    <w:rsid w:val="009D132B"/>
    <w:rsid w:val="009D14D6"/>
    <w:rsid w:val="009D1777"/>
    <w:rsid w:val="009D1793"/>
    <w:rsid w:val="009D17FD"/>
    <w:rsid w:val="009D18BE"/>
    <w:rsid w:val="009D18C5"/>
    <w:rsid w:val="009D1A5B"/>
    <w:rsid w:val="009D1AA8"/>
    <w:rsid w:val="009D1ABC"/>
    <w:rsid w:val="009D1BBE"/>
    <w:rsid w:val="009D1BCE"/>
    <w:rsid w:val="009D1C5E"/>
    <w:rsid w:val="009D1F27"/>
    <w:rsid w:val="009D1FD1"/>
    <w:rsid w:val="009D20D0"/>
    <w:rsid w:val="009D216F"/>
    <w:rsid w:val="009D217C"/>
    <w:rsid w:val="009D2191"/>
    <w:rsid w:val="009D21F7"/>
    <w:rsid w:val="009D23C0"/>
    <w:rsid w:val="009D23E5"/>
    <w:rsid w:val="009D2646"/>
    <w:rsid w:val="009D2674"/>
    <w:rsid w:val="009D2749"/>
    <w:rsid w:val="009D27A5"/>
    <w:rsid w:val="009D28A1"/>
    <w:rsid w:val="009D28A9"/>
    <w:rsid w:val="009D28DA"/>
    <w:rsid w:val="009D2A35"/>
    <w:rsid w:val="009D2A47"/>
    <w:rsid w:val="009D2A6D"/>
    <w:rsid w:val="009D2A95"/>
    <w:rsid w:val="009D2ADF"/>
    <w:rsid w:val="009D2AF3"/>
    <w:rsid w:val="009D2C25"/>
    <w:rsid w:val="009D2C26"/>
    <w:rsid w:val="009D2C42"/>
    <w:rsid w:val="009D2C5F"/>
    <w:rsid w:val="009D2EF1"/>
    <w:rsid w:val="009D2FB6"/>
    <w:rsid w:val="009D2FC4"/>
    <w:rsid w:val="009D2FD6"/>
    <w:rsid w:val="009D3002"/>
    <w:rsid w:val="009D3011"/>
    <w:rsid w:val="009D30F7"/>
    <w:rsid w:val="009D315A"/>
    <w:rsid w:val="009D32E6"/>
    <w:rsid w:val="009D331F"/>
    <w:rsid w:val="009D34C3"/>
    <w:rsid w:val="009D3543"/>
    <w:rsid w:val="009D3656"/>
    <w:rsid w:val="009D369B"/>
    <w:rsid w:val="009D36B3"/>
    <w:rsid w:val="009D3705"/>
    <w:rsid w:val="009D3837"/>
    <w:rsid w:val="009D3A49"/>
    <w:rsid w:val="009D3CB4"/>
    <w:rsid w:val="009D3DC8"/>
    <w:rsid w:val="009D3F42"/>
    <w:rsid w:val="009D3F5D"/>
    <w:rsid w:val="009D4020"/>
    <w:rsid w:val="009D405A"/>
    <w:rsid w:val="009D4069"/>
    <w:rsid w:val="009D40BF"/>
    <w:rsid w:val="009D40ED"/>
    <w:rsid w:val="009D40F5"/>
    <w:rsid w:val="009D40FB"/>
    <w:rsid w:val="009D4138"/>
    <w:rsid w:val="009D42F0"/>
    <w:rsid w:val="009D441C"/>
    <w:rsid w:val="009D4499"/>
    <w:rsid w:val="009D44EB"/>
    <w:rsid w:val="009D471C"/>
    <w:rsid w:val="009D4758"/>
    <w:rsid w:val="009D495C"/>
    <w:rsid w:val="009D49AE"/>
    <w:rsid w:val="009D49C4"/>
    <w:rsid w:val="009D4A40"/>
    <w:rsid w:val="009D4A5C"/>
    <w:rsid w:val="009D4C7F"/>
    <w:rsid w:val="009D4C88"/>
    <w:rsid w:val="009D4D16"/>
    <w:rsid w:val="009D4D58"/>
    <w:rsid w:val="009D4F70"/>
    <w:rsid w:val="009D4FB1"/>
    <w:rsid w:val="009D4FEB"/>
    <w:rsid w:val="009D5037"/>
    <w:rsid w:val="009D5055"/>
    <w:rsid w:val="009D50D1"/>
    <w:rsid w:val="009D518D"/>
    <w:rsid w:val="009D52A6"/>
    <w:rsid w:val="009D5392"/>
    <w:rsid w:val="009D549F"/>
    <w:rsid w:val="009D54E5"/>
    <w:rsid w:val="009D55FA"/>
    <w:rsid w:val="009D5628"/>
    <w:rsid w:val="009D5660"/>
    <w:rsid w:val="009D5692"/>
    <w:rsid w:val="009D5828"/>
    <w:rsid w:val="009D5867"/>
    <w:rsid w:val="009D58DF"/>
    <w:rsid w:val="009D5914"/>
    <w:rsid w:val="009D5A05"/>
    <w:rsid w:val="009D5A0F"/>
    <w:rsid w:val="009D5A40"/>
    <w:rsid w:val="009D5BD2"/>
    <w:rsid w:val="009D5E5E"/>
    <w:rsid w:val="009D5E6F"/>
    <w:rsid w:val="009D5EA2"/>
    <w:rsid w:val="009D5EAE"/>
    <w:rsid w:val="009D5F4C"/>
    <w:rsid w:val="009D5F8D"/>
    <w:rsid w:val="009D5FB5"/>
    <w:rsid w:val="009D5FB8"/>
    <w:rsid w:val="009D61C8"/>
    <w:rsid w:val="009D6213"/>
    <w:rsid w:val="009D6281"/>
    <w:rsid w:val="009D62E2"/>
    <w:rsid w:val="009D6343"/>
    <w:rsid w:val="009D647E"/>
    <w:rsid w:val="009D6638"/>
    <w:rsid w:val="009D671A"/>
    <w:rsid w:val="009D674C"/>
    <w:rsid w:val="009D6880"/>
    <w:rsid w:val="009D6936"/>
    <w:rsid w:val="009D6948"/>
    <w:rsid w:val="009D6997"/>
    <w:rsid w:val="009D69B8"/>
    <w:rsid w:val="009D69EF"/>
    <w:rsid w:val="009D6B6B"/>
    <w:rsid w:val="009D6C03"/>
    <w:rsid w:val="009D6CB9"/>
    <w:rsid w:val="009D6DD6"/>
    <w:rsid w:val="009D6F98"/>
    <w:rsid w:val="009D7056"/>
    <w:rsid w:val="009D706B"/>
    <w:rsid w:val="009D71B5"/>
    <w:rsid w:val="009D724D"/>
    <w:rsid w:val="009D7304"/>
    <w:rsid w:val="009D7370"/>
    <w:rsid w:val="009D754F"/>
    <w:rsid w:val="009D7560"/>
    <w:rsid w:val="009D75E7"/>
    <w:rsid w:val="009D762C"/>
    <w:rsid w:val="009D7665"/>
    <w:rsid w:val="009D7785"/>
    <w:rsid w:val="009D77B9"/>
    <w:rsid w:val="009D7862"/>
    <w:rsid w:val="009D78EA"/>
    <w:rsid w:val="009D79C9"/>
    <w:rsid w:val="009D79D5"/>
    <w:rsid w:val="009D7B4A"/>
    <w:rsid w:val="009D7BA3"/>
    <w:rsid w:val="009D7BF4"/>
    <w:rsid w:val="009D7C12"/>
    <w:rsid w:val="009D7C2D"/>
    <w:rsid w:val="009D7DF7"/>
    <w:rsid w:val="009D7E09"/>
    <w:rsid w:val="009D7E88"/>
    <w:rsid w:val="009D7EF9"/>
    <w:rsid w:val="009D7FB3"/>
    <w:rsid w:val="009E0043"/>
    <w:rsid w:val="009E0184"/>
    <w:rsid w:val="009E01C5"/>
    <w:rsid w:val="009E01E7"/>
    <w:rsid w:val="009E022C"/>
    <w:rsid w:val="009E023C"/>
    <w:rsid w:val="009E0256"/>
    <w:rsid w:val="009E02BA"/>
    <w:rsid w:val="009E033D"/>
    <w:rsid w:val="009E0345"/>
    <w:rsid w:val="009E03EC"/>
    <w:rsid w:val="009E0456"/>
    <w:rsid w:val="009E04F1"/>
    <w:rsid w:val="009E056B"/>
    <w:rsid w:val="009E05F8"/>
    <w:rsid w:val="009E065F"/>
    <w:rsid w:val="009E080E"/>
    <w:rsid w:val="009E08E8"/>
    <w:rsid w:val="009E08EC"/>
    <w:rsid w:val="009E095E"/>
    <w:rsid w:val="009E09F2"/>
    <w:rsid w:val="009E0AF1"/>
    <w:rsid w:val="009E0B1C"/>
    <w:rsid w:val="009E0F24"/>
    <w:rsid w:val="009E0F40"/>
    <w:rsid w:val="009E0FB9"/>
    <w:rsid w:val="009E0FFF"/>
    <w:rsid w:val="009E10D8"/>
    <w:rsid w:val="009E115B"/>
    <w:rsid w:val="009E1207"/>
    <w:rsid w:val="009E1219"/>
    <w:rsid w:val="009E12D4"/>
    <w:rsid w:val="009E12FC"/>
    <w:rsid w:val="009E1391"/>
    <w:rsid w:val="009E14A2"/>
    <w:rsid w:val="009E152B"/>
    <w:rsid w:val="009E15A0"/>
    <w:rsid w:val="009E1642"/>
    <w:rsid w:val="009E1657"/>
    <w:rsid w:val="009E16C1"/>
    <w:rsid w:val="009E1739"/>
    <w:rsid w:val="009E1790"/>
    <w:rsid w:val="009E17E9"/>
    <w:rsid w:val="009E18A0"/>
    <w:rsid w:val="009E18F8"/>
    <w:rsid w:val="009E1902"/>
    <w:rsid w:val="009E1AAB"/>
    <w:rsid w:val="009E1C8E"/>
    <w:rsid w:val="009E1D07"/>
    <w:rsid w:val="009E1DBB"/>
    <w:rsid w:val="009E1DFB"/>
    <w:rsid w:val="009E1E35"/>
    <w:rsid w:val="009E1E51"/>
    <w:rsid w:val="009E1F00"/>
    <w:rsid w:val="009E1F1B"/>
    <w:rsid w:val="009E1F23"/>
    <w:rsid w:val="009E2033"/>
    <w:rsid w:val="009E2082"/>
    <w:rsid w:val="009E2115"/>
    <w:rsid w:val="009E2193"/>
    <w:rsid w:val="009E2213"/>
    <w:rsid w:val="009E2240"/>
    <w:rsid w:val="009E2272"/>
    <w:rsid w:val="009E2287"/>
    <w:rsid w:val="009E22B1"/>
    <w:rsid w:val="009E2367"/>
    <w:rsid w:val="009E239D"/>
    <w:rsid w:val="009E23A2"/>
    <w:rsid w:val="009E24DC"/>
    <w:rsid w:val="009E25AD"/>
    <w:rsid w:val="009E25DD"/>
    <w:rsid w:val="009E2621"/>
    <w:rsid w:val="009E2887"/>
    <w:rsid w:val="009E2938"/>
    <w:rsid w:val="009E298B"/>
    <w:rsid w:val="009E29DC"/>
    <w:rsid w:val="009E29FB"/>
    <w:rsid w:val="009E2BC9"/>
    <w:rsid w:val="009E2C03"/>
    <w:rsid w:val="009E2C15"/>
    <w:rsid w:val="009E2C1F"/>
    <w:rsid w:val="009E2C41"/>
    <w:rsid w:val="009E2D90"/>
    <w:rsid w:val="009E2E48"/>
    <w:rsid w:val="009E2F63"/>
    <w:rsid w:val="009E2FCE"/>
    <w:rsid w:val="009E309D"/>
    <w:rsid w:val="009E30BA"/>
    <w:rsid w:val="009E3483"/>
    <w:rsid w:val="009E34F7"/>
    <w:rsid w:val="009E34FD"/>
    <w:rsid w:val="009E3538"/>
    <w:rsid w:val="009E3591"/>
    <w:rsid w:val="009E372F"/>
    <w:rsid w:val="009E37FC"/>
    <w:rsid w:val="009E3920"/>
    <w:rsid w:val="009E3947"/>
    <w:rsid w:val="009E39C3"/>
    <w:rsid w:val="009E3C13"/>
    <w:rsid w:val="009E3C52"/>
    <w:rsid w:val="009E3CED"/>
    <w:rsid w:val="009E3E67"/>
    <w:rsid w:val="009E3F2B"/>
    <w:rsid w:val="009E41AA"/>
    <w:rsid w:val="009E4255"/>
    <w:rsid w:val="009E4286"/>
    <w:rsid w:val="009E431C"/>
    <w:rsid w:val="009E436D"/>
    <w:rsid w:val="009E4386"/>
    <w:rsid w:val="009E45FC"/>
    <w:rsid w:val="009E4692"/>
    <w:rsid w:val="009E4706"/>
    <w:rsid w:val="009E4716"/>
    <w:rsid w:val="009E4807"/>
    <w:rsid w:val="009E48D8"/>
    <w:rsid w:val="009E499B"/>
    <w:rsid w:val="009E4A77"/>
    <w:rsid w:val="009E4BEC"/>
    <w:rsid w:val="009E4BEF"/>
    <w:rsid w:val="009E4C0D"/>
    <w:rsid w:val="009E4C54"/>
    <w:rsid w:val="009E4C55"/>
    <w:rsid w:val="009E4CAD"/>
    <w:rsid w:val="009E4CFB"/>
    <w:rsid w:val="009E4E73"/>
    <w:rsid w:val="009E4EA3"/>
    <w:rsid w:val="009E4FDF"/>
    <w:rsid w:val="009E4FE0"/>
    <w:rsid w:val="009E5209"/>
    <w:rsid w:val="009E5290"/>
    <w:rsid w:val="009E5299"/>
    <w:rsid w:val="009E556F"/>
    <w:rsid w:val="009E55DC"/>
    <w:rsid w:val="009E5684"/>
    <w:rsid w:val="009E5741"/>
    <w:rsid w:val="009E58B9"/>
    <w:rsid w:val="009E58F0"/>
    <w:rsid w:val="009E5972"/>
    <w:rsid w:val="009E5AB8"/>
    <w:rsid w:val="009E5AB9"/>
    <w:rsid w:val="009E5D3B"/>
    <w:rsid w:val="009E5DC9"/>
    <w:rsid w:val="009E5DE0"/>
    <w:rsid w:val="009E5DF2"/>
    <w:rsid w:val="009E5E92"/>
    <w:rsid w:val="009E5EAA"/>
    <w:rsid w:val="009E5FB2"/>
    <w:rsid w:val="009E6016"/>
    <w:rsid w:val="009E60A0"/>
    <w:rsid w:val="009E61E3"/>
    <w:rsid w:val="009E627B"/>
    <w:rsid w:val="009E6409"/>
    <w:rsid w:val="009E64E0"/>
    <w:rsid w:val="009E6526"/>
    <w:rsid w:val="009E669D"/>
    <w:rsid w:val="009E6714"/>
    <w:rsid w:val="009E67B5"/>
    <w:rsid w:val="009E681E"/>
    <w:rsid w:val="009E6878"/>
    <w:rsid w:val="009E688F"/>
    <w:rsid w:val="009E68D2"/>
    <w:rsid w:val="009E699F"/>
    <w:rsid w:val="009E6A43"/>
    <w:rsid w:val="009E6B95"/>
    <w:rsid w:val="009E6BAD"/>
    <w:rsid w:val="009E6C09"/>
    <w:rsid w:val="009E7068"/>
    <w:rsid w:val="009E71C0"/>
    <w:rsid w:val="009E7286"/>
    <w:rsid w:val="009E72E6"/>
    <w:rsid w:val="009E742A"/>
    <w:rsid w:val="009E7568"/>
    <w:rsid w:val="009E7581"/>
    <w:rsid w:val="009E763F"/>
    <w:rsid w:val="009E7665"/>
    <w:rsid w:val="009E7881"/>
    <w:rsid w:val="009E78CB"/>
    <w:rsid w:val="009E79CF"/>
    <w:rsid w:val="009E79E1"/>
    <w:rsid w:val="009E79F8"/>
    <w:rsid w:val="009E7A3B"/>
    <w:rsid w:val="009E7A86"/>
    <w:rsid w:val="009E7AE4"/>
    <w:rsid w:val="009E7B0C"/>
    <w:rsid w:val="009E7C26"/>
    <w:rsid w:val="009E7CBF"/>
    <w:rsid w:val="009E7CEF"/>
    <w:rsid w:val="009E7DC0"/>
    <w:rsid w:val="009E7E2C"/>
    <w:rsid w:val="009E7E37"/>
    <w:rsid w:val="009E7ED6"/>
    <w:rsid w:val="009E7F31"/>
    <w:rsid w:val="009E7F9E"/>
    <w:rsid w:val="009F00DC"/>
    <w:rsid w:val="009F0196"/>
    <w:rsid w:val="009F0227"/>
    <w:rsid w:val="009F0583"/>
    <w:rsid w:val="009F0587"/>
    <w:rsid w:val="009F0596"/>
    <w:rsid w:val="009F05C4"/>
    <w:rsid w:val="009F05D4"/>
    <w:rsid w:val="009F05E1"/>
    <w:rsid w:val="009F0658"/>
    <w:rsid w:val="009F075D"/>
    <w:rsid w:val="009F08A2"/>
    <w:rsid w:val="009F08C7"/>
    <w:rsid w:val="009F09C7"/>
    <w:rsid w:val="009F0AF1"/>
    <w:rsid w:val="009F0B14"/>
    <w:rsid w:val="009F0C45"/>
    <w:rsid w:val="009F0D87"/>
    <w:rsid w:val="009F0F7B"/>
    <w:rsid w:val="009F0F87"/>
    <w:rsid w:val="009F0FAD"/>
    <w:rsid w:val="009F1025"/>
    <w:rsid w:val="009F107A"/>
    <w:rsid w:val="009F10C9"/>
    <w:rsid w:val="009F1169"/>
    <w:rsid w:val="009F11D0"/>
    <w:rsid w:val="009F11EC"/>
    <w:rsid w:val="009F13B6"/>
    <w:rsid w:val="009F13C9"/>
    <w:rsid w:val="009F1430"/>
    <w:rsid w:val="009F14F7"/>
    <w:rsid w:val="009F153C"/>
    <w:rsid w:val="009F169E"/>
    <w:rsid w:val="009F17B6"/>
    <w:rsid w:val="009F188D"/>
    <w:rsid w:val="009F197A"/>
    <w:rsid w:val="009F1AF2"/>
    <w:rsid w:val="009F1BB4"/>
    <w:rsid w:val="009F1CB2"/>
    <w:rsid w:val="009F1CE7"/>
    <w:rsid w:val="009F1D1E"/>
    <w:rsid w:val="009F1FFF"/>
    <w:rsid w:val="009F2002"/>
    <w:rsid w:val="009F24DB"/>
    <w:rsid w:val="009F2600"/>
    <w:rsid w:val="009F263E"/>
    <w:rsid w:val="009F27E2"/>
    <w:rsid w:val="009F27F5"/>
    <w:rsid w:val="009F2988"/>
    <w:rsid w:val="009F2B30"/>
    <w:rsid w:val="009F2B88"/>
    <w:rsid w:val="009F2C35"/>
    <w:rsid w:val="009F2C79"/>
    <w:rsid w:val="009F2CE6"/>
    <w:rsid w:val="009F2F5D"/>
    <w:rsid w:val="009F3008"/>
    <w:rsid w:val="009F31DC"/>
    <w:rsid w:val="009F325E"/>
    <w:rsid w:val="009F327D"/>
    <w:rsid w:val="009F33B2"/>
    <w:rsid w:val="009F341B"/>
    <w:rsid w:val="009F34B3"/>
    <w:rsid w:val="009F3593"/>
    <w:rsid w:val="009F35DB"/>
    <w:rsid w:val="009F363A"/>
    <w:rsid w:val="009F3652"/>
    <w:rsid w:val="009F369B"/>
    <w:rsid w:val="009F36B8"/>
    <w:rsid w:val="009F3888"/>
    <w:rsid w:val="009F3895"/>
    <w:rsid w:val="009F38C9"/>
    <w:rsid w:val="009F3B8D"/>
    <w:rsid w:val="009F3C8B"/>
    <w:rsid w:val="009F3E59"/>
    <w:rsid w:val="009F3EB6"/>
    <w:rsid w:val="009F40BC"/>
    <w:rsid w:val="009F41B6"/>
    <w:rsid w:val="009F4207"/>
    <w:rsid w:val="009F4510"/>
    <w:rsid w:val="009F4578"/>
    <w:rsid w:val="009F484A"/>
    <w:rsid w:val="009F4BFC"/>
    <w:rsid w:val="009F4C8F"/>
    <w:rsid w:val="009F4CEA"/>
    <w:rsid w:val="009F4D0F"/>
    <w:rsid w:val="009F4D7A"/>
    <w:rsid w:val="009F4DBA"/>
    <w:rsid w:val="009F4E04"/>
    <w:rsid w:val="009F4E67"/>
    <w:rsid w:val="009F4F69"/>
    <w:rsid w:val="009F50D4"/>
    <w:rsid w:val="009F5179"/>
    <w:rsid w:val="009F52CD"/>
    <w:rsid w:val="009F545D"/>
    <w:rsid w:val="009F5460"/>
    <w:rsid w:val="009F54D2"/>
    <w:rsid w:val="009F56F8"/>
    <w:rsid w:val="009F5820"/>
    <w:rsid w:val="009F5830"/>
    <w:rsid w:val="009F59CE"/>
    <w:rsid w:val="009F5B81"/>
    <w:rsid w:val="009F5C44"/>
    <w:rsid w:val="009F5D2D"/>
    <w:rsid w:val="009F5DD5"/>
    <w:rsid w:val="009F5E00"/>
    <w:rsid w:val="009F5E02"/>
    <w:rsid w:val="009F5E78"/>
    <w:rsid w:val="009F5F19"/>
    <w:rsid w:val="009F5FF3"/>
    <w:rsid w:val="009F606D"/>
    <w:rsid w:val="009F6076"/>
    <w:rsid w:val="009F611D"/>
    <w:rsid w:val="009F613C"/>
    <w:rsid w:val="009F63B6"/>
    <w:rsid w:val="009F655D"/>
    <w:rsid w:val="009F661F"/>
    <w:rsid w:val="009F6685"/>
    <w:rsid w:val="009F668A"/>
    <w:rsid w:val="009F66C1"/>
    <w:rsid w:val="009F6770"/>
    <w:rsid w:val="009F678D"/>
    <w:rsid w:val="009F67D0"/>
    <w:rsid w:val="009F680D"/>
    <w:rsid w:val="009F6865"/>
    <w:rsid w:val="009F68A4"/>
    <w:rsid w:val="009F68F3"/>
    <w:rsid w:val="009F6934"/>
    <w:rsid w:val="009F6938"/>
    <w:rsid w:val="009F69C6"/>
    <w:rsid w:val="009F69DC"/>
    <w:rsid w:val="009F6B81"/>
    <w:rsid w:val="009F6BC5"/>
    <w:rsid w:val="009F6E6B"/>
    <w:rsid w:val="009F6FD8"/>
    <w:rsid w:val="009F7024"/>
    <w:rsid w:val="009F707A"/>
    <w:rsid w:val="009F7081"/>
    <w:rsid w:val="009F70C5"/>
    <w:rsid w:val="009F712E"/>
    <w:rsid w:val="009F7131"/>
    <w:rsid w:val="009F719A"/>
    <w:rsid w:val="009F7261"/>
    <w:rsid w:val="009F751A"/>
    <w:rsid w:val="009F757F"/>
    <w:rsid w:val="009F75F1"/>
    <w:rsid w:val="009F76B2"/>
    <w:rsid w:val="009F76D1"/>
    <w:rsid w:val="009F7757"/>
    <w:rsid w:val="009F7789"/>
    <w:rsid w:val="009F77CB"/>
    <w:rsid w:val="009F7815"/>
    <w:rsid w:val="009F786F"/>
    <w:rsid w:val="009F7A64"/>
    <w:rsid w:val="009F7B83"/>
    <w:rsid w:val="009F7C5A"/>
    <w:rsid w:val="009F7CBD"/>
    <w:rsid w:val="009F7DE8"/>
    <w:rsid w:val="009F7E6A"/>
    <w:rsid w:val="009F7F7D"/>
    <w:rsid w:val="00A00076"/>
    <w:rsid w:val="00A0014A"/>
    <w:rsid w:val="00A0018E"/>
    <w:rsid w:val="00A001DA"/>
    <w:rsid w:val="00A003F6"/>
    <w:rsid w:val="00A0042E"/>
    <w:rsid w:val="00A0047C"/>
    <w:rsid w:val="00A00576"/>
    <w:rsid w:val="00A0065A"/>
    <w:rsid w:val="00A00662"/>
    <w:rsid w:val="00A006AD"/>
    <w:rsid w:val="00A007C7"/>
    <w:rsid w:val="00A0080B"/>
    <w:rsid w:val="00A008B5"/>
    <w:rsid w:val="00A00910"/>
    <w:rsid w:val="00A00985"/>
    <w:rsid w:val="00A009D4"/>
    <w:rsid w:val="00A009F2"/>
    <w:rsid w:val="00A00B03"/>
    <w:rsid w:val="00A00C4E"/>
    <w:rsid w:val="00A00C65"/>
    <w:rsid w:val="00A00DAC"/>
    <w:rsid w:val="00A00ED1"/>
    <w:rsid w:val="00A00FCB"/>
    <w:rsid w:val="00A010BD"/>
    <w:rsid w:val="00A01178"/>
    <w:rsid w:val="00A011E3"/>
    <w:rsid w:val="00A013DE"/>
    <w:rsid w:val="00A01413"/>
    <w:rsid w:val="00A01463"/>
    <w:rsid w:val="00A015B5"/>
    <w:rsid w:val="00A015D2"/>
    <w:rsid w:val="00A0160E"/>
    <w:rsid w:val="00A016EE"/>
    <w:rsid w:val="00A01711"/>
    <w:rsid w:val="00A017E1"/>
    <w:rsid w:val="00A018CF"/>
    <w:rsid w:val="00A01993"/>
    <w:rsid w:val="00A01A6D"/>
    <w:rsid w:val="00A01B11"/>
    <w:rsid w:val="00A01B55"/>
    <w:rsid w:val="00A01CA0"/>
    <w:rsid w:val="00A01DCA"/>
    <w:rsid w:val="00A02062"/>
    <w:rsid w:val="00A022B5"/>
    <w:rsid w:val="00A02311"/>
    <w:rsid w:val="00A02467"/>
    <w:rsid w:val="00A024E9"/>
    <w:rsid w:val="00A0251B"/>
    <w:rsid w:val="00A02624"/>
    <w:rsid w:val="00A02647"/>
    <w:rsid w:val="00A02771"/>
    <w:rsid w:val="00A02772"/>
    <w:rsid w:val="00A0279C"/>
    <w:rsid w:val="00A028A2"/>
    <w:rsid w:val="00A0291B"/>
    <w:rsid w:val="00A02943"/>
    <w:rsid w:val="00A029FC"/>
    <w:rsid w:val="00A02A32"/>
    <w:rsid w:val="00A02A8C"/>
    <w:rsid w:val="00A02AFE"/>
    <w:rsid w:val="00A02C8F"/>
    <w:rsid w:val="00A02CDD"/>
    <w:rsid w:val="00A02D4E"/>
    <w:rsid w:val="00A02E03"/>
    <w:rsid w:val="00A02E58"/>
    <w:rsid w:val="00A02F9A"/>
    <w:rsid w:val="00A03086"/>
    <w:rsid w:val="00A030BD"/>
    <w:rsid w:val="00A030E6"/>
    <w:rsid w:val="00A0313F"/>
    <w:rsid w:val="00A0315D"/>
    <w:rsid w:val="00A0326B"/>
    <w:rsid w:val="00A03381"/>
    <w:rsid w:val="00A0363C"/>
    <w:rsid w:val="00A0371B"/>
    <w:rsid w:val="00A03805"/>
    <w:rsid w:val="00A03854"/>
    <w:rsid w:val="00A03916"/>
    <w:rsid w:val="00A0397C"/>
    <w:rsid w:val="00A03C49"/>
    <w:rsid w:val="00A03CCC"/>
    <w:rsid w:val="00A03D3F"/>
    <w:rsid w:val="00A03D8C"/>
    <w:rsid w:val="00A03D91"/>
    <w:rsid w:val="00A03EBC"/>
    <w:rsid w:val="00A03F63"/>
    <w:rsid w:val="00A04064"/>
    <w:rsid w:val="00A0407B"/>
    <w:rsid w:val="00A04091"/>
    <w:rsid w:val="00A0411B"/>
    <w:rsid w:val="00A042C0"/>
    <w:rsid w:val="00A0435F"/>
    <w:rsid w:val="00A043F4"/>
    <w:rsid w:val="00A043F7"/>
    <w:rsid w:val="00A045A2"/>
    <w:rsid w:val="00A04713"/>
    <w:rsid w:val="00A047A3"/>
    <w:rsid w:val="00A04871"/>
    <w:rsid w:val="00A0496E"/>
    <w:rsid w:val="00A049F4"/>
    <w:rsid w:val="00A04AD9"/>
    <w:rsid w:val="00A04B01"/>
    <w:rsid w:val="00A04BAE"/>
    <w:rsid w:val="00A04E0D"/>
    <w:rsid w:val="00A04EE6"/>
    <w:rsid w:val="00A04F6D"/>
    <w:rsid w:val="00A051D4"/>
    <w:rsid w:val="00A0524B"/>
    <w:rsid w:val="00A052D1"/>
    <w:rsid w:val="00A052D2"/>
    <w:rsid w:val="00A052DA"/>
    <w:rsid w:val="00A056ED"/>
    <w:rsid w:val="00A056EE"/>
    <w:rsid w:val="00A05745"/>
    <w:rsid w:val="00A05747"/>
    <w:rsid w:val="00A05793"/>
    <w:rsid w:val="00A0586F"/>
    <w:rsid w:val="00A058A3"/>
    <w:rsid w:val="00A0592A"/>
    <w:rsid w:val="00A059DB"/>
    <w:rsid w:val="00A05B03"/>
    <w:rsid w:val="00A05B05"/>
    <w:rsid w:val="00A05B11"/>
    <w:rsid w:val="00A05BE7"/>
    <w:rsid w:val="00A05D03"/>
    <w:rsid w:val="00A05D0A"/>
    <w:rsid w:val="00A05D7D"/>
    <w:rsid w:val="00A05DA8"/>
    <w:rsid w:val="00A05E78"/>
    <w:rsid w:val="00A05E83"/>
    <w:rsid w:val="00A05F0F"/>
    <w:rsid w:val="00A05FFE"/>
    <w:rsid w:val="00A06181"/>
    <w:rsid w:val="00A06219"/>
    <w:rsid w:val="00A062AA"/>
    <w:rsid w:val="00A0637F"/>
    <w:rsid w:val="00A064A3"/>
    <w:rsid w:val="00A0651E"/>
    <w:rsid w:val="00A0656B"/>
    <w:rsid w:val="00A06599"/>
    <w:rsid w:val="00A06640"/>
    <w:rsid w:val="00A06874"/>
    <w:rsid w:val="00A0688B"/>
    <w:rsid w:val="00A06963"/>
    <w:rsid w:val="00A06986"/>
    <w:rsid w:val="00A069C2"/>
    <w:rsid w:val="00A069D7"/>
    <w:rsid w:val="00A06BD6"/>
    <w:rsid w:val="00A06D2E"/>
    <w:rsid w:val="00A06D62"/>
    <w:rsid w:val="00A06DA8"/>
    <w:rsid w:val="00A06E45"/>
    <w:rsid w:val="00A06F14"/>
    <w:rsid w:val="00A06F88"/>
    <w:rsid w:val="00A06F8C"/>
    <w:rsid w:val="00A06F9D"/>
    <w:rsid w:val="00A06FF3"/>
    <w:rsid w:val="00A07079"/>
    <w:rsid w:val="00A0708F"/>
    <w:rsid w:val="00A0714F"/>
    <w:rsid w:val="00A071E9"/>
    <w:rsid w:val="00A073F3"/>
    <w:rsid w:val="00A075D1"/>
    <w:rsid w:val="00A075FD"/>
    <w:rsid w:val="00A07625"/>
    <w:rsid w:val="00A076CA"/>
    <w:rsid w:val="00A07783"/>
    <w:rsid w:val="00A0778C"/>
    <w:rsid w:val="00A07AD9"/>
    <w:rsid w:val="00A07C7D"/>
    <w:rsid w:val="00A07DF9"/>
    <w:rsid w:val="00A07E23"/>
    <w:rsid w:val="00A07E25"/>
    <w:rsid w:val="00A07E64"/>
    <w:rsid w:val="00A07EC8"/>
    <w:rsid w:val="00A10057"/>
    <w:rsid w:val="00A100AA"/>
    <w:rsid w:val="00A100AC"/>
    <w:rsid w:val="00A10103"/>
    <w:rsid w:val="00A1020C"/>
    <w:rsid w:val="00A10273"/>
    <w:rsid w:val="00A10275"/>
    <w:rsid w:val="00A10583"/>
    <w:rsid w:val="00A10673"/>
    <w:rsid w:val="00A10687"/>
    <w:rsid w:val="00A10715"/>
    <w:rsid w:val="00A107EE"/>
    <w:rsid w:val="00A109C3"/>
    <w:rsid w:val="00A10A59"/>
    <w:rsid w:val="00A10A69"/>
    <w:rsid w:val="00A10B26"/>
    <w:rsid w:val="00A10C63"/>
    <w:rsid w:val="00A10DA1"/>
    <w:rsid w:val="00A10ECC"/>
    <w:rsid w:val="00A10EEA"/>
    <w:rsid w:val="00A10FFE"/>
    <w:rsid w:val="00A1101B"/>
    <w:rsid w:val="00A110D3"/>
    <w:rsid w:val="00A110D8"/>
    <w:rsid w:val="00A11106"/>
    <w:rsid w:val="00A1118F"/>
    <w:rsid w:val="00A11232"/>
    <w:rsid w:val="00A112A0"/>
    <w:rsid w:val="00A11314"/>
    <w:rsid w:val="00A113CD"/>
    <w:rsid w:val="00A113D0"/>
    <w:rsid w:val="00A11484"/>
    <w:rsid w:val="00A1159C"/>
    <w:rsid w:val="00A115C2"/>
    <w:rsid w:val="00A117F0"/>
    <w:rsid w:val="00A119A8"/>
    <w:rsid w:val="00A11A52"/>
    <w:rsid w:val="00A11CE5"/>
    <w:rsid w:val="00A11D00"/>
    <w:rsid w:val="00A11D09"/>
    <w:rsid w:val="00A11D1B"/>
    <w:rsid w:val="00A11D95"/>
    <w:rsid w:val="00A11DD4"/>
    <w:rsid w:val="00A11F0B"/>
    <w:rsid w:val="00A11FE8"/>
    <w:rsid w:val="00A11FF6"/>
    <w:rsid w:val="00A12007"/>
    <w:rsid w:val="00A12108"/>
    <w:rsid w:val="00A121F7"/>
    <w:rsid w:val="00A1222D"/>
    <w:rsid w:val="00A12292"/>
    <w:rsid w:val="00A122EA"/>
    <w:rsid w:val="00A123DE"/>
    <w:rsid w:val="00A12694"/>
    <w:rsid w:val="00A1276B"/>
    <w:rsid w:val="00A12D12"/>
    <w:rsid w:val="00A12D8B"/>
    <w:rsid w:val="00A12E02"/>
    <w:rsid w:val="00A12E9F"/>
    <w:rsid w:val="00A12F73"/>
    <w:rsid w:val="00A13141"/>
    <w:rsid w:val="00A1314A"/>
    <w:rsid w:val="00A13231"/>
    <w:rsid w:val="00A132C4"/>
    <w:rsid w:val="00A132F6"/>
    <w:rsid w:val="00A1343D"/>
    <w:rsid w:val="00A13461"/>
    <w:rsid w:val="00A13466"/>
    <w:rsid w:val="00A13488"/>
    <w:rsid w:val="00A134D7"/>
    <w:rsid w:val="00A135B6"/>
    <w:rsid w:val="00A13675"/>
    <w:rsid w:val="00A13714"/>
    <w:rsid w:val="00A13764"/>
    <w:rsid w:val="00A138F8"/>
    <w:rsid w:val="00A13903"/>
    <w:rsid w:val="00A13AF6"/>
    <w:rsid w:val="00A13C30"/>
    <w:rsid w:val="00A13DDD"/>
    <w:rsid w:val="00A13EA5"/>
    <w:rsid w:val="00A13F78"/>
    <w:rsid w:val="00A140EC"/>
    <w:rsid w:val="00A1413C"/>
    <w:rsid w:val="00A141BB"/>
    <w:rsid w:val="00A14292"/>
    <w:rsid w:val="00A14295"/>
    <w:rsid w:val="00A142BD"/>
    <w:rsid w:val="00A14343"/>
    <w:rsid w:val="00A14391"/>
    <w:rsid w:val="00A143C3"/>
    <w:rsid w:val="00A143CC"/>
    <w:rsid w:val="00A14431"/>
    <w:rsid w:val="00A1448A"/>
    <w:rsid w:val="00A145B3"/>
    <w:rsid w:val="00A14693"/>
    <w:rsid w:val="00A146BB"/>
    <w:rsid w:val="00A146EA"/>
    <w:rsid w:val="00A1475E"/>
    <w:rsid w:val="00A14774"/>
    <w:rsid w:val="00A147E0"/>
    <w:rsid w:val="00A1486C"/>
    <w:rsid w:val="00A1490D"/>
    <w:rsid w:val="00A14934"/>
    <w:rsid w:val="00A14A68"/>
    <w:rsid w:val="00A14A87"/>
    <w:rsid w:val="00A14AAB"/>
    <w:rsid w:val="00A14B26"/>
    <w:rsid w:val="00A14B2B"/>
    <w:rsid w:val="00A14B36"/>
    <w:rsid w:val="00A14B76"/>
    <w:rsid w:val="00A14F86"/>
    <w:rsid w:val="00A14FA1"/>
    <w:rsid w:val="00A15029"/>
    <w:rsid w:val="00A15182"/>
    <w:rsid w:val="00A153E8"/>
    <w:rsid w:val="00A15428"/>
    <w:rsid w:val="00A15456"/>
    <w:rsid w:val="00A15497"/>
    <w:rsid w:val="00A1558F"/>
    <w:rsid w:val="00A155CB"/>
    <w:rsid w:val="00A15662"/>
    <w:rsid w:val="00A156B6"/>
    <w:rsid w:val="00A15731"/>
    <w:rsid w:val="00A15771"/>
    <w:rsid w:val="00A157F0"/>
    <w:rsid w:val="00A158BF"/>
    <w:rsid w:val="00A1590F"/>
    <w:rsid w:val="00A159C7"/>
    <w:rsid w:val="00A15AA0"/>
    <w:rsid w:val="00A15B82"/>
    <w:rsid w:val="00A15C13"/>
    <w:rsid w:val="00A15C14"/>
    <w:rsid w:val="00A15C2B"/>
    <w:rsid w:val="00A15C8E"/>
    <w:rsid w:val="00A15CEC"/>
    <w:rsid w:val="00A15E39"/>
    <w:rsid w:val="00A15ED7"/>
    <w:rsid w:val="00A15F96"/>
    <w:rsid w:val="00A1604A"/>
    <w:rsid w:val="00A1608A"/>
    <w:rsid w:val="00A16132"/>
    <w:rsid w:val="00A1618E"/>
    <w:rsid w:val="00A1624B"/>
    <w:rsid w:val="00A162A2"/>
    <w:rsid w:val="00A163A4"/>
    <w:rsid w:val="00A1640A"/>
    <w:rsid w:val="00A1640C"/>
    <w:rsid w:val="00A16480"/>
    <w:rsid w:val="00A1648A"/>
    <w:rsid w:val="00A16534"/>
    <w:rsid w:val="00A165EA"/>
    <w:rsid w:val="00A16626"/>
    <w:rsid w:val="00A16756"/>
    <w:rsid w:val="00A167A1"/>
    <w:rsid w:val="00A16830"/>
    <w:rsid w:val="00A16926"/>
    <w:rsid w:val="00A16983"/>
    <w:rsid w:val="00A16A9F"/>
    <w:rsid w:val="00A16B45"/>
    <w:rsid w:val="00A16CD2"/>
    <w:rsid w:val="00A16E9B"/>
    <w:rsid w:val="00A16EBA"/>
    <w:rsid w:val="00A17020"/>
    <w:rsid w:val="00A17027"/>
    <w:rsid w:val="00A17039"/>
    <w:rsid w:val="00A17043"/>
    <w:rsid w:val="00A1725A"/>
    <w:rsid w:val="00A172A8"/>
    <w:rsid w:val="00A1734E"/>
    <w:rsid w:val="00A17475"/>
    <w:rsid w:val="00A174CD"/>
    <w:rsid w:val="00A175BA"/>
    <w:rsid w:val="00A175C8"/>
    <w:rsid w:val="00A176A5"/>
    <w:rsid w:val="00A176E6"/>
    <w:rsid w:val="00A17774"/>
    <w:rsid w:val="00A1780C"/>
    <w:rsid w:val="00A1784C"/>
    <w:rsid w:val="00A17869"/>
    <w:rsid w:val="00A17882"/>
    <w:rsid w:val="00A1796A"/>
    <w:rsid w:val="00A17AAA"/>
    <w:rsid w:val="00A17B2A"/>
    <w:rsid w:val="00A17C3C"/>
    <w:rsid w:val="00A17DBE"/>
    <w:rsid w:val="00A17EBD"/>
    <w:rsid w:val="00A17F33"/>
    <w:rsid w:val="00A17FB3"/>
    <w:rsid w:val="00A2010D"/>
    <w:rsid w:val="00A201DF"/>
    <w:rsid w:val="00A201E3"/>
    <w:rsid w:val="00A2025E"/>
    <w:rsid w:val="00A202C7"/>
    <w:rsid w:val="00A2051E"/>
    <w:rsid w:val="00A2058E"/>
    <w:rsid w:val="00A2058F"/>
    <w:rsid w:val="00A205DD"/>
    <w:rsid w:val="00A205FC"/>
    <w:rsid w:val="00A2065F"/>
    <w:rsid w:val="00A206BC"/>
    <w:rsid w:val="00A206CB"/>
    <w:rsid w:val="00A206F7"/>
    <w:rsid w:val="00A20729"/>
    <w:rsid w:val="00A208C0"/>
    <w:rsid w:val="00A20A36"/>
    <w:rsid w:val="00A20AA6"/>
    <w:rsid w:val="00A20DCF"/>
    <w:rsid w:val="00A20DF0"/>
    <w:rsid w:val="00A20DFD"/>
    <w:rsid w:val="00A20E70"/>
    <w:rsid w:val="00A20ED9"/>
    <w:rsid w:val="00A212F8"/>
    <w:rsid w:val="00A213A1"/>
    <w:rsid w:val="00A21433"/>
    <w:rsid w:val="00A21489"/>
    <w:rsid w:val="00A214E1"/>
    <w:rsid w:val="00A2151F"/>
    <w:rsid w:val="00A21599"/>
    <w:rsid w:val="00A2159D"/>
    <w:rsid w:val="00A215F6"/>
    <w:rsid w:val="00A216E0"/>
    <w:rsid w:val="00A2171B"/>
    <w:rsid w:val="00A21897"/>
    <w:rsid w:val="00A21928"/>
    <w:rsid w:val="00A219C5"/>
    <w:rsid w:val="00A219E8"/>
    <w:rsid w:val="00A21A66"/>
    <w:rsid w:val="00A21B56"/>
    <w:rsid w:val="00A21DED"/>
    <w:rsid w:val="00A21F7D"/>
    <w:rsid w:val="00A21F81"/>
    <w:rsid w:val="00A21F94"/>
    <w:rsid w:val="00A21FCF"/>
    <w:rsid w:val="00A22156"/>
    <w:rsid w:val="00A2225A"/>
    <w:rsid w:val="00A222ED"/>
    <w:rsid w:val="00A222F7"/>
    <w:rsid w:val="00A22429"/>
    <w:rsid w:val="00A22484"/>
    <w:rsid w:val="00A2257B"/>
    <w:rsid w:val="00A22606"/>
    <w:rsid w:val="00A22647"/>
    <w:rsid w:val="00A22662"/>
    <w:rsid w:val="00A226B2"/>
    <w:rsid w:val="00A22813"/>
    <w:rsid w:val="00A229A6"/>
    <w:rsid w:val="00A229BD"/>
    <w:rsid w:val="00A22AA8"/>
    <w:rsid w:val="00A22B58"/>
    <w:rsid w:val="00A22BB1"/>
    <w:rsid w:val="00A22C58"/>
    <w:rsid w:val="00A22C64"/>
    <w:rsid w:val="00A22E17"/>
    <w:rsid w:val="00A22E48"/>
    <w:rsid w:val="00A22F2C"/>
    <w:rsid w:val="00A22FAF"/>
    <w:rsid w:val="00A22FCB"/>
    <w:rsid w:val="00A2309A"/>
    <w:rsid w:val="00A230CD"/>
    <w:rsid w:val="00A231B8"/>
    <w:rsid w:val="00A231E0"/>
    <w:rsid w:val="00A231E3"/>
    <w:rsid w:val="00A232D1"/>
    <w:rsid w:val="00A232DE"/>
    <w:rsid w:val="00A23535"/>
    <w:rsid w:val="00A2354E"/>
    <w:rsid w:val="00A23553"/>
    <w:rsid w:val="00A2359A"/>
    <w:rsid w:val="00A23671"/>
    <w:rsid w:val="00A236CB"/>
    <w:rsid w:val="00A236DA"/>
    <w:rsid w:val="00A23928"/>
    <w:rsid w:val="00A23975"/>
    <w:rsid w:val="00A23BA7"/>
    <w:rsid w:val="00A23CC3"/>
    <w:rsid w:val="00A23D9B"/>
    <w:rsid w:val="00A23DE6"/>
    <w:rsid w:val="00A23EF2"/>
    <w:rsid w:val="00A23FA0"/>
    <w:rsid w:val="00A2403F"/>
    <w:rsid w:val="00A2405B"/>
    <w:rsid w:val="00A240AE"/>
    <w:rsid w:val="00A241E5"/>
    <w:rsid w:val="00A242DD"/>
    <w:rsid w:val="00A243C3"/>
    <w:rsid w:val="00A246B5"/>
    <w:rsid w:val="00A24716"/>
    <w:rsid w:val="00A24766"/>
    <w:rsid w:val="00A2477A"/>
    <w:rsid w:val="00A24797"/>
    <w:rsid w:val="00A2479D"/>
    <w:rsid w:val="00A247A1"/>
    <w:rsid w:val="00A24825"/>
    <w:rsid w:val="00A24847"/>
    <w:rsid w:val="00A24889"/>
    <w:rsid w:val="00A24896"/>
    <w:rsid w:val="00A249AA"/>
    <w:rsid w:val="00A249F4"/>
    <w:rsid w:val="00A24A5A"/>
    <w:rsid w:val="00A24A63"/>
    <w:rsid w:val="00A24A94"/>
    <w:rsid w:val="00A24AA3"/>
    <w:rsid w:val="00A24F9D"/>
    <w:rsid w:val="00A24FA8"/>
    <w:rsid w:val="00A25011"/>
    <w:rsid w:val="00A252B4"/>
    <w:rsid w:val="00A25546"/>
    <w:rsid w:val="00A255D7"/>
    <w:rsid w:val="00A25875"/>
    <w:rsid w:val="00A259A1"/>
    <w:rsid w:val="00A25A92"/>
    <w:rsid w:val="00A25B1F"/>
    <w:rsid w:val="00A25B76"/>
    <w:rsid w:val="00A25D2D"/>
    <w:rsid w:val="00A25D83"/>
    <w:rsid w:val="00A25E21"/>
    <w:rsid w:val="00A261AF"/>
    <w:rsid w:val="00A2624F"/>
    <w:rsid w:val="00A262A3"/>
    <w:rsid w:val="00A26430"/>
    <w:rsid w:val="00A26596"/>
    <w:rsid w:val="00A26598"/>
    <w:rsid w:val="00A265E2"/>
    <w:rsid w:val="00A2666F"/>
    <w:rsid w:val="00A267BD"/>
    <w:rsid w:val="00A26817"/>
    <w:rsid w:val="00A26870"/>
    <w:rsid w:val="00A269D9"/>
    <w:rsid w:val="00A269EA"/>
    <w:rsid w:val="00A26A06"/>
    <w:rsid w:val="00A26A46"/>
    <w:rsid w:val="00A26B1F"/>
    <w:rsid w:val="00A26C82"/>
    <w:rsid w:val="00A26DBB"/>
    <w:rsid w:val="00A26DEC"/>
    <w:rsid w:val="00A26EBE"/>
    <w:rsid w:val="00A26F52"/>
    <w:rsid w:val="00A26FAD"/>
    <w:rsid w:val="00A27019"/>
    <w:rsid w:val="00A270BC"/>
    <w:rsid w:val="00A270C0"/>
    <w:rsid w:val="00A270F6"/>
    <w:rsid w:val="00A271AA"/>
    <w:rsid w:val="00A271E4"/>
    <w:rsid w:val="00A27235"/>
    <w:rsid w:val="00A273DA"/>
    <w:rsid w:val="00A2743B"/>
    <w:rsid w:val="00A276BF"/>
    <w:rsid w:val="00A27734"/>
    <w:rsid w:val="00A27906"/>
    <w:rsid w:val="00A27962"/>
    <w:rsid w:val="00A27A13"/>
    <w:rsid w:val="00A27B38"/>
    <w:rsid w:val="00A27BC3"/>
    <w:rsid w:val="00A27CBC"/>
    <w:rsid w:val="00A27CC3"/>
    <w:rsid w:val="00A27CD7"/>
    <w:rsid w:val="00A27D07"/>
    <w:rsid w:val="00A27D3B"/>
    <w:rsid w:val="00A27E03"/>
    <w:rsid w:val="00A27E70"/>
    <w:rsid w:val="00A27F8B"/>
    <w:rsid w:val="00A3017C"/>
    <w:rsid w:val="00A301FD"/>
    <w:rsid w:val="00A302CA"/>
    <w:rsid w:val="00A30397"/>
    <w:rsid w:val="00A303C5"/>
    <w:rsid w:val="00A3047F"/>
    <w:rsid w:val="00A304F9"/>
    <w:rsid w:val="00A30507"/>
    <w:rsid w:val="00A3051C"/>
    <w:rsid w:val="00A3059C"/>
    <w:rsid w:val="00A30611"/>
    <w:rsid w:val="00A30652"/>
    <w:rsid w:val="00A30668"/>
    <w:rsid w:val="00A306E6"/>
    <w:rsid w:val="00A30797"/>
    <w:rsid w:val="00A307E5"/>
    <w:rsid w:val="00A30876"/>
    <w:rsid w:val="00A308F2"/>
    <w:rsid w:val="00A309F4"/>
    <w:rsid w:val="00A30A2D"/>
    <w:rsid w:val="00A30AB7"/>
    <w:rsid w:val="00A30B03"/>
    <w:rsid w:val="00A30B58"/>
    <w:rsid w:val="00A30B82"/>
    <w:rsid w:val="00A30D0D"/>
    <w:rsid w:val="00A30EF7"/>
    <w:rsid w:val="00A30F27"/>
    <w:rsid w:val="00A31074"/>
    <w:rsid w:val="00A310A5"/>
    <w:rsid w:val="00A310B7"/>
    <w:rsid w:val="00A310E6"/>
    <w:rsid w:val="00A31105"/>
    <w:rsid w:val="00A31190"/>
    <w:rsid w:val="00A3130C"/>
    <w:rsid w:val="00A31422"/>
    <w:rsid w:val="00A31476"/>
    <w:rsid w:val="00A31481"/>
    <w:rsid w:val="00A314A0"/>
    <w:rsid w:val="00A314E2"/>
    <w:rsid w:val="00A31588"/>
    <w:rsid w:val="00A315A8"/>
    <w:rsid w:val="00A317ED"/>
    <w:rsid w:val="00A31A4B"/>
    <w:rsid w:val="00A31E19"/>
    <w:rsid w:val="00A31E27"/>
    <w:rsid w:val="00A31F06"/>
    <w:rsid w:val="00A31FC4"/>
    <w:rsid w:val="00A32002"/>
    <w:rsid w:val="00A32083"/>
    <w:rsid w:val="00A320E1"/>
    <w:rsid w:val="00A321EE"/>
    <w:rsid w:val="00A3225A"/>
    <w:rsid w:val="00A3238B"/>
    <w:rsid w:val="00A32403"/>
    <w:rsid w:val="00A32438"/>
    <w:rsid w:val="00A324FE"/>
    <w:rsid w:val="00A325A9"/>
    <w:rsid w:val="00A326B2"/>
    <w:rsid w:val="00A326CB"/>
    <w:rsid w:val="00A32728"/>
    <w:rsid w:val="00A32755"/>
    <w:rsid w:val="00A32776"/>
    <w:rsid w:val="00A327A3"/>
    <w:rsid w:val="00A3280D"/>
    <w:rsid w:val="00A328CC"/>
    <w:rsid w:val="00A3290F"/>
    <w:rsid w:val="00A32938"/>
    <w:rsid w:val="00A32942"/>
    <w:rsid w:val="00A32993"/>
    <w:rsid w:val="00A329AB"/>
    <w:rsid w:val="00A329E6"/>
    <w:rsid w:val="00A32AE3"/>
    <w:rsid w:val="00A32C93"/>
    <w:rsid w:val="00A32CC7"/>
    <w:rsid w:val="00A32E57"/>
    <w:rsid w:val="00A32EEF"/>
    <w:rsid w:val="00A32F0B"/>
    <w:rsid w:val="00A32FA2"/>
    <w:rsid w:val="00A330A9"/>
    <w:rsid w:val="00A332D4"/>
    <w:rsid w:val="00A333D3"/>
    <w:rsid w:val="00A33419"/>
    <w:rsid w:val="00A3343B"/>
    <w:rsid w:val="00A33448"/>
    <w:rsid w:val="00A33481"/>
    <w:rsid w:val="00A336DA"/>
    <w:rsid w:val="00A33981"/>
    <w:rsid w:val="00A33BE6"/>
    <w:rsid w:val="00A33C04"/>
    <w:rsid w:val="00A33D42"/>
    <w:rsid w:val="00A33D61"/>
    <w:rsid w:val="00A33E10"/>
    <w:rsid w:val="00A3405F"/>
    <w:rsid w:val="00A34085"/>
    <w:rsid w:val="00A343F2"/>
    <w:rsid w:val="00A34461"/>
    <w:rsid w:val="00A344C2"/>
    <w:rsid w:val="00A3453A"/>
    <w:rsid w:val="00A346FF"/>
    <w:rsid w:val="00A34716"/>
    <w:rsid w:val="00A3479A"/>
    <w:rsid w:val="00A347B7"/>
    <w:rsid w:val="00A347CF"/>
    <w:rsid w:val="00A347DA"/>
    <w:rsid w:val="00A3490B"/>
    <w:rsid w:val="00A34947"/>
    <w:rsid w:val="00A34A0A"/>
    <w:rsid w:val="00A34A9E"/>
    <w:rsid w:val="00A34CAF"/>
    <w:rsid w:val="00A34DD7"/>
    <w:rsid w:val="00A34EB9"/>
    <w:rsid w:val="00A34F7E"/>
    <w:rsid w:val="00A35056"/>
    <w:rsid w:val="00A35114"/>
    <w:rsid w:val="00A35178"/>
    <w:rsid w:val="00A35295"/>
    <w:rsid w:val="00A35307"/>
    <w:rsid w:val="00A3531C"/>
    <w:rsid w:val="00A35386"/>
    <w:rsid w:val="00A3538E"/>
    <w:rsid w:val="00A353BF"/>
    <w:rsid w:val="00A353C3"/>
    <w:rsid w:val="00A35475"/>
    <w:rsid w:val="00A354BE"/>
    <w:rsid w:val="00A35535"/>
    <w:rsid w:val="00A35775"/>
    <w:rsid w:val="00A35822"/>
    <w:rsid w:val="00A3582C"/>
    <w:rsid w:val="00A3591E"/>
    <w:rsid w:val="00A35A3D"/>
    <w:rsid w:val="00A35B0B"/>
    <w:rsid w:val="00A35B24"/>
    <w:rsid w:val="00A35BF9"/>
    <w:rsid w:val="00A35CCF"/>
    <w:rsid w:val="00A35D07"/>
    <w:rsid w:val="00A35D8C"/>
    <w:rsid w:val="00A35E65"/>
    <w:rsid w:val="00A35EF5"/>
    <w:rsid w:val="00A35F06"/>
    <w:rsid w:val="00A35FA9"/>
    <w:rsid w:val="00A36043"/>
    <w:rsid w:val="00A36063"/>
    <w:rsid w:val="00A361F5"/>
    <w:rsid w:val="00A36285"/>
    <w:rsid w:val="00A3650E"/>
    <w:rsid w:val="00A3657A"/>
    <w:rsid w:val="00A36603"/>
    <w:rsid w:val="00A36675"/>
    <w:rsid w:val="00A36798"/>
    <w:rsid w:val="00A367ED"/>
    <w:rsid w:val="00A368BB"/>
    <w:rsid w:val="00A368CE"/>
    <w:rsid w:val="00A369A0"/>
    <w:rsid w:val="00A36B5B"/>
    <w:rsid w:val="00A36BEA"/>
    <w:rsid w:val="00A36C7E"/>
    <w:rsid w:val="00A36DBF"/>
    <w:rsid w:val="00A36DE8"/>
    <w:rsid w:val="00A36E12"/>
    <w:rsid w:val="00A36E3F"/>
    <w:rsid w:val="00A36E4C"/>
    <w:rsid w:val="00A36E80"/>
    <w:rsid w:val="00A36EC6"/>
    <w:rsid w:val="00A36F5C"/>
    <w:rsid w:val="00A36FB9"/>
    <w:rsid w:val="00A37091"/>
    <w:rsid w:val="00A370F3"/>
    <w:rsid w:val="00A3720B"/>
    <w:rsid w:val="00A3729C"/>
    <w:rsid w:val="00A37352"/>
    <w:rsid w:val="00A373D5"/>
    <w:rsid w:val="00A3755F"/>
    <w:rsid w:val="00A376ED"/>
    <w:rsid w:val="00A3771A"/>
    <w:rsid w:val="00A37725"/>
    <w:rsid w:val="00A37788"/>
    <w:rsid w:val="00A377A9"/>
    <w:rsid w:val="00A37955"/>
    <w:rsid w:val="00A37A4F"/>
    <w:rsid w:val="00A37B09"/>
    <w:rsid w:val="00A37B3B"/>
    <w:rsid w:val="00A37BD9"/>
    <w:rsid w:val="00A37C56"/>
    <w:rsid w:val="00A37D28"/>
    <w:rsid w:val="00A37D58"/>
    <w:rsid w:val="00A37D98"/>
    <w:rsid w:val="00A37E4A"/>
    <w:rsid w:val="00A37F19"/>
    <w:rsid w:val="00A37F84"/>
    <w:rsid w:val="00A37FEE"/>
    <w:rsid w:val="00A4003D"/>
    <w:rsid w:val="00A400EC"/>
    <w:rsid w:val="00A40125"/>
    <w:rsid w:val="00A40158"/>
    <w:rsid w:val="00A401D4"/>
    <w:rsid w:val="00A40200"/>
    <w:rsid w:val="00A40318"/>
    <w:rsid w:val="00A403AB"/>
    <w:rsid w:val="00A403DF"/>
    <w:rsid w:val="00A40546"/>
    <w:rsid w:val="00A4057E"/>
    <w:rsid w:val="00A40605"/>
    <w:rsid w:val="00A4075B"/>
    <w:rsid w:val="00A40773"/>
    <w:rsid w:val="00A409CF"/>
    <w:rsid w:val="00A409D6"/>
    <w:rsid w:val="00A409FB"/>
    <w:rsid w:val="00A40B0C"/>
    <w:rsid w:val="00A40B27"/>
    <w:rsid w:val="00A40B36"/>
    <w:rsid w:val="00A40B53"/>
    <w:rsid w:val="00A40BD5"/>
    <w:rsid w:val="00A40BD9"/>
    <w:rsid w:val="00A40D4A"/>
    <w:rsid w:val="00A40D79"/>
    <w:rsid w:val="00A40EEB"/>
    <w:rsid w:val="00A40F3E"/>
    <w:rsid w:val="00A40F93"/>
    <w:rsid w:val="00A410E6"/>
    <w:rsid w:val="00A41282"/>
    <w:rsid w:val="00A413E3"/>
    <w:rsid w:val="00A41574"/>
    <w:rsid w:val="00A41579"/>
    <w:rsid w:val="00A416E9"/>
    <w:rsid w:val="00A417BA"/>
    <w:rsid w:val="00A41981"/>
    <w:rsid w:val="00A419DD"/>
    <w:rsid w:val="00A419F3"/>
    <w:rsid w:val="00A41D25"/>
    <w:rsid w:val="00A41EF3"/>
    <w:rsid w:val="00A421ED"/>
    <w:rsid w:val="00A421F1"/>
    <w:rsid w:val="00A4223B"/>
    <w:rsid w:val="00A42408"/>
    <w:rsid w:val="00A424FB"/>
    <w:rsid w:val="00A425E1"/>
    <w:rsid w:val="00A42696"/>
    <w:rsid w:val="00A426DD"/>
    <w:rsid w:val="00A4281D"/>
    <w:rsid w:val="00A42906"/>
    <w:rsid w:val="00A42BC5"/>
    <w:rsid w:val="00A42C95"/>
    <w:rsid w:val="00A42D59"/>
    <w:rsid w:val="00A42D79"/>
    <w:rsid w:val="00A42DC6"/>
    <w:rsid w:val="00A42E41"/>
    <w:rsid w:val="00A42E48"/>
    <w:rsid w:val="00A43086"/>
    <w:rsid w:val="00A430AA"/>
    <w:rsid w:val="00A43113"/>
    <w:rsid w:val="00A43302"/>
    <w:rsid w:val="00A4335A"/>
    <w:rsid w:val="00A43396"/>
    <w:rsid w:val="00A434ED"/>
    <w:rsid w:val="00A4360A"/>
    <w:rsid w:val="00A43672"/>
    <w:rsid w:val="00A43679"/>
    <w:rsid w:val="00A43863"/>
    <w:rsid w:val="00A43941"/>
    <w:rsid w:val="00A43A09"/>
    <w:rsid w:val="00A43A0C"/>
    <w:rsid w:val="00A43A7A"/>
    <w:rsid w:val="00A43AC0"/>
    <w:rsid w:val="00A43B66"/>
    <w:rsid w:val="00A43C3B"/>
    <w:rsid w:val="00A43D03"/>
    <w:rsid w:val="00A43D22"/>
    <w:rsid w:val="00A43D5C"/>
    <w:rsid w:val="00A43DBE"/>
    <w:rsid w:val="00A43F76"/>
    <w:rsid w:val="00A43F83"/>
    <w:rsid w:val="00A43F94"/>
    <w:rsid w:val="00A44060"/>
    <w:rsid w:val="00A44094"/>
    <w:rsid w:val="00A441BC"/>
    <w:rsid w:val="00A441F5"/>
    <w:rsid w:val="00A4428E"/>
    <w:rsid w:val="00A442C7"/>
    <w:rsid w:val="00A44305"/>
    <w:rsid w:val="00A44346"/>
    <w:rsid w:val="00A443AD"/>
    <w:rsid w:val="00A443E4"/>
    <w:rsid w:val="00A44460"/>
    <w:rsid w:val="00A44521"/>
    <w:rsid w:val="00A445A8"/>
    <w:rsid w:val="00A44898"/>
    <w:rsid w:val="00A44B68"/>
    <w:rsid w:val="00A44BBB"/>
    <w:rsid w:val="00A44C21"/>
    <w:rsid w:val="00A44C8A"/>
    <w:rsid w:val="00A44DEE"/>
    <w:rsid w:val="00A44E19"/>
    <w:rsid w:val="00A4511E"/>
    <w:rsid w:val="00A452E5"/>
    <w:rsid w:val="00A45398"/>
    <w:rsid w:val="00A45426"/>
    <w:rsid w:val="00A45443"/>
    <w:rsid w:val="00A45572"/>
    <w:rsid w:val="00A456CB"/>
    <w:rsid w:val="00A456E7"/>
    <w:rsid w:val="00A4587E"/>
    <w:rsid w:val="00A4590B"/>
    <w:rsid w:val="00A45C03"/>
    <w:rsid w:val="00A45E26"/>
    <w:rsid w:val="00A45E61"/>
    <w:rsid w:val="00A45E83"/>
    <w:rsid w:val="00A45F9A"/>
    <w:rsid w:val="00A4616E"/>
    <w:rsid w:val="00A4616F"/>
    <w:rsid w:val="00A46308"/>
    <w:rsid w:val="00A4630C"/>
    <w:rsid w:val="00A463B6"/>
    <w:rsid w:val="00A463D2"/>
    <w:rsid w:val="00A464FC"/>
    <w:rsid w:val="00A46530"/>
    <w:rsid w:val="00A46603"/>
    <w:rsid w:val="00A466B4"/>
    <w:rsid w:val="00A4686E"/>
    <w:rsid w:val="00A46887"/>
    <w:rsid w:val="00A468AF"/>
    <w:rsid w:val="00A468C8"/>
    <w:rsid w:val="00A4693B"/>
    <w:rsid w:val="00A469E3"/>
    <w:rsid w:val="00A46A96"/>
    <w:rsid w:val="00A46AAE"/>
    <w:rsid w:val="00A46B5E"/>
    <w:rsid w:val="00A46D15"/>
    <w:rsid w:val="00A46D3D"/>
    <w:rsid w:val="00A46D41"/>
    <w:rsid w:val="00A46DEB"/>
    <w:rsid w:val="00A46E10"/>
    <w:rsid w:val="00A46E79"/>
    <w:rsid w:val="00A46ED9"/>
    <w:rsid w:val="00A4702A"/>
    <w:rsid w:val="00A47095"/>
    <w:rsid w:val="00A4709C"/>
    <w:rsid w:val="00A47140"/>
    <w:rsid w:val="00A47166"/>
    <w:rsid w:val="00A471CF"/>
    <w:rsid w:val="00A47200"/>
    <w:rsid w:val="00A47263"/>
    <w:rsid w:val="00A472A5"/>
    <w:rsid w:val="00A47491"/>
    <w:rsid w:val="00A4753E"/>
    <w:rsid w:val="00A4754C"/>
    <w:rsid w:val="00A476B5"/>
    <w:rsid w:val="00A47779"/>
    <w:rsid w:val="00A477BE"/>
    <w:rsid w:val="00A47885"/>
    <w:rsid w:val="00A4791B"/>
    <w:rsid w:val="00A4797D"/>
    <w:rsid w:val="00A4797F"/>
    <w:rsid w:val="00A47996"/>
    <w:rsid w:val="00A47AED"/>
    <w:rsid w:val="00A47B8F"/>
    <w:rsid w:val="00A47B92"/>
    <w:rsid w:val="00A47C87"/>
    <w:rsid w:val="00A47D9F"/>
    <w:rsid w:val="00A47E09"/>
    <w:rsid w:val="00A47E26"/>
    <w:rsid w:val="00A47F5C"/>
    <w:rsid w:val="00A47FAE"/>
    <w:rsid w:val="00A50064"/>
    <w:rsid w:val="00A500F3"/>
    <w:rsid w:val="00A5018D"/>
    <w:rsid w:val="00A50226"/>
    <w:rsid w:val="00A5027D"/>
    <w:rsid w:val="00A502A6"/>
    <w:rsid w:val="00A503CC"/>
    <w:rsid w:val="00A503D8"/>
    <w:rsid w:val="00A50666"/>
    <w:rsid w:val="00A5079E"/>
    <w:rsid w:val="00A507CF"/>
    <w:rsid w:val="00A5089A"/>
    <w:rsid w:val="00A50AAD"/>
    <w:rsid w:val="00A50B71"/>
    <w:rsid w:val="00A50D51"/>
    <w:rsid w:val="00A50D72"/>
    <w:rsid w:val="00A50E56"/>
    <w:rsid w:val="00A5118D"/>
    <w:rsid w:val="00A511E8"/>
    <w:rsid w:val="00A5141E"/>
    <w:rsid w:val="00A51447"/>
    <w:rsid w:val="00A514AE"/>
    <w:rsid w:val="00A514B8"/>
    <w:rsid w:val="00A515F5"/>
    <w:rsid w:val="00A5163E"/>
    <w:rsid w:val="00A516DD"/>
    <w:rsid w:val="00A51714"/>
    <w:rsid w:val="00A51784"/>
    <w:rsid w:val="00A517EC"/>
    <w:rsid w:val="00A51963"/>
    <w:rsid w:val="00A51A26"/>
    <w:rsid w:val="00A51B30"/>
    <w:rsid w:val="00A51CD3"/>
    <w:rsid w:val="00A51D1B"/>
    <w:rsid w:val="00A51E9A"/>
    <w:rsid w:val="00A51EBF"/>
    <w:rsid w:val="00A51FB0"/>
    <w:rsid w:val="00A52081"/>
    <w:rsid w:val="00A5224D"/>
    <w:rsid w:val="00A52288"/>
    <w:rsid w:val="00A522A0"/>
    <w:rsid w:val="00A5243C"/>
    <w:rsid w:val="00A52630"/>
    <w:rsid w:val="00A526E7"/>
    <w:rsid w:val="00A527F8"/>
    <w:rsid w:val="00A52812"/>
    <w:rsid w:val="00A5297E"/>
    <w:rsid w:val="00A52A37"/>
    <w:rsid w:val="00A52A92"/>
    <w:rsid w:val="00A52B61"/>
    <w:rsid w:val="00A52BB0"/>
    <w:rsid w:val="00A52C77"/>
    <w:rsid w:val="00A52CE3"/>
    <w:rsid w:val="00A52DF6"/>
    <w:rsid w:val="00A52EE5"/>
    <w:rsid w:val="00A52FAA"/>
    <w:rsid w:val="00A53144"/>
    <w:rsid w:val="00A533D8"/>
    <w:rsid w:val="00A53419"/>
    <w:rsid w:val="00A535A7"/>
    <w:rsid w:val="00A5364E"/>
    <w:rsid w:val="00A5379D"/>
    <w:rsid w:val="00A537D3"/>
    <w:rsid w:val="00A53877"/>
    <w:rsid w:val="00A538E2"/>
    <w:rsid w:val="00A539E3"/>
    <w:rsid w:val="00A53A6B"/>
    <w:rsid w:val="00A53AAE"/>
    <w:rsid w:val="00A53B6E"/>
    <w:rsid w:val="00A53C2F"/>
    <w:rsid w:val="00A53CA1"/>
    <w:rsid w:val="00A53CFD"/>
    <w:rsid w:val="00A53DEF"/>
    <w:rsid w:val="00A53FD1"/>
    <w:rsid w:val="00A53FE1"/>
    <w:rsid w:val="00A54100"/>
    <w:rsid w:val="00A5411D"/>
    <w:rsid w:val="00A54196"/>
    <w:rsid w:val="00A5426A"/>
    <w:rsid w:val="00A54363"/>
    <w:rsid w:val="00A5439F"/>
    <w:rsid w:val="00A543BA"/>
    <w:rsid w:val="00A54556"/>
    <w:rsid w:val="00A545AD"/>
    <w:rsid w:val="00A545C0"/>
    <w:rsid w:val="00A545E8"/>
    <w:rsid w:val="00A545F8"/>
    <w:rsid w:val="00A54714"/>
    <w:rsid w:val="00A547E9"/>
    <w:rsid w:val="00A54982"/>
    <w:rsid w:val="00A54A77"/>
    <w:rsid w:val="00A54AD8"/>
    <w:rsid w:val="00A54B3A"/>
    <w:rsid w:val="00A54C6C"/>
    <w:rsid w:val="00A54CC8"/>
    <w:rsid w:val="00A54CF0"/>
    <w:rsid w:val="00A54D3A"/>
    <w:rsid w:val="00A54D91"/>
    <w:rsid w:val="00A54E6F"/>
    <w:rsid w:val="00A54EF7"/>
    <w:rsid w:val="00A55043"/>
    <w:rsid w:val="00A550A3"/>
    <w:rsid w:val="00A551B8"/>
    <w:rsid w:val="00A551CE"/>
    <w:rsid w:val="00A5529A"/>
    <w:rsid w:val="00A554B9"/>
    <w:rsid w:val="00A5559B"/>
    <w:rsid w:val="00A55775"/>
    <w:rsid w:val="00A558D3"/>
    <w:rsid w:val="00A558FE"/>
    <w:rsid w:val="00A55976"/>
    <w:rsid w:val="00A559BA"/>
    <w:rsid w:val="00A55A7E"/>
    <w:rsid w:val="00A55AD6"/>
    <w:rsid w:val="00A55AF0"/>
    <w:rsid w:val="00A55B8B"/>
    <w:rsid w:val="00A55BAC"/>
    <w:rsid w:val="00A55D11"/>
    <w:rsid w:val="00A55D27"/>
    <w:rsid w:val="00A55D6B"/>
    <w:rsid w:val="00A55D76"/>
    <w:rsid w:val="00A55E13"/>
    <w:rsid w:val="00A55E21"/>
    <w:rsid w:val="00A55E27"/>
    <w:rsid w:val="00A55E57"/>
    <w:rsid w:val="00A55EE5"/>
    <w:rsid w:val="00A5617F"/>
    <w:rsid w:val="00A5634C"/>
    <w:rsid w:val="00A563F7"/>
    <w:rsid w:val="00A564F2"/>
    <w:rsid w:val="00A56545"/>
    <w:rsid w:val="00A5668D"/>
    <w:rsid w:val="00A5678E"/>
    <w:rsid w:val="00A5688A"/>
    <w:rsid w:val="00A568C5"/>
    <w:rsid w:val="00A569F7"/>
    <w:rsid w:val="00A56B0A"/>
    <w:rsid w:val="00A56B6F"/>
    <w:rsid w:val="00A56CB2"/>
    <w:rsid w:val="00A56DC7"/>
    <w:rsid w:val="00A56F10"/>
    <w:rsid w:val="00A57026"/>
    <w:rsid w:val="00A5703B"/>
    <w:rsid w:val="00A5734D"/>
    <w:rsid w:val="00A57544"/>
    <w:rsid w:val="00A57594"/>
    <w:rsid w:val="00A57641"/>
    <w:rsid w:val="00A57705"/>
    <w:rsid w:val="00A5771B"/>
    <w:rsid w:val="00A5772C"/>
    <w:rsid w:val="00A57732"/>
    <w:rsid w:val="00A5783C"/>
    <w:rsid w:val="00A57942"/>
    <w:rsid w:val="00A57950"/>
    <w:rsid w:val="00A57A5E"/>
    <w:rsid w:val="00A57ABA"/>
    <w:rsid w:val="00A57B1D"/>
    <w:rsid w:val="00A57C00"/>
    <w:rsid w:val="00A57DC2"/>
    <w:rsid w:val="00A57DEC"/>
    <w:rsid w:val="00A57E41"/>
    <w:rsid w:val="00A57E54"/>
    <w:rsid w:val="00A57E75"/>
    <w:rsid w:val="00A57F9C"/>
    <w:rsid w:val="00A6004B"/>
    <w:rsid w:val="00A600FD"/>
    <w:rsid w:val="00A6013F"/>
    <w:rsid w:val="00A601C8"/>
    <w:rsid w:val="00A601FB"/>
    <w:rsid w:val="00A60353"/>
    <w:rsid w:val="00A604D3"/>
    <w:rsid w:val="00A606E0"/>
    <w:rsid w:val="00A607C8"/>
    <w:rsid w:val="00A60819"/>
    <w:rsid w:val="00A60830"/>
    <w:rsid w:val="00A6093C"/>
    <w:rsid w:val="00A60B34"/>
    <w:rsid w:val="00A60B45"/>
    <w:rsid w:val="00A60BE9"/>
    <w:rsid w:val="00A60C1E"/>
    <w:rsid w:val="00A60D5D"/>
    <w:rsid w:val="00A60E1F"/>
    <w:rsid w:val="00A60F54"/>
    <w:rsid w:val="00A60FD2"/>
    <w:rsid w:val="00A60FF1"/>
    <w:rsid w:val="00A611A7"/>
    <w:rsid w:val="00A613DF"/>
    <w:rsid w:val="00A61431"/>
    <w:rsid w:val="00A615E9"/>
    <w:rsid w:val="00A6167A"/>
    <w:rsid w:val="00A61693"/>
    <w:rsid w:val="00A617F6"/>
    <w:rsid w:val="00A61814"/>
    <w:rsid w:val="00A61822"/>
    <w:rsid w:val="00A618D8"/>
    <w:rsid w:val="00A6191F"/>
    <w:rsid w:val="00A6197F"/>
    <w:rsid w:val="00A61A22"/>
    <w:rsid w:val="00A61A2A"/>
    <w:rsid w:val="00A61A32"/>
    <w:rsid w:val="00A61A71"/>
    <w:rsid w:val="00A61AA9"/>
    <w:rsid w:val="00A61AD0"/>
    <w:rsid w:val="00A61B05"/>
    <w:rsid w:val="00A61B8A"/>
    <w:rsid w:val="00A61BE1"/>
    <w:rsid w:val="00A61C0B"/>
    <w:rsid w:val="00A61CC5"/>
    <w:rsid w:val="00A61D73"/>
    <w:rsid w:val="00A61E43"/>
    <w:rsid w:val="00A61F35"/>
    <w:rsid w:val="00A621D3"/>
    <w:rsid w:val="00A62265"/>
    <w:rsid w:val="00A62568"/>
    <w:rsid w:val="00A6256C"/>
    <w:rsid w:val="00A625A8"/>
    <w:rsid w:val="00A62635"/>
    <w:rsid w:val="00A626D2"/>
    <w:rsid w:val="00A628A4"/>
    <w:rsid w:val="00A62A27"/>
    <w:rsid w:val="00A62A7C"/>
    <w:rsid w:val="00A62BA0"/>
    <w:rsid w:val="00A62D97"/>
    <w:rsid w:val="00A62E1D"/>
    <w:rsid w:val="00A62EC2"/>
    <w:rsid w:val="00A630E4"/>
    <w:rsid w:val="00A630FC"/>
    <w:rsid w:val="00A6312F"/>
    <w:rsid w:val="00A63213"/>
    <w:rsid w:val="00A632CA"/>
    <w:rsid w:val="00A6333C"/>
    <w:rsid w:val="00A63368"/>
    <w:rsid w:val="00A6338B"/>
    <w:rsid w:val="00A6344A"/>
    <w:rsid w:val="00A635B2"/>
    <w:rsid w:val="00A63877"/>
    <w:rsid w:val="00A6394B"/>
    <w:rsid w:val="00A639D6"/>
    <w:rsid w:val="00A639DE"/>
    <w:rsid w:val="00A63A72"/>
    <w:rsid w:val="00A63B94"/>
    <w:rsid w:val="00A63C91"/>
    <w:rsid w:val="00A63D2C"/>
    <w:rsid w:val="00A63EE2"/>
    <w:rsid w:val="00A63EF8"/>
    <w:rsid w:val="00A63F93"/>
    <w:rsid w:val="00A63FFD"/>
    <w:rsid w:val="00A64012"/>
    <w:rsid w:val="00A64024"/>
    <w:rsid w:val="00A6405B"/>
    <w:rsid w:val="00A640E8"/>
    <w:rsid w:val="00A64303"/>
    <w:rsid w:val="00A64348"/>
    <w:rsid w:val="00A645B2"/>
    <w:rsid w:val="00A6461E"/>
    <w:rsid w:val="00A64838"/>
    <w:rsid w:val="00A64A54"/>
    <w:rsid w:val="00A64B28"/>
    <w:rsid w:val="00A64B47"/>
    <w:rsid w:val="00A64C96"/>
    <w:rsid w:val="00A64CE2"/>
    <w:rsid w:val="00A64E8F"/>
    <w:rsid w:val="00A64F95"/>
    <w:rsid w:val="00A64FB5"/>
    <w:rsid w:val="00A65085"/>
    <w:rsid w:val="00A650B4"/>
    <w:rsid w:val="00A650F3"/>
    <w:rsid w:val="00A651D9"/>
    <w:rsid w:val="00A65288"/>
    <w:rsid w:val="00A65316"/>
    <w:rsid w:val="00A653F3"/>
    <w:rsid w:val="00A65572"/>
    <w:rsid w:val="00A655AF"/>
    <w:rsid w:val="00A656B0"/>
    <w:rsid w:val="00A65723"/>
    <w:rsid w:val="00A658B7"/>
    <w:rsid w:val="00A658FE"/>
    <w:rsid w:val="00A6590D"/>
    <w:rsid w:val="00A659FD"/>
    <w:rsid w:val="00A65A6E"/>
    <w:rsid w:val="00A65B7B"/>
    <w:rsid w:val="00A65D04"/>
    <w:rsid w:val="00A65D0F"/>
    <w:rsid w:val="00A65D5C"/>
    <w:rsid w:val="00A65E29"/>
    <w:rsid w:val="00A65EA1"/>
    <w:rsid w:val="00A6600D"/>
    <w:rsid w:val="00A660D1"/>
    <w:rsid w:val="00A6616E"/>
    <w:rsid w:val="00A6622C"/>
    <w:rsid w:val="00A662D3"/>
    <w:rsid w:val="00A663B1"/>
    <w:rsid w:val="00A66698"/>
    <w:rsid w:val="00A666CB"/>
    <w:rsid w:val="00A667C1"/>
    <w:rsid w:val="00A6683D"/>
    <w:rsid w:val="00A6683E"/>
    <w:rsid w:val="00A66877"/>
    <w:rsid w:val="00A66A0A"/>
    <w:rsid w:val="00A66C2A"/>
    <w:rsid w:val="00A66C60"/>
    <w:rsid w:val="00A66CA0"/>
    <w:rsid w:val="00A66CF6"/>
    <w:rsid w:val="00A66D7C"/>
    <w:rsid w:val="00A66E48"/>
    <w:rsid w:val="00A66EDD"/>
    <w:rsid w:val="00A66F13"/>
    <w:rsid w:val="00A66F5E"/>
    <w:rsid w:val="00A6704D"/>
    <w:rsid w:val="00A670CF"/>
    <w:rsid w:val="00A67146"/>
    <w:rsid w:val="00A6719A"/>
    <w:rsid w:val="00A671C1"/>
    <w:rsid w:val="00A672EE"/>
    <w:rsid w:val="00A673F6"/>
    <w:rsid w:val="00A67426"/>
    <w:rsid w:val="00A674FA"/>
    <w:rsid w:val="00A6758E"/>
    <w:rsid w:val="00A675F5"/>
    <w:rsid w:val="00A676A6"/>
    <w:rsid w:val="00A6783A"/>
    <w:rsid w:val="00A67845"/>
    <w:rsid w:val="00A67A07"/>
    <w:rsid w:val="00A67A94"/>
    <w:rsid w:val="00A67AAE"/>
    <w:rsid w:val="00A67AB4"/>
    <w:rsid w:val="00A67AD6"/>
    <w:rsid w:val="00A67B6A"/>
    <w:rsid w:val="00A67CA7"/>
    <w:rsid w:val="00A67CF1"/>
    <w:rsid w:val="00A67E52"/>
    <w:rsid w:val="00A67E66"/>
    <w:rsid w:val="00A67EB2"/>
    <w:rsid w:val="00A67EDE"/>
    <w:rsid w:val="00A70058"/>
    <w:rsid w:val="00A7006D"/>
    <w:rsid w:val="00A7008B"/>
    <w:rsid w:val="00A70143"/>
    <w:rsid w:val="00A7023C"/>
    <w:rsid w:val="00A70360"/>
    <w:rsid w:val="00A703BA"/>
    <w:rsid w:val="00A703CB"/>
    <w:rsid w:val="00A7046A"/>
    <w:rsid w:val="00A70483"/>
    <w:rsid w:val="00A704CB"/>
    <w:rsid w:val="00A704D0"/>
    <w:rsid w:val="00A704F4"/>
    <w:rsid w:val="00A70737"/>
    <w:rsid w:val="00A708DC"/>
    <w:rsid w:val="00A708DF"/>
    <w:rsid w:val="00A7096E"/>
    <w:rsid w:val="00A70982"/>
    <w:rsid w:val="00A70B93"/>
    <w:rsid w:val="00A70CEA"/>
    <w:rsid w:val="00A70DEE"/>
    <w:rsid w:val="00A70E0F"/>
    <w:rsid w:val="00A70E92"/>
    <w:rsid w:val="00A70EA1"/>
    <w:rsid w:val="00A70EBD"/>
    <w:rsid w:val="00A70F78"/>
    <w:rsid w:val="00A71156"/>
    <w:rsid w:val="00A713D0"/>
    <w:rsid w:val="00A713DF"/>
    <w:rsid w:val="00A713F6"/>
    <w:rsid w:val="00A716BB"/>
    <w:rsid w:val="00A7174C"/>
    <w:rsid w:val="00A7175F"/>
    <w:rsid w:val="00A717CF"/>
    <w:rsid w:val="00A71862"/>
    <w:rsid w:val="00A71A0C"/>
    <w:rsid w:val="00A71A7F"/>
    <w:rsid w:val="00A71B61"/>
    <w:rsid w:val="00A71B74"/>
    <w:rsid w:val="00A71BC5"/>
    <w:rsid w:val="00A71CDE"/>
    <w:rsid w:val="00A71E1E"/>
    <w:rsid w:val="00A71E64"/>
    <w:rsid w:val="00A71E92"/>
    <w:rsid w:val="00A71F0E"/>
    <w:rsid w:val="00A7210F"/>
    <w:rsid w:val="00A721F3"/>
    <w:rsid w:val="00A722DA"/>
    <w:rsid w:val="00A7239F"/>
    <w:rsid w:val="00A723E5"/>
    <w:rsid w:val="00A724CD"/>
    <w:rsid w:val="00A7251D"/>
    <w:rsid w:val="00A72636"/>
    <w:rsid w:val="00A72658"/>
    <w:rsid w:val="00A7281F"/>
    <w:rsid w:val="00A7294B"/>
    <w:rsid w:val="00A729E5"/>
    <w:rsid w:val="00A72B46"/>
    <w:rsid w:val="00A72C9F"/>
    <w:rsid w:val="00A72D8B"/>
    <w:rsid w:val="00A72D98"/>
    <w:rsid w:val="00A72E15"/>
    <w:rsid w:val="00A72E58"/>
    <w:rsid w:val="00A72F41"/>
    <w:rsid w:val="00A72F7F"/>
    <w:rsid w:val="00A72F8C"/>
    <w:rsid w:val="00A72F94"/>
    <w:rsid w:val="00A73023"/>
    <w:rsid w:val="00A73064"/>
    <w:rsid w:val="00A73112"/>
    <w:rsid w:val="00A731F0"/>
    <w:rsid w:val="00A7331C"/>
    <w:rsid w:val="00A73398"/>
    <w:rsid w:val="00A734A9"/>
    <w:rsid w:val="00A734ED"/>
    <w:rsid w:val="00A734FF"/>
    <w:rsid w:val="00A73641"/>
    <w:rsid w:val="00A736F1"/>
    <w:rsid w:val="00A73952"/>
    <w:rsid w:val="00A7397E"/>
    <w:rsid w:val="00A73A2D"/>
    <w:rsid w:val="00A73A65"/>
    <w:rsid w:val="00A73ACD"/>
    <w:rsid w:val="00A73AD1"/>
    <w:rsid w:val="00A73AE4"/>
    <w:rsid w:val="00A73B05"/>
    <w:rsid w:val="00A73CC2"/>
    <w:rsid w:val="00A73D87"/>
    <w:rsid w:val="00A73D9F"/>
    <w:rsid w:val="00A73DC0"/>
    <w:rsid w:val="00A73DCD"/>
    <w:rsid w:val="00A73E16"/>
    <w:rsid w:val="00A74219"/>
    <w:rsid w:val="00A7424F"/>
    <w:rsid w:val="00A742A8"/>
    <w:rsid w:val="00A7435A"/>
    <w:rsid w:val="00A74364"/>
    <w:rsid w:val="00A74405"/>
    <w:rsid w:val="00A7442E"/>
    <w:rsid w:val="00A7446A"/>
    <w:rsid w:val="00A744AD"/>
    <w:rsid w:val="00A744B9"/>
    <w:rsid w:val="00A74521"/>
    <w:rsid w:val="00A7458F"/>
    <w:rsid w:val="00A7466E"/>
    <w:rsid w:val="00A7479F"/>
    <w:rsid w:val="00A74850"/>
    <w:rsid w:val="00A7489D"/>
    <w:rsid w:val="00A7493A"/>
    <w:rsid w:val="00A74949"/>
    <w:rsid w:val="00A7498F"/>
    <w:rsid w:val="00A749D7"/>
    <w:rsid w:val="00A74C8F"/>
    <w:rsid w:val="00A750C0"/>
    <w:rsid w:val="00A751C2"/>
    <w:rsid w:val="00A751CE"/>
    <w:rsid w:val="00A7536C"/>
    <w:rsid w:val="00A75480"/>
    <w:rsid w:val="00A755D1"/>
    <w:rsid w:val="00A7562B"/>
    <w:rsid w:val="00A756B2"/>
    <w:rsid w:val="00A7577B"/>
    <w:rsid w:val="00A75893"/>
    <w:rsid w:val="00A75A4B"/>
    <w:rsid w:val="00A75A9D"/>
    <w:rsid w:val="00A75B2A"/>
    <w:rsid w:val="00A75CFB"/>
    <w:rsid w:val="00A75E32"/>
    <w:rsid w:val="00A75E55"/>
    <w:rsid w:val="00A75F8B"/>
    <w:rsid w:val="00A75F95"/>
    <w:rsid w:val="00A761D9"/>
    <w:rsid w:val="00A76201"/>
    <w:rsid w:val="00A762A9"/>
    <w:rsid w:val="00A76371"/>
    <w:rsid w:val="00A7637B"/>
    <w:rsid w:val="00A76435"/>
    <w:rsid w:val="00A764AB"/>
    <w:rsid w:val="00A764AE"/>
    <w:rsid w:val="00A76545"/>
    <w:rsid w:val="00A7657A"/>
    <w:rsid w:val="00A765F0"/>
    <w:rsid w:val="00A76749"/>
    <w:rsid w:val="00A76778"/>
    <w:rsid w:val="00A767D7"/>
    <w:rsid w:val="00A76830"/>
    <w:rsid w:val="00A7692E"/>
    <w:rsid w:val="00A769F2"/>
    <w:rsid w:val="00A76C1D"/>
    <w:rsid w:val="00A76CE2"/>
    <w:rsid w:val="00A76DA8"/>
    <w:rsid w:val="00A76DF4"/>
    <w:rsid w:val="00A76E53"/>
    <w:rsid w:val="00A76F0F"/>
    <w:rsid w:val="00A76FA0"/>
    <w:rsid w:val="00A77058"/>
    <w:rsid w:val="00A77167"/>
    <w:rsid w:val="00A77267"/>
    <w:rsid w:val="00A7731E"/>
    <w:rsid w:val="00A7735A"/>
    <w:rsid w:val="00A77372"/>
    <w:rsid w:val="00A773A5"/>
    <w:rsid w:val="00A773CA"/>
    <w:rsid w:val="00A774E5"/>
    <w:rsid w:val="00A7750B"/>
    <w:rsid w:val="00A7750D"/>
    <w:rsid w:val="00A77585"/>
    <w:rsid w:val="00A7758C"/>
    <w:rsid w:val="00A77833"/>
    <w:rsid w:val="00A779C5"/>
    <w:rsid w:val="00A77A25"/>
    <w:rsid w:val="00A77ACD"/>
    <w:rsid w:val="00A77B37"/>
    <w:rsid w:val="00A77D64"/>
    <w:rsid w:val="00A77DAF"/>
    <w:rsid w:val="00A77E94"/>
    <w:rsid w:val="00A77FD6"/>
    <w:rsid w:val="00A80144"/>
    <w:rsid w:val="00A8020E"/>
    <w:rsid w:val="00A804CE"/>
    <w:rsid w:val="00A804FD"/>
    <w:rsid w:val="00A8054F"/>
    <w:rsid w:val="00A80678"/>
    <w:rsid w:val="00A80711"/>
    <w:rsid w:val="00A808A7"/>
    <w:rsid w:val="00A808F5"/>
    <w:rsid w:val="00A80901"/>
    <w:rsid w:val="00A8093E"/>
    <w:rsid w:val="00A80C1D"/>
    <w:rsid w:val="00A80C8D"/>
    <w:rsid w:val="00A80FDC"/>
    <w:rsid w:val="00A81009"/>
    <w:rsid w:val="00A8100C"/>
    <w:rsid w:val="00A81049"/>
    <w:rsid w:val="00A810AC"/>
    <w:rsid w:val="00A810DA"/>
    <w:rsid w:val="00A81212"/>
    <w:rsid w:val="00A812A2"/>
    <w:rsid w:val="00A8132D"/>
    <w:rsid w:val="00A81342"/>
    <w:rsid w:val="00A81368"/>
    <w:rsid w:val="00A8136D"/>
    <w:rsid w:val="00A81570"/>
    <w:rsid w:val="00A815FA"/>
    <w:rsid w:val="00A8161E"/>
    <w:rsid w:val="00A81644"/>
    <w:rsid w:val="00A817F2"/>
    <w:rsid w:val="00A818CE"/>
    <w:rsid w:val="00A8190A"/>
    <w:rsid w:val="00A8198D"/>
    <w:rsid w:val="00A819AF"/>
    <w:rsid w:val="00A81A46"/>
    <w:rsid w:val="00A81AD3"/>
    <w:rsid w:val="00A81B49"/>
    <w:rsid w:val="00A81BC8"/>
    <w:rsid w:val="00A81BD4"/>
    <w:rsid w:val="00A81C47"/>
    <w:rsid w:val="00A81D23"/>
    <w:rsid w:val="00A81D97"/>
    <w:rsid w:val="00A81DB3"/>
    <w:rsid w:val="00A81E23"/>
    <w:rsid w:val="00A81ECB"/>
    <w:rsid w:val="00A81F3E"/>
    <w:rsid w:val="00A81F53"/>
    <w:rsid w:val="00A820B4"/>
    <w:rsid w:val="00A82278"/>
    <w:rsid w:val="00A822DE"/>
    <w:rsid w:val="00A82329"/>
    <w:rsid w:val="00A82472"/>
    <w:rsid w:val="00A8256B"/>
    <w:rsid w:val="00A82632"/>
    <w:rsid w:val="00A82639"/>
    <w:rsid w:val="00A82660"/>
    <w:rsid w:val="00A82665"/>
    <w:rsid w:val="00A827BD"/>
    <w:rsid w:val="00A8284C"/>
    <w:rsid w:val="00A8298E"/>
    <w:rsid w:val="00A82A44"/>
    <w:rsid w:val="00A82B18"/>
    <w:rsid w:val="00A82B7B"/>
    <w:rsid w:val="00A82BC7"/>
    <w:rsid w:val="00A82C01"/>
    <w:rsid w:val="00A83096"/>
    <w:rsid w:val="00A83114"/>
    <w:rsid w:val="00A83177"/>
    <w:rsid w:val="00A83229"/>
    <w:rsid w:val="00A83326"/>
    <w:rsid w:val="00A8335A"/>
    <w:rsid w:val="00A834CA"/>
    <w:rsid w:val="00A83519"/>
    <w:rsid w:val="00A836BD"/>
    <w:rsid w:val="00A8371B"/>
    <w:rsid w:val="00A838A5"/>
    <w:rsid w:val="00A838A7"/>
    <w:rsid w:val="00A83938"/>
    <w:rsid w:val="00A83972"/>
    <w:rsid w:val="00A83A0B"/>
    <w:rsid w:val="00A83A36"/>
    <w:rsid w:val="00A83A60"/>
    <w:rsid w:val="00A83A73"/>
    <w:rsid w:val="00A83B1F"/>
    <w:rsid w:val="00A83DB1"/>
    <w:rsid w:val="00A83E2D"/>
    <w:rsid w:val="00A83E4E"/>
    <w:rsid w:val="00A83F3D"/>
    <w:rsid w:val="00A84107"/>
    <w:rsid w:val="00A841EB"/>
    <w:rsid w:val="00A84248"/>
    <w:rsid w:val="00A8427C"/>
    <w:rsid w:val="00A8429E"/>
    <w:rsid w:val="00A842FD"/>
    <w:rsid w:val="00A843FC"/>
    <w:rsid w:val="00A8448B"/>
    <w:rsid w:val="00A847C7"/>
    <w:rsid w:val="00A848AF"/>
    <w:rsid w:val="00A848DB"/>
    <w:rsid w:val="00A84956"/>
    <w:rsid w:val="00A84979"/>
    <w:rsid w:val="00A8497C"/>
    <w:rsid w:val="00A84A31"/>
    <w:rsid w:val="00A84A56"/>
    <w:rsid w:val="00A84AEE"/>
    <w:rsid w:val="00A84C48"/>
    <w:rsid w:val="00A84CD4"/>
    <w:rsid w:val="00A84D0D"/>
    <w:rsid w:val="00A84DC3"/>
    <w:rsid w:val="00A84EEC"/>
    <w:rsid w:val="00A85086"/>
    <w:rsid w:val="00A850D1"/>
    <w:rsid w:val="00A850FB"/>
    <w:rsid w:val="00A85153"/>
    <w:rsid w:val="00A851CD"/>
    <w:rsid w:val="00A8523F"/>
    <w:rsid w:val="00A852C5"/>
    <w:rsid w:val="00A852D1"/>
    <w:rsid w:val="00A852D2"/>
    <w:rsid w:val="00A852E3"/>
    <w:rsid w:val="00A853CF"/>
    <w:rsid w:val="00A853FD"/>
    <w:rsid w:val="00A8547F"/>
    <w:rsid w:val="00A85518"/>
    <w:rsid w:val="00A856C7"/>
    <w:rsid w:val="00A85732"/>
    <w:rsid w:val="00A85756"/>
    <w:rsid w:val="00A8581A"/>
    <w:rsid w:val="00A85857"/>
    <w:rsid w:val="00A8586F"/>
    <w:rsid w:val="00A8590E"/>
    <w:rsid w:val="00A8595E"/>
    <w:rsid w:val="00A85A15"/>
    <w:rsid w:val="00A85A6F"/>
    <w:rsid w:val="00A85AEC"/>
    <w:rsid w:val="00A85B37"/>
    <w:rsid w:val="00A85B52"/>
    <w:rsid w:val="00A85BD0"/>
    <w:rsid w:val="00A85E03"/>
    <w:rsid w:val="00A85EF4"/>
    <w:rsid w:val="00A85F0D"/>
    <w:rsid w:val="00A85F27"/>
    <w:rsid w:val="00A86042"/>
    <w:rsid w:val="00A86151"/>
    <w:rsid w:val="00A863D5"/>
    <w:rsid w:val="00A8653A"/>
    <w:rsid w:val="00A865C2"/>
    <w:rsid w:val="00A86643"/>
    <w:rsid w:val="00A8671B"/>
    <w:rsid w:val="00A86750"/>
    <w:rsid w:val="00A86847"/>
    <w:rsid w:val="00A86921"/>
    <w:rsid w:val="00A86985"/>
    <w:rsid w:val="00A8698C"/>
    <w:rsid w:val="00A869D9"/>
    <w:rsid w:val="00A86A73"/>
    <w:rsid w:val="00A86AEC"/>
    <w:rsid w:val="00A86B0C"/>
    <w:rsid w:val="00A86C0F"/>
    <w:rsid w:val="00A86C2D"/>
    <w:rsid w:val="00A86C53"/>
    <w:rsid w:val="00A86C91"/>
    <w:rsid w:val="00A86CA0"/>
    <w:rsid w:val="00A86D19"/>
    <w:rsid w:val="00A86D5E"/>
    <w:rsid w:val="00A86EC7"/>
    <w:rsid w:val="00A86F0B"/>
    <w:rsid w:val="00A86F39"/>
    <w:rsid w:val="00A86FE3"/>
    <w:rsid w:val="00A87026"/>
    <w:rsid w:val="00A8702B"/>
    <w:rsid w:val="00A871A5"/>
    <w:rsid w:val="00A8720A"/>
    <w:rsid w:val="00A8723E"/>
    <w:rsid w:val="00A87296"/>
    <w:rsid w:val="00A8738D"/>
    <w:rsid w:val="00A87440"/>
    <w:rsid w:val="00A87485"/>
    <w:rsid w:val="00A875F9"/>
    <w:rsid w:val="00A876E1"/>
    <w:rsid w:val="00A878F2"/>
    <w:rsid w:val="00A879F7"/>
    <w:rsid w:val="00A87A1F"/>
    <w:rsid w:val="00A87CB8"/>
    <w:rsid w:val="00A87D2A"/>
    <w:rsid w:val="00A87D67"/>
    <w:rsid w:val="00A87DAA"/>
    <w:rsid w:val="00A87F57"/>
    <w:rsid w:val="00A87FB4"/>
    <w:rsid w:val="00A900C0"/>
    <w:rsid w:val="00A90197"/>
    <w:rsid w:val="00A9019B"/>
    <w:rsid w:val="00A90390"/>
    <w:rsid w:val="00A9052C"/>
    <w:rsid w:val="00A906A0"/>
    <w:rsid w:val="00A90816"/>
    <w:rsid w:val="00A9094B"/>
    <w:rsid w:val="00A909B1"/>
    <w:rsid w:val="00A90A9B"/>
    <w:rsid w:val="00A90F19"/>
    <w:rsid w:val="00A90F77"/>
    <w:rsid w:val="00A9105E"/>
    <w:rsid w:val="00A9107F"/>
    <w:rsid w:val="00A910B0"/>
    <w:rsid w:val="00A9112E"/>
    <w:rsid w:val="00A9115F"/>
    <w:rsid w:val="00A911F3"/>
    <w:rsid w:val="00A911F5"/>
    <w:rsid w:val="00A91248"/>
    <w:rsid w:val="00A912B7"/>
    <w:rsid w:val="00A91347"/>
    <w:rsid w:val="00A91457"/>
    <w:rsid w:val="00A91505"/>
    <w:rsid w:val="00A91536"/>
    <w:rsid w:val="00A915E5"/>
    <w:rsid w:val="00A916AC"/>
    <w:rsid w:val="00A916BE"/>
    <w:rsid w:val="00A9171C"/>
    <w:rsid w:val="00A917BA"/>
    <w:rsid w:val="00A91822"/>
    <w:rsid w:val="00A91826"/>
    <w:rsid w:val="00A91869"/>
    <w:rsid w:val="00A9188D"/>
    <w:rsid w:val="00A918C8"/>
    <w:rsid w:val="00A918C9"/>
    <w:rsid w:val="00A9194D"/>
    <w:rsid w:val="00A91A0D"/>
    <w:rsid w:val="00A91A93"/>
    <w:rsid w:val="00A91AC5"/>
    <w:rsid w:val="00A91BA1"/>
    <w:rsid w:val="00A91C6E"/>
    <w:rsid w:val="00A91D0D"/>
    <w:rsid w:val="00A91E66"/>
    <w:rsid w:val="00A9206F"/>
    <w:rsid w:val="00A920D7"/>
    <w:rsid w:val="00A920ED"/>
    <w:rsid w:val="00A92133"/>
    <w:rsid w:val="00A921E4"/>
    <w:rsid w:val="00A922B1"/>
    <w:rsid w:val="00A923C1"/>
    <w:rsid w:val="00A924B8"/>
    <w:rsid w:val="00A9252C"/>
    <w:rsid w:val="00A925F8"/>
    <w:rsid w:val="00A927AF"/>
    <w:rsid w:val="00A9291C"/>
    <w:rsid w:val="00A92969"/>
    <w:rsid w:val="00A929BF"/>
    <w:rsid w:val="00A92A4F"/>
    <w:rsid w:val="00A92ADA"/>
    <w:rsid w:val="00A92B7D"/>
    <w:rsid w:val="00A92EF4"/>
    <w:rsid w:val="00A9301C"/>
    <w:rsid w:val="00A9302F"/>
    <w:rsid w:val="00A93064"/>
    <w:rsid w:val="00A930D2"/>
    <w:rsid w:val="00A932F7"/>
    <w:rsid w:val="00A935EB"/>
    <w:rsid w:val="00A93669"/>
    <w:rsid w:val="00A93982"/>
    <w:rsid w:val="00A9399A"/>
    <w:rsid w:val="00A93BEE"/>
    <w:rsid w:val="00A93C6C"/>
    <w:rsid w:val="00A93CE6"/>
    <w:rsid w:val="00A93D38"/>
    <w:rsid w:val="00A93E22"/>
    <w:rsid w:val="00A93E4B"/>
    <w:rsid w:val="00A93ECA"/>
    <w:rsid w:val="00A93FEE"/>
    <w:rsid w:val="00A94165"/>
    <w:rsid w:val="00A941E4"/>
    <w:rsid w:val="00A94234"/>
    <w:rsid w:val="00A9428B"/>
    <w:rsid w:val="00A9428D"/>
    <w:rsid w:val="00A942FE"/>
    <w:rsid w:val="00A94502"/>
    <w:rsid w:val="00A94564"/>
    <w:rsid w:val="00A94876"/>
    <w:rsid w:val="00A94889"/>
    <w:rsid w:val="00A949ED"/>
    <w:rsid w:val="00A949F2"/>
    <w:rsid w:val="00A94B68"/>
    <w:rsid w:val="00A94BD8"/>
    <w:rsid w:val="00A94C3E"/>
    <w:rsid w:val="00A94DF8"/>
    <w:rsid w:val="00A94EC3"/>
    <w:rsid w:val="00A94F0D"/>
    <w:rsid w:val="00A94FFF"/>
    <w:rsid w:val="00A9503D"/>
    <w:rsid w:val="00A9509E"/>
    <w:rsid w:val="00A9513D"/>
    <w:rsid w:val="00A95156"/>
    <w:rsid w:val="00A951A7"/>
    <w:rsid w:val="00A951CE"/>
    <w:rsid w:val="00A95298"/>
    <w:rsid w:val="00A956C1"/>
    <w:rsid w:val="00A95755"/>
    <w:rsid w:val="00A95846"/>
    <w:rsid w:val="00A9597F"/>
    <w:rsid w:val="00A95983"/>
    <w:rsid w:val="00A959DD"/>
    <w:rsid w:val="00A95A93"/>
    <w:rsid w:val="00A95AB1"/>
    <w:rsid w:val="00A95BBC"/>
    <w:rsid w:val="00A95CF8"/>
    <w:rsid w:val="00A95D48"/>
    <w:rsid w:val="00A95EA2"/>
    <w:rsid w:val="00A95F56"/>
    <w:rsid w:val="00A95F85"/>
    <w:rsid w:val="00A95FA7"/>
    <w:rsid w:val="00A96002"/>
    <w:rsid w:val="00A9609B"/>
    <w:rsid w:val="00A963DC"/>
    <w:rsid w:val="00A965B0"/>
    <w:rsid w:val="00A96612"/>
    <w:rsid w:val="00A966A1"/>
    <w:rsid w:val="00A96740"/>
    <w:rsid w:val="00A96784"/>
    <w:rsid w:val="00A96793"/>
    <w:rsid w:val="00A9679B"/>
    <w:rsid w:val="00A9689D"/>
    <w:rsid w:val="00A968E9"/>
    <w:rsid w:val="00A96A31"/>
    <w:rsid w:val="00A96BD5"/>
    <w:rsid w:val="00A96D22"/>
    <w:rsid w:val="00A96D59"/>
    <w:rsid w:val="00A96DCC"/>
    <w:rsid w:val="00A96E89"/>
    <w:rsid w:val="00A9703B"/>
    <w:rsid w:val="00A97085"/>
    <w:rsid w:val="00A970E1"/>
    <w:rsid w:val="00A971A6"/>
    <w:rsid w:val="00A971B0"/>
    <w:rsid w:val="00A971C8"/>
    <w:rsid w:val="00A971DD"/>
    <w:rsid w:val="00A974DD"/>
    <w:rsid w:val="00A9761A"/>
    <w:rsid w:val="00A97675"/>
    <w:rsid w:val="00A977AB"/>
    <w:rsid w:val="00A9788E"/>
    <w:rsid w:val="00A97990"/>
    <w:rsid w:val="00A97A05"/>
    <w:rsid w:val="00A97A90"/>
    <w:rsid w:val="00A97AF2"/>
    <w:rsid w:val="00A97C4D"/>
    <w:rsid w:val="00A97D63"/>
    <w:rsid w:val="00A97E58"/>
    <w:rsid w:val="00A97FD3"/>
    <w:rsid w:val="00A97FD6"/>
    <w:rsid w:val="00A97FF8"/>
    <w:rsid w:val="00A9E4BC"/>
    <w:rsid w:val="00AA00CA"/>
    <w:rsid w:val="00AA00F0"/>
    <w:rsid w:val="00AA0131"/>
    <w:rsid w:val="00AA018E"/>
    <w:rsid w:val="00AA0214"/>
    <w:rsid w:val="00AA0270"/>
    <w:rsid w:val="00AA0411"/>
    <w:rsid w:val="00AA04CA"/>
    <w:rsid w:val="00AA04E6"/>
    <w:rsid w:val="00AA0693"/>
    <w:rsid w:val="00AA06A4"/>
    <w:rsid w:val="00AA07B6"/>
    <w:rsid w:val="00AA085F"/>
    <w:rsid w:val="00AA0878"/>
    <w:rsid w:val="00AA0908"/>
    <w:rsid w:val="00AA0BC1"/>
    <w:rsid w:val="00AA0BC6"/>
    <w:rsid w:val="00AA0C33"/>
    <w:rsid w:val="00AA0CE7"/>
    <w:rsid w:val="00AA0D08"/>
    <w:rsid w:val="00AA0D3E"/>
    <w:rsid w:val="00AA0D63"/>
    <w:rsid w:val="00AA0EAD"/>
    <w:rsid w:val="00AA0FF8"/>
    <w:rsid w:val="00AA1070"/>
    <w:rsid w:val="00AA10AF"/>
    <w:rsid w:val="00AA1190"/>
    <w:rsid w:val="00AA1200"/>
    <w:rsid w:val="00AA1226"/>
    <w:rsid w:val="00AA123F"/>
    <w:rsid w:val="00AA1275"/>
    <w:rsid w:val="00AA13BC"/>
    <w:rsid w:val="00AA15D5"/>
    <w:rsid w:val="00AA1722"/>
    <w:rsid w:val="00AA1802"/>
    <w:rsid w:val="00AA181B"/>
    <w:rsid w:val="00AA1834"/>
    <w:rsid w:val="00AA18F8"/>
    <w:rsid w:val="00AA1926"/>
    <w:rsid w:val="00AA19C8"/>
    <w:rsid w:val="00AA1A8B"/>
    <w:rsid w:val="00AA1AA9"/>
    <w:rsid w:val="00AA1C43"/>
    <w:rsid w:val="00AA1DD1"/>
    <w:rsid w:val="00AA1E94"/>
    <w:rsid w:val="00AA1ECD"/>
    <w:rsid w:val="00AA1ED6"/>
    <w:rsid w:val="00AA1FBC"/>
    <w:rsid w:val="00AA20AD"/>
    <w:rsid w:val="00AA20D7"/>
    <w:rsid w:val="00AA2206"/>
    <w:rsid w:val="00AA23CF"/>
    <w:rsid w:val="00AA2441"/>
    <w:rsid w:val="00AA2450"/>
    <w:rsid w:val="00AA257F"/>
    <w:rsid w:val="00AA2607"/>
    <w:rsid w:val="00AA264D"/>
    <w:rsid w:val="00AA26D2"/>
    <w:rsid w:val="00AA2716"/>
    <w:rsid w:val="00AA293B"/>
    <w:rsid w:val="00AA29D3"/>
    <w:rsid w:val="00AA2A0A"/>
    <w:rsid w:val="00AA2B41"/>
    <w:rsid w:val="00AA2C79"/>
    <w:rsid w:val="00AA2C9A"/>
    <w:rsid w:val="00AA2DBC"/>
    <w:rsid w:val="00AA31FE"/>
    <w:rsid w:val="00AA3213"/>
    <w:rsid w:val="00AA324F"/>
    <w:rsid w:val="00AA32BD"/>
    <w:rsid w:val="00AA335A"/>
    <w:rsid w:val="00AA3362"/>
    <w:rsid w:val="00AA345E"/>
    <w:rsid w:val="00AA349E"/>
    <w:rsid w:val="00AA34BF"/>
    <w:rsid w:val="00AA34C7"/>
    <w:rsid w:val="00AA358D"/>
    <w:rsid w:val="00AA3630"/>
    <w:rsid w:val="00AA3692"/>
    <w:rsid w:val="00AA36C0"/>
    <w:rsid w:val="00AA3715"/>
    <w:rsid w:val="00AA374C"/>
    <w:rsid w:val="00AA376D"/>
    <w:rsid w:val="00AA3823"/>
    <w:rsid w:val="00AA3B62"/>
    <w:rsid w:val="00AA3CAD"/>
    <w:rsid w:val="00AA3D3F"/>
    <w:rsid w:val="00AA3DE7"/>
    <w:rsid w:val="00AA3E24"/>
    <w:rsid w:val="00AA4091"/>
    <w:rsid w:val="00AA4116"/>
    <w:rsid w:val="00AA412C"/>
    <w:rsid w:val="00AA4196"/>
    <w:rsid w:val="00AA41CA"/>
    <w:rsid w:val="00AA41D7"/>
    <w:rsid w:val="00AA4229"/>
    <w:rsid w:val="00AA4271"/>
    <w:rsid w:val="00AA42F9"/>
    <w:rsid w:val="00AA4309"/>
    <w:rsid w:val="00AA432F"/>
    <w:rsid w:val="00AA435B"/>
    <w:rsid w:val="00AA43C1"/>
    <w:rsid w:val="00AA43E2"/>
    <w:rsid w:val="00AA442C"/>
    <w:rsid w:val="00AA449B"/>
    <w:rsid w:val="00AA4606"/>
    <w:rsid w:val="00AA4665"/>
    <w:rsid w:val="00AA46E2"/>
    <w:rsid w:val="00AA4771"/>
    <w:rsid w:val="00AA4810"/>
    <w:rsid w:val="00AA4868"/>
    <w:rsid w:val="00AA4908"/>
    <w:rsid w:val="00AA4ABD"/>
    <w:rsid w:val="00AA4C52"/>
    <w:rsid w:val="00AA4C9A"/>
    <w:rsid w:val="00AA4CD8"/>
    <w:rsid w:val="00AA4E26"/>
    <w:rsid w:val="00AA4EBB"/>
    <w:rsid w:val="00AA4F01"/>
    <w:rsid w:val="00AA4F22"/>
    <w:rsid w:val="00AA4F95"/>
    <w:rsid w:val="00AA50C8"/>
    <w:rsid w:val="00AA50CA"/>
    <w:rsid w:val="00AA50D0"/>
    <w:rsid w:val="00AA5202"/>
    <w:rsid w:val="00AA5307"/>
    <w:rsid w:val="00AA53A3"/>
    <w:rsid w:val="00AA53C3"/>
    <w:rsid w:val="00AA56E0"/>
    <w:rsid w:val="00AA574E"/>
    <w:rsid w:val="00AA575F"/>
    <w:rsid w:val="00AA578A"/>
    <w:rsid w:val="00AA57A1"/>
    <w:rsid w:val="00AA582C"/>
    <w:rsid w:val="00AA5848"/>
    <w:rsid w:val="00AA58B5"/>
    <w:rsid w:val="00AA58D6"/>
    <w:rsid w:val="00AA5993"/>
    <w:rsid w:val="00AA59B5"/>
    <w:rsid w:val="00AA5A22"/>
    <w:rsid w:val="00AA5A26"/>
    <w:rsid w:val="00AA5BC2"/>
    <w:rsid w:val="00AA5D23"/>
    <w:rsid w:val="00AA5D31"/>
    <w:rsid w:val="00AA5FBB"/>
    <w:rsid w:val="00AA6012"/>
    <w:rsid w:val="00AA6084"/>
    <w:rsid w:val="00AA60FD"/>
    <w:rsid w:val="00AA6113"/>
    <w:rsid w:val="00AA632F"/>
    <w:rsid w:val="00AA6485"/>
    <w:rsid w:val="00AA6580"/>
    <w:rsid w:val="00AA66CE"/>
    <w:rsid w:val="00AA677E"/>
    <w:rsid w:val="00AA67B6"/>
    <w:rsid w:val="00AA682D"/>
    <w:rsid w:val="00AA685C"/>
    <w:rsid w:val="00AA68CA"/>
    <w:rsid w:val="00AA69AF"/>
    <w:rsid w:val="00AA6CFC"/>
    <w:rsid w:val="00AA6D32"/>
    <w:rsid w:val="00AA6D53"/>
    <w:rsid w:val="00AA6E14"/>
    <w:rsid w:val="00AA6E19"/>
    <w:rsid w:val="00AA6E2D"/>
    <w:rsid w:val="00AA6ED3"/>
    <w:rsid w:val="00AA6EDE"/>
    <w:rsid w:val="00AA6F2F"/>
    <w:rsid w:val="00AA6F3C"/>
    <w:rsid w:val="00AA6F68"/>
    <w:rsid w:val="00AA6F88"/>
    <w:rsid w:val="00AA703C"/>
    <w:rsid w:val="00AA7040"/>
    <w:rsid w:val="00AA70B2"/>
    <w:rsid w:val="00AA7112"/>
    <w:rsid w:val="00AA72E4"/>
    <w:rsid w:val="00AA72F8"/>
    <w:rsid w:val="00AA730F"/>
    <w:rsid w:val="00AA731A"/>
    <w:rsid w:val="00AA7423"/>
    <w:rsid w:val="00AA7657"/>
    <w:rsid w:val="00AA76C5"/>
    <w:rsid w:val="00AA77F7"/>
    <w:rsid w:val="00AA7819"/>
    <w:rsid w:val="00AA78BB"/>
    <w:rsid w:val="00AA7910"/>
    <w:rsid w:val="00AA798A"/>
    <w:rsid w:val="00AA7AB0"/>
    <w:rsid w:val="00AA7AFD"/>
    <w:rsid w:val="00AA7C23"/>
    <w:rsid w:val="00AA7C4F"/>
    <w:rsid w:val="00AA7CCA"/>
    <w:rsid w:val="00AA7CED"/>
    <w:rsid w:val="00AA7D1F"/>
    <w:rsid w:val="00AA7D25"/>
    <w:rsid w:val="00AA7E29"/>
    <w:rsid w:val="00AA7F50"/>
    <w:rsid w:val="00AA7F8E"/>
    <w:rsid w:val="00AB01EB"/>
    <w:rsid w:val="00AB0260"/>
    <w:rsid w:val="00AB02BA"/>
    <w:rsid w:val="00AB02E6"/>
    <w:rsid w:val="00AB02F3"/>
    <w:rsid w:val="00AB0465"/>
    <w:rsid w:val="00AB0468"/>
    <w:rsid w:val="00AB059E"/>
    <w:rsid w:val="00AB0658"/>
    <w:rsid w:val="00AB080F"/>
    <w:rsid w:val="00AB0896"/>
    <w:rsid w:val="00AB0A25"/>
    <w:rsid w:val="00AB0A27"/>
    <w:rsid w:val="00AB0B10"/>
    <w:rsid w:val="00AB0B8D"/>
    <w:rsid w:val="00AB0BB3"/>
    <w:rsid w:val="00AB0CE8"/>
    <w:rsid w:val="00AB0CE9"/>
    <w:rsid w:val="00AB0D81"/>
    <w:rsid w:val="00AB0D83"/>
    <w:rsid w:val="00AB0F9D"/>
    <w:rsid w:val="00AB0FFC"/>
    <w:rsid w:val="00AB1136"/>
    <w:rsid w:val="00AB1184"/>
    <w:rsid w:val="00AB122A"/>
    <w:rsid w:val="00AB13E6"/>
    <w:rsid w:val="00AB1599"/>
    <w:rsid w:val="00AB1682"/>
    <w:rsid w:val="00AB16CA"/>
    <w:rsid w:val="00AB1784"/>
    <w:rsid w:val="00AB186D"/>
    <w:rsid w:val="00AB18B3"/>
    <w:rsid w:val="00AB19C6"/>
    <w:rsid w:val="00AB1ADA"/>
    <w:rsid w:val="00AB1B5A"/>
    <w:rsid w:val="00AB1B79"/>
    <w:rsid w:val="00AB1C0A"/>
    <w:rsid w:val="00AB1D30"/>
    <w:rsid w:val="00AB1D61"/>
    <w:rsid w:val="00AB1E4E"/>
    <w:rsid w:val="00AB1EA0"/>
    <w:rsid w:val="00AB1EF4"/>
    <w:rsid w:val="00AB1F6E"/>
    <w:rsid w:val="00AB2231"/>
    <w:rsid w:val="00AB2237"/>
    <w:rsid w:val="00AB226C"/>
    <w:rsid w:val="00AB229B"/>
    <w:rsid w:val="00AB2419"/>
    <w:rsid w:val="00AB25ED"/>
    <w:rsid w:val="00AB25FE"/>
    <w:rsid w:val="00AB27B4"/>
    <w:rsid w:val="00AB28A4"/>
    <w:rsid w:val="00AB28CE"/>
    <w:rsid w:val="00AB2910"/>
    <w:rsid w:val="00AB29C6"/>
    <w:rsid w:val="00AB2A28"/>
    <w:rsid w:val="00AB2A36"/>
    <w:rsid w:val="00AB2A9C"/>
    <w:rsid w:val="00AB2B3C"/>
    <w:rsid w:val="00AB2B46"/>
    <w:rsid w:val="00AB2C24"/>
    <w:rsid w:val="00AB2DD7"/>
    <w:rsid w:val="00AB2E12"/>
    <w:rsid w:val="00AB2FA3"/>
    <w:rsid w:val="00AB30C8"/>
    <w:rsid w:val="00AB3253"/>
    <w:rsid w:val="00AB371A"/>
    <w:rsid w:val="00AB378C"/>
    <w:rsid w:val="00AB3790"/>
    <w:rsid w:val="00AB37DE"/>
    <w:rsid w:val="00AB382A"/>
    <w:rsid w:val="00AB39EA"/>
    <w:rsid w:val="00AB3AB1"/>
    <w:rsid w:val="00AB3B67"/>
    <w:rsid w:val="00AB3C42"/>
    <w:rsid w:val="00AB3D49"/>
    <w:rsid w:val="00AB3EA5"/>
    <w:rsid w:val="00AB3EF6"/>
    <w:rsid w:val="00AB4013"/>
    <w:rsid w:val="00AB4081"/>
    <w:rsid w:val="00AB41E2"/>
    <w:rsid w:val="00AB431A"/>
    <w:rsid w:val="00AB461B"/>
    <w:rsid w:val="00AB4645"/>
    <w:rsid w:val="00AB4651"/>
    <w:rsid w:val="00AB4735"/>
    <w:rsid w:val="00AB487E"/>
    <w:rsid w:val="00AB4889"/>
    <w:rsid w:val="00AB49AD"/>
    <w:rsid w:val="00AB4AAC"/>
    <w:rsid w:val="00AB4D75"/>
    <w:rsid w:val="00AB505A"/>
    <w:rsid w:val="00AB5069"/>
    <w:rsid w:val="00AB50B0"/>
    <w:rsid w:val="00AB50E6"/>
    <w:rsid w:val="00AB513D"/>
    <w:rsid w:val="00AB52FE"/>
    <w:rsid w:val="00AB53F9"/>
    <w:rsid w:val="00AB5426"/>
    <w:rsid w:val="00AB5491"/>
    <w:rsid w:val="00AB54B1"/>
    <w:rsid w:val="00AB54BB"/>
    <w:rsid w:val="00AB54BF"/>
    <w:rsid w:val="00AB54E8"/>
    <w:rsid w:val="00AB55E9"/>
    <w:rsid w:val="00AB5628"/>
    <w:rsid w:val="00AB5787"/>
    <w:rsid w:val="00AB5867"/>
    <w:rsid w:val="00AB5894"/>
    <w:rsid w:val="00AB5AB3"/>
    <w:rsid w:val="00AB5AF5"/>
    <w:rsid w:val="00AB5B39"/>
    <w:rsid w:val="00AB5BE0"/>
    <w:rsid w:val="00AB5C9C"/>
    <w:rsid w:val="00AB5DA9"/>
    <w:rsid w:val="00AB5DCD"/>
    <w:rsid w:val="00AB5E4E"/>
    <w:rsid w:val="00AB5EE1"/>
    <w:rsid w:val="00AB5F7D"/>
    <w:rsid w:val="00AB5FC1"/>
    <w:rsid w:val="00AB6068"/>
    <w:rsid w:val="00AB606D"/>
    <w:rsid w:val="00AB60A1"/>
    <w:rsid w:val="00AB61CD"/>
    <w:rsid w:val="00AB6240"/>
    <w:rsid w:val="00AB63F1"/>
    <w:rsid w:val="00AB6474"/>
    <w:rsid w:val="00AB64FF"/>
    <w:rsid w:val="00AB65C6"/>
    <w:rsid w:val="00AB65CD"/>
    <w:rsid w:val="00AB66B7"/>
    <w:rsid w:val="00AB66E2"/>
    <w:rsid w:val="00AB6704"/>
    <w:rsid w:val="00AB690E"/>
    <w:rsid w:val="00AB697E"/>
    <w:rsid w:val="00AB6AC8"/>
    <w:rsid w:val="00AB6B82"/>
    <w:rsid w:val="00AB6B96"/>
    <w:rsid w:val="00AB6BC0"/>
    <w:rsid w:val="00AB6C10"/>
    <w:rsid w:val="00AB6CF7"/>
    <w:rsid w:val="00AB6EEA"/>
    <w:rsid w:val="00AB71BD"/>
    <w:rsid w:val="00AB71D3"/>
    <w:rsid w:val="00AB71D8"/>
    <w:rsid w:val="00AB72E0"/>
    <w:rsid w:val="00AB7375"/>
    <w:rsid w:val="00AB737C"/>
    <w:rsid w:val="00AB739F"/>
    <w:rsid w:val="00AB7462"/>
    <w:rsid w:val="00AB74A0"/>
    <w:rsid w:val="00AB759F"/>
    <w:rsid w:val="00AB75B9"/>
    <w:rsid w:val="00AB75C0"/>
    <w:rsid w:val="00AB7643"/>
    <w:rsid w:val="00AB7744"/>
    <w:rsid w:val="00AB7750"/>
    <w:rsid w:val="00AB776B"/>
    <w:rsid w:val="00AB7806"/>
    <w:rsid w:val="00AB7828"/>
    <w:rsid w:val="00AB795D"/>
    <w:rsid w:val="00AB7A3C"/>
    <w:rsid w:val="00AB7B35"/>
    <w:rsid w:val="00AB7CD9"/>
    <w:rsid w:val="00AB7CEF"/>
    <w:rsid w:val="00AB7D09"/>
    <w:rsid w:val="00AB7DCF"/>
    <w:rsid w:val="00AB7EEB"/>
    <w:rsid w:val="00AB7FD8"/>
    <w:rsid w:val="00AC0006"/>
    <w:rsid w:val="00AC0008"/>
    <w:rsid w:val="00AC0026"/>
    <w:rsid w:val="00AC00A0"/>
    <w:rsid w:val="00AC0390"/>
    <w:rsid w:val="00AC039C"/>
    <w:rsid w:val="00AC03A4"/>
    <w:rsid w:val="00AC03C5"/>
    <w:rsid w:val="00AC0549"/>
    <w:rsid w:val="00AC06A2"/>
    <w:rsid w:val="00AC07BB"/>
    <w:rsid w:val="00AC07F4"/>
    <w:rsid w:val="00AC0847"/>
    <w:rsid w:val="00AC0890"/>
    <w:rsid w:val="00AC08B0"/>
    <w:rsid w:val="00AC08BE"/>
    <w:rsid w:val="00AC097D"/>
    <w:rsid w:val="00AC0AA3"/>
    <w:rsid w:val="00AC0ABE"/>
    <w:rsid w:val="00AC0AE9"/>
    <w:rsid w:val="00AC0B33"/>
    <w:rsid w:val="00AC0BE9"/>
    <w:rsid w:val="00AC0C36"/>
    <w:rsid w:val="00AC0DD6"/>
    <w:rsid w:val="00AC0E73"/>
    <w:rsid w:val="00AC0E94"/>
    <w:rsid w:val="00AC0FF2"/>
    <w:rsid w:val="00AC10D5"/>
    <w:rsid w:val="00AC111C"/>
    <w:rsid w:val="00AC1150"/>
    <w:rsid w:val="00AC133A"/>
    <w:rsid w:val="00AC1471"/>
    <w:rsid w:val="00AC1487"/>
    <w:rsid w:val="00AC1494"/>
    <w:rsid w:val="00AC1498"/>
    <w:rsid w:val="00AC152D"/>
    <w:rsid w:val="00AC15C8"/>
    <w:rsid w:val="00AC15F6"/>
    <w:rsid w:val="00AC16AC"/>
    <w:rsid w:val="00AC16C2"/>
    <w:rsid w:val="00AC1795"/>
    <w:rsid w:val="00AC1935"/>
    <w:rsid w:val="00AC1A0A"/>
    <w:rsid w:val="00AC1CDC"/>
    <w:rsid w:val="00AC1CE1"/>
    <w:rsid w:val="00AC1CF6"/>
    <w:rsid w:val="00AC1E05"/>
    <w:rsid w:val="00AC1EAA"/>
    <w:rsid w:val="00AC1F02"/>
    <w:rsid w:val="00AC1F48"/>
    <w:rsid w:val="00AC220B"/>
    <w:rsid w:val="00AC2212"/>
    <w:rsid w:val="00AC23EE"/>
    <w:rsid w:val="00AC242D"/>
    <w:rsid w:val="00AC24C0"/>
    <w:rsid w:val="00AC24D6"/>
    <w:rsid w:val="00AC251A"/>
    <w:rsid w:val="00AC2561"/>
    <w:rsid w:val="00AC26BF"/>
    <w:rsid w:val="00AC27DF"/>
    <w:rsid w:val="00AC2813"/>
    <w:rsid w:val="00AC290D"/>
    <w:rsid w:val="00AC2919"/>
    <w:rsid w:val="00AC293E"/>
    <w:rsid w:val="00AC2A40"/>
    <w:rsid w:val="00AC2AB9"/>
    <w:rsid w:val="00AC2AE8"/>
    <w:rsid w:val="00AC2BBE"/>
    <w:rsid w:val="00AC2BE5"/>
    <w:rsid w:val="00AC2CF6"/>
    <w:rsid w:val="00AC2D74"/>
    <w:rsid w:val="00AC2D95"/>
    <w:rsid w:val="00AC2DB1"/>
    <w:rsid w:val="00AC2E36"/>
    <w:rsid w:val="00AC2E7A"/>
    <w:rsid w:val="00AC2EE4"/>
    <w:rsid w:val="00AC2F23"/>
    <w:rsid w:val="00AC2FBB"/>
    <w:rsid w:val="00AC3060"/>
    <w:rsid w:val="00AC30C8"/>
    <w:rsid w:val="00AC30CD"/>
    <w:rsid w:val="00AC31A8"/>
    <w:rsid w:val="00AC31C2"/>
    <w:rsid w:val="00AC3254"/>
    <w:rsid w:val="00AC330E"/>
    <w:rsid w:val="00AC369A"/>
    <w:rsid w:val="00AC36AF"/>
    <w:rsid w:val="00AC3731"/>
    <w:rsid w:val="00AC3753"/>
    <w:rsid w:val="00AC376F"/>
    <w:rsid w:val="00AC37DE"/>
    <w:rsid w:val="00AC3832"/>
    <w:rsid w:val="00AC383B"/>
    <w:rsid w:val="00AC384B"/>
    <w:rsid w:val="00AC39D5"/>
    <w:rsid w:val="00AC3A5C"/>
    <w:rsid w:val="00AC3AA7"/>
    <w:rsid w:val="00AC3BA2"/>
    <w:rsid w:val="00AC3BEC"/>
    <w:rsid w:val="00AC3D30"/>
    <w:rsid w:val="00AC3DE9"/>
    <w:rsid w:val="00AC3E51"/>
    <w:rsid w:val="00AC3EB1"/>
    <w:rsid w:val="00AC3EBE"/>
    <w:rsid w:val="00AC3F38"/>
    <w:rsid w:val="00AC409F"/>
    <w:rsid w:val="00AC40D6"/>
    <w:rsid w:val="00AC418B"/>
    <w:rsid w:val="00AC41FE"/>
    <w:rsid w:val="00AC431E"/>
    <w:rsid w:val="00AC438C"/>
    <w:rsid w:val="00AC43A4"/>
    <w:rsid w:val="00AC4478"/>
    <w:rsid w:val="00AC4846"/>
    <w:rsid w:val="00AC48A9"/>
    <w:rsid w:val="00AC4966"/>
    <w:rsid w:val="00AC4968"/>
    <w:rsid w:val="00AC4D2B"/>
    <w:rsid w:val="00AC4D6F"/>
    <w:rsid w:val="00AC4D7E"/>
    <w:rsid w:val="00AC5173"/>
    <w:rsid w:val="00AC518F"/>
    <w:rsid w:val="00AC523A"/>
    <w:rsid w:val="00AC5278"/>
    <w:rsid w:val="00AC52B9"/>
    <w:rsid w:val="00AC531B"/>
    <w:rsid w:val="00AC532D"/>
    <w:rsid w:val="00AC5395"/>
    <w:rsid w:val="00AC5436"/>
    <w:rsid w:val="00AC54BB"/>
    <w:rsid w:val="00AC54D5"/>
    <w:rsid w:val="00AC559B"/>
    <w:rsid w:val="00AC5806"/>
    <w:rsid w:val="00AC588D"/>
    <w:rsid w:val="00AC59FB"/>
    <w:rsid w:val="00AC5B84"/>
    <w:rsid w:val="00AC5BB2"/>
    <w:rsid w:val="00AC5C4C"/>
    <w:rsid w:val="00AC5C50"/>
    <w:rsid w:val="00AC5D59"/>
    <w:rsid w:val="00AC5DF3"/>
    <w:rsid w:val="00AC5E94"/>
    <w:rsid w:val="00AC5F0E"/>
    <w:rsid w:val="00AC5FC5"/>
    <w:rsid w:val="00AC6034"/>
    <w:rsid w:val="00AC604C"/>
    <w:rsid w:val="00AC6066"/>
    <w:rsid w:val="00AC6071"/>
    <w:rsid w:val="00AC609A"/>
    <w:rsid w:val="00AC60F1"/>
    <w:rsid w:val="00AC613D"/>
    <w:rsid w:val="00AC61B5"/>
    <w:rsid w:val="00AC62C4"/>
    <w:rsid w:val="00AC6327"/>
    <w:rsid w:val="00AC6387"/>
    <w:rsid w:val="00AC6447"/>
    <w:rsid w:val="00AC64A4"/>
    <w:rsid w:val="00AC660B"/>
    <w:rsid w:val="00AC664A"/>
    <w:rsid w:val="00AC66A8"/>
    <w:rsid w:val="00AC672A"/>
    <w:rsid w:val="00AC6771"/>
    <w:rsid w:val="00AC67D0"/>
    <w:rsid w:val="00AC68B8"/>
    <w:rsid w:val="00AC68C6"/>
    <w:rsid w:val="00AC6983"/>
    <w:rsid w:val="00AC6999"/>
    <w:rsid w:val="00AC69BB"/>
    <w:rsid w:val="00AC69BE"/>
    <w:rsid w:val="00AC6A58"/>
    <w:rsid w:val="00AC6C85"/>
    <w:rsid w:val="00AC6D3D"/>
    <w:rsid w:val="00AC6DF7"/>
    <w:rsid w:val="00AC6F8D"/>
    <w:rsid w:val="00AC716C"/>
    <w:rsid w:val="00AC723E"/>
    <w:rsid w:val="00AC72E8"/>
    <w:rsid w:val="00AC756C"/>
    <w:rsid w:val="00AC7578"/>
    <w:rsid w:val="00AC7677"/>
    <w:rsid w:val="00AC783D"/>
    <w:rsid w:val="00AC7859"/>
    <w:rsid w:val="00AC7CC7"/>
    <w:rsid w:val="00AC7EBC"/>
    <w:rsid w:val="00AC7F5D"/>
    <w:rsid w:val="00AC7F61"/>
    <w:rsid w:val="00AD003F"/>
    <w:rsid w:val="00AD00E7"/>
    <w:rsid w:val="00AD0101"/>
    <w:rsid w:val="00AD0150"/>
    <w:rsid w:val="00AD01B0"/>
    <w:rsid w:val="00AD021C"/>
    <w:rsid w:val="00AD0343"/>
    <w:rsid w:val="00AD0346"/>
    <w:rsid w:val="00AD03B6"/>
    <w:rsid w:val="00AD0661"/>
    <w:rsid w:val="00AD0662"/>
    <w:rsid w:val="00AD06DF"/>
    <w:rsid w:val="00AD0804"/>
    <w:rsid w:val="00AD0834"/>
    <w:rsid w:val="00AD0973"/>
    <w:rsid w:val="00AD097A"/>
    <w:rsid w:val="00AD098B"/>
    <w:rsid w:val="00AD0BAD"/>
    <w:rsid w:val="00AD0C6B"/>
    <w:rsid w:val="00AD0CAD"/>
    <w:rsid w:val="00AD0D10"/>
    <w:rsid w:val="00AD0DE4"/>
    <w:rsid w:val="00AD0F5F"/>
    <w:rsid w:val="00AD1036"/>
    <w:rsid w:val="00AD1181"/>
    <w:rsid w:val="00AD1238"/>
    <w:rsid w:val="00AD1283"/>
    <w:rsid w:val="00AD12CE"/>
    <w:rsid w:val="00AD13A7"/>
    <w:rsid w:val="00AD1413"/>
    <w:rsid w:val="00AD1430"/>
    <w:rsid w:val="00AD14CA"/>
    <w:rsid w:val="00AD1598"/>
    <w:rsid w:val="00AD15EE"/>
    <w:rsid w:val="00AD17D8"/>
    <w:rsid w:val="00AD1818"/>
    <w:rsid w:val="00AD1862"/>
    <w:rsid w:val="00AD1A0F"/>
    <w:rsid w:val="00AD1A1F"/>
    <w:rsid w:val="00AD1A4A"/>
    <w:rsid w:val="00AD1B49"/>
    <w:rsid w:val="00AD1C14"/>
    <w:rsid w:val="00AD1C31"/>
    <w:rsid w:val="00AD1CBE"/>
    <w:rsid w:val="00AD1D65"/>
    <w:rsid w:val="00AD1DD9"/>
    <w:rsid w:val="00AD1FBF"/>
    <w:rsid w:val="00AD1FE2"/>
    <w:rsid w:val="00AD20D7"/>
    <w:rsid w:val="00AD20EC"/>
    <w:rsid w:val="00AD20FD"/>
    <w:rsid w:val="00AD2160"/>
    <w:rsid w:val="00AD21DC"/>
    <w:rsid w:val="00AD2237"/>
    <w:rsid w:val="00AD22F9"/>
    <w:rsid w:val="00AD23E9"/>
    <w:rsid w:val="00AD240D"/>
    <w:rsid w:val="00AD2427"/>
    <w:rsid w:val="00AD256B"/>
    <w:rsid w:val="00AD2775"/>
    <w:rsid w:val="00AD29C2"/>
    <w:rsid w:val="00AD29E4"/>
    <w:rsid w:val="00AD2A45"/>
    <w:rsid w:val="00AD2A84"/>
    <w:rsid w:val="00AD2A8D"/>
    <w:rsid w:val="00AD2CA0"/>
    <w:rsid w:val="00AD2CD9"/>
    <w:rsid w:val="00AD2DEF"/>
    <w:rsid w:val="00AD2E1E"/>
    <w:rsid w:val="00AD2F19"/>
    <w:rsid w:val="00AD2F67"/>
    <w:rsid w:val="00AD2F84"/>
    <w:rsid w:val="00AD306B"/>
    <w:rsid w:val="00AD30F6"/>
    <w:rsid w:val="00AD310A"/>
    <w:rsid w:val="00AD322C"/>
    <w:rsid w:val="00AD3287"/>
    <w:rsid w:val="00AD3331"/>
    <w:rsid w:val="00AD3393"/>
    <w:rsid w:val="00AD3473"/>
    <w:rsid w:val="00AD34BC"/>
    <w:rsid w:val="00AD3703"/>
    <w:rsid w:val="00AD370A"/>
    <w:rsid w:val="00AD379F"/>
    <w:rsid w:val="00AD37EC"/>
    <w:rsid w:val="00AD388B"/>
    <w:rsid w:val="00AD3976"/>
    <w:rsid w:val="00AD39B3"/>
    <w:rsid w:val="00AD3B33"/>
    <w:rsid w:val="00AD3C6D"/>
    <w:rsid w:val="00AD3D4F"/>
    <w:rsid w:val="00AD3E21"/>
    <w:rsid w:val="00AD3FA8"/>
    <w:rsid w:val="00AD4095"/>
    <w:rsid w:val="00AD40B3"/>
    <w:rsid w:val="00AD4172"/>
    <w:rsid w:val="00AD4185"/>
    <w:rsid w:val="00AD4215"/>
    <w:rsid w:val="00AD43AB"/>
    <w:rsid w:val="00AD4723"/>
    <w:rsid w:val="00AD47DF"/>
    <w:rsid w:val="00AD48C7"/>
    <w:rsid w:val="00AD4922"/>
    <w:rsid w:val="00AD4AD2"/>
    <w:rsid w:val="00AD4C52"/>
    <w:rsid w:val="00AD4CC8"/>
    <w:rsid w:val="00AD4CE6"/>
    <w:rsid w:val="00AD4CF6"/>
    <w:rsid w:val="00AD4E71"/>
    <w:rsid w:val="00AD4F01"/>
    <w:rsid w:val="00AD4F33"/>
    <w:rsid w:val="00AD500E"/>
    <w:rsid w:val="00AD5184"/>
    <w:rsid w:val="00AD522C"/>
    <w:rsid w:val="00AD527A"/>
    <w:rsid w:val="00AD5455"/>
    <w:rsid w:val="00AD54C0"/>
    <w:rsid w:val="00AD55F0"/>
    <w:rsid w:val="00AD55F7"/>
    <w:rsid w:val="00AD5651"/>
    <w:rsid w:val="00AD5775"/>
    <w:rsid w:val="00AD578E"/>
    <w:rsid w:val="00AD57D8"/>
    <w:rsid w:val="00AD586F"/>
    <w:rsid w:val="00AD58CD"/>
    <w:rsid w:val="00AD5AF9"/>
    <w:rsid w:val="00AD5AFA"/>
    <w:rsid w:val="00AD5C63"/>
    <w:rsid w:val="00AD5F15"/>
    <w:rsid w:val="00AD5F2A"/>
    <w:rsid w:val="00AD5FD5"/>
    <w:rsid w:val="00AD6019"/>
    <w:rsid w:val="00AD618D"/>
    <w:rsid w:val="00AD61B3"/>
    <w:rsid w:val="00AD621A"/>
    <w:rsid w:val="00AD64D1"/>
    <w:rsid w:val="00AD64E8"/>
    <w:rsid w:val="00AD6512"/>
    <w:rsid w:val="00AD667D"/>
    <w:rsid w:val="00AD66D8"/>
    <w:rsid w:val="00AD66F7"/>
    <w:rsid w:val="00AD6736"/>
    <w:rsid w:val="00AD67D8"/>
    <w:rsid w:val="00AD67FE"/>
    <w:rsid w:val="00AD6825"/>
    <w:rsid w:val="00AD6975"/>
    <w:rsid w:val="00AD699B"/>
    <w:rsid w:val="00AD69FB"/>
    <w:rsid w:val="00AD6CBC"/>
    <w:rsid w:val="00AD6D7D"/>
    <w:rsid w:val="00AD6D94"/>
    <w:rsid w:val="00AD6DB4"/>
    <w:rsid w:val="00AD6E96"/>
    <w:rsid w:val="00AD6EB4"/>
    <w:rsid w:val="00AD6F05"/>
    <w:rsid w:val="00AD6F86"/>
    <w:rsid w:val="00AD7128"/>
    <w:rsid w:val="00AD7133"/>
    <w:rsid w:val="00AD71B7"/>
    <w:rsid w:val="00AD71B9"/>
    <w:rsid w:val="00AD72DF"/>
    <w:rsid w:val="00AD72E2"/>
    <w:rsid w:val="00AD72EA"/>
    <w:rsid w:val="00AD7472"/>
    <w:rsid w:val="00AD747F"/>
    <w:rsid w:val="00AD7481"/>
    <w:rsid w:val="00AD75BF"/>
    <w:rsid w:val="00AD769A"/>
    <w:rsid w:val="00AD781D"/>
    <w:rsid w:val="00AD78CC"/>
    <w:rsid w:val="00AD7A2A"/>
    <w:rsid w:val="00AD7A89"/>
    <w:rsid w:val="00AD7B35"/>
    <w:rsid w:val="00AD7C05"/>
    <w:rsid w:val="00AD7C4D"/>
    <w:rsid w:val="00AD7CEC"/>
    <w:rsid w:val="00AD7F22"/>
    <w:rsid w:val="00AD7F4D"/>
    <w:rsid w:val="00AE0012"/>
    <w:rsid w:val="00AE0023"/>
    <w:rsid w:val="00AE0059"/>
    <w:rsid w:val="00AE011D"/>
    <w:rsid w:val="00AE025F"/>
    <w:rsid w:val="00AE0263"/>
    <w:rsid w:val="00AE02A8"/>
    <w:rsid w:val="00AE032C"/>
    <w:rsid w:val="00AE039A"/>
    <w:rsid w:val="00AE03ED"/>
    <w:rsid w:val="00AE0413"/>
    <w:rsid w:val="00AE0478"/>
    <w:rsid w:val="00AE04E3"/>
    <w:rsid w:val="00AE05FD"/>
    <w:rsid w:val="00AE061E"/>
    <w:rsid w:val="00AE065A"/>
    <w:rsid w:val="00AE06D0"/>
    <w:rsid w:val="00AE0865"/>
    <w:rsid w:val="00AE088D"/>
    <w:rsid w:val="00AE0967"/>
    <w:rsid w:val="00AE0A31"/>
    <w:rsid w:val="00AE0A5C"/>
    <w:rsid w:val="00AE0A77"/>
    <w:rsid w:val="00AE0B0A"/>
    <w:rsid w:val="00AE0BE2"/>
    <w:rsid w:val="00AE0CB6"/>
    <w:rsid w:val="00AE0EDD"/>
    <w:rsid w:val="00AE0EE7"/>
    <w:rsid w:val="00AE1134"/>
    <w:rsid w:val="00AE123B"/>
    <w:rsid w:val="00AE1454"/>
    <w:rsid w:val="00AE147C"/>
    <w:rsid w:val="00AE15B3"/>
    <w:rsid w:val="00AE15B8"/>
    <w:rsid w:val="00AE161D"/>
    <w:rsid w:val="00AE1704"/>
    <w:rsid w:val="00AE17C7"/>
    <w:rsid w:val="00AE19AD"/>
    <w:rsid w:val="00AE19CD"/>
    <w:rsid w:val="00AE1AD7"/>
    <w:rsid w:val="00AE1B64"/>
    <w:rsid w:val="00AE1C12"/>
    <w:rsid w:val="00AE1D64"/>
    <w:rsid w:val="00AE1F2F"/>
    <w:rsid w:val="00AE1FC2"/>
    <w:rsid w:val="00AE208D"/>
    <w:rsid w:val="00AE2168"/>
    <w:rsid w:val="00AE219B"/>
    <w:rsid w:val="00AE2219"/>
    <w:rsid w:val="00AE227D"/>
    <w:rsid w:val="00AE2309"/>
    <w:rsid w:val="00AE2362"/>
    <w:rsid w:val="00AE23F0"/>
    <w:rsid w:val="00AE2404"/>
    <w:rsid w:val="00AE24A7"/>
    <w:rsid w:val="00AE257A"/>
    <w:rsid w:val="00AE2607"/>
    <w:rsid w:val="00AE26A4"/>
    <w:rsid w:val="00AE26FC"/>
    <w:rsid w:val="00AE276A"/>
    <w:rsid w:val="00AE281A"/>
    <w:rsid w:val="00AE2831"/>
    <w:rsid w:val="00AE284D"/>
    <w:rsid w:val="00AE2A54"/>
    <w:rsid w:val="00AE2BB9"/>
    <w:rsid w:val="00AE2F1C"/>
    <w:rsid w:val="00AE2FC5"/>
    <w:rsid w:val="00AE31C0"/>
    <w:rsid w:val="00AE322B"/>
    <w:rsid w:val="00AE3281"/>
    <w:rsid w:val="00AE32A4"/>
    <w:rsid w:val="00AE32AA"/>
    <w:rsid w:val="00AE346C"/>
    <w:rsid w:val="00AE3585"/>
    <w:rsid w:val="00AE362E"/>
    <w:rsid w:val="00AE3633"/>
    <w:rsid w:val="00AE364F"/>
    <w:rsid w:val="00AE37AD"/>
    <w:rsid w:val="00AE37E6"/>
    <w:rsid w:val="00AE384D"/>
    <w:rsid w:val="00AE3873"/>
    <w:rsid w:val="00AE38CC"/>
    <w:rsid w:val="00AE3970"/>
    <w:rsid w:val="00AE399E"/>
    <w:rsid w:val="00AE3B0B"/>
    <w:rsid w:val="00AE3B13"/>
    <w:rsid w:val="00AE3B35"/>
    <w:rsid w:val="00AE3B7A"/>
    <w:rsid w:val="00AE3CF2"/>
    <w:rsid w:val="00AE3D70"/>
    <w:rsid w:val="00AE3DAB"/>
    <w:rsid w:val="00AE3DAC"/>
    <w:rsid w:val="00AE3DC9"/>
    <w:rsid w:val="00AE3EA4"/>
    <w:rsid w:val="00AE3F78"/>
    <w:rsid w:val="00AE4063"/>
    <w:rsid w:val="00AE406A"/>
    <w:rsid w:val="00AE4177"/>
    <w:rsid w:val="00AE4197"/>
    <w:rsid w:val="00AE41C1"/>
    <w:rsid w:val="00AE4453"/>
    <w:rsid w:val="00AE452B"/>
    <w:rsid w:val="00AE4551"/>
    <w:rsid w:val="00AE4583"/>
    <w:rsid w:val="00AE4585"/>
    <w:rsid w:val="00AE46A8"/>
    <w:rsid w:val="00AE475D"/>
    <w:rsid w:val="00AE48CD"/>
    <w:rsid w:val="00AE4A07"/>
    <w:rsid w:val="00AE4A3C"/>
    <w:rsid w:val="00AE4AF1"/>
    <w:rsid w:val="00AE4BAC"/>
    <w:rsid w:val="00AE4BF2"/>
    <w:rsid w:val="00AE4BFA"/>
    <w:rsid w:val="00AE4C16"/>
    <w:rsid w:val="00AE4C2B"/>
    <w:rsid w:val="00AE4C63"/>
    <w:rsid w:val="00AE4C75"/>
    <w:rsid w:val="00AE4CB5"/>
    <w:rsid w:val="00AE4CE4"/>
    <w:rsid w:val="00AE4F59"/>
    <w:rsid w:val="00AE4FC4"/>
    <w:rsid w:val="00AE5011"/>
    <w:rsid w:val="00AE520E"/>
    <w:rsid w:val="00AE52B9"/>
    <w:rsid w:val="00AE54B9"/>
    <w:rsid w:val="00AE55EF"/>
    <w:rsid w:val="00AE5800"/>
    <w:rsid w:val="00AE58B1"/>
    <w:rsid w:val="00AE595E"/>
    <w:rsid w:val="00AE5A89"/>
    <w:rsid w:val="00AE5B5A"/>
    <w:rsid w:val="00AE5C5A"/>
    <w:rsid w:val="00AE5D6E"/>
    <w:rsid w:val="00AE5DC2"/>
    <w:rsid w:val="00AE5E47"/>
    <w:rsid w:val="00AE5FC3"/>
    <w:rsid w:val="00AE5FC8"/>
    <w:rsid w:val="00AE60DB"/>
    <w:rsid w:val="00AE60F6"/>
    <w:rsid w:val="00AE6213"/>
    <w:rsid w:val="00AE62D4"/>
    <w:rsid w:val="00AE639B"/>
    <w:rsid w:val="00AE6449"/>
    <w:rsid w:val="00AE6553"/>
    <w:rsid w:val="00AE6619"/>
    <w:rsid w:val="00AE6745"/>
    <w:rsid w:val="00AE6748"/>
    <w:rsid w:val="00AE6771"/>
    <w:rsid w:val="00AE67C4"/>
    <w:rsid w:val="00AE6898"/>
    <w:rsid w:val="00AE6981"/>
    <w:rsid w:val="00AE69D9"/>
    <w:rsid w:val="00AE69FB"/>
    <w:rsid w:val="00AE6A55"/>
    <w:rsid w:val="00AE6AC6"/>
    <w:rsid w:val="00AE6B2F"/>
    <w:rsid w:val="00AE6BE2"/>
    <w:rsid w:val="00AE6DC4"/>
    <w:rsid w:val="00AE6EA7"/>
    <w:rsid w:val="00AE6F6C"/>
    <w:rsid w:val="00AE7104"/>
    <w:rsid w:val="00AE712F"/>
    <w:rsid w:val="00AE7234"/>
    <w:rsid w:val="00AE7240"/>
    <w:rsid w:val="00AE7256"/>
    <w:rsid w:val="00AE7272"/>
    <w:rsid w:val="00AE7293"/>
    <w:rsid w:val="00AE7297"/>
    <w:rsid w:val="00AE72BF"/>
    <w:rsid w:val="00AE7451"/>
    <w:rsid w:val="00AE74E3"/>
    <w:rsid w:val="00AE7552"/>
    <w:rsid w:val="00AE760E"/>
    <w:rsid w:val="00AE7981"/>
    <w:rsid w:val="00AE79C5"/>
    <w:rsid w:val="00AE7A4B"/>
    <w:rsid w:val="00AE7A99"/>
    <w:rsid w:val="00AE7B10"/>
    <w:rsid w:val="00AE7B96"/>
    <w:rsid w:val="00AE7BD5"/>
    <w:rsid w:val="00AE7D85"/>
    <w:rsid w:val="00AE7E39"/>
    <w:rsid w:val="00AE7E70"/>
    <w:rsid w:val="00AE7ED0"/>
    <w:rsid w:val="00AE7F2B"/>
    <w:rsid w:val="00AE7F33"/>
    <w:rsid w:val="00AF003A"/>
    <w:rsid w:val="00AF010F"/>
    <w:rsid w:val="00AF021C"/>
    <w:rsid w:val="00AF022B"/>
    <w:rsid w:val="00AF0330"/>
    <w:rsid w:val="00AF0352"/>
    <w:rsid w:val="00AF0358"/>
    <w:rsid w:val="00AF06BB"/>
    <w:rsid w:val="00AF076E"/>
    <w:rsid w:val="00AF0887"/>
    <w:rsid w:val="00AF08A9"/>
    <w:rsid w:val="00AF08CB"/>
    <w:rsid w:val="00AF096E"/>
    <w:rsid w:val="00AF0988"/>
    <w:rsid w:val="00AF09A2"/>
    <w:rsid w:val="00AF09B1"/>
    <w:rsid w:val="00AF0B4D"/>
    <w:rsid w:val="00AF0C0B"/>
    <w:rsid w:val="00AF0CC7"/>
    <w:rsid w:val="00AF0FD0"/>
    <w:rsid w:val="00AF1099"/>
    <w:rsid w:val="00AF10A7"/>
    <w:rsid w:val="00AF11BF"/>
    <w:rsid w:val="00AF11D8"/>
    <w:rsid w:val="00AF11E0"/>
    <w:rsid w:val="00AF12E8"/>
    <w:rsid w:val="00AF130D"/>
    <w:rsid w:val="00AF1375"/>
    <w:rsid w:val="00AF1573"/>
    <w:rsid w:val="00AF16FF"/>
    <w:rsid w:val="00AF181C"/>
    <w:rsid w:val="00AF1887"/>
    <w:rsid w:val="00AF1973"/>
    <w:rsid w:val="00AF19C8"/>
    <w:rsid w:val="00AF19CB"/>
    <w:rsid w:val="00AF19F9"/>
    <w:rsid w:val="00AF1C40"/>
    <w:rsid w:val="00AF1C9D"/>
    <w:rsid w:val="00AF1CF4"/>
    <w:rsid w:val="00AF1CFD"/>
    <w:rsid w:val="00AF1D5A"/>
    <w:rsid w:val="00AF1E8C"/>
    <w:rsid w:val="00AF1FC9"/>
    <w:rsid w:val="00AF1FF4"/>
    <w:rsid w:val="00AF2023"/>
    <w:rsid w:val="00AF2089"/>
    <w:rsid w:val="00AF2203"/>
    <w:rsid w:val="00AF2273"/>
    <w:rsid w:val="00AF2372"/>
    <w:rsid w:val="00AF23D9"/>
    <w:rsid w:val="00AF2500"/>
    <w:rsid w:val="00AF250F"/>
    <w:rsid w:val="00AF2530"/>
    <w:rsid w:val="00AF25CD"/>
    <w:rsid w:val="00AF25F6"/>
    <w:rsid w:val="00AF2615"/>
    <w:rsid w:val="00AF264B"/>
    <w:rsid w:val="00AF2759"/>
    <w:rsid w:val="00AF278E"/>
    <w:rsid w:val="00AF27F0"/>
    <w:rsid w:val="00AF28B0"/>
    <w:rsid w:val="00AF2A0B"/>
    <w:rsid w:val="00AF2B53"/>
    <w:rsid w:val="00AF2BCB"/>
    <w:rsid w:val="00AF2C09"/>
    <w:rsid w:val="00AF2C46"/>
    <w:rsid w:val="00AF2C8B"/>
    <w:rsid w:val="00AF2CF9"/>
    <w:rsid w:val="00AF2D01"/>
    <w:rsid w:val="00AF2DC1"/>
    <w:rsid w:val="00AF2DFB"/>
    <w:rsid w:val="00AF2E3F"/>
    <w:rsid w:val="00AF2E8F"/>
    <w:rsid w:val="00AF2F42"/>
    <w:rsid w:val="00AF2F70"/>
    <w:rsid w:val="00AF308E"/>
    <w:rsid w:val="00AF30E7"/>
    <w:rsid w:val="00AF311D"/>
    <w:rsid w:val="00AF319B"/>
    <w:rsid w:val="00AF32A9"/>
    <w:rsid w:val="00AF34DB"/>
    <w:rsid w:val="00AF356F"/>
    <w:rsid w:val="00AF35C2"/>
    <w:rsid w:val="00AF35C6"/>
    <w:rsid w:val="00AF3602"/>
    <w:rsid w:val="00AF378C"/>
    <w:rsid w:val="00AF37CA"/>
    <w:rsid w:val="00AF3818"/>
    <w:rsid w:val="00AF3837"/>
    <w:rsid w:val="00AF398C"/>
    <w:rsid w:val="00AF39A8"/>
    <w:rsid w:val="00AF3A28"/>
    <w:rsid w:val="00AF3AA4"/>
    <w:rsid w:val="00AF3AE8"/>
    <w:rsid w:val="00AF3AFB"/>
    <w:rsid w:val="00AF3B44"/>
    <w:rsid w:val="00AF3BA3"/>
    <w:rsid w:val="00AF3D20"/>
    <w:rsid w:val="00AF3D62"/>
    <w:rsid w:val="00AF3E93"/>
    <w:rsid w:val="00AF3ECC"/>
    <w:rsid w:val="00AF3FB9"/>
    <w:rsid w:val="00AF4144"/>
    <w:rsid w:val="00AF43C7"/>
    <w:rsid w:val="00AF43EF"/>
    <w:rsid w:val="00AF4478"/>
    <w:rsid w:val="00AF454F"/>
    <w:rsid w:val="00AF4597"/>
    <w:rsid w:val="00AF45D3"/>
    <w:rsid w:val="00AF45D8"/>
    <w:rsid w:val="00AF464E"/>
    <w:rsid w:val="00AF47E8"/>
    <w:rsid w:val="00AF48F9"/>
    <w:rsid w:val="00AF4A45"/>
    <w:rsid w:val="00AF4B76"/>
    <w:rsid w:val="00AF4BFF"/>
    <w:rsid w:val="00AF4CF6"/>
    <w:rsid w:val="00AF4D13"/>
    <w:rsid w:val="00AF4D37"/>
    <w:rsid w:val="00AF4D9B"/>
    <w:rsid w:val="00AF4FDE"/>
    <w:rsid w:val="00AF5028"/>
    <w:rsid w:val="00AF5172"/>
    <w:rsid w:val="00AF5374"/>
    <w:rsid w:val="00AF544C"/>
    <w:rsid w:val="00AF559B"/>
    <w:rsid w:val="00AF55C7"/>
    <w:rsid w:val="00AF55CB"/>
    <w:rsid w:val="00AF579C"/>
    <w:rsid w:val="00AF57FA"/>
    <w:rsid w:val="00AF5A30"/>
    <w:rsid w:val="00AF5A4B"/>
    <w:rsid w:val="00AF5ACF"/>
    <w:rsid w:val="00AF5B8D"/>
    <w:rsid w:val="00AF5C02"/>
    <w:rsid w:val="00AF5C33"/>
    <w:rsid w:val="00AF5C99"/>
    <w:rsid w:val="00AF5CEB"/>
    <w:rsid w:val="00AF5E4C"/>
    <w:rsid w:val="00AF5FDA"/>
    <w:rsid w:val="00AF6044"/>
    <w:rsid w:val="00AF6075"/>
    <w:rsid w:val="00AF61B3"/>
    <w:rsid w:val="00AF6204"/>
    <w:rsid w:val="00AF63FC"/>
    <w:rsid w:val="00AF653A"/>
    <w:rsid w:val="00AF6684"/>
    <w:rsid w:val="00AF66FE"/>
    <w:rsid w:val="00AF674A"/>
    <w:rsid w:val="00AF680C"/>
    <w:rsid w:val="00AF6834"/>
    <w:rsid w:val="00AF6880"/>
    <w:rsid w:val="00AF6932"/>
    <w:rsid w:val="00AF69AC"/>
    <w:rsid w:val="00AF6BA0"/>
    <w:rsid w:val="00AF6C11"/>
    <w:rsid w:val="00AF6C46"/>
    <w:rsid w:val="00AF6CFB"/>
    <w:rsid w:val="00AF6D28"/>
    <w:rsid w:val="00AF6E66"/>
    <w:rsid w:val="00AF6F46"/>
    <w:rsid w:val="00AF6FB2"/>
    <w:rsid w:val="00AF70DC"/>
    <w:rsid w:val="00AF712E"/>
    <w:rsid w:val="00AF723B"/>
    <w:rsid w:val="00AF726F"/>
    <w:rsid w:val="00AF72D3"/>
    <w:rsid w:val="00AF73AE"/>
    <w:rsid w:val="00AF742C"/>
    <w:rsid w:val="00AF746E"/>
    <w:rsid w:val="00AF74B0"/>
    <w:rsid w:val="00AF751A"/>
    <w:rsid w:val="00AF758B"/>
    <w:rsid w:val="00AF7596"/>
    <w:rsid w:val="00AF75D5"/>
    <w:rsid w:val="00AF7669"/>
    <w:rsid w:val="00AF77C9"/>
    <w:rsid w:val="00AF7838"/>
    <w:rsid w:val="00AF7940"/>
    <w:rsid w:val="00AF7979"/>
    <w:rsid w:val="00AF79B8"/>
    <w:rsid w:val="00AF7A8C"/>
    <w:rsid w:val="00AF7B94"/>
    <w:rsid w:val="00AF7CB2"/>
    <w:rsid w:val="00AF7D76"/>
    <w:rsid w:val="00B000AD"/>
    <w:rsid w:val="00B000EE"/>
    <w:rsid w:val="00B001B3"/>
    <w:rsid w:val="00B00233"/>
    <w:rsid w:val="00B002C0"/>
    <w:rsid w:val="00B0052B"/>
    <w:rsid w:val="00B00567"/>
    <w:rsid w:val="00B005FA"/>
    <w:rsid w:val="00B0063A"/>
    <w:rsid w:val="00B006AC"/>
    <w:rsid w:val="00B00899"/>
    <w:rsid w:val="00B0099E"/>
    <w:rsid w:val="00B00A82"/>
    <w:rsid w:val="00B00AAF"/>
    <w:rsid w:val="00B00C9D"/>
    <w:rsid w:val="00B00CA1"/>
    <w:rsid w:val="00B00CD0"/>
    <w:rsid w:val="00B00D26"/>
    <w:rsid w:val="00B00D2D"/>
    <w:rsid w:val="00B00D9E"/>
    <w:rsid w:val="00B00E49"/>
    <w:rsid w:val="00B00F51"/>
    <w:rsid w:val="00B00F5C"/>
    <w:rsid w:val="00B010EA"/>
    <w:rsid w:val="00B011DD"/>
    <w:rsid w:val="00B01204"/>
    <w:rsid w:val="00B01254"/>
    <w:rsid w:val="00B01306"/>
    <w:rsid w:val="00B01387"/>
    <w:rsid w:val="00B013F3"/>
    <w:rsid w:val="00B01448"/>
    <w:rsid w:val="00B0149D"/>
    <w:rsid w:val="00B016B6"/>
    <w:rsid w:val="00B01831"/>
    <w:rsid w:val="00B0194A"/>
    <w:rsid w:val="00B01AF5"/>
    <w:rsid w:val="00B01B79"/>
    <w:rsid w:val="00B01C36"/>
    <w:rsid w:val="00B01C3A"/>
    <w:rsid w:val="00B01CF8"/>
    <w:rsid w:val="00B01EA0"/>
    <w:rsid w:val="00B01F6D"/>
    <w:rsid w:val="00B01F77"/>
    <w:rsid w:val="00B02127"/>
    <w:rsid w:val="00B022D4"/>
    <w:rsid w:val="00B022F8"/>
    <w:rsid w:val="00B0232C"/>
    <w:rsid w:val="00B02351"/>
    <w:rsid w:val="00B0242B"/>
    <w:rsid w:val="00B02494"/>
    <w:rsid w:val="00B02610"/>
    <w:rsid w:val="00B0263A"/>
    <w:rsid w:val="00B0267A"/>
    <w:rsid w:val="00B026B5"/>
    <w:rsid w:val="00B0274A"/>
    <w:rsid w:val="00B027FE"/>
    <w:rsid w:val="00B028B8"/>
    <w:rsid w:val="00B028F1"/>
    <w:rsid w:val="00B0293E"/>
    <w:rsid w:val="00B02EB6"/>
    <w:rsid w:val="00B03031"/>
    <w:rsid w:val="00B031A4"/>
    <w:rsid w:val="00B033F6"/>
    <w:rsid w:val="00B034DA"/>
    <w:rsid w:val="00B0350A"/>
    <w:rsid w:val="00B0386E"/>
    <w:rsid w:val="00B038BD"/>
    <w:rsid w:val="00B03A46"/>
    <w:rsid w:val="00B03A6D"/>
    <w:rsid w:val="00B03ABC"/>
    <w:rsid w:val="00B03C02"/>
    <w:rsid w:val="00B03CA8"/>
    <w:rsid w:val="00B03E8E"/>
    <w:rsid w:val="00B040D5"/>
    <w:rsid w:val="00B042A3"/>
    <w:rsid w:val="00B045DB"/>
    <w:rsid w:val="00B046D0"/>
    <w:rsid w:val="00B04720"/>
    <w:rsid w:val="00B047AB"/>
    <w:rsid w:val="00B04845"/>
    <w:rsid w:val="00B048A1"/>
    <w:rsid w:val="00B048DC"/>
    <w:rsid w:val="00B04A2D"/>
    <w:rsid w:val="00B04A8F"/>
    <w:rsid w:val="00B04BEC"/>
    <w:rsid w:val="00B04CB6"/>
    <w:rsid w:val="00B04D7E"/>
    <w:rsid w:val="00B04D85"/>
    <w:rsid w:val="00B04E82"/>
    <w:rsid w:val="00B05075"/>
    <w:rsid w:val="00B050D4"/>
    <w:rsid w:val="00B050E6"/>
    <w:rsid w:val="00B05234"/>
    <w:rsid w:val="00B05243"/>
    <w:rsid w:val="00B0526F"/>
    <w:rsid w:val="00B052A7"/>
    <w:rsid w:val="00B0532A"/>
    <w:rsid w:val="00B05391"/>
    <w:rsid w:val="00B053B0"/>
    <w:rsid w:val="00B05470"/>
    <w:rsid w:val="00B054CC"/>
    <w:rsid w:val="00B0554E"/>
    <w:rsid w:val="00B05629"/>
    <w:rsid w:val="00B0572F"/>
    <w:rsid w:val="00B0593D"/>
    <w:rsid w:val="00B059A8"/>
    <w:rsid w:val="00B059B3"/>
    <w:rsid w:val="00B059DE"/>
    <w:rsid w:val="00B05A3F"/>
    <w:rsid w:val="00B05A8D"/>
    <w:rsid w:val="00B05AB5"/>
    <w:rsid w:val="00B05AB6"/>
    <w:rsid w:val="00B05B10"/>
    <w:rsid w:val="00B05B9D"/>
    <w:rsid w:val="00B05BA1"/>
    <w:rsid w:val="00B05BBF"/>
    <w:rsid w:val="00B05BF6"/>
    <w:rsid w:val="00B05C92"/>
    <w:rsid w:val="00B05D2A"/>
    <w:rsid w:val="00B05DD7"/>
    <w:rsid w:val="00B05E5A"/>
    <w:rsid w:val="00B05E7E"/>
    <w:rsid w:val="00B05F05"/>
    <w:rsid w:val="00B0603C"/>
    <w:rsid w:val="00B06055"/>
    <w:rsid w:val="00B06151"/>
    <w:rsid w:val="00B0615F"/>
    <w:rsid w:val="00B06199"/>
    <w:rsid w:val="00B061C6"/>
    <w:rsid w:val="00B061F3"/>
    <w:rsid w:val="00B0620C"/>
    <w:rsid w:val="00B06423"/>
    <w:rsid w:val="00B0662A"/>
    <w:rsid w:val="00B06675"/>
    <w:rsid w:val="00B06697"/>
    <w:rsid w:val="00B067CD"/>
    <w:rsid w:val="00B06807"/>
    <w:rsid w:val="00B06940"/>
    <w:rsid w:val="00B0698C"/>
    <w:rsid w:val="00B06A93"/>
    <w:rsid w:val="00B06ADB"/>
    <w:rsid w:val="00B06B42"/>
    <w:rsid w:val="00B06BB0"/>
    <w:rsid w:val="00B06BB9"/>
    <w:rsid w:val="00B06C5F"/>
    <w:rsid w:val="00B06C82"/>
    <w:rsid w:val="00B06D71"/>
    <w:rsid w:val="00B06E04"/>
    <w:rsid w:val="00B06EA9"/>
    <w:rsid w:val="00B06EC7"/>
    <w:rsid w:val="00B0704A"/>
    <w:rsid w:val="00B07073"/>
    <w:rsid w:val="00B07153"/>
    <w:rsid w:val="00B07171"/>
    <w:rsid w:val="00B07255"/>
    <w:rsid w:val="00B0727D"/>
    <w:rsid w:val="00B072D9"/>
    <w:rsid w:val="00B073C9"/>
    <w:rsid w:val="00B07482"/>
    <w:rsid w:val="00B0768A"/>
    <w:rsid w:val="00B07740"/>
    <w:rsid w:val="00B077F1"/>
    <w:rsid w:val="00B0785C"/>
    <w:rsid w:val="00B0792F"/>
    <w:rsid w:val="00B07945"/>
    <w:rsid w:val="00B07A5E"/>
    <w:rsid w:val="00B07C21"/>
    <w:rsid w:val="00B07C42"/>
    <w:rsid w:val="00B07C7D"/>
    <w:rsid w:val="00B07CA8"/>
    <w:rsid w:val="00B07CF8"/>
    <w:rsid w:val="00B07D9E"/>
    <w:rsid w:val="00B07ECD"/>
    <w:rsid w:val="00B07F10"/>
    <w:rsid w:val="00B07F25"/>
    <w:rsid w:val="00B07F29"/>
    <w:rsid w:val="00B07F85"/>
    <w:rsid w:val="00B08853"/>
    <w:rsid w:val="00B100F7"/>
    <w:rsid w:val="00B10285"/>
    <w:rsid w:val="00B102DA"/>
    <w:rsid w:val="00B102ED"/>
    <w:rsid w:val="00B10323"/>
    <w:rsid w:val="00B10627"/>
    <w:rsid w:val="00B10629"/>
    <w:rsid w:val="00B10766"/>
    <w:rsid w:val="00B1097E"/>
    <w:rsid w:val="00B109B0"/>
    <w:rsid w:val="00B10A3B"/>
    <w:rsid w:val="00B10B0E"/>
    <w:rsid w:val="00B10D3D"/>
    <w:rsid w:val="00B10D54"/>
    <w:rsid w:val="00B10DA9"/>
    <w:rsid w:val="00B10E8F"/>
    <w:rsid w:val="00B1110C"/>
    <w:rsid w:val="00B11115"/>
    <w:rsid w:val="00B11169"/>
    <w:rsid w:val="00B11358"/>
    <w:rsid w:val="00B113AF"/>
    <w:rsid w:val="00B114F2"/>
    <w:rsid w:val="00B1166B"/>
    <w:rsid w:val="00B1176A"/>
    <w:rsid w:val="00B11804"/>
    <w:rsid w:val="00B1182E"/>
    <w:rsid w:val="00B118E1"/>
    <w:rsid w:val="00B11A70"/>
    <w:rsid w:val="00B11AD1"/>
    <w:rsid w:val="00B11AD2"/>
    <w:rsid w:val="00B11CAC"/>
    <w:rsid w:val="00B11DA1"/>
    <w:rsid w:val="00B11E4E"/>
    <w:rsid w:val="00B11E52"/>
    <w:rsid w:val="00B11F68"/>
    <w:rsid w:val="00B11FCD"/>
    <w:rsid w:val="00B11FFC"/>
    <w:rsid w:val="00B1205C"/>
    <w:rsid w:val="00B1209C"/>
    <w:rsid w:val="00B12133"/>
    <w:rsid w:val="00B1215E"/>
    <w:rsid w:val="00B12161"/>
    <w:rsid w:val="00B121B8"/>
    <w:rsid w:val="00B12274"/>
    <w:rsid w:val="00B12489"/>
    <w:rsid w:val="00B124AA"/>
    <w:rsid w:val="00B12519"/>
    <w:rsid w:val="00B1255B"/>
    <w:rsid w:val="00B12566"/>
    <w:rsid w:val="00B12781"/>
    <w:rsid w:val="00B12829"/>
    <w:rsid w:val="00B12849"/>
    <w:rsid w:val="00B1288C"/>
    <w:rsid w:val="00B128AE"/>
    <w:rsid w:val="00B12969"/>
    <w:rsid w:val="00B1298D"/>
    <w:rsid w:val="00B12A08"/>
    <w:rsid w:val="00B12AB9"/>
    <w:rsid w:val="00B12ADF"/>
    <w:rsid w:val="00B12B9F"/>
    <w:rsid w:val="00B12BF2"/>
    <w:rsid w:val="00B12C26"/>
    <w:rsid w:val="00B12F34"/>
    <w:rsid w:val="00B13062"/>
    <w:rsid w:val="00B131D4"/>
    <w:rsid w:val="00B1329A"/>
    <w:rsid w:val="00B133A3"/>
    <w:rsid w:val="00B133CC"/>
    <w:rsid w:val="00B13417"/>
    <w:rsid w:val="00B13420"/>
    <w:rsid w:val="00B134E9"/>
    <w:rsid w:val="00B136E9"/>
    <w:rsid w:val="00B13725"/>
    <w:rsid w:val="00B1372F"/>
    <w:rsid w:val="00B13883"/>
    <w:rsid w:val="00B13899"/>
    <w:rsid w:val="00B13AE1"/>
    <w:rsid w:val="00B13BE9"/>
    <w:rsid w:val="00B13DCF"/>
    <w:rsid w:val="00B13E17"/>
    <w:rsid w:val="00B13EF6"/>
    <w:rsid w:val="00B13F48"/>
    <w:rsid w:val="00B14035"/>
    <w:rsid w:val="00B14069"/>
    <w:rsid w:val="00B1409E"/>
    <w:rsid w:val="00B142A3"/>
    <w:rsid w:val="00B142F5"/>
    <w:rsid w:val="00B14381"/>
    <w:rsid w:val="00B144AA"/>
    <w:rsid w:val="00B144C9"/>
    <w:rsid w:val="00B145E8"/>
    <w:rsid w:val="00B14619"/>
    <w:rsid w:val="00B14709"/>
    <w:rsid w:val="00B14759"/>
    <w:rsid w:val="00B14805"/>
    <w:rsid w:val="00B14ABD"/>
    <w:rsid w:val="00B14B5A"/>
    <w:rsid w:val="00B14B8A"/>
    <w:rsid w:val="00B14C19"/>
    <w:rsid w:val="00B14D1F"/>
    <w:rsid w:val="00B14D5A"/>
    <w:rsid w:val="00B14D91"/>
    <w:rsid w:val="00B14DA8"/>
    <w:rsid w:val="00B14DFF"/>
    <w:rsid w:val="00B14EAE"/>
    <w:rsid w:val="00B14F1E"/>
    <w:rsid w:val="00B14F2D"/>
    <w:rsid w:val="00B14F36"/>
    <w:rsid w:val="00B14F8E"/>
    <w:rsid w:val="00B15059"/>
    <w:rsid w:val="00B1508B"/>
    <w:rsid w:val="00B15107"/>
    <w:rsid w:val="00B151A7"/>
    <w:rsid w:val="00B1526D"/>
    <w:rsid w:val="00B15274"/>
    <w:rsid w:val="00B15473"/>
    <w:rsid w:val="00B154B4"/>
    <w:rsid w:val="00B1554F"/>
    <w:rsid w:val="00B15581"/>
    <w:rsid w:val="00B155E4"/>
    <w:rsid w:val="00B1573E"/>
    <w:rsid w:val="00B1574C"/>
    <w:rsid w:val="00B158BF"/>
    <w:rsid w:val="00B1596C"/>
    <w:rsid w:val="00B15A18"/>
    <w:rsid w:val="00B15A29"/>
    <w:rsid w:val="00B15B6D"/>
    <w:rsid w:val="00B15B90"/>
    <w:rsid w:val="00B15BB5"/>
    <w:rsid w:val="00B15D2E"/>
    <w:rsid w:val="00B15E4D"/>
    <w:rsid w:val="00B15E63"/>
    <w:rsid w:val="00B16073"/>
    <w:rsid w:val="00B161E5"/>
    <w:rsid w:val="00B16220"/>
    <w:rsid w:val="00B162AF"/>
    <w:rsid w:val="00B162C6"/>
    <w:rsid w:val="00B162E4"/>
    <w:rsid w:val="00B16301"/>
    <w:rsid w:val="00B1636E"/>
    <w:rsid w:val="00B163C8"/>
    <w:rsid w:val="00B166D2"/>
    <w:rsid w:val="00B168F5"/>
    <w:rsid w:val="00B1691C"/>
    <w:rsid w:val="00B16ABD"/>
    <w:rsid w:val="00B16C68"/>
    <w:rsid w:val="00B16C6F"/>
    <w:rsid w:val="00B16E00"/>
    <w:rsid w:val="00B16E67"/>
    <w:rsid w:val="00B16EAC"/>
    <w:rsid w:val="00B16ED7"/>
    <w:rsid w:val="00B16EDA"/>
    <w:rsid w:val="00B1709B"/>
    <w:rsid w:val="00B17279"/>
    <w:rsid w:val="00B172BD"/>
    <w:rsid w:val="00B1730B"/>
    <w:rsid w:val="00B17336"/>
    <w:rsid w:val="00B17366"/>
    <w:rsid w:val="00B173A7"/>
    <w:rsid w:val="00B173ED"/>
    <w:rsid w:val="00B17516"/>
    <w:rsid w:val="00B175BC"/>
    <w:rsid w:val="00B175FD"/>
    <w:rsid w:val="00B17619"/>
    <w:rsid w:val="00B1762A"/>
    <w:rsid w:val="00B17671"/>
    <w:rsid w:val="00B17676"/>
    <w:rsid w:val="00B176B5"/>
    <w:rsid w:val="00B1779B"/>
    <w:rsid w:val="00B177C5"/>
    <w:rsid w:val="00B17858"/>
    <w:rsid w:val="00B17888"/>
    <w:rsid w:val="00B178EB"/>
    <w:rsid w:val="00B178F5"/>
    <w:rsid w:val="00B17AA2"/>
    <w:rsid w:val="00B17B29"/>
    <w:rsid w:val="00B17B82"/>
    <w:rsid w:val="00B17BB6"/>
    <w:rsid w:val="00B17C1F"/>
    <w:rsid w:val="00B17C2F"/>
    <w:rsid w:val="00B17D1E"/>
    <w:rsid w:val="00B17D4B"/>
    <w:rsid w:val="00B17D5C"/>
    <w:rsid w:val="00B17D6B"/>
    <w:rsid w:val="00B17DAC"/>
    <w:rsid w:val="00B17EE6"/>
    <w:rsid w:val="00B17FD1"/>
    <w:rsid w:val="00B17FE5"/>
    <w:rsid w:val="00B18D53"/>
    <w:rsid w:val="00B2001F"/>
    <w:rsid w:val="00B20081"/>
    <w:rsid w:val="00B200AD"/>
    <w:rsid w:val="00B20278"/>
    <w:rsid w:val="00B2028E"/>
    <w:rsid w:val="00B202DF"/>
    <w:rsid w:val="00B2046B"/>
    <w:rsid w:val="00B2047B"/>
    <w:rsid w:val="00B20527"/>
    <w:rsid w:val="00B2056A"/>
    <w:rsid w:val="00B207D3"/>
    <w:rsid w:val="00B207E5"/>
    <w:rsid w:val="00B2088C"/>
    <w:rsid w:val="00B208C6"/>
    <w:rsid w:val="00B208DF"/>
    <w:rsid w:val="00B20992"/>
    <w:rsid w:val="00B20999"/>
    <w:rsid w:val="00B209A1"/>
    <w:rsid w:val="00B209D3"/>
    <w:rsid w:val="00B20A4A"/>
    <w:rsid w:val="00B20A94"/>
    <w:rsid w:val="00B20AC9"/>
    <w:rsid w:val="00B20B0E"/>
    <w:rsid w:val="00B20B70"/>
    <w:rsid w:val="00B20B95"/>
    <w:rsid w:val="00B20DFF"/>
    <w:rsid w:val="00B20F39"/>
    <w:rsid w:val="00B20FBD"/>
    <w:rsid w:val="00B20FC7"/>
    <w:rsid w:val="00B20FCC"/>
    <w:rsid w:val="00B2103A"/>
    <w:rsid w:val="00B21061"/>
    <w:rsid w:val="00B210B0"/>
    <w:rsid w:val="00B210BF"/>
    <w:rsid w:val="00B2116D"/>
    <w:rsid w:val="00B2138B"/>
    <w:rsid w:val="00B214DF"/>
    <w:rsid w:val="00B2157C"/>
    <w:rsid w:val="00B2158E"/>
    <w:rsid w:val="00B2158F"/>
    <w:rsid w:val="00B2167E"/>
    <w:rsid w:val="00B21693"/>
    <w:rsid w:val="00B2170C"/>
    <w:rsid w:val="00B218C7"/>
    <w:rsid w:val="00B21B87"/>
    <w:rsid w:val="00B21B95"/>
    <w:rsid w:val="00B21C17"/>
    <w:rsid w:val="00B21C86"/>
    <w:rsid w:val="00B21CE2"/>
    <w:rsid w:val="00B21D66"/>
    <w:rsid w:val="00B21DDB"/>
    <w:rsid w:val="00B21E1E"/>
    <w:rsid w:val="00B21E4E"/>
    <w:rsid w:val="00B21EE1"/>
    <w:rsid w:val="00B21F7B"/>
    <w:rsid w:val="00B21F94"/>
    <w:rsid w:val="00B2210C"/>
    <w:rsid w:val="00B22476"/>
    <w:rsid w:val="00B224A9"/>
    <w:rsid w:val="00B2254A"/>
    <w:rsid w:val="00B2260F"/>
    <w:rsid w:val="00B22958"/>
    <w:rsid w:val="00B22A19"/>
    <w:rsid w:val="00B22A83"/>
    <w:rsid w:val="00B22C04"/>
    <w:rsid w:val="00B22C22"/>
    <w:rsid w:val="00B23066"/>
    <w:rsid w:val="00B231D6"/>
    <w:rsid w:val="00B23281"/>
    <w:rsid w:val="00B2334A"/>
    <w:rsid w:val="00B233FC"/>
    <w:rsid w:val="00B23541"/>
    <w:rsid w:val="00B236AA"/>
    <w:rsid w:val="00B236D3"/>
    <w:rsid w:val="00B23700"/>
    <w:rsid w:val="00B23730"/>
    <w:rsid w:val="00B23853"/>
    <w:rsid w:val="00B239DE"/>
    <w:rsid w:val="00B23AE9"/>
    <w:rsid w:val="00B23AEB"/>
    <w:rsid w:val="00B23D4D"/>
    <w:rsid w:val="00B24028"/>
    <w:rsid w:val="00B2406C"/>
    <w:rsid w:val="00B24091"/>
    <w:rsid w:val="00B240B9"/>
    <w:rsid w:val="00B241F3"/>
    <w:rsid w:val="00B24243"/>
    <w:rsid w:val="00B24278"/>
    <w:rsid w:val="00B2427F"/>
    <w:rsid w:val="00B242E3"/>
    <w:rsid w:val="00B242F8"/>
    <w:rsid w:val="00B24395"/>
    <w:rsid w:val="00B24402"/>
    <w:rsid w:val="00B24560"/>
    <w:rsid w:val="00B245BD"/>
    <w:rsid w:val="00B245C0"/>
    <w:rsid w:val="00B245C6"/>
    <w:rsid w:val="00B2464D"/>
    <w:rsid w:val="00B24686"/>
    <w:rsid w:val="00B2471C"/>
    <w:rsid w:val="00B24747"/>
    <w:rsid w:val="00B247E9"/>
    <w:rsid w:val="00B248B7"/>
    <w:rsid w:val="00B24952"/>
    <w:rsid w:val="00B249DC"/>
    <w:rsid w:val="00B24A70"/>
    <w:rsid w:val="00B24BB0"/>
    <w:rsid w:val="00B24E30"/>
    <w:rsid w:val="00B24E89"/>
    <w:rsid w:val="00B24FC6"/>
    <w:rsid w:val="00B25054"/>
    <w:rsid w:val="00B25176"/>
    <w:rsid w:val="00B251FF"/>
    <w:rsid w:val="00B25286"/>
    <w:rsid w:val="00B252B4"/>
    <w:rsid w:val="00B2533B"/>
    <w:rsid w:val="00B253C8"/>
    <w:rsid w:val="00B253F3"/>
    <w:rsid w:val="00B25436"/>
    <w:rsid w:val="00B2550F"/>
    <w:rsid w:val="00B25673"/>
    <w:rsid w:val="00B2573E"/>
    <w:rsid w:val="00B257BA"/>
    <w:rsid w:val="00B25850"/>
    <w:rsid w:val="00B25A88"/>
    <w:rsid w:val="00B25A8B"/>
    <w:rsid w:val="00B25ADA"/>
    <w:rsid w:val="00B25B33"/>
    <w:rsid w:val="00B25B51"/>
    <w:rsid w:val="00B25C21"/>
    <w:rsid w:val="00B25C41"/>
    <w:rsid w:val="00B25C9B"/>
    <w:rsid w:val="00B25D1A"/>
    <w:rsid w:val="00B25D64"/>
    <w:rsid w:val="00B2607D"/>
    <w:rsid w:val="00B2620C"/>
    <w:rsid w:val="00B2628A"/>
    <w:rsid w:val="00B262C5"/>
    <w:rsid w:val="00B26563"/>
    <w:rsid w:val="00B2666C"/>
    <w:rsid w:val="00B26840"/>
    <w:rsid w:val="00B26854"/>
    <w:rsid w:val="00B26A47"/>
    <w:rsid w:val="00B26A50"/>
    <w:rsid w:val="00B26A73"/>
    <w:rsid w:val="00B26BA1"/>
    <w:rsid w:val="00B26D01"/>
    <w:rsid w:val="00B26D25"/>
    <w:rsid w:val="00B26D90"/>
    <w:rsid w:val="00B26DD1"/>
    <w:rsid w:val="00B26FAD"/>
    <w:rsid w:val="00B270CD"/>
    <w:rsid w:val="00B270DF"/>
    <w:rsid w:val="00B271D8"/>
    <w:rsid w:val="00B27520"/>
    <w:rsid w:val="00B27548"/>
    <w:rsid w:val="00B27558"/>
    <w:rsid w:val="00B27604"/>
    <w:rsid w:val="00B2765F"/>
    <w:rsid w:val="00B276FF"/>
    <w:rsid w:val="00B27731"/>
    <w:rsid w:val="00B27781"/>
    <w:rsid w:val="00B277F9"/>
    <w:rsid w:val="00B27899"/>
    <w:rsid w:val="00B27CCE"/>
    <w:rsid w:val="00B27F57"/>
    <w:rsid w:val="00B27FDB"/>
    <w:rsid w:val="00B30004"/>
    <w:rsid w:val="00B300A5"/>
    <w:rsid w:val="00B300FA"/>
    <w:rsid w:val="00B30154"/>
    <w:rsid w:val="00B304E9"/>
    <w:rsid w:val="00B3059A"/>
    <w:rsid w:val="00B30659"/>
    <w:rsid w:val="00B30740"/>
    <w:rsid w:val="00B307C3"/>
    <w:rsid w:val="00B3083A"/>
    <w:rsid w:val="00B3095C"/>
    <w:rsid w:val="00B309BB"/>
    <w:rsid w:val="00B309DE"/>
    <w:rsid w:val="00B30B20"/>
    <w:rsid w:val="00B30B5D"/>
    <w:rsid w:val="00B30BFB"/>
    <w:rsid w:val="00B30CF3"/>
    <w:rsid w:val="00B30D15"/>
    <w:rsid w:val="00B30DB8"/>
    <w:rsid w:val="00B30E28"/>
    <w:rsid w:val="00B30E5D"/>
    <w:rsid w:val="00B3100F"/>
    <w:rsid w:val="00B3108C"/>
    <w:rsid w:val="00B310CE"/>
    <w:rsid w:val="00B31191"/>
    <w:rsid w:val="00B31197"/>
    <w:rsid w:val="00B311AB"/>
    <w:rsid w:val="00B311F9"/>
    <w:rsid w:val="00B31200"/>
    <w:rsid w:val="00B3120B"/>
    <w:rsid w:val="00B31223"/>
    <w:rsid w:val="00B312E9"/>
    <w:rsid w:val="00B313DF"/>
    <w:rsid w:val="00B314E2"/>
    <w:rsid w:val="00B314EF"/>
    <w:rsid w:val="00B31544"/>
    <w:rsid w:val="00B3154D"/>
    <w:rsid w:val="00B31579"/>
    <w:rsid w:val="00B31844"/>
    <w:rsid w:val="00B31852"/>
    <w:rsid w:val="00B31907"/>
    <w:rsid w:val="00B319D3"/>
    <w:rsid w:val="00B31AC2"/>
    <w:rsid w:val="00B31AF8"/>
    <w:rsid w:val="00B31CE6"/>
    <w:rsid w:val="00B31D8E"/>
    <w:rsid w:val="00B31D91"/>
    <w:rsid w:val="00B31DC3"/>
    <w:rsid w:val="00B31DC6"/>
    <w:rsid w:val="00B31E42"/>
    <w:rsid w:val="00B31F32"/>
    <w:rsid w:val="00B31FB7"/>
    <w:rsid w:val="00B31FCF"/>
    <w:rsid w:val="00B320C4"/>
    <w:rsid w:val="00B32100"/>
    <w:rsid w:val="00B321B8"/>
    <w:rsid w:val="00B32259"/>
    <w:rsid w:val="00B32269"/>
    <w:rsid w:val="00B322A9"/>
    <w:rsid w:val="00B32369"/>
    <w:rsid w:val="00B3236C"/>
    <w:rsid w:val="00B32378"/>
    <w:rsid w:val="00B323E4"/>
    <w:rsid w:val="00B324C8"/>
    <w:rsid w:val="00B32583"/>
    <w:rsid w:val="00B3259D"/>
    <w:rsid w:val="00B325CF"/>
    <w:rsid w:val="00B32688"/>
    <w:rsid w:val="00B32703"/>
    <w:rsid w:val="00B327C2"/>
    <w:rsid w:val="00B328E9"/>
    <w:rsid w:val="00B32942"/>
    <w:rsid w:val="00B329DB"/>
    <w:rsid w:val="00B32DFC"/>
    <w:rsid w:val="00B32E29"/>
    <w:rsid w:val="00B32EAA"/>
    <w:rsid w:val="00B32F56"/>
    <w:rsid w:val="00B32F8A"/>
    <w:rsid w:val="00B33036"/>
    <w:rsid w:val="00B33049"/>
    <w:rsid w:val="00B33090"/>
    <w:rsid w:val="00B330C5"/>
    <w:rsid w:val="00B330E9"/>
    <w:rsid w:val="00B3316E"/>
    <w:rsid w:val="00B332B2"/>
    <w:rsid w:val="00B33305"/>
    <w:rsid w:val="00B33325"/>
    <w:rsid w:val="00B33340"/>
    <w:rsid w:val="00B33369"/>
    <w:rsid w:val="00B33380"/>
    <w:rsid w:val="00B3343E"/>
    <w:rsid w:val="00B3344D"/>
    <w:rsid w:val="00B33468"/>
    <w:rsid w:val="00B334B7"/>
    <w:rsid w:val="00B33585"/>
    <w:rsid w:val="00B33751"/>
    <w:rsid w:val="00B3390C"/>
    <w:rsid w:val="00B3391D"/>
    <w:rsid w:val="00B33930"/>
    <w:rsid w:val="00B339D3"/>
    <w:rsid w:val="00B33B85"/>
    <w:rsid w:val="00B33C87"/>
    <w:rsid w:val="00B341A7"/>
    <w:rsid w:val="00B342D5"/>
    <w:rsid w:val="00B3430B"/>
    <w:rsid w:val="00B34488"/>
    <w:rsid w:val="00B3449B"/>
    <w:rsid w:val="00B34511"/>
    <w:rsid w:val="00B34576"/>
    <w:rsid w:val="00B345C8"/>
    <w:rsid w:val="00B3463E"/>
    <w:rsid w:val="00B3481F"/>
    <w:rsid w:val="00B34950"/>
    <w:rsid w:val="00B349BD"/>
    <w:rsid w:val="00B349EF"/>
    <w:rsid w:val="00B34A14"/>
    <w:rsid w:val="00B34AC9"/>
    <w:rsid w:val="00B34AFF"/>
    <w:rsid w:val="00B34B24"/>
    <w:rsid w:val="00B34B2F"/>
    <w:rsid w:val="00B34C13"/>
    <w:rsid w:val="00B34D28"/>
    <w:rsid w:val="00B34DF0"/>
    <w:rsid w:val="00B34E29"/>
    <w:rsid w:val="00B34FF3"/>
    <w:rsid w:val="00B35166"/>
    <w:rsid w:val="00B35185"/>
    <w:rsid w:val="00B351A2"/>
    <w:rsid w:val="00B351C8"/>
    <w:rsid w:val="00B35201"/>
    <w:rsid w:val="00B35265"/>
    <w:rsid w:val="00B352E0"/>
    <w:rsid w:val="00B35362"/>
    <w:rsid w:val="00B353B5"/>
    <w:rsid w:val="00B353DD"/>
    <w:rsid w:val="00B354D2"/>
    <w:rsid w:val="00B357A3"/>
    <w:rsid w:val="00B3580B"/>
    <w:rsid w:val="00B35902"/>
    <w:rsid w:val="00B35A91"/>
    <w:rsid w:val="00B35C51"/>
    <w:rsid w:val="00B35C91"/>
    <w:rsid w:val="00B35EEB"/>
    <w:rsid w:val="00B35F9D"/>
    <w:rsid w:val="00B35FE1"/>
    <w:rsid w:val="00B36059"/>
    <w:rsid w:val="00B3611D"/>
    <w:rsid w:val="00B36135"/>
    <w:rsid w:val="00B36196"/>
    <w:rsid w:val="00B361AF"/>
    <w:rsid w:val="00B36272"/>
    <w:rsid w:val="00B36410"/>
    <w:rsid w:val="00B36519"/>
    <w:rsid w:val="00B365CB"/>
    <w:rsid w:val="00B365E1"/>
    <w:rsid w:val="00B36828"/>
    <w:rsid w:val="00B369F1"/>
    <w:rsid w:val="00B36A57"/>
    <w:rsid w:val="00B36C90"/>
    <w:rsid w:val="00B36E0D"/>
    <w:rsid w:val="00B36E29"/>
    <w:rsid w:val="00B36E75"/>
    <w:rsid w:val="00B36ED3"/>
    <w:rsid w:val="00B36FAE"/>
    <w:rsid w:val="00B36FD3"/>
    <w:rsid w:val="00B36FFB"/>
    <w:rsid w:val="00B3705F"/>
    <w:rsid w:val="00B370C8"/>
    <w:rsid w:val="00B373AF"/>
    <w:rsid w:val="00B37565"/>
    <w:rsid w:val="00B375BD"/>
    <w:rsid w:val="00B376F0"/>
    <w:rsid w:val="00B37763"/>
    <w:rsid w:val="00B377AB"/>
    <w:rsid w:val="00B377BC"/>
    <w:rsid w:val="00B37895"/>
    <w:rsid w:val="00B378CD"/>
    <w:rsid w:val="00B378ED"/>
    <w:rsid w:val="00B378F7"/>
    <w:rsid w:val="00B3792B"/>
    <w:rsid w:val="00B37BB6"/>
    <w:rsid w:val="00B37BF0"/>
    <w:rsid w:val="00B37CDD"/>
    <w:rsid w:val="00B37CDF"/>
    <w:rsid w:val="00B37CE5"/>
    <w:rsid w:val="00B37E3C"/>
    <w:rsid w:val="00B37F86"/>
    <w:rsid w:val="00B37FC1"/>
    <w:rsid w:val="00B37FDC"/>
    <w:rsid w:val="00B40029"/>
    <w:rsid w:val="00B400B4"/>
    <w:rsid w:val="00B40121"/>
    <w:rsid w:val="00B401EB"/>
    <w:rsid w:val="00B401F7"/>
    <w:rsid w:val="00B40529"/>
    <w:rsid w:val="00B406B5"/>
    <w:rsid w:val="00B406B6"/>
    <w:rsid w:val="00B40723"/>
    <w:rsid w:val="00B4073D"/>
    <w:rsid w:val="00B4075A"/>
    <w:rsid w:val="00B407F3"/>
    <w:rsid w:val="00B4087B"/>
    <w:rsid w:val="00B40909"/>
    <w:rsid w:val="00B40923"/>
    <w:rsid w:val="00B40A82"/>
    <w:rsid w:val="00B40AD8"/>
    <w:rsid w:val="00B40B47"/>
    <w:rsid w:val="00B40B58"/>
    <w:rsid w:val="00B40D20"/>
    <w:rsid w:val="00B40E01"/>
    <w:rsid w:val="00B40E28"/>
    <w:rsid w:val="00B40E4D"/>
    <w:rsid w:val="00B40E8D"/>
    <w:rsid w:val="00B41016"/>
    <w:rsid w:val="00B411B6"/>
    <w:rsid w:val="00B4131A"/>
    <w:rsid w:val="00B4133C"/>
    <w:rsid w:val="00B414F3"/>
    <w:rsid w:val="00B4151F"/>
    <w:rsid w:val="00B41619"/>
    <w:rsid w:val="00B41680"/>
    <w:rsid w:val="00B416D9"/>
    <w:rsid w:val="00B41897"/>
    <w:rsid w:val="00B41907"/>
    <w:rsid w:val="00B41911"/>
    <w:rsid w:val="00B41998"/>
    <w:rsid w:val="00B419F9"/>
    <w:rsid w:val="00B41D21"/>
    <w:rsid w:val="00B41D3B"/>
    <w:rsid w:val="00B41DC3"/>
    <w:rsid w:val="00B41E17"/>
    <w:rsid w:val="00B41ED8"/>
    <w:rsid w:val="00B41F9E"/>
    <w:rsid w:val="00B41FAD"/>
    <w:rsid w:val="00B41FFC"/>
    <w:rsid w:val="00B420AE"/>
    <w:rsid w:val="00B42117"/>
    <w:rsid w:val="00B4213F"/>
    <w:rsid w:val="00B421C7"/>
    <w:rsid w:val="00B421DD"/>
    <w:rsid w:val="00B421ED"/>
    <w:rsid w:val="00B4220D"/>
    <w:rsid w:val="00B42230"/>
    <w:rsid w:val="00B42347"/>
    <w:rsid w:val="00B42391"/>
    <w:rsid w:val="00B42490"/>
    <w:rsid w:val="00B424D8"/>
    <w:rsid w:val="00B4255B"/>
    <w:rsid w:val="00B427B1"/>
    <w:rsid w:val="00B427FB"/>
    <w:rsid w:val="00B42979"/>
    <w:rsid w:val="00B42995"/>
    <w:rsid w:val="00B429D9"/>
    <w:rsid w:val="00B42A64"/>
    <w:rsid w:val="00B42B0D"/>
    <w:rsid w:val="00B42BB2"/>
    <w:rsid w:val="00B42C7F"/>
    <w:rsid w:val="00B42CC0"/>
    <w:rsid w:val="00B42CD0"/>
    <w:rsid w:val="00B42DB8"/>
    <w:rsid w:val="00B4310C"/>
    <w:rsid w:val="00B4311E"/>
    <w:rsid w:val="00B431B5"/>
    <w:rsid w:val="00B4343D"/>
    <w:rsid w:val="00B434A5"/>
    <w:rsid w:val="00B43680"/>
    <w:rsid w:val="00B43707"/>
    <w:rsid w:val="00B43772"/>
    <w:rsid w:val="00B43825"/>
    <w:rsid w:val="00B43851"/>
    <w:rsid w:val="00B43C75"/>
    <w:rsid w:val="00B43D5E"/>
    <w:rsid w:val="00B43E89"/>
    <w:rsid w:val="00B43F4F"/>
    <w:rsid w:val="00B43F87"/>
    <w:rsid w:val="00B43FC4"/>
    <w:rsid w:val="00B4406E"/>
    <w:rsid w:val="00B440CB"/>
    <w:rsid w:val="00B4436E"/>
    <w:rsid w:val="00B44472"/>
    <w:rsid w:val="00B44495"/>
    <w:rsid w:val="00B44496"/>
    <w:rsid w:val="00B444F5"/>
    <w:rsid w:val="00B4457C"/>
    <w:rsid w:val="00B4481F"/>
    <w:rsid w:val="00B4488A"/>
    <w:rsid w:val="00B44A08"/>
    <w:rsid w:val="00B44AE9"/>
    <w:rsid w:val="00B44B04"/>
    <w:rsid w:val="00B44CDB"/>
    <w:rsid w:val="00B44DDC"/>
    <w:rsid w:val="00B44DE9"/>
    <w:rsid w:val="00B44E53"/>
    <w:rsid w:val="00B44F55"/>
    <w:rsid w:val="00B44FDC"/>
    <w:rsid w:val="00B45086"/>
    <w:rsid w:val="00B450F7"/>
    <w:rsid w:val="00B451E0"/>
    <w:rsid w:val="00B45247"/>
    <w:rsid w:val="00B45281"/>
    <w:rsid w:val="00B4529C"/>
    <w:rsid w:val="00B45409"/>
    <w:rsid w:val="00B45421"/>
    <w:rsid w:val="00B45769"/>
    <w:rsid w:val="00B4589B"/>
    <w:rsid w:val="00B458F7"/>
    <w:rsid w:val="00B4592D"/>
    <w:rsid w:val="00B45961"/>
    <w:rsid w:val="00B459E1"/>
    <w:rsid w:val="00B45AA1"/>
    <w:rsid w:val="00B45C1F"/>
    <w:rsid w:val="00B45CC7"/>
    <w:rsid w:val="00B45D2C"/>
    <w:rsid w:val="00B45E3E"/>
    <w:rsid w:val="00B45EBB"/>
    <w:rsid w:val="00B45ECA"/>
    <w:rsid w:val="00B45ED0"/>
    <w:rsid w:val="00B45F49"/>
    <w:rsid w:val="00B4602C"/>
    <w:rsid w:val="00B46128"/>
    <w:rsid w:val="00B4623C"/>
    <w:rsid w:val="00B46377"/>
    <w:rsid w:val="00B463BC"/>
    <w:rsid w:val="00B4663E"/>
    <w:rsid w:val="00B466BB"/>
    <w:rsid w:val="00B46700"/>
    <w:rsid w:val="00B46781"/>
    <w:rsid w:val="00B467AD"/>
    <w:rsid w:val="00B467D5"/>
    <w:rsid w:val="00B4687D"/>
    <w:rsid w:val="00B468A3"/>
    <w:rsid w:val="00B468BB"/>
    <w:rsid w:val="00B468F1"/>
    <w:rsid w:val="00B46912"/>
    <w:rsid w:val="00B4694D"/>
    <w:rsid w:val="00B46AA7"/>
    <w:rsid w:val="00B46B96"/>
    <w:rsid w:val="00B46DB8"/>
    <w:rsid w:val="00B46EE3"/>
    <w:rsid w:val="00B47071"/>
    <w:rsid w:val="00B471FD"/>
    <w:rsid w:val="00B472E6"/>
    <w:rsid w:val="00B47352"/>
    <w:rsid w:val="00B473FC"/>
    <w:rsid w:val="00B47409"/>
    <w:rsid w:val="00B4753A"/>
    <w:rsid w:val="00B47684"/>
    <w:rsid w:val="00B47835"/>
    <w:rsid w:val="00B47843"/>
    <w:rsid w:val="00B47A23"/>
    <w:rsid w:val="00B47A7B"/>
    <w:rsid w:val="00B47BA2"/>
    <w:rsid w:val="00B47BCC"/>
    <w:rsid w:val="00B47C12"/>
    <w:rsid w:val="00B47C86"/>
    <w:rsid w:val="00B47CD2"/>
    <w:rsid w:val="00B47DD6"/>
    <w:rsid w:val="00B47EFC"/>
    <w:rsid w:val="00B47F66"/>
    <w:rsid w:val="00B47F8F"/>
    <w:rsid w:val="00B50096"/>
    <w:rsid w:val="00B5018B"/>
    <w:rsid w:val="00B502A2"/>
    <w:rsid w:val="00B502B5"/>
    <w:rsid w:val="00B502E8"/>
    <w:rsid w:val="00B50404"/>
    <w:rsid w:val="00B50491"/>
    <w:rsid w:val="00B504D0"/>
    <w:rsid w:val="00B50575"/>
    <w:rsid w:val="00B5064A"/>
    <w:rsid w:val="00B5067D"/>
    <w:rsid w:val="00B50682"/>
    <w:rsid w:val="00B5080E"/>
    <w:rsid w:val="00B509C1"/>
    <w:rsid w:val="00B509C8"/>
    <w:rsid w:val="00B509CA"/>
    <w:rsid w:val="00B50A4F"/>
    <w:rsid w:val="00B50ADA"/>
    <w:rsid w:val="00B50B7F"/>
    <w:rsid w:val="00B50C90"/>
    <w:rsid w:val="00B50C98"/>
    <w:rsid w:val="00B50CBC"/>
    <w:rsid w:val="00B50E92"/>
    <w:rsid w:val="00B50EA7"/>
    <w:rsid w:val="00B50F7A"/>
    <w:rsid w:val="00B5100D"/>
    <w:rsid w:val="00B5129C"/>
    <w:rsid w:val="00B5136A"/>
    <w:rsid w:val="00B51375"/>
    <w:rsid w:val="00B51421"/>
    <w:rsid w:val="00B51452"/>
    <w:rsid w:val="00B5149B"/>
    <w:rsid w:val="00B514DD"/>
    <w:rsid w:val="00B5151D"/>
    <w:rsid w:val="00B5154A"/>
    <w:rsid w:val="00B5156B"/>
    <w:rsid w:val="00B51687"/>
    <w:rsid w:val="00B51736"/>
    <w:rsid w:val="00B5173A"/>
    <w:rsid w:val="00B51862"/>
    <w:rsid w:val="00B51929"/>
    <w:rsid w:val="00B519A9"/>
    <w:rsid w:val="00B519B3"/>
    <w:rsid w:val="00B51A13"/>
    <w:rsid w:val="00B51A31"/>
    <w:rsid w:val="00B51A8E"/>
    <w:rsid w:val="00B51AE0"/>
    <w:rsid w:val="00B51B49"/>
    <w:rsid w:val="00B51B93"/>
    <w:rsid w:val="00B51BA2"/>
    <w:rsid w:val="00B51C75"/>
    <w:rsid w:val="00B51C87"/>
    <w:rsid w:val="00B51E02"/>
    <w:rsid w:val="00B51E5D"/>
    <w:rsid w:val="00B51E63"/>
    <w:rsid w:val="00B51F1F"/>
    <w:rsid w:val="00B51F8C"/>
    <w:rsid w:val="00B51FC3"/>
    <w:rsid w:val="00B5203D"/>
    <w:rsid w:val="00B52132"/>
    <w:rsid w:val="00B52169"/>
    <w:rsid w:val="00B52628"/>
    <w:rsid w:val="00B52690"/>
    <w:rsid w:val="00B5269A"/>
    <w:rsid w:val="00B5269B"/>
    <w:rsid w:val="00B527B0"/>
    <w:rsid w:val="00B52863"/>
    <w:rsid w:val="00B52918"/>
    <w:rsid w:val="00B52AB5"/>
    <w:rsid w:val="00B52B32"/>
    <w:rsid w:val="00B52BAB"/>
    <w:rsid w:val="00B52BB8"/>
    <w:rsid w:val="00B52CC4"/>
    <w:rsid w:val="00B52CE7"/>
    <w:rsid w:val="00B52D7D"/>
    <w:rsid w:val="00B52E5C"/>
    <w:rsid w:val="00B52E99"/>
    <w:rsid w:val="00B53138"/>
    <w:rsid w:val="00B53152"/>
    <w:rsid w:val="00B5317A"/>
    <w:rsid w:val="00B531EC"/>
    <w:rsid w:val="00B5337C"/>
    <w:rsid w:val="00B534D2"/>
    <w:rsid w:val="00B535E5"/>
    <w:rsid w:val="00B53608"/>
    <w:rsid w:val="00B536E2"/>
    <w:rsid w:val="00B53711"/>
    <w:rsid w:val="00B5371F"/>
    <w:rsid w:val="00B537AC"/>
    <w:rsid w:val="00B537C9"/>
    <w:rsid w:val="00B53856"/>
    <w:rsid w:val="00B539BF"/>
    <w:rsid w:val="00B53B85"/>
    <w:rsid w:val="00B53BEC"/>
    <w:rsid w:val="00B53C6B"/>
    <w:rsid w:val="00B53C7C"/>
    <w:rsid w:val="00B53CBA"/>
    <w:rsid w:val="00B53CF8"/>
    <w:rsid w:val="00B53D3C"/>
    <w:rsid w:val="00B53D81"/>
    <w:rsid w:val="00B53DEC"/>
    <w:rsid w:val="00B53DED"/>
    <w:rsid w:val="00B53FE5"/>
    <w:rsid w:val="00B540E6"/>
    <w:rsid w:val="00B5412D"/>
    <w:rsid w:val="00B5420E"/>
    <w:rsid w:val="00B54359"/>
    <w:rsid w:val="00B543DE"/>
    <w:rsid w:val="00B543F0"/>
    <w:rsid w:val="00B5447A"/>
    <w:rsid w:val="00B5448E"/>
    <w:rsid w:val="00B54953"/>
    <w:rsid w:val="00B549E2"/>
    <w:rsid w:val="00B54B20"/>
    <w:rsid w:val="00B54B49"/>
    <w:rsid w:val="00B54BE6"/>
    <w:rsid w:val="00B54C18"/>
    <w:rsid w:val="00B54D45"/>
    <w:rsid w:val="00B55290"/>
    <w:rsid w:val="00B55408"/>
    <w:rsid w:val="00B5548D"/>
    <w:rsid w:val="00B5556F"/>
    <w:rsid w:val="00B55608"/>
    <w:rsid w:val="00B55662"/>
    <w:rsid w:val="00B557F7"/>
    <w:rsid w:val="00B55858"/>
    <w:rsid w:val="00B55AF8"/>
    <w:rsid w:val="00B55C7B"/>
    <w:rsid w:val="00B55C96"/>
    <w:rsid w:val="00B55CA3"/>
    <w:rsid w:val="00B55D6E"/>
    <w:rsid w:val="00B55DBE"/>
    <w:rsid w:val="00B55EC6"/>
    <w:rsid w:val="00B55F0A"/>
    <w:rsid w:val="00B55FB1"/>
    <w:rsid w:val="00B55FF0"/>
    <w:rsid w:val="00B55FFD"/>
    <w:rsid w:val="00B5602E"/>
    <w:rsid w:val="00B5607B"/>
    <w:rsid w:val="00B5608A"/>
    <w:rsid w:val="00B5641D"/>
    <w:rsid w:val="00B565BA"/>
    <w:rsid w:val="00B567F5"/>
    <w:rsid w:val="00B5692B"/>
    <w:rsid w:val="00B5693F"/>
    <w:rsid w:val="00B56961"/>
    <w:rsid w:val="00B56B6A"/>
    <w:rsid w:val="00B56CEE"/>
    <w:rsid w:val="00B56D1D"/>
    <w:rsid w:val="00B56D5D"/>
    <w:rsid w:val="00B56D7D"/>
    <w:rsid w:val="00B56E9C"/>
    <w:rsid w:val="00B5700B"/>
    <w:rsid w:val="00B57018"/>
    <w:rsid w:val="00B570DC"/>
    <w:rsid w:val="00B57181"/>
    <w:rsid w:val="00B571CB"/>
    <w:rsid w:val="00B572EE"/>
    <w:rsid w:val="00B573A4"/>
    <w:rsid w:val="00B574F7"/>
    <w:rsid w:val="00B57560"/>
    <w:rsid w:val="00B57705"/>
    <w:rsid w:val="00B5773A"/>
    <w:rsid w:val="00B5782B"/>
    <w:rsid w:val="00B57964"/>
    <w:rsid w:val="00B57A27"/>
    <w:rsid w:val="00B57A73"/>
    <w:rsid w:val="00B57A7B"/>
    <w:rsid w:val="00B57C87"/>
    <w:rsid w:val="00B57D6E"/>
    <w:rsid w:val="00B57DDC"/>
    <w:rsid w:val="00B57E37"/>
    <w:rsid w:val="00B57F1E"/>
    <w:rsid w:val="00B57FBE"/>
    <w:rsid w:val="00B57FF0"/>
    <w:rsid w:val="00B57FF9"/>
    <w:rsid w:val="00B6012A"/>
    <w:rsid w:val="00B601BA"/>
    <w:rsid w:val="00B60200"/>
    <w:rsid w:val="00B6025D"/>
    <w:rsid w:val="00B602B2"/>
    <w:rsid w:val="00B60306"/>
    <w:rsid w:val="00B604F1"/>
    <w:rsid w:val="00B605BF"/>
    <w:rsid w:val="00B6066B"/>
    <w:rsid w:val="00B6071D"/>
    <w:rsid w:val="00B60898"/>
    <w:rsid w:val="00B608D7"/>
    <w:rsid w:val="00B6098E"/>
    <w:rsid w:val="00B609C1"/>
    <w:rsid w:val="00B609E3"/>
    <w:rsid w:val="00B60A6F"/>
    <w:rsid w:val="00B60A8B"/>
    <w:rsid w:val="00B60B1A"/>
    <w:rsid w:val="00B60B5E"/>
    <w:rsid w:val="00B60BA4"/>
    <w:rsid w:val="00B60C64"/>
    <w:rsid w:val="00B60CDB"/>
    <w:rsid w:val="00B60CF0"/>
    <w:rsid w:val="00B60D9E"/>
    <w:rsid w:val="00B60DE3"/>
    <w:rsid w:val="00B60E4A"/>
    <w:rsid w:val="00B60E71"/>
    <w:rsid w:val="00B60EF7"/>
    <w:rsid w:val="00B611B4"/>
    <w:rsid w:val="00B61259"/>
    <w:rsid w:val="00B6132A"/>
    <w:rsid w:val="00B61409"/>
    <w:rsid w:val="00B6144E"/>
    <w:rsid w:val="00B61498"/>
    <w:rsid w:val="00B614B0"/>
    <w:rsid w:val="00B61753"/>
    <w:rsid w:val="00B61916"/>
    <w:rsid w:val="00B61942"/>
    <w:rsid w:val="00B6195D"/>
    <w:rsid w:val="00B619F7"/>
    <w:rsid w:val="00B61C85"/>
    <w:rsid w:val="00B61D66"/>
    <w:rsid w:val="00B61DB0"/>
    <w:rsid w:val="00B61DB7"/>
    <w:rsid w:val="00B61E98"/>
    <w:rsid w:val="00B61F3E"/>
    <w:rsid w:val="00B61F49"/>
    <w:rsid w:val="00B620FF"/>
    <w:rsid w:val="00B62129"/>
    <w:rsid w:val="00B62148"/>
    <w:rsid w:val="00B621B1"/>
    <w:rsid w:val="00B6229B"/>
    <w:rsid w:val="00B622A4"/>
    <w:rsid w:val="00B6241C"/>
    <w:rsid w:val="00B6246C"/>
    <w:rsid w:val="00B62494"/>
    <w:rsid w:val="00B62567"/>
    <w:rsid w:val="00B625D7"/>
    <w:rsid w:val="00B62765"/>
    <w:rsid w:val="00B62818"/>
    <w:rsid w:val="00B62AEE"/>
    <w:rsid w:val="00B62C57"/>
    <w:rsid w:val="00B62DDE"/>
    <w:rsid w:val="00B63128"/>
    <w:rsid w:val="00B63154"/>
    <w:rsid w:val="00B63182"/>
    <w:rsid w:val="00B631BE"/>
    <w:rsid w:val="00B631D1"/>
    <w:rsid w:val="00B63354"/>
    <w:rsid w:val="00B634C0"/>
    <w:rsid w:val="00B63500"/>
    <w:rsid w:val="00B63656"/>
    <w:rsid w:val="00B636BA"/>
    <w:rsid w:val="00B636C8"/>
    <w:rsid w:val="00B63708"/>
    <w:rsid w:val="00B6373C"/>
    <w:rsid w:val="00B6374D"/>
    <w:rsid w:val="00B638BB"/>
    <w:rsid w:val="00B63976"/>
    <w:rsid w:val="00B63A29"/>
    <w:rsid w:val="00B63C39"/>
    <w:rsid w:val="00B63D20"/>
    <w:rsid w:val="00B63E78"/>
    <w:rsid w:val="00B63E7D"/>
    <w:rsid w:val="00B63FD6"/>
    <w:rsid w:val="00B64038"/>
    <w:rsid w:val="00B640AE"/>
    <w:rsid w:val="00B6412C"/>
    <w:rsid w:val="00B6428F"/>
    <w:rsid w:val="00B64657"/>
    <w:rsid w:val="00B64703"/>
    <w:rsid w:val="00B64715"/>
    <w:rsid w:val="00B6481E"/>
    <w:rsid w:val="00B648EA"/>
    <w:rsid w:val="00B64AD8"/>
    <w:rsid w:val="00B64B45"/>
    <w:rsid w:val="00B64C17"/>
    <w:rsid w:val="00B64D78"/>
    <w:rsid w:val="00B64EDE"/>
    <w:rsid w:val="00B64F3A"/>
    <w:rsid w:val="00B64FCB"/>
    <w:rsid w:val="00B651F2"/>
    <w:rsid w:val="00B65360"/>
    <w:rsid w:val="00B65381"/>
    <w:rsid w:val="00B65498"/>
    <w:rsid w:val="00B6551F"/>
    <w:rsid w:val="00B655AD"/>
    <w:rsid w:val="00B655DB"/>
    <w:rsid w:val="00B6564E"/>
    <w:rsid w:val="00B65924"/>
    <w:rsid w:val="00B65A67"/>
    <w:rsid w:val="00B65A7A"/>
    <w:rsid w:val="00B65ADC"/>
    <w:rsid w:val="00B65AE9"/>
    <w:rsid w:val="00B65B3F"/>
    <w:rsid w:val="00B65BAE"/>
    <w:rsid w:val="00B65C47"/>
    <w:rsid w:val="00B65DBA"/>
    <w:rsid w:val="00B65DDB"/>
    <w:rsid w:val="00B65E72"/>
    <w:rsid w:val="00B65EFE"/>
    <w:rsid w:val="00B660B8"/>
    <w:rsid w:val="00B660FC"/>
    <w:rsid w:val="00B66310"/>
    <w:rsid w:val="00B663A6"/>
    <w:rsid w:val="00B66551"/>
    <w:rsid w:val="00B66565"/>
    <w:rsid w:val="00B6659F"/>
    <w:rsid w:val="00B6669F"/>
    <w:rsid w:val="00B666C5"/>
    <w:rsid w:val="00B666DC"/>
    <w:rsid w:val="00B66778"/>
    <w:rsid w:val="00B667AB"/>
    <w:rsid w:val="00B667BD"/>
    <w:rsid w:val="00B66841"/>
    <w:rsid w:val="00B668ED"/>
    <w:rsid w:val="00B66924"/>
    <w:rsid w:val="00B66976"/>
    <w:rsid w:val="00B669C9"/>
    <w:rsid w:val="00B66A05"/>
    <w:rsid w:val="00B66BBC"/>
    <w:rsid w:val="00B66CEA"/>
    <w:rsid w:val="00B66D45"/>
    <w:rsid w:val="00B66D9A"/>
    <w:rsid w:val="00B66E14"/>
    <w:rsid w:val="00B66E21"/>
    <w:rsid w:val="00B671B3"/>
    <w:rsid w:val="00B673BB"/>
    <w:rsid w:val="00B67444"/>
    <w:rsid w:val="00B67565"/>
    <w:rsid w:val="00B67573"/>
    <w:rsid w:val="00B6760E"/>
    <w:rsid w:val="00B67630"/>
    <w:rsid w:val="00B6774C"/>
    <w:rsid w:val="00B678B2"/>
    <w:rsid w:val="00B67969"/>
    <w:rsid w:val="00B679D0"/>
    <w:rsid w:val="00B67A77"/>
    <w:rsid w:val="00B67B35"/>
    <w:rsid w:val="00B67B79"/>
    <w:rsid w:val="00B67CC3"/>
    <w:rsid w:val="00B67D62"/>
    <w:rsid w:val="00B67D85"/>
    <w:rsid w:val="00B67D9B"/>
    <w:rsid w:val="00B67DB5"/>
    <w:rsid w:val="00B67DD0"/>
    <w:rsid w:val="00B67EA8"/>
    <w:rsid w:val="00B67FA7"/>
    <w:rsid w:val="00B70021"/>
    <w:rsid w:val="00B701C6"/>
    <w:rsid w:val="00B70260"/>
    <w:rsid w:val="00B70286"/>
    <w:rsid w:val="00B70422"/>
    <w:rsid w:val="00B70456"/>
    <w:rsid w:val="00B70471"/>
    <w:rsid w:val="00B704AD"/>
    <w:rsid w:val="00B704C4"/>
    <w:rsid w:val="00B705E0"/>
    <w:rsid w:val="00B70705"/>
    <w:rsid w:val="00B707C1"/>
    <w:rsid w:val="00B70900"/>
    <w:rsid w:val="00B7095B"/>
    <w:rsid w:val="00B70969"/>
    <w:rsid w:val="00B7099C"/>
    <w:rsid w:val="00B7099D"/>
    <w:rsid w:val="00B709BB"/>
    <w:rsid w:val="00B70AF9"/>
    <w:rsid w:val="00B70B08"/>
    <w:rsid w:val="00B70B40"/>
    <w:rsid w:val="00B70BF6"/>
    <w:rsid w:val="00B70C82"/>
    <w:rsid w:val="00B70CA4"/>
    <w:rsid w:val="00B70D74"/>
    <w:rsid w:val="00B70E01"/>
    <w:rsid w:val="00B70E02"/>
    <w:rsid w:val="00B70F42"/>
    <w:rsid w:val="00B70F55"/>
    <w:rsid w:val="00B70FB1"/>
    <w:rsid w:val="00B71046"/>
    <w:rsid w:val="00B710E4"/>
    <w:rsid w:val="00B71108"/>
    <w:rsid w:val="00B7114C"/>
    <w:rsid w:val="00B71188"/>
    <w:rsid w:val="00B711D5"/>
    <w:rsid w:val="00B711FA"/>
    <w:rsid w:val="00B71214"/>
    <w:rsid w:val="00B712ED"/>
    <w:rsid w:val="00B71505"/>
    <w:rsid w:val="00B7161A"/>
    <w:rsid w:val="00B71649"/>
    <w:rsid w:val="00B71662"/>
    <w:rsid w:val="00B716F4"/>
    <w:rsid w:val="00B7174F"/>
    <w:rsid w:val="00B717D6"/>
    <w:rsid w:val="00B71928"/>
    <w:rsid w:val="00B7193F"/>
    <w:rsid w:val="00B719F8"/>
    <w:rsid w:val="00B71A20"/>
    <w:rsid w:val="00B71AA4"/>
    <w:rsid w:val="00B71ADE"/>
    <w:rsid w:val="00B71D23"/>
    <w:rsid w:val="00B71E46"/>
    <w:rsid w:val="00B71E8E"/>
    <w:rsid w:val="00B71F39"/>
    <w:rsid w:val="00B72022"/>
    <w:rsid w:val="00B72027"/>
    <w:rsid w:val="00B72254"/>
    <w:rsid w:val="00B72292"/>
    <w:rsid w:val="00B7234F"/>
    <w:rsid w:val="00B723AF"/>
    <w:rsid w:val="00B7272B"/>
    <w:rsid w:val="00B72755"/>
    <w:rsid w:val="00B72778"/>
    <w:rsid w:val="00B728BE"/>
    <w:rsid w:val="00B72A15"/>
    <w:rsid w:val="00B72C25"/>
    <w:rsid w:val="00B72C9D"/>
    <w:rsid w:val="00B72D67"/>
    <w:rsid w:val="00B72D86"/>
    <w:rsid w:val="00B72DC2"/>
    <w:rsid w:val="00B72E1D"/>
    <w:rsid w:val="00B730A3"/>
    <w:rsid w:val="00B73181"/>
    <w:rsid w:val="00B73389"/>
    <w:rsid w:val="00B733DD"/>
    <w:rsid w:val="00B73417"/>
    <w:rsid w:val="00B73421"/>
    <w:rsid w:val="00B73556"/>
    <w:rsid w:val="00B73704"/>
    <w:rsid w:val="00B73794"/>
    <w:rsid w:val="00B73843"/>
    <w:rsid w:val="00B73A3F"/>
    <w:rsid w:val="00B73B34"/>
    <w:rsid w:val="00B73BE2"/>
    <w:rsid w:val="00B73BEC"/>
    <w:rsid w:val="00B73C91"/>
    <w:rsid w:val="00B73E21"/>
    <w:rsid w:val="00B73ECC"/>
    <w:rsid w:val="00B73EEC"/>
    <w:rsid w:val="00B74192"/>
    <w:rsid w:val="00B7424D"/>
    <w:rsid w:val="00B743A8"/>
    <w:rsid w:val="00B74528"/>
    <w:rsid w:val="00B74540"/>
    <w:rsid w:val="00B7456A"/>
    <w:rsid w:val="00B745D7"/>
    <w:rsid w:val="00B74999"/>
    <w:rsid w:val="00B74E1A"/>
    <w:rsid w:val="00B74E45"/>
    <w:rsid w:val="00B74F02"/>
    <w:rsid w:val="00B75103"/>
    <w:rsid w:val="00B751BA"/>
    <w:rsid w:val="00B753EF"/>
    <w:rsid w:val="00B7542B"/>
    <w:rsid w:val="00B7542F"/>
    <w:rsid w:val="00B754AF"/>
    <w:rsid w:val="00B75624"/>
    <w:rsid w:val="00B75694"/>
    <w:rsid w:val="00B756C6"/>
    <w:rsid w:val="00B756C7"/>
    <w:rsid w:val="00B7580D"/>
    <w:rsid w:val="00B7599F"/>
    <w:rsid w:val="00B75A44"/>
    <w:rsid w:val="00B75B44"/>
    <w:rsid w:val="00B75BAA"/>
    <w:rsid w:val="00B75CA2"/>
    <w:rsid w:val="00B75D32"/>
    <w:rsid w:val="00B75DC7"/>
    <w:rsid w:val="00B761A9"/>
    <w:rsid w:val="00B7620D"/>
    <w:rsid w:val="00B7624F"/>
    <w:rsid w:val="00B76260"/>
    <w:rsid w:val="00B762C1"/>
    <w:rsid w:val="00B76331"/>
    <w:rsid w:val="00B7640B"/>
    <w:rsid w:val="00B76583"/>
    <w:rsid w:val="00B76761"/>
    <w:rsid w:val="00B76782"/>
    <w:rsid w:val="00B7682F"/>
    <w:rsid w:val="00B768C8"/>
    <w:rsid w:val="00B768E9"/>
    <w:rsid w:val="00B769D8"/>
    <w:rsid w:val="00B76A4B"/>
    <w:rsid w:val="00B76BB2"/>
    <w:rsid w:val="00B76D07"/>
    <w:rsid w:val="00B76D74"/>
    <w:rsid w:val="00B76D90"/>
    <w:rsid w:val="00B76EF2"/>
    <w:rsid w:val="00B76F0C"/>
    <w:rsid w:val="00B76FB2"/>
    <w:rsid w:val="00B77017"/>
    <w:rsid w:val="00B771C9"/>
    <w:rsid w:val="00B7738C"/>
    <w:rsid w:val="00B77469"/>
    <w:rsid w:val="00B7767C"/>
    <w:rsid w:val="00B778A1"/>
    <w:rsid w:val="00B778ED"/>
    <w:rsid w:val="00B77D28"/>
    <w:rsid w:val="00B77E60"/>
    <w:rsid w:val="00B77E9B"/>
    <w:rsid w:val="00B77EA8"/>
    <w:rsid w:val="00B77EEE"/>
    <w:rsid w:val="00B77F34"/>
    <w:rsid w:val="00B8012A"/>
    <w:rsid w:val="00B80182"/>
    <w:rsid w:val="00B801E7"/>
    <w:rsid w:val="00B8022E"/>
    <w:rsid w:val="00B803CD"/>
    <w:rsid w:val="00B80400"/>
    <w:rsid w:val="00B80498"/>
    <w:rsid w:val="00B804DC"/>
    <w:rsid w:val="00B80708"/>
    <w:rsid w:val="00B80771"/>
    <w:rsid w:val="00B8077A"/>
    <w:rsid w:val="00B808E6"/>
    <w:rsid w:val="00B8094F"/>
    <w:rsid w:val="00B80972"/>
    <w:rsid w:val="00B80A91"/>
    <w:rsid w:val="00B80AA3"/>
    <w:rsid w:val="00B80B22"/>
    <w:rsid w:val="00B80BC8"/>
    <w:rsid w:val="00B80C1B"/>
    <w:rsid w:val="00B80DF7"/>
    <w:rsid w:val="00B80E8C"/>
    <w:rsid w:val="00B80FEE"/>
    <w:rsid w:val="00B8105E"/>
    <w:rsid w:val="00B81161"/>
    <w:rsid w:val="00B8126B"/>
    <w:rsid w:val="00B812EE"/>
    <w:rsid w:val="00B81446"/>
    <w:rsid w:val="00B814D5"/>
    <w:rsid w:val="00B81529"/>
    <w:rsid w:val="00B81827"/>
    <w:rsid w:val="00B81902"/>
    <w:rsid w:val="00B8197D"/>
    <w:rsid w:val="00B819A3"/>
    <w:rsid w:val="00B81A2C"/>
    <w:rsid w:val="00B81B19"/>
    <w:rsid w:val="00B81B93"/>
    <w:rsid w:val="00B81C08"/>
    <w:rsid w:val="00B81D04"/>
    <w:rsid w:val="00B81D69"/>
    <w:rsid w:val="00B81E27"/>
    <w:rsid w:val="00B81E40"/>
    <w:rsid w:val="00B81E53"/>
    <w:rsid w:val="00B81ED2"/>
    <w:rsid w:val="00B82119"/>
    <w:rsid w:val="00B82185"/>
    <w:rsid w:val="00B82298"/>
    <w:rsid w:val="00B82316"/>
    <w:rsid w:val="00B8236F"/>
    <w:rsid w:val="00B8239F"/>
    <w:rsid w:val="00B823DC"/>
    <w:rsid w:val="00B824B6"/>
    <w:rsid w:val="00B825DF"/>
    <w:rsid w:val="00B82673"/>
    <w:rsid w:val="00B8271F"/>
    <w:rsid w:val="00B827C1"/>
    <w:rsid w:val="00B827C9"/>
    <w:rsid w:val="00B8282E"/>
    <w:rsid w:val="00B828A5"/>
    <w:rsid w:val="00B828DC"/>
    <w:rsid w:val="00B82A75"/>
    <w:rsid w:val="00B82AFB"/>
    <w:rsid w:val="00B82CE3"/>
    <w:rsid w:val="00B82D13"/>
    <w:rsid w:val="00B82E15"/>
    <w:rsid w:val="00B82F35"/>
    <w:rsid w:val="00B830DD"/>
    <w:rsid w:val="00B8323D"/>
    <w:rsid w:val="00B8326B"/>
    <w:rsid w:val="00B8344A"/>
    <w:rsid w:val="00B83542"/>
    <w:rsid w:val="00B835D0"/>
    <w:rsid w:val="00B836E3"/>
    <w:rsid w:val="00B83844"/>
    <w:rsid w:val="00B83922"/>
    <w:rsid w:val="00B839F2"/>
    <w:rsid w:val="00B83B3F"/>
    <w:rsid w:val="00B83B62"/>
    <w:rsid w:val="00B83C39"/>
    <w:rsid w:val="00B83E40"/>
    <w:rsid w:val="00B83EAA"/>
    <w:rsid w:val="00B83F1D"/>
    <w:rsid w:val="00B83F26"/>
    <w:rsid w:val="00B84159"/>
    <w:rsid w:val="00B84188"/>
    <w:rsid w:val="00B8425B"/>
    <w:rsid w:val="00B8430F"/>
    <w:rsid w:val="00B8451B"/>
    <w:rsid w:val="00B845C5"/>
    <w:rsid w:val="00B8485E"/>
    <w:rsid w:val="00B848B1"/>
    <w:rsid w:val="00B84955"/>
    <w:rsid w:val="00B84AFF"/>
    <w:rsid w:val="00B84B1D"/>
    <w:rsid w:val="00B84B36"/>
    <w:rsid w:val="00B84B87"/>
    <w:rsid w:val="00B84BE6"/>
    <w:rsid w:val="00B84C50"/>
    <w:rsid w:val="00B84C9F"/>
    <w:rsid w:val="00B84D7F"/>
    <w:rsid w:val="00B84E1E"/>
    <w:rsid w:val="00B84E45"/>
    <w:rsid w:val="00B84F8F"/>
    <w:rsid w:val="00B84FAC"/>
    <w:rsid w:val="00B84FC3"/>
    <w:rsid w:val="00B84FD4"/>
    <w:rsid w:val="00B851A1"/>
    <w:rsid w:val="00B8527C"/>
    <w:rsid w:val="00B8531C"/>
    <w:rsid w:val="00B8539F"/>
    <w:rsid w:val="00B854B4"/>
    <w:rsid w:val="00B8553D"/>
    <w:rsid w:val="00B85571"/>
    <w:rsid w:val="00B8557D"/>
    <w:rsid w:val="00B85644"/>
    <w:rsid w:val="00B856AC"/>
    <w:rsid w:val="00B85781"/>
    <w:rsid w:val="00B857EB"/>
    <w:rsid w:val="00B859A7"/>
    <w:rsid w:val="00B85A34"/>
    <w:rsid w:val="00B85A61"/>
    <w:rsid w:val="00B85A66"/>
    <w:rsid w:val="00B85A81"/>
    <w:rsid w:val="00B85B55"/>
    <w:rsid w:val="00B85BD8"/>
    <w:rsid w:val="00B85D26"/>
    <w:rsid w:val="00B85D31"/>
    <w:rsid w:val="00B85D55"/>
    <w:rsid w:val="00B85DBE"/>
    <w:rsid w:val="00B85DE2"/>
    <w:rsid w:val="00B85E03"/>
    <w:rsid w:val="00B85F03"/>
    <w:rsid w:val="00B85F7F"/>
    <w:rsid w:val="00B8607F"/>
    <w:rsid w:val="00B8625E"/>
    <w:rsid w:val="00B862E6"/>
    <w:rsid w:val="00B86310"/>
    <w:rsid w:val="00B86323"/>
    <w:rsid w:val="00B86336"/>
    <w:rsid w:val="00B8637A"/>
    <w:rsid w:val="00B864A2"/>
    <w:rsid w:val="00B8654B"/>
    <w:rsid w:val="00B865E0"/>
    <w:rsid w:val="00B8681C"/>
    <w:rsid w:val="00B86830"/>
    <w:rsid w:val="00B86840"/>
    <w:rsid w:val="00B86AC6"/>
    <w:rsid w:val="00B86AD6"/>
    <w:rsid w:val="00B86ADB"/>
    <w:rsid w:val="00B86BEA"/>
    <w:rsid w:val="00B86C5E"/>
    <w:rsid w:val="00B86C6C"/>
    <w:rsid w:val="00B86D2F"/>
    <w:rsid w:val="00B86D44"/>
    <w:rsid w:val="00B86F21"/>
    <w:rsid w:val="00B86F43"/>
    <w:rsid w:val="00B86FA8"/>
    <w:rsid w:val="00B87226"/>
    <w:rsid w:val="00B8726C"/>
    <w:rsid w:val="00B8731A"/>
    <w:rsid w:val="00B87328"/>
    <w:rsid w:val="00B874B0"/>
    <w:rsid w:val="00B87737"/>
    <w:rsid w:val="00B877EB"/>
    <w:rsid w:val="00B87861"/>
    <w:rsid w:val="00B878A0"/>
    <w:rsid w:val="00B878F7"/>
    <w:rsid w:val="00B87AC4"/>
    <w:rsid w:val="00B87AE8"/>
    <w:rsid w:val="00B87BCD"/>
    <w:rsid w:val="00B87BF9"/>
    <w:rsid w:val="00B87C14"/>
    <w:rsid w:val="00B87C78"/>
    <w:rsid w:val="00B87EB3"/>
    <w:rsid w:val="00B9000B"/>
    <w:rsid w:val="00B9013F"/>
    <w:rsid w:val="00B90149"/>
    <w:rsid w:val="00B901A6"/>
    <w:rsid w:val="00B903D5"/>
    <w:rsid w:val="00B90580"/>
    <w:rsid w:val="00B90585"/>
    <w:rsid w:val="00B906AE"/>
    <w:rsid w:val="00B907E2"/>
    <w:rsid w:val="00B907E6"/>
    <w:rsid w:val="00B909C2"/>
    <w:rsid w:val="00B90AB9"/>
    <w:rsid w:val="00B90B8B"/>
    <w:rsid w:val="00B90CB0"/>
    <w:rsid w:val="00B91114"/>
    <w:rsid w:val="00B91201"/>
    <w:rsid w:val="00B912EF"/>
    <w:rsid w:val="00B9162F"/>
    <w:rsid w:val="00B916F8"/>
    <w:rsid w:val="00B91704"/>
    <w:rsid w:val="00B91750"/>
    <w:rsid w:val="00B917A1"/>
    <w:rsid w:val="00B917E0"/>
    <w:rsid w:val="00B917F1"/>
    <w:rsid w:val="00B918B8"/>
    <w:rsid w:val="00B918E0"/>
    <w:rsid w:val="00B918E9"/>
    <w:rsid w:val="00B9191E"/>
    <w:rsid w:val="00B9194A"/>
    <w:rsid w:val="00B9194C"/>
    <w:rsid w:val="00B919B1"/>
    <w:rsid w:val="00B919D5"/>
    <w:rsid w:val="00B91AD6"/>
    <w:rsid w:val="00B91AF2"/>
    <w:rsid w:val="00B91B79"/>
    <w:rsid w:val="00B91C00"/>
    <w:rsid w:val="00B91D53"/>
    <w:rsid w:val="00B91DB0"/>
    <w:rsid w:val="00B91DC3"/>
    <w:rsid w:val="00B91E38"/>
    <w:rsid w:val="00B91E3F"/>
    <w:rsid w:val="00B91EF4"/>
    <w:rsid w:val="00B91F63"/>
    <w:rsid w:val="00B91FBF"/>
    <w:rsid w:val="00B91FF7"/>
    <w:rsid w:val="00B9207A"/>
    <w:rsid w:val="00B92145"/>
    <w:rsid w:val="00B921F3"/>
    <w:rsid w:val="00B9226C"/>
    <w:rsid w:val="00B9229C"/>
    <w:rsid w:val="00B922AD"/>
    <w:rsid w:val="00B92483"/>
    <w:rsid w:val="00B924D2"/>
    <w:rsid w:val="00B925B1"/>
    <w:rsid w:val="00B9264D"/>
    <w:rsid w:val="00B9264F"/>
    <w:rsid w:val="00B926E7"/>
    <w:rsid w:val="00B92757"/>
    <w:rsid w:val="00B9285E"/>
    <w:rsid w:val="00B92952"/>
    <w:rsid w:val="00B92986"/>
    <w:rsid w:val="00B92BE3"/>
    <w:rsid w:val="00B92CAA"/>
    <w:rsid w:val="00B92E76"/>
    <w:rsid w:val="00B92EEA"/>
    <w:rsid w:val="00B92F0B"/>
    <w:rsid w:val="00B92F88"/>
    <w:rsid w:val="00B930EB"/>
    <w:rsid w:val="00B931F3"/>
    <w:rsid w:val="00B932E8"/>
    <w:rsid w:val="00B933A0"/>
    <w:rsid w:val="00B933C5"/>
    <w:rsid w:val="00B933F9"/>
    <w:rsid w:val="00B9353E"/>
    <w:rsid w:val="00B935B2"/>
    <w:rsid w:val="00B937E7"/>
    <w:rsid w:val="00B93891"/>
    <w:rsid w:val="00B93A34"/>
    <w:rsid w:val="00B93A4D"/>
    <w:rsid w:val="00B93B13"/>
    <w:rsid w:val="00B93BD6"/>
    <w:rsid w:val="00B93BFF"/>
    <w:rsid w:val="00B93D1B"/>
    <w:rsid w:val="00B93EE6"/>
    <w:rsid w:val="00B941D0"/>
    <w:rsid w:val="00B94309"/>
    <w:rsid w:val="00B94380"/>
    <w:rsid w:val="00B94409"/>
    <w:rsid w:val="00B9441D"/>
    <w:rsid w:val="00B94491"/>
    <w:rsid w:val="00B945C4"/>
    <w:rsid w:val="00B945DA"/>
    <w:rsid w:val="00B946AD"/>
    <w:rsid w:val="00B946EA"/>
    <w:rsid w:val="00B94769"/>
    <w:rsid w:val="00B947B7"/>
    <w:rsid w:val="00B947C2"/>
    <w:rsid w:val="00B94800"/>
    <w:rsid w:val="00B9489D"/>
    <w:rsid w:val="00B94A0C"/>
    <w:rsid w:val="00B94A0D"/>
    <w:rsid w:val="00B94A51"/>
    <w:rsid w:val="00B94B00"/>
    <w:rsid w:val="00B94B49"/>
    <w:rsid w:val="00B94B64"/>
    <w:rsid w:val="00B94C89"/>
    <w:rsid w:val="00B94CE6"/>
    <w:rsid w:val="00B94D42"/>
    <w:rsid w:val="00B94DF0"/>
    <w:rsid w:val="00B94E35"/>
    <w:rsid w:val="00B94E8E"/>
    <w:rsid w:val="00B94EAE"/>
    <w:rsid w:val="00B94F09"/>
    <w:rsid w:val="00B94F54"/>
    <w:rsid w:val="00B94FC9"/>
    <w:rsid w:val="00B95061"/>
    <w:rsid w:val="00B9519E"/>
    <w:rsid w:val="00B953AF"/>
    <w:rsid w:val="00B95461"/>
    <w:rsid w:val="00B9550F"/>
    <w:rsid w:val="00B9555F"/>
    <w:rsid w:val="00B956AA"/>
    <w:rsid w:val="00B957FA"/>
    <w:rsid w:val="00B95867"/>
    <w:rsid w:val="00B95921"/>
    <w:rsid w:val="00B95A95"/>
    <w:rsid w:val="00B95AFF"/>
    <w:rsid w:val="00B95B5A"/>
    <w:rsid w:val="00B95C7C"/>
    <w:rsid w:val="00B95D36"/>
    <w:rsid w:val="00B95D45"/>
    <w:rsid w:val="00B95E03"/>
    <w:rsid w:val="00B95EC5"/>
    <w:rsid w:val="00B95F24"/>
    <w:rsid w:val="00B95F53"/>
    <w:rsid w:val="00B95FE8"/>
    <w:rsid w:val="00B96018"/>
    <w:rsid w:val="00B96102"/>
    <w:rsid w:val="00B961C2"/>
    <w:rsid w:val="00B9647D"/>
    <w:rsid w:val="00B964D0"/>
    <w:rsid w:val="00B964FF"/>
    <w:rsid w:val="00B96599"/>
    <w:rsid w:val="00B96669"/>
    <w:rsid w:val="00B966A3"/>
    <w:rsid w:val="00B96773"/>
    <w:rsid w:val="00B96975"/>
    <w:rsid w:val="00B96AA5"/>
    <w:rsid w:val="00B96B6C"/>
    <w:rsid w:val="00B96C20"/>
    <w:rsid w:val="00B96C6A"/>
    <w:rsid w:val="00B96C76"/>
    <w:rsid w:val="00B96C80"/>
    <w:rsid w:val="00B96C9C"/>
    <w:rsid w:val="00B96DAB"/>
    <w:rsid w:val="00B96DD6"/>
    <w:rsid w:val="00B96EEE"/>
    <w:rsid w:val="00B9705A"/>
    <w:rsid w:val="00B970A8"/>
    <w:rsid w:val="00B9711A"/>
    <w:rsid w:val="00B97158"/>
    <w:rsid w:val="00B9716D"/>
    <w:rsid w:val="00B97181"/>
    <w:rsid w:val="00B97252"/>
    <w:rsid w:val="00B973F1"/>
    <w:rsid w:val="00B97426"/>
    <w:rsid w:val="00B974C5"/>
    <w:rsid w:val="00B97592"/>
    <w:rsid w:val="00B97755"/>
    <w:rsid w:val="00B97833"/>
    <w:rsid w:val="00B97856"/>
    <w:rsid w:val="00B978B7"/>
    <w:rsid w:val="00B97926"/>
    <w:rsid w:val="00B9793A"/>
    <w:rsid w:val="00B97A27"/>
    <w:rsid w:val="00B97C14"/>
    <w:rsid w:val="00B97CE2"/>
    <w:rsid w:val="00B97D92"/>
    <w:rsid w:val="00B97F1B"/>
    <w:rsid w:val="00B97F5B"/>
    <w:rsid w:val="00B97FA9"/>
    <w:rsid w:val="00BA0016"/>
    <w:rsid w:val="00BA00D4"/>
    <w:rsid w:val="00BA0356"/>
    <w:rsid w:val="00BA0360"/>
    <w:rsid w:val="00BA0473"/>
    <w:rsid w:val="00BA0477"/>
    <w:rsid w:val="00BA04E2"/>
    <w:rsid w:val="00BA0508"/>
    <w:rsid w:val="00BA059F"/>
    <w:rsid w:val="00BA06D9"/>
    <w:rsid w:val="00BA07DE"/>
    <w:rsid w:val="00BA0A88"/>
    <w:rsid w:val="00BA0B22"/>
    <w:rsid w:val="00BA0BDA"/>
    <w:rsid w:val="00BA0BE6"/>
    <w:rsid w:val="00BA0CB1"/>
    <w:rsid w:val="00BA0D07"/>
    <w:rsid w:val="00BA0E16"/>
    <w:rsid w:val="00BA0E65"/>
    <w:rsid w:val="00BA0E92"/>
    <w:rsid w:val="00BA0E93"/>
    <w:rsid w:val="00BA0FC0"/>
    <w:rsid w:val="00BA0FE5"/>
    <w:rsid w:val="00BA1072"/>
    <w:rsid w:val="00BA1124"/>
    <w:rsid w:val="00BA11B3"/>
    <w:rsid w:val="00BA11D9"/>
    <w:rsid w:val="00BA11FE"/>
    <w:rsid w:val="00BA138E"/>
    <w:rsid w:val="00BA13B3"/>
    <w:rsid w:val="00BA13D5"/>
    <w:rsid w:val="00BA15F9"/>
    <w:rsid w:val="00BA160C"/>
    <w:rsid w:val="00BA16BA"/>
    <w:rsid w:val="00BA1920"/>
    <w:rsid w:val="00BA1A5A"/>
    <w:rsid w:val="00BA1A95"/>
    <w:rsid w:val="00BA1ABF"/>
    <w:rsid w:val="00BA1B36"/>
    <w:rsid w:val="00BA1B71"/>
    <w:rsid w:val="00BA1BA6"/>
    <w:rsid w:val="00BA1CD1"/>
    <w:rsid w:val="00BA1DA5"/>
    <w:rsid w:val="00BA1DB5"/>
    <w:rsid w:val="00BA1E6E"/>
    <w:rsid w:val="00BA1EC4"/>
    <w:rsid w:val="00BA1ED1"/>
    <w:rsid w:val="00BA1F77"/>
    <w:rsid w:val="00BA1FE3"/>
    <w:rsid w:val="00BA2099"/>
    <w:rsid w:val="00BA2224"/>
    <w:rsid w:val="00BA231F"/>
    <w:rsid w:val="00BA237F"/>
    <w:rsid w:val="00BA23A2"/>
    <w:rsid w:val="00BA25CD"/>
    <w:rsid w:val="00BA25EC"/>
    <w:rsid w:val="00BA2719"/>
    <w:rsid w:val="00BA2791"/>
    <w:rsid w:val="00BA27FB"/>
    <w:rsid w:val="00BA2807"/>
    <w:rsid w:val="00BA29D6"/>
    <w:rsid w:val="00BA2A24"/>
    <w:rsid w:val="00BA2A35"/>
    <w:rsid w:val="00BA2B0A"/>
    <w:rsid w:val="00BA2B4B"/>
    <w:rsid w:val="00BA2BD6"/>
    <w:rsid w:val="00BA2CD7"/>
    <w:rsid w:val="00BA2D0A"/>
    <w:rsid w:val="00BA2D85"/>
    <w:rsid w:val="00BA2EDB"/>
    <w:rsid w:val="00BA2FEC"/>
    <w:rsid w:val="00BA3034"/>
    <w:rsid w:val="00BA30FD"/>
    <w:rsid w:val="00BA311F"/>
    <w:rsid w:val="00BA3189"/>
    <w:rsid w:val="00BA31F8"/>
    <w:rsid w:val="00BA3259"/>
    <w:rsid w:val="00BA339D"/>
    <w:rsid w:val="00BA3584"/>
    <w:rsid w:val="00BA35D7"/>
    <w:rsid w:val="00BA3656"/>
    <w:rsid w:val="00BA371E"/>
    <w:rsid w:val="00BA37DA"/>
    <w:rsid w:val="00BA39B9"/>
    <w:rsid w:val="00BA3A9B"/>
    <w:rsid w:val="00BA3AC9"/>
    <w:rsid w:val="00BA3B34"/>
    <w:rsid w:val="00BA3C77"/>
    <w:rsid w:val="00BA3E3C"/>
    <w:rsid w:val="00BA3E4C"/>
    <w:rsid w:val="00BA3EA9"/>
    <w:rsid w:val="00BA3EE6"/>
    <w:rsid w:val="00BA3F40"/>
    <w:rsid w:val="00BA3F52"/>
    <w:rsid w:val="00BA3FD7"/>
    <w:rsid w:val="00BA4019"/>
    <w:rsid w:val="00BA4131"/>
    <w:rsid w:val="00BA4144"/>
    <w:rsid w:val="00BA429C"/>
    <w:rsid w:val="00BA42AD"/>
    <w:rsid w:val="00BA4340"/>
    <w:rsid w:val="00BA4350"/>
    <w:rsid w:val="00BA4381"/>
    <w:rsid w:val="00BA44AF"/>
    <w:rsid w:val="00BA453E"/>
    <w:rsid w:val="00BA4557"/>
    <w:rsid w:val="00BA457B"/>
    <w:rsid w:val="00BA4623"/>
    <w:rsid w:val="00BA467C"/>
    <w:rsid w:val="00BA47B8"/>
    <w:rsid w:val="00BA4ADA"/>
    <w:rsid w:val="00BA4B87"/>
    <w:rsid w:val="00BA4BA0"/>
    <w:rsid w:val="00BA4CA5"/>
    <w:rsid w:val="00BA4CC4"/>
    <w:rsid w:val="00BA4CEB"/>
    <w:rsid w:val="00BA4CEC"/>
    <w:rsid w:val="00BA4D74"/>
    <w:rsid w:val="00BA4DB2"/>
    <w:rsid w:val="00BA4E02"/>
    <w:rsid w:val="00BA4E73"/>
    <w:rsid w:val="00BA4E96"/>
    <w:rsid w:val="00BA4EAF"/>
    <w:rsid w:val="00BA4F5D"/>
    <w:rsid w:val="00BA5009"/>
    <w:rsid w:val="00BA5070"/>
    <w:rsid w:val="00BA51B8"/>
    <w:rsid w:val="00BA52F2"/>
    <w:rsid w:val="00BA52FB"/>
    <w:rsid w:val="00BA5388"/>
    <w:rsid w:val="00BA53EC"/>
    <w:rsid w:val="00BA5458"/>
    <w:rsid w:val="00BA552B"/>
    <w:rsid w:val="00BA55FC"/>
    <w:rsid w:val="00BA5632"/>
    <w:rsid w:val="00BA5638"/>
    <w:rsid w:val="00BA5A66"/>
    <w:rsid w:val="00BA5AC3"/>
    <w:rsid w:val="00BA5AE7"/>
    <w:rsid w:val="00BA5B04"/>
    <w:rsid w:val="00BA5B36"/>
    <w:rsid w:val="00BA5B74"/>
    <w:rsid w:val="00BA5BCC"/>
    <w:rsid w:val="00BA5CED"/>
    <w:rsid w:val="00BA5D2E"/>
    <w:rsid w:val="00BA5D48"/>
    <w:rsid w:val="00BA5E94"/>
    <w:rsid w:val="00BA5F43"/>
    <w:rsid w:val="00BA5F70"/>
    <w:rsid w:val="00BA5F78"/>
    <w:rsid w:val="00BA5FC4"/>
    <w:rsid w:val="00BA602A"/>
    <w:rsid w:val="00BA6077"/>
    <w:rsid w:val="00BA609A"/>
    <w:rsid w:val="00BA60DB"/>
    <w:rsid w:val="00BA614B"/>
    <w:rsid w:val="00BA6152"/>
    <w:rsid w:val="00BA61BE"/>
    <w:rsid w:val="00BA6230"/>
    <w:rsid w:val="00BA63BA"/>
    <w:rsid w:val="00BA64B5"/>
    <w:rsid w:val="00BA6632"/>
    <w:rsid w:val="00BA6702"/>
    <w:rsid w:val="00BA67D2"/>
    <w:rsid w:val="00BA67E3"/>
    <w:rsid w:val="00BA6873"/>
    <w:rsid w:val="00BA697B"/>
    <w:rsid w:val="00BA6986"/>
    <w:rsid w:val="00BA69AF"/>
    <w:rsid w:val="00BA6A65"/>
    <w:rsid w:val="00BA6B9F"/>
    <w:rsid w:val="00BA6CF0"/>
    <w:rsid w:val="00BA6CFB"/>
    <w:rsid w:val="00BA6D21"/>
    <w:rsid w:val="00BA6D67"/>
    <w:rsid w:val="00BA6E2A"/>
    <w:rsid w:val="00BA6E83"/>
    <w:rsid w:val="00BA6EC5"/>
    <w:rsid w:val="00BA70CF"/>
    <w:rsid w:val="00BA710C"/>
    <w:rsid w:val="00BA713E"/>
    <w:rsid w:val="00BA71B5"/>
    <w:rsid w:val="00BA7358"/>
    <w:rsid w:val="00BA7396"/>
    <w:rsid w:val="00BA73C0"/>
    <w:rsid w:val="00BA74CF"/>
    <w:rsid w:val="00BA7507"/>
    <w:rsid w:val="00BA7572"/>
    <w:rsid w:val="00BA7798"/>
    <w:rsid w:val="00BA77B7"/>
    <w:rsid w:val="00BA79BF"/>
    <w:rsid w:val="00BA7ABB"/>
    <w:rsid w:val="00BA7AE0"/>
    <w:rsid w:val="00BA7AF0"/>
    <w:rsid w:val="00BA7B43"/>
    <w:rsid w:val="00BA7B5E"/>
    <w:rsid w:val="00BA7B82"/>
    <w:rsid w:val="00BA7C1A"/>
    <w:rsid w:val="00BA7C4D"/>
    <w:rsid w:val="00BA7D0A"/>
    <w:rsid w:val="00BA7E27"/>
    <w:rsid w:val="00BB010D"/>
    <w:rsid w:val="00BB0136"/>
    <w:rsid w:val="00BB0144"/>
    <w:rsid w:val="00BB0286"/>
    <w:rsid w:val="00BB0383"/>
    <w:rsid w:val="00BB03DF"/>
    <w:rsid w:val="00BB059B"/>
    <w:rsid w:val="00BB0782"/>
    <w:rsid w:val="00BB0833"/>
    <w:rsid w:val="00BB08E8"/>
    <w:rsid w:val="00BB08FF"/>
    <w:rsid w:val="00BB09CD"/>
    <w:rsid w:val="00BB0A56"/>
    <w:rsid w:val="00BB0AAD"/>
    <w:rsid w:val="00BB0ADF"/>
    <w:rsid w:val="00BB0AFF"/>
    <w:rsid w:val="00BB0B08"/>
    <w:rsid w:val="00BB0B47"/>
    <w:rsid w:val="00BB0B79"/>
    <w:rsid w:val="00BB0E51"/>
    <w:rsid w:val="00BB0F34"/>
    <w:rsid w:val="00BB1072"/>
    <w:rsid w:val="00BB108F"/>
    <w:rsid w:val="00BB10C2"/>
    <w:rsid w:val="00BB114C"/>
    <w:rsid w:val="00BB114D"/>
    <w:rsid w:val="00BB11D8"/>
    <w:rsid w:val="00BB11FB"/>
    <w:rsid w:val="00BB142C"/>
    <w:rsid w:val="00BB1559"/>
    <w:rsid w:val="00BB1612"/>
    <w:rsid w:val="00BB1719"/>
    <w:rsid w:val="00BB17F9"/>
    <w:rsid w:val="00BB1821"/>
    <w:rsid w:val="00BB1858"/>
    <w:rsid w:val="00BB1A10"/>
    <w:rsid w:val="00BB1A84"/>
    <w:rsid w:val="00BB1B83"/>
    <w:rsid w:val="00BB1B86"/>
    <w:rsid w:val="00BB1C26"/>
    <w:rsid w:val="00BB1CD4"/>
    <w:rsid w:val="00BB1CEC"/>
    <w:rsid w:val="00BB1E31"/>
    <w:rsid w:val="00BB1E45"/>
    <w:rsid w:val="00BB1EA2"/>
    <w:rsid w:val="00BB1F3C"/>
    <w:rsid w:val="00BB20A7"/>
    <w:rsid w:val="00BB2166"/>
    <w:rsid w:val="00BB21A9"/>
    <w:rsid w:val="00BB220E"/>
    <w:rsid w:val="00BB227B"/>
    <w:rsid w:val="00BB227E"/>
    <w:rsid w:val="00BB22C9"/>
    <w:rsid w:val="00BB22FA"/>
    <w:rsid w:val="00BB23D0"/>
    <w:rsid w:val="00BB2541"/>
    <w:rsid w:val="00BB2700"/>
    <w:rsid w:val="00BB27BE"/>
    <w:rsid w:val="00BB2821"/>
    <w:rsid w:val="00BB295D"/>
    <w:rsid w:val="00BB2A9E"/>
    <w:rsid w:val="00BB2B49"/>
    <w:rsid w:val="00BB2C75"/>
    <w:rsid w:val="00BB2D24"/>
    <w:rsid w:val="00BB2D5D"/>
    <w:rsid w:val="00BB2E56"/>
    <w:rsid w:val="00BB2E58"/>
    <w:rsid w:val="00BB2E84"/>
    <w:rsid w:val="00BB2F69"/>
    <w:rsid w:val="00BB3085"/>
    <w:rsid w:val="00BB3144"/>
    <w:rsid w:val="00BB3301"/>
    <w:rsid w:val="00BB3346"/>
    <w:rsid w:val="00BB3366"/>
    <w:rsid w:val="00BB337A"/>
    <w:rsid w:val="00BB3566"/>
    <w:rsid w:val="00BB3916"/>
    <w:rsid w:val="00BB3972"/>
    <w:rsid w:val="00BB3999"/>
    <w:rsid w:val="00BB3B57"/>
    <w:rsid w:val="00BB3CA1"/>
    <w:rsid w:val="00BB3DFC"/>
    <w:rsid w:val="00BB3E45"/>
    <w:rsid w:val="00BB3E76"/>
    <w:rsid w:val="00BB3E9B"/>
    <w:rsid w:val="00BB3EFF"/>
    <w:rsid w:val="00BB4036"/>
    <w:rsid w:val="00BB403D"/>
    <w:rsid w:val="00BB4065"/>
    <w:rsid w:val="00BB409F"/>
    <w:rsid w:val="00BB417C"/>
    <w:rsid w:val="00BB423D"/>
    <w:rsid w:val="00BB4336"/>
    <w:rsid w:val="00BB4427"/>
    <w:rsid w:val="00BB4457"/>
    <w:rsid w:val="00BB44C0"/>
    <w:rsid w:val="00BB45A6"/>
    <w:rsid w:val="00BB462F"/>
    <w:rsid w:val="00BB467E"/>
    <w:rsid w:val="00BB4690"/>
    <w:rsid w:val="00BB4701"/>
    <w:rsid w:val="00BB47B5"/>
    <w:rsid w:val="00BB4901"/>
    <w:rsid w:val="00BB49B3"/>
    <w:rsid w:val="00BB49F3"/>
    <w:rsid w:val="00BB4A87"/>
    <w:rsid w:val="00BB4ABC"/>
    <w:rsid w:val="00BB4BB0"/>
    <w:rsid w:val="00BB4C35"/>
    <w:rsid w:val="00BB4C9E"/>
    <w:rsid w:val="00BB4CF9"/>
    <w:rsid w:val="00BB4D1F"/>
    <w:rsid w:val="00BB4D4B"/>
    <w:rsid w:val="00BB4DC6"/>
    <w:rsid w:val="00BB4DE8"/>
    <w:rsid w:val="00BB4E42"/>
    <w:rsid w:val="00BB4EB5"/>
    <w:rsid w:val="00BB4FAA"/>
    <w:rsid w:val="00BB4FB2"/>
    <w:rsid w:val="00BB51B5"/>
    <w:rsid w:val="00BB5254"/>
    <w:rsid w:val="00BB52CE"/>
    <w:rsid w:val="00BB52DC"/>
    <w:rsid w:val="00BB5312"/>
    <w:rsid w:val="00BB5336"/>
    <w:rsid w:val="00BB53BE"/>
    <w:rsid w:val="00BB5451"/>
    <w:rsid w:val="00BB54BC"/>
    <w:rsid w:val="00BB55D4"/>
    <w:rsid w:val="00BB5841"/>
    <w:rsid w:val="00BB584E"/>
    <w:rsid w:val="00BB5961"/>
    <w:rsid w:val="00BB59C9"/>
    <w:rsid w:val="00BB5A4F"/>
    <w:rsid w:val="00BB5A8B"/>
    <w:rsid w:val="00BB5C0B"/>
    <w:rsid w:val="00BB5D1A"/>
    <w:rsid w:val="00BB5DC1"/>
    <w:rsid w:val="00BB5DFE"/>
    <w:rsid w:val="00BB5EAF"/>
    <w:rsid w:val="00BB5F32"/>
    <w:rsid w:val="00BB5F35"/>
    <w:rsid w:val="00BB5FA0"/>
    <w:rsid w:val="00BB5FDC"/>
    <w:rsid w:val="00BB602E"/>
    <w:rsid w:val="00BB61F7"/>
    <w:rsid w:val="00BB63D0"/>
    <w:rsid w:val="00BB64A8"/>
    <w:rsid w:val="00BB64C0"/>
    <w:rsid w:val="00BB659E"/>
    <w:rsid w:val="00BB6661"/>
    <w:rsid w:val="00BB6702"/>
    <w:rsid w:val="00BB6747"/>
    <w:rsid w:val="00BB6832"/>
    <w:rsid w:val="00BB6887"/>
    <w:rsid w:val="00BB68AB"/>
    <w:rsid w:val="00BB68BF"/>
    <w:rsid w:val="00BB69EE"/>
    <w:rsid w:val="00BB6A19"/>
    <w:rsid w:val="00BB6A2B"/>
    <w:rsid w:val="00BB6B1F"/>
    <w:rsid w:val="00BB6C03"/>
    <w:rsid w:val="00BB6C35"/>
    <w:rsid w:val="00BB6D0B"/>
    <w:rsid w:val="00BB6D6E"/>
    <w:rsid w:val="00BB6E49"/>
    <w:rsid w:val="00BB6E6E"/>
    <w:rsid w:val="00BB6E78"/>
    <w:rsid w:val="00BB6ECF"/>
    <w:rsid w:val="00BB7074"/>
    <w:rsid w:val="00BB70F7"/>
    <w:rsid w:val="00BB724C"/>
    <w:rsid w:val="00BB747E"/>
    <w:rsid w:val="00BB74D5"/>
    <w:rsid w:val="00BB7566"/>
    <w:rsid w:val="00BB75A4"/>
    <w:rsid w:val="00BB75D4"/>
    <w:rsid w:val="00BB75E0"/>
    <w:rsid w:val="00BB7628"/>
    <w:rsid w:val="00BB76E5"/>
    <w:rsid w:val="00BB77F9"/>
    <w:rsid w:val="00BB7821"/>
    <w:rsid w:val="00BB784A"/>
    <w:rsid w:val="00BB7864"/>
    <w:rsid w:val="00BB7915"/>
    <w:rsid w:val="00BB79A7"/>
    <w:rsid w:val="00BB7BD0"/>
    <w:rsid w:val="00BB7BD6"/>
    <w:rsid w:val="00BB7C2B"/>
    <w:rsid w:val="00BB7D7D"/>
    <w:rsid w:val="00BB7EE6"/>
    <w:rsid w:val="00BB7EEE"/>
    <w:rsid w:val="00BB7FC7"/>
    <w:rsid w:val="00BC00E3"/>
    <w:rsid w:val="00BC013A"/>
    <w:rsid w:val="00BC027A"/>
    <w:rsid w:val="00BC02E1"/>
    <w:rsid w:val="00BC02FD"/>
    <w:rsid w:val="00BC030A"/>
    <w:rsid w:val="00BC038E"/>
    <w:rsid w:val="00BC042C"/>
    <w:rsid w:val="00BC043B"/>
    <w:rsid w:val="00BC04B8"/>
    <w:rsid w:val="00BC04BD"/>
    <w:rsid w:val="00BC0679"/>
    <w:rsid w:val="00BC06E9"/>
    <w:rsid w:val="00BC098D"/>
    <w:rsid w:val="00BC09E3"/>
    <w:rsid w:val="00BC0A1A"/>
    <w:rsid w:val="00BC0A33"/>
    <w:rsid w:val="00BC0AEB"/>
    <w:rsid w:val="00BC0B01"/>
    <w:rsid w:val="00BC0B65"/>
    <w:rsid w:val="00BC0C3D"/>
    <w:rsid w:val="00BC0C74"/>
    <w:rsid w:val="00BC0CD0"/>
    <w:rsid w:val="00BC0E19"/>
    <w:rsid w:val="00BC11E0"/>
    <w:rsid w:val="00BC128F"/>
    <w:rsid w:val="00BC140A"/>
    <w:rsid w:val="00BC1425"/>
    <w:rsid w:val="00BC148E"/>
    <w:rsid w:val="00BC1528"/>
    <w:rsid w:val="00BC1571"/>
    <w:rsid w:val="00BC158B"/>
    <w:rsid w:val="00BC17B7"/>
    <w:rsid w:val="00BC17F4"/>
    <w:rsid w:val="00BC1884"/>
    <w:rsid w:val="00BC1972"/>
    <w:rsid w:val="00BC1A18"/>
    <w:rsid w:val="00BC1ACC"/>
    <w:rsid w:val="00BC1B0C"/>
    <w:rsid w:val="00BC1B3F"/>
    <w:rsid w:val="00BC1E86"/>
    <w:rsid w:val="00BC1E9C"/>
    <w:rsid w:val="00BC1EAB"/>
    <w:rsid w:val="00BC1F81"/>
    <w:rsid w:val="00BC2343"/>
    <w:rsid w:val="00BC23A7"/>
    <w:rsid w:val="00BC23B6"/>
    <w:rsid w:val="00BC25CB"/>
    <w:rsid w:val="00BC2642"/>
    <w:rsid w:val="00BC26CB"/>
    <w:rsid w:val="00BC26E2"/>
    <w:rsid w:val="00BC2862"/>
    <w:rsid w:val="00BC2883"/>
    <w:rsid w:val="00BC2891"/>
    <w:rsid w:val="00BC28A8"/>
    <w:rsid w:val="00BC2987"/>
    <w:rsid w:val="00BC29D0"/>
    <w:rsid w:val="00BC2A6C"/>
    <w:rsid w:val="00BC2C42"/>
    <w:rsid w:val="00BC2C6E"/>
    <w:rsid w:val="00BC2CF2"/>
    <w:rsid w:val="00BC2D69"/>
    <w:rsid w:val="00BC2D6F"/>
    <w:rsid w:val="00BC2DB5"/>
    <w:rsid w:val="00BC2E56"/>
    <w:rsid w:val="00BC2E81"/>
    <w:rsid w:val="00BC2EE3"/>
    <w:rsid w:val="00BC2F7B"/>
    <w:rsid w:val="00BC2FC9"/>
    <w:rsid w:val="00BC2FDE"/>
    <w:rsid w:val="00BC3096"/>
    <w:rsid w:val="00BC3229"/>
    <w:rsid w:val="00BC3446"/>
    <w:rsid w:val="00BC3471"/>
    <w:rsid w:val="00BC34A0"/>
    <w:rsid w:val="00BC351B"/>
    <w:rsid w:val="00BC35D5"/>
    <w:rsid w:val="00BC367C"/>
    <w:rsid w:val="00BC36D1"/>
    <w:rsid w:val="00BC3728"/>
    <w:rsid w:val="00BC372B"/>
    <w:rsid w:val="00BC387D"/>
    <w:rsid w:val="00BC389B"/>
    <w:rsid w:val="00BC3945"/>
    <w:rsid w:val="00BC39DB"/>
    <w:rsid w:val="00BC3A6C"/>
    <w:rsid w:val="00BC3B01"/>
    <w:rsid w:val="00BC3DF1"/>
    <w:rsid w:val="00BC3E1B"/>
    <w:rsid w:val="00BC40E5"/>
    <w:rsid w:val="00BC4564"/>
    <w:rsid w:val="00BC4644"/>
    <w:rsid w:val="00BC473D"/>
    <w:rsid w:val="00BC47D2"/>
    <w:rsid w:val="00BC47EE"/>
    <w:rsid w:val="00BC48AE"/>
    <w:rsid w:val="00BC48E0"/>
    <w:rsid w:val="00BC494C"/>
    <w:rsid w:val="00BC4976"/>
    <w:rsid w:val="00BC4A00"/>
    <w:rsid w:val="00BC4AEF"/>
    <w:rsid w:val="00BC4AF4"/>
    <w:rsid w:val="00BC4AFB"/>
    <w:rsid w:val="00BC4B60"/>
    <w:rsid w:val="00BC4C90"/>
    <w:rsid w:val="00BC4D41"/>
    <w:rsid w:val="00BC4E63"/>
    <w:rsid w:val="00BC4F34"/>
    <w:rsid w:val="00BC4F4B"/>
    <w:rsid w:val="00BC50A7"/>
    <w:rsid w:val="00BC51C7"/>
    <w:rsid w:val="00BC5458"/>
    <w:rsid w:val="00BC54C9"/>
    <w:rsid w:val="00BC55C7"/>
    <w:rsid w:val="00BC5640"/>
    <w:rsid w:val="00BC567A"/>
    <w:rsid w:val="00BC5866"/>
    <w:rsid w:val="00BC5962"/>
    <w:rsid w:val="00BC5A47"/>
    <w:rsid w:val="00BC5C4F"/>
    <w:rsid w:val="00BC5D9A"/>
    <w:rsid w:val="00BC5E1E"/>
    <w:rsid w:val="00BC5EF2"/>
    <w:rsid w:val="00BC5F7F"/>
    <w:rsid w:val="00BC5FA9"/>
    <w:rsid w:val="00BC6104"/>
    <w:rsid w:val="00BC61A4"/>
    <w:rsid w:val="00BC6209"/>
    <w:rsid w:val="00BC6245"/>
    <w:rsid w:val="00BC62D6"/>
    <w:rsid w:val="00BC6303"/>
    <w:rsid w:val="00BC6304"/>
    <w:rsid w:val="00BC6335"/>
    <w:rsid w:val="00BC63AC"/>
    <w:rsid w:val="00BC63B7"/>
    <w:rsid w:val="00BC648E"/>
    <w:rsid w:val="00BC6559"/>
    <w:rsid w:val="00BC6690"/>
    <w:rsid w:val="00BC6858"/>
    <w:rsid w:val="00BC687D"/>
    <w:rsid w:val="00BC68BC"/>
    <w:rsid w:val="00BC6927"/>
    <w:rsid w:val="00BC6999"/>
    <w:rsid w:val="00BC6A2B"/>
    <w:rsid w:val="00BC6A85"/>
    <w:rsid w:val="00BC6AC1"/>
    <w:rsid w:val="00BC6B71"/>
    <w:rsid w:val="00BC6B9A"/>
    <w:rsid w:val="00BC6C5E"/>
    <w:rsid w:val="00BC6CB2"/>
    <w:rsid w:val="00BC6D68"/>
    <w:rsid w:val="00BC6DA5"/>
    <w:rsid w:val="00BC6E3D"/>
    <w:rsid w:val="00BC6FEE"/>
    <w:rsid w:val="00BC7011"/>
    <w:rsid w:val="00BC707B"/>
    <w:rsid w:val="00BC7273"/>
    <w:rsid w:val="00BC731F"/>
    <w:rsid w:val="00BC732C"/>
    <w:rsid w:val="00BC734A"/>
    <w:rsid w:val="00BC743F"/>
    <w:rsid w:val="00BC7457"/>
    <w:rsid w:val="00BC745F"/>
    <w:rsid w:val="00BC7542"/>
    <w:rsid w:val="00BC7658"/>
    <w:rsid w:val="00BC76FC"/>
    <w:rsid w:val="00BC771B"/>
    <w:rsid w:val="00BC777E"/>
    <w:rsid w:val="00BC7841"/>
    <w:rsid w:val="00BC7862"/>
    <w:rsid w:val="00BC78DB"/>
    <w:rsid w:val="00BC7989"/>
    <w:rsid w:val="00BC7A6D"/>
    <w:rsid w:val="00BC7A84"/>
    <w:rsid w:val="00BC7AB4"/>
    <w:rsid w:val="00BC7AB6"/>
    <w:rsid w:val="00BC7ACE"/>
    <w:rsid w:val="00BC7BD3"/>
    <w:rsid w:val="00BC7BF0"/>
    <w:rsid w:val="00BC7C5B"/>
    <w:rsid w:val="00BC7C70"/>
    <w:rsid w:val="00BC7C92"/>
    <w:rsid w:val="00BC7E5F"/>
    <w:rsid w:val="00BC7F61"/>
    <w:rsid w:val="00BC7FAE"/>
    <w:rsid w:val="00BD0182"/>
    <w:rsid w:val="00BD0226"/>
    <w:rsid w:val="00BD0253"/>
    <w:rsid w:val="00BD0454"/>
    <w:rsid w:val="00BD0549"/>
    <w:rsid w:val="00BD05A4"/>
    <w:rsid w:val="00BD05B0"/>
    <w:rsid w:val="00BD065A"/>
    <w:rsid w:val="00BD07A1"/>
    <w:rsid w:val="00BD0864"/>
    <w:rsid w:val="00BD091B"/>
    <w:rsid w:val="00BD09B0"/>
    <w:rsid w:val="00BD0A03"/>
    <w:rsid w:val="00BD0A5F"/>
    <w:rsid w:val="00BD0B24"/>
    <w:rsid w:val="00BD0BCF"/>
    <w:rsid w:val="00BD0BF8"/>
    <w:rsid w:val="00BD0C72"/>
    <w:rsid w:val="00BD0D12"/>
    <w:rsid w:val="00BD0DCF"/>
    <w:rsid w:val="00BD0EC7"/>
    <w:rsid w:val="00BD0F2E"/>
    <w:rsid w:val="00BD0F6E"/>
    <w:rsid w:val="00BD10AD"/>
    <w:rsid w:val="00BD11B7"/>
    <w:rsid w:val="00BD11D8"/>
    <w:rsid w:val="00BD11DE"/>
    <w:rsid w:val="00BD11ED"/>
    <w:rsid w:val="00BD11F9"/>
    <w:rsid w:val="00BD1203"/>
    <w:rsid w:val="00BD13D0"/>
    <w:rsid w:val="00BD142C"/>
    <w:rsid w:val="00BD157D"/>
    <w:rsid w:val="00BD159E"/>
    <w:rsid w:val="00BD161A"/>
    <w:rsid w:val="00BD1638"/>
    <w:rsid w:val="00BD16B5"/>
    <w:rsid w:val="00BD1792"/>
    <w:rsid w:val="00BD1A64"/>
    <w:rsid w:val="00BD1ADD"/>
    <w:rsid w:val="00BD1CCF"/>
    <w:rsid w:val="00BD1D97"/>
    <w:rsid w:val="00BD1DF1"/>
    <w:rsid w:val="00BD1E75"/>
    <w:rsid w:val="00BD1F03"/>
    <w:rsid w:val="00BD1FCC"/>
    <w:rsid w:val="00BD2127"/>
    <w:rsid w:val="00BD21A9"/>
    <w:rsid w:val="00BD21E7"/>
    <w:rsid w:val="00BD2423"/>
    <w:rsid w:val="00BD2475"/>
    <w:rsid w:val="00BD24EF"/>
    <w:rsid w:val="00BD2544"/>
    <w:rsid w:val="00BD2554"/>
    <w:rsid w:val="00BD259D"/>
    <w:rsid w:val="00BD25F6"/>
    <w:rsid w:val="00BD261F"/>
    <w:rsid w:val="00BD2679"/>
    <w:rsid w:val="00BD26A8"/>
    <w:rsid w:val="00BD2781"/>
    <w:rsid w:val="00BD27E8"/>
    <w:rsid w:val="00BD2809"/>
    <w:rsid w:val="00BD28D4"/>
    <w:rsid w:val="00BD28F3"/>
    <w:rsid w:val="00BD28F9"/>
    <w:rsid w:val="00BD2951"/>
    <w:rsid w:val="00BD2A80"/>
    <w:rsid w:val="00BD2A84"/>
    <w:rsid w:val="00BD2BA5"/>
    <w:rsid w:val="00BD2BC1"/>
    <w:rsid w:val="00BD2C8C"/>
    <w:rsid w:val="00BD2DB1"/>
    <w:rsid w:val="00BD2E1F"/>
    <w:rsid w:val="00BD2E7F"/>
    <w:rsid w:val="00BD3084"/>
    <w:rsid w:val="00BD30C7"/>
    <w:rsid w:val="00BD312D"/>
    <w:rsid w:val="00BD3193"/>
    <w:rsid w:val="00BD31BA"/>
    <w:rsid w:val="00BD337C"/>
    <w:rsid w:val="00BD340C"/>
    <w:rsid w:val="00BD34E2"/>
    <w:rsid w:val="00BD35C3"/>
    <w:rsid w:val="00BD36AC"/>
    <w:rsid w:val="00BD3807"/>
    <w:rsid w:val="00BD381F"/>
    <w:rsid w:val="00BD3820"/>
    <w:rsid w:val="00BD3858"/>
    <w:rsid w:val="00BD38B8"/>
    <w:rsid w:val="00BD38DF"/>
    <w:rsid w:val="00BD3ACE"/>
    <w:rsid w:val="00BD3CAC"/>
    <w:rsid w:val="00BD3CBF"/>
    <w:rsid w:val="00BD3D84"/>
    <w:rsid w:val="00BD3F65"/>
    <w:rsid w:val="00BD3FCB"/>
    <w:rsid w:val="00BD4039"/>
    <w:rsid w:val="00BD40A8"/>
    <w:rsid w:val="00BD4130"/>
    <w:rsid w:val="00BD414E"/>
    <w:rsid w:val="00BD417E"/>
    <w:rsid w:val="00BD41BB"/>
    <w:rsid w:val="00BD42D5"/>
    <w:rsid w:val="00BD42F3"/>
    <w:rsid w:val="00BD447C"/>
    <w:rsid w:val="00BD4498"/>
    <w:rsid w:val="00BD44E1"/>
    <w:rsid w:val="00BD4635"/>
    <w:rsid w:val="00BD46E7"/>
    <w:rsid w:val="00BD479C"/>
    <w:rsid w:val="00BD4831"/>
    <w:rsid w:val="00BD4ADA"/>
    <w:rsid w:val="00BD4C98"/>
    <w:rsid w:val="00BD4CFB"/>
    <w:rsid w:val="00BD4D0C"/>
    <w:rsid w:val="00BD4E92"/>
    <w:rsid w:val="00BD4F03"/>
    <w:rsid w:val="00BD4F68"/>
    <w:rsid w:val="00BD4FBE"/>
    <w:rsid w:val="00BD502A"/>
    <w:rsid w:val="00BD5075"/>
    <w:rsid w:val="00BD5377"/>
    <w:rsid w:val="00BD537A"/>
    <w:rsid w:val="00BD5504"/>
    <w:rsid w:val="00BD559E"/>
    <w:rsid w:val="00BD56EC"/>
    <w:rsid w:val="00BD57A5"/>
    <w:rsid w:val="00BD5827"/>
    <w:rsid w:val="00BD5852"/>
    <w:rsid w:val="00BD5A5C"/>
    <w:rsid w:val="00BD5B21"/>
    <w:rsid w:val="00BD5DD4"/>
    <w:rsid w:val="00BD5EBB"/>
    <w:rsid w:val="00BD5FE9"/>
    <w:rsid w:val="00BD60D9"/>
    <w:rsid w:val="00BD61D5"/>
    <w:rsid w:val="00BD62B8"/>
    <w:rsid w:val="00BD642E"/>
    <w:rsid w:val="00BD6602"/>
    <w:rsid w:val="00BD664B"/>
    <w:rsid w:val="00BD678E"/>
    <w:rsid w:val="00BD68CE"/>
    <w:rsid w:val="00BD698A"/>
    <w:rsid w:val="00BD6B48"/>
    <w:rsid w:val="00BD6D65"/>
    <w:rsid w:val="00BD6D8C"/>
    <w:rsid w:val="00BD6DAB"/>
    <w:rsid w:val="00BD6F24"/>
    <w:rsid w:val="00BD6F92"/>
    <w:rsid w:val="00BD6FED"/>
    <w:rsid w:val="00BD7229"/>
    <w:rsid w:val="00BD723E"/>
    <w:rsid w:val="00BD727E"/>
    <w:rsid w:val="00BD7300"/>
    <w:rsid w:val="00BD7323"/>
    <w:rsid w:val="00BD7327"/>
    <w:rsid w:val="00BD7341"/>
    <w:rsid w:val="00BD73AA"/>
    <w:rsid w:val="00BD7412"/>
    <w:rsid w:val="00BD75A6"/>
    <w:rsid w:val="00BD762C"/>
    <w:rsid w:val="00BD7822"/>
    <w:rsid w:val="00BD7845"/>
    <w:rsid w:val="00BD7879"/>
    <w:rsid w:val="00BD794C"/>
    <w:rsid w:val="00BD7AD8"/>
    <w:rsid w:val="00BD7AEF"/>
    <w:rsid w:val="00BD7B27"/>
    <w:rsid w:val="00BD7BFD"/>
    <w:rsid w:val="00BD7C28"/>
    <w:rsid w:val="00BD7C38"/>
    <w:rsid w:val="00BD7F17"/>
    <w:rsid w:val="00BD7F21"/>
    <w:rsid w:val="00BD7F3A"/>
    <w:rsid w:val="00BE00F8"/>
    <w:rsid w:val="00BE00FD"/>
    <w:rsid w:val="00BE027A"/>
    <w:rsid w:val="00BE0328"/>
    <w:rsid w:val="00BE0406"/>
    <w:rsid w:val="00BE055E"/>
    <w:rsid w:val="00BE05D6"/>
    <w:rsid w:val="00BE05FD"/>
    <w:rsid w:val="00BE0789"/>
    <w:rsid w:val="00BE07D1"/>
    <w:rsid w:val="00BE08D7"/>
    <w:rsid w:val="00BE0915"/>
    <w:rsid w:val="00BE094C"/>
    <w:rsid w:val="00BE0A09"/>
    <w:rsid w:val="00BE0B37"/>
    <w:rsid w:val="00BE0B6F"/>
    <w:rsid w:val="00BE0BF3"/>
    <w:rsid w:val="00BE0BFD"/>
    <w:rsid w:val="00BE0C0B"/>
    <w:rsid w:val="00BE0C14"/>
    <w:rsid w:val="00BE0CF4"/>
    <w:rsid w:val="00BE0DCA"/>
    <w:rsid w:val="00BE0E5E"/>
    <w:rsid w:val="00BE0F03"/>
    <w:rsid w:val="00BE0FD4"/>
    <w:rsid w:val="00BE100A"/>
    <w:rsid w:val="00BE102A"/>
    <w:rsid w:val="00BE1069"/>
    <w:rsid w:val="00BE11BB"/>
    <w:rsid w:val="00BE11F1"/>
    <w:rsid w:val="00BE1306"/>
    <w:rsid w:val="00BE1445"/>
    <w:rsid w:val="00BE155E"/>
    <w:rsid w:val="00BE156F"/>
    <w:rsid w:val="00BE162F"/>
    <w:rsid w:val="00BE17FC"/>
    <w:rsid w:val="00BE1A1D"/>
    <w:rsid w:val="00BE1A3A"/>
    <w:rsid w:val="00BE1A75"/>
    <w:rsid w:val="00BE1A9B"/>
    <w:rsid w:val="00BE1AB6"/>
    <w:rsid w:val="00BE1ADA"/>
    <w:rsid w:val="00BE1ADD"/>
    <w:rsid w:val="00BE1BD0"/>
    <w:rsid w:val="00BE1BDB"/>
    <w:rsid w:val="00BE1C18"/>
    <w:rsid w:val="00BE1C93"/>
    <w:rsid w:val="00BE1DA1"/>
    <w:rsid w:val="00BE1DF8"/>
    <w:rsid w:val="00BE2158"/>
    <w:rsid w:val="00BE2191"/>
    <w:rsid w:val="00BE21EC"/>
    <w:rsid w:val="00BE2257"/>
    <w:rsid w:val="00BE225C"/>
    <w:rsid w:val="00BE228E"/>
    <w:rsid w:val="00BE22A6"/>
    <w:rsid w:val="00BE230E"/>
    <w:rsid w:val="00BE2340"/>
    <w:rsid w:val="00BE2474"/>
    <w:rsid w:val="00BE2534"/>
    <w:rsid w:val="00BE270D"/>
    <w:rsid w:val="00BE2773"/>
    <w:rsid w:val="00BE285F"/>
    <w:rsid w:val="00BE299A"/>
    <w:rsid w:val="00BE2A76"/>
    <w:rsid w:val="00BE2D7B"/>
    <w:rsid w:val="00BE2E3E"/>
    <w:rsid w:val="00BE2F35"/>
    <w:rsid w:val="00BE2F68"/>
    <w:rsid w:val="00BE2FA7"/>
    <w:rsid w:val="00BE2FC1"/>
    <w:rsid w:val="00BE3016"/>
    <w:rsid w:val="00BE3017"/>
    <w:rsid w:val="00BE3189"/>
    <w:rsid w:val="00BE318C"/>
    <w:rsid w:val="00BE3310"/>
    <w:rsid w:val="00BE3386"/>
    <w:rsid w:val="00BE3627"/>
    <w:rsid w:val="00BE38FB"/>
    <w:rsid w:val="00BE3906"/>
    <w:rsid w:val="00BE3AA7"/>
    <w:rsid w:val="00BE3B30"/>
    <w:rsid w:val="00BE3B35"/>
    <w:rsid w:val="00BE3B5E"/>
    <w:rsid w:val="00BE3B7F"/>
    <w:rsid w:val="00BE3C98"/>
    <w:rsid w:val="00BE3D3C"/>
    <w:rsid w:val="00BE3D64"/>
    <w:rsid w:val="00BE3EBE"/>
    <w:rsid w:val="00BE40D0"/>
    <w:rsid w:val="00BE40E4"/>
    <w:rsid w:val="00BE4196"/>
    <w:rsid w:val="00BE41C7"/>
    <w:rsid w:val="00BE421C"/>
    <w:rsid w:val="00BE4240"/>
    <w:rsid w:val="00BE42EE"/>
    <w:rsid w:val="00BE4401"/>
    <w:rsid w:val="00BE445D"/>
    <w:rsid w:val="00BE4512"/>
    <w:rsid w:val="00BE452C"/>
    <w:rsid w:val="00BE4582"/>
    <w:rsid w:val="00BE45CD"/>
    <w:rsid w:val="00BE45D0"/>
    <w:rsid w:val="00BE46B3"/>
    <w:rsid w:val="00BE46F4"/>
    <w:rsid w:val="00BE4719"/>
    <w:rsid w:val="00BE4744"/>
    <w:rsid w:val="00BE4745"/>
    <w:rsid w:val="00BE4896"/>
    <w:rsid w:val="00BE48DB"/>
    <w:rsid w:val="00BE48F2"/>
    <w:rsid w:val="00BE499C"/>
    <w:rsid w:val="00BE4A53"/>
    <w:rsid w:val="00BE4B09"/>
    <w:rsid w:val="00BE4C54"/>
    <w:rsid w:val="00BE4D12"/>
    <w:rsid w:val="00BE4D64"/>
    <w:rsid w:val="00BE4DD8"/>
    <w:rsid w:val="00BE4E87"/>
    <w:rsid w:val="00BE517C"/>
    <w:rsid w:val="00BE51AF"/>
    <w:rsid w:val="00BE5225"/>
    <w:rsid w:val="00BE5230"/>
    <w:rsid w:val="00BE523F"/>
    <w:rsid w:val="00BE52FC"/>
    <w:rsid w:val="00BE5372"/>
    <w:rsid w:val="00BE53D0"/>
    <w:rsid w:val="00BE53DF"/>
    <w:rsid w:val="00BE543F"/>
    <w:rsid w:val="00BE5565"/>
    <w:rsid w:val="00BE57D4"/>
    <w:rsid w:val="00BE5818"/>
    <w:rsid w:val="00BE589E"/>
    <w:rsid w:val="00BE5971"/>
    <w:rsid w:val="00BE5996"/>
    <w:rsid w:val="00BE5A6B"/>
    <w:rsid w:val="00BE5A94"/>
    <w:rsid w:val="00BE5CEC"/>
    <w:rsid w:val="00BE5CFB"/>
    <w:rsid w:val="00BE5D02"/>
    <w:rsid w:val="00BE5DA5"/>
    <w:rsid w:val="00BE5EAC"/>
    <w:rsid w:val="00BE5F6A"/>
    <w:rsid w:val="00BE5FFE"/>
    <w:rsid w:val="00BE600D"/>
    <w:rsid w:val="00BE6060"/>
    <w:rsid w:val="00BE60CF"/>
    <w:rsid w:val="00BE6164"/>
    <w:rsid w:val="00BE6195"/>
    <w:rsid w:val="00BE626D"/>
    <w:rsid w:val="00BE62AC"/>
    <w:rsid w:val="00BE630C"/>
    <w:rsid w:val="00BE6319"/>
    <w:rsid w:val="00BE6372"/>
    <w:rsid w:val="00BE63ED"/>
    <w:rsid w:val="00BE6496"/>
    <w:rsid w:val="00BE655F"/>
    <w:rsid w:val="00BE6749"/>
    <w:rsid w:val="00BE679E"/>
    <w:rsid w:val="00BE67F7"/>
    <w:rsid w:val="00BE6831"/>
    <w:rsid w:val="00BE6887"/>
    <w:rsid w:val="00BE688D"/>
    <w:rsid w:val="00BE68A4"/>
    <w:rsid w:val="00BE6961"/>
    <w:rsid w:val="00BE6AA4"/>
    <w:rsid w:val="00BE6B38"/>
    <w:rsid w:val="00BE6B68"/>
    <w:rsid w:val="00BE6C3C"/>
    <w:rsid w:val="00BE6C5D"/>
    <w:rsid w:val="00BE6CB2"/>
    <w:rsid w:val="00BE6D85"/>
    <w:rsid w:val="00BE6DA0"/>
    <w:rsid w:val="00BE6E13"/>
    <w:rsid w:val="00BE6E53"/>
    <w:rsid w:val="00BE6E78"/>
    <w:rsid w:val="00BE6ECD"/>
    <w:rsid w:val="00BE7088"/>
    <w:rsid w:val="00BE7096"/>
    <w:rsid w:val="00BE718F"/>
    <w:rsid w:val="00BE7386"/>
    <w:rsid w:val="00BE7397"/>
    <w:rsid w:val="00BE73C6"/>
    <w:rsid w:val="00BE7434"/>
    <w:rsid w:val="00BE746B"/>
    <w:rsid w:val="00BE74CC"/>
    <w:rsid w:val="00BE74E5"/>
    <w:rsid w:val="00BE7522"/>
    <w:rsid w:val="00BE7554"/>
    <w:rsid w:val="00BE7557"/>
    <w:rsid w:val="00BE762E"/>
    <w:rsid w:val="00BE7678"/>
    <w:rsid w:val="00BE76BD"/>
    <w:rsid w:val="00BE7787"/>
    <w:rsid w:val="00BE7869"/>
    <w:rsid w:val="00BE7914"/>
    <w:rsid w:val="00BE7961"/>
    <w:rsid w:val="00BE799D"/>
    <w:rsid w:val="00BE7AD8"/>
    <w:rsid w:val="00BE7B13"/>
    <w:rsid w:val="00BE7B16"/>
    <w:rsid w:val="00BE7B17"/>
    <w:rsid w:val="00BE7B6E"/>
    <w:rsid w:val="00BE7BE4"/>
    <w:rsid w:val="00BE7C36"/>
    <w:rsid w:val="00BE7D00"/>
    <w:rsid w:val="00BE7DCF"/>
    <w:rsid w:val="00BE7FC9"/>
    <w:rsid w:val="00BE7FCE"/>
    <w:rsid w:val="00BF011C"/>
    <w:rsid w:val="00BF014D"/>
    <w:rsid w:val="00BF0173"/>
    <w:rsid w:val="00BF021A"/>
    <w:rsid w:val="00BF026C"/>
    <w:rsid w:val="00BF02E0"/>
    <w:rsid w:val="00BF02FC"/>
    <w:rsid w:val="00BF039A"/>
    <w:rsid w:val="00BF039D"/>
    <w:rsid w:val="00BF0404"/>
    <w:rsid w:val="00BF04CF"/>
    <w:rsid w:val="00BF05A6"/>
    <w:rsid w:val="00BF067F"/>
    <w:rsid w:val="00BF0828"/>
    <w:rsid w:val="00BF08AF"/>
    <w:rsid w:val="00BF08B1"/>
    <w:rsid w:val="00BF08BD"/>
    <w:rsid w:val="00BF0920"/>
    <w:rsid w:val="00BF0971"/>
    <w:rsid w:val="00BF0999"/>
    <w:rsid w:val="00BF0C1F"/>
    <w:rsid w:val="00BF0E87"/>
    <w:rsid w:val="00BF1157"/>
    <w:rsid w:val="00BF1275"/>
    <w:rsid w:val="00BF128B"/>
    <w:rsid w:val="00BF1455"/>
    <w:rsid w:val="00BF159B"/>
    <w:rsid w:val="00BF15F1"/>
    <w:rsid w:val="00BF15FA"/>
    <w:rsid w:val="00BF1654"/>
    <w:rsid w:val="00BF1673"/>
    <w:rsid w:val="00BF17FB"/>
    <w:rsid w:val="00BF17FE"/>
    <w:rsid w:val="00BF1805"/>
    <w:rsid w:val="00BF183F"/>
    <w:rsid w:val="00BF1848"/>
    <w:rsid w:val="00BF186A"/>
    <w:rsid w:val="00BF19BA"/>
    <w:rsid w:val="00BF19CC"/>
    <w:rsid w:val="00BF1A43"/>
    <w:rsid w:val="00BF1A46"/>
    <w:rsid w:val="00BF1A67"/>
    <w:rsid w:val="00BF1A6E"/>
    <w:rsid w:val="00BF1AE1"/>
    <w:rsid w:val="00BF1B56"/>
    <w:rsid w:val="00BF1BCE"/>
    <w:rsid w:val="00BF1C99"/>
    <w:rsid w:val="00BF1D3F"/>
    <w:rsid w:val="00BF1E30"/>
    <w:rsid w:val="00BF1EC0"/>
    <w:rsid w:val="00BF1EE8"/>
    <w:rsid w:val="00BF1FC7"/>
    <w:rsid w:val="00BF209A"/>
    <w:rsid w:val="00BF21A0"/>
    <w:rsid w:val="00BF225A"/>
    <w:rsid w:val="00BF225B"/>
    <w:rsid w:val="00BF2401"/>
    <w:rsid w:val="00BF2487"/>
    <w:rsid w:val="00BF24AF"/>
    <w:rsid w:val="00BF24D8"/>
    <w:rsid w:val="00BF24F7"/>
    <w:rsid w:val="00BF258E"/>
    <w:rsid w:val="00BF2851"/>
    <w:rsid w:val="00BF2981"/>
    <w:rsid w:val="00BF2A1C"/>
    <w:rsid w:val="00BF2AFC"/>
    <w:rsid w:val="00BF2B56"/>
    <w:rsid w:val="00BF2BB0"/>
    <w:rsid w:val="00BF2C78"/>
    <w:rsid w:val="00BF2CA2"/>
    <w:rsid w:val="00BF2D71"/>
    <w:rsid w:val="00BF2D77"/>
    <w:rsid w:val="00BF2DC3"/>
    <w:rsid w:val="00BF2E72"/>
    <w:rsid w:val="00BF2EF0"/>
    <w:rsid w:val="00BF2F0B"/>
    <w:rsid w:val="00BF2FA2"/>
    <w:rsid w:val="00BF304D"/>
    <w:rsid w:val="00BF3142"/>
    <w:rsid w:val="00BF325E"/>
    <w:rsid w:val="00BF32A6"/>
    <w:rsid w:val="00BF338D"/>
    <w:rsid w:val="00BF33D3"/>
    <w:rsid w:val="00BF33E7"/>
    <w:rsid w:val="00BF33FD"/>
    <w:rsid w:val="00BF345F"/>
    <w:rsid w:val="00BF353E"/>
    <w:rsid w:val="00BF35B2"/>
    <w:rsid w:val="00BF35ED"/>
    <w:rsid w:val="00BF3647"/>
    <w:rsid w:val="00BF368D"/>
    <w:rsid w:val="00BF36AE"/>
    <w:rsid w:val="00BF3723"/>
    <w:rsid w:val="00BF3786"/>
    <w:rsid w:val="00BF37C8"/>
    <w:rsid w:val="00BF3931"/>
    <w:rsid w:val="00BF3A5D"/>
    <w:rsid w:val="00BF3A76"/>
    <w:rsid w:val="00BF3AC5"/>
    <w:rsid w:val="00BF3BC4"/>
    <w:rsid w:val="00BF3D06"/>
    <w:rsid w:val="00BF3D51"/>
    <w:rsid w:val="00BF3DA3"/>
    <w:rsid w:val="00BF3E47"/>
    <w:rsid w:val="00BF3EB9"/>
    <w:rsid w:val="00BF3F0A"/>
    <w:rsid w:val="00BF3FAB"/>
    <w:rsid w:val="00BF409B"/>
    <w:rsid w:val="00BF40A0"/>
    <w:rsid w:val="00BF4102"/>
    <w:rsid w:val="00BF4364"/>
    <w:rsid w:val="00BF43E0"/>
    <w:rsid w:val="00BF44B4"/>
    <w:rsid w:val="00BF4660"/>
    <w:rsid w:val="00BF46F3"/>
    <w:rsid w:val="00BF4777"/>
    <w:rsid w:val="00BF4859"/>
    <w:rsid w:val="00BF4902"/>
    <w:rsid w:val="00BF49A4"/>
    <w:rsid w:val="00BF49CC"/>
    <w:rsid w:val="00BF4B56"/>
    <w:rsid w:val="00BF4C30"/>
    <w:rsid w:val="00BF4D6B"/>
    <w:rsid w:val="00BF4DA2"/>
    <w:rsid w:val="00BF4DB8"/>
    <w:rsid w:val="00BF4E2E"/>
    <w:rsid w:val="00BF4F03"/>
    <w:rsid w:val="00BF4F0C"/>
    <w:rsid w:val="00BF4F0E"/>
    <w:rsid w:val="00BF4F5D"/>
    <w:rsid w:val="00BF4FAA"/>
    <w:rsid w:val="00BF5031"/>
    <w:rsid w:val="00BF5299"/>
    <w:rsid w:val="00BF5316"/>
    <w:rsid w:val="00BF5427"/>
    <w:rsid w:val="00BF5578"/>
    <w:rsid w:val="00BF56A2"/>
    <w:rsid w:val="00BF57F1"/>
    <w:rsid w:val="00BF5842"/>
    <w:rsid w:val="00BF591D"/>
    <w:rsid w:val="00BF59E8"/>
    <w:rsid w:val="00BF5A18"/>
    <w:rsid w:val="00BF5B51"/>
    <w:rsid w:val="00BF5BDA"/>
    <w:rsid w:val="00BF5BE1"/>
    <w:rsid w:val="00BF5DCB"/>
    <w:rsid w:val="00BF5E28"/>
    <w:rsid w:val="00BF5E65"/>
    <w:rsid w:val="00BF5EC3"/>
    <w:rsid w:val="00BF6113"/>
    <w:rsid w:val="00BF6120"/>
    <w:rsid w:val="00BF6139"/>
    <w:rsid w:val="00BF624C"/>
    <w:rsid w:val="00BF629B"/>
    <w:rsid w:val="00BF6510"/>
    <w:rsid w:val="00BF6519"/>
    <w:rsid w:val="00BF67B0"/>
    <w:rsid w:val="00BF69DA"/>
    <w:rsid w:val="00BF6C71"/>
    <w:rsid w:val="00BF6CD0"/>
    <w:rsid w:val="00BF6D5E"/>
    <w:rsid w:val="00BF6D9F"/>
    <w:rsid w:val="00BF6FB1"/>
    <w:rsid w:val="00BF6FC3"/>
    <w:rsid w:val="00BF712D"/>
    <w:rsid w:val="00BF7219"/>
    <w:rsid w:val="00BF727D"/>
    <w:rsid w:val="00BF729A"/>
    <w:rsid w:val="00BF72C4"/>
    <w:rsid w:val="00BF72E5"/>
    <w:rsid w:val="00BF730D"/>
    <w:rsid w:val="00BF736A"/>
    <w:rsid w:val="00BF7434"/>
    <w:rsid w:val="00BF74C3"/>
    <w:rsid w:val="00BF74F8"/>
    <w:rsid w:val="00BF7528"/>
    <w:rsid w:val="00BF7772"/>
    <w:rsid w:val="00BF778D"/>
    <w:rsid w:val="00BF78FD"/>
    <w:rsid w:val="00BF798D"/>
    <w:rsid w:val="00BF7B26"/>
    <w:rsid w:val="00BF7CDF"/>
    <w:rsid w:val="00BF7FE9"/>
    <w:rsid w:val="00C000A7"/>
    <w:rsid w:val="00C0013A"/>
    <w:rsid w:val="00C00162"/>
    <w:rsid w:val="00C0027A"/>
    <w:rsid w:val="00C00436"/>
    <w:rsid w:val="00C00447"/>
    <w:rsid w:val="00C00507"/>
    <w:rsid w:val="00C0050E"/>
    <w:rsid w:val="00C00610"/>
    <w:rsid w:val="00C00632"/>
    <w:rsid w:val="00C00685"/>
    <w:rsid w:val="00C00690"/>
    <w:rsid w:val="00C00727"/>
    <w:rsid w:val="00C00770"/>
    <w:rsid w:val="00C008F9"/>
    <w:rsid w:val="00C00B28"/>
    <w:rsid w:val="00C00BC2"/>
    <w:rsid w:val="00C00C22"/>
    <w:rsid w:val="00C00C2F"/>
    <w:rsid w:val="00C00D54"/>
    <w:rsid w:val="00C00F7D"/>
    <w:rsid w:val="00C01079"/>
    <w:rsid w:val="00C010ED"/>
    <w:rsid w:val="00C01132"/>
    <w:rsid w:val="00C01157"/>
    <w:rsid w:val="00C011BB"/>
    <w:rsid w:val="00C011E4"/>
    <w:rsid w:val="00C012B1"/>
    <w:rsid w:val="00C012C4"/>
    <w:rsid w:val="00C012E7"/>
    <w:rsid w:val="00C01314"/>
    <w:rsid w:val="00C01486"/>
    <w:rsid w:val="00C01512"/>
    <w:rsid w:val="00C01682"/>
    <w:rsid w:val="00C016FA"/>
    <w:rsid w:val="00C017CE"/>
    <w:rsid w:val="00C01820"/>
    <w:rsid w:val="00C019AB"/>
    <w:rsid w:val="00C01A68"/>
    <w:rsid w:val="00C01A71"/>
    <w:rsid w:val="00C01B17"/>
    <w:rsid w:val="00C01C57"/>
    <w:rsid w:val="00C01D90"/>
    <w:rsid w:val="00C01DD1"/>
    <w:rsid w:val="00C01DDC"/>
    <w:rsid w:val="00C0231E"/>
    <w:rsid w:val="00C0233F"/>
    <w:rsid w:val="00C0249D"/>
    <w:rsid w:val="00C02605"/>
    <w:rsid w:val="00C0273A"/>
    <w:rsid w:val="00C0275D"/>
    <w:rsid w:val="00C0295A"/>
    <w:rsid w:val="00C029B0"/>
    <w:rsid w:val="00C02A13"/>
    <w:rsid w:val="00C02ABA"/>
    <w:rsid w:val="00C02AC9"/>
    <w:rsid w:val="00C02C9B"/>
    <w:rsid w:val="00C02D33"/>
    <w:rsid w:val="00C02D6B"/>
    <w:rsid w:val="00C02D70"/>
    <w:rsid w:val="00C02E0B"/>
    <w:rsid w:val="00C02E0F"/>
    <w:rsid w:val="00C02E55"/>
    <w:rsid w:val="00C02E67"/>
    <w:rsid w:val="00C02EE2"/>
    <w:rsid w:val="00C02FBA"/>
    <w:rsid w:val="00C032F9"/>
    <w:rsid w:val="00C0333F"/>
    <w:rsid w:val="00C036D3"/>
    <w:rsid w:val="00C03721"/>
    <w:rsid w:val="00C03765"/>
    <w:rsid w:val="00C0376A"/>
    <w:rsid w:val="00C03908"/>
    <w:rsid w:val="00C03AA8"/>
    <w:rsid w:val="00C03ADA"/>
    <w:rsid w:val="00C03CD3"/>
    <w:rsid w:val="00C03D2A"/>
    <w:rsid w:val="00C03D83"/>
    <w:rsid w:val="00C03EC0"/>
    <w:rsid w:val="00C03F4A"/>
    <w:rsid w:val="00C03F9E"/>
    <w:rsid w:val="00C0427C"/>
    <w:rsid w:val="00C04285"/>
    <w:rsid w:val="00C0432F"/>
    <w:rsid w:val="00C043B5"/>
    <w:rsid w:val="00C045F2"/>
    <w:rsid w:val="00C04634"/>
    <w:rsid w:val="00C0486B"/>
    <w:rsid w:val="00C048F4"/>
    <w:rsid w:val="00C048FB"/>
    <w:rsid w:val="00C04B68"/>
    <w:rsid w:val="00C04C42"/>
    <w:rsid w:val="00C04CA9"/>
    <w:rsid w:val="00C04D24"/>
    <w:rsid w:val="00C04D5D"/>
    <w:rsid w:val="00C04F1E"/>
    <w:rsid w:val="00C04F2F"/>
    <w:rsid w:val="00C05036"/>
    <w:rsid w:val="00C050E4"/>
    <w:rsid w:val="00C051DC"/>
    <w:rsid w:val="00C051F2"/>
    <w:rsid w:val="00C0520A"/>
    <w:rsid w:val="00C05221"/>
    <w:rsid w:val="00C05272"/>
    <w:rsid w:val="00C052F3"/>
    <w:rsid w:val="00C053E8"/>
    <w:rsid w:val="00C0549B"/>
    <w:rsid w:val="00C05549"/>
    <w:rsid w:val="00C05576"/>
    <w:rsid w:val="00C055EC"/>
    <w:rsid w:val="00C05618"/>
    <w:rsid w:val="00C057B8"/>
    <w:rsid w:val="00C0588F"/>
    <w:rsid w:val="00C058B4"/>
    <w:rsid w:val="00C059D7"/>
    <w:rsid w:val="00C05B2E"/>
    <w:rsid w:val="00C05C0A"/>
    <w:rsid w:val="00C05CFB"/>
    <w:rsid w:val="00C05D70"/>
    <w:rsid w:val="00C05E2F"/>
    <w:rsid w:val="00C05E78"/>
    <w:rsid w:val="00C05ECE"/>
    <w:rsid w:val="00C05EDB"/>
    <w:rsid w:val="00C06053"/>
    <w:rsid w:val="00C061B8"/>
    <w:rsid w:val="00C0629B"/>
    <w:rsid w:val="00C062F5"/>
    <w:rsid w:val="00C06370"/>
    <w:rsid w:val="00C06547"/>
    <w:rsid w:val="00C065D2"/>
    <w:rsid w:val="00C06648"/>
    <w:rsid w:val="00C066AE"/>
    <w:rsid w:val="00C066DB"/>
    <w:rsid w:val="00C06774"/>
    <w:rsid w:val="00C06775"/>
    <w:rsid w:val="00C067A2"/>
    <w:rsid w:val="00C067BD"/>
    <w:rsid w:val="00C067D8"/>
    <w:rsid w:val="00C067E8"/>
    <w:rsid w:val="00C06813"/>
    <w:rsid w:val="00C06822"/>
    <w:rsid w:val="00C0686E"/>
    <w:rsid w:val="00C068F0"/>
    <w:rsid w:val="00C06914"/>
    <w:rsid w:val="00C06A06"/>
    <w:rsid w:val="00C06AC9"/>
    <w:rsid w:val="00C06AE6"/>
    <w:rsid w:val="00C06C15"/>
    <w:rsid w:val="00C06C2A"/>
    <w:rsid w:val="00C06CBC"/>
    <w:rsid w:val="00C06CEA"/>
    <w:rsid w:val="00C06DA1"/>
    <w:rsid w:val="00C06DDA"/>
    <w:rsid w:val="00C06E78"/>
    <w:rsid w:val="00C07078"/>
    <w:rsid w:val="00C070E9"/>
    <w:rsid w:val="00C07102"/>
    <w:rsid w:val="00C0715A"/>
    <w:rsid w:val="00C07165"/>
    <w:rsid w:val="00C0729F"/>
    <w:rsid w:val="00C0732A"/>
    <w:rsid w:val="00C074CD"/>
    <w:rsid w:val="00C074DE"/>
    <w:rsid w:val="00C07546"/>
    <w:rsid w:val="00C07568"/>
    <w:rsid w:val="00C07581"/>
    <w:rsid w:val="00C076AE"/>
    <w:rsid w:val="00C0770C"/>
    <w:rsid w:val="00C077CC"/>
    <w:rsid w:val="00C07826"/>
    <w:rsid w:val="00C07837"/>
    <w:rsid w:val="00C078D4"/>
    <w:rsid w:val="00C0791F"/>
    <w:rsid w:val="00C079E5"/>
    <w:rsid w:val="00C07A4C"/>
    <w:rsid w:val="00C07B2D"/>
    <w:rsid w:val="00C07CB8"/>
    <w:rsid w:val="00C07CED"/>
    <w:rsid w:val="00C07E45"/>
    <w:rsid w:val="00C07F1B"/>
    <w:rsid w:val="00C100AA"/>
    <w:rsid w:val="00C100B6"/>
    <w:rsid w:val="00C10171"/>
    <w:rsid w:val="00C1017D"/>
    <w:rsid w:val="00C102EF"/>
    <w:rsid w:val="00C1030B"/>
    <w:rsid w:val="00C10462"/>
    <w:rsid w:val="00C10511"/>
    <w:rsid w:val="00C1061B"/>
    <w:rsid w:val="00C1068B"/>
    <w:rsid w:val="00C108F9"/>
    <w:rsid w:val="00C10940"/>
    <w:rsid w:val="00C1094E"/>
    <w:rsid w:val="00C10A5C"/>
    <w:rsid w:val="00C10BFA"/>
    <w:rsid w:val="00C10C0D"/>
    <w:rsid w:val="00C10CE4"/>
    <w:rsid w:val="00C10D7E"/>
    <w:rsid w:val="00C1119C"/>
    <w:rsid w:val="00C111DF"/>
    <w:rsid w:val="00C1122D"/>
    <w:rsid w:val="00C11252"/>
    <w:rsid w:val="00C1125C"/>
    <w:rsid w:val="00C11266"/>
    <w:rsid w:val="00C1126E"/>
    <w:rsid w:val="00C11336"/>
    <w:rsid w:val="00C11380"/>
    <w:rsid w:val="00C1158E"/>
    <w:rsid w:val="00C11592"/>
    <w:rsid w:val="00C115E3"/>
    <w:rsid w:val="00C117FF"/>
    <w:rsid w:val="00C11863"/>
    <w:rsid w:val="00C1197E"/>
    <w:rsid w:val="00C11A66"/>
    <w:rsid w:val="00C11B45"/>
    <w:rsid w:val="00C11CA8"/>
    <w:rsid w:val="00C11CDD"/>
    <w:rsid w:val="00C11D80"/>
    <w:rsid w:val="00C11D9D"/>
    <w:rsid w:val="00C11E03"/>
    <w:rsid w:val="00C11FCE"/>
    <w:rsid w:val="00C11FD6"/>
    <w:rsid w:val="00C12200"/>
    <w:rsid w:val="00C122DF"/>
    <w:rsid w:val="00C12301"/>
    <w:rsid w:val="00C12462"/>
    <w:rsid w:val="00C12506"/>
    <w:rsid w:val="00C125FE"/>
    <w:rsid w:val="00C1264A"/>
    <w:rsid w:val="00C126BE"/>
    <w:rsid w:val="00C1281B"/>
    <w:rsid w:val="00C12824"/>
    <w:rsid w:val="00C1287C"/>
    <w:rsid w:val="00C12894"/>
    <w:rsid w:val="00C128AF"/>
    <w:rsid w:val="00C12922"/>
    <w:rsid w:val="00C1296E"/>
    <w:rsid w:val="00C1299C"/>
    <w:rsid w:val="00C12A56"/>
    <w:rsid w:val="00C12A66"/>
    <w:rsid w:val="00C12B11"/>
    <w:rsid w:val="00C12B57"/>
    <w:rsid w:val="00C12B65"/>
    <w:rsid w:val="00C12C03"/>
    <w:rsid w:val="00C12C7B"/>
    <w:rsid w:val="00C12DDF"/>
    <w:rsid w:val="00C12E32"/>
    <w:rsid w:val="00C12E70"/>
    <w:rsid w:val="00C12EB7"/>
    <w:rsid w:val="00C12F68"/>
    <w:rsid w:val="00C12FD7"/>
    <w:rsid w:val="00C1306A"/>
    <w:rsid w:val="00C130BB"/>
    <w:rsid w:val="00C132C8"/>
    <w:rsid w:val="00C133DB"/>
    <w:rsid w:val="00C1342D"/>
    <w:rsid w:val="00C13627"/>
    <w:rsid w:val="00C13706"/>
    <w:rsid w:val="00C13751"/>
    <w:rsid w:val="00C137AA"/>
    <w:rsid w:val="00C137E9"/>
    <w:rsid w:val="00C13B53"/>
    <w:rsid w:val="00C13BEC"/>
    <w:rsid w:val="00C13C4A"/>
    <w:rsid w:val="00C13D2C"/>
    <w:rsid w:val="00C13DB8"/>
    <w:rsid w:val="00C13E69"/>
    <w:rsid w:val="00C13F09"/>
    <w:rsid w:val="00C13F36"/>
    <w:rsid w:val="00C14005"/>
    <w:rsid w:val="00C140AE"/>
    <w:rsid w:val="00C140D4"/>
    <w:rsid w:val="00C14173"/>
    <w:rsid w:val="00C1417F"/>
    <w:rsid w:val="00C14190"/>
    <w:rsid w:val="00C1421F"/>
    <w:rsid w:val="00C14297"/>
    <w:rsid w:val="00C142A7"/>
    <w:rsid w:val="00C142C1"/>
    <w:rsid w:val="00C144CE"/>
    <w:rsid w:val="00C144E8"/>
    <w:rsid w:val="00C1458B"/>
    <w:rsid w:val="00C1460A"/>
    <w:rsid w:val="00C146F4"/>
    <w:rsid w:val="00C14775"/>
    <w:rsid w:val="00C147B3"/>
    <w:rsid w:val="00C14859"/>
    <w:rsid w:val="00C148D2"/>
    <w:rsid w:val="00C148F7"/>
    <w:rsid w:val="00C14A69"/>
    <w:rsid w:val="00C14B1E"/>
    <w:rsid w:val="00C14C67"/>
    <w:rsid w:val="00C14C6C"/>
    <w:rsid w:val="00C14DFA"/>
    <w:rsid w:val="00C14F53"/>
    <w:rsid w:val="00C14F76"/>
    <w:rsid w:val="00C14F7F"/>
    <w:rsid w:val="00C14FC3"/>
    <w:rsid w:val="00C151D4"/>
    <w:rsid w:val="00C1522D"/>
    <w:rsid w:val="00C15267"/>
    <w:rsid w:val="00C152A3"/>
    <w:rsid w:val="00C152CE"/>
    <w:rsid w:val="00C1563E"/>
    <w:rsid w:val="00C15746"/>
    <w:rsid w:val="00C1582A"/>
    <w:rsid w:val="00C1584C"/>
    <w:rsid w:val="00C15955"/>
    <w:rsid w:val="00C15C38"/>
    <w:rsid w:val="00C15CE6"/>
    <w:rsid w:val="00C15DD4"/>
    <w:rsid w:val="00C15E03"/>
    <w:rsid w:val="00C15E12"/>
    <w:rsid w:val="00C15E4B"/>
    <w:rsid w:val="00C15E4D"/>
    <w:rsid w:val="00C15E54"/>
    <w:rsid w:val="00C15EF3"/>
    <w:rsid w:val="00C15F00"/>
    <w:rsid w:val="00C16035"/>
    <w:rsid w:val="00C161F2"/>
    <w:rsid w:val="00C1621F"/>
    <w:rsid w:val="00C16267"/>
    <w:rsid w:val="00C16442"/>
    <w:rsid w:val="00C16498"/>
    <w:rsid w:val="00C1649B"/>
    <w:rsid w:val="00C16556"/>
    <w:rsid w:val="00C16564"/>
    <w:rsid w:val="00C1658A"/>
    <w:rsid w:val="00C167DE"/>
    <w:rsid w:val="00C1699D"/>
    <w:rsid w:val="00C16A13"/>
    <w:rsid w:val="00C16A91"/>
    <w:rsid w:val="00C16AA6"/>
    <w:rsid w:val="00C16B43"/>
    <w:rsid w:val="00C16BCD"/>
    <w:rsid w:val="00C16C25"/>
    <w:rsid w:val="00C16D54"/>
    <w:rsid w:val="00C16D88"/>
    <w:rsid w:val="00C16EC2"/>
    <w:rsid w:val="00C16F1D"/>
    <w:rsid w:val="00C16F36"/>
    <w:rsid w:val="00C16F89"/>
    <w:rsid w:val="00C17009"/>
    <w:rsid w:val="00C17011"/>
    <w:rsid w:val="00C1707F"/>
    <w:rsid w:val="00C1708F"/>
    <w:rsid w:val="00C171A4"/>
    <w:rsid w:val="00C17233"/>
    <w:rsid w:val="00C17251"/>
    <w:rsid w:val="00C1741E"/>
    <w:rsid w:val="00C17429"/>
    <w:rsid w:val="00C176F3"/>
    <w:rsid w:val="00C17712"/>
    <w:rsid w:val="00C177EF"/>
    <w:rsid w:val="00C178B3"/>
    <w:rsid w:val="00C178EB"/>
    <w:rsid w:val="00C17914"/>
    <w:rsid w:val="00C179C8"/>
    <w:rsid w:val="00C179CF"/>
    <w:rsid w:val="00C17B42"/>
    <w:rsid w:val="00C17B89"/>
    <w:rsid w:val="00C17BCC"/>
    <w:rsid w:val="00C17BDD"/>
    <w:rsid w:val="00C17BEB"/>
    <w:rsid w:val="00C17C19"/>
    <w:rsid w:val="00C17E33"/>
    <w:rsid w:val="00C17E61"/>
    <w:rsid w:val="00C17F4D"/>
    <w:rsid w:val="00C20074"/>
    <w:rsid w:val="00C201DD"/>
    <w:rsid w:val="00C205B7"/>
    <w:rsid w:val="00C206B8"/>
    <w:rsid w:val="00C20818"/>
    <w:rsid w:val="00C20924"/>
    <w:rsid w:val="00C20932"/>
    <w:rsid w:val="00C209BA"/>
    <w:rsid w:val="00C209EE"/>
    <w:rsid w:val="00C20AC6"/>
    <w:rsid w:val="00C20B25"/>
    <w:rsid w:val="00C20B97"/>
    <w:rsid w:val="00C20BD7"/>
    <w:rsid w:val="00C20BE2"/>
    <w:rsid w:val="00C20C15"/>
    <w:rsid w:val="00C20CDF"/>
    <w:rsid w:val="00C20D07"/>
    <w:rsid w:val="00C20D24"/>
    <w:rsid w:val="00C20D2B"/>
    <w:rsid w:val="00C20EC1"/>
    <w:rsid w:val="00C21003"/>
    <w:rsid w:val="00C2101E"/>
    <w:rsid w:val="00C21090"/>
    <w:rsid w:val="00C210DE"/>
    <w:rsid w:val="00C2118E"/>
    <w:rsid w:val="00C2123D"/>
    <w:rsid w:val="00C213E1"/>
    <w:rsid w:val="00C2150B"/>
    <w:rsid w:val="00C2154F"/>
    <w:rsid w:val="00C2177A"/>
    <w:rsid w:val="00C217AC"/>
    <w:rsid w:val="00C21842"/>
    <w:rsid w:val="00C21904"/>
    <w:rsid w:val="00C219A9"/>
    <w:rsid w:val="00C219FA"/>
    <w:rsid w:val="00C21A74"/>
    <w:rsid w:val="00C21BE2"/>
    <w:rsid w:val="00C21C29"/>
    <w:rsid w:val="00C21C85"/>
    <w:rsid w:val="00C21CC4"/>
    <w:rsid w:val="00C21DA7"/>
    <w:rsid w:val="00C21E16"/>
    <w:rsid w:val="00C21E5E"/>
    <w:rsid w:val="00C21ED2"/>
    <w:rsid w:val="00C220F8"/>
    <w:rsid w:val="00C221EC"/>
    <w:rsid w:val="00C22368"/>
    <w:rsid w:val="00C223D1"/>
    <w:rsid w:val="00C223F0"/>
    <w:rsid w:val="00C224A5"/>
    <w:rsid w:val="00C2251B"/>
    <w:rsid w:val="00C22570"/>
    <w:rsid w:val="00C225D5"/>
    <w:rsid w:val="00C226A5"/>
    <w:rsid w:val="00C22949"/>
    <w:rsid w:val="00C22965"/>
    <w:rsid w:val="00C2298E"/>
    <w:rsid w:val="00C22A1F"/>
    <w:rsid w:val="00C22A7E"/>
    <w:rsid w:val="00C22ABD"/>
    <w:rsid w:val="00C22ADD"/>
    <w:rsid w:val="00C22B39"/>
    <w:rsid w:val="00C22CE5"/>
    <w:rsid w:val="00C22D93"/>
    <w:rsid w:val="00C22F35"/>
    <w:rsid w:val="00C23021"/>
    <w:rsid w:val="00C230D3"/>
    <w:rsid w:val="00C230E9"/>
    <w:rsid w:val="00C231ED"/>
    <w:rsid w:val="00C2322B"/>
    <w:rsid w:val="00C2324F"/>
    <w:rsid w:val="00C23268"/>
    <w:rsid w:val="00C235C9"/>
    <w:rsid w:val="00C236CF"/>
    <w:rsid w:val="00C236DF"/>
    <w:rsid w:val="00C2373D"/>
    <w:rsid w:val="00C23816"/>
    <w:rsid w:val="00C2381E"/>
    <w:rsid w:val="00C2386C"/>
    <w:rsid w:val="00C238C1"/>
    <w:rsid w:val="00C239D6"/>
    <w:rsid w:val="00C23A53"/>
    <w:rsid w:val="00C23C65"/>
    <w:rsid w:val="00C23D03"/>
    <w:rsid w:val="00C23E09"/>
    <w:rsid w:val="00C24069"/>
    <w:rsid w:val="00C240FD"/>
    <w:rsid w:val="00C2411A"/>
    <w:rsid w:val="00C24189"/>
    <w:rsid w:val="00C241A7"/>
    <w:rsid w:val="00C243B8"/>
    <w:rsid w:val="00C243E0"/>
    <w:rsid w:val="00C244CF"/>
    <w:rsid w:val="00C245A1"/>
    <w:rsid w:val="00C245A8"/>
    <w:rsid w:val="00C24615"/>
    <w:rsid w:val="00C2462B"/>
    <w:rsid w:val="00C246F0"/>
    <w:rsid w:val="00C248B9"/>
    <w:rsid w:val="00C248BD"/>
    <w:rsid w:val="00C2499E"/>
    <w:rsid w:val="00C2499F"/>
    <w:rsid w:val="00C24AF1"/>
    <w:rsid w:val="00C24B62"/>
    <w:rsid w:val="00C24B98"/>
    <w:rsid w:val="00C24D0F"/>
    <w:rsid w:val="00C24D9A"/>
    <w:rsid w:val="00C24ED5"/>
    <w:rsid w:val="00C25239"/>
    <w:rsid w:val="00C252B9"/>
    <w:rsid w:val="00C252E8"/>
    <w:rsid w:val="00C25355"/>
    <w:rsid w:val="00C2539D"/>
    <w:rsid w:val="00C25444"/>
    <w:rsid w:val="00C25449"/>
    <w:rsid w:val="00C2546E"/>
    <w:rsid w:val="00C254D0"/>
    <w:rsid w:val="00C2559B"/>
    <w:rsid w:val="00C255AD"/>
    <w:rsid w:val="00C25613"/>
    <w:rsid w:val="00C256C7"/>
    <w:rsid w:val="00C2573F"/>
    <w:rsid w:val="00C257A1"/>
    <w:rsid w:val="00C257E9"/>
    <w:rsid w:val="00C25960"/>
    <w:rsid w:val="00C25A26"/>
    <w:rsid w:val="00C25B06"/>
    <w:rsid w:val="00C25C03"/>
    <w:rsid w:val="00C25C8C"/>
    <w:rsid w:val="00C25ED7"/>
    <w:rsid w:val="00C25FF4"/>
    <w:rsid w:val="00C2601D"/>
    <w:rsid w:val="00C2604B"/>
    <w:rsid w:val="00C260B0"/>
    <w:rsid w:val="00C261D7"/>
    <w:rsid w:val="00C26332"/>
    <w:rsid w:val="00C26385"/>
    <w:rsid w:val="00C264F9"/>
    <w:rsid w:val="00C26646"/>
    <w:rsid w:val="00C26748"/>
    <w:rsid w:val="00C267B2"/>
    <w:rsid w:val="00C268B4"/>
    <w:rsid w:val="00C2699C"/>
    <w:rsid w:val="00C269BE"/>
    <w:rsid w:val="00C26A2F"/>
    <w:rsid w:val="00C26C0B"/>
    <w:rsid w:val="00C26C8D"/>
    <w:rsid w:val="00C26E10"/>
    <w:rsid w:val="00C26E99"/>
    <w:rsid w:val="00C26EFC"/>
    <w:rsid w:val="00C26F41"/>
    <w:rsid w:val="00C27022"/>
    <w:rsid w:val="00C270B1"/>
    <w:rsid w:val="00C27105"/>
    <w:rsid w:val="00C27122"/>
    <w:rsid w:val="00C271CB"/>
    <w:rsid w:val="00C271EC"/>
    <w:rsid w:val="00C27236"/>
    <w:rsid w:val="00C2732C"/>
    <w:rsid w:val="00C27334"/>
    <w:rsid w:val="00C273D2"/>
    <w:rsid w:val="00C2745E"/>
    <w:rsid w:val="00C274D7"/>
    <w:rsid w:val="00C27611"/>
    <w:rsid w:val="00C2766B"/>
    <w:rsid w:val="00C27714"/>
    <w:rsid w:val="00C27781"/>
    <w:rsid w:val="00C27887"/>
    <w:rsid w:val="00C2796C"/>
    <w:rsid w:val="00C27A29"/>
    <w:rsid w:val="00C27AB3"/>
    <w:rsid w:val="00C27B03"/>
    <w:rsid w:val="00C27B8E"/>
    <w:rsid w:val="00C27CBF"/>
    <w:rsid w:val="00C27D14"/>
    <w:rsid w:val="00C27D26"/>
    <w:rsid w:val="00C27E97"/>
    <w:rsid w:val="00C27FCD"/>
    <w:rsid w:val="00C27FDD"/>
    <w:rsid w:val="00C3001B"/>
    <w:rsid w:val="00C3002E"/>
    <w:rsid w:val="00C300D4"/>
    <w:rsid w:val="00C301B8"/>
    <w:rsid w:val="00C30245"/>
    <w:rsid w:val="00C3034B"/>
    <w:rsid w:val="00C3041D"/>
    <w:rsid w:val="00C30651"/>
    <w:rsid w:val="00C30684"/>
    <w:rsid w:val="00C306CC"/>
    <w:rsid w:val="00C30834"/>
    <w:rsid w:val="00C3083D"/>
    <w:rsid w:val="00C3083F"/>
    <w:rsid w:val="00C30877"/>
    <w:rsid w:val="00C309BB"/>
    <w:rsid w:val="00C30A25"/>
    <w:rsid w:val="00C30B1F"/>
    <w:rsid w:val="00C30BB3"/>
    <w:rsid w:val="00C30C38"/>
    <w:rsid w:val="00C30C88"/>
    <w:rsid w:val="00C30CFA"/>
    <w:rsid w:val="00C30D05"/>
    <w:rsid w:val="00C30E2B"/>
    <w:rsid w:val="00C30E7B"/>
    <w:rsid w:val="00C30EA2"/>
    <w:rsid w:val="00C30FFC"/>
    <w:rsid w:val="00C311EB"/>
    <w:rsid w:val="00C3126A"/>
    <w:rsid w:val="00C31449"/>
    <w:rsid w:val="00C31461"/>
    <w:rsid w:val="00C31640"/>
    <w:rsid w:val="00C31681"/>
    <w:rsid w:val="00C31705"/>
    <w:rsid w:val="00C31757"/>
    <w:rsid w:val="00C31792"/>
    <w:rsid w:val="00C319CB"/>
    <w:rsid w:val="00C319DF"/>
    <w:rsid w:val="00C319FB"/>
    <w:rsid w:val="00C31A5B"/>
    <w:rsid w:val="00C31A60"/>
    <w:rsid w:val="00C31B53"/>
    <w:rsid w:val="00C31D98"/>
    <w:rsid w:val="00C31DD6"/>
    <w:rsid w:val="00C31E8E"/>
    <w:rsid w:val="00C31F8F"/>
    <w:rsid w:val="00C32031"/>
    <w:rsid w:val="00C3218F"/>
    <w:rsid w:val="00C321D1"/>
    <w:rsid w:val="00C32215"/>
    <w:rsid w:val="00C3221C"/>
    <w:rsid w:val="00C32363"/>
    <w:rsid w:val="00C32446"/>
    <w:rsid w:val="00C3249D"/>
    <w:rsid w:val="00C32574"/>
    <w:rsid w:val="00C325DC"/>
    <w:rsid w:val="00C32660"/>
    <w:rsid w:val="00C3267C"/>
    <w:rsid w:val="00C3270D"/>
    <w:rsid w:val="00C32887"/>
    <w:rsid w:val="00C328B6"/>
    <w:rsid w:val="00C32915"/>
    <w:rsid w:val="00C3295E"/>
    <w:rsid w:val="00C32A14"/>
    <w:rsid w:val="00C32AE9"/>
    <w:rsid w:val="00C32BB4"/>
    <w:rsid w:val="00C32C2C"/>
    <w:rsid w:val="00C32C36"/>
    <w:rsid w:val="00C32CA3"/>
    <w:rsid w:val="00C32D5E"/>
    <w:rsid w:val="00C32FF1"/>
    <w:rsid w:val="00C33126"/>
    <w:rsid w:val="00C33173"/>
    <w:rsid w:val="00C33185"/>
    <w:rsid w:val="00C33236"/>
    <w:rsid w:val="00C3329A"/>
    <w:rsid w:val="00C3338E"/>
    <w:rsid w:val="00C334A1"/>
    <w:rsid w:val="00C334B7"/>
    <w:rsid w:val="00C3358C"/>
    <w:rsid w:val="00C335A5"/>
    <w:rsid w:val="00C335D6"/>
    <w:rsid w:val="00C336A2"/>
    <w:rsid w:val="00C337C0"/>
    <w:rsid w:val="00C3391F"/>
    <w:rsid w:val="00C33A4F"/>
    <w:rsid w:val="00C33A93"/>
    <w:rsid w:val="00C33AF0"/>
    <w:rsid w:val="00C33B3E"/>
    <w:rsid w:val="00C33C88"/>
    <w:rsid w:val="00C33E73"/>
    <w:rsid w:val="00C33EF5"/>
    <w:rsid w:val="00C33F7A"/>
    <w:rsid w:val="00C3410D"/>
    <w:rsid w:val="00C341C7"/>
    <w:rsid w:val="00C3426F"/>
    <w:rsid w:val="00C34395"/>
    <w:rsid w:val="00C343AC"/>
    <w:rsid w:val="00C34430"/>
    <w:rsid w:val="00C3449A"/>
    <w:rsid w:val="00C34580"/>
    <w:rsid w:val="00C345BF"/>
    <w:rsid w:val="00C3462F"/>
    <w:rsid w:val="00C34679"/>
    <w:rsid w:val="00C3471F"/>
    <w:rsid w:val="00C34730"/>
    <w:rsid w:val="00C3477B"/>
    <w:rsid w:val="00C347F9"/>
    <w:rsid w:val="00C34809"/>
    <w:rsid w:val="00C3486A"/>
    <w:rsid w:val="00C3496B"/>
    <w:rsid w:val="00C34B07"/>
    <w:rsid w:val="00C34B38"/>
    <w:rsid w:val="00C34B4B"/>
    <w:rsid w:val="00C34C56"/>
    <w:rsid w:val="00C34C70"/>
    <w:rsid w:val="00C34CD2"/>
    <w:rsid w:val="00C34CFD"/>
    <w:rsid w:val="00C34DC8"/>
    <w:rsid w:val="00C34E37"/>
    <w:rsid w:val="00C34F69"/>
    <w:rsid w:val="00C34F80"/>
    <w:rsid w:val="00C351DB"/>
    <w:rsid w:val="00C3529E"/>
    <w:rsid w:val="00C35544"/>
    <w:rsid w:val="00C3569A"/>
    <w:rsid w:val="00C35719"/>
    <w:rsid w:val="00C35799"/>
    <w:rsid w:val="00C357A3"/>
    <w:rsid w:val="00C35849"/>
    <w:rsid w:val="00C35A9B"/>
    <w:rsid w:val="00C35AA0"/>
    <w:rsid w:val="00C35AB3"/>
    <w:rsid w:val="00C35BBC"/>
    <w:rsid w:val="00C35E8E"/>
    <w:rsid w:val="00C35F24"/>
    <w:rsid w:val="00C36157"/>
    <w:rsid w:val="00C36174"/>
    <w:rsid w:val="00C36223"/>
    <w:rsid w:val="00C362B2"/>
    <w:rsid w:val="00C36328"/>
    <w:rsid w:val="00C363FB"/>
    <w:rsid w:val="00C3641B"/>
    <w:rsid w:val="00C3645A"/>
    <w:rsid w:val="00C36543"/>
    <w:rsid w:val="00C3654D"/>
    <w:rsid w:val="00C36571"/>
    <w:rsid w:val="00C365B7"/>
    <w:rsid w:val="00C365F5"/>
    <w:rsid w:val="00C36634"/>
    <w:rsid w:val="00C3664A"/>
    <w:rsid w:val="00C36755"/>
    <w:rsid w:val="00C36A14"/>
    <w:rsid w:val="00C36B3E"/>
    <w:rsid w:val="00C3706A"/>
    <w:rsid w:val="00C370C4"/>
    <w:rsid w:val="00C371FA"/>
    <w:rsid w:val="00C37219"/>
    <w:rsid w:val="00C37242"/>
    <w:rsid w:val="00C372A2"/>
    <w:rsid w:val="00C374C6"/>
    <w:rsid w:val="00C374DA"/>
    <w:rsid w:val="00C37538"/>
    <w:rsid w:val="00C37659"/>
    <w:rsid w:val="00C3774C"/>
    <w:rsid w:val="00C37751"/>
    <w:rsid w:val="00C37823"/>
    <w:rsid w:val="00C37D0A"/>
    <w:rsid w:val="00C37D78"/>
    <w:rsid w:val="00C37DA1"/>
    <w:rsid w:val="00C37DD0"/>
    <w:rsid w:val="00C37DF8"/>
    <w:rsid w:val="00C37E24"/>
    <w:rsid w:val="00C37F66"/>
    <w:rsid w:val="00C37FFE"/>
    <w:rsid w:val="00C400C7"/>
    <w:rsid w:val="00C4013D"/>
    <w:rsid w:val="00C401D5"/>
    <w:rsid w:val="00C4035C"/>
    <w:rsid w:val="00C404D3"/>
    <w:rsid w:val="00C404D5"/>
    <w:rsid w:val="00C4053E"/>
    <w:rsid w:val="00C40587"/>
    <w:rsid w:val="00C405FF"/>
    <w:rsid w:val="00C40627"/>
    <w:rsid w:val="00C4081E"/>
    <w:rsid w:val="00C408DB"/>
    <w:rsid w:val="00C409ED"/>
    <w:rsid w:val="00C409FA"/>
    <w:rsid w:val="00C40A1D"/>
    <w:rsid w:val="00C40A51"/>
    <w:rsid w:val="00C40A63"/>
    <w:rsid w:val="00C40AD2"/>
    <w:rsid w:val="00C40B3A"/>
    <w:rsid w:val="00C40C60"/>
    <w:rsid w:val="00C40D1D"/>
    <w:rsid w:val="00C40E60"/>
    <w:rsid w:val="00C4101B"/>
    <w:rsid w:val="00C4103A"/>
    <w:rsid w:val="00C4117A"/>
    <w:rsid w:val="00C413E7"/>
    <w:rsid w:val="00C4152E"/>
    <w:rsid w:val="00C41568"/>
    <w:rsid w:val="00C4164F"/>
    <w:rsid w:val="00C416C1"/>
    <w:rsid w:val="00C416FD"/>
    <w:rsid w:val="00C418EA"/>
    <w:rsid w:val="00C4199A"/>
    <w:rsid w:val="00C41A55"/>
    <w:rsid w:val="00C41B42"/>
    <w:rsid w:val="00C41B5A"/>
    <w:rsid w:val="00C41CB5"/>
    <w:rsid w:val="00C41CC4"/>
    <w:rsid w:val="00C41D4F"/>
    <w:rsid w:val="00C41DC6"/>
    <w:rsid w:val="00C41EAE"/>
    <w:rsid w:val="00C41FD4"/>
    <w:rsid w:val="00C41FF3"/>
    <w:rsid w:val="00C420F3"/>
    <w:rsid w:val="00C421AC"/>
    <w:rsid w:val="00C421EE"/>
    <w:rsid w:val="00C42231"/>
    <w:rsid w:val="00C42314"/>
    <w:rsid w:val="00C4237C"/>
    <w:rsid w:val="00C42384"/>
    <w:rsid w:val="00C42391"/>
    <w:rsid w:val="00C4249D"/>
    <w:rsid w:val="00C424F7"/>
    <w:rsid w:val="00C425E9"/>
    <w:rsid w:val="00C427A8"/>
    <w:rsid w:val="00C4288B"/>
    <w:rsid w:val="00C4295D"/>
    <w:rsid w:val="00C42963"/>
    <w:rsid w:val="00C42A6E"/>
    <w:rsid w:val="00C42ABC"/>
    <w:rsid w:val="00C42C9B"/>
    <w:rsid w:val="00C42CDB"/>
    <w:rsid w:val="00C42CF8"/>
    <w:rsid w:val="00C42D13"/>
    <w:rsid w:val="00C42D69"/>
    <w:rsid w:val="00C42E3B"/>
    <w:rsid w:val="00C42F03"/>
    <w:rsid w:val="00C42F8C"/>
    <w:rsid w:val="00C42FDD"/>
    <w:rsid w:val="00C4303E"/>
    <w:rsid w:val="00C430BA"/>
    <w:rsid w:val="00C43153"/>
    <w:rsid w:val="00C43178"/>
    <w:rsid w:val="00C4320E"/>
    <w:rsid w:val="00C43288"/>
    <w:rsid w:val="00C43293"/>
    <w:rsid w:val="00C4331A"/>
    <w:rsid w:val="00C433F1"/>
    <w:rsid w:val="00C43459"/>
    <w:rsid w:val="00C4345A"/>
    <w:rsid w:val="00C43467"/>
    <w:rsid w:val="00C43488"/>
    <w:rsid w:val="00C434E0"/>
    <w:rsid w:val="00C436B3"/>
    <w:rsid w:val="00C4370B"/>
    <w:rsid w:val="00C43714"/>
    <w:rsid w:val="00C43745"/>
    <w:rsid w:val="00C43764"/>
    <w:rsid w:val="00C43B04"/>
    <w:rsid w:val="00C43C1C"/>
    <w:rsid w:val="00C43C7B"/>
    <w:rsid w:val="00C43C87"/>
    <w:rsid w:val="00C43D39"/>
    <w:rsid w:val="00C43DC2"/>
    <w:rsid w:val="00C4406C"/>
    <w:rsid w:val="00C44088"/>
    <w:rsid w:val="00C44111"/>
    <w:rsid w:val="00C4414D"/>
    <w:rsid w:val="00C44367"/>
    <w:rsid w:val="00C443C9"/>
    <w:rsid w:val="00C443F0"/>
    <w:rsid w:val="00C4442B"/>
    <w:rsid w:val="00C444EF"/>
    <w:rsid w:val="00C44589"/>
    <w:rsid w:val="00C445D2"/>
    <w:rsid w:val="00C4468E"/>
    <w:rsid w:val="00C4468F"/>
    <w:rsid w:val="00C4470D"/>
    <w:rsid w:val="00C4471B"/>
    <w:rsid w:val="00C44762"/>
    <w:rsid w:val="00C447CB"/>
    <w:rsid w:val="00C44834"/>
    <w:rsid w:val="00C4499B"/>
    <w:rsid w:val="00C449F1"/>
    <w:rsid w:val="00C44A05"/>
    <w:rsid w:val="00C44B5B"/>
    <w:rsid w:val="00C44BC9"/>
    <w:rsid w:val="00C44D15"/>
    <w:rsid w:val="00C44D1E"/>
    <w:rsid w:val="00C44D50"/>
    <w:rsid w:val="00C44E02"/>
    <w:rsid w:val="00C44E1F"/>
    <w:rsid w:val="00C44E77"/>
    <w:rsid w:val="00C44F3E"/>
    <w:rsid w:val="00C44FA2"/>
    <w:rsid w:val="00C450D4"/>
    <w:rsid w:val="00C4525F"/>
    <w:rsid w:val="00C452AD"/>
    <w:rsid w:val="00C452D8"/>
    <w:rsid w:val="00C45463"/>
    <w:rsid w:val="00C45576"/>
    <w:rsid w:val="00C456AB"/>
    <w:rsid w:val="00C457F9"/>
    <w:rsid w:val="00C45A20"/>
    <w:rsid w:val="00C45A66"/>
    <w:rsid w:val="00C45C4D"/>
    <w:rsid w:val="00C45CEC"/>
    <w:rsid w:val="00C45D51"/>
    <w:rsid w:val="00C45D8C"/>
    <w:rsid w:val="00C45DB1"/>
    <w:rsid w:val="00C45DC3"/>
    <w:rsid w:val="00C45E17"/>
    <w:rsid w:val="00C45E3C"/>
    <w:rsid w:val="00C45E62"/>
    <w:rsid w:val="00C45EC0"/>
    <w:rsid w:val="00C460E1"/>
    <w:rsid w:val="00C460F3"/>
    <w:rsid w:val="00C4613F"/>
    <w:rsid w:val="00C461C3"/>
    <w:rsid w:val="00C4623B"/>
    <w:rsid w:val="00C46293"/>
    <w:rsid w:val="00C462EE"/>
    <w:rsid w:val="00C464FD"/>
    <w:rsid w:val="00C4656E"/>
    <w:rsid w:val="00C46663"/>
    <w:rsid w:val="00C46939"/>
    <w:rsid w:val="00C4699C"/>
    <w:rsid w:val="00C46A0C"/>
    <w:rsid w:val="00C46A32"/>
    <w:rsid w:val="00C46B2B"/>
    <w:rsid w:val="00C46BA2"/>
    <w:rsid w:val="00C46BB9"/>
    <w:rsid w:val="00C46CDD"/>
    <w:rsid w:val="00C46D65"/>
    <w:rsid w:val="00C46F06"/>
    <w:rsid w:val="00C46F19"/>
    <w:rsid w:val="00C4707B"/>
    <w:rsid w:val="00C470FC"/>
    <w:rsid w:val="00C47139"/>
    <w:rsid w:val="00C471E0"/>
    <w:rsid w:val="00C4722B"/>
    <w:rsid w:val="00C47268"/>
    <w:rsid w:val="00C472A4"/>
    <w:rsid w:val="00C472F2"/>
    <w:rsid w:val="00C4731B"/>
    <w:rsid w:val="00C473C5"/>
    <w:rsid w:val="00C47406"/>
    <w:rsid w:val="00C47420"/>
    <w:rsid w:val="00C47485"/>
    <w:rsid w:val="00C474AA"/>
    <w:rsid w:val="00C4762B"/>
    <w:rsid w:val="00C4766B"/>
    <w:rsid w:val="00C476BD"/>
    <w:rsid w:val="00C4792B"/>
    <w:rsid w:val="00C4799B"/>
    <w:rsid w:val="00C4799E"/>
    <w:rsid w:val="00C479B9"/>
    <w:rsid w:val="00C47AD1"/>
    <w:rsid w:val="00C47BF3"/>
    <w:rsid w:val="00C47C0F"/>
    <w:rsid w:val="00C47CCA"/>
    <w:rsid w:val="00C47D1E"/>
    <w:rsid w:val="00C47DA1"/>
    <w:rsid w:val="00C47F7F"/>
    <w:rsid w:val="00C500A8"/>
    <w:rsid w:val="00C5010B"/>
    <w:rsid w:val="00C5019B"/>
    <w:rsid w:val="00C5019E"/>
    <w:rsid w:val="00C501B3"/>
    <w:rsid w:val="00C501B4"/>
    <w:rsid w:val="00C501F6"/>
    <w:rsid w:val="00C50419"/>
    <w:rsid w:val="00C50424"/>
    <w:rsid w:val="00C50438"/>
    <w:rsid w:val="00C50459"/>
    <w:rsid w:val="00C5059B"/>
    <w:rsid w:val="00C50671"/>
    <w:rsid w:val="00C506D4"/>
    <w:rsid w:val="00C5083D"/>
    <w:rsid w:val="00C50896"/>
    <w:rsid w:val="00C50952"/>
    <w:rsid w:val="00C50985"/>
    <w:rsid w:val="00C50AC6"/>
    <w:rsid w:val="00C50BCC"/>
    <w:rsid w:val="00C50BE8"/>
    <w:rsid w:val="00C50BEA"/>
    <w:rsid w:val="00C50C90"/>
    <w:rsid w:val="00C50CBC"/>
    <w:rsid w:val="00C50D19"/>
    <w:rsid w:val="00C50D72"/>
    <w:rsid w:val="00C50D94"/>
    <w:rsid w:val="00C50D9F"/>
    <w:rsid w:val="00C50DC1"/>
    <w:rsid w:val="00C50E17"/>
    <w:rsid w:val="00C50E33"/>
    <w:rsid w:val="00C50EC4"/>
    <w:rsid w:val="00C50FC2"/>
    <w:rsid w:val="00C50FFF"/>
    <w:rsid w:val="00C51005"/>
    <w:rsid w:val="00C5102D"/>
    <w:rsid w:val="00C51161"/>
    <w:rsid w:val="00C51178"/>
    <w:rsid w:val="00C5127F"/>
    <w:rsid w:val="00C5137E"/>
    <w:rsid w:val="00C513A8"/>
    <w:rsid w:val="00C5156C"/>
    <w:rsid w:val="00C51636"/>
    <w:rsid w:val="00C5181B"/>
    <w:rsid w:val="00C51862"/>
    <w:rsid w:val="00C518CF"/>
    <w:rsid w:val="00C5195C"/>
    <w:rsid w:val="00C51A07"/>
    <w:rsid w:val="00C51AFB"/>
    <w:rsid w:val="00C51C4D"/>
    <w:rsid w:val="00C51C63"/>
    <w:rsid w:val="00C51DB3"/>
    <w:rsid w:val="00C51DBD"/>
    <w:rsid w:val="00C51DDA"/>
    <w:rsid w:val="00C51E41"/>
    <w:rsid w:val="00C52093"/>
    <w:rsid w:val="00C52120"/>
    <w:rsid w:val="00C521ED"/>
    <w:rsid w:val="00C52251"/>
    <w:rsid w:val="00C52308"/>
    <w:rsid w:val="00C52387"/>
    <w:rsid w:val="00C52388"/>
    <w:rsid w:val="00C523F1"/>
    <w:rsid w:val="00C523F8"/>
    <w:rsid w:val="00C52435"/>
    <w:rsid w:val="00C5260D"/>
    <w:rsid w:val="00C52622"/>
    <w:rsid w:val="00C526A3"/>
    <w:rsid w:val="00C52879"/>
    <w:rsid w:val="00C52E26"/>
    <w:rsid w:val="00C52E4E"/>
    <w:rsid w:val="00C52EF6"/>
    <w:rsid w:val="00C52F33"/>
    <w:rsid w:val="00C52F97"/>
    <w:rsid w:val="00C5309C"/>
    <w:rsid w:val="00C531F9"/>
    <w:rsid w:val="00C5339C"/>
    <w:rsid w:val="00C533F9"/>
    <w:rsid w:val="00C53546"/>
    <w:rsid w:val="00C5357C"/>
    <w:rsid w:val="00C53586"/>
    <w:rsid w:val="00C537D5"/>
    <w:rsid w:val="00C53857"/>
    <w:rsid w:val="00C538D7"/>
    <w:rsid w:val="00C539A6"/>
    <w:rsid w:val="00C539EA"/>
    <w:rsid w:val="00C53C00"/>
    <w:rsid w:val="00C53C34"/>
    <w:rsid w:val="00C53C3D"/>
    <w:rsid w:val="00C53CA3"/>
    <w:rsid w:val="00C53FB6"/>
    <w:rsid w:val="00C53FD5"/>
    <w:rsid w:val="00C53FD6"/>
    <w:rsid w:val="00C53FDC"/>
    <w:rsid w:val="00C54026"/>
    <w:rsid w:val="00C5405D"/>
    <w:rsid w:val="00C54182"/>
    <w:rsid w:val="00C541AA"/>
    <w:rsid w:val="00C54216"/>
    <w:rsid w:val="00C54249"/>
    <w:rsid w:val="00C542F9"/>
    <w:rsid w:val="00C543C8"/>
    <w:rsid w:val="00C5443F"/>
    <w:rsid w:val="00C5450B"/>
    <w:rsid w:val="00C54527"/>
    <w:rsid w:val="00C5458F"/>
    <w:rsid w:val="00C545A5"/>
    <w:rsid w:val="00C54676"/>
    <w:rsid w:val="00C546E0"/>
    <w:rsid w:val="00C5471B"/>
    <w:rsid w:val="00C547D0"/>
    <w:rsid w:val="00C548AB"/>
    <w:rsid w:val="00C54964"/>
    <w:rsid w:val="00C549BB"/>
    <w:rsid w:val="00C54A0B"/>
    <w:rsid w:val="00C54A18"/>
    <w:rsid w:val="00C54A1E"/>
    <w:rsid w:val="00C54AC0"/>
    <w:rsid w:val="00C54C0E"/>
    <w:rsid w:val="00C54C98"/>
    <w:rsid w:val="00C54DC3"/>
    <w:rsid w:val="00C54E3A"/>
    <w:rsid w:val="00C550D8"/>
    <w:rsid w:val="00C5512E"/>
    <w:rsid w:val="00C5516F"/>
    <w:rsid w:val="00C55290"/>
    <w:rsid w:val="00C5557A"/>
    <w:rsid w:val="00C555F5"/>
    <w:rsid w:val="00C55628"/>
    <w:rsid w:val="00C556DE"/>
    <w:rsid w:val="00C55904"/>
    <w:rsid w:val="00C55943"/>
    <w:rsid w:val="00C5594D"/>
    <w:rsid w:val="00C5596E"/>
    <w:rsid w:val="00C55987"/>
    <w:rsid w:val="00C55999"/>
    <w:rsid w:val="00C55B8B"/>
    <w:rsid w:val="00C55BCA"/>
    <w:rsid w:val="00C55CA5"/>
    <w:rsid w:val="00C55CEB"/>
    <w:rsid w:val="00C55DC8"/>
    <w:rsid w:val="00C55ED5"/>
    <w:rsid w:val="00C55F65"/>
    <w:rsid w:val="00C55F6D"/>
    <w:rsid w:val="00C55F71"/>
    <w:rsid w:val="00C55FFA"/>
    <w:rsid w:val="00C56114"/>
    <w:rsid w:val="00C56132"/>
    <w:rsid w:val="00C56155"/>
    <w:rsid w:val="00C5616C"/>
    <w:rsid w:val="00C56319"/>
    <w:rsid w:val="00C564E4"/>
    <w:rsid w:val="00C56682"/>
    <w:rsid w:val="00C566DB"/>
    <w:rsid w:val="00C56749"/>
    <w:rsid w:val="00C568A3"/>
    <w:rsid w:val="00C56956"/>
    <w:rsid w:val="00C56A2B"/>
    <w:rsid w:val="00C56B3C"/>
    <w:rsid w:val="00C56B61"/>
    <w:rsid w:val="00C56B96"/>
    <w:rsid w:val="00C56C55"/>
    <w:rsid w:val="00C56CA4"/>
    <w:rsid w:val="00C56E29"/>
    <w:rsid w:val="00C57197"/>
    <w:rsid w:val="00C5720B"/>
    <w:rsid w:val="00C572C5"/>
    <w:rsid w:val="00C57329"/>
    <w:rsid w:val="00C573C5"/>
    <w:rsid w:val="00C57439"/>
    <w:rsid w:val="00C5750F"/>
    <w:rsid w:val="00C575B8"/>
    <w:rsid w:val="00C5766D"/>
    <w:rsid w:val="00C57774"/>
    <w:rsid w:val="00C577D6"/>
    <w:rsid w:val="00C577EF"/>
    <w:rsid w:val="00C5788F"/>
    <w:rsid w:val="00C578F3"/>
    <w:rsid w:val="00C57A88"/>
    <w:rsid w:val="00C57B1A"/>
    <w:rsid w:val="00C57C1D"/>
    <w:rsid w:val="00C57C39"/>
    <w:rsid w:val="00C57D9F"/>
    <w:rsid w:val="00C57DC9"/>
    <w:rsid w:val="00C57DD1"/>
    <w:rsid w:val="00C57DE3"/>
    <w:rsid w:val="00C57E0B"/>
    <w:rsid w:val="00C60130"/>
    <w:rsid w:val="00C60195"/>
    <w:rsid w:val="00C601D3"/>
    <w:rsid w:val="00C603E9"/>
    <w:rsid w:val="00C604D3"/>
    <w:rsid w:val="00C6057A"/>
    <w:rsid w:val="00C60628"/>
    <w:rsid w:val="00C6062F"/>
    <w:rsid w:val="00C60654"/>
    <w:rsid w:val="00C607DE"/>
    <w:rsid w:val="00C60842"/>
    <w:rsid w:val="00C608ED"/>
    <w:rsid w:val="00C60A75"/>
    <w:rsid w:val="00C60AC1"/>
    <w:rsid w:val="00C60BFA"/>
    <w:rsid w:val="00C60C38"/>
    <w:rsid w:val="00C60C4D"/>
    <w:rsid w:val="00C60C5D"/>
    <w:rsid w:val="00C60C7F"/>
    <w:rsid w:val="00C60E1F"/>
    <w:rsid w:val="00C60E51"/>
    <w:rsid w:val="00C60F05"/>
    <w:rsid w:val="00C61009"/>
    <w:rsid w:val="00C61087"/>
    <w:rsid w:val="00C61107"/>
    <w:rsid w:val="00C61179"/>
    <w:rsid w:val="00C6133D"/>
    <w:rsid w:val="00C61598"/>
    <w:rsid w:val="00C61833"/>
    <w:rsid w:val="00C61853"/>
    <w:rsid w:val="00C61866"/>
    <w:rsid w:val="00C6199A"/>
    <w:rsid w:val="00C619A5"/>
    <w:rsid w:val="00C61AF6"/>
    <w:rsid w:val="00C61DD8"/>
    <w:rsid w:val="00C61E56"/>
    <w:rsid w:val="00C61E69"/>
    <w:rsid w:val="00C61ED2"/>
    <w:rsid w:val="00C61F0E"/>
    <w:rsid w:val="00C61FD3"/>
    <w:rsid w:val="00C62057"/>
    <w:rsid w:val="00C6205C"/>
    <w:rsid w:val="00C6206F"/>
    <w:rsid w:val="00C62145"/>
    <w:rsid w:val="00C62189"/>
    <w:rsid w:val="00C62267"/>
    <w:rsid w:val="00C622A0"/>
    <w:rsid w:val="00C6248C"/>
    <w:rsid w:val="00C625BB"/>
    <w:rsid w:val="00C62607"/>
    <w:rsid w:val="00C626E0"/>
    <w:rsid w:val="00C62705"/>
    <w:rsid w:val="00C62713"/>
    <w:rsid w:val="00C6274E"/>
    <w:rsid w:val="00C627B3"/>
    <w:rsid w:val="00C627BB"/>
    <w:rsid w:val="00C627D5"/>
    <w:rsid w:val="00C62A80"/>
    <w:rsid w:val="00C62AC8"/>
    <w:rsid w:val="00C62AD9"/>
    <w:rsid w:val="00C62B65"/>
    <w:rsid w:val="00C62C12"/>
    <w:rsid w:val="00C62D93"/>
    <w:rsid w:val="00C62DFE"/>
    <w:rsid w:val="00C62DFF"/>
    <w:rsid w:val="00C62E62"/>
    <w:rsid w:val="00C62E92"/>
    <w:rsid w:val="00C62FCA"/>
    <w:rsid w:val="00C63078"/>
    <w:rsid w:val="00C630AE"/>
    <w:rsid w:val="00C630D7"/>
    <w:rsid w:val="00C630E3"/>
    <w:rsid w:val="00C63369"/>
    <w:rsid w:val="00C633DF"/>
    <w:rsid w:val="00C6342F"/>
    <w:rsid w:val="00C63533"/>
    <w:rsid w:val="00C636E8"/>
    <w:rsid w:val="00C6378D"/>
    <w:rsid w:val="00C637A4"/>
    <w:rsid w:val="00C637CD"/>
    <w:rsid w:val="00C63A69"/>
    <w:rsid w:val="00C63CA7"/>
    <w:rsid w:val="00C63E99"/>
    <w:rsid w:val="00C63FBC"/>
    <w:rsid w:val="00C642C9"/>
    <w:rsid w:val="00C6432E"/>
    <w:rsid w:val="00C64434"/>
    <w:rsid w:val="00C64451"/>
    <w:rsid w:val="00C6454F"/>
    <w:rsid w:val="00C64644"/>
    <w:rsid w:val="00C646B5"/>
    <w:rsid w:val="00C646C7"/>
    <w:rsid w:val="00C6478D"/>
    <w:rsid w:val="00C6479B"/>
    <w:rsid w:val="00C647AF"/>
    <w:rsid w:val="00C647F1"/>
    <w:rsid w:val="00C64801"/>
    <w:rsid w:val="00C649A4"/>
    <w:rsid w:val="00C64B14"/>
    <w:rsid w:val="00C64C4E"/>
    <w:rsid w:val="00C64D63"/>
    <w:rsid w:val="00C64DD8"/>
    <w:rsid w:val="00C64E37"/>
    <w:rsid w:val="00C64E72"/>
    <w:rsid w:val="00C64F0F"/>
    <w:rsid w:val="00C6506A"/>
    <w:rsid w:val="00C650A2"/>
    <w:rsid w:val="00C650A3"/>
    <w:rsid w:val="00C650B0"/>
    <w:rsid w:val="00C65102"/>
    <w:rsid w:val="00C6514C"/>
    <w:rsid w:val="00C65368"/>
    <w:rsid w:val="00C65373"/>
    <w:rsid w:val="00C6545A"/>
    <w:rsid w:val="00C65470"/>
    <w:rsid w:val="00C654C4"/>
    <w:rsid w:val="00C655AC"/>
    <w:rsid w:val="00C6578A"/>
    <w:rsid w:val="00C657B7"/>
    <w:rsid w:val="00C65801"/>
    <w:rsid w:val="00C65858"/>
    <w:rsid w:val="00C65891"/>
    <w:rsid w:val="00C658BA"/>
    <w:rsid w:val="00C658D6"/>
    <w:rsid w:val="00C658F3"/>
    <w:rsid w:val="00C65915"/>
    <w:rsid w:val="00C6591F"/>
    <w:rsid w:val="00C65A52"/>
    <w:rsid w:val="00C65A9E"/>
    <w:rsid w:val="00C65AD5"/>
    <w:rsid w:val="00C65B31"/>
    <w:rsid w:val="00C65BAE"/>
    <w:rsid w:val="00C65C39"/>
    <w:rsid w:val="00C65CCD"/>
    <w:rsid w:val="00C65D1B"/>
    <w:rsid w:val="00C65E2A"/>
    <w:rsid w:val="00C65E70"/>
    <w:rsid w:val="00C65ECD"/>
    <w:rsid w:val="00C65F21"/>
    <w:rsid w:val="00C65F5A"/>
    <w:rsid w:val="00C66140"/>
    <w:rsid w:val="00C66191"/>
    <w:rsid w:val="00C6619A"/>
    <w:rsid w:val="00C66201"/>
    <w:rsid w:val="00C66308"/>
    <w:rsid w:val="00C66417"/>
    <w:rsid w:val="00C66468"/>
    <w:rsid w:val="00C665F7"/>
    <w:rsid w:val="00C666B9"/>
    <w:rsid w:val="00C667A8"/>
    <w:rsid w:val="00C667DA"/>
    <w:rsid w:val="00C667E4"/>
    <w:rsid w:val="00C66812"/>
    <w:rsid w:val="00C668A0"/>
    <w:rsid w:val="00C66956"/>
    <w:rsid w:val="00C6695A"/>
    <w:rsid w:val="00C669B1"/>
    <w:rsid w:val="00C669F4"/>
    <w:rsid w:val="00C669F8"/>
    <w:rsid w:val="00C66A30"/>
    <w:rsid w:val="00C66AFC"/>
    <w:rsid w:val="00C66B1C"/>
    <w:rsid w:val="00C66C46"/>
    <w:rsid w:val="00C66C64"/>
    <w:rsid w:val="00C66C80"/>
    <w:rsid w:val="00C66DC8"/>
    <w:rsid w:val="00C66E86"/>
    <w:rsid w:val="00C66EEF"/>
    <w:rsid w:val="00C67267"/>
    <w:rsid w:val="00C67383"/>
    <w:rsid w:val="00C674C7"/>
    <w:rsid w:val="00C67529"/>
    <w:rsid w:val="00C6757A"/>
    <w:rsid w:val="00C678B7"/>
    <w:rsid w:val="00C679EF"/>
    <w:rsid w:val="00C67A31"/>
    <w:rsid w:val="00C67A5B"/>
    <w:rsid w:val="00C67A7D"/>
    <w:rsid w:val="00C67AC9"/>
    <w:rsid w:val="00C67B17"/>
    <w:rsid w:val="00C67B6F"/>
    <w:rsid w:val="00C67B9D"/>
    <w:rsid w:val="00C67D1F"/>
    <w:rsid w:val="00C67D98"/>
    <w:rsid w:val="00C67E68"/>
    <w:rsid w:val="00C7001D"/>
    <w:rsid w:val="00C7002F"/>
    <w:rsid w:val="00C700A9"/>
    <w:rsid w:val="00C700B3"/>
    <w:rsid w:val="00C70118"/>
    <w:rsid w:val="00C701C1"/>
    <w:rsid w:val="00C70242"/>
    <w:rsid w:val="00C70287"/>
    <w:rsid w:val="00C702F2"/>
    <w:rsid w:val="00C70381"/>
    <w:rsid w:val="00C70498"/>
    <w:rsid w:val="00C705D0"/>
    <w:rsid w:val="00C705DB"/>
    <w:rsid w:val="00C70619"/>
    <w:rsid w:val="00C70650"/>
    <w:rsid w:val="00C70679"/>
    <w:rsid w:val="00C706B3"/>
    <w:rsid w:val="00C707B2"/>
    <w:rsid w:val="00C70A5B"/>
    <w:rsid w:val="00C70FE1"/>
    <w:rsid w:val="00C7100D"/>
    <w:rsid w:val="00C7101A"/>
    <w:rsid w:val="00C71153"/>
    <w:rsid w:val="00C71216"/>
    <w:rsid w:val="00C71225"/>
    <w:rsid w:val="00C71229"/>
    <w:rsid w:val="00C71275"/>
    <w:rsid w:val="00C712D4"/>
    <w:rsid w:val="00C7130C"/>
    <w:rsid w:val="00C7136F"/>
    <w:rsid w:val="00C713E2"/>
    <w:rsid w:val="00C71447"/>
    <w:rsid w:val="00C71490"/>
    <w:rsid w:val="00C714A8"/>
    <w:rsid w:val="00C714DC"/>
    <w:rsid w:val="00C71556"/>
    <w:rsid w:val="00C715A2"/>
    <w:rsid w:val="00C715CC"/>
    <w:rsid w:val="00C717CE"/>
    <w:rsid w:val="00C717E6"/>
    <w:rsid w:val="00C71854"/>
    <w:rsid w:val="00C71886"/>
    <w:rsid w:val="00C71941"/>
    <w:rsid w:val="00C71A3D"/>
    <w:rsid w:val="00C71AA8"/>
    <w:rsid w:val="00C71C9E"/>
    <w:rsid w:val="00C71E53"/>
    <w:rsid w:val="00C71E59"/>
    <w:rsid w:val="00C71F47"/>
    <w:rsid w:val="00C71F66"/>
    <w:rsid w:val="00C72017"/>
    <w:rsid w:val="00C72033"/>
    <w:rsid w:val="00C7203B"/>
    <w:rsid w:val="00C72041"/>
    <w:rsid w:val="00C72095"/>
    <w:rsid w:val="00C720FF"/>
    <w:rsid w:val="00C7213D"/>
    <w:rsid w:val="00C72299"/>
    <w:rsid w:val="00C723C9"/>
    <w:rsid w:val="00C72423"/>
    <w:rsid w:val="00C7249C"/>
    <w:rsid w:val="00C7252B"/>
    <w:rsid w:val="00C725FD"/>
    <w:rsid w:val="00C72754"/>
    <w:rsid w:val="00C727CD"/>
    <w:rsid w:val="00C72839"/>
    <w:rsid w:val="00C72848"/>
    <w:rsid w:val="00C728DE"/>
    <w:rsid w:val="00C728E7"/>
    <w:rsid w:val="00C72925"/>
    <w:rsid w:val="00C72A2F"/>
    <w:rsid w:val="00C72A33"/>
    <w:rsid w:val="00C72C11"/>
    <w:rsid w:val="00C72C37"/>
    <w:rsid w:val="00C72CBB"/>
    <w:rsid w:val="00C72D76"/>
    <w:rsid w:val="00C72DC4"/>
    <w:rsid w:val="00C72DC7"/>
    <w:rsid w:val="00C72E29"/>
    <w:rsid w:val="00C72FF6"/>
    <w:rsid w:val="00C7308B"/>
    <w:rsid w:val="00C730F5"/>
    <w:rsid w:val="00C731BE"/>
    <w:rsid w:val="00C731E8"/>
    <w:rsid w:val="00C73352"/>
    <w:rsid w:val="00C73420"/>
    <w:rsid w:val="00C734B3"/>
    <w:rsid w:val="00C734DD"/>
    <w:rsid w:val="00C73503"/>
    <w:rsid w:val="00C7362C"/>
    <w:rsid w:val="00C73631"/>
    <w:rsid w:val="00C73695"/>
    <w:rsid w:val="00C73840"/>
    <w:rsid w:val="00C7386A"/>
    <w:rsid w:val="00C7386D"/>
    <w:rsid w:val="00C7399E"/>
    <w:rsid w:val="00C73A42"/>
    <w:rsid w:val="00C73B29"/>
    <w:rsid w:val="00C73B75"/>
    <w:rsid w:val="00C73B9C"/>
    <w:rsid w:val="00C73BCB"/>
    <w:rsid w:val="00C73BE5"/>
    <w:rsid w:val="00C73C59"/>
    <w:rsid w:val="00C73C63"/>
    <w:rsid w:val="00C73D0D"/>
    <w:rsid w:val="00C73D8F"/>
    <w:rsid w:val="00C73DCC"/>
    <w:rsid w:val="00C73DEA"/>
    <w:rsid w:val="00C73EB7"/>
    <w:rsid w:val="00C73F56"/>
    <w:rsid w:val="00C74104"/>
    <w:rsid w:val="00C7417F"/>
    <w:rsid w:val="00C74195"/>
    <w:rsid w:val="00C7424A"/>
    <w:rsid w:val="00C74334"/>
    <w:rsid w:val="00C743FE"/>
    <w:rsid w:val="00C744BF"/>
    <w:rsid w:val="00C74664"/>
    <w:rsid w:val="00C746BB"/>
    <w:rsid w:val="00C74722"/>
    <w:rsid w:val="00C74743"/>
    <w:rsid w:val="00C748EA"/>
    <w:rsid w:val="00C748F7"/>
    <w:rsid w:val="00C74A30"/>
    <w:rsid w:val="00C74A9B"/>
    <w:rsid w:val="00C74B69"/>
    <w:rsid w:val="00C74CE3"/>
    <w:rsid w:val="00C74CED"/>
    <w:rsid w:val="00C74D92"/>
    <w:rsid w:val="00C74DEA"/>
    <w:rsid w:val="00C751CA"/>
    <w:rsid w:val="00C75380"/>
    <w:rsid w:val="00C755E4"/>
    <w:rsid w:val="00C75657"/>
    <w:rsid w:val="00C75714"/>
    <w:rsid w:val="00C757F7"/>
    <w:rsid w:val="00C758F2"/>
    <w:rsid w:val="00C75A0F"/>
    <w:rsid w:val="00C75A18"/>
    <w:rsid w:val="00C75C41"/>
    <w:rsid w:val="00C75D13"/>
    <w:rsid w:val="00C75D49"/>
    <w:rsid w:val="00C75DCD"/>
    <w:rsid w:val="00C75F90"/>
    <w:rsid w:val="00C75FE5"/>
    <w:rsid w:val="00C76059"/>
    <w:rsid w:val="00C76076"/>
    <w:rsid w:val="00C7610A"/>
    <w:rsid w:val="00C7644E"/>
    <w:rsid w:val="00C76488"/>
    <w:rsid w:val="00C765A6"/>
    <w:rsid w:val="00C766B2"/>
    <w:rsid w:val="00C76A91"/>
    <w:rsid w:val="00C76AD4"/>
    <w:rsid w:val="00C76AF2"/>
    <w:rsid w:val="00C76B13"/>
    <w:rsid w:val="00C76B92"/>
    <w:rsid w:val="00C76C0C"/>
    <w:rsid w:val="00C76C95"/>
    <w:rsid w:val="00C76D67"/>
    <w:rsid w:val="00C76E6B"/>
    <w:rsid w:val="00C76EDA"/>
    <w:rsid w:val="00C76F45"/>
    <w:rsid w:val="00C76F82"/>
    <w:rsid w:val="00C76FE7"/>
    <w:rsid w:val="00C77032"/>
    <w:rsid w:val="00C7705B"/>
    <w:rsid w:val="00C7708F"/>
    <w:rsid w:val="00C770BE"/>
    <w:rsid w:val="00C77304"/>
    <w:rsid w:val="00C773D3"/>
    <w:rsid w:val="00C77446"/>
    <w:rsid w:val="00C775CB"/>
    <w:rsid w:val="00C77670"/>
    <w:rsid w:val="00C77720"/>
    <w:rsid w:val="00C779DC"/>
    <w:rsid w:val="00C779FA"/>
    <w:rsid w:val="00C77A6B"/>
    <w:rsid w:val="00C77A89"/>
    <w:rsid w:val="00C77A8C"/>
    <w:rsid w:val="00C77AA8"/>
    <w:rsid w:val="00C77B17"/>
    <w:rsid w:val="00C77B4A"/>
    <w:rsid w:val="00C77B5E"/>
    <w:rsid w:val="00C77B98"/>
    <w:rsid w:val="00C77B9A"/>
    <w:rsid w:val="00C77BCA"/>
    <w:rsid w:val="00C77BCD"/>
    <w:rsid w:val="00C77C96"/>
    <w:rsid w:val="00C77D71"/>
    <w:rsid w:val="00C77DDD"/>
    <w:rsid w:val="00C77E33"/>
    <w:rsid w:val="00C77E46"/>
    <w:rsid w:val="00C77E65"/>
    <w:rsid w:val="00C77ECC"/>
    <w:rsid w:val="00C77F44"/>
    <w:rsid w:val="00C77F9F"/>
    <w:rsid w:val="00C800DE"/>
    <w:rsid w:val="00C80353"/>
    <w:rsid w:val="00C803D3"/>
    <w:rsid w:val="00C80427"/>
    <w:rsid w:val="00C80435"/>
    <w:rsid w:val="00C804CE"/>
    <w:rsid w:val="00C8062F"/>
    <w:rsid w:val="00C8069A"/>
    <w:rsid w:val="00C806A3"/>
    <w:rsid w:val="00C806F2"/>
    <w:rsid w:val="00C80930"/>
    <w:rsid w:val="00C80A0F"/>
    <w:rsid w:val="00C80A4B"/>
    <w:rsid w:val="00C80A65"/>
    <w:rsid w:val="00C80ADF"/>
    <w:rsid w:val="00C80B0A"/>
    <w:rsid w:val="00C80B6D"/>
    <w:rsid w:val="00C80BAC"/>
    <w:rsid w:val="00C80D4B"/>
    <w:rsid w:val="00C80DE5"/>
    <w:rsid w:val="00C80E31"/>
    <w:rsid w:val="00C80F99"/>
    <w:rsid w:val="00C80FFD"/>
    <w:rsid w:val="00C810B6"/>
    <w:rsid w:val="00C810FB"/>
    <w:rsid w:val="00C81210"/>
    <w:rsid w:val="00C8128E"/>
    <w:rsid w:val="00C81335"/>
    <w:rsid w:val="00C81379"/>
    <w:rsid w:val="00C814C8"/>
    <w:rsid w:val="00C8152C"/>
    <w:rsid w:val="00C815DC"/>
    <w:rsid w:val="00C81643"/>
    <w:rsid w:val="00C816D2"/>
    <w:rsid w:val="00C81797"/>
    <w:rsid w:val="00C81839"/>
    <w:rsid w:val="00C81880"/>
    <w:rsid w:val="00C81983"/>
    <w:rsid w:val="00C819B5"/>
    <w:rsid w:val="00C81A69"/>
    <w:rsid w:val="00C81A6F"/>
    <w:rsid w:val="00C81AA4"/>
    <w:rsid w:val="00C81B3F"/>
    <w:rsid w:val="00C81BBC"/>
    <w:rsid w:val="00C81BF5"/>
    <w:rsid w:val="00C81C9F"/>
    <w:rsid w:val="00C81D1B"/>
    <w:rsid w:val="00C81DCD"/>
    <w:rsid w:val="00C81F15"/>
    <w:rsid w:val="00C81F35"/>
    <w:rsid w:val="00C82082"/>
    <w:rsid w:val="00C820A6"/>
    <w:rsid w:val="00C82113"/>
    <w:rsid w:val="00C82127"/>
    <w:rsid w:val="00C821DC"/>
    <w:rsid w:val="00C8222A"/>
    <w:rsid w:val="00C82253"/>
    <w:rsid w:val="00C82265"/>
    <w:rsid w:val="00C822EC"/>
    <w:rsid w:val="00C82321"/>
    <w:rsid w:val="00C823EB"/>
    <w:rsid w:val="00C82411"/>
    <w:rsid w:val="00C8254A"/>
    <w:rsid w:val="00C8269C"/>
    <w:rsid w:val="00C826E2"/>
    <w:rsid w:val="00C8272B"/>
    <w:rsid w:val="00C8275B"/>
    <w:rsid w:val="00C8276C"/>
    <w:rsid w:val="00C827E5"/>
    <w:rsid w:val="00C82804"/>
    <w:rsid w:val="00C82837"/>
    <w:rsid w:val="00C82907"/>
    <w:rsid w:val="00C829F6"/>
    <w:rsid w:val="00C82A0A"/>
    <w:rsid w:val="00C82CEB"/>
    <w:rsid w:val="00C82E23"/>
    <w:rsid w:val="00C82EEE"/>
    <w:rsid w:val="00C8308C"/>
    <w:rsid w:val="00C832A5"/>
    <w:rsid w:val="00C832BB"/>
    <w:rsid w:val="00C835A3"/>
    <w:rsid w:val="00C835FE"/>
    <w:rsid w:val="00C83739"/>
    <w:rsid w:val="00C837AA"/>
    <w:rsid w:val="00C837C8"/>
    <w:rsid w:val="00C837DE"/>
    <w:rsid w:val="00C83850"/>
    <w:rsid w:val="00C838A7"/>
    <w:rsid w:val="00C838C2"/>
    <w:rsid w:val="00C838E2"/>
    <w:rsid w:val="00C839F3"/>
    <w:rsid w:val="00C83A09"/>
    <w:rsid w:val="00C83A15"/>
    <w:rsid w:val="00C83A95"/>
    <w:rsid w:val="00C83AB3"/>
    <w:rsid w:val="00C83B89"/>
    <w:rsid w:val="00C83C91"/>
    <w:rsid w:val="00C83C9A"/>
    <w:rsid w:val="00C83DAC"/>
    <w:rsid w:val="00C83E7C"/>
    <w:rsid w:val="00C83E94"/>
    <w:rsid w:val="00C83EDC"/>
    <w:rsid w:val="00C83F78"/>
    <w:rsid w:val="00C8405A"/>
    <w:rsid w:val="00C8405E"/>
    <w:rsid w:val="00C8422A"/>
    <w:rsid w:val="00C8428A"/>
    <w:rsid w:val="00C842CF"/>
    <w:rsid w:val="00C842DC"/>
    <w:rsid w:val="00C844FA"/>
    <w:rsid w:val="00C845B2"/>
    <w:rsid w:val="00C846E6"/>
    <w:rsid w:val="00C8474F"/>
    <w:rsid w:val="00C84798"/>
    <w:rsid w:val="00C84814"/>
    <w:rsid w:val="00C8493E"/>
    <w:rsid w:val="00C849AD"/>
    <w:rsid w:val="00C84A90"/>
    <w:rsid w:val="00C84ABD"/>
    <w:rsid w:val="00C84AC2"/>
    <w:rsid w:val="00C84C26"/>
    <w:rsid w:val="00C84D36"/>
    <w:rsid w:val="00C84DC0"/>
    <w:rsid w:val="00C84E20"/>
    <w:rsid w:val="00C84ED7"/>
    <w:rsid w:val="00C84F24"/>
    <w:rsid w:val="00C84F5B"/>
    <w:rsid w:val="00C85001"/>
    <w:rsid w:val="00C85018"/>
    <w:rsid w:val="00C850BB"/>
    <w:rsid w:val="00C850DC"/>
    <w:rsid w:val="00C852FA"/>
    <w:rsid w:val="00C85318"/>
    <w:rsid w:val="00C85371"/>
    <w:rsid w:val="00C853DF"/>
    <w:rsid w:val="00C85416"/>
    <w:rsid w:val="00C8563E"/>
    <w:rsid w:val="00C858EE"/>
    <w:rsid w:val="00C85907"/>
    <w:rsid w:val="00C85A94"/>
    <w:rsid w:val="00C85AAF"/>
    <w:rsid w:val="00C85B54"/>
    <w:rsid w:val="00C85BA2"/>
    <w:rsid w:val="00C85BBF"/>
    <w:rsid w:val="00C85CA6"/>
    <w:rsid w:val="00C85CF0"/>
    <w:rsid w:val="00C85E1E"/>
    <w:rsid w:val="00C85E85"/>
    <w:rsid w:val="00C85FEE"/>
    <w:rsid w:val="00C86107"/>
    <w:rsid w:val="00C86143"/>
    <w:rsid w:val="00C8625F"/>
    <w:rsid w:val="00C86296"/>
    <w:rsid w:val="00C862B0"/>
    <w:rsid w:val="00C8633B"/>
    <w:rsid w:val="00C8640C"/>
    <w:rsid w:val="00C86532"/>
    <w:rsid w:val="00C8659E"/>
    <w:rsid w:val="00C865D2"/>
    <w:rsid w:val="00C86634"/>
    <w:rsid w:val="00C86737"/>
    <w:rsid w:val="00C86833"/>
    <w:rsid w:val="00C86976"/>
    <w:rsid w:val="00C86A48"/>
    <w:rsid w:val="00C86A7F"/>
    <w:rsid w:val="00C86A86"/>
    <w:rsid w:val="00C86AD2"/>
    <w:rsid w:val="00C86B1B"/>
    <w:rsid w:val="00C86BAC"/>
    <w:rsid w:val="00C86C1E"/>
    <w:rsid w:val="00C86C9C"/>
    <w:rsid w:val="00C86CED"/>
    <w:rsid w:val="00C86D49"/>
    <w:rsid w:val="00C86ED1"/>
    <w:rsid w:val="00C86F4C"/>
    <w:rsid w:val="00C8709B"/>
    <w:rsid w:val="00C8710E"/>
    <w:rsid w:val="00C87116"/>
    <w:rsid w:val="00C8737A"/>
    <w:rsid w:val="00C87387"/>
    <w:rsid w:val="00C873CB"/>
    <w:rsid w:val="00C874B6"/>
    <w:rsid w:val="00C875DB"/>
    <w:rsid w:val="00C87800"/>
    <w:rsid w:val="00C87886"/>
    <w:rsid w:val="00C87915"/>
    <w:rsid w:val="00C87AA5"/>
    <w:rsid w:val="00C87D01"/>
    <w:rsid w:val="00C87F06"/>
    <w:rsid w:val="00C87FA4"/>
    <w:rsid w:val="00C87FE7"/>
    <w:rsid w:val="00C900EE"/>
    <w:rsid w:val="00C901A5"/>
    <w:rsid w:val="00C901B1"/>
    <w:rsid w:val="00C901F5"/>
    <w:rsid w:val="00C902D0"/>
    <w:rsid w:val="00C903FE"/>
    <w:rsid w:val="00C904C9"/>
    <w:rsid w:val="00C90550"/>
    <w:rsid w:val="00C90643"/>
    <w:rsid w:val="00C9075E"/>
    <w:rsid w:val="00C9078C"/>
    <w:rsid w:val="00C908DF"/>
    <w:rsid w:val="00C909AF"/>
    <w:rsid w:val="00C90A7C"/>
    <w:rsid w:val="00C90A82"/>
    <w:rsid w:val="00C90B60"/>
    <w:rsid w:val="00C90BE8"/>
    <w:rsid w:val="00C90CAE"/>
    <w:rsid w:val="00C90DE3"/>
    <w:rsid w:val="00C90E53"/>
    <w:rsid w:val="00C90FE4"/>
    <w:rsid w:val="00C90FE8"/>
    <w:rsid w:val="00C90FF0"/>
    <w:rsid w:val="00C9118B"/>
    <w:rsid w:val="00C911DB"/>
    <w:rsid w:val="00C91275"/>
    <w:rsid w:val="00C91350"/>
    <w:rsid w:val="00C91371"/>
    <w:rsid w:val="00C9141E"/>
    <w:rsid w:val="00C914C3"/>
    <w:rsid w:val="00C91521"/>
    <w:rsid w:val="00C91579"/>
    <w:rsid w:val="00C91693"/>
    <w:rsid w:val="00C916E4"/>
    <w:rsid w:val="00C9170C"/>
    <w:rsid w:val="00C9171C"/>
    <w:rsid w:val="00C9174E"/>
    <w:rsid w:val="00C91752"/>
    <w:rsid w:val="00C91797"/>
    <w:rsid w:val="00C91A32"/>
    <w:rsid w:val="00C91AB2"/>
    <w:rsid w:val="00C91BF1"/>
    <w:rsid w:val="00C91D39"/>
    <w:rsid w:val="00C91DF1"/>
    <w:rsid w:val="00C91DFC"/>
    <w:rsid w:val="00C91FF3"/>
    <w:rsid w:val="00C920D5"/>
    <w:rsid w:val="00C920FC"/>
    <w:rsid w:val="00C92144"/>
    <w:rsid w:val="00C923C6"/>
    <w:rsid w:val="00C9260B"/>
    <w:rsid w:val="00C92728"/>
    <w:rsid w:val="00C927F7"/>
    <w:rsid w:val="00C928D3"/>
    <w:rsid w:val="00C928E9"/>
    <w:rsid w:val="00C92911"/>
    <w:rsid w:val="00C9292F"/>
    <w:rsid w:val="00C929D2"/>
    <w:rsid w:val="00C92A1A"/>
    <w:rsid w:val="00C92B60"/>
    <w:rsid w:val="00C92B6C"/>
    <w:rsid w:val="00C92B8B"/>
    <w:rsid w:val="00C93010"/>
    <w:rsid w:val="00C9308C"/>
    <w:rsid w:val="00C9318C"/>
    <w:rsid w:val="00C93296"/>
    <w:rsid w:val="00C93351"/>
    <w:rsid w:val="00C933B0"/>
    <w:rsid w:val="00C933CD"/>
    <w:rsid w:val="00C933F6"/>
    <w:rsid w:val="00C93566"/>
    <w:rsid w:val="00C9359B"/>
    <w:rsid w:val="00C93636"/>
    <w:rsid w:val="00C93640"/>
    <w:rsid w:val="00C936B8"/>
    <w:rsid w:val="00C936E1"/>
    <w:rsid w:val="00C93766"/>
    <w:rsid w:val="00C93780"/>
    <w:rsid w:val="00C9383C"/>
    <w:rsid w:val="00C93AA2"/>
    <w:rsid w:val="00C93AD6"/>
    <w:rsid w:val="00C93CC6"/>
    <w:rsid w:val="00C93D74"/>
    <w:rsid w:val="00C93E5F"/>
    <w:rsid w:val="00C93F2E"/>
    <w:rsid w:val="00C93F83"/>
    <w:rsid w:val="00C9403E"/>
    <w:rsid w:val="00C9406B"/>
    <w:rsid w:val="00C94141"/>
    <w:rsid w:val="00C94281"/>
    <w:rsid w:val="00C943EA"/>
    <w:rsid w:val="00C945C6"/>
    <w:rsid w:val="00C946D8"/>
    <w:rsid w:val="00C94713"/>
    <w:rsid w:val="00C94749"/>
    <w:rsid w:val="00C947E2"/>
    <w:rsid w:val="00C94894"/>
    <w:rsid w:val="00C949B4"/>
    <w:rsid w:val="00C949CD"/>
    <w:rsid w:val="00C94B02"/>
    <w:rsid w:val="00C94C43"/>
    <w:rsid w:val="00C94CB2"/>
    <w:rsid w:val="00C94D4C"/>
    <w:rsid w:val="00C94D77"/>
    <w:rsid w:val="00C94DB3"/>
    <w:rsid w:val="00C94E12"/>
    <w:rsid w:val="00C94F3E"/>
    <w:rsid w:val="00C94FD4"/>
    <w:rsid w:val="00C9508B"/>
    <w:rsid w:val="00C95102"/>
    <w:rsid w:val="00C9520C"/>
    <w:rsid w:val="00C95398"/>
    <w:rsid w:val="00C953C0"/>
    <w:rsid w:val="00C954B2"/>
    <w:rsid w:val="00C954E6"/>
    <w:rsid w:val="00C95584"/>
    <w:rsid w:val="00C955CD"/>
    <w:rsid w:val="00C9560E"/>
    <w:rsid w:val="00C95648"/>
    <w:rsid w:val="00C956CA"/>
    <w:rsid w:val="00C956F5"/>
    <w:rsid w:val="00C95720"/>
    <w:rsid w:val="00C9575F"/>
    <w:rsid w:val="00C957BB"/>
    <w:rsid w:val="00C957E9"/>
    <w:rsid w:val="00C95842"/>
    <w:rsid w:val="00C9593B"/>
    <w:rsid w:val="00C95B8C"/>
    <w:rsid w:val="00C95BF4"/>
    <w:rsid w:val="00C95C8F"/>
    <w:rsid w:val="00C95E51"/>
    <w:rsid w:val="00C95E57"/>
    <w:rsid w:val="00C95F02"/>
    <w:rsid w:val="00C95F2B"/>
    <w:rsid w:val="00C96349"/>
    <w:rsid w:val="00C963C3"/>
    <w:rsid w:val="00C963E0"/>
    <w:rsid w:val="00C964F0"/>
    <w:rsid w:val="00C96604"/>
    <w:rsid w:val="00C9664F"/>
    <w:rsid w:val="00C96711"/>
    <w:rsid w:val="00C96716"/>
    <w:rsid w:val="00C9682F"/>
    <w:rsid w:val="00C9697D"/>
    <w:rsid w:val="00C96A73"/>
    <w:rsid w:val="00C96D17"/>
    <w:rsid w:val="00C96D22"/>
    <w:rsid w:val="00C96E19"/>
    <w:rsid w:val="00C96E7E"/>
    <w:rsid w:val="00C96E81"/>
    <w:rsid w:val="00C96F1F"/>
    <w:rsid w:val="00C96F20"/>
    <w:rsid w:val="00C96F79"/>
    <w:rsid w:val="00C970A0"/>
    <w:rsid w:val="00C97194"/>
    <w:rsid w:val="00C971CE"/>
    <w:rsid w:val="00C971E8"/>
    <w:rsid w:val="00C9723B"/>
    <w:rsid w:val="00C97252"/>
    <w:rsid w:val="00C9727E"/>
    <w:rsid w:val="00C972A9"/>
    <w:rsid w:val="00C972BC"/>
    <w:rsid w:val="00C973F8"/>
    <w:rsid w:val="00C9746B"/>
    <w:rsid w:val="00C9759D"/>
    <w:rsid w:val="00C975BA"/>
    <w:rsid w:val="00C976CC"/>
    <w:rsid w:val="00C97700"/>
    <w:rsid w:val="00C97751"/>
    <w:rsid w:val="00C97767"/>
    <w:rsid w:val="00C977B6"/>
    <w:rsid w:val="00C97884"/>
    <w:rsid w:val="00C978AA"/>
    <w:rsid w:val="00C978FF"/>
    <w:rsid w:val="00C97908"/>
    <w:rsid w:val="00C97921"/>
    <w:rsid w:val="00C97965"/>
    <w:rsid w:val="00C979D9"/>
    <w:rsid w:val="00C97AB1"/>
    <w:rsid w:val="00C97B0A"/>
    <w:rsid w:val="00C97B1F"/>
    <w:rsid w:val="00C97CA0"/>
    <w:rsid w:val="00C97CC6"/>
    <w:rsid w:val="00C97D57"/>
    <w:rsid w:val="00C97FBF"/>
    <w:rsid w:val="00CA0057"/>
    <w:rsid w:val="00CA02A2"/>
    <w:rsid w:val="00CA0498"/>
    <w:rsid w:val="00CA0600"/>
    <w:rsid w:val="00CA063A"/>
    <w:rsid w:val="00CA06B4"/>
    <w:rsid w:val="00CA0813"/>
    <w:rsid w:val="00CA0843"/>
    <w:rsid w:val="00CA0849"/>
    <w:rsid w:val="00CA0A38"/>
    <w:rsid w:val="00CA0D1A"/>
    <w:rsid w:val="00CA0E15"/>
    <w:rsid w:val="00CA0E5B"/>
    <w:rsid w:val="00CA0F5E"/>
    <w:rsid w:val="00CA0F60"/>
    <w:rsid w:val="00CA0FBA"/>
    <w:rsid w:val="00CA100C"/>
    <w:rsid w:val="00CA124B"/>
    <w:rsid w:val="00CA13F6"/>
    <w:rsid w:val="00CA141B"/>
    <w:rsid w:val="00CA143E"/>
    <w:rsid w:val="00CA147C"/>
    <w:rsid w:val="00CA15F7"/>
    <w:rsid w:val="00CA16A5"/>
    <w:rsid w:val="00CA16C7"/>
    <w:rsid w:val="00CA16F4"/>
    <w:rsid w:val="00CA192C"/>
    <w:rsid w:val="00CA1CE8"/>
    <w:rsid w:val="00CA1D89"/>
    <w:rsid w:val="00CA1DDF"/>
    <w:rsid w:val="00CA1F55"/>
    <w:rsid w:val="00CA1FA4"/>
    <w:rsid w:val="00CA2021"/>
    <w:rsid w:val="00CA2106"/>
    <w:rsid w:val="00CA210F"/>
    <w:rsid w:val="00CA2159"/>
    <w:rsid w:val="00CA218D"/>
    <w:rsid w:val="00CA21DC"/>
    <w:rsid w:val="00CA248B"/>
    <w:rsid w:val="00CA2548"/>
    <w:rsid w:val="00CA25B9"/>
    <w:rsid w:val="00CA2804"/>
    <w:rsid w:val="00CA28A1"/>
    <w:rsid w:val="00CA2989"/>
    <w:rsid w:val="00CA2A60"/>
    <w:rsid w:val="00CA2A69"/>
    <w:rsid w:val="00CA2B44"/>
    <w:rsid w:val="00CA2C7F"/>
    <w:rsid w:val="00CA2E06"/>
    <w:rsid w:val="00CA2E87"/>
    <w:rsid w:val="00CA2E9F"/>
    <w:rsid w:val="00CA2F7C"/>
    <w:rsid w:val="00CA3005"/>
    <w:rsid w:val="00CA304D"/>
    <w:rsid w:val="00CA30F0"/>
    <w:rsid w:val="00CA318E"/>
    <w:rsid w:val="00CA3363"/>
    <w:rsid w:val="00CA344A"/>
    <w:rsid w:val="00CA3513"/>
    <w:rsid w:val="00CA352C"/>
    <w:rsid w:val="00CA3554"/>
    <w:rsid w:val="00CA36C2"/>
    <w:rsid w:val="00CA3825"/>
    <w:rsid w:val="00CA38AF"/>
    <w:rsid w:val="00CA38C8"/>
    <w:rsid w:val="00CA3955"/>
    <w:rsid w:val="00CA39D9"/>
    <w:rsid w:val="00CA3A2E"/>
    <w:rsid w:val="00CA3AB3"/>
    <w:rsid w:val="00CA3ADE"/>
    <w:rsid w:val="00CA3CBF"/>
    <w:rsid w:val="00CA3CD8"/>
    <w:rsid w:val="00CA3EAB"/>
    <w:rsid w:val="00CA3EEC"/>
    <w:rsid w:val="00CA3F66"/>
    <w:rsid w:val="00CA40A5"/>
    <w:rsid w:val="00CA40BA"/>
    <w:rsid w:val="00CA40FC"/>
    <w:rsid w:val="00CA4112"/>
    <w:rsid w:val="00CA4244"/>
    <w:rsid w:val="00CA4448"/>
    <w:rsid w:val="00CA4460"/>
    <w:rsid w:val="00CA4463"/>
    <w:rsid w:val="00CA4582"/>
    <w:rsid w:val="00CA47CF"/>
    <w:rsid w:val="00CA48DD"/>
    <w:rsid w:val="00CA48F5"/>
    <w:rsid w:val="00CA4977"/>
    <w:rsid w:val="00CA4993"/>
    <w:rsid w:val="00CA49CD"/>
    <w:rsid w:val="00CA4CAE"/>
    <w:rsid w:val="00CA4CC5"/>
    <w:rsid w:val="00CA4D90"/>
    <w:rsid w:val="00CA4E0C"/>
    <w:rsid w:val="00CA4E85"/>
    <w:rsid w:val="00CA4EAB"/>
    <w:rsid w:val="00CA4F53"/>
    <w:rsid w:val="00CA5003"/>
    <w:rsid w:val="00CA503E"/>
    <w:rsid w:val="00CA5074"/>
    <w:rsid w:val="00CA50B7"/>
    <w:rsid w:val="00CA513C"/>
    <w:rsid w:val="00CA52A2"/>
    <w:rsid w:val="00CA549B"/>
    <w:rsid w:val="00CA54F1"/>
    <w:rsid w:val="00CA5537"/>
    <w:rsid w:val="00CA55B5"/>
    <w:rsid w:val="00CA5605"/>
    <w:rsid w:val="00CA5611"/>
    <w:rsid w:val="00CA56C5"/>
    <w:rsid w:val="00CA56EE"/>
    <w:rsid w:val="00CA573D"/>
    <w:rsid w:val="00CA58F0"/>
    <w:rsid w:val="00CA590D"/>
    <w:rsid w:val="00CA5C2E"/>
    <w:rsid w:val="00CA5C5A"/>
    <w:rsid w:val="00CA5D44"/>
    <w:rsid w:val="00CA5D79"/>
    <w:rsid w:val="00CA5E3E"/>
    <w:rsid w:val="00CA5F9C"/>
    <w:rsid w:val="00CA6007"/>
    <w:rsid w:val="00CA618D"/>
    <w:rsid w:val="00CA6261"/>
    <w:rsid w:val="00CA6392"/>
    <w:rsid w:val="00CA63A7"/>
    <w:rsid w:val="00CA674D"/>
    <w:rsid w:val="00CA674F"/>
    <w:rsid w:val="00CA679D"/>
    <w:rsid w:val="00CA689B"/>
    <w:rsid w:val="00CA69A5"/>
    <w:rsid w:val="00CA69AA"/>
    <w:rsid w:val="00CA6A56"/>
    <w:rsid w:val="00CA6B23"/>
    <w:rsid w:val="00CA6CF1"/>
    <w:rsid w:val="00CA6DE1"/>
    <w:rsid w:val="00CA6E77"/>
    <w:rsid w:val="00CA6EB6"/>
    <w:rsid w:val="00CA6F40"/>
    <w:rsid w:val="00CA703A"/>
    <w:rsid w:val="00CA707F"/>
    <w:rsid w:val="00CA7098"/>
    <w:rsid w:val="00CA7202"/>
    <w:rsid w:val="00CA7231"/>
    <w:rsid w:val="00CA72B0"/>
    <w:rsid w:val="00CA7304"/>
    <w:rsid w:val="00CA7320"/>
    <w:rsid w:val="00CA73B3"/>
    <w:rsid w:val="00CA767B"/>
    <w:rsid w:val="00CA7687"/>
    <w:rsid w:val="00CA7697"/>
    <w:rsid w:val="00CA77E3"/>
    <w:rsid w:val="00CA786B"/>
    <w:rsid w:val="00CA7889"/>
    <w:rsid w:val="00CA78B7"/>
    <w:rsid w:val="00CA7976"/>
    <w:rsid w:val="00CA79D8"/>
    <w:rsid w:val="00CA7A69"/>
    <w:rsid w:val="00CA7A71"/>
    <w:rsid w:val="00CA7CA6"/>
    <w:rsid w:val="00CA7DB9"/>
    <w:rsid w:val="00CA7DDC"/>
    <w:rsid w:val="00CA7E8F"/>
    <w:rsid w:val="00CA7F86"/>
    <w:rsid w:val="00CB00A6"/>
    <w:rsid w:val="00CB00F5"/>
    <w:rsid w:val="00CB0133"/>
    <w:rsid w:val="00CB0463"/>
    <w:rsid w:val="00CB04D5"/>
    <w:rsid w:val="00CB0559"/>
    <w:rsid w:val="00CB05A3"/>
    <w:rsid w:val="00CB06F1"/>
    <w:rsid w:val="00CB074A"/>
    <w:rsid w:val="00CB0788"/>
    <w:rsid w:val="00CB0796"/>
    <w:rsid w:val="00CB07B1"/>
    <w:rsid w:val="00CB099D"/>
    <w:rsid w:val="00CB09BF"/>
    <w:rsid w:val="00CB0A42"/>
    <w:rsid w:val="00CB0C3E"/>
    <w:rsid w:val="00CB0CD8"/>
    <w:rsid w:val="00CB0D86"/>
    <w:rsid w:val="00CB0D8E"/>
    <w:rsid w:val="00CB0D9D"/>
    <w:rsid w:val="00CB0DE2"/>
    <w:rsid w:val="00CB0E19"/>
    <w:rsid w:val="00CB0E44"/>
    <w:rsid w:val="00CB0E94"/>
    <w:rsid w:val="00CB0ED9"/>
    <w:rsid w:val="00CB1084"/>
    <w:rsid w:val="00CB10B0"/>
    <w:rsid w:val="00CB10B4"/>
    <w:rsid w:val="00CB114C"/>
    <w:rsid w:val="00CB116E"/>
    <w:rsid w:val="00CB11FA"/>
    <w:rsid w:val="00CB1234"/>
    <w:rsid w:val="00CB13DA"/>
    <w:rsid w:val="00CB1440"/>
    <w:rsid w:val="00CB1634"/>
    <w:rsid w:val="00CB18A5"/>
    <w:rsid w:val="00CB18B4"/>
    <w:rsid w:val="00CB1934"/>
    <w:rsid w:val="00CB196F"/>
    <w:rsid w:val="00CB19D4"/>
    <w:rsid w:val="00CB1A25"/>
    <w:rsid w:val="00CB1A30"/>
    <w:rsid w:val="00CB1A7A"/>
    <w:rsid w:val="00CB1B43"/>
    <w:rsid w:val="00CB1BCA"/>
    <w:rsid w:val="00CB1BE5"/>
    <w:rsid w:val="00CB1C02"/>
    <w:rsid w:val="00CB1C89"/>
    <w:rsid w:val="00CB1D72"/>
    <w:rsid w:val="00CB1DD1"/>
    <w:rsid w:val="00CB207A"/>
    <w:rsid w:val="00CB223C"/>
    <w:rsid w:val="00CB2255"/>
    <w:rsid w:val="00CB2471"/>
    <w:rsid w:val="00CB283D"/>
    <w:rsid w:val="00CB2857"/>
    <w:rsid w:val="00CB287E"/>
    <w:rsid w:val="00CB2AFA"/>
    <w:rsid w:val="00CB2B02"/>
    <w:rsid w:val="00CB2B6B"/>
    <w:rsid w:val="00CB2DEE"/>
    <w:rsid w:val="00CB2E38"/>
    <w:rsid w:val="00CB2E91"/>
    <w:rsid w:val="00CB2ED6"/>
    <w:rsid w:val="00CB2F15"/>
    <w:rsid w:val="00CB3114"/>
    <w:rsid w:val="00CB311F"/>
    <w:rsid w:val="00CB35A9"/>
    <w:rsid w:val="00CB3658"/>
    <w:rsid w:val="00CB3669"/>
    <w:rsid w:val="00CB3752"/>
    <w:rsid w:val="00CB391B"/>
    <w:rsid w:val="00CB3982"/>
    <w:rsid w:val="00CB399A"/>
    <w:rsid w:val="00CB3A06"/>
    <w:rsid w:val="00CB3A6A"/>
    <w:rsid w:val="00CB3B22"/>
    <w:rsid w:val="00CB3C45"/>
    <w:rsid w:val="00CB3D34"/>
    <w:rsid w:val="00CB3D90"/>
    <w:rsid w:val="00CB3DF4"/>
    <w:rsid w:val="00CB3E46"/>
    <w:rsid w:val="00CB3E4D"/>
    <w:rsid w:val="00CB3E5A"/>
    <w:rsid w:val="00CB3EC9"/>
    <w:rsid w:val="00CB3F01"/>
    <w:rsid w:val="00CB408E"/>
    <w:rsid w:val="00CB40D8"/>
    <w:rsid w:val="00CB4158"/>
    <w:rsid w:val="00CB416C"/>
    <w:rsid w:val="00CB416F"/>
    <w:rsid w:val="00CB4185"/>
    <w:rsid w:val="00CB4196"/>
    <w:rsid w:val="00CB4250"/>
    <w:rsid w:val="00CB4295"/>
    <w:rsid w:val="00CB4352"/>
    <w:rsid w:val="00CB4394"/>
    <w:rsid w:val="00CB43C9"/>
    <w:rsid w:val="00CB45B9"/>
    <w:rsid w:val="00CB460E"/>
    <w:rsid w:val="00CB4629"/>
    <w:rsid w:val="00CB4682"/>
    <w:rsid w:val="00CB47E8"/>
    <w:rsid w:val="00CB47E9"/>
    <w:rsid w:val="00CB48CC"/>
    <w:rsid w:val="00CB4907"/>
    <w:rsid w:val="00CB4C2C"/>
    <w:rsid w:val="00CB4C2D"/>
    <w:rsid w:val="00CB4D65"/>
    <w:rsid w:val="00CB4DD5"/>
    <w:rsid w:val="00CB4E4D"/>
    <w:rsid w:val="00CB4E5E"/>
    <w:rsid w:val="00CB4E8C"/>
    <w:rsid w:val="00CB4F23"/>
    <w:rsid w:val="00CB500A"/>
    <w:rsid w:val="00CB501D"/>
    <w:rsid w:val="00CB5041"/>
    <w:rsid w:val="00CB51E5"/>
    <w:rsid w:val="00CB53EA"/>
    <w:rsid w:val="00CB5452"/>
    <w:rsid w:val="00CB54AB"/>
    <w:rsid w:val="00CB5561"/>
    <w:rsid w:val="00CB5639"/>
    <w:rsid w:val="00CB5654"/>
    <w:rsid w:val="00CB5677"/>
    <w:rsid w:val="00CB5874"/>
    <w:rsid w:val="00CB59A2"/>
    <w:rsid w:val="00CB5A31"/>
    <w:rsid w:val="00CB5BEF"/>
    <w:rsid w:val="00CB5CFB"/>
    <w:rsid w:val="00CB5DF0"/>
    <w:rsid w:val="00CB5EBB"/>
    <w:rsid w:val="00CB5F5C"/>
    <w:rsid w:val="00CB602B"/>
    <w:rsid w:val="00CB6057"/>
    <w:rsid w:val="00CB610F"/>
    <w:rsid w:val="00CB6117"/>
    <w:rsid w:val="00CB6331"/>
    <w:rsid w:val="00CB65CF"/>
    <w:rsid w:val="00CB66C8"/>
    <w:rsid w:val="00CB673B"/>
    <w:rsid w:val="00CB679B"/>
    <w:rsid w:val="00CB689C"/>
    <w:rsid w:val="00CB696A"/>
    <w:rsid w:val="00CB696C"/>
    <w:rsid w:val="00CB698C"/>
    <w:rsid w:val="00CB6A42"/>
    <w:rsid w:val="00CB6B4A"/>
    <w:rsid w:val="00CB6B51"/>
    <w:rsid w:val="00CB6C08"/>
    <w:rsid w:val="00CB6CD8"/>
    <w:rsid w:val="00CB6DDA"/>
    <w:rsid w:val="00CB6E95"/>
    <w:rsid w:val="00CB6FD7"/>
    <w:rsid w:val="00CB7024"/>
    <w:rsid w:val="00CB7027"/>
    <w:rsid w:val="00CB70CC"/>
    <w:rsid w:val="00CB7101"/>
    <w:rsid w:val="00CB717F"/>
    <w:rsid w:val="00CB7209"/>
    <w:rsid w:val="00CB731A"/>
    <w:rsid w:val="00CB740C"/>
    <w:rsid w:val="00CB7457"/>
    <w:rsid w:val="00CB7700"/>
    <w:rsid w:val="00CB7780"/>
    <w:rsid w:val="00CB78B5"/>
    <w:rsid w:val="00CB7913"/>
    <w:rsid w:val="00CB79BF"/>
    <w:rsid w:val="00CB7B28"/>
    <w:rsid w:val="00CB7B8B"/>
    <w:rsid w:val="00CB7C83"/>
    <w:rsid w:val="00CB7C88"/>
    <w:rsid w:val="00CB7CE1"/>
    <w:rsid w:val="00CB7D17"/>
    <w:rsid w:val="00CB7EE4"/>
    <w:rsid w:val="00CB7F1F"/>
    <w:rsid w:val="00CB7F80"/>
    <w:rsid w:val="00CB7FE7"/>
    <w:rsid w:val="00CC0040"/>
    <w:rsid w:val="00CC0095"/>
    <w:rsid w:val="00CC0109"/>
    <w:rsid w:val="00CC016F"/>
    <w:rsid w:val="00CC0221"/>
    <w:rsid w:val="00CC04D4"/>
    <w:rsid w:val="00CC056A"/>
    <w:rsid w:val="00CC0582"/>
    <w:rsid w:val="00CC06AD"/>
    <w:rsid w:val="00CC06FB"/>
    <w:rsid w:val="00CC08C9"/>
    <w:rsid w:val="00CC08CF"/>
    <w:rsid w:val="00CC091D"/>
    <w:rsid w:val="00CC09E2"/>
    <w:rsid w:val="00CC09F7"/>
    <w:rsid w:val="00CC0A2A"/>
    <w:rsid w:val="00CC0A32"/>
    <w:rsid w:val="00CC0A67"/>
    <w:rsid w:val="00CC0B2C"/>
    <w:rsid w:val="00CC0BAA"/>
    <w:rsid w:val="00CC0BEA"/>
    <w:rsid w:val="00CC0DA8"/>
    <w:rsid w:val="00CC0E47"/>
    <w:rsid w:val="00CC0EFC"/>
    <w:rsid w:val="00CC1067"/>
    <w:rsid w:val="00CC1072"/>
    <w:rsid w:val="00CC11E6"/>
    <w:rsid w:val="00CC1328"/>
    <w:rsid w:val="00CC136D"/>
    <w:rsid w:val="00CC137F"/>
    <w:rsid w:val="00CC13BA"/>
    <w:rsid w:val="00CC13C3"/>
    <w:rsid w:val="00CC148E"/>
    <w:rsid w:val="00CC14F8"/>
    <w:rsid w:val="00CC1655"/>
    <w:rsid w:val="00CC1670"/>
    <w:rsid w:val="00CC199B"/>
    <w:rsid w:val="00CC19F8"/>
    <w:rsid w:val="00CC1AE3"/>
    <w:rsid w:val="00CC1B1E"/>
    <w:rsid w:val="00CC1B41"/>
    <w:rsid w:val="00CC1D08"/>
    <w:rsid w:val="00CC1D41"/>
    <w:rsid w:val="00CC2077"/>
    <w:rsid w:val="00CC20A8"/>
    <w:rsid w:val="00CC2112"/>
    <w:rsid w:val="00CC2128"/>
    <w:rsid w:val="00CC2147"/>
    <w:rsid w:val="00CC2167"/>
    <w:rsid w:val="00CC219A"/>
    <w:rsid w:val="00CC2304"/>
    <w:rsid w:val="00CC23F0"/>
    <w:rsid w:val="00CC258E"/>
    <w:rsid w:val="00CC25C7"/>
    <w:rsid w:val="00CC2804"/>
    <w:rsid w:val="00CC2919"/>
    <w:rsid w:val="00CC2A09"/>
    <w:rsid w:val="00CC2ACC"/>
    <w:rsid w:val="00CC2B0B"/>
    <w:rsid w:val="00CC2B2C"/>
    <w:rsid w:val="00CC2BF2"/>
    <w:rsid w:val="00CC2BFF"/>
    <w:rsid w:val="00CC2C3C"/>
    <w:rsid w:val="00CC2C4B"/>
    <w:rsid w:val="00CC2C4D"/>
    <w:rsid w:val="00CC2C90"/>
    <w:rsid w:val="00CC2CEA"/>
    <w:rsid w:val="00CC2EC5"/>
    <w:rsid w:val="00CC2ED9"/>
    <w:rsid w:val="00CC2F63"/>
    <w:rsid w:val="00CC320D"/>
    <w:rsid w:val="00CC322F"/>
    <w:rsid w:val="00CC3289"/>
    <w:rsid w:val="00CC32B2"/>
    <w:rsid w:val="00CC32F1"/>
    <w:rsid w:val="00CC3303"/>
    <w:rsid w:val="00CC333D"/>
    <w:rsid w:val="00CC3442"/>
    <w:rsid w:val="00CC3494"/>
    <w:rsid w:val="00CC356F"/>
    <w:rsid w:val="00CC36E0"/>
    <w:rsid w:val="00CC3713"/>
    <w:rsid w:val="00CC3752"/>
    <w:rsid w:val="00CC376D"/>
    <w:rsid w:val="00CC3790"/>
    <w:rsid w:val="00CC3950"/>
    <w:rsid w:val="00CC39B7"/>
    <w:rsid w:val="00CC3A07"/>
    <w:rsid w:val="00CC3C07"/>
    <w:rsid w:val="00CC3C5F"/>
    <w:rsid w:val="00CC3ECF"/>
    <w:rsid w:val="00CC4166"/>
    <w:rsid w:val="00CC4319"/>
    <w:rsid w:val="00CC448F"/>
    <w:rsid w:val="00CC4598"/>
    <w:rsid w:val="00CC45BA"/>
    <w:rsid w:val="00CC46D2"/>
    <w:rsid w:val="00CC4771"/>
    <w:rsid w:val="00CC47B9"/>
    <w:rsid w:val="00CC48E8"/>
    <w:rsid w:val="00CC48F3"/>
    <w:rsid w:val="00CC4979"/>
    <w:rsid w:val="00CC49B1"/>
    <w:rsid w:val="00CC4ACE"/>
    <w:rsid w:val="00CC4B61"/>
    <w:rsid w:val="00CC4BA0"/>
    <w:rsid w:val="00CC4E6B"/>
    <w:rsid w:val="00CC5036"/>
    <w:rsid w:val="00CC508C"/>
    <w:rsid w:val="00CC51A5"/>
    <w:rsid w:val="00CC5259"/>
    <w:rsid w:val="00CC5398"/>
    <w:rsid w:val="00CC5413"/>
    <w:rsid w:val="00CC542B"/>
    <w:rsid w:val="00CC544D"/>
    <w:rsid w:val="00CC54F3"/>
    <w:rsid w:val="00CC5530"/>
    <w:rsid w:val="00CC5545"/>
    <w:rsid w:val="00CC55EE"/>
    <w:rsid w:val="00CC5783"/>
    <w:rsid w:val="00CC57BD"/>
    <w:rsid w:val="00CC58BB"/>
    <w:rsid w:val="00CC5965"/>
    <w:rsid w:val="00CC5A39"/>
    <w:rsid w:val="00CC5A43"/>
    <w:rsid w:val="00CC5A9C"/>
    <w:rsid w:val="00CC5ACA"/>
    <w:rsid w:val="00CC5C17"/>
    <w:rsid w:val="00CC5D1A"/>
    <w:rsid w:val="00CC5DC0"/>
    <w:rsid w:val="00CC5DD0"/>
    <w:rsid w:val="00CC5DF5"/>
    <w:rsid w:val="00CC5DF7"/>
    <w:rsid w:val="00CC5FDC"/>
    <w:rsid w:val="00CC6020"/>
    <w:rsid w:val="00CC61D8"/>
    <w:rsid w:val="00CC623E"/>
    <w:rsid w:val="00CC62FB"/>
    <w:rsid w:val="00CC64E9"/>
    <w:rsid w:val="00CC6577"/>
    <w:rsid w:val="00CC671D"/>
    <w:rsid w:val="00CC672C"/>
    <w:rsid w:val="00CC6773"/>
    <w:rsid w:val="00CC6799"/>
    <w:rsid w:val="00CC692D"/>
    <w:rsid w:val="00CC6B5C"/>
    <w:rsid w:val="00CC6B63"/>
    <w:rsid w:val="00CC6BD8"/>
    <w:rsid w:val="00CC6C38"/>
    <w:rsid w:val="00CC6CE9"/>
    <w:rsid w:val="00CC6DA1"/>
    <w:rsid w:val="00CC6DED"/>
    <w:rsid w:val="00CC6E55"/>
    <w:rsid w:val="00CC70AE"/>
    <w:rsid w:val="00CC710E"/>
    <w:rsid w:val="00CC718B"/>
    <w:rsid w:val="00CC731D"/>
    <w:rsid w:val="00CC73D6"/>
    <w:rsid w:val="00CC74D2"/>
    <w:rsid w:val="00CC75B2"/>
    <w:rsid w:val="00CC75FD"/>
    <w:rsid w:val="00CC771C"/>
    <w:rsid w:val="00CC793C"/>
    <w:rsid w:val="00CC7A0A"/>
    <w:rsid w:val="00CC7A83"/>
    <w:rsid w:val="00CC7ACC"/>
    <w:rsid w:val="00CC7B95"/>
    <w:rsid w:val="00CC7D01"/>
    <w:rsid w:val="00CC7D57"/>
    <w:rsid w:val="00CC7D87"/>
    <w:rsid w:val="00CC7E28"/>
    <w:rsid w:val="00CC7EF7"/>
    <w:rsid w:val="00CC7F0A"/>
    <w:rsid w:val="00CC7FB0"/>
    <w:rsid w:val="00CD0005"/>
    <w:rsid w:val="00CD00F0"/>
    <w:rsid w:val="00CD00FD"/>
    <w:rsid w:val="00CD02DF"/>
    <w:rsid w:val="00CD032E"/>
    <w:rsid w:val="00CD03A0"/>
    <w:rsid w:val="00CD03AE"/>
    <w:rsid w:val="00CD03F5"/>
    <w:rsid w:val="00CD0439"/>
    <w:rsid w:val="00CD044F"/>
    <w:rsid w:val="00CD047C"/>
    <w:rsid w:val="00CD07FC"/>
    <w:rsid w:val="00CD0908"/>
    <w:rsid w:val="00CD0943"/>
    <w:rsid w:val="00CD0958"/>
    <w:rsid w:val="00CD095F"/>
    <w:rsid w:val="00CD0B06"/>
    <w:rsid w:val="00CD0B77"/>
    <w:rsid w:val="00CD0BD4"/>
    <w:rsid w:val="00CD0C03"/>
    <w:rsid w:val="00CD0C97"/>
    <w:rsid w:val="00CD0D13"/>
    <w:rsid w:val="00CD0D40"/>
    <w:rsid w:val="00CD0EFA"/>
    <w:rsid w:val="00CD0F9A"/>
    <w:rsid w:val="00CD0FE5"/>
    <w:rsid w:val="00CD11A2"/>
    <w:rsid w:val="00CD1215"/>
    <w:rsid w:val="00CD13FE"/>
    <w:rsid w:val="00CD140E"/>
    <w:rsid w:val="00CD15FD"/>
    <w:rsid w:val="00CD1704"/>
    <w:rsid w:val="00CD177D"/>
    <w:rsid w:val="00CD18D8"/>
    <w:rsid w:val="00CD198A"/>
    <w:rsid w:val="00CD19C5"/>
    <w:rsid w:val="00CD19D8"/>
    <w:rsid w:val="00CD1AC7"/>
    <w:rsid w:val="00CD1B27"/>
    <w:rsid w:val="00CD1B53"/>
    <w:rsid w:val="00CD1C9E"/>
    <w:rsid w:val="00CD1E70"/>
    <w:rsid w:val="00CD1F1E"/>
    <w:rsid w:val="00CD1F3B"/>
    <w:rsid w:val="00CD1FCE"/>
    <w:rsid w:val="00CD218F"/>
    <w:rsid w:val="00CD21E1"/>
    <w:rsid w:val="00CD22A3"/>
    <w:rsid w:val="00CD2322"/>
    <w:rsid w:val="00CD2408"/>
    <w:rsid w:val="00CD248E"/>
    <w:rsid w:val="00CD27A5"/>
    <w:rsid w:val="00CD27C2"/>
    <w:rsid w:val="00CD27EE"/>
    <w:rsid w:val="00CD2803"/>
    <w:rsid w:val="00CD2B37"/>
    <w:rsid w:val="00CD2B68"/>
    <w:rsid w:val="00CD2C60"/>
    <w:rsid w:val="00CD2D34"/>
    <w:rsid w:val="00CD2DDC"/>
    <w:rsid w:val="00CD2E31"/>
    <w:rsid w:val="00CD2E8D"/>
    <w:rsid w:val="00CD30B3"/>
    <w:rsid w:val="00CD30DC"/>
    <w:rsid w:val="00CD31C4"/>
    <w:rsid w:val="00CD323E"/>
    <w:rsid w:val="00CD32C6"/>
    <w:rsid w:val="00CD35A3"/>
    <w:rsid w:val="00CD35B7"/>
    <w:rsid w:val="00CD35EE"/>
    <w:rsid w:val="00CD35F5"/>
    <w:rsid w:val="00CD36A2"/>
    <w:rsid w:val="00CD3736"/>
    <w:rsid w:val="00CD373E"/>
    <w:rsid w:val="00CD3843"/>
    <w:rsid w:val="00CD3A0A"/>
    <w:rsid w:val="00CD3AD7"/>
    <w:rsid w:val="00CD3AF2"/>
    <w:rsid w:val="00CD3B9E"/>
    <w:rsid w:val="00CD3C1E"/>
    <w:rsid w:val="00CD3D5A"/>
    <w:rsid w:val="00CD3E01"/>
    <w:rsid w:val="00CD3FBB"/>
    <w:rsid w:val="00CD4155"/>
    <w:rsid w:val="00CD4159"/>
    <w:rsid w:val="00CD43C5"/>
    <w:rsid w:val="00CD456C"/>
    <w:rsid w:val="00CD458D"/>
    <w:rsid w:val="00CD45EC"/>
    <w:rsid w:val="00CD45F7"/>
    <w:rsid w:val="00CD46FE"/>
    <w:rsid w:val="00CD4797"/>
    <w:rsid w:val="00CD4801"/>
    <w:rsid w:val="00CD4880"/>
    <w:rsid w:val="00CD4AA2"/>
    <w:rsid w:val="00CD4AAF"/>
    <w:rsid w:val="00CD4ADF"/>
    <w:rsid w:val="00CD4BA1"/>
    <w:rsid w:val="00CD4BD1"/>
    <w:rsid w:val="00CD4C0C"/>
    <w:rsid w:val="00CD4CD4"/>
    <w:rsid w:val="00CD4E46"/>
    <w:rsid w:val="00CD4F84"/>
    <w:rsid w:val="00CD507B"/>
    <w:rsid w:val="00CD50BE"/>
    <w:rsid w:val="00CD5164"/>
    <w:rsid w:val="00CD52AB"/>
    <w:rsid w:val="00CD538A"/>
    <w:rsid w:val="00CD539E"/>
    <w:rsid w:val="00CD53B9"/>
    <w:rsid w:val="00CD53D1"/>
    <w:rsid w:val="00CD56D7"/>
    <w:rsid w:val="00CD5702"/>
    <w:rsid w:val="00CD575D"/>
    <w:rsid w:val="00CD580B"/>
    <w:rsid w:val="00CD5811"/>
    <w:rsid w:val="00CD588D"/>
    <w:rsid w:val="00CD5956"/>
    <w:rsid w:val="00CD5992"/>
    <w:rsid w:val="00CD5B61"/>
    <w:rsid w:val="00CD5B73"/>
    <w:rsid w:val="00CD5BF1"/>
    <w:rsid w:val="00CD5C63"/>
    <w:rsid w:val="00CD5DF3"/>
    <w:rsid w:val="00CD5E6E"/>
    <w:rsid w:val="00CD5EC5"/>
    <w:rsid w:val="00CD5FF0"/>
    <w:rsid w:val="00CD60F0"/>
    <w:rsid w:val="00CD61C7"/>
    <w:rsid w:val="00CD61F3"/>
    <w:rsid w:val="00CD62A8"/>
    <w:rsid w:val="00CD641F"/>
    <w:rsid w:val="00CD6595"/>
    <w:rsid w:val="00CD674E"/>
    <w:rsid w:val="00CD6773"/>
    <w:rsid w:val="00CD6813"/>
    <w:rsid w:val="00CD6934"/>
    <w:rsid w:val="00CD6B2B"/>
    <w:rsid w:val="00CD6B7C"/>
    <w:rsid w:val="00CD6CC8"/>
    <w:rsid w:val="00CD6E9E"/>
    <w:rsid w:val="00CD6FD3"/>
    <w:rsid w:val="00CD6FDE"/>
    <w:rsid w:val="00CD718D"/>
    <w:rsid w:val="00CD7254"/>
    <w:rsid w:val="00CD72B0"/>
    <w:rsid w:val="00CD7467"/>
    <w:rsid w:val="00CD7470"/>
    <w:rsid w:val="00CD747F"/>
    <w:rsid w:val="00CD7544"/>
    <w:rsid w:val="00CD75C9"/>
    <w:rsid w:val="00CD764B"/>
    <w:rsid w:val="00CD7653"/>
    <w:rsid w:val="00CD767A"/>
    <w:rsid w:val="00CD7720"/>
    <w:rsid w:val="00CD77E8"/>
    <w:rsid w:val="00CD787B"/>
    <w:rsid w:val="00CD7886"/>
    <w:rsid w:val="00CD789A"/>
    <w:rsid w:val="00CD78C8"/>
    <w:rsid w:val="00CD7C65"/>
    <w:rsid w:val="00CD7D89"/>
    <w:rsid w:val="00CD7E56"/>
    <w:rsid w:val="00CD7E5E"/>
    <w:rsid w:val="00CD7EA3"/>
    <w:rsid w:val="00CE010B"/>
    <w:rsid w:val="00CE01BD"/>
    <w:rsid w:val="00CE0249"/>
    <w:rsid w:val="00CE033E"/>
    <w:rsid w:val="00CE0404"/>
    <w:rsid w:val="00CE0405"/>
    <w:rsid w:val="00CE052E"/>
    <w:rsid w:val="00CE0630"/>
    <w:rsid w:val="00CE07A0"/>
    <w:rsid w:val="00CE07B8"/>
    <w:rsid w:val="00CE0869"/>
    <w:rsid w:val="00CE08B0"/>
    <w:rsid w:val="00CE08E5"/>
    <w:rsid w:val="00CE0927"/>
    <w:rsid w:val="00CE0987"/>
    <w:rsid w:val="00CE0A8E"/>
    <w:rsid w:val="00CE0AC7"/>
    <w:rsid w:val="00CE0ACE"/>
    <w:rsid w:val="00CE0B76"/>
    <w:rsid w:val="00CE0D45"/>
    <w:rsid w:val="00CE0DEF"/>
    <w:rsid w:val="00CE0F07"/>
    <w:rsid w:val="00CE1005"/>
    <w:rsid w:val="00CE106C"/>
    <w:rsid w:val="00CE116D"/>
    <w:rsid w:val="00CE118E"/>
    <w:rsid w:val="00CE11DF"/>
    <w:rsid w:val="00CE1201"/>
    <w:rsid w:val="00CE1236"/>
    <w:rsid w:val="00CE12A3"/>
    <w:rsid w:val="00CE12EE"/>
    <w:rsid w:val="00CE1338"/>
    <w:rsid w:val="00CE1363"/>
    <w:rsid w:val="00CE14E6"/>
    <w:rsid w:val="00CE1708"/>
    <w:rsid w:val="00CE175A"/>
    <w:rsid w:val="00CE17AA"/>
    <w:rsid w:val="00CE194A"/>
    <w:rsid w:val="00CE1A1F"/>
    <w:rsid w:val="00CE1B71"/>
    <w:rsid w:val="00CE1B7D"/>
    <w:rsid w:val="00CE1B95"/>
    <w:rsid w:val="00CE1BB0"/>
    <w:rsid w:val="00CE1C69"/>
    <w:rsid w:val="00CE1D58"/>
    <w:rsid w:val="00CE1D9B"/>
    <w:rsid w:val="00CE1DCA"/>
    <w:rsid w:val="00CE1DFA"/>
    <w:rsid w:val="00CE1E46"/>
    <w:rsid w:val="00CE1E8B"/>
    <w:rsid w:val="00CE2009"/>
    <w:rsid w:val="00CE203F"/>
    <w:rsid w:val="00CE207D"/>
    <w:rsid w:val="00CE208E"/>
    <w:rsid w:val="00CE20BD"/>
    <w:rsid w:val="00CE2398"/>
    <w:rsid w:val="00CE23D0"/>
    <w:rsid w:val="00CE2579"/>
    <w:rsid w:val="00CE25E9"/>
    <w:rsid w:val="00CE2615"/>
    <w:rsid w:val="00CE2757"/>
    <w:rsid w:val="00CE285F"/>
    <w:rsid w:val="00CE2A24"/>
    <w:rsid w:val="00CE2B1D"/>
    <w:rsid w:val="00CE2C08"/>
    <w:rsid w:val="00CE2CFC"/>
    <w:rsid w:val="00CE2DE0"/>
    <w:rsid w:val="00CE2E37"/>
    <w:rsid w:val="00CE2E3C"/>
    <w:rsid w:val="00CE2E44"/>
    <w:rsid w:val="00CE2F0A"/>
    <w:rsid w:val="00CE2FC3"/>
    <w:rsid w:val="00CE302C"/>
    <w:rsid w:val="00CE30B5"/>
    <w:rsid w:val="00CE31C7"/>
    <w:rsid w:val="00CE3213"/>
    <w:rsid w:val="00CE3305"/>
    <w:rsid w:val="00CE3380"/>
    <w:rsid w:val="00CE34AC"/>
    <w:rsid w:val="00CE34C8"/>
    <w:rsid w:val="00CE3521"/>
    <w:rsid w:val="00CE35C9"/>
    <w:rsid w:val="00CE35DD"/>
    <w:rsid w:val="00CE367C"/>
    <w:rsid w:val="00CE3740"/>
    <w:rsid w:val="00CE37E6"/>
    <w:rsid w:val="00CE3828"/>
    <w:rsid w:val="00CE3880"/>
    <w:rsid w:val="00CE3995"/>
    <w:rsid w:val="00CE39FA"/>
    <w:rsid w:val="00CE3A82"/>
    <w:rsid w:val="00CE3AD2"/>
    <w:rsid w:val="00CE3B19"/>
    <w:rsid w:val="00CE3BA2"/>
    <w:rsid w:val="00CE3C7E"/>
    <w:rsid w:val="00CE3F7B"/>
    <w:rsid w:val="00CE406E"/>
    <w:rsid w:val="00CE415E"/>
    <w:rsid w:val="00CE430A"/>
    <w:rsid w:val="00CE4479"/>
    <w:rsid w:val="00CE44D3"/>
    <w:rsid w:val="00CE44F1"/>
    <w:rsid w:val="00CE45F3"/>
    <w:rsid w:val="00CE472E"/>
    <w:rsid w:val="00CE4740"/>
    <w:rsid w:val="00CE47E1"/>
    <w:rsid w:val="00CE482F"/>
    <w:rsid w:val="00CE48CA"/>
    <w:rsid w:val="00CE49BF"/>
    <w:rsid w:val="00CE4A61"/>
    <w:rsid w:val="00CE4A8E"/>
    <w:rsid w:val="00CE4B9F"/>
    <w:rsid w:val="00CE4C71"/>
    <w:rsid w:val="00CE4C7C"/>
    <w:rsid w:val="00CE4C91"/>
    <w:rsid w:val="00CE4F71"/>
    <w:rsid w:val="00CE5023"/>
    <w:rsid w:val="00CE5039"/>
    <w:rsid w:val="00CE503F"/>
    <w:rsid w:val="00CE515F"/>
    <w:rsid w:val="00CE521E"/>
    <w:rsid w:val="00CE5462"/>
    <w:rsid w:val="00CE5472"/>
    <w:rsid w:val="00CE54DF"/>
    <w:rsid w:val="00CE5618"/>
    <w:rsid w:val="00CE5679"/>
    <w:rsid w:val="00CE567B"/>
    <w:rsid w:val="00CE5748"/>
    <w:rsid w:val="00CE57CF"/>
    <w:rsid w:val="00CE57EA"/>
    <w:rsid w:val="00CE59DC"/>
    <w:rsid w:val="00CE5A5F"/>
    <w:rsid w:val="00CE5C0A"/>
    <w:rsid w:val="00CE5C82"/>
    <w:rsid w:val="00CE5DD3"/>
    <w:rsid w:val="00CE5E05"/>
    <w:rsid w:val="00CE6059"/>
    <w:rsid w:val="00CE6108"/>
    <w:rsid w:val="00CE6364"/>
    <w:rsid w:val="00CE63DC"/>
    <w:rsid w:val="00CE64D2"/>
    <w:rsid w:val="00CE657C"/>
    <w:rsid w:val="00CE65C2"/>
    <w:rsid w:val="00CE6636"/>
    <w:rsid w:val="00CE68DC"/>
    <w:rsid w:val="00CE695F"/>
    <w:rsid w:val="00CE69E5"/>
    <w:rsid w:val="00CE6ABB"/>
    <w:rsid w:val="00CE6BCD"/>
    <w:rsid w:val="00CE6C46"/>
    <w:rsid w:val="00CE6CDB"/>
    <w:rsid w:val="00CE6DB1"/>
    <w:rsid w:val="00CE6FA0"/>
    <w:rsid w:val="00CE6FEB"/>
    <w:rsid w:val="00CE7009"/>
    <w:rsid w:val="00CE7071"/>
    <w:rsid w:val="00CE70C4"/>
    <w:rsid w:val="00CE710B"/>
    <w:rsid w:val="00CE71B7"/>
    <w:rsid w:val="00CE71CE"/>
    <w:rsid w:val="00CE7238"/>
    <w:rsid w:val="00CE7404"/>
    <w:rsid w:val="00CE77B9"/>
    <w:rsid w:val="00CE77F0"/>
    <w:rsid w:val="00CE7823"/>
    <w:rsid w:val="00CE78F1"/>
    <w:rsid w:val="00CE7902"/>
    <w:rsid w:val="00CE7927"/>
    <w:rsid w:val="00CE7929"/>
    <w:rsid w:val="00CE799D"/>
    <w:rsid w:val="00CE79A1"/>
    <w:rsid w:val="00CE7A33"/>
    <w:rsid w:val="00CE7A42"/>
    <w:rsid w:val="00CE7BA6"/>
    <w:rsid w:val="00CE7C39"/>
    <w:rsid w:val="00CE7D46"/>
    <w:rsid w:val="00CE7DCC"/>
    <w:rsid w:val="00CE7E52"/>
    <w:rsid w:val="00CF0012"/>
    <w:rsid w:val="00CF00EA"/>
    <w:rsid w:val="00CF0124"/>
    <w:rsid w:val="00CF01BC"/>
    <w:rsid w:val="00CF0330"/>
    <w:rsid w:val="00CF03D7"/>
    <w:rsid w:val="00CF0400"/>
    <w:rsid w:val="00CF05A0"/>
    <w:rsid w:val="00CF09CB"/>
    <w:rsid w:val="00CF0A3A"/>
    <w:rsid w:val="00CF0A96"/>
    <w:rsid w:val="00CF0AED"/>
    <w:rsid w:val="00CF0B12"/>
    <w:rsid w:val="00CF0B3D"/>
    <w:rsid w:val="00CF0EB9"/>
    <w:rsid w:val="00CF0FA5"/>
    <w:rsid w:val="00CF0FBF"/>
    <w:rsid w:val="00CF0FD3"/>
    <w:rsid w:val="00CF1014"/>
    <w:rsid w:val="00CF105C"/>
    <w:rsid w:val="00CF1089"/>
    <w:rsid w:val="00CF10FD"/>
    <w:rsid w:val="00CF111F"/>
    <w:rsid w:val="00CF1260"/>
    <w:rsid w:val="00CF1282"/>
    <w:rsid w:val="00CF12AA"/>
    <w:rsid w:val="00CF139B"/>
    <w:rsid w:val="00CF1465"/>
    <w:rsid w:val="00CF154F"/>
    <w:rsid w:val="00CF15B4"/>
    <w:rsid w:val="00CF16BE"/>
    <w:rsid w:val="00CF16D6"/>
    <w:rsid w:val="00CF1850"/>
    <w:rsid w:val="00CF19AA"/>
    <w:rsid w:val="00CF1B8D"/>
    <w:rsid w:val="00CF1C46"/>
    <w:rsid w:val="00CF1C93"/>
    <w:rsid w:val="00CF1E09"/>
    <w:rsid w:val="00CF1F00"/>
    <w:rsid w:val="00CF1FB7"/>
    <w:rsid w:val="00CF215D"/>
    <w:rsid w:val="00CF2178"/>
    <w:rsid w:val="00CF2281"/>
    <w:rsid w:val="00CF2455"/>
    <w:rsid w:val="00CF259E"/>
    <w:rsid w:val="00CF2746"/>
    <w:rsid w:val="00CF27CB"/>
    <w:rsid w:val="00CF2863"/>
    <w:rsid w:val="00CF28AF"/>
    <w:rsid w:val="00CF28B6"/>
    <w:rsid w:val="00CF291C"/>
    <w:rsid w:val="00CF2A71"/>
    <w:rsid w:val="00CF2A90"/>
    <w:rsid w:val="00CF2BBB"/>
    <w:rsid w:val="00CF2C17"/>
    <w:rsid w:val="00CF2C97"/>
    <w:rsid w:val="00CF2CE3"/>
    <w:rsid w:val="00CF2D4E"/>
    <w:rsid w:val="00CF2D8D"/>
    <w:rsid w:val="00CF2D9A"/>
    <w:rsid w:val="00CF2D9D"/>
    <w:rsid w:val="00CF2F4F"/>
    <w:rsid w:val="00CF306F"/>
    <w:rsid w:val="00CF30A4"/>
    <w:rsid w:val="00CF3141"/>
    <w:rsid w:val="00CF3182"/>
    <w:rsid w:val="00CF3185"/>
    <w:rsid w:val="00CF3199"/>
    <w:rsid w:val="00CF31A3"/>
    <w:rsid w:val="00CF3313"/>
    <w:rsid w:val="00CF3391"/>
    <w:rsid w:val="00CF34E4"/>
    <w:rsid w:val="00CF35D8"/>
    <w:rsid w:val="00CF361F"/>
    <w:rsid w:val="00CF3679"/>
    <w:rsid w:val="00CF37AE"/>
    <w:rsid w:val="00CF38BA"/>
    <w:rsid w:val="00CF38C2"/>
    <w:rsid w:val="00CF3908"/>
    <w:rsid w:val="00CF3988"/>
    <w:rsid w:val="00CF3A0B"/>
    <w:rsid w:val="00CF3A22"/>
    <w:rsid w:val="00CF3A23"/>
    <w:rsid w:val="00CF3A5A"/>
    <w:rsid w:val="00CF3B2E"/>
    <w:rsid w:val="00CF3B3F"/>
    <w:rsid w:val="00CF3BF9"/>
    <w:rsid w:val="00CF3D12"/>
    <w:rsid w:val="00CF3DE5"/>
    <w:rsid w:val="00CF3E85"/>
    <w:rsid w:val="00CF3EEF"/>
    <w:rsid w:val="00CF3EF8"/>
    <w:rsid w:val="00CF3FB2"/>
    <w:rsid w:val="00CF4182"/>
    <w:rsid w:val="00CF42B6"/>
    <w:rsid w:val="00CF42E9"/>
    <w:rsid w:val="00CF43CA"/>
    <w:rsid w:val="00CF4520"/>
    <w:rsid w:val="00CF4574"/>
    <w:rsid w:val="00CF464A"/>
    <w:rsid w:val="00CF4759"/>
    <w:rsid w:val="00CF4776"/>
    <w:rsid w:val="00CF4877"/>
    <w:rsid w:val="00CF48BC"/>
    <w:rsid w:val="00CF49A7"/>
    <w:rsid w:val="00CF4A3A"/>
    <w:rsid w:val="00CF4B04"/>
    <w:rsid w:val="00CF4B96"/>
    <w:rsid w:val="00CF4E0E"/>
    <w:rsid w:val="00CF4F7C"/>
    <w:rsid w:val="00CF50D9"/>
    <w:rsid w:val="00CF529D"/>
    <w:rsid w:val="00CF52E4"/>
    <w:rsid w:val="00CF5397"/>
    <w:rsid w:val="00CF5478"/>
    <w:rsid w:val="00CF54C3"/>
    <w:rsid w:val="00CF5516"/>
    <w:rsid w:val="00CF5530"/>
    <w:rsid w:val="00CF5672"/>
    <w:rsid w:val="00CF570A"/>
    <w:rsid w:val="00CF574B"/>
    <w:rsid w:val="00CF579B"/>
    <w:rsid w:val="00CF5800"/>
    <w:rsid w:val="00CF581F"/>
    <w:rsid w:val="00CF5821"/>
    <w:rsid w:val="00CF5959"/>
    <w:rsid w:val="00CF59B0"/>
    <w:rsid w:val="00CF5A36"/>
    <w:rsid w:val="00CF5B38"/>
    <w:rsid w:val="00CF5C96"/>
    <w:rsid w:val="00CF5D6B"/>
    <w:rsid w:val="00CF5E26"/>
    <w:rsid w:val="00CF60B6"/>
    <w:rsid w:val="00CF617A"/>
    <w:rsid w:val="00CF61A5"/>
    <w:rsid w:val="00CF6204"/>
    <w:rsid w:val="00CF6272"/>
    <w:rsid w:val="00CF6414"/>
    <w:rsid w:val="00CF6417"/>
    <w:rsid w:val="00CF64F3"/>
    <w:rsid w:val="00CF66AE"/>
    <w:rsid w:val="00CF685E"/>
    <w:rsid w:val="00CF68C7"/>
    <w:rsid w:val="00CF68F8"/>
    <w:rsid w:val="00CF693C"/>
    <w:rsid w:val="00CF6946"/>
    <w:rsid w:val="00CF69E6"/>
    <w:rsid w:val="00CF6A01"/>
    <w:rsid w:val="00CF6B4E"/>
    <w:rsid w:val="00CF6C0A"/>
    <w:rsid w:val="00CF6CA1"/>
    <w:rsid w:val="00CF6CD1"/>
    <w:rsid w:val="00CF6E37"/>
    <w:rsid w:val="00CF6E5A"/>
    <w:rsid w:val="00CF6E74"/>
    <w:rsid w:val="00CF6EA0"/>
    <w:rsid w:val="00CF6EB3"/>
    <w:rsid w:val="00CF6F46"/>
    <w:rsid w:val="00CF6F7F"/>
    <w:rsid w:val="00CF6F94"/>
    <w:rsid w:val="00CF6FAA"/>
    <w:rsid w:val="00CF703A"/>
    <w:rsid w:val="00CF703C"/>
    <w:rsid w:val="00CF7197"/>
    <w:rsid w:val="00CF7230"/>
    <w:rsid w:val="00CF7301"/>
    <w:rsid w:val="00CF7318"/>
    <w:rsid w:val="00CF7582"/>
    <w:rsid w:val="00CF75F1"/>
    <w:rsid w:val="00CF7696"/>
    <w:rsid w:val="00CF7765"/>
    <w:rsid w:val="00CF7889"/>
    <w:rsid w:val="00CF78EA"/>
    <w:rsid w:val="00CF790E"/>
    <w:rsid w:val="00CF7A0E"/>
    <w:rsid w:val="00CF7B4B"/>
    <w:rsid w:val="00CF7D42"/>
    <w:rsid w:val="00CF7D43"/>
    <w:rsid w:val="00CF7D5A"/>
    <w:rsid w:val="00CF7D89"/>
    <w:rsid w:val="00CF7E16"/>
    <w:rsid w:val="00CF7F36"/>
    <w:rsid w:val="00CF7F68"/>
    <w:rsid w:val="00CF7F70"/>
    <w:rsid w:val="00D0003D"/>
    <w:rsid w:val="00D00059"/>
    <w:rsid w:val="00D000C5"/>
    <w:rsid w:val="00D000CB"/>
    <w:rsid w:val="00D000D4"/>
    <w:rsid w:val="00D0010A"/>
    <w:rsid w:val="00D00468"/>
    <w:rsid w:val="00D00658"/>
    <w:rsid w:val="00D00693"/>
    <w:rsid w:val="00D007B1"/>
    <w:rsid w:val="00D008CD"/>
    <w:rsid w:val="00D009DE"/>
    <w:rsid w:val="00D00A31"/>
    <w:rsid w:val="00D00B5B"/>
    <w:rsid w:val="00D00B84"/>
    <w:rsid w:val="00D00BB9"/>
    <w:rsid w:val="00D00BF7"/>
    <w:rsid w:val="00D00E1D"/>
    <w:rsid w:val="00D00E95"/>
    <w:rsid w:val="00D00EA9"/>
    <w:rsid w:val="00D011B0"/>
    <w:rsid w:val="00D011F5"/>
    <w:rsid w:val="00D013D7"/>
    <w:rsid w:val="00D01416"/>
    <w:rsid w:val="00D014D2"/>
    <w:rsid w:val="00D01752"/>
    <w:rsid w:val="00D018D1"/>
    <w:rsid w:val="00D019D3"/>
    <w:rsid w:val="00D01A4F"/>
    <w:rsid w:val="00D01B1D"/>
    <w:rsid w:val="00D01B84"/>
    <w:rsid w:val="00D01C70"/>
    <w:rsid w:val="00D01D7D"/>
    <w:rsid w:val="00D01D81"/>
    <w:rsid w:val="00D01DAE"/>
    <w:rsid w:val="00D01E4A"/>
    <w:rsid w:val="00D01E92"/>
    <w:rsid w:val="00D01EA0"/>
    <w:rsid w:val="00D01ED6"/>
    <w:rsid w:val="00D01F78"/>
    <w:rsid w:val="00D01FF1"/>
    <w:rsid w:val="00D02007"/>
    <w:rsid w:val="00D02129"/>
    <w:rsid w:val="00D021FF"/>
    <w:rsid w:val="00D02245"/>
    <w:rsid w:val="00D023FA"/>
    <w:rsid w:val="00D025E4"/>
    <w:rsid w:val="00D0299A"/>
    <w:rsid w:val="00D02B1D"/>
    <w:rsid w:val="00D02B85"/>
    <w:rsid w:val="00D02BBC"/>
    <w:rsid w:val="00D02BEA"/>
    <w:rsid w:val="00D02BF2"/>
    <w:rsid w:val="00D02C98"/>
    <w:rsid w:val="00D02D31"/>
    <w:rsid w:val="00D02D6C"/>
    <w:rsid w:val="00D02F30"/>
    <w:rsid w:val="00D02FE9"/>
    <w:rsid w:val="00D03022"/>
    <w:rsid w:val="00D03029"/>
    <w:rsid w:val="00D03060"/>
    <w:rsid w:val="00D0317D"/>
    <w:rsid w:val="00D031B9"/>
    <w:rsid w:val="00D032A2"/>
    <w:rsid w:val="00D032C6"/>
    <w:rsid w:val="00D03313"/>
    <w:rsid w:val="00D03376"/>
    <w:rsid w:val="00D033AD"/>
    <w:rsid w:val="00D034DD"/>
    <w:rsid w:val="00D03511"/>
    <w:rsid w:val="00D03604"/>
    <w:rsid w:val="00D03794"/>
    <w:rsid w:val="00D037E4"/>
    <w:rsid w:val="00D038EF"/>
    <w:rsid w:val="00D039C9"/>
    <w:rsid w:val="00D039ED"/>
    <w:rsid w:val="00D039F6"/>
    <w:rsid w:val="00D03A4E"/>
    <w:rsid w:val="00D03BD6"/>
    <w:rsid w:val="00D03DF1"/>
    <w:rsid w:val="00D03FE8"/>
    <w:rsid w:val="00D04134"/>
    <w:rsid w:val="00D041B6"/>
    <w:rsid w:val="00D0427D"/>
    <w:rsid w:val="00D042C0"/>
    <w:rsid w:val="00D042D8"/>
    <w:rsid w:val="00D04304"/>
    <w:rsid w:val="00D04441"/>
    <w:rsid w:val="00D04495"/>
    <w:rsid w:val="00D04629"/>
    <w:rsid w:val="00D04736"/>
    <w:rsid w:val="00D04899"/>
    <w:rsid w:val="00D048FE"/>
    <w:rsid w:val="00D04A2F"/>
    <w:rsid w:val="00D04B89"/>
    <w:rsid w:val="00D04CD1"/>
    <w:rsid w:val="00D04D61"/>
    <w:rsid w:val="00D04E58"/>
    <w:rsid w:val="00D04EB4"/>
    <w:rsid w:val="00D04F8F"/>
    <w:rsid w:val="00D050D6"/>
    <w:rsid w:val="00D0513F"/>
    <w:rsid w:val="00D05165"/>
    <w:rsid w:val="00D052F3"/>
    <w:rsid w:val="00D0530B"/>
    <w:rsid w:val="00D05399"/>
    <w:rsid w:val="00D055C2"/>
    <w:rsid w:val="00D05819"/>
    <w:rsid w:val="00D05978"/>
    <w:rsid w:val="00D059E7"/>
    <w:rsid w:val="00D05A63"/>
    <w:rsid w:val="00D05ACC"/>
    <w:rsid w:val="00D05AEB"/>
    <w:rsid w:val="00D05B9F"/>
    <w:rsid w:val="00D05CD7"/>
    <w:rsid w:val="00D05CE2"/>
    <w:rsid w:val="00D05D07"/>
    <w:rsid w:val="00D05E16"/>
    <w:rsid w:val="00D05E49"/>
    <w:rsid w:val="00D05EC9"/>
    <w:rsid w:val="00D05F5C"/>
    <w:rsid w:val="00D05FB0"/>
    <w:rsid w:val="00D0604F"/>
    <w:rsid w:val="00D06164"/>
    <w:rsid w:val="00D06181"/>
    <w:rsid w:val="00D062FD"/>
    <w:rsid w:val="00D0643F"/>
    <w:rsid w:val="00D0645D"/>
    <w:rsid w:val="00D06478"/>
    <w:rsid w:val="00D06502"/>
    <w:rsid w:val="00D0657A"/>
    <w:rsid w:val="00D0657D"/>
    <w:rsid w:val="00D0669D"/>
    <w:rsid w:val="00D06716"/>
    <w:rsid w:val="00D06947"/>
    <w:rsid w:val="00D06960"/>
    <w:rsid w:val="00D06A0E"/>
    <w:rsid w:val="00D06AF8"/>
    <w:rsid w:val="00D06BE5"/>
    <w:rsid w:val="00D06CB1"/>
    <w:rsid w:val="00D06CD9"/>
    <w:rsid w:val="00D06D16"/>
    <w:rsid w:val="00D06D36"/>
    <w:rsid w:val="00D06F0D"/>
    <w:rsid w:val="00D06F54"/>
    <w:rsid w:val="00D071B4"/>
    <w:rsid w:val="00D071BB"/>
    <w:rsid w:val="00D07226"/>
    <w:rsid w:val="00D072AC"/>
    <w:rsid w:val="00D072E9"/>
    <w:rsid w:val="00D07466"/>
    <w:rsid w:val="00D074C6"/>
    <w:rsid w:val="00D07585"/>
    <w:rsid w:val="00D07605"/>
    <w:rsid w:val="00D076A1"/>
    <w:rsid w:val="00D076C8"/>
    <w:rsid w:val="00D076D5"/>
    <w:rsid w:val="00D07707"/>
    <w:rsid w:val="00D0771A"/>
    <w:rsid w:val="00D079AF"/>
    <w:rsid w:val="00D079B5"/>
    <w:rsid w:val="00D07ABC"/>
    <w:rsid w:val="00D07AFA"/>
    <w:rsid w:val="00D07B82"/>
    <w:rsid w:val="00D07C5F"/>
    <w:rsid w:val="00D07D14"/>
    <w:rsid w:val="00D07D1A"/>
    <w:rsid w:val="00D07D80"/>
    <w:rsid w:val="00D1001F"/>
    <w:rsid w:val="00D100BA"/>
    <w:rsid w:val="00D10236"/>
    <w:rsid w:val="00D10327"/>
    <w:rsid w:val="00D1035B"/>
    <w:rsid w:val="00D10478"/>
    <w:rsid w:val="00D104CE"/>
    <w:rsid w:val="00D1054C"/>
    <w:rsid w:val="00D10594"/>
    <w:rsid w:val="00D10626"/>
    <w:rsid w:val="00D107E9"/>
    <w:rsid w:val="00D1085C"/>
    <w:rsid w:val="00D108A5"/>
    <w:rsid w:val="00D10924"/>
    <w:rsid w:val="00D1094C"/>
    <w:rsid w:val="00D109DA"/>
    <w:rsid w:val="00D10BB8"/>
    <w:rsid w:val="00D10BEC"/>
    <w:rsid w:val="00D10C6C"/>
    <w:rsid w:val="00D10D7F"/>
    <w:rsid w:val="00D10D89"/>
    <w:rsid w:val="00D10DB9"/>
    <w:rsid w:val="00D10E43"/>
    <w:rsid w:val="00D10E77"/>
    <w:rsid w:val="00D110B7"/>
    <w:rsid w:val="00D110B8"/>
    <w:rsid w:val="00D110BE"/>
    <w:rsid w:val="00D11117"/>
    <w:rsid w:val="00D11128"/>
    <w:rsid w:val="00D111FB"/>
    <w:rsid w:val="00D112B6"/>
    <w:rsid w:val="00D112CA"/>
    <w:rsid w:val="00D1141F"/>
    <w:rsid w:val="00D1142D"/>
    <w:rsid w:val="00D116BF"/>
    <w:rsid w:val="00D117FC"/>
    <w:rsid w:val="00D11816"/>
    <w:rsid w:val="00D118BE"/>
    <w:rsid w:val="00D11A25"/>
    <w:rsid w:val="00D11A5C"/>
    <w:rsid w:val="00D11B19"/>
    <w:rsid w:val="00D11C53"/>
    <w:rsid w:val="00D11D5F"/>
    <w:rsid w:val="00D11E44"/>
    <w:rsid w:val="00D11E6B"/>
    <w:rsid w:val="00D11F1E"/>
    <w:rsid w:val="00D11F82"/>
    <w:rsid w:val="00D11FD3"/>
    <w:rsid w:val="00D11FF0"/>
    <w:rsid w:val="00D12112"/>
    <w:rsid w:val="00D121A2"/>
    <w:rsid w:val="00D121C3"/>
    <w:rsid w:val="00D121FE"/>
    <w:rsid w:val="00D12254"/>
    <w:rsid w:val="00D12273"/>
    <w:rsid w:val="00D122E1"/>
    <w:rsid w:val="00D1233B"/>
    <w:rsid w:val="00D124A7"/>
    <w:rsid w:val="00D1254B"/>
    <w:rsid w:val="00D12648"/>
    <w:rsid w:val="00D127EF"/>
    <w:rsid w:val="00D12A3B"/>
    <w:rsid w:val="00D12A75"/>
    <w:rsid w:val="00D12A7C"/>
    <w:rsid w:val="00D12AB3"/>
    <w:rsid w:val="00D12B0D"/>
    <w:rsid w:val="00D12B34"/>
    <w:rsid w:val="00D12C46"/>
    <w:rsid w:val="00D12D3A"/>
    <w:rsid w:val="00D12D49"/>
    <w:rsid w:val="00D12D87"/>
    <w:rsid w:val="00D12EB7"/>
    <w:rsid w:val="00D12F77"/>
    <w:rsid w:val="00D13096"/>
    <w:rsid w:val="00D131C2"/>
    <w:rsid w:val="00D132B5"/>
    <w:rsid w:val="00D13335"/>
    <w:rsid w:val="00D1333B"/>
    <w:rsid w:val="00D13378"/>
    <w:rsid w:val="00D13457"/>
    <w:rsid w:val="00D13471"/>
    <w:rsid w:val="00D134E9"/>
    <w:rsid w:val="00D135F7"/>
    <w:rsid w:val="00D1365A"/>
    <w:rsid w:val="00D1383B"/>
    <w:rsid w:val="00D13883"/>
    <w:rsid w:val="00D1397C"/>
    <w:rsid w:val="00D13A46"/>
    <w:rsid w:val="00D13C1C"/>
    <w:rsid w:val="00D13E77"/>
    <w:rsid w:val="00D13FFB"/>
    <w:rsid w:val="00D141BE"/>
    <w:rsid w:val="00D1425E"/>
    <w:rsid w:val="00D14293"/>
    <w:rsid w:val="00D143D2"/>
    <w:rsid w:val="00D14469"/>
    <w:rsid w:val="00D1446C"/>
    <w:rsid w:val="00D1459C"/>
    <w:rsid w:val="00D1473D"/>
    <w:rsid w:val="00D1499F"/>
    <w:rsid w:val="00D14A4B"/>
    <w:rsid w:val="00D14AF7"/>
    <w:rsid w:val="00D14B46"/>
    <w:rsid w:val="00D14BBC"/>
    <w:rsid w:val="00D14C57"/>
    <w:rsid w:val="00D14CBE"/>
    <w:rsid w:val="00D15013"/>
    <w:rsid w:val="00D15059"/>
    <w:rsid w:val="00D15064"/>
    <w:rsid w:val="00D150CF"/>
    <w:rsid w:val="00D1515E"/>
    <w:rsid w:val="00D15173"/>
    <w:rsid w:val="00D15190"/>
    <w:rsid w:val="00D152B2"/>
    <w:rsid w:val="00D153C8"/>
    <w:rsid w:val="00D15409"/>
    <w:rsid w:val="00D1552A"/>
    <w:rsid w:val="00D15618"/>
    <w:rsid w:val="00D1568F"/>
    <w:rsid w:val="00D156B6"/>
    <w:rsid w:val="00D15768"/>
    <w:rsid w:val="00D15914"/>
    <w:rsid w:val="00D15A41"/>
    <w:rsid w:val="00D15A4C"/>
    <w:rsid w:val="00D15AF0"/>
    <w:rsid w:val="00D15C0C"/>
    <w:rsid w:val="00D15C3D"/>
    <w:rsid w:val="00D15C85"/>
    <w:rsid w:val="00D15DA7"/>
    <w:rsid w:val="00D16034"/>
    <w:rsid w:val="00D16323"/>
    <w:rsid w:val="00D1638E"/>
    <w:rsid w:val="00D16449"/>
    <w:rsid w:val="00D16791"/>
    <w:rsid w:val="00D16844"/>
    <w:rsid w:val="00D169B0"/>
    <w:rsid w:val="00D169C7"/>
    <w:rsid w:val="00D169F9"/>
    <w:rsid w:val="00D16AFA"/>
    <w:rsid w:val="00D16BCB"/>
    <w:rsid w:val="00D16BD8"/>
    <w:rsid w:val="00D16C3C"/>
    <w:rsid w:val="00D16C3D"/>
    <w:rsid w:val="00D16C65"/>
    <w:rsid w:val="00D16C8E"/>
    <w:rsid w:val="00D16CA8"/>
    <w:rsid w:val="00D16DDC"/>
    <w:rsid w:val="00D16EE2"/>
    <w:rsid w:val="00D16F6E"/>
    <w:rsid w:val="00D16FF3"/>
    <w:rsid w:val="00D1706F"/>
    <w:rsid w:val="00D17109"/>
    <w:rsid w:val="00D17243"/>
    <w:rsid w:val="00D1724D"/>
    <w:rsid w:val="00D17257"/>
    <w:rsid w:val="00D17262"/>
    <w:rsid w:val="00D1756E"/>
    <w:rsid w:val="00D175AA"/>
    <w:rsid w:val="00D175D7"/>
    <w:rsid w:val="00D17736"/>
    <w:rsid w:val="00D177C2"/>
    <w:rsid w:val="00D17819"/>
    <w:rsid w:val="00D1783A"/>
    <w:rsid w:val="00D17865"/>
    <w:rsid w:val="00D178CC"/>
    <w:rsid w:val="00D178DB"/>
    <w:rsid w:val="00D1793D"/>
    <w:rsid w:val="00D17963"/>
    <w:rsid w:val="00D17A4A"/>
    <w:rsid w:val="00D17AC2"/>
    <w:rsid w:val="00D17CB5"/>
    <w:rsid w:val="00D17D5F"/>
    <w:rsid w:val="00D17D72"/>
    <w:rsid w:val="00D17DA9"/>
    <w:rsid w:val="00D17E57"/>
    <w:rsid w:val="00D17E9B"/>
    <w:rsid w:val="00D17F11"/>
    <w:rsid w:val="00D2006C"/>
    <w:rsid w:val="00D200A6"/>
    <w:rsid w:val="00D20187"/>
    <w:rsid w:val="00D201A7"/>
    <w:rsid w:val="00D20217"/>
    <w:rsid w:val="00D202AD"/>
    <w:rsid w:val="00D20318"/>
    <w:rsid w:val="00D20381"/>
    <w:rsid w:val="00D20438"/>
    <w:rsid w:val="00D204DC"/>
    <w:rsid w:val="00D205E3"/>
    <w:rsid w:val="00D20704"/>
    <w:rsid w:val="00D2085D"/>
    <w:rsid w:val="00D2086C"/>
    <w:rsid w:val="00D209C4"/>
    <w:rsid w:val="00D20A74"/>
    <w:rsid w:val="00D20AC9"/>
    <w:rsid w:val="00D20AFC"/>
    <w:rsid w:val="00D20B6D"/>
    <w:rsid w:val="00D20D3B"/>
    <w:rsid w:val="00D20D65"/>
    <w:rsid w:val="00D20D6A"/>
    <w:rsid w:val="00D20D8C"/>
    <w:rsid w:val="00D20EDA"/>
    <w:rsid w:val="00D20F21"/>
    <w:rsid w:val="00D210B5"/>
    <w:rsid w:val="00D2112C"/>
    <w:rsid w:val="00D21302"/>
    <w:rsid w:val="00D214E6"/>
    <w:rsid w:val="00D21522"/>
    <w:rsid w:val="00D21528"/>
    <w:rsid w:val="00D2159E"/>
    <w:rsid w:val="00D21602"/>
    <w:rsid w:val="00D216D4"/>
    <w:rsid w:val="00D2171C"/>
    <w:rsid w:val="00D21733"/>
    <w:rsid w:val="00D21831"/>
    <w:rsid w:val="00D218C1"/>
    <w:rsid w:val="00D21937"/>
    <w:rsid w:val="00D21A1D"/>
    <w:rsid w:val="00D21A7E"/>
    <w:rsid w:val="00D21B0F"/>
    <w:rsid w:val="00D21B5E"/>
    <w:rsid w:val="00D21DB8"/>
    <w:rsid w:val="00D21DE9"/>
    <w:rsid w:val="00D21F9B"/>
    <w:rsid w:val="00D22051"/>
    <w:rsid w:val="00D220E3"/>
    <w:rsid w:val="00D2213A"/>
    <w:rsid w:val="00D22271"/>
    <w:rsid w:val="00D222BE"/>
    <w:rsid w:val="00D2230E"/>
    <w:rsid w:val="00D223B4"/>
    <w:rsid w:val="00D22406"/>
    <w:rsid w:val="00D224B1"/>
    <w:rsid w:val="00D22613"/>
    <w:rsid w:val="00D226A3"/>
    <w:rsid w:val="00D2281A"/>
    <w:rsid w:val="00D2281C"/>
    <w:rsid w:val="00D2297A"/>
    <w:rsid w:val="00D229C3"/>
    <w:rsid w:val="00D229CF"/>
    <w:rsid w:val="00D22A3B"/>
    <w:rsid w:val="00D22D05"/>
    <w:rsid w:val="00D22DAC"/>
    <w:rsid w:val="00D22E24"/>
    <w:rsid w:val="00D22F4D"/>
    <w:rsid w:val="00D22F8B"/>
    <w:rsid w:val="00D22FF8"/>
    <w:rsid w:val="00D22FFC"/>
    <w:rsid w:val="00D2313E"/>
    <w:rsid w:val="00D232FC"/>
    <w:rsid w:val="00D233EF"/>
    <w:rsid w:val="00D234DD"/>
    <w:rsid w:val="00D2359B"/>
    <w:rsid w:val="00D2372D"/>
    <w:rsid w:val="00D237A1"/>
    <w:rsid w:val="00D2380F"/>
    <w:rsid w:val="00D23882"/>
    <w:rsid w:val="00D23A69"/>
    <w:rsid w:val="00D23C3D"/>
    <w:rsid w:val="00D23D90"/>
    <w:rsid w:val="00D23DDC"/>
    <w:rsid w:val="00D23DF1"/>
    <w:rsid w:val="00D23F12"/>
    <w:rsid w:val="00D23F28"/>
    <w:rsid w:val="00D24004"/>
    <w:rsid w:val="00D2411D"/>
    <w:rsid w:val="00D2418F"/>
    <w:rsid w:val="00D241F6"/>
    <w:rsid w:val="00D2421F"/>
    <w:rsid w:val="00D24256"/>
    <w:rsid w:val="00D2425D"/>
    <w:rsid w:val="00D242AD"/>
    <w:rsid w:val="00D2446B"/>
    <w:rsid w:val="00D24584"/>
    <w:rsid w:val="00D2458D"/>
    <w:rsid w:val="00D24735"/>
    <w:rsid w:val="00D247E1"/>
    <w:rsid w:val="00D24A7D"/>
    <w:rsid w:val="00D24B22"/>
    <w:rsid w:val="00D24BEE"/>
    <w:rsid w:val="00D24E3B"/>
    <w:rsid w:val="00D24F69"/>
    <w:rsid w:val="00D24F85"/>
    <w:rsid w:val="00D24FE6"/>
    <w:rsid w:val="00D25054"/>
    <w:rsid w:val="00D250A6"/>
    <w:rsid w:val="00D250D7"/>
    <w:rsid w:val="00D2528D"/>
    <w:rsid w:val="00D252A1"/>
    <w:rsid w:val="00D252E2"/>
    <w:rsid w:val="00D25372"/>
    <w:rsid w:val="00D253A0"/>
    <w:rsid w:val="00D253AA"/>
    <w:rsid w:val="00D253FD"/>
    <w:rsid w:val="00D25531"/>
    <w:rsid w:val="00D25562"/>
    <w:rsid w:val="00D25572"/>
    <w:rsid w:val="00D2559F"/>
    <w:rsid w:val="00D255E2"/>
    <w:rsid w:val="00D25668"/>
    <w:rsid w:val="00D25743"/>
    <w:rsid w:val="00D25764"/>
    <w:rsid w:val="00D257A1"/>
    <w:rsid w:val="00D25821"/>
    <w:rsid w:val="00D25871"/>
    <w:rsid w:val="00D2591E"/>
    <w:rsid w:val="00D2598D"/>
    <w:rsid w:val="00D25994"/>
    <w:rsid w:val="00D25A32"/>
    <w:rsid w:val="00D25AAB"/>
    <w:rsid w:val="00D25AE2"/>
    <w:rsid w:val="00D25CB9"/>
    <w:rsid w:val="00D25DD9"/>
    <w:rsid w:val="00D25E3A"/>
    <w:rsid w:val="00D25F19"/>
    <w:rsid w:val="00D26006"/>
    <w:rsid w:val="00D26062"/>
    <w:rsid w:val="00D26175"/>
    <w:rsid w:val="00D2626A"/>
    <w:rsid w:val="00D262C8"/>
    <w:rsid w:val="00D262DE"/>
    <w:rsid w:val="00D2632C"/>
    <w:rsid w:val="00D26375"/>
    <w:rsid w:val="00D2650B"/>
    <w:rsid w:val="00D266A0"/>
    <w:rsid w:val="00D267FB"/>
    <w:rsid w:val="00D26801"/>
    <w:rsid w:val="00D26815"/>
    <w:rsid w:val="00D26873"/>
    <w:rsid w:val="00D26A31"/>
    <w:rsid w:val="00D26A51"/>
    <w:rsid w:val="00D26CB2"/>
    <w:rsid w:val="00D26E6D"/>
    <w:rsid w:val="00D26E91"/>
    <w:rsid w:val="00D26F5F"/>
    <w:rsid w:val="00D26FB0"/>
    <w:rsid w:val="00D270CD"/>
    <w:rsid w:val="00D270E2"/>
    <w:rsid w:val="00D27106"/>
    <w:rsid w:val="00D2716C"/>
    <w:rsid w:val="00D27209"/>
    <w:rsid w:val="00D27232"/>
    <w:rsid w:val="00D27245"/>
    <w:rsid w:val="00D2732A"/>
    <w:rsid w:val="00D27382"/>
    <w:rsid w:val="00D273DA"/>
    <w:rsid w:val="00D27497"/>
    <w:rsid w:val="00D274D8"/>
    <w:rsid w:val="00D27638"/>
    <w:rsid w:val="00D276AB"/>
    <w:rsid w:val="00D2777E"/>
    <w:rsid w:val="00D27875"/>
    <w:rsid w:val="00D27940"/>
    <w:rsid w:val="00D279B7"/>
    <w:rsid w:val="00D279C3"/>
    <w:rsid w:val="00D279F5"/>
    <w:rsid w:val="00D279FC"/>
    <w:rsid w:val="00D27A3F"/>
    <w:rsid w:val="00D27AC5"/>
    <w:rsid w:val="00D27B8F"/>
    <w:rsid w:val="00D27BEE"/>
    <w:rsid w:val="00D27BF7"/>
    <w:rsid w:val="00D27D36"/>
    <w:rsid w:val="00D27E51"/>
    <w:rsid w:val="00D27E72"/>
    <w:rsid w:val="00D27EC2"/>
    <w:rsid w:val="00D27F2F"/>
    <w:rsid w:val="00D27F69"/>
    <w:rsid w:val="00D27F78"/>
    <w:rsid w:val="00D30019"/>
    <w:rsid w:val="00D30056"/>
    <w:rsid w:val="00D3008E"/>
    <w:rsid w:val="00D30137"/>
    <w:rsid w:val="00D30178"/>
    <w:rsid w:val="00D30363"/>
    <w:rsid w:val="00D304C0"/>
    <w:rsid w:val="00D30556"/>
    <w:rsid w:val="00D305D0"/>
    <w:rsid w:val="00D306E1"/>
    <w:rsid w:val="00D30771"/>
    <w:rsid w:val="00D30903"/>
    <w:rsid w:val="00D309E6"/>
    <w:rsid w:val="00D30A03"/>
    <w:rsid w:val="00D30A50"/>
    <w:rsid w:val="00D30B2E"/>
    <w:rsid w:val="00D30B30"/>
    <w:rsid w:val="00D30B80"/>
    <w:rsid w:val="00D30BEC"/>
    <w:rsid w:val="00D30C33"/>
    <w:rsid w:val="00D30C8F"/>
    <w:rsid w:val="00D30D8C"/>
    <w:rsid w:val="00D30DE4"/>
    <w:rsid w:val="00D30E0F"/>
    <w:rsid w:val="00D30E83"/>
    <w:rsid w:val="00D30EBE"/>
    <w:rsid w:val="00D30ED9"/>
    <w:rsid w:val="00D30FA6"/>
    <w:rsid w:val="00D31290"/>
    <w:rsid w:val="00D312E4"/>
    <w:rsid w:val="00D31488"/>
    <w:rsid w:val="00D3161B"/>
    <w:rsid w:val="00D3169A"/>
    <w:rsid w:val="00D318E2"/>
    <w:rsid w:val="00D31991"/>
    <w:rsid w:val="00D31A1A"/>
    <w:rsid w:val="00D31B9F"/>
    <w:rsid w:val="00D31BF3"/>
    <w:rsid w:val="00D31D63"/>
    <w:rsid w:val="00D31D82"/>
    <w:rsid w:val="00D31F16"/>
    <w:rsid w:val="00D31F8E"/>
    <w:rsid w:val="00D32082"/>
    <w:rsid w:val="00D32297"/>
    <w:rsid w:val="00D322C7"/>
    <w:rsid w:val="00D3242C"/>
    <w:rsid w:val="00D3244E"/>
    <w:rsid w:val="00D3261D"/>
    <w:rsid w:val="00D3282E"/>
    <w:rsid w:val="00D32878"/>
    <w:rsid w:val="00D328DC"/>
    <w:rsid w:val="00D32924"/>
    <w:rsid w:val="00D3296C"/>
    <w:rsid w:val="00D32997"/>
    <w:rsid w:val="00D32999"/>
    <w:rsid w:val="00D32D8E"/>
    <w:rsid w:val="00D32E63"/>
    <w:rsid w:val="00D32E7F"/>
    <w:rsid w:val="00D32E85"/>
    <w:rsid w:val="00D32F5B"/>
    <w:rsid w:val="00D33311"/>
    <w:rsid w:val="00D3335F"/>
    <w:rsid w:val="00D33473"/>
    <w:rsid w:val="00D335E0"/>
    <w:rsid w:val="00D335F5"/>
    <w:rsid w:val="00D33723"/>
    <w:rsid w:val="00D3377F"/>
    <w:rsid w:val="00D33885"/>
    <w:rsid w:val="00D338E0"/>
    <w:rsid w:val="00D33964"/>
    <w:rsid w:val="00D339A3"/>
    <w:rsid w:val="00D33A39"/>
    <w:rsid w:val="00D33BFF"/>
    <w:rsid w:val="00D33C70"/>
    <w:rsid w:val="00D33C82"/>
    <w:rsid w:val="00D33C9D"/>
    <w:rsid w:val="00D33C9E"/>
    <w:rsid w:val="00D33E60"/>
    <w:rsid w:val="00D33EDD"/>
    <w:rsid w:val="00D33EF1"/>
    <w:rsid w:val="00D33EF4"/>
    <w:rsid w:val="00D33F84"/>
    <w:rsid w:val="00D3411A"/>
    <w:rsid w:val="00D3416B"/>
    <w:rsid w:val="00D341F3"/>
    <w:rsid w:val="00D343B4"/>
    <w:rsid w:val="00D34462"/>
    <w:rsid w:val="00D344BB"/>
    <w:rsid w:val="00D34523"/>
    <w:rsid w:val="00D345D4"/>
    <w:rsid w:val="00D3465C"/>
    <w:rsid w:val="00D3466E"/>
    <w:rsid w:val="00D346B2"/>
    <w:rsid w:val="00D346BC"/>
    <w:rsid w:val="00D34781"/>
    <w:rsid w:val="00D34879"/>
    <w:rsid w:val="00D348FD"/>
    <w:rsid w:val="00D3494F"/>
    <w:rsid w:val="00D34A27"/>
    <w:rsid w:val="00D34A47"/>
    <w:rsid w:val="00D34A57"/>
    <w:rsid w:val="00D34A5E"/>
    <w:rsid w:val="00D34A7B"/>
    <w:rsid w:val="00D34A98"/>
    <w:rsid w:val="00D34ADC"/>
    <w:rsid w:val="00D34C4F"/>
    <w:rsid w:val="00D34C72"/>
    <w:rsid w:val="00D34C92"/>
    <w:rsid w:val="00D34CA5"/>
    <w:rsid w:val="00D34DF5"/>
    <w:rsid w:val="00D34EBB"/>
    <w:rsid w:val="00D34ECD"/>
    <w:rsid w:val="00D34F1D"/>
    <w:rsid w:val="00D34F4D"/>
    <w:rsid w:val="00D35092"/>
    <w:rsid w:val="00D35131"/>
    <w:rsid w:val="00D3516E"/>
    <w:rsid w:val="00D351F4"/>
    <w:rsid w:val="00D352E5"/>
    <w:rsid w:val="00D35490"/>
    <w:rsid w:val="00D354A0"/>
    <w:rsid w:val="00D354E5"/>
    <w:rsid w:val="00D35589"/>
    <w:rsid w:val="00D35597"/>
    <w:rsid w:val="00D3589D"/>
    <w:rsid w:val="00D358F9"/>
    <w:rsid w:val="00D35A20"/>
    <w:rsid w:val="00D35A26"/>
    <w:rsid w:val="00D35A50"/>
    <w:rsid w:val="00D35C93"/>
    <w:rsid w:val="00D35E6C"/>
    <w:rsid w:val="00D35EBC"/>
    <w:rsid w:val="00D35F34"/>
    <w:rsid w:val="00D3611F"/>
    <w:rsid w:val="00D3613D"/>
    <w:rsid w:val="00D3626E"/>
    <w:rsid w:val="00D363A8"/>
    <w:rsid w:val="00D3641A"/>
    <w:rsid w:val="00D36439"/>
    <w:rsid w:val="00D36469"/>
    <w:rsid w:val="00D3649E"/>
    <w:rsid w:val="00D364A2"/>
    <w:rsid w:val="00D36637"/>
    <w:rsid w:val="00D36667"/>
    <w:rsid w:val="00D366A6"/>
    <w:rsid w:val="00D3680D"/>
    <w:rsid w:val="00D3697E"/>
    <w:rsid w:val="00D369EC"/>
    <w:rsid w:val="00D36AA7"/>
    <w:rsid w:val="00D36ABF"/>
    <w:rsid w:val="00D36AD1"/>
    <w:rsid w:val="00D36DF6"/>
    <w:rsid w:val="00D36E5B"/>
    <w:rsid w:val="00D36F7B"/>
    <w:rsid w:val="00D36FD2"/>
    <w:rsid w:val="00D36FF6"/>
    <w:rsid w:val="00D37067"/>
    <w:rsid w:val="00D37105"/>
    <w:rsid w:val="00D37260"/>
    <w:rsid w:val="00D3738D"/>
    <w:rsid w:val="00D373DD"/>
    <w:rsid w:val="00D373F1"/>
    <w:rsid w:val="00D374A1"/>
    <w:rsid w:val="00D374DB"/>
    <w:rsid w:val="00D376A7"/>
    <w:rsid w:val="00D376EB"/>
    <w:rsid w:val="00D377F1"/>
    <w:rsid w:val="00D3781B"/>
    <w:rsid w:val="00D378CF"/>
    <w:rsid w:val="00D37941"/>
    <w:rsid w:val="00D37946"/>
    <w:rsid w:val="00D37987"/>
    <w:rsid w:val="00D379A0"/>
    <w:rsid w:val="00D37A14"/>
    <w:rsid w:val="00D37BE4"/>
    <w:rsid w:val="00D37CE7"/>
    <w:rsid w:val="00D37D02"/>
    <w:rsid w:val="00D37D1F"/>
    <w:rsid w:val="00D37D84"/>
    <w:rsid w:val="00D37DAD"/>
    <w:rsid w:val="00D37E0B"/>
    <w:rsid w:val="00D37E27"/>
    <w:rsid w:val="00D37E4D"/>
    <w:rsid w:val="00D37E9A"/>
    <w:rsid w:val="00D37F6B"/>
    <w:rsid w:val="00D37F7D"/>
    <w:rsid w:val="00D4007B"/>
    <w:rsid w:val="00D4008A"/>
    <w:rsid w:val="00D400E5"/>
    <w:rsid w:val="00D40197"/>
    <w:rsid w:val="00D401BA"/>
    <w:rsid w:val="00D40250"/>
    <w:rsid w:val="00D40269"/>
    <w:rsid w:val="00D40304"/>
    <w:rsid w:val="00D40309"/>
    <w:rsid w:val="00D40335"/>
    <w:rsid w:val="00D403A7"/>
    <w:rsid w:val="00D4048F"/>
    <w:rsid w:val="00D40505"/>
    <w:rsid w:val="00D40621"/>
    <w:rsid w:val="00D40664"/>
    <w:rsid w:val="00D4067B"/>
    <w:rsid w:val="00D4073A"/>
    <w:rsid w:val="00D40883"/>
    <w:rsid w:val="00D40AE6"/>
    <w:rsid w:val="00D40D75"/>
    <w:rsid w:val="00D40F4F"/>
    <w:rsid w:val="00D40F88"/>
    <w:rsid w:val="00D40F90"/>
    <w:rsid w:val="00D41051"/>
    <w:rsid w:val="00D411BC"/>
    <w:rsid w:val="00D4149E"/>
    <w:rsid w:val="00D414B2"/>
    <w:rsid w:val="00D415CC"/>
    <w:rsid w:val="00D41954"/>
    <w:rsid w:val="00D41B4C"/>
    <w:rsid w:val="00D41B74"/>
    <w:rsid w:val="00D41C1A"/>
    <w:rsid w:val="00D41C3C"/>
    <w:rsid w:val="00D41DCF"/>
    <w:rsid w:val="00D41E52"/>
    <w:rsid w:val="00D41E5E"/>
    <w:rsid w:val="00D41F25"/>
    <w:rsid w:val="00D41FA0"/>
    <w:rsid w:val="00D4202D"/>
    <w:rsid w:val="00D42030"/>
    <w:rsid w:val="00D420AE"/>
    <w:rsid w:val="00D420D3"/>
    <w:rsid w:val="00D42129"/>
    <w:rsid w:val="00D42171"/>
    <w:rsid w:val="00D4225E"/>
    <w:rsid w:val="00D42260"/>
    <w:rsid w:val="00D422B7"/>
    <w:rsid w:val="00D42321"/>
    <w:rsid w:val="00D423DE"/>
    <w:rsid w:val="00D425C3"/>
    <w:rsid w:val="00D425F5"/>
    <w:rsid w:val="00D42636"/>
    <w:rsid w:val="00D426A1"/>
    <w:rsid w:val="00D42718"/>
    <w:rsid w:val="00D42721"/>
    <w:rsid w:val="00D427B8"/>
    <w:rsid w:val="00D429B2"/>
    <w:rsid w:val="00D42AD5"/>
    <w:rsid w:val="00D42BCD"/>
    <w:rsid w:val="00D42D81"/>
    <w:rsid w:val="00D42DDF"/>
    <w:rsid w:val="00D42DFB"/>
    <w:rsid w:val="00D42E97"/>
    <w:rsid w:val="00D42F65"/>
    <w:rsid w:val="00D43068"/>
    <w:rsid w:val="00D43351"/>
    <w:rsid w:val="00D4336D"/>
    <w:rsid w:val="00D4340D"/>
    <w:rsid w:val="00D43474"/>
    <w:rsid w:val="00D43482"/>
    <w:rsid w:val="00D43504"/>
    <w:rsid w:val="00D4389D"/>
    <w:rsid w:val="00D43972"/>
    <w:rsid w:val="00D43A57"/>
    <w:rsid w:val="00D43A60"/>
    <w:rsid w:val="00D43ADB"/>
    <w:rsid w:val="00D43CFB"/>
    <w:rsid w:val="00D43D50"/>
    <w:rsid w:val="00D43D8A"/>
    <w:rsid w:val="00D43DD4"/>
    <w:rsid w:val="00D43F6D"/>
    <w:rsid w:val="00D43FE2"/>
    <w:rsid w:val="00D4408A"/>
    <w:rsid w:val="00D44095"/>
    <w:rsid w:val="00D4424F"/>
    <w:rsid w:val="00D442D1"/>
    <w:rsid w:val="00D4439D"/>
    <w:rsid w:val="00D443EC"/>
    <w:rsid w:val="00D44454"/>
    <w:rsid w:val="00D44465"/>
    <w:rsid w:val="00D44505"/>
    <w:rsid w:val="00D445F3"/>
    <w:rsid w:val="00D44638"/>
    <w:rsid w:val="00D44780"/>
    <w:rsid w:val="00D44783"/>
    <w:rsid w:val="00D447D7"/>
    <w:rsid w:val="00D44876"/>
    <w:rsid w:val="00D448A9"/>
    <w:rsid w:val="00D44948"/>
    <w:rsid w:val="00D4494D"/>
    <w:rsid w:val="00D44CB1"/>
    <w:rsid w:val="00D44CBD"/>
    <w:rsid w:val="00D44DF2"/>
    <w:rsid w:val="00D44E11"/>
    <w:rsid w:val="00D44E41"/>
    <w:rsid w:val="00D44E6F"/>
    <w:rsid w:val="00D44EBB"/>
    <w:rsid w:val="00D44F5C"/>
    <w:rsid w:val="00D44FD1"/>
    <w:rsid w:val="00D4503F"/>
    <w:rsid w:val="00D45054"/>
    <w:rsid w:val="00D450BD"/>
    <w:rsid w:val="00D451A9"/>
    <w:rsid w:val="00D45321"/>
    <w:rsid w:val="00D45365"/>
    <w:rsid w:val="00D453B8"/>
    <w:rsid w:val="00D454B3"/>
    <w:rsid w:val="00D454B4"/>
    <w:rsid w:val="00D45554"/>
    <w:rsid w:val="00D458CE"/>
    <w:rsid w:val="00D459A2"/>
    <w:rsid w:val="00D459A3"/>
    <w:rsid w:val="00D459A4"/>
    <w:rsid w:val="00D459E1"/>
    <w:rsid w:val="00D459F9"/>
    <w:rsid w:val="00D459FA"/>
    <w:rsid w:val="00D45A20"/>
    <w:rsid w:val="00D45A7A"/>
    <w:rsid w:val="00D45AD4"/>
    <w:rsid w:val="00D45B39"/>
    <w:rsid w:val="00D45B98"/>
    <w:rsid w:val="00D45C26"/>
    <w:rsid w:val="00D45CA8"/>
    <w:rsid w:val="00D45D47"/>
    <w:rsid w:val="00D45F68"/>
    <w:rsid w:val="00D45FCB"/>
    <w:rsid w:val="00D46016"/>
    <w:rsid w:val="00D46195"/>
    <w:rsid w:val="00D461DC"/>
    <w:rsid w:val="00D462EA"/>
    <w:rsid w:val="00D46369"/>
    <w:rsid w:val="00D4639A"/>
    <w:rsid w:val="00D4649C"/>
    <w:rsid w:val="00D464E6"/>
    <w:rsid w:val="00D465A3"/>
    <w:rsid w:val="00D467A8"/>
    <w:rsid w:val="00D4696D"/>
    <w:rsid w:val="00D46BBD"/>
    <w:rsid w:val="00D46BFE"/>
    <w:rsid w:val="00D46C8F"/>
    <w:rsid w:val="00D46D2F"/>
    <w:rsid w:val="00D46E25"/>
    <w:rsid w:val="00D470CD"/>
    <w:rsid w:val="00D47132"/>
    <w:rsid w:val="00D472D3"/>
    <w:rsid w:val="00D47336"/>
    <w:rsid w:val="00D47348"/>
    <w:rsid w:val="00D4738B"/>
    <w:rsid w:val="00D473AC"/>
    <w:rsid w:val="00D473D7"/>
    <w:rsid w:val="00D474F4"/>
    <w:rsid w:val="00D475D6"/>
    <w:rsid w:val="00D475E3"/>
    <w:rsid w:val="00D4762E"/>
    <w:rsid w:val="00D4764B"/>
    <w:rsid w:val="00D478A0"/>
    <w:rsid w:val="00D47961"/>
    <w:rsid w:val="00D4796E"/>
    <w:rsid w:val="00D479A8"/>
    <w:rsid w:val="00D47A15"/>
    <w:rsid w:val="00D47AE1"/>
    <w:rsid w:val="00D47BBB"/>
    <w:rsid w:val="00D47BE8"/>
    <w:rsid w:val="00D47C42"/>
    <w:rsid w:val="00D47C53"/>
    <w:rsid w:val="00D47D93"/>
    <w:rsid w:val="00D47E9C"/>
    <w:rsid w:val="00D47EC7"/>
    <w:rsid w:val="00D47ED5"/>
    <w:rsid w:val="00D47F38"/>
    <w:rsid w:val="00D50140"/>
    <w:rsid w:val="00D502A9"/>
    <w:rsid w:val="00D502FC"/>
    <w:rsid w:val="00D50396"/>
    <w:rsid w:val="00D503F2"/>
    <w:rsid w:val="00D5046A"/>
    <w:rsid w:val="00D50555"/>
    <w:rsid w:val="00D5060C"/>
    <w:rsid w:val="00D5081B"/>
    <w:rsid w:val="00D50868"/>
    <w:rsid w:val="00D509A6"/>
    <w:rsid w:val="00D50BFA"/>
    <w:rsid w:val="00D50C01"/>
    <w:rsid w:val="00D50C2A"/>
    <w:rsid w:val="00D50CD4"/>
    <w:rsid w:val="00D50D8F"/>
    <w:rsid w:val="00D50DBD"/>
    <w:rsid w:val="00D50E69"/>
    <w:rsid w:val="00D50F60"/>
    <w:rsid w:val="00D51069"/>
    <w:rsid w:val="00D5118D"/>
    <w:rsid w:val="00D5119B"/>
    <w:rsid w:val="00D51231"/>
    <w:rsid w:val="00D5126B"/>
    <w:rsid w:val="00D5129A"/>
    <w:rsid w:val="00D512E8"/>
    <w:rsid w:val="00D5141F"/>
    <w:rsid w:val="00D514E4"/>
    <w:rsid w:val="00D518CA"/>
    <w:rsid w:val="00D51910"/>
    <w:rsid w:val="00D51B02"/>
    <w:rsid w:val="00D51BC9"/>
    <w:rsid w:val="00D51BE3"/>
    <w:rsid w:val="00D51CAC"/>
    <w:rsid w:val="00D51D30"/>
    <w:rsid w:val="00D51E38"/>
    <w:rsid w:val="00D51E88"/>
    <w:rsid w:val="00D51EA9"/>
    <w:rsid w:val="00D51EE4"/>
    <w:rsid w:val="00D51EE9"/>
    <w:rsid w:val="00D51F9B"/>
    <w:rsid w:val="00D520EC"/>
    <w:rsid w:val="00D5221E"/>
    <w:rsid w:val="00D5226D"/>
    <w:rsid w:val="00D52298"/>
    <w:rsid w:val="00D522BC"/>
    <w:rsid w:val="00D52375"/>
    <w:rsid w:val="00D523B3"/>
    <w:rsid w:val="00D5240F"/>
    <w:rsid w:val="00D52436"/>
    <w:rsid w:val="00D525D3"/>
    <w:rsid w:val="00D526FA"/>
    <w:rsid w:val="00D5283A"/>
    <w:rsid w:val="00D528EC"/>
    <w:rsid w:val="00D52919"/>
    <w:rsid w:val="00D529B6"/>
    <w:rsid w:val="00D52A21"/>
    <w:rsid w:val="00D52A2E"/>
    <w:rsid w:val="00D52A73"/>
    <w:rsid w:val="00D52B3B"/>
    <w:rsid w:val="00D52BB1"/>
    <w:rsid w:val="00D52CAB"/>
    <w:rsid w:val="00D52CF0"/>
    <w:rsid w:val="00D52D75"/>
    <w:rsid w:val="00D52E3C"/>
    <w:rsid w:val="00D52EE7"/>
    <w:rsid w:val="00D52F90"/>
    <w:rsid w:val="00D530B0"/>
    <w:rsid w:val="00D5316E"/>
    <w:rsid w:val="00D53245"/>
    <w:rsid w:val="00D532AA"/>
    <w:rsid w:val="00D535A8"/>
    <w:rsid w:val="00D53608"/>
    <w:rsid w:val="00D536AA"/>
    <w:rsid w:val="00D536B9"/>
    <w:rsid w:val="00D53731"/>
    <w:rsid w:val="00D539E4"/>
    <w:rsid w:val="00D53AA9"/>
    <w:rsid w:val="00D53BC5"/>
    <w:rsid w:val="00D53BFF"/>
    <w:rsid w:val="00D53C1A"/>
    <w:rsid w:val="00D53C7A"/>
    <w:rsid w:val="00D53C9C"/>
    <w:rsid w:val="00D53C9F"/>
    <w:rsid w:val="00D53CDF"/>
    <w:rsid w:val="00D5409B"/>
    <w:rsid w:val="00D54140"/>
    <w:rsid w:val="00D54259"/>
    <w:rsid w:val="00D54288"/>
    <w:rsid w:val="00D54409"/>
    <w:rsid w:val="00D5448A"/>
    <w:rsid w:val="00D5449D"/>
    <w:rsid w:val="00D544B2"/>
    <w:rsid w:val="00D54516"/>
    <w:rsid w:val="00D548FC"/>
    <w:rsid w:val="00D5491B"/>
    <w:rsid w:val="00D549D1"/>
    <w:rsid w:val="00D54A63"/>
    <w:rsid w:val="00D54B0A"/>
    <w:rsid w:val="00D54B5F"/>
    <w:rsid w:val="00D54C2E"/>
    <w:rsid w:val="00D54CE2"/>
    <w:rsid w:val="00D54D48"/>
    <w:rsid w:val="00D54D64"/>
    <w:rsid w:val="00D54E6F"/>
    <w:rsid w:val="00D54F0C"/>
    <w:rsid w:val="00D55089"/>
    <w:rsid w:val="00D55153"/>
    <w:rsid w:val="00D55279"/>
    <w:rsid w:val="00D552D6"/>
    <w:rsid w:val="00D5549C"/>
    <w:rsid w:val="00D554FE"/>
    <w:rsid w:val="00D55543"/>
    <w:rsid w:val="00D55783"/>
    <w:rsid w:val="00D55909"/>
    <w:rsid w:val="00D55969"/>
    <w:rsid w:val="00D5598C"/>
    <w:rsid w:val="00D55A21"/>
    <w:rsid w:val="00D55A36"/>
    <w:rsid w:val="00D55A54"/>
    <w:rsid w:val="00D55AF0"/>
    <w:rsid w:val="00D55B10"/>
    <w:rsid w:val="00D55BA0"/>
    <w:rsid w:val="00D55C1E"/>
    <w:rsid w:val="00D55DC5"/>
    <w:rsid w:val="00D55E39"/>
    <w:rsid w:val="00D56082"/>
    <w:rsid w:val="00D56089"/>
    <w:rsid w:val="00D5617E"/>
    <w:rsid w:val="00D561BB"/>
    <w:rsid w:val="00D564BE"/>
    <w:rsid w:val="00D56547"/>
    <w:rsid w:val="00D56574"/>
    <w:rsid w:val="00D5668A"/>
    <w:rsid w:val="00D566A0"/>
    <w:rsid w:val="00D568DC"/>
    <w:rsid w:val="00D5696E"/>
    <w:rsid w:val="00D56A0F"/>
    <w:rsid w:val="00D56AC1"/>
    <w:rsid w:val="00D56BAD"/>
    <w:rsid w:val="00D56C14"/>
    <w:rsid w:val="00D56C65"/>
    <w:rsid w:val="00D56C79"/>
    <w:rsid w:val="00D56CB5"/>
    <w:rsid w:val="00D56D7D"/>
    <w:rsid w:val="00D56DD8"/>
    <w:rsid w:val="00D56DEC"/>
    <w:rsid w:val="00D56EC4"/>
    <w:rsid w:val="00D56FC3"/>
    <w:rsid w:val="00D571D2"/>
    <w:rsid w:val="00D571E7"/>
    <w:rsid w:val="00D571FF"/>
    <w:rsid w:val="00D57245"/>
    <w:rsid w:val="00D572DF"/>
    <w:rsid w:val="00D573F6"/>
    <w:rsid w:val="00D5742A"/>
    <w:rsid w:val="00D57467"/>
    <w:rsid w:val="00D574E8"/>
    <w:rsid w:val="00D574F7"/>
    <w:rsid w:val="00D57624"/>
    <w:rsid w:val="00D576FC"/>
    <w:rsid w:val="00D57769"/>
    <w:rsid w:val="00D577CB"/>
    <w:rsid w:val="00D579A5"/>
    <w:rsid w:val="00D57A1C"/>
    <w:rsid w:val="00D57B4C"/>
    <w:rsid w:val="00D57C0D"/>
    <w:rsid w:val="00D57CDE"/>
    <w:rsid w:val="00D57D24"/>
    <w:rsid w:val="00D57D7A"/>
    <w:rsid w:val="00D57EBB"/>
    <w:rsid w:val="00D57EC1"/>
    <w:rsid w:val="00D57FD5"/>
    <w:rsid w:val="00D600D4"/>
    <w:rsid w:val="00D600F2"/>
    <w:rsid w:val="00D602DA"/>
    <w:rsid w:val="00D602FE"/>
    <w:rsid w:val="00D6033A"/>
    <w:rsid w:val="00D60447"/>
    <w:rsid w:val="00D6051F"/>
    <w:rsid w:val="00D60837"/>
    <w:rsid w:val="00D609EB"/>
    <w:rsid w:val="00D60A11"/>
    <w:rsid w:val="00D60A47"/>
    <w:rsid w:val="00D60A5B"/>
    <w:rsid w:val="00D60A64"/>
    <w:rsid w:val="00D60A9F"/>
    <w:rsid w:val="00D60CBC"/>
    <w:rsid w:val="00D60E8E"/>
    <w:rsid w:val="00D60EA5"/>
    <w:rsid w:val="00D60F00"/>
    <w:rsid w:val="00D60F21"/>
    <w:rsid w:val="00D6101A"/>
    <w:rsid w:val="00D61023"/>
    <w:rsid w:val="00D6127E"/>
    <w:rsid w:val="00D612D3"/>
    <w:rsid w:val="00D614E7"/>
    <w:rsid w:val="00D6156C"/>
    <w:rsid w:val="00D616EA"/>
    <w:rsid w:val="00D61836"/>
    <w:rsid w:val="00D6188E"/>
    <w:rsid w:val="00D61959"/>
    <w:rsid w:val="00D61991"/>
    <w:rsid w:val="00D619A2"/>
    <w:rsid w:val="00D619BB"/>
    <w:rsid w:val="00D61ABF"/>
    <w:rsid w:val="00D61AD8"/>
    <w:rsid w:val="00D61ADC"/>
    <w:rsid w:val="00D61AE4"/>
    <w:rsid w:val="00D61B18"/>
    <w:rsid w:val="00D61B22"/>
    <w:rsid w:val="00D61BE5"/>
    <w:rsid w:val="00D61DAC"/>
    <w:rsid w:val="00D62010"/>
    <w:rsid w:val="00D62174"/>
    <w:rsid w:val="00D6217B"/>
    <w:rsid w:val="00D62183"/>
    <w:rsid w:val="00D621D0"/>
    <w:rsid w:val="00D622CB"/>
    <w:rsid w:val="00D62324"/>
    <w:rsid w:val="00D6239F"/>
    <w:rsid w:val="00D62409"/>
    <w:rsid w:val="00D624D3"/>
    <w:rsid w:val="00D6253F"/>
    <w:rsid w:val="00D62554"/>
    <w:rsid w:val="00D62716"/>
    <w:rsid w:val="00D62766"/>
    <w:rsid w:val="00D62776"/>
    <w:rsid w:val="00D62781"/>
    <w:rsid w:val="00D627D0"/>
    <w:rsid w:val="00D627D8"/>
    <w:rsid w:val="00D62835"/>
    <w:rsid w:val="00D62858"/>
    <w:rsid w:val="00D629A0"/>
    <w:rsid w:val="00D629AE"/>
    <w:rsid w:val="00D62A36"/>
    <w:rsid w:val="00D62A3B"/>
    <w:rsid w:val="00D62AF5"/>
    <w:rsid w:val="00D62BAE"/>
    <w:rsid w:val="00D62BC0"/>
    <w:rsid w:val="00D62BEE"/>
    <w:rsid w:val="00D62C3F"/>
    <w:rsid w:val="00D62CA5"/>
    <w:rsid w:val="00D62CAF"/>
    <w:rsid w:val="00D62F28"/>
    <w:rsid w:val="00D62F53"/>
    <w:rsid w:val="00D63072"/>
    <w:rsid w:val="00D63159"/>
    <w:rsid w:val="00D631D4"/>
    <w:rsid w:val="00D63386"/>
    <w:rsid w:val="00D63462"/>
    <w:rsid w:val="00D6359A"/>
    <w:rsid w:val="00D63711"/>
    <w:rsid w:val="00D6379F"/>
    <w:rsid w:val="00D637C1"/>
    <w:rsid w:val="00D63915"/>
    <w:rsid w:val="00D63981"/>
    <w:rsid w:val="00D639A7"/>
    <w:rsid w:val="00D63A04"/>
    <w:rsid w:val="00D63A80"/>
    <w:rsid w:val="00D63BF5"/>
    <w:rsid w:val="00D63C29"/>
    <w:rsid w:val="00D63C51"/>
    <w:rsid w:val="00D63C55"/>
    <w:rsid w:val="00D63C5E"/>
    <w:rsid w:val="00D63DFA"/>
    <w:rsid w:val="00D63E11"/>
    <w:rsid w:val="00D63FF5"/>
    <w:rsid w:val="00D64097"/>
    <w:rsid w:val="00D640FE"/>
    <w:rsid w:val="00D64195"/>
    <w:rsid w:val="00D641AB"/>
    <w:rsid w:val="00D641BA"/>
    <w:rsid w:val="00D641FC"/>
    <w:rsid w:val="00D6436C"/>
    <w:rsid w:val="00D644BD"/>
    <w:rsid w:val="00D645AB"/>
    <w:rsid w:val="00D645BE"/>
    <w:rsid w:val="00D6465B"/>
    <w:rsid w:val="00D64676"/>
    <w:rsid w:val="00D646CE"/>
    <w:rsid w:val="00D64751"/>
    <w:rsid w:val="00D64775"/>
    <w:rsid w:val="00D6491C"/>
    <w:rsid w:val="00D64C33"/>
    <w:rsid w:val="00D64C41"/>
    <w:rsid w:val="00D64C75"/>
    <w:rsid w:val="00D64CE4"/>
    <w:rsid w:val="00D64D0D"/>
    <w:rsid w:val="00D64D78"/>
    <w:rsid w:val="00D64D9A"/>
    <w:rsid w:val="00D64E34"/>
    <w:rsid w:val="00D64EF9"/>
    <w:rsid w:val="00D64F41"/>
    <w:rsid w:val="00D6511F"/>
    <w:rsid w:val="00D651B7"/>
    <w:rsid w:val="00D65343"/>
    <w:rsid w:val="00D65457"/>
    <w:rsid w:val="00D65558"/>
    <w:rsid w:val="00D655AF"/>
    <w:rsid w:val="00D6568D"/>
    <w:rsid w:val="00D656B7"/>
    <w:rsid w:val="00D656F1"/>
    <w:rsid w:val="00D65703"/>
    <w:rsid w:val="00D65825"/>
    <w:rsid w:val="00D6587D"/>
    <w:rsid w:val="00D658AB"/>
    <w:rsid w:val="00D658B1"/>
    <w:rsid w:val="00D658FD"/>
    <w:rsid w:val="00D6599E"/>
    <w:rsid w:val="00D65AA8"/>
    <w:rsid w:val="00D65AEE"/>
    <w:rsid w:val="00D65B7E"/>
    <w:rsid w:val="00D65BFD"/>
    <w:rsid w:val="00D65C63"/>
    <w:rsid w:val="00D65C66"/>
    <w:rsid w:val="00D65E77"/>
    <w:rsid w:val="00D65EAE"/>
    <w:rsid w:val="00D65F97"/>
    <w:rsid w:val="00D65FB2"/>
    <w:rsid w:val="00D6605C"/>
    <w:rsid w:val="00D6624B"/>
    <w:rsid w:val="00D6638C"/>
    <w:rsid w:val="00D66402"/>
    <w:rsid w:val="00D664A1"/>
    <w:rsid w:val="00D6652C"/>
    <w:rsid w:val="00D66536"/>
    <w:rsid w:val="00D66574"/>
    <w:rsid w:val="00D665A1"/>
    <w:rsid w:val="00D6663F"/>
    <w:rsid w:val="00D66677"/>
    <w:rsid w:val="00D6671E"/>
    <w:rsid w:val="00D66751"/>
    <w:rsid w:val="00D66755"/>
    <w:rsid w:val="00D66820"/>
    <w:rsid w:val="00D668FE"/>
    <w:rsid w:val="00D6694E"/>
    <w:rsid w:val="00D66981"/>
    <w:rsid w:val="00D66A5A"/>
    <w:rsid w:val="00D66AAF"/>
    <w:rsid w:val="00D66B1E"/>
    <w:rsid w:val="00D66B24"/>
    <w:rsid w:val="00D66D37"/>
    <w:rsid w:val="00D66D9C"/>
    <w:rsid w:val="00D66DB7"/>
    <w:rsid w:val="00D66DF8"/>
    <w:rsid w:val="00D66E1C"/>
    <w:rsid w:val="00D66EA4"/>
    <w:rsid w:val="00D66EB9"/>
    <w:rsid w:val="00D66F7C"/>
    <w:rsid w:val="00D670F8"/>
    <w:rsid w:val="00D67137"/>
    <w:rsid w:val="00D671A7"/>
    <w:rsid w:val="00D672A9"/>
    <w:rsid w:val="00D67337"/>
    <w:rsid w:val="00D6739E"/>
    <w:rsid w:val="00D673E7"/>
    <w:rsid w:val="00D67407"/>
    <w:rsid w:val="00D67501"/>
    <w:rsid w:val="00D67592"/>
    <w:rsid w:val="00D67594"/>
    <w:rsid w:val="00D675E8"/>
    <w:rsid w:val="00D676C7"/>
    <w:rsid w:val="00D6778F"/>
    <w:rsid w:val="00D6779D"/>
    <w:rsid w:val="00D67865"/>
    <w:rsid w:val="00D67BB8"/>
    <w:rsid w:val="00D67CF3"/>
    <w:rsid w:val="00D67D11"/>
    <w:rsid w:val="00D67DD2"/>
    <w:rsid w:val="00D67DE8"/>
    <w:rsid w:val="00D67E86"/>
    <w:rsid w:val="00D67F18"/>
    <w:rsid w:val="00D7001A"/>
    <w:rsid w:val="00D700A3"/>
    <w:rsid w:val="00D701A2"/>
    <w:rsid w:val="00D7033B"/>
    <w:rsid w:val="00D70343"/>
    <w:rsid w:val="00D70459"/>
    <w:rsid w:val="00D7050D"/>
    <w:rsid w:val="00D70570"/>
    <w:rsid w:val="00D70652"/>
    <w:rsid w:val="00D70809"/>
    <w:rsid w:val="00D709A6"/>
    <w:rsid w:val="00D709F4"/>
    <w:rsid w:val="00D70A04"/>
    <w:rsid w:val="00D70BBF"/>
    <w:rsid w:val="00D70D07"/>
    <w:rsid w:val="00D70D21"/>
    <w:rsid w:val="00D70EDD"/>
    <w:rsid w:val="00D70F41"/>
    <w:rsid w:val="00D70FA3"/>
    <w:rsid w:val="00D70FD6"/>
    <w:rsid w:val="00D71041"/>
    <w:rsid w:val="00D710BF"/>
    <w:rsid w:val="00D710EB"/>
    <w:rsid w:val="00D710F3"/>
    <w:rsid w:val="00D711BC"/>
    <w:rsid w:val="00D711D4"/>
    <w:rsid w:val="00D711E0"/>
    <w:rsid w:val="00D711FC"/>
    <w:rsid w:val="00D712F8"/>
    <w:rsid w:val="00D71317"/>
    <w:rsid w:val="00D71351"/>
    <w:rsid w:val="00D7135A"/>
    <w:rsid w:val="00D71366"/>
    <w:rsid w:val="00D715E5"/>
    <w:rsid w:val="00D715F7"/>
    <w:rsid w:val="00D715F8"/>
    <w:rsid w:val="00D7160C"/>
    <w:rsid w:val="00D71614"/>
    <w:rsid w:val="00D7161B"/>
    <w:rsid w:val="00D716A8"/>
    <w:rsid w:val="00D7181F"/>
    <w:rsid w:val="00D71827"/>
    <w:rsid w:val="00D7189D"/>
    <w:rsid w:val="00D718FA"/>
    <w:rsid w:val="00D71F5C"/>
    <w:rsid w:val="00D71F7B"/>
    <w:rsid w:val="00D71FEC"/>
    <w:rsid w:val="00D720FF"/>
    <w:rsid w:val="00D721AF"/>
    <w:rsid w:val="00D722E9"/>
    <w:rsid w:val="00D7230F"/>
    <w:rsid w:val="00D72443"/>
    <w:rsid w:val="00D7247A"/>
    <w:rsid w:val="00D724FD"/>
    <w:rsid w:val="00D725F7"/>
    <w:rsid w:val="00D726CB"/>
    <w:rsid w:val="00D727A0"/>
    <w:rsid w:val="00D72901"/>
    <w:rsid w:val="00D72991"/>
    <w:rsid w:val="00D72AC6"/>
    <w:rsid w:val="00D72B12"/>
    <w:rsid w:val="00D72B7B"/>
    <w:rsid w:val="00D72BE5"/>
    <w:rsid w:val="00D72C14"/>
    <w:rsid w:val="00D72C30"/>
    <w:rsid w:val="00D72C5A"/>
    <w:rsid w:val="00D72CCD"/>
    <w:rsid w:val="00D72CFF"/>
    <w:rsid w:val="00D72D42"/>
    <w:rsid w:val="00D72D90"/>
    <w:rsid w:val="00D72DE3"/>
    <w:rsid w:val="00D72F08"/>
    <w:rsid w:val="00D72F25"/>
    <w:rsid w:val="00D72FF5"/>
    <w:rsid w:val="00D730AF"/>
    <w:rsid w:val="00D730B9"/>
    <w:rsid w:val="00D7314A"/>
    <w:rsid w:val="00D731A0"/>
    <w:rsid w:val="00D731B8"/>
    <w:rsid w:val="00D73209"/>
    <w:rsid w:val="00D732F2"/>
    <w:rsid w:val="00D73327"/>
    <w:rsid w:val="00D733A8"/>
    <w:rsid w:val="00D73424"/>
    <w:rsid w:val="00D73502"/>
    <w:rsid w:val="00D73528"/>
    <w:rsid w:val="00D7356A"/>
    <w:rsid w:val="00D735A1"/>
    <w:rsid w:val="00D7362E"/>
    <w:rsid w:val="00D73633"/>
    <w:rsid w:val="00D73709"/>
    <w:rsid w:val="00D73927"/>
    <w:rsid w:val="00D73953"/>
    <w:rsid w:val="00D73A25"/>
    <w:rsid w:val="00D73CC5"/>
    <w:rsid w:val="00D73D3D"/>
    <w:rsid w:val="00D73D7B"/>
    <w:rsid w:val="00D73DC0"/>
    <w:rsid w:val="00D73EF1"/>
    <w:rsid w:val="00D73FA1"/>
    <w:rsid w:val="00D7411A"/>
    <w:rsid w:val="00D7414E"/>
    <w:rsid w:val="00D7420A"/>
    <w:rsid w:val="00D74259"/>
    <w:rsid w:val="00D7445C"/>
    <w:rsid w:val="00D74489"/>
    <w:rsid w:val="00D7477B"/>
    <w:rsid w:val="00D749D0"/>
    <w:rsid w:val="00D74BF8"/>
    <w:rsid w:val="00D74D62"/>
    <w:rsid w:val="00D74D9E"/>
    <w:rsid w:val="00D74EA8"/>
    <w:rsid w:val="00D75014"/>
    <w:rsid w:val="00D7501B"/>
    <w:rsid w:val="00D75042"/>
    <w:rsid w:val="00D75062"/>
    <w:rsid w:val="00D750A6"/>
    <w:rsid w:val="00D751CA"/>
    <w:rsid w:val="00D752C5"/>
    <w:rsid w:val="00D752E8"/>
    <w:rsid w:val="00D75374"/>
    <w:rsid w:val="00D753A4"/>
    <w:rsid w:val="00D75400"/>
    <w:rsid w:val="00D754A5"/>
    <w:rsid w:val="00D75695"/>
    <w:rsid w:val="00D75709"/>
    <w:rsid w:val="00D757C0"/>
    <w:rsid w:val="00D75853"/>
    <w:rsid w:val="00D7586F"/>
    <w:rsid w:val="00D75A33"/>
    <w:rsid w:val="00D75B2E"/>
    <w:rsid w:val="00D75B99"/>
    <w:rsid w:val="00D75BB9"/>
    <w:rsid w:val="00D75BD1"/>
    <w:rsid w:val="00D75C64"/>
    <w:rsid w:val="00D75D10"/>
    <w:rsid w:val="00D75D69"/>
    <w:rsid w:val="00D75DE2"/>
    <w:rsid w:val="00D75E3E"/>
    <w:rsid w:val="00D75E69"/>
    <w:rsid w:val="00D76108"/>
    <w:rsid w:val="00D76178"/>
    <w:rsid w:val="00D761D8"/>
    <w:rsid w:val="00D7621D"/>
    <w:rsid w:val="00D76262"/>
    <w:rsid w:val="00D7633E"/>
    <w:rsid w:val="00D76428"/>
    <w:rsid w:val="00D765EC"/>
    <w:rsid w:val="00D7683E"/>
    <w:rsid w:val="00D7690F"/>
    <w:rsid w:val="00D76911"/>
    <w:rsid w:val="00D7694C"/>
    <w:rsid w:val="00D76A54"/>
    <w:rsid w:val="00D76AA3"/>
    <w:rsid w:val="00D76AC9"/>
    <w:rsid w:val="00D76AED"/>
    <w:rsid w:val="00D76B3D"/>
    <w:rsid w:val="00D76B7C"/>
    <w:rsid w:val="00D76B85"/>
    <w:rsid w:val="00D76CED"/>
    <w:rsid w:val="00D76F3F"/>
    <w:rsid w:val="00D76F9C"/>
    <w:rsid w:val="00D76FC5"/>
    <w:rsid w:val="00D77020"/>
    <w:rsid w:val="00D770D4"/>
    <w:rsid w:val="00D771A2"/>
    <w:rsid w:val="00D77241"/>
    <w:rsid w:val="00D77288"/>
    <w:rsid w:val="00D774B5"/>
    <w:rsid w:val="00D774F7"/>
    <w:rsid w:val="00D7757E"/>
    <w:rsid w:val="00D77644"/>
    <w:rsid w:val="00D77662"/>
    <w:rsid w:val="00D777A2"/>
    <w:rsid w:val="00D777A5"/>
    <w:rsid w:val="00D777F8"/>
    <w:rsid w:val="00D7783E"/>
    <w:rsid w:val="00D77844"/>
    <w:rsid w:val="00D7798D"/>
    <w:rsid w:val="00D77992"/>
    <w:rsid w:val="00D77B59"/>
    <w:rsid w:val="00D77C6E"/>
    <w:rsid w:val="00D77CAD"/>
    <w:rsid w:val="00D77D82"/>
    <w:rsid w:val="00D77EC9"/>
    <w:rsid w:val="00D8015B"/>
    <w:rsid w:val="00D801A1"/>
    <w:rsid w:val="00D801F5"/>
    <w:rsid w:val="00D80201"/>
    <w:rsid w:val="00D8026A"/>
    <w:rsid w:val="00D80312"/>
    <w:rsid w:val="00D8036A"/>
    <w:rsid w:val="00D80470"/>
    <w:rsid w:val="00D80827"/>
    <w:rsid w:val="00D80A8D"/>
    <w:rsid w:val="00D80B21"/>
    <w:rsid w:val="00D80B88"/>
    <w:rsid w:val="00D80CA3"/>
    <w:rsid w:val="00D80D03"/>
    <w:rsid w:val="00D80D49"/>
    <w:rsid w:val="00D80E23"/>
    <w:rsid w:val="00D80F63"/>
    <w:rsid w:val="00D80F8D"/>
    <w:rsid w:val="00D80FBB"/>
    <w:rsid w:val="00D80FC3"/>
    <w:rsid w:val="00D810D5"/>
    <w:rsid w:val="00D81435"/>
    <w:rsid w:val="00D815A1"/>
    <w:rsid w:val="00D81636"/>
    <w:rsid w:val="00D81640"/>
    <w:rsid w:val="00D8178C"/>
    <w:rsid w:val="00D817FA"/>
    <w:rsid w:val="00D81910"/>
    <w:rsid w:val="00D8194A"/>
    <w:rsid w:val="00D81AE1"/>
    <w:rsid w:val="00D81B8E"/>
    <w:rsid w:val="00D81C32"/>
    <w:rsid w:val="00D81D17"/>
    <w:rsid w:val="00D81D62"/>
    <w:rsid w:val="00D81EE3"/>
    <w:rsid w:val="00D81EE7"/>
    <w:rsid w:val="00D81F03"/>
    <w:rsid w:val="00D81F42"/>
    <w:rsid w:val="00D820FA"/>
    <w:rsid w:val="00D8212D"/>
    <w:rsid w:val="00D822ED"/>
    <w:rsid w:val="00D823BB"/>
    <w:rsid w:val="00D8244E"/>
    <w:rsid w:val="00D8256F"/>
    <w:rsid w:val="00D825D2"/>
    <w:rsid w:val="00D825DD"/>
    <w:rsid w:val="00D8265F"/>
    <w:rsid w:val="00D827B4"/>
    <w:rsid w:val="00D827DB"/>
    <w:rsid w:val="00D828ED"/>
    <w:rsid w:val="00D8290B"/>
    <w:rsid w:val="00D82A0E"/>
    <w:rsid w:val="00D82A46"/>
    <w:rsid w:val="00D82B99"/>
    <w:rsid w:val="00D82C16"/>
    <w:rsid w:val="00D82C2B"/>
    <w:rsid w:val="00D82CED"/>
    <w:rsid w:val="00D82DA8"/>
    <w:rsid w:val="00D82E1D"/>
    <w:rsid w:val="00D82E77"/>
    <w:rsid w:val="00D82E83"/>
    <w:rsid w:val="00D82E93"/>
    <w:rsid w:val="00D82F7D"/>
    <w:rsid w:val="00D82FBC"/>
    <w:rsid w:val="00D83059"/>
    <w:rsid w:val="00D83086"/>
    <w:rsid w:val="00D830C5"/>
    <w:rsid w:val="00D8328C"/>
    <w:rsid w:val="00D832F8"/>
    <w:rsid w:val="00D8365E"/>
    <w:rsid w:val="00D83902"/>
    <w:rsid w:val="00D839D6"/>
    <w:rsid w:val="00D839E3"/>
    <w:rsid w:val="00D83A91"/>
    <w:rsid w:val="00D83B16"/>
    <w:rsid w:val="00D83BE6"/>
    <w:rsid w:val="00D83CBC"/>
    <w:rsid w:val="00D83D8A"/>
    <w:rsid w:val="00D83EC0"/>
    <w:rsid w:val="00D83F23"/>
    <w:rsid w:val="00D83F47"/>
    <w:rsid w:val="00D83FD6"/>
    <w:rsid w:val="00D84058"/>
    <w:rsid w:val="00D84067"/>
    <w:rsid w:val="00D840AE"/>
    <w:rsid w:val="00D8410A"/>
    <w:rsid w:val="00D842BC"/>
    <w:rsid w:val="00D8430D"/>
    <w:rsid w:val="00D84348"/>
    <w:rsid w:val="00D8434D"/>
    <w:rsid w:val="00D84377"/>
    <w:rsid w:val="00D848F3"/>
    <w:rsid w:val="00D84920"/>
    <w:rsid w:val="00D8497D"/>
    <w:rsid w:val="00D84A46"/>
    <w:rsid w:val="00D84B6D"/>
    <w:rsid w:val="00D84C5A"/>
    <w:rsid w:val="00D84D36"/>
    <w:rsid w:val="00D84D5F"/>
    <w:rsid w:val="00D84EF8"/>
    <w:rsid w:val="00D85002"/>
    <w:rsid w:val="00D85008"/>
    <w:rsid w:val="00D85055"/>
    <w:rsid w:val="00D8508F"/>
    <w:rsid w:val="00D850C7"/>
    <w:rsid w:val="00D851E3"/>
    <w:rsid w:val="00D85225"/>
    <w:rsid w:val="00D852D0"/>
    <w:rsid w:val="00D85376"/>
    <w:rsid w:val="00D853FA"/>
    <w:rsid w:val="00D85417"/>
    <w:rsid w:val="00D85474"/>
    <w:rsid w:val="00D85499"/>
    <w:rsid w:val="00D854C0"/>
    <w:rsid w:val="00D8558D"/>
    <w:rsid w:val="00D8579D"/>
    <w:rsid w:val="00D8582D"/>
    <w:rsid w:val="00D858A9"/>
    <w:rsid w:val="00D858D1"/>
    <w:rsid w:val="00D8597F"/>
    <w:rsid w:val="00D859F0"/>
    <w:rsid w:val="00D85AC1"/>
    <w:rsid w:val="00D85AF8"/>
    <w:rsid w:val="00D85BB4"/>
    <w:rsid w:val="00D85C12"/>
    <w:rsid w:val="00D85CD5"/>
    <w:rsid w:val="00D85D5E"/>
    <w:rsid w:val="00D85E18"/>
    <w:rsid w:val="00D85E95"/>
    <w:rsid w:val="00D85F23"/>
    <w:rsid w:val="00D85FC9"/>
    <w:rsid w:val="00D86081"/>
    <w:rsid w:val="00D86166"/>
    <w:rsid w:val="00D8623A"/>
    <w:rsid w:val="00D86324"/>
    <w:rsid w:val="00D86347"/>
    <w:rsid w:val="00D863DC"/>
    <w:rsid w:val="00D864CB"/>
    <w:rsid w:val="00D864EE"/>
    <w:rsid w:val="00D86508"/>
    <w:rsid w:val="00D86557"/>
    <w:rsid w:val="00D866B6"/>
    <w:rsid w:val="00D866BB"/>
    <w:rsid w:val="00D86782"/>
    <w:rsid w:val="00D869C4"/>
    <w:rsid w:val="00D86A7D"/>
    <w:rsid w:val="00D86AA8"/>
    <w:rsid w:val="00D86CEE"/>
    <w:rsid w:val="00D86D19"/>
    <w:rsid w:val="00D86E3C"/>
    <w:rsid w:val="00D86ED8"/>
    <w:rsid w:val="00D8707A"/>
    <w:rsid w:val="00D870F0"/>
    <w:rsid w:val="00D8716A"/>
    <w:rsid w:val="00D8717F"/>
    <w:rsid w:val="00D8723B"/>
    <w:rsid w:val="00D872D2"/>
    <w:rsid w:val="00D873FF"/>
    <w:rsid w:val="00D874AF"/>
    <w:rsid w:val="00D87565"/>
    <w:rsid w:val="00D8766B"/>
    <w:rsid w:val="00D8767B"/>
    <w:rsid w:val="00D876A8"/>
    <w:rsid w:val="00D876CF"/>
    <w:rsid w:val="00D8789C"/>
    <w:rsid w:val="00D87A54"/>
    <w:rsid w:val="00D87B8B"/>
    <w:rsid w:val="00D87BC6"/>
    <w:rsid w:val="00D87C6C"/>
    <w:rsid w:val="00D87CA2"/>
    <w:rsid w:val="00D87D00"/>
    <w:rsid w:val="00D87E09"/>
    <w:rsid w:val="00D87E88"/>
    <w:rsid w:val="00D87F31"/>
    <w:rsid w:val="00D87F68"/>
    <w:rsid w:val="00D87F99"/>
    <w:rsid w:val="00D9009E"/>
    <w:rsid w:val="00D900C3"/>
    <w:rsid w:val="00D90114"/>
    <w:rsid w:val="00D90144"/>
    <w:rsid w:val="00D902BE"/>
    <w:rsid w:val="00D902F0"/>
    <w:rsid w:val="00D90399"/>
    <w:rsid w:val="00D90475"/>
    <w:rsid w:val="00D904D3"/>
    <w:rsid w:val="00D90509"/>
    <w:rsid w:val="00D905A9"/>
    <w:rsid w:val="00D90725"/>
    <w:rsid w:val="00D90796"/>
    <w:rsid w:val="00D9091D"/>
    <w:rsid w:val="00D90925"/>
    <w:rsid w:val="00D909BB"/>
    <w:rsid w:val="00D90A8A"/>
    <w:rsid w:val="00D90C57"/>
    <w:rsid w:val="00D90D0C"/>
    <w:rsid w:val="00D90D0E"/>
    <w:rsid w:val="00D90DC1"/>
    <w:rsid w:val="00D90E61"/>
    <w:rsid w:val="00D90E8A"/>
    <w:rsid w:val="00D90F70"/>
    <w:rsid w:val="00D91068"/>
    <w:rsid w:val="00D911AA"/>
    <w:rsid w:val="00D911D5"/>
    <w:rsid w:val="00D911E1"/>
    <w:rsid w:val="00D91244"/>
    <w:rsid w:val="00D912A8"/>
    <w:rsid w:val="00D913FE"/>
    <w:rsid w:val="00D915E3"/>
    <w:rsid w:val="00D9161D"/>
    <w:rsid w:val="00D916F2"/>
    <w:rsid w:val="00D91A7B"/>
    <w:rsid w:val="00D91B62"/>
    <w:rsid w:val="00D91B78"/>
    <w:rsid w:val="00D91BBC"/>
    <w:rsid w:val="00D91C6C"/>
    <w:rsid w:val="00D91C89"/>
    <w:rsid w:val="00D91D40"/>
    <w:rsid w:val="00D91D7C"/>
    <w:rsid w:val="00D91E62"/>
    <w:rsid w:val="00D91E7D"/>
    <w:rsid w:val="00D91E88"/>
    <w:rsid w:val="00D91EBB"/>
    <w:rsid w:val="00D91F91"/>
    <w:rsid w:val="00D91FB7"/>
    <w:rsid w:val="00D920BC"/>
    <w:rsid w:val="00D9228D"/>
    <w:rsid w:val="00D92374"/>
    <w:rsid w:val="00D923E0"/>
    <w:rsid w:val="00D924AE"/>
    <w:rsid w:val="00D9270F"/>
    <w:rsid w:val="00D927EB"/>
    <w:rsid w:val="00D929F8"/>
    <w:rsid w:val="00D92A9D"/>
    <w:rsid w:val="00D92AFB"/>
    <w:rsid w:val="00D92B79"/>
    <w:rsid w:val="00D92C34"/>
    <w:rsid w:val="00D92D30"/>
    <w:rsid w:val="00D92E4B"/>
    <w:rsid w:val="00D92E63"/>
    <w:rsid w:val="00D92FF2"/>
    <w:rsid w:val="00D93007"/>
    <w:rsid w:val="00D9308B"/>
    <w:rsid w:val="00D93133"/>
    <w:rsid w:val="00D931A8"/>
    <w:rsid w:val="00D931DC"/>
    <w:rsid w:val="00D9321E"/>
    <w:rsid w:val="00D93565"/>
    <w:rsid w:val="00D9358D"/>
    <w:rsid w:val="00D93687"/>
    <w:rsid w:val="00D936D0"/>
    <w:rsid w:val="00D9382A"/>
    <w:rsid w:val="00D93859"/>
    <w:rsid w:val="00D938CA"/>
    <w:rsid w:val="00D93985"/>
    <w:rsid w:val="00D939E5"/>
    <w:rsid w:val="00D93A18"/>
    <w:rsid w:val="00D93AB2"/>
    <w:rsid w:val="00D93AFC"/>
    <w:rsid w:val="00D93B59"/>
    <w:rsid w:val="00D93C41"/>
    <w:rsid w:val="00D93DFE"/>
    <w:rsid w:val="00D93E54"/>
    <w:rsid w:val="00D93EA7"/>
    <w:rsid w:val="00D93FA7"/>
    <w:rsid w:val="00D93FE5"/>
    <w:rsid w:val="00D9410B"/>
    <w:rsid w:val="00D94122"/>
    <w:rsid w:val="00D9420E"/>
    <w:rsid w:val="00D942A1"/>
    <w:rsid w:val="00D942A5"/>
    <w:rsid w:val="00D942D6"/>
    <w:rsid w:val="00D944BD"/>
    <w:rsid w:val="00D944D3"/>
    <w:rsid w:val="00D94672"/>
    <w:rsid w:val="00D946EC"/>
    <w:rsid w:val="00D946ED"/>
    <w:rsid w:val="00D947CF"/>
    <w:rsid w:val="00D9493D"/>
    <w:rsid w:val="00D9498E"/>
    <w:rsid w:val="00D949AF"/>
    <w:rsid w:val="00D949BA"/>
    <w:rsid w:val="00D94A11"/>
    <w:rsid w:val="00D94B00"/>
    <w:rsid w:val="00D94B92"/>
    <w:rsid w:val="00D94BC3"/>
    <w:rsid w:val="00D94BE7"/>
    <w:rsid w:val="00D94C50"/>
    <w:rsid w:val="00D94C58"/>
    <w:rsid w:val="00D94DCC"/>
    <w:rsid w:val="00D94E99"/>
    <w:rsid w:val="00D94F50"/>
    <w:rsid w:val="00D95007"/>
    <w:rsid w:val="00D95008"/>
    <w:rsid w:val="00D95038"/>
    <w:rsid w:val="00D95064"/>
    <w:rsid w:val="00D95134"/>
    <w:rsid w:val="00D951ED"/>
    <w:rsid w:val="00D95309"/>
    <w:rsid w:val="00D9532B"/>
    <w:rsid w:val="00D953B9"/>
    <w:rsid w:val="00D9596D"/>
    <w:rsid w:val="00D9596E"/>
    <w:rsid w:val="00D959F4"/>
    <w:rsid w:val="00D95B0F"/>
    <w:rsid w:val="00D95B84"/>
    <w:rsid w:val="00D95C7C"/>
    <w:rsid w:val="00D95CD0"/>
    <w:rsid w:val="00D95E2A"/>
    <w:rsid w:val="00D95E78"/>
    <w:rsid w:val="00D95E85"/>
    <w:rsid w:val="00D95F36"/>
    <w:rsid w:val="00D95FF8"/>
    <w:rsid w:val="00D96059"/>
    <w:rsid w:val="00D960A0"/>
    <w:rsid w:val="00D960A4"/>
    <w:rsid w:val="00D96219"/>
    <w:rsid w:val="00D962A4"/>
    <w:rsid w:val="00D963DE"/>
    <w:rsid w:val="00D9640E"/>
    <w:rsid w:val="00D96479"/>
    <w:rsid w:val="00D9663C"/>
    <w:rsid w:val="00D9668A"/>
    <w:rsid w:val="00D96696"/>
    <w:rsid w:val="00D96705"/>
    <w:rsid w:val="00D96777"/>
    <w:rsid w:val="00D967E4"/>
    <w:rsid w:val="00D96934"/>
    <w:rsid w:val="00D96A3A"/>
    <w:rsid w:val="00D96A91"/>
    <w:rsid w:val="00D96BD1"/>
    <w:rsid w:val="00D96C73"/>
    <w:rsid w:val="00D96CE6"/>
    <w:rsid w:val="00D96D91"/>
    <w:rsid w:val="00D96E8D"/>
    <w:rsid w:val="00D96EA9"/>
    <w:rsid w:val="00D96ED3"/>
    <w:rsid w:val="00D9703A"/>
    <w:rsid w:val="00D97067"/>
    <w:rsid w:val="00D97132"/>
    <w:rsid w:val="00D97143"/>
    <w:rsid w:val="00D9716F"/>
    <w:rsid w:val="00D97191"/>
    <w:rsid w:val="00D971C6"/>
    <w:rsid w:val="00D972CB"/>
    <w:rsid w:val="00D97307"/>
    <w:rsid w:val="00D9759F"/>
    <w:rsid w:val="00D9761A"/>
    <w:rsid w:val="00D97663"/>
    <w:rsid w:val="00D976C2"/>
    <w:rsid w:val="00D97769"/>
    <w:rsid w:val="00D9784D"/>
    <w:rsid w:val="00D979E9"/>
    <w:rsid w:val="00D97A4F"/>
    <w:rsid w:val="00D97AC4"/>
    <w:rsid w:val="00D97B42"/>
    <w:rsid w:val="00D97C33"/>
    <w:rsid w:val="00D97D65"/>
    <w:rsid w:val="00D97DA8"/>
    <w:rsid w:val="00D97DF0"/>
    <w:rsid w:val="00D97F0A"/>
    <w:rsid w:val="00D97F27"/>
    <w:rsid w:val="00D97FD7"/>
    <w:rsid w:val="00DA0018"/>
    <w:rsid w:val="00DA014C"/>
    <w:rsid w:val="00DA0187"/>
    <w:rsid w:val="00DA02C6"/>
    <w:rsid w:val="00DA02FA"/>
    <w:rsid w:val="00DA035C"/>
    <w:rsid w:val="00DA039C"/>
    <w:rsid w:val="00DA0473"/>
    <w:rsid w:val="00DA0490"/>
    <w:rsid w:val="00DA04BB"/>
    <w:rsid w:val="00DA0677"/>
    <w:rsid w:val="00DA07C4"/>
    <w:rsid w:val="00DA084D"/>
    <w:rsid w:val="00DA08A7"/>
    <w:rsid w:val="00DA08C5"/>
    <w:rsid w:val="00DA09C0"/>
    <w:rsid w:val="00DA09C8"/>
    <w:rsid w:val="00DA0A03"/>
    <w:rsid w:val="00DA0A11"/>
    <w:rsid w:val="00DA0B99"/>
    <w:rsid w:val="00DA0BB5"/>
    <w:rsid w:val="00DA0BE6"/>
    <w:rsid w:val="00DA0D35"/>
    <w:rsid w:val="00DA0DDE"/>
    <w:rsid w:val="00DA0E1B"/>
    <w:rsid w:val="00DA0F9A"/>
    <w:rsid w:val="00DA1008"/>
    <w:rsid w:val="00DA11CA"/>
    <w:rsid w:val="00DA1252"/>
    <w:rsid w:val="00DA1285"/>
    <w:rsid w:val="00DA1307"/>
    <w:rsid w:val="00DA131A"/>
    <w:rsid w:val="00DA13F4"/>
    <w:rsid w:val="00DA1411"/>
    <w:rsid w:val="00DA1469"/>
    <w:rsid w:val="00DA14A9"/>
    <w:rsid w:val="00DA14B3"/>
    <w:rsid w:val="00DA14C1"/>
    <w:rsid w:val="00DA154F"/>
    <w:rsid w:val="00DA1639"/>
    <w:rsid w:val="00DA1645"/>
    <w:rsid w:val="00DA1652"/>
    <w:rsid w:val="00DA17E6"/>
    <w:rsid w:val="00DA1A50"/>
    <w:rsid w:val="00DA1C39"/>
    <w:rsid w:val="00DA1C56"/>
    <w:rsid w:val="00DA1D9E"/>
    <w:rsid w:val="00DA1DFC"/>
    <w:rsid w:val="00DA1FBB"/>
    <w:rsid w:val="00DA1FD6"/>
    <w:rsid w:val="00DA204A"/>
    <w:rsid w:val="00DA2098"/>
    <w:rsid w:val="00DA2206"/>
    <w:rsid w:val="00DA222C"/>
    <w:rsid w:val="00DA227E"/>
    <w:rsid w:val="00DA22A9"/>
    <w:rsid w:val="00DA22B5"/>
    <w:rsid w:val="00DA23C0"/>
    <w:rsid w:val="00DA245E"/>
    <w:rsid w:val="00DA25C6"/>
    <w:rsid w:val="00DA272D"/>
    <w:rsid w:val="00DA286C"/>
    <w:rsid w:val="00DA292C"/>
    <w:rsid w:val="00DA29F6"/>
    <w:rsid w:val="00DA29FC"/>
    <w:rsid w:val="00DA2A8D"/>
    <w:rsid w:val="00DA2AAD"/>
    <w:rsid w:val="00DA2C1E"/>
    <w:rsid w:val="00DA2C25"/>
    <w:rsid w:val="00DA2CE4"/>
    <w:rsid w:val="00DA2D59"/>
    <w:rsid w:val="00DA2DBC"/>
    <w:rsid w:val="00DA2E19"/>
    <w:rsid w:val="00DA2F1F"/>
    <w:rsid w:val="00DA2F4B"/>
    <w:rsid w:val="00DA2F4F"/>
    <w:rsid w:val="00DA3070"/>
    <w:rsid w:val="00DA3117"/>
    <w:rsid w:val="00DA31B2"/>
    <w:rsid w:val="00DA33EB"/>
    <w:rsid w:val="00DA3422"/>
    <w:rsid w:val="00DA37A2"/>
    <w:rsid w:val="00DA3963"/>
    <w:rsid w:val="00DA3A39"/>
    <w:rsid w:val="00DA3AC9"/>
    <w:rsid w:val="00DA3AEA"/>
    <w:rsid w:val="00DA3B78"/>
    <w:rsid w:val="00DA3BF2"/>
    <w:rsid w:val="00DA3C75"/>
    <w:rsid w:val="00DA3D92"/>
    <w:rsid w:val="00DA3EBF"/>
    <w:rsid w:val="00DA3F54"/>
    <w:rsid w:val="00DA40E9"/>
    <w:rsid w:val="00DA412D"/>
    <w:rsid w:val="00DA4153"/>
    <w:rsid w:val="00DA4223"/>
    <w:rsid w:val="00DA4297"/>
    <w:rsid w:val="00DA4426"/>
    <w:rsid w:val="00DA4459"/>
    <w:rsid w:val="00DA445E"/>
    <w:rsid w:val="00DA4466"/>
    <w:rsid w:val="00DA45B3"/>
    <w:rsid w:val="00DA4716"/>
    <w:rsid w:val="00DA47A4"/>
    <w:rsid w:val="00DA47AB"/>
    <w:rsid w:val="00DA48ED"/>
    <w:rsid w:val="00DA491D"/>
    <w:rsid w:val="00DA49B3"/>
    <w:rsid w:val="00DA4A14"/>
    <w:rsid w:val="00DA4ABC"/>
    <w:rsid w:val="00DA4BE9"/>
    <w:rsid w:val="00DA4C35"/>
    <w:rsid w:val="00DA4CF9"/>
    <w:rsid w:val="00DA4E38"/>
    <w:rsid w:val="00DA4ECC"/>
    <w:rsid w:val="00DA4FAF"/>
    <w:rsid w:val="00DA4FF5"/>
    <w:rsid w:val="00DA5018"/>
    <w:rsid w:val="00DA506B"/>
    <w:rsid w:val="00DA507A"/>
    <w:rsid w:val="00DA530F"/>
    <w:rsid w:val="00DA533A"/>
    <w:rsid w:val="00DA539F"/>
    <w:rsid w:val="00DA53D6"/>
    <w:rsid w:val="00DA5584"/>
    <w:rsid w:val="00DA56E6"/>
    <w:rsid w:val="00DA5741"/>
    <w:rsid w:val="00DA5A76"/>
    <w:rsid w:val="00DA5CC4"/>
    <w:rsid w:val="00DA5D17"/>
    <w:rsid w:val="00DA5D6C"/>
    <w:rsid w:val="00DA5DC6"/>
    <w:rsid w:val="00DA5EF3"/>
    <w:rsid w:val="00DA6259"/>
    <w:rsid w:val="00DA634E"/>
    <w:rsid w:val="00DA6459"/>
    <w:rsid w:val="00DA647D"/>
    <w:rsid w:val="00DA65AF"/>
    <w:rsid w:val="00DA6671"/>
    <w:rsid w:val="00DA673F"/>
    <w:rsid w:val="00DA6951"/>
    <w:rsid w:val="00DA69A6"/>
    <w:rsid w:val="00DA69FC"/>
    <w:rsid w:val="00DA6A83"/>
    <w:rsid w:val="00DA6B3E"/>
    <w:rsid w:val="00DA6BF7"/>
    <w:rsid w:val="00DA6CCA"/>
    <w:rsid w:val="00DA6D7D"/>
    <w:rsid w:val="00DA6F53"/>
    <w:rsid w:val="00DA6F9A"/>
    <w:rsid w:val="00DA7013"/>
    <w:rsid w:val="00DA702B"/>
    <w:rsid w:val="00DA710E"/>
    <w:rsid w:val="00DA7126"/>
    <w:rsid w:val="00DA7168"/>
    <w:rsid w:val="00DA740B"/>
    <w:rsid w:val="00DA7412"/>
    <w:rsid w:val="00DA74C2"/>
    <w:rsid w:val="00DA7542"/>
    <w:rsid w:val="00DA76FC"/>
    <w:rsid w:val="00DA783D"/>
    <w:rsid w:val="00DA79C0"/>
    <w:rsid w:val="00DA7A4D"/>
    <w:rsid w:val="00DA7C53"/>
    <w:rsid w:val="00DA7D51"/>
    <w:rsid w:val="00DA7DA0"/>
    <w:rsid w:val="00DA7E0E"/>
    <w:rsid w:val="00DA7E9C"/>
    <w:rsid w:val="00DA7EC9"/>
    <w:rsid w:val="00DA7F33"/>
    <w:rsid w:val="00DA7F9C"/>
    <w:rsid w:val="00DB00E3"/>
    <w:rsid w:val="00DB022C"/>
    <w:rsid w:val="00DB0500"/>
    <w:rsid w:val="00DB05A6"/>
    <w:rsid w:val="00DB07E6"/>
    <w:rsid w:val="00DB0A1E"/>
    <w:rsid w:val="00DB0B40"/>
    <w:rsid w:val="00DB0BAB"/>
    <w:rsid w:val="00DB0C54"/>
    <w:rsid w:val="00DB0CD2"/>
    <w:rsid w:val="00DB0D01"/>
    <w:rsid w:val="00DB0DD5"/>
    <w:rsid w:val="00DB0DE2"/>
    <w:rsid w:val="00DB0F06"/>
    <w:rsid w:val="00DB0F93"/>
    <w:rsid w:val="00DB1058"/>
    <w:rsid w:val="00DB109B"/>
    <w:rsid w:val="00DB10D4"/>
    <w:rsid w:val="00DB117E"/>
    <w:rsid w:val="00DB1220"/>
    <w:rsid w:val="00DB135E"/>
    <w:rsid w:val="00DB140A"/>
    <w:rsid w:val="00DB14C7"/>
    <w:rsid w:val="00DB1532"/>
    <w:rsid w:val="00DB1572"/>
    <w:rsid w:val="00DB1618"/>
    <w:rsid w:val="00DB17C9"/>
    <w:rsid w:val="00DB17EF"/>
    <w:rsid w:val="00DB18F1"/>
    <w:rsid w:val="00DB1941"/>
    <w:rsid w:val="00DB1A1A"/>
    <w:rsid w:val="00DB1E25"/>
    <w:rsid w:val="00DB1E7A"/>
    <w:rsid w:val="00DB1FD0"/>
    <w:rsid w:val="00DB2045"/>
    <w:rsid w:val="00DB2173"/>
    <w:rsid w:val="00DB222A"/>
    <w:rsid w:val="00DB2362"/>
    <w:rsid w:val="00DB2560"/>
    <w:rsid w:val="00DB26CB"/>
    <w:rsid w:val="00DB2707"/>
    <w:rsid w:val="00DB2789"/>
    <w:rsid w:val="00DB28CB"/>
    <w:rsid w:val="00DB29AB"/>
    <w:rsid w:val="00DB2A88"/>
    <w:rsid w:val="00DB2AB1"/>
    <w:rsid w:val="00DB2ACD"/>
    <w:rsid w:val="00DB2C02"/>
    <w:rsid w:val="00DB2DCF"/>
    <w:rsid w:val="00DB2E2F"/>
    <w:rsid w:val="00DB2EEE"/>
    <w:rsid w:val="00DB2EF9"/>
    <w:rsid w:val="00DB303D"/>
    <w:rsid w:val="00DB3159"/>
    <w:rsid w:val="00DB3182"/>
    <w:rsid w:val="00DB33AC"/>
    <w:rsid w:val="00DB343E"/>
    <w:rsid w:val="00DB346A"/>
    <w:rsid w:val="00DB352F"/>
    <w:rsid w:val="00DB3582"/>
    <w:rsid w:val="00DB36CB"/>
    <w:rsid w:val="00DB3800"/>
    <w:rsid w:val="00DB3A8E"/>
    <w:rsid w:val="00DB3BFA"/>
    <w:rsid w:val="00DB3C88"/>
    <w:rsid w:val="00DB3E0F"/>
    <w:rsid w:val="00DB3F05"/>
    <w:rsid w:val="00DB3FD3"/>
    <w:rsid w:val="00DB40DC"/>
    <w:rsid w:val="00DB4171"/>
    <w:rsid w:val="00DB4195"/>
    <w:rsid w:val="00DB4292"/>
    <w:rsid w:val="00DB43A2"/>
    <w:rsid w:val="00DB44EA"/>
    <w:rsid w:val="00DB46F7"/>
    <w:rsid w:val="00DB4719"/>
    <w:rsid w:val="00DB473A"/>
    <w:rsid w:val="00DB473F"/>
    <w:rsid w:val="00DB47F3"/>
    <w:rsid w:val="00DB480C"/>
    <w:rsid w:val="00DB49FA"/>
    <w:rsid w:val="00DB4A8B"/>
    <w:rsid w:val="00DB4B10"/>
    <w:rsid w:val="00DB4B3A"/>
    <w:rsid w:val="00DB4BF0"/>
    <w:rsid w:val="00DB4CB2"/>
    <w:rsid w:val="00DB4E01"/>
    <w:rsid w:val="00DB4E5A"/>
    <w:rsid w:val="00DB4E63"/>
    <w:rsid w:val="00DB509F"/>
    <w:rsid w:val="00DB5136"/>
    <w:rsid w:val="00DB5274"/>
    <w:rsid w:val="00DB52D0"/>
    <w:rsid w:val="00DB534B"/>
    <w:rsid w:val="00DB56F1"/>
    <w:rsid w:val="00DB5712"/>
    <w:rsid w:val="00DB5846"/>
    <w:rsid w:val="00DB588D"/>
    <w:rsid w:val="00DB58FE"/>
    <w:rsid w:val="00DB5903"/>
    <w:rsid w:val="00DB59D5"/>
    <w:rsid w:val="00DB5A6F"/>
    <w:rsid w:val="00DB5A73"/>
    <w:rsid w:val="00DB5B86"/>
    <w:rsid w:val="00DB5B9A"/>
    <w:rsid w:val="00DB5C15"/>
    <w:rsid w:val="00DB5DC6"/>
    <w:rsid w:val="00DB5E19"/>
    <w:rsid w:val="00DB5FED"/>
    <w:rsid w:val="00DB611F"/>
    <w:rsid w:val="00DB6241"/>
    <w:rsid w:val="00DB6267"/>
    <w:rsid w:val="00DB62B6"/>
    <w:rsid w:val="00DB62E3"/>
    <w:rsid w:val="00DB6318"/>
    <w:rsid w:val="00DB6492"/>
    <w:rsid w:val="00DB6682"/>
    <w:rsid w:val="00DB669D"/>
    <w:rsid w:val="00DB66AB"/>
    <w:rsid w:val="00DB6704"/>
    <w:rsid w:val="00DB67B9"/>
    <w:rsid w:val="00DB684C"/>
    <w:rsid w:val="00DB6938"/>
    <w:rsid w:val="00DB6A01"/>
    <w:rsid w:val="00DB6A3A"/>
    <w:rsid w:val="00DB6A5A"/>
    <w:rsid w:val="00DB6A72"/>
    <w:rsid w:val="00DB6A83"/>
    <w:rsid w:val="00DB6AA0"/>
    <w:rsid w:val="00DB6B0C"/>
    <w:rsid w:val="00DB6B6C"/>
    <w:rsid w:val="00DB6BA5"/>
    <w:rsid w:val="00DB6BAA"/>
    <w:rsid w:val="00DB6C05"/>
    <w:rsid w:val="00DB6C16"/>
    <w:rsid w:val="00DB6DFD"/>
    <w:rsid w:val="00DB6F2F"/>
    <w:rsid w:val="00DB6FF7"/>
    <w:rsid w:val="00DB7018"/>
    <w:rsid w:val="00DB70AC"/>
    <w:rsid w:val="00DB70B9"/>
    <w:rsid w:val="00DB710D"/>
    <w:rsid w:val="00DB7211"/>
    <w:rsid w:val="00DB724C"/>
    <w:rsid w:val="00DB7435"/>
    <w:rsid w:val="00DB74CA"/>
    <w:rsid w:val="00DB74DB"/>
    <w:rsid w:val="00DB7608"/>
    <w:rsid w:val="00DB7782"/>
    <w:rsid w:val="00DB788F"/>
    <w:rsid w:val="00DB78BC"/>
    <w:rsid w:val="00DB7953"/>
    <w:rsid w:val="00DB797B"/>
    <w:rsid w:val="00DB79D1"/>
    <w:rsid w:val="00DB79E4"/>
    <w:rsid w:val="00DB79FF"/>
    <w:rsid w:val="00DB7A93"/>
    <w:rsid w:val="00DB7B0D"/>
    <w:rsid w:val="00DB7BBC"/>
    <w:rsid w:val="00DB7CE2"/>
    <w:rsid w:val="00DB7D67"/>
    <w:rsid w:val="00DB7F73"/>
    <w:rsid w:val="00DC000F"/>
    <w:rsid w:val="00DC0049"/>
    <w:rsid w:val="00DC0050"/>
    <w:rsid w:val="00DC00A9"/>
    <w:rsid w:val="00DC00C6"/>
    <w:rsid w:val="00DC015E"/>
    <w:rsid w:val="00DC0186"/>
    <w:rsid w:val="00DC0453"/>
    <w:rsid w:val="00DC0498"/>
    <w:rsid w:val="00DC05E6"/>
    <w:rsid w:val="00DC0605"/>
    <w:rsid w:val="00DC0648"/>
    <w:rsid w:val="00DC06CA"/>
    <w:rsid w:val="00DC07DC"/>
    <w:rsid w:val="00DC0869"/>
    <w:rsid w:val="00DC08B0"/>
    <w:rsid w:val="00DC08E7"/>
    <w:rsid w:val="00DC0DDB"/>
    <w:rsid w:val="00DC0E44"/>
    <w:rsid w:val="00DC110A"/>
    <w:rsid w:val="00DC1132"/>
    <w:rsid w:val="00DC13B1"/>
    <w:rsid w:val="00DC13C6"/>
    <w:rsid w:val="00DC1418"/>
    <w:rsid w:val="00DC149C"/>
    <w:rsid w:val="00DC1533"/>
    <w:rsid w:val="00DC153B"/>
    <w:rsid w:val="00DC1569"/>
    <w:rsid w:val="00DC15AF"/>
    <w:rsid w:val="00DC19BB"/>
    <w:rsid w:val="00DC1A1C"/>
    <w:rsid w:val="00DC1AAC"/>
    <w:rsid w:val="00DC1CE8"/>
    <w:rsid w:val="00DC1D2F"/>
    <w:rsid w:val="00DC1D63"/>
    <w:rsid w:val="00DC1DEA"/>
    <w:rsid w:val="00DC1EDE"/>
    <w:rsid w:val="00DC1EF0"/>
    <w:rsid w:val="00DC1FA4"/>
    <w:rsid w:val="00DC1FBC"/>
    <w:rsid w:val="00DC2000"/>
    <w:rsid w:val="00DC205A"/>
    <w:rsid w:val="00DC2120"/>
    <w:rsid w:val="00DC2178"/>
    <w:rsid w:val="00DC2354"/>
    <w:rsid w:val="00DC24E3"/>
    <w:rsid w:val="00DC257F"/>
    <w:rsid w:val="00DC2584"/>
    <w:rsid w:val="00DC2609"/>
    <w:rsid w:val="00DC2623"/>
    <w:rsid w:val="00DC280D"/>
    <w:rsid w:val="00DC281C"/>
    <w:rsid w:val="00DC2842"/>
    <w:rsid w:val="00DC2853"/>
    <w:rsid w:val="00DC2856"/>
    <w:rsid w:val="00DC288D"/>
    <w:rsid w:val="00DC2A3D"/>
    <w:rsid w:val="00DC2B50"/>
    <w:rsid w:val="00DC2B76"/>
    <w:rsid w:val="00DC2C80"/>
    <w:rsid w:val="00DC2C9E"/>
    <w:rsid w:val="00DC2CAA"/>
    <w:rsid w:val="00DC2CD5"/>
    <w:rsid w:val="00DC2E42"/>
    <w:rsid w:val="00DC2F82"/>
    <w:rsid w:val="00DC2FFF"/>
    <w:rsid w:val="00DC3014"/>
    <w:rsid w:val="00DC3035"/>
    <w:rsid w:val="00DC30BE"/>
    <w:rsid w:val="00DC30E7"/>
    <w:rsid w:val="00DC3158"/>
    <w:rsid w:val="00DC3167"/>
    <w:rsid w:val="00DC318C"/>
    <w:rsid w:val="00DC31E9"/>
    <w:rsid w:val="00DC32FB"/>
    <w:rsid w:val="00DC332F"/>
    <w:rsid w:val="00DC33E9"/>
    <w:rsid w:val="00DC3402"/>
    <w:rsid w:val="00DC340A"/>
    <w:rsid w:val="00DC3473"/>
    <w:rsid w:val="00DC3571"/>
    <w:rsid w:val="00DC37AD"/>
    <w:rsid w:val="00DC382C"/>
    <w:rsid w:val="00DC392B"/>
    <w:rsid w:val="00DC3B22"/>
    <w:rsid w:val="00DC3C91"/>
    <w:rsid w:val="00DC3D20"/>
    <w:rsid w:val="00DC3DE6"/>
    <w:rsid w:val="00DC3F02"/>
    <w:rsid w:val="00DC3FE6"/>
    <w:rsid w:val="00DC4141"/>
    <w:rsid w:val="00DC428F"/>
    <w:rsid w:val="00DC4563"/>
    <w:rsid w:val="00DC4593"/>
    <w:rsid w:val="00DC4641"/>
    <w:rsid w:val="00DC46CD"/>
    <w:rsid w:val="00DC4841"/>
    <w:rsid w:val="00DC4861"/>
    <w:rsid w:val="00DC4A49"/>
    <w:rsid w:val="00DC4AEC"/>
    <w:rsid w:val="00DC4B75"/>
    <w:rsid w:val="00DC4BFF"/>
    <w:rsid w:val="00DC4C73"/>
    <w:rsid w:val="00DC4D92"/>
    <w:rsid w:val="00DC4DC1"/>
    <w:rsid w:val="00DC4E6F"/>
    <w:rsid w:val="00DC4F8C"/>
    <w:rsid w:val="00DC4FB0"/>
    <w:rsid w:val="00DC504C"/>
    <w:rsid w:val="00DC50AC"/>
    <w:rsid w:val="00DC5185"/>
    <w:rsid w:val="00DC5235"/>
    <w:rsid w:val="00DC5404"/>
    <w:rsid w:val="00DC54FE"/>
    <w:rsid w:val="00DC5508"/>
    <w:rsid w:val="00DC5589"/>
    <w:rsid w:val="00DC5606"/>
    <w:rsid w:val="00DC5653"/>
    <w:rsid w:val="00DC583F"/>
    <w:rsid w:val="00DC5918"/>
    <w:rsid w:val="00DC5A1A"/>
    <w:rsid w:val="00DC5A34"/>
    <w:rsid w:val="00DC5A3D"/>
    <w:rsid w:val="00DC5A52"/>
    <w:rsid w:val="00DC5A81"/>
    <w:rsid w:val="00DC5B3D"/>
    <w:rsid w:val="00DC5BD5"/>
    <w:rsid w:val="00DC5E0B"/>
    <w:rsid w:val="00DC5EBC"/>
    <w:rsid w:val="00DC5F8E"/>
    <w:rsid w:val="00DC5FFA"/>
    <w:rsid w:val="00DC60B3"/>
    <w:rsid w:val="00DC6148"/>
    <w:rsid w:val="00DC61B2"/>
    <w:rsid w:val="00DC636E"/>
    <w:rsid w:val="00DC639D"/>
    <w:rsid w:val="00DC63CC"/>
    <w:rsid w:val="00DC643F"/>
    <w:rsid w:val="00DC65A8"/>
    <w:rsid w:val="00DC6671"/>
    <w:rsid w:val="00DC6679"/>
    <w:rsid w:val="00DC6762"/>
    <w:rsid w:val="00DC6933"/>
    <w:rsid w:val="00DC694E"/>
    <w:rsid w:val="00DC6A89"/>
    <w:rsid w:val="00DC6B60"/>
    <w:rsid w:val="00DC6D1B"/>
    <w:rsid w:val="00DC6D2A"/>
    <w:rsid w:val="00DC6DCA"/>
    <w:rsid w:val="00DC6DD6"/>
    <w:rsid w:val="00DC6E52"/>
    <w:rsid w:val="00DC6E56"/>
    <w:rsid w:val="00DC6E62"/>
    <w:rsid w:val="00DC6F1B"/>
    <w:rsid w:val="00DC709E"/>
    <w:rsid w:val="00DC70AF"/>
    <w:rsid w:val="00DC7166"/>
    <w:rsid w:val="00DC718F"/>
    <w:rsid w:val="00DC72E7"/>
    <w:rsid w:val="00DC7480"/>
    <w:rsid w:val="00DC751B"/>
    <w:rsid w:val="00DC7557"/>
    <w:rsid w:val="00DC7782"/>
    <w:rsid w:val="00DC779B"/>
    <w:rsid w:val="00DC79C9"/>
    <w:rsid w:val="00DC7A3E"/>
    <w:rsid w:val="00DC7AFA"/>
    <w:rsid w:val="00DC7B44"/>
    <w:rsid w:val="00DC7B96"/>
    <w:rsid w:val="00DC7BA5"/>
    <w:rsid w:val="00DC7D7E"/>
    <w:rsid w:val="00DC7E65"/>
    <w:rsid w:val="00DC7E85"/>
    <w:rsid w:val="00DC7EBB"/>
    <w:rsid w:val="00DC7EF4"/>
    <w:rsid w:val="00DC7F9A"/>
    <w:rsid w:val="00DD002C"/>
    <w:rsid w:val="00DD007D"/>
    <w:rsid w:val="00DD0102"/>
    <w:rsid w:val="00DD01B4"/>
    <w:rsid w:val="00DD021B"/>
    <w:rsid w:val="00DD03B5"/>
    <w:rsid w:val="00DD0490"/>
    <w:rsid w:val="00DD050A"/>
    <w:rsid w:val="00DD0646"/>
    <w:rsid w:val="00DD0726"/>
    <w:rsid w:val="00DD0775"/>
    <w:rsid w:val="00DD09E8"/>
    <w:rsid w:val="00DD0AC4"/>
    <w:rsid w:val="00DD0B4E"/>
    <w:rsid w:val="00DD0C0E"/>
    <w:rsid w:val="00DD0C73"/>
    <w:rsid w:val="00DD0C85"/>
    <w:rsid w:val="00DD0C8A"/>
    <w:rsid w:val="00DD0CA7"/>
    <w:rsid w:val="00DD0DC6"/>
    <w:rsid w:val="00DD0DCA"/>
    <w:rsid w:val="00DD0E34"/>
    <w:rsid w:val="00DD0EB9"/>
    <w:rsid w:val="00DD1048"/>
    <w:rsid w:val="00DD1148"/>
    <w:rsid w:val="00DD11DF"/>
    <w:rsid w:val="00DD11F3"/>
    <w:rsid w:val="00DD1206"/>
    <w:rsid w:val="00DD130F"/>
    <w:rsid w:val="00DD13D6"/>
    <w:rsid w:val="00DD143F"/>
    <w:rsid w:val="00DD144E"/>
    <w:rsid w:val="00DD1518"/>
    <w:rsid w:val="00DD16B1"/>
    <w:rsid w:val="00DD179A"/>
    <w:rsid w:val="00DD184F"/>
    <w:rsid w:val="00DD18AC"/>
    <w:rsid w:val="00DD1918"/>
    <w:rsid w:val="00DD1961"/>
    <w:rsid w:val="00DD198A"/>
    <w:rsid w:val="00DD19BF"/>
    <w:rsid w:val="00DD1ACB"/>
    <w:rsid w:val="00DD1B99"/>
    <w:rsid w:val="00DD1BA0"/>
    <w:rsid w:val="00DD1C00"/>
    <w:rsid w:val="00DD1C45"/>
    <w:rsid w:val="00DD1DBD"/>
    <w:rsid w:val="00DD1E56"/>
    <w:rsid w:val="00DD1F03"/>
    <w:rsid w:val="00DD1F44"/>
    <w:rsid w:val="00DD2006"/>
    <w:rsid w:val="00DD20F2"/>
    <w:rsid w:val="00DD20F7"/>
    <w:rsid w:val="00DD2127"/>
    <w:rsid w:val="00DD216F"/>
    <w:rsid w:val="00DD21ED"/>
    <w:rsid w:val="00DD2249"/>
    <w:rsid w:val="00DD232B"/>
    <w:rsid w:val="00DD249B"/>
    <w:rsid w:val="00DD24D2"/>
    <w:rsid w:val="00DD2526"/>
    <w:rsid w:val="00DD27D2"/>
    <w:rsid w:val="00DD2879"/>
    <w:rsid w:val="00DD29D1"/>
    <w:rsid w:val="00DD2A6F"/>
    <w:rsid w:val="00DD2A96"/>
    <w:rsid w:val="00DD2C4E"/>
    <w:rsid w:val="00DD2C83"/>
    <w:rsid w:val="00DD2D2C"/>
    <w:rsid w:val="00DD2E80"/>
    <w:rsid w:val="00DD2E9B"/>
    <w:rsid w:val="00DD320F"/>
    <w:rsid w:val="00DD3334"/>
    <w:rsid w:val="00DD33FC"/>
    <w:rsid w:val="00DD349B"/>
    <w:rsid w:val="00DD34DD"/>
    <w:rsid w:val="00DD3538"/>
    <w:rsid w:val="00DD386A"/>
    <w:rsid w:val="00DD3902"/>
    <w:rsid w:val="00DD3A52"/>
    <w:rsid w:val="00DD3BA1"/>
    <w:rsid w:val="00DD3C18"/>
    <w:rsid w:val="00DD3D2F"/>
    <w:rsid w:val="00DD3E34"/>
    <w:rsid w:val="00DD3F33"/>
    <w:rsid w:val="00DD3F68"/>
    <w:rsid w:val="00DD4114"/>
    <w:rsid w:val="00DD4223"/>
    <w:rsid w:val="00DD42F7"/>
    <w:rsid w:val="00DD4427"/>
    <w:rsid w:val="00DD4531"/>
    <w:rsid w:val="00DD457C"/>
    <w:rsid w:val="00DD4936"/>
    <w:rsid w:val="00DD4A1B"/>
    <w:rsid w:val="00DD4C36"/>
    <w:rsid w:val="00DD4D52"/>
    <w:rsid w:val="00DD4DE4"/>
    <w:rsid w:val="00DD4F34"/>
    <w:rsid w:val="00DD509C"/>
    <w:rsid w:val="00DD53D0"/>
    <w:rsid w:val="00DD549F"/>
    <w:rsid w:val="00DD55C9"/>
    <w:rsid w:val="00DD5679"/>
    <w:rsid w:val="00DD5766"/>
    <w:rsid w:val="00DD57E6"/>
    <w:rsid w:val="00DD581C"/>
    <w:rsid w:val="00DD581D"/>
    <w:rsid w:val="00DD5899"/>
    <w:rsid w:val="00DD58E4"/>
    <w:rsid w:val="00DD5931"/>
    <w:rsid w:val="00DD598F"/>
    <w:rsid w:val="00DD59F2"/>
    <w:rsid w:val="00DD5A19"/>
    <w:rsid w:val="00DD5AB7"/>
    <w:rsid w:val="00DD5AEC"/>
    <w:rsid w:val="00DD5B13"/>
    <w:rsid w:val="00DD5BDD"/>
    <w:rsid w:val="00DD5D7A"/>
    <w:rsid w:val="00DD5D8F"/>
    <w:rsid w:val="00DD5E2B"/>
    <w:rsid w:val="00DD5F22"/>
    <w:rsid w:val="00DD606F"/>
    <w:rsid w:val="00DD60C4"/>
    <w:rsid w:val="00DD6231"/>
    <w:rsid w:val="00DD6243"/>
    <w:rsid w:val="00DD63C3"/>
    <w:rsid w:val="00DD6430"/>
    <w:rsid w:val="00DD6433"/>
    <w:rsid w:val="00DD6491"/>
    <w:rsid w:val="00DD65F8"/>
    <w:rsid w:val="00DD682A"/>
    <w:rsid w:val="00DD6854"/>
    <w:rsid w:val="00DD694D"/>
    <w:rsid w:val="00DD69B3"/>
    <w:rsid w:val="00DD6C98"/>
    <w:rsid w:val="00DD6E17"/>
    <w:rsid w:val="00DD6ED7"/>
    <w:rsid w:val="00DD6ED8"/>
    <w:rsid w:val="00DD6F8B"/>
    <w:rsid w:val="00DD6FF4"/>
    <w:rsid w:val="00DD7000"/>
    <w:rsid w:val="00DD70E7"/>
    <w:rsid w:val="00DD7240"/>
    <w:rsid w:val="00DD7269"/>
    <w:rsid w:val="00DD72E5"/>
    <w:rsid w:val="00DD737B"/>
    <w:rsid w:val="00DD73D4"/>
    <w:rsid w:val="00DD75F5"/>
    <w:rsid w:val="00DD7710"/>
    <w:rsid w:val="00DD7768"/>
    <w:rsid w:val="00DD78C8"/>
    <w:rsid w:val="00DD78D3"/>
    <w:rsid w:val="00DD78D9"/>
    <w:rsid w:val="00DD7A0B"/>
    <w:rsid w:val="00DD7B9B"/>
    <w:rsid w:val="00DD7C87"/>
    <w:rsid w:val="00DD7D80"/>
    <w:rsid w:val="00DD7F12"/>
    <w:rsid w:val="00DE0018"/>
    <w:rsid w:val="00DE00F7"/>
    <w:rsid w:val="00DE020B"/>
    <w:rsid w:val="00DE021C"/>
    <w:rsid w:val="00DE035E"/>
    <w:rsid w:val="00DE039B"/>
    <w:rsid w:val="00DE042F"/>
    <w:rsid w:val="00DE05DD"/>
    <w:rsid w:val="00DE0655"/>
    <w:rsid w:val="00DE06C5"/>
    <w:rsid w:val="00DE07C2"/>
    <w:rsid w:val="00DE07ED"/>
    <w:rsid w:val="00DE08D9"/>
    <w:rsid w:val="00DE0937"/>
    <w:rsid w:val="00DE09DF"/>
    <w:rsid w:val="00DE0A37"/>
    <w:rsid w:val="00DE0A58"/>
    <w:rsid w:val="00DE0A95"/>
    <w:rsid w:val="00DE0B00"/>
    <w:rsid w:val="00DE0C34"/>
    <w:rsid w:val="00DE0D1F"/>
    <w:rsid w:val="00DE0D41"/>
    <w:rsid w:val="00DE0D69"/>
    <w:rsid w:val="00DE0FAD"/>
    <w:rsid w:val="00DE10EF"/>
    <w:rsid w:val="00DE1151"/>
    <w:rsid w:val="00DE121A"/>
    <w:rsid w:val="00DE1302"/>
    <w:rsid w:val="00DE146C"/>
    <w:rsid w:val="00DE1592"/>
    <w:rsid w:val="00DE15D8"/>
    <w:rsid w:val="00DE178F"/>
    <w:rsid w:val="00DE185C"/>
    <w:rsid w:val="00DE19E8"/>
    <w:rsid w:val="00DE1CE5"/>
    <w:rsid w:val="00DE1DA6"/>
    <w:rsid w:val="00DE1DB6"/>
    <w:rsid w:val="00DE1DF5"/>
    <w:rsid w:val="00DE1E5F"/>
    <w:rsid w:val="00DE1EE8"/>
    <w:rsid w:val="00DE1F61"/>
    <w:rsid w:val="00DE2001"/>
    <w:rsid w:val="00DE2094"/>
    <w:rsid w:val="00DE2190"/>
    <w:rsid w:val="00DE21C1"/>
    <w:rsid w:val="00DE223B"/>
    <w:rsid w:val="00DE2380"/>
    <w:rsid w:val="00DE2399"/>
    <w:rsid w:val="00DE23D2"/>
    <w:rsid w:val="00DE241E"/>
    <w:rsid w:val="00DE2503"/>
    <w:rsid w:val="00DE2629"/>
    <w:rsid w:val="00DE2662"/>
    <w:rsid w:val="00DE2766"/>
    <w:rsid w:val="00DE29F9"/>
    <w:rsid w:val="00DE2B6F"/>
    <w:rsid w:val="00DE2C42"/>
    <w:rsid w:val="00DE2CC3"/>
    <w:rsid w:val="00DE3046"/>
    <w:rsid w:val="00DE31C2"/>
    <w:rsid w:val="00DE3396"/>
    <w:rsid w:val="00DE339A"/>
    <w:rsid w:val="00DE3418"/>
    <w:rsid w:val="00DE3514"/>
    <w:rsid w:val="00DE354D"/>
    <w:rsid w:val="00DE3662"/>
    <w:rsid w:val="00DE37B3"/>
    <w:rsid w:val="00DE37DE"/>
    <w:rsid w:val="00DE3802"/>
    <w:rsid w:val="00DE3861"/>
    <w:rsid w:val="00DE3904"/>
    <w:rsid w:val="00DE3932"/>
    <w:rsid w:val="00DE3B0F"/>
    <w:rsid w:val="00DE3B42"/>
    <w:rsid w:val="00DE3B53"/>
    <w:rsid w:val="00DE3CC3"/>
    <w:rsid w:val="00DE3D61"/>
    <w:rsid w:val="00DE3D77"/>
    <w:rsid w:val="00DE3DDB"/>
    <w:rsid w:val="00DE3F24"/>
    <w:rsid w:val="00DE3F5B"/>
    <w:rsid w:val="00DE3FC3"/>
    <w:rsid w:val="00DE40D5"/>
    <w:rsid w:val="00DE41DB"/>
    <w:rsid w:val="00DE4220"/>
    <w:rsid w:val="00DE4238"/>
    <w:rsid w:val="00DE440A"/>
    <w:rsid w:val="00DE464B"/>
    <w:rsid w:val="00DE465F"/>
    <w:rsid w:val="00DE470B"/>
    <w:rsid w:val="00DE4717"/>
    <w:rsid w:val="00DE4782"/>
    <w:rsid w:val="00DE496A"/>
    <w:rsid w:val="00DE4983"/>
    <w:rsid w:val="00DE49DA"/>
    <w:rsid w:val="00DE49E6"/>
    <w:rsid w:val="00DE49FC"/>
    <w:rsid w:val="00DE4AB4"/>
    <w:rsid w:val="00DE4B4C"/>
    <w:rsid w:val="00DE4B5C"/>
    <w:rsid w:val="00DE4C62"/>
    <w:rsid w:val="00DE4DC2"/>
    <w:rsid w:val="00DE4E23"/>
    <w:rsid w:val="00DE4EC1"/>
    <w:rsid w:val="00DE4FF8"/>
    <w:rsid w:val="00DE50DB"/>
    <w:rsid w:val="00DE50F4"/>
    <w:rsid w:val="00DE5289"/>
    <w:rsid w:val="00DE52B2"/>
    <w:rsid w:val="00DE532B"/>
    <w:rsid w:val="00DE53C3"/>
    <w:rsid w:val="00DE53F0"/>
    <w:rsid w:val="00DE541C"/>
    <w:rsid w:val="00DE55A1"/>
    <w:rsid w:val="00DE56E7"/>
    <w:rsid w:val="00DE570A"/>
    <w:rsid w:val="00DE5AE2"/>
    <w:rsid w:val="00DE5AFF"/>
    <w:rsid w:val="00DE5B54"/>
    <w:rsid w:val="00DE5C31"/>
    <w:rsid w:val="00DE5DAE"/>
    <w:rsid w:val="00DE5E8E"/>
    <w:rsid w:val="00DE604D"/>
    <w:rsid w:val="00DE609D"/>
    <w:rsid w:val="00DE60C8"/>
    <w:rsid w:val="00DE616D"/>
    <w:rsid w:val="00DE6368"/>
    <w:rsid w:val="00DE6386"/>
    <w:rsid w:val="00DE658F"/>
    <w:rsid w:val="00DE6631"/>
    <w:rsid w:val="00DE6683"/>
    <w:rsid w:val="00DE6798"/>
    <w:rsid w:val="00DE6978"/>
    <w:rsid w:val="00DE6A6E"/>
    <w:rsid w:val="00DE6AA0"/>
    <w:rsid w:val="00DE6BD9"/>
    <w:rsid w:val="00DE6C1A"/>
    <w:rsid w:val="00DE6D9D"/>
    <w:rsid w:val="00DE6DAB"/>
    <w:rsid w:val="00DE6DBA"/>
    <w:rsid w:val="00DE6EFE"/>
    <w:rsid w:val="00DE6F34"/>
    <w:rsid w:val="00DE6F73"/>
    <w:rsid w:val="00DE6F77"/>
    <w:rsid w:val="00DE712D"/>
    <w:rsid w:val="00DE71E8"/>
    <w:rsid w:val="00DE72CA"/>
    <w:rsid w:val="00DE72F0"/>
    <w:rsid w:val="00DE742A"/>
    <w:rsid w:val="00DE74C8"/>
    <w:rsid w:val="00DE751C"/>
    <w:rsid w:val="00DE7635"/>
    <w:rsid w:val="00DE771D"/>
    <w:rsid w:val="00DE78EB"/>
    <w:rsid w:val="00DE78F7"/>
    <w:rsid w:val="00DE7975"/>
    <w:rsid w:val="00DE79EE"/>
    <w:rsid w:val="00DE7AE5"/>
    <w:rsid w:val="00DE7BBB"/>
    <w:rsid w:val="00DE7E01"/>
    <w:rsid w:val="00DE7EC6"/>
    <w:rsid w:val="00DE7FFC"/>
    <w:rsid w:val="00DF00C4"/>
    <w:rsid w:val="00DF0101"/>
    <w:rsid w:val="00DF01C0"/>
    <w:rsid w:val="00DF01CF"/>
    <w:rsid w:val="00DF01D9"/>
    <w:rsid w:val="00DF01FF"/>
    <w:rsid w:val="00DF05E7"/>
    <w:rsid w:val="00DF0627"/>
    <w:rsid w:val="00DF065F"/>
    <w:rsid w:val="00DF06A2"/>
    <w:rsid w:val="00DF0708"/>
    <w:rsid w:val="00DF071D"/>
    <w:rsid w:val="00DF0722"/>
    <w:rsid w:val="00DF0796"/>
    <w:rsid w:val="00DF079A"/>
    <w:rsid w:val="00DF07B7"/>
    <w:rsid w:val="00DF0840"/>
    <w:rsid w:val="00DF08C5"/>
    <w:rsid w:val="00DF097B"/>
    <w:rsid w:val="00DF0C3B"/>
    <w:rsid w:val="00DF0C6A"/>
    <w:rsid w:val="00DF0DF6"/>
    <w:rsid w:val="00DF0F48"/>
    <w:rsid w:val="00DF1066"/>
    <w:rsid w:val="00DF106B"/>
    <w:rsid w:val="00DF11E4"/>
    <w:rsid w:val="00DF12C7"/>
    <w:rsid w:val="00DF1304"/>
    <w:rsid w:val="00DF1387"/>
    <w:rsid w:val="00DF154E"/>
    <w:rsid w:val="00DF15AE"/>
    <w:rsid w:val="00DF1726"/>
    <w:rsid w:val="00DF1791"/>
    <w:rsid w:val="00DF17C9"/>
    <w:rsid w:val="00DF1897"/>
    <w:rsid w:val="00DF18C2"/>
    <w:rsid w:val="00DF190F"/>
    <w:rsid w:val="00DF1911"/>
    <w:rsid w:val="00DF1930"/>
    <w:rsid w:val="00DF1990"/>
    <w:rsid w:val="00DF1B31"/>
    <w:rsid w:val="00DF1B39"/>
    <w:rsid w:val="00DF1C25"/>
    <w:rsid w:val="00DF1D08"/>
    <w:rsid w:val="00DF1D60"/>
    <w:rsid w:val="00DF2262"/>
    <w:rsid w:val="00DF22FB"/>
    <w:rsid w:val="00DF23A1"/>
    <w:rsid w:val="00DF252D"/>
    <w:rsid w:val="00DF2569"/>
    <w:rsid w:val="00DF25ED"/>
    <w:rsid w:val="00DF261B"/>
    <w:rsid w:val="00DF26DB"/>
    <w:rsid w:val="00DF27E9"/>
    <w:rsid w:val="00DF280A"/>
    <w:rsid w:val="00DF2940"/>
    <w:rsid w:val="00DF2A21"/>
    <w:rsid w:val="00DF2A41"/>
    <w:rsid w:val="00DF2B51"/>
    <w:rsid w:val="00DF2C0D"/>
    <w:rsid w:val="00DF2C19"/>
    <w:rsid w:val="00DF2CCA"/>
    <w:rsid w:val="00DF2D7E"/>
    <w:rsid w:val="00DF2EDF"/>
    <w:rsid w:val="00DF2FAA"/>
    <w:rsid w:val="00DF30C0"/>
    <w:rsid w:val="00DF3145"/>
    <w:rsid w:val="00DF3174"/>
    <w:rsid w:val="00DF31CF"/>
    <w:rsid w:val="00DF33BE"/>
    <w:rsid w:val="00DF350B"/>
    <w:rsid w:val="00DF3555"/>
    <w:rsid w:val="00DF373F"/>
    <w:rsid w:val="00DF390A"/>
    <w:rsid w:val="00DF3939"/>
    <w:rsid w:val="00DF39BA"/>
    <w:rsid w:val="00DF3AF5"/>
    <w:rsid w:val="00DF3B13"/>
    <w:rsid w:val="00DF3BC2"/>
    <w:rsid w:val="00DF3C6C"/>
    <w:rsid w:val="00DF3DB2"/>
    <w:rsid w:val="00DF3DE4"/>
    <w:rsid w:val="00DF3EF3"/>
    <w:rsid w:val="00DF3FCF"/>
    <w:rsid w:val="00DF403C"/>
    <w:rsid w:val="00DF40A3"/>
    <w:rsid w:val="00DF422C"/>
    <w:rsid w:val="00DF4293"/>
    <w:rsid w:val="00DF436E"/>
    <w:rsid w:val="00DF439A"/>
    <w:rsid w:val="00DF43A3"/>
    <w:rsid w:val="00DF4424"/>
    <w:rsid w:val="00DF4541"/>
    <w:rsid w:val="00DF45DD"/>
    <w:rsid w:val="00DF4646"/>
    <w:rsid w:val="00DF47A3"/>
    <w:rsid w:val="00DF480A"/>
    <w:rsid w:val="00DF4900"/>
    <w:rsid w:val="00DF4919"/>
    <w:rsid w:val="00DF4A89"/>
    <w:rsid w:val="00DF4B32"/>
    <w:rsid w:val="00DF4C38"/>
    <w:rsid w:val="00DF4CA3"/>
    <w:rsid w:val="00DF4D2D"/>
    <w:rsid w:val="00DF4D66"/>
    <w:rsid w:val="00DF4F8C"/>
    <w:rsid w:val="00DF4FD2"/>
    <w:rsid w:val="00DF5001"/>
    <w:rsid w:val="00DF50C3"/>
    <w:rsid w:val="00DF51C1"/>
    <w:rsid w:val="00DF52F3"/>
    <w:rsid w:val="00DF5566"/>
    <w:rsid w:val="00DF5642"/>
    <w:rsid w:val="00DF5645"/>
    <w:rsid w:val="00DF56F9"/>
    <w:rsid w:val="00DF57EA"/>
    <w:rsid w:val="00DF58DC"/>
    <w:rsid w:val="00DF5961"/>
    <w:rsid w:val="00DF5985"/>
    <w:rsid w:val="00DF5AED"/>
    <w:rsid w:val="00DF5CB1"/>
    <w:rsid w:val="00DF5DFC"/>
    <w:rsid w:val="00DF5E9B"/>
    <w:rsid w:val="00DF5EAC"/>
    <w:rsid w:val="00DF5F77"/>
    <w:rsid w:val="00DF5FB1"/>
    <w:rsid w:val="00DF5FB8"/>
    <w:rsid w:val="00DF5FD9"/>
    <w:rsid w:val="00DF601E"/>
    <w:rsid w:val="00DF606D"/>
    <w:rsid w:val="00DF607D"/>
    <w:rsid w:val="00DF60CB"/>
    <w:rsid w:val="00DF618B"/>
    <w:rsid w:val="00DF6532"/>
    <w:rsid w:val="00DF6591"/>
    <w:rsid w:val="00DF6615"/>
    <w:rsid w:val="00DF67AA"/>
    <w:rsid w:val="00DF67BC"/>
    <w:rsid w:val="00DF67CC"/>
    <w:rsid w:val="00DF68E3"/>
    <w:rsid w:val="00DF6B60"/>
    <w:rsid w:val="00DF6BAF"/>
    <w:rsid w:val="00DF6C96"/>
    <w:rsid w:val="00DF6CEA"/>
    <w:rsid w:val="00DF6CF0"/>
    <w:rsid w:val="00DF7094"/>
    <w:rsid w:val="00DF70D6"/>
    <w:rsid w:val="00DF70F5"/>
    <w:rsid w:val="00DF716C"/>
    <w:rsid w:val="00DF721D"/>
    <w:rsid w:val="00DF736F"/>
    <w:rsid w:val="00DF7397"/>
    <w:rsid w:val="00DF7424"/>
    <w:rsid w:val="00DF757A"/>
    <w:rsid w:val="00DF7650"/>
    <w:rsid w:val="00DF768A"/>
    <w:rsid w:val="00DF773F"/>
    <w:rsid w:val="00DF77A0"/>
    <w:rsid w:val="00DF7801"/>
    <w:rsid w:val="00DF7827"/>
    <w:rsid w:val="00DF782B"/>
    <w:rsid w:val="00DF78DB"/>
    <w:rsid w:val="00DF7975"/>
    <w:rsid w:val="00DF79CD"/>
    <w:rsid w:val="00DF7B10"/>
    <w:rsid w:val="00DF7DDD"/>
    <w:rsid w:val="00DF7E93"/>
    <w:rsid w:val="00E00022"/>
    <w:rsid w:val="00E0020B"/>
    <w:rsid w:val="00E00402"/>
    <w:rsid w:val="00E0047E"/>
    <w:rsid w:val="00E00513"/>
    <w:rsid w:val="00E006C1"/>
    <w:rsid w:val="00E006C2"/>
    <w:rsid w:val="00E006D6"/>
    <w:rsid w:val="00E0072C"/>
    <w:rsid w:val="00E0079F"/>
    <w:rsid w:val="00E009D5"/>
    <w:rsid w:val="00E009FF"/>
    <w:rsid w:val="00E00A02"/>
    <w:rsid w:val="00E00A2C"/>
    <w:rsid w:val="00E00ACD"/>
    <w:rsid w:val="00E00BB3"/>
    <w:rsid w:val="00E00C16"/>
    <w:rsid w:val="00E00C63"/>
    <w:rsid w:val="00E00DAA"/>
    <w:rsid w:val="00E00E82"/>
    <w:rsid w:val="00E00EE3"/>
    <w:rsid w:val="00E00EE5"/>
    <w:rsid w:val="00E010FA"/>
    <w:rsid w:val="00E011B5"/>
    <w:rsid w:val="00E0136C"/>
    <w:rsid w:val="00E015B6"/>
    <w:rsid w:val="00E015EC"/>
    <w:rsid w:val="00E016C0"/>
    <w:rsid w:val="00E017DC"/>
    <w:rsid w:val="00E01841"/>
    <w:rsid w:val="00E0185D"/>
    <w:rsid w:val="00E019A5"/>
    <w:rsid w:val="00E01AF6"/>
    <w:rsid w:val="00E01AFA"/>
    <w:rsid w:val="00E01B2B"/>
    <w:rsid w:val="00E01BA5"/>
    <w:rsid w:val="00E01CAB"/>
    <w:rsid w:val="00E01DDF"/>
    <w:rsid w:val="00E01E64"/>
    <w:rsid w:val="00E01FA2"/>
    <w:rsid w:val="00E01FE3"/>
    <w:rsid w:val="00E01FE4"/>
    <w:rsid w:val="00E01FF5"/>
    <w:rsid w:val="00E021C6"/>
    <w:rsid w:val="00E02251"/>
    <w:rsid w:val="00E024F3"/>
    <w:rsid w:val="00E0253D"/>
    <w:rsid w:val="00E025C2"/>
    <w:rsid w:val="00E0263D"/>
    <w:rsid w:val="00E0264A"/>
    <w:rsid w:val="00E026F8"/>
    <w:rsid w:val="00E02732"/>
    <w:rsid w:val="00E027C9"/>
    <w:rsid w:val="00E027D5"/>
    <w:rsid w:val="00E02899"/>
    <w:rsid w:val="00E02A4C"/>
    <w:rsid w:val="00E02A8C"/>
    <w:rsid w:val="00E02B31"/>
    <w:rsid w:val="00E02BED"/>
    <w:rsid w:val="00E02CA0"/>
    <w:rsid w:val="00E02CBB"/>
    <w:rsid w:val="00E02D01"/>
    <w:rsid w:val="00E02D79"/>
    <w:rsid w:val="00E02F67"/>
    <w:rsid w:val="00E0305A"/>
    <w:rsid w:val="00E03130"/>
    <w:rsid w:val="00E0325C"/>
    <w:rsid w:val="00E0331A"/>
    <w:rsid w:val="00E0331E"/>
    <w:rsid w:val="00E03367"/>
    <w:rsid w:val="00E0339C"/>
    <w:rsid w:val="00E03403"/>
    <w:rsid w:val="00E03423"/>
    <w:rsid w:val="00E03441"/>
    <w:rsid w:val="00E034B6"/>
    <w:rsid w:val="00E03557"/>
    <w:rsid w:val="00E037D0"/>
    <w:rsid w:val="00E037D1"/>
    <w:rsid w:val="00E037FB"/>
    <w:rsid w:val="00E038CB"/>
    <w:rsid w:val="00E038DE"/>
    <w:rsid w:val="00E03A9F"/>
    <w:rsid w:val="00E03ADC"/>
    <w:rsid w:val="00E03BA5"/>
    <w:rsid w:val="00E03C6A"/>
    <w:rsid w:val="00E03C95"/>
    <w:rsid w:val="00E03C9B"/>
    <w:rsid w:val="00E03CDC"/>
    <w:rsid w:val="00E03CEB"/>
    <w:rsid w:val="00E03CFE"/>
    <w:rsid w:val="00E03EE0"/>
    <w:rsid w:val="00E04077"/>
    <w:rsid w:val="00E040F6"/>
    <w:rsid w:val="00E042B7"/>
    <w:rsid w:val="00E042D4"/>
    <w:rsid w:val="00E0430B"/>
    <w:rsid w:val="00E0430D"/>
    <w:rsid w:val="00E04479"/>
    <w:rsid w:val="00E044D1"/>
    <w:rsid w:val="00E04691"/>
    <w:rsid w:val="00E04765"/>
    <w:rsid w:val="00E047D0"/>
    <w:rsid w:val="00E0480B"/>
    <w:rsid w:val="00E04842"/>
    <w:rsid w:val="00E04A76"/>
    <w:rsid w:val="00E04ACB"/>
    <w:rsid w:val="00E04B94"/>
    <w:rsid w:val="00E04C21"/>
    <w:rsid w:val="00E04C24"/>
    <w:rsid w:val="00E04D09"/>
    <w:rsid w:val="00E04D30"/>
    <w:rsid w:val="00E04D82"/>
    <w:rsid w:val="00E04E2A"/>
    <w:rsid w:val="00E04ED2"/>
    <w:rsid w:val="00E04F60"/>
    <w:rsid w:val="00E04F8E"/>
    <w:rsid w:val="00E0513F"/>
    <w:rsid w:val="00E05177"/>
    <w:rsid w:val="00E05184"/>
    <w:rsid w:val="00E051C5"/>
    <w:rsid w:val="00E053A3"/>
    <w:rsid w:val="00E05457"/>
    <w:rsid w:val="00E055A4"/>
    <w:rsid w:val="00E056F7"/>
    <w:rsid w:val="00E05710"/>
    <w:rsid w:val="00E057F1"/>
    <w:rsid w:val="00E05810"/>
    <w:rsid w:val="00E05913"/>
    <w:rsid w:val="00E059C6"/>
    <w:rsid w:val="00E05B01"/>
    <w:rsid w:val="00E05B13"/>
    <w:rsid w:val="00E05B7E"/>
    <w:rsid w:val="00E05B8C"/>
    <w:rsid w:val="00E05CE5"/>
    <w:rsid w:val="00E05D16"/>
    <w:rsid w:val="00E05E22"/>
    <w:rsid w:val="00E05E4E"/>
    <w:rsid w:val="00E05FF3"/>
    <w:rsid w:val="00E06076"/>
    <w:rsid w:val="00E06120"/>
    <w:rsid w:val="00E0634F"/>
    <w:rsid w:val="00E0638B"/>
    <w:rsid w:val="00E06447"/>
    <w:rsid w:val="00E06884"/>
    <w:rsid w:val="00E06AD0"/>
    <w:rsid w:val="00E06B7D"/>
    <w:rsid w:val="00E06BE3"/>
    <w:rsid w:val="00E06E0F"/>
    <w:rsid w:val="00E06F7D"/>
    <w:rsid w:val="00E06FC8"/>
    <w:rsid w:val="00E07210"/>
    <w:rsid w:val="00E07280"/>
    <w:rsid w:val="00E072B2"/>
    <w:rsid w:val="00E0742C"/>
    <w:rsid w:val="00E07496"/>
    <w:rsid w:val="00E07576"/>
    <w:rsid w:val="00E075C4"/>
    <w:rsid w:val="00E07670"/>
    <w:rsid w:val="00E076E6"/>
    <w:rsid w:val="00E077EF"/>
    <w:rsid w:val="00E078CA"/>
    <w:rsid w:val="00E07924"/>
    <w:rsid w:val="00E079A0"/>
    <w:rsid w:val="00E079A1"/>
    <w:rsid w:val="00E079B3"/>
    <w:rsid w:val="00E07A41"/>
    <w:rsid w:val="00E07A5F"/>
    <w:rsid w:val="00E07C17"/>
    <w:rsid w:val="00E07C20"/>
    <w:rsid w:val="00E07C85"/>
    <w:rsid w:val="00E07D29"/>
    <w:rsid w:val="00E07D39"/>
    <w:rsid w:val="00E07DB9"/>
    <w:rsid w:val="00E07E3D"/>
    <w:rsid w:val="00E07F7D"/>
    <w:rsid w:val="00E07F84"/>
    <w:rsid w:val="00E07FD2"/>
    <w:rsid w:val="00E100EB"/>
    <w:rsid w:val="00E101B7"/>
    <w:rsid w:val="00E101C6"/>
    <w:rsid w:val="00E1022F"/>
    <w:rsid w:val="00E1025F"/>
    <w:rsid w:val="00E1027B"/>
    <w:rsid w:val="00E102F2"/>
    <w:rsid w:val="00E1035B"/>
    <w:rsid w:val="00E103E3"/>
    <w:rsid w:val="00E1040D"/>
    <w:rsid w:val="00E1041C"/>
    <w:rsid w:val="00E10495"/>
    <w:rsid w:val="00E10542"/>
    <w:rsid w:val="00E105B7"/>
    <w:rsid w:val="00E106AD"/>
    <w:rsid w:val="00E106D3"/>
    <w:rsid w:val="00E107E4"/>
    <w:rsid w:val="00E10946"/>
    <w:rsid w:val="00E10981"/>
    <w:rsid w:val="00E109F5"/>
    <w:rsid w:val="00E10A00"/>
    <w:rsid w:val="00E10BBD"/>
    <w:rsid w:val="00E10D75"/>
    <w:rsid w:val="00E10E30"/>
    <w:rsid w:val="00E10E41"/>
    <w:rsid w:val="00E10EBB"/>
    <w:rsid w:val="00E10ED4"/>
    <w:rsid w:val="00E10FAC"/>
    <w:rsid w:val="00E1106D"/>
    <w:rsid w:val="00E1107B"/>
    <w:rsid w:val="00E11270"/>
    <w:rsid w:val="00E11282"/>
    <w:rsid w:val="00E112DF"/>
    <w:rsid w:val="00E11592"/>
    <w:rsid w:val="00E115C6"/>
    <w:rsid w:val="00E115D5"/>
    <w:rsid w:val="00E116A4"/>
    <w:rsid w:val="00E11773"/>
    <w:rsid w:val="00E11A2B"/>
    <w:rsid w:val="00E11B1D"/>
    <w:rsid w:val="00E11B8C"/>
    <w:rsid w:val="00E11BDA"/>
    <w:rsid w:val="00E11D86"/>
    <w:rsid w:val="00E11E5E"/>
    <w:rsid w:val="00E11E65"/>
    <w:rsid w:val="00E11EF8"/>
    <w:rsid w:val="00E11F2C"/>
    <w:rsid w:val="00E11F58"/>
    <w:rsid w:val="00E1206F"/>
    <w:rsid w:val="00E120B6"/>
    <w:rsid w:val="00E12120"/>
    <w:rsid w:val="00E1227E"/>
    <w:rsid w:val="00E12495"/>
    <w:rsid w:val="00E124AB"/>
    <w:rsid w:val="00E124BD"/>
    <w:rsid w:val="00E124C5"/>
    <w:rsid w:val="00E12549"/>
    <w:rsid w:val="00E1254A"/>
    <w:rsid w:val="00E125C8"/>
    <w:rsid w:val="00E126A8"/>
    <w:rsid w:val="00E12735"/>
    <w:rsid w:val="00E127C6"/>
    <w:rsid w:val="00E12805"/>
    <w:rsid w:val="00E12808"/>
    <w:rsid w:val="00E12843"/>
    <w:rsid w:val="00E12889"/>
    <w:rsid w:val="00E128E4"/>
    <w:rsid w:val="00E12985"/>
    <w:rsid w:val="00E129D5"/>
    <w:rsid w:val="00E12A36"/>
    <w:rsid w:val="00E12AAB"/>
    <w:rsid w:val="00E12B27"/>
    <w:rsid w:val="00E12B51"/>
    <w:rsid w:val="00E12B7F"/>
    <w:rsid w:val="00E12BD5"/>
    <w:rsid w:val="00E12BDB"/>
    <w:rsid w:val="00E12BE1"/>
    <w:rsid w:val="00E12C7B"/>
    <w:rsid w:val="00E12C94"/>
    <w:rsid w:val="00E12C99"/>
    <w:rsid w:val="00E12CA3"/>
    <w:rsid w:val="00E12D94"/>
    <w:rsid w:val="00E12E53"/>
    <w:rsid w:val="00E12F0C"/>
    <w:rsid w:val="00E13000"/>
    <w:rsid w:val="00E1303C"/>
    <w:rsid w:val="00E132D9"/>
    <w:rsid w:val="00E133A5"/>
    <w:rsid w:val="00E133CC"/>
    <w:rsid w:val="00E134A8"/>
    <w:rsid w:val="00E134B1"/>
    <w:rsid w:val="00E1353A"/>
    <w:rsid w:val="00E138AA"/>
    <w:rsid w:val="00E1391A"/>
    <w:rsid w:val="00E139E9"/>
    <w:rsid w:val="00E13B3F"/>
    <w:rsid w:val="00E13B65"/>
    <w:rsid w:val="00E13E3B"/>
    <w:rsid w:val="00E14159"/>
    <w:rsid w:val="00E1418A"/>
    <w:rsid w:val="00E141E8"/>
    <w:rsid w:val="00E141F3"/>
    <w:rsid w:val="00E14274"/>
    <w:rsid w:val="00E142EC"/>
    <w:rsid w:val="00E144D3"/>
    <w:rsid w:val="00E14551"/>
    <w:rsid w:val="00E14794"/>
    <w:rsid w:val="00E1487B"/>
    <w:rsid w:val="00E14930"/>
    <w:rsid w:val="00E14A46"/>
    <w:rsid w:val="00E14A91"/>
    <w:rsid w:val="00E14BCC"/>
    <w:rsid w:val="00E14C40"/>
    <w:rsid w:val="00E14C8E"/>
    <w:rsid w:val="00E14D95"/>
    <w:rsid w:val="00E14DB1"/>
    <w:rsid w:val="00E14EBC"/>
    <w:rsid w:val="00E14EE4"/>
    <w:rsid w:val="00E14EED"/>
    <w:rsid w:val="00E14F7A"/>
    <w:rsid w:val="00E14FC4"/>
    <w:rsid w:val="00E151BD"/>
    <w:rsid w:val="00E15201"/>
    <w:rsid w:val="00E1520A"/>
    <w:rsid w:val="00E15340"/>
    <w:rsid w:val="00E1538E"/>
    <w:rsid w:val="00E1548E"/>
    <w:rsid w:val="00E154CF"/>
    <w:rsid w:val="00E1552B"/>
    <w:rsid w:val="00E1561A"/>
    <w:rsid w:val="00E1563B"/>
    <w:rsid w:val="00E15760"/>
    <w:rsid w:val="00E15975"/>
    <w:rsid w:val="00E159EE"/>
    <w:rsid w:val="00E15A7B"/>
    <w:rsid w:val="00E15AC5"/>
    <w:rsid w:val="00E15BC0"/>
    <w:rsid w:val="00E15BE5"/>
    <w:rsid w:val="00E15C3B"/>
    <w:rsid w:val="00E15C95"/>
    <w:rsid w:val="00E15DA3"/>
    <w:rsid w:val="00E15DC4"/>
    <w:rsid w:val="00E16007"/>
    <w:rsid w:val="00E1602A"/>
    <w:rsid w:val="00E161A0"/>
    <w:rsid w:val="00E161A1"/>
    <w:rsid w:val="00E16278"/>
    <w:rsid w:val="00E162ED"/>
    <w:rsid w:val="00E163A7"/>
    <w:rsid w:val="00E163B0"/>
    <w:rsid w:val="00E16416"/>
    <w:rsid w:val="00E16442"/>
    <w:rsid w:val="00E16457"/>
    <w:rsid w:val="00E1647C"/>
    <w:rsid w:val="00E16521"/>
    <w:rsid w:val="00E1658F"/>
    <w:rsid w:val="00E165D0"/>
    <w:rsid w:val="00E166A1"/>
    <w:rsid w:val="00E16749"/>
    <w:rsid w:val="00E16780"/>
    <w:rsid w:val="00E16850"/>
    <w:rsid w:val="00E1685C"/>
    <w:rsid w:val="00E168A9"/>
    <w:rsid w:val="00E169F5"/>
    <w:rsid w:val="00E16ADD"/>
    <w:rsid w:val="00E16AED"/>
    <w:rsid w:val="00E16B0E"/>
    <w:rsid w:val="00E16C24"/>
    <w:rsid w:val="00E16D0E"/>
    <w:rsid w:val="00E16D32"/>
    <w:rsid w:val="00E16DE1"/>
    <w:rsid w:val="00E16DF5"/>
    <w:rsid w:val="00E170CE"/>
    <w:rsid w:val="00E171A0"/>
    <w:rsid w:val="00E171F4"/>
    <w:rsid w:val="00E17305"/>
    <w:rsid w:val="00E173A6"/>
    <w:rsid w:val="00E173AD"/>
    <w:rsid w:val="00E173BC"/>
    <w:rsid w:val="00E1746F"/>
    <w:rsid w:val="00E17483"/>
    <w:rsid w:val="00E17734"/>
    <w:rsid w:val="00E17757"/>
    <w:rsid w:val="00E1782F"/>
    <w:rsid w:val="00E179B4"/>
    <w:rsid w:val="00E17A8C"/>
    <w:rsid w:val="00E17AD4"/>
    <w:rsid w:val="00E17AFB"/>
    <w:rsid w:val="00E17BFE"/>
    <w:rsid w:val="00E17D56"/>
    <w:rsid w:val="00E17DA8"/>
    <w:rsid w:val="00E17DC3"/>
    <w:rsid w:val="00E17DF0"/>
    <w:rsid w:val="00E17E85"/>
    <w:rsid w:val="00E17F2E"/>
    <w:rsid w:val="00E17F3A"/>
    <w:rsid w:val="00E20158"/>
    <w:rsid w:val="00E20200"/>
    <w:rsid w:val="00E20232"/>
    <w:rsid w:val="00E20363"/>
    <w:rsid w:val="00E20411"/>
    <w:rsid w:val="00E2041B"/>
    <w:rsid w:val="00E2044D"/>
    <w:rsid w:val="00E20507"/>
    <w:rsid w:val="00E2054A"/>
    <w:rsid w:val="00E2055D"/>
    <w:rsid w:val="00E205DD"/>
    <w:rsid w:val="00E20680"/>
    <w:rsid w:val="00E208C9"/>
    <w:rsid w:val="00E2099A"/>
    <w:rsid w:val="00E20AA4"/>
    <w:rsid w:val="00E20B58"/>
    <w:rsid w:val="00E20C21"/>
    <w:rsid w:val="00E20D42"/>
    <w:rsid w:val="00E20DEE"/>
    <w:rsid w:val="00E20E8D"/>
    <w:rsid w:val="00E20EA4"/>
    <w:rsid w:val="00E20EFF"/>
    <w:rsid w:val="00E20FC0"/>
    <w:rsid w:val="00E210CF"/>
    <w:rsid w:val="00E211E0"/>
    <w:rsid w:val="00E21239"/>
    <w:rsid w:val="00E213D7"/>
    <w:rsid w:val="00E214E1"/>
    <w:rsid w:val="00E215BD"/>
    <w:rsid w:val="00E2165D"/>
    <w:rsid w:val="00E216E2"/>
    <w:rsid w:val="00E21840"/>
    <w:rsid w:val="00E2186E"/>
    <w:rsid w:val="00E21934"/>
    <w:rsid w:val="00E21AAC"/>
    <w:rsid w:val="00E21B00"/>
    <w:rsid w:val="00E21B70"/>
    <w:rsid w:val="00E21C00"/>
    <w:rsid w:val="00E21D8A"/>
    <w:rsid w:val="00E21F73"/>
    <w:rsid w:val="00E21F8F"/>
    <w:rsid w:val="00E220B8"/>
    <w:rsid w:val="00E220CD"/>
    <w:rsid w:val="00E2210F"/>
    <w:rsid w:val="00E22185"/>
    <w:rsid w:val="00E221CD"/>
    <w:rsid w:val="00E221DA"/>
    <w:rsid w:val="00E221E2"/>
    <w:rsid w:val="00E22211"/>
    <w:rsid w:val="00E22288"/>
    <w:rsid w:val="00E22334"/>
    <w:rsid w:val="00E22339"/>
    <w:rsid w:val="00E223C1"/>
    <w:rsid w:val="00E22403"/>
    <w:rsid w:val="00E22472"/>
    <w:rsid w:val="00E22556"/>
    <w:rsid w:val="00E2258E"/>
    <w:rsid w:val="00E2259E"/>
    <w:rsid w:val="00E22600"/>
    <w:rsid w:val="00E22610"/>
    <w:rsid w:val="00E226DE"/>
    <w:rsid w:val="00E22751"/>
    <w:rsid w:val="00E2279A"/>
    <w:rsid w:val="00E22946"/>
    <w:rsid w:val="00E2294F"/>
    <w:rsid w:val="00E22A6A"/>
    <w:rsid w:val="00E22A84"/>
    <w:rsid w:val="00E22BCF"/>
    <w:rsid w:val="00E22D51"/>
    <w:rsid w:val="00E22E7F"/>
    <w:rsid w:val="00E22ED7"/>
    <w:rsid w:val="00E22F62"/>
    <w:rsid w:val="00E22FF5"/>
    <w:rsid w:val="00E2309D"/>
    <w:rsid w:val="00E23254"/>
    <w:rsid w:val="00E232CE"/>
    <w:rsid w:val="00E2333D"/>
    <w:rsid w:val="00E23346"/>
    <w:rsid w:val="00E233DE"/>
    <w:rsid w:val="00E23463"/>
    <w:rsid w:val="00E23629"/>
    <w:rsid w:val="00E236D7"/>
    <w:rsid w:val="00E23754"/>
    <w:rsid w:val="00E2378C"/>
    <w:rsid w:val="00E23919"/>
    <w:rsid w:val="00E23921"/>
    <w:rsid w:val="00E239E5"/>
    <w:rsid w:val="00E239F1"/>
    <w:rsid w:val="00E23A85"/>
    <w:rsid w:val="00E23B90"/>
    <w:rsid w:val="00E23BA8"/>
    <w:rsid w:val="00E23BBF"/>
    <w:rsid w:val="00E23CBD"/>
    <w:rsid w:val="00E23CF6"/>
    <w:rsid w:val="00E23E04"/>
    <w:rsid w:val="00E23E3B"/>
    <w:rsid w:val="00E24008"/>
    <w:rsid w:val="00E2418C"/>
    <w:rsid w:val="00E2421E"/>
    <w:rsid w:val="00E2438A"/>
    <w:rsid w:val="00E2448E"/>
    <w:rsid w:val="00E244CF"/>
    <w:rsid w:val="00E24661"/>
    <w:rsid w:val="00E2468E"/>
    <w:rsid w:val="00E24736"/>
    <w:rsid w:val="00E247B1"/>
    <w:rsid w:val="00E247B9"/>
    <w:rsid w:val="00E2489B"/>
    <w:rsid w:val="00E24965"/>
    <w:rsid w:val="00E24966"/>
    <w:rsid w:val="00E249BB"/>
    <w:rsid w:val="00E24CF1"/>
    <w:rsid w:val="00E24D5F"/>
    <w:rsid w:val="00E24D6D"/>
    <w:rsid w:val="00E24D7A"/>
    <w:rsid w:val="00E24DAF"/>
    <w:rsid w:val="00E24E11"/>
    <w:rsid w:val="00E24E7D"/>
    <w:rsid w:val="00E2505E"/>
    <w:rsid w:val="00E250F1"/>
    <w:rsid w:val="00E25208"/>
    <w:rsid w:val="00E25274"/>
    <w:rsid w:val="00E25304"/>
    <w:rsid w:val="00E253BB"/>
    <w:rsid w:val="00E25411"/>
    <w:rsid w:val="00E2546C"/>
    <w:rsid w:val="00E25503"/>
    <w:rsid w:val="00E2550C"/>
    <w:rsid w:val="00E2572D"/>
    <w:rsid w:val="00E259C3"/>
    <w:rsid w:val="00E25A13"/>
    <w:rsid w:val="00E25A2C"/>
    <w:rsid w:val="00E25A9D"/>
    <w:rsid w:val="00E25A9F"/>
    <w:rsid w:val="00E25B23"/>
    <w:rsid w:val="00E25E2E"/>
    <w:rsid w:val="00E25E56"/>
    <w:rsid w:val="00E25E7C"/>
    <w:rsid w:val="00E25EC1"/>
    <w:rsid w:val="00E26122"/>
    <w:rsid w:val="00E261DF"/>
    <w:rsid w:val="00E2621A"/>
    <w:rsid w:val="00E26242"/>
    <w:rsid w:val="00E262B6"/>
    <w:rsid w:val="00E262BA"/>
    <w:rsid w:val="00E262EC"/>
    <w:rsid w:val="00E263B6"/>
    <w:rsid w:val="00E26421"/>
    <w:rsid w:val="00E26640"/>
    <w:rsid w:val="00E2668E"/>
    <w:rsid w:val="00E2683D"/>
    <w:rsid w:val="00E26AEE"/>
    <w:rsid w:val="00E26C80"/>
    <w:rsid w:val="00E26CB9"/>
    <w:rsid w:val="00E26D32"/>
    <w:rsid w:val="00E26D96"/>
    <w:rsid w:val="00E26DC1"/>
    <w:rsid w:val="00E26E1E"/>
    <w:rsid w:val="00E26E85"/>
    <w:rsid w:val="00E26F9F"/>
    <w:rsid w:val="00E270B3"/>
    <w:rsid w:val="00E270E0"/>
    <w:rsid w:val="00E2711B"/>
    <w:rsid w:val="00E27188"/>
    <w:rsid w:val="00E271D9"/>
    <w:rsid w:val="00E272E3"/>
    <w:rsid w:val="00E2734E"/>
    <w:rsid w:val="00E27362"/>
    <w:rsid w:val="00E27486"/>
    <w:rsid w:val="00E27495"/>
    <w:rsid w:val="00E274E1"/>
    <w:rsid w:val="00E275E5"/>
    <w:rsid w:val="00E2761C"/>
    <w:rsid w:val="00E2764E"/>
    <w:rsid w:val="00E276D5"/>
    <w:rsid w:val="00E276E3"/>
    <w:rsid w:val="00E27759"/>
    <w:rsid w:val="00E27786"/>
    <w:rsid w:val="00E2779F"/>
    <w:rsid w:val="00E278A4"/>
    <w:rsid w:val="00E2791D"/>
    <w:rsid w:val="00E2797F"/>
    <w:rsid w:val="00E279E7"/>
    <w:rsid w:val="00E27A2A"/>
    <w:rsid w:val="00E27A6D"/>
    <w:rsid w:val="00E27B83"/>
    <w:rsid w:val="00E27B9A"/>
    <w:rsid w:val="00E27BE8"/>
    <w:rsid w:val="00E27CBF"/>
    <w:rsid w:val="00E27D40"/>
    <w:rsid w:val="00E27D70"/>
    <w:rsid w:val="00E27E2D"/>
    <w:rsid w:val="00E27E42"/>
    <w:rsid w:val="00E27F48"/>
    <w:rsid w:val="00E27F7A"/>
    <w:rsid w:val="00E27FE8"/>
    <w:rsid w:val="00E3007B"/>
    <w:rsid w:val="00E30132"/>
    <w:rsid w:val="00E30151"/>
    <w:rsid w:val="00E301E0"/>
    <w:rsid w:val="00E302E1"/>
    <w:rsid w:val="00E30387"/>
    <w:rsid w:val="00E30391"/>
    <w:rsid w:val="00E303FD"/>
    <w:rsid w:val="00E30419"/>
    <w:rsid w:val="00E30540"/>
    <w:rsid w:val="00E30572"/>
    <w:rsid w:val="00E306C4"/>
    <w:rsid w:val="00E306D8"/>
    <w:rsid w:val="00E308E7"/>
    <w:rsid w:val="00E3090D"/>
    <w:rsid w:val="00E30A86"/>
    <w:rsid w:val="00E30AB8"/>
    <w:rsid w:val="00E30AB9"/>
    <w:rsid w:val="00E30BB0"/>
    <w:rsid w:val="00E30CCD"/>
    <w:rsid w:val="00E30DD0"/>
    <w:rsid w:val="00E30EEE"/>
    <w:rsid w:val="00E30FAE"/>
    <w:rsid w:val="00E31010"/>
    <w:rsid w:val="00E31026"/>
    <w:rsid w:val="00E31027"/>
    <w:rsid w:val="00E310EC"/>
    <w:rsid w:val="00E31128"/>
    <w:rsid w:val="00E311F0"/>
    <w:rsid w:val="00E3123F"/>
    <w:rsid w:val="00E313F1"/>
    <w:rsid w:val="00E31409"/>
    <w:rsid w:val="00E31416"/>
    <w:rsid w:val="00E314D4"/>
    <w:rsid w:val="00E3156A"/>
    <w:rsid w:val="00E315DB"/>
    <w:rsid w:val="00E31640"/>
    <w:rsid w:val="00E3165C"/>
    <w:rsid w:val="00E31668"/>
    <w:rsid w:val="00E316C7"/>
    <w:rsid w:val="00E31771"/>
    <w:rsid w:val="00E317AE"/>
    <w:rsid w:val="00E31848"/>
    <w:rsid w:val="00E31894"/>
    <w:rsid w:val="00E318E2"/>
    <w:rsid w:val="00E31942"/>
    <w:rsid w:val="00E319B2"/>
    <w:rsid w:val="00E319BB"/>
    <w:rsid w:val="00E31A23"/>
    <w:rsid w:val="00E31A51"/>
    <w:rsid w:val="00E31F31"/>
    <w:rsid w:val="00E31F38"/>
    <w:rsid w:val="00E31F7F"/>
    <w:rsid w:val="00E32122"/>
    <w:rsid w:val="00E32153"/>
    <w:rsid w:val="00E32154"/>
    <w:rsid w:val="00E3217F"/>
    <w:rsid w:val="00E321AA"/>
    <w:rsid w:val="00E32224"/>
    <w:rsid w:val="00E32281"/>
    <w:rsid w:val="00E3257D"/>
    <w:rsid w:val="00E32701"/>
    <w:rsid w:val="00E327A0"/>
    <w:rsid w:val="00E3281C"/>
    <w:rsid w:val="00E328C6"/>
    <w:rsid w:val="00E32A8B"/>
    <w:rsid w:val="00E32AD6"/>
    <w:rsid w:val="00E32AE1"/>
    <w:rsid w:val="00E32B07"/>
    <w:rsid w:val="00E32B91"/>
    <w:rsid w:val="00E32C3E"/>
    <w:rsid w:val="00E32C4F"/>
    <w:rsid w:val="00E32DC2"/>
    <w:rsid w:val="00E32DDA"/>
    <w:rsid w:val="00E32E3B"/>
    <w:rsid w:val="00E32F0C"/>
    <w:rsid w:val="00E33096"/>
    <w:rsid w:val="00E3310A"/>
    <w:rsid w:val="00E3325F"/>
    <w:rsid w:val="00E33404"/>
    <w:rsid w:val="00E33535"/>
    <w:rsid w:val="00E335FE"/>
    <w:rsid w:val="00E33837"/>
    <w:rsid w:val="00E338AF"/>
    <w:rsid w:val="00E338B6"/>
    <w:rsid w:val="00E338FD"/>
    <w:rsid w:val="00E33AB5"/>
    <w:rsid w:val="00E33B08"/>
    <w:rsid w:val="00E33D48"/>
    <w:rsid w:val="00E33DA0"/>
    <w:rsid w:val="00E33E64"/>
    <w:rsid w:val="00E33E6D"/>
    <w:rsid w:val="00E33E91"/>
    <w:rsid w:val="00E33F73"/>
    <w:rsid w:val="00E33FE2"/>
    <w:rsid w:val="00E3403C"/>
    <w:rsid w:val="00E3405E"/>
    <w:rsid w:val="00E34072"/>
    <w:rsid w:val="00E34123"/>
    <w:rsid w:val="00E3413B"/>
    <w:rsid w:val="00E34188"/>
    <w:rsid w:val="00E341A3"/>
    <w:rsid w:val="00E341B9"/>
    <w:rsid w:val="00E34247"/>
    <w:rsid w:val="00E342AC"/>
    <w:rsid w:val="00E342F5"/>
    <w:rsid w:val="00E34355"/>
    <w:rsid w:val="00E34397"/>
    <w:rsid w:val="00E343C6"/>
    <w:rsid w:val="00E3458C"/>
    <w:rsid w:val="00E3459E"/>
    <w:rsid w:val="00E345E5"/>
    <w:rsid w:val="00E3465D"/>
    <w:rsid w:val="00E34673"/>
    <w:rsid w:val="00E346E7"/>
    <w:rsid w:val="00E34752"/>
    <w:rsid w:val="00E3487E"/>
    <w:rsid w:val="00E348CD"/>
    <w:rsid w:val="00E34947"/>
    <w:rsid w:val="00E34AD0"/>
    <w:rsid w:val="00E34BCE"/>
    <w:rsid w:val="00E34CE7"/>
    <w:rsid w:val="00E34CEF"/>
    <w:rsid w:val="00E34DA6"/>
    <w:rsid w:val="00E34FDE"/>
    <w:rsid w:val="00E35023"/>
    <w:rsid w:val="00E35109"/>
    <w:rsid w:val="00E35182"/>
    <w:rsid w:val="00E3518F"/>
    <w:rsid w:val="00E35190"/>
    <w:rsid w:val="00E351C6"/>
    <w:rsid w:val="00E351E1"/>
    <w:rsid w:val="00E352C8"/>
    <w:rsid w:val="00E35632"/>
    <w:rsid w:val="00E356AE"/>
    <w:rsid w:val="00E3571A"/>
    <w:rsid w:val="00E3572F"/>
    <w:rsid w:val="00E3575B"/>
    <w:rsid w:val="00E359D4"/>
    <w:rsid w:val="00E35BD2"/>
    <w:rsid w:val="00E35C79"/>
    <w:rsid w:val="00E35D8F"/>
    <w:rsid w:val="00E35E6D"/>
    <w:rsid w:val="00E35E70"/>
    <w:rsid w:val="00E35F35"/>
    <w:rsid w:val="00E35F3C"/>
    <w:rsid w:val="00E35F9B"/>
    <w:rsid w:val="00E3600F"/>
    <w:rsid w:val="00E3616E"/>
    <w:rsid w:val="00E361E0"/>
    <w:rsid w:val="00E3626F"/>
    <w:rsid w:val="00E362B0"/>
    <w:rsid w:val="00E362D4"/>
    <w:rsid w:val="00E3648B"/>
    <w:rsid w:val="00E36490"/>
    <w:rsid w:val="00E3653B"/>
    <w:rsid w:val="00E365AA"/>
    <w:rsid w:val="00E365E0"/>
    <w:rsid w:val="00E36632"/>
    <w:rsid w:val="00E36733"/>
    <w:rsid w:val="00E3676C"/>
    <w:rsid w:val="00E3688C"/>
    <w:rsid w:val="00E369BB"/>
    <w:rsid w:val="00E369C9"/>
    <w:rsid w:val="00E36A55"/>
    <w:rsid w:val="00E36A76"/>
    <w:rsid w:val="00E36AEA"/>
    <w:rsid w:val="00E36B0D"/>
    <w:rsid w:val="00E36B5D"/>
    <w:rsid w:val="00E36C10"/>
    <w:rsid w:val="00E36C75"/>
    <w:rsid w:val="00E36C80"/>
    <w:rsid w:val="00E36D33"/>
    <w:rsid w:val="00E36F38"/>
    <w:rsid w:val="00E36FAC"/>
    <w:rsid w:val="00E36FDA"/>
    <w:rsid w:val="00E37012"/>
    <w:rsid w:val="00E3705A"/>
    <w:rsid w:val="00E37493"/>
    <w:rsid w:val="00E3752E"/>
    <w:rsid w:val="00E37675"/>
    <w:rsid w:val="00E378BC"/>
    <w:rsid w:val="00E3794B"/>
    <w:rsid w:val="00E37A9D"/>
    <w:rsid w:val="00E37ADF"/>
    <w:rsid w:val="00E37AF8"/>
    <w:rsid w:val="00E37B44"/>
    <w:rsid w:val="00E37B65"/>
    <w:rsid w:val="00E37C87"/>
    <w:rsid w:val="00E37CF2"/>
    <w:rsid w:val="00E37E4F"/>
    <w:rsid w:val="00E37E99"/>
    <w:rsid w:val="00E37E9D"/>
    <w:rsid w:val="00E401DD"/>
    <w:rsid w:val="00E40363"/>
    <w:rsid w:val="00E4038C"/>
    <w:rsid w:val="00E40414"/>
    <w:rsid w:val="00E40424"/>
    <w:rsid w:val="00E405D6"/>
    <w:rsid w:val="00E40837"/>
    <w:rsid w:val="00E408C3"/>
    <w:rsid w:val="00E40901"/>
    <w:rsid w:val="00E40915"/>
    <w:rsid w:val="00E40924"/>
    <w:rsid w:val="00E40A58"/>
    <w:rsid w:val="00E40B78"/>
    <w:rsid w:val="00E40CA5"/>
    <w:rsid w:val="00E40CD5"/>
    <w:rsid w:val="00E40D16"/>
    <w:rsid w:val="00E40E13"/>
    <w:rsid w:val="00E40E88"/>
    <w:rsid w:val="00E40F60"/>
    <w:rsid w:val="00E41005"/>
    <w:rsid w:val="00E4105D"/>
    <w:rsid w:val="00E410BA"/>
    <w:rsid w:val="00E41107"/>
    <w:rsid w:val="00E41170"/>
    <w:rsid w:val="00E4128A"/>
    <w:rsid w:val="00E412D8"/>
    <w:rsid w:val="00E4139F"/>
    <w:rsid w:val="00E413AD"/>
    <w:rsid w:val="00E41450"/>
    <w:rsid w:val="00E41479"/>
    <w:rsid w:val="00E41663"/>
    <w:rsid w:val="00E416DF"/>
    <w:rsid w:val="00E41703"/>
    <w:rsid w:val="00E417AA"/>
    <w:rsid w:val="00E417C1"/>
    <w:rsid w:val="00E417C9"/>
    <w:rsid w:val="00E417E2"/>
    <w:rsid w:val="00E41B93"/>
    <w:rsid w:val="00E41C4B"/>
    <w:rsid w:val="00E41C8A"/>
    <w:rsid w:val="00E41D19"/>
    <w:rsid w:val="00E41D29"/>
    <w:rsid w:val="00E41D2D"/>
    <w:rsid w:val="00E41EEF"/>
    <w:rsid w:val="00E41F79"/>
    <w:rsid w:val="00E41FD5"/>
    <w:rsid w:val="00E41FDB"/>
    <w:rsid w:val="00E42139"/>
    <w:rsid w:val="00E421E0"/>
    <w:rsid w:val="00E423D1"/>
    <w:rsid w:val="00E42812"/>
    <w:rsid w:val="00E42885"/>
    <w:rsid w:val="00E4294B"/>
    <w:rsid w:val="00E429BE"/>
    <w:rsid w:val="00E42A45"/>
    <w:rsid w:val="00E42A73"/>
    <w:rsid w:val="00E42B7A"/>
    <w:rsid w:val="00E42BB0"/>
    <w:rsid w:val="00E42D61"/>
    <w:rsid w:val="00E42E35"/>
    <w:rsid w:val="00E42F27"/>
    <w:rsid w:val="00E43037"/>
    <w:rsid w:val="00E43131"/>
    <w:rsid w:val="00E43238"/>
    <w:rsid w:val="00E43324"/>
    <w:rsid w:val="00E43377"/>
    <w:rsid w:val="00E436DC"/>
    <w:rsid w:val="00E43756"/>
    <w:rsid w:val="00E4379B"/>
    <w:rsid w:val="00E437D9"/>
    <w:rsid w:val="00E4382F"/>
    <w:rsid w:val="00E4384E"/>
    <w:rsid w:val="00E43864"/>
    <w:rsid w:val="00E44147"/>
    <w:rsid w:val="00E4426C"/>
    <w:rsid w:val="00E44423"/>
    <w:rsid w:val="00E44495"/>
    <w:rsid w:val="00E444C2"/>
    <w:rsid w:val="00E44559"/>
    <w:rsid w:val="00E44560"/>
    <w:rsid w:val="00E44578"/>
    <w:rsid w:val="00E445AE"/>
    <w:rsid w:val="00E44893"/>
    <w:rsid w:val="00E448ED"/>
    <w:rsid w:val="00E4492A"/>
    <w:rsid w:val="00E44A5F"/>
    <w:rsid w:val="00E44B46"/>
    <w:rsid w:val="00E44BBA"/>
    <w:rsid w:val="00E44D1F"/>
    <w:rsid w:val="00E44DF4"/>
    <w:rsid w:val="00E44E8C"/>
    <w:rsid w:val="00E44EB1"/>
    <w:rsid w:val="00E44EB6"/>
    <w:rsid w:val="00E44EC3"/>
    <w:rsid w:val="00E44F88"/>
    <w:rsid w:val="00E4510B"/>
    <w:rsid w:val="00E45238"/>
    <w:rsid w:val="00E455DE"/>
    <w:rsid w:val="00E4562B"/>
    <w:rsid w:val="00E45759"/>
    <w:rsid w:val="00E45788"/>
    <w:rsid w:val="00E4578C"/>
    <w:rsid w:val="00E4592E"/>
    <w:rsid w:val="00E45A35"/>
    <w:rsid w:val="00E45A7F"/>
    <w:rsid w:val="00E45A86"/>
    <w:rsid w:val="00E45A92"/>
    <w:rsid w:val="00E45AC6"/>
    <w:rsid w:val="00E45B22"/>
    <w:rsid w:val="00E45C2B"/>
    <w:rsid w:val="00E45D21"/>
    <w:rsid w:val="00E45E4E"/>
    <w:rsid w:val="00E460E6"/>
    <w:rsid w:val="00E4614A"/>
    <w:rsid w:val="00E4658B"/>
    <w:rsid w:val="00E465A3"/>
    <w:rsid w:val="00E4673A"/>
    <w:rsid w:val="00E46775"/>
    <w:rsid w:val="00E467B6"/>
    <w:rsid w:val="00E46810"/>
    <w:rsid w:val="00E46A32"/>
    <w:rsid w:val="00E46A4F"/>
    <w:rsid w:val="00E46A56"/>
    <w:rsid w:val="00E46AC6"/>
    <w:rsid w:val="00E46B01"/>
    <w:rsid w:val="00E46B44"/>
    <w:rsid w:val="00E46B60"/>
    <w:rsid w:val="00E46BA9"/>
    <w:rsid w:val="00E46C67"/>
    <w:rsid w:val="00E46D16"/>
    <w:rsid w:val="00E46DFE"/>
    <w:rsid w:val="00E46E71"/>
    <w:rsid w:val="00E46E83"/>
    <w:rsid w:val="00E46EE0"/>
    <w:rsid w:val="00E46F39"/>
    <w:rsid w:val="00E47119"/>
    <w:rsid w:val="00E4717A"/>
    <w:rsid w:val="00E4717F"/>
    <w:rsid w:val="00E47212"/>
    <w:rsid w:val="00E4758B"/>
    <w:rsid w:val="00E475DF"/>
    <w:rsid w:val="00E4765C"/>
    <w:rsid w:val="00E47665"/>
    <w:rsid w:val="00E47681"/>
    <w:rsid w:val="00E47762"/>
    <w:rsid w:val="00E4777E"/>
    <w:rsid w:val="00E47800"/>
    <w:rsid w:val="00E47937"/>
    <w:rsid w:val="00E47B7E"/>
    <w:rsid w:val="00E47BA5"/>
    <w:rsid w:val="00E47C39"/>
    <w:rsid w:val="00E47CAF"/>
    <w:rsid w:val="00E47ED9"/>
    <w:rsid w:val="00E47F18"/>
    <w:rsid w:val="00E47FE6"/>
    <w:rsid w:val="00E5004F"/>
    <w:rsid w:val="00E5013E"/>
    <w:rsid w:val="00E50157"/>
    <w:rsid w:val="00E50188"/>
    <w:rsid w:val="00E502C7"/>
    <w:rsid w:val="00E50432"/>
    <w:rsid w:val="00E50470"/>
    <w:rsid w:val="00E504D5"/>
    <w:rsid w:val="00E5058C"/>
    <w:rsid w:val="00E50591"/>
    <w:rsid w:val="00E5068A"/>
    <w:rsid w:val="00E50760"/>
    <w:rsid w:val="00E5081F"/>
    <w:rsid w:val="00E5088D"/>
    <w:rsid w:val="00E5090B"/>
    <w:rsid w:val="00E509E5"/>
    <w:rsid w:val="00E50A4C"/>
    <w:rsid w:val="00E50B56"/>
    <w:rsid w:val="00E50E09"/>
    <w:rsid w:val="00E50EF3"/>
    <w:rsid w:val="00E5136B"/>
    <w:rsid w:val="00E514BB"/>
    <w:rsid w:val="00E5154A"/>
    <w:rsid w:val="00E515CE"/>
    <w:rsid w:val="00E51622"/>
    <w:rsid w:val="00E517B9"/>
    <w:rsid w:val="00E5181F"/>
    <w:rsid w:val="00E5186A"/>
    <w:rsid w:val="00E5192F"/>
    <w:rsid w:val="00E51968"/>
    <w:rsid w:val="00E51A8D"/>
    <w:rsid w:val="00E51AAA"/>
    <w:rsid w:val="00E51AFA"/>
    <w:rsid w:val="00E51B1C"/>
    <w:rsid w:val="00E51BB6"/>
    <w:rsid w:val="00E51C28"/>
    <w:rsid w:val="00E51C6E"/>
    <w:rsid w:val="00E51D0C"/>
    <w:rsid w:val="00E51D94"/>
    <w:rsid w:val="00E51DD1"/>
    <w:rsid w:val="00E51E20"/>
    <w:rsid w:val="00E51F00"/>
    <w:rsid w:val="00E51F24"/>
    <w:rsid w:val="00E51F30"/>
    <w:rsid w:val="00E5205C"/>
    <w:rsid w:val="00E520B1"/>
    <w:rsid w:val="00E52111"/>
    <w:rsid w:val="00E5219D"/>
    <w:rsid w:val="00E522F7"/>
    <w:rsid w:val="00E523DA"/>
    <w:rsid w:val="00E52425"/>
    <w:rsid w:val="00E52452"/>
    <w:rsid w:val="00E5258C"/>
    <w:rsid w:val="00E5260C"/>
    <w:rsid w:val="00E52728"/>
    <w:rsid w:val="00E5281E"/>
    <w:rsid w:val="00E52948"/>
    <w:rsid w:val="00E529C7"/>
    <w:rsid w:val="00E52A47"/>
    <w:rsid w:val="00E52A8F"/>
    <w:rsid w:val="00E52BFF"/>
    <w:rsid w:val="00E52C08"/>
    <w:rsid w:val="00E52C75"/>
    <w:rsid w:val="00E52D2F"/>
    <w:rsid w:val="00E52D3B"/>
    <w:rsid w:val="00E52EA2"/>
    <w:rsid w:val="00E52F1F"/>
    <w:rsid w:val="00E52F65"/>
    <w:rsid w:val="00E52FB1"/>
    <w:rsid w:val="00E5307A"/>
    <w:rsid w:val="00E53207"/>
    <w:rsid w:val="00E5322B"/>
    <w:rsid w:val="00E5329A"/>
    <w:rsid w:val="00E5338E"/>
    <w:rsid w:val="00E535C0"/>
    <w:rsid w:val="00E535C1"/>
    <w:rsid w:val="00E53778"/>
    <w:rsid w:val="00E5384C"/>
    <w:rsid w:val="00E53874"/>
    <w:rsid w:val="00E53A0B"/>
    <w:rsid w:val="00E53A2A"/>
    <w:rsid w:val="00E53B6B"/>
    <w:rsid w:val="00E53D41"/>
    <w:rsid w:val="00E53D8E"/>
    <w:rsid w:val="00E53DAE"/>
    <w:rsid w:val="00E53F01"/>
    <w:rsid w:val="00E53F05"/>
    <w:rsid w:val="00E53FE1"/>
    <w:rsid w:val="00E54178"/>
    <w:rsid w:val="00E541CF"/>
    <w:rsid w:val="00E541E8"/>
    <w:rsid w:val="00E5421E"/>
    <w:rsid w:val="00E54244"/>
    <w:rsid w:val="00E542F9"/>
    <w:rsid w:val="00E54327"/>
    <w:rsid w:val="00E543D7"/>
    <w:rsid w:val="00E54420"/>
    <w:rsid w:val="00E54576"/>
    <w:rsid w:val="00E54619"/>
    <w:rsid w:val="00E5464D"/>
    <w:rsid w:val="00E54657"/>
    <w:rsid w:val="00E5472A"/>
    <w:rsid w:val="00E547D9"/>
    <w:rsid w:val="00E54834"/>
    <w:rsid w:val="00E54873"/>
    <w:rsid w:val="00E548BD"/>
    <w:rsid w:val="00E549BA"/>
    <w:rsid w:val="00E54B42"/>
    <w:rsid w:val="00E54BC9"/>
    <w:rsid w:val="00E54C87"/>
    <w:rsid w:val="00E54C9F"/>
    <w:rsid w:val="00E54CA6"/>
    <w:rsid w:val="00E54D5F"/>
    <w:rsid w:val="00E54E62"/>
    <w:rsid w:val="00E54EDF"/>
    <w:rsid w:val="00E54F07"/>
    <w:rsid w:val="00E55088"/>
    <w:rsid w:val="00E550F1"/>
    <w:rsid w:val="00E5525A"/>
    <w:rsid w:val="00E55267"/>
    <w:rsid w:val="00E55385"/>
    <w:rsid w:val="00E553E2"/>
    <w:rsid w:val="00E55683"/>
    <w:rsid w:val="00E5569D"/>
    <w:rsid w:val="00E556D0"/>
    <w:rsid w:val="00E55739"/>
    <w:rsid w:val="00E55876"/>
    <w:rsid w:val="00E55950"/>
    <w:rsid w:val="00E559B8"/>
    <w:rsid w:val="00E559F3"/>
    <w:rsid w:val="00E55A94"/>
    <w:rsid w:val="00E55AFA"/>
    <w:rsid w:val="00E55B82"/>
    <w:rsid w:val="00E55D92"/>
    <w:rsid w:val="00E55DAF"/>
    <w:rsid w:val="00E55DC3"/>
    <w:rsid w:val="00E55EED"/>
    <w:rsid w:val="00E56198"/>
    <w:rsid w:val="00E5630B"/>
    <w:rsid w:val="00E56378"/>
    <w:rsid w:val="00E56395"/>
    <w:rsid w:val="00E56537"/>
    <w:rsid w:val="00E5662B"/>
    <w:rsid w:val="00E5666F"/>
    <w:rsid w:val="00E56789"/>
    <w:rsid w:val="00E567F0"/>
    <w:rsid w:val="00E568E4"/>
    <w:rsid w:val="00E56959"/>
    <w:rsid w:val="00E569F1"/>
    <w:rsid w:val="00E56B52"/>
    <w:rsid w:val="00E56B94"/>
    <w:rsid w:val="00E56C90"/>
    <w:rsid w:val="00E56D74"/>
    <w:rsid w:val="00E56E83"/>
    <w:rsid w:val="00E56EF2"/>
    <w:rsid w:val="00E56F40"/>
    <w:rsid w:val="00E57028"/>
    <w:rsid w:val="00E57469"/>
    <w:rsid w:val="00E57620"/>
    <w:rsid w:val="00E57749"/>
    <w:rsid w:val="00E57963"/>
    <w:rsid w:val="00E57A5D"/>
    <w:rsid w:val="00E57B2E"/>
    <w:rsid w:val="00E57C48"/>
    <w:rsid w:val="00E57CB2"/>
    <w:rsid w:val="00E57D04"/>
    <w:rsid w:val="00E57D3B"/>
    <w:rsid w:val="00E57E51"/>
    <w:rsid w:val="00E57EB0"/>
    <w:rsid w:val="00E57EDD"/>
    <w:rsid w:val="00E60017"/>
    <w:rsid w:val="00E6029E"/>
    <w:rsid w:val="00E602AC"/>
    <w:rsid w:val="00E60379"/>
    <w:rsid w:val="00E603FB"/>
    <w:rsid w:val="00E6045F"/>
    <w:rsid w:val="00E60476"/>
    <w:rsid w:val="00E60574"/>
    <w:rsid w:val="00E60594"/>
    <w:rsid w:val="00E606D5"/>
    <w:rsid w:val="00E60815"/>
    <w:rsid w:val="00E608C4"/>
    <w:rsid w:val="00E60B0C"/>
    <w:rsid w:val="00E60C4A"/>
    <w:rsid w:val="00E60D68"/>
    <w:rsid w:val="00E60EEA"/>
    <w:rsid w:val="00E60EF9"/>
    <w:rsid w:val="00E60FA3"/>
    <w:rsid w:val="00E610E0"/>
    <w:rsid w:val="00E61144"/>
    <w:rsid w:val="00E6118D"/>
    <w:rsid w:val="00E61258"/>
    <w:rsid w:val="00E6125D"/>
    <w:rsid w:val="00E61290"/>
    <w:rsid w:val="00E61348"/>
    <w:rsid w:val="00E6148D"/>
    <w:rsid w:val="00E614EB"/>
    <w:rsid w:val="00E61545"/>
    <w:rsid w:val="00E61693"/>
    <w:rsid w:val="00E616C9"/>
    <w:rsid w:val="00E617AE"/>
    <w:rsid w:val="00E617B3"/>
    <w:rsid w:val="00E61882"/>
    <w:rsid w:val="00E618D3"/>
    <w:rsid w:val="00E618E2"/>
    <w:rsid w:val="00E6192C"/>
    <w:rsid w:val="00E61965"/>
    <w:rsid w:val="00E619AC"/>
    <w:rsid w:val="00E61BA4"/>
    <w:rsid w:val="00E61CB6"/>
    <w:rsid w:val="00E61DDC"/>
    <w:rsid w:val="00E62059"/>
    <w:rsid w:val="00E62192"/>
    <w:rsid w:val="00E62304"/>
    <w:rsid w:val="00E6235E"/>
    <w:rsid w:val="00E623A6"/>
    <w:rsid w:val="00E62414"/>
    <w:rsid w:val="00E62459"/>
    <w:rsid w:val="00E6249B"/>
    <w:rsid w:val="00E624BD"/>
    <w:rsid w:val="00E624C4"/>
    <w:rsid w:val="00E6252E"/>
    <w:rsid w:val="00E6255A"/>
    <w:rsid w:val="00E62569"/>
    <w:rsid w:val="00E62605"/>
    <w:rsid w:val="00E6279E"/>
    <w:rsid w:val="00E6285C"/>
    <w:rsid w:val="00E6298A"/>
    <w:rsid w:val="00E62991"/>
    <w:rsid w:val="00E62A04"/>
    <w:rsid w:val="00E62A37"/>
    <w:rsid w:val="00E62B3B"/>
    <w:rsid w:val="00E62BF4"/>
    <w:rsid w:val="00E62C0F"/>
    <w:rsid w:val="00E62C19"/>
    <w:rsid w:val="00E62CE1"/>
    <w:rsid w:val="00E62D4D"/>
    <w:rsid w:val="00E62D64"/>
    <w:rsid w:val="00E62E22"/>
    <w:rsid w:val="00E62E93"/>
    <w:rsid w:val="00E62EC8"/>
    <w:rsid w:val="00E62ED5"/>
    <w:rsid w:val="00E62FE7"/>
    <w:rsid w:val="00E63006"/>
    <w:rsid w:val="00E6306D"/>
    <w:rsid w:val="00E6309B"/>
    <w:rsid w:val="00E63109"/>
    <w:rsid w:val="00E63207"/>
    <w:rsid w:val="00E6321A"/>
    <w:rsid w:val="00E63243"/>
    <w:rsid w:val="00E63369"/>
    <w:rsid w:val="00E633B2"/>
    <w:rsid w:val="00E63453"/>
    <w:rsid w:val="00E634EE"/>
    <w:rsid w:val="00E6355E"/>
    <w:rsid w:val="00E63583"/>
    <w:rsid w:val="00E6369F"/>
    <w:rsid w:val="00E63705"/>
    <w:rsid w:val="00E63712"/>
    <w:rsid w:val="00E637A2"/>
    <w:rsid w:val="00E63886"/>
    <w:rsid w:val="00E63A5C"/>
    <w:rsid w:val="00E63C2E"/>
    <w:rsid w:val="00E63E74"/>
    <w:rsid w:val="00E63F2C"/>
    <w:rsid w:val="00E64168"/>
    <w:rsid w:val="00E64326"/>
    <w:rsid w:val="00E64405"/>
    <w:rsid w:val="00E64667"/>
    <w:rsid w:val="00E64886"/>
    <w:rsid w:val="00E64936"/>
    <w:rsid w:val="00E6494D"/>
    <w:rsid w:val="00E64973"/>
    <w:rsid w:val="00E64B54"/>
    <w:rsid w:val="00E64C66"/>
    <w:rsid w:val="00E64EA9"/>
    <w:rsid w:val="00E64F3F"/>
    <w:rsid w:val="00E64F97"/>
    <w:rsid w:val="00E65008"/>
    <w:rsid w:val="00E6504E"/>
    <w:rsid w:val="00E650A0"/>
    <w:rsid w:val="00E65242"/>
    <w:rsid w:val="00E65409"/>
    <w:rsid w:val="00E65416"/>
    <w:rsid w:val="00E654A9"/>
    <w:rsid w:val="00E655DE"/>
    <w:rsid w:val="00E65719"/>
    <w:rsid w:val="00E6582D"/>
    <w:rsid w:val="00E65852"/>
    <w:rsid w:val="00E65B96"/>
    <w:rsid w:val="00E65BC1"/>
    <w:rsid w:val="00E65D11"/>
    <w:rsid w:val="00E65D2B"/>
    <w:rsid w:val="00E65DA9"/>
    <w:rsid w:val="00E65E66"/>
    <w:rsid w:val="00E65EFE"/>
    <w:rsid w:val="00E66047"/>
    <w:rsid w:val="00E660FB"/>
    <w:rsid w:val="00E66148"/>
    <w:rsid w:val="00E661A4"/>
    <w:rsid w:val="00E6634F"/>
    <w:rsid w:val="00E664C7"/>
    <w:rsid w:val="00E6655C"/>
    <w:rsid w:val="00E665DC"/>
    <w:rsid w:val="00E66691"/>
    <w:rsid w:val="00E666A5"/>
    <w:rsid w:val="00E66727"/>
    <w:rsid w:val="00E66870"/>
    <w:rsid w:val="00E668AD"/>
    <w:rsid w:val="00E66A3B"/>
    <w:rsid w:val="00E66B23"/>
    <w:rsid w:val="00E66C1D"/>
    <w:rsid w:val="00E66C4C"/>
    <w:rsid w:val="00E66CA2"/>
    <w:rsid w:val="00E66E85"/>
    <w:rsid w:val="00E66EEB"/>
    <w:rsid w:val="00E66F8A"/>
    <w:rsid w:val="00E66FBD"/>
    <w:rsid w:val="00E66FF2"/>
    <w:rsid w:val="00E670D1"/>
    <w:rsid w:val="00E6710C"/>
    <w:rsid w:val="00E67257"/>
    <w:rsid w:val="00E67578"/>
    <w:rsid w:val="00E67630"/>
    <w:rsid w:val="00E6764B"/>
    <w:rsid w:val="00E6789D"/>
    <w:rsid w:val="00E679A5"/>
    <w:rsid w:val="00E67A21"/>
    <w:rsid w:val="00E67A38"/>
    <w:rsid w:val="00E67D16"/>
    <w:rsid w:val="00E67DDB"/>
    <w:rsid w:val="00E67E20"/>
    <w:rsid w:val="00E67E65"/>
    <w:rsid w:val="00E67E8F"/>
    <w:rsid w:val="00E67E9E"/>
    <w:rsid w:val="00E67F0A"/>
    <w:rsid w:val="00E67FDE"/>
    <w:rsid w:val="00E70086"/>
    <w:rsid w:val="00E70445"/>
    <w:rsid w:val="00E70489"/>
    <w:rsid w:val="00E704C4"/>
    <w:rsid w:val="00E7058D"/>
    <w:rsid w:val="00E70971"/>
    <w:rsid w:val="00E70CBB"/>
    <w:rsid w:val="00E70CD0"/>
    <w:rsid w:val="00E70D4A"/>
    <w:rsid w:val="00E70D62"/>
    <w:rsid w:val="00E70D69"/>
    <w:rsid w:val="00E70EB6"/>
    <w:rsid w:val="00E70F0B"/>
    <w:rsid w:val="00E710EF"/>
    <w:rsid w:val="00E711CC"/>
    <w:rsid w:val="00E712F4"/>
    <w:rsid w:val="00E71310"/>
    <w:rsid w:val="00E713AA"/>
    <w:rsid w:val="00E714E7"/>
    <w:rsid w:val="00E714F8"/>
    <w:rsid w:val="00E71549"/>
    <w:rsid w:val="00E71578"/>
    <w:rsid w:val="00E715E5"/>
    <w:rsid w:val="00E716B2"/>
    <w:rsid w:val="00E716C1"/>
    <w:rsid w:val="00E716E9"/>
    <w:rsid w:val="00E7172E"/>
    <w:rsid w:val="00E71734"/>
    <w:rsid w:val="00E717F6"/>
    <w:rsid w:val="00E71806"/>
    <w:rsid w:val="00E71A5A"/>
    <w:rsid w:val="00E71AE8"/>
    <w:rsid w:val="00E71AF4"/>
    <w:rsid w:val="00E71BC3"/>
    <w:rsid w:val="00E71DAA"/>
    <w:rsid w:val="00E71E16"/>
    <w:rsid w:val="00E71E23"/>
    <w:rsid w:val="00E71E82"/>
    <w:rsid w:val="00E71EC9"/>
    <w:rsid w:val="00E71EF5"/>
    <w:rsid w:val="00E71FAD"/>
    <w:rsid w:val="00E72032"/>
    <w:rsid w:val="00E7208D"/>
    <w:rsid w:val="00E72147"/>
    <w:rsid w:val="00E723B5"/>
    <w:rsid w:val="00E72530"/>
    <w:rsid w:val="00E7259E"/>
    <w:rsid w:val="00E7265E"/>
    <w:rsid w:val="00E72684"/>
    <w:rsid w:val="00E72715"/>
    <w:rsid w:val="00E72728"/>
    <w:rsid w:val="00E728A4"/>
    <w:rsid w:val="00E728B1"/>
    <w:rsid w:val="00E72901"/>
    <w:rsid w:val="00E72B20"/>
    <w:rsid w:val="00E72C34"/>
    <w:rsid w:val="00E72D95"/>
    <w:rsid w:val="00E72EFE"/>
    <w:rsid w:val="00E730BE"/>
    <w:rsid w:val="00E732F3"/>
    <w:rsid w:val="00E73321"/>
    <w:rsid w:val="00E734AF"/>
    <w:rsid w:val="00E7359C"/>
    <w:rsid w:val="00E7362E"/>
    <w:rsid w:val="00E7362F"/>
    <w:rsid w:val="00E736BB"/>
    <w:rsid w:val="00E736BE"/>
    <w:rsid w:val="00E7375F"/>
    <w:rsid w:val="00E73785"/>
    <w:rsid w:val="00E7379A"/>
    <w:rsid w:val="00E737F3"/>
    <w:rsid w:val="00E73856"/>
    <w:rsid w:val="00E73915"/>
    <w:rsid w:val="00E739AC"/>
    <w:rsid w:val="00E73A2E"/>
    <w:rsid w:val="00E73B10"/>
    <w:rsid w:val="00E73C45"/>
    <w:rsid w:val="00E73C54"/>
    <w:rsid w:val="00E73C5F"/>
    <w:rsid w:val="00E73DD9"/>
    <w:rsid w:val="00E7434C"/>
    <w:rsid w:val="00E743CD"/>
    <w:rsid w:val="00E7449C"/>
    <w:rsid w:val="00E744A0"/>
    <w:rsid w:val="00E744FF"/>
    <w:rsid w:val="00E7451F"/>
    <w:rsid w:val="00E745D5"/>
    <w:rsid w:val="00E7465B"/>
    <w:rsid w:val="00E74667"/>
    <w:rsid w:val="00E746A0"/>
    <w:rsid w:val="00E747E3"/>
    <w:rsid w:val="00E74821"/>
    <w:rsid w:val="00E74972"/>
    <w:rsid w:val="00E74A67"/>
    <w:rsid w:val="00E74AB5"/>
    <w:rsid w:val="00E74AB7"/>
    <w:rsid w:val="00E74C18"/>
    <w:rsid w:val="00E74D4D"/>
    <w:rsid w:val="00E74EDB"/>
    <w:rsid w:val="00E74F8E"/>
    <w:rsid w:val="00E750B0"/>
    <w:rsid w:val="00E75177"/>
    <w:rsid w:val="00E751AB"/>
    <w:rsid w:val="00E7521D"/>
    <w:rsid w:val="00E7524A"/>
    <w:rsid w:val="00E75281"/>
    <w:rsid w:val="00E75474"/>
    <w:rsid w:val="00E756AE"/>
    <w:rsid w:val="00E75738"/>
    <w:rsid w:val="00E75873"/>
    <w:rsid w:val="00E7593E"/>
    <w:rsid w:val="00E75943"/>
    <w:rsid w:val="00E75963"/>
    <w:rsid w:val="00E75A83"/>
    <w:rsid w:val="00E75ABB"/>
    <w:rsid w:val="00E75B83"/>
    <w:rsid w:val="00E76002"/>
    <w:rsid w:val="00E76078"/>
    <w:rsid w:val="00E76237"/>
    <w:rsid w:val="00E76240"/>
    <w:rsid w:val="00E76285"/>
    <w:rsid w:val="00E76317"/>
    <w:rsid w:val="00E7639F"/>
    <w:rsid w:val="00E764BE"/>
    <w:rsid w:val="00E7652F"/>
    <w:rsid w:val="00E7656A"/>
    <w:rsid w:val="00E76605"/>
    <w:rsid w:val="00E76670"/>
    <w:rsid w:val="00E7668F"/>
    <w:rsid w:val="00E7671D"/>
    <w:rsid w:val="00E7676E"/>
    <w:rsid w:val="00E76877"/>
    <w:rsid w:val="00E7687A"/>
    <w:rsid w:val="00E768E4"/>
    <w:rsid w:val="00E769C3"/>
    <w:rsid w:val="00E76BEA"/>
    <w:rsid w:val="00E76C4C"/>
    <w:rsid w:val="00E76DF4"/>
    <w:rsid w:val="00E76E08"/>
    <w:rsid w:val="00E76E25"/>
    <w:rsid w:val="00E76E2E"/>
    <w:rsid w:val="00E76EEE"/>
    <w:rsid w:val="00E76F96"/>
    <w:rsid w:val="00E7712C"/>
    <w:rsid w:val="00E77189"/>
    <w:rsid w:val="00E771B9"/>
    <w:rsid w:val="00E7728C"/>
    <w:rsid w:val="00E77548"/>
    <w:rsid w:val="00E776E7"/>
    <w:rsid w:val="00E776FC"/>
    <w:rsid w:val="00E7775C"/>
    <w:rsid w:val="00E778C8"/>
    <w:rsid w:val="00E77902"/>
    <w:rsid w:val="00E77924"/>
    <w:rsid w:val="00E779D3"/>
    <w:rsid w:val="00E77B05"/>
    <w:rsid w:val="00E77BD8"/>
    <w:rsid w:val="00E77CB9"/>
    <w:rsid w:val="00E77D69"/>
    <w:rsid w:val="00E80033"/>
    <w:rsid w:val="00E800BD"/>
    <w:rsid w:val="00E80126"/>
    <w:rsid w:val="00E80284"/>
    <w:rsid w:val="00E802D5"/>
    <w:rsid w:val="00E8053A"/>
    <w:rsid w:val="00E80540"/>
    <w:rsid w:val="00E80624"/>
    <w:rsid w:val="00E8063D"/>
    <w:rsid w:val="00E8065B"/>
    <w:rsid w:val="00E80698"/>
    <w:rsid w:val="00E8072C"/>
    <w:rsid w:val="00E8077B"/>
    <w:rsid w:val="00E8084C"/>
    <w:rsid w:val="00E80878"/>
    <w:rsid w:val="00E8089E"/>
    <w:rsid w:val="00E808EA"/>
    <w:rsid w:val="00E80937"/>
    <w:rsid w:val="00E80966"/>
    <w:rsid w:val="00E80A30"/>
    <w:rsid w:val="00E80A5D"/>
    <w:rsid w:val="00E80AB8"/>
    <w:rsid w:val="00E80ABB"/>
    <w:rsid w:val="00E80CA5"/>
    <w:rsid w:val="00E80D36"/>
    <w:rsid w:val="00E80DBD"/>
    <w:rsid w:val="00E80E46"/>
    <w:rsid w:val="00E80F9F"/>
    <w:rsid w:val="00E80FCE"/>
    <w:rsid w:val="00E81076"/>
    <w:rsid w:val="00E810D8"/>
    <w:rsid w:val="00E8110E"/>
    <w:rsid w:val="00E812B4"/>
    <w:rsid w:val="00E812C9"/>
    <w:rsid w:val="00E81315"/>
    <w:rsid w:val="00E81488"/>
    <w:rsid w:val="00E815FF"/>
    <w:rsid w:val="00E816D1"/>
    <w:rsid w:val="00E81766"/>
    <w:rsid w:val="00E81810"/>
    <w:rsid w:val="00E818FA"/>
    <w:rsid w:val="00E818FF"/>
    <w:rsid w:val="00E81B2B"/>
    <w:rsid w:val="00E81C0F"/>
    <w:rsid w:val="00E81CBA"/>
    <w:rsid w:val="00E81D5E"/>
    <w:rsid w:val="00E81D70"/>
    <w:rsid w:val="00E81EAA"/>
    <w:rsid w:val="00E81F27"/>
    <w:rsid w:val="00E82000"/>
    <w:rsid w:val="00E8200A"/>
    <w:rsid w:val="00E8206E"/>
    <w:rsid w:val="00E8215D"/>
    <w:rsid w:val="00E8219C"/>
    <w:rsid w:val="00E82270"/>
    <w:rsid w:val="00E822B6"/>
    <w:rsid w:val="00E823B6"/>
    <w:rsid w:val="00E823E9"/>
    <w:rsid w:val="00E82467"/>
    <w:rsid w:val="00E824DA"/>
    <w:rsid w:val="00E82536"/>
    <w:rsid w:val="00E825A8"/>
    <w:rsid w:val="00E8283E"/>
    <w:rsid w:val="00E8285F"/>
    <w:rsid w:val="00E82980"/>
    <w:rsid w:val="00E829C3"/>
    <w:rsid w:val="00E82A37"/>
    <w:rsid w:val="00E82C2D"/>
    <w:rsid w:val="00E82CE8"/>
    <w:rsid w:val="00E82D02"/>
    <w:rsid w:val="00E82DCC"/>
    <w:rsid w:val="00E82F0A"/>
    <w:rsid w:val="00E82F5A"/>
    <w:rsid w:val="00E830ED"/>
    <w:rsid w:val="00E83197"/>
    <w:rsid w:val="00E831A0"/>
    <w:rsid w:val="00E834CA"/>
    <w:rsid w:val="00E8352C"/>
    <w:rsid w:val="00E83534"/>
    <w:rsid w:val="00E83633"/>
    <w:rsid w:val="00E8393D"/>
    <w:rsid w:val="00E83B0A"/>
    <w:rsid w:val="00E83D3E"/>
    <w:rsid w:val="00E84023"/>
    <w:rsid w:val="00E8403D"/>
    <w:rsid w:val="00E841AA"/>
    <w:rsid w:val="00E84219"/>
    <w:rsid w:val="00E842D5"/>
    <w:rsid w:val="00E842EC"/>
    <w:rsid w:val="00E8436F"/>
    <w:rsid w:val="00E845B9"/>
    <w:rsid w:val="00E846E9"/>
    <w:rsid w:val="00E847CE"/>
    <w:rsid w:val="00E84894"/>
    <w:rsid w:val="00E84A52"/>
    <w:rsid w:val="00E84B5D"/>
    <w:rsid w:val="00E84C4F"/>
    <w:rsid w:val="00E84EB5"/>
    <w:rsid w:val="00E84F77"/>
    <w:rsid w:val="00E8503B"/>
    <w:rsid w:val="00E850B4"/>
    <w:rsid w:val="00E851B7"/>
    <w:rsid w:val="00E851D1"/>
    <w:rsid w:val="00E8535A"/>
    <w:rsid w:val="00E8556B"/>
    <w:rsid w:val="00E855D2"/>
    <w:rsid w:val="00E855F6"/>
    <w:rsid w:val="00E856AE"/>
    <w:rsid w:val="00E856B0"/>
    <w:rsid w:val="00E856E0"/>
    <w:rsid w:val="00E8599F"/>
    <w:rsid w:val="00E85B1D"/>
    <w:rsid w:val="00E85B58"/>
    <w:rsid w:val="00E85C27"/>
    <w:rsid w:val="00E85C4B"/>
    <w:rsid w:val="00E85C91"/>
    <w:rsid w:val="00E85CB7"/>
    <w:rsid w:val="00E85D5A"/>
    <w:rsid w:val="00E85D95"/>
    <w:rsid w:val="00E85E5F"/>
    <w:rsid w:val="00E86028"/>
    <w:rsid w:val="00E86224"/>
    <w:rsid w:val="00E8631C"/>
    <w:rsid w:val="00E863C1"/>
    <w:rsid w:val="00E8640C"/>
    <w:rsid w:val="00E864F1"/>
    <w:rsid w:val="00E865CD"/>
    <w:rsid w:val="00E865FE"/>
    <w:rsid w:val="00E8668E"/>
    <w:rsid w:val="00E8669E"/>
    <w:rsid w:val="00E86729"/>
    <w:rsid w:val="00E86890"/>
    <w:rsid w:val="00E86961"/>
    <w:rsid w:val="00E86A56"/>
    <w:rsid w:val="00E86A7F"/>
    <w:rsid w:val="00E86D36"/>
    <w:rsid w:val="00E86DB5"/>
    <w:rsid w:val="00E86EED"/>
    <w:rsid w:val="00E86F27"/>
    <w:rsid w:val="00E86FBE"/>
    <w:rsid w:val="00E871A1"/>
    <w:rsid w:val="00E87218"/>
    <w:rsid w:val="00E8723E"/>
    <w:rsid w:val="00E87253"/>
    <w:rsid w:val="00E8729E"/>
    <w:rsid w:val="00E872F4"/>
    <w:rsid w:val="00E87338"/>
    <w:rsid w:val="00E874B4"/>
    <w:rsid w:val="00E874C3"/>
    <w:rsid w:val="00E8761C"/>
    <w:rsid w:val="00E8769E"/>
    <w:rsid w:val="00E876C7"/>
    <w:rsid w:val="00E8786E"/>
    <w:rsid w:val="00E879FA"/>
    <w:rsid w:val="00E87A4A"/>
    <w:rsid w:val="00E87A4E"/>
    <w:rsid w:val="00E87A68"/>
    <w:rsid w:val="00E87AC3"/>
    <w:rsid w:val="00E87AD7"/>
    <w:rsid w:val="00E87B07"/>
    <w:rsid w:val="00E87B92"/>
    <w:rsid w:val="00E87BFA"/>
    <w:rsid w:val="00E87CBC"/>
    <w:rsid w:val="00E87CC8"/>
    <w:rsid w:val="00E87D0F"/>
    <w:rsid w:val="00E87DC1"/>
    <w:rsid w:val="00E87E4B"/>
    <w:rsid w:val="00E87F14"/>
    <w:rsid w:val="00E87F19"/>
    <w:rsid w:val="00E87FD3"/>
    <w:rsid w:val="00E90013"/>
    <w:rsid w:val="00E90022"/>
    <w:rsid w:val="00E90024"/>
    <w:rsid w:val="00E9003B"/>
    <w:rsid w:val="00E901D6"/>
    <w:rsid w:val="00E9052B"/>
    <w:rsid w:val="00E9053F"/>
    <w:rsid w:val="00E90562"/>
    <w:rsid w:val="00E90590"/>
    <w:rsid w:val="00E905AA"/>
    <w:rsid w:val="00E906E8"/>
    <w:rsid w:val="00E9084D"/>
    <w:rsid w:val="00E908C6"/>
    <w:rsid w:val="00E90BD6"/>
    <w:rsid w:val="00E90BFB"/>
    <w:rsid w:val="00E90C7B"/>
    <w:rsid w:val="00E90CEE"/>
    <w:rsid w:val="00E90F0B"/>
    <w:rsid w:val="00E9102F"/>
    <w:rsid w:val="00E9112D"/>
    <w:rsid w:val="00E911CE"/>
    <w:rsid w:val="00E9122A"/>
    <w:rsid w:val="00E91246"/>
    <w:rsid w:val="00E9125F"/>
    <w:rsid w:val="00E9127B"/>
    <w:rsid w:val="00E91297"/>
    <w:rsid w:val="00E91538"/>
    <w:rsid w:val="00E9173B"/>
    <w:rsid w:val="00E917D3"/>
    <w:rsid w:val="00E9183C"/>
    <w:rsid w:val="00E9196B"/>
    <w:rsid w:val="00E9198F"/>
    <w:rsid w:val="00E919F5"/>
    <w:rsid w:val="00E91AB1"/>
    <w:rsid w:val="00E91B61"/>
    <w:rsid w:val="00E91B6D"/>
    <w:rsid w:val="00E91BE1"/>
    <w:rsid w:val="00E91C19"/>
    <w:rsid w:val="00E91C3E"/>
    <w:rsid w:val="00E91C7E"/>
    <w:rsid w:val="00E91D48"/>
    <w:rsid w:val="00E91DAE"/>
    <w:rsid w:val="00E91DF7"/>
    <w:rsid w:val="00E91E16"/>
    <w:rsid w:val="00E91E76"/>
    <w:rsid w:val="00E91ED2"/>
    <w:rsid w:val="00E91F05"/>
    <w:rsid w:val="00E92035"/>
    <w:rsid w:val="00E921B8"/>
    <w:rsid w:val="00E921E0"/>
    <w:rsid w:val="00E9229B"/>
    <w:rsid w:val="00E922C2"/>
    <w:rsid w:val="00E922DB"/>
    <w:rsid w:val="00E92360"/>
    <w:rsid w:val="00E923B9"/>
    <w:rsid w:val="00E92439"/>
    <w:rsid w:val="00E924C1"/>
    <w:rsid w:val="00E92575"/>
    <w:rsid w:val="00E92836"/>
    <w:rsid w:val="00E92960"/>
    <w:rsid w:val="00E929BC"/>
    <w:rsid w:val="00E92A2E"/>
    <w:rsid w:val="00E92AAE"/>
    <w:rsid w:val="00E92B75"/>
    <w:rsid w:val="00E92DAC"/>
    <w:rsid w:val="00E92DE5"/>
    <w:rsid w:val="00E92DEC"/>
    <w:rsid w:val="00E92E07"/>
    <w:rsid w:val="00E92E30"/>
    <w:rsid w:val="00E93035"/>
    <w:rsid w:val="00E93084"/>
    <w:rsid w:val="00E9328D"/>
    <w:rsid w:val="00E932C7"/>
    <w:rsid w:val="00E9335D"/>
    <w:rsid w:val="00E933E4"/>
    <w:rsid w:val="00E933F9"/>
    <w:rsid w:val="00E9342D"/>
    <w:rsid w:val="00E9347C"/>
    <w:rsid w:val="00E934AD"/>
    <w:rsid w:val="00E9367A"/>
    <w:rsid w:val="00E937F5"/>
    <w:rsid w:val="00E9381B"/>
    <w:rsid w:val="00E93A6D"/>
    <w:rsid w:val="00E93AA7"/>
    <w:rsid w:val="00E93B40"/>
    <w:rsid w:val="00E93CFB"/>
    <w:rsid w:val="00E93D04"/>
    <w:rsid w:val="00E93D20"/>
    <w:rsid w:val="00E93E08"/>
    <w:rsid w:val="00E93E75"/>
    <w:rsid w:val="00E93E92"/>
    <w:rsid w:val="00E93EB1"/>
    <w:rsid w:val="00E93F78"/>
    <w:rsid w:val="00E94005"/>
    <w:rsid w:val="00E940D9"/>
    <w:rsid w:val="00E94105"/>
    <w:rsid w:val="00E9414B"/>
    <w:rsid w:val="00E94191"/>
    <w:rsid w:val="00E941A7"/>
    <w:rsid w:val="00E941BC"/>
    <w:rsid w:val="00E9425F"/>
    <w:rsid w:val="00E9429A"/>
    <w:rsid w:val="00E94455"/>
    <w:rsid w:val="00E944D8"/>
    <w:rsid w:val="00E94574"/>
    <w:rsid w:val="00E947A6"/>
    <w:rsid w:val="00E949CA"/>
    <w:rsid w:val="00E94B08"/>
    <w:rsid w:val="00E94C0C"/>
    <w:rsid w:val="00E94CCA"/>
    <w:rsid w:val="00E94D19"/>
    <w:rsid w:val="00E94D28"/>
    <w:rsid w:val="00E94D45"/>
    <w:rsid w:val="00E94DBC"/>
    <w:rsid w:val="00E94F81"/>
    <w:rsid w:val="00E94F92"/>
    <w:rsid w:val="00E950A0"/>
    <w:rsid w:val="00E95240"/>
    <w:rsid w:val="00E954A1"/>
    <w:rsid w:val="00E954B8"/>
    <w:rsid w:val="00E95506"/>
    <w:rsid w:val="00E95742"/>
    <w:rsid w:val="00E9579E"/>
    <w:rsid w:val="00E95835"/>
    <w:rsid w:val="00E95865"/>
    <w:rsid w:val="00E9592B"/>
    <w:rsid w:val="00E95AFD"/>
    <w:rsid w:val="00E95B75"/>
    <w:rsid w:val="00E95BD4"/>
    <w:rsid w:val="00E95C8A"/>
    <w:rsid w:val="00E95CA4"/>
    <w:rsid w:val="00E95D0B"/>
    <w:rsid w:val="00E95D14"/>
    <w:rsid w:val="00E95DC0"/>
    <w:rsid w:val="00E95E33"/>
    <w:rsid w:val="00E95E86"/>
    <w:rsid w:val="00E95E9F"/>
    <w:rsid w:val="00E95EBC"/>
    <w:rsid w:val="00E960C8"/>
    <w:rsid w:val="00E960F2"/>
    <w:rsid w:val="00E9631F"/>
    <w:rsid w:val="00E963C5"/>
    <w:rsid w:val="00E963FD"/>
    <w:rsid w:val="00E96415"/>
    <w:rsid w:val="00E96428"/>
    <w:rsid w:val="00E964C6"/>
    <w:rsid w:val="00E96596"/>
    <w:rsid w:val="00E96761"/>
    <w:rsid w:val="00E967F8"/>
    <w:rsid w:val="00E968D4"/>
    <w:rsid w:val="00E96932"/>
    <w:rsid w:val="00E96B6A"/>
    <w:rsid w:val="00E96C6F"/>
    <w:rsid w:val="00E96C9A"/>
    <w:rsid w:val="00E96D78"/>
    <w:rsid w:val="00E96E30"/>
    <w:rsid w:val="00E96E51"/>
    <w:rsid w:val="00E96F52"/>
    <w:rsid w:val="00E96F5A"/>
    <w:rsid w:val="00E97014"/>
    <w:rsid w:val="00E97073"/>
    <w:rsid w:val="00E97112"/>
    <w:rsid w:val="00E9715B"/>
    <w:rsid w:val="00E9728C"/>
    <w:rsid w:val="00E972BE"/>
    <w:rsid w:val="00E97404"/>
    <w:rsid w:val="00E975A6"/>
    <w:rsid w:val="00E977A6"/>
    <w:rsid w:val="00E9788B"/>
    <w:rsid w:val="00E9796A"/>
    <w:rsid w:val="00E97A42"/>
    <w:rsid w:val="00E97A4E"/>
    <w:rsid w:val="00E97A51"/>
    <w:rsid w:val="00E97A6D"/>
    <w:rsid w:val="00E97CBD"/>
    <w:rsid w:val="00E97D1F"/>
    <w:rsid w:val="00E97D30"/>
    <w:rsid w:val="00E97D3B"/>
    <w:rsid w:val="00E97E5A"/>
    <w:rsid w:val="00E97E7C"/>
    <w:rsid w:val="00E97ECD"/>
    <w:rsid w:val="00E97ED4"/>
    <w:rsid w:val="00E97F33"/>
    <w:rsid w:val="00E97FC0"/>
    <w:rsid w:val="00E97FEC"/>
    <w:rsid w:val="00EA013D"/>
    <w:rsid w:val="00EA013E"/>
    <w:rsid w:val="00EA019F"/>
    <w:rsid w:val="00EA027F"/>
    <w:rsid w:val="00EA02BC"/>
    <w:rsid w:val="00EA03BC"/>
    <w:rsid w:val="00EA03EC"/>
    <w:rsid w:val="00EA04F4"/>
    <w:rsid w:val="00EA0647"/>
    <w:rsid w:val="00EA0696"/>
    <w:rsid w:val="00EA07A0"/>
    <w:rsid w:val="00EA07BE"/>
    <w:rsid w:val="00EA0835"/>
    <w:rsid w:val="00EA084E"/>
    <w:rsid w:val="00EA0871"/>
    <w:rsid w:val="00EA097F"/>
    <w:rsid w:val="00EA09D9"/>
    <w:rsid w:val="00EA0A42"/>
    <w:rsid w:val="00EA0BA2"/>
    <w:rsid w:val="00EA0BAF"/>
    <w:rsid w:val="00EA0BFC"/>
    <w:rsid w:val="00EA0D04"/>
    <w:rsid w:val="00EA0DD2"/>
    <w:rsid w:val="00EA0DE9"/>
    <w:rsid w:val="00EA1139"/>
    <w:rsid w:val="00EA125C"/>
    <w:rsid w:val="00EA1290"/>
    <w:rsid w:val="00EA13CF"/>
    <w:rsid w:val="00EA1407"/>
    <w:rsid w:val="00EA1561"/>
    <w:rsid w:val="00EA15A4"/>
    <w:rsid w:val="00EA15DB"/>
    <w:rsid w:val="00EA166C"/>
    <w:rsid w:val="00EA167B"/>
    <w:rsid w:val="00EA16F1"/>
    <w:rsid w:val="00EA180E"/>
    <w:rsid w:val="00EA18A8"/>
    <w:rsid w:val="00EA18E6"/>
    <w:rsid w:val="00EA1926"/>
    <w:rsid w:val="00EA1A1C"/>
    <w:rsid w:val="00EA1AF5"/>
    <w:rsid w:val="00EA1B64"/>
    <w:rsid w:val="00EA1C86"/>
    <w:rsid w:val="00EA1E2A"/>
    <w:rsid w:val="00EA1E3F"/>
    <w:rsid w:val="00EA1F7F"/>
    <w:rsid w:val="00EA1FAA"/>
    <w:rsid w:val="00EA2214"/>
    <w:rsid w:val="00EA221D"/>
    <w:rsid w:val="00EA2273"/>
    <w:rsid w:val="00EA22A1"/>
    <w:rsid w:val="00EA22F9"/>
    <w:rsid w:val="00EA232D"/>
    <w:rsid w:val="00EA2335"/>
    <w:rsid w:val="00EA23B5"/>
    <w:rsid w:val="00EA2499"/>
    <w:rsid w:val="00EA251E"/>
    <w:rsid w:val="00EA2550"/>
    <w:rsid w:val="00EA25A6"/>
    <w:rsid w:val="00EA25C1"/>
    <w:rsid w:val="00EA2761"/>
    <w:rsid w:val="00EA2809"/>
    <w:rsid w:val="00EA286A"/>
    <w:rsid w:val="00EA28FB"/>
    <w:rsid w:val="00EA2B1C"/>
    <w:rsid w:val="00EA2B48"/>
    <w:rsid w:val="00EA2C0C"/>
    <w:rsid w:val="00EA2DD9"/>
    <w:rsid w:val="00EA2DF9"/>
    <w:rsid w:val="00EA2F47"/>
    <w:rsid w:val="00EA2F82"/>
    <w:rsid w:val="00EA2FAF"/>
    <w:rsid w:val="00EA3012"/>
    <w:rsid w:val="00EA303C"/>
    <w:rsid w:val="00EA31D3"/>
    <w:rsid w:val="00EA31E8"/>
    <w:rsid w:val="00EA31EF"/>
    <w:rsid w:val="00EA3317"/>
    <w:rsid w:val="00EA34F0"/>
    <w:rsid w:val="00EA34FD"/>
    <w:rsid w:val="00EA371E"/>
    <w:rsid w:val="00EA37A8"/>
    <w:rsid w:val="00EA3840"/>
    <w:rsid w:val="00EA3860"/>
    <w:rsid w:val="00EA38C6"/>
    <w:rsid w:val="00EA3905"/>
    <w:rsid w:val="00EA3939"/>
    <w:rsid w:val="00EA3979"/>
    <w:rsid w:val="00EA39B0"/>
    <w:rsid w:val="00EA39D8"/>
    <w:rsid w:val="00EA3A3A"/>
    <w:rsid w:val="00EA3CBD"/>
    <w:rsid w:val="00EA3CCE"/>
    <w:rsid w:val="00EA3D23"/>
    <w:rsid w:val="00EA3F48"/>
    <w:rsid w:val="00EA403F"/>
    <w:rsid w:val="00EA4137"/>
    <w:rsid w:val="00EA419A"/>
    <w:rsid w:val="00EA41DE"/>
    <w:rsid w:val="00EA41FC"/>
    <w:rsid w:val="00EA426E"/>
    <w:rsid w:val="00EA4305"/>
    <w:rsid w:val="00EA4350"/>
    <w:rsid w:val="00EA4378"/>
    <w:rsid w:val="00EA4381"/>
    <w:rsid w:val="00EA43E7"/>
    <w:rsid w:val="00EA441F"/>
    <w:rsid w:val="00EA4454"/>
    <w:rsid w:val="00EA44B5"/>
    <w:rsid w:val="00EA45D8"/>
    <w:rsid w:val="00EA4610"/>
    <w:rsid w:val="00EA485A"/>
    <w:rsid w:val="00EA4878"/>
    <w:rsid w:val="00EA493F"/>
    <w:rsid w:val="00EA4947"/>
    <w:rsid w:val="00EA499A"/>
    <w:rsid w:val="00EA4A21"/>
    <w:rsid w:val="00EA4AC5"/>
    <w:rsid w:val="00EA4AD0"/>
    <w:rsid w:val="00EA4BAA"/>
    <w:rsid w:val="00EA4C1E"/>
    <w:rsid w:val="00EA4C42"/>
    <w:rsid w:val="00EA4D14"/>
    <w:rsid w:val="00EA4D27"/>
    <w:rsid w:val="00EA4D51"/>
    <w:rsid w:val="00EA4E64"/>
    <w:rsid w:val="00EA4F26"/>
    <w:rsid w:val="00EA4F29"/>
    <w:rsid w:val="00EA4F68"/>
    <w:rsid w:val="00EA5031"/>
    <w:rsid w:val="00EA5043"/>
    <w:rsid w:val="00EA50C8"/>
    <w:rsid w:val="00EA51B1"/>
    <w:rsid w:val="00EA51C2"/>
    <w:rsid w:val="00EA521C"/>
    <w:rsid w:val="00EA5291"/>
    <w:rsid w:val="00EA52B1"/>
    <w:rsid w:val="00EA52C9"/>
    <w:rsid w:val="00EA5346"/>
    <w:rsid w:val="00EA5486"/>
    <w:rsid w:val="00EA54D4"/>
    <w:rsid w:val="00EA54E2"/>
    <w:rsid w:val="00EA54F1"/>
    <w:rsid w:val="00EA5516"/>
    <w:rsid w:val="00EA5572"/>
    <w:rsid w:val="00EA5615"/>
    <w:rsid w:val="00EA571E"/>
    <w:rsid w:val="00EA5773"/>
    <w:rsid w:val="00EA5796"/>
    <w:rsid w:val="00EA5886"/>
    <w:rsid w:val="00EA589B"/>
    <w:rsid w:val="00EA58B0"/>
    <w:rsid w:val="00EA5940"/>
    <w:rsid w:val="00EA5944"/>
    <w:rsid w:val="00EA596B"/>
    <w:rsid w:val="00EA596F"/>
    <w:rsid w:val="00EA5983"/>
    <w:rsid w:val="00EA59FA"/>
    <w:rsid w:val="00EA5A22"/>
    <w:rsid w:val="00EA5B28"/>
    <w:rsid w:val="00EA5B48"/>
    <w:rsid w:val="00EA5B8A"/>
    <w:rsid w:val="00EA5BB6"/>
    <w:rsid w:val="00EA5BD9"/>
    <w:rsid w:val="00EA5DE9"/>
    <w:rsid w:val="00EA5EE1"/>
    <w:rsid w:val="00EA5F5F"/>
    <w:rsid w:val="00EA600E"/>
    <w:rsid w:val="00EA624B"/>
    <w:rsid w:val="00EA6252"/>
    <w:rsid w:val="00EA6264"/>
    <w:rsid w:val="00EA6491"/>
    <w:rsid w:val="00EA65C1"/>
    <w:rsid w:val="00EA661C"/>
    <w:rsid w:val="00EA66A2"/>
    <w:rsid w:val="00EA66B9"/>
    <w:rsid w:val="00EA6771"/>
    <w:rsid w:val="00EA67C6"/>
    <w:rsid w:val="00EA67F9"/>
    <w:rsid w:val="00EA681F"/>
    <w:rsid w:val="00EA689D"/>
    <w:rsid w:val="00EA68F6"/>
    <w:rsid w:val="00EA69A6"/>
    <w:rsid w:val="00EA69B3"/>
    <w:rsid w:val="00EA6A19"/>
    <w:rsid w:val="00EA6AD6"/>
    <w:rsid w:val="00EA6AF2"/>
    <w:rsid w:val="00EA6B72"/>
    <w:rsid w:val="00EA6C6D"/>
    <w:rsid w:val="00EA6C8B"/>
    <w:rsid w:val="00EA6CF3"/>
    <w:rsid w:val="00EA6D32"/>
    <w:rsid w:val="00EA6E0D"/>
    <w:rsid w:val="00EA6E65"/>
    <w:rsid w:val="00EA707B"/>
    <w:rsid w:val="00EA709C"/>
    <w:rsid w:val="00EA713E"/>
    <w:rsid w:val="00EA7147"/>
    <w:rsid w:val="00EA716E"/>
    <w:rsid w:val="00EA7180"/>
    <w:rsid w:val="00EA728D"/>
    <w:rsid w:val="00EA72C5"/>
    <w:rsid w:val="00EA7351"/>
    <w:rsid w:val="00EA73C3"/>
    <w:rsid w:val="00EA750B"/>
    <w:rsid w:val="00EA7531"/>
    <w:rsid w:val="00EA7575"/>
    <w:rsid w:val="00EA769F"/>
    <w:rsid w:val="00EA76A3"/>
    <w:rsid w:val="00EA7981"/>
    <w:rsid w:val="00EA79EE"/>
    <w:rsid w:val="00EA7AC3"/>
    <w:rsid w:val="00EA7C7B"/>
    <w:rsid w:val="00EA7DA2"/>
    <w:rsid w:val="00EA7FF7"/>
    <w:rsid w:val="00EB004C"/>
    <w:rsid w:val="00EB0106"/>
    <w:rsid w:val="00EB03BA"/>
    <w:rsid w:val="00EB04F4"/>
    <w:rsid w:val="00EB066E"/>
    <w:rsid w:val="00EB08E6"/>
    <w:rsid w:val="00EB0972"/>
    <w:rsid w:val="00EB0985"/>
    <w:rsid w:val="00EB099B"/>
    <w:rsid w:val="00EB099C"/>
    <w:rsid w:val="00EB0A01"/>
    <w:rsid w:val="00EB0ADC"/>
    <w:rsid w:val="00EB0B5F"/>
    <w:rsid w:val="00EB0BA2"/>
    <w:rsid w:val="00EB0C00"/>
    <w:rsid w:val="00EB0C3E"/>
    <w:rsid w:val="00EB0D51"/>
    <w:rsid w:val="00EB0D7C"/>
    <w:rsid w:val="00EB0DD9"/>
    <w:rsid w:val="00EB0E1B"/>
    <w:rsid w:val="00EB0E29"/>
    <w:rsid w:val="00EB0E82"/>
    <w:rsid w:val="00EB108A"/>
    <w:rsid w:val="00EB10D0"/>
    <w:rsid w:val="00EB12D6"/>
    <w:rsid w:val="00EB12FC"/>
    <w:rsid w:val="00EB13F7"/>
    <w:rsid w:val="00EB1582"/>
    <w:rsid w:val="00EB1816"/>
    <w:rsid w:val="00EB186C"/>
    <w:rsid w:val="00EB19F0"/>
    <w:rsid w:val="00EB1A80"/>
    <w:rsid w:val="00EB1B71"/>
    <w:rsid w:val="00EB1D59"/>
    <w:rsid w:val="00EB1F87"/>
    <w:rsid w:val="00EB1FC6"/>
    <w:rsid w:val="00EB203E"/>
    <w:rsid w:val="00EB2098"/>
    <w:rsid w:val="00EB20E2"/>
    <w:rsid w:val="00EB2142"/>
    <w:rsid w:val="00EB21B6"/>
    <w:rsid w:val="00EB22AD"/>
    <w:rsid w:val="00EB22C9"/>
    <w:rsid w:val="00EB234C"/>
    <w:rsid w:val="00EB264E"/>
    <w:rsid w:val="00EB2672"/>
    <w:rsid w:val="00EB27A6"/>
    <w:rsid w:val="00EB27E4"/>
    <w:rsid w:val="00EB2857"/>
    <w:rsid w:val="00EB2868"/>
    <w:rsid w:val="00EB28AD"/>
    <w:rsid w:val="00EB28C9"/>
    <w:rsid w:val="00EB28FA"/>
    <w:rsid w:val="00EB290E"/>
    <w:rsid w:val="00EB2924"/>
    <w:rsid w:val="00EB2933"/>
    <w:rsid w:val="00EB293E"/>
    <w:rsid w:val="00EB2A00"/>
    <w:rsid w:val="00EB2AD8"/>
    <w:rsid w:val="00EB2AE9"/>
    <w:rsid w:val="00EB2D43"/>
    <w:rsid w:val="00EB2E26"/>
    <w:rsid w:val="00EB2EED"/>
    <w:rsid w:val="00EB2FB7"/>
    <w:rsid w:val="00EB303D"/>
    <w:rsid w:val="00EB3219"/>
    <w:rsid w:val="00EB32A0"/>
    <w:rsid w:val="00EB32D7"/>
    <w:rsid w:val="00EB3418"/>
    <w:rsid w:val="00EB347E"/>
    <w:rsid w:val="00EB357E"/>
    <w:rsid w:val="00EB35B5"/>
    <w:rsid w:val="00EB35EC"/>
    <w:rsid w:val="00EB3663"/>
    <w:rsid w:val="00EB36B8"/>
    <w:rsid w:val="00EB36F1"/>
    <w:rsid w:val="00EB37B8"/>
    <w:rsid w:val="00EB384E"/>
    <w:rsid w:val="00EB386F"/>
    <w:rsid w:val="00EB387B"/>
    <w:rsid w:val="00EB3937"/>
    <w:rsid w:val="00EB393B"/>
    <w:rsid w:val="00EB3979"/>
    <w:rsid w:val="00EB3A32"/>
    <w:rsid w:val="00EB3AD0"/>
    <w:rsid w:val="00EB3B88"/>
    <w:rsid w:val="00EB3B99"/>
    <w:rsid w:val="00EB3C6D"/>
    <w:rsid w:val="00EB3D16"/>
    <w:rsid w:val="00EB3E4A"/>
    <w:rsid w:val="00EB3ED8"/>
    <w:rsid w:val="00EB3F30"/>
    <w:rsid w:val="00EB3F3E"/>
    <w:rsid w:val="00EB3F62"/>
    <w:rsid w:val="00EB3FC3"/>
    <w:rsid w:val="00EB4275"/>
    <w:rsid w:val="00EB443B"/>
    <w:rsid w:val="00EB4461"/>
    <w:rsid w:val="00EB44AF"/>
    <w:rsid w:val="00EB4550"/>
    <w:rsid w:val="00EB4896"/>
    <w:rsid w:val="00EB49B2"/>
    <w:rsid w:val="00EB4AEE"/>
    <w:rsid w:val="00EB4BFF"/>
    <w:rsid w:val="00EB4CC3"/>
    <w:rsid w:val="00EB4CFD"/>
    <w:rsid w:val="00EB4D44"/>
    <w:rsid w:val="00EB4DE0"/>
    <w:rsid w:val="00EB4F82"/>
    <w:rsid w:val="00EB4FB8"/>
    <w:rsid w:val="00EB51BB"/>
    <w:rsid w:val="00EB5239"/>
    <w:rsid w:val="00EB5376"/>
    <w:rsid w:val="00EB538C"/>
    <w:rsid w:val="00EB556B"/>
    <w:rsid w:val="00EB586F"/>
    <w:rsid w:val="00EB5901"/>
    <w:rsid w:val="00EB59B5"/>
    <w:rsid w:val="00EB5A3F"/>
    <w:rsid w:val="00EB5BF2"/>
    <w:rsid w:val="00EB5C97"/>
    <w:rsid w:val="00EB5CB1"/>
    <w:rsid w:val="00EB5D73"/>
    <w:rsid w:val="00EB5E39"/>
    <w:rsid w:val="00EB5FD3"/>
    <w:rsid w:val="00EB5FE4"/>
    <w:rsid w:val="00EB5FEB"/>
    <w:rsid w:val="00EB61BC"/>
    <w:rsid w:val="00EB61FB"/>
    <w:rsid w:val="00EB623D"/>
    <w:rsid w:val="00EB6252"/>
    <w:rsid w:val="00EB63C5"/>
    <w:rsid w:val="00EB63D6"/>
    <w:rsid w:val="00EB64B1"/>
    <w:rsid w:val="00EB64BE"/>
    <w:rsid w:val="00EB6581"/>
    <w:rsid w:val="00EB65F2"/>
    <w:rsid w:val="00EB666B"/>
    <w:rsid w:val="00EB66BD"/>
    <w:rsid w:val="00EB66C6"/>
    <w:rsid w:val="00EB66DE"/>
    <w:rsid w:val="00EB672E"/>
    <w:rsid w:val="00EB6800"/>
    <w:rsid w:val="00EB68F2"/>
    <w:rsid w:val="00EB6922"/>
    <w:rsid w:val="00EB6A08"/>
    <w:rsid w:val="00EB6B93"/>
    <w:rsid w:val="00EB6BA3"/>
    <w:rsid w:val="00EB6BB3"/>
    <w:rsid w:val="00EB6C38"/>
    <w:rsid w:val="00EB6CEC"/>
    <w:rsid w:val="00EB6D53"/>
    <w:rsid w:val="00EB6DDE"/>
    <w:rsid w:val="00EB6DEB"/>
    <w:rsid w:val="00EB6DFC"/>
    <w:rsid w:val="00EB6E10"/>
    <w:rsid w:val="00EB6F76"/>
    <w:rsid w:val="00EB6FBB"/>
    <w:rsid w:val="00EB70A5"/>
    <w:rsid w:val="00EB70D5"/>
    <w:rsid w:val="00EB7159"/>
    <w:rsid w:val="00EB719C"/>
    <w:rsid w:val="00EB738C"/>
    <w:rsid w:val="00EB73A5"/>
    <w:rsid w:val="00EB73C5"/>
    <w:rsid w:val="00EB742E"/>
    <w:rsid w:val="00EB74B1"/>
    <w:rsid w:val="00EB752B"/>
    <w:rsid w:val="00EB75BD"/>
    <w:rsid w:val="00EB75D0"/>
    <w:rsid w:val="00EB76BC"/>
    <w:rsid w:val="00EB77A0"/>
    <w:rsid w:val="00EB7838"/>
    <w:rsid w:val="00EB7879"/>
    <w:rsid w:val="00EB789D"/>
    <w:rsid w:val="00EB791B"/>
    <w:rsid w:val="00EB7924"/>
    <w:rsid w:val="00EB792C"/>
    <w:rsid w:val="00EB7967"/>
    <w:rsid w:val="00EB79E5"/>
    <w:rsid w:val="00EB79FF"/>
    <w:rsid w:val="00EB7C7E"/>
    <w:rsid w:val="00EB7C85"/>
    <w:rsid w:val="00EB7C8A"/>
    <w:rsid w:val="00EB7CC1"/>
    <w:rsid w:val="00EB7CE5"/>
    <w:rsid w:val="00EB7F3E"/>
    <w:rsid w:val="00EB7F65"/>
    <w:rsid w:val="00EB7F71"/>
    <w:rsid w:val="00EB7FF0"/>
    <w:rsid w:val="00EC001A"/>
    <w:rsid w:val="00EC001D"/>
    <w:rsid w:val="00EC0063"/>
    <w:rsid w:val="00EC027A"/>
    <w:rsid w:val="00EC0497"/>
    <w:rsid w:val="00EC04D7"/>
    <w:rsid w:val="00EC04FB"/>
    <w:rsid w:val="00EC0511"/>
    <w:rsid w:val="00EC077B"/>
    <w:rsid w:val="00EC07D5"/>
    <w:rsid w:val="00EC0863"/>
    <w:rsid w:val="00EC0A9F"/>
    <w:rsid w:val="00EC0AA8"/>
    <w:rsid w:val="00EC0B2D"/>
    <w:rsid w:val="00EC0C87"/>
    <w:rsid w:val="00EC0CA7"/>
    <w:rsid w:val="00EC0CA8"/>
    <w:rsid w:val="00EC0CBC"/>
    <w:rsid w:val="00EC0CC7"/>
    <w:rsid w:val="00EC0D3E"/>
    <w:rsid w:val="00EC0E54"/>
    <w:rsid w:val="00EC0E5B"/>
    <w:rsid w:val="00EC0E5E"/>
    <w:rsid w:val="00EC0EB7"/>
    <w:rsid w:val="00EC0F75"/>
    <w:rsid w:val="00EC0F82"/>
    <w:rsid w:val="00EC10A7"/>
    <w:rsid w:val="00EC10C9"/>
    <w:rsid w:val="00EC1102"/>
    <w:rsid w:val="00EC117C"/>
    <w:rsid w:val="00EC11C7"/>
    <w:rsid w:val="00EC1279"/>
    <w:rsid w:val="00EC136F"/>
    <w:rsid w:val="00EC13BF"/>
    <w:rsid w:val="00EC13E9"/>
    <w:rsid w:val="00EC1419"/>
    <w:rsid w:val="00EC1463"/>
    <w:rsid w:val="00EC149F"/>
    <w:rsid w:val="00EC1512"/>
    <w:rsid w:val="00EC154C"/>
    <w:rsid w:val="00EC1584"/>
    <w:rsid w:val="00EC164B"/>
    <w:rsid w:val="00EC1704"/>
    <w:rsid w:val="00EC1758"/>
    <w:rsid w:val="00EC190D"/>
    <w:rsid w:val="00EC1920"/>
    <w:rsid w:val="00EC19A4"/>
    <w:rsid w:val="00EC1A72"/>
    <w:rsid w:val="00EC1B54"/>
    <w:rsid w:val="00EC1B92"/>
    <w:rsid w:val="00EC1BDA"/>
    <w:rsid w:val="00EC1C64"/>
    <w:rsid w:val="00EC1CB6"/>
    <w:rsid w:val="00EC1CF6"/>
    <w:rsid w:val="00EC1DD6"/>
    <w:rsid w:val="00EC1E05"/>
    <w:rsid w:val="00EC1EBE"/>
    <w:rsid w:val="00EC208C"/>
    <w:rsid w:val="00EC20DF"/>
    <w:rsid w:val="00EC2159"/>
    <w:rsid w:val="00EC224F"/>
    <w:rsid w:val="00EC2316"/>
    <w:rsid w:val="00EC2345"/>
    <w:rsid w:val="00EC2395"/>
    <w:rsid w:val="00EC2465"/>
    <w:rsid w:val="00EC251B"/>
    <w:rsid w:val="00EC253B"/>
    <w:rsid w:val="00EC2585"/>
    <w:rsid w:val="00EC26EA"/>
    <w:rsid w:val="00EC290B"/>
    <w:rsid w:val="00EC29C2"/>
    <w:rsid w:val="00EC2A06"/>
    <w:rsid w:val="00EC2C22"/>
    <w:rsid w:val="00EC2CF3"/>
    <w:rsid w:val="00EC2CF9"/>
    <w:rsid w:val="00EC2E13"/>
    <w:rsid w:val="00EC2E77"/>
    <w:rsid w:val="00EC2E99"/>
    <w:rsid w:val="00EC3159"/>
    <w:rsid w:val="00EC31CD"/>
    <w:rsid w:val="00EC3342"/>
    <w:rsid w:val="00EC3375"/>
    <w:rsid w:val="00EC337E"/>
    <w:rsid w:val="00EC33B9"/>
    <w:rsid w:val="00EC33EF"/>
    <w:rsid w:val="00EC3402"/>
    <w:rsid w:val="00EC3478"/>
    <w:rsid w:val="00EC3802"/>
    <w:rsid w:val="00EC3814"/>
    <w:rsid w:val="00EC3857"/>
    <w:rsid w:val="00EC3890"/>
    <w:rsid w:val="00EC3895"/>
    <w:rsid w:val="00EC38D7"/>
    <w:rsid w:val="00EC38F6"/>
    <w:rsid w:val="00EC3912"/>
    <w:rsid w:val="00EC39A2"/>
    <w:rsid w:val="00EC39DD"/>
    <w:rsid w:val="00EC3A82"/>
    <w:rsid w:val="00EC3B15"/>
    <w:rsid w:val="00EC3C6D"/>
    <w:rsid w:val="00EC3D9A"/>
    <w:rsid w:val="00EC3DDA"/>
    <w:rsid w:val="00EC3EEC"/>
    <w:rsid w:val="00EC3FE6"/>
    <w:rsid w:val="00EC4016"/>
    <w:rsid w:val="00EC408C"/>
    <w:rsid w:val="00EC40B5"/>
    <w:rsid w:val="00EC4176"/>
    <w:rsid w:val="00EC41AF"/>
    <w:rsid w:val="00EC4221"/>
    <w:rsid w:val="00EC426E"/>
    <w:rsid w:val="00EC4306"/>
    <w:rsid w:val="00EC4313"/>
    <w:rsid w:val="00EC4334"/>
    <w:rsid w:val="00EC4411"/>
    <w:rsid w:val="00EC45C4"/>
    <w:rsid w:val="00EC4695"/>
    <w:rsid w:val="00EC4A83"/>
    <w:rsid w:val="00EC4C93"/>
    <w:rsid w:val="00EC4D19"/>
    <w:rsid w:val="00EC4D1C"/>
    <w:rsid w:val="00EC4D3F"/>
    <w:rsid w:val="00EC4DA4"/>
    <w:rsid w:val="00EC4E0C"/>
    <w:rsid w:val="00EC4E7E"/>
    <w:rsid w:val="00EC4EFC"/>
    <w:rsid w:val="00EC4F2E"/>
    <w:rsid w:val="00EC4F65"/>
    <w:rsid w:val="00EC5047"/>
    <w:rsid w:val="00EC50D5"/>
    <w:rsid w:val="00EC51BA"/>
    <w:rsid w:val="00EC5272"/>
    <w:rsid w:val="00EC527F"/>
    <w:rsid w:val="00EC5346"/>
    <w:rsid w:val="00EC5348"/>
    <w:rsid w:val="00EC54CA"/>
    <w:rsid w:val="00EC5517"/>
    <w:rsid w:val="00EC5542"/>
    <w:rsid w:val="00EC5588"/>
    <w:rsid w:val="00EC5592"/>
    <w:rsid w:val="00EC56C7"/>
    <w:rsid w:val="00EC56DB"/>
    <w:rsid w:val="00EC57C7"/>
    <w:rsid w:val="00EC57DE"/>
    <w:rsid w:val="00EC5A05"/>
    <w:rsid w:val="00EC5A99"/>
    <w:rsid w:val="00EC5CC1"/>
    <w:rsid w:val="00EC5D77"/>
    <w:rsid w:val="00EC5E98"/>
    <w:rsid w:val="00EC600B"/>
    <w:rsid w:val="00EC60D5"/>
    <w:rsid w:val="00EC6180"/>
    <w:rsid w:val="00EC635B"/>
    <w:rsid w:val="00EC63A0"/>
    <w:rsid w:val="00EC647F"/>
    <w:rsid w:val="00EC650B"/>
    <w:rsid w:val="00EC6618"/>
    <w:rsid w:val="00EC66F9"/>
    <w:rsid w:val="00EC6779"/>
    <w:rsid w:val="00EC67FB"/>
    <w:rsid w:val="00EC6875"/>
    <w:rsid w:val="00EC6882"/>
    <w:rsid w:val="00EC6B95"/>
    <w:rsid w:val="00EC6D31"/>
    <w:rsid w:val="00EC6D3E"/>
    <w:rsid w:val="00EC6D72"/>
    <w:rsid w:val="00EC6DC2"/>
    <w:rsid w:val="00EC6DE0"/>
    <w:rsid w:val="00EC6E08"/>
    <w:rsid w:val="00EC6EC0"/>
    <w:rsid w:val="00EC6ED1"/>
    <w:rsid w:val="00EC6F51"/>
    <w:rsid w:val="00EC6FF0"/>
    <w:rsid w:val="00EC7034"/>
    <w:rsid w:val="00EC716D"/>
    <w:rsid w:val="00EC7348"/>
    <w:rsid w:val="00EC73D0"/>
    <w:rsid w:val="00EC75FA"/>
    <w:rsid w:val="00EC76D1"/>
    <w:rsid w:val="00EC7734"/>
    <w:rsid w:val="00EC7771"/>
    <w:rsid w:val="00EC78D1"/>
    <w:rsid w:val="00EC7E6C"/>
    <w:rsid w:val="00EC7F4F"/>
    <w:rsid w:val="00ED02DA"/>
    <w:rsid w:val="00ED0395"/>
    <w:rsid w:val="00ED03AA"/>
    <w:rsid w:val="00ED0433"/>
    <w:rsid w:val="00ED0583"/>
    <w:rsid w:val="00ED06E6"/>
    <w:rsid w:val="00ED07DA"/>
    <w:rsid w:val="00ED0A3E"/>
    <w:rsid w:val="00ED0AAA"/>
    <w:rsid w:val="00ED0B7F"/>
    <w:rsid w:val="00ED0C02"/>
    <w:rsid w:val="00ED0D5E"/>
    <w:rsid w:val="00ED0DB6"/>
    <w:rsid w:val="00ED0F3A"/>
    <w:rsid w:val="00ED112D"/>
    <w:rsid w:val="00ED11C4"/>
    <w:rsid w:val="00ED125C"/>
    <w:rsid w:val="00ED126E"/>
    <w:rsid w:val="00ED1388"/>
    <w:rsid w:val="00ED1397"/>
    <w:rsid w:val="00ED142E"/>
    <w:rsid w:val="00ED14A9"/>
    <w:rsid w:val="00ED14D8"/>
    <w:rsid w:val="00ED1701"/>
    <w:rsid w:val="00ED17AF"/>
    <w:rsid w:val="00ED1830"/>
    <w:rsid w:val="00ED18A3"/>
    <w:rsid w:val="00ED18E0"/>
    <w:rsid w:val="00ED18E3"/>
    <w:rsid w:val="00ED1921"/>
    <w:rsid w:val="00ED1939"/>
    <w:rsid w:val="00ED1A3F"/>
    <w:rsid w:val="00ED1AF9"/>
    <w:rsid w:val="00ED1B8C"/>
    <w:rsid w:val="00ED1BAB"/>
    <w:rsid w:val="00ED1C68"/>
    <w:rsid w:val="00ED1C89"/>
    <w:rsid w:val="00ED1D46"/>
    <w:rsid w:val="00ED1E01"/>
    <w:rsid w:val="00ED1EFE"/>
    <w:rsid w:val="00ED1F1E"/>
    <w:rsid w:val="00ED1F36"/>
    <w:rsid w:val="00ED2013"/>
    <w:rsid w:val="00ED208B"/>
    <w:rsid w:val="00ED20B4"/>
    <w:rsid w:val="00ED20CB"/>
    <w:rsid w:val="00ED216B"/>
    <w:rsid w:val="00ED2186"/>
    <w:rsid w:val="00ED21CB"/>
    <w:rsid w:val="00ED21EA"/>
    <w:rsid w:val="00ED2242"/>
    <w:rsid w:val="00ED22A1"/>
    <w:rsid w:val="00ED2354"/>
    <w:rsid w:val="00ED23F3"/>
    <w:rsid w:val="00ED24E8"/>
    <w:rsid w:val="00ED2521"/>
    <w:rsid w:val="00ED2746"/>
    <w:rsid w:val="00ED2891"/>
    <w:rsid w:val="00ED28F5"/>
    <w:rsid w:val="00ED29B6"/>
    <w:rsid w:val="00ED29DC"/>
    <w:rsid w:val="00ED2A3C"/>
    <w:rsid w:val="00ED2A9C"/>
    <w:rsid w:val="00ED2B24"/>
    <w:rsid w:val="00ED2CC0"/>
    <w:rsid w:val="00ED2CED"/>
    <w:rsid w:val="00ED2F69"/>
    <w:rsid w:val="00ED2FB8"/>
    <w:rsid w:val="00ED30FB"/>
    <w:rsid w:val="00ED3263"/>
    <w:rsid w:val="00ED327F"/>
    <w:rsid w:val="00ED33C5"/>
    <w:rsid w:val="00ED356E"/>
    <w:rsid w:val="00ED372E"/>
    <w:rsid w:val="00ED37D1"/>
    <w:rsid w:val="00ED3835"/>
    <w:rsid w:val="00ED3950"/>
    <w:rsid w:val="00ED395A"/>
    <w:rsid w:val="00ED39A9"/>
    <w:rsid w:val="00ED39DB"/>
    <w:rsid w:val="00ED3A1A"/>
    <w:rsid w:val="00ED3A94"/>
    <w:rsid w:val="00ED3ADA"/>
    <w:rsid w:val="00ED3B8B"/>
    <w:rsid w:val="00ED3C9D"/>
    <w:rsid w:val="00ED3CCE"/>
    <w:rsid w:val="00ED3CE9"/>
    <w:rsid w:val="00ED3CF3"/>
    <w:rsid w:val="00ED3DD7"/>
    <w:rsid w:val="00ED3E0D"/>
    <w:rsid w:val="00ED3E1E"/>
    <w:rsid w:val="00ED3F09"/>
    <w:rsid w:val="00ED3F94"/>
    <w:rsid w:val="00ED3FC1"/>
    <w:rsid w:val="00ED4031"/>
    <w:rsid w:val="00ED4077"/>
    <w:rsid w:val="00ED4106"/>
    <w:rsid w:val="00ED4155"/>
    <w:rsid w:val="00ED419A"/>
    <w:rsid w:val="00ED41D2"/>
    <w:rsid w:val="00ED42DF"/>
    <w:rsid w:val="00ED4561"/>
    <w:rsid w:val="00ED4598"/>
    <w:rsid w:val="00ED4860"/>
    <w:rsid w:val="00ED4922"/>
    <w:rsid w:val="00ED4A8E"/>
    <w:rsid w:val="00ED4BFC"/>
    <w:rsid w:val="00ED4C01"/>
    <w:rsid w:val="00ED4C19"/>
    <w:rsid w:val="00ED4D9F"/>
    <w:rsid w:val="00ED4E65"/>
    <w:rsid w:val="00ED51D0"/>
    <w:rsid w:val="00ED5460"/>
    <w:rsid w:val="00ED554C"/>
    <w:rsid w:val="00ED554F"/>
    <w:rsid w:val="00ED55D0"/>
    <w:rsid w:val="00ED55EB"/>
    <w:rsid w:val="00ED55F9"/>
    <w:rsid w:val="00ED5606"/>
    <w:rsid w:val="00ED56E4"/>
    <w:rsid w:val="00ED5991"/>
    <w:rsid w:val="00ED59E0"/>
    <w:rsid w:val="00ED5A2F"/>
    <w:rsid w:val="00ED5AB5"/>
    <w:rsid w:val="00ED5B42"/>
    <w:rsid w:val="00ED5B4D"/>
    <w:rsid w:val="00ED5D1E"/>
    <w:rsid w:val="00ED5D23"/>
    <w:rsid w:val="00ED5D3B"/>
    <w:rsid w:val="00ED5EF9"/>
    <w:rsid w:val="00ED6189"/>
    <w:rsid w:val="00ED6239"/>
    <w:rsid w:val="00ED6262"/>
    <w:rsid w:val="00ED62AF"/>
    <w:rsid w:val="00ED62EF"/>
    <w:rsid w:val="00ED630F"/>
    <w:rsid w:val="00ED63E8"/>
    <w:rsid w:val="00ED654E"/>
    <w:rsid w:val="00ED6563"/>
    <w:rsid w:val="00ED6590"/>
    <w:rsid w:val="00ED6870"/>
    <w:rsid w:val="00ED68E8"/>
    <w:rsid w:val="00ED6917"/>
    <w:rsid w:val="00ED6945"/>
    <w:rsid w:val="00ED69AA"/>
    <w:rsid w:val="00ED69C5"/>
    <w:rsid w:val="00ED6A5D"/>
    <w:rsid w:val="00ED6A97"/>
    <w:rsid w:val="00ED6AA1"/>
    <w:rsid w:val="00ED6AC8"/>
    <w:rsid w:val="00ED6B31"/>
    <w:rsid w:val="00ED6B7C"/>
    <w:rsid w:val="00ED6BBA"/>
    <w:rsid w:val="00ED6D48"/>
    <w:rsid w:val="00ED6D85"/>
    <w:rsid w:val="00ED6D97"/>
    <w:rsid w:val="00ED6E73"/>
    <w:rsid w:val="00ED6EC1"/>
    <w:rsid w:val="00ED6EFF"/>
    <w:rsid w:val="00ED6F32"/>
    <w:rsid w:val="00ED703A"/>
    <w:rsid w:val="00ED7184"/>
    <w:rsid w:val="00ED73B9"/>
    <w:rsid w:val="00ED7480"/>
    <w:rsid w:val="00ED74A0"/>
    <w:rsid w:val="00ED74BE"/>
    <w:rsid w:val="00ED75C0"/>
    <w:rsid w:val="00ED7710"/>
    <w:rsid w:val="00ED794A"/>
    <w:rsid w:val="00ED7AFA"/>
    <w:rsid w:val="00ED7BAA"/>
    <w:rsid w:val="00ED7BB2"/>
    <w:rsid w:val="00ED7D54"/>
    <w:rsid w:val="00ED7D6A"/>
    <w:rsid w:val="00ED7E48"/>
    <w:rsid w:val="00ED7F4D"/>
    <w:rsid w:val="00ED7FA4"/>
    <w:rsid w:val="00EE0240"/>
    <w:rsid w:val="00EE027F"/>
    <w:rsid w:val="00EE0367"/>
    <w:rsid w:val="00EE0557"/>
    <w:rsid w:val="00EE063F"/>
    <w:rsid w:val="00EE0658"/>
    <w:rsid w:val="00EE077C"/>
    <w:rsid w:val="00EE07B5"/>
    <w:rsid w:val="00EE07F0"/>
    <w:rsid w:val="00EE0862"/>
    <w:rsid w:val="00EE08DF"/>
    <w:rsid w:val="00EE094B"/>
    <w:rsid w:val="00EE0AE8"/>
    <w:rsid w:val="00EE0B19"/>
    <w:rsid w:val="00EE0BC7"/>
    <w:rsid w:val="00EE0C41"/>
    <w:rsid w:val="00EE0D92"/>
    <w:rsid w:val="00EE1084"/>
    <w:rsid w:val="00EE113E"/>
    <w:rsid w:val="00EE1172"/>
    <w:rsid w:val="00EE1359"/>
    <w:rsid w:val="00EE13BB"/>
    <w:rsid w:val="00EE13DC"/>
    <w:rsid w:val="00EE147F"/>
    <w:rsid w:val="00EE15BC"/>
    <w:rsid w:val="00EE177E"/>
    <w:rsid w:val="00EE17DC"/>
    <w:rsid w:val="00EE18C9"/>
    <w:rsid w:val="00EE1980"/>
    <w:rsid w:val="00EE1A43"/>
    <w:rsid w:val="00EE1B1D"/>
    <w:rsid w:val="00EE1CB7"/>
    <w:rsid w:val="00EE1CFB"/>
    <w:rsid w:val="00EE1DA2"/>
    <w:rsid w:val="00EE1E1F"/>
    <w:rsid w:val="00EE1ED9"/>
    <w:rsid w:val="00EE1F03"/>
    <w:rsid w:val="00EE1F37"/>
    <w:rsid w:val="00EE1FCE"/>
    <w:rsid w:val="00EE1FD4"/>
    <w:rsid w:val="00EE20F5"/>
    <w:rsid w:val="00EE2176"/>
    <w:rsid w:val="00EE21AB"/>
    <w:rsid w:val="00EE2242"/>
    <w:rsid w:val="00EE22C3"/>
    <w:rsid w:val="00EE22DA"/>
    <w:rsid w:val="00EE232D"/>
    <w:rsid w:val="00EE23A1"/>
    <w:rsid w:val="00EE23BE"/>
    <w:rsid w:val="00EE242C"/>
    <w:rsid w:val="00EE24A5"/>
    <w:rsid w:val="00EE2657"/>
    <w:rsid w:val="00EE26AC"/>
    <w:rsid w:val="00EE26C2"/>
    <w:rsid w:val="00EE26F3"/>
    <w:rsid w:val="00EE27B9"/>
    <w:rsid w:val="00EE27E8"/>
    <w:rsid w:val="00EE27FD"/>
    <w:rsid w:val="00EE2876"/>
    <w:rsid w:val="00EE28B9"/>
    <w:rsid w:val="00EE29D9"/>
    <w:rsid w:val="00EE2B02"/>
    <w:rsid w:val="00EE2B46"/>
    <w:rsid w:val="00EE2B88"/>
    <w:rsid w:val="00EE2C96"/>
    <w:rsid w:val="00EE2CDC"/>
    <w:rsid w:val="00EE2DF2"/>
    <w:rsid w:val="00EE2EA9"/>
    <w:rsid w:val="00EE2EAD"/>
    <w:rsid w:val="00EE31D9"/>
    <w:rsid w:val="00EE3220"/>
    <w:rsid w:val="00EE322B"/>
    <w:rsid w:val="00EE328F"/>
    <w:rsid w:val="00EE3399"/>
    <w:rsid w:val="00EE3405"/>
    <w:rsid w:val="00EE343B"/>
    <w:rsid w:val="00EE349B"/>
    <w:rsid w:val="00EE3544"/>
    <w:rsid w:val="00EE3609"/>
    <w:rsid w:val="00EE3642"/>
    <w:rsid w:val="00EE365C"/>
    <w:rsid w:val="00EE3781"/>
    <w:rsid w:val="00EE37B0"/>
    <w:rsid w:val="00EE3847"/>
    <w:rsid w:val="00EE38F6"/>
    <w:rsid w:val="00EE3949"/>
    <w:rsid w:val="00EE395C"/>
    <w:rsid w:val="00EE3987"/>
    <w:rsid w:val="00EE39BA"/>
    <w:rsid w:val="00EE39D6"/>
    <w:rsid w:val="00EE3CD1"/>
    <w:rsid w:val="00EE3CD9"/>
    <w:rsid w:val="00EE3E03"/>
    <w:rsid w:val="00EE3EC5"/>
    <w:rsid w:val="00EE3F4F"/>
    <w:rsid w:val="00EE4018"/>
    <w:rsid w:val="00EE4024"/>
    <w:rsid w:val="00EE4102"/>
    <w:rsid w:val="00EE4110"/>
    <w:rsid w:val="00EE4375"/>
    <w:rsid w:val="00EE43C4"/>
    <w:rsid w:val="00EE43F9"/>
    <w:rsid w:val="00EE4437"/>
    <w:rsid w:val="00EE449C"/>
    <w:rsid w:val="00EE449E"/>
    <w:rsid w:val="00EE44CF"/>
    <w:rsid w:val="00EE4569"/>
    <w:rsid w:val="00EE45A4"/>
    <w:rsid w:val="00EE460B"/>
    <w:rsid w:val="00EE4634"/>
    <w:rsid w:val="00EE47B4"/>
    <w:rsid w:val="00EE4812"/>
    <w:rsid w:val="00EE485E"/>
    <w:rsid w:val="00EE488B"/>
    <w:rsid w:val="00EE489F"/>
    <w:rsid w:val="00EE4B0A"/>
    <w:rsid w:val="00EE4C4B"/>
    <w:rsid w:val="00EE4C50"/>
    <w:rsid w:val="00EE4D49"/>
    <w:rsid w:val="00EE4F09"/>
    <w:rsid w:val="00EE4F0D"/>
    <w:rsid w:val="00EE4F95"/>
    <w:rsid w:val="00EE4FF7"/>
    <w:rsid w:val="00EE5021"/>
    <w:rsid w:val="00EE505B"/>
    <w:rsid w:val="00EE5161"/>
    <w:rsid w:val="00EE524D"/>
    <w:rsid w:val="00EE5260"/>
    <w:rsid w:val="00EE528A"/>
    <w:rsid w:val="00EE52E1"/>
    <w:rsid w:val="00EE5336"/>
    <w:rsid w:val="00EE536C"/>
    <w:rsid w:val="00EE5378"/>
    <w:rsid w:val="00EE5396"/>
    <w:rsid w:val="00EE53D3"/>
    <w:rsid w:val="00EE5430"/>
    <w:rsid w:val="00EE5492"/>
    <w:rsid w:val="00EE5560"/>
    <w:rsid w:val="00EE5621"/>
    <w:rsid w:val="00EE5682"/>
    <w:rsid w:val="00EE5867"/>
    <w:rsid w:val="00EE58BE"/>
    <w:rsid w:val="00EE5B3E"/>
    <w:rsid w:val="00EE5DE1"/>
    <w:rsid w:val="00EE5E01"/>
    <w:rsid w:val="00EE5F3A"/>
    <w:rsid w:val="00EE6005"/>
    <w:rsid w:val="00EE60A0"/>
    <w:rsid w:val="00EE616A"/>
    <w:rsid w:val="00EE6190"/>
    <w:rsid w:val="00EE6452"/>
    <w:rsid w:val="00EE66AF"/>
    <w:rsid w:val="00EE68B7"/>
    <w:rsid w:val="00EE68C9"/>
    <w:rsid w:val="00EE69DA"/>
    <w:rsid w:val="00EE69DD"/>
    <w:rsid w:val="00EE69F2"/>
    <w:rsid w:val="00EE6A3A"/>
    <w:rsid w:val="00EE6ADD"/>
    <w:rsid w:val="00EE6BC1"/>
    <w:rsid w:val="00EE6C87"/>
    <w:rsid w:val="00EE6E45"/>
    <w:rsid w:val="00EE6EA0"/>
    <w:rsid w:val="00EE6F35"/>
    <w:rsid w:val="00EE70F7"/>
    <w:rsid w:val="00EE72A2"/>
    <w:rsid w:val="00EE75C5"/>
    <w:rsid w:val="00EE774D"/>
    <w:rsid w:val="00EE77A7"/>
    <w:rsid w:val="00EE7801"/>
    <w:rsid w:val="00EE7849"/>
    <w:rsid w:val="00EE7898"/>
    <w:rsid w:val="00EE78C9"/>
    <w:rsid w:val="00EE7AFA"/>
    <w:rsid w:val="00EE7B4A"/>
    <w:rsid w:val="00EE7BB1"/>
    <w:rsid w:val="00EE7BBD"/>
    <w:rsid w:val="00EE7C74"/>
    <w:rsid w:val="00EE7CCE"/>
    <w:rsid w:val="00EE7DA6"/>
    <w:rsid w:val="00EE7FAD"/>
    <w:rsid w:val="00EE7FF9"/>
    <w:rsid w:val="00EF0072"/>
    <w:rsid w:val="00EF017A"/>
    <w:rsid w:val="00EF02A3"/>
    <w:rsid w:val="00EF02A7"/>
    <w:rsid w:val="00EF04AC"/>
    <w:rsid w:val="00EF05A8"/>
    <w:rsid w:val="00EF0659"/>
    <w:rsid w:val="00EF08CD"/>
    <w:rsid w:val="00EF098A"/>
    <w:rsid w:val="00EF099D"/>
    <w:rsid w:val="00EF0A92"/>
    <w:rsid w:val="00EF0AFE"/>
    <w:rsid w:val="00EF0BF8"/>
    <w:rsid w:val="00EF0C45"/>
    <w:rsid w:val="00EF0D89"/>
    <w:rsid w:val="00EF0E68"/>
    <w:rsid w:val="00EF0E8B"/>
    <w:rsid w:val="00EF0F26"/>
    <w:rsid w:val="00EF0FFC"/>
    <w:rsid w:val="00EF10C9"/>
    <w:rsid w:val="00EF10D4"/>
    <w:rsid w:val="00EF10E4"/>
    <w:rsid w:val="00EF1147"/>
    <w:rsid w:val="00EF117E"/>
    <w:rsid w:val="00EF1242"/>
    <w:rsid w:val="00EF1267"/>
    <w:rsid w:val="00EF127F"/>
    <w:rsid w:val="00EF12C3"/>
    <w:rsid w:val="00EF1465"/>
    <w:rsid w:val="00EF14E1"/>
    <w:rsid w:val="00EF160D"/>
    <w:rsid w:val="00EF1612"/>
    <w:rsid w:val="00EF164F"/>
    <w:rsid w:val="00EF169A"/>
    <w:rsid w:val="00EF175A"/>
    <w:rsid w:val="00EF1816"/>
    <w:rsid w:val="00EF195C"/>
    <w:rsid w:val="00EF1979"/>
    <w:rsid w:val="00EF19FD"/>
    <w:rsid w:val="00EF1AD9"/>
    <w:rsid w:val="00EF1BB0"/>
    <w:rsid w:val="00EF1C01"/>
    <w:rsid w:val="00EF1C62"/>
    <w:rsid w:val="00EF1D04"/>
    <w:rsid w:val="00EF1DE1"/>
    <w:rsid w:val="00EF1E07"/>
    <w:rsid w:val="00EF1E8C"/>
    <w:rsid w:val="00EF1EA2"/>
    <w:rsid w:val="00EF1EF7"/>
    <w:rsid w:val="00EF1F10"/>
    <w:rsid w:val="00EF1FB3"/>
    <w:rsid w:val="00EF1FE5"/>
    <w:rsid w:val="00EF22C5"/>
    <w:rsid w:val="00EF22EA"/>
    <w:rsid w:val="00EF2321"/>
    <w:rsid w:val="00EF236A"/>
    <w:rsid w:val="00EF2575"/>
    <w:rsid w:val="00EF2576"/>
    <w:rsid w:val="00EF26C0"/>
    <w:rsid w:val="00EF26CC"/>
    <w:rsid w:val="00EF26EF"/>
    <w:rsid w:val="00EF2761"/>
    <w:rsid w:val="00EF27B7"/>
    <w:rsid w:val="00EF27F7"/>
    <w:rsid w:val="00EF28AC"/>
    <w:rsid w:val="00EF2AB6"/>
    <w:rsid w:val="00EF2B5F"/>
    <w:rsid w:val="00EF2DB8"/>
    <w:rsid w:val="00EF2DE9"/>
    <w:rsid w:val="00EF2E18"/>
    <w:rsid w:val="00EF2EBD"/>
    <w:rsid w:val="00EF301D"/>
    <w:rsid w:val="00EF313C"/>
    <w:rsid w:val="00EF3146"/>
    <w:rsid w:val="00EF3161"/>
    <w:rsid w:val="00EF3205"/>
    <w:rsid w:val="00EF320B"/>
    <w:rsid w:val="00EF3368"/>
    <w:rsid w:val="00EF34CD"/>
    <w:rsid w:val="00EF3563"/>
    <w:rsid w:val="00EF363A"/>
    <w:rsid w:val="00EF3640"/>
    <w:rsid w:val="00EF36B7"/>
    <w:rsid w:val="00EF374D"/>
    <w:rsid w:val="00EF3A22"/>
    <w:rsid w:val="00EF3B3B"/>
    <w:rsid w:val="00EF3B3E"/>
    <w:rsid w:val="00EF3B40"/>
    <w:rsid w:val="00EF3B7F"/>
    <w:rsid w:val="00EF3BD9"/>
    <w:rsid w:val="00EF3C45"/>
    <w:rsid w:val="00EF3C4F"/>
    <w:rsid w:val="00EF3D03"/>
    <w:rsid w:val="00EF3F43"/>
    <w:rsid w:val="00EF3FE5"/>
    <w:rsid w:val="00EF3FF1"/>
    <w:rsid w:val="00EF41E1"/>
    <w:rsid w:val="00EF4253"/>
    <w:rsid w:val="00EF42A6"/>
    <w:rsid w:val="00EF4354"/>
    <w:rsid w:val="00EF4373"/>
    <w:rsid w:val="00EF4384"/>
    <w:rsid w:val="00EF4570"/>
    <w:rsid w:val="00EF464C"/>
    <w:rsid w:val="00EF46D7"/>
    <w:rsid w:val="00EF46EE"/>
    <w:rsid w:val="00EF470D"/>
    <w:rsid w:val="00EF4724"/>
    <w:rsid w:val="00EF48D0"/>
    <w:rsid w:val="00EF48D1"/>
    <w:rsid w:val="00EF4929"/>
    <w:rsid w:val="00EF4958"/>
    <w:rsid w:val="00EF496D"/>
    <w:rsid w:val="00EF498A"/>
    <w:rsid w:val="00EF4AAF"/>
    <w:rsid w:val="00EF4B4D"/>
    <w:rsid w:val="00EF4D53"/>
    <w:rsid w:val="00EF4DF2"/>
    <w:rsid w:val="00EF502E"/>
    <w:rsid w:val="00EF50CE"/>
    <w:rsid w:val="00EF5102"/>
    <w:rsid w:val="00EF51A0"/>
    <w:rsid w:val="00EF51E6"/>
    <w:rsid w:val="00EF527E"/>
    <w:rsid w:val="00EF52A5"/>
    <w:rsid w:val="00EF52F2"/>
    <w:rsid w:val="00EF53AA"/>
    <w:rsid w:val="00EF53C9"/>
    <w:rsid w:val="00EF5471"/>
    <w:rsid w:val="00EF5527"/>
    <w:rsid w:val="00EF566B"/>
    <w:rsid w:val="00EF56FD"/>
    <w:rsid w:val="00EF572A"/>
    <w:rsid w:val="00EF5742"/>
    <w:rsid w:val="00EF57BF"/>
    <w:rsid w:val="00EF57DD"/>
    <w:rsid w:val="00EF5892"/>
    <w:rsid w:val="00EF58B0"/>
    <w:rsid w:val="00EF5B2B"/>
    <w:rsid w:val="00EF5C75"/>
    <w:rsid w:val="00EF5D3B"/>
    <w:rsid w:val="00EF5D6F"/>
    <w:rsid w:val="00EF5D9C"/>
    <w:rsid w:val="00EF5DD3"/>
    <w:rsid w:val="00EF5E51"/>
    <w:rsid w:val="00EF5EF7"/>
    <w:rsid w:val="00EF6043"/>
    <w:rsid w:val="00EF60B5"/>
    <w:rsid w:val="00EF60D0"/>
    <w:rsid w:val="00EF615F"/>
    <w:rsid w:val="00EF622E"/>
    <w:rsid w:val="00EF6383"/>
    <w:rsid w:val="00EF648E"/>
    <w:rsid w:val="00EF64CE"/>
    <w:rsid w:val="00EF6643"/>
    <w:rsid w:val="00EF66B4"/>
    <w:rsid w:val="00EF66D5"/>
    <w:rsid w:val="00EF66E7"/>
    <w:rsid w:val="00EF670E"/>
    <w:rsid w:val="00EF67D9"/>
    <w:rsid w:val="00EF6833"/>
    <w:rsid w:val="00EF6841"/>
    <w:rsid w:val="00EF6A4A"/>
    <w:rsid w:val="00EF6C18"/>
    <w:rsid w:val="00EF6C3B"/>
    <w:rsid w:val="00EF6C51"/>
    <w:rsid w:val="00EF6C95"/>
    <w:rsid w:val="00EF6D26"/>
    <w:rsid w:val="00EF6ED9"/>
    <w:rsid w:val="00EF6F48"/>
    <w:rsid w:val="00EF705A"/>
    <w:rsid w:val="00EF7167"/>
    <w:rsid w:val="00EF71A6"/>
    <w:rsid w:val="00EF7368"/>
    <w:rsid w:val="00EF7441"/>
    <w:rsid w:val="00EF7526"/>
    <w:rsid w:val="00EF767D"/>
    <w:rsid w:val="00EF7742"/>
    <w:rsid w:val="00EF7781"/>
    <w:rsid w:val="00EF77EE"/>
    <w:rsid w:val="00EF7823"/>
    <w:rsid w:val="00EF7866"/>
    <w:rsid w:val="00EF79CE"/>
    <w:rsid w:val="00EF7B25"/>
    <w:rsid w:val="00EF7B71"/>
    <w:rsid w:val="00EF7BA5"/>
    <w:rsid w:val="00EF7C2C"/>
    <w:rsid w:val="00EF7C75"/>
    <w:rsid w:val="00EF7C9C"/>
    <w:rsid w:val="00EF7D32"/>
    <w:rsid w:val="00EF7DB7"/>
    <w:rsid w:val="00EF7DBE"/>
    <w:rsid w:val="00EF7DFE"/>
    <w:rsid w:val="00EF7E2A"/>
    <w:rsid w:val="00EF7F8E"/>
    <w:rsid w:val="00EF7FA4"/>
    <w:rsid w:val="00F000F2"/>
    <w:rsid w:val="00F00119"/>
    <w:rsid w:val="00F001AB"/>
    <w:rsid w:val="00F00233"/>
    <w:rsid w:val="00F003B3"/>
    <w:rsid w:val="00F003C2"/>
    <w:rsid w:val="00F005BF"/>
    <w:rsid w:val="00F005F2"/>
    <w:rsid w:val="00F0061E"/>
    <w:rsid w:val="00F00677"/>
    <w:rsid w:val="00F00701"/>
    <w:rsid w:val="00F00736"/>
    <w:rsid w:val="00F00983"/>
    <w:rsid w:val="00F00A48"/>
    <w:rsid w:val="00F00BA9"/>
    <w:rsid w:val="00F00C00"/>
    <w:rsid w:val="00F00C83"/>
    <w:rsid w:val="00F00C90"/>
    <w:rsid w:val="00F00D2B"/>
    <w:rsid w:val="00F00E3D"/>
    <w:rsid w:val="00F00E4B"/>
    <w:rsid w:val="00F00E51"/>
    <w:rsid w:val="00F00EC8"/>
    <w:rsid w:val="00F0102A"/>
    <w:rsid w:val="00F010C2"/>
    <w:rsid w:val="00F01192"/>
    <w:rsid w:val="00F0119C"/>
    <w:rsid w:val="00F01243"/>
    <w:rsid w:val="00F012A8"/>
    <w:rsid w:val="00F0145B"/>
    <w:rsid w:val="00F0151A"/>
    <w:rsid w:val="00F01553"/>
    <w:rsid w:val="00F01575"/>
    <w:rsid w:val="00F017BB"/>
    <w:rsid w:val="00F017FC"/>
    <w:rsid w:val="00F0184C"/>
    <w:rsid w:val="00F0185D"/>
    <w:rsid w:val="00F01C66"/>
    <w:rsid w:val="00F01CEF"/>
    <w:rsid w:val="00F01D8E"/>
    <w:rsid w:val="00F01EF3"/>
    <w:rsid w:val="00F01EF7"/>
    <w:rsid w:val="00F01F07"/>
    <w:rsid w:val="00F01F11"/>
    <w:rsid w:val="00F02020"/>
    <w:rsid w:val="00F02092"/>
    <w:rsid w:val="00F02217"/>
    <w:rsid w:val="00F02220"/>
    <w:rsid w:val="00F02379"/>
    <w:rsid w:val="00F023AE"/>
    <w:rsid w:val="00F0260F"/>
    <w:rsid w:val="00F026B1"/>
    <w:rsid w:val="00F026C0"/>
    <w:rsid w:val="00F027EE"/>
    <w:rsid w:val="00F0287E"/>
    <w:rsid w:val="00F02995"/>
    <w:rsid w:val="00F029F5"/>
    <w:rsid w:val="00F02A18"/>
    <w:rsid w:val="00F02A43"/>
    <w:rsid w:val="00F02BD2"/>
    <w:rsid w:val="00F02D32"/>
    <w:rsid w:val="00F02D58"/>
    <w:rsid w:val="00F02F2F"/>
    <w:rsid w:val="00F0309A"/>
    <w:rsid w:val="00F03130"/>
    <w:rsid w:val="00F03163"/>
    <w:rsid w:val="00F03317"/>
    <w:rsid w:val="00F0337F"/>
    <w:rsid w:val="00F03545"/>
    <w:rsid w:val="00F0363E"/>
    <w:rsid w:val="00F03691"/>
    <w:rsid w:val="00F036C6"/>
    <w:rsid w:val="00F036DD"/>
    <w:rsid w:val="00F037BA"/>
    <w:rsid w:val="00F0385A"/>
    <w:rsid w:val="00F0392D"/>
    <w:rsid w:val="00F03A95"/>
    <w:rsid w:val="00F03BCF"/>
    <w:rsid w:val="00F03CBA"/>
    <w:rsid w:val="00F03CF0"/>
    <w:rsid w:val="00F03D89"/>
    <w:rsid w:val="00F03E48"/>
    <w:rsid w:val="00F03F8F"/>
    <w:rsid w:val="00F041F2"/>
    <w:rsid w:val="00F04346"/>
    <w:rsid w:val="00F0459D"/>
    <w:rsid w:val="00F0467A"/>
    <w:rsid w:val="00F0479B"/>
    <w:rsid w:val="00F047BB"/>
    <w:rsid w:val="00F048F3"/>
    <w:rsid w:val="00F04924"/>
    <w:rsid w:val="00F0496C"/>
    <w:rsid w:val="00F0498B"/>
    <w:rsid w:val="00F049BA"/>
    <w:rsid w:val="00F049C3"/>
    <w:rsid w:val="00F049E3"/>
    <w:rsid w:val="00F04A66"/>
    <w:rsid w:val="00F04BE2"/>
    <w:rsid w:val="00F04BE6"/>
    <w:rsid w:val="00F04C67"/>
    <w:rsid w:val="00F04C8E"/>
    <w:rsid w:val="00F04CCC"/>
    <w:rsid w:val="00F04E5E"/>
    <w:rsid w:val="00F04FB8"/>
    <w:rsid w:val="00F04FFE"/>
    <w:rsid w:val="00F05076"/>
    <w:rsid w:val="00F0508E"/>
    <w:rsid w:val="00F050D8"/>
    <w:rsid w:val="00F050F3"/>
    <w:rsid w:val="00F052D9"/>
    <w:rsid w:val="00F052EB"/>
    <w:rsid w:val="00F05333"/>
    <w:rsid w:val="00F054E4"/>
    <w:rsid w:val="00F054FE"/>
    <w:rsid w:val="00F05694"/>
    <w:rsid w:val="00F058BC"/>
    <w:rsid w:val="00F058CA"/>
    <w:rsid w:val="00F05956"/>
    <w:rsid w:val="00F059BD"/>
    <w:rsid w:val="00F05A58"/>
    <w:rsid w:val="00F05B06"/>
    <w:rsid w:val="00F05B4F"/>
    <w:rsid w:val="00F05B7E"/>
    <w:rsid w:val="00F05C62"/>
    <w:rsid w:val="00F05D05"/>
    <w:rsid w:val="00F05EDB"/>
    <w:rsid w:val="00F05F6C"/>
    <w:rsid w:val="00F05F70"/>
    <w:rsid w:val="00F05F7F"/>
    <w:rsid w:val="00F05FEE"/>
    <w:rsid w:val="00F060AA"/>
    <w:rsid w:val="00F061C1"/>
    <w:rsid w:val="00F061F4"/>
    <w:rsid w:val="00F0643C"/>
    <w:rsid w:val="00F06495"/>
    <w:rsid w:val="00F0653E"/>
    <w:rsid w:val="00F06550"/>
    <w:rsid w:val="00F065BA"/>
    <w:rsid w:val="00F0663F"/>
    <w:rsid w:val="00F06673"/>
    <w:rsid w:val="00F06699"/>
    <w:rsid w:val="00F0677B"/>
    <w:rsid w:val="00F067DE"/>
    <w:rsid w:val="00F06809"/>
    <w:rsid w:val="00F06ABA"/>
    <w:rsid w:val="00F06B07"/>
    <w:rsid w:val="00F06B95"/>
    <w:rsid w:val="00F06C65"/>
    <w:rsid w:val="00F06C82"/>
    <w:rsid w:val="00F06CDB"/>
    <w:rsid w:val="00F06CF1"/>
    <w:rsid w:val="00F06D52"/>
    <w:rsid w:val="00F06DD2"/>
    <w:rsid w:val="00F06E42"/>
    <w:rsid w:val="00F06F14"/>
    <w:rsid w:val="00F06FC1"/>
    <w:rsid w:val="00F06FD7"/>
    <w:rsid w:val="00F06FD8"/>
    <w:rsid w:val="00F06FDF"/>
    <w:rsid w:val="00F070BC"/>
    <w:rsid w:val="00F070C9"/>
    <w:rsid w:val="00F0715D"/>
    <w:rsid w:val="00F07196"/>
    <w:rsid w:val="00F0722E"/>
    <w:rsid w:val="00F0738C"/>
    <w:rsid w:val="00F073E0"/>
    <w:rsid w:val="00F0751A"/>
    <w:rsid w:val="00F075DF"/>
    <w:rsid w:val="00F075E4"/>
    <w:rsid w:val="00F07634"/>
    <w:rsid w:val="00F0768C"/>
    <w:rsid w:val="00F07733"/>
    <w:rsid w:val="00F07772"/>
    <w:rsid w:val="00F077A7"/>
    <w:rsid w:val="00F07877"/>
    <w:rsid w:val="00F078AE"/>
    <w:rsid w:val="00F078DC"/>
    <w:rsid w:val="00F0799D"/>
    <w:rsid w:val="00F07CB3"/>
    <w:rsid w:val="00F07CC5"/>
    <w:rsid w:val="00F07CF1"/>
    <w:rsid w:val="00F07D9D"/>
    <w:rsid w:val="00F07E68"/>
    <w:rsid w:val="00F07E81"/>
    <w:rsid w:val="00F07E95"/>
    <w:rsid w:val="00F07F30"/>
    <w:rsid w:val="00F0B6C6"/>
    <w:rsid w:val="00F10067"/>
    <w:rsid w:val="00F10076"/>
    <w:rsid w:val="00F10087"/>
    <w:rsid w:val="00F10235"/>
    <w:rsid w:val="00F10534"/>
    <w:rsid w:val="00F10649"/>
    <w:rsid w:val="00F106DA"/>
    <w:rsid w:val="00F1070D"/>
    <w:rsid w:val="00F1083E"/>
    <w:rsid w:val="00F108B9"/>
    <w:rsid w:val="00F10DCA"/>
    <w:rsid w:val="00F10DE2"/>
    <w:rsid w:val="00F10DF0"/>
    <w:rsid w:val="00F10EDC"/>
    <w:rsid w:val="00F10F5D"/>
    <w:rsid w:val="00F10F89"/>
    <w:rsid w:val="00F1109B"/>
    <w:rsid w:val="00F11138"/>
    <w:rsid w:val="00F11191"/>
    <w:rsid w:val="00F11239"/>
    <w:rsid w:val="00F112EF"/>
    <w:rsid w:val="00F1131C"/>
    <w:rsid w:val="00F1136C"/>
    <w:rsid w:val="00F1136D"/>
    <w:rsid w:val="00F1137E"/>
    <w:rsid w:val="00F11465"/>
    <w:rsid w:val="00F114F7"/>
    <w:rsid w:val="00F1163F"/>
    <w:rsid w:val="00F1172E"/>
    <w:rsid w:val="00F1176D"/>
    <w:rsid w:val="00F117A4"/>
    <w:rsid w:val="00F117A7"/>
    <w:rsid w:val="00F117DD"/>
    <w:rsid w:val="00F118E3"/>
    <w:rsid w:val="00F1195E"/>
    <w:rsid w:val="00F1196B"/>
    <w:rsid w:val="00F11B19"/>
    <w:rsid w:val="00F11B1D"/>
    <w:rsid w:val="00F11BA0"/>
    <w:rsid w:val="00F11C06"/>
    <w:rsid w:val="00F11CC2"/>
    <w:rsid w:val="00F11D71"/>
    <w:rsid w:val="00F12042"/>
    <w:rsid w:val="00F120B5"/>
    <w:rsid w:val="00F1211C"/>
    <w:rsid w:val="00F121CE"/>
    <w:rsid w:val="00F1222E"/>
    <w:rsid w:val="00F122AD"/>
    <w:rsid w:val="00F122EE"/>
    <w:rsid w:val="00F12340"/>
    <w:rsid w:val="00F1240B"/>
    <w:rsid w:val="00F12480"/>
    <w:rsid w:val="00F125E2"/>
    <w:rsid w:val="00F12620"/>
    <w:rsid w:val="00F1271B"/>
    <w:rsid w:val="00F127B0"/>
    <w:rsid w:val="00F1291F"/>
    <w:rsid w:val="00F1296C"/>
    <w:rsid w:val="00F1297D"/>
    <w:rsid w:val="00F12A68"/>
    <w:rsid w:val="00F12BC4"/>
    <w:rsid w:val="00F12BEE"/>
    <w:rsid w:val="00F12DFF"/>
    <w:rsid w:val="00F12E05"/>
    <w:rsid w:val="00F12E22"/>
    <w:rsid w:val="00F12E23"/>
    <w:rsid w:val="00F12E55"/>
    <w:rsid w:val="00F12F6F"/>
    <w:rsid w:val="00F1304B"/>
    <w:rsid w:val="00F130D3"/>
    <w:rsid w:val="00F130DC"/>
    <w:rsid w:val="00F13141"/>
    <w:rsid w:val="00F131BA"/>
    <w:rsid w:val="00F132E6"/>
    <w:rsid w:val="00F132F3"/>
    <w:rsid w:val="00F133D2"/>
    <w:rsid w:val="00F1343D"/>
    <w:rsid w:val="00F134A0"/>
    <w:rsid w:val="00F134BD"/>
    <w:rsid w:val="00F13505"/>
    <w:rsid w:val="00F13679"/>
    <w:rsid w:val="00F13709"/>
    <w:rsid w:val="00F13717"/>
    <w:rsid w:val="00F1375C"/>
    <w:rsid w:val="00F1378C"/>
    <w:rsid w:val="00F137E6"/>
    <w:rsid w:val="00F13839"/>
    <w:rsid w:val="00F13944"/>
    <w:rsid w:val="00F13B28"/>
    <w:rsid w:val="00F13B33"/>
    <w:rsid w:val="00F13B92"/>
    <w:rsid w:val="00F13BBE"/>
    <w:rsid w:val="00F13C17"/>
    <w:rsid w:val="00F13CE5"/>
    <w:rsid w:val="00F13DB5"/>
    <w:rsid w:val="00F13DD3"/>
    <w:rsid w:val="00F13E62"/>
    <w:rsid w:val="00F13E9B"/>
    <w:rsid w:val="00F13EF5"/>
    <w:rsid w:val="00F13EF8"/>
    <w:rsid w:val="00F13F1A"/>
    <w:rsid w:val="00F14059"/>
    <w:rsid w:val="00F1405B"/>
    <w:rsid w:val="00F140DF"/>
    <w:rsid w:val="00F141CF"/>
    <w:rsid w:val="00F1420F"/>
    <w:rsid w:val="00F14309"/>
    <w:rsid w:val="00F1435B"/>
    <w:rsid w:val="00F14518"/>
    <w:rsid w:val="00F145BA"/>
    <w:rsid w:val="00F14688"/>
    <w:rsid w:val="00F1473F"/>
    <w:rsid w:val="00F14781"/>
    <w:rsid w:val="00F1478A"/>
    <w:rsid w:val="00F147B2"/>
    <w:rsid w:val="00F147FA"/>
    <w:rsid w:val="00F14820"/>
    <w:rsid w:val="00F14891"/>
    <w:rsid w:val="00F14900"/>
    <w:rsid w:val="00F14904"/>
    <w:rsid w:val="00F1490A"/>
    <w:rsid w:val="00F1493F"/>
    <w:rsid w:val="00F149EA"/>
    <w:rsid w:val="00F14A42"/>
    <w:rsid w:val="00F14DDA"/>
    <w:rsid w:val="00F14E6D"/>
    <w:rsid w:val="00F14EAD"/>
    <w:rsid w:val="00F15079"/>
    <w:rsid w:val="00F1507A"/>
    <w:rsid w:val="00F15193"/>
    <w:rsid w:val="00F151C6"/>
    <w:rsid w:val="00F151DF"/>
    <w:rsid w:val="00F153D1"/>
    <w:rsid w:val="00F153E8"/>
    <w:rsid w:val="00F153EF"/>
    <w:rsid w:val="00F15618"/>
    <w:rsid w:val="00F156C2"/>
    <w:rsid w:val="00F1593F"/>
    <w:rsid w:val="00F159E5"/>
    <w:rsid w:val="00F15B1E"/>
    <w:rsid w:val="00F15B83"/>
    <w:rsid w:val="00F15BFA"/>
    <w:rsid w:val="00F15CA2"/>
    <w:rsid w:val="00F15D81"/>
    <w:rsid w:val="00F15E2C"/>
    <w:rsid w:val="00F15E2F"/>
    <w:rsid w:val="00F15ED3"/>
    <w:rsid w:val="00F15FBB"/>
    <w:rsid w:val="00F16119"/>
    <w:rsid w:val="00F162B5"/>
    <w:rsid w:val="00F16356"/>
    <w:rsid w:val="00F16362"/>
    <w:rsid w:val="00F16369"/>
    <w:rsid w:val="00F163EA"/>
    <w:rsid w:val="00F1646C"/>
    <w:rsid w:val="00F16594"/>
    <w:rsid w:val="00F165A2"/>
    <w:rsid w:val="00F165FC"/>
    <w:rsid w:val="00F166A6"/>
    <w:rsid w:val="00F16752"/>
    <w:rsid w:val="00F16780"/>
    <w:rsid w:val="00F1689C"/>
    <w:rsid w:val="00F16A86"/>
    <w:rsid w:val="00F16BEE"/>
    <w:rsid w:val="00F16C0D"/>
    <w:rsid w:val="00F16C2E"/>
    <w:rsid w:val="00F16CC9"/>
    <w:rsid w:val="00F16E08"/>
    <w:rsid w:val="00F16F7B"/>
    <w:rsid w:val="00F16FB6"/>
    <w:rsid w:val="00F16FDA"/>
    <w:rsid w:val="00F171D7"/>
    <w:rsid w:val="00F17497"/>
    <w:rsid w:val="00F176DF"/>
    <w:rsid w:val="00F17753"/>
    <w:rsid w:val="00F177D9"/>
    <w:rsid w:val="00F17956"/>
    <w:rsid w:val="00F179AA"/>
    <w:rsid w:val="00F179E6"/>
    <w:rsid w:val="00F17A8F"/>
    <w:rsid w:val="00F17B40"/>
    <w:rsid w:val="00F17B60"/>
    <w:rsid w:val="00F17C5B"/>
    <w:rsid w:val="00F17DCE"/>
    <w:rsid w:val="00F17E69"/>
    <w:rsid w:val="00F17E9C"/>
    <w:rsid w:val="00F17F0E"/>
    <w:rsid w:val="00F2009D"/>
    <w:rsid w:val="00F200F6"/>
    <w:rsid w:val="00F201C0"/>
    <w:rsid w:val="00F201FC"/>
    <w:rsid w:val="00F20227"/>
    <w:rsid w:val="00F20255"/>
    <w:rsid w:val="00F20264"/>
    <w:rsid w:val="00F202A0"/>
    <w:rsid w:val="00F20334"/>
    <w:rsid w:val="00F2040A"/>
    <w:rsid w:val="00F20679"/>
    <w:rsid w:val="00F20699"/>
    <w:rsid w:val="00F206BE"/>
    <w:rsid w:val="00F207F5"/>
    <w:rsid w:val="00F20869"/>
    <w:rsid w:val="00F20B9F"/>
    <w:rsid w:val="00F20C85"/>
    <w:rsid w:val="00F20CF3"/>
    <w:rsid w:val="00F20D42"/>
    <w:rsid w:val="00F20E12"/>
    <w:rsid w:val="00F20EA1"/>
    <w:rsid w:val="00F20F31"/>
    <w:rsid w:val="00F2128F"/>
    <w:rsid w:val="00F2136E"/>
    <w:rsid w:val="00F213B3"/>
    <w:rsid w:val="00F213FF"/>
    <w:rsid w:val="00F2158F"/>
    <w:rsid w:val="00F21857"/>
    <w:rsid w:val="00F21935"/>
    <w:rsid w:val="00F21947"/>
    <w:rsid w:val="00F2196F"/>
    <w:rsid w:val="00F219D1"/>
    <w:rsid w:val="00F21AC5"/>
    <w:rsid w:val="00F21BE1"/>
    <w:rsid w:val="00F21C5A"/>
    <w:rsid w:val="00F21C8E"/>
    <w:rsid w:val="00F21DCD"/>
    <w:rsid w:val="00F21DF3"/>
    <w:rsid w:val="00F21E35"/>
    <w:rsid w:val="00F21EB3"/>
    <w:rsid w:val="00F21EC8"/>
    <w:rsid w:val="00F21F24"/>
    <w:rsid w:val="00F21FD2"/>
    <w:rsid w:val="00F220D0"/>
    <w:rsid w:val="00F22156"/>
    <w:rsid w:val="00F22211"/>
    <w:rsid w:val="00F2227E"/>
    <w:rsid w:val="00F222CD"/>
    <w:rsid w:val="00F222D4"/>
    <w:rsid w:val="00F223E3"/>
    <w:rsid w:val="00F2243A"/>
    <w:rsid w:val="00F2245D"/>
    <w:rsid w:val="00F224BC"/>
    <w:rsid w:val="00F2250D"/>
    <w:rsid w:val="00F22560"/>
    <w:rsid w:val="00F226BD"/>
    <w:rsid w:val="00F22739"/>
    <w:rsid w:val="00F227BE"/>
    <w:rsid w:val="00F228B3"/>
    <w:rsid w:val="00F228DF"/>
    <w:rsid w:val="00F229EA"/>
    <w:rsid w:val="00F229FE"/>
    <w:rsid w:val="00F22A81"/>
    <w:rsid w:val="00F22A9C"/>
    <w:rsid w:val="00F22AE3"/>
    <w:rsid w:val="00F22B2B"/>
    <w:rsid w:val="00F22B58"/>
    <w:rsid w:val="00F22C59"/>
    <w:rsid w:val="00F22C5C"/>
    <w:rsid w:val="00F22CB0"/>
    <w:rsid w:val="00F22D5F"/>
    <w:rsid w:val="00F22E2A"/>
    <w:rsid w:val="00F22FE5"/>
    <w:rsid w:val="00F230D1"/>
    <w:rsid w:val="00F2331B"/>
    <w:rsid w:val="00F2351D"/>
    <w:rsid w:val="00F23523"/>
    <w:rsid w:val="00F23576"/>
    <w:rsid w:val="00F23730"/>
    <w:rsid w:val="00F23851"/>
    <w:rsid w:val="00F23861"/>
    <w:rsid w:val="00F2391A"/>
    <w:rsid w:val="00F23ABD"/>
    <w:rsid w:val="00F23D8D"/>
    <w:rsid w:val="00F23FD1"/>
    <w:rsid w:val="00F24038"/>
    <w:rsid w:val="00F240DB"/>
    <w:rsid w:val="00F24232"/>
    <w:rsid w:val="00F24255"/>
    <w:rsid w:val="00F2439C"/>
    <w:rsid w:val="00F24411"/>
    <w:rsid w:val="00F244F3"/>
    <w:rsid w:val="00F24553"/>
    <w:rsid w:val="00F24611"/>
    <w:rsid w:val="00F2463C"/>
    <w:rsid w:val="00F24799"/>
    <w:rsid w:val="00F247AF"/>
    <w:rsid w:val="00F247D7"/>
    <w:rsid w:val="00F2480D"/>
    <w:rsid w:val="00F24828"/>
    <w:rsid w:val="00F24865"/>
    <w:rsid w:val="00F24866"/>
    <w:rsid w:val="00F248BC"/>
    <w:rsid w:val="00F24A61"/>
    <w:rsid w:val="00F24A87"/>
    <w:rsid w:val="00F24A97"/>
    <w:rsid w:val="00F24AE9"/>
    <w:rsid w:val="00F24E1F"/>
    <w:rsid w:val="00F24E5F"/>
    <w:rsid w:val="00F24F66"/>
    <w:rsid w:val="00F24FAD"/>
    <w:rsid w:val="00F252EE"/>
    <w:rsid w:val="00F253E2"/>
    <w:rsid w:val="00F2542E"/>
    <w:rsid w:val="00F25559"/>
    <w:rsid w:val="00F25589"/>
    <w:rsid w:val="00F255AE"/>
    <w:rsid w:val="00F25612"/>
    <w:rsid w:val="00F25673"/>
    <w:rsid w:val="00F256B1"/>
    <w:rsid w:val="00F256BA"/>
    <w:rsid w:val="00F25709"/>
    <w:rsid w:val="00F25854"/>
    <w:rsid w:val="00F258CA"/>
    <w:rsid w:val="00F25943"/>
    <w:rsid w:val="00F25A38"/>
    <w:rsid w:val="00F25A52"/>
    <w:rsid w:val="00F25AB7"/>
    <w:rsid w:val="00F25B04"/>
    <w:rsid w:val="00F25B6E"/>
    <w:rsid w:val="00F25D65"/>
    <w:rsid w:val="00F25DD0"/>
    <w:rsid w:val="00F25E77"/>
    <w:rsid w:val="00F26004"/>
    <w:rsid w:val="00F26097"/>
    <w:rsid w:val="00F260EA"/>
    <w:rsid w:val="00F260EE"/>
    <w:rsid w:val="00F26100"/>
    <w:rsid w:val="00F26136"/>
    <w:rsid w:val="00F26145"/>
    <w:rsid w:val="00F2618A"/>
    <w:rsid w:val="00F261F1"/>
    <w:rsid w:val="00F26292"/>
    <w:rsid w:val="00F263A1"/>
    <w:rsid w:val="00F26554"/>
    <w:rsid w:val="00F2659C"/>
    <w:rsid w:val="00F265F3"/>
    <w:rsid w:val="00F26780"/>
    <w:rsid w:val="00F267F5"/>
    <w:rsid w:val="00F2685D"/>
    <w:rsid w:val="00F268BB"/>
    <w:rsid w:val="00F268C8"/>
    <w:rsid w:val="00F26A0A"/>
    <w:rsid w:val="00F26A76"/>
    <w:rsid w:val="00F26B26"/>
    <w:rsid w:val="00F26C12"/>
    <w:rsid w:val="00F26D48"/>
    <w:rsid w:val="00F26DFD"/>
    <w:rsid w:val="00F26E13"/>
    <w:rsid w:val="00F26ED8"/>
    <w:rsid w:val="00F26F1A"/>
    <w:rsid w:val="00F26F3F"/>
    <w:rsid w:val="00F27010"/>
    <w:rsid w:val="00F271D2"/>
    <w:rsid w:val="00F271E0"/>
    <w:rsid w:val="00F2741C"/>
    <w:rsid w:val="00F27454"/>
    <w:rsid w:val="00F274C0"/>
    <w:rsid w:val="00F276BC"/>
    <w:rsid w:val="00F276C3"/>
    <w:rsid w:val="00F27773"/>
    <w:rsid w:val="00F277E1"/>
    <w:rsid w:val="00F279DD"/>
    <w:rsid w:val="00F27B07"/>
    <w:rsid w:val="00F27B29"/>
    <w:rsid w:val="00F27BD4"/>
    <w:rsid w:val="00F27C8E"/>
    <w:rsid w:val="00F27D39"/>
    <w:rsid w:val="00F27DB0"/>
    <w:rsid w:val="00F27DE3"/>
    <w:rsid w:val="00F27E0B"/>
    <w:rsid w:val="00F27E55"/>
    <w:rsid w:val="00F27ECB"/>
    <w:rsid w:val="00F27F91"/>
    <w:rsid w:val="00F3009E"/>
    <w:rsid w:val="00F30115"/>
    <w:rsid w:val="00F301DF"/>
    <w:rsid w:val="00F3038A"/>
    <w:rsid w:val="00F304D6"/>
    <w:rsid w:val="00F304DF"/>
    <w:rsid w:val="00F30501"/>
    <w:rsid w:val="00F30567"/>
    <w:rsid w:val="00F3058F"/>
    <w:rsid w:val="00F30690"/>
    <w:rsid w:val="00F306EF"/>
    <w:rsid w:val="00F307F0"/>
    <w:rsid w:val="00F30905"/>
    <w:rsid w:val="00F30998"/>
    <w:rsid w:val="00F309A7"/>
    <w:rsid w:val="00F30A92"/>
    <w:rsid w:val="00F30B2C"/>
    <w:rsid w:val="00F30C02"/>
    <w:rsid w:val="00F30D14"/>
    <w:rsid w:val="00F30D3B"/>
    <w:rsid w:val="00F30E9B"/>
    <w:rsid w:val="00F30F0A"/>
    <w:rsid w:val="00F30FF4"/>
    <w:rsid w:val="00F31247"/>
    <w:rsid w:val="00F3129B"/>
    <w:rsid w:val="00F31451"/>
    <w:rsid w:val="00F314A2"/>
    <w:rsid w:val="00F31514"/>
    <w:rsid w:val="00F3152E"/>
    <w:rsid w:val="00F3159B"/>
    <w:rsid w:val="00F315D9"/>
    <w:rsid w:val="00F31736"/>
    <w:rsid w:val="00F317CE"/>
    <w:rsid w:val="00F31816"/>
    <w:rsid w:val="00F3190F"/>
    <w:rsid w:val="00F31934"/>
    <w:rsid w:val="00F3193B"/>
    <w:rsid w:val="00F31A0D"/>
    <w:rsid w:val="00F31A2D"/>
    <w:rsid w:val="00F31A3E"/>
    <w:rsid w:val="00F31B85"/>
    <w:rsid w:val="00F31CBD"/>
    <w:rsid w:val="00F31D1B"/>
    <w:rsid w:val="00F31ECF"/>
    <w:rsid w:val="00F31F0C"/>
    <w:rsid w:val="00F31F2F"/>
    <w:rsid w:val="00F31F30"/>
    <w:rsid w:val="00F32090"/>
    <w:rsid w:val="00F320C7"/>
    <w:rsid w:val="00F321CD"/>
    <w:rsid w:val="00F321F1"/>
    <w:rsid w:val="00F3220A"/>
    <w:rsid w:val="00F32252"/>
    <w:rsid w:val="00F3225B"/>
    <w:rsid w:val="00F32357"/>
    <w:rsid w:val="00F32370"/>
    <w:rsid w:val="00F323B7"/>
    <w:rsid w:val="00F32470"/>
    <w:rsid w:val="00F32482"/>
    <w:rsid w:val="00F32615"/>
    <w:rsid w:val="00F32667"/>
    <w:rsid w:val="00F32731"/>
    <w:rsid w:val="00F32843"/>
    <w:rsid w:val="00F3289A"/>
    <w:rsid w:val="00F32905"/>
    <w:rsid w:val="00F3299A"/>
    <w:rsid w:val="00F329B6"/>
    <w:rsid w:val="00F32A99"/>
    <w:rsid w:val="00F32AB5"/>
    <w:rsid w:val="00F32ACE"/>
    <w:rsid w:val="00F32B77"/>
    <w:rsid w:val="00F32C75"/>
    <w:rsid w:val="00F32DD2"/>
    <w:rsid w:val="00F32DE0"/>
    <w:rsid w:val="00F32E27"/>
    <w:rsid w:val="00F32E97"/>
    <w:rsid w:val="00F32F06"/>
    <w:rsid w:val="00F32F14"/>
    <w:rsid w:val="00F3328E"/>
    <w:rsid w:val="00F3332F"/>
    <w:rsid w:val="00F33361"/>
    <w:rsid w:val="00F33443"/>
    <w:rsid w:val="00F33452"/>
    <w:rsid w:val="00F33529"/>
    <w:rsid w:val="00F3359B"/>
    <w:rsid w:val="00F335E1"/>
    <w:rsid w:val="00F3365B"/>
    <w:rsid w:val="00F336BA"/>
    <w:rsid w:val="00F337BE"/>
    <w:rsid w:val="00F338D7"/>
    <w:rsid w:val="00F33954"/>
    <w:rsid w:val="00F33968"/>
    <w:rsid w:val="00F339FE"/>
    <w:rsid w:val="00F33AF5"/>
    <w:rsid w:val="00F33BA7"/>
    <w:rsid w:val="00F33CEB"/>
    <w:rsid w:val="00F33D98"/>
    <w:rsid w:val="00F33E60"/>
    <w:rsid w:val="00F33F8E"/>
    <w:rsid w:val="00F34176"/>
    <w:rsid w:val="00F34272"/>
    <w:rsid w:val="00F344B8"/>
    <w:rsid w:val="00F344BF"/>
    <w:rsid w:val="00F3456C"/>
    <w:rsid w:val="00F345D8"/>
    <w:rsid w:val="00F3462C"/>
    <w:rsid w:val="00F34635"/>
    <w:rsid w:val="00F3466D"/>
    <w:rsid w:val="00F349DE"/>
    <w:rsid w:val="00F34B69"/>
    <w:rsid w:val="00F34C6F"/>
    <w:rsid w:val="00F34E96"/>
    <w:rsid w:val="00F34F4F"/>
    <w:rsid w:val="00F34F50"/>
    <w:rsid w:val="00F35127"/>
    <w:rsid w:val="00F35247"/>
    <w:rsid w:val="00F35276"/>
    <w:rsid w:val="00F3536D"/>
    <w:rsid w:val="00F35483"/>
    <w:rsid w:val="00F354FA"/>
    <w:rsid w:val="00F3552A"/>
    <w:rsid w:val="00F355BB"/>
    <w:rsid w:val="00F35773"/>
    <w:rsid w:val="00F3588A"/>
    <w:rsid w:val="00F35C47"/>
    <w:rsid w:val="00F35CEC"/>
    <w:rsid w:val="00F35D3F"/>
    <w:rsid w:val="00F35E88"/>
    <w:rsid w:val="00F35EEA"/>
    <w:rsid w:val="00F35F2F"/>
    <w:rsid w:val="00F36074"/>
    <w:rsid w:val="00F36217"/>
    <w:rsid w:val="00F36285"/>
    <w:rsid w:val="00F36396"/>
    <w:rsid w:val="00F365CC"/>
    <w:rsid w:val="00F36756"/>
    <w:rsid w:val="00F367F7"/>
    <w:rsid w:val="00F36815"/>
    <w:rsid w:val="00F36A32"/>
    <w:rsid w:val="00F36A45"/>
    <w:rsid w:val="00F36BC4"/>
    <w:rsid w:val="00F36C3C"/>
    <w:rsid w:val="00F36C88"/>
    <w:rsid w:val="00F36F80"/>
    <w:rsid w:val="00F36F88"/>
    <w:rsid w:val="00F36FB2"/>
    <w:rsid w:val="00F370A9"/>
    <w:rsid w:val="00F3711D"/>
    <w:rsid w:val="00F3712D"/>
    <w:rsid w:val="00F37180"/>
    <w:rsid w:val="00F3735E"/>
    <w:rsid w:val="00F3736F"/>
    <w:rsid w:val="00F3741F"/>
    <w:rsid w:val="00F374CF"/>
    <w:rsid w:val="00F3761E"/>
    <w:rsid w:val="00F3762B"/>
    <w:rsid w:val="00F37AF6"/>
    <w:rsid w:val="00F37EBC"/>
    <w:rsid w:val="00F37EC1"/>
    <w:rsid w:val="00F37F13"/>
    <w:rsid w:val="00F37F23"/>
    <w:rsid w:val="00F37F48"/>
    <w:rsid w:val="00F37FAB"/>
    <w:rsid w:val="00F37FAC"/>
    <w:rsid w:val="00F37FD3"/>
    <w:rsid w:val="00F37FF9"/>
    <w:rsid w:val="00F400D6"/>
    <w:rsid w:val="00F4013A"/>
    <w:rsid w:val="00F4022C"/>
    <w:rsid w:val="00F40382"/>
    <w:rsid w:val="00F403A3"/>
    <w:rsid w:val="00F403BE"/>
    <w:rsid w:val="00F40485"/>
    <w:rsid w:val="00F40575"/>
    <w:rsid w:val="00F40875"/>
    <w:rsid w:val="00F4088C"/>
    <w:rsid w:val="00F40AF2"/>
    <w:rsid w:val="00F40B8A"/>
    <w:rsid w:val="00F40C69"/>
    <w:rsid w:val="00F40C70"/>
    <w:rsid w:val="00F40C7C"/>
    <w:rsid w:val="00F40C8A"/>
    <w:rsid w:val="00F40D66"/>
    <w:rsid w:val="00F41128"/>
    <w:rsid w:val="00F4125E"/>
    <w:rsid w:val="00F413E7"/>
    <w:rsid w:val="00F4144F"/>
    <w:rsid w:val="00F41518"/>
    <w:rsid w:val="00F416BB"/>
    <w:rsid w:val="00F41785"/>
    <w:rsid w:val="00F417D5"/>
    <w:rsid w:val="00F41882"/>
    <w:rsid w:val="00F4196B"/>
    <w:rsid w:val="00F41984"/>
    <w:rsid w:val="00F41B33"/>
    <w:rsid w:val="00F41B98"/>
    <w:rsid w:val="00F41BB3"/>
    <w:rsid w:val="00F41C28"/>
    <w:rsid w:val="00F41E05"/>
    <w:rsid w:val="00F41E4E"/>
    <w:rsid w:val="00F41E57"/>
    <w:rsid w:val="00F41FB7"/>
    <w:rsid w:val="00F42061"/>
    <w:rsid w:val="00F42149"/>
    <w:rsid w:val="00F422E9"/>
    <w:rsid w:val="00F4230B"/>
    <w:rsid w:val="00F4239B"/>
    <w:rsid w:val="00F424C0"/>
    <w:rsid w:val="00F42535"/>
    <w:rsid w:val="00F42870"/>
    <w:rsid w:val="00F4287D"/>
    <w:rsid w:val="00F428CD"/>
    <w:rsid w:val="00F42B1F"/>
    <w:rsid w:val="00F42B29"/>
    <w:rsid w:val="00F42B35"/>
    <w:rsid w:val="00F42C0D"/>
    <w:rsid w:val="00F42CC7"/>
    <w:rsid w:val="00F42D67"/>
    <w:rsid w:val="00F42DC1"/>
    <w:rsid w:val="00F42E87"/>
    <w:rsid w:val="00F42E98"/>
    <w:rsid w:val="00F4317A"/>
    <w:rsid w:val="00F431DA"/>
    <w:rsid w:val="00F4320C"/>
    <w:rsid w:val="00F432A5"/>
    <w:rsid w:val="00F432C7"/>
    <w:rsid w:val="00F43318"/>
    <w:rsid w:val="00F4331F"/>
    <w:rsid w:val="00F4333D"/>
    <w:rsid w:val="00F43599"/>
    <w:rsid w:val="00F435D5"/>
    <w:rsid w:val="00F4361D"/>
    <w:rsid w:val="00F4364A"/>
    <w:rsid w:val="00F436F4"/>
    <w:rsid w:val="00F437EF"/>
    <w:rsid w:val="00F43809"/>
    <w:rsid w:val="00F4393A"/>
    <w:rsid w:val="00F439D9"/>
    <w:rsid w:val="00F439DF"/>
    <w:rsid w:val="00F43A25"/>
    <w:rsid w:val="00F43B18"/>
    <w:rsid w:val="00F43BDB"/>
    <w:rsid w:val="00F43EB8"/>
    <w:rsid w:val="00F43F5C"/>
    <w:rsid w:val="00F43FB4"/>
    <w:rsid w:val="00F441B5"/>
    <w:rsid w:val="00F442F9"/>
    <w:rsid w:val="00F4445B"/>
    <w:rsid w:val="00F4457B"/>
    <w:rsid w:val="00F445C6"/>
    <w:rsid w:val="00F44921"/>
    <w:rsid w:val="00F4492F"/>
    <w:rsid w:val="00F4494B"/>
    <w:rsid w:val="00F449DD"/>
    <w:rsid w:val="00F449F4"/>
    <w:rsid w:val="00F44A46"/>
    <w:rsid w:val="00F44A73"/>
    <w:rsid w:val="00F44B21"/>
    <w:rsid w:val="00F44CD1"/>
    <w:rsid w:val="00F44D1E"/>
    <w:rsid w:val="00F44EB8"/>
    <w:rsid w:val="00F45033"/>
    <w:rsid w:val="00F4504C"/>
    <w:rsid w:val="00F4509E"/>
    <w:rsid w:val="00F4510E"/>
    <w:rsid w:val="00F45228"/>
    <w:rsid w:val="00F45363"/>
    <w:rsid w:val="00F453C4"/>
    <w:rsid w:val="00F4544C"/>
    <w:rsid w:val="00F45471"/>
    <w:rsid w:val="00F45564"/>
    <w:rsid w:val="00F45569"/>
    <w:rsid w:val="00F45627"/>
    <w:rsid w:val="00F456CD"/>
    <w:rsid w:val="00F45739"/>
    <w:rsid w:val="00F45818"/>
    <w:rsid w:val="00F45828"/>
    <w:rsid w:val="00F45879"/>
    <w:rsid w:val="00F458B1"/>
    <w:rsid w:val="00F458E7"/>
    <w:rsid w:val="00F45928"/>
    <w:rsid w:val="00F45AB6"/>
    <w:rsid w:val="00F45B5D"/>
    <w:rsid w:val="00F45CB5"/>
    <w:rsid w:val="00F45CF8"/>
    <w:rsid w:val="00F46062"/>
    <w:rsid w:val="00F462ED"/>
    <w:rsid w:val="00F4637D"/>
    <w:rsid w:val="00F4639C"/>
    <w:rsid w:val="00F464F2"/>
    <w:rsid w:val="00F4660E"/>
    <w:rsid w:val="00F466BC"/>
    <w:rsid w:val="00F46765"/>
    <w:rsid w:val="00F46782"/>
    <w:rsid w:val="00F467D2"/>
    <w:rsid w:val="00F469D1"/>
    <w:rsid w:val="00F46B09"/>
    <w:rsid w:val="00F46C70"/>
    <w:rsid w:val="00F46CAE"/>
    <w:rsid w:val="00F46D3C"/>
    <w:rsid w:val="00F46D6C"/>
    <w:rsid w:val="00F46E69"/>
    <w:rsid w:val="00F471A0"/>
    <w:rsid w:val="00F4733E"/>
    <w:rsid w:val="00F47355"/>
    <w:rsid w:val="00F4738A"/>
    <w:rsid w:val="00F473C2"/>
    <w:rsid w:val="00F473CF"/>
    <w:rsid w:val="00F47477"/>
    <w:rsid w:val="00F474FE"/>
    <w:rsid w:val="00F47519"/>
    <w:rsid w:val="00F47521"/>
    <w:rsid w:val="00F47543"/>
    <w:rsid w:val="00F4756E"/>
    <w:rsid w:val="00F475EA"/>
    <w:rsid w:val="00F47624"/>
    <w:rsid w:val="00F47871"/>
    <w:rsid w:val="00F47883"/>
    <w:rsid w:val="00F47885"/>
    <w:rsid w:val="00F478DE"/>
    <w:rsid w:val="00F47995"/>
    <w:rsid w:val="00F479A7"/>
    <w:rsid w:val="00F479DC"/>
    <w:rsid w:val="00F47A10"/>
    <w:rsid w:val="00F47AED"/>
    <w:rsid w:val="00F47BD9"/>
    <w:rsid w:val="00F47C49"/>
    <w:rsid w:val="00F47CE7"/>
    <w:rsid w:val="00F47DF0"/>
    <w:rsid w:val="00F47E63"/>
    <w:rsid w:val="00F47E6D"/>
    <w:rsid w:val="00F47F7D"/>
    <w:rsid w:val="00F50084"/>
    <w:rsid w:val="00F500C7"/>
    <w:rsid w:val="00F50175"/>
    <w:rsid w:val="00F501B5"/>
    <w:rsid w:val="00F502A0"/>
    <w:rsid w:val="00F504DA"/>
    <w:rsid w:val="00F505AB"/>
    <w:rsid w:val="00F505F9"/>
    <w:rsid w:val="00F5060F"/>
    <w:rsid w:val="00F5061F"/>
    <w:rsid w:val="00F50660"/>
    <w:rsid w:val="00F506B1"/>
    <w:rsid w:val="00F506B6"/>
    <w:rsid w:val="00F507A7"/>
    <w:rsid w:val="00F5088D"/>
    <w:rsid w:val="00F50946"/>
    <w:rsid w:val="00F50A5C"/>
    <w:rsid w:val="00F50A72"/>
    <w:rsid w:val="00F50B1D"/>
    <w:rsid w:val="00F50C74"/>
    <w:rsid w:val="00F50CFB"/>
    <w:rsid w:val="00F50D13"/>
    <w:rsid w:val="00F50DF8"/>
    <w:rsid w:val="00F50E0E"/>
    <w:rsid w:val="00F50E3A"/>
    <w:rsid w:val="00F50E9A"/>
    <w:rsid w:val="00F50F3F"/>
    <w:rsid w:val="00F50F5F"/>
    <w:rsid w:val="00F51156"/>
    <w:rsid w:val="00F51197"/>
    <w:rsid w:val="00F51230"/>
    <w:rsid w:val="00F51317"/>
    <w:rsid w:val="00F515BD"/>
    <w:rsid w:val="00F51652"/>
    <w:rsid w:val="00F518D0"/>
    <w:rsid w:val="00F51B46"/>
    <w:rsid w:val="00F51B91"/>
    <w:rsid w:val="00F51BB4"/>
    <w:rsid w:val="00F51C27"/>
    <w:rsid w:val="00F51CEB"/>
    <w:rsid w:val="00F51DA2"/>
    <w:rsid w:val="00F51DF4"/>
    <w:rsid w:val="00F51E9B"/>
    <w:rsid w:val="00F51F76"/>
    <w:rsid w:val="00F51F8B"/>
    <w:rsid w:val="00F520ED"/>
    <w:rsid w:val="00F52168"/>
    <w:rsid w:val="00F52185"/>
    <w:rsid w:val="00F5223E"/>
    <w:rsid w:val="00F52261"/>
    <w:rsid w:val="00F523B9"/>
    <w:rsid w:val="00F52420"/>
    <w:rsid w:val="00F5258D"/>
    <w:rsid w:val="00F5266E"/>
    <w:rsid w:val="00F526CC"/>
    <w:rsid w:val="00F526E5"/>
    <w:rsid w:val="00F527C8"/>
    <w:rsid w:val="00F5289F"/>
    <w:rsid w:val="00F52931"/>
    <w:rsid w:val="00F52A49"/>
    <w:rsid w:val="00F52B3D"/>
    <w:rsid w:val="00F52B54"/>
    <w:rsid w:val="00F52C11"/>
    <w:rsid w:val="00F52CCC"/>
    <w:rsid w:val="00F52D15"/>
    <w:rsid w:val="00F52D2E"/>
    <w:rsid w:val="00F52DA7"/>
    <w:rsid w:val="00F52E95"/>
    <w:rsid w:val="00F52E9B"/>
    <w:rsid w:val="00F52FA0"/>
    <w:rsid w:val="00F5317E"/>
    <w:rsid w:val="00F5320E"/>
    <w:rsid w:val="00F5323E"/>
    <w:rsid w:val="00F5326D"/>
    <w:rsid w:val="00F5327E"/>
    <w:rsid w:val="00F5337B"/>
    <w:rsid w:val="00F533FB"/>
    <w:rsid w:val="00F536FC"/>
    <w:rsid w:val="00F5377B"/>
    <w:rsid w:val="00F5393F"/>
    <w:rsid w:val="00F5396F"/>
    <w:rsid w:val="00F53B73"/>
    <w:rsid w:val="00F53BB9"/>
    <w:rsid w:val="00F53BF0"/>
    <w:rsid w:val="00F53CA2"/>
    <w:rsid w:val="00F53CF3"/>
    <w:rsid w:val="00F53D35"/>
    <w:rsid w:val="00F53ECF"/>
    <w:rsid w:val="00F54007"/>
    <w:rsid w:val="00F5401F"/>
    <w:rsid w:val="00F54324"/>
    <w:rsid w:val="00F5432A"/>
    <w:rsid w:val="00F543CD"/>
    <w:rsid w:val="00F54629"/>
    <w:rsid w:val="00F5468A"/>
    <w:rsid w:val="00F546FA"/>
    <w:rsid w:val="00F54845"/>
    <w:rsid w:val="00F54936"/>
    <w:rsid w:val="00F549C1"/>
    <w:rsid w:val="00F54A04"/>
    <w:rsid w:val="00F54A1F"/>
    <w:rsid w:val="00F54B48"/>
    <w:rsid w:val="00F54CD4"/>
    <w:rsid w:val="00F54DFC"/>
    <w:rsid w:val="00F54ED0"/>
    <w:rsid w:val="00F54F98"/>
    <w:rsid w:val="00F55046"/>
    <w:rsid w:val="00F5515F"/>
    <w:rsid w:val="00F55160"/>
    <w:rsid w:val="00F551ED"/>
    <w:rsid w:val="00F55320"/>
    <w:rsid w:val="00F5533C"/>
    <w:rsid w:val="00F5540F"/>
    <w:rsid w:val="00F55517"/>
    <w:rsid w:val="00F55661"/>
    <w:rsid w:val="00F5574F"/>
    <w:rsid w:val="00F557EE"/>
    <w:rsid w:val="00F558BF"/>
    <w:rsid w:val="00F55A66"/>
    <w:rsid w:val="00F55A6B"/>
    <w:rsid w:val="00F55AAF"/>
    <w:rsid w:val="00F55B43"/>
    <w:rsid w:val="00F55BED"/>
    <w:rsid w:val="00F55C64"/>
    <w:rsid w:val="00F56003"/>
    <w:rsid w:val="00F56042"/>
    <w:rsid w:val="00F56255"/>
    <w:rsid w:val="00F562E0"/>
    <w:rsid w:val="00F56323"/>
    <w:rsid w:val="00F56376"/>
    <w:rsid w:val="00F56569"/>
    <w:rsid w:val="00F5669E"/>
    <w:rsid w:val="00F566AA"/>
    <w:rsid w:val="00F56729"/>
    <w:rsid w:val="00F56B0C"/>
    <w:rsid w:val="00F56B44"/>
    <w:rsid w:val="00F56BA6"/>
    <w:rsid w:val="00F56C16"/>
    <w:rsid w:val="00F56D05"/>
    <w:rsid w:val="00F56DE4"/>
    <w:rsid w:val="00F56DF6"/>
    <w:rsid w:val="00F56DF7"/>
    <w:rsid w:val="00F56E7E"/>
    <w:rsid w:val="00F56FB6"/>
    <w:rsid w:val="00F56FF7"/>
    <w:rsid w:val="00F57095"/>
    <w:rsid w:val="00F570DA"/>
    <w:rsid w:val="00F570DE"/>
    <w:rsid w:val="00F5714F"/>
    <w:rsid w:val="00F5719D"/>
    <w:rsid w:val="00F571E6"/>
    <w:rsid w:val="00F572B6"/>
    <w:rsid w:val="00F572C0"/>
    <w:rsid w:val="00F5740D"/>
    <w:rsid w:val="00F57668"/>
    <w:rsid w:val="00F57796"/>
    <w:rsid w:val="00F57800"/>
    <w:rsid w:val="00F5782A"/>
    <w:rsid w:val="00F578EE"/>
    <w:rsid w:val="00F57914"/>
    <w:rsid w:val="00F57B6F"/>
    <w:rsid w:val="00F57B74"/>
    <w:rsid w:val="00F57BD5"/>
    <w:rsid w:val="00F57BE2"/>
    <w:rsid w:val="00F57CB3"/>
    <w:rsid w:val="00F57D11"/>
    <w:rsid w:val="00F57E9C"/>
    <w:rsid w:val="00F57F50"/>
    <w:rsid w:val="00F57F63"/>
    <w:rsid w:val="00F57FB4"/>
    <w:rsid w:val="00F6009C"/>
    <w:rsid w:val="00F60401"/>
    <w:rsid w:val="00F604FB"/>
    <w:rsid w:val="00F6052A"/>
    <w:rsid w:val="00F605F2"/>
    <w:rsid w:val="00F60622"/>
    <w:rsid w:val="00F60803"/>
    <w:rsid w:val="00F6088B"/>
    <w:rsid w:val="00F60A29"/>
    <w:rsid w:val="00F60AB8"/>
    <w:rsid w:val="00F60B0E"/>
    <w:rsid w:val="00F60B80"/>
    <w:rsid w:val="00F60D5A"/>
    <w:rsid w:val="00F60D8C"/>
    <w:rsid w:val="00F60D96"/>
    <w:rsid w:val="00F60F72"/>
    <w:rsid w:val="00F60FA7"/>
    <w:rsid w:val="00F61000"/>
    <w:rsid w:val="00F6102C"/>
    <w:rsid w:val="00F6105F"/>
    <w:rsid w:val="00F610FD"/>
    <w:rsid w:val="00F611F5"/>
    <w:rsid w:val="00F612AE"/>
    <w:rsid w:val="00F613D0"/>
    <w:rsid w:val="00F613E1"/>
    <w:rsid w:val="00F61422"/>
    <w:rsid w:val="00F614AD"/>
    <w:rsid w:val="00F6165B"/>
    <w:rsid w:val="00F617FF"/>
    <w:rsid w:val="00F61991"/>
    <w:rsid w:val="00F61A37"/>
    <w:rsid w:val="00F61A3E"/>
    <w:rsid w:val="00F61A4C"/>
    <w:rsid w:val="00F61A54"/>
    <w:rsid w:val="00F61B7F"/>
    <w:rsid w:val="00F61BC2"/>
    <w:rsid w:val="00F61BF3"/>
    <w:rsid w:val="00F61C41"/>
    <w:rsid w:val="00F61DA0"/>
    <w:rsid w:val="00F61E51"/>
    <w:rsid w:val="00F61F6E"/>
    <w:rsid w:val="00F61F70"/>
    <w:rsid w:val="00F61FD2"/>
    <w:rsid w:val="00F6203B"/>
    <w:rsid w:val="00F6205B"/>
    <w:rsid w:val="00F62068"/>
    <w:rsid w:val="00F620D4"/>
    <w:rsid w:val="00F62167"/>
    <w:rsid w:val="00F621EE"/>
    <w:rsid w:val="00F622CF"/>
    <w:rsid w:val="00F6231E"/>
    <w:rsid w:val="00F62345"/>
    <w:rsid w:val="00F62444"/>
    <w:rsid w:val="00F62456"/>
    <w:rsid w:val="00F624DD"/>
    <w:rsid w:val="00F62708"/>
    <w:rsid w:val="00F6279E"/>
    <w:rsid w:val="00F62826"/>
    <w:rsid w:val="00F62921"/>
    <w:rsid w:val="00F62A3C"/>
    <w:rsid w:val="00F62ABC"/>
    <w:rsid w:val="00F62B37"/>
    <w:rsid w:val="00F62C8D"/>
    <w:rsid w:val="00F62CA0"/>
    <w:rsid w:val="00F62CC6"/>
    <w:rsid w:val="00F62D6E"/>
    <w:rsid w:val="00F62EB2"/>
    <w:rsid w:val="00F62EF1"/>
    <w:rsid w:val="00F62EF3"/>
    <w:rsid w:val="00F630F8"/>
    <w:rsid w:val="00F6314F"/>
    <w:rsid w:val="00F63154"/>
    <w:rsid w:val="00F63237"/>
    <w:rsid w:val="00F633AD"/>
    <w:rsid w:val="00F6358E"/>
    <w:rsid w:val="00F635D9"/>
    <w:rsid w:val="00F6364D"/>
    <w:rsid w:val="00F637D3"/>
    <w:rsid w:val="00F637E7"/>
    <w:rsid w:val="00F637F7"/>
    <w:rsid w:val="00F63ACD"/>
    <w:rsid w:val="00F63C0F"/>
    <w:rsid w:val="00F63CE8"/>
    <w:rsid w:val="00F63EA5"/>
    <w:rsid w:val="00F63EDA"/>
    <w:rsid w:val="00F6409F"/>
    <w:rsid w:val="00F640EC"/>
    <w:rsid w:val="00F64147"/>
    <w:rsid w:val="00F6428A"/>
    <w:rsid w:val="00F642BB"/>
    <w:rsid w:val="00F642F5"/>
    <w:rsid w:val="00F6459D"/>
    <w:rsid w:val="00F645A1"/>
    <w:rsid w:val="00F645CA"/>
    <w:rsid w:val="00F645F0"/>
    <w:rsid w:val="00F647D1"/>
    <w:rsid w:val="00F648AC"/>
    <w:rsid w:val="00F6494C"/>
    <w:rsid w:val="00F64BE5"/>
    <w:rsid w:val="00F64D29"/>
    <w:rsid w:val="00F64D55"/>
    <w:rsid w:val="00F65017"/>
    <w:rsid w:val="00F6503D"/>
    <w:rsid w:val="00F65078"/>
    <w:rsid w:val="00F650BC"/>
    <w:rsid w:val="00F650C6"/>
    <w:rsid w:val="00F65142"/>
    <w:rsid w:val="00F652D3"/>
    <w:rsid w:val="00F65357"/>
    <w:rsid w:val="00F6544A"/>
    <w:rsid w:val="00F654F4"/>
    <w:rsid w:val="00F655BF"/>
    <w:rsid w:val="00F657EF"/>
    <w:rsid w:val="00F6581C"/>
    <w:rsid w:val="00F658F5"/>
    <w:rsid w:val="00F6591E"/>
    <w:rsid w:val="00F6596E"/>
    <w:rsid w:val="00F65993"/>
    <w:rsid w:val="00F65A99"/>
    <w:rsid w:val="00F65D01"/>
    <w:rsid w:val="00F65D41"/>
    <w:rsid w:val="00F65D70"/>
    <w:rsid w:val="00F65F11"/>
    <w:rsid w:val="00F65FE1"/>
    <w:rsid w:val="00F66144"/>
    <w:rsid w:val="00F66167"/>
    <w:rsid w:val="00F661E4"/>
    <w:rsid w:val="00F6649C"/>
    <w:rsid w:val="00F66503"/>
    <w:rsid w:val="00F66537"/>
    <w:rsid w:val="00F66741"/>
    <w:rsid w:val="00F668CC"/>
    <w:rsid w:val="00F6695F"/>
    <w:rsid w:val="00F669E4"/>
    <w:rsid w:val="00F66B16"/>
    <w:rsid w:val="00F66B3A"/>
    <w:rsid w:val="00F66CA3"/>
    <w:rsid w:val="00F66E28"/>
    <w:rsid w:val="00F66F04"/>
    <w:rsid w:val="00F66F52"/>
    <w:rsid w:val="00F66F7F"/>
    <w:rsid w:val="00F6700E"/>
    <w:rsid w:val="00F671B6"/>
    <w:rsid w:val="00F671F1"/>
    <w:rsid w:val="00F67292"/>
    <w:rsid w:val="00F6732D"/>
    <w:rsid w:val="00F67358"/>
    <w:rsid w:val="00F67477"/>
    <w:rsid w:val="00F674DE"/>
    <w:rsid w:val="00F67503"/>
    <w:rsid w:val="00F6770F"/>
    <w:rsid w:val="00F67856"/>
    <w:rsid w:val="00F67875"/>
    <w:rsid w:val="00F67879"/>
    <w:rsid w:val="00F678E0"/>
    <w:rsid w:val="00F67951"/>
    <w:rsid w:val="00F6798D"/>
    <w:rsid w:val="00F679E8"/>
    <w:rsid w:val="00F67A09"/>
    <w:rsid w:val="00F67A0F"/>
    <w:rsid w:val="00F67B1F"/>
    <w:rsid w:val="00F67C81"/>
    <w:rsid w:val="00F67E75"/>
    <w:rsid w:val="00F67EE2"/>
    <w:rsid w:val="00F67F0C"/>
    <w:rsid w:val="00F67F81"/>
    <w:rsid w:val="00F67FCE"/>
    <w:rsid w:val="00F70022"/>
    <w:rsid w:val="00F700ED"/>
    <w:rsid w:val="00F70300"/>
    <w:rsid w:val="00F7031C"/>
    <w:rsid w:val="00F70364"/>
    <w:rsid w:val="00F70447"/>
    <w:rsid w:val="00F706DB"/>
    <w:rsid w:val="00F70802"/>
    <w:rsid w:val="00F70886"/>
    <w:rsid w:val="00F708DE"/>
    <w:rsid w:val="00F708F2"/>
    <w:rsid w:val="00F70908"/>
    <w:rsid w:val="00F70ABA"/>
    <w:rsid w:val="00F70B51"/>
    <w:rsid w:val="00F70BCC"/>
    <w:rsid w:val="00F70BD4"/>
    <w:rsid w:val="00F70C28"/>
    <w:rsid w:val="00F70C75"/>
    <w:rsid w:val="00F70CCB"/>
    <w:rsid w:val="00F70CF5"/>
    <w:rsid w:val="00F70D10"/>
    <w:rsid w:val="00F70D35"/>
    <w:rsid w:val="00F70DA7"/>
    <w:rsid w:val="00F70EE8"/>
    <w:rsid w:val="00F70FF3"/>
    <w:rsid w:val="00F71084"/>
    <w:rsid w:val="00F71096"/>
    <w:rsid w:val="00F710C3"/>
    <w:rsid w:val="00F710E6"/>
    <w:rsid w:val="00F71141"/>
    <w:rsid w:val="00F71158"/>
    <w:rsid w:val="00F711CD"/>
    <w:rsid w:val="00F711E4"/>
    <w:rsid w:val="00F7136B"/>
    <w:rsid w:val="00F713B1"/>
    <w:rsid w:val="00F713BA"/>
    <w:rsid w:val="00F71516"/>
    <w:rsid w:val="00F7151C"/>
    <w:rsid w:val="00F71618"/>
    <w:rsid w:val="00F716BA"/>
    <w:rsid w:val="00F716CD"/>
    <w:rsid w:val="00F718B2"/>
    <w:rsid w:val="00F7196A"/>
    <w:rsid w:val="00F71AF3"/>
    <w:rsid w:val="00F71B63"/>
    <w:rsid w:val="00F71C0C"/>
    <w:rsid w:val="00F71C63"/>
    <w:rsid w:val="00F71CFD"/>
    <w:rsid w:val="00F71D5E"/>
    <w:rsid w:val="00F7203A"/>
    <w:rsid w:val="00F72062"/>
    <w:rsid w:val="00F72179"/>
    <w:rsid w:val="00F72221"/>
    <w:rsid w:val="00F72232"/>
    <w:rsid w:val="00F7223F"/>
    <w:rsid w:val="00F722AB"/>
    <w:rsid w:val="00F7233E"/>
    <w:rsid w:val="00F7234A"/>
    <w:rsid w:val="00F72442"/>
    <w:rsid w:val="00F7255B"/>
    <w:rsid w:val="00F72620"/>
    <w:rsid w:val="00F7281F"/>
    <w:rsid w:val="00F7293D"/>
    <w:rsid w:val="00F729D4"/>
    <w:rsid w:val="00F72A55"/>
    <w:rsid w:val="00F72A8A"/>
    <w:rsid w:val="00F72B9A"/>
    <w:rsid w:val="00F72BCC"/>
    <w:rsid w:val="00F72CAB"/>
    <w:rsid w:val="00F72CFB"/>
    <w:rsid w:val="00F72D0A"/>
    <w:rsid w:val="00F72DAA"/>
    <w:rsid w:val="00F72ECC"/>
    <w:rsid w:val="00F72F18"/>
    <w:rsid w:val="00F72F2D"/>
    <w:rsid w:val="00F72FBE"/>
    <w:rsid w:val="00F7301A"/>
    <w:rsid w:val="00F7302C"/>
    <w:rsid w:val="00F73046"/>
    <w:rsid w:val="00F7304D"/>
    <w:rsid w:val="00F7312E"/>
    <w:rsid w:val="00F73337"/>
    <w:rsid w:val="00F73355"/>
    <w:rsid w:val="00F733FB"/>
    <w:rsid w:val="00F735A2"/>
    <w:rsid w:val="00F7363A"/>
    <w:rsid w:val="00F73689"/>
    <w:rsid w:val="00F736F8"/>
    <w:rsid w:val="00F73848"/>
    <w:rsid w:val="00F73A14"/>
    <w:rsid w:val="00F73DC2"/>
    <w:rsid w:val="00F73DD6"/>
    <w:rsid w:val="00F73E06"/>
    <w:rsid w:val="00F73E55"/>
    <w:rsid w:val="00F73FCA"/>
    <w:rsid w:val="00F74030"/>
    <w:rsid w:val="00F74078"/>
    <w:rsid w:val="00F7421D"/>
    <w:rsid w:val="00F74292"/>
    <w:rsid w:val="00F742D9"/>
    <w:rsid w:val="00F74348"/>
    <w:rsid w:val="00F74366"/>
    <w:rsid w:val="00F74439"/>
    <w:rsid w:val="00F7448D"/>
    <w:rsid w:val="00F745FD"/>
    <w:rsid w:val="00F747EA"/>
    <w:rsid w:val="00F7481F"/>
    <w:rsid w:val="00F74972"/>
    <w:rsid w:val="00F74A48"/>
    <w:rsid w:val="00F74AA2"/>
    <w:rsid w:val="00F74BD0"/>
    <w:rsid w:val="00F74C65"/>
    <w:rsid w:val="00F74D00"/>
    <w:rsid w:val="00F74DD3"/>
    <w:rsid w:val="00F74EB4"/>
    <w:rsid w:val="00F74EE8"/>
    <w:rsid w:val="00F74FF9"/>
    <w:rsid w:val="00F75045"/>
    <w:rsid w:val="00F75260"/>
    <w:rsid w:val="00F75506"/>
    <w:rsid w:val="00F75614"/>
    <w:rsid w:val="00F7566D"/>
    <w:rsid w:val="00F7570B"/>
    <w:rsid w:val="00F75757"/>
    <w:rsid w:val="00F75865"/>
    <w:rsid w:val="00F758A6"/>
    <w:rsid w:val="00F758A7"/>
    <w:rsid w:val="00F75994"/>
    <w:rsid w:val="00F75A62"/>
    <w:rsid w:val="00F75BEB"/>
    <w:rsid w:val="00F75C41"/>
    <w:rsid w:val="00F75CDF"/>
    <w:rsid w:val="00F75CEC"/>
    <w:rsid w:val="00F75D96"/>
    <w:rsid w:val="00F75DE3"/>
    <w:rsid w:val="00F75E06"/>
    <w:rsid w:val="00F75FD2"/>
    <w:rsid w:val="00F76009"/>
    <w:rsid w:val="00F7602C"/>
    <w:rsid w:val="00F76305"/>
    <w:rsid w:val="00F76366"/>
    <w:rsid w:val="00F764A6"/>
    <w:rsid w:val="00F76581"/>
    <w:rsid w:val="00F76617"/>
    <w:rsid w:val="00F766E6"/>
    <w:rsid w:val="00F76753"/>
    <w:rsid w:val="00F76833"/>
    <w:rsid w:val="00F7684C"/>
    <w:rsid w:val="00F7689C"/>
    <w:rsid w:val="00F768A8"/>
    <w:rsid w:val="00F76A8D"/>
    <w:rsid w:val="00F76AB0"/>
    <w:rsid w:val="00F76B54"/>
    <w:rsid w:val="00F76B7C"/>
    <w:rsid w:val="00F76BE1"/>
    <w:rsid w:val="00F76C02"/>
    <w:rsid w:val="00F76C47"/>
    <w:rsid w:val="00F76CBC"/>
    <w:rsid w:val="00F76E34"/>
    <w:rsid w:val="00F76F2F"/>
    <w:rsid w:val="00F76FCC"/>
    <w:rsid w:val="00F7702D"/>
    <w:rsid w:val="00F77043"/>
    <w:rsid w:val="00F771DA"/>
    <w:rsid w:val="00F7723C"/>
    <w:rsid w:val="00F7744E"/>
    <w:rsid w:val="00F7749E"/>
    <w:rsid w:val="00F77586"/>
    <w:rsid w:val="00F77768"/>
    <w:rsid w:val="00F77773"/>
    <w:rsid w:val="00F777BE"/>
    <w:rsid w:val="00F77889"/>
    <w:rsid w:val="00F778C0"/>
    <w:rsid w:val="00F7791D"/>
    <w:rsid w:val="00F77ABB"/>
    <w:rsid w:val="00F77DC4"/>
    <w:rsid w:val="00F77DF7"/>
    <w:rsid w:val="00F77E2F"/>
    <w:rsid w:val="00F77FA1"/>
    <w:rsid w:val="00F800F3"/>
    <w:rsid w:val="00F8012A"/>
    <w:rsid w:val="00F802A3"/>
    <w:rsid w:val="00F802D8"/>
    <w:rsid w:val="00F8035D"/>
    <w:rsid w:val="00F803B6"/>
    <w:rsid w:val="00F80406"/>
    <w:rsid w:val="00F80878"/>
    <w:rsid w:val="00F80973"/>
    <w:rsid w:val="00F809CA"/>
    <w:rsid w:val="00F80ACA"/>
    <w:rsid w:val="00F80ACF"/>
    <w:rsid w:val="00F80B19"/>
    <w:rsid w:val="00F80BA2"/>
    <w:rsid w:val="00F80BA7"/>
    <w:rsid w:val="00F80BCF"/>
    <w:rsid w:val="00F80BE4"/>
    <w:rsid w:val="00F80C6D"/>
    <w:rsid w:val="00F80C87"/>
    <w:rsid w:val="00F80E27"/>
    <w:rsid w:val="00F80F62"/>
    <w:rsid w:val="00F80F64"/>
    <w:rsid w:val="00F80FBC"/>
    <w:rsid w:val="00F811A7"/>
    <w:rsid w:val="00F811D4"/>
    <w:rsid w:val="00F81276"/>
    <w:rsid w:val="00F812C6"/>
    <w:rsid w:val="00F813A7"/>
    <w:rsid w:val="00F81771"/>
    <w:rsid w:val="00F81879"/>
    <w:rsid w:val="00F818A0"/>
    <w:rsid w:val="00F818C4"/>
    <w:rsid w:val="00F81936"/>
    <w:rsid w:val="00F819D2"/>
    <w:rsid w:val="00F819DA"/>
    <w:rsid w:val="00F81A7B"/>
    <w:rsid w:val="00F81A87"/>
    <w:rsid w:val="00F81B93"/>
    <w:rsid w:val="00F81C6E"/>
    <w:rsid w:val="00F81D1B"/>
    <w:rsid w:val="00F81D2F"/>
    <w:rsid w:val="00F81D81"/>
    <w:rsid w:val="00F81DAC"/>
    <w:rsid w:val="00F81DF4"/>
    <w:rsid w:val="00F81F0B"/>
    <w:rsid w:val="00F81FA0"/>
    <w:rsid w:val="00F82091"/>
    <w:rsid w:val="00F820A7"/>
    <w:rsid w:val="00F821BE"/>
    <w:rsid w:val="00F821EE"/>
    <w:rsid w:val="00F8221B"/>
    <w:rsid w:val="00F82307"/>
    <w:rsid w:val="00F823A6"/>
    <w:rsid w:val="00F82487"/>
    <w:rsid w:val="00F8248B"/>
    <w:rsid w:val="00F8259B"/>
    <w:rsid w:val="00F825FD"/>
    <w:rsid w:val="00F826B9"/>
    <w:rsid w:val="00F82756"/>
    <w:rsid w:val="00F82805"/>
    <w:rsid w:val="00F8287B"/>
    <w:rsid w:val="00F828BC"/>
    <w:rsid w:val="00F8298E"/>
    <w:rsid w:val="00F82A45"/>
    <w:rsid w:val="00F82ADD"/>
    <w:rsid w:val="00F82B41"/>
    <w:rsid w:val="00F82BC2"/>
    <w:rsid w:val="00F82C57"/>
    <w:rsid w:val="00F82C65"/>
    <w:rsid w:val="00F82CAD"/>
    <w:rsid w:val="00F82D5B"/>
    <w:rsid w:val="00F82DC4"/>
    <w:rsid w:val="00F82F40"/>
    <w:rsid w:val="00F82FBB"/>
    <w:rsid w:val="00F82FCB"/>
    <w:rsid w:val="00F830AF"/>
    <w:rsid w:val="00F832F6"/>
    <w:rsid w:val="00F8331B"/>
    <w:rsid w:val="00F83393"/>
    <w:rsid w:val="00F833EA"/>
    <w:rsid w:val="00F83479"/>
    <w:rsid w:val="00F834A7"/>
    <w:rsid w:val="00F834B6"/>
    <w:rsid w:val="00F8358D"/>
    <w:rsid w:val="00F835E1"/>
    <w:rsid w:val="00F83612"/>
    <w:rsid w:val="00F8370F"/>
    <w:rsid w:val="00F8374F"/>
    <w:rsid w:val="00F8376F"/>
    <w:rsid w:val="00F8392C"/>
    <w:rsid w:val="00F8396A"/>
    <w:rsid w:val="00F83978"/>
    <w:rsid w:val="00F839E6"/>
    <w:rsid w:val="00F83B16"/>
    <w:rsid w:val="00F83B54"/>
    <w:rsid w:val="00F83E31"/>
    <w:rsid w:val="00F83E7E"/>
    <w:rsid w:val="00F83F36"/>
    <w:rsid w:val="00F83F5C"/>
    <w:rsid w:val="00F84034"/>
    <w:rsid w:val="00F8424C"/>
    <w:rsid w:val="00F842A5"/>
    <w:rsid w:val="00F842AD"/>
    <w:rsid w:val="00F842CB"/>
    <w:rsid w:val="00F84327"/>
    <w:rsid w:val="00F844AB"/>
    <w:rsid w:val="00F845D7"/>
    <w:rsid w:val="00F8461B"/>
    <w:rsid w:val="00F846A5"/>
    <w:rsid w:val="00F846AD"/>
    <w:rsid w:val="00F847D3"/>
    <w:rsid w:val="00F84824"/>
    <w:rsid w:val="00F84B09"/>
    <w:rsid w:val="00F84BEF"/>
    <w:rsid w:val="00F84E5A"/>
    <w:rsid w:val="00F84E94"/>
    <w:rsid w:val="00F84F3E"/>
    <w:rsid w:val="00F84FEF"/>
    <w:rsid w:val="00F85029"/>
    <w:rsid w:val="00F851CF"/>
    <w:rsid w:val="00F852CB"/>
    <w:rsid w:val="00F852F5"/>
    <w:rsid w:val="00F8535C"/>
    <w:rsid w:val="00F853C9"/>
    <w:rsid w:val="00F853F2"/>
    <w:rsid w:val="00F853F9"/>
    <w:rsid w:val="00F85400"/>
    <w:rsid w:val="00F854A3"/>
    <w:rsid w:val="00F857D1"/>
    <w:rsid w:val="00F85823"/>
    <w:rsid w:val="00F85876"/>
    <w:rsid w:val="00F85884"/>
    <w:rsid w:val="00F858B2"/>
    <w:rsid w:val="00F858CE"/>
    <w:rsid w:val="00F858E4"/>
    <w:rsid w:val="00F85901"/>
    <w:rsid w:val="00F8593F"/>
    <w:rsid w:val="00F859FD"/>
    <w:rsid w:val="00F85A14"/>
    <w:rsid w:val="00F85AC4"/>
    <w:rsid w:val="00F85AD6"/>
    <w:rsid w:val="00F85B44"/>
    <w:rsid w:val="00F85B74"/>
    <w:rsid w:val="00F85C01"/>
    <w:rsid w:val="00F85C06"/>
    <w:rsid w:val="00F85C27"/>
    <w:rsid w:val="00F85D5F"/>
    <w:rsid w:val="00F85D6D"/>
    <w:rsid w:val="00F85D84"/>
    <w:rsid w:val="00F85E46"/>
    <w:rsid w:val="00F85F6C"/>
    <w:rsid w:val="00F85FB2"/>
    <w:rsid w:val="00F85FE3"/>
    <w:rsid w:val="00F85FFA"/>
    <w:rsid w:val="00F860AD"/>
    <w:rsid w:val="00F86121"/>
    <w:rsid w:val="00F861EE"/>
    <w:rsid w:val="00F8645E"/>
    <w:rsid w:val="00F864F9"/>
    <w:rsid w:val="00F86539"/>
    <w:rsid w:val="00F865F4"/>
    <w:rsid w:val="00F86665"/>
    <w:rsid w:val="00F868B7"/>
    <w:rsid w:val="00F86A7D"/>
    <w:rsid w:val="00F86AA1"/>
    <w:rsid w:val="00F86B2A"/>
    <w:rsid w:val="00F86B3A"/>
    <w:rsid w:val="00F86BB3"/>
    <w:rsid w:val="00F86C8B"/>
    <w:rsid w:val="00F86D3C"/>
    <w:rsid w:val="00F86F27"/>
    <w:rsid w:val="00F86F5E"/>
    <w:rsid w:val="00F86F8B"/>
    <w:rsid w:val="00F87096"/>
    <w:rsid w:val="00F87173"/>
    <w:rsid w:val="00F871D2"/>
    <w:rsid w:val="00F872CC"/>
    <w:rsid w:val="00F8740F"/>
    <w:rsid w:val="00F874B0"/>
    <w:rsid w:val="00F874DE"/>
    <w:rsid w:val="00F87532"/>
    <w:rsid w:val="00F8754B"/>
    <w:rsid w:val="00F875C3"/>
    <w:rsid w:val="00F875C6"/>
    <w:rsid w:val="00F875C8"/>
    <w:rsid w:val="00F875EF"/>
    <w:rsid w:val="00F87656"/>
    <w:rsid w:val="00F8767D"/>
    <w:rsid w:val="00F8772E"/>
    <w:rsid w:val="00F87742"/>
    <w:rsid w:val="00F8780C"/>
    <w:rsid w:val="00F8787A"/>
    <w:rsid w:val="00F87AA0"/>
    <w:rsid w:val="00F87B69"/>
    <w:rsid w:val="00F87B88"/>
    <w:rsid w:val="00F87D0C"/>
    <w:rsid w:val="00F87DB7"/>
    <w:rsid w:val="00F87DD7"/>
    <w:rsid w:val="00F87DE2"/>
    <w:rsid w:val="00F87E5F"/>
    <w:rsid w:val="00F87EA5"/>
    <w:rsid w:val="00F90003"/>
    <w:rsid w:val="00F9002D"/>
    <w:rsid w:val="00F900BD"/>
    <w:rsid w:val="00F900E4"/>
    <w:rsid w:val="00F90213"/>
    <w:rsid w:val="00F903A7"/>
    <w:rsid w:val="00F903EC"/>
    <w:rsid w:val="00F904A1"/>
    <w:rsid w:val="00F905CD"/>
    <w:rsid w:val="00F905DA"/>
    <w:rsid w:val="00F9071B"/>
    <w:rsid w:val="00F907B5"/>
    <w:rsid w:val="00F907EC"/>
    <w:rsid w:val="00F90802"/>
    <w:rsid w:val="00F90811"/>
    <w:rsid w:val="00F90853"/>
    <w:rsid w:val="00F908EF"/>
    <w:rsid w:val="00F908FF"/>
    <w:rsid w:val="00F90909"/>
    <w:rsid w:val="00F909CE"/>
    <w:rsid w:val="00F90A38"/>
    <w:rsid w:val="00F90B12"/>
    <w:rsid w:val="00F90B64"/>
    <w:rsid w:val="00F90B71"/>
    <w:rsid w:val="00F90BD1"/>
    <w:rsid w:val="00F90C6E"/>
    <w:rsid w:val="00F90E0A"/>
    <w:rsid w:val="00F90EDE"/>
    <w:rsid w:val="00F91039"/>
    <w:rsid w:val="00F91074"/>
    <w:rsid w:val="00F910DD"/>
    <w:rsid w:val="00F91140"/>
    <w:rsid w:val="00F9117D"/>
    <w:rsid w:val="00F9121B"/>
    <w:rsid w:val="00F91224"/>
    <w:rsid w:val="00F9123A"/>
    <w:rsid w:val="00F91390"/>
    <w:rsid w:val="00F91441"/>
    <w:rsid w:val="00F91450"/>
    <w:rsid w:val="00F91537"/>
    <w:rsid w:val="00F91585"/>
    <w:rsid w:val="00F915C9"/>
    <w:rsid w:val="00F915DB"/>
    <w:rsid w:val="00F915FA"/>
    <w:rsid w:val="00F9177D"/>
    <w:rsid w:val="00F9177E"/>
    <w:rsid w:val="00F917DF"/>
    <w:rsid w:val="00F91899"/>
    <w:rsid w:val="00F9190A"/>
    <w:rsid w:val="00F91934"/>
    <w:rsid w:val="00F9197F"/>
    <w:rsid w:val="00F91A60"/>
    <w:rsid w:val="00F91AD0"/>
    <w:rsid w:val="00F91B94"/>
    <w:rsid w:val="00F91BD6"/>
    <w:rsid w:val="00F91C5C"/>
    <w:rsid w:val="00F91DE0"/>
    <w:rsid w:val="00F91E3F"/>
    <w:rsid w:val="00F91EC4"/>
    <w:rsid w:val="00F91FAC"/>
    <w:rsid w:val="00F92141"/>
    <w:rsid w:val="00F9231E"/>
    <w:rsid w:val="00F924AA"/>
    <w:rsid w:val="00F925BC"/>
    <w:rsid w:val="00F92821"/>
    <w:rsid w:val="00F92AC0"/>
    <w:rsid w:val="00F92AD3"/>
    <w:rsid w:val="00F92B17"/>
    <w:rsid w:val="00F92BD8"/>
    <w:rsid w:val="00F92CBB"/>
    <w:rsid w:val="00F92D7E"/>
    <w:rsid w:val="00F92D91"/>
    <w:rsid w:val="00F92E1B"/>
    <w:rsid w:val="00F92E24"/>
    <w:rsid w:val="00F92E26"/>
    <w:rsid w:val="00F92E47"/>
    <w:rsid w:val="00F92F66"/>
    <w:rsid w:val="00F92F6F"/>
    <w:rsid w:val="00F930E8"/>
    <w:rsid w:val="00F931F4"/>
    <w:rsid w:val="00F932F3"/>
    <w:rsid w:val="00F935B9"/>
    <w:rsid w:val="00F9361F"/>
    <w:rsid w:val="00F9376F"/>
    <w:rsid w:val="00F93781"/>
    <w:rsid w:val="00F93896"/>
    <w:rsid w:val="00F93982"/>
    <w:rsid w:val="00F93A5E"/>
    <w:rsid w:val="00F93A90"/>
    <w:rsid w:val="00F93D8D"/>
    <w:rsid w:val="00F93E11"/>
    <w:rsid w:val="00F93F35"/>
    <w:rsid w:val="00F94166"/>
    <w:rsid w:val="00F94204"/>
    <w:rsid w:val="00F94215"/>
    <w:rsid w:val="00F9427F"/>
    <w:rsid w:val="00F942FC"/>
    <w:rsid w:val="00F943EF"/>
    <w:rsid w:val="00F9450A"/>
    <w:rsid w:val="00F94590"/>
    <w:rsid w:val="00F94598"/>
    <w:rsid w:val="00F945DF"/>
    <w:rsid w:val="00F94634"/>
    <w:rsid w:val="00F9464C"/>
    <w:rsid w:val="00F946B1"/>
    <w:rsid w:val="00F9471C"/>
    <w:rsid w:val="00F9472A"/>
    <w:rsid w:val="00F94779"/>
    <w:rsid w:val="00F947FB"/>
    <w:rsid w:val="00F949A3"/>
    <w:rsid w:val="00F94A2E"/>
    <w:rsid w:val="00F94AAF"/>
    <w:rsid w:val="00F94AB5"/>
    <w:rsid w:val="00F94ADF"/>
    <w:rsid w:val="00F94B18"/>
    <w:rsid w:val="00F94DD8"/>
    <w:rsid w:val="00F95033"/>
    <w:rsid w:val="00F95067"/>
    <w:rsid w:val="00F95267"/>
    <w:rsid w:val="00F9528E"/>
    <w:rsid w:val="00F952B2"/>
    <w:rsid w:val="00F954F9"/>
    <w:rsid w:val="00F955FA"/>
    <w:rsid w:val="00F956CF"/>
    <w:rsid w:val="00F9574D"/>
    <w:rsid w:val="00F957EE"/>
    <w:rsid w:val="00F9582E"/>
    <w:rsid w:val="00F958B6"/>
    <w:rsid w:val="00F958E7"/>
    <w:rsid w:val="00F95BA0"/>
    <w:rsid w:val="00F95C1C"/>
    <w:rsid w:val="00F95C9D"/>
    <w:rsid w:val="00F95D83"/>
    <w:rsid w:val="00F95E18"/>
    <w:rsid w:val="00F95E63"/>
    <w:rsid w:val="00F95E65"/>
    <w:rsid w:val="00F95E7A"/>
    <w:rsid w:val="00F95E8C"/>
    <w:rsid w:val="00F95EBF"/>
    <w:rsid w:val="00F95F56"/>
    <w:rsid w:val="00F96030"/>
    <w:rsid w:val="00F960E8"/>
    <w:rsid w:val="00F962B0"/>
    <w:rsid w:val="00F963C4"/>
    <w:rsid w:val="00F963E1"/>
    <w:rsid w:val="00F9641B"/>
    <w:rsid w:val="00F96467"/>
    <w:rsid w:val="00F964A8"/>
    <w:rsid w:val="00F965BF"/>
    <w:rsid w:val="00F9687A"/>
    <w:rsid w:val="00F968DA"/>
    <w:rsid w:val="00F96915"/>
    <w:rsid w:val="00F9691F"/>
    <w:rsid w:val="00F96962"/>
    <w:rsid w:val="00F96B43"/>
    <w:rsid w:val="00F96C18"/>
    <w:rsid w:val="00F96C3F"/>
    <w:rsid w:val="00F96E32"/>
    <w:rsid w:val="00F96E34"/>
    <w:rsid w:val="00F96EFD"/>
    <w:rsid w:val="00F96F51"/>
    <w:rsid w:val="00F96FA1"/>
    <w:rsid w:val="00F96FF3"/>
    <w:rsid w:val="00F97006"/>
    <w:rsid w:val="00F97073"/>
    <w:rsid w:val="00F9709E"/>
    <w:rsid w:val="00F971ED"/>
    <w:rsid w:val="00F971EF"/>
    <w:rsid w:val="00F97229"/>
    <w:rsid w:val="00F97246"/>
    <w:rsid w:val="00F97291"/>
    <w:rsid w:val="00F973B4"/>
    <w:rsid w:val="00F973EA"/>
    <w:rsid w:val="00F9745A"/>
    <w:rsid w:val="00F974AA"/>
    <w:rsid w:val="00F974B8"/>
    <w:rsid w:val="00F975A1"/>
    <w:rsid w:val="00F9763E"/>
    <w:rsid w:val="00F9775A"/>
    <w:rsid w:val="00F9775D"/>
    <w:rsid w:val="00F9777E"/>
    <w:rsid w:val="00F97816"/>
    <w:rsid w:val="00F9792F"/>
    <w:rsid w:val="00F97935"/>
    <w:rsid w:val="00F97988"/>
    <w:rsid w:val="00F9798E"/>
    <w:rsid w:val="00F97B09"/>
    <w:rsid w:val="00F97B32"/>
    <w:rsid w:val="00F97B7E"/>
    <w:rsid w:val="00F97C3E"/>
    <w:rsid w:val="00F97CBC"/>
    <w:rsid w:val="00F97CD6"/>
    <w:rsid w:val="00F97D66"/>
    <w:rsid w:val="00F97DB3"/>
    <w:rsid w:val="00F97F2E"/>
    <w:rsid w:val="00F97F7D"/>
    <w:rsid w:val="00F97F7F"/>
    <w:rsid w:val="00F97FDD"/>
    <w:rsid w:val="00F9E625"/>
    <w:rsid w:val="00FA002A"/>
    <w:rsid w:val="00FA0059"/>
    <w:rsid w:val="00FA005A"/>
    <w:rsid w:val="00FA005C"/>
    <w:rsid w:val="00FA0180"/>
    <w:rsid w:val="00FA01C2"/>
    <w:rsid w:val="00FA01D8"/>
    <w:rsid w:val="00FA0304"/>
    <w:rsid w:val="00FA03A6"/>
    <w:rsid w:val="00FA040C"/>
    <w:rsid w:val="00FA047D"/>
    <w:rsid w:val="00FA062A"/>
    <w:rsid w:val="00FA0677"/>
    <w:rsid w:val="00FA07AF"/>
    <w:rsid w:val="00FA0898"/>
    <w:rsid w:val="00FA08F5"/>
    <w:rsid w:val="00FA0ABD"/>
    <w:rsid w:val="00FA0BD6"/>
    <w:rsid w:val="00FA0CA2"/>
    <w:rsid w:val="00FA0CD4"/>
    <w:rsid w:val="00FA0D81"/>
    <w:rsid w:val="00FA0D8B"/>
    <w:rsid w:val="00FA0EC7"/>
    <w:rsid w:val="00FA1030"/>
    <w:rsid w:val="00FA10ED"/>
    <w:rsid w:val="00FA114F"/>
    <w:rsid w:val="00FA12FB"/>
    <w:rsid w:val="00FA1339"/>
    <w:rsid w:val="00FA139C"/>
    <w:rsid w:val="00FA1433"/>
    <w:rsid w:val="00FA1452"/>
    <w:rsid w:val="00FA1629"/>
    <w:rsid w:val="00FA1667"/>
    <w:rsid w:val="00FA16D7"/>
    <w:rsid w:val="00FA1704"/>
    <w:rsid w:val="00FA1738"/>
    <w:rsid w:val="00FA17C1"/>
    <w:rsid w:val="00FA1802"/>
    <w:rsid w:val="00FA1914"/>
    <w:rsid w:val="00FA1C11"/>
    <w:rsid w:val="00FA1D07"/>
    <w:rsid w:val="00FA1D39"/>
    <w:rsid w:val="00FA1DB3"/>
    <w:rsid w:val="00FA1EAD"/>
    <w:rsid w:val="00FA1EC0"/>
    <w:rsid w:val="00FA1F61"/>
    <w:rsid w:val="00FA1F63"/>
    <w:rsid w:val="00FA1F79"/>
    <w:rsid w:val="00FA1F7C"/>
    <w:rsid w:val="00FA1FDB"/>
    <w:rsid w:val="00FA20BA"/>
    <w:rsid w:val="00FA23F5"/>
    <w:rsid w:val="00FA23F7"/>
    <w:rsid w:val="00FA2406"/>
    <w:rsid w:val="00FA241B"/>
    <w:rsid w:val="00FA254B"/>
    <w:rsid w:val="00FA2596"/>
    <w:rsid w:val="00FA25C7"/>
    <w:rsid w:val="00FA25F8"/>
    <w:rsid w:val="00FA2659"/>
    <w:rsid w:val="00FA27CA"/>
    <w:rsid w:val="00FA2803"/>
    <w:rsid w:val="00FA2936"/>
    <w:rsid w:val="00FA2B90"/>
    <w:rsid w:val="00FA2BE9"/>
    <w:rsid w:val="00FA2D1F"/>
    <w:rsid w:val="00FA2DA8"/>
    <w:rsid w:val="00FA2DE9"/>
    <w:rsid w:val="00FA2FBD"/>
    <w:rsid w:val="00FA3009"/>
    <w:rsid w:val="00FA3238"/>
    <w:rsid w:val="00FA32A8"/>
    <w:rsid w:val="00FA3300"/>
    <w:rsid w:val="00FA3484"/>
    <w:rsid w:val="00FA348E"/>
    <w:rsid w:val="00FA3528"/>
    <w:rsid w:val="00FA3552"/>
    <w:rsid w:val="00FA368C"/>
    <w:rsid w:val="00FA37A3"/>
    <w:rsid w:val="00FA38E5"/>
    <w:rsid w:val="00FA38F6"/>
    <w:rsid w:val="00FA391D"/>
    <w:rsid w:val="00FA39FC"/>
    <w:rsid w:val="00FA3A73"/>
    <w:rsid w:val="00FA3AA4"/>
    <w:rsid w:val="00FA3AF9"/>
    <w:rsid w:val="00FA3C7A"/>
    <w:rsid w:val="00FA3C7E"/>
    <w:rsid w:val="00FA3D1E"/>
    <w:rsid w:val="00FA3D90"/>
    <w:rsid w:val="00FA3EDD"/>
    <w:rsid w:val="00FA3F89"/>
    <w:rsid w:val="00FA3FA3"/>
    <w:rsid w:val="00FA3FD2"/>
    <w:rsid w:val="00FA4059"/>
    <w:rsid w:val="00FA40C0"/>
    <w:rsid w:val="00FA4104"/>
    <w:rsid w:val="00FA41D3"/>
    <w:rsid w:val="00FA4231"/>
    <w:rsid w:val="00FA455E"/>
    <w:rsid w:val="00FA46B0"/>
    <w:rsid w:val="00FA46EA"/>
    <w:rsid w:val="00FA4757"/>
    <w:rsid w:val="00FA486A"/>
    <w:rsid w:val="00FA4907"/>
    <w:rsid w:val="00FA497E"/>
    <w:rsid w:val="00FA4A30"/>
    <w:rsid w:val="00FA4AB3"/>
    <w:rsid w:val="00FA4B05"/>
    <w:rsid w:val="00FA4C3A"/>
    <w:rsid w:val="00FA4CCC"/>
    <w:rsid w:val="00FA4DDC"/>
    <w:rsid w:val="00FA4EB8"/>
    <w:rsid w:val="00FA4ED4"/>
    <w:rsid w:val="00FA4ED6"/>
    <w:rsid w:val="00FA4F31"/>
    <w:rsid w:val="00FA4FF8"/>
    <w:rsid w:val="00FA500C"/>
    <w:rsid w:val="00FA50ED"/>
    <w:rsid w:val="00FA513B"/>
    <w:rsid w:val="00FA524C"/>
    <w:rsid w:val="00FA5391"/>
    <w:rsid w:val="00FA53E4"/>
    <w:rsid w:val="00FA5442"/>
    <w:rsid w:val="00FA54B2"/>
    <w:rsid w:val="00FA569A"/>
    <w:rsid w:val="00FA57DF"/>
    <w:rsid w:val="00FA57F9"/>
    <w:rsid w:val="00FA5822"/>
    <w:rsid w:val="00FA5826"/>
    <w:rsid w:val="00FA58B8"/>
    <w:rsid w:val="00FA5B27"/>
    <w:rsid w:val="00FA5C76"/>
    <w:rsid w:val="00FA5D9B"/>
    <w:rsid w:val="00FA5EEC"/>
    <w:rsid w:val="00FA62E4"/>
    <w:rsid w:val="00FA62EA"/>
    <w:rsid w:val="00FA6325"/>
    <w:rsid w:val="00FA640E"/>
    <w:rsid w:val="00FA64B5"/>
    <w:rsid w:val="00FA661D"/>
    <w:rsid w:val="00FA66E5"/>
    <w:rsid w:val="00FA6724"/>
    <w:rsid w:val="00FA6782"/>
    <w:rsid w:val="00FA67AD"/>
    <w:rsid w:val="00FA6810"/>
    <w:rsid w:val="00FA6819"/>
    <w:rsid w:val="00FA6823"/>
    <w:rsid w:val="00FA6AFA"/>
    <w:rsid w:val="00FA6D57"/>
    <w:rsid w:val="00FA6DBF"/>
    <w:rsid w:val="00FA6DD8"/>
    <w:rsid w:val="00FA6EAF"/>
    <w:rsid w:val="00FA704A"/>
    <w:rsid w:val="00FA70E7"/>
    <w:rsid w:val="00FA7194"/>
    <w:rsid w:val="00FA7198"/>
    <w:rsid w:val="00FA7229"/>
    <w:rsid w:val="00FA7253"/>
    <w:rsid w:val="00FA74FD"/>
    <w:rsid w:val="00FA7561"/>
    <w:rsid w:val="00FA761F"/>
    <w:rsid w:val="00FA7637"/>
    <w:rsid w:val="00FA76AB"/>
    <w:rsid w:val="00FA7728"/>
    <w:rsid w:val="00FA773D"/>
    <w:rsid w:val="00FA7857"/>
    <w:rsid w:val="00FA787A"/>
    <w:rsid w:val="00FA7949"/>
    <w:rsid w:val="00FA7A7D"/>
    <w:rsid w:val="00FA7A96"/>
    <w:rsid w:val="00FA7AEC"/>
    <w:rsid w:val="00FA7B83"/>
    <w:rsid w:val="00FA7B96"/>
    <w:rsid w:val="00FA7BFA"/>
    <w:rsid w:val="00FA7CA8"/>
    <w:rsid w:val="00FA7CBD"/>
    <w:rsid w:val="00FA7CF7"/>
    <w:rsid w:val="00FA7D02"/>
    <w:rsid w:val="00FA7D4B"/>
    <w:rsid w:val="00FA7D82"/>
    <w:rsid w:val="00FA7E16"/>
    <w:rsid w:val="00FA7F59"/>
    <w:rsid w:val="00FB00A0"/>
    <w:rsid w:val="00FB015F"/>
    <w:rsid w:val="00FB0167"/>
    <w:rsid w:val="00FB0170"/>
    <w:rsid w:val="00FB047F"/>
    <w:rsid w:val="00FB0605"/>
    <w:rsid w:val="00FB065D"/>
    <w:rsid w:val="00FB067B"/>
    <w:rsid w:val="00FB0793"/>
    <w:rsid w:val="00FB07D2"/>
    <w:rsid w:val="00FB07FF"/>
    <w:rsid w:val="00FB0820"/>
    <w:rsid w:val="00FB0900"/>
    <w:rsid w:val="00FB0905"/>
    <w:rsid w:val="00FB0A75"/>
    <w:rsid w:val="00FB0AB2"/>
    <w:rsid w:val="00FB0ADF"/>
    <w:rsid w:val="00FB0B01"/>
    <w:rsid w:val="00FB0C0E"/>
    <w:rsid w:val="00FB0C36"/>
    <w:rsid w:val="00FB0C8D"/>
    <w:rsid w:val="00FB0DFE"/>
    <w:rsid w:val="00FB0EC8"/>
    <w:rsid w:val="00FB0FE7"/>
    <w:rsid w:val="00FB1181"/>
    <w:rsid w:val="00FB11C3"/>
    <w:rsid w:val="00FB14C4"/>
    <w:rsid w:val="00FB14E5"/>
    <w:rsid w:val="00FB1650"/>
    <w:rsid w:val="00FB1665"/>
    <w:rsid w:val="00FB1742"/>
    <w:rsid w:val="00FB177F"/>
    <w:rsid w:val="00FB17C6"/>
    <w:rsid w:val="00FB17E9"/>
    <w:rsid w:val="00FB17ED"/>
    <w:rsid w:val="00FB182C"/>
    <w:rsid w:val="00FB1971"/>
    <w:rsid w:val="00FB19CA"/>
    <w:rsid w:val="00FB1AE4"/>
    <w:rsid w:val="00FB1BC6"/>
    <w:rsid w:val="00FB1CC6"/>
    <w:rsid w:val="00FB1D68"/>
    <w:rsid w:val="00FB1E3C"/>
    <w:rsid w:val="00FB1EED"/>
    <w:rsid w:val="00FB1F4E"/>
    <w:rsid w:val="00FB1F7F"/>
    <w:rsid w:val="00FB2083"/>
    <w:rsid w:val="00FB2085"/>
    <w:rsid w:val="00FB21C6"/>
    <w:rsid w:val="00FB2290"/>
    <w:rsid w:val="00FB232C"/>
    <w:rsid w:val="00FB248E"/>
    <w:rsid w:val="00FB25A9"/>
    <w:rsid w:val="00FB2732"/>
    <w:rsid w:val="00FB2781"/>
    <w:rsid w:val="00FB285F"/>
    <w:rsid w:val="00FB286D"/>
    <w:rsid w:val="00FB2950"/>
    <w:rsid w:val="00FB2976"/>
    <w:rsid w:val="00FB2A7C"/>
    <w:rsid w:val="00FB2A91"/>
    <w:rsid w:val="00FB2AA5"/>
    <w:rsid w:val="00FB2AB4"/>
    <w:rsid w:val="00FB2AE4"/>
    <w:rsid w:val="00FB2B45"/>
    <w:rsid w:val="00FB2C00"/>
    <w:rsid w:val="00FB2C0E"/>
    <w:rsid w:val="00FB2C4F"/>
    <w:rsid w:val="00FB2C57"/>
    <w:rsid w:val="00FB2CF3"/>
    <w:rsid w:val="00FB2D7F"/>
    <w:rsid w:val="00FB2D99"/>
    <w:rsid w:val="00FB2E12"/>
    <w:rsid w:val="00FB2E9D"/>
    <w:rsid w:val="00FB2FF9"/>
    <w:rsid w:val="00FB3050"/>
    <w:rsid w:val="00FB30C4"/>
    <w:rsid w:val="00FB30E5"/>
    <w:rsid w:val="00FB3197"/>
    <w:rsid w:val="00FB33F1"/>
    <w:rsid w:val="00FB3599"/>
    <w:rsid w:val="00FB36E3"/>
    <w:rsid w:val="00FB386F"/>
    <w:rsid w:val="00FB3876"/>
    <w:rsid w:val="00FB3972"/>
    <w:rsid w:val="00FB3A46"/>
    <w:rsid w:val="00FB3A82"/>
    <w:rsid w:val="00FB3B2B"/>
    <w:rsid w:val="00FB3E22"/>
    <w:rsid w:val="00FB3F43"/>
    <w:rsid w:val="00FB40C3"/>
    <w:rsid w:val="00FB40E0"/>
    <w:rsid w:val="00FB41D3"/>
    <w:rsid w:val="00FB4250"/>
    <w:rsid w:val="00FB4290"/>
    <w:rsid w:val="00FB42B9"/>
    <w:rsid w:val="00FB4337"/>
    <w:rsid w:val="00FB4395"/>
    <w:rsid w:val="00FB441C"/>
    <w:rsid w:val="00FB4686"/>
    <w:rsid w:val="00FB4728"/>
    <w:rsid w:val="00FB47DB"/>
    <w:rsid w:val="00FB4AEA"/>
    <w:rsid w:val="00FB4B94"/>
    <w:rsid w:val="00FB4BBD"/>
    <w:rsid w:val="00FB4C85"/>
    <w:rsid w:val="00FB4E62"/>
    <w:rsid w:val="00FB4EF7"/>
    <w:rsid w:val="00FB4F1C"/>
    <w:rsid w:val="00FB4F49"/>
    <w:rsid w:val="00FB5169"/>
    <w:rsid w:val="00FB52D2"/>
    <w:rsid w:val="00FB533A"/>
    <w:rsid w:val="00FB5462"/>
    <w:rsid w:val="00FB54EB"/>
    <w:rsid w:val="00FB55CC"/>
    <w:rsid w:val="00FB5665"/>
    <w:rsid w:val="00FB56C3"/>
    <w:rsid w:val="00FB5983"/>
    <w:rsid w:val="00FB59D2"/>
    <w:rsid w:val="00FB59EF"/>
    <w:rsid w:val="00FB5A9F"/>
    <w:rsid w:val="00FB5AD8"/>
    <w:rsid w:val="00FB5B98"/>
    <w:rsid w:val="00FB5D03"/>
    <w:rsid w:val="00FB5F5B"/>
    <w:rsid w:val="00FB6209"/>
    <w:rsid w:val="00FB6226"/>
    <w:rsid w:val="00FB6445"/>
    <w:rsid w:val="00FB6660"/>
    <w:rsid w:val="00FB672F"/>
    <w:rsid w:val="00FB6797"/>
    <w:rsid w:val="00FB6864"/>
    <w:rsid w:val="00FB6880"/>
    <w:rsid w:val="00FB68D1"/>
    <w:rsid w:val="00FB6B58"/>
    <w:rsid w:val="00FB6BB6"/>
    <w:rsid w:val="00FB6E25"/>
    <w:rsid w:val="00FB6EC7"/>
    <w:rsid w:val="00FB6FB6"/>
    <w:rsid w:val="00FB7026"/>
    <w:rsid w:val="00FB706E"/>
    <w:rsid w:val="00FB709D"/>
    <w:rsid w:val="00FB70B7"/>
    <w:rsid w:val="00FB71C7"/>
    <w:rsid w:val="00FB7420"/>
    <w:rsid w:val="00FB748F"/>
    <w:rsid w:val="00FB74A8"/>
    <w:rsid w:val="00FB74F6"/>
    <w:rsid w:val="00FB7681"/>
    <w:rsid w:val="00FB76F0"/>
    <w:rsid w:val="00FB76FF"/>
    <w:rsid w:val="00FB771C"/>
    <w:rsid w:val="00FB77A6"/>
    <w:rsid w:val="00FB797E"/>
    <w:rsid w:val="00FB79F3"/>
    <w:rsid w:val="00FB7B0B"/>
    <w:rsid w:val="00FB7B21"/>
    <w:rsid w:val="00FB7BC9"/>
    <w:rsid w:val="00FB7C26"/>
    <w:rsid w:val="00FB7CFC"/>
    <w:rsid w:val="00FB7D19"/>
    <w:rsid w:val="00FB7ED0"/>
    <w:rsid w:val="00FB7EF1"/>
    <w:rsid w:val="00FB7FE1"/>
    <w:rsid w:val="00FB7FF1"/>
    <w:rsid w:val="00FB7FFE"/>
    <w:rsid w:val="00FC001C"/>
    <w:rsid w:val="00FC0115"/>
    <w:rsid w:val="00FC0121"/>
    <w:rsid w:val="00FC018A"/>
    <w:rsid w:val="00FC0229"/>
    <w:rsid w:val="00FC023A"/>
    <w:rsid w:val="00FC036A"/>
    <w:rsid w:val="00FC03CE"/>
    <w:rsid w:val="00FC0468"/>
    <w:rsid w:val="00FC0473"/>
    <w:rsid w:val="00FC05BA"/>
    <w:rsid w:val="00FC062D"/>
    <w:rsid w:val="00FC06F5"/>
    <w:rsid w:val="00FC074A"/>
    <w:rsid w:val="00FC07A4"/>
    <w:rsid w:val="00FC0945"/>
    <w:rsid w:val="00FC096F"/>
    <w:rsid w:val="00FC0A55"/>
    <w:rsid w:val="00FC0BF4"/>
    <w:rsid w:val="00FC0CAF"/>
    <w:rsid w:val="00FC0D1A"/>
    <w:rsid w:val="00FC0D30"/>
    <w:rsid w:val="00FC0D39"/>
    <w:rsid w:val="00FC0D95"/>
    <w:rsid w:val="00FC0EA2"/>
    <w:rsid w:val="00FC0FBB"/>
    <w:rsid w:val="00FC1010"/>
    <w:rsid w:val="00FC10A5"/>
    <w:rsid w:val="00FC111E"/>
    <w:rsid w:val="00FC1156"/>
    <w:rsid w:val="00FC1191"/>
    <w:rsid w:val="00FC11B7"/>
    <w:rsid w:val="00FC12CC"/>
    <w:rsid w:val="00FC1311"/>
    <w:rsid w:val="00FC1331"/>
    <w:rsid w:val="00FC14AF"/>
    <w:rsid w:val="00FC14F9"/>
    <w:rsid w:val="00FC153C"/>
    <w:rsid w:val="00FC158E"/>
    <w:rsid w:val="00FC1607"/>
    <w:rsid w:val="00FC185B"/>
    <w:rsid w:val="00FC18EF"/>
    <w:rsid w:val="00FC198E"/>
    <w:rsid w:val="00FC19AB"/>
    <w:rsid w:val="00FC1A26"/>
    <w:rsid w:val="00FC1A78"/>
    <w:rsid w:val="00FC1A9C"/>
    <w:rsid w:val="00FC1B2C"/>
    <w:rsid w:val="00FC1C1D"/>
    <w:rsid w:val="00FC1DAE"/>
    <w:rsid w:val="00FC1DBE"/>
    <w:rsid w:val="00FC2047"/>
    <w:rsid w:val="00FC207E"/>
    <w:rsid w:val="00FC208B"/>
    <w:rsid w:val="00FC20E0"/>
    <w:rsid w:val="00FC20F3"/>
    <w:rsid w:val="00FC2104"/>
    <w:rsid w:val="00FC2130"/>
    <w:rsid w:val="00FC2214"/>
    <w:rsid w:val="00FC2403"/>
    <w:rsid w:val="00FC2659"/>
    <w:rsid w:val="00FC273F"/>
    <w:rsid w:val="00FC27BB"/>
    <w:rsid w:val="00FC299E"/>
    <w:rsid w:val="00FC2AEE"/>
    <w:rsid w:val="00FC2B3F"/>
    <w:rsid w:val="00FC2B72"/>
    <w:rsid w:val="00FC2BB4"/>
    <w:rsid w:val="00FC2CF3"/>
    <w:rsid w:val="00FC2D5A"/>
    <w:rsid w:val="00FC2E04"/>
    <w:rsid w:val="00FC2F6A"/>
    <w:rsid w:val="00FC31A4"/>
    <w:rsid w:val="00FC3246"/>
    <w:rsid w:val="00FC3296"/>
    <w:rsid w:val="00FC335F"/>
    <w:rsid w:val="00FC3387"/>
    <w:rsid w:val="00FC33D4"/>
    <w:rsid w:val="00FC34DA"/>
    <w:rsid w:val="00FC351C"/>
    <w:rsid w:val="00FC3581"/>
    <w:rsid w:val="00FC35F3"/>
    <w:rsid w:val="00FC366A"/>
    <w:rsid w:val="00FC3700"/>
    <w:rsid w:val="00FC37BA"/>
    <w:rsid w:val="00FC387F"/>
    <w:rsid w:val="00FC38EE"/>
    <w:rsid w:val="00FC38F8"/>
    <w:rsid w:val="00FC3960"/>
    <w:rsid w:val="00FC3A41"/>
    <w:rsid w:val="00FC3B89"/>
    <w:rsid w:val="00FC3BF1"/>
    <w:rsid w:val="00FC3C0F"/>
    <w:rsid w:val="00FC3C21"/>
    <w:rsid w:val="00FC3CCC"/>
    <w:rsid w:val="00FC3D3D"/>
    <w:rsid w:val="00FC3DCE"/>
    <w:rsid w:val="00FC3E2C"/>
    <w:rsid w:val="00FC3E43"/>
    <w:rsid w:val="00FC3EDB"/>
    <w:rsid w:val="00FC3EEE"/>
    <w:rsid w:val="00FC3F26"/>
    <w:rsid w:val="00FC3FF8"/>
    <w:rsid w:val="00FC4161"/>
    <w:rsid w:val="00FC419A"/>
    <w:rsid w:val="00FC41EB"/>
    <w:rsid w:val="00FC424E"/>
    <w:rsid w:val="00FC4387"/>
    <w:rsid w:val="00FC4393"/>
    <w:rsid w:val="00FC439C"/>
    <w:rsid w:val="00FC43CB"/>
    <w:rsid w:val="00FC4513"/>
    <w:rsid w:val="00FC4540"/>
    <w:rsid w:val="00FC4553"/>
    <w:rsid w:val="00FC46E4"/>
    <w:rsid w:val="00FC478B"/>
    <w:rsid w:val="00FC4898"/>
    <w:rsid w:val="00FC4AF2"/>
    <w:rsid w:val="00FC4AF6"/>
    <w:rsid w:val="00FC4B80"/>
    <w:rsid w:val="00FC4BA3"/>
    <w:rsid w:val="00FC4BE9"/>
    <w:rsid w:val="00FC4C21"/>
    <w:rsid w:val="00FC4C62"/>
    <w:rsid w:val="00FC4CC5"/>
    <w:rsid w:val="00FC4DAB"/>
    <w:rsid w:val="00FC4E45"/>
    <w:rsid w:val="00FC4F0B"/>
    <w:rsid w:val="00FC4F17"/>
    <w:rsid w:val="00FC4FAF"/>
    <w:rsid w:val="00FC5095"/>
    <w:rsid w:val="00FC51CC"/>
    <w:rsid w:val="00FC521A"/>
    <w:rsid w:val="00FC52D4"/>
    <w:rsid w:val="00FC52D6"/>
    <w:rsid w:val="00FC52ED"/>
    <w:rsid w:val="00FC562F"/>
    <w:rsid w:val="00FC5694"/>
    <w:rsid w:val="00FC5732"/>
    <w:rsid w:val="00FC57FD"/>
    <w:rsid w:val="00FC58EA"/>
    <w:rsid w:val="00FC5993"/>
    <w:rsid w:val="00FC59EE"/>
    <w:rsid w:val="00FC5A7B"/>
    <w:rsid w:val="00FC5A92"/>
    <w:rsid w:val="00FC5C1F"/>
    <w:rsid w:val="00FC5CA1"/>
    <w:rsid w:val="00FC5DC1"/>
    <w:rsid w:val="00FC5EC9"/>
    <w:rsid w:val="00FC5F00"/>
    <w:rsid w:val="00FC5F81"/>
    <w:rsid w:val="00FC5FE5"/>
    <w:rsid w:val="00FC60B9"/>
    <w:rsid w:val="00FC61A8"/>
    <w:rsid w:val="00FC625C"/>
    <w:rsid w:val="00FC634A"/>
    <w:rsid w:val="00FC6368"/>
    <w:rsid w:val="00FC6390"/>
    <w:rsid w:val="00FC6396"/>
    <w:rsid w:val="00FC63E5"/>
    <w:rsid w:val="00FC64D0"/>
    <w:rsid w:val="00FC673D"/>
    <w:rsid w:val="00FC67CA"/>
    <w:rsid w:val="00FC67E2"/>
    <w:rsid w:val="00FC6836"/>
    <w:rsid w:val="00FC696D"/>
    <w:rsid w:val="00FC6B25"/>
    <w:rsid w:val="00FC6B76"/>
    <w:rsid w:val="00FC6BA5"/>
    <w:rsid w:val="00FC6BEA"/>
    <w:rsid w:val="00FC6BEF"/>
    <w:rsid w:val="00FC6BF7"/>
    <w:rsid w:val="00FC6C75"/>
    <w:rsid w:val="00FC6CA4"/>
    <w:rsid w:val="00FC6D3A"/>
    <w:rsid w:val="00FC6DC9"/>
    <w:rsid w:val="00FC6EFE"/>
    <w:rsid w:val="00FC6F0A"/>
    <w:rsid w:val="00FC700D"/>
    <w:rsid w:val="00FC70BB"/>
    <w:rsid w:val="00FC719E"/>
    <w:rsid w:val="00FC71B9"/>
    <w:rsid w:val="00FC71FF"/>
    <w:rsid w:val="00FC72BA"/>
    <w:rsid w:val="00FC73DC"/>
    <w:rsid w:val="00FC741D"/>
    <w:rsid w:val="00FC7442"/>
    <w:rsid w:val="00FC75E8"/>
    <w:rsid w:val="00FC779D"/>
    <w:rsid w:val="00FC77AD"/>
    <w:rsid w:val="00FC77B8"/>
    <w:rsid w:val="00FC77CF"/>
    <w:rsid w:val="00FC781A"/>
    <w:rsid w:val="00FC78F7"/>
    <w:rsid w:val="00FC792E"/>
    <w:rsid w:val="00FC7C27"/>
    <w:rsid w:val="00FC7C34"/>
    <w:rsid w:val="00FC7C6D"/>
    <w:rsid w:val="00FC7CCB"/>
    <w:rsid w:val="00FC7D21"/>
    <w:rsid w:val="00FC7DEE"/>
    <w:rsid w:val="00FC7EFE"/>
    <w:rsid w:val="00FC7F1E"/>
    <w:rsid w:val="00FC7F86"/>
    <w:rsid w:val="00FD007F"/>
    <w:rsid w:val="00FD0094"/>
    <w:rsid w:val="00FD00DD"/>
    <w:rsid w:val="00FD014E"/>
    <w:rsid w:val="00FD015E"/>
    <w:rsid w:val="00FD019B"/>
    <w:rsid w:val="00FD0375"/>
    <w:rsid w:val="00FD0423"/>
    <w:rsid w:val="00FD04C4"/>
    <w:rsid w:val="00FD0870"/>
    <w:rsid w:val="00FD0A19"/>
    <w:rsid w:val="00FD0A8D"/>
    <w:rsid w:val="00FD0ABA"/>
    <w:rsid w:val="00FD0B67"/>
    <w:rsid w:val="00FD0BAA"/>
    <w:rsid w:val="00FD0EB6"/>
    <w:rsid w:val="00FD1005"/>
    <w:rsid w:val="00FD11A1"/>
    <w:rsid w:val="00FD1285"/>
    <w:rsid w:val="00FD1392"/>
    <w:rsid w:val="00FD1421"/>
    <w:rsid w:val="00FD147B"/>
    <w:rsid w:val="00FD149B"/>
    <w:rsid w:val="00FD16D1"/>
    <w:rsid w:val="00FD1727"/>
    <w:rsid w:val="00FD17E3"/>
    <w:rsid w:val="00FD1896"/>
    <w:rsid w:val="00FD18A6"/>
    <w:rsid w:val="00FD18A8"/>
    <w:rsid w:val="00FD194E"/>
    <w:rsid w:val="00FD1B04"/>
    <w:rsid w:val="00FD1B0A"/>
    <w:rsid w:val="00FD1BE5"/>
    <w:rsid w:val="00FD1BE9"/>
    <w:rsid w:val="00FD1C7E"/>
    <w:rsid w:val="00FD1C8B"/>
    <w:rsid w:val="00FD1CFC"/>
    <w:rsid w:val="00FD1D0B"/>
    <w:rsid w:val="00FD1EE0"/>
    <w:rsid w:val="00FD1F4F"/>
    <w:rsid w:val="00FD221C"/>
    <w:rsid w:val="00FD2228"/>
    <w:rsid w:val="00FD2243"/>
    <w:rsid w:val="00FD225B"/>
    <w:rsid w:val="00FD22FA"/>
    <w:rsid w:val="00FD2349"/>
    <w:rsid w:val="00FD243C"/>
    <w:rsid w:val="00FD2480"/>
    <w:rsid w:val="00FD251B"/>
    <w:rsid w:val="00FD2601"/>
    <w:rsid w:val="00FD2625"/>
    <w:rsid w:val="00FD2635"/>
    <w:rsid w:val="00FD271D"/>
    <w:rsid w:val="00FD285C"/>
    <w:rsid w:val="00FD28DE"/>
    <w:rsid w:val="00FD29CC"/>
    <w:rsid w:val="00FD29F5"/>
    <w:rsid w:val="00FD2B1C"/>
    <w:rsid w:val="00FD2BAD"/>
    <w:rsid w:val="00FD2C13"/>
    <w:rsid w:val="00FD2D13"/>
    <w:rsid w:val="00FD2D3A"/>
    <w:rsid w:val="00FD2E0A"/>
    <w:rsid w:val="00FD2E4C"/>
    <w:rsid w:val="00FD319B"/>
    <w:rsid w:val="00FD32D7"/>
    <w:rsid w:val="00FD32DB"/>
    <w:rsid w:val="00FD32E4"/>
    <w:rsid w:val="00FD3340"/>
    <w:rsid w:val="00FD344F"/>
    <w:rsid w:val="00FD357F"/>
    <w:rsid w:val="00FD3709"/>
    <w:rsid w:val="00FD37CF"/>
    <w:rsid w:val="00FD3892"/>
    <w:rsid w:val="00FD38A3"/>
    <w:rsid w:val="00FD3954"/>
    <w:rsid w:val="00FD3980"/>
    <w:rsid w:val="00FD39B9"/>
    <w:rsid w:val="00FD39E9"/>
    <w:rsid w:val="00FD3AB5"/>
    <w:rsid w:val="00FD3B3C"/>
    <w:rsid w:val="00FD3B66"/>
    <w:rsid w:val="00FD3C7C"/>
    <w:rsid w:val="00FD3CF8"/>
    <w:rsid w:val="00FD3ED1"/>
    <w:rsid w:val="00FD3F1E"/>
    <w:rsid w:val="00FD4156"/>
    <w:rsid w:val="00FD41AD"/>
    <w:rsid w:val="00FD4321"/>
    <w:rsid w:val="00FD4396"/>
    <w:rsid w:val="00FD43E6"/>
    <w:rsid w:val="00FD469C"/>
    <w:rsid w:val="00FD46BE"/>
    <w:rsid w:val="00FD47A8"/>
    <w:rsid w:val="00FD483A"/>
    <w:rsid w:val="00FD4858"/>
    <w:rsid w:val="00FD4974"/>
    <w:rsid w:val="00FD4BB0"/>
    <w:rsid w:val="00FD4BCC"/>
    <w:rsid w:val="00FD4BF2"/>
    <w:rsid w:val="00FD4D68"/>
    <w:rsid w:val="00FD4EED"/>
    <w:rsid w:val="00FD4FB4"/>
    <w:rsid w:val="00FD504D"/>
    <w:rsid w:val="00FD50E8"/>
    <w:rsid w:val="00FD51E4"/>
    <w:rsid w:val="00FD5306"/>
    <w:rsid w:val="00FD55F4"/>
    <w:rsid w:val="00FD561E"/>
    <w:rsid w:val="00FD565C"/>
    <w:rsid w:val="00FD56FE"/>
    <w:rsid w:val="00FD57A1"/>
    <w:rsid w:val="00FD5912"/>
    <w:rsid w:val="00FD5A92"/>
    <w:rsid w:val="00FD5AB0"/>
    <w:rsid w:val="00FD5B85"/>
    <w:rsid w:val="00FD5D30"/>
    <w:rsid w:val="00FD5E69"/>
    <w:rsid w:val="00FD5E90"/>
    <w:rsid w:val="00FD5EA7"/>
    <w:rsid w:val="00FD5EDF"/>
    <w:rsid w:val="00FD5FAF"/>
    <w:rsid w:val="00FD6153"/>
    <w:rsid w:val="00FD6387"/>
    <w:rsid w:val="00FD63E3"/>
    <w:rsid w:val="00FD646F"/>
    <w:rsid w:val="00FD651F"/>
    <w:rsid w:val="00FD6542"/>
    <w:rsid w:val="00FD6614"/>
    <w:rsid w:val="00FD679B"/>
    <w:rsid w:val="00FD683F"/>
    <w:rsid w:val="00FD6981"/>
    <w:rsid w:val="00FD6AB4"/>
    <w:rsid w:val="00FD6B16"/>
    <w:rsid w:val="00FD6DE8"/>
    <w:rsid w:val="00FD6F93"/>
    <w:rsid w:val="00FD7050"/>
    <w:rsid w:val="00FD70DC"/>
    <w:rsid w:val="00FD70FC"/>
    <w:rsid w:val="00FD7436"/>
    <w:rsid w:val="00FD74AF"/>
    <w:rsid w:val="00FD74CD"/>
    <w:rsid w:val="00FD75F3"/>
    <w:rsid w:val="00FD76AC"/>
    <w:rsid w:val="00FD76FB"/>
    <w:rsid w:val="00FD772D"/>
    <w:rsid w:val="00FD7752"/>
    <w:rsid w:val="00FD7837"/>
    <w:rsid w:val="00FD7850"/>
    <w:rsid w:val="00FD787A"/>
    <w:rsid w:val="00FD788F"/>
    <w:rsid w:val="00FD7933"/>
    <w:rsid w:val="00FD794D"/>
    <w:rsid w:val="00FD7A11"/>
    <w:rsid w:val="00FD7C4C"/>
    <w:rsid w:val="00FD7D89"/>
    <w:rsid w:val="00FD7D8B"/>
    <w:rsid w:val="00FD7DAA"/>
    <w:rsid w:val="00FD7DF0"/>
    <w:rsid w:val="00FD7F0A"/>
    <w:rsid w:val="00FD7F7A"/>
    <w:rsid w:val="00FE015D"/>
    <w:rsid w:val="00FE022B"/>
    <w:rsid w:val="00FE03D1"/>
    <w:rsid w:val="00FE046F"/>
    <w:rsid w:val="00FE05B9"/>
    <w:rsid w:val="00FE0603"/>
    <w:rsid w:val="00FE0687"/>
    <w:rsid w:val="00FE06C6"/>
    <w:rsid w:val="00FE0872"/>
    <w:rsid w:val="00FE087F"/>
    <w:rsid w:val="00FE0897"/>
    <w:rsid w:val="00FE0909"/>
    <w:rsid w:val="00FE0957"/>
    <w:rsid w:val="00FE099E"/>
    <w:rsid w:val="00FE0A30"/>
    <w:rsid w:val="00FE0A52"/>
    <w:rsid w:val="00FE0B5A"/>
    <w:rsid w:val="00FE0C00"/>
    <w:rsid w:val="00FE0DEC"/>
    <w:rsid w:val="00FE0E15"/>
    <w:rsid w:val="00FE1055"/>
    <w:rsid w:val="00FE1080"/>
    <w:rsid w:val="00FE10FE"/>
    <w:rsid w:val="00FE1147"/>
    <w:rsid w:val="00FE121B"/>
    <w:rsid w:val="00FE12EC"/>
    <w:rsid w:val="00FE139B"/>
    <w:rsid w:val="00FE1442"/>
    <w:rsid w:val="00FE14F8"/>
    <w:rsid w:val="00FE1515"/>
    <w:rsid w:val="00FE15CD"/>
    <w:rsid w:val="00FE1648"/>
    <w:rsid w:val="00FE16D1"/>
    <w:rsid w:val="00FE1702"/>
    <w:rsid w:val="00FE1796"/>
    <w:rsid w:val="00FE17C5"/>
    <w:rsid w:val="00FE181B"/>
    <w:rsid w:val="00FE18F5"/>
    <w:rsid w:val="00FE1955"/>
    <w:rsid w:val="00FE19AC"/>
    <w:rsid w:val="00FE1AEA"/>
    <w:rsid w:val="00FE1B2E"/>
    <w:rsid w:val="00FE1B31"/>
    <w:rsid w:val="00FE1C42"/>
    <w:rsid w:val="00FE1CB4"/>
    <w:rsid w:val="00FE1FF8"/>
    <w:rsid w:val="00FE2017"/>
    <w:rsid w:val="00FE20D0"/>
    <w:rsid w:val="00FE212C"/>
    <w:rsid w:val="00FE2195"/>
    <w:rsid w:val="00FE21A7"/>
    <w:rsid w:val="00FE21B7"/>
    <w:rsid w:val="00FE2261"/>
    <w:rsid w:val="00FE22A5"/>
    <w:rsid w:val="00FE2414"/>
    <w:rsid w:val="00FE242E"/>
    <w:rsid w:val="00FE256E"/>
    <w:rsid w:val="00FE25A3"/>
    <w:rsid w:val="00FE270A"/>
    <w:rsid w:val="00FE2807"/>
    <w:rsid w:val="00FE2818"/>
    <w:rsid w:val="00FE28A2"/>
    <w:rsid w:val="00FE297E"/>
    <w:rsid w:val="00FE2B63"/>
    <w:rsid w:val="00FE2B79"/>
    <w:rsid w:val="00FE2CDE"/>
    <w:rsid w:val="00FE2D35"/>
    <w:rsid w:val="00FE2D9F"/>
    <w:rsid w:val="00FE2E28"/>
    <w:rsid w:val="00FE2E7D"/>
    <w:rsid w:val="00FE2E87"/>
    <w:rsid w:val="00FE2E8C"/>
    <w:rsid w:val="00FE2EEA"/>
    <w:rsid w:val="00FE2EFB"/>
    <w:rsid w:val="00FE2F67"/>
    <w:rsid w:val="00FE2FF5"/>
    <w:rsid w:val="00FE31AD"/>
    <w:rsid w:val="00FE3201"/>
    <w:rsid w:val="00FE3239"/>
    <w:rsid w:val="00FE332C"/>
    <w:rsid w:val="00FE344E"/>
    <w:rsid w:val="00FE3450"/>
    <w:rsid w:val="00FE3598"/>
    <w:rsid w:val="00FE3796"/>
    <w:rsid w:val="00FE37F0"/>
    <w:rsid w:val="00FE3867"/>
    <w:rsid w:val="00FE38EA"/>
    <w:rsid w:val="00FE3972"/>
    <w:rsid w:val="00FE3A6D"/>
    <w:rsid w:val="00FE3B1C"/>
    <w:rsid w:val="00FE3B34"/>
    <w:rsid w:val="00FE3BF2"/>
    <w:rsid w:val="00FE3C44"/>
    <w:rsid w:val="00FE3D27"/>
    <w:rsid w:val="00FE3E18"/>
    <w:rsid w:val="00FE3E33"/>
    <w:rsid w:val="00FE3E7C"/>
    <w:rsid w:val="00FE3EEC"/>
    <w:rsid w:val="00FE3F3C"/>
    <w:rsid w:val="00FE3FAB"/>
    <w:rsid w:val="00FE3FD3"/>
    <w:rsid w:val="00FE401D"/>
    <w:rsid w:val="00FE4183"/>
    <w:rsid w:val="00FE41A4"/>
    <w:rsid w:val="00FE42B0"/>
    <w:rsid w:val="00FE42D1"/>
    <w:rsid w:val="00FE4347"/>
    <w:rsid w:val="00FE4375"/>
    <w:rsid w:val="00FE438F"/>
    <w:rsid w:val="00FE43FF"/>
    <w:rsid w:val="00FE44C9"/>
    <w:rsid w:val="00FE4539"/>
    <w:rsid w:val="00FE4559"/>
    <w:rsid w:val="00FE4589"/>
    <w:rsid w:val="00FE4599"/>
    <w:rsid w:val="00FE4621"/>
    <w:rsid w:val="00FE4644"/>
    <w:rsid w:val="00FE4740"/>
    <w:rsid w:val="00FE475F"/>
    <w:rsid w:val="00FE47D7"/>
    <w:rsid w:val="00FE48DE"/>
    <w:rsid w:val="00FE4A18"/>
    <w:rsid w:val="00FE4A82"/>
    <w:rsid w:val="00FE4ACE"/>
    <w:rsid w:val="00FE4B5D"/>
    <w:rsid w:val="00FE4B9E"/>
    <w:rsid w:val="00FE4CBB"/>
    <w:rsid w:val="00FE4CDB"/>
    <w:rsid w:val="00FE4F74"/>
    <w:rsid w:val="00FE4F90"/>
    <w:rsid w:val="00FE505C"/>
    <w:rsid w:val="00FE507C"/>
    <w:rsid w:val="00FE52D8"/>
    <w:rsid w:val="00FE5366"/>
    <w:rsid w:val="00FE551F"/>
    <w:rsid w:val="00FE5702"/>
    <w:rsid w:val="00FE5A50"/>
    <w:rsid w:val="00FE5EC7"/>
    <w:rsid w:val="00FE5FE4"/>
    <w:rsid w:val="00FE6111"/>
    <w:rsid w:val="00FE61DF"/>
    <w:rsid w:val="00FE621D"/>
    <w:rsid w:val="00FE6360"/>
    <w:rsid w:val="00FE6408"/>
    <w:rsid w:val="00FE643F"/>
    <w:rsid w:val="00FE64AF"/>
    <w:rsid w:val="00FE6507"/>
    <w:rsid w:val="00FE650A"/>
    <w:rsid w:val="00FE657B"/>
    <w:rsid w:val="00FE65D3"/>
    <w:rsid w:val="00FE6641"/>
    <w:rsid w:val="00FE66EB"/>
    <w:rsid w:val="00FE6775"/>
    <w:rsid w:val="00FE68DC"/>
    <w:rsid w:val="00FE6960"/>
    <w:rsid w:val="00FE69AF"/>
    <w:rsid w:val="00FE6B51"/>
    <w:rsid w:val="00FE6BB1"/>
    <w:rsid w:val="00FE6D04"/>
    <w:rsid w:val="00FE6D9A"/>
    <w:rsid w:val="00FE6E43"/>
    <w:rsid w:val="00FE6EFF"/>
    <w:rsid w:val="00FE7077"/>
    <w:rsid w:val="00FE7087"/>
    <w:rsid w:val="00FE7089"/>
    <w:rsid w:val="00FE7113"/>
    <w:rsid w:val="00FE7330"/>
    <w:rsid w:val="00FE73A4"/>
    <w:rsid w:val="00FE73DD"/>
    <w:rsid w:val="00FE75C8"/>
    <w:rsid w:val="00FE75D9"/>
    <w:rsid w:val="00FE75E7"/>
    <w:rsid w:val="00FE76D8"/>
    <w:rsid w:val="00FE7759"/>
    <w:rsid w:val="00FE7937"/>
    <w:rsid w:val="00FE793B"/>
    <w:rsid w:val="00FE7C2B"/>
    <w:rsid w:val="00FE7CFB"/>
    <w:rsid w:val="00FE7D29"/>
    <w:rsid w:val="00FE7D5D"/>
    <w:rsid w:val="00FE7D6D"/>
    <w:rsid w:val="00FE7ECD"/>
    <w:rsid w:val="00FE7EF7"/>
    <w:rsid w:val="00FE7F00"/>
    <w:rsid w:val="00FE7F1C"/>
    <w:rsid w:val="00FE7FBF"/>
    <w:rsid w:val="00FF0103"/>
    <w:rsid w:val="00FF015B"/>
    <w:rsid w:val="00FF021E"/>
    <w:rsid w:val="00FF03C9"/>
    <w:rsid w:val="00FF047D"/>
    <w:rsid w:val="00FF054C"/>
    <w:rsid w:val="00FF0664"/>
    <w:rsid w:val="00FF0668"/>
    <w:rsid w:val="00FF067B"/>
    <w:rsid w:val="00FF0682"/>
    <w:rsid w:val="00FF06D2"/>
    <w:rsid w:val="00FF073C"/>
    <w:rsid w:val="00FF0907"/>
    <w:rsid w:val="00FF0C7C"/>
    <w:rsid w:val="00FF0D8B"/>
    <w:rsid w:val="00FF0E78"/>
    <w:rsid w:val="00FF0EA9"/>
    <w:rsid w:val="00FF0F4D"/>
    <w:rsid w:val="00FF0FF8"/>
    <w:rsid w:val="00FF1057"/>
    <w:rsid w:val="00FF1074"/>
    <w:rsid w:val="00FF1109"/>
    <w:rsid w:val="00FF1128"/>
    <w:rsid w:val="00FF121C"/>
    <w:rsid w:val="00FF12E0"/>
    <w:rsid w:val="00FF12E7"/>
    <w:rsid w:val="00FF1423"/>
    <w:rsid w:val="00FF153C"/>
    <w:rsid w:val="00FF154E"/>
    <w:rsid w:val="00FF1666"/>
    <w:rsid w:val="00FF16A7"/>
    <w:rsid w:val="00FF16AA"/>
    <w:rsid w:val="00FF17F7"/>
    <w:rsid w:val="00FF1974"/>
    <w:rsid w:val="00FF1998"/>
    <w:rsid w:val="00FF1A49"/>
    <w:rsid w:val="00FF1A4A"/>
    <w:rsid w:val="00FF1A5E"/>
    <w:rsid w:val="00FF1B59"/>
    <w:rsid w:val="00FF1C2D"/>
    <w:rsid w:val="00FF1C37"/>
    <w:rsid w:val="00FF1CE1"/>
    <w:rsid w:val="00FF1DA9"/>
    <w:rsid w:val="00FF1EA3"/>
    <w:rsid w:val="00FF1EEA"/>
    <w:rsid w:val="00FF1FD5"/>
    <w:rsid w:val="00FF2028"/>
    <w:rsid w:val="00FF20F3"/>
    <w:rsid w:val="00FF2297"/>
    <w:rsid w:val="00FF22E6"/>
    <w:rsid w:val="00FF24C5"/>
    <w:rsid w:val="00FF2636"/>
    <w:rsid w:val="00FF2653"/>
    <w:rsid w:val="00FF26A8"/>
    <w:rsid w:val="00FF2734"/>
    <w:rsid w:val="00FF2736"/>
    <w:rsid w:val="00FF2955"/>
    <w:rsid w:val="00FF2970"/>
    <w:rsid w:val="00FF2AAB"/>
    <w:rsid w:val="00FF2ACE"/>
    <w:rsid w:val="00FF2B8E"/>
    <w:rsid w:val="00FF2BCE"/>
    <w:rsid w:val="00FF2C7E"/>
    <w:rsid w:val="00FF2C87"/>
    <w:rsid w:val="00FF2D77"/>
    <w:rsid w:val="00FF2DE6"/>
    <w:rsid w:val="00FF2ECD"/>
    <w:rsid w:val="00FF2F33"/>
    <w:rsid w:val="00FF305D"/>
    <w:rsid w:val="00FF309D"/>
    <w:rsid w:val="00FF3102"/>
    <w:rsid w:val="00FF3112"/>
    <w:rsid w:val="00FF31CA"/>
    <w:rsid w:val="00FF323E"/>
    <w:rsid w:val="00FF328A"/>
    <w:rsid w:val="00FF32DC"/>
    <w:rsid w:val="00FF3350"/>
    <w:rsid w:val="00FF3426"/>
    <w:rsid w:val="00FF3475"/>
    <w:rsid w:val="00FF3579"/>
    <w:rsid w:val="00FF364D"/>
    <w:rsid w:val="00FF3676"/>
    <w:rsid w:val="00FF37E1"/>
    <w:rsid w:val="00FF382C"/>
    <w:rsid w:val="00FF38C9"/>
    <w:rsid w:val="00FF3BA3"/>
    <w:rsid w:val="00FF3C3C"/>
    <w:rsid w:val="00FF3C50"/>
    <w:rsid w:val="00FF3C8A"/>
    <w:rsid w:val="00FF3D36"/>
    <w:rsid w:val="00FF3DAA"/>
    <w:rsid w:val="00FF3DD6"/>
    <w:rsid w:val="00FF3F07"/>
    <w:rsid w:val="00FF3FAE"/>
    <w:rsid w:val="00FF3FF6"/>
    <w:rsid w:val="00FF4032"/>
    <w:rsid w:val="00FF4082"/>
    <w:rsid w:val="00FF41E7"/>
    <w:rsid w:val="00FF4284"/>
    <w:rsid w:val="00FF43FE"/>
    <w:rsid w:val="00FF45FD"/>
    <w:rsid w:val="00FF4615"/>
    <w:rsid w:val="00FF4637"/>
    <w:rsid w:val="00FF4767"/>
    <w:rsid w:val="00FF47A1"/>
    <w:rsid w:val="00FF48B7"/>
    <w:rsid w:val="00FF4A5A"/>
    <w:rsid w:val="00FF4B6F"/>
    <w:rsid w:val="00FF4BF0"/>
    <w:rsid w:val="00FF4DD0"/>
    <w:rsid w:val="00FF4E4A"/>
    <w:rsid w:val="00FF4FC6"/>
    <w:rsid w:val="00FF5005"/>
    <w:rsid w:val="00FF502E"/>
    <w:rsid w:val="00FF50C9"/>
    <w:rsid w:val="00FF50EA"/>
    <w:rsid w:val="00FF51E0"/>
    <w:rsid w:val="00FF531C"/>
    <w:rsid w:val="00FF5356"/>
    <w:rsid w:val="00FF5456"/>
    <w:rsid w:val="00FF5507"/>
    <w:rsid w:val="00FF550E"/>
    <w:rsid w:val="00FF55E0"/>
    <w:rsid w:val="00FF561B"/>
    <w:rsid w:val="00FF570B"/>
    <w:rsid w:val="00FF5761"/>
    <w:rsid w:val="00FF578C"/>
    <w:rsid w:val="00FF57EC"/>
    <w:rsid w:val="00FF5981"/>
    <w:rsid w:val="00FF5A5E"/>
    <w:rsid w:val="00FF5AA6"/>
    <w:rsid w:val="00FF5AE3"/>
    <w:rsid w:val="00FF5AE4"/>
    <w:rsid w:val="00FF5B61"/>
    <w:rsid w:val="00FF5C8B"/>
    <w:rsid w:val="00FF5CE0"/>
    <w:rsid w:val="00FF5D35"/>
    <w:rsid w:val="00FF5D4A"/>
    <w:rsid w:val="00FF5DC3"/>
    <w:rsid w:val="00FF5F3E"/>
    <w:rsid w:val="00FF5F6F"/>
    <w:rsid w:val="00FF5F91"/>
    <w:rsid w:val="00FF603E"/>
    <w:rsid w:val="00FF6189"/>
    <w:rsid w:val="00FF61CD"/>
    <w:rsid w:val="00FF628C"/>
    <w:rsid w:val="00FF6429"/>
    <w:rsid w:val="00FF6536"/>
    <w:rsid w:val="00FF665F"/>
    <w:rsid w:val="00FF6676"/>
    <w:rsid w:val="00FF677C"/>
    <w:rsid w:val="00FF69AC"/>
    <w:rsid w:val="00FF69F2"/>
    <w:rsid w:val="00FF6A02"/>
    <w:rsid w:val="00FF6A58"/>
    <w:rsid w:val="00FF6B05"/>
    <w:rsid w:val="00FF6B5B"/>
    <w:rsid w:val="00FF6C1E"/>
    <w:rsid w:val="00FF6CC0"/>
    <w:rsid w:val="00FF6DA6"/>
    <w:rsid w:val="00FF6DE8"/>
    <w:rsid w:val="00FF6E33"/>
    <w:rsid w:val="00FF6EFB"/>
    <w:rsid w:val="00FF6FC9"/>
    <w:rsid w:val="00FF700C"/>
    <w:rsid w:val="00FF702B"/>
    <w:rsid w:val="00FF706C"/>
    <w:rsid w:val="00FF70A4"/>
    <w:rsid w:val="00FF71EC"/>
    <w:rsid w:val="00FF71F8"/>
    <w:rsid w:val="00FF71FC"/>
    <w:rsid w:val="00FF725D"/>
    <w:rsid w:val="00FF72D7"/>
    <w:rsid w:val="00FF735B"/>
    <w:rsid w:val="00FF736C"/>
    <w:rsid w:val="00FF73A3"/>
    <w:rsid w:val="00FF74BA"/>
    <w:rsid w:val="00FF75BD"/>
    <w:rsid w:val="00FF75E5"/>
    <w:rsid w:val="00FF781B"/>
    <w:rsid w:val="00FF7861"/>
    <w:rsid w:val="00FF789E"/>
    <w:rsid w:val="00FF78AC"/>
    <w:rsid w:val="00FF78B1"/>
    <w:rsid w:val="00FF79B6"/>
    <w:rsid w:val="00FF7A05"/>
    <w:rsid w:val="00FF7A0E"/>
    <w:rsid w:val="00FF7AD6"/>
    <w:rsid w:val="00FF7B63"/>
    <w:rsid w:val="00FF7B6E"/>
    <w:rsid w:val="00FF7C38"/>
    <w:rsid w:val="00FF7C56"/>
    <w:rsid w:val="00FF7C9C"/>
    <w:rsid w:val="00FF7EEA"/>
    <w:rsid w:val="00FF7F1A"/>
    <w:rsid w:val="00FF7F99"/>
    <w:rsid w:val="00FF7FEC"/>
    <w:rsid w:val="01218435"/>
    <w:rsid w:val="012C630C"/>
    <w:rsid w:val="01328335"/>
    <w:rsid w:val="0133872A"/>
    <w:rsid w:val="013BEEC9"/>
    <w:rsid w:val="01691AA4"/>
    <w:rsid w:val="01C97398"/>
    <w:rsid w:val="01FA9175"/>
    <w:rsid w:val="02076F92"/>
    <w:rsid w:val="022B24E7"/>
    <w:rsid w:val="0233FAFA"/>
    <w:rsid w:val="02458A3C"/>
    <w:rsid w:val="026167A6"/>
    <w:rsid w:val="0267C4D1"/>
    <w:rsid w:val="028A332A"/>
    <w:rsid w:val="02A90149"/>
    <w:rsid w:val="02F80088"/>
    <w:rsid w:val="03274369"/>
    <w:rsid w:val="03468E76"/>
    <w:rsid w:val="03524666"/>
    <w:rsid w:val="035A86AB"/>
    <w:rsid w:val="0365EA6C"/>
    <w:rsid w:val="03854E58"/>
    <w:rsid w:val="039F47DB"/>
    <w:rsid w:val="03A48C72"/>
    <w:rsid w:val="03B9614B"/>
    <w:rsid w:val="03CFFB68"/>
    <w:rsid w:val="03E3AE15"/>
    <w:rsid w:val="041BD269"/>
    <w:rsid w:val="0421A797"/>
    <w:rsid w:val="042374BA"/>
    <w:rsid w:val="0426D335"/>
    <w:rsid w:val="0452DA23"/>
    <w:rsid w:val="0470008F"/>
    <w:rsid w:val="04B51E7D"/>
    <w:rsid w:val="04B6A8DB"/>
    <w:rsid w:val="04EF0211"/>
    <w:rsid w:val="04EF4DF6"/>
    <w:rsid w:val="05060C6C"/>
    <w:rsid w:val="0514E1B2"/>
    <w:rsid w:val="053CC6C4"/>
    <w:rsid w:val="05437F19"/>
    <w:rsid w:val="0559BD2F"/>
    <w:rsid w:val="0580CBFD"/>
    <w:rsid w:val="059B0F56"/>
    <w:rsid w:val="05AE18E1"/>
    <w:rsid w:val="05C3AF62"/>
    <w:rsid w:val="05D37CA4"/>
    <w:rsid w:val="05D8D948"/>
    <w:rsid w:val="05D9D3AD"/>
    <w:rsid w:val="05FAD527"/>
    <w:rsid w:val="0603BCDB"/>
    <w:rsid w:val="06197588"/>
    <w:rsid w:val="0620202B"/>
    <w:rsid w:val="0634213C"/>
    <w:rsid w:val="06554220"/>
    <w:rsid w:val="065CED87"/>
    <w:rsid w:val="0669F505"/>
    <w:rsid w:val="067C8490"/>
    <w:rsid w:val="06B0A3AF"/>
    <w:rsid w:val="06F6C5BF"/>
    <w:rsid w:val="0716CD0B"/>
    <w:rsid w:val="072F12BD"/>
    <w:rsid w:val="073AE836"/>
    <w:rsid w:val="07473292"/>
    <w:rsid w:val="076BD1D7"/>
    <w:rsid w:val="078DBAEB"/>
    <w:rsid w:val="079DB81B"/>
    <w:rsid w:val="07A53EBB"/>
    <w:rsid w:val="07CA22FE"/>
    <w:rsid w:val="07EB4BC3"/>
    <w:rsid w:val="07FF5032"/>
    <w:rsid w:val="0807D15C"/>
    <w:rsid w:val="080BF4BB"/>
    <w:rsid w:val="08218ADF"/>
    <w:rsid w:val="083C0D42"/>
    <w:rsid w:val="08539F25"/>
    <w:rsid w:val="085BB44D"/>
    <w:rsid w:val="0885D9E3"/>
    <w:rsid w:val="08B398AB"/>
    <w:rsid w:val="08C42C71"/>
    <w:rsid w:val="08DD4DA3"/>
    <w:rsid w:val="0970B113"/>
    <w:rsid w:val="0984265D"/>
    <w:rsid w:val="099F3AA9"/>
    <w:rsid w:val="09B12E83"/>
    <w:rsid w:val="09CAAB19"/>
    <w:rsid w:val="09CE258A"/>
    <w:rsid w:val="09DA142A"/>
    <w:rsid w:val="09DFF71E"/>
    <w:rsid w:val="09FCFF7D"/>
    <w:rsid w:val="0A0734FD"/>
    <w:rsid w:val="0A143A0B"/>
    <w:rsid w:val="0A75A621"/>
    <w:rsid w:val="0A777DE7"/>
    <w:rsid w:val="0A814785"/>
    <w:rsid w:val="0A81A3FB"/>
    <w:rsid w:val="0AAE70B3"/>
    <w:rsid w:val="0ABB2D53"/>
    <w:rsid w:val="0AC531FF"/>
    <w:rsid w:val="0AD663E5"/>
    <w:rsid w:val="0AF7D64C"/>
    <w:rsid w:val="0B25F63B"/>
    <w:rsid w:val="0B2F4E35"/>
    <w:rsid w:val="0B36FC73"/>
    <w:rsid w:val="0B3AD7D1"/>
    <w:rsid w:val="0B418781"/>
    <w:rsid w:val="0B6B57D3"/>
    <w:rsid w:val="0B6DEBF9"/>
    <w:rsid w:val="0B85B27C"/>
    <w:rsid w:val="0BB8BF06"/>
    <w:rsid w:val="0BCA7474"/>
    <w:rsid w:val="0BF6410F"/>
    <w:rsid w:val="0BFBE404"/>
    <w:rsid w:val="0C025279"/>
    <w:rsid w:val="0C1B5289"/>
    <w:rsid w:val="0C2CEE1A"/>
    <w:rsid w:val="0C2DD53B"/>
    <w:rsid w:val="0C6C11FF"/>
    <w:rsid w:val="0C711A63"/>
    <w:rsid w:val="0C864A8F"/>
    <w:rsid w:val="0C969C6E"/>
    <w:rsid w:val="0CBF1546"/>
    <w:rsid w:val="0CD5BF81"/>
    <w:rsid w:val="0CDCC81C"/>
    <w:rsid w:val="0CEE67B9"/>
    <w:rsid w:val="0CF43242"/>
    <w:rsid w:val="0CF998D4"/>
    <w:rsid w:val="0D000489"/>
    <w:rsid w:val="0D0B692C"/>
    <w:rsid w:val="0D3377E8"/>
    <w:rsid w:val="0D397435"/>
    <w:rsid w:val="0D399526"/>
    <w:rsid w:val="0D47562F"/>
    <w:rsid w:val="0D553988"/>
    <w:rsid w:val="0D5B2321"/>
    <w:rsid w:val="0D6577D0"/>
    <w:rsid w:val="0D748F5B"/>
    <w:rsid w:val="0D89A38D"/>
    <w:rsid w:val="0D94AD96"/>
    <w:rsid w:val="0DAF1575"/>
    <w:rsid w:val="0DCC49A6"/>
    <w:rsid w:val="0DD5138D"/>
    <w:rsid w:val="0DD90FB8"/>
    <w:rsid w:val="0DDFDECC"/>
    <w:rsid w:val="0DE49767"/>
    <w:rsid w:val="0DE58D68"/>
    <w:rsid w:val="0DF594C8"/>
    <w:rsid w:val="0DFDD11A"/>
    <w:rsid w:val="0E15CD11"/>
    <w:rsid w:val="0E199070"/>
    <w:rsid w:val="0E1B832D"/>
    <w:rsid w:val="0E37600B"/>
    <w:rsid w:val="0E58478F"/>
    <w:rsid w:val="0E5C1EC8"/>
    <w:rsid w:val="0E7C5DC1"/>
    <w:rsid w:val="0E8D3717"/>
    <w:rsid w:val="0EDBAF70"/>
    <w:rsid w:val="0EE0D736"/>
    <w:rsid w:val="0EF04D5F"/>
    <w:rsid w:val="0EFDEC50"/>
    <w:rsid w:val="0F038B22"/>
    <w:rsid w:val="0F075404"/>
    <w:rsid w:val="0F16FA18"/>
    <w:rsid w:val="0F289E3B"/>
    <w:rsid w:val="0F320446"/>
    <w:rsid w:val="0F49EBFA"/>
    <w:rsid w:val="0F60F293"/>
    <w:rsid w:val="0F646B04"/>
    <w:rsid w:val="0FA744D7"/>
    <w:rsid w:val="0FAA5380"/>
    <w:rsid w:val="0FADFE9D"/>
    <w:rsid w:val="0FC3482E"/>
    <w:rsid w:val="0FDF9130"/>
    <w:rsid w:val="0FE5A056"/>
    <w:rsid w:val="10118929"/>
    <w:rsid w:val="10220EE3"/>
    <w:rsid w:val="10434A38"/>
    <w:rsid w:val="105EA2F8"/>
    <w:rsid w:val="1069A0ED"/>
    <w:rsid w:val="1076C315"/>
    <w:rsid w:val="10A740F5"/>
    <w:rsid w:val="10B52181"/>
    <w:rsid w:val="10E0BDB7"/>
    <w:rsid w:val="112D576A"/>
    <w:rsid w:val="11391128"/>
    <w:rsid w:val="1162F403"/>
    <w:rsid w:val="116583CF"/>
    <w:rsid w:val="118836C8"/>
    <w:rsid w:val="119566B2"/>
    <w:rsid w:val="11BB3C00"/>
    <w:rsid w:val="11CA24AF"/>
    <w:rsid w:val="11D6A1C8"/>
    <w:rsid w:val="11DB329F"/>
    <w:rsid w:val="11EBDD02"/>
    <w:rsid w:val="11F0B648"/>
    <w:rsid w:val="123320F2"/>
    <w:rsid w:val="123DA7B1"/>
    <w:rsid w:val="1248F6F0"/>
    <w:rsid w:val="124F96D5"/>
    <w:rsid w:val="126F1273"/>
    <w:rsid w:val="1279300C"/>
    <w:rsid w:val="12878CB5"/>
    <w:rsid w:val="1288AC6B"/>
    <w:rsid w:val="12AC09BB"/>
    <w:rsid w:val="12BD7A85"/>
    <w:rsid w:val="12C36A64"/>
    <w:rsid w:val="12DD5634"/>
    <w:rsid w:val="12E2AAE3"/>
    <w:rsid w:val="130C14FE"/>
    <w:rsid w:val="131DF24D"/>
    <w:rsid w:val="131F88D9"/>
    <w:rsid w:val="132DDB0A"/>
    <w:rsid w:val="13401FB8"/>
    <w:rsid w:val="13689F42"/>
    <w:rsid w:val="136E868C"/>
    <w:rsid w:val="138AF3DE"/>
    <w:rsid w:val="139FB0F1"/>
    <w:rsid w:val="13A1ACCF"/>
    <w:rsid w:val="13A5FD13"/>
    <w:rsid w:val="13A71B26"/>
    <w:rsid w:val="13AE0E43"/>
    <w:rsid w:val="13DEBB0A"/>
    <w:rsid w:val="13E6C14C"/>
    <w:rsid w:val="141C775E"/>
    <w:rsid w:val="141DDA2D"/>
    <w:rsid w:val="14290598"/>
    <w:rsid w:val="143B0DA7"/>
    <w:rsid w:val="1466EEA8"/>
    <w:rsid w:val="14683E59"/>
    <w:rsid w:val="1475E012"/>
    <w:rsid w:val="14885F24"/>
    <w:rsid w:val="1491BD4E"/>
    <w:rsid w:val="14B72212"/>
    <w:rsid w:val="14C0714F"/>
    <w:rsid w:val="14C4230F"/>
    <w:rsid w:val="14D219DC"/>
    <w:rsid w:val="14D62B5E"/>
    <w:rsid w:val="14E61549"/>
    <w:rsid w:val="14E6782B"/>
    <w:rsid w:val="14E78E06"/>
    <w:rsid w:val="14F7C951"/>
    <w:rsid w:val="150BE5B3"/>
    <w:rsid w:val="151A254F"/>
    <w:rsid w:val="15423AB5"/>
    <w:rsid w:val="1554F0DA"/>
    <w:rsid w:val="1569E789"/>
    <w:rsid w:val="157996B5"/>
    <w:rsid w:val="157FDB6A"/>
    <w:rsid w:val="15829D39"/>
    <w:rsid w:val="15A63865"/>
    <w:rsid w:val="15B79F49"/>
    <w:rsid w:val="15BADF6C"/>
    <w:rsid w:val="15BFE18A"/>
    <w:rsid w:val="15CC5091"/>
    <w:rsid w:val="1602773E"/>
    <w:rsid w:val="16255BA4"/>
    <w:rsid w:val="1646473B"/>
    <w:rsid w:val="164AA0F8"/>
    <w:rsid w:val="1650FD1D"/>
    <w:rsid w:val="16587FF0"/>
    <w:rsid w:val="166377B6"/>
    <w:rsid w:val="167191FE"/>
    <w:rsid w:val="167717B4"/>
    <w:rsid w:val="16783835"/>
    <w:rsid w:val="16936D85"/>
    <w:rsid w:val="1699C0D5"/>
    <w:rsid w:val="16A72E7A"/>
    <w:rsid w:val="16C72638"/>
    <w:rsid w:val="16D9E776"/>
    <w:rsid w:val="16EA5B63"/>
    <w:rsid w:val="16FEB490"/>
    <w:rsid w:val="170F63D7"/>
    <w:rsid w:val="1710362C"/>
    <w:rsid w:val="172002BE"/>
    <w:rsid w:val="17276862"/>
    <w:rsid w:val="1738A7A2"/>
    <w:rsid w:val="174FAEA0"/>
    <w:rsid w:val="17754083"/>
    <w:rsid w:val="177C9543"/>
    <w:rsid w:val="1780D65A"/>
    <w:rsid w:val="17A7C119"/>
    <w:rsid w:val="17D3C5E7"/>
    <w:rsid w:val="17D4EB0D"/>
    <w:rsid w:val="17DFE64E"/>
    <w:rsid w:val="17F8D984"/>
    <w:rsid w:val="18180DE4"/>
    <w:rsid w:val="1824F889"/>
    <w:rsid w:val="1826F66A"/>
    <w:rsid w:val="183283F5"/>
    <w:rsid w:val="1879DDBD"/>
    <w:rsid w:val="18B44F20"/>
    <w:rsid w:val="18BC8732"/>
    <w:rsid w:val="18F8EC31"/>
    <w:rsid w:val="190A3591"/>
    <w:rsid w:val="191B5AC5"/>
    <w:rsid w:val="192E422F"/>
    <w:rsid w:val="19365031"/>
    <w:rsid w:val="19368811"/>
    <w:rsid w:val="194D39E8"/>
    <w:rsid w:val="19564A9F"/>
    <w:rsid w:val="1966E33F"/>
    <w:rsid w:val="196DC55C"/>
    <w:rsid w:val="196E0D80"/>
    <w:rsid w:val="197230AC"/>
    <w:rsid w:val="1999CB0F"/>
    <w:rsid w:val="19AAA8EB"/>
    <w:rsid w:val="19C50873"/>
    <w:rsid w:val="19C613F7"/>
    <w:rsid w:val="19CFF809"/>
    <w:rsid w:val="19D08B4C"/>
    <w:rsid w:val="1A4A0891"/>
    <w:rsid w:val="1A5CFC92"/>
    <w:rsid w:val="1A65807A"/>
    <w:rsid w:val="1A741700"/>
    <w:rsid w:val="1A797291"/>
    <w:rsid w:val="1A8DD7D5"/>
    <w:rsid w:val="1A99D5F7"/>
    <w:rsid w:val="1AAC890C"/>
    <w:rsid w:val="1AC01CCB"/>
    <w:rsid w:val="1AC2DB52"/>
    <w:rsid w:val="1AD33677"/>
    <w:rsid w:val="1ADA1CEF"/>
    <w:rsid w:val="1AE679BB"/>
    <w:rsid w:val="1AF5E5CA"/>
    <w:rsid w:val="1B08A781"/>
    <w:rsid w:val="1B190011"/>
    <w:rsid w:val="1B467465"/>
    <w:rsid w:val="1B57D13B"/>
    <w:rsid w:val="1B5F045F"/>
    <w:rsid w:val="1B6D61AB"/>
    <w:rsid w:val="1B703767"/>
    <w:rsid w:val="1B8F25F2"/>
    <w:rsid w:val="1B937B74"/>
    <w:rsid w:val="1B995C2C"/>
    <w:rsid w:val="1BAB69E1"/>
    <w:rsid w:val="1BB15137"/>
    <w:rsid w:val="1BB4C089"/>
    <w:rsid w:val="1BC0E2A9"/>
    <w:rsid w:val="1BCAD914"/>
    <w:rsid w:val="1BD9CD40"/>
    <w:rsid w:val="1BDF9233"/>
    <w:rsid w:val="1BEC31E4"/>
    <w:rsid w:val="1C347FA1"/>
    <w:rsid w:val="1C37453C"/>
    <w:rsid w:val="1C45BE65"/>
    <w:rsid w:val="1C47CB83"/>
    <w:rsid w:val="1C8DC81D"/>
    <w:rsid w:val="1CBFC4A1"/>
    <w:rsid w:val="1CCA5B62"/>
    <w:rsid w:val="1CD0E386"/>
    <w:rsid w:val="1CE50F67"/>
    <w:rsid w:val="1D0E9ED6"/>
    <w:rsid w:val="1D238AA3"/>
    <w:rsid w:val="1D3AD171"/>
    <w:rsid w:val="1D68DCB9"/>
    <w:rsid w:val="1D7A64FC"/>
    <w:rsid w:val="1D8493C9"/>
    <w:rsid w:val="1D98D4F4"/>
    <w:rsid w:val="1D999461"/>
    <w:rsid w:val="1DBFC94E"/>
    <w:rsid w:val="1DC85EDF"/>
    <w:rsid w:val="1DE411C3"/>
    <w:rsid w:val="1DF9C668"/>
    <w:rsid w:val="1E286457"/>
    <w:rsid w:val="1E2DB767"/>
    <w:rsid w:val="1E2F37CC"/>
    <w:rsid w:val="1E302C63"/>
    <w:rsid w:val="1E470397"/>
    <w:rsid w:val="1E4DB9B5"/>
    <w:rsid w:val="1E4F3490"/>
    <w:rsid w:val="1E52B258"/>
    <w:rsid w:val="1E6B21BB"/>
    <w:rsid w:val="1E7F8D46"/>
    <w:rsid w:val="1E8C9DE6"/>
    <w:rsid w:val="1E915DCB"/>
    <w:rsid w:val="1E91BC5F"/>
    <w:rsid w:val="1E99C8E3"/>
    <w:rsid w:val="1EA54806"/>
    <w:rsid w:val="1EBB33A9"/>
    <w:rsid w:val="1ECF3FB6"/>
    <w:rsid w:val="1ED5E2FA"/>
    <w:rsid w:val="1EDB2E85"/>
    <w:rsid w:val="1EDE06FD"/>
    <w:rsid w:val="1EE0647E"/>
    <w:rsid w:val="1EE882D9"/>
    <w:rsid w:val="1F215CEB"/>
    <w:rsid w:val="1F24E094"/>
    <w:rsid w:val="1F4FEBE1"/>
    <w:rsid w:val="1F5E7EA3"/>
    <w:rsid w:val="1F9B0D66"/>
    <w:rsid w:val="1FA00472"/>
    <w:rsid w:val="1FB5DCB8"/>
    <w:rsid w:val="1FCF6D13"/>
    <w:rsid w:val="1FE05659"/>
    <w:rsid w:val="1FEF1577"/>
    <w:rsid w:val="200CE08A"/>
    <w:rsid w:val="20419FED"/>
    <w:rsid w:val="204BE970"/>
    <w:rsid w:val="207E7C4C"/>
    <w:rsid w:val="208DB0AD"/>
    <w:rsid w:val="20995639"/>
    <w:rsid w:val="20A75382"/>
    <w:rsid w:val="20D283D4"/>
    <w:rsid w:val="20F65E94"/>
    <w:rsid w:val="2116F538"/>
    <w:rsid w:val="2137E77D"/>
    <w:rsid w:val="215324B3"/>
    <w:rsid w:val="215B76A3"/>
    <w:rsid w:val="2178293C"/>
    <w:rsid w:val="2183555C"/>
    <w:rsid w:val="21AF688F"/>
    <w:rsid w:val="21E58DB3"/>
    <w:rsid w:val="21FA933B"/>
    <w:rsid w:val="220442CE"/>
    <w:rsid w:val="221ED7E2"/>
    <w:rsid w:val="22600B35"/>
    <w:rsid w:val="227511C0"/>
    <w:rsid w:val="227D6B8F"/>
    <w:rsid w:val="227D8165"/>
    <w:rsid w:val="228263E7"/>
    <w:rsid w:val="22838AB9"/>
    <w:rsid w:val="228E744E"/>
    <w:rsid w:val="22B081B7"/>
    <w:rsid w:val="22D1EB3F"/>
    <w:rsid w:val="2330BE60"/>
    <w:rsid w:val="2333F6B0"/>
    <w:rsid w:val="234C61ED"/>
    <w:rsid w:val="236CB187"/>
    <w:rsid w:val="23760E02"/>
    <w:rsid w:val="23AFF7F2"/>
    <w:rsid w:val="23B297E6"/>
    <w:rsid w:val="23BA62DD"/>
    <w:rsid w:val="23BBF419"/>
    <w:rsid w:val="23BEB19D"/>
    <w:rsid w:val="23EF7F6F"/>
    <w:rsid w:val="23F047AA"/>
    <w:rsid w:val="24081578"/>
    <w:rsid w:val="240DA687"/>
    <w:rsid w:val="2426C267"/>
    <w:rsid w:val="242A0DF4"/>
    <w:rsid w:val="242E7CDD"/>
    <w:rsid w:val="243A5001"/>
    <w:rsid w:val="2443C097"/>
    <w:rsid w:val="244A6BC0"/>
    <w:rsid w:val="244C1439"/>
    <w:rsid w:val="246E906A"/>
    <w:rsid w:val="2472FE99"/>
    <w:rsid w:val="2475418F"/>
    <w:rsid w:val="24890B95"/>
    <w:rsid w:val="248F6FFD"/>
    <w:rsid w:val="24A91658"/>
    <w:rsid w:val="24CCD212"/>
    <w:rsid w:val="24D76CC1"/>
    <w:rsid w:val="24E817EC"/>
    <w:rsid w:val="24EB70A3"/>
    <w:rsid w:val="251D71F0"/>
    <w:rsid w:val="2582D1D7"/>
    <w:rsid w:val="2583F025"/>
    <w:rsid w:val="258D8B75"/>
    <w:rsid w:val="25CDE55B"/>
    <w:rsid w:val="25F670B3"/>
    <w:rsid w:val="25F88385"/>
    <w:rsid w:val="26189B52"/>
    <w:rsid w:val="264BFA79"/>
    <w:rsid w:val="2659590A"/>
    <w:rsid w:val="2664D979"/>
    <w:rsid w:val="2673D41D"/>
    <w:rsid w:val="267953F3"/>
    <w:rsid w:val="268C151D"/>
    <w:rsid w:val="26970E9A"/>
    <w:rsid w:val="26AE2567"/>
    <w:rsid w:val="26D1B005"/>
    <w:rsid w:val="26D5943F"/>
    <w:rsid w:val="26DE9C88"/>
    <w:rsid w:val="26DF5309"/>
    <w:rsid w:val="26E19260"/>
    <w:rsid w:val="2733E173"/>
    <w:rsid w:val="27357EB0"/>
    <w:rsid w:val="2753004F"/>
    <w:rsid w:val="27625C2E"/>
    <w:rsid w:val="276C9CDD"/>
    <w:rsid w:val="27B458D4"/>
    <w:rsid w:val="27D6EA85"/>
    <w:rsid w:val="27D7739B"/>
    <w:rsid w:val="27DE363A"/>
    <w:rsid w:val="27DECD44"/>
    <w:rsid w:val="27E0567C"/>
    <w:rsid w:val="27ED20DE"/>
    <w:rsid w:val="280D1D5B"/>
    <w:rsid w:val="281CDE02"/>
    <w:rsid w:val="281FD4C8"/>
    <w:rsid w:val="28681843"/>
    <w:rsid w:val="287506CD"/>
    <w:rsid w:val="287D8BD1"/>
    <w:rsid w:val="2890B957"/>
    <w:rsid w:val="28A5DA4B"/>
    <w:rsid w:val="28A85F67"/>
    <w:rsid w:val="28AAAE4B"/>
    <w:rsid w:val="28AB133F"/>
    <w:rsid w:val="28E516A1"/>
    <w:rsid w:val="28EC921A"/>
    <w:rsid w:val="2912BB59"/>
    <w:rsid w:val="29229561"/>
    <w:rsid w:val="293B97AF"/>
    <w:rsid w:val="295CEFB8"/>
    <w:rsid w:val="295F33D9"/>
    <w:rsid w:val="299AA240"/>
    <w:rsid w:val="29A0B172"/>
    <w:rsid w:val="29A1EBF9"/>
    <w:rsid w:val="29BC06BD"/>
    <w:rsid w:val="29CF1492"/>
    <w:rsid w:val="29CF4D10"/>
    <w:rsid w:val="29D93565"/>
    <w:rsid w:val="29E27705"/>
    <w:rsid w:val="29F0AA92"/>
    <w:rsid w:val="2A0C6CC7"/>
    <w:rsid w:val="2A15E3FF"/>
    <w:rsid w:val="2A45899E"/>
    <w:rsid w:val="2A878FF0"/>
    <w:rsid w:val="2ABC8294"/>
    <w:rsid w:val="2ABE6627"/>
    <w:rsid w:val="2ACA72F8"/>
    <w:rsid w:val="2AE97DE8"/>
    <w:rsid w:val="2B09863A"/>
    <w:rsid w:val="2B130474"/>
    <w:rsid w:val="2B296C46"/>
    <w:rsid w:val="2B354D5D"/>
    <w:rsid w:val="2B374866"/>
    <w:rsid w:val="2B729D01"/>
    <w:rsid w:val="2B740D00"/>
    <w:rsid w:val="2B78142E"/>
    <w:rsid w:val="2BA4440D"/>
    <w:rsid w:val="2BC705A9"/>
    <w:rsid w:val="2BC9DDC1"/>
    <w:rsid w:val="2BD0547F"/>
    <w:rsid w:val="2BE633BD"/>
    <w:rsid w:val="2BED2B95"/>
    <w:rsid w:val="2C0DFB81"/>
    <w:rsid w:val="2C19C850"/>
    <w:rsid w:val="2C23FD80"/>
    <w:rsid w:val="2C317C86"/>
    <w:rsid w:val="2C3667B5"/>
    <w:rsid w:val="2C7F3F96"/>
    <w:rsid w:val="2C892A92"/>
    <w:rsid w:val="2CAC600E"/>
    <w:rsid w:val="2CB29FB1"/>
    <w:rsid w:val="2CDA4F1E"/>
    <w:rsid w:val="2CE7761C"/>
    <w:rsid w:val="2D0A4947"/>
    <w:rsid w:val="2D21032A"/>
    <w:rsid w:val="2D2A9F9A"/>
    <w:rsid w:val="2D34D855"/>
    <w:rsid w:val="2D41146E"/>
    <w:rsid w:val="2D6DCE27"/>
    <w:rsid w:val="2D9C1BDB"/>
    <w:rsid w:val="2DB1F536"/>
    <w:rsid w:val="2DB568B8"/>
    <w:rsid w:val="2DB833AE"/>
    <w:rsid w:val="2DB98246"/>
    <w:rsid w:val="2DE1EC6E"/>
    <w:rsid w:val="2DE4C4EB"/>
    <w:rsid w:val="2DE8A3DD"/>
    <w:rsid w:val="2E20863D"/>
    <w:rsid w:val="2E211F8B"/>
    <w:rsid w:val="2E23CD56"/>
    <w:rsid w:val="2E2A867F"/>
    <w:rsid w:val="2E4311C5"/>
    <w:rsid w:val="2E5397A7"/>
    <w:rsid w:val="2E56A6E2"/>
    <w:rsid w:val="2E6E0EAC"/>
    <w:rsid w:val="2E979600"/>
    <w:rsid w:val="2EA68D8C"/>
    <w:rsid w:val="2EB6F8A5"/>
    <w:rsid w:val="2EBBA47F"/>
    <w:rsid w:val="2ECA370A"/>
    <w:rsid w:val="2EED8B09"/>
    <w:rsid w:val="2EF7F1FA"/>
    <w:rsid w:val="2EFB0B10"/>
    <w:rsid w:val="2F08FC47"/>
    <w:rsid w:val="2F095E84"/>
    <w:rsid w:val="2F18B1D0"/>
    <w:rsid w:val="2F635B8E"/>
    <w:rsid w:val="2F8BC309"/>
    <w:rsid w:val="2FB3221F"/>
    <w:rsid w:val="2FD183DB"/>
    <w:rsid w:val="300276EF"/>
    <w:rsid w:val="3011ABA8"/>
    <w:rsid w:val="30423CCB"/>
    <w:rsid w:val="305A06F3"/>
    <w:rsid w:val="306726AE"/>
    <w:rsid w:val="3069D307"/>
    <w:rsid w:val="3079B667"/>
    <w:rsid w:val="30A3FAC0"/>
    <w:rsid w:val="30EE4621"/>
    <w:rsid w:val="30FBA813"/>
    <w:rsid w:val="31282BAC"/>
    <w:rsid w:val="312D01F5"/>
    <w:rsid w:val="31300478"/>
    <w:rsid w:val="31307D71"/>
    <w:rsid w:val="3146C9A3"/>
    <w:rsid w:val="3154311D"/>
    <w:rsid w:val="3160D5A7"/>
    <w:rsid w:val="3177868C"/>
    <w:rsid w:val="31B43BDB"/>
    <w:rsid w:val="31DFD8D7"/>
    <w:rsid w:val="31E0BAAB"/>
    <w:rsid w:val="31F01B6B"/>
    <w:rsid w:val="32003207"/>
    <w:rsid w:val="32229F15"/>
    <w:rsid w:val="32389120"/>
    <w:rsid w:val="32430F36"/>
    <w:rsid w:val="3260B8D5"/>
    <w:rsid w:val="3265339D"/>
    <w:rsid w:val="32A46887"/>
    <w:rsid w:val="32A5ACE1"/>
    <w:rsid w:val="32B349CC"/>
    <w:rsid w:val="32DC1E07"/>
    <w:rsid w:val="32E48639"/>
    <w:rsid w:val="32FCD52C"/>
    <w:rsid w:val="33024F7A"/>
    <w:rsid w:val="330EA372"/>
    <w:rsid w:val="3326E925"/>
    <w:rsid w:val="333D6AA8"/>
    <w:rsid w:val="33555C9D"/>
    <w:rsid w:val="33784E01"/>
    <w:rsid w:val="3378703A"/>
    <w:rsid w:val="338AADBD"/>
    <w:rsid w:val="33909CAA"/>
    <w:rsid w:val="33A7B8A9"/>
    <w:rsid w:val="33D6F2FE"/>
    <w:rsid w:val="33E2E7BF"/>
    <w:rsid w:val="33F3BDC4"/>
    <w:rsid w:val="341CC398"/>
    <w:rsid w:val="34320675"/>
    <w:rsid w:val="344AB010"/>
    <w:rsid w:val="34632866"/>
    <w:rsid w:val="350E0AB7"/>
    <w:rsid w:val="35154ED3"/>
    <w:rsid w:val="3531143D"/>
    <w:rsid w:val="3533E8D2"/>
    <w:rsid w:val="3541F9C5"/>
    <w:rsid w:val="3567BB30"/>
    <w:rsid w:val="357BEA2A"/>
    <w:rsid w:val="358F05F5"/>
    <w:rsid w:val="35991DAB"/>
    <w:rsid w:val="35ACD3A8"/>
    <w:rsid w:val="35D4F5FB"/>
    <w:rsid w:val="35FE8ABE"/>
    <w:rsid w:val="362C855C"/>
    <w:rsid w:val="3650C28B"/>
    <w:rsid w:val="36675D3D"/>
    <w:rsid w:val="369F53CF"/>
    <w:rsid w:val="36AE8A00"/>
    <w:rsid w:val="36B0626F"/>
    <w:rsid w:val="36C0AA64"/>
    <w:rsid w:val="36D938D3"/>
    <w:rsid w:val="36DC5DA2"/>
    <w:rsid w:val="36DD5228"/>
    <w:rsid w:val="36E2280D"/>
    <w:rsid w:val="370868BF"/>
    <w:rsid w:val="373B9CAC"/>
    <w:rsid w:val="3763EE3D"/>
    <w:rsid w:val="37AFF446"/>
    <w:rsid w:val="37B7F3EF"/>
    <w:rsid w:val="37DE53C3"/>
    <w:rsid w:val="381F895D"/>
    <w:rsid w:val="38433910"/>
    <w:rsid w:val="38702EB4"/>
    <w:rsid w:val="388B1109"/>
    <w:rsid w:val="38A966A5"/>
    <w:rsid w:val="38C10D12"/>
    <w:rsid w:val="38C5038A"/>
    <w:rsid w:val="38C6BD9F"/>
    <w:rsid w:val="38CA015A"/>
    <w:rsid w:val="38CB0EFF"/>
    <w:rsid w:val="38DC36DB"/>
    <w:rsid w:val="38DE9B41"/>
    <w:rsid w:val="38E3E38E"/>
    <w:rsid w:val="38E44F81"/>
    <w:rsid w:val="38E67541"/>
    <w:rsid w:val="38FE43D0"/>
    <w:rsid w:val="3909A65C"/>
    <w:rsid w:val="3910AC2B"/>
    <w:rsid w:val="3915FBCA"/>
    <w:rsid w:val="391B6785"/>
    <w:rsid w:val="3946201A"/>
    <w:rsid w:val="39498CB9"/>
    <w:rsid w:val="3949FE39"/>
    <w:rsid w:val="394CC1C8"/>
    <w:rsid w:val="3958B55B"/>
    <w:rsid w:val="39BFD386"/>
    <w:rsid w:val="39F9F8C1"/>
    <w:rsid w:val="39FA9644"/>
    <w:rsid w:val="39FC7ECF"/>
    <w:rsid w:val="3A12612C"/>
    <w:rsid w:val="3A3A8A5E"/>
    <w:rsid w:val="3A454BAB"/>
    <w:rsid w:val="3A73D94E"/>
    <w:rsid w:val="3A93D77C"/>
    <w:rsid w:val="3AA67ADA"/>
    <w:rsid w:val="3AC58EFB"/>
    <w:rsid w:val="3ACF72DC"/>
    <w:rsid w:val="3B03AE54"/>
    <w:rsid w:val="3B13FDD1"/>
    <w:rsid w:val="3B1B895A"/>
    <w:rsid w:val="3B1C94F0"/>
    <w:rsid w:val="3B1E5674"/>
    <w:rsid w:val="3B282968"/>
    <w:rsid w:val="3B4E4EB4"/>
    <w:rsid w:val="3B5BD43C"/>
    <w:rsid w:val="3B6C5CE8"/>
    <w:rsid w:val="3B77BEC4"/>
    <w:rsid w:val="3B7DA01E"/>
    <w:rsid w:val="3B8BA996"/>
    <w:rsid w:val="3BB8F8B5"/>
    <w:rsid w:val="3BC00A5B"/>
    <w:rsid w:val="3BCF9584"/>
    <w:rsid w:val="3BE56725"/>
    <w:rsid w:val="3BE8A63E"/>
    <w:rsid w:val="3C0E4C91"/>
    <w:rsid w:val="3C1D3FDB"/>
    <w:rsid w:val="3C381133"/>
    <w:rsid w:val="3C5B0190"/>
    <w:rsid w:val="3C6EE9A9"/>
    <w:rsid w:val="3D451A7C"/>
    <w:rsid w:val="3D528603"/>
    <w:rsid w:val="3D66339A"/>
    <w:rsid w:val="3D9E0419"/>
    <w:rsid w:val="3DB67639"/>
    <w:rsid w:val="3DC4CD71"/>
    <w:rsid w:val="3DD92D2C"/>
    <w:rsid w:val="3DE0DBF2"/>
    <w:rsid w:val="3E66F78E"/>
    <w:rsid w:val="3E8009AA"/>
    <w:rsid w:val="3EBBFBB2"/>
    <w:rsid w:val="3EC453AB"/>
    <w:rsid w:val="3ECD0E5A"/>
    <w:rsid w:val="3F186DCC"/>
    <w:rsid w:val="3F1AF590"/>
    <w:rsid w:val="3F27ADCA"/>
    <w:rsid w:val="3F4DE542"/>
    <w:rsid w:val="3F4E1B61"/>
    <w:rsid w:val="3F52AFC5"/>
    <w:rsid w:val="3F6D441D"/>
    <w:rsid w:val="3F7D8C3F"/>
    <w:rsid w:val="3F8E31DC"/>
    <w:rsid w:val="3F959382"/>
    <w:rsid w:val="3F9B4E84"/>
    <w:rsid w:val="3FAB3204"/>
    <w:rsid w:val="3FAB3646"/>
    <w:rsid w:val="3FC4CEF0"/>
    <w:rsid w:val="3FF4F350"/>
    <w:rsid w:val="3FF5B7C5"/>
    <w:rsid w:val="3FFBF51B"/>
    <w:rsid w:val="3FFD418D"/>
    <w:rsid w:val="4001B7E0"/>
    <w:rsid w:val="4016EADF"/>
    <w:rsid w:val="402C0533"/>
    <w:rsid w:val="404B833E"/>
    <w:rsid w:val="4050CE8E"/>
    <w:rsid w:val="4055DF59"/>
    <w:rsid w:val="4058BC87"/>
    <w:rsid w:val="405CD905"/>
    <w:rsid w:val="40635B10"/>
    <w:rsid w:val="406D1345"/>
    <w:rsid w:val="406EDAD3"/>
    <w:rsid w:val="40DFE8E7"/>
    <w:rsid w:val="40E39967"/>
    <w:rsid w:val="40FC62D3"/>
    <w:rsid w:val="4108A198"/>
    <w:rsid w:val="41198FAB"/>
    <w:rsid w:val="4157F2FE"/>
    <w:rsid w:val="416D87DE"/>
    <w:rsid w:val="417353EC"/>
    <w:rsid w:val="417B4CB4"/>
    <w:rsid w:val="4189A14A"/>
    <w:rsid w:val="418B22FB"/>
    <w:rsid w:val="41B38FC2"/>
    <w:rsid w:val="41BA228F"/>
    <w:rsid w:val="41D0F157"/>
    <w:rsid w:val="41D4C2A2"/>
    <w:rsid w:val="4218E772"/>
    <w:rsid w:val="42753324"/>
    <w:rsid w:val="427D15D1"/>
    <w:rsid w:val="42853215"/>
    <w:rsid w:val="42BFD7FF"/>
    <w:rsid w:val="42CAD1BC"/>
    <w:rsid w:val="42D6AFAF"/>
    <w:rsid w:val="42FCCF6B"/>
    <w:rsid w:val="4327861D"/>
    <w:rsid w:val="433D5E44"/>
    <w:rsid w:val="436CD877"/>
    <w:rsid w:val="4380CA1C"/>
    <w:rsid w:val="438253A5"/>
    <w:rsid w:val="4399DD2A"/>
    <w:rsid w:val="439CFA25"/>
    <w:rsid w:val="439DA621"/>
    <w:rsid w:val="43A0E642"/>
    <w:rsid w:val="43C88519"/>
    <w:rsid w:val="43E95EC3"/>
    <w:rsid w:val="440AA346"/>
    <w:rsid w:val="440D7A8F"/>
    <w:rsid w:val="443D593F"/>
    <w:rsid w:val="4446D02A"/>
    <w:rsid w:val="444C6333"/>
    <w:rsid w:val="4453465A"/>
    <w:rsid w:val="449740C6"/>
    <w:rsid w:val="44B0042A"/>
    <w:rsid w:val="44B0DD6E"/>
    <w:rsid w:val="44C4EC6F"/>
    <w:rsid w:val="44D1AB3C"/>
    <w:rsid w:val="44DC9C9D"/>
    <w:rsid w:val="44F3D9B8"/>
    <w:rsid w:val="450BE057"/>
    <w:rsid w:val="451D3E8D"/>
    <w:rsid w:val="45243EE7"/>
    <w:rsid w:val="452955CF"/>
    <w:rsid w:val="455402C9"/>
    <w:rsid w:val="457A0486"/>
    <w:rsid w:val="4592C62E"/>
    <w:rsid w:val="459BD6C6"/>
    <w:rsid w:val="460CD953"/>
    <w:rsid w:val="461E87E3"/>
    <w:rsid w:val="462E3EB2"/>
    <w:rsid w:val="466F5E8A"/>
    <w:rsid w:val="46810EB1"/>
    <w:rsid w:val="46D37F14"/>
    <w:rsid w:val="46EFA05D"/>
    <w:rsid w:val="46F09754"/>
    <w:rsid w:val="46FC3D68"/>
    <w:rsid w:val="470AFCD5"/>
    <w:rsid w:val="470B59C9"/>
    <w:rsid w:val="470E0A35"/>
    <w:rsid w:val="4729D811"/>
    <w:rsid w:val="473551F6"/>
    <w:rsid w:val="474F9E1F"/>
    <w:rsid w:val="4754E7B4"/>
    <w:rsid w:val="47704953"/>
    <w:rsid w:val="4772FC89"/>
    <w:rsid w:val="479F5BDD"/>
    <w:rsid w:val="47AA913C"/>
    <w:rsid w:val="47B33941"/>
    <w:rsid w:val="47B3E518"/>
    <w:rsid w:val="47CFF20B"/>
    <w:rsid w:val="47DDCFBC"/>
    <w:rsid w:val="47E467D4"/>
    <w:rsid w:val="47F11EF6"/>
    <w:rsid w:val="47FB8F96"/>
    <w:rsid w:val="47FCF35D"/>
    <w:rsid w:val="482E0F0E"/>
    <w:rsid w:val="483AAF4F"/>
    <w:rsid w:val="483E441A"/>
    <w:rsid w:val="48629B4B"/>
    <w:rsid w:val="486B750B"/>
    <w:rsid w:val="487698EF"/>
    <w:rsid w:val="48785892"/>
    <w:rsid w:val="48808078"/>
    <w:rsid w:val="48A61F72"/>
    <w:rsid w:val="48CA80E1"/>
    <w:rsid w:val="48CFC64D"/>
    <w:rsid w:val="48D57F29"/>
    <w:rsid w:val="48DF19A2"/>
    <w:rsid w:val="49096621"/>
    <w:rsid w:val="49161202"/>
    <w:rsid w:val="493B9F0F"/>
    <w:rsid w:val="499B4312"/>
    <w:rsid w:val="49F619A1"/>
    <w:rsid w:val="49F96586"/>
    <w:rsid w:val="49FE2274"/>
    <w:rsid w:val="49FEBEE9"/>
    <w:rsid w:val="49FEEAF6"/>
    <w:rsid w:val="4A0B7555"/>
    <w:rsid w:val="4A18C0ED"/>
    <w:rsid w:val="4A2D8E17"/>
    <w:rsid w:val="4A38D9A7"/>
    <w:rsid w:val="4A41FDFC"/>
    <w:rsid w:val="4A839F5D"/>
    <w:rsid w:val="4A86EBF1"/>
    <w:rsid w:val="4A8902D6"/>
    <w:rsid w:val="4A8C47A9"/>
    <w:rsid w:val="4A9B73F7"/>
    <w:rsid w:val="4AA6AA6F"/>
    <w:rsid w:val="4AA82C0C"/>
    <w:rsid w:val="4ACAD215"/>
    <w:rsid w:val="4ADCA8DA"/>
    <w:rsid w:val="4AF5B82A"/>
    <w:rsid w:val="4AFB7FEB"/>
    <w:rsid w:val="4B269728"/>
    <w:rsid w:val="4B324CA1"/>
    <w:rsid w:val="4B49199D"/>
    <w:rsid w:val="4B657854"/>
    <w:rsid w:val="4B696A8B"/>
    <w:rsid w:val="4B6E51D9"/>
    <w:rsid w:val="4B8FBA82"/>
    <w:rsid w:val="4B9AAB7B"/>
    <w:rsid w:val="4B9F212F"/>
    <w:rsid w:val="4BCE9F81"/>
    <w:rsid w:val="4BEA70A8"/>
    <w:rsid w:val="4C1D0DE3"/>
    <w:rsid w:val="4C20ABB9"/>
    <w:rsid w:val="4C33E2D1"/>
    <w:rsid w:val="4C4321C4"/>
    <w:rsid w:val="4C4910D1"/>
    <w:rsid w:val="4C7D11C6"/>
    <w:rsid w:val="4C96913F"/>
    <w:rsid w:val="4CA47279"/>
    <w:rsid w:val="4CB766D8"/>
    <w:rsid w:val="4CC92DCF"/>
    <w:rsid w:val="4CC9638E"/>
    <w:rsid w:val="4CD2819C"/>
    <w:rsid w:val="4CD427E8"/>
    <w:rsid w:val="4CF7394F"/>
    <w:rsid w:val="4D269F8E"/>
    <w:rsid w:val="4D27F79A"/>
    <w:rsid w:val="4D28D9D2"/>
    <w:rsid w:val="4D29A337"/>
    <w:rsid w:val="4D3B4C79"/>
    <w:rsid w:val="4D3D7A81"/>
    <w:rsid w:val="4D550C4E"/>
    <w:rsid w:val="4D6720B0"/>
    <w:rsid w:val="4D98E236"/>
    <w:rsid w:val="4D99AB36"/>
    <w:rsid w:val="4DCE144B"/>
    <w:rsid w:val="4DF23AE6"/>
    <w:rsid w:val="4DF40236"/>
    <w:rsid w:val="4DF5AE65"/>
    <w:rsid w:val="4DF5B4CF"/>
    <w:rsid w:val="4E02EB51"/>
    <w:rsid w:val="4E04BF0B"/>
    <w:rsid w:val="4E0EFDB6"/>
    <w:rsid w:val="4E267459"/>
    <w:rsid w:val="4E3D7D47"/>
    <w:rsid w:val="4E403B2E"/>
    <w:rsid w:val="4E41EE8D"/>
    <w:rsid w:val="4E50101B"/>
    <w:rsid w:val="4E7F920F"/>
    <w:rsid w:val="4E95D3DC"/>
    <w:rsid w:val="4E9EC212"/>
    <w:rsid w:val="4EC12178"/>
    <w:rsid w:val="4ECB0316"/>
    <w:rsid w:val="4EF187CF"/>
    <w:rsid w:val="4F0734A9"/>
    <w:rsid w:val="4F1C6FA4"/>
    <w:rsid w:val="4F27288D"/>
    <w:rsid w:val="4F280322"/>
    <w:rsid w:val="4F2DD021"/>
    <w:rsid w:val="4F3BDE54"/>
    <w:rsid w:val="4F4260BE"/>
    <w:rsid w:val="4F4B2E74"/>
    <w:rsid w:val="4F64014F"/>
    <w:rsid w:val="4F6C9B2A"/>
    <w:rsid w:val="4F76CEAD"/>
    <w:rsid w:val="4F8825EC"/>
    <w:rsid w:val="4FB2AD49"/>
    <w:rsid w:val="50142644"/>
    <w:rsid w:val="50624CA9"/>
    <w:rsid w:val="5066E564"/>
    <w:rsid w:val="5071A99D"/>
    <w:rsid w:val="509664C2"/>
    <w:rsid w:val="50AC5221"/>
    <w:rsid w:val="50B9AD62"/>
    <w:rsid w:val="50C4B0E9"/>
    <w:rsid w:val="50D95D44"/>
    <w:rsid w:val="50FB0032"/>
    <w:rsid w:val="511DA7E2"/>
    <w:rsid w:val="513C74D8"/>
    <w:rsid w:val="515D9DD7"/>
    <w:rsid w:val="516971EC"/>
    <w:rsid w:val="51718B7B"/>
    <w:rsid w:val="51886077"/>
    <w:rsid w:val="518C6C66"/>
    <w:rsid w:val="5195E551"/>
    <w:rsid w:val="51A55A32"/>
    <w:rsid w:val="51AA7959"/>
    <w:rsid w:val="51AFADD6"/>
    <w:rsid w:val="51CA0361"/>
    <w:rsid w:val="51E401F9"/>
    <w:rsid w:val="51E882E1"/>
    <w:rsid w:val="51EFB9B2"/>
    <w:rsid w:val="52014D4D"/>
    <w:rsid w:val="52048F72"/>
    <w:rsid w:val="5219759B"/>
    <w:rsid w:val="521A15F4"/>
    <w:rsid w:val="52270E89"/>
    <w:rsid w:val="52618BE6"/>
    <w:rsid w:val="5266E308"/>
    <w:rsid w:val="526F40A5"/>
    <w:rsid w:val="528BCBB4"/>
    <w:rsid w:val="529E7591"/>
    <w:rsid w:val="52B0DE5E"/>
    <w:rsid w:val="52CB9D8E"/>
    <w:rsid w:val="52CE0DB1"/>
    <w:rsid w:val="530D0BBD"/>
    <w:rsid w:val="531A89FD"/>
    <w:rsid w:val="532D2982"/>
    <w:rsid w:val="536A12B8"/>
    <w:rsid w:val="53BEA7F6"/>
    <w:rsid w:val="53E3F479"/>
    <w:rsid w:val="53E7DE56"/>
    <w:rsid w:val="53EBBAB0"/>
    <w:rsid w:val="53F82BED"/>
    <w:rsid w:val="541F109D"/>
    <w:rsid w:val="542713B4"/>
    <w:rsid w:val="54298E5A"/>
    <w:rsid w:val="54309EFA"/>
    <w:rsid w:val="544530B7"/>
    <w:rsid w:val="54578C73"/>
    <w:rsid w:val="5461EA14"/>
    <w:rsid w:val="5469674B"/>
    <w:rsid w:val="547DD059"/>
    <w:rsid w:val="547FF8B7"/>
    <w:rsid w:val="54BD8C15"/>
    <w:rsid w:val="54C599B1"/>
    <w:rsid w:val="54CFD686"/>
    <w:rsid w:val="54D175CC"/>
    <w:rsid w:val="54E09456"/>
    <w:rsid w:val="54F3F913"/>
    <w:rsid w:val="55160068"/>
    <w:rsid w:val="551A3D60"/>
    <w:rsid w:val="55574EAF"/>
    <w:rsid w:val="556DD741"/>
    <w:rsid w:val="55988DEF"/>
    <w:rsid w:val="55A4BDA3"/>
    <w:rsid w:val="55D8A57F"/>
    <w:rsid w:val="56070AF3"/>
    <w:rsid w:val="56217DA7"/>
    <w:rsid w:val="5621C941"/>
    <w:rsid w:val="562A7D45"/>
    <w:rsid w:val="563E26AC"/>
    <w:rsid w:val="564820FE"/>
    <w:rsid w:val="565967A4"/>
    <w:rsid w:val="56638701"/>
    <w:rsid w:val="568C9DE8"/>
    <w:rsid w:val="569BBF60"/>
    <w:rsid w:val="569BC166"/>
    <w:rsid w:val="56AD38F4"/>
    <w:rsid w:val="56B3EB7B"/>
    <w:rsid w:val="56C96946"/>
    <w:rsid w:val="56D2460F"/>
    <w:rsid w:val="56D480C7"/>
    <w:rsid w:val="57276950"/>
    <w:rsid w:val="5742D885"/>
    <w:rsid w:val="57456929"/>
    <w:rsid w:val="576F9327"/>
    <w:rsid w:val="578BCC58"/>
    <w:rsid w:val="57C0B5A4"/>
    <w:rsid w:val="5816641D"/>
    <w:rsid w:val="5820C5A6"/>
    <w:rsid w:val="5833B69A"/>
    <w:rsid w:val="584D75D0"/>
    <w:rsid w:val="585743C4"/>
    <w:rsid w:val="58981F14"/>
    <w:rsid w:val="58A0B95F"/>
    <w:rsid w:val="58A5A452"/>
    <w:rsid w:val="58EE4A4F"/>
    <w:rsid w:val="5936A4FA"/>
    <w:rsid w:val="5948D84E"/>
    <w:rsid w:val="5952E79B"/>
    <w:rsid w:val="5973D80E"/>
    <w:rsid w:val="59750FF8"/>
    <w:rsid w:val="5981EC4C"/>
    <w:rsid w:val="59850CC8"/>
    <w:rsid w:val="599A2DF2"/>
    <w:rsid w:val="59A8F338"/>
    <w:rsid w:val="59BE275C"/>
    <w:rsid w:val="59C2650B"/>
    <w:rsid w:val="59C4FC92"/>
    <w:rsid w:val="59D74786"/>
    <w:rsid w:val="59FE1B4F"/>
    <w:rsid w:val="5A417E56"/>
    <w:rsid w:val="5A7C2328"/>
    <w:rsid w:val="5AA96CB0"/>
    <w:rsid w:val="5AD484FA"/>
    <w:rsid w:val="5ADC3452"/>
    <w:rsid w:val="5ADEBF48"/>
    <w:rsid w:val="5AE6C12C"/>
    <w:rsid w:val="5AEF00DB"/>
    <w:rsid w:val="5AFCE61D"/>
    <w:rsid w:val="5B09F119"/>
    <w:rsid w:val="5B2CDCFC"/>
    <w:rsid w:val="5B3B8AEB"/>
    <w:rsid w:val="5B5F7EDA"/>
    <w:rsid w:val="5B7FEFFB"/>
    <w:rsid w:val="5B98D3F5"/>
    <w:rsid w:val="5BA4A8ED"/>
    <w:rsid w:val="5BB67C6C"/>
    <w:rsid w:val="5BDBF7A0"/>
    <w:rsid w:val="5C0469DD"/>
    <w:rsid w:val="5C317555"/>
    <w:rsid w:val="5C346B33"/>
    <w:rsid w:val="5C3A9A11"/>
    <w:rsid w:val="5C3C8FEA"/>
    <w:rsid w:val="5C65D75F"/>
    <w:rsid w:val="5C8CCD2E"/>
    <w:rsid w:val="5C8F211D"/>
    <w:rsid w:val="5CAB06AC"/>
    <w:rsid w:val="5CB496C7"/>
    <w:rsid w:val="5CDEBD7F"/>
    <w:rsid w:val="5CF8E301"/>
    <w:rsid w:val="5CFAFBFD"/>
    <w:rsid w:val="5D13013F"/>
    <w:rsid w:val="5D15683D"/>
    <w:rsid w:val="5D3729DE"/>
    <w:rsid w:val="5D44A792"/>
    <w:rsid w:val="5D74643D"/>
    <w:rsid w:val="5D7A1913"/>
    <w:rsid w:val="5D7DA77F"/>
    <w:rsid w:val="5D9522D5"/>
    <w:rsid w:val="5D9DE5FE"/>
    <w:rsid w:val="5DB0B981"/>
    <w:rsid w:val="5DD8BEDF"/>
    <w:rsid w:val="5E0E2A0F"/>
    <w:rsid w:val="5E535A59"/>
    <w:rsid w:val="5E53B4C1"/>
    <w:rsid w:val="5E8D3DC2"/>
    <w:rsid w:val="5E9D8A7F"/>
    <w:rsid w:val="5EC1C67C"/>
    <w:rsid w:val="5EC775B1"/>
    <w:rsid w:val="5EE10B28"/>
    <w:rsid w:val="5EE8236D"/>
    <w:rsid w:val="5EEC0019"/>
    <w:rsid w:val="5EEF899E"/>
    <w:rsid w:val="5F0B04FC"/>
    <w:rsid w:val="5F241966"/>
    <w:rsid w:val="5F2DC143"/>
    <w:rsid w:val="5F31D3A5"/>
    <w:rsid w:val="5F6B0607"/>
    <w:rsid w:val="5F6EF4C8"/>
    <w:rsid w:val="5F770D1A"/>
    <w:rsid w:val="5F7B2053"/>
    <w:rsid w:val="5F89872B"/>
    <w:rsid w:val="5F93CDC8"/>
    <w:rsid w:val="5FA2D14F"/>
    <w:rsid w:val="5FA70E1E"/>
    <w:rsid w:val="5FBEAA19"/>
    <w:rsid w:val="5FCA9E2D"/>
    <w:rsid w:val="5FD0354D"/>
    <w:rsid w:val="5FD6CC98"/>
    <w:rsid w:val="601289DE"/>
    <w:rsid w:val="6013349C"/>
    <w:rsid w:val="60181C97"/>
    <w:rsid w:val="6041DE64"/>
    <w:rsid w:val="6075C993"/>
    <w:rsid w:val="6096F2B3"/>
    <w:rsid w:val="609852D3"/>
    <w:rsid w:val="609DF23A"/>
    <w:rsid w:val="60C972BE"/>
    <w:rsid w:val="60DE2CC3"/>
    <w:rsid w:val="60E756C4"/>
    <w:rsid w:val="60EC0728"/>
    <w:rsid w:val="60F2982C"/>
    <w:rsid w:val="61222982"/>
    <w:rsid w:val="6124C11F"/>
    <w:rsid w:val="612AD7AF"/>
    <w:rsid w:val="61334C46"/>
    <w:rsid w:val="6139BD98"/>
    <w:rsid w:val="61663E06"/>
    <w:rsid w:val="61913DB1"/>
    <w:rsid w:val="61B9671B"/>
    <w:rsid w:val="61C71657"/>
    <w:rsid w:val="61E336AD"/>
    <w:rsid w:val="61E7EB5F"/>
    <w:rsid w:val="61EB307B"/>
    <w:rsid w:val="6228D5D0"/>
    <w:rsid w:val="626A32E7"/>
    <w:rsid w:val="62824BA7"/>
    <w:rsid w:val="62B20551"/>
    <w:rsid w:val="6311ABE8"/>
    <w:rsid w:val="634B25F6"/>
    <w:rsid w:val="634FD1BC"/>
    <w:rsid w:val="635CEE25"/>
    <w:rsid w:val="6360EFA6"/>
    <w:rsid w:val="636568CC"/>
    <w:rsid w:val="636643CC"/>
    <w:rsid w:val="638A2458"/>
    <w:rsid w:val="639988D7"/>
    <w:rsid w:val="639B2C06"/>
    <w:rsid w:val="639DF67F"/>
    <w:rsid w:val="63B5D63E"/>
    <w:rsid w:val="63F2A573"/>
    <w:rsid w:val="6406E645"/>
    <w:rsid w:val="642D6B58"/>
    <w:rsid w:val="6435D586"/>
    <w:rsid w:val="6456788B"/>
    <w:rsid w:val="64568DB4"/>
    <w:rsid w:val="6464C04F"/>
    <w:rsid w:val="64669CFA"/>
    <w:rsid w:val="64762A43"/>
    <w:rsid w:val="648418AD"/>
    <w:rsid w:val="648E1F96"/>
    <w:rsid w:val="64A8A3FC"/>
    <w:rsid w:val="64ACF862"/>
    <w:rsid w:val="64B2B099"/>
    <w:rsid w:val="64C2BDE8"/>
    <w:rsid w:val="64F4B48B"/>
    <w:rsid w:val="64F66340"/>
    <w:rsid w:val="653D2B0F"/>
    <w:rsid w:val="6546C613"/>
    <w:rsid w:val="655B7D8F"/>
    <w:rsid w:val="65720FF8"/>
    <w:rsid w:val="65781FD6"/>
    <w:rsid w:val="658B42B2"/>
    <w:rsid w:val="658F773C"/>
    <w:rsid w:val="659CE666"/>
    <w:rsid w:val="65A020DB"/>
    <w:rsid w:val="65E1835E"/>
    <w:rsid w:val="65EE20B0"/>
    <w:rsid w:val="660384C5"/>
    <w:rsid w:val="661279D4"/>
    <w:rsid w:val="663095E1"/>
    <w:rsid w:val="663B6664"/>
    <w:rsid w:val="6645D48C"/>
    <w:rsid w:val="6649FBB1"/>
    <w:rsid w:val="664E9CC3"/>
    <w:rsid w:val="66505F84"/>
    <w:rsid w:val="666109DE"/>
    <w:rsid w:val="66655BDD"/>
    <w:rsid w:val="6669E39B"/>
    <w:rsid w:val="66AD69C3"/>
    <w:rsid w:val="66B3121C"/>
    <w:rsid w:val="66FC6E3C"/>
    <w:rsid w:val="66FFD60E"/>
    <w:rsid w:val="6711516C"/>
    <w:rsid w:val="673CCD08"/>
    <w:rsid w:val="6744527D"/>
    <w:rsid w:val="67460734"/>
    <w:rsid w:val="674CD48C"/>
    <w:rsid w:val="67594D29"/>
    <w:rsid w:val="67737B8A"/>
    <w:rsid w:val="678E858D"/>
    <w:rsid w:val="67991261"/>
    <w:rsid w:val="679E1AC6"/>
    <w:rsid w:val="67AF5DF2"/>
    <w:rsid w:val="67AFCBCC"/>
    <w:rsid w:val="67C25EA3"/>
    <w:rsid w:val="67CF8194"/>
    <w:rsid w:val="67D208E9"/>
    <w:rsid w:val="67D2627D"/>
    <w:rsid w:val="67F25A18"/>
    <w:rsid w:val="682A556C"/>
    <w:rsid w:val="68337133"/>
    <w:rsid w:val="684D3DE8"/>
    <w:rsid w:val="68872C6A"/>
    <w:rsid w:val="6897ABBC"/>
    <w:rsid w:val="68A253F2"/>
    <w:rsid w:val="68A6659B"/>
    <w:rsid w:val="68D68625"/>
    <w:rsid w:val="68DA1276"/>
    <w:rsid w:val="68E02391"/>
    <w:rsid w:val="68EF01E7"/>
    <w:rsid w:val="690A5F74"/>
    <w:rsid w:val="692013F1"/>
    <w:rsid w:val="692090CC"/>
    <w:rsid w:val="69219F1B"/>
    <w:rsid w:val="692A5F8C"/>
    <w:rsid w:val="6935CFD9"/>
    <w:rsid w:val="69392CA2"/>
    <w:rsid w:val="693BC819"/>
    <w:rsid w:val="694A127C"/>
    <w:rsid w:val="695F7896"/>
    <w:rsid w:val="6961C0AC"/>
    <w:rsid w:val="6964B664"/>
    <w:rsid w:val="698AC26E"/>
    <w:rsid w:val="69A08707"/>
    <w:rsid w:val="69D8629D"/>
    <w:rsid w:val="69D91135"/>
    <w:rsid w:val="6A37DC3E"/>
    <w:rsid w:val="6A5108C6"/>
    <w:rsid w:val="6A7B4805"/>
    <w:rsid w:val="6A7DAD42"/>
    <w:rsid w:val="6A95FE79"/>
    <w:rsid w:val="6A99B2D9"/>
    <w:rsid w:val="6AB66278"/>
    <w:rsid w:val="6AB71506"/>
    <w:rsid w:val="6AB7A7B1"/>
    <w:rsid w:val="6AC0C8C6"/>
    <w:rsid w:val="6ADD7C4F"/>
    <w:rsid w:val="6ADEC2E2"/>
    <w:rsid w:val="6AE0345F"/>
    <w:rsid w:val="6AE1A0EC"/>
    <w:rsid w:val="6B21EC56"/>
    <w:rsid w:val="6B276668"/>
    <w:rsid w:val="6B4E8090"/>
    <w:rsid w:val="6B5801C4"/>
    <w:rsid w:val="6B58C286"/>
    <w:rsid w:val="6B6CEEAF"/>
    <w:rsid w:val="6B7476D9"/>
    <w:rsid w:val="6B81B566"/>
    <w:rsid w:val="6B827519"/>
    <w:rsid w:val="6B873F86"/>
    <w:rsid w:val="6B9AC6C6"/>
    <w:rsid w:val="6BC04EF6"/>
    <w:rsid w:val="6BC8F8DE"/>
    <w:rsid w:val="6BD3EF61"/>
    <w:rsid w:val="6BEEDADA"/>
    <w:rsid w:val="6BFF792D"/>
    <w:rsid w:val="6C2274A9"/>
    <w:rsid w:val="6C2CC18F"/>
    <w:rsid w:val="6C364018"/>
    <w:rsid w:val="6C38AA32"/>
    <w:rsid w:val="6C42B1E3"/>
    <w:rsid w:val="6C618BEC"/>
    <w:rsid w:val="6CC210B5"/>
    <w:rsid w:val="6CD29504"/>
    <w:rsid w:val="6CE86521"/>
    <w:rsid w:val="6CF86BF1"/>
    <w:rsid w:val="6D024C8D"/>
    <w:rsid w:val="6D28D3DB"/>
    <w:rsid w:val="6D374D44"/>
    <w:rsid w:val="6D3C6ECF"/>
    <w:rsid w:val="6D59B7FD"/>
    <w:rsid w:val="6D82E61E"/>
    <w:rsid w:val="6DB09AA3"/>
    <w:rsid w:val="6DCBACF3"/>
    <w:rsid w:val="6E69EF64"/>
    <w:rsid w:val="6E8BD4AB"/>
    <w:rsid w:val="6ED523CE"/>
    <w:rsid w:val="6EE76166"/>
    <w:rsid w:val="6EE834B8"/>
    <w:rsid w:val="6F09D79D"/>
    <w:rsid w:val="6F100CA2"/>
    <w:rsid w:val="6F42064C"/>
    <w:rsid w:val="6F425390"/>
    <w:rsid w:val="6F5CF191"/>
    <w:rsid w:val="6F5D4913"/>
    <w:rsid w:val="6F6C2FD7"/>
    <w:rsid w:val="6F7D5384"/>
    <w:rsid w:val="6F95AC3D"/>
    <w:rsid w:val="6FE26C8B"/>
    <w:rsid w:val="6FEB16B9"/>
    <w:rsid w:val="701B766D"/>
    <w:rsid w:val="703B03F6"/>
    <w:rsid w:val="7057AAA8"/>
    <w:rsid w:val="7059436A"/>
    <w:rsid w:val="706C3966"/>
    <w:rsid w:val="706FB9E9"/>
    <w:rsid w:val="70745571"/>
    <w:rsid w:val="7079918B"/>
    <w:rsid w:val="709390BC"/>
    <w:rsid w:val="709A6DF5"/>
    <w:rsid w:val="70A138A9"/>
    <w:rsid w:val="70A98666"/>
    <w:rsid w:val="70B036D0"/>
    <w:rsid w:val="70C61B22"/>
    <w:rsid w:val="70D6CF5B"/>
    <w:rsid w:val="70D6E591"/>
    <w:rsid w:val="70D72F10"/>
    <w:rsid w:val="70F2A806"/>
    <w:rsid w:val="7112A274"/>
    <w:rsid w:val="7113AA4F"/>
    <w:rsid w:val="7120EF9C"/>
    <w:rsid w:val="7147DF1D"/>
    <w:rsid w:val="7156FAD6"/>
    <w:rsid w:val="7162B841"/>
    <w:rsid w:val="7182A9B4"/>
    <w:rsid w:val="718BFC0E"/>
    <w:rsid w:val="71914B54"/>
    <w:rsid w:val="71B9DF74"/>
    <w:rsid w:val="71C608A1"/>
    <w:rsid w:val="71E09E77"/>
    <w:rsid w:val="71FCB052"/>
    <w:rsid w:val="722E0817"/>
    <w:rsid w:val="72392F16"/>
    <w:rsid w:val="72719A19"/>
    <w:rsid w:val="72844DD7"/>
    <w:rsid w:val="728AF399"/>
    <w:rsid w:val="7290B229"/>
    <w:rsid w:val="72A2FA46"/>
    <w:rsid w:val="72B02D3A"/>
    <w:rsid w:val="72B7E909"/>
    <w:rsid w:val="72BB1ED6"/>
    <w:rsid w:val="72C81D40"/>
    <w:rsid w:val="72C84DE8"/>
    <w:rsid w:val="72DD9054"/>
    <w:rsid w:val="72E16BC5"/>
    <w:rsid w:val="72E26E4A"/>
    <w:rsid w:val="72E305B9"/>
    <w:rsid w:val="72E8456B"/>
    <w:rsid w:val="72E9210D"/>
    <w:rsid w:val="72FAAB52"/>
    <w:rsid w:val="73210440"/>
    <w:rsid w:val="7351DC6B"/>
    <w:rsid w:val="735A5806"/>
    <w:rsid w:val="73693124"/>
    <w:rsid w:val="73713BCE"/>
    <w:rsid w:val="737AE843"/>
    <w:rsid w:val="737ED26F"/>
    <w:rsid w:val="7382C42B"/>
    <w:rsid w:val="7382C6D3"/>
    <w:rsid w:val="7395E4FA"/>
    <w:rsid w:val="73992B93"/>
    <w:rsid w:val="73DB7316"/>
    <w:rsid w:val="73FEBB79"/>
    <w:rsid w:val="740F0AC4"/>
    <w:rsid w:val="747E39BF"/>
    <w:rsid w:val="74963D17"/>
    <w:rsid w:val="74CB544D"/>
    <w:rsid w:val="74EE6436"/>
    <w:rsid w:val="75064FCE"/>
    <w:rsid w:val="7507C8DD"/>
    <w:rsid w:val="7507E3C4"/>
    <w:rsid w:val="75443938"/>
    <w:rsid w:val="754DA4D1"/>
    <w:rsid w:val="75E0626D"/>
    <w:rsid w:val="75E37179"/>
    <w:rsid w:val="76245578"/>
    <w:rsid w:val="765D91CB"/>
    <w:rsid w:val="765FF1C8"/>
    <w:rsid w:val="76714412"/>
    <w:rsid w:val="7677530B"/>
    <w:rsid w:val="767ED76A"/>
    <w:rsid w:val="7693C36F"/>
    <w:rsid w:val="76A9A87E"/>
    <w:rsid w:val="76CB42E6"/>
    <w:rsid w:val="76E21761"/>
    <w:rsid w:val="76E9D765"/>
    <w:rsid w:val="76F048A6"/>
    <w:rsid w:val="772F73F3"/>
    <w:rsid w:val="7731D198"/>
    <w:rsid w:val="773B1399"/>
    <w:rsid w:val="774B2141"/>
    <w:rsid w:val="775FDAD2"/>
    <w:rsid w:val="7765EAB4"/>
    <w:rsid w:val="778335EA"/>
    <w:rsid w:val="778CA381"/>
    <w:rsid w:val="779D4ADE"/>
    <w:rsid w:val="77CD87B8"/>
    <w:rsid w:val="77D3E16C"/>
    <w:rsid w:val="77E5754A"/>
    <w:rsid w:val="780D3AD9"/>
    <w:rsid w:val="78128F68"/>
    <w:rsid w:val="783B435A"/>
    <w:rsid w:val="783FD58E"/>
    <w:rsid w:val="784B490D"/>
    <w:rsid w:val="785B3197"/>
    <w:rsid w:val="789DCB67"/>
    <w:rsid w:val="78A0768A"/>
    <w:rsid w:val="78AF8DEA"/>
    <w:rsid w:val="79002877"/>
    <w:rsid w:val="79082388"/>
    <w:rsid w:val="7925ABBC"/>
    <w:rsid w:val="7951D5E7"/>
    <w:rsid w:val="795B0505"/>
    <w:rsid w:val="795FB4E0"/>
    <w:rsid w:val="7962ABC0"/>
    <w:rsid w:val="79752A44"/>
    <w:rsid w:val="797A5230"/>
    <w:rsid w:val="798BF195"/>
    <w:rsid w:val="79CC72ED"/>
    <w:rsid w:val="7A06E0E1"/>
    <w:rsid w:val="7A09BC6A"/>
    <w:rsid w:val="7A19583D"/>
    <w:rsid w:val="7A1B812D"/>
    <w:rsid w:val="7ABB3A55"/>
    <w:rsid w:val="7B12F7A2"/>
    <w:rsid w:val="7B432C47"/>
    <w:rsid w:val="7B56812B"/>
    <w:rsid w:val="7B5DD1D3"/>
    <w:rsid w:val="7B9998E8"/>
    <w:rsid w:val="7B9F4B95"/>
    <w:rsid w:val="7BBA0EB6"/>
    <w:rsid w:val="7BE60790"/>
    <w:rsid w:val="7BFC74DC"/>
    <w:rsid w:val="7C186F5E"/>
    <w:rsid w:val="7C3E025E"/>
    <w:rsid w:val="7C582E3E"/>
    <w:rsid w:val="7C6158B2"/>
    <w:rsid w:val="7C660AEE"/>
    <w:rsid w:val="7C8A51C3"/>
    <w:rsid w:val="7C9666D8"/>
    <w:rsid w:val="7CCEA1E9"/>
    <w:rsid w:val="7CED9C87"/>
    <w:rsid w:val="7D085056"/>
    <w:rsid w:val="7D233A7A"/>
    <w:rsid w:val="7D48AE37"/>
    <w:rsid w:val="7D5FB6F4"/>
    <w:rsid w:val="7D6B72B6"/>
    <w:rsid w:val="7D7CA800"/>
    <w:rsid w:val="7D86B0FD"/>
    <w:rsid w:val="7D8F750C"/>
    <w:rsid w:val="7D99FD4F"/>
    <w:rsid w:val="7D9AF41B"/>
    <w:rsid w:val="7D9C1A90"/>
    <w:rsid w:val="7DA537D7"/>
    <w:rsid w:val="7DAA6CB4"/>
    <w:rsid w:val="7DACAB3B"/>
    <w:rsid w:val="7DC782D6"/>
    <w:rsid w:val="7DE183E2"/>
    <w:rsid w:val="7DE6814B"/>
    <w:rsid w:val="7E2BDF59"/>
    <w:rsid w:val="7E99B0B1"/>
    <w:rsid w:val="7EA1D1AE"/>
    <w:rsid w:val="7F1E67DC"/>
    <w:rsid w:val="7F21533C"/>
    <w:rsid w:val="7F3F9ECC"/>
    <w:rsid w:val="7F485713"/>
    <w:rsid w:val="7F51523B"/>
    <w:rsid w:val="7F6327D1"/>
    <w:rsid w:val="7F734773"/>
    <w:rsid w:val="7F75C371"/>
    <w:rsid w:val="7F9E5A90"/>
    <w:rsid w:val="7FA879C4"/>
    <w:rsid w:val="7FC00B1B"/>
    <w:rsid w:val="7FC29AC0"/>
    <w:rsid w:val="7FD69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C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C2BE5"/>
    <w:pPr>
      <w:numPr>
        <w:numId w:val="2"/>
      </w:numPr>
      <w:tabs>
        <w:tab w:val="num" w:pos="360"/>
      </w:tabs>
      <w:ind w:left="0" w:firstLine="0"/>
    </w:pPr>
    <w:rPr>
      <w:rFonts w:eastAsia="Times New Roman"/>
      <w:lang w:eastAsia="de-DE"/>
    </w:rPr>
  </w:style>
  <w:style w:type="paragraph" w:styleId="ListNumber">
    <w:name w:val="List Number"/>
    <w:basedOn w:val="Normal"/>
    <w:rsid w:val="00AC2BE5"/>
    <w:pPr>
      <w:numPr>
        <w:numId w:val="6"/>
      </w:numPr>
    </w:pPr>
    <w:rPr>
      <w:rFonts w:eastAsia="Times New Roman"/>
      <w:lang w:eastAsia="de-DE"/>
    </w:rPr>
  </w:style>
  <w:style w:type="paragraph" w:customStyle="1" w:styleId="ListBullet1">
    <w:name w:val="List Bullet 1"/>
    <w:basedOn w:val="Normal"/>
    <w:rsid w:val="00AC2BE5"/>
    <w:pPr>
      <w:numPr>
        <w:numId w:val="1"/>
      </w:numPr>
    </w:pPr>
    <w:rPr>
      <w:rFonts w:eastAsia="Times New Roman"/>
      <w:lang w:eastAsia="de-DE"/>
    </w:rPr>
  </w:style>
  <w:style w:type="paragraph" w:customStyle="1" w:styleId="ListDash">
    <w:name w:val="List Dash"/>
    <w:basedOn w:val="Normal"/>
    <w:rsid w:val="00AC2BE5"/>
    <w:pPr>
      <w:numPr>
        <w:numId w:val="3"/>
      </w:numPr>
    </w:pPr>
    <w:rPr>
      <w:rFonts w:eastAsia="Times New Roman"/>
      <w:lang w:eastAsia="de-DE"/>
    </w:rPr>
  </w:style>
  <w:style w:type="paragraph" w:customStyle="1" w:styleId="ListDash1">
    <w:name w:val="List Dash 1"/>
    <w:basedOn w:val="Normal"/>
    <w:rsid w:val="00AC2BE5"/>
    <w:pPr>
      <w:numPr>
        <w:numId w:val="4"/>
      </w:numPr>
    </w:pPr>
    <w:rPr>
      <w:rFonts w:eastAsia="Times New Roman"/>
      <w:lang w:eastAsia="de-DE"/>
    </w:rPr>
  </w:style>
  <w:style w:type="paragraph" w:customStyle="1" w:styleId="ListDash2">
    <w:name w:val="List Dash 2"/>
    <w:basedOn w:val="Normal"/>
    <w:rsid w:val="00AC2BE5"/>
    <w:pPr>
      <w:numPr>
        <w:numId w:val="5"/>
      </w:numPr>
    </w:pPr>
    <w:rPr>
      <w:rFonts w:eastAsia="Times New Roman"/>
      <w:lang w:eastAsia="de-DE"/>
    </w:rPr>
  </w:style>
  <w:style w:type="paragraph" w:customStyle="1" w:styleId="ListNumberLevel2">
    <w:name w:val="List Number (Level 2)"/>
    <w:basedOn w:val="Normal"/>
    <w:rsid w:val="00AC2BE5"/>
    <w:pPr>
      <w:numPr>
        <w:ilvl w:val="1"/>
        <w:numId w:val="6"/>
      </w:numPr>
    </w:pPr>
    <w:rPr>
      <w:rFonts w:eastAsia="Times New Roman"/>
      <w:lang w:eastAsia="de-DE"/>
    </w:rPr>
  </w:style>
  <w:style w:type="paragraph" w:customStyle="1" w:styleId="ListNumberLevel3">
    <w:name w:val="List Number (Level 3)"/>
    <w:basedOn w:val="Normal"/>
    <w:rsid w:val="00AC2BE5"/>
    <w:pPr>
      <w:numPr>
        <w:ilvl w:val="2"/>
        <w:numId w:val="6"/>
      </w:numPr>
    </w:pPr>
    <w:rPr>
      <w:rFonts w:eastAsia="Times New Roman"/>
      <w:lang w:eastAsia="de-DE"/>
    </w:rPr>
  </w:style>
  <w:style w:type="paragraph" w:customStyle="1" w:styleId="ListNumberLevel4">
    <w:name w:val="List Number (Level 4)"/>
    <w:basedOn w:val="Normal"/>
    <w:rsid w:val="00AC2BE5"/>
    <w:pPr>
      <w:numPr>
        <w:ilvl w:val="3"/>
        <w:numId w:val="6"/>
      </w:numPr>
    </w:pPr>
    <w:rPr>
      <w:rFonts w:eastAsia="Times New Roman"/>
      <w:lang w:eastAsia="de-DE"/>
    </w:rPr>
  </w:style>
  <w:style w:type="table" w:styleId="TableGrid">
    <w:name w:val="Table Grid"/>
    <w:basedOn w:val="TableNormal"/>
    <w:rsid w:val="00AC2BE5"/>
    <w:pPr>
      <w:spacing w:before="120" w:after="120" w:line="240" w:lineRule="auto"/>
      <w:jc w:val="both"/>
    </w:pPr>
    <w:rPr>
      <w:rFonts w:ascii="Times New Roman" w:eastAsia="Times New Roman" w:hAnsi="Times New Roman" w:cs="Times New Roman"/>
      <w:sz w:val="20"/>
      <w:szCs w:val="20"/>
      <w:lang w:eastAsia="en-IE"/>
    </w:rPr>
    <w:tblPr/>
  </w:style>
  <w:style w:type="character" w:styleId="Hyperlink">
    <w:name w:val="Hyperlink"/>
    <w:uiPriority w:val="99"/>
    <w:rsid w:val="00AC2BE5"/>
    <w:rPr>
      <w:color w:val="0000FF"/>
      <w:u w:val="single"/>
    </w:rPr>
  </w:style>
  <w:style w:type="paragraph" w:styleId="ListBullet">
    <w:name w:val="List Bullet"/>
    <w:basedOn w:val="Normal"/>
    <w:rsid w:val="00AC2BE5"/>
    <w:pPr>
      <w:numPr>
        <w:numId w:val="7"/>
      </w:numPr>
    </w:pPr>
    <w:rPr>
      <w:rFonts w:eastAsia="Times New Roman"/>
      <w:lang w:eastAsia="en-GB"/>
    </w:rPr>
  </w:style>
  <w:style w:type="paragraph" w:styleId="ListBullet2">
    <w:name w:val="List Bullet 2"/>
    <w:basedOn w:val="Normal"/>
    <w:rsid w:val="00AC2BE5"/>
    <w:pPr>
      <w:numPr>
        <w:numId w:val="8"/>
      </w:numPr>
    </w:pPr>
    <w:rPr>
      <w:rFonts w:eastAsia="Times New Roman"/>
      <w:lang w:eastAsia="en-GB"/>
    </w:rPr>
  </w:style>
  <w:style w:type="paragraph" w:styleId="ListBullet3">
    <w:name w:val="List Bullet 3"/>
    <w:basedOn w:val="Normal"/>
    <w:rsid w:val="00AC2BE5"/>
    <w:pPr>
      <w:numPr>
        <w:numId w:val="9"/>
      </w:numPr>
    </w:pPr>
    <w:rPr>
      <w:rFonts w:eastAsia="Times New Roman"/>
      <w:lang w:eastAsia="en-GB"/>
    </w:rPr>
  </w:style>
  <w:style w:type="paragraph" w:styleId="ListNumber2">
    <w:name w:val="List Number 2"/>
    <w:basedOn w:val="Normal"/>
    <w:rsid w:val="00AC2BE5"/>
    <w:pPr>
      <w:numPr>
        <w:numId w:val="13"/>
      </w:numPr>
    </w:pPr>
    <w:rPr>
      <w:rFonts w:eastAsia="Times New Roman"/>
      <w:lang w:eastAsia="en-GB"/>
    </w:rPr>
  </w:style>
  <w:style w:type="paragraph" w:styleId="ListNumber3">
    <w:name w:val="List Number 3"/>
    <w:basedOn w:val="Normal"/>
    <w:rsid w:val="00AC2BE5"/>
    <w:pPr>
      <w:numPr>
        <w:numId w:val="14"/>
      </w:numPr>
    </w:pPr>
    <w:rPr>
      <w:rFonts w:eastAsia="Times New Roman"/>
      <w:lang w:eastAsia="en-GB"/>
    </w:rPr>
  </w:style>
  <w:style w:type="paragraph" w:styleId="ListNumber4">
    <w:name w:val="List Number 4"/>
    <w:basedOn w:val="Normal"/>
    <w:rsid w:val="00AC2BE5"/>
    <w:pPr>
      <w:numPr>
        <w:numId w:val="15"/>
      </w:numPr>
    </w:pPr>
    <w:rPr>
      <w:rFonts w:eastAsia="Times New Roman"/>
      <w:lang w:eastAsia="en-GB"/>
    </w:rPr>
  </w:style>
  <w:style w:type="paragraph" w:customStyle="1" w:styleId="ListDash3">
    <w:name w:val="List Dash 3"/>
    <w:basedOn w:val="Normal"/>
    <w:rsid w:val="00AC2BE5"/>
    <w:pPr>
      <w:numPr>
        <w:numId w:val="10"/>
      </w:numPr>
    </w:pPr>
    <w:rPr>
      <w:rFonts w:eastAsia="Times New Roman"/>
      <w:lang w:eastAsia="en-GB"/>
    </w:rPr>
  </w:style>
  <w:style w:type="paragraph" w:customStyle="1" w:styleId="ListDash4">
    <w:name w:val="List Dash 4"/>
    <w:basedOn w:val="Normal"/>
    <w:rsid w:val="00AC2BE5"/>
    <w:pPr>
      <w:numPr>
        <w:numId w:val="11"/>
      </w:numPr>
    </w:pPr>
    <w:rPr>
      <w:rFonts w:eastAsia="Times New Roman"/>
      <w:lang w:eastAsia="en-GB"/>
    </w:rPr>
  </w:style>
  <w:style w:type="paragraph" w:customStyle="1" w:styleId="ListNumber1">
    <w:name w:val="List Number 1"/>
    <w:basedOn w:val="Text1"/>
    <w:rsid w:val="00AC2BE5"/>
    <w:pPr>
      <w:numPr>
        <w:numId w:val="12"/>
      </w:numPr>
    </w:pPr>
    <w:rPr>
      <w:rFonts w:eastAsia="Times New Roman"/>
      <w:lang w:eastAsia="en-GB"/>
    </w:rPr>
  </w:style>
  <w:style w:type="paragraph" w:customStyle="1" w:styleId="ListNumber1Level2">
    <w:name w:val="List Number 1 (Level 2)"/>
    <w:basedOn w:val="Text1"/>
    <w:rsid w:val="00AC2BE5"/>
    <w:pPr>
      <w:numPr>
        <w:ilvl w:val="1"/>
        <w:numId w:val="12"/>
      </w:numPr>
    </w:pPr>
    <w:rPr>
      <w:rFonts w:eastAsia="Times New Roman"/>
      <w:lang w:eastAsia="en-GB"/>
    </w:rPr>
  </w:style>
  <w:style w:type="paragraph" w:customStyle="1" w:styleId="ListNumber2Level2">
    <w:name w:val="List Number 2 (Level 2)"/>
    <w:basedOn w:val="Text2"/>
    <w:rsid w:val="00AC2BE5"/>
    <w:pPr>
      <w:numPr>
        <w:ilvl w:val="1"/>
        <w:numId w:val="13"/>
      </w:numPr>
    </w:pPr>
    <w:rPr>
      <w:rFonts w:eastAsia="Times New Roman"/>
      <w:lang w:eastAsia="en-GB"/>
    </w:rPr>
  </w:style>
  <w:style w:type="paragraph" w:customStyle="1" w:styleId="ListNumber3Level2">
    <w:name w:val="List Number 3 (Level 2)"/>
    <w:basedOn w:val="Text3"/>
    <w:rsid w:val="00AC2BE5"/>
    <w:pPr>
      <w:numPr>
        <w:ilvl w:val="1"/>
        <w:numId w:val="14"/>
      </w:numPr>
    </w:pPr>
    <w:rPr>
      <w:rFonts w:eastAsia="Times New Roman"/>
      <w:lang w:eastAsia="en-GB"/>
    </w:rPr>
  </w:style>
  <w:style w:type="paragraph" w:customStyle="1" w:styleId="ListNumber4Level2">
    <w:name w:val="List Number 4 (Level 2)"/>
    <w:basedOn w:val="Text4"/>
    <w:rsid w:val="00AC2BE5"/>
    <w:pPr>
      <w:numPr>
        <w:ilvl w:val="1"/>
        <w:numId w:val="15"/>
      </w:numPr>
    </w:pPr>
    <w:rPr>
      <w:rFonts w:eastAsia="Times New Roman"/>
      <w:lang w:eastAsia="en-GB"/>
    </w:rPr>
  </w:style>
  <w:style w:type="paragraph" w:customStyle="1" w:styleId="ListNumber1Level3">
    <w:name w:val="List Number 1 (Level 3)"/>
    <w:basedOn w:val="Text1"/>
    <w:rsid w:val="00AC2BE5"/>
    <w:pPr>
      <w:numPr>
        <w:ilvl w:val="2"/>
        <w:numId w:val="12"/>
      </w:numPr>
    </w:pPr>
    <w:rPr>
      <w:rFonts w:eastAsia="Times New Roman"/>
      <w:lang w:eastAsia="en-GB"/>
    </w:rPr>
  </w:style>
  <w:style w:type="paragraph" w:customStyle="1" w:styleId="ListNumber2Level3">
    <w:name w:val="List Number 2 (Level 3)"/>
    <w:basedOn w:val="Text2"/>
    <w:rsid w:val="00AC2BE5"/>
    <w:pPr>
      <w:numPr>
        <w:ilvl w:val="2"/>
        <w:numId w:val="13"/>
      </w:numPr>
    </w:pPr>
    <w:rPr>
      <w:rFonts w:eastAsia="Times New Roman"/>
      <w:lang w:eastAsia="en-GB"/>
    </w:rPr>
  </w:style>
  <w:style w:type="paragraph" w:customStyle="1" w:styleId="ListNumber3Level3">
    <w:name w:val="List Number 3 (Level 3)"/>
    <w:basedOn w:val="Text3"/>
    <w:rsid w:val="00AC2BE5"/>
    <w:pPr>
      <w:numPr>
        <w:ilvl w:val="2"/>
        <w:numId w:val="14"/>
      </w:numPr>
    </w:pPr>
    <w:rPr>
      <w:rFonts w:eastAsia="Times New Roman"/>
      <w:lang w:eastAsia="en-GB"/>
    </w:rPr>
  </w:style>
  <w:style w:type="paragraph" w:customStyle="1" w:styleId="ListNumber4Level3">
    <w:name w:val="List Number 4 (Level 3)"/>
    <w:basedOn w:val="Text4"/>
    <w:rsid w:val="00AC2BE5"/>
    <w:pPr>
      <w:numPr>
        <w:ilvl w:val="2"/>
        <w:numId w:val="15"/>
      </w:numPr>
    </w:pPr>
    <w:rPr>
      <w:rFonts w:eastAsia="Times New Roman"/>
      <w:lang w:eastAsia="en-GB"/>
    </w:rPr>
  </w:style>
  <w:style w:type="paragraph" w:customStyle="1" w:styleId="ListNumber1Level4">
    <w:name w:val="List Number 1 (Level 4)"/>
    <w:basedOn w:val="Text1"/>
    <w:rsid w:val="00AC2BE5"/>
    <w:pPr>
      <w:numPr>
        <w:ilvl w:val="3"/>
        <w:numId w:val="12"/>
      </w:numPr>
    </w:pPr>
    <w:rPr>
      <w:rFonts w:eastAsia="Times New Roman"/>
      <w:lang w:eastAsia="en-GB"/>
    </w:rPr>
  </w:style>
  <w:style w:type="paragraph" w:customStyle="1" w:styleId="ListNumber2Level4">
    <w:name w:val="List Number 2 (Level 4)"/>
    <w:basedOn w:val="Text2"/>
    <w:rsid w:val="00AC2BE5"/>
    <w:pPr>
      <w:numPr>
        <w:ilvl w:val="3"/>
        <w:numId w:val="13"/>
      </w:numPr>
    </w:pPr>
    <w:rPr>
      <w:rFonts w:eastAsia="Times New Roman"/>
      <w:lang w:eastAsia="en-GB"/>
    </w:rPr>
  </w:style>
  <w:style w:type="paragraph" w:customStyle="1" w:styleId="ListNumber3Level4">
    <w:name w:val="List Number 3 (Level 4)"/>
    <w:basedOn w:val="Text3"/>
    <w:rsid w:val="00AC2BE5"/>
    <w:pPr>
      <w:numPr>
        <w:ilvl w:val="3"/>
        <w:numId w:val="14"/>
      </w:numPr>
    </w:pPr>
    <w:rPr>
      <w:rFonts w:eastAsia="Times New Roman"/>
      <w:lang w:eastAsia="en-GB"/>
    </w:rPr>
  </w:style>
  <w:style w:type="paragraph" w:customStyle="1" w:styleId="ListNumber4Level4">
    <w:name w:val="List Number 4 (Level 4)"/>
    <w:basedOn w:val="Text4"/>
    <w:rsid w:val="00AC2BE5"/>
    <w:pPr>
      <w:numPr>
        <w:ilvl w:val="3"/>
        <w:numId w:val="15"/>
      </w:numPr>
    </w:pPr>
    <w:rPr>
      <w:rFonts w:eastAsia="Times New Roman"/>
      <w:lang w:eastAsia="en-GB"/>
    </w:rPr>
  </w:style>
  <w:style w:type="paragraph" w:customStyle="1" w:styleId="Annexetitreacte">
    <w:name w:val="Annexe titre (acte)"/>
    <w:basedOn w:val="Normal"/>
    <w:next w:val="Normal"/>
    <w:rsid w:val="00AC2BE5"/>
    <w:pPr>
      <w:jc w:val="center"/>
    </w:pPr>
    <w:rPr>
      <w:rFonts w:eastAsia="Times New Roman"/>
      <w:b/>
      <w:u w:val="single"/>
      <w:lang w:eastAsia="en-GB"/>
    </w:rPr>
  </w:style>
  <w:style w:type="paragraph" w:customStyle="1" w:styleId="Annexetitreexposglobal">
    <w:name w:val="Annexe titre (exposé global)"/>
    <w:basedOn w:val="Normal"/>
    <w:next w:val="Normal"/>
    <w:rsid w:val="00AC2BE5"/>
    <w:pPr>
      <w:jc w:val="center"/>
    </w:pPr>
    <w:rPr>
      <w:rFonts w:eastAsia="Times New Roman"/>
      <w:b/>
      <w:u w:val="single"/>
      <w:lang w:eastAsia="en-GB"/>
    </w:rPr>
  </w:style>
  <w:style w:type="paragraph" w:customStyle="1" w:styleId="Annexetitrefichefinacte">
    <w:name w:val="Annexe titre (fiche fin. acte)"/>
    <w:basedOn w:val="Normal"/>
    <w:next w:val="Normal"/>
    <w:rsid w:val="00AC2BE5"/>
    <w:pPr>
      <w:jc w:val="center"/>
    </w:pPr>
    <w:rPr>
      <w:rFonts w:eastAsia="Times New Roman"/>
      <w:b/>
      <w:u w:val="single"/>
      <w:lang w:eastAsia="en-GB"/>
    </w:rPr>
  </w:style>
  <w:style w:type="paragraph" w:customStyle="1" w:styleId="Annexetitrefichefinglobale">
    <w:name w:val="Annexe titre (fiche fin. globale)"/>
    <w:basedOn w:val="Normal"/>
    <w:next w:val="Normal"/>
    <w:rsid w:val="00AC2BE5"/>
    <w:pPr>
      <w:jc w:val="center"/>
    </w:pPr>
    <w:rPr>
      <w:rFonts w:eastAsia="Times New Roman"/>
      <w:b/>
      <w:u w:val="single"/>
      <w:lang w:eastAsia="en-GB"/>
    </w:rPr>
  </w:style>
  <w:style w:type="paragraph" w:customStyle="1" w:styleId="Annexetitreglobale">
    <w:name w:val="Annexe titre (globale)"/>
    <w:basedOn w:val="Normal"/>
    <w:next w:val="Normal"/>
    <w:rsid w:val="00AC2BE5"/>
    <w:pPr>
      <w:jc w:val="center"/>
    </w:pPr>
    <w:rPr>
      <w:rFonts w:eastAsia="Times New Roman"/>
      <w:b/>
      <w:u w:val="single"/>
      <w:lang w:eastAsia="en-GB"/>
    </w:rPr>
  </w:style>
  <w:style w:type="paragraph" w:customStyle="1" w:styleId="Exposdesmotifstitreglobal">
    <w:name w:val="Exposé des motifs titre (global)"/>
    <w:basedOn w:val="Normal"/>
    <w:next w:val="Normal"/>
    <w:rsid w:val="00AC2BE5"/>
    <w:pPr>
      <w:jc w:val="center"/>
    </w:pPr>
    <w:rPr>
      <w:rFonts w:eastAsia="Times New Roman"/>
      <w:b/>
      <w:u w:val="single"/>
      <w:lang w:eastAsia="en-GB"/>
    </w:rPr>
  </w:style>
  <w:style w:type="paragraph" w:customStyle="1" w:styleId="Langueoriginale">
    <w:name w:val="Langue originale"/>
    <w:basedOn w:val="Normal"/>
    <w:rsid w:val="00AC2BE5"/>
    <w:pPr>
      <w:spacing w:before="360"/>
      <w:jc w:val="center"/>
    </w:pPr>
    <w:rPr>
      <w:rFonts w:eastAsia="Times New Roman"/>
      <w:caps/>
      <w:lang w:eastAsia="en-GB"/>
    </w:rPr>
  </w:style>
  <w:style w:type="paragraph" w:customStyle="1" w:styleId="Phrasefinale">
    <w:name w:val="Phrase finale"/>
    <w:basedOn w:val="Normal"/>
    <w:next w:val="Normal"/>
    <w:rsid w:val="00AC2BE5"/>
    <w:pPr>
      <w:spacing w:before="360" w:after="0"/>
      <w:jc w:val="center"/>
    </w:pPr>
    <w:rPr>
      <w:rFonts w:eastAsia="Times New Roman"/>
      <w:lang w:eastAsia="en-GB"/>
    </w:rPr>
  </w:style>
  <w:style w:type="paragraph" w:customStyle="1" w:styleId="Prliminairetitre">
    <w:name w:val="Préliminaire titre"/>
    <w:basedOn w:val="Normal"/>
    <w:next w:val="Normal"/>
    <w:rsid w:val="00AC2BE5"/>
    <w:pPr>
      <w:spacing w:before="360" w:after="360"/>
      <w:jc w:val="center"/>
    </w:pPr>
    <w:rPr>
      <w:rFonts w:eastAsia="Times New Roman"/>
      <w:b/>
      <w:lang w:eastAsia="en-GB"/>
    </w:rPr>
  </w:style>
  <w:style w:type="paragraph" w:customStyle="1" w:styleId="Prliminairetype">
    <w:name w:val="Préliminaire type"/>
    <w:basedOn w:val="Normal"/>
    <w:next w:val="Normal"/>
    <w:rsid w:val="00AC2BE5"/>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C2BE5"/>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C2BE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C2BE5"/>
    <w:pPr>
      <w:spacing w:before="0" w:after="0"/>
      <w:ind w:left="5103"/>
      <w:jc w:val="left"/>
    </w:pPr>
    <w:rPr>
      <w:rFonts w:eastAsia="Times New Roman"/>
      <w:lang w:eastAsia="en-GB"/>
    </w:rPr>
  </w:style>
  <w:style w:type="paragraph" w:customStyle="1" w:styleId="Sous-titreobjetprliminaire">
    <w:name w:val="Sous-titre objet (préliminaire)"/>
    <w:basedOn w:val="Normal"/>
    <w:rsid w:val="00AC2BE5"/>
    <w:pPr>
      <w:spacing w:before="0" w:after="0"/>
      <w:jc w:val="center"/>
    </w:pPr>
    <w:rPr>
      <w:rFonts w:eastAsia="Times New Roman"/>
      <w:b/>
      <w:lang w:eastAsia="en-GB"/>
    </w:rPr>
  </w:style>
  <w:style w:type="paragraph" w:customStyle="1" w:styleId="Statutprliminaire">
    <w:name w:val="Statut (préliminaire)"/>
    <w:basedOn w:val="Normal"/>
    <w:next w:val="Normal"/>
    <w:rsid w:val="00AC2BE5"/>
    <w:pPr>
      <w:spacing w:before="360" w:after="0"/>
      <w:jc w:val="center"/>
    </w:pPr>
    <w:rPr>
      <w:rFonts w:eastAsia="Times New Roman"/>
      <w:lang w:eastAsia="en-GB"/>
    </w:rPr>
  </w:style>
  <w:style w:type="paragraph" w:customStyle="1" w:styleId="Titreobjetprliminaire">
    <w:name w:val="Titre objet (préliminaire)"/>
    <w:basedOn w:val="Normal"/>
    <w:next w:val="Normal"/>
    <w:rsid w:val="00AC2BE5"/>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C2BE5"/>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C2BE5"/>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C2BE5"/>
    <w:pPr>
      <w:jc w:val="center"/>
    </w:pPr>
    <w:rPr>
      <w:rFonts w:eastAsia="Times New Roman"/>
      <w:b/>
      <w:u w:val="single"/>
      <w:lang w:eastAsia="en-GB"/>
    </w:rPr>
  </w:style>
  <w:style w:type="paragraph" w:customStyle="1" w:styleId="Fichefinanciretravailtitre">
    <w:name w:val="Fiche financière (travail) titre"/>
    <w:basedOn w:val="Normal"/>
    <w:next w:val="Normal"/>
    <w:rsid w:val="00AC2BE5"/>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C2BE5"/>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C2BE5"/>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C2BE5"/>
    <w:pPr>
      <w:jc w:val="center"/>
    </w:pPr>
    <w:rPr>
      <w:rFonts w:eastAsia="Times New Roman"/>
      <w:b/>
      <w:u w:val="single"/>
      <w:lang w:eastAsia="en-GB"/>
    </w:rPr>
  </w:style>
  <w:style w:type="character" w:styleId="CommentReference">
    <w:name w:val="annotation reference"/>
    <w:rsid w:val="00AC2BE5"/>
    <w:rPr>
      <w:rFonts w:cs="Times New Roman"/>
      <w:sz w:val="16"/>
      <w:szCs w:val="16"/>
    </w:rPr>
  </w:style>
  <w:style w:type="paragraph" w:styleId="CommentText">
    <w:name w:val="annotation text"/>
    <w:basedOn w:val="Normal"/>
    <w:link w:val="CommentTextChar"/>
    <w:rsid w:val="00AC2BE5"/>
    <w:rPr>
      <w:rFonts w:eastAsia="Times New Roman"/>
      <w:sz w:val="20"/>
      <w:szCs w:val="20"/>
      <w:lang w:eastAsia="en-GB"/>
    </w:rPr>
  </w:style>
  <w:style w:type="character" w:customStyle="1" w:styleId="CommentTextChar">
    <w:name w:val="Comment Text Char"/>
    <w:basedOn w:val="DefaultParagraphFont"/>
    <w:link w:val="CommentText"/>
    <w:rsid w:val="00AC2BE5"/>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sid w:val="00AC2BE5"/>
    <w:rPr>
      <w:b/>
      <w:bCs/>
    </w:rPr>
  </w:style>
  <w:style w:type="character" w:customStyle="1" w:styleId="CommentSubjectChar">
    <w:name w:val="Comment Subject Char"/>
    <w:basedOn w:val="CommentTextChar"/>
    <w:link w:val="CommentSubject"/>
    <w:rsid w:val="00AC2BE5"/>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sid w:val="00AC2BE5"/>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C2BE5"/>
    <w:rPr>
      <w:rFonts w:ascii="Tahoma" w:eastAsia="Times New Roman" w:hAnsi="Tahoma" w:cs="Tahoma"/>
      <w:sz w:val="16"/>
      <w:szCs w:val="16"/>
      <w:lang w:val="bg-BG" w:eastAsia="en-GB"/>
    </w:rPr>
  </w:style>
  <w:style w:type="paragraph" w:styleId="Caption">
    <w:name w:val="caption"/>
    <w:basedOn w:val="Normal"/>
    <w:next w:val="Normal"/>
    <w:qFormat/>
    <w:rsid w:val="00AC2BE5"/>
    <w:rPr>
      <w:rFonts w:eastAsia="Times New Roman"/>
      <w:b/>
      <w:bCs/>
      <w:sz w:val="20"/>
      <w:szCs w:val="20"/>
      <w:lang w:eastAsia="en-GB"/>
    </w:rPr>
  </w:style>
  <w:style w:type="paragraph" w:styleId="TableofFigures">
    <w:name w:val="table of figures"/>
    <w:basedOn w:val="Normal"/>
    <w:next w:val="Normal"/>
    <w:rsid w:val="00AC2BE5"/>
    <w:rPr>
      <w:rFonts w:eastAsia="Times New Roman"/>
      <w:lang w:eastAsia="en-GB"/>
    </w:rPr>
  </w:style>
  <w:style w:type="character" w:styleId="PageNumber">
    <w:name w:val="page number"/>
    <w:rsid w:val="00AC2BE5"/>
  </w:style>
  <w:style w:type="character" w:customStyle="1" w:styleId="tw4winMark">
    <w:name w:val="tw4winMark"/>
    <w:rsid w:val="00AC2BE5"/>
    <w:rPr>
      <w:vanish/>
      <w:color w:val="800080"/>
      <w:vertAlign w:val="subscript"/>
    </w:rPr>
  </w:style>
  <w:style w:type="character" w:styleId="FollowedHyperlink">
    <w:name w:val="FollowedHyperlink"/>
    <w:rsid w:val="00AC2BE5"/>
    <w:rPr>
      <w:color w:val="800080"/>
      <w:u w:val="single"/>
    </w:rPr>
  </w:style>
  <w:style w:type="paragraph" w:customStyle="1" w:styleId="Sous-titreobjet">
    <w:name w:val="Sous-titre objet"/>
    <w:basedOn w:val="Normal"/>
    <w:rsid w:val="00AC2BE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C2BE5"/>
  </w:style>
  <w:style w:type="paragraph" w:styleId="Revision">
    <w:name w:val="Revision"/>
    <w:hidden/>
    <w:uiPriority w:val="99"/>
    <w:semiHidden/>
    <w:rsid w:val="00AC2BE5"/>
    <w:rPr>
      <w:rFonts w:ascii="Calibri" w:eastAsia="Calibri" w:hAnsi="Calibri" w:cs="Times New Roman"/>
      <w:sz w:val="24"/>
      <w:lang w:eastAsia="en-GB"/>
    </w:rPr>
  </w:style>
  <w:style w:type="paragraph" w:customStyle="1" w:styleId="FooterCoverPage">
    <w:name w:val="Footer Cover Page"/>
    <w:basedOn w:val="Normal"/>
    <w:link w:val="FooterCoverPageChar"/>
    <w:rsid w:val="00AC2BE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C2BE5"/>
    <w:rPr>
      <w:rFonts w:ascii="Times New Roman" w:hAnsi="Times New Roman" w:cs="Times New Roman"/>
      <w:b/>
      <w:sz w:val="28"/>
      <w:lang w:val="bg-BG"/>
    </w:rPr>
  </w:style>
  <w:style w:type="character" w:customStyle="1" w:styleId="FooterCoverPageChar">
    <w:name w:val="Footer Cover Page Char"/>
    <w:link w:val="FooterCoverPage"/>
    <w:rsid w:val="00AC2BE5"/>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AC2BE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C2BE5"/>
    <w:rPr>
      <w:rFonts w:ascii="Times New Roman" w:eastAsia="Calibri" w:hAnsi="Times New Roman" w:cs="Times New Roman"/>
      <w:sz w:val="24"/>
      <w:lang w:val="bg-BG" w:eastAsia="en-GB"/>
    </w:rPr>
  </w:style>
  <w:style w:type="character" w:customStyle="1" w:styleId="FooterSensitivityChar">
    <w:name w:val="Footer Sensitivity Char"/>
    <w:rsid w:val="00AC2BE5"/>
    <w:rPr>
      <w:rFonts w:ascii="Times New Roman" w:hAnsi="Times New Roman" w:cs="Times New Roman"/>
      <w:b/>
      <w:sz w:val="32"/>
      <w:lang w:val="bg-BG"/>
    </w:rPr>
  </w:style>
  <w:style w:type="character" w:customStyle="1" w:styleId="HeaderSensitivityChar">
    <w:name w:val="Header Sensitivity Char"/>
    <w:rsid w:val="00AC2BE5"/>
    <w:rPr>
      <w:rFonts w:ascii="Times New Roman" w:hAnsi="Times New Roman" w:cs="Times New Roman"/>
      <w:b/>
      <w:sz w:val="32"/>
      <w:lang w:val="bg-BG"/>
    </w:rPr>
  </w:style>
  <w:style w:type="character" w:customStyle="1" w:styleId="HeaderSensitivityRightChar">
    <w:name w:val="Header Sensitivity Right Char"/>
    <w:rsid w:val="00AC2BE5"/>
    <w:rPr>
      <w:rFonts w:ascii="Times New Roman" w:hAnsi="Times New Roman" w:cs="Times New Roman"/>
      <w:sz w:val="28"/>
      <w:lang w:val="bg-BG"/>
    </w:rPr>
  </w:style>
  <w:style w:type="paragraph" w:customStyle="1" w:styleId="LegalNumPar">
    <w:name w:val="LegalNumPar"/>
    <w:basedOn w:val="Normal"/>
    <w:rsid w:val="00AC2BE5"/>
    <w:pPr>
      <w:numPr>
        <w:ilvl w:val="1"/>
        <w:numId w:val="16"/>
      </w:numPr>
      <w:spacing w:line="360" w:lineRule="auto"/>
    </w:pPr>
    <w:rPr>
      <w:rFonts w:eastAsia="Times New Roman"/>
      <w:lang w:eastAsia="en-GB"/>
    </w:rPr>
  </w:style>
  <w:style w:type="paragraph" w:customStyle="1" w:styleId="LegalNumPar2">
    <w:name w:val="LegalNumPar2"/>
    <w:basedOn w:val="Normal"/>
    <w:rsid w:val="00AC2BE5"/>
    <w:pPr>
      <w:spacing w:line="360" w:lineRule="auto"/>
      <w:ind w:left="953" w:hanging="477"/>
    </w:pPr>
    <w:rPr>
      <w:rFonts w:eastAsia="Times New Roman"/>
      <w:lang w:eastAsia="en-GB"/>
    </w:rPr>
  </w:style>
  <w:style w:type="paragraph" w:customStyle="1" w:styleId="LegalNumPar3">
    <w:name w:val="LegalNumPar3"/>
    <w:basedOn w:val="Normal"/>
    <w:rsid w:val="00AC2BE5"/>
    <w:pPr>
      <w:spacing w:line="360" w:lineRule="auto"/>
      <w:ind w:left="1429" w:hanging="476"/>
    </w:pPr>
    <w:rPr>
      <w:rFonts w:eastAsia="Times New Roman"/>
      <w:lang w:eastAsia="en-GB"/>
    </w:rPr>
  </w:style>
  <w:style w:type="paragraph" w:styleId="ListParagraph">
    <w:name w:val="List Paragraph"/>
    <w:basedOn w:val="Normal"/>
    <w:uiPriority w:val="34"/>
    <w:qFormat/>
    <w:rsid w:val="00AC2BE5"/>
    <w:pPr>
      <w:ind w:left="720"/>
      <w:contextualSpacing/>
    </w:pPr>
    <w:rPr>
      <w:rFonts w:eastAsia="Times New Roman"/>
      <w:lang w:eastAsia="en-GB"/>
    </w:rPr>
  </w:style>
  <w:style w:type="character" w:styleId="UnresolvedMention">
    <w:name w:val="Unresolved Mention"/>
    <w:basedOn w:val="DefaultParagraphFont"/>
    <w:uiPriority w:val="99"/>
    <w:semiHidden/>
    <w:unhideWhenUsed/>
    <w:rsid w:val="00AC2BE5"/>
    <w:rPr>
      <w:color w:val="605E5C"/>
      <w:shd w:val="clear" w:color="auto" w:fill="E1DFDD"/>
    </w:rPr>
  </w:style>
  <w:style w:type="character" w:styleId="Strong">
    <w:name w:val="Strong"/>
    <w:basedOn w:val="DefaultParagraphFont"/>
    <w:uiPriority w:val="22"/>
    <w:qFormat/>
    <w:rsid w:val="00AC2BE5"/>
    <w:rPr>
      <w:b/>
      <w:bCs/>
    </w:rPr>
  </w:style>
  <w:style w:type="character" w:styleId="Emphasis">
    <w:name w:val="Emphasis"/>
    <w:basedOn w:val="DefaultParagraphFont"/>
    <w:qFormat/>
    <w:rsid w:val="00AC2BE5"/>
    <w:rPr>
      <w:i/>
      <w:iCs/>
    </w:rPr>
  </w:style>
  <w:style w:type="character" w:styleId="Mention">
    <w:name w:val="Mention"/>
    <w:basedOn w:val="DefaultParagraphFont"/>
    <w:uiPriority w:val="99"/>
    <w:unhideWhenUsed/>
    <w:rsid w:val="00AC2BE5"/>
    <w:rPr>
      <w:color w:val="2B579A"/>
      <w:shd w:val="clear" w:color="auto" w:fill="E1DFDD"/>
    </w:rPr>
  </w:style>
  <w:style w:type="character" w:customStyle="1" w:styleId="normaltextrun">
    <w:name w:val="normaltextrun"/>
    <w:basedOn w:val="DefaultParagraphFont"/>
    <w:rsid w:val="00AC2BE5"/>
  </w:style>
  <w:style w:type="character" w:customStyle="1" w:styleId="eop">
    <w:name w:val="eop"/>
    <w:basedOn w:val="DefaultParagraphFont"/>
    <w:rsid w:val="00AC2BE5"/>
  </w:style>
  <w:style w:type="paragraph" w:customStyle="1" w:styleId="Titreti">
    <w:name w:val="Titre ti"/>
    <w:basedOn w:val="ChapterTitle"/>
    <w:rsid w:val="00264AE1"/>
    <w:rPr>
      <w:b w:val="0"/>
      <w:bCs/>
    </w:rPr>
  </w:style>
  <w:style w:type="paragraph" w:customStyle="1" w:styleId="Point1l">
    <w:name w:val="Point 1 l"/>
    <w:basedOn w:val="Point2letter"/>
    <w:rsid w:val="00933C33"/>
  </w:style>
  <w:style w:type="paragraph" w:styleId="NormalWeb">
    <w:name w:val="Normal (Web)"/>
    <w:basedOn w:val="Normal"/>
    <w:uiPriority w:val="99"/>
    <w:semiHidden/>
    <w:unhideWhenUsed/>
    <w:rsid w:val="00C72017"/>
    <w:pPr>
      <w:spacing w:before="100" w:beforeAutospacing="1" w:after="100" w:afterAutospacing="1"/>
      <w:jc w:val="left"/>
    </w:pPr>
    <w:rPr>
      <w:rFonts w:eastAsia="Times New Roman"/>
      <w:szCs w:val="24"/>
      <w:lang w:eastAsia="en-IE"/>
    </w:rPr>
  </w:style>
  <w:style w:type="paragraph" w:customStyle="1" w:styleId="Article9">
    <w:name w:val="Article 9"/>
    <w:basedOn w:val="Point0number"/>
    <w:rsid w:val="00C72017"/>
  </w:style>
  <w:style w:type="paragraph" w:customStyle="1" w:styleId="Poinr2">
    <w:name w:val="Poinr 2"/>
    <w:basedOn w:val="Point2"/>
    <w:rsid w:val="00C60C5D"/>
    <w:pPr>
      <w:ind w:hanging="544"/>
    </w:pPr>
  </w:style>
  <w:style w:type="paragraph" w:customStyle="1" w:styleId="Point10">
    <w:name w:val="Point 10"/>
    <w:basedOn w:val="Normal"/>
    <w:pPr>
      <w:ind w:left="1417" w:hanging="567"/>
    </w:pPr>
  </w:style>
  <w:style w:type="paragraph" w:customStyle="1" w:styleId="Titre1">
    <w:name w:val="Titre1"/>
    <w:basedOn w:val="Point0number"/>
    <w:rsid w:val="00CA7231"/>
    <w:pPr>
      <w:numPr>
        <w:numId w:val="0"/>
      </w:numPr>
      <w:ind w:left="850"/>
    </w:pPr>
  </w:style>
  <w:style w:type="paragraph" w:customStyle="1" w:styleId="tent0number">
    <w:name w:val="tent 0 (number)"/>
    <w:basedOn w:val="Point0number"/>
    <w:rsid w:val="00AE5D6E"/>
    <w:pPr>
      <w:numPr>
        <w:numId w:val="0"/>
      </w:numPr>
      <w:ind w:left="850"/>
    </w:pPr>
  </w:style>
  <w:style w:type="paragraph" w:customStyle="1" w:styleId="Text0">
    <w:name w:val="Text 0"/>
    <w:basedOn w:val="Text1"/>
    <w:rsid w:val="00396D7D"/>
    <w:pPr>
      <w:ind w:left="0"/>
    </w:pPr>
    <w:rPr>
      <w:rFonts w:eastAsia="Times New Roman"/>
      <w:szCs w:val="20"/>
      <w:lang w:eastAsia="en-IE"/>
    </w:rPr>
  </w:style>
  <w:style w:type="character" w:customStyle="1" w:styleId="cf01">
    <w:name w:val="cf01"/>
    <w:basedOn w:val="DefaultParagraphFont"/>
    <w:rsid w:val="00F5540F"/>
    <w:rPr>
      <w:rFonts w:ascii="Segoe UI" w:hAnsi="Segoe UI" w:cs="Segoe UI" w:hint="default"/>
      <w:sz w:val="18"/>
      <w:szCs w:val="18"/>
    </w:rPr>
  </w:style>
  <w:style w:type="character" w:customStyle="1" w:styleId="cf11">
    <w:name w:val="cf11"/>
    <w:basedOn w:val="DefaultParagraphFont"/>
    <w:rsid w:val="00F5540F"/>
    <w:rPr>
      <w:rFonts w:ascii="Segoe UI" w:hAnsi="Segoe UI" w:cs="Segoe UI" w:hint="default"/>
      <w:i/>
      <w:iCs/>
      <w:sz w:val="18"/>
      <w:szCs w:val="18"/>
    </w:rPr>
  </w:style>
  <w:style w:type="paragraph" w:customStyle="1" w:styleId="Text10">
    <w:name w:val="Text1"/>
    <w:basedOn w:val="ManualNumPar1"/>
    <w:rsid w:val="0039745E"/>
  </w:style>
  <w:style w:type="paragraph" w:customStyle="1" w:styleId="text12">
    <w:name w:val="text 1 2"/>
    <w:basedOn w:val="Point2"/>
    <w:rsid w:val="00677E37"/>
  </w:style>
  <w:style w:type="paragraph" w:customStyle="1" w:styleId="Point">
    <w:name w:val="Point"/>
    <w:basedOn w:val="Point0"/>
    <w:rsid w:val="0043208C"/>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pPr>
      <w:tabs>
        <w:tab w:val="center" w:pos="4535"/>
        <w:tab w:val="right" w:pos="9071"/>
      </w:tabs>
      <w:spacing w:before="0"/>
    </w:pPr>
  </w:style>
  <w:style w:type="paragraph" w:customStyle="1" w:styleId="HeaderLandscape">
    <w:name w:val="HeaderLandscape"/>
    <w:basedOn w:val="Normal"/>
    <w:pPr>
      <w:tabs>
        <w:tab w:val="center" w:pos="7285"/>
        <w:tab w:val="right" w:pos="14003"/>
      </w:tabs>
      <w:spacing w:before="0"/>
    </w:p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436">
      <w:bodyDiv w:val="1"/>
      <w:marLeft w:val="0"/>
      <w:marRight w:val="0"/>
      <w:marTop w:val="0"/>
      <w:marBottom w:val="0"/>
      <w:divBdr>
        <w:top w:val="none" w:sz="0" w:space="0" w:color="auto"/>
        <w:left w:val="none" w:sz="0" w:space="0" w:color="auto"/>
        <w:bottom w:val="none" w:sz="0" w:space="0" w:color="auto"/>
        <w:right w:val="none" w:sz="0" w:space="0" w:color="auto"/>
      </w:divBdr>
      <w:divsChild>
        <w:div w:id="1039012381">
          <w:marLeft w:val="0"/>
          <w:marRight w:val="0"/>
          <w:marTop w:val="0"/>
          <w:marBottom w:val="0"/>
          <w:divBdr>
            <w:top w:val="none" w:sz="0" w:space="0" w:color="auto"/>
            <w:left w:val="none" w:sz="0" w:space="0" w:color="auto"/>
            <w:bottom w:val="none" w:sz="0" w:space="0" w:color="auto"/>
            <w:right w:val="none" w:sz="0" w:space="0" w:color="auto"/>
          </w:divBdr>
          <w:divsChild>
            <w:div w:id="1353385499">
              <w:marLeft w:val="0"/>
              <w:marRight w:val="0"/>
              <w:marTop w:val="0"/>
              <w:marBottom w:val="0"/>
              <w:divBdr>
                <w:top w:val="none" w:sz="0" w:space="0" w:color="auto"/>
                <w:left w:val="none" w:sz="0" w:space="0" w:color="auto"/>
                <w:bottom w:val="none" w:sz="0" w:space="0" w:color="auto"/>
                <w:right w:val="none" w:sz="0" w:space="0" w:color="auto"/>
              </w:divBdr>
              <w:divsChild>
                <w:div w:id="1756630369">
                  <w:marLeft w:val="0"/>
                  <w:marRight w:val="0"/>
                  <w:marTop w:val="0"/>
                  <w:marBottom w:val="0"/>
                  <w:divBdr>
                    <w:top w:val="none" w:sz="0" w:space="0" w:color="auto"/>
                    <w:left w:val="none" w:sz="0" w:space="0" w:color="auto"/>
                    <w:bottom w:val="none" w:sz="0" w:space="0" w:color="auto"/>
                    <w:right w:val="none" w:sz="0" w:space="0" w:color="auto"/>
                  </w:divBdr>
                  <w:divsChild>
                    <w:div w:id="1905140181">
                      <w:marLeft w:val="0"/>
                      <w:marRight w:val="0"/>
                      <w:marTop w:val="0"/>
                      <w:marBottom w:val="0"/>
                      <w:divBdr>
                        <w:top w:val="none" w:sz="0" w:space="0" w:color="auto"/>
                        <w:left w:val="none" w:sz="0" w:space="0" w:color="auto"/>
                        <w:bottom w:val="none" w:sz="0" w:space="0" w:color="auto"/>
                        <w:right w:val="none" w:sz="0" w:space="0" w:color="auto"/>
                      </w:divBdr>
                      <w:divsChild>
                        <w:div w:id="1488669007">
                          <w:marLeft w:val="0"/>
                          <w:marRight w:val="0"/>
                          <w:marTop w:val="0"/>
                          <w:marBottom w:val="0"/>
                          <w:divBdr>
                            <w:top w:val="none" w:sz="0" w:space="0" w:color="auto"/>
                            <w:left w:val="none" w:sz="0" w:space="0" w:color="auto"/>
                            <w:bottom w:val="none" w:sz="0" w:space="0" w:color="auto"/>
                            <w:right w:val="none" w:sz="0" w:space="0" w:color="auto"/>
                          </w:divBdr>
                          <w:divsChild>
                            <w:div w:id="284697608">
                              <w:marLeft w:val="0"/>
                              <w:marRight w:val="0"/>
                              <w:marTop w:val="0"/>
                              <w:marBottom w:val="0"/>
                              <w:divBdr>
                                <w:top w:val="none" w:sz="0" w:space="0" w:color="auto"/>
                                <w:left w:val="none" w:sz="0" w:space="0" w:color="auto"/>
                                <w:bottom w:val="none" w:sz="0" w:space="0" w:color="auto"/>
                                <w:right w:val="none" w:sz="0" w:space="0" w:color="auto"/>
                              </w:divBdr>
                              <w:divsChild>
                                <w:div w:id="137299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4543">
      <w:bodyDiv w:val="1"/>
      <w:marLeft w:val="0"/>
      <w:marRight w:val="0"/>
      <w:marTop w:val="0"/>
      <w:marBottom w:val="0"/>
      <w:divBdr>
        <w:top w:val="none" w:sz="0" w:space="0" w:color="auto"/>
        <w:left w:val="none" w:sz="0" w:space="0" w:color="auto"/>
        <w:bottom w:val="none" w:sz="0" w:space="0" w:color="auto"/>
        <w:right w:val="none" w:sz="0" w:space="0" w:color="auto"/>
      </w:divBdr>
    </w:div>
    <w:div w:id="116876462">
      <w:bodyDiv w:val="1"/>
      <w:marLeft w:val="0"/>
      <w:marRight w:val="0"/>
      <w:marTop w:val="0"/>
      <w:marBottom w:val="0"/>
      <w:divBdr>
        <w:top w:val="none" w:sz="0" w:space="0" w:color="auto"/>
        <w:left w:val="none" w:sz="0" w:space="0" w:color="auto"/>
        <w:bottom w:val="none" w:sz="0" w:space="0" w:color="auto"/>
        <w:right w:val="none" w:sz="0" w:space="0" w:color="auto"/>
      </w:divBdr>
      <w:divsChild>
        <w:div w:id="1533567026">
          <w:marLeft w:val="0"/>
          <w:marRight w:val="0"/>
          <w:marTop w:val="0"/>
          <w:marBottom w:val="0"/>
          <w:divBdr>
            <w:top w:val="none" w:sz="0" w:space="0" w:color="auto"/>
            <w:left w:val="none" w:sz="0" w:space="0" w:color="auto"/>
            <w:bottom w:val="none" w:sz="0" w:space="0" w:color="auto"/>
            <w:right w:val="none" w:sz="0" w:space="0" w:color="auto"/>
          </w:divBdr>
        </w:div>
      </w:divsChild>
    </w:div>
    <w:div w:id="118227665">
      <w:bodyDiv w:val="1"/>
      <w:marLeft w:val="0"/>
      <w:marRight w:val="0"/>
      <w:marTop w:val="0"/>
      <w:marBottom w:val="0"/>
      <w:divBdr>
        <w:top w:val="none" w:sz="0" w:space="0" w:color="auto"/>
        <w:left w:val="none" w:sz="0" w:space="0" w:color="auto"/>
        <w:bottom w:val="none" w:sz="0" w:space="0" w:color="auto"/>
        <w:right w:val="none" w:sz="0" w:space="0" w:color="auto"/>
      </w:divBdr>
    </w:div>
    <w:div w:id="164830724">
      <w:bodyDiv w:val="1"/>
      <w:marLeft w:val="0"/>
      <w:marRight w:val="0"/>
      <w:marTop w:val="0"/>
      <w:marBottom w:val="0"/>
      <w:divBdr>
        <w:top w:val="none" w:sz="0" w:space="0" w:color="auto"/>
        <w:left w:val="none" w:sz="0" w:space="0" w:color="auto"/>
        <w:bottom w:val="none" w:sz="0" w:space="0" w:color="auto"/>
        <w:right w:val="none" w:sz="0" w:space="0" w:color="auto"/>
      </w:divBdr>
      <w:divsChild>
        <w:div w:id="2090033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93670">
      <w:bodyDiv w:val="1"/>
      <w:marLeft w:val="0"/>
      <w:marRight w:val="0"/>
      <w:marTop w:val="0"/>
      <w:marBottom w:val="0"/>
      <w:divBdr>
        <w:top w:val="none" w:sz="0" w:space="0" w:color="auto"/>
        <w:left w:val="none" w:sz="0" w:space="0" w:color="auto"/>
        <w:bottom w:val="none" w:sz="0" w:space="0" w:color="auto"/>
        <w:right w:val="none" w:sz="0" w:space="0" w:color="auto"/>
      </w:divBdr>
    </w:div>
    <w:div w:id="201750577">
      <w:bodyDiv w:val="1"/>
      <w:marLeft w:val="0"/>
      <w:marRight w:val="0"/>
      <w:marTop w:val="0"/>
      <w:marBottom w:val="0"/>
      <w:divBdr>
        <w:top w:val="none" w:sz="0" w:space="0" w:color="auto"/>
        <w:left w:val="none" w:sz="0" w:space="0" w:color="auto"/>
        <w:bottom w:val="none" w:sz="0" w:space="0" w:color="auto"/>
        <w:right w:val="none" w:sz="0" w:space="0" w:color="auto"/>
      </w:divBdr>
    </w:div>
    <w:div w:id="207575069">
      <w:bodyDiv w:val="1"/>
      <w:marLeft w:val="0"/>
      <w:marRight w:val="0"/>
      <w:marTop w:val="0"/>
      <w:marBottom w:val="0"/>
      <w:divBdr>
        <w:top w:val="none" w:sz="0" w:space="0" w:color="auto"/>
        <w:left w:val="none" w:sz="0" w:space="0" w:color="auto"/>
        <w:bottom w:val="none" w:sz="0" w:space="0" w:color="auto"/>
        <w:right w:val="none" w:sz="0" w:space="0" w:color="auto"/>
      </w:divBdr>
      <w:divsChild>
        <w:div w:id="845747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177036">
      <w:bodyDiv w:val="1"/>
      <w:marLeft w:val="0"/>
      <w:marRight w:val="0"/>
      <w:marTop w:val="0"/>
      <w:marBottom w:val="0"/>
      <w:divBdr>
        <w:top w:val="none" w:sz="0" w:space="0" w:color="auto"/>
        <w:left w:val="none" w:sz="0" w:space="0" w:color="auto"/>
        <w:bottom w:val="none" w:sz="0" w:space="0" w:color="auto"/>
        <w:right w:val="none" w:sz="0" w:space="0" w:color="auto"/>
      </w:divBdr>
      <w:divsChild>
        <w:div w:id="1762679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902250">
      <w:bodyDiv w:val="1"/>
      <w:marLeft w:val="0"/>
      <w:marRight w:val="0"/>
      <w:marTop w:val="0"/>
      <w:marBottom w:val="0"/>
      <w:divBdr>
        <w:top w:val="none" w:sz="0" w:space="0" w:color="auto"/>
        <w:left w:val="none" w:sz="0" w:space="0" w:color="auto"/>
        <w:bottom w:val="none" w:sz="0" w:space="0" w:color="auto"/>
        <w:right w:val="none" w:sz="0" w:space="0" w:color="auto"/>
      </w:divBdr>
    </w:div>
    <w:div w:id="298347226">
      <w:bodyDiv w:val="1"/>
      <w:marLeft w:val="0"/>
      <w:marRight w:val="0"/>
      <w:marTop w:val="0"/>
      <w:marBottom w:val="0"/>
      <w:divBdr>
        <w:top w:val="none" w:sz="0" w:space="0" w:color="auto"/>
        <w:left w:val="none" w:sz="0" w:space="0" w:color="auto"/>
        <w:bottom w:val="none" w:sz="0" w:space="0" w:color="auto"/>
        <w:right w:val="none" w:sz="0" w:space="0" w:color="auto"/>
      </w:divBdr>
    </w:div>
    <w:div w:id="307822962">
      <w:bodyDiv w:val="1"/>
      <w:marLeft w:val="0"/>
      <w:marRight w:val="0"/>
      <w:marTop w:val="0"/>
      <w:marBottom w:val="0"/>
      <w:divBdr>
        <w:top w:val="none" w:sz="0" w:space="0" w:color="auto"/>
        <w:left w:val="none" w:sz="0" w:space="0" w:color="auto"/>
        <w:bottom w:val="none" w:sz="0" w:space="0" w:color="auto"/>
        <w:right w:val="none" w:sz="0" w:space="0" w:color="auto"/>
      </w:divBdr>
    </w:div>
    <w:div w:id="365564825">
      <w:bodyDiv w:val="1"/>
      <w:marLeft w:val="0"/>
      <w:marRight w:val="0"/>
      <w:marTop w:val="0"/>
      <w:marBottom w:val="0"/>
      <w:divBdr>
        <w:top w:val="none" w:sz="0" w:space="0" w:color="auto"/>
        <w:left w:val="none" w:sz="0" w:space="0" w:color="auto"/>
        <w:bottom w:val="none" w:sz="0" w:space="0" w:color="auto"/>
        <w:right w:val="none" w:sz="0" w:space="0" w:color="auto"/>
      </w:divBdr>
      <w:divsChild>
        <w:div w:id="567300649">
          <w:marLeft w:val="0"/>
          <w:marRight w:val="0"/>
          <w:marTop w:val="0"/>
          <w:marBottom w:val="0"/>
          <w:divBdr>
            <w:top w:val="none" w:sz="0" w:space="0" w:color="auto"/>
            <w:left w:val="none" w:sz="0" w:space="0" w:color="auto"/>
            <w:bottom w:val="none" w:sz="0" w:space="0" w:color="auto"/>
            <w:right w:val="none" w:sz="0" w:space="0" w:color="auto"/>
          </w:divBdr>
        </w:div>
      </w:divsChild>
    </w:div>
    <w:div w:id="369183488">
      <w:bodyDiv w:val="1"/>
      <w:marLeft w:val="0"/>
      <w:marRight w:val="0"/>
      <w:marTop w:val="0"/>
      <w:marBottom w:val="0"/>
      <w:divBdr>
        <w:top w:val="none" w:sz="0" w:space="0" w:color="auto"/>
        <w:left w:val="none" w:sz="0" w:space="0" w:color="auto"/>
        <w:bottom w:val="none" w:sz="0" w:space="0" w:color="auto"/>
        <w:right w:val="none" w:sz="0" w:space="0" w:color="auto"/>
      </w:divBdr>
    </w:div>
    <w:div w:id="380398349">
      <w:bodyDiv w:val="1"/>
      <w:marLeft w:val="0"/>
      <w:marRight w:val="0"/>
      <w:marTop w:val="0"/>
      <w:marBottom w:val="0"/>
      <w:divBdr>
        <w:top w:val="none" w:sz="0" w:space="0" w:color="auto"/>
        <w:left w:val="none" w:sz="0" w:space="0" w:color="auto"/>
        <w:bottom w:val="none" w:sz="0" w:space="0" w:color="auto"/>
        <w:right w:val="none" w:sz="0" w:space="0" w:color="auto"/>
      </w:divBdr>
      <w:divsChild>
        <w:div w:id="26766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00518">
      <w:bodyDiv w:val="1"/>
      <w:marLeft w:val="0"/>
      <w:marRight w:val="0"/>
      <w:marTop w:val="0"/>
      <w:marBottom w:val="0"/>
      <w:divBdr>
        <w:top w:val="none" w:sz="0" w:space="0" w:color="auto"/>
        <w:left w:val="none" w:sz="0" w:space="0" w:color="auto"/>
        <w:bottom w:val="none" w:sz="0" w:space="0" w:color="auto"/>
        <w:right w:val="none" w:sz="0" w:space="0" w:color="auto"/>
      </w:divBdr>
    </w:div>
    <w:div w:id="403768346">
      <w:bodyDiv w:val="1"/>
      <w:marLeft w:val="0"/>
      <w:marRight w:val="0"/>
      <w:marTop w:val="0"/>
      <w:marBottom w:val="0"/>
      <w:divBdr>
        <w:top w:val="none" w:sz="0" w:space="0" w:color="auto"/>
        <w:left w:val="none" w:sz="0" w:space="0" w:color="auto"/>
        <w:bottom w:val="none" w:sz="0" w:space="0" w:color="auto"/>
        <w:right w:val="none" w:sz="0" w:space="0" w:color="auto"/>
      </w:divBdr>
      <w:divsChild>
        <w:div w:id="185683258">
          <w:marLeft w:val="0"/>
          <w:marRight w:val="0"/>
          <w:marTop w:val="0"/>
          <w:marBottom w:val="0"/>
          <w:divBdr>
            <w:top w:val="none" w:sz="0" w:space="0" w:color="auto"/>
            <w:left w:val="none" w:sz="0" w:space="0" w:color="auto"/>
            <w:bottom w:val="none" w:sz="0" w:space="0" w:color="auto"/>
            <w:right w:val="none" w:sz="0" w:space="0" w:color="auto"/>
          </w:divBdr>
        </w:div>
        <w:div w:id="269435896">
          <w:marLeft w:val="0"/>
          <w:marRight w:val="0"/>
          <w:marTop w:val="0"/>
          <w:marBottom w:val="0"/>
          <w:divBdr>
            <w:top w:val="none" w:sz="0" w:space="0" w:color="auto"/>
            <w:left w:val="none" w:sz="0" w:space="0" w:color="auto"/>
            <w:bottom w:val="none" w:sz="0" w:space="0" w:color="auto"/>
            <w:right w:val="none" w:sz="0" w:space="0" w:color="auto"/>
          </w:divBdr>
        </w:div>
        <w:div w:id="570703038">
          <w:marLeft w:val="0"/>
          <w:marRight w:val="0"/>
          <w:marTop w:val="0"/>
          <w:marBottom w:val="0"/>
          <w:divBdr>
            <w:top w:val="none" w:sz="0" w:space="0" w:color="auto"/>
            <w:left w:val="none" w:sz="0" w:space="0" w:color="auto"/>
            <w:bottom w:val="none" w:sz="0" w:space="0" w:color="auto"/>
            <w:right w:val="none" w:sz="0" w:space="0" w:color="auto"/>
          </w:divBdr>
        </w:div>
        <w:div w:id="630746567">
          <w:marLeft w:val="0"/>
          <w:marRight w:val="0"/>
          <w:marTop w:val="0"/>
          <w:marBottom w:val="0"/>
          <w:divBdr>
            <w:top w:val="none" w:sz="0" w:space="0" w:color="auto"/>
            <w:left w:val="none" w:sz="0" w:space="0" w:color="auto"/>
            <w:bottom w:val="none" w:sz="0" w:space="0" w:color="auto"/>
            <w:right w:val="none" w:sz="0" w:space="0" w:color="auto"/>
          </w:divBdr>
        </w:div>
        <w:div w:id="1262447744">
          <w:marLeft w:val="0"/>
          <w:marRight w:val="0"/>
          <w:marTop w:val="0"/>
          <w:marBottom w:val="0"/>
          <w:divBdr>
            <w:top w:val="none" w:sz="0" w:space="0" w:color="auto"/>
            <w:left w:val="none" w:sz="0" w:space="0" w:color="auto"/>
            <w:bottom w:val="none" w:sz="0" w:space="0" w:color="auto"/>
            <w:right w:val="none" w:sz="0" w:space="0" w:color="auto"/>
          </w:divBdr>
        </w:div>
        <w:div w:id="1582834738">
          <w:marLeft w:val="0"/>
          <w:marRight w:val="0"/>
          <w:marTop w:val="0"/>
          <w:marBottom w:val="0"/>
          <w:divBdr>
            <w:top w:val="none" w:sz="0" w:space="0" w:color="auto"/>
            <w:left w:val="none" w:sz="0" w:space="0" w:color="auto"/>
            <w:bottom w:val="none" w:sz="0" w:space="0" w:color="auto"/>
            <w:right w:val="none" w:sz="0" w:space="0" w:color="auto"/>
          </w:divBdr>
        </w:div>
      </w:divsChild>
    </w:div>
    <w:div w:id="422148881">
      <w:bodyDiv w:val="1"/>
      <w:marLeft w:val="0"/>
      <w:marRight w:val="0"/>
      <w:marTop w:val="0"/>
      <w:marBottom w:val="0"/>
      <w:divBdr>
        <w:top w:val="none" w:sz="0" w:space="0" w:color="auto"/>
        <w:left w:val="none" w:sz="0" w:space="0" w:color="auto"/>
        <w:bottom w:val="none" w:sz="0" w:space="0" w:color="auto"/>
        <w:right w:val="none" w:sz="0" w:space="0" w:color="auto"/>
      </w:divBdr>
    </w:div>
    <w:div w:id="428278799">
      <w:bodyDiv w:val="1"/>
      <w:marLeft w:val="0"/>
      <w:marRight w:val="0"/>
      <w:marTop w:val="0"/>
      <w:marBottom w:val="0"/>
      <w:divBdr>
        <w:top w:val="none" w:sz="0" w:space="0" w:color="auto"/>
        <w:left w:val="none" w:sz="0" w:space="0" w:color="auto"/>
        <w:bottom w:val="none" w:sz="0" w:space="0" w:color="auto"/>
        <w:right w:val="none" w:sz="0" w:space="0" w:color="auto"/>
      </w:divBdr>
    </w:div>
    <w:div w:id="431779071">
      <w:bodyDiv w:val="1"/>
      <w:marLeft w:val="0"/>
      <w:marRight w:val="0"/>
      <w:marTop w:val="0"/>
      <w:marBottom w:val="0"/>
      <w:divBdr>
        <w:top w:val="none" w:sz="0" w:space="0" w:color="auto"/>
        <w:left w:val="none" w:sz="0" w:space="0" w:color="auto"/>
        <w:bottom w:val="none" w:sz="0" w:space="0" w:color="auto"/>
        <w:right w:val="none" w:sz="0" w:space="0" w:color="auto"/>
      </w:divBdr>
    </w:div>
    <w:div w:id="432167925">
      <w:bodyDiv w:val="1"/>
      <w:marLeft w:val="0"/>
      <w:marRight w:val="0"/>
      <w:marTop w:val="0"/>
      <w:marBottom w:val="0"/>
      <w:divBdr>
        <w:top w:val="none" w:sz="0" w:space="0" w:color="auto"/>
        <w:left w:val="none" w:sz="0" w:space="0" w:color="auto"/>
        <w:bottom w:val="none" w:sz="0" w:space="0" w:color="auto"/>
        <w:right w:val="none" w:sz="0" w:space="0" w:color="auto"/>
      </w:divBdr>
    </w:div>
    <w:div w:id="439447206">
      <w:bodyDiv w:val="1"/>
      <w:marLeft w:val="0"/>
      <w:marRight w:val="0"/>
      <w:marTop w:val="0"/>
      <w:marBottom w:val="0"/>
      <w:divBdr>
        <w:top w:val="none" w:sz="0" w:space="0" w:color="auto"/>
        <w:left w:val="none" w:sz="0" w:space="0" w:color="auto"/>
        <w:bottom w:val="none" w:sz="0" w:space="0" w:color="auto"/>
        <w:right w:val="none" w:sz="0" w:space="0" w:color="auto"/>
      </w:divBdr>
      <w:divsChild>
        <w:div w:id="101437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363417">
      <w:bodyDiv w:val="1"/>
      <w:marLeft w:val="0"/>
      <w:marRight w:val="0"/>
      <w:marTop w:val="0"/>
      <w:marBottom w:val="0"/>
      <w:divBdr>
        <w:top w:val="none" w:sz="0" w:space="0" w:color="auto"/>
        <w:left w:val="none" w:sz="0" w:space="0" w:color="auto"/>
        <w:bottom w:val="none" w:sz="0" w:space="0" w:color="auto"/>
        <w:right w:val="none" w:sz="0" w:space="0" w:color="auto"/>
      </w:divBdr>
      <w:divsChild>
        <w:div w:id="192965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53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824507">
      <w:bodyDiv w:val="1"/>
      <w:marLeft w:val="0"/>
      <w:marRight w:val="0"/>
      <w:marTop w:val="0"/>
      <w:marBottom w:val="0"/>
      <w:divBdr>
        <w:top w:val="none" w:sz="0" w:space="0" w:color="auto"/>
        <w:left w:val="none" w:sz="0" w:space="0" w:color="auto"/>
        <w:bottom w:val="none" w:sz="0" w:space="0" w:color="auto"/>
        <w:right w:val="none" w:sz="0" w:space="0" w:color="auto"/>
      </w:divBdr>
    </w:div>
    <w:div w:id="502627036">
      <w:bodyDiv w:val="1"/>
      <w:marLeft w:val="0"/>
      <w:marRight w:val="0"/>
      <w:marTop w:val="0"/>
      <w:marBottom w:val="0"/>
      <w:divBdr>
        <w:top w:val="none" w:sz="0" w:space="0" w:color="auto"/>
        <w:left w:val="none" w:sz="0" w:space="0" w:color="auto"/>
        <w:bottom w:val="none" w:sz="0" w:space="0" w:color="auto"/>
        <w:right w:val="none" w:sz="0" w:space="0" w:color="auto"/>
      </w:divBdr>
      <w:divsChild>
        <w:div w:id="1056275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130888">
      <w:bodyDiv w:val="1"/>
      <w:marLeft w:val="0"/>
      <w:marRight w:val="0"/>
      <w:marTop w:val="0"/>
      <w:marBottom w:val="0"/>
      <w:divBdr>
        <w:top w:val="none" w:sz="0" w:space="0" w:color="auto"/>
        <w:left w:val="none" w:sz="0" w:space="0" w:color="auto"/>
        <w:bottom w:val="none" w:sz="0" w:space="0" w:color="auto"/>
        <w:right w:val="none" w:sz="0" w:space="0" w:color="auto"/>
      </w:divBdr>
    </w:div>
    <w:div w:id="519198038">
      <w:bodyDiv w:val="1"/>
      <w:marLeft w:val="0"/>
      <w:marRight w:val="0"/>
      <w:marTop w:val="0"/>
      <w:marBottom w:val="0"/>
      <w:divBdr>
        <w:top w:val="none" w:sz="0" w:space="0" w:color="auto"/>
        <w:left w:val="none" w:sz="0" w:space="0" w:color="auto"/>
        <w:bottom w:val="none" w:sz="0" w:space="0" w:color="auto"/>
        <w:right w:val="none" w:sz="0" w:space="0" w:color="auto"/>
      </w:divBdr>
      <w:divsChild>
        <w:div w:id="852302620">
          <w:marLeft w:val="0"/>
          <w:marRight w:val="0"/>
          <w:marTop w:val="0"/>
          <w:marBottom w:val="0"/>
          <w:divBdr>
            <w:top w:val="none" w:sz="0" w:space="0" w:color="auto"/>
            <w:left w:val="none" w:sz="0" w:space="0" w:color="auto"/>
            <w:bottom w:val="none" w:sz="0" w:space="0" w:color="auto"/>
            <w:right w:val="none" w:sz="0" w:space="0" w:color="auto"/>
          </w:divBdr>
        </w:div>
      </w:divsChild>
    </w:div>
    <w:div w:id="533074840">
      <w:bodyDiv w:val="1"/>
      <w:marLeft w:val="0"/>
      <w:marRight w:val="0"/>
      <w:marTop w:val="0"/>
      <w:marBottom w:val="0"/>
      <w:divBdr>
        <w:top w:val="none" w:sz="0" w:space="0" w:color="auto"/>
        <w:left w:val="none" w:sz="0" w:space="0" w:color="auto"/>
        <w:bottom w:val="none" w:sz="0" w:space="0" w:color="auto"/>
        <w:right w:val="none" w:sz="0" w:space="0" w:color="auto"/>
      </w:divBdr>
    </w:div>
    <w:div w:id="539056786">
      <w:bodyDiv w:val="1"/>
      <w:marLeft w:val="0"/>
      <w:marRight w:val="0"/>
      <w:marTop w:val="0"/>
      <w:marBottom w:val="0"/>
      <w:divBdr>
        <w:top w:val="none" w:sz="0" w:space="0" w:color="auto"/>
        <w:left w:val="none" w:sz="0" w:space="0" w:color="auto"/>
        <w:bottom w:val="none" w:sz="0" w:space="0" w:color="auto"/>
        <w:right w:val="none" w:sz="0" w:space="0" w:color="auto"/>
      </w:divBdr>
    </w:div>
    <w:div w:id="541332056">
      <w:bodyDiv w:val="1"/>
      <w:marLeft w:val="0"/>
      <w:marRight w:val="0"/>
      <w:marTop w:val="0"/>
      <w:marBottom w:val="0"/>
      <w:divBdr>
        <w:top w:val="none" w:sz="0" w:space="0" w:color="auto"/>
        <w:left w:val="none" w:sz="0" w:space="0" w:color="auto"/>
        <w:bottom w:val="none" w:sz="0" w:space="0" w:color="auto"/>
        <w:right w:val="none" w:sz="0" w:space="0" w:color="auto"/>
      </w:divBdr>
    </w:div>
    <w:div w:id="544416908">
      <w:bodyDiv w:val="1"/>
      <w:marLeft w:val="0"/>
      <w:marRight w:val="0"/>
      <w:marTop w:val="0"/>
      <w:marBottom w:val="0"/>
      <w:divBdr>
        <w:top w:val="none" w:sz="0" w:space="0" w:color="auto"/>
        <w:left w:val="none" w:sz="0" w:space="0" w:color="auto"/>
        <w:bottom w:val="none" w:sz="0" w:space="0" w:color="auto"/>
        <w:right w:val="none" w:sz="0" w:space="0" w:color="auto"/>
      </w:divBdr>
    </w:div>
    <w:div w:id="552470949">
      <w:bodyDiv w:val="1"/>
      <w:marLeft w:val="0"/>
      <w:marRight w:val="0"/>
      <w:marTop w:val="0"/>
      <w:marBottom w:val="0"/>
      <w:divBdr>
        <w:top w:val="none" w:sz="0" w:space="0" w:color="auto"/>
        <w:left w:val="none" w:sz="0" w:space="0" w:color="auto"/>
        <w:bottom w:val="none" w:sz="0" w:space="0" w:color="auto"/>
        <w:right w:val="none" w:sz="0" w:space="0" w:color="auto"/>
      </w:divBdr>
    </w:div>
    <w:div w:id="555699379">
      <w:bodyDiv w:val="1"/>
      <w:marLeft w:val="0"/>
      <w:marRight w:val="0"/>
      <w:marTop w:val="0"/>
      <w:marBottom w:val="0"/>
      <w:divBdr>
        <w:top w:val="none" w:sz="0" w:space="0" w:color="auto"/>
        <w:left w:val="none" w:sz="0" w:space="0" w:color="auto"/>
        <w:bottom w:val="none" w:sz="0" w:space="0" w:color="auto"/>
        <w:right w:val="none" w:sz="0" w:space="0" w:color="auto"/>
      </w:divBdr>
      <w:divsChild>
        <w:div w:id="1520317995">
          <w:marLeft w:val="0"/>
          <w:marRight w:val="0"/>
          <w:marTop w:val="0"/>
          <w:marBottom w:val="0"/>
          <w:divBdr>
            <w:top w:val="none" w:sz="0" w:space="0" w:color="auto"/>
            <w:left w:val="none" w:sz="0" w:space="0" w:color="auto"/>
            <w:bottom w:val="none" w:sz="0" w:space="0" w:color="auto"/>
            <w:right w:val="none" w:sz="0" w:space="0" w:color="auto"/>
          </w:divBdr>
        </w:div>
      </w:divsChild>
    </w:div>
    <w:div w:id="574706008">
      <w:bodyDiv w:val="1"/>
      <w:marLeft w:val="0"/>
      <w:marRight w:val="0"/>
      <w:marTop w:val="0"/>
      <w:marBottom w:val="0"/>
      <w:divBdr>
        <w:top w:val="none" w:sz="0" w:space="0" w:color="auto"/>
        <w:left w:val="none" w:sz="0" w:space="0" w:color="auto"/>
        <w:bottom w:val="none" w:sz="0" w:space="0" w:color="auto"/>
        <w:right w:val="none" w:sz="0" w:space="0" w:color="auto"/>
      </w:divBdr>
    </w:div>
    <w:div w:id="577327627">
      <w:bodyDiv w:val="1"/>
      <w:marLeft w:val="0"/>
      <w:marRight w:val="0"/>
      <w:marTop w:val="0"/>
      <w:marBottom w:val="0"/>
      <w:divBdr>
        <w:top w:val="none" w:sz="0" w:space="0" w:color="auto"/>
        <w:left w:val="none" w:sz="0" w:space="0" w:color="auto"/>
        <w:bottom w:val="none" w:sz="0" w:space="0" w:color="auto"/>
        <w:right w:val="none" w:sz="0" w:space="0" w:color="auto"/>
      </w:divBdr>
    </w:div>
    <w:div w:id="583074283">
      <w:bodyDiv w:val="1"/>
      <w:marLeft w:val="0"/>
      <w:marRight w:val="0"/>
      <w:marTop w:val="0"/>
      <w:marBottom w:val="0"/>
      <w:divBdr>
        <w:top w:val="none" w:sz="0" w:space="0" w:color="auto"/>
        <w:left w:val="none" w:sz="0" w:space="0" w:color="auto"/>
        <w:bottom w:val="none" w:sz="0" w:space="0" w:color="auto"/>
        <w:right w:val="none" w:sz="0" w:space="0" w:color="auto"/>
      </w:divBdr>
    </w:div>
    <w:div w:id="584608092">
      <w:bodyDiv w:val="1"/>
      <w:marLeft w:val="0"/>
      <w:marRight w:val="0"/>
      <w:marTop w:val="0"/>
      <w:marBottom w:val="0"/>
      <w:divBdr>
        <w:top w:val="none" w:sz="0" w:space="0" w:color="auto"/>
        <w:left w:val="none" w:sz="0" w:space="0" w:color="auto"/>
        <w:bottom w:val="none" w:sz="0" w:space="0" w:color="auto"/>
        <w:right w:val="none" w:sz="0" w:space="0" w:color="auto"/>
      </w:divBdr>
    </w:div>
    <w:div w:id="593785143">
      <w:bodyDiv w:val="1"/>
      <w:marLeft w:val="0"/>
      <w:marRight w:val="0"/>
      <w:marTop w:val="0"/>
      <w:marBottom w:val="0"/>
      <w:divBdr>
        <w:top w:val="none" w:sz="0" w:space="0" w:color="auto"/>
        <w:left w:val="none" w:sz="0" w:space="0" w:color="auto"/>
        <w:bottom w:val="none" w:sz="0" w:space="0" w:color="auto"/>
        <w:right w:val="none" w:sz="0" w:space="0" w:color="auto"/>
      </w:divBdr>
      <w:divsChild>
        <w:div w:id="692918582">
          <w:marLeft w:val="0"/>
          <w:marRight w:val="0"/>
          <w:marTop w:val="0"/>
          <w:marBottom w:val="0"/>
          <w:divBdr>
            <w:top w:val="none" w:sz="0" w:space="0" w:color="auto"/>
            <w:left w:val="none" w:sz="0" w:space="0" w:color="auto"/>
            <w:bottom w:val="none" w:sz="0" w:space="0" w:color="auto"/>
            <w:right w:val="none" w:sz="0" w:space="0" w:color="auto"/>
          </w:divBdr>
        </w:div>
      </w:divsChild>
    </w:div>
    <w:div w:id="626857246">
      <w:bodyDiv w:val="1"/>
      <w:marLeft w:val="0"/>
      <w:marRight w:val="0"/>
      <w:marTop w:val="0"/>
      <w:marBottom w:val="0"/>
      <w:divBdr>
        <w:top w:val="none" w:sz="0" w:space="0" w:color="auto"/>
        <w:left w:val="none" w:sz="0" w:space="0" w:color="auto"/>
        <w:bottom w:val="none" w:sz="0" w:space="0" w:color="auto"/>
        <w:right w:val="none" w:sz="0" w:space="0" w:color="auto"/>
      </w:divBdr>
    </w:div>
    <w:div w:id="633828454">
      <w:bodyDiv w:val="1"/>
      <w:marLeft w:val="0"/>
      <w:marRight w:val="0"/>
      <w:marTop w:val="0"/>
      <w:marBottom w:val="0"/>
      <w:divBdr>
        <w:top w:val="none" w:sz="0" w:space="0" w:color="auto"/>
        <w:left w:val="none" w:sz="0" w:space="0" w:color="auto"/>
        <w:bottom w:val="none" w:sz="0" w:space="0" w:color="auto"/>
        <w:right w:val="none" w:sz="0" w:space="0" w:color="auto"/>
      </w:divBdr>
    </w:div>
    <w:div w:id="638269097">
      <w:bodyDiv w:val="1"/>
      <w:marLeft w:val="0"/>
      <w:marRight w:val="0"/>
      <w:marTop w:val="0"/>
      <w:marBottom w:val="0"/>
      <w:divBdr>
        <w:top w:val="none" w:sz="0" w:space="0" w:color="auto"/>
        <w:left w:val="none" w:sz="0" w:space="0" w:color="auto"/>
        <w:bottom w:val="none" w:sz="0" w:space="0" w:color="auto"/>
        <w:right w:val="none" w:sz="0" w:space="0" w:color="auto"/>
      </w:divBdr>
      <w:divsChild>
        <w:div w:id="871575676">
          <w:marLeft w:val="0"/>
          <w:marRight w:val="0"/>
          <w:marTop w:val="0"/>
          <w:marBottom w:val="0"/>
          <w:divBdr>
            <w:top w:val="none" w:sz="0" w:space="0" w:color="auto"/>
            <w:left w:val="none" w:sz="0" w:space="0" w:color="auto"/>
            <w:bottom w:val="none" w:sz="0" w:space="0" w:color="auto"/>
            <w:right w:val="none" w:sz="0" w:space="0" w:color="auto"/>
          </w:divBdr>
        </w:div>
      </w:divsChild>
    </w:div>
    <w:div w:id="653144606">
      <w:bodyDiv w:val="1"/>
      <w:marLeft w:val="0"/>
      <w:marRight w:val="0"/>
      <w:marTop w:val="0"/>
      <w:marBottom w:val="0"/>
      <w:divBdr>
        <w:top w:val="none" w:sz="0" w:space="0" w:color="auto"/>
        <w:left w:val="none" w:sz="0" w:space="0" w:color="auto"/>
        <w:bottom w:val="none" w:sz="0" w:space="0" w:color="auto"/>
        <w:right w:val="none" w:sz="0" w:space="0" w:color="auto"/>
      </w:divBdr>
    </w:div>
    <w:div w:id="689650964">
      <w:bodyDiv w:val="1"/>
      <w:marLeft w:val="0"/>
      <w:marRight w:val="0"/>
      <w:marTop w:val="0"/>
      <w:marBottom w:val="0"/>
      <w:divBdr>
        <w:top w:val="none" w:sz="0" w:space="0" w:color="auto"/>
        <w:left w:val="none" w:sz="0" w:space="0" w:color="auto"/>
        <w:bottom w:val="none" w:sz="0" w:space="0" w:color="auto"/>
        <w:right w:val="none" w:sz="0" w:space="0" w:color="auto"/>
      </w:divBdr>
    </w:div>
    <w:div w:id="703100085">
      <w:bodyDiv w:val="1"/>
      <w:marLeft w:val="0"/>
      <w:marRight w:val="0"/>
      <w:marTop w:val="0"/>
      <w:marBottom w:val="0"/>
      <w:divBdr>
        <w:top w:val="none" w:sz="0" w:space="0" w:color="auto"/>
        <w:left w:val="none" w:sz="0" w:space="0" w:color="auto"/>
        <w:bottom w:val="none" w:sz="0" w:space="0" w:color="auto"/>
        <w:right w:val="none" w:sz="0" w:space="0" w:color="auto"/>
      </w:divBdr>
      <w:divsChild>
        <w:div w:id="78185901">
          <w:marLeft w:val="0"/>
          <w:marRight w:val="0"/>
          <w:marTop w:val="0"/>
          <w:marBottom w:val="0"/>
          <w:divBdr>
            <w:top w:val="none" w:sz="0" w:space="0" w:color="auto"/>
            <w:left w:val="none" w:sz="0" w:space="0" w:color="auto"/>
            <w:bottom w:val="none" w:sz="0" w:space="0" w:color="auto"/>
            <w:right w:val="none" w:sz="0" w:space="0" w:color="auto"/>
          </w:divBdr>
        </w:div>
        <w:div w:id="481118690">
          <w:marLeft w:val="0"/>
          <w:marRight w:val="0"/>
          <w:marTop w:val="0"/>
          <w:marBottom w:val="0"/>
          <w:divBdr>
            <w:top w:val="none" w:sz="0" w:space="0" w:color="auto"/>
            <w:left w:val="none" w:sz="0" w:space="0" w:color="auto"/>
            <w:bottom w:val="none" w:sz="0" w:space="0" w:color="auto"/>
            <w:right w:val="none" w:sz="0" w:space="0" w:color="auto"/>
          </w:divBdr>
        </w:div>
        <w:div w:id="733892491">
          <w:marLeft w:val="0"/>
          <w:marRight w:val="0"/>
          <w:marTop w:val="0"/>
          <w:marBottom w:val="0"/>
          <w:divBdr>
            <w:top w:val="none" w:sz="0" w:space="0" w:color="auto"/>
            <w:left w:val="none" w:sz="0" w:space="0" w:color="auto"/>
            <w:bottom w:val="none" w:sz="0" w:space="0" w:color="auto"/>
            <w:right w:val="none" w:sz="0" w:space="0" w:color="auto"/>
          </w:divBdr>
        </w:div>
        <w:div w:id="1007635176">
          <w:marLeft w:val="0"/>
          <w:marRight w:val="0"/>
          <w:marTop w:val="0"/>
          <w:marBottom w:val="0"/>
          <w:divBdr>
            <w:top w:val="none" w:sz="0" w:space="0" w:color="auto"/>
            <w:left w:val="none" w:sz="0" w:space="0" w:color="auto"/>
            <w:bottom w:val="none" w:sz="0" w:space="0" w:color="auto"/>
            <w:right w:val="none" w:sz="0" w:space="0" w:color="auto"/>
          </w:divBdr>
        </w:div>
        <w:div w:id="1227448605">
          <w:marLeft w:val="0"/>
          <w:marRight w:val="0"/>
          <w:marTop w:val="0"/>
          <w:marBottom w:val="0"/>
          <w:divBdr>
            <w:top w:val="none" w:sz="0" w:space="0" w:color="auto"/>
            <w:left w:val="none" w:sz="0" w:space="0" w:color="auto"/>
            <w:bottom w:val="none" w:sz="0" w:space="0" w:color="auto"/>
            <w:right w:val="none" w:sz="0" w:space="0" w:color="auto"/>
          </w:divBdr>
        </w:div>
        <w:div w:id="1262757515">
          <w:marLeft w:val="0"/>
          <w:marRight w:val="0"/>
          <w:marTop w:val="0"/>
          <w:marBottom w:val="0"/>
          <w:divBdr>
            <w:top w:val="none" w:sz="0" w:space="0" w:color="auto"/>
            <w:left w:val="none" w:sz="0" w:space="0" w:color="auto"/>
            <w:bottom w:val="none" w:sz="0" w:space="0" w:color="auto"/>
            <w:right w:val="none" w:sz="0" w:space="0" w:color="auto"/>
          </w:divBdr>
        </w:div>
      </w:divsChild>
    </w:div>
    <w:div w:id="703478115">
      <w:bodyDiv w:val="1"/>
      <w:marLeft w:val="0"/>
      <w:marRight w:val="0"/>
      <w:marTop w:val="0"/>
      <w:marBottom w:val="0"/>
      <w:divBdr>
        <w:top w:val="none" w:sz="0" w:space="0" w:color="auto"/>
        <w:left w:val="none" w:sz="0" w:space="0" w:color="auto"/>
        <w:bottom w:val="none" w:sz="0" w:space="0" w:color="auto"/>
        <w:right w:val="none" w:sz="0" w:space="0" w:color="auto"/>
      </w:divBdr>
    </w:div>
    <w:div w:id="733048090">
      <w:bodyDiv w:val="1"/>
      <w:marLeft w:val="0"/>
      <w:marRight w:val="0"/>
      <w:marTop w:val="0"/>
      <w:marBottom w:val="0"/>
      <w:divBdr>
        <w:top w:val="none" w:sz="0" w:space="0" w:color="auto"/>
        <w:left w:val="none" w:sz="0" w:space="0" w:color="auto"/>
        <w:bottom w:val="none" w:sz="0" w:space="0" w:color="auto"/>
        <w:right w:val="none" w:sz="0" w:space="0" w:color="auto"/>
      </w:divBdr>
      <w:divsChild>
        <w:div w:id="113680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538486">
      <w:bodyDiv w:val="1"/>
      <w:marLeft w:val="0"/>
      <w:marRight w:val="0"/>
      <w:marTop w:val="0"/>
      <w:marBottom w:val="0"/>
      <w:divBdr>
        <w:top w:val="none" w:sz="0" w:space="0" w:color="auto"/>
        <w:left w:val="none" w:sz="0" w:space="0" w:color="auto"/>
        <w:bottom w:val="none" w:sz="0" w:space="0" w:color="auto"/>
        <w:right w:val="none" w:sz="0" w:space="0" w:color="auto"/>
      </w:divBdr>
      <w:divsChild>
        <w:div w:id="560136773">
          <w:marLeft w:val="0"/>
          <w:marRight w:val="0"/>
          <w:marTop w:val="0"/>
          <w:marBottom w:val="0"/>
          <w:divBdr>
            <w:top w:val="none" w:sz="0" w:space="0" w:color="auto"/>
            <w:left w:val="none" w:sz="0" w:space="0" w:color="auto"/>
            <w:bottom w:val="none" w:sz="0" w:space="0" w:color="auto"/>
            <w:right w:val="none" w:sz="0" w:space="0" w:color="auto"/>
          </w:divBdr>
        </w:div>
      </w:divsChild>
    </w:div>
    <w:div w:id="748037582">
      <w:bodyDiv w:val="1"/>
      <w:marLeft w:val="0"/>
      <w:marRight w:val="0"/>
      <w:marTop w:val="0"/>
      <w:marBottom w:val="0"/>
      <w:divBdr>
        <w:top w:val="none" w:sz="0" w:space="0" w:color="auto"/>
        <w:left w:val="none" w:sz="0" w:space="0" w:color="auto"/>
        <w:bottom w:val="none" w:sz="0" w:space="0" w:color="auto"/>
        <w:right w:val="none" w:sz="0" w:space="0" w:color="auto"/>
      </w:divBdr>
    </w:div>
    <w:div w:id="754596771">
      <w:bodyDiv w:val="1"/>
      <w:marLeft w:val="0"/>
      <w:marRight w:val="0"/>
      <w:marTop w:val="0"/>
      <w:marBottom w:val="0"/>
      <w:divBdr>
        <w:top w:val="none" w:sz="0" w:space="0" w:color="auto"/>
        <w:left w:val="none" w:sz="0" w:space="0" w:color="auto"/>
        <w:bottom w:val="none" w:sz="0" w:space="0" w:color="auto"/>
        <w:right w:val="none" w:sz="0" w:space="0" w:color="auto"/>
      </w:divBdr>
    </w:div>
    <w:div w:id="769662249">
      <w:bodyDiv w:val="1"/>
      <w:marLeft w:val="0"/>
      <w:marRight w:val="0"/>
      <w:marTop w:val="0"/>
      <w:marBottom w:val="0"/>
      <w:divBdr>
        <w:top w:val="none" w:sz="0" w:space="0" w:color="auto"/>
        <w:left w:val="none" w:sz="0" w:space="0" w:color="auto"/>
        <w:bottom w:val="none" w:sz="0" w:space="0" w:color="auto"/>
        <w:right w:val="none" w:sz="0" w:space="0" w:color="auto"/>
      </w:divBdr>
      <w:divsChild>
        <w:div w:id="1009412361">
          <w:marLeft w:val="0"/>
          <w:marRight w:val="0"/>
          <w:marTop w:val="0"/>
          <w:marBottom w:val="0"/>
          <w:divBdr>
            <w:top w:val="none" w:sz="0" w:space="0" w:color="auto"/>
            <w:left w:val="none" w:sz="0" w:space="0" w:color="auto"/>
            <w:bottom w:val="none" w:sz="0" w:space="0" w:color="auto"/>
            <w:right w:val="none" w:sz="0" w:space="0" w:color="auto"/>
          </w:divBdr>
        </w:div>
      </w:divsChild>
    </w:div>
    <w:div w:id="781148181">
      <w:bodyDiv w:val="1"/>
      <w:marLeft w:val="0"/>
      <w:marRight w:val="0"/>
      <w:marTop w:val="0"/>
      <w:marBottom w:val="0"/>
      <w:divBdr>
        <w:top w:val="none" w:sz="0" w:space="0" w:color="auto"/>
        <w:left w:val="none" w:sz="0" w:space="0" w:color="auto"/>
        <w:bottom w:val="none" w:sz="0" w:space="0" w:color="auto"/>
        <w:right w:val="none" w:sz="0" w:space="0" w:color="auto"/>
      </w:divBdr>
    </w:div>
    <w:div w:id="784228712">
      <w:bodyDiv w:val="1"/>
      <w:marLeft w:val="0"/>
      <w:marRight w:val="0"/>
      <w:marTop w:val="0"/>
      <w:marBottom w:val="0"/>
      <w:divBdr>
        <w:top w:val="none" w:sz="0" w:space="0" w:color="auto"/>
        <w:left w:val="none" w:sz="0" w:space="0" w:color="auto"/>
        <w:bottom w:val="none" w:sz="0" w:space="0" w:color="auto"/>
        <w:right w:val="none" w:sz="0" w:space="0" w:color="auto"/>
      </w:divBdr>
    </w:div>
    <w:div w:id="822546896">
      <w:bodyDiv w:val="1"/>
      <w:marLeft w:val="0"/>
      <w:marRight w:val="0"/>
      <w:marTop w:val="0"/>
      <w:marBottom w:val="0"/>
      <w:divBdr>
        <w:top w:val="none" w:sz="0" w:space="0" w:color="auto"/>
        <w:left w:val="none" w:sz="0" w:space="0" w:color="auto"/>
        <w:bottom w:val="none" w:sz="0" w:space="0" w:color="auto"/>
        <w:right w:val="none" w:sz="0" w:space="0" w:color="auto"/>
      </w:divBdr>
      <w:divsChild>
        <w:div w:id="3236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208050">
      <w:bodyDiv w:val="1"/>
      <w:marLeft w:val="0"/>
      <w:marRight w:val="0"/>
      <w:marTop w:val="0"/>
      <w:marBottom w:val="0"/>
      <w:divBdr>
        <w:top w:val="none" w:sz="0" w:space="0" w:color="auto"/>
        <w:left w:val="none" w:sz="0" w:space="0" w:color="auto"/>
        <w:bottom w:val="none" w:sz="0" w:space="0" w:color="auto"/>
        <w:right w:val="none" w:sz="0" w:space="0" w:color="auto"/>
      </w:divBdr>
    </w:div>
    <w:div w:id="894897379">
      <w:bodyDiv w:val="1"/>
      <w:marLeft w:val="0"/>
      <w:marRight w:val="0"/>
      <w:marTop w:val="0"/>
      <w:marBottom w:val="0"/>
      <w:divBdr>
        <w:top w:val="none" w:sz="0" w:space="0" w:color="auto"/>
        <w:left w:val="none" w:sz="0" w:space="0" w:color="auto"/>
        <w:bottom w:val="none" w:sz="0" w:space="0" w:color="auto"/>
        <w:right w:val="none" w:sz="0" w:space="0" w:color="auto"/>
      </w:divBdr>
    </w:div>
    <w:div w:id="899100402">
      <w:bodyDiv w:val="1"/>
      <w:marLeft w:val="0"/>
      <w:marRight w:val="0"/>
      <w:marTop w:val="0"/>
      <w:marBottom w:val="0"/>
      <w:divBdr>
        <w:top w:val="none" w:sz="0" w:space="0" w:color="auto"/>
        <w:left w:val="none" w:sz="0" w:space="0" w:color="auto"/>
        <w:bottom w:val="none" w:sz="0" w:space="0" w:color="auto"/>
        <w:right w:val="none" w:sz="0" w:space="0" w:color="auto"/>
      </w:divBdr>
      <w:divsChild>
        <w:div w:id="529344606">
          <w:marLeft w:val="0"/>
          <w:marRight w:val="0"/>
          <w:marTop w:val="0"/>
          <w:marBottom w:val="0"/>
          <w:divBdr>
            <w:top w:val="none" w:sz="0" w:space="0" w:color="auto"/>
            <w:left w:val="none" w:sz="0" w:space="0" w:color="auto"/>
            <w:bottom w:val="none" w:sz="0" w:space="0" w:color="auto"/>
            <w:right w:val="none" w:sz="0" w:space="0" w:color="auto"/>
          </w:divBdr>
          <w:divsChild>
            <w:div w:id="1666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7134">
      <w:bodyDiv w:val="1"/>
      <w:marLeft w:val="0"/>
      <w:marRight w:val="0"/>
      <w:marTop w:val="0"/>
      <w:marBottom w:val="0"/>
      <w:divBdr>
        <w:top w:val="none" w:sz="0" w:space="0" w:color="auto"/>
        <w:left w:val="none" w:sz="0" w:space="0" w:color="auto"/>
        <w:bottom w:val="none" w:sz="0" w:space="0" w:color="auto"/>
        <w:right w:val="none" w:sz="0" w:space="0" w:color="auto"/>
      </w:divBdr>
      <w:divsChild>
        <w:div w:id="402801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27337">
      <w:bodyDiv w:val="1"/>
      <w:marLeft w:val="0"/>
      <w:marRight w:val="0"/>
      <w:marTop w:val="0"/>
      <w:marBottom w:val="0"/>
      <w:divBdr>
        <w:top w:val="none" w:sz="0" w:space="0" w:color="auto"/>
        <w:left w:val="none" w:sz="0" w:space="0" w:color="auto"/>
        <w:bottom w:val="none" w:sz="0" w:space="0" w:color="auto"/>
        <w:right w:val="none" w:sz="0" w:space="0" w:color="auto"/>
      </w:divBdr>
    </w:div>
    <w:div w:id="962542180">
      <w:bodyDiv w:val="1"/>
      <w:marLeft w:val="0"/>
      <w:marRight w:val="0"/>
      <w:marTop w:val="0"/>
      <w:marBottom w:val="0"/>
      <w:divBdr>
        <w:top w:val="none" w:sz="0" w:space="0" w:color="auto"/>
        <w:left w:val="none" w:sz="0" w:space="0" w:color="auto"/>
        <w:bottom w:val="none" w:sz="0" w:space="0" w:color="auto"/>
        <w:right w:val="none" w:sz="0" w:space="0" w:color="auto"/>
      </w:divBdr>
    </w:div>
    <w:div w:id="979383237">
      <w:bodyDiv w:val="1"/>
      <w:marLeft w:val="0"/>
      <w:marRight w:val="0"/>
      <w:marTop w:val="0"/>
      <w:marBottom w:val="0"/>
      <w:divBdr>
        <w:top w:val="none" w:sz="0" w:space="0" w:color="auto"/>
        <w:left w:val="none" w:sz="0" w:space="0" w:color="auto"/>
        <w:bottom w:val="none" w:sz="0" w:space="0" w:color="auto"/>
        <w:right w:val="none" w:sz="0" w:space="0" w:color="auto"/>
      </w:divBdr>
      <w:divsChild>
        <w:div w:id="88627985">
          <w:marLeft w:val="0"/>
          <w:marRight w:val="0"/>
          <w:marTop w:val="0"/>
          <w:marBottom w:val="0"/>
          <w:divBdr>
            <w:top w:val="none" w:sz="0" w:space="0" w:color="auto"/>
            <w:left w:val="none" w:sz="0" w:space="0" w:color="auto"/>
            <w:bottom w:val="none" w:sz="0" w:space="0" w:color="auto"/>
            <w:right w:val="none" w:sz="0" w:space="0" w:color="auto"/>
          </w:divBdr>
          <w:divsChild>
            <w:div w:id="487551014">
              <w:marLeft w:val="0"/>
              <w:marRight w:val="0"/>
              <w:marTop w:val="0"/>
              <w:marBottom w:val="0"/>
              <w:divBdr>
                <w:top w:val="none" w:sz="0" w:space="0" w:color="auto"/>
                <w:left w:val="none" w:sz="0" w:space="0" w:color="auto"/>
                <w:bottom w:val="none" w:sz="0" w:space="0" w:color="auto"/>
                <w:right w:val="none" w:sz="0" w:space="0" w:color="auto"/>
              </w:divBdr>
              <w:divsChild>
                <w:div w:id="1185051747">
                  <w:marLeft w:val="0"/>
                  <w:marRight w:val="0"/>
                  <w:marTop w:val="0"/>
                  <w:marBottom w:val="0"/>
                  <w:divBdr>
                    <w:top w:val="none" w:sz="0" w:space="0" w:color="auto"/>
                    <w:left w:val="none" w:sz="0" w:space="0" w:color="auto"/>
                    <w:bottom w:val="none" w:sz="0" w:space="0" w:color="auto"/>
                    <w:right w:val="none" w:sz="0" w:space="0" w:color="auto"/>
                  </w:divBdr>
                  <w:divsChild>
                    <w:div w:id="182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96083">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02002284">
      <w:bodyDiv w:val="1"/>
      <w:marLeft w:val="0"/>
      <w:marRight w:val="0"/>
      <w:marTop w:val="0"/>
      <w:marBottom w:val="0"/>
      <w:divBdr>
        <w:top w:val="none" w:sz="0" w:space="0" w:color="auto"/>
        <w:left w:val="none" w:sz="0" w:space="0" w:color="auto"/>
        <w:bottom w:val="none" w:sz="0" w:space="0" w:color="auto"/>
        <w:right w:val="none" w:sz="0" w:space="0" w:color="auto"/>
      </w:divBdr>
      <w:divsChild>
        <w:div w:id="1558660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178197">
      <w:bodyDiv w:val="1"/>
      <w:marLeft w:val="0"/>
      <w:marRight w:val="0"/>
      <w:marTop w:val="0"/>
      <w:marBottom w:val="0"/>
      <w:divBdr>
        <w:top w:val="none" w:sz="0" w:space="0" w:color="auto"/>
        <w:left w:val="none" w:sz="0" w:space="0" w:color="auto"/>
        <w:bottom w:val="none" w:sz="0" w:space="0" w:color="auto"/>
        <w:right w:val="none" w:sz="0" w:space="0" w:color="auto"/>
      </w:divBdr>
    </w:div>
    <w:div w:id="1012024046">
      <w:bodyDiv w:val="1"/>
      <w:marLeft w:val="0"/>
      <w:marRight w:val="0"/>
      <w:marTop w:val="0"/>
      <w:marBottom w:val="0"/>
      <w:divBdr>
        <w:top w:val="none" w:sz="0" w:space="0" w:color="auto"/>
        <w:left w:val="none" w:sz="0" w:space="0" w:color="auto"/>
        <w:bottom w:val="none" w:sz="0" w:space="0" w:color="auto"/>
        <w:right w:val="none" w:sz="0" w:space="0" w:color="auto"/>
      </w:divBdr>
    </w:div>
    <w:div w:id="1026561742">
      <w:bodyDiv w:val="1"/>
      <w:marLeft w:val="0"/>
      <w:marRight w:val="0"/>
      <w:marTop w:val="0"/>
      <w:marBottom w:val="0"/>
      <w:divBdr>
        <w:top w:val="none" w:sz="0" w:space="0" w:color="auto"/>
        <w:left w:val="none" w:sz="0" w:space="0" w:color="auto"/>
        <w:bottom w:val="none" w:sz="0" w:space="0" w:color="auto"/>
        <w:right w:val="none" w:sz="0" w:space="0" w:color="auto"/>
      </w:divBdr>
    </w:div>
    <w:div w:id="1044402688">
      <w:bodyDiv w:val="1"/>
      <w:marLeft w:val="0"/>
      <w:marRight w:val="0"/>
      <w:marTop w:val="0"/>
      <w:marBottom w:val="0"/>
      <w:divBdr>
        <w:top w:val="none" w:sz="0" w:space="0" w:color="auto"/>
        <w:left w:val="none" w:sz="0" w:space="0" w:color="auto"/>
        <w:bottom w:val="none" w:sz="0" w:space="0" w:color="auto"/>
        <w:right w:val="none" w:sz="0" w:space="0" w:color="auto"/>
      </w:divBdr>
    </w:div>
    <w:div w:id="1113666987">
      <w:bodyDiv w:val="1"/>
      <w:marLeft w:val="0"/>
      <w:marRight w:val="0"/>
      <w:marTop w:val="0"/>
      <w:marBottom w:val="0"/>
      <w:divBdr>
        <w:top w:val="none" w:sz="0" w:space="0" w:color="auto"/>
        <w:left w:val="none" w:sz="0" w:space="0" w:color="auto"/>
        <w:bottom w:val="none" w:sz="0" w:space="0" w:color="auto"/>
        <w:right w:val="none" w:sz="0" w:space="0" w:color="auto"/>
      </w:divBdr>
      <w:divsChild>
        <w:div w:id="1144734513">
          <w:marLeft w:val="0"/>
          <w:marRight w:val="0"/>
          <w:marTop w:val="0"/>
          <w:marBottom w:val="0"/>
          <w:divBdr>
            <w:top w:val="none" w:sz="0" w:space="0" w:color="auto"/>
            <w:left w:val="none" w:sz="0" w:space="0" w:color="auto"/>
            <w:bottom w:val="none" w:sz="0" w:space="0" w:color="auto"/>
            <w:right w:val="none" w:sz="0" w:space="0" w:color="auto"/>
          </w:divBdr>
          <w:divsChild>
            <w:div w:id="189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6838">
      <w:bodyDiv w:val="1"/>
      <w:marLeft w:val="0"/>
      <w:marRight w:val="0"/>
      <w:marTop w:val="0"/>
      <w:marBottom w:val="0"/>
      <w:divBdr>
        <w:top w:val="none" w:sz="0" w:space="0" w:color="auto"/>
        <w:left w:val="none" w:sz="0" w:space="0" w:color="auto"/>
        <w:bottom w:val="none" w:sz="0" w:space="0" w:color="auto"/>
        <w:right w:val="none" w:sz="0" w:space="0" w:color="auto"/>
      </w:divBdr>
      <w:divsChild>
        <w:div w:id="933513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96315">
      <w:bodyDiv w:val="1"/>
      <w:marLeft w:val="0"/>
      <w:marRight w:val="0"/>
      <w:marTop w:val="0"/>
      <w:marBottom w:val="0"/>
      <w:divBdr>
        <w:top w:val="none" w:sz="0" w:space="0" w:color="auto"/>
        <w:left w:val="none" w:sz="0" w:space="0" w:color="auto"/>
        <w:bottom w:val="none" w:sz="0" w:space="0" w:color="auto"/>
        <w:right w:val="none" w:sz="0" w:space="0" w:color="auto"/>
      </w:divBdr>
    </w:div>
    <w:div w:id="1155684572">
      <w:bodyDiv w:val="1"/>
      <w:marLeft w:val="0"/>
      <w:marRight w:val="0"/>
      <w:marTop w:val="0"/>
      <w:marBottom w:val="0"/>
      <w:divBdr>
        <w:top w:val="none" w:sz="0" w:space="0" w:color="auto"/>
        <w:left w:val="none" w:sz="0" w:space="0" w:color="auto"/>
        <w:bottom w:val="none" w:sz="0" w:space="0" w:color="auto"/>
        <w:right w:val="none" w:sz="0" w:space="0" w:color="auto"/>
      </w:divBdr>
    </w:div>
    <w:div w:id="1156065463">
      <w:bodyDiv w:val="1"/>
      <w:marLeft w:val="0"/>
      <w:marRight w:val="0"/>
      <w:marTop w:val="0"/>
      <w:marBottom w:val="0"/>
      <w:divBdr>
        <w:top w:val="none" w:sz="0" w:space="0" w:color="auto"/>
        <w:left w:val="none" w:sz="0" w:space="0" w:color="auto"/>
        <w:bottom w:val="none" w:sz="0" w:space="0" w:color="auto"/>
        <w:right w:val="none" w:sz="0" w:space="0" w:color="auto"/>
      </w:divBdr>
    </w:div>
    <w:div w:id="1215388181">
      <w:bodyDiv w:val="1"/>
      <w:marLeft w:val="0"/>
      <w:marRight w:val="0"/>
      <w:marTop w:val="0"/>
      <w:marBottom w:val="0"/>
      <w:divBdr>
        <w:top w:val="none" w:sz="0" w:space="0" w:color="auto"/>
        <w:left w:val="none" w:sz="0" w:space="0" w:color="auto"/>
        <w:bottom w:val="none" w:sz="0" w:space="0" w:color="auto"/>
        <w:right w:val="none" w:sz="0" w:space="0" w:color="auto"/>
      </w:divBdr>
      <w:divsChild>
        <w:div w:id="2036610948">
          <w:marLeft w:val="0"/>
          <w:marRight w:val="0"/>
          <w:marTop w:val="0"/>
          <w:marBottom w:val="0"/>
          <w:divBdr>
            <w:top w:val="none" w:sz="0" w:space="0" w:color="auto"/>
            <w:left w:val="none" w:sz="0" w:space="0" w:color="auto"/>
            <w:bottom w:val="none" w:sz="0" w:space="0" w:color="auto"/>
            <w:right w:val="none" w:sz="0" w:space="0" w:color="auto"/>
          </w:divBdr>
          <w:divsChild>
            <w:div w:id="15827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66">
      <w:bodyDiv w:val="1"/>
      <w:marLeft w:val="0"/>
      <w:marRight w:val="0"/>
      <w:marTop w:val="0"/>
      <w:marBottom w:val="0"/>
      <w:divBdr>
        <w:top w:val="none" w:sz="0" w:space="0" w:color="auto"/>
        <w:left w:val="none" w:sz="0" w:space="0" w:color="auto"/>
        <w:bottom w:val="none" w:sz="0" w:space="0" w:color="auto"/>
        <w:right w:val="none" w:sz="0" w:space="0" w:color="auto"/>
      </w:divBdr>
    </w:div>
    <w:div w:id="1238396865">
      <w:bodyDiv w:val="1"/>
      <w:marLeft w:val="0"/>
      <w:marRight w:val="0"/>
      <w:marTop w:val="0"/>
      <w:marBottom w:val="0"/>
      <w:divBdr>
        <w:top w:val="none" w:sz="0" w:space="0" w:color="auto"/>
        <w:left w:val="none" w:sz="0" w:space="0" w:color="auto"/>
        <w:bottom w:val="none" w:sz="0" w:space="0" w:color="auto"/>
        <w:right w:val="none" w:sz="0" w:space="0" w:color="auto"/>
      </w:divBdr>
    </w:div>
    <w:div w:id="1239903553">
      <w:bodyDiv w:val="1"/>
      <w:marLeft w:val="0"/>
      <w:marRight w:val="0"/>
      <w:marTop w:val="0"/>
      <w:marBottom w:val="0"/>
      <w:divBdr>
        <w:top w:val="none" w:sz="0" w:space="0" w:color="auto"/>
        <w:left w:val="none" w:sz="0" w:space="0" w:color="auto"/>
        <w:bottom w:val="none" w:sz="0" w:space="0" w:color="auto"/>
        <w:right w:val="none" w:sz="0" w:space="0" w:color="auto"/>
      </w:divBdr>
    </w:div>
    <w:div w:id="1261449249">
      <w:bodyDiv w:val="1"/>
      <w:marLeft w:val="0"/>
      <w:marRight w:val="0"/>
      <w:marTop w:val="0"/>
      <w:marBottom w:val="0"/>
      <w:divBdr>
        <w:top w:val="none" w:sz="0" w:space="0" w:color="auto"/>
        <w:left w:val="none" w:sz="0" w:space="0" w:color="auto"/>
        <w:bottom w:val="none" w:sz="0" w:space="0" w:color="auto"/>
        <w:right w:val="none" w:sz="0" w:space="0" w:color="auto"/>
      </w:divBdr>
      <w:divsChild>
        <w:div w:id="137180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86234">
      <w:bodyDiv w:val="1"/>
      <w:marLeft w:val="0"/>
      <w:marRight w:val="0"/>
      <w:marTop w:val="0"/>
      <w:marBottom w:val="0"/>
      <w:divBdr>
        <w:top w:val="none" w:sz="0" w:space="0" w:color="auto"/>
        <w:left w:val="none" w:sz="0" w:space="0" w:color="auto"/>
        <w:bottom w:val="none" w:sz="0" w:space="0" w:color="auto"/>
        <w:right w:val="none" w:sz="0" w:space="0" w:color="auto"/>
      </w:divBdr>
    </w:div>
    <w:div w:id="1290208460">
      <w:bodyDiv w:val="1"/>
      <w:marLeft w:val="0"/>
      <w:marRight w:val="0"/>
      <w:marTop w:val="0"/>
      <w:marBottom w:val="0"/>
      <w:divBdr>
        <w:top w:val="none" w:sz="0" w:space="0" w:color="auto"/>
        <w:left w:val="none" w:sz="0" w:space="0" w:color="auto"/>
        <w:bottom w:val="none" w:sz="0" w:space="0" w:color="auto"/>
        <w:right w:val="none" w:sz="0" w:space="0" w:color="auto"/>
      </w:divBdr>
    </w:div>
    <w:div w:id="1291861249">
      <w:bodyDiv w:val="1"/>
      <w:marLeft w:val="0"/>
      <w:marRight w:val="0"/>
      <w:marTop w:val="0"/>
      <w:marBottom w:val="0"/>
      <w:divBdr>
        <w:top w:val="none" w:sz="0" w:space="0" w:color="auto"/>
        <w:left w:val="none" w:sz="0" w:space="0" w:color="auto"/>
        <w:bottom w:val="none" w:sz="0" w:space="0" w:color="auto"/>
        <w:right w:val="none" w:sz="0" w:space="0" w:color="auto"/>
      </w:divBdr>
      <w:divsChild>
        <w:div w:id="280964094">
          <w:marLeft w:val="0"/>
          <w:marRight w:val="0"/>
          <w:marTop w:val="0"/>
          <w:marBottom w:val="0"/>
          <w:divBdr>
            <w:top w:val="none" w:sz="0" w:space="0" w:color="auto"/>
            <w:left w:val="none" w:sz="0" w:space="0" w:color="auto"/>
            <w:bottom w:val="none" w:sz="0" w:space="0" w:color="auto"/>
            <w:right w:val="none" w:sz="0" w:space="0" w:color="auto"/>
          </w:divBdr>
          <w:divsChild>
            <w:div w:id="371079920">
              <w:marLeft w:val="0"/>
              <w:marRight w:val="0"/>
              <w:marTop w:val="0"/>
              <w:marBottom w:val="0"/>
              <w:divBdr>
                <w:top w:val="none" w:sz="0" w:space="0" w:color="auto"/>
                <w:left w:val="none" w:sz="0" w:space="0" w:color="auto"/>
                <w:bottom w:val="none" w:sz="0" w:space="0" w:color="auto"/>
                <w:right w:val="none" w:sz="0" w:space="0" w:color="auto"/>
              </w:divBdr>
              <w:divsChild>
                <w:div w:id="2016034007">
                  <w:marLeft w:val="0"/>
                  <w:marRight w:val="0"/>
                  <w:marTop w:val="0"/>
                  <w:marBottom w:val="0"/>
                  <w:divBdr>
                    <w:top w:val="none" w:sz="0" w:space="0" w:color="auto"/>
                    <w:left w:val="none" w:sz="0" w:space="0" w:color="auto"/>
                    <w:bottom w:val="none" w:sz="0" w:space="0" w:color="auto"/>
                    <w:right w:val="none" w:sz="0" w:space="0" w:color="auto"/>
                  </w:divBdr>
                  <w:divsChild>
                    <w:div w:id="346559446">
                      <w:marLeft w:val="0"/>
                      <w:marRight w:val="0"/>
                      <w:marTop w:val="0"/>
                      <w:marBottom w:val="0"/>
                      <w:divBdr>
                        <w:top w:val="none" w:sz="0" w:space="0" w:color="auto"/>
                        <w:left w:val="none" w:sz="0" w:space="0" w:color="auto"/>
                        <w:bottom w:val="none" w:sz="0" w:space="0" w:color="auto"/>
                        <w:right w:val="none" w:sz="0" w:space="0" w:color="auto"/>
                      </w:divBdr>
                      <w:divsChild>
                        <w:div w:id="972907401">
                          <w:marLeft w:val="0"/>
                          <w:marRight w:val="0"/>
                          <w:marTop w:val="0"/>
                          <w:marBottom w:val="0"/>
                          <w:divBdr>
                            <w:top w:val="none" w:sz="0" w:space="0" w:color="auto"/>
                            <w:left w:val="none" w:sz="0" w:space="0" w:color="auto"/>
                            <w:bottom w:val="none" w:sz="0" w:space="0" w:color="auto"/>
                            <w:right w:val="none" w:sz="0" w:space="0" w:color="auto"/>
                          </w:divBdr>
                          <w:divsChild>
                            <w:div w:id="187261100">
                              <w:marLeft w:val="0"/>
                              <w:marRight w:val="0"/>
                              <w:marTop w:val="0"/>
                              <w:marBottom w:val="0"/>
                              <w:divBdr>
                                <w:top w:val="none" w:sz="0" w:space="0" w:color="auto"/>
                                <w:left w:val="none" w:sz="0" w:space="0" w:color="auto"/>
                                <w:bottom w:val="none" w:sz="0" w:space="0" w:color="auto"/>
                                <w:right w:val="none" w:sz="0" w:space="0" w:color="auto"/>
                              </w:divBdr>
                              <w:divsChild>
                                <w:div w:id="1864900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245802">
      <w:bodyDiv w:val="1"/>
      <w:marLeft w:val="0"/>
      <w:marRight w:val="0"/>
      <w:marTop w:val="0"/>
      <w:marBottom w:val="0"/>
      <w:divBdr>
        <w:top w:val="none" w:sz="0" w:space="0" w:color="auto"/>
        <w:left w:val="none" w:sz="0" w:space="0" w:color="auto"/>
        <w:bottom w:val="none" w:sz="0" w:space="0" w:color="auto"/>
        <w:right w:val="none" w:sz="0" w:space="0" w:color="auto"/>
      </w:divBdr>
    </w:div>
    <w:div w:id="1313096823">
      <w:bodyDiv w:val="1"/>
      <w:marLeft w:val="0"/>
      <w:marRight w:val="0"/>
      <w:marTop w:val="0"/>
      <w:marBottom w:val="0"/>
      <w:divBdr>
        <w:top w:val="none" w:sz="0" w:space="0" w:color="auto"/>
        <w:left w:val="none" w:sz="0" w:space="0" w:color="auto"/>
        <w:bottom w:val="none" w:sz="0" w:space="0" w:color="auto"/>
        <w:right w:val="none" w:sz="0" w:space="0" w:color="auto"/>
      </w:divBdr>
    </w:div>
    <w:div w:id="1315599136">
      <w:bodyDiv w:val="1"/>
      <w:marLeft w:val="0"/>
      <w:marRight w:val="0"/>
      <w:marTop w:val="0"/>
      <w:marBottom w:val="0"/>
      <w:divBdr>
        <w:top w:val="none" w:sz="0" w:space="0" w:color="auto"/>
        <w:left w:val="none" w:sz="0" w:space="0" w:color="auto"/>
        <w:bottom w:val="none" w:sz="0" w:space="0" w:color="auto"/>
        <w:right w:val="none" w:sz="0" w:space="0" w:color="auto"/>
      </w:divBdr>
      <w:divsChild>
        <w:div w:id="641882264">
          <w:marLeft w:val="0"/>
          <w:marRight w:val="0"/>
          <w:marTop w:val="0"/>
          <w:marBottom w:val="0"/>
          <w:divBdr>
            <w:top w:val="none" w:sz="0" w:space="0" w:color="auto"/>
            <w:left w:val="none" w:sz="0" w:space="0" w:color="auto"/>
            <w:bottom w:val="none" w:sz="0" w:space="0" w:color="auto"/>
            <w:right w:val="none" w:sz="0" w:space="0" w:color="auto"/>
          </w:divBdr>
          <w:divsChild>
            <w:div w:id="492990249">
              <w:marLeft w:val="0"/>
              <w:marRight w:val="0"/>
              <w:marTop w:val="120"/>
              <w:marBottom w:val="0"/>
              <w:divBdr>
                <w:top w:val="none" w:sz="0" w:space="0" w:color="auto"/>
                <w:left w:val="none" w:sz="0" w:space="0" w:color="auto"/>
                <w:bottom w:val="none" w:sz="0" w:space="0" w:color="auto"/>
                <w:right w:val="none" w:sz="0" w:space="0" w:color="auto"/>
              </w:divBdr>
            </w:div>
            <w:div w:id="657879179">
              <w:marLeft w:val="0"/>
              <w:marRight w:val="0"/>
              <w:marTop w:val="0"/>
              <w:marBottom w:val="0"/>
              <w:divBdr>
                <w:top w:val="none" w:sz="0" w:space="0" w:color="auto"/>
                <w:left w:val="none" w:sz="0" w:space="0" w:color="auto"/>
                <w:bottom w:val="none" w:sz="0" w:space="0" w:color="auto"/>
                <w:right w:val="none" w:sz="0" w:space="0" w:color="auto"/>
              </w:divBdr>
            </w:div>
          </w:divsChild>
        </w:div>
        <w:div w:id="1014960021">
          <w:marLeft w:val="0"/>
          <w:marRight w:val="0"/>
          <w:marTop w:val="0"/>
          <w:marBottom w:val="0"/>
          <w:divBdr>
            <w:top w:val="none" w:sz="0" w:space="0" w:color="auto"/>
            <w:left w:val="none" w:sz="0" w:space="0" w:color="auto"/>
            <w:bottom w:val="none" w:sz="0" w:space="0" w:color="auto"/>
            <w:right w:val="none" w:sz="0" w:space="0" w:color="auto"/>
          </w:divBdr>
          <w:divsChild>
            <w:div w:id="544176125">
              <w:marLeft w:val="0"/>
              <w:marRight w:val="0"/>
              <w:marTop w:val="120"/>
              <w:marBottom w:val="0"/>
              <w:divBdr>
                <w:top w:val="none" w:sz="0" w:space="0" w:color="auto"/>
                <w:left w:val="none" w:sz="0" w:space="0" w:color="auto"/>
                <w:bottom w:val="none" w:sz="0" w:space="0" w:color="auto"/>
                <w:right w:val="none" w:sz="0" w:space="0" w:color="auto"/>
              </w:divBdr>
            </w:div>
            <w:div w:id="1145469695">
              <w:marLeft w:val="0"/>
              <w:marRight w:val="0"/>
              <w:marTop w:val="0"/>
              <w:marBottom w:val="0"/>
              <w:divBdr>
                <w:top w:val="none" w:sz="0" w:space="0" w:color="auto"/>
                <w:left w:val="none" w:sz="0" w:space="0" w:color="auto"/>
                <w:bottom w:val="none" w:sz="0" w:space="0" w:color="auto"/>
                <w:right w:val="none" w:sz="0" w:space="0" w:color="auto"/>
              </w:divBdr>
            </w:div>
          </w:divsChild>
        </w:div>
        <w:div w:id="1120689810">
          <w:marLeft w:val="0"/>
          <w:marRight w:val="0"/>
          <w:marTop w:val="0"/>
          <w:marBottom w:val="0"/>
          <w:divBdr>
            <w:top w:val="none" w:sz="0" w:space="0" w:color="auto"/>
            <w:left w:val="none" w:sz="0" w:space="0" w:color="auto"/>
            <w:bottom w:val="none" w:sz="0" w:space="0" w:color="auto"/>
            <w:right w:val="none" w:sz="0" w:space="0" w:color="auto"/>
          </w:divBdr>
          <w:divsChild>
            <w:div w:id="525338206">
              <w:marLeft w:val="0"/>
              <w:marRight w:val="0"/>
              <w:marTop w:val="0"/>
              <w:marBottom w:val="0"/>
              <w:divBdr>
                <w:top w:val="none" w:sz="0" w:space="0" w:color="auto"/>
                <w:left w:val="none" w:sz="0" w:space="0" w:color="auto"/>
                <w:bottom w:val="none" w:sz="0" w:space="0" w:color="auto"/>
                <w:right w:val="none" w:sz="0" w:space="0" w:color="auto"/>
              </w:divBdr>
            </w:div>
            <w:div w:id="959723735">
              <w:marLeft w:val="0"/>
              <w:marRight w:val="0"/>
              <w:marTop w:val="120"/>
              <w:marBottom w:val="0"/>
              <w:divBdr>
                <w:top w:val="none" w:sz="0" w:space="0" w:color="auto"/>
                <w:left w:val="none" w:sz="0" w:space="0" w:color="auto"/>
                <w:bottom w:val="none" w:sz="0" w:space="0" w:color="auto"/>
                <w:right w:val="none" w:sz="0" w:space="0" w:color="auto"/>
              </w:divBdr>
            </w:div>
          </w:divsChild>
        </w:div>
        <w:div w:id="1562717329">
          <w:marLeft w:val="0"/>
          <w:marRight w:val="0"/>
          <w:marTop w:val="0"/>
          <w:marBottom w:val="0"/>
          <w:divBdr>
            <w:top w:val="none" w:sz="0" w:space="0" w:color="auto"/>
            <w:left w:val="none" w:sz="0" w:space="0" w:color="auto"/>
            <w:bottom w:val="none" w:sz="0" w:space="0" w:color="auto"/>
            <w:right w:val="none" w:sz="0" w:space="0" w:color="auto"/>
          </w:divBdr>
          <w:divsChild>
            <w:div w:id="478838271">
              <w:marLeft w:val="0"/>
              <w:marRight w:val="0"/>
              <w:marTop w:val="0"/>
              <w:marBottom w:val="0"/>
              <w:divBdr>
                <w:top w:val="none" w:sz="0" w:space="0" w:color="auto"/>
                <w:left w:val="none" w:sz="0" w:space="0" w:color="auto"/>
                <w:bottom w:val="none" w:sz="0" w:space="0" w:color="auto"/>
                <w:right w:val="none" w:sz="0" w:space="0" w:color="auto"/>
              </w:divBdr>
            </w:div>
            <w:div w:id="18092060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6937650">
      <w:bodyDiv w:val="1"/>
      <w:marLeft w:val="0"/>
      <w:marRight w:val="0"/>
      <w:marTop w:val="0"/>
      <w:marBottom w:val="0"/>
      <w:divBdr>
        <w:top w:val="none" w:sz="0" w:space="0" w:color="auto"/>
        <w:left w:val="none" w:sz="0" w:space="0" w:color="auto"/>
        <w:bottom w:val="none" w:sz="0" w:space="0" w:color="auto"/>
        <w:right w:val="none" w:sz="0" w:space="0" w:color="auto"/>
      </w:divBdr>
    </w:div>
    <w:div w:id="1340811830">
      <w:bodyDiv w:val="1"/>
      <w:marLeft w:val="0"/>
      <w:marRight w:val="0"/>
      <w:marTop w:val="0"/>
      <w:marBottom w:val="0"/>
      <w:divBdr>
        <w:top w:val="none" w:sz="0" w:space="0" w:color="auto"/>
        <w:left w:val="none" w:sz="0" w:space="0" w:color="auto"/>
        <w:bottom w:val="none" w:sz="0" w:space="0" w:color="auto"/>
        <w:right w:val="none" w:sz="0" w:space="0" w:color="auto"/>
      </w:divBdr>
    </w:div>
    <w:div w:id="1359812284">
      <w:bodyDiv w:val="1"/>
      <w:marLeft w:val="0"/>
      <w:marRight w:val="0"/>
      <w:marTop w:val="0"/>
      <w:marBottom w:val="0"/>
      <w:divBdr>
        <w:top w:val="none" w:sz="0" w:space="0" w:color="auto"/>
        <w:left w:val="none" w:sz="0" w:space="0" w:color="auto"/>
        <w:bottom w:val="none" w:sz="0" w:space="0" w:color="auto"/>
        <w:right w:val="none" w:sz="0" w:space="0" w:color="auto"/>
      </w:divBdr>
      <w:divsChild>
        <w:div w:id="148137012">
          <w:marLeft w:val="0"/>
          <w:marRight w:val="0"/>
          <w:marTop w:val="0"/>
          <w:marBottom w:val="0"/>
          <w:divBdr>
            <w:top w:val="none" w:sz="0" w:space="0" w:color="auto"/>
            <w:left w:val="none" w:sz="0" w:space="0" w:color="auto"/>
            <w:bottom w:val="none" w:sz="0" w:space="0" w:color="auto"/>
            <w:right w:val="none" w:sz="0" w:space="0" w:color="auto"/>
          </w:divBdr>
        </w:div>
      </w:divsChild>
    </w:div>
    <w:div w:id="1368337617">
      <w:bodyDiv w:val="1"/>
      <w:marLeft w:val="0"/>
      <w:marRight w:val="0"/>
      <w:marTop w:val="0"/>
      <w:marBottom w:val="0"/>
      <w:divBdr>
        <w:top w:val="none" w:sz="0" w:space="0" w:color="auto"/>
        <w:left w:val="none" w:sz="0" w:space="0" w:color="auto"/>
        <w:bottom w:val="none" w:sz="0" w:space="0" w:color="auto"/>
        <w:right w:val="none" w:sz="0" w:space="0" w:color="auto"/>
      </w:divBdr>
      <w:divsChild>
        <w:div w:id="1910918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317744">
      <w:bodyDiv w:val="1"/>
      <w:marLeft w:val="0"/>
      <w:marRight w:val="0"/>
      <w:marTop w:val="0"/>
      <w:marBottom w:val="0"/>
      <w:divBdr>
        <w:top w:val="none" w:sz="0" w:space="0" w:color="auto"/>
        <w:left w:val="none" w:sz="0" w:space="0" w:color="auto"/>
        <w:bottom w:val="none" w:sz="0" w:space="0" w:color="auto"/>
        <w:right w:val="none" w:sz="0" w:space="0" w:color="auto"/>
      </w:divBdr>
      <w:divsChild>
        <w:div w:id="1805004902">
          <w:marLeft w:val="0"/>
          <w:marRight w:val="0"/>
          <w:marTop w:val="0"/>
          <w:marBottom w:val="0"/>
          <w:divBdr>
            <w:top w:val="none" w:sz="0" w:space="0" w:color="auto"/>
            <w:left w:val="none" w:sz="0" w:space="0" w:color="auto"/>
            <w:bottom w:val="none" w:sz="0" w:space="0" w:color="auto"/>
            <w:right w:val="none" w:sz="0" w:space="0" w:color="auto"/>
          </w:divBdr>
        </w:div>
      </w:divsChild>
    </w:div>
    <w:div w:id="1396394040">
      <w:bodyDiv w:val="1"/>
      <w:marLeft w:val="0"/>
      <w:marRight w:val="0"/>
      <w:marTop w:val="0"/>
      <w:marBottom w:val="0"/>
      <w:divBdr>
        <w:top w:val="none" w:sz="0" w:space="0" w:color="auto"/>
        <w:left w:val="none" w:sz="0" w:space="0" w:color="auto"/>
        <w:bottom w:val="none" w:sz="0" w:space="0" w:color="auto"/>
        <w:right w:val="none" w:sz="0" w:space="0" w:color="auto"/>
      </w:divBdr>
      <w:divsChild>
        <w:div w:id="610933971">
          <w:marLeft w:val="0"/>
          <w:marRight w:val="0"/>
          <w:marTop w:val="0"/>
          <w:marBottom w:val="0"/>
          <w:divBdr>
            <w:top w:val="none" w:sz="0" w:space="0" w:color="auto"/>
            <w:left w:val="none" w:sz="0" w:space="0" w:color="auto"/>
            <w:bottom w:val="none" w:sz="0" w:space="0" w:color="auto"/>
            <w:right w:val="none" w:sz="0" w:space="0" w:color="auto"/>
          </w:divBdr>
          <w:divsChild>
            <w:div w:id="1468661888">
              <w:marLeft w:val="0"/>
              <w:marRight w:val="0"/>
              <w:marTop w:val="0"/>
              <w:marBottom w:val="0"/>
              <w:divBdr>
                <w:top w:val="none" w:sz="0" w:space="0" w:color="auto"/>
                <w:left w:val="none" w:sz="0" w:space="0" w:color="auto"/>
                <w:bottom w:val="none" w:sz="0" w:space="0" w:color="auto"/>
                <w:right w:val="none" w:sz="0" w:space="0" w:color="auto"/>
              </w:divBdr>
              <w:divsChild>
                <w:div w:id="1154640806">
                  <w:marLeft w:val="0"/>
                  <w:marRight w:val="0"/>
                  <w:marTop w:val="0"/>
                  <w:marBottom w:val="0"/>
                  <w:divBdr>
                    <w:top w:val="none" w:sz="0" w:space="0" w:color="auto"/>
                    <w:left w:val="none" w:sz="0" w:space="0" w:color="auto"/>
                    <w:bottom w:val="none" w:sz="0" w:space="0" w:color="auto"/>
                    <w:right w:val="none" w:sz="0" w:space="0" w:color="auto"/>
                  </w:divBdr>
                  <w:divsChild>
                    <w:div w:id="2060593687">
                      <w:marLeft w:val="0"/>
                      <w:marRight w:val="0"/>
                      <w:marTop w:val="0"/>
                      <w:marBottom w:val="0"/>
                      <w:divBdr>
                        <w:top w:val="none" w:sz="0" w:space="0" w:color="auto"/>
                        <w:left w:val="none" w:sz="0" w:space="0" w:color="auto"/>
                        <w:bottom w:val="none" w:sz="0" w:space="0" w:color="auto"/>
                        <w:right w:val="none" w:sz="0" w:space="0" w:color="auto"/>
                      </w:divBdr>
                      <w:divsChild>
                        <w:div w:id="681515236">
                          <w:marLeft w:val="0"/>
                          <w:marRight w:val="0"/>
                          <w:marTop w:val="0"/>
                          <w:marBottom w:val="0"/>
                          <w:divBdr>
                            <w:top w:val="none" w:sz="0" w:space="0" w:color="auto"/>
                            <w:left w:val="none" w:sz="0" w:space="0" w:color="auto"/>
                            <w:bottom w:val="none" w:sz="0" w:space="0" w:color="auto"/>
                            <w:right w:val="none" w:sz="0" w:space="0" w:color="auto"/>
                          </w:divBdr>
                          <w:divsChild>
                            <w:div w:id="1040516417">
                              <w:marLeft w:val="0"/>
                              <w:marRight w:val="0"/>
                              <w:marTop w:val="0"/>
                              <w:marBottom w:val="0"/>
                              <w:divBdr>
                                <w:top w:val="none" w:sz="0" w:space="0" w:color="auto"/>
                                <w:left w:val="none" w:sz="0" w:space="0" w:color="auto"/>
                                <w:bottom w:val="none" w:sz="0" w:space="0" w:color="auto"/>
                                <w:right w:val="none" w:sz="0" w:space="0" w:color="auto"/>
                              </w:divBdr>
                              <w:divsChild>
                                <w:div w:id="117908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25434">
      <w:bodyDiv w:val="1"/>
      <w:marLeft w:val="0"/>
      <w:marRight w:val="0"/>
      <w:marTop w:val="0"/>
      <w:marBottom w:val="0"/>
      <w:divBdr>
        <w:top w:val="none" w:sz="0" w:space="0" w:color="auto"/>
        <w:left w:val="none" w:sz="0" w:space="0" w:color="auto"/>
        <w:bottom w:val="none" w:sz="0" w:space="0" w:color="auto"/>
        <w:right w:val="none" w:sz="0" w:space="0" w:color="auto"/>
      </w:divBdr>
    </w:div>
    <w:div w:id="1440291521">
      <w:bodyDiv w:val="1"/>
      <w:marLeft w:val="0"/>
      <w:marRight w:val="0"/>
      <w:marTop w:val="0"/>
      <w:marBottom w:val="0"/>
      <w:divBdr>
        <w:top w:val="none" w:sz="0" w:space="0" w:color="auto"/>
        <w:left w:val="none" w:sz="0" w:space="0" w:color="auto"/>
        <w:bottom w:val="none" w:sz="0" w:space="0" w:color="auto"/>
        <w:right w:val="none" w:sz="0" w:space="0" w:color="auto"/>
      </w:divBdr>
      <w:divsChild>
        <w:div w:id="1606957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225267">
      <w:bodyDiv w:val="1"/>
      <w:marLeft w:val="0"/>
      <w:marRight w:val="0"/>
      <w:marTop w:val="0"/>
      <w:marBottom w:val="0"/>
      <w:divBdr>
        <w:top w:val="none" w:sz="0" w:space="0" w:color="auto"/>
        <w:left w:val="none" w:sz="0" w:space="0" w:color="auto"/>
        <w:bottom w:val="none" w:sz="0" w:space="0" w:color="auto"/>
        <w:right w:val="none" w:sz="0" w:space="0" w:color="auto"/>
      </w:divBdr>
      <w:divsChild>
        <w:div w:id="2098556080">
          <w:marLeft w:val="0"/>
          <w:marRight w:val="0"/>
          <w:marTop w:val="0"/>
          <w:marBottom w:val="0"/>
          <w:divBdr>
            <w:top w:val="none" w:sz="0" w:space="0" w:color="auto"/>
            <w:left w:val="none" w:sz="0" w:space="0" w:color="auto"/>
            <w:bottom w:val="none" w:sz="0" w:space="0" w:color="auto"/>
            <w:right w:val="none" w:sz="0" w:space="0" w:color="auto"/>
          </w:divBdr>
          <w:divsChild>
            <w:div w:id="16801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1692">
      <w:bodyDiv w:val="1"/>
      <w:marLeft w:val="0"/>
      <w:marRight w:val="0"/>
      <w:marTop w:val="0"/>
      <w:marBottom w:val="0"/>
      <w:divBdr>
        <w:top w:val="none" w:sz="0" w:space="0" w:color="auto"/>
        <w:left w:val="none" w:sz="0" w:space="0" w:color="auto"/>
        <w:bottom w:val="none" w:sz="0" w:space="0" w:color="auto"/>
        <w:right w:val="none" w:sz="0" w:space="0" w:color="auto"/>
      </w:divBdr>
    </w:div>
    <w:div w:id="1475416719">
      <w:bodyDiv w:val="1"/>
      <w:marLeft w:val="0"/>
      <w:marRight w:val="0"/>
      <w:marTop w:val="0"/>
      <w:marBottom w:val="0"/>
      <w:divBdr>
        <w:top w:val="none" w:sz="0" w:space="0" w:color="auto"/>
        <w:left w:val="none" w:sz="0" w:space="0" w:color="auto"/>
        <w:bottom w:val="none" w:sz="0" w:space="0" w:color="auto"/>
        <w:right w:val="none" w:sz="0" w:space="0" w:color="auto"/>
      </w:divBdr>
    </w:div>
    <w:div w:id="1502964331">
      <w:bodyDiv w:val="1"/>
      <w:marLeft w:val="0"/>
      <w:marRight w:val="0"/>
      <w:marTop w:val="0"/>
      <w:marBottom w:val="0"/>
      <w:divBdr>
        <w:top w:val="none" w:sz="0" w:space="0" w:color="auto"/>
        <w:left w:val="none" w:sz="0" w:space="0" w:color="auto"/>
        <w:bottom w:val="none" w:sz="0" w:space="0" w:color="auto"/>
        <w:right w:val="none" w:sz="0" w:space="0" w:color="auto"/>
      </w:divBdr>
    </w:div>
    <w:div w:id="1511414259">
      <w:bodyDiv w:val="1"/>
      <w:marLeft w:val="0"/>
      <w:marRight w:val="0"/>
      <w:marTop w:val="0"/>
      <w:marBottom w:val="0"/>
      <w:divBdr>
        <w:top w:val="none" w:sz="0" w:space="0" w:color="auto"/>
        <w:left w:val="none" w:sz="0" w:space="0" w:color="auto"/>
        <w:bottom w:val="none" w:sz="0" w:space="0" w:color="auto"/>
        <w:right w:val="none" w:sz="0" w:space="0" w:color="auto"/>
      </w:divBdr>
    </w:div>
    <w:div w:id="1522236910">
      <w:bodyDiv w:val="1"/>
      <w:marLeft w:val="0"/>
      <w:marRight w:val="0"/>
      <w:marTop w:val="0"/>
      <w:marBottom w:val="0"/>
      <w:divBdr>
        <w:top w:val="none" w:sz="0" w:space="0" w:color="auto"/>
        <w:left w:val="none" w:sz="0" w:space="0" w:color="auto"/>
        <w:bottom w:val="none" w:sz="0" w:space="0" w:color="auto"/>
        <w:right w:val="none" w:sz="0" w:space="0" w:color="auto"/>
      </w:divBdr>
      <w:divsChild>
        <w:div w:id="104927789">
          <w:marLeft w:val="0"/>
          <w:marRight w:val="0"/>
          <w:marTop w:val="0"/>
          <w:marBottom w:val="0"/>
          <w:divBdr>
            <w:top w:val="none" w:sz="0" w:space="0" w:color="auto"/>
            <w:left w:val="none" w:sz="0" w:space="0" w:color="auto"/>
            <w:bottom w:val="none" w:sz="0" w:space="0" w:color="auto"/>
            <w:right w:val="none" w:sz="0" w:space="0" w:color="auto"/>
          </w:divBdr>
        </w:div>
        <w:div w:id="230233836">
          <w:marLeft w:val="0"/>
          <w:marRight w:val="0"/>
          <w:marTop w:val="0"/>
          <w:marBottom w:val="0"/>
          <w:divBdr>
            <w:top w:val="none" w:sz="0" w:space="0" w:color="auto"/>
            <w:left w:val="none" w:sz="0" w:space="0" w:color="auto"/>
            <w:bottom w:val="none" w:sz="0" w:space="0" w:color="auto"/>
            <w:right w:val="none" w:sz="0" w:space="0" w:color="auto"/>
          </w:divBdr>
        </w:div>
        <w:div w:id="1039012505">
          <w:marLeft w:val="0"/>
          <w:marRight w:val="0"/>
          <w:marTop w:val="0"/>
          <w:marBottom w:val="0"/>
          <w:divBdr>
            <w:top w:val="none" w:sz="0" w:space="0" w:color="auto"/>
            <w:left w:val="none" w:sz="0" w:space="0" w:color="auto"/>
            <w:bottom w:val="none" w:sz="0" w:space="0" w:color="auto"/>
            <w:right w:val="none" w:sz="0" w:space="0" w:color="auto"/>
          </w:divBdr>
          <w:divsChild>
            <w:div w:id="1984308879">
              <w:marLeft w:val="-75"/>
              <w:marRight w:val="0"/>
              <w:marTop w:val="30"/>
              <w:marBottom w:val="30"/>
              <w:divBdr>
                <w:top w:val="none" w:sz="0" w:space="0" w:color="auto"/>
                <w:left w:val="none" w:sz="0" w:space="0" w:color="auto"/>
                <w:bottom w:val="none" w:sz="0" w:space="0" w:color="auto"/>
                <w:right w:val="none" w:sz="0" w:space="0" w:color="auto"/>
              </w:divBdr>
              <w:divsChild>
                <w:div w:id="54013387">
                  <w:marLeft w:val="0"/>
                  <w:marRight w:val="0"/>
                  <w:marTop w:val="0"/>
                  <w:marBottom w:val="0"/>
                  <w:divBdr>
                    <w:top w:val="none" w:sz="0" w:space="0" w:color="auto"/>
                    <w:left w:val="none" w:sz="0" w:space="0" w:color="auto"/>
                    <w:bottom w:val="none" w:sz="0" w:space="0" w:color="auto"/>
                    <w:right w:val="none" w:sz="0" w:space="0" w:color="auto"/>
                  </w:divBdr>
                  <w:divsChild>
                    <w:div w:id="1830748847">
                      <w:marLeft w:val="0"/>
                      <w:marRight w:val="0"/>
                      <w:marTop w:val="0"/>
                      <w:marBottom w:val="0"/>
                      <w:divBdr>
                        <w:top w:val="none" w:sz="0" w:space="0" w:color="auto"/>
                        <w:left w:val="none" w:sz="0" w:space="0" w:color="auto"/>
                        <w:bottom w:val="none" w:sz="0" w:space="0" w:color="auto"/>
                        <w:right w:val="none" w:sz="0" w:space="0" w:color="auto"/>
                      </w:divBdr>
                    </w:div>
                  </w:divsChild>
                </w:div>
                <w:div w:id="57285287">
                  <w:marLeft w:val="0"/>
                  <w:marRight w:val="0"/>
                  <w:marTop w:val="0"/>
                  <w:marBottom w:val="0"/>
                  <w:divBdr>
                    <w:top w:val="none" w:sz="0" w:space="0" w:color="auto"/>
                    <w:left w:val="none" w:sz="0" w:space="0" w:color="auto"/>
                    <w:bottom w:val="none" w:sz="0" w:space="0" w:color="auto"/>
                    <w:right w:val="none" w:sz="0" w:space="0" w:color="auto"/>
                  </w:divBdr>
                  <w:divsChild>
                    <w:div w:id="1242910762">
                      <w:marLeft w:val="0"/>
                      <w:marRight w:val="0"/>
                      <w:marTop w:val="0"/>
                      <w:marBottom w:val="0"/>
                      <w:divBdr>
                        <w:top w:val="none" w:sz="0" w:space="0" w:color="auto"/>
                        <w:left w:val="none" w:sz="0" w:space="0" w:color="auto"/>
                        <w:bottom w:val="none" w:sz="0" w:space="0" w:color="auto"/>
                        <w:right w:val="none" w:sz="0" w:space="0" w:color="auto"/>
                      </w:divBdr>
                    </w:div>
                  </w:divsChild>
                </w:div>
                <w:div w:id="93408842">
                  <w:marLeft w:val="0"/>
                  <w:marRight w:val="0"/>
                  <w:marTop w:val="0"/>
                  <w:marBottom w:val="0"/>
                  <w:divBdr>
                    <w:top w:val="none" w:sz="0" w:space="0" w:color="auto"/>
                    <w:left w:val="none" w:sz="0" w:space="0" w:color="auto"/>
                    <w:bottom w:val="none" w:sz="0" w:space="0" w:color="auto"/>
                    <w:right w:val="none" w:sz="0" w:space="0" w:color="auto"/>
                  </w:divBdr>
                  <w:divsChild>
                    <w:div w:id="1223175338">
                      <w:marLeft w:val="0"/>
                      <w:marRight w:val="0"/>
                      <w:marTop w:val="0"/>
                      <w:marBottom w:val="0"/>
                      <w:divBdr>
                        <w:top w:val="none" w:sz="0" w:space="0" w:color="auto"/>
                        <w:left w:val="none" w:sz="0" w:space="0" w:color="auto"/>
                        <w:bottom w:val="none" w:sz="0" w:space="0" w:color="auto"/>
                        <w:right w:val="none" w:sz="0" w:space="0" w:color="auto"/>
                      </w:divBdr>
                    </w:div>
                  </w:divsChild>
                </w:div>
                <w:div w:id="146436903">
                  <w:marLeft w:val="0"/>
                  <w:marRight w:val="0"/>
                  <w:marTop w:val="0"/>
                  <w:marBottom w:val="0"/>
                  <w:divBdr>
                    <w:top w:val="none" w:sz="0" w:space="0" w:color="auto"/>
                    <w:left w:val="none" w:sz="0" w:space="0" w:color="auto"/>
                    <w:bottom w:val="none" w:sz="0" w:space="0" w:color="auto"/>
                    <w:right w:val="none" w:sz="0" w:space="0" w:color="auto"/>
                  </w:divBdr>
                  <w:divsChild>
                    <w:div w:id="393433517">
                      <w:marLeft w:val="0"/>
                      <w:marRight w:val="0"/>
                      <w:marTop w:val="0"/>
                      <w:marBottom w:val="0"/>
                      <w:divBdr>
                        <w:top w:val="none" w:sz="0" w:space="0" w:color="auto"/>
                        <w:left w:val="none" w:sz="0" w:space="0" w:color="auto"/>
                        <w:bottom w:val="none" w:sz="0" w:space="0" w:color="auto"/>
                        <w:right w:val="none" w:sz="0" w:space="0" w:color="auto"/>
                      </w:divBdr>
                    </w:div>
                  </w:divsChild>
                </w:div>
                <w:div w:id="237249660">
                  <w:marLeft w:val="0"/>
                  <w:marRight w:val="0"/>
                  <w:marTop w:val="0"/>
                  <w:marBottom w:val="0"/>
                  <w:divBdr>
                    <w:top w:val="none" w:sz="0" w:space="0" w:color="auto"/>
                    <w:left w:val="none" w:sz="0" w:space="0" w:color="auto"/>
                    <w:bottom w:val="none" w:sz="0" w:space="0" w:color="auto"/>
                    <w:right w:val="none" w:sz="0" w:space="0" w:color="auto"/>
                  </w:divBdr>
                  <w:divsChild>
                    <w:div w:id="1482235910">
                      <w:marLeft w:val="0"/>
                      <w:marRight w:val="0"/>
                      <w:marTop w:val="0"/>
                      <w:marBottom w:val="0"/>
                      <w:divBdr>
                        <w:top w:val="none" w:sz="0" w:space="0" w:color="auto"/>
                        <w:left w:val="none" w:sz="0" w:space="0" w:color="auto"/>
                        <w:bottom w:val="none" w:sz="0" w:space="0" w:color="auto"/>
                        <w:right w:val="none" w:sz="0" w:space="0" w:color="auto"/>
                      </w:divBdr>
                    </w:div>
                  </w:divsChild>
                </w:div>
                <w:div w:id="251858169">
                  <w:marLeft w:val="0"/>
                  <w:marRight w:val="0"/>
                  <w:marTop w:val="0"/>
                  <w:marBottom w:val="0"/>
                  <w:divBdr>
                    <w:top w:val="none" w:sz="0" w:space="0" w:color="auto"/>
                    <w:left w:val="none" w:sz="0" w:space="0" w:color="auto"/>
                    <w:bottom w:val="none" w:sz="0" w:space="0" w:color="auto"/>
                    <w:right w:val="none" w:sz="0" w:space="0" w:color="auto"/>
                  </w:divBdr>
                  <w:divsChild>
                    <w:div w:id="988556251">
                      <w:marLeft w:val="0"/>
                      <w:marRight w:val="0"/>
                      <w:marTop w:val="0"/>
                      <w:marBottom w:val="0"/>
                      <w:divBdr>
                        <w:top w:val="none" w:sz="0" w:space="0" w:color="auto"/>
                        <w:left w:val="none" w:sz="0" w:space="0" w:color="auto"/>
                        <w:bottom w:val="none" w:sz="0" w:space="0" w:color="auto"/>
                        <w:right w:val="none" w:sz="0" w:space="0" w:color="auto"/>
                      </w:divBdr>
                    </w:div>
                  </w:divsChild>
                </w:div>
                <w:div w:id="302851924">
                  <w:marLeft w:val="0"/>
                  <w:marRight w:val="0"/>
                  <w:marTop w:val="0"/>
                  <w:marBottom w:val="0"/>
                  <w:divBdr>
                    <w:top w:val="none" w:sz="0" w:space="0" w:color="auto"/>
                    <w:left w:val="none" w:sz="0" w:space="0" w:color="auto"/>
                    <w:bottom w:val="none" w:sz="0" w:space="0" w:color="auto"/>
                    <w:right w:val="none" w:sz="0" w:space="0" w:color="auto"/>
                  </w:divBdr>
                  <w:divsChild>
                    <w:div w:id="1519466">
                      <w:marLeft w:val="0"/>
                      <w:marRight w:val="0"/>
                      <w:marTop w:val="0"/>
                      <w:marBottom w:val="0"/>
                      <w:divBdr>
                        <w:top w:val="none" w:sz="0" w:space="0" w:color="auto"/>
                        <w:left w:val="none" w:sz="0" w:space="0" w:color="auto"/>
                        <w:bottom w:val="none" w:sz="0" w:space="0" w:color="auto"/>
                        <w:right w:val="none" w:sz="0" w:space="0" w:color="auto"/>
                      </w:divBdr>
                    </w:div>
                  </w:divsChild>
                </w:div>
                <w:div w:id="426116369">
                  <w:marLeft w:val="0"/>
                  <w:marRight w:val="0"/>
                  <w:marTop w:val="0"/>
                  <w:marBottom w:val="0"/>
                  <w:divBdr>
                    <w:top w:val="none" w:sz="0" w:space="0" w:color="auto"/>
                    <w:left w:val="none" w:sz="0" w:space="0" w:color="auto"/>
                    <w:bottom w:val="none" w:sz="0" w:space="0" w:color="auto"/>
                    <w:right w:val="none" w:sz="0" w:space="0" w:color="auto"/>
                  </w:divBdr>
                  <w:divsChild>
                    <w:div w:id="201286827">
                      <w:marLeft w:val="0"/>
                      <w:marRight w:val="0"/>
                      <w:marTop w:val="0"/>
                      <w:marBottom w:val="0"/>
                      <w:divBdr>
                        <w:top w:val="none" w:sz="0" w:space="0" w:color="auto"/>
                        <w:left w:val="none" w:sz="0" w:space="0" w:color="auto"/>
                        <w:bottom w:val="none" w:sz="0" w:space="0" w:color="auto"/>
                        <w:right w:val="none" w:sz="0" w:space="0" w:color="auto"/>
                      </w:divBdr>
                    </w:div>
                  </w:divsChild>
                </w:div>
                <w:div w:id="472020172">
                  <w:marLeft w:val="0"/>
                  <w:marRight w:val="0"/>
                  <w:marTop w:val="0"/>
                  <w:marBottom w:val="0"/>
                  <w:divBdr>
                    <w:top w:val="none" w:sz="0" w:space="0" w:color="auto"/>
                    <w:left w:val="none" w:sz="0" w:space="0" w:color="auto"/>
                    <w:bottom w:val="none" w:sz="0" w:space="0" w:color="auto"/>
                    <w:right w:val="none" w:sz="0" w:space="0" w:color="auto"/>
                  </w:divBdr>
                  <w:divsChild>
                    <w:div w:id="1554806326">
                      <w:marLeft w:val="0"/>
                      <w:marRight w:val="0"/>
                      <w:marTop w:val="0"/>
                      <w:marBottom w:val="0"/>
                      <w:divBdr>
                        <w:top w:val="none" w:sz="0" w:space="0" w:color="auto"/>
                        <w:left w:val="none" w:sz="0" w:space="0" w:color="auto"/>
                        <w:bottom w:val="none" w:sz="0" w:space="0" w:color="auto"/>
                        <w:right w:val="none" w:sz="0" w:space="0" w:color="auto"/>
                      </w:divBdr>
                    </w:div>
                  </w:divsChild>
                </w:div>
                <w:div w:id="485514561">
                  <w:marLeft w:val="0"/>
                  <w:marRight w:val="0"/>
                  <w:marTop w:val="0"/>
                  <w:marBottom w:val="0"/>
                  <w:divBdr>
                    <w:top w:val="none" w:sz="0" w:space="0" w:color="auto"/>
                    <w:left w:val="none" w:sz="0" w:space="0" w:color="auto"/>
                    <w:bottom w:val="none" w:sz="0" w:space="0" w:color="auto"/>
                    <w:right w:val="none" w:sz="0" w:space="0" w:color="auto"/>
                  </w:divBdr>
                  <w:divsChild>
                    <w:div w:id="2075662081">
                      <w:marLeft w:val="0"/>
                      <w:marRight w:val="0"/>
                      <w:marTop w:val="0"/>
                      <w:marBottom w:val="0"/>
                      <w:divBdr>
                        <w:top w:val="none" w:sz="0" w:space="0" w:color="auto"/>
                        <w:left w:val="none" w:sz="0" w:space="0" w:color="auto"/>
                        <w:bottom w:val="none" w:sz="0" w:space="0" w:color="auto"/>
                        <w:right w:val="none" w:sz="0" w:space="0" w:color="auto"/>
                      </w:divBdr>
                    </w:div>
                  </w:divsChild>
                </w:div>
                <w:div w:id="547650307">
                  <w:marLeft w:val="0"/>
                  <w:marRight w:val="0"/>
                  <w:marTop w:val="0"/>
                  <w:marBottom w:val="0"/>
                  <w:divBdr>
                    <w:top w:val="none" w:sz="0" w:space="0" w:color="auto"/>
                    <w:left w:val="none" w:sz="0" w:space="0" w:color="auto"/>
                    <w:bottom w:val="none" w:sz="0" w:space="0" w:color="auto"/>
                    <w:right w:val="none" w:sz="0" w:space="0" w:color="auto"/>
                  </w:divBdr>
                  <w:divsChild>
                    <w:div w:id="905990551">
                      <w:marLeft w:val="0"/>
                      <w:marRight w:val="0"/>
                      <w:marTop w:val="0"/>
                      <w:marBottom w:val="0"/>
                      <w:divBdr>
                        <w:top w:val="none" w:sz="0" w:space="0" w:color="auto"/>
                        <w:left w:val="none" w:sz="0" w:space="0" w:color="auto"/>
                        <w:bottom w:val="none" w:sz="0" w:space="0" w:color="auto"/>
                        <w:right w:val="none" w:sz="0" w:space="0" w:color="auto"/>
                      </w:divBdr>
                    </w:div>
                    <w:div w:id="1640568648">
                      <w:marLeft w:val="0"/>
                      <w:marRight w:val="0"/>
                      <w:marTop w:val="0"/>
                      <w:marBottom w:val="0"/>
                      <w:divBdr>
                        <w:top w:val="none" w:sz="0" w:space="0" w:color="auto"/>
                        <w:left w:val="none" w:sz="0" w:space="0" w:color="auto"/>
                        <w:bottom w:val="none" w:sz="0" w:space="0" w:color="auto"/>
                        <w:right w:val="none" w:sz="0" w:space="0" w:color="auto"/>
                      </w:divBdr>
                    </w:div>
                  </w:divsChild>
                </w:div>
                <w:div w:id="663240734">
                  <w:marLeft w:val="0"/>
                  <w:marRight w:val="0"/>
                  <w:marTop w:val="0"/>
                  <w:marBottom w:val="0"/>
                  <w:divBdr>
                    <w:top w:val="none" w:sz="0" w:space="0" w:color="auto"/>
                    <w:left w:val="none" w:sz="0" w:space="0" w:color="auto"/>
                    <w:bottom w:val="none" w:sz="0" w:space="0" w:color="auto"/>
                    <w:right w:val="none" w:sz="0" w:space="0" w:color="auto"/>
                  </w:divBdr>
                  <w:divsChild>
                    <w:div w:id="1672298438">
                      <w:marLeft w:val="0"/>
                      <w:marRight w:val="0"/>
                      <w:marTop w:val="0"/>
                      <w:marBottom w:val="0"/>
                      <w:divBdr>
                        <w:top w:val="none" w:sz="0" w:space="0" w:color="auto"/>
                        <w:left w:val="none" w:sz="0" w:space="0" w:color="auto"/>
                        <w:bottom w:val="none" w:sz="0" w:space="0" w:color="auto"/>
                        <w:right w:val="none" w:sz="0" w:space="0" w:color="auto"/>
                      </w:divBdr>
                    </w:div>
                  </w:divsChild>
                </w:div>
                <w:div w:id="737170082">
                  <w:marLeft w:val="0"/>
                  <w:marRight w:val="0"/>
                  <w:marTop w:val="0"/>
                  <w:marBottom w:val="0"/>
                  <w:divBdr>
                    <w:top w:val="none" w:sz="0" w:space="0" w:color="auto"/>
                    <w:left w:val="none" w:sz="0" w:space="0" w:color="auto"/>
                    <w:bottom w:val="none" w:sz="0" w:space="0" w:color="auto"/>
                    <w:right w:val="none" w:sz="0" w:space="0" w:color="auto"/>
                  </w:divBdr>
                  <w:divsChild>
                    <w:div w:id="2077045531">
                      <w:marLeft w:val="0"/>
                      <w:marRight w:val="0"/>
                      <w:marTop w:val="0"/>
                      <w:marBottom w:val="0"/>
                      <w:divBdr>
                        <w:top w:val="none" w:sz="0" w:space="0" w:color="auto"/>
                        <w:left w:val="none" w:sz="0" w:space="0" w:color="auto"/>
                        <w:bottom w:val="none" w:sz="0" w:space="0" w:color="auto"/>
                        <w:right w:val="none" w:sz="0" w:space="0" w:color="auto"/>
                      </w:divBdr>
                    </w:div>
                  </w:divsChild>
                </w:div>
                <w:div w:id="841091569">
                  <w:marLeft w:val="0"/>
                  <w:marRight w:val="0"/>
                  <w:marTop w:val="0"/>
                  <w:marBottom w:val="0"/>
                  <w:divBdr>
                    <w:top w:val="none" w:sz="0" w:space="0" w:color="auto"/>
                    <w:left w:val="none" w:sz="0" w:space="0" w:color="auto"/>
                    <w:bottom w:val="none" w:sz="0" w:space="0" w:color="auto"/>
                    <w:right w:val="none" w:sz="0" w:space="0" w:color="auto"/>
                  </w:divBdr>
                  <w:divsChild>
                    <w:div w:id="207375801">
                      <w:marLeft w:val="0"/>
                      <w:marRight w:val="0"/>
                      <w:marTop w:val="0"/>
                      <w:marBottom w:val="0"/>
                      <w:divBdr>
                        <w:top w:val="none" w:sz="0" w:space="0" w:color="auto"/>
                        <w:left w:val="none" w:sz="0" w:space="0" w:color="auto"/>
                        <w:bottom w:val="none" w:sz="0" w:space="0" w:color="auto"/>
                        <w:right w:val="none" w:sz="0" w:space="0" w:color="auto"/>
                      </w:divBdr>
                    </w:div>
                    <w:div w:id="1313870864">
                      <w:marLeft w:val="0"/>
                      <w:marRight w:val="0"/>
                      <w:marTop w:val="0"/>
                      <w:marBottom w:val="0"/>
                      <w:divBdr>
                        <w:top w:val="none" w:sz="0" w:space="0" w:color="auto"/>
                        <w:left w:val="none" w:sz="0" w:space="0" w:color="auto"/>
                        <w:bottom w:val="none" w:sz="0" w:space="0" w:color="auto"/>
                        <w:right w:val="none" w:sz="0" w:space="0" w:color="auto"/>
                      </w:divBdr>
                    </w:div>
                  </w:divsChild>
                </w:div>
                <w:div w:id="1012297598">
                  <w:marLeft w:val="0"/>
                  <w:marRight w:val="0"/>
                  <w:marTop w:val="0"/>
                  <w:marBottom w:val="0"/>
                  <w:divBdr>
                    <w:top w:val="none" w:sz="0" w:space="0" w:color="auto"/>
                    <w:left w:val="none" w:sz="0" w:space="0" w:color="auto"/>
                    <w:bottom w:val="none" w:sz="0" w:space="0" w:color="auto"/>
                    <w:right w:val="none" w:sz="0" w:space="0" w:color="auto"/>
                  </w:divBdr>
                  <w:divsChild>
                    <w:div w:id="720254294">
                      <w:marLeft w:val="0"/>
                      <w:marRight w:val="0"/>
                      <w:marTop w:val="0"/>
                      <w:marBottom w:val="0"/>
                      <w:divBdr>
                        <w:top w:val="none" w:sz="0" w:space="0" w:color="auto"/>
                        <w:left w:val="none" w:sz="0" w:space="0" w:color="auto"/>
                        <w:bottom w:val="none" w:sz="0" w:space="0" w:color="auto"/>
                        <w:right w:val="none" w:sz="0" w:space="0" w:color="auto"/>
                      </w:divBdr>
                    </w:div>
                  </w:divsChild>
                </w:div>
                <w:div w:id="1018040797">
                  <w:marLeft w:val="0"/>
                  <w:marRight w:val="0"/>
                  <w:marTop w:val="0"/>
                  <w:marBottom w:val="0"/>
                  <w:divBdr>
                    <w:top w:val="none" w:sz="0" w:space="0" w:color="auto"/>
                    <w:left w:val="none" w:sz="0" w:space="0" w:color="auto"/>
                    <w:bottom w:val="none" w:sz="0" w:space="0" w:color="auto"/>
                    <w:right w:val="none" w:sz="0" w:space="0" w:color="auto"/>
                  </w:divBdr>
                  <w:divsChild>
                    <w:div w:id="1138184669">
                      <w:marLeft w:val="0"/>
                      <w:marRight w:val="0"/>
                      <w:marTop w:val="0"/>
                      <w:marBottom w:val="0"/>
                      <w:divBdr>
                        <w:top w:val="none" w:sz="0" w:space="0" w:color="auto"/>
                        <w:left w:val="none" w:sz="0" w:space="0" w:color="auto"/>
                        <w:bottom w:val="none" w:sz="0" w:space="0" w:color="auto"/>
                        <w:right w:val="none" w:sz="0" w:space="0" w:color="auto"/>
                      </w:divBdr>
                    </w:div>
                  </w:divsChild>
                </w:div>
                <w:div w:id="1072238216">
                  <w:marLeft w:val="0"/>
                  <w:marRight w:val="0"/>
                  <w:marTop w:val="0"/>
                  <w:marBottom w:val="0"/>
                  <w:divBdr>
                    <w:top w:val="none" w:sz="0" w:space="0" w:color="auto"/>
                    <w:left w:val="none" w:sz="0" w:space="0" w:color="auto"/>
                    <w:bottom w:val="none" w:sz="0" w:space="0" w:color="auto"/>
                    <w:right w:val="none" w:sz="0" w:space="0" w:color="auto"/>
                  </w:divBdr>
                  <w:divsChild>
                    <w:div w:id="389571356">
                      <w:marLeft w:val="0"/>
                      <w:marRight w:val="0"/>
                      <w:marTop w:val="0"/>
                      <w:marBottom w:val="0"/>
                      <w:divBdr>
                        <w:top w:val="none" w:sz="0" w:space="0" w:color="auto"/>
                        <w:left w:val="none" w:sz="0" w:space="0" w:color="auto"/>
                        <w:bottom w:val="none" w:sz="0" w:space="0" w:color="auto"/>
                        <w:right w:val="none" w:sz="0" w:space="0" w:color="auto"/>
                      </w:divBdr>
                    </w:div>
                  </w:divsChild>
                </w:div>
                <w:div w:id="1123226628">
                  <w:marLeft w:val="0"/>
                  <w:marRight w:val="0"/>
                  <w:marTop w:val="0"/>
                  <w:marBottom w:val="0"/>
                  <w:divBdr>
                    <w:top w:val="none" w:sz="0" w:space="0" w:color="auto"/>
                    <w:left w:val="none" w:sz="0" w:space="0" w:color="auto"/>
                    <w:bottom w:val="none" w:sz="0" w:space="0" w:color="auto"/>
                    <w:right w:val="none" w:sz="0" w:space="0" w:color="auto"/>
                  </w:divBdr>
                  <w:divsChild>
                    <w:div w:id="1192307336">
                      <w:marLeft w:val="0"/>
                      <w:marRight w:val="0"/>
                      <w:marTop w:val="0"/>
                      <w:marBottom w:val="0"/>
                      <w:divBdr>
                        <w:top w:val="none" w:sz="0" w:space="0" w:color="auto"/>
                        <w:left w:val="none" w:sz="0" w:space="0" w:color="auto"/>
                        <w:bottom w:val="none" w:sz="0" w:space="0" w:color="auto"/>
                        <w:right w:val="none" w:sz="0" w:space="0" w:color="auto"/>
                      </w:divBdr>
                    </w:div>
                  </w:divsChild>
                </w:div>
                <w:div w:id="1133056981">
                  <w:marLeft w:val="0"/>
                  <w:marRight w:val="0"/>
                  <w:marTop w:val="0"/>
                  <w:marBottom w:val="0"/>
                  <w:divBdr>
                    <w:top w:val="none" w:sz="0" w:space="0" w:color="auto"/>
                    <w:left w:val="none" w:sz="0" w:space="0" w:color="auto"/>
                    <w:bottom w:val="none" w:sz="0" w:space="0" w:color="auto"/>
                    <w:right w:val="none" w:sz="0" w:space="0" w:color="auto"/>
                  </w:divBdr>
                  <w:divsChild>
                    <w:div w:id="1263807363">
                      <w:marLeft w:val="0"/>
                      <w:marRight w:val="0"/>
                      <w:marTop w:val="0"/>
                      <w:marBottom w:val="0"/>
                      <w:divBdr>
                        <w:top w:val="none" w:sz="0" w:space="0" w:color="auto"/>
                        <w:left w:val="none" w:sz="0" w:space="0" w:color="auto"/>
                        <w:bottom w:val="none" w:sz="0" w:space="0" w:color="auto"/>
                        <w:right w:val="none" w:sz="0" w:space="0" w:color="auto"/>
                      </w:divBdr>
                    </w:div>
                  </w:divsChild>
                </w:div>
                <w:div w:id="1275939619">
                  <w:marLeft w:val="0"/>
                  <w:marRight w:val="0"/>
                  <w:marTop w:val="0"/>
                  <w:marBottom w:val="0"/>
                  <w:divBdr>
                    <w:top w:val="none" w:sz="0" w:space="0" w:color="auto"/>
                    <w:left w:val="none" w:sz="0" w:space="0" w:color="auto"/>
                    <w:bottom w:val="none" w:sz="0" w:space="0" w:color="auto"/>
                    <w:right w:val="none" w:sz="0" w:space="0" w:color="auto"/>
                  </w:divBdr>
                  <w:divsChild>
                    <w:div w:id="522328781">
                      <w:marLeft w:val="0"/>
                      <w:marRight w:val="0"/>
                      <w:marTop w:val="0"/>
                      <w:marBottom w:val="0"/>
                      <w:divBdr>
                        <w:top w:val="none" w:sz="0" w:space="0" w:color="auto"/>
                        <w:left w:val="none" w:sz="0" w:space="0" w:color="auto"/>
                        <w:bottom w:val="none" w:sz="0" w:space="0" w:color="auto"/>
                        <w:right w:val="none" w:sz="0" w:space="0" w:color="auto"/>
                      </w:divBdr>
                    </w:div>
                  </w:divsChild>
                </w:div>
                <w:div w:id="1337464731">
                  <w:marLeft w:val="0"/>
                  <w:marRight w:val="0"/>
                  <w:marTop w:val="0"/>
                  <w:marBottom w:val="0"/>
                  <w:divBdr>
                    <w:top w:val="none" w:sz="0" w:space="0" w:color="auto"/>
                    <w:left w:val="none" w:sz="0" w:space="0" w:color="auto"/>
                    <w:bottom w:val="none" w:sz="0" w:space="0" w:color="auto"/>
                    <w:right w:val="none" w:sz="0" w:space="0" w:color="auto"/>
                  </w:divBdr>
                  <w:divsChild>
                    <w:div w:id="1269124193">
                      <w:marLeft w:val="0"/>
                      <w:marRight w:val="0"/>
                      <w:marTop w:val="0"/>
                      <w:marBottom w:val="0"/>
                      <w:divBdr>
                        <w:top w:val="none" w:sz="0" w:space="0" w:color="auto"/>
                        <w:left w:val="none" w:sz="0" w:space="0" w:color="auto"/>
                        <w:bottom w:val="none" w:sz="0" w:space="0" w:color="auto"/>
                        <w:right w:val="none" w:sz="0" w:space="0" w:color="auto"/>
                      </w:divBdr>
                    </w:div>
                  </w:divsChild>
                </w:div>
                <w:div w:id="1388725817">
                  <w:marLeft w:val="0"/>
                  <w:marRight w:val="0"/>
                  <w:marTop w:val="0"/>
                  <w:marBottom w:val="0"/>
                  <w:divBdr>
                    <w:top w:val="none" w:sz="0" w:space="0" w:color="auto"/>
                    <w:left w:val="none" w:sz="0" w:space="0" w:color="auto"/>
                    <w:bottom w:val="none" w:sz="0" w:space="0" w:color="auto"/>
                    <w:right w:val="none" w:sz="0" w:space="0" w:color="auto"/>
                  </w:divBdr>
                  <w:divsChild>
                    <w:div w:id="1724056828">
                      <w:marLeft w:val="0"/>
                      <w:marRight w:val="0"/>
                      <w:marTop w:val="0"/>
                      <w:marBottom w:val="0"/>
                      <w:divBdr>
                        <w:top w:val="none" w:sz="0" w:space="0" w:color="auto"/>
                        <w:left w:val="none" w:sz="0" w:space="0" w:color="auto"/>
                        <w:bottom w:val="none" w:sz="0" w:space="0" w:color="auto"/>
                        <w:right w:val="none" w:sz="0" w:space="0" w:color="auto"/>
                      </w:divBdr>
                    </w:div>
                  </w:divsChild>
                </w:div>
                <w:div w:id="1413041011">
                  <w:marLeft w:val="0"/>
                  <w:marRight w:val="0"/>
                  <w:marTop w:val="0"/>
                  <w:marBottom w:val="0"/>
                  <w:divBdr>
                    <w:top w:val="none" w:sz="0" w:space="0" w:color="auto"/>
                    <w:left w:val="none" w:sz="0" w:space="0" w:color="auto"/>
                    <w:bottom w:val="none" w:sz="0" w:space="0" w:color="auto"/>
                    <w:right w:val="none" w:sz="0" w:space="0" w:color="auto"/>
                  </w:divBdr>
                  <w:divsChild>
                    <w:div w:id="734621499">
                      <w:marLeft w:val="0"/>
                      <w:marRight w:val="0"/>
                      <w:marTop w:val="0"/>
                      <w:marBottom w:val="0"/>
                      <w:divBdr>
                        <w:top w:val="none" w:sz="0" w:space="0" w:color="auto"/>
                        <w:left w:val="none" w:sz="0" w:space="0" w:color="auto"/>
                        <w:bottom w:val="none" w:sz="0" w:space="0" w:color="auto"/>
                        <w:right w:val="none" w:sz="0" w:space="0" w:color="auto"/>
                      </w:divBdr>
                    </w:div>
                    <w:div w:id="1237130803">
                      <w:marLeft w:val="0"/>
                      <w:marRight w:val="0"/>
                      <w:marTop w:val="0"/>
                      <w:marBottom w:val="0"/>
                      <w:divBdr>
                        <w:top w:val="none" w:sz="0" w:space="0" w:color="auto"/>
                        <w:left w:val="none" w:sz="0" w:space="0" w:color="auto"/>
                        <w:bottom w:val="none" w:sz="0" w:space="0" w:color="auto"/>
                        <w:right w:val="none" w:sz="0" w:space="0" w:color="auto"/>
                      </w:divBdr>
                    </w:div>
                  </w:divsChild>
                </w:div>
                <w:div w:id="1432164167">
                  <w:marLeft w:val="0"/>
                  <w:marRight w:val="0"/>
                  <w:marTop w:val="0"/>
                  <w:marBottom w:val="0"/>
                  <w:divBdr>
                    <w:top w:val="none" w:sz="0" w:space="0" w:color="auto"/>
                    <w:left w:val="none" w:sz="0" w:space="0" w:color="auto"/>
                    <w:bottom w:val="none" w:sz="0" w:space="0" w:color="auto"/>
                    <w:right w:val="none" w:sz="0" w:space="0" w:color="auto"/>
                  </w:divBdr>
                  <w:divsChild>
                    <w:div w:id="2035417320">
                      <w:marLeft w:val="0"/>
                      <w:marRight w:val="0"/>
                      <w:marTop w:val="0"/>
                      <w:marBottom w:val="0"/>
                      <w:divBdr>
                        <w:top w:val="none" w:sz="0" w:space="0" w:color="auto"/>
                        <w:left w:val="none" w:sz="0" w:space="0" w:color="auto"/>
                        <w:bottom w:val="none" w:sz="0" w:space="0" w:color="auto"/>
                        <w:right w:val="none" w:sz="0" w:space="0" w:color="auto"/>
                      </w:divBdr>
                    </w:div>
                  </w:divsChild>
                </w:div>
                <w:div w:id="1470826473">
                  <w:marLeft w:val="0"/>
                  <w:marRight w:val="0"/>
                  <w:marTop w:val="0"/>
                  <w:marBottom w:val="0"/>
                  <w:divBdr>
                    <w:top w:val="none" w:sz="0" w:space="0" w:color="auto"/>
                    <w:left w:val="none" w:sz="0" w:space="0" w:color="auto"/>
                    <w:bottom w:val="none" w:sz="0" w:space="0" w:color="auto"/>
                    <w:right w:val="none" w:sz="0" w:space="0" w:color="auto"/>
                  </w:divBdr>
                  <w:divsChild>
                    <w:div w:id="607928807">
                      <w:marLeft w:val="0"/>
                      <w:marRight w:val="0"/>
                      <w:marTop w:val="0"/>
                      <w:marBottom w:val="0"/>
                      <w:divBdr>
                        <w:top w:val="none" w:sz="0" w:space="0" w:color="auto"/>
                        <w:left w:val="none" w:sz="0" w:space="0" w:color="auto"/>
                        <w:bottom w:val="none" w:sz="0" w:space="0" w:color="auto"/>
                        <w:right w:val="none" w:sz="0" w:space="0" w:color="auto"/>
                      </w:divBdr>
                    </w:div>
                  </w:divsChild>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1548369183">
                      <w:marLeft w:val="0"/>
                      <w:marRight w:val="0"/>
                      <w:marTop w:val="0"/>
                      <w:marBottom w:val="0"/>
                      <w:divBdr>
                        <w:top w:val="none" w:sz="0" w:space="0" w:color="auto"/>
                        <w:left w:val="none" w:sz="0" w:space="0" w:color="auto"/>
                        <w:bottom w:val="none" w:sz="0" w:space="0" w:color="auto"/>
                        <w:right w:val="none" w:sz="0" w:space="0" w:color="auto"/>
                      </w:divBdr>
                    </w:div>
                  </w:divsChild>
                </w:div>
                <w:div w:id="1709604342">
                  <w:marLeft w:val="0"/>
                  <w:marRight w:val="0"/>
                  <w:marTop w:val="0"/>
                  <w:marBottom w:val="0"/>
                  <w:divBdr>
                    <w:top w:val="none" w:sz="0" w:space="0" w:color="auto"/>
                    <w:left w:val="none" w:sz="0" w:space="0" w:color="auto"/>
                    <w:bottom w:val="none" w:sz="0" w:space="0" w:color="auto"/>
                    <w:right w:val="none" w:sz="0" w:space="0" w:color="auto"/>
                  </w:divBdr>
                  <w:divsChild>
                    <w:div w:id="1992250390">
                      <w:marLeft w:val="0"/>
                      <w:marRight w:val="0"/>
                      <w:marTop w:val="0"/>
                      <w:marBottom w:val="0"/>
                      <w:divBdr>
                        <w:top w:val="none" w:sz="0" w:space="0" w:color="auto"/>
                        <w:left w:val="none" w:sz="0" w:space="0" w:color="auto"/>
                        <w:bottom w:val="none" w:sz="0" w:space="0" w:color="auto"/>
                        <w:right w:val="none" w:sz="0" w:space="0" w:color="auto"/>
                      </w:divBdr>
                    </w:div>
                  </w:divsChild>
                </w:div>
                <w:div w:id="1766413827">
                  <w:marLeft w:val="0"/>
                  <w:marRight w:val="0"/>
                  <w:marTop w:val="0"/>
                  <w:marBottom w:val="0"/>
                  <w:divBdr>
                    <w:top w:val="none" w:sz="0" w:space="0" w:color="auto"/>
                    <w:left w:val="none" w:sz="0" w:space="0" w:color="auto"/>
                    <w:bottom w:val="none" w:sz="0" w:space="0" w:color="auto"/>
                    <w:right w:val="none" w:sz="0" w:space="0" w:color="auto"/>
                  </w:divBdr>
                  <w:divsChild>
                    <w:div w:id="211889031">
                      <w:marLeft w:val="0"/>
                      <w:marRight w:val="0"/>
                      <w:marTop w:val="0"/>
                      <w:marBottom w:val="0"/>
                      <w:divBdr>
                        <w:top w:val="none" w:sz="0" w:space="0" w:color="auto"/>
                        <w:left w:val="none" w:sz="0" w:space="0" w:color="auto"/>
                        <w:bottom w:val="none" w:sz="0" w:space="0" w:color="auto"/>
                        <w:right w:val="none" w:sz="0" w:space="0" w:color="auto"/>
                      </w:divBdr>
                    </w:div>
                  </w:divsChild>
                </w:div>
                <w:div w:id="1901403686">
                  <w:marLeft w:val="0"/>
                  <w:marRight w:val="0"/>
                  <w:marTop w:val="0"/>
                  <w:marBottom w:val="0"/>
                  <w:divBdr>
                    <w:top w:val="none" w:sz="0" w:space="0" w:color="auto"/>
                    <w:left w:val="none" w:sz="0" w:space="0" w:color="auto"/>
                    <w:bottom w:val="none" w:sz="0" w:space="0" w:color="auto"/>
                    <w:right w:val="none" w:sz="0" w:space="0" w:color="auto"/>
                  </w:divBdr>
                  <w:divsChild>
                    <w:div w:id="1035882975">
                      <w:marLeft w:val="0"/>
                      <w:marRight w:val="0"/>
                      <w:marTop w:val="0"/>
                      <w:marBottom w:val="0"/>
                      <w:divBdr>
                        <w:top w:val="none" w:sz="0" w:space="0" w:color="auto"/>
                        <w:left w:val="none" w:sz="0" w:space="0" w:color="auto"/>
                        <w:bottom w:val="none" w:sz="0" w:space="0" w:color="auto"/>
                        <w:right w:val="none" w:sz="0" w:space="0" w:color="auto"/>
                      </w:divBdr>
                    </w:div>
                  </w:divsChild>
                </w:div>
                <w:div w:id="1909799526">
                  <w:marLeft w:val="0"/>
                  <w:marRight w:val="0"/>
                  <w:marTop w:val="0"/>
                  <w:marBottom w:val="0"/>
                  <w:divBdr>
                    <w:top w:val="none" w:sz="0" w:space="0" w:color="auto"/>
                    <w:left w:val="none" w:sz="0" w:space="0" w:color="auto"/>
                    <w:bottom w:val="none" w:sz="0" w:space="0" w:color="auto"/>
                    <w:right w:val="none" w:sz="0" w:space="0" w:color="auto"/>
                  </w:divBdr>
                  <w:divsChild>
                    <w:div w:id="1472093327">
                      <w:marLeft w:val="0"/>
                      <w:marRight w:val="0"/>
                      <w:marTop w:val="0"/>
                      <w:marBottom w:val="0"/>
                      <w:divBdr>
                        <w:top w:val="none" w:sz="0" w:space="0" w:color="auto"/>
                        <w:left w:val="none" w:sz="0" w:space="0" w:color="auto"/>
                        <w:bottom w:val="none" w:sz="0" w:space="0" w:color="auto"/>
                        <w:right w:val="none" w:sz="0" w:space="0" w:color="auto"/>
                      </w:divBdr>
                    </w:div>
                  </w:divsChild>
                </w:div>
                <w:div w:id="2015566975">
                  <w:marLeft w:val="0"/>
                  <w:marRight w:val="0"/>
                  <w:marTop w:val="0"/>
                  <w:marBottom w:val="0"/>
                  <w:divBdr>
                    <w:top w:val="none" w:sz="0" w:space="0" w:color="auto"/>
                    <w:left w:val="none" w:sz="0" w:space="0" w:color="auto"/>
                    <w:bottom w:val="none" w:sz="0" w:space="0" w:color="auto"/>
                    <w:right w:val="none" w:sz="0" w:space="0" w:color="auto"/>
                  </w:divBdr>
                  <w:divsChild>
                    <w:div w:id="207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5322">
          <w:marLeft w:val="0"/>
          <w:marRight w:val="0"/>
          <w:marTop w:val="0"/>
          <w:marBottom w:val="0"/>
          <w:divBdr>
            <w:top w:val="none" w:sz="0" w:space="0" w:color="auto"/>
            <w:left w:val="none" w:sz="0" w:space="0" w:color="auto"/>
            <w:bottom w:val="none" w:sz="0" w:space="0" w:color="auto"/>
            <w:right w:val="none" w:sz="0" w:space="0" w:color="auto"/>
          </w:divBdr>
        </w:div>
        <w:div w:id="1717270100">
          <w:marLeft w:val="0"/>
          <w:marRight w:val="0"/>
          <w:marTop w:val="0"/>
          <w:marBottom w:val="0"/>
          <w:divBdr>
            <w:top w:val="none" w:sz="0" w:space="0" w:color="auto"/>
            <w:left w:val="none" w:sz="0" w:space="0" w:color="auto"/>
            <w:bottom w:val="none" w:sz="0" w:space="0" w:color="auto"/>
            <w:right w:val="none" w:sz="0" w:space="0" w:color="auto"/>
          </w:divBdr>
          <w:divsChild>
            <w:div w:id="1083189213">
              <w:marLeft w:val="-75"/>
              <w:marRight w:val="0"/>
              <w:marTop w:val="30"/>
              <w:marBottom w:val="30"/>
              <w:divBdr>
                <w:top w:val="none" w:sz="0" w:space="0" w:color="auto"/>
                <w:left w:val="none" w:sz="0" w:space="0" w:color="auto"/>
                <w:bottom w:val="none" w:sz="0" w:space="0" w:color="auto"/>
                <w:right w:val="none" w:sz="0" w:space="0" w:color="auto"/>
              </w:divBdr>
              <w:divsChild>
                <w:div w:id="27875135">
                  <w:marLeft w:val="0"/>
                  <w:marRight w:val="0"/>
                  <w:marTop w:val="0"/>
                  <w:marBottom w:val="0"/>
                  <w:divBdr>
                    <w:top w:val="none" w:sz="0" w:space="0" w:color="auto"/>
                    <w:left w:val="none" w:sz="0" w:space="0" w:color="auto"/>
                    <w:bottom w:val="none" w:sz="0" w:space="0" w:color="auto"/>
                    <w:right w:val="none" w:sz="0" w:space="0" w:color="auto"/>
                  </w:divBdr>
                  <w:divsChild>
                    <w:div w:id="930356640">
                      <w:marLeft w:val="0"/>
                      <w:marRight w:val="0"/>
                      <w:marTop w:val="0"/>
                      <w:marBottom w:val="0"/>
                      <w:divBdr>
                        <w:top w:val="none" w:sz="0" w:space="0" w:color="auto"/>
                        <w:left w:val="none" w:sz="0" w:space="0" w:color="auto"/>
                        <w:bottom w:val="none" w:sz="0" w:space="0" w:color="auto"/>
                        <w:right w:val="none" w:sz="0" w:space="0" w:color="auto"/>
                      </w:divBdr>
                    </w:div>
                  </w:divsChild>
                </w:div>
                <w:div w:id="74787681">
                  <w:marLeft w:val="0"/>
                  <w:marRight w:val="0"/>
                  <w:marTop w:val="0"/>
                  <w:marBottom w:val="0"/>
                  <w:divBdr>
                    <w:top w:val="none" w:sz="0" w:space="0" w:color="auto"/>
                    <w:left w:val="none" w:sz="0" w:space="0" w:color="auto"/>
                    <w:bottom w:val="none" w:sz="0" w:space="0" w:color="auto"/>
                    <w:right w:val="none" w:sz="0" w:space="0" w:color="auto"/>
                  </w:divBdr>
                  <w:divsChild>
                    <w:div w:id="461265916">
                      <w:marLeft w:val="0"/>
                      <w:marRight w:val="0"/>
                      <w:marTop w:val="0"/>
                      <w:marBottom w:val="0"/>
                      <w:divBdr>
                        <w:top w:val="none" w:sz="0" w:space="0" w:color="auto"/>
                        <w:left w:val="none" w:sz="0" w:space="0" w:color="auto"/>
                        <w:bottom w:val="none" w:sz="0" w:space="0" w:color="auto"/>
                        <w:right w:val="none" w:sz="0" w:space="0" w:color="auto"/>
                      </w:divBdr>
                    </w:div>
                  </w:divsChild>
                </w:div>
                <w:div w:id="102966365">
                  <w:marLeft w:val="0"/>
                  <w:marRight w:val="0"/>
                  <w:marTop w:val="0"/>
                  <w:marBottom w:val="0"/>
                  <w:divBdr>
                    <w:top w:val="none" w:sz="0" w:space="0" w:color="auto"/>
                    <w:left w:val="none" w:sz="0" w:space="0" w:color="auto"/>
                    <w:bottom w:val="none" w:sz="0" w:space="0" w:color="auto"/>
                    <w:right w:val="none" w:sz="0" w:space="0" w:color="auto"/>
                  </w:divBdr>
                  <w:divsChild>
                    <w:div w:id="252592014">
                      <w:marLeft w:val="0"/>
                      <w:marRight w:val="0"/>
                      <w:marTop w:val="0"/>
                      <w:marBottom w:val="0"/>
                      <w:divBdr>
                        <w:top w:val="none" w:sz="0" w:space="0" w:color="auto"/>
                        <w:left w:val="none" w:sz="0" w:space="0" w:color="auto"/>
                        <w:bottom w:val="none" w:sz="0" w:space="0" w:color="auto"/>
                        <w:right w:val="none" w:sz="0" w:space="0" w:color="auto"/>
                      </w:divBdr>
                    </w:div>
                    <w:div w:id="1151673410">
                      <w:marLeft w:val="0"/>
                      <w:marRight w:val="0"/>
                      <w:marTop w:val="0"/>
                      <w:marBottom w:val="0"/>
                      <w:divBdr>
                        <w:top w:val="none" w:sz="0" w:space="0" w:color="auto"/>
                        <w:left w:val="none" w:sz="0" w:space="0" w:color="auto"/>
                        <w:bottom w:val="none" w:sz="0" w:space="0" w:color="auto"/>
                        <w:right w:val="none" w:sz="0" w:space="0" w:color="auto"/>
                      </w:divBdr>
                    </w:div>
                  </w:divsChild>
                </w:div>
                <w:div w:id="223832579">
                  <w:marLeft w:val="0"/>
                  <w:marRight w:val="0"/>
                  <w:marTop w:val="0"/>
                  <w:marBottom w:val="0"/>
                  <w:divBdr>
                    <w:top w:val="none" w:sz="0" w:space="0" w:color="auto"/>
                    <w:left w:val="none" w:sz="0" w:space="0" w:color="auto"/>
                    <w:bottom w:val="none" w:sz="0" w:space="0" w:color="auto"/>
                    <w:right w:val="none" w:sz="0" w:space="0" w:color="auto"/>
                  </w:divBdr>
                  <w:divsChild>
                    <w:div w:id="790175582">
                      <w:marLeft w:val="0"/>
                      <w:marRight w:val="0"/>
                      <w:marTop w:val="0"/>
                      <w:marBottom w:val="0"/>
                      <w:divBdr>
                        <w:top w:val="none" w:sz="0" w:space="0" w:color="auto"/>
                        <w:left w:val="none" w:sz="0" w:space="0" w:color="auto"/>
                        <w:bottom w:val="none" w:sz="0" w:space="0" w:color="auto"/>
                        <w:right w:val="none" w:sz="0" w:space="0" w:color="auto"/>
                      </w:divBdr>
                    </w:div>
                    <w:div w:id="1608342798">
                      <w:marLeft w:val="0"/>
                      <w:marRight w:val="0"/>
                      <w:marTop w:val="0"/>
                      <w:marBottom w:val="0"/>
                      <w:divBdr>
                        <w:top w:val="none" w:sz="0" w:space="0" w:color="auto"/>
                        <w:left w:val="none" w:sz="0" w:space="0" w:color="auto"/>
                        <w:bottom w:val="none" w:sz="0" w:space="0" w:color="auto"/>
                        <w:right w:val="none" w:sz="0" w:space="0" w:color="auto"/>
                      </w:divBdr>
                    </w:div>
                  </w:divsChild>
                </w:div>
                <w:div w:id="253560853">
                  <w:marLeft w:val="0"/>
                  <w:marRight w:val="0"/>
                  <w:marTop w:val="0"/>
                  <w:marBottom w:val="0"/>
                  <w:divBdr>
                    <w:top w:val="none" w:sz="0" w:space="0" w:color="auto"/>
                    <w:left w:val="none" w:sz="0" w:space="0" w:color="auto"/>
                    <w:bottom w:val="none" w:sz="0" w:space="0" w:color="auto"/>
                    <w:right w:val="none" w:sz="0" w:space="0" w:color="auto"/>
                  </w:divBdr>
                  <w:divsChild>
                    <w:div w:id="1769814821">
                      <w:marLeft w:val="0"/>
                      <w:marRight w:val="0"/>
                      <w:marTop w:val="0"/>
                      <w:marBottom w:val="0"/>
                      <w:divBdr>
                        <w:top w:val="none" w:sz="0" w:space="0" w:color="auto"/>
                        <w:left w:val="none" w:sz="0" w:space="0" w:color="auto"/>
                        <w:bottom w:val="none" w:sz="0" w:space="0" w:color="auto"/>
                        <w:right w:val="none" w:sz="0" w:space="0" w:color="auto"/>
                      </w:divBdr>
                    </w:div>
                  </w:divsChild>
                </w:div>
                <w:div w:id="382563490">
                  <w:marLeft w:val="0"/>
                  <w:marRight w:val="0"/>
                  <w:marTop w:val="0"/>
                  <w:marBottom w:val="0"/>
                  <w:divBdr>
                    <w:top w:val="none" w:sz="0" w:space="0" w:color="auto"/>
                    <w:left w:val="none" w:sz="0" w:space="0" w:color="auto"/>
                    <w:bottom w:val="none" w:sz="0" w:space="0" w:color="auto"/>
                    <w:right w:val="none" w:sz="0" w:space="0" w:color="auto"/>
                  </w:divBdr>
                  <w:divsChild>
                    <w:div w:id="353456034">
                      <w:marLeft w:val="0"/>
                      <w:marRight w:val="0"/>
                      <w:marTop w:val="0"/>
                      <w:marBottom w:val="0"/>
                      <w:divBdr>
                        <w:top w:val="none" w:sz="0" w:space="0" w:color="auto"/>
                        <w:left w:val="none" w:sz="0" w:space="0" w:color="auto"/>
                        <w:bottom w:val="none" w:sz="0" w:space="0" w:color="auto"/>
                        <w:right w:val="none" w:sz="0" w:space="0" w:color="auto"/>
                      </w:divBdr>
                    </w:div>
                  </w:divsChild>
                </w:div>
                <w:div w:id="420638041">
                  <w:marLeft w:val="0"/>
                  <w:marRight w:val="0"/>
                  <w:marTop w:val="0"/>
                  <w:marBottom w:val="0"/>
                  <w:divBdr>
                    <w:top w:val="none" w:sz="0" w:space="0" w:color="auto"/>
                    <w:left w:val="none" w:sz="0" w:space="0" w:color="auto"/>
                    <w:bottom w:val="none" w:sz="0" w:space="0" w:color="auto"/>
                    <w:right w:val="none" w:sz="0" w:space="0" w:color="auto"/>
                  </w:divBdr>
                  <w:divsChild>
                    <w:div w:id="1797409888">
                      <w:marLeft w:val="0"/>
                      <w:marRight w:val="0"/>
                      <w:marTop w:val="0"/>
                      <w:marBottom w:val="0"/>
                      <w:divBdr>
                        <w:top w:val="none" w:sz="0" w:space="0" w:color="auto"/>
                        <w:left w:val="none" w:sz="0" w:space="0" w:color="auto"/>
                        <w:bottom w:val="none" w:sz="0" w:space="0" w:color="auto"/>
                        <w:right w:val="none" w:sz="0" w:space="0" w:color="auto"/>
                      </w:divBdr>
                    </w:div>
                  </w:divsChild>
                </w:div>
                <w:div w:id="484591731">
                  <w:marLeft w:val="0"/>
                  <w:marRight w:val="0"/>
                  <w:marTop w:val="0"/>
                  <w:marBottom w:val="0"/>
                  <w:divBdr>
                    <w:top w:val="none" w:sz="0" w:space="0" w:color="auto"/>
                    <w:left w:val="none" w:sz="0" w:space="0" w:color="auto"/>
                    <w:bottom w:val="none" w:sz="0" w:space="0" w:color="auto"/>
                    <w:right w:val="none" w:sz="0" w:space="0" w:color="auto"/>
                  </w:divBdr>
                  <w:divsChild>
                    <w:div w:id="347296010">
                      <w:marLeft w:val="0"/>
                      <w:marRight w:val="0"/>
                      <w:marTop w:val="0"/>
                      <w:marBottom w:val="0"/>
                      <w:divBdr>
                        <w:top w:val="none" w:sz="0" w:space="0" w:color="auto"/>
                        <w:left w:val="none" w:sz="0" w:space="0" w:color="auto"/>
                        <w:bottom w:val="none" w:sz="0" w:space="0" w:color="auto"/>
                        <w:right w:val="none" w:sz="0" w:space="0" w:color="auto"/>
                      </w:divBdr>
                    </w:div>
                  </w:divsChild>
                </w:div>
                <w:div w:id="519315997">
                  <w:marLeft w:val="0"/>
                  <w:marRight w:val="0"/>
                  <w:marTop w:val="0"/>
                  <w:marBottom w:val="0"/>
                  <w:divBdr>
                    <w:top w:val="none" w:sz="0" w:space="0" w:color="auto"/>
                    <w:left w:val="none" w:sz="0" w:space="0" w:color="auto"/>
                    <w:bottom w:val="none" w:sz="0" w:space="0" w:color="auto"/>
                    <w:right w:val="none" w:sz="0" w:space="0" w:color="auto"/>
                  </w:divBdr>
                  <w:divsChild>
                    <w:div w:id="1358966798">
                      <w:marLeft w:val="0"/>
                      <w:marRight w:val="0"/>
                      <w:marTop w:val="0"/>
                      <w:marBottom w:val="0"/>
                      <w:divBdr>
                        <w:top w:val="none" w:sz="0" w:space="0" w:color="auto"/>
                        <w:left w:val="none" w:sz="0" w:space="0" w:color="auto"/>
                        <w:bottom w:val="none" w:sz="0" w:space="0" w:color="auto"/>
                        <w:right w:val="none" w:sz="0" w:space="0" w:color="auto"/>
                      </w:divBdr>
                    </w:div>
                  </w:divsChild>
                </w:div>
                <w:div w:id="783228611">
                  <w:marLeft w:val="0"/>
                  <w:marRight w:val="0"/>
                  <w:marTop w:val="0"/>
                  <w:marBottom w:val="0"/>
                  <w:divBdr>
                    <w:top w:val="none" w:sz="0" w:space="0" w:color="auto"/>
                    <w:left w:val="none" w:sz="0" w:space="0" w:color="auto"/>
                    <w:bottom w:val="none" w:sz="0" w:space="0" w:color="auto"/>
                    <w:right w:val="none" w:sz="0" w:space="0" w:color="auto"/>
                  </w:divBdr>
                  <w:divsChild>
                    <w:div w:id="724068430">
                      <w:marLeft w:val="0"/>
                      <w:marRight w:val="0"/>
                      <w:marTop w:val="0"/>
                      <w:marBottom w:val="0"/>
                      <w:divBdr>
                        <w:top w:val="none" w:sz="0" w:space="0" w:color="auto"/>
                        <w:left w:val="none" w:sz="0" w:space="0" w:color="auto"/>
                        <w:bottom w:val="none" w:sz="0" w:space="0" w:color="auto"/>
                        <w:right w:val="none" w:sz="0" w:space="0" w:color="auto"/>
                      </w:divBdr>
                    </w:div>
                  </w:divsChild>
                </w:div>
                <w:div w:id="849756788">
                  <w:marLeft w:val="0"/>
                  <w:marRight w:val="0"/>
                  <w:marTop w:val="0"/>
                  <w:marBottom w:val="0"/>
                  <w:divBdr>
                    <w:top w:val="none" w:sz="0" w:space="0" w:color="auto"/>
                    <w:left w:val="none" w:sz="0" w:space="0" w:color="auto"/>
                    <w:bottom w:val="none" w:sz="0" w:space="0" w:color="auto"/>
                    <w:right w:val="none" w:sz="0" w:space="0" w:color="auto"/>
                  </w:divBdr>
                  <w:divsChild>
                    <w:div w:id="1786457709">
                      <w:marLeft w:val="0"/>
                      <w:marRight w:val="0"/>
                      <w:marTop w:val="0"/>
                      <w:marBottom w:val="0"/>
                      <w:divBdr>
                        <w:top w:val="none" w:sz="0" w:space="0" w:color="auto"/>
                        <w:left w:val="none" w:sz="0" w:space="0" w:color="auto"/>
                        <w:bottom w:val="none" w:sz="0" w:space="0" w:color="auto"/>
                        <w:right w:val="none" w:sz="0" w:space="0" w:color="auto"/>
                      </w:divBdr>
                    </w:div>
                  </w:divsChild>
                </w:div>
                <w:div w:id="872234438">
                  <w:marLeft w:val="0"/>
                  <w:marRight w:val="0"/>
                  <w:marTop w:val="0"/>
                  <w:marBottom w:val="0"/>
                  <w:divBdr>
                    <w:top w:val="none" w:sz="0" w:space="0" w:color="auto"/>
                    <w:left w:val="none" w:sz="0" w:space="0" w:color="auto"/>
                    <w:bottom w:val="none" w:sz="0" w:space="0" w:color="auto"/>
                    <w:right w:val="none" w:sz="0" w:space="0" w:color="auto"/>
                  </w:divBdr>
                  <w:divsChild>
                    <w:div w:id="1777208365">
                      <w:marLeft w:val="0"/>
                      <w:marRight w:val="0"/>
                      <w:marTop w:val="0"/>
                      <w:marBottom w:val="0"/>
                      <w:divBdr>
                        <w:top w:val="none" w:sz="0" w:space="0" w:color="auto"/>
                        <w:left w:val="none" w:sz="0" w:space="0" w:color="auto"/>
                        <w:bottom w:val="none" w:sz="0" w:space="0" w:color="auto"/>
                        <w:right w:val="none" w:sz="0" w:space="0" w:color="auto"/>
                      </w:divBdr>
                    </w:div>
                  </w:divsChild>
                </w:div>
                <w:div w:id="1029989070">
                  <w:marLeft w:val="0"/>
                  <w:marRight w:val="0"/>
                  <w:marTop w:val="0"/>
                  <w:marBottom w:val="0"/>
                  <w:divBdr>
                    <w:top w:val="none" w:sz="0" w:space="0" w:color="auto"/>
                    <w:left w:val="none" w:sz="0" w:space="0" w:color="auto"/>
                    <w:bottom w:val="none" w:sz="0" w:space="0" w:color="auto"/>
                    <w:right w:val="none" w:sz="0" w:space="0" w:color="auto"/>
                  </w:divBdr>
                  <w:divsChild>
                    <w:div w:id="867185332">
                      <w:marLeft w:val="0"/>
                      <w:marRight w:val="0"/>
                      <w:marTop w:val="0"/>
                      <w:marBottom w:val="0"/>
                      <w:divBdr>
                        <w:top w:val="none" w:sz="0" w:space="0" w:color="auto"/>
                        <w:left w:val="none" w:sz="0" w:space="0" w:color="auto"/>
                        <w:bottom w:val="none" w:sz="0" w:space="0" w:color="auto"/>
                        <w:right w:val="none" w:sz="0" w:space="0" w:color="auto"/>
                      </w:divBdr>
                    </w:div>
                  </w:divsChild>
                </w:div>
                <w:div w:id="1195726934">
                  <w:marLeft w:val="0"/>
                  <w:marRight w:val="0"/>
                  <w:marTop w:val="0"/>
                  <w:marBottom w:val="0"/>
                  <w:divBdr>
                    <w:top w:val="none" w:sz="0" w:space="0" w:color="auto"/>
                    <w:left w:val="none" w:sz="0" w:space="0" w:color="auto"/>
                    <w:bottom w:val="none" w:sz="0" w:space="0" w:color="auto"/>
                    <w:right w:val="none" w:sz="0" w:space="0" w:color="auto"/>
                  </w:divBdr>
                  <w:divsChild>
                    <w:div w:id="912200994">
                      <w:marLeft w:val="0"/>
                      <w:marRight w:val="0"/>
                      <w:marTop w:val="0"/>
                      <w:marBottom w:val="0"/>
                      <w:divBdr>
                        <w:top w:val="none" w:sz="0" w:space="0" w:color="auto"/>
                        <w:left w:val="none" w:sz="0" w:space="0" w:color="auto"/>
                        <w:bottom w:val="none" w:sz="0" w:space="0" w:color="auto"/>
                        <w:right w:val="none" w:sz="0" w:space="0" w:color="auto"/>
                      </w:divBdr>
                    </w:div>
                  </w:divsChild>
                </w:div>
                <w:div w:id="1228682648">
                  <w:marLeft w:val="0"/>
                  <w:marRight w:val="0"/>
                  <w:marTop w:val="0"/>
                  <w:marBottom w:val="0"/>
                  <w:divBdr>
                    <w:top w:val="none" w:sz="0" w:space="0" w:color="auto"/>
                    <w:left w:val="none" w:sz="0" w:space="0" w:color="auto"/>
                    <w:bottom w:val="none" w:sz="0" w:space="0" w:color="auto"/>
                    <w:right w:val="none" w:sz="0" w:space="0" w:color="auto"/>
                  </w:divBdr>
                  <w:divsChild>
                    <w:div w:id="1100953425">
                      <w:marLeft w:val="0"/>
                      <w:marRight w:val="0"/>
                      <w:marTop w:val="0"/>
                      <w:marBottom w:val="0"/>
                      <w:divBdr>
                        <w:top w:val="none" w:sz="0" w:space="0" w:color="auto"/>
                        <w:left w:val="none" w:sz="0" w:space="0" w:color="auto"/>
                        <w:bottom w:val="none" w:sz="0" w:space="0" w:color="auto"/>
                        <w:right w:val="none" w:sz="0" w:space="0" w:color="auto"/>
                      </w:divBdr>
                    </w:div>
                  </w:divsChild>
                </w:div>
                <w:div w:id="1304040532">
                  <w:marLeft w:val="0"/>
                  <w:marRight w:val="0"/>
                  <w:marTop w:val="0"/>
                  <w:marBottom w:val="0"/>
                  <w:divBdr>
                    <w:top w:val="none" w:sz="0" w:space="0" w:color="auto"/>
                    <w:left w:val="none" w:sz="0" w:space="0" w:color="auto"/>
                    <w:bottom w:val="none" w:sz="0" w:space="0" w:color="auto"/>
                    <w:right w:val="none" w:sz="0" w:space="0" w:color="auto"/>
                  </w:divBdr>
                  <w:divsChild>
                    <w:div w:id="1862039879">
                      <w:marLeft w:val="0"/>
                      <w:marRight w:val="0"/>
                      <w:marTop w:val="0"/>
                      <w:marBottom w:val="0"/>
                      <w:divBdr>
                        <w:top w:val="none" w:sz="0" w:space="0" w:color="auto"/>
                        <w:left w:val="none" w:sz="0" w:space="0" w:color="auto"/>
                        <w:bottom w:val="none" w:sz="0" w:space="0" w:color="auto"/>
                        <w:right w:val="none" w:sz="0" w:space="0" w:color="auto"/>
                      </w:divBdr>
                    </w:div>
                  </w:divsChild>
                </w:div>
                <w:div w:id="1314412973">
                  <w:marLeft w:val="0"/>
                  <w:marRight w:val="0"/>
                  <w:marTop w:val="0"/>
                  <w:marBottom w:val="0"/>
                  <w:divBdr>
                    <w:top w:val="none" w:sz="0" w:space="0" w:color="auto"/>
                    <w:left w:val="none" w:sz="0" w:space="0" w:color="auto"/>
                    <w:bottom w:val="none" w:sz="0" w:space="0" w:color="auto"/>
                    <w:right w:val="none" w:sz="0" w:space="0" w:color="auto"/>
                  </w:divBdr>
                  <w:divsChild>
                    <w:div w:id="1317799084">
                      <w:marLeft w:val="0"/>
                      <w:marRight w:val="0"/>
                      <w:marTop w:val="0"/>
                      <w:marBottom w:val="0"/>
                      <w:divBdr>
                        <w:top w:val="none" w:sz="0" w:space="0" w:color="auto"/>
                        <w:left w:val="none" w:sz="0" w:space="0" w:color="auto"/>
                        <w:bottom w:val="none" w:sz="0" w:space="0" w:color="auto"/>
                        <w:right w:val="none" w:sz="0" w:space="0" w:color="auto"/>
                      </w:divBdr>
                    </w:div>
                  </w:divsChild>
                </w:div>
                <w:div w:id="1405682763">
                  <w:marLeft w:val="0"/>
                  <w:marRight w:val="0"/>
                  <w:marTop w:val="0"/>
                  <w:marBottom w:val="0"/>
                  <w:divBdr>
                    <w:top w:val="none" w:sz="0" w:space="0" w:color="auto"/>
                    <w:left w:val="none" w:sz="0" w:space="0" w:color="auto"/>
                    <w:bottom w:val="none" w:sz="0" w:space="0" w:color="auto"/>
                    <w:right w:val="none" w:sz="0" w:space="0" w:color="auto"/>
                  </w:divBdr>
                  <w:divsChild>
                    <w:div w:id="399598965">
                      <w:marLeft w:val="0"/>
                      <w:marRight w:val="0"/>
                      <w:marTop w:val="0"/>
                      <w:marBottom w:val="0"/>
                      <w:divBdr>
                        <w:top w:val="none" w:sz="0" w:space="0" w:color="auto"/>
                        <w:left w:val="none" w:sz="0" w:space="0" w:color="auto"/>
                        <w:bottom w:val="none" w:sz="0" w:space="0" w:color="auto"/>
                        <w:right w:val="none" w:sz="0" w:space="0" w:color="auto"/>
                      </w:divBdr>
                    </w:div>
                    <w:div w:id="1628512550">
                      <w:marLeft w:val="0"/>
                      <w:marRight w:val="0"/>
                      <w:marTop w:val="0"/>
                      <w:marBottom w:val="0"/>
                      <w:divBdr>
                        <w:top w:val="none" w:sz="0" w:space="0" w:color="auto"/>
                        <w:left w:val="none" w:sz="0" w:space="0" w:color="auto"/>
                        <w:bottom w:val="none" w:sz="0" w:space="0" w:color="auto"/>
                        <w:right w:val="none" w:sz="0" w:space="0" w:color="auto"/>
                      </w:divBdr>
                    </w:div>
                  </w:divsChild>
                </w:div>
                <w:div w:id="1419327051">
                  <w:marLeft w:val="0"/>
                  <w:marRight w:val="0"/>
                  <w:marTop w:val="0"/>
                  <w:marBottom w:val="0"/>
                  <w:divBdr>
                    <w:top w:val="none" w:sz="0" w:space="0" w:color="auto"/>
                    <w:left w:val="none" w:sz="0" w:space="0" w:color="auto"/>
                    <w:bottom w:val="none" w:sz="0" w:space="0" w:color="auto"/>
                    <w:right w:val="none" w:sz="0" w:space="0" w:color="auto"/>
                  </w:divBdr>
                  <w:divsChild>
                    <w:div w:id="1037925921">
                      <w:marLeft w:val="0"/>
                      <w:marRight w:val="0"/>
                      <w:marTop w:val="0"/>
                      <w:marBottom w:val="0"/>
                      <w:divBdr>
                        <w:top w:val="none" w:sz="0" w:space="0" w:color="auto"/>
                        <w:left w:val="none" w:sz="0" w:space="0" w:color="auto"/>
                        <w:bottom w:val="none" w:sz="0" w:space="0" w:color="auto"/>
                        <w:right w:val="none" w:sz="0" w:space="0" w:color="auto"/>
                      </w:divBdr>
                    </w:div>
                  </w:divsChild>
                </w:div>
                <w:div w:id="1521042513">
                  <w:marLeft w:val="0"/>
                  <w:marRight w:val="0"/>
                  <w:marTop w:val="0"/>
                  <w:marBottom w:val="0"/>
                  <w:divBdr>
                    <w:top w:val="none" w:sz="0" w:space="0" w:color="auto"/>
                    <w:left w:val="none" w:sz="0" w:space="0" w:color="auto"/>
                    <w:bottom w:val="none" w:sz="0" w:space="0" w:color="auto"/>
                    <w:right w:val="none" w:sz="0" w:space="0" w:color="auto"/>
                  </w:divBdr>
                  <w:divsChild>
                    <w:div w:id="694312105">
                      <w:marLeft w:val="0"/>
                      <w:marRight w:val="0"/>
                      <w:marTop w:val="0"/>
                      <w:marBottom w:val="0"/>
                      <w:divBdr>
                        <w:top w:val="none" w:sz="0" w:space="0" w:color="auto"/>
                        <w:left w:val="none" w:sz="0" w:space="0" w:color="auto"/>
                        <w:bottom w:val="none" w:sz="0" w:space="0" w:color="auto"/>
                        <w:right w:val="none" w:sz="0" w:space="0" w:color="auto"/>
                      </w:divBdr>
                    </w:div>
                  </w:divsChild>
                </w:div>
                <w:div w:id="1595747913">
                  <w:marLeft w:val="0"/>
                  <w:marRight w:val="0"/>
                  <w:marTop w:val="0"/>
                  <w:marBottom w:val="0"/>
                  <w:divBdr>
                    <w:top w:val="none" w:sz="0" w:space="0" w:color="auto"/>
                    <w:left w:val="none" w:sz="0" w:space="0" w:color="auto"/>
                    <w:bottom w:val="none" w:sz="0" w:space="0" w:color="auto"/>
                    <w:right w:val="none" w:sz="0" w:space="0" w:color="auto"/>
                  </w:divBdr>
                  <w:divsChild>
                    <w:div w:id="2091728893">
                      <w:marLeft w:val="0"/>
                      <w:marRight w:val="0"/>
                      <w:marTop w:val="0"/>
                      <w:marBottom w:val="0"/>
                      <w:divBdr>
                        <w:top w:val="none" w:sz="0" w:space="0" w:color="auto"/>
                        <w:left w:val="none" w:sz="0" w:space="0" w:color="auto"/>
                        <w:bottom w:val="none" w:sz="0" w:space="0" w:color="auto"/>
                        <w:right w:val="none" w:sz="0" w:space="0" w:color="auto"/>
                      </w:divBdr>
                    </w:div>
                  </w:divsChild>
                </w:div>
                <w:div w:id="1621107431">
                  <w:marLeft w:val="0"/>
                  <w:marRight w:val="0"/>
                  <w:marTop w:val="0"/>
                  <w:marBottom w:val="0"/>
                  <w:divBdr>
                    <w:top w:val="none" w:sz="0" w:space="0" w:color="auto"/>
                    <w:left w:val="none" w:sz="0" w:space="0" w:color="auto"/>
                    <w:bottom w:val="none" w:sz="0" w:space="0" w:color="auto"/>
                    <w:right w:val="none" w:sz="0" w:space="0" w:color="auto"/>
                  </w:divBdr>
                  <w:divsChild>
                    <w:div w:id="1884704919">
                      <w:marLeft w:val="0"/>
                      <w:marRight w:val="0"/>
                      <w:marTop w:val="0"/>
                      <w:marBottom w:val="0"/>
                      <w:divBdr>
                        <w:top w:val="none" w:sz="0" w:space="0" w:color="auto"/>
                        <w:left w:val="none" w:sz="0" w:space="0" w:color="auto"/>
                        <w:bottom w:val="none" w:sz="0" w:space="0" w:color="auto"/>
                        <w:right w:val="none" w:sz="0" w:space="0" w:color="auto"/>
                      </w:divBdr>
                    </w:div>
                  </w:divsChild>
                </w:div>
                <w:div w:id="1721591103">
                  <w:marLeft w:val="0"/>
                  <w:marRight w:val="0"/>
                  <w:marTop w:val="0"/>
                  <w:marBottom w:val="0"/>
                  <w:divBdr>
                    <w:top w:val="none" w:sz="0" w:space="0" w:color="auto"/>
                    <w:left w:val="none" w:sz="0" w:space="0" w:color="auto"/>
                    <w:bottom w:val="none" w:sz="0" w:space="0" w:color="auto"/>
                    <w:right w:val="none" w:sz="0" w:space="0" w:color="auto"/>
                  </w:divBdr>
                  <w:divsChild>
                    <w:div w:id="933513647">
                      <w:marLeft w:val="0"/>
                      <w:marRight w:val="0"/>
                      <w:marTop w:val="0"/>
                      <w:marBottom w:val="0"/>
                      <w:divBdr>
                        <w:top w:val="none" w:sz="0" w:space="0" w:color="auto"/>
                        <w:left w:val="none" w:sz="0" w:space="0" w:color="auto"/>
                        <w:bottom w:val="none" w:sz="0" w:space="0" w:color="auto"/>
                        <w:right w:val="none" w:sz="0" w:space="0" w:color="auto"/>
                      </w:divBdr>
                    </w:div>
                  </w:divsChild>
                </w:div>
                <w:div w:id="1807703041">
                  <w:marLeft w:val="0"/>
                  <w:marRight w:val="0"/>
                  <w:marTop w:val="0"/>
                  <w:marBottom w:val="0"/>
                  <w:divBdr>
                    <w:top w:val="none" w:sz="0" w:space="0" w:color="auto"/>
                    <w:left w:val="none" w:sz="0" w:space="0" w:color="auto"/>
                    <w:bottom w:val="none" w:sz="0" w:space="0" w:color="auto"/>
                    <w:right w:val="none" w:sz="0" w:space="0" w:color="auto"/>
                  </w:divBdr>
                  <w:divsChild>
                    <w:div w:id="667445291">
                      <w:marLeft w:val="0"/>
                      <w:marRight w:val="0"/>
                      <w:marTop w:val="0"/>
                      <w:marBottom w:val="0"/>
                      <w:divBdr>
                        <w:top w:val="none" w:sz="0" w:space="0" w:color="auto"/>
                        <w:left w:val="none" w:sz="0" w:space="0" w:color="auto"/>
                        <w:bottom w:val="none" w:sz="0" w:space="0" w:color="auto"/>
                        <w:right w:val="none" w:sz="0" w:space="0" w:color="auto"/>
                      </w:divBdr>
                    </w:div>
                  </w:divsChild>
                </w:div>
                <w:div w:id="1854224589">
                  <w:marLeft w:val="0"/>
                  <w:marRight w:val="0"/>
                  <w:marTop w:val="0"/>
                  <w:marBottom w:val="0"/>
                  <w:divBdr>
                    <w:top w:val="none" w:sz="0" w:space="0" w:color="auto"/>
                    <w:left w:val="none" w:sz="0" w:space="0" w:color="auto"/>
                    <w:bottom w:val="none" w:sz="0" w:space="0" w:color="auto"/>
                    <w:right w:val="none" w:sz="0" w:space="0" w:color="auto"/>
                  </w:divBdr>
                  <w:divsChild>
                    <w:div w:id="227423355">
                      <w:marLeft w:val="0"/>
                      <w:marRight w:val="0"/>
                      <w:marTop w:val="0"/>
                      <w:marBottom w:val="0"/>
                      <w:divBdr>
                        <w:top w:val="none" w:sz="0" w:space="0" w:color="auto"/>
                        <w:left w:val="none" w:sz="0" w:space="0" w:color="auto"/>
                        <w:bottom w:val="none" w:sz="0" w:space="0" w:color="auto"/>
                        <w:right w:val="none" w:sz="0" w:space="0" w:color="auto"/>
                      </w:divBdr>
                    </w:div>
                  </w:divsChild>
                </w:div>
                <w:div w:id="1972711613">
                  <w:marLeft w:val="0"/>
                  <w:marRight w:val="0"/>
                  <w:marTop w:val="0"/>
                  <w:marBottom w:val="0"/>
                  <w:divBdr>
                    <w:top w:val="none" w:sz="0" w:space="0" w:color="auto"/>
                    <w:left w:val="none" w:sz="0" w:space="0" w:color="auto"/>
                    <w:bottom w:val="none" w:sz="0" w:space="0" w:color="auto"/>
                    <w:right w:val="none" w:sz="0" w:space="0" w:color="auto"/>
                  </w:divBdr>
                  <w:divsChild>
                    <w:div w:id="1948854625">
                      <w:marLeft w:val="0"/>
                      <w:marRight w:val="0"/>
                      <w:marTop w:val="0"/>
                      <w:marBottom w:val="0"/>
                      <w:divBdr>
                        <w:top w:val="none" w:sz="0" w:space="0" w:color="auto"/>
                        <w:left w:val="none" w:sz="0" w:space="0" w:color="auto"/>
                        <w:bottom w:val="none" w:sz="0" w:space="0" w:color="auto"/>
                        <w:right w:val="none" w:sz="0" w:space="0" w:color="auto"/>
                      </w:divBdr>
                    </w:div>
                  </w:divsChild>
                </w:div>
                <w:div w:id="1975939688">
                  <w:marLeft w:val="0"/>
                  <w:marRight w:val="0"/>
                  <w:marTop w:val="0"/>
                  <w:marBottom w:val="0"/>
                  <w:divBdr>
                    <w:top w:val="none" w:sz="0" w:space="0" w:color="auto"/>
                    <w:left w:val="none" w:sz="0" w:space="0" w:color="auto"/>
                    <w:bottom w:val="none" w:sz="0" w:space="0" w:color="auto"/>
                    <w:right w:val="none" w:sz="0" w:space="0" w:color="auto"/>
                  </w:divBdr>
                  <w:divsChild>
                    <w:div w:id="389690204">
                      <w:marLeft w:val="0"/>
                      <w:marRight w:val="0"/>
                      <w:marTop w:val="0"/>
                      <w:marBottom w:val="0"/>
                      <w:divBdr>
                        <w:top w:val="none" w:sz="0" w:space="0" w:color="auto"/>
                        <w:left w:val="none" w:sz="0" w:space="0" w:color="auto"/>
                        <w:bottom w:val="none" w:sz="0" w:space="0" w:color="auto"/>
                        <w:right w:val="none" w:sz="0" w:space="0" w:color="auto"/>
                      </w:divBdr>
                    </w:div>
                  </w:divsChild>
                </w:div>
                <w:div w:id="1994748953">
                  <w:marLeft w:val="0"/>
                  <w:marRight w:val="0"/>
                  <w:marTop w:val="0"/>
                  <w:marBottom w:val="0"/>
                  <w:divBdr>
                    <w:top w:val="none" w:sz="0" w:space="0" w:color="auto"/>
                    <w:left w:val="none" w:sz="0" w:space="0" w:color="auto"/>
                    <w:bottom w:val="none" w:sz="0" w:space="0" w:color="auto"/>
                    <w:right w:val="none" w:sz="0" w:space="0" w:color="auto"/>
                  </w:divBdr>
                  <w:divsChild>
                    <w:div w:id="716582972">
                      <w:marLeft w:val="0"/>
                      <w:marRight w:val="0"/>
                      <w:marTop w:val="0"/>
                      <w:marBottom w:val="0"/>
                      <w:divBdr>
                        <w:top w:val="none" w:sz="0" w:space="0" w:color="auto"/>
                        <w:left w:val="none" w:sz="0" w:space="0" w:color="auto"/>
                        <w:bottom w:val="none" w:sz="0" w:space="0" w:color="auto"/>
                        <w:right w:val="none" w:sz="0" w:space="0" w:color="auto"/>
                      </w:divBdr>
                    </w:div>
                  </w:divsChild>
                </w:div>
                <w:div w:id="2025936399">
                  <w:marLeft w:val="0"/>
                  <w:marRight w:val="0"/>
                  <w:marTop w:val="0"/>
                  <w:marBottom w:val="0"/>
                  <w:divBdr>
                    <w:top w:val="none" w:sz="0" w:space="0" w:color="auto"/>
                    <w:left w:val="none" w:sz="0" w:space="0" w:color="auto"/>
                    <w:bottom w:val="none" w:sz="0" w:space="0" w:color="auto"/>
                    <w:right w:val="none" w:sz="0" w:space="0" w:color="auto"/>
                  </w:divBdr>
                  <w:divsChild>
                    <w:div w:id="1206866095">
                      <w:marLeft w:val="0"/>
                      <w:marRight w:val="0"/>
                      <w:marTop w:val="0"/>
                      <w:marBottom w:val="0"/>
                      <w:divBdr>
                        <w:top w:val="none" w:sz="0" w:space="0" w:color="auto"/>
                        <w:left w:val="none" w:sz="0" w:space="0" w:color="auto"/>
                        <w:bottom w:val="none" w:sz="0" w:space="0" w:color="auto"/>
                        <w:right w:val="none" w:sz="0" w:space="0" w:color="auto"/>
                      </w:divBdr>
                    </w:div>
                  </w:divsChild>
                </w:div>
                <w:div w:id="2070878304">
                  <w:marLeft w:val="0"/>
                  <w:marRight w:val="0"/>
                  <w:marTop w:val="0"/>
                  <w:marBottom w:val="0"/>
                  <w:divBdr>
                    <w:top w:val="none" w:sz="0" w:space="0" w:color="auto"/>
                    <w:left w:val="none" w:sz="0" w:space="0" w:color="auto"/>
                    <w:bottom w:val="none" w:sz="0" w:space="0" w:color="auto"/>
                    <w:right w:val="none" w:sz="0" w:space="0" w:color="auto"/>
                  </w:divBdr>
                  <w:divsChild>
                    <w:div w:id="674963074">
                      <w:marLeft w:val="0"/>
                      <w:marRight w:val="0"/>
                      <w:marTop w:val="0"/>
                      <w:marBottom w:val="0"/>
                      <w:divBdr>
                        <w:top w:val="none" w:sz="0" w:space="0" w:color="auto"/>
                        <w:left w:val="none" w:sz="0" w:space="0" w:color="auto"/>
                        <w:bottom w:val="none" w:sz="0" w:space="0" w:color="auto"/>
                        <w:right w:val="none" w:sz="0" w:space="0" w:color="auto"/>
                      </w:divBdr>
                    </w:div>
                  </w:divsChild>
                </w:div>
                <w:div w:id="2116169340">
                  <w:marLeft w:val="0"/>
                  <w:marRight w:val="0"/>
                  <w:marTop w:val="0"/>
                  <w:marBottom w:val="0"/>
                  <w:divBdr>
                    <w:top w:val="none" w:sz="0" w:space="0" w:color="auto"/>
                    <w:left w:val="none" w:sz="0" w:space="0" w:color="auto"/>
                    <w:bottom w:val="none" w:sz="0" w:space="0" w:color="auto"/>
                    <w:right w:val="none" w:sz="0" w:space="0" w:color="auto"/>
                  </w:divBdr>
                  <w:divsChild>
                    <w:div w:id="918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0615">
          <w:marLeft w:val="0"/>
          <w:marRight w:val="0"/>
          <w:marTop w:val="0"/>
          <w:marBottom w:val="0"/>
          <w:divBdr>
            <w:top w:val="none" w:sz="0" w:space="0" w:color="auto"/>
            <w:left w:val="none" w:sz="0" w:space="0" w:color="auto"/>
            <w:bottom w:val="none" w:sz="0" w:space="0" w:color="auto"/>
            <w:right w:val="none" w:sz="0" w:space="0" w:color="auto"/>
          </w:divBdr>
        </w:div>
        <w:div w:id="1950970857">
          <w:marLeft w:val="0"/>
          <w:marRight w:val="0"/>
          <w:marTop w:val="0"/>
          <w:marBottom w:val="0"/>
          <w:divBdr>
            <w:top w:val="none" w:sz="0" w:space="0" w:color="auto"/>
            <w:left w:val="none" w:sz="0" w:space="0" w:color="auto"/>
            <w:bottom w:val="none" w:sz="0" w:space="0" w:color="auto"/>
            <w:right w:val="none" w:sz="0" w:space="0" w:color="auto"/>
          </w:divBdr>
        </w:div>
        <w:div w:id="1983079485">
          <w:marLeft w:val="0"/>
          <w:marRight w:val="0"/>
          <w:marTop w:val="0"/>
          <w:marBottom w:val="0"/>
          <w:divBdr>
            <w:top w:val="none" w:sz="0" w:space="0" w:color="auto"/>
            <w:left w:val="none" w:sz="0" w:space="0" w:color="auto"/>
            <w:bottom w:val="none" w:sz="0" w:space="0" w:color="auto"/>
            <w:right w:val="none" w:sz="0" w:space="0" w:color="auto"/>
          </w:divBdr>
        </w:div>
      </w:divsChild>
    </w:div>
    <w:div w:id="1596669144">
      <w:bodyDiv w:val="1"/>
      <w:marLeft w:val="0"/>
      <w:marRight w:val="0"/>
      <w:marTop w:val="0"/>
      <w:marBottom w:val="0"/>
      <w:divBdr>
        <w:top w:val="none" w:sz="0" w:space="0" w:color="auto"/>
        <w:left w:val="none" w:sz="0" w:space="0" w:color="auto"/>
        <w:bottom w:val="none" w:sz="0" w:space="0" w:color="auto"/>
        <w:right w:val="none" w:sz="0" w:space="0" w:color="auto"/>
      </w:divBdr>
    </w:div>
    <w:div w:id="1603537394">
      <w:bodyDiv w:val="1"/>
      <w:marLeft w:val="0"/>
      <w:marRight w:val="0"/>
      <w:marTop w:val="0"/>
      <w:marBottom w:val="0"/>
      <w:divBdr>
        <w:top w:val="none" w:sz="0" w:space="0" w:color="auto"/>
        <w:left w:val="none" w:sz="0" w:space="0" w:color="auto"/>
        <w:bottom w:val="none" w:sz="0" w:space="0" w:color="auto"/>
        <w:right w:val="none" w:sz="0" w:space="0" w:color="auto"/>
      </w:divBdr>
      <w:divsChild>
        <w:div w:id="190822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39880">
      <w:bodyDiv w:val="1"/>
      <w:marLeft w:val="0"/>
      <w:marRight w:val="0"/>
      <w:marTop w:val="0"/>
      <w:marBottom w:val="0"/>
      <w:divBdr>
        <w:top w:val="none" w:sz="0" w:space="0" w:color="auto"/>
        <w:left w:val="none" w:sz="0" w:space="0" w:color="auto"/>
        <w:bottom w:val="none" w:sz="0" w:space="0" w:color="auto"/>
        <w:right w:val="none" w:sz="0" w:space="0" w:color="auto"/>
      </w:divBdr>
    </w:div>
    <w:div w:id="1615939502">
      <w:bodyDiv w:val="1"/>
      <w:marLeft w:val="0"/>
      <w:marRight w:val="0"/>
      <w:marTop w:val="0"/>
      <w:marBottom w:val="0"/>
      <w:divBdr>
        <w:top w:val="none" w:sz="0" w:space="0" w:color="auto"/>
        <w:left w:val="none" w:sz="0" w:space="0" w:color="auto"/>
        <w:bottom w:val="none" w:sz="0" w:space="0" w:color="auto"/>
        <w:right w:val="none" w:sz="0" w:space="0" w:color="auto"/>
      </w:divBdr>
      <w:divsChild>
        <w:div w:id="325210174">
          <w:marLeft w:val="0"/>
          <w:marRight w:val="0"/>
          <w:marTop w:val="0"/>
          <w:marBottom w:val="0"/>
          <w:divBdr>
            <w:top w:val="none" w:sz="0" w:space="0" w:color="auto"/>
            <w:left w:val="none" w:sz="0" w:space="0" w:color="auto"/>
            <w:bottom w:val="none" w:sz="0" w:space="0" w:color="auto"/>
            <w:right w:val="none" w:sz="0" w:space="0" w:color="auto"/>
          </w:divBdr>
        </w:div>
        <w:div w:id="387843003">
          <w:marLeft w:val="0"/>
          <w:marRight w:val="0"/>
          <w:marTop w:val="0"/>
          <w:marBottom w:val="0"/>
          <w:divBdr>
            <w:top w:val="none" w:sz="0" w:space="0" w:color="auto"/>
            <w:left w:val="none" w:sz="0" w:space="0" w:color="auto"/>
            <w:bottom w:val="none" w:sz="0" w:space="0" w:color="auto"/>
            <w:right w:val="none" w:sz="0" w:space="0" w:color="auto"/>
          </w:divBdr>
          <w:divsChild>
            <w:div w:id="2111123733">
              <w:marLeft w:val="-75"/>
              <w:marRight w:val="0"/>
              <w:marTop w:val="30"/>
              <w:marBottom w:val="30"/>
              <w:divBdr>
                <w:top w:val="none" w:sz="0" w:space="0" w:color="auto"/>
                <w:left w:val="none" w:sz="0" w:space="0" w:color="auto"/>
                <w:bottom w:val="none" w:sz="0" w:space="0" w:color="auto"/>
                <w:right w:val="none" w:sz="0" w:space="0" w:color="auto"/>
              </w:divBdr>
              <w:divsChild>
                <w:div w:id="133642495">
                  <w:marLeft w:val="0"/>
                  <w:marRight w:val="0"/>
                  <w:marTop w:val="0"/>
                  <w:marBottom w:val="0"/>
                  <w:divBdr>
                    <w:top w:val="none" w:sz="0" w:space="0" w:color="auto"/>
                    <w:left w:val="none" w:sz="0" w:space="0" w:color="auto"/>
                    <w:bottom w:val="none" w:sz="0" w:space="0" w:color="auto"/>
                    <w:right w:val="none" w:sz="0" w:space="0" w:color="auto"/>
                  </w:divBdr>
                  <w:divsChild>
                    <w:div w:id="527335053">
                      <w:marLeft w:val="0"/>
                      <w:marRight w:val="0"/>
                      <w:marTop w:val="0"/>
                      <w:marBottom w:val="0"/>
                      <w:divBdr>
                        <w:top w:val="none" w:sz="0" w:space="0" w:color="auto"/>
                        <w:left w:val="none" w:sz="0" w:space="0" w:color="auto"/>
                        <w:bottom w:val="none" w:sz="0" w:space="0" w:color="auto"/>
                        <w:right w:val="none" w:sz="0" w:space="0" w:color="auto"/>
                      </w:divBdr>
                    </w:div>
                  </w:divsChild>
                </w:div>
                <w:div w:id="315837896">
                  <w:marLeft w:val="0"/>
                  <w:marRight w:val="0"/>
                  <w:marTop w:val="0"/>
                  <w:marBottom w:val="0"/>
                  <w:divBdr>
                    <w:top w:val="none" w:sz="0" w:space="0" w:color="auto"/>
                    <w:left w:val="none" w:sz="0" w:space="0" w:color="auto"/>
                    <w:bottom w:val="none" w:sz="0" w:space="0" w:color="auto"/>
                    <w:right w:val="none" w:sz="0" w:space="0" w:color="auto"/>
                  </w:divBdr>
                  <w:divsChild>
                    <w:div w:id="155920517">
                      <w:marLeft w:val="0"/>
                      <w:marRight w:val="0"/>
                      <w:marTop w:val="0"/>
                      <w:marBottom w:val="0"/>
                      <w:divBdr>
                        <w:top w:val="none" w:sz="0" w:space="0" w:color="auto"/>
                        <w:left w:val="none" w:sz="0" w:space="0" w:color="auto"/>
                        <w:bottom w:val="none" w:sz="0" w:space="0" w:color="auto"/>
                        <w:right w:val="none" w:sz="0" w:space="0" w:color="auto"/>
                      </w:divBdr>
                    </w:div>
                  </w:divsChild>
                </w:div>
                <w:div w:id="342249820">
                  <w:marLeft w:val="0"/>
                  <w:marRight w:val="0"/>
                  <w:marTop w:val="0"/>
                  <w:marBottom w:val="0"/>
                  <w:divBdr>
                    <w:top w:val="none" w:sz="0" w:space="0" w:color="auto"/>
                    <w:left w:val="none" w:sz="0" w:space="0" w:color="auto"/>
                    <w:bottom w:val="none" w:sz="0" w:space="0" w:color="auto"/>
                    <w:right w:val="none" w:sz="0" w:space="0" w:color="auto"/>
                  </w:divBdr>
                  <w:divsChild>
                    <w:div w:id="1143161224">
                      <w:marLeft w:val="0"/>
                      <w:marRight w:val="0"/>
                      <w:marTop w:val="0"/>
                      <w:marBottom w:val="0"/>
                      <w:divBdr>
                        <w:top w:val="none" w:sz="0" w:space="0" w:color="auto"/>
                        <w:left w:val="none" w:sz="0" w:space="0" w:color="auto"/>
                        <w:bottom w:val="none" w:sz="0" w:space="0" w:color="auto"/>
                        <w:right w:val="none" w:sz="0" w:space="0" w:color="auto"/>
                      </w:divBdr>
                    </w:div>
                  </w:divsChild>
                </w:div>
                <w:div w:id="375156334">
                  <w:marLeft w:val="0"/>
                  <w:marRight w:val="0"/>
                  <w:marTop w:val="0"/>
                  <w:marBottom w:val="0"/>
                  <w:divBdr>
                    <w:top w:val="none" w:sz="0" w:space="0" w:color="auto"/>
                    <w:left w:val="none" w:sz="0" w:space="0" w:color="auto"/>
                    <w:bottom w:val="none" w:sz="0" w:space="0" w:color="auto"/>
                    <w:right w:val="none" w:sz="0" w:space="0" w:color="auto"/>
                  </w:divBdr>
                  <w:divsChild>
                    <w:div w:id="1413769544">
                      <w:marLeft w:val="0"/>
                      <w:marRight w:val="0"/>
                      <w:marTop w:val="0"/>
                      <w:marBottom w:val="0"/>
                      <w:divBdr>
                        <w:top w:val="none" w:sz="0" w:space="0" w:color="auto"/>
                        <w:left w:val="none" w:sz="0" w:space="0" w:color="auto"/>
                        <w:bottom w:val="none" w:sz="0" w:space="0" w:color="auto"/>
                        <w:right w:val="none" w:sz="0" w:space="0" w:color="auto"/>
                      </w:divBdr>
                    </w:div>
                  </w:divsChild>
                </w:div>
                <w:div w:id="405156362">
                  <w:marLeft w:val="0"/>
                  <w:marRight w:val="0"/>
                  <w:marTop w:val="0"/>
                  <w:marBottom w:val="0"/>
                  <w:divBdr>
                    <w:top w:val="none" w:sz="0" w:space="0" w:color="auto"/>
                    <w:left w:val="none" w:sz="0" w:space="0" w:color="auto"/>
                    <w:bottom w:val="none" w:sz="0" w:space="0" w:color="auto"/>
                    <w:right w:val="none" w:sz="0" w:space="0" w:color="auto"/>
                  </w:divBdr>
                  <w:divsChild>
                    <w:div w:id="1476753297">
                      <w:marLeft w:val="0"/>
                      <w:marRight w:val="0"/>
                      <w:marTop w:val="0"/>
                      <w:marBottom w:val="0"/>
                      <w:divBdr>
                        <w:top w:val="none" w:sz="0" w:space="0" w:color="auto"/>
                        <w:left w:val="none" w:sz="0" w:space="0" w:color="auto"/>
                        <w:bottom w:val="none" w:sz="0" w:space="0" w:color="auto"/>
                        <w:right w:val="none" w:sz="0" w:space="0" w:color="auto"/>
                      </w:divBdr>
                    </w:div>
                  </w:divsChild>
                </w:div>
                <w:div w:id="420219743">
                  <w:marLeft w:val="0"/>
                  <w:marRight w:val="0"/>
                  <w:marTop w:val="0"/>
                  <w:marBottom w:val="0"/>
                  <w:divBdr>
                    <w:top w:val="none" w:sz="0" w:space="0" w:color="auto"/>
                    <w:left w:val="none" w:sz="0" w:space="0" w:color="auto"/>
                    <w:bottom w:val="none" w:sz="0" w:space="0" w:color="auto"/>
                    <w:right w:val="none" w:sz="0" w:space="0" w:color="auto"/>
                  </w:divBdr>
                  <w:divsChild>
                    <w:div w:id="1000042458">
                      <w:marLeft w:val="0"/>
                      <w:marRight w:val="0"/>
                      <w:marTop w:val="0"/>
                      <w:marBottom w:val="0"/>
                      <w:divBdr>
                        <w:top w:val="none" w:sz="0" w:space="0" w:color="auto"/>
                        <w:left w:val="none" w:sz="0" w:space="0" w:color="auto"/>
                        <w:bottom w:val="none" w:sz="0" w:space="0" w:color="auto"/>
                        <w:right w:val="none" w:sz="0" w:space="0" w:color="auto"/>
                      </w:divBdr>
                    </w:div>
                  </w:divsChild>
                </w:div>
                <w:div w:id="536163901">
                  <w:marLeft w:val="0"/>
                  <w:marRight w:val="0"/>
                  <w:marTop w:val="0"/>
                  <w:marBottom w:val="0"/>
                  <w:divBdr>
                    <w:top w:val="none" w:sz="0" w:space="0" w:color="auto"/>
                    <w:left w:val="none" w:sz="0" w:space="0" w:color="auto"/>
                    <w:bottom w:val="none" w:sz="0" w:space="0" w:color="auto"/>
                    <w:right w:val="none" w:sz="0" w:space="0" w:color="auto"/>
                  </w:divBdr>
                  <w:divsChild>
                    <w:div w:id="694965472">
                      <w:marLeft w:val="0"/>
                      <w:marRight w:val="0"/>
                      <w:marTop w:val="0"/>
                      <w:marBottom w:val="0"/>
                      <w:divBdr>
                        <w:top w:val="none" w:sz="0" w:space="0" w:color="auto"/>
                        <w:left w:val="none" w:sz="0" w:space="0" w:color="auto"/>
                        <w:bottom w:val="none" w:sz="0" w:space="0" w:color="auto"/>
                        <w:right w:val="none" w:sz="0" w:space="0" w:color="auto"/>
                      </w:divBdr>
                    </w:div>
                    <w:div w:id="844199888">
                      <w:marLeft w:val="0"/>
                      <w:marRight w:val="0"/>
                      <w:marTop w:val="0"/>
                      <w:marBottom w:val="0"/>
                      <w:divBdr>
                        <w:top w:val="none" w:sz="0" w:space="0" w:color="auto"/>
                        <w:left w:val="none" w:sz="0" w:space="0" w:color="auto"/>
                        <w:bottom w:val="none" w:sz="0" w:space="0" w:color="auto"/>
                        <w:right w:val="none" w:sz="0" w:space="0" w:color="auto"/>
                      </w:divBdr>
                    </w:div>
                  </w:divsChild>
                </w:div>
                <w:div w:id="611212060">
                  <w:marLeft w:val="0"/>
                  <w:marRight w:val="0"/>
                  <w:marTop w:val="0"/>
                  <w:marBottom w:val="0"/>
                  <w:divBdr>
                    <w:top w:val="none" w:sz="0" w:space="0" w:color="auto"/>
                    <w:left w:val="none" w:sz="0" w:space="0" w:color="auto"/>
                    <w:bottom w:val="none" w:sz="0" w:space="0" w:color="auto"/>
                    <w:right w:val="none" w:sz="0" w:space="0" w:color="auto"/>
                  </w:divBdr>
                  <w:divsChild>
                    <w:div w:id="533883002">
                      <w:marLeft w:val="0"/>
                      <w:marRight w:val="0"/>
                      <w:marTop w:val="0"/>
                      <w:marBottom w:val="0"/>
                      <w:divBdr>
                        <w:top w:val="none" w:sz="0" w:space="0" w:color="auto"/>
                        <w:left w:val="none" w:sz="0" w:space="0" w:color="auto"/>
                        <w:bottom w:val="none" w:sz="0" w:space="0" w:color="auto"/>
                        <w:right w:val="none" w:sz="0" w:space="0" w:color="auto"/>
                      </w:divBdr>
                    </w:div>
                  </w:divsChild>
                </w:div>
                <w:div w:id="738869063">
                  <w:marLeft w:val="0"/>
                  <w:marRight w:val="0"/>
                  <w:marTop w:val="0"/>
                  <w:marBottom w:val="0"/>
                  <w:divBdr>
                    <w:top w:val="none" w:sz="0" w:space="0" w:color="auto"/>
                    <w:left w:val="none" w:sz="0" w:space="0" w:color="auto"/>
                    <w:bottom w:val="none" w:sz="0" w:space="0" w:color="auto"/>
                    <w:right w:val="none" w:sz="0" w:space="0" w:color="auto"/>
                  </w:divBdr>
                  <w:divsChild>
                    <w:div w:id="318272471">
                      <w:marLeft w:val="0"/>
                      <w:marRight w:val="0"/>
                      <w:marTop w:val="0"/>
                      <w:marBottom w:val="0"/>
                      <w:divBdr>
                        <w:top w:val="none" w:sz="0" w:space="0" w:color="auto"/>
                        <w:left w:val="none" w:sz="0" w:space="0" w:color="auto"/>
                        <w:bottom w:val="none" w:sz="0" w:space="0" w:color="auto"/>
                        <w:right w:val="none" w:sz="0" w:space="0" w:color="auto"/>
                      </w:divBdr>
                    </w:div>
                  </w:divsChild>
                </w:div>
                <w:div w:id="871386702">
                  <w:marLeft w:val="0"/>
                  <w:marRight w:val="0"/>
                  <w:marTop w:val="0"/>
                  <w:marBottom w:val="0"/>
                  <w:divBdr>
                    <w:top w:val="none" w:sz="0" w:space="0" w:color="auto"/>
                    <w:left w:val="none" w:sz="0" w:space="0" w:color="auto"/>
                    <w:bottom w:val="none" w:sz="0" w:space="0" w:color="auto"/>
                    <w:right w:val="none" w:sz="0" w:space="0" w:color="auto"/>
                  </w:divBdr>
                  <w:divsChild>
                    <w:div w:id="44719776">
                      <w:marLeft w:val="0"/>
                      <w:marRight w:val="0"/>
                      <w:marTop w:val="0"/>
                      <w:marBottom w:val="0"/>
                      <w:divBdr>
                        <w:top w:val="none" w:sz="0" w:space="0" w:color="auto"/>
                        <w:left w:val="none" w:sz="0" w:space="0" w:color="auto"/>
                        <w:bottom w:val="none" w:sz="0" w:space="0" w:color="auto"/>
                        <w:right w:val="none" w:sz="0" w:space="0" w:color="auto"/>
                      </w:divBdr>
                    </w:div>
                  </w:divsChild>
                </w:div>
                <w:div w:id="900285174">
                  <w:marLeft w:val="0"/>
                  <w:marRight w:val="0"/>
                  <w:marTop w:val="0"/>
                  <w:marBottom w:val="0"/>
                  <w:divBdr>
                    <w:top w:val="none" w:sz="0" w:space="0" w:color="auto"/>
                    <w:left w:val="none" w:sz="0" w:space="0" w:color="auto"/>
                    <w:bottom w:val="none" w:sz="0" w:space="0" w:color="auto"/>
                    <w:right w:val="none" w:sz="0" w:space="0" w:color="auto"/>
                  </w:divBdr>
                  <w:divsChild>
                    <w:div w:id="2066904430">
                      <w:marLeft w:val="0"/>
                      <w:marRight w:val="0"/>
                      <w:marTop w:val="0"/>
                      <w:marBottom w:val="0"/>
                      <w:divBdr>
                        <w:top w:val="none" w:sz="0" w:space="0" w:color="auto"/>
                        <w:left w:val="none" w:sz="0" w:space="0" w:color="auto"/>
                        <w:bottom w:val="none" w:sz="0" w:space="0" w:color="auto"/>
                        <w:right w:val="none" w:sz="0" w:space="0" w:color="auto"/>
                      </w:divBdr>
                    </w:div>
                  </w:divsChild>
                </w:div>
                <w:div w:id="920988876">
                  <w:marLeft w:val="0"/>
                  <w:marRight w:val="0"/>
                  <w:marTop w:val="0"/>
                  <w:marBottom w:val="0"/>
                  <w:divBdr>
                    <w:top w:val="none" w:sz="0" w:space="0" w:color="auto"/>
                    <w:left w:val="none" w:sz="0" w:space="0" w:color="auto"/>
                    <w:bottom w:val="none" w:sz="0" w:space="0" w:color="auto"/>
                    <w:right w:val="none" w:sz="0" w:space="0" w:color="auto"/>
                  </w:divBdr>
                  <w:divsChild>
                    <w:div w:id="467170927">
                      <w:marLeft w:val="0"/>
                      <w:marRight w:val="0"/>
                      <w:marTop w:val="0"/>
                      <w:marBottom w:val="0"/>
                      <w:divBdr>
                        <w:top w:val="none" w:sz="0" w:space="0" w:color="auto"/>
                        <w:left w:val="none" w:sz="0" w:space="0" w:color="auto"/>
                        <w:bottom w:val="none" w:sz="0" w:space="0" w:color="auto"/>
                        <w:right w:val="none" w:sz="0" w:space="0" w:color="auto"/>
                      </w:divBdr>
                    </w:div>
                  </w:divsChild>
                </w:div>
                <w:div w:id="1117331978">
                  <w:marLeft w:val="0"/>
                  <w:marRight w:val="0"/>
                  <w:marTop w:val="0"/>
                  <w:marBottom w:val="0"/>
                  <w:divBdr>
                    <w:top w:val="none" w:sz="0" w:space="0" w:color="auto"/>
                    <w:left w:val="none" w:sz="0" w:space="0" w:color="auto"/>
                    <w:bottom w:val="none" w:sz="0" w:space="0" w:color="auto"/>
                    <w:right w:val="none" w:sz="0" w:space="0" w:color="auto"/>
                  </w:divBdr>
                  <w:divsChild>
                    <w:div w:id="1139305288">
                      <w:marLeft w:val="0"/>
                      <w:marRight w:val="0"/>
                      <w:marTop w:val="0"/>
                      <w:marBottom w:val="0"/>
                      <w:divBdr>
                        <w:top w:val="none" w:sz="0" w:space="0" w:color="auto"/>
                        <w:left w:val="none" w:sz="0" w:space="0" w:color="auto"/>
                        <w:bottom w:val="none" w:sz="0" w:space="0" w:color="auto"/>
                        <w:right w:val="none" w:sz="0" w:space="0" w:color="auto"/>
                      </w:divBdr>
                    </w:div>
                  </w:divsChild>
                </w:div>
                <w:div w:id="1121345395">
                  <w:marLeft w:val="0"/>
                  <w:marRight w:val="0"/>
                  <w:marTop w:val="0"/>
                  <w:marBottom w:val="0"/>
                  <w:divBdr>
                    <w:top w:val="none" w:sz="0" w:space="0" w:color="auto"/>
                    <w:left w:val="none" w:sz="0" w:space="0" w:color="auto"/>
                    <w:bottom w:val="none" w:sz="0" w:space="0" w:color="auto"/>
                    <w:right w:val="none" w:sz="0" w:space="0" w:color="auto"/>
                  </w:divBdr>
                  <w:divsChild>
                    <w:div w:id="381440011">
                      <w:marLeft w:val="0"/>
                      <w:marRight w:val="0"/>
                      <w:marTop w:val="0"/>
                      <w:marBottom w:val="0"/>
                      <w:divBdr>
                        <w:top w:val="none" w:sz="0" w:space="0" w:color="auto"/>
                        <w:left w:val="none" w:sz="0" w:space="0" w:color="auto"/>
                        <w:bottom w:val="none" w:sz="0" w:space="0" w:color="auto"/>
                        <w:right w:val="none" w:sz="0" w:space="0" w:color="auto"/>
                      </w:divBdr>
                    </w:div>
                  </w:divsChild>
                </w:div>
                <w:div w:id="1144277976">
                  <w:marLeft w:val="0"/>
                  <w:marRight w:val="0"/>
                  <w:marTop w:val="0"/>
                  <w:marBottom w:val="0"/>
                  <w:divBdr>
                    <w:top w:val="none" w:sz="0" w:space="0" w:color="auto"/>
                    <w:left w:val="none" w:sz="0" w:space="0" w:color="auto"/>
                    <w:bottom w:val="none" w:sz="0" w:space="0" w:color="auto"/>
                    <w:right w:val="none" w:sz="0" w:space="0" w:color="auto"/>
                  </w:divBdr>
                  <w:divsChild>
                    <w:div w:id="701326301">
                      <w:marLeft w:val="0"/>
                      <w:marRight w:val="0"/>
                      <w:marTop w:val="0"/>
                      <w:marBottom w:val="0"/>
                      <w:divBdr>
                        <w:top w:val="none" w:sz="0" w:space="0" w:color="auto"/>
                        <w:left w:val="none" w:sz="0" w:space="0" w:color="auto"/>
                        <w:bottom w:val="none" w:sz="0" w:space="0" w:color="auto"/>
                        <w:right w:val="none" w:sz="0" w:space="0" w:color="auto"/>
                      </w:divBdr>
                    </w:div>
                  </w:divsChild>
                </w:div>
                <w:div w:id="1190334985">
                  <w:marLeft w:val="0"/>
                  <w:marRight w:val="0"/>
                  <w:marTop w:val="0"/>
                  <w:marBottom w:val="0"/>
                  <w:divBdr>
                    <w:top w:val="none" w:sz="0" w:space="0" w:color="auto"/>
                    <w:left w:val="none" w:sz="0" w:space="0" w:color="auto"/>
                    <w:bottom w:val="none" w:sz="0" w:space="0" w:color="auto"/>
                    <w:right w:val="none" w:sz="0" w:space="0" w:color="auto"/>
                  </w:divBdr>
                  <w:divsChild>
                    <w:div w:id="1916085549">
                      <w:marLeft w:val="0"/>
                      <w:marRight w:val="0"/>
                      <w:marTop w:val="0"/>
                      <w:marBottom w:val="0"/>
                      <w:divBdr>
                        <w:top w:val="none" w:sz="0" w:space="0" w:color="auto"/>
                        <w:left w:val="none" w:sz="0" w:space="0" w:color="auto"/>
                        <w:bottom w:val="none" w:sz="0" w:space="0" w:color="auto"/>
                        <w:right w:val="none" w:sz="0" w:space="0" w:color="auto"/>
                      </w:divBdr>
                    </w:div>
                  </w:divsChild>
                </w:div>
                <w:div w:id="1244875412">
                  <w:marLeft w:val="0"/>
                  <w:marRight w:val="0"/>
                  <w:marTop w:val="0"/>
                  <w:marBottom w:val="0"/>
                  <w:divBdr>
                    <w:top w:val="none" w:sz="0" w:space="0" w:color="auto"/>
                    <w:left w:val="none" w:sz="0" w:space="0" w:color="auto"/>
                    <w:bottom w:val="none" w:sz="0" w:space="0" w:color="auto"/>
                    <w:right w:val="none" w:sz="0" w:space="0" w:color="auto"/>
                  </w:divBdr>
                  <w:divsChild>
                    <w:div w:id="356393474">
                      <w:marLeft w:val="0"/>
                      <w:marRight w:val="0"/>
                      <w:marTop w:val="0"/>
                      <w:marBottom w:val="0"/>
                      <w:divBdr>
                        <w:top w:val="none" w:sz="0" w:space="0" w:color="auto"/>
                        <w:left w:val="none" w:sz="0" w:space="0" w:color="auto"/>
                        <w:bottom w:val="none" w:sz="0" w:space="0" w:color="auto"/>
                        <w:right w:val="none" w:sz="0" w:space="0" w:color="auto"/>
                      </w:divBdr>
                    </w:div>
                  </w:divsChild>
                </w:div>
                <w:div w:id="1256548656">
                  <w:marLeft w:val="0"/>
                  <w:marRight w:val="0"/>
                  <w:marTop w:val="0"/>
                  <w:marBottom w:val="0"/>
                  <w:divBdr>
                    <w:top w:val="none" w:sz="0" w:space="0" w:color="auto"/>
                    <w:left w:val="none" w:sz="0" w:space="0" w:color="auto"/>
                    <w:bottom w:val="none" w:sz="0" w:space="0" w:color="auto"/>
                    <w:right w:val="none" w:sz="0" w:space="0" w:color="auto"/>
                  </w:divBdr>
                  <w:divsChild>
                    <w:div w:id="23143742">
                      <w:marLeft w:val="0"/>
                      <w:marRight w:val="0"/>
                      <w:marTop w:val="0"/>
                      <w:marBottom w:val="0"/>
                      <w:divBdr>
                        <w:top w:val="none" w:sz="0" w:space="0" w:color="auto"/>
                        <w:left w:val="none" w:sz="0" w:space="0" w:color="auto"/>
                        <w:bottom w:val="none" w:sz="0" w:space="0" w:color="auto"/>
                        <w:right w:val="none" w:sz="0" w:space="0" w:color="auto"/>
                      </w:divBdr>
                    </w:div>
                  </w:divsChild>
                </w:div>
                <w:div w:id="1439327607">
                  <w:marLeft w:val="0"/>
                  <w:marRight w:val="0"/>
                  <w:marTop w:val="0"/>
                  <w:marBottom w:val="0"/>
                  <w:divBdr>
                    <w:top w:val="none" w:sz="0" w:space="0" w:color="auto"/>
                    <w:left w:val="none" w:sz="0" w:space="0" w:color="auto"/>
                    <w:bottom w:val="none" w:sz="0" w:space="0" w:color="auto"/>
                    <w:right w:val="none" w:sz="0" w:space="0" w:color="auto"/>
                  </w:divBdr>
                  <w:divsChild>
                    <w:div w:id="1638024936">
                      <w:marLeft w:val="0"/>
                      <w:marRight w:val="0"/>
                      <w:marTop w:val="0"/>
                      <w:marBottom w:val="0"/>
                      <w:divBdr>
                        <w:top w:val="none" w:sz="0" w:space="0" w:color="auto"/>
                        <w:left w:val="none" w:sz="0" w:space="0" w:color="auto"/>
                        <w:bottom w:val="none" w:sz="0" w:space="0" w:color="auto"/>
                        <w:right w:val="none" w:sz="0" w:space="0" w:color="auto"/>
                      </w:divBdr>
                    </w:div>
                  </w:divsChild>
                </w:div>
                <w:div w:id="1546680315">
                  <w:marLeft w:val="0"/>
                  <w:marRight w:val="0"/>
                  <w:marTop w:val="0"/>
                  <w:marBottom w:val="0"/>
                  <w:divBdr>
                    <w:top w:val="none" w:sz="0" w:space="0" w:color="auto"/>
                    <w:left w:val="none" w:sz="0" w:space="0" w:color="auto"/>
                    <w:bottom w:val="none" w:sz="0" w:space="0" w:color="auto"/>
                    <w:right w:val="none" w:sz="0" w:space="0" w:color="auto"/>
                  </w:divBdr>
                  <w:divsChild>
                    <w:div w:id="1298997993">
                      <w:marLeft w:val="0"/>
                      <w:marRight w:val="0"/>
                      <w:marTop w:val="0"/>
                      <w:marBottom w:val="0"/>
                      <w:divBdr>
                        <w:top w:val="none" w:sz="0" w:space="0" w:color="auto"/>
                        <w:left w:val="none" w:sz="0" w:space="0" w:color="auto"/>
                        <w:bottom w:val="none" w:sz="0" w:space="0" w:color="auto"/>
                        <w:right w:val="none" w:sz="0" w:space="0" w:color="auto"/>
                      </w:divBdr>
                    </w:div>
                  </w:divsChild>
                </w:div>
                <w:div w:id="1611087427">
                  <w:marLeft w:val="0"/>
                  <w:marRight w:val="0"/>
                  <w:marTop w:val="0"/>
                  <w:marBottom w:val="0"/>
                  <w:divBdr>
                    <w:top w:val="none" w:sz="0" w:space="0" w:color="auto"/>
                    <w:left w:val="none" w:sz="0" w:space="0" w:color="auto"/>
                    <w:bottom w:val="none" w:sz="0" w:space="0" w:color="auto"/>
                    <w:right w:val="none" w:sz="0" w:space="0" w:color="auto"/>
                  </w:divBdr>
                  <w:divsChild>
                    <w:div w:id="491408185">
                      <w:marLeft w:val="0"/>
                      <w:marRight w:val="0"/>
                      <w:marTop w:val="0"/>
                      <w:marBottom w:val="0"/>
                      <w:divBdr>
                        <w:top w:val="none" w:sz="0" w:space="0" w:color="auto"/>
                        <w:left w:val="none" w:sz="0" w:space="0" w:color="auto"/>
                        <w:bottom w:val="none" w:sz="0" w:space="0" w:color="auto"/>
                        <w:right w:val="none" w:sz="0" w:space="0" w:color="auto"/>
                      </w:divBdr>
                    </w:div>
                  </w:divsChild>
                </w:div>
                <w:div w:id="1618753803">
                  <w:marLeft w:val="0"/>
                  <w:marRight w:val="0"/>
                  <w:marTop w:val="0"/>
                  <w:marBottom w:val="0"/>
                  <w:divBdr>
                    <w:top w:val="none" w:sz="0" w:space="0" w:color="auto"/>
                    <w:left w:val="none" w:sz="0" w:space="0" w:color="auto"/>
                    <w:bottom w:val="none" w:sz="0" w:space="0" w:color="auto"/>
                    <w:right w:val="none" w:sz="0" w:space="0" w:color="auto"/>
                  </w:divBdr>
                  <w:divsChild>
                    <w:div w:id="836925611">
                      <w:marLeft w:val="0"/>
                      <w:marRight w:val="0"/>
                      <w:marTop w:val="0"/>
                      <w:marBottom w:val="0"/>
                      <w:divBdr>
                        <w:top w:val="none" w:sz="0" w:space="0" w:color="auto"/>
                        <w:left w:val="none" w:sz="0" w:space="0" w:color="auto"/>
                        <w:bottom w:val="none" w:sz="0" w:space="0" w:color="auto"/>
                        <w:right w:val="none" w:sz="0" w:space="0" w:color="auto"/>
                      </w:divBdr>
                    </w:div>
                  </w:divsChild>
                </w:div>
                <w:div w:id="1624380421">
                  <w:marLeft w:val="0"/>
                  <w:marRight w:val="0"/>
                  <w:marTop w:val="0"/>
                  <w:marBottom w:val="0"/>
                  <w:divBdr>
                    <w:top w:val="none" w:sz="0" w:space="0" w:color="auto"/>
                    <w:left w:val="none" w:sz="0" w:space="0" w:color="auto"/>
                    <w:bottom w:val="none" w:sz="0" w:space="0" w:color="auto"/>
                    <w:right w:val="none" w:sz="0" w:space="0" w:color="auto"/>
                  </w:divBdr>
                  <w:divsChild>
                    <w:div w:id="1858233050">
                      <w:marLeft w:val="0"/>
                      <w:marRight w:val="0"/>
                      <w:marTop w:val="0"/>
                      <w:marBottom w:val="0"/>
                      <w:divBdr>
                        <w:top w:val="none" w:sz="0" w:space="0" w:color="auto"/>
                        <w:left w:val="none" w:sz="0" w:space="0" w:color="auto"/>
                        <w:bottom w:val="none" w:sz="0" w:space="0" w:color="auto"/>
                        <w:right w:val="none" w:sz="0" w:space="0" w:color="auto"/>
                      </w:divBdr>
                    </w:div>
                  </w:divsChild>
                </w:div>
                <w:div w:id="1627002685">
                  <w:marLeft w:val="0"/>
                  <w:marRight w:val="0"/>
                  <w:marTop w:val="0"/>
                  <w:marBottom w:val="0"/>
                  <w:divBdr>
                    <w:top w:val="none" w:sz="0" w:space="0" w:color="auto"/>
                    <w:left w:val="none" w:sz="0" w:space="0" w:color="auto"/>
                    <w:bottom w:val="none" w:sz="0" w:space="0" w:color="auto"/>
                    <w:right w:val="none" w:sz="0" w:space="0" w:color="auto"/>
                  </w:divBdr>
                  <w:divsChild>
                    <w:div w:id="1416853585">
                      <w:marLeft w:val="0"/>
                      <w:marRight w:val="0"/>
                      <w:marTop w:val="0"/>
                      <w:marBottom w:val="0"/>
                      <w:divBdr>
                        <w:top w:val="none" w:sz="0" w:space="0" w:color="auto"/>
                        <w:left w:val="none" w:sz="0" w:space="0" w:color="auto"/>
                        <w:bottom w:val="none" w:sz="0" w:space="0" w:color="auto"/>
                        <w:right w:val="none" w:sz="0" w:space="0" w:color="auto"/>
                      </w:divBdr>
                    </w:div>
                    <w:div w:id="1680347740">
                      <w:marLeft w:val="0"/>
                      <w:marRight w:val="0"/>
                      <w:marTop w:val="0"/>
                      <w:marBottom w:val="0"/>
                      <w:divBdr>
                        <w:top w:val="none" w:sz="0" w:space="0" w:color="auto"/>
                        <w:left w:val="none" w:sz="0" w:space="0" w:color="auto"/>
                        <w:bottom w:val="none" w:sz="0" w:space="0" w:color="auto"/>
                        <w:right w:val="none" w:sz="0" w:space="0" w:color="auto"/>
                      </w:divBdr>
                    </w:div>
                  </w:divsChild>
                </w:div>
                <w:div w:id="1842692844">
                  <w:marLeft w:val="0"/>
                  <w:marRight w:val="0"/>
                  <w:marTop w:val="0"/>
                  <w:marBottom w:val="0"/>
                  <w:divBdr>
                    <w:top w:val="none" w:sz="0" w:space="0" w:color="auto"/>
                    <w:left w:val="none" w:sz="0" w:space="0" w:color="auto"/>
                    <w:bottom w:val="none" w:sz="0" w:space="0" w:color="auto"/>
                    <w:right w:val="none" w:sz="0" w:space="0" w:color="auto"/>
                  </w:divBdr>
                  <w:divsChild>
                    <w:div w:id="1853451601">
                      <w:marLeft w:val="0"/>
                      <w:marRight w:val="0"/>
                      <w:marTop w:val="0"/>
                      <w:marBottom w:val="0"/>
                      <w:divBdr>
                        <w:top w:val="none" w:sz="0" w:space="0" w:color="auto"/>
                        <w:left w:val="none" w:sz="0" w:space="0" w:color="auto"/>
                        <w:bottom w:val="none" w:sz="0" w:space="0" w:color="auto"/>
                        <w:right w:val="none" w:sz="0" w:space="0" w:color="auto"/>
                      </w:divBdr>
                    </w:div>
                  </w:divsChild>
                </w:div>
                <w:div w:id="1848859474">
                  <w:marLeft w:val="0"/>
                  <w:marRight w:val="0"/>
                  <w:marTop w:val="0"/>
                  <w:marBottom w:val="0"/>
                  <w:divBdr>
                    <w:top w:val="none" w:sz="0" w:space="0" w:color="auto"/>
                    <w:left w:val="none" w:sz="0" w:space="0" w:color="auto"/>
                    <w:bottom w:val="none" w:sz="0" w:space="0" w:color="auto"/>
                    <w:right w:val="none" w:sz="0" w:space="0" w:color="auto"/>
                  </w:divBdr>
                  <w:divsChild>
                    <w:div w:id="2141880282">
                      <w:marLeft w:val="0"/>
                      <w:marRight w:val="0"/>
                      <w:marTop w:val="0"/>
                      <w:marBottom w:val="0"/>
                      <w:divBdr>
                        <w:top w:val="none" w:sz="0" w:space="0" w:color="auto"/>
                        <w:left w:val="none" w:sz="0" w:space="0" w:color="auto"/>
                        <w:bottom w:val="none" w:sz="0" w:space="0" w:color="auto"/>
                        <w:right w:val="none" w:sz="0" w:space="0" w:color="auto"/>
                      </w:divBdr>
                    </w:div>
                  </w:divsChild>
                </w:div>
                <w:div w:id="1895500739">
                  <w:marLeft w:val="0"/>
                  <w:marRight w:val="0"/>
                  <w:marTop w:val="0"/>
                  <w:marBottom w:val="0"/>
                  <w:divBdr>
                    <w:top w:val="none" w:sz="0" w:space="0" w:color="auto"/>
                    <w:left w:val="none" w:sz="0" w:space="0" w:color="auto"/>
                    <w:bottom w:val="none" w:sz="0" w:space="0" w:color="auto"/>
                    <w:right w:val="none" w:sz="0" w:space="0" w:color="auto"/>
                  </w:divBdr>
                  <w:divsChild>
                    <w:div w:id="557013268">
                      <w:marLeft w:val="0"/>
                      <w:marRight w:val="0"/>
                      <w:marTop w:val="0"/>
                      <w:marBottom w:val="0"/>
                      <w:divBdr>
                        <w:top w:val="none" w:sz="0" w:space="0" w:color="auto"/>
                        <w:left w:val="none" w:sz="0" w:space="0" w:color="auto"/>
                        <w:bottom w:val="none" w:sz="0" w:space="0" w:color="auto"/>
                        <w:right w:val="none" w:sz="0" w:space="0" w:color="auto"/>
                      </w:divBdr>
                    </w:div>
                  </w:divsChild>
                </w:div>
                <w:div w:id="1950432879">
                  <w:marLeft w:val="0"/>
                  <w:marRight w:val="0"/>
                  <w:marTop w:val="0"/>
                  <w:marBottom w:val="0"/>
                  <w:divBdr>
                    <w:top w:val="none" w:sz="0" w:space="0" w:color="auto"/>
                    <w:left w:val="none" w:sz="0" w:space="0" w:color="auto"/>
                    <w:bottom w:val="none" w:sz="0" w:space="0" w:color="auto"/>
                    <w:right w:val="none" w:sz="0" w:space="0" w:color="auto"/>
                  </w:divBdr>
                  <w:divsChild>
                    <w:div w:id="603152824">
                      <w:marLeft w:val="0"/>
                      <w:marRight w:val="0"/>
                      <w:marTop w:val="0"/>
                      <w:marBottom w:val="0"/>
                      <w:divBdr>
                        <w:top w:val="none" w:sz="0" w:space="0" w:color="auto"/>
                        <w:left w:val="none" w:sz="0" w:space="0" w:color="auto"/>
                        <w:bottom w:val="none" w:sz="0" w:space="0" w:color="auto"/>
                        <w:right w:val="none" w:sz="0" w:space="0" w:color="auto"/>
                      </w:divBdr>
                    </w:div>
                  </w:divsChild>
                </w:div>
                <w:div w:id="2070372775">
                  <w:marLeft w:val="0"/>
                  <w:marRight w:val="0"/>
                  <w:marTop w:val="0"/>
                  <w:marBottom w:val="0"/>
                  <w:divBdr>
                    <w:top w:val="none" w:sz="0" w:space="0" w:color="auto"/>
                    <w:left w:val="none" w:sz="0" w:space="0" w:color="auto"/>
                    <w:bottom w:val="none" w:sz="0" w:space="0" w:color="auto"/>
                    <w:right w:val="none" w:sz="0" w:space="0" w:color="auto"/>
                  </w:divBdr>
                  <w:divsChild>
                    <w:div w:id="1874926040">
                      <w:marLeft w:val="0"/>
                      <w:marRight w:val="0"/>
                      <w:marTop w:val="0"/>
                      <w:marBottom w:val="0"/>
                      <w:divBdr>
                        <w:top w:val="none" w:sz="0" w:space="0" w:color="auto"/>
                        <w:left w:val="none" w:sz="0" w:space="0" w:color="auto"/>
                        <w:bottom w:val="none" w:sz="0" w:space="0" w:color="auto"/>
                        <w:right w:val="none" w:sz="0" w:space="0" w:color="auto"/>
                      </w:divBdr>
                    </w:div>
                  </w:divsChild>
                </w:div>
                <w:div w:id="2106534985">
                  <w:marLeft w:val="0"/>
                  <w:marRight w:val="0"/>
                  <w:marTop w:val="0"/>
                  <w:marBottom w:val="0"/>
                  <w:divBdr>
                    <w:top w:val="none" w:sz="0" w:space="0" w:color="auto"/>
                    <w:left w:val="none" w:sz="0" w:space="0" w:color="auto"/>
                    <w:bottom w:val="none" w:sz="0" w:space="0" w:color="auto"/>
                    <w:right w:val="none" w:sz="0" w:space="0" w:color="auto"/>
                  </w:divBdr>
                  <w:divsChild>
                    <w:div w:id="1189104288">
                      <w:marLeft w:val="0"/>
                      <w:marRight w:val="0"/>
                      <w:marTop w:val="0"/>
                      <w:marBottom w:val="0"/>
                      <w:divBdr>
                        <w:top w:val="none" w:sz="0" w:space="0" w:color="auto"/>
                        <w:left w:val="none" w:sz="0" w:space="0" w:color="auto"/>
                        <w:bottom w:val="none" w:sz="0" w:space="0" w:color="auto"/>
                        <w:right w:val="none" w:sz="0" w:space="0" w:color="auto"/>
                      </w:divBdr>
                    </w:div>
                  </w:divsChild>
                </w:div>
                <w:div w:id="2124374233">
                  <w:marLeft w:val="0"/>
                  <w:marRight w:val="0"/>
                  <w:marTop w:val="0"/>
                  <w:marBottom w:val="0"/>
                  <w:divBdr>
                    <w:top w:val="none" w:sz="0" w:space="0" w:color="auto"/>
                    <w:left w:val="none" w:sz="0" w:space="0" w:color="auto"/>
                    <w:bottom w:val="none" w:sz="0" w:space="0" w:color="auto"/>
                    <w:right w:val="none" w:sz="0" w:space="0" w:color="auto"/>
                  </w:divBdr>
                  <w:divsChild>
                    <w:div w:id="242954894">
                      <w:marLeft w:val="0"/>
                      <w:marRight w:val="0"/>
                      <w:marTop w:val="0"/>
                      <w:marBottom w:val="0"/>
                      <w:divBdr>
                        <w:top w:val="none" w:sz="0" w:space="0" w:color="auto"/>
                        <w:left w:val="none" w:sz="0" w:space="0" w:color="auto"/>
                        <w:bottom w:val="none" w:sz="0" w:space="0" w:color="auto"/>
                        <w:right w:val="none" w:sz="0" w:space="0" w:color="auto"/>
                      </w:divBdr>
                    </w:div>
                    <w:div w:id="11131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8668">
          <w:marLeft w:val="0"/>
          <w:marRight w:val="0"/>
          <w:marTop w:val="0"/>
          <w:marBottom w:val="0"/>
          <w:divBdr>
            <w:top w:val="none" w:sz="0" w:space="0" w:color="auto"/>
            <w:left w:val="none" w:sz="0" w:space="0" w:color="auto"/>
            <w:bottom w:val="none" w:sz="0" w:space="0" w:color="auto"/>
            <w:right w:val="none" w:sz="0" w:space="0" w:color="auto"/>
          </w:divBdr>
          <w:divsChild>
            <w:div w:id="779648373">
              <w:marLeft w:val="-75"/>
              <w:marRight w:val="0"/>
              <w:marTop w:val="30"/>
              <w:marBottom w:val="30"/>
              <w:divBdr>
                <w:top w:val="none" w:sz="0" w:space="0" w:color="auto"/>
                <w:left w:val="none" w:sz="0" w:space="0" w:color="auto"/>
                <w:bottom w:val="none" w:sz="0" w:space="0" w:color="auto"/>
                <w:right w:val="none" w:sz="0" w:space="0" w:color="auto"/>
              </w:divBdr>
              <w:divsChild>
                <w:div w:id="42485136">
                  <w:marLeft w:val="0"/>
                  <w:marRight w:val="0"/>
                  <w:marTop w:val="0"/>
                  <w:marBottom w:val="0"/>
                  <w:divBdr>
                    <w:top w:val="none" w:sz="0" w:space="0" w:color="auto"/>
                    <w:left w:val="none" w:sz="0" w:space="0" w:color="auto"/>
                    <w:bottom w:val="none" w:sz="0" w:space="0" w:color="auto"/>
                    <w:right w:val="none" w:sz="0" w:space="0" w:color="auto"/>
                  </w:divBdr>
                  <w:divsChild>
                    <w:div w:id="1059010287">
                      <w:marLeft w:val="0"/>
                      <w:marRight w:val="0"/>
                      <w:marTop w:val="0"/>
                      <w:marBottom w:val="0"/>
                      <w:divBdr>
                        <w:top w:val="none" w:sz="0" w:space="0" w:color="auto"/>
                        <w:left w:val="none" w:sz="0" w:space="0" w:color="auto"/>
                        <w:bottom w:val="none" w:sz="0" w:space="0" w:color="auto"/>
                        <w:right w:val="none" w:sz="0" w:space="0" w:color="auto"/>
                      </w:divBdr>
                    </w:div>
                  </w:divsChild>
                </w:div>
                <w:div w:id="100610888">
                  <w:marLeft w:val="0"/>
                  <w:marRight w:val="0"/>
                  <w:marTop w:val="0"/>
                  <w:marBottom w:val="0"/>
                  <w:divBdr>
                    <w:top w:val="none" w:sz="0" w:space="0" w:color="auto"/>
                    <w:left w:val="none" w:sz="0" w:space="0" w:color="auto"/>
                    <w:bottom w:val="none" w:sz="0" w:space="0" w:color="auto"/>
                    <w:right w:val="none" w:sz="0" w:space="0" w:color="auto"/>
                  </w:divBdr>
                  <w:divsChild>
                    <w:div w:id="1114863114">
                      <w:marLeft w:val="0"/>
                      <w:marRight w:val="0"/>
                      <w:marTop w:val="0"/>
                      <w:marBottom w:val="0"/>
                      <w:divBdr>
                        <w:top w:val="none" w:sz="0" w:space="0" w:color="auto"/>
                        <w:left w:val="none" w:sz="0" w:space="0" w:color="auto"/>
                        <w:bottom w:val="none" w:sz="0" w:space="0" w:color="auto"/>
                        <w:right w:val="none" w:sz="0" w:space="0" w:color="auto"/>
                      </w:divBdr>
                    </w:div>
                  </w:divsChild>
                </w:div>
                <w:div w:id="283586834">
                  <w:marLeft w:val="0"/>
                  <w:marRight w:val="0"/>
                  <w:marTop w:val="0"/>
                  <w:marBottom w:val="0"/>
                  <w:divBdr>
                    <w:top w:val="none" w:sz="0" w:space="0" w:color="auto"/>
                    <w:left w:val="none" w:sz="0" w:space="0" w:color="auto"/>
                    <w:bottom w:val="none" w:sz="0" w:space="0" w:color="auto"/>
                    <w:right w:val="none" w:sz="0" w:space="0" w:color="auto"/>
                  </w:divBdr>
                  <w:divsChild>
                    <w:div w:id="610481103">
                      <w:marLeft w:val="0"/>
                      <w:marRight w:val="0"/>
                      <w:marTop w:val="0"/>
                      <w:marBottom w:val="0"/>
                      <w:divBdr>
                        <w:top w:val="none" w:sz="0" w:space="0" w:color="auto"/>
                        <w:left w:val="none" w:sz="0" w:space="0" w:color="auto"/>
                        <w:bottom w:val="none" w:sz="0" w:space="0" w:color="auto"/>
                        <w:right w:val="none" w:sz="0" w:space="0" w:color="auto"/>
                      </w:divBdr>
                    </w:div>
                  </w:divsChild>
                </w:div>
                <w:div w:id="326130822">
                  <w:marLeft w:val="0"/>
                  <w:marRight w:val="0"/>
                  <w:marTop w:val="0"/>
                  <w:marBottom w:val="0"/>
                  <w:divBdr>
                    <w:top w:val="none" w:sz="0" w:space="0" w:color="auto"/>
                    <w:left w:val="none" w:sz="0" w:space="0" w:color="auto"/>
                    <w:bottom w:val="none" w:sz="0" w:space="0" w:color="auto"/>
                    <w:right w:val="none" w:sz="0" w:space="0" w:color="auto"/>
                  </w:divBdr>
                  <w:divsChild>
                    <w:div w:id="1540052742">
                      <w:marLeft w:val="0"/>
                      <w:marRight w:val="0"/>
                      <w:marTop w:val="0"/>
                      <w:marBottom w:val="0"/>
                      <w:divBdr>
                        <w:top w:val="none" w:sz="0" w:space="0" w:color="auto"/>
                        <w:left w:val="none" w:sz="0" w:space="0" w:color="auto"/>
                        <w:bottom w:val="none" w:sz="0" w:space="0" w:color="auto"/>
                        <w:right w:val="none" w:sz="0" w:space="0" w:color="auto"/>
                      </w:divBdr>
                    </w:div>
                    <w:div w:id="1970621785">
                      <w:marLeft w:val="0"/>
                      <w:marRight w:val="0"/>
                      <w:marTop w:val="0"/>
                      <w:marBottom w:val="0"/>
                      <w:divBdr>
                        <w:top w:val="none" w:sz="0" w:space="0" w:color="auto"/>
                        <w:left w:val="none" w:sz="0" w:space="0" w:color="auto"/>
                        <w:bottom w:val="none" w:sz="0" w:space="0" w:color="auto"/>
                        <w:right w:val="none" w:sz="0" w:space="0" w:color="auto"/>
                      </w:divBdr>
                    </w:div>
                  </w:divsChild>
                </w:div>
                <w:div w:id="398670238">
                  <w:marLeft w:val="0"/>
                  <w:marRight w:val="0"/>
                  <w:marTop w:val="0"/>
                  <w:marBottom w:val="0"/>
                  <w:divBdr>
                    <w:top w:val="none" w:sz="0" w:space="0" w:color="auto"/>
                    <w:left w:val="none" w:sz="0" w:space="0" w:color="auto"/>
                    <w:bottom w:val="none" w:sz="0" w:space="0" w:color="auto"/>
                    <w:right w:val="none" w:sz="0" w:space="0" w:color="auto"/>
                  </w:divBdr>
                  <w:divsChild>
                    <w:div w:id="1583563211">
                      <w:marLeft w:val="0"/>
                      <w:marRight w:val="0"/>
                      <w:marTop w:val="0"/>
                      <w:marBottom w:val="0"/>
                      <w:divBdr>
                        <w:top w:val="none" w:sz="0" w:space="0" w:color="auto"/>
                        <w:left w:val="none" w:sz="0" w:space="0" w:color="auto"/>
                        <w:bottom w:val="none" w:sz="0" w:space="0" w:color="auto"/>
                        <w:right w:val="none" w:sz="0" w:space="0" w:color="auto"/>
                      </w:divBdr>
                    </w:div>
                  </w:divsChild>
                </w:div>
                <w:div w:id="419180023">
                  <w:marLeft w:val="0"/>
                  <w:marRight w:val="0"/>
                  <w:marTop w:val="0"/>
                  <w:marBottom w:val="0"/>
                  <w:divBdr>
                    <w:top w:val="none" w:sz="0" w:space="0" w:color="auto"/>
                    <w:left w:val="none" w:sz="0" w:space="0" w:color="auto"/>
                    <w:bottom w:val="none" w:sz="0" w:space="0" w:color="auto"/>
                    <w:right w:val="none" w:sz="0" w:space="0" w:color="auto"/>
                  </w:divBdr>
                  <w:divsChild>
                    <w:div w:id="1757901776">
                      <w:marLeft w:val="0"/>
                      <w:marRight w:val="0"/>
                      <w:marTop w:val="0"/>
                      <w:marBottom w:val="0"/>
                      <w:divBdr>
                        <w:top w:val="none" w:sz="0" w:space="0" w:color="auto"/>
                        <w:left w:val="none" w:sz="0" w:space="0" w:color="auto"/>
                        <w:bottom w:val="none" w:sz="0" w:space="0" w:color="auto"/>
                        <w:right w:val="none" w:sz="0" w:space="0" w:color="auto"/>
                      </w:divBdr>
                    </w:div>
                  </w:divsChild>
                </w:div>
                <w:div w:id="521744979">
                  <w:marLeft w:val="0"/>
                  <w:marRight w:val="0"/>
                  <w:marTop w:val="0"/>
                  <w:marBottom w:val="0"/>
                  <w:divBdr>
                    <w:top w:val="none" w:sz="0" w:space="0" w:color="auto"/>
                    <w:left w:val="none" w:sz="0" w:space="0" w:color="auto"/>
                    <w:bottom w:val="none" w:sz="0" w:space="0" w:color="auto"/>
                    <w:right w:val="none" w:sz="0" w:space="0" w:color="auto"/>
                  </w:divBdr>
                  <w:divsChild>
                    <w:div w:id="1064840766">
                      <w:marLeft w:val="0"/>
                      <w:marRight w:val="0"/>
                      <w:marTop w:val="0"/>
                      <w:marBottom w:val="0"/>
                      <w:divBdr>
                        <w:top w:val="none" w:sz="0" w:space="0" w:color="auto"/>
                        <w:left w:val="none" w:sz="0" w:space="0" w:color="auto"/>
                        <w:bottom w:val="none" w:sz="0" w:space="0" w:color="auto"/>
                        <w:right w:val="none" w:sz="0" w:space="0" w:color="auto"/>
                      </w:divBdr>
                    </w:div>
                  </w:divsChild>
                </w:div>
                <w:div w:id="654914625">
                  <w:marLeft w:val="0"/>
                  <w:marRight w:val="0"/>
                  <w:marTop w:val="0"/>
                  <w:marBottom w:val="0"/>
                  <w:divBdr>
                    <w:top w:val="none" w:sz="0" w:space="0" w:color="auto"/>
                    <w:left w:val="none" w:sz="0" w:space="0" w:color="auto"/>
                    <w:bottom w:val="none" w:sz="0" w:space="0" w:color="auto"/>
                    <w:right w:val="none" w:sz="0" w:space="0" w:color="auto"/>
                  </w:divBdr>
                  <w:divsChild>
                    <w:div w:id="613295177">
                      <w:marLeft w:val="0"/>
                      <w:marRight w:val="0"/>
                      <w:marTop w:val="0"/>
                      <w:marBottom w:val="0"/>
                      <w:divBdr>
                        <w:top w:val="none" w:sz="0" w:space="0" w:color="auto"/>
                        <w:left w:val="none" w:sz="0" w:space="0" w:color="auto"/>
                        <w:bottom w:val="none" w:sz="0" w:space="0" w:color="auto"/>
                        <w:right w:val="none" w:sz="0" w:space="0" w:color="auto"/>
                      </w:divBdr>
                    </w:div>
                  </w:divsChild>
                </w:div>
                <w:div w:id="780688723">
                  <w:marLeft w:val="0"/>
                  <w:marRight w:val="0"/>
                  <w:marTop w:val="0"/>
                  <w:marBottom w:val="0"/>
                  <w:divBdr>
                    <w:top w:val="none" w:sz="0" w:space="0" w:color="auto"/>
                    <w:left w:val="none" w:sz="0" w:space="0" w:color="auto"/>
                    <w:bottom w:val="none" w:sz="0" w:space="0" w:color="auto"/>
                    <w:right w:val="none" w:sz="0" w:space="0" w:color="auto"/>
                  </w:divBdr>
                  <w:divsChild>
                    <w:div w:id="873688303">
                      <w:marLeft w:val="0"/>
                      <w:marRight w:val="0"/>
                      <w:marTop w:val="0"/>
                      <w:marBottom w:val="0"/>
                      <w:divBdr>
                        <w:top w:val="none" w:sz="0" w:space="0" w:color="auto"/>
                        <w:left w:val="none" w:sz="0" w:space="0" w:color="auto"/>
                        <w:bottom w:val="none" w:sz="0" w:space="0" w:color="auto"/>
                        <w:right w:val="none" w:sz="0" w:space="0" w:color="auto"/>
                      </w:divBdr>
                    </w:div>
                  </w:divsChild>
                </w:div>
                <w:div w:id="803544126">
                  <w:marLeft w:val="0"/>
                  <w:marRight w:val="0"/>
                  <w:marTop w:val="0"/>
                  <w:marBottom w:val="0"/>
                  <w:divBdr>
                    <w:top w:val="none" w:sz="0" w:space="0" w:color="auto"/>
                    <w:left w:val="none" w:sz="0" w:space="0" w:color="auto"/>
                    <w:bottom w:val="none" w:sz="0" w:space="0" w:color="auto"/>
                    <w:right w:val="none" w:sz="0" w:space="0" w:color="auto"/>
                  </w:divBdr>
                  <w:divsChild>
                    <w:div w:id="1895696482">
                      <w:marLeft w:val="0"/>
                      <w:marRight w:val="0"/>
                      <w:marTop w:val="0"/>
                      <w:marBottom w:val="0"/>
                      <w:divBdr>
                        <w:top w:val="none" w:sz="0" w:space="0" w:color="auto"/>
                        <w:left w:val="none" w:sz="0" w:space="0" w:color="auto"/>
                        <w:bottom w:val="none" w:sz="0" w:space="0" w:color="auto"/>
                        <w:right w:val="none" w:sz="0" w:space="0" w:color="auto"/>
                      </w:divBdr>
                    </w:div>
                  </w:divsChild>
                </w:div>
                <w:div w:id="844515503">
                  <w:marLeft w:val="0"/>
                  <w:marRight w:val="0"/>
                  <w:marTop w:val="0"/>
                  <w:marBottom w:val="0"/>
                  <w:divBdr>
                    <w:top w:val="none" w:sz="0" w:space="0" w:color="auto"/>
                    <w:left w:val="none" w:sz="0" w:space="0" w:color="auto"/>
                    <w:bottom w:val="none" w:sz="0" w:space="0" w:color="auto"/>
                    <w:right w:val="none" w:sz="0" w:space="0" w:color="auto"/>
                  </w:divBdr>
                  <w:divsChild>
                    <w:div w:id="1014381533">
                      <w:marLeft w:val="0"/>
                      <w:marRight w:val="0"/>
                      <w:marTop w:val="0"/>
                      <w:marBottom w:val="0"/>
                      <w:divBdr>
                        <w:top w:val="none" w:sz="0" w:space="0" w:color="auto"/>
                        <w:left w:val="none" w:sz="0" w:space="0" w:color="auto"/>
                        <w:bottom w:val="none" w:sz="0" w:space="0" w:color="auto"/>
                        <w:right w:val="none" w:sz="0" w:space="0" w:color="auto"/>
                      </w:divBdr>
                    </w:div>
                  </w:divsChild>
                </w:div>
                <w:div w:id="905720439">
                  <w:marLeft w:val="0"/>
                  <w:marRight w:val="0"/>
                  <w:marTop w:val="0"/>
                  <w:marBottom w:val="0"/>
                  <w:divBdr>
                    <w:top w:val="none" w:sz="0" w:space="0" w:color="auto"/>
                    <w:left w:val="none" w:sz="0" w:space="0" w:color="auto"/>
                    <w:bottom w:val="none" w:sz="0" w:space="0" w:color="auto"/>
                    <w:right w:val="none" w:sz="0" w:space="0" w:color="auto"/>
                  </w:divBdr>
                  <w:divsChild>
                    <w:div w:id="110127533">
                      <w:marLeft w:val="0"/>
                      <w:marRight w:val="0"/>
                      <w:marTop w:val="0"/>
                      <w:marBottom w:val="0"/>
                      <w:divBdr>
                        <w:top w:val="none" w:sz="0" w:space="0" w:color="auto"/>
                        <w:left w:val="none" w:sz="0" w:space="0" w:color="auto"/>
                        <w:bottom w:val="none" w:sz="0" w:space="0" w:color="auto"/>
                        <w:right w:val="none" w:sz="0" w:space="0" w:color="auto"/>
                      </w:divBdr>
                    </w:div>
                  </w:divsChild>
                </w:div>
                <w:div w:id="975600356">
                  <w:marLeft w:val="0"/>
                  <w:marRight w:val="0"/>
                  <w:marTop w:val="0"/>
                  <w:marBottom w:val="0"/>
                  <w:divBdr>
                    <w:top w:val="none" w:sz="0" w:space="0" w:color="auto"/>
                    <w:left w:val="none" w:sz="0" w:space="0" w:color="auto"/>
                    <w:bottom w:val="none" w:sz="0" w:space="0" w:color="auto"/>
                    <w:right w:val="none" w:sz="0" w:space="0" w:color="auto"/>
                  </w:divBdr>
                  <w:divsChild>
                    <w:div w:id="622199930">
                      <w:marLeft w:val="0"/>
                      <w:marRight w:val="0"/>
                      <w:marTop w:val="0"/>
                      <w:marBottom w:val="0"/>
                      <w:divBdr>
                        <w:top w:val="none" w:sz="0" w:space="0" w:color="auto"/>
                        <w:left w:val="none" w:sz="0" w:space="0" w:color="auto"/>
                        <w:bottom w:val="none" w:sz="0" w:space="0" w:color="auto"/>
                        <w:right w:val="none" w:sz="0" w:space="0" w:color="auto"/>
                      </w:divBdr>
                    </w:div>
                  </w:divsChild>
                </w:div>
                <w:div w:id="995035113">
                  <w:marLeft w:val="0"/>
                  <w:marRight w:val="0"/>
                  <w:marTop w:val="0"/>
                  <w:marBottom w:val="0"/>
                  <w:divBdr>
                    <w:top w:val="none" w:sz="0" w:space="0" w:color="auto"/>
                    <w:left w:val="none" w:sz="0" w:space="0" w:color="auto"/>
                    <w:bottom w:val="none" w:sz="0" w:space="0" w:color="auto"/>
                    <w:right w:val="none" w:sz="0" w:space="0" w:color="auto"/>
                  </w:divBdr>
                  <w:divsChild>
                    <w:div w:id="1126504658">
                      <w:marLeft w:val="0"/>
                      <w:marRight w:val="0"/>
                      <w:marTop w:val="0"/>
                      <w:marBottom w:val="0"/>
                      <w:divBdr>
                        <w:top w:val="none" w:sz="0" w:space="0" w:color="auto"/>
                        <w:left w:val="none" w:sz="0" w:space="0" w:color="auto"/>
                        <w:bottom w:val="none" w:sz="0" w:space="0" w:color="auto"/>
                        <w:right w:val="none" w:sz="0" w:space="0" w:color="auto"/>
                      </w:divBdr>
                    </w:div>
                  </w:divsChild>
                </w:div>
                <w:div w:id="1013729577">
                  <w:marLeft w:val="0"/>
                  <w:marRight w:val="0"/>
                  <w:marTop w:val="0"/>
                  <w:marBottom w:val="0"/>
                  <w:divBdr>
                    <w:top w:val="none" w:sz="0" w:space="0" w:color="auto"/>
                    <w:left w:val="none" w:sz="0" w:space="0" w:color="auto"/>
                    <w:bottom w:val="none" w:sz="0" w:space="0" w:color="auto"/>
                    <w:right w:val="none" w:sz="0" w:space="0" w:color="auto"/>
                  </w:divBdr>
                  <w:divsChild>
                    <w:div w:id="179320684">
                      <w:marLeft w:val="0"/>
                      <w:marRight w:val="0"/>
                      <w:marTop w:val="0"/>
                      <w:marBottom w:val="0"/>
                      <w:divBdr>
                        <w:top w:val="none" w:sz="0" w:space="0" w:color="auto"/>
                        <w:left w:val="none" w:sz="0" w:space="0" w:color="auto"/>
                        <w:bottom w:val="none" w:sz="0" w:space="0" w:color="auto"/>
                        <w:right w:val="none" w:sz="0" w:space="0" w:color="auto"/>
                      </w:divBdr>
                    </w:div>
                  </w:divsChild>
                </w:div>
                <w:div w:id="1132019933">
                  <w:marLeft w:val="0"/>
                  <w:marRight w:val="0"/>
                  <w:marTop w:val="0"/>
                  <w:marBottom w:val="0"/>
                  <w:divBdr>
                    <w:top w:val="none" w:sz="0" w:space="0" w:color="auto"/>
                    <w:left w:val="none" w:sz="0" w:space="0" w:color="auto"/>
                    <w:bottom w:val="none" w:sz="0" w:space="0" w:color="auto"/>
                    <w:right w:val="none" w:sz="0" w:space="0" w:color="auto"/>
                  </w:divBdr>
                  <w:divsChild>
                    <w:div w:id="343674526">
                      <w:marLeft w:val="0"/>
                      <w:marRight w:val="0"/>
                      <w:marTop w:val="0"/>
                      <w:marBottom w:val="0"/>
                      <w:divBdr>
                        <w:top w:val="none" w:sz="0" w:space="0" w:color="auto"/>
                        <w:left w:val="none" w:sz="0" w:space="0" w:color="auto"/>
                        <w:bottom w:val="none" w:sz="0" w:space="0" w:color="auto"/>
                        <w:right w:val="none" w:sz="0" w:space="0" w:color="auto"/>
                      </w:divBdr>
                    </w:div>
                  </w:divsChild>
                </w:div>
                <w:div w:id="1239168004">
                  <w:marLeft w:val="0"/>
                  <w:marRight w:val="0"/>
                  <w:marTop w:val="0"/>
                  <w:marBottom w:val="0"/>
                  <w:divBdr>
                    <w:top w:val="none" w:sz="0" w:space="0" w:color="auto"/>
                    <w:left w:val="none" w:sz="0" w:space="0" w:color="auto"/>
                    <w:bottom w:val="none" w:sz="0" w:space="0" w:color="auto"/>
                    <w:right w:val="none" w:sz="0" w:space="0" w:color="auto"/>
                  </w:divBdr>
                  <w:divsChild>
                    <w:div w:id="495535199">
                      <w:marLeft w:val="0"/>
                      <w:marRight w:val="0"/>
                      <w:marTop w:val="0"/>
                      <w:marBottom w:val="0"/>
                      <w:divBdr>
                        <w:top w:val="none" w:sz="0" w:space="0" w:color="auto"/>
                        <w:left w:val="none" w:sz="0" w:space="0" w:color="auto"/>
                        <w:bottom w:val="none" w:sz="0" w:space="0" w:color="auto"/>
                        <w:right w:val="none" w:sz="0" w:space="0" w:color="auto"/>
                      </w:divBdr>
                    </w:div>
                    <w:div w:id="2111049738">
                      <w:marLeft w:val="0"/>
                      <w:marRight w:val="0"/>
                      <w:marTop w:val="0"/>
                      <w:marBottom w:val="0"/>
                      <w:divBdr>
                        <w:top w:val="none" w:sz="0" w:space="0" w:color="auto"/>
                        <w:left w:val="none" w:sz="0" w:space="0" w:color="auto"/>
                        <w:bottom w:val="none" w:sz="0" w:space="0" w:color="auto"/>
                        <w:right w:val="none" w:sz="0" w:space="0" w:color="auto"/>
                      </w:divBdr>
                    </w:div>
                  </w:divsChild>
                </w:div>
                <w:div w:id="1247035016">
                  <w:marLeft w:val="0"/>
                  <w:marRight w:val="0"/>
                  <w:marTop w:val="0"/>
                  <w:marBottom w:val="0"/>
                  <w:divBdr>
                    <w:top w:val="none" w:sz="0" w:space="0" w:color="auto"/>
                    <w:left w:val="none" w:sz="0" w:space="0" w:color="auto"/>
                    <w:bottom w:val="none" w:sz="0" w:space="0" w:color="auto"/>
                    <w:right w:val="none" w:sz="0" w:space="0" w:color="auto"/>
                  </w:divBdr>
                  <w:divsChild>
                    <w:div w:id="2048069111">
                      <w:marLeft w:val="0"/>
                      <w:marRight w:val="0"/>
                      <w:marTop w:val="0"/>
                      <w:marBottom w:val="0"/>
                      <w:divBdr>
                        <w:top w:val="none" w:sz="0" w:space="0" w:color="auto"/>
                        <w:left w:val="none" w:sz="0" w:space="0" w:color="auto"/>
                        <w:bottom w:val="none" w:sz="0" w:space="0" w:color="auto"/>
                        <w:right w:val="none" w:sz="0" w:space="0" w:color="auto"/>
                      </w:divBdr>
                    </w:div>
                  </w:divsChild>
                </w:div>
                <w:div w:id="1275481847">
                  <w:marLeft w:val="0"/>
                  <w:marRight w:val="0"/>
                  <w:marTop w:val="0"/>
                  <w:marBottom w:val="0"/>
                  <w:divBdr>
                    <w:top w:val="none" w:sz="0" w:space="0" w:color="auto"/>
                    <w:left w:val="none" w:sz="0" w:space="0" w:color="auto"/>
                    <w:bottom w:val="none" w:sz="0" w:space="0" w:color="auto"/>
                    <w:right w:val="none" w:sz="0" w:space="0" w:color="auto"/>
                  </w:divBdr>
                  <w:divsChild>
                    <w:div w:id="1562791376">
                      <w:marLeft w:val="0"/>
                      <w:marRight w:val="0"/>
                      <w:marTop w:val="0"/>
                      <w:marBottom w:val="0"/>
                      <w:divBdr>
                        <w:top w:val="none" w:sz="0" w:space="0" w:color="auto"/>
                        <w:left w:val="none" w:sz="0" w:space="0" w:color="auto"/>
                        <w:bottom w:val="none" w:sz="0" w:space="0" w:color="auto"/>
                        <w:right w:val="none" w:sz="0" w:space="0" w:color="auto"/>
                      </w:divBdr>
                    </w:div>
                  </w:divsChild>
                </w:div>
                <w:div w:id="1301810498">
                  <w:marLeft w:val="0"/>
                  <w:marRight w:val="0"/>
                  <w:marTop w:val="0"/>
                  <w:marBottom w:val="0"/>
                  <w:divBdr>
                    <w:top w:val="none" w:sz="0" w:space="0" w:color="auto"/>
                    <w:left w:val="none" w:sz="0" w:space="0" w:color="auto"/>
                    <w:bottom w:val="none" w:sz="0" w:space="0" w:color="auto"/>
                    <w:right w:val="none" w:sz="0" w:space="0" w:color="auto"/>
                  </w:divBdr>
                  <w:divsChild>
                    <w:div w:id="120849170">
                      <w:marLeft w:val="0"/>
                      <w:marRight w:val="0"/>
                      <w:marTop w:val="0"/>
                      <w:marBottom w:val="0"/>
                      <w:divBdr>
                        <w:top w:val="none" w:sz="0" w:space="0" w:color="auto"/>
                        <w:left w:val="none" w:sz="0" w:space="0" w:color="auto"/>
                        <w:bottom w:val="none" w:sz="0" w:space="0" w:color="auto"/>
                        <w:right w:val="none" w:sz="0" w:space="0" w:color="auto"/>
                      </w:divBdr>
                    </w:div>
                  </w:divsChild>
                </w:div>
                <w:div w:id="1439789441">
                  <w:marLeft w:val="0"/>
                  <w:marRight w:val="0"/>
                  <w:marTop w:val="0"/>
                  <w:marBottom w:val="0"/>
                  <w:divBdr>
                    <w:top w:val="none" w:sz="0" w:space="0" w:color="auto"/>
                    <w:left w:val="none" w:sz="0" w:space="0" w:color="auto"/>
                    <w:bottom w:val="none" w:sz="0" w:space="0" w:color="auto"/>
                    <w:right w:val="none" w:sz="0" w:space="0" w:color="auto"/>
                  </w:divBdr>
                  <w:divsChild>
                    <w:div w:id="93022010">
                      <w:marLeft w:val="0"/>
                      <w:marRight w:val="0"/>
                      <w:marTop w:val="0"/>
                      <w:marBottom w:val="0"/>
                      <w:divBdr>
                        <w:top w:val="none" w:sz="0" w:space="0" w:color="auto"/>
                        <w:left w:val="none" w:sz="0" w:space="0" w:color="auto"/>
                        <w:bottom w:val="none" w:sz="0" w:space="0" w:color="auto"/>
                        <w:right w:val="none" w:sz="0" w:space="0" w:color="auto"/>
                      </w:divBdr>
                    </w:div>
                  </w:divsChild>
                </w:div>
                <w:div w:id="1557547911">
                  <w:marLeft w:val="0"/>
                  <w:marRight w:val="0"/>
                  <w:marTop w:val="0"/>
                  <w:marBottom w:val="0"/>
                  <w:divBdr>
                    <w:top w:val="none" w:sz="0" w:space="0" w:color="auto"/>
                    <w:left w:val="none" w:sz="0" w:space="0" w:color="auto"/>
                    <w:bottom w:val="none" w:sz="0" w:space="0" w:color="auto"/>
                    <w:right w:val="none" w:sz="0" w:space="0" w:color="auto"/>
                  </w:divBdr>
                  <w:divsChild>
                    <w:div w:id="1525289557">
                      <w:marLeft w:val="0"/>
                      <w:marRight w:val="0"/>
                      <w:marTop w:val="0"/>
                      <w:marBottom w:val="0"/>
                      <w:divBdr>
                        <w:top w:val="none" w:sz="0" w:space="0" w:color="auto"/>
                        <w:left w:val="none" w:sz="0" w:space="0" w:color="auto"/>
                        <w:bottom w:val="none" w:sz="0" w:space="0" w:color="auto"/>
                        <w:right w:val="none" w:sz="0" w:space="0" w:color="auto"/>
                      </w:divBdr>
                    </w:div>
                  </w:divsChild>
                </w:div>
                <w:div w:id="1574465938">
                  <w:marLeft w:val="0"/>
                  <w:marRight w:val="0"/>
                  <w:marTop w:val="0"/>
                  <w:marBottom w:val="0"/>
                  <w:divBdr>
                    <w:top w:val="none" w:sz="0" w:space="0" w:color="auto"/>
                    <w:left w:val="none" w:sz="0" w:space="0" w:color="auto"/>
                    <w:bottom w:val="none" w:sz="0" w:space="0" w:color="auto"/>
                    <w:right w:val="none" w:sz="0" w:space="0" w:color="auto"/>
                  </w:divBdr>
                  <w:divsChild>
                    <w:div w:id="2082942007">
                      <w:marLeft w:val="0"/>
                      <w:marRight w:val="0"/>
                      <w:marTop w:val="0"/>
                      <w:marBottom w:val="0"/>
                      <w:divBdr>
                        <w:top w:val="none" w:sz="0" w:space="0" w:color="auto"/>
                        <w:left w:val="none" w:sz="0" w:space="0" w:color="auto"/>
                        <w:bottom w:val="none" w:sz="0" w:space="0" w:color="auto"/>
                        <w:right w:val="none" w:sz="0" w:space="0" w:color="auto"/>
                      </w:divBdr>
                    </w:div>
                  </w:divsChild>
                </w:div>
                <w:div w:id="1611278843">
                  <w:marLeft w:val="0"/>
                  <w:marRight w:val="0"/>
                  <w:marTop w:val="0"/>
                  <w:marBottom w:val="0"/>
                  <w:divBdr>
                    <w:top w:val="none" w:sz="0" w:space="0" w:color="auto"/>
                    <w:left w:val="none" w:sz="0" w:space="0" w:color="auto"/>
                    <w:bottom w:val="none" w:sz="0" w:space="0" w:color="auto"/>
                    <w:right w:val="none" w:sz="0" w:space="0" w:color="auto"/>
                  </w:divBdr>
                  <w:divsChild>
                    <w:div w:id="88543642">
                      <w:marLeft w:val="0"/>
                      <w:marRight w:val="0"/>
                      <w:marTop w:val="0"/>
                      <w:marBottom w:val="0"/>
                      <w:divBdr>
                        <w:top w:val="none" w:sz="0" w:space="0" w:color="auto"/>
                        <w:left w:val="none" w:sz="0" w:space="0" w:color="auto"/>
                        <w:bottom w:val="none" w:sz="0" w:space="0" w:color="auto"/>
                        <w:right w:val="none" w:sz="0" w:space="0" w:color="auto"/>
                      </w:divBdr>
                    </w:div>
                  </w:divsChild>
                </w:div>
                <w:div w:id="1683236690">
                  <w:marLeft w:val="0"/>
                  <w:marRight w:val="0"/>
                  <w:marTop w:val="0"/>
                  <w:marBottom w:val="0"/>
                  <w:divBdr>
                    <w:top w:val="none" w:sz="0" w:space="0" w:color="auto"/>
                    <w:left w:val="none" w:sz="0" w:space="0" w:color="auto"/>
                    <w:bottom w:val="none" w:sz="0" w:space="0" w:color="auto"/>
                    <w:right w:val="none" w:sz="0" w:space="0" w:color="auto"/>
                  </w:divBdr>
                  <w:divsChild>
                    <w:div w:id="93983621">
                      <w:marLeft w:val="0"/>
                      <w:marRight w:val="0"/>
                      <w:marTop w:val="0"/>
                      <w:marBottom w:val="0"/>
                      <w:divBdr>
                        <w:top w:val="none" w:sz="0" w:space="0" w:color="auto"/>
                        <w:left w:val="none" w:sz="0" w:space="0" w:color="auto"/>
                        <w:bottom w:val="none" w:sz="0" w:space="0" w:color="auto"/>
                        <w:right w:val="none" w:sz="0" w:space="0" w:color="auto"/>
                      </w:divBdr>
                    </w:div>
                  </w:divsChild>
                </w:div>
                <w:div w:id="1685325273">
                  <w:marLeft w:val="0"/>
                  <w:marRight w:val="0"/>
                  <w:marTop w:val="0"/>
                  <w:marBottom w:val="0"/>
                  <w:divBdr>
                    <w:top w:val="none" w:sz="0" w:space="0" w:color="auto"/>
                    <w:left w:val="none" w:sz="0" w:space="0" w:color="auto"/>
                    <w:bottom w:val="none" w:sz="0" w:space="0" w:color="auto"/>
                    <w:right w:val="none" w:sz="0" w:space="0" w:color="auto"/>
                  </w:divBdr>
                  <w:divsChild>
                    <w:div w:id="733888843">
                      <w:marLeft w:val="0"/>
                      <w:marRight w:val="0"/>
                      <w:marTop w:val="0"/>
                      <w:marBottom w:val="0"/>
                      <w:divBdr>
                        <w:top w:val="none" w:sz="0" w:space="0" w:color="auto"/>
                        <w:left w:val="none" w:sz="0" w:space="0" w:color="auto"/>
                        <w:bottom w:val="none" w:sz="0" w:space="0" w:color="auto"/>
                        <w:right w:val="none" w:sz="0" w:space="0" w:color="auto"/>
                      </w:divBdr>
                    </w:div>
                  </w:divsChild>
                </w:div>
                <w:div w:id="1722362758">
                  <w:marLeft w:val="0"/>
                  <w:marRight w:val="0"/>
                  <w:marTop w:val="0"/>
                  <w:marBottom w:val="0"/>
                  <w:divBdr>
                    <w:top w:val="none" w:sz="0" w:space="0" w:color="auto"/>
                    <w:left w:val="none" w:sz="0" w:space="0" w:color="auto"/>
                    <w:bottom w:val="none" w:sz="0" w:space="0" w:color="auto"/>
                    <w:right w:val="none" w:sz="0" w:space="0" w:color="auto"/>
                  </w:divBdr>
                  <w:divsChild>
                    <w:div w:id="1308709786">
                      <w:marLeft w:val="0"/>
                      <w:marRight w:val="0"/>
                      <w:marTop w:val="0"/>
                      <w:marBottom w:val="0"/>
                      <w:divBdr>
                        <w:top w:val="none" w:sz="0" w:space="0" w:color="auto"/>
                        <w:left w:val="none" w:sz="0" w:space="0" w:color="auto"/>
                        <w:bottom w:val="none" w:sz="0" w:space="0" w:color="auto"/>
                        <w:right w:val="none" w:sz="0" w:space="0" w:color="auto"/>
                      </w:divBdr>
                    </w:div>
                  </w:divsChild>
                </w:div>
                <w:div w:id="2001301257">
                  <w:marLeft w:val="0"/>
                  <w:marRight w:val="0"/>
                  <w:marTop w:val="0"/>
                  <w:marBottom w:val="0"/>
                  <w:divBdr>
                    <w:top w:val="none" w:sz="0" w:space="0" w:color="auto"/>
                    <w:left w:val="none" w:sz="0" w:space="0" w:color="auto"/>
                    <w:bottom w:val="none" w:sz="0" w:space="0" w:color="auto"/>
                    <w:right w:val="none" w:sz="0" w:space="0" w:color="auto"/>
                  </w:divBdr>
                  <w:divsChild>
                    <w:div w:id="816144694">
                      <w:marLeft w:val="0"/>
                      <w:marRight w:val="0"/>
                      <w:marTop w:val="0"/>
                      <w:marBottom w:val="0"/>
                      <w:divBdr>
                        <w:top w:val="none" w:sz="0" w:space="0" w:color="auto"/>
                        <w:left w:val="none" w:sz="0" w:space="0" w:color="auto"/>
                        <w:bottom w:val="none" w:sz="0" w:space="0" w:color="auto"/>
                        <w:right w:val="none" w:sz="0" w:space="0" w:color="auto"/>
                      </w:divBdr>
                    </w:div>
                    <w:div w:id="890579181">
                      <w:marLeft w:val="0"/>
                      <w:marRight w:val="0"/>
                      <w:marTop w:val="0"/>
                      <w:marBottom w:val="0"/>
                      <w:divBdr>
                        <w:top w:val="none" w:sz="0" w:space="0" w:color="auto"/>
                        <w:left w:val="none" w:sz="0" w:space="0" w:color="auto"/>
                        <w:bottom w:val="none" w:sz="0" w:space="0" w:color="auto"/>
                        <w:right w:val="none" w:sz="0" w:space="0" w:color="auto"/>
                      </w:divBdr>
                    </w:div>
                  </w:divsChild>
                </w:div>
                <w:div w:id="2061707281">
                  <w:marLeft w:val="0"/>
                  <w:marRight w:val="0"/>
                  <w:marTop w:val="0"/>
                  <w:marBottom w:val="0"/>
                  <w:divBdr>
                    <w:top w:val="none" w:sz="0" w:space="0" w:color="auto"/>
                    <w:left w:val="none" w:sz="0" w:space="0" w:color="auto"/>
                    <w:bottom w:val="none" w:sz="0" w:space="0" w:color="auto"/>
                    <w:right w:val="none" w:sz="0" w:space="0" w:color="auto"/>
                  </w:divBdr>
                  <w:divsChild>
                    <w:div w:id="2134783633">
                      <w:marLeft w:val="0"/>
                      <w:marRight w:val="0"/>
                      <w:marTop w:val="0"/>
                      <w:marBottom w:val="0"/>
                      <w:divBdr>
                        <w:top w:val="none" w:sz="0" w:space="0" w:color="auto"/>
                        <w:left w:val="none" w:sz="0" w:space="0" w:color="auto"/>
                        <w:bottom w:val="none" w:sz="0" w:space="0" w:color="auto"/>
                        <w:right w:val="none" w:sz="0" w:space="0" w:color="auto"/>
                      </w:divBdr>
                    </w:div>
                  </w:divsChild>
                </w:div>
                <w:div w:id="2069450352">
                  <w:marLeft w:val="0"/>
                  <w:marRight w:val="0"/>
                  <w:marTop w:val="0"/>
                  <w:marBottom w:val="0"/>
                  <w:divBdr>
                    <w:top w:val="none" w:sz="0" w:space="0" w:color="auto"/>
                    <w:left w:val="none" w:sz="0" w:space="0" w:color="auto"/>
                    <w:bottom w:val="none" w:sz="0" w:space="0" w:color="auto"/>
                    <w:right w:val="none" w:sz="0" w:space="0" w:color="auto"/>
                  </w:divBdr>
                  <w:divsChild>
                    <w:div w:id="2030981499">
                      <w:marLeft w:val="0"/>
                      <w:marRight w:val="0"/>
                      <w:marTop w:val="0"/>
                      <w:marBottom w:val="0"/>
                      <w:divBdr>
                        <w:top w:val="none" w:sz="0" w:space="0" w:color="auto"/>
                        <w:left w:val="none" w:sz="0" w:space="0" w:color="auto"/>
                        <w:bottom w:val="none" w:sz="0" w:space="0" w:color="auto"/>
                        <w:right w:val="none" w:sz="0" w:space="0" w:color="auto"/>
                      </w:divBdr>
                    </w:div>
                  </w:divsChild>
                </w:div>
                <w:div w:id="2081752436">
                  <w:marLeft w:val="0"/>
                  <w:marRight w:val="0"/>
                  <w:marTop w:val="0"/>
                  <w:marBottom w:val="0"/>
                  <w:divBdr>
                    <w:top w:val="none" w:sz="0" w:space="0" w:color="auto"/>
                    <w:left w:val="none" w:sz="0" w:space="0" w:color="auto"/>
                    <w:bottom w:val="none" w:sz="0" w:space="0" w:color="auto"/>
                    <w:right w:val="none" w:sz="0" w:space="0" w:color="auto"/>
                  </w:divBdr>
                  <w:divsChild>
                    <w:div w:id="6442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1458">
          <w:marLeft w:val="0"/>
          <w:marRight w:val="0"/>
          <w:marTop w:val="0"/>
          <w:marBottom w:val="0"/>
          <w:divBdr>
            <w:top w:val="none" w:sz="0" w:space="0" w:color="auto"/>
            <w:left w:val="none" w:sz="0" w:space="0" w:color="auto"/>
            <w:bottom w:val="none" w:sz="0" w:space="0" w:color="auto"/>
            <w:right w:val="none" w:sz="0" w:space="0" w:color="auto"/>
          </w:divBdr>
        </w:div>
        <w:div w:id="580912027">
          <w:marLeft w:val="0"/>
          <w:marRight w:val="0"/>
          <w:marTop w:val="0"/>
          <w:marBottom w:val="0"/>
          <w:divBdr>
            <w:top w:val="none" w:sz="0" w:space="0" w:color="auto"/>
            <w:left w:val="none" w:sz="0" w:space="0" w:color="auto"/>
            <w:bottom w:val="none" w:sz="0" w:space="0" w:color="auto"/>
            <w:right w:val="none" w:sz="0" w:space="0" w:color="auto"/>
          </w:divBdr>
        </w:div>
        <w:div w:id="890531332">
          <w:marLeft w:val="0"/>
          <w:marRight w:val="0"/>
          <w:marTop w:val="0"/>
          <w:marBottom w:val="0"/>
          <w:divBdr>
            <w:top w:val="none" w:sz="0" w:space="0" w:color="auto"/>
            <w:left w:val="none" w:sz="0" w:space="0" w:color="auto"/>
            <w:bottom w:val="none" w:sz="0" w:space="0" w:color="auto"/>
            <w:right w:val="none" w:sz="0" w:space="0" w:color="auto"/>
          </w:divBdr>
        </w:div>
        <w:div w:id="1499273572">
          <w:marLeft w:val="0"/>
          <w:marRight w:val="0"/>
          <w:marTop w:val="0"/>
          <w:marBottom w:val="0"/>
          <w:divBdr>
            <w:top w:val="none" w:sz="0" w:space="0" w:color="auto"/>
            <w:left w:val="none" w:sz="0" w:space="0" w:color="auto"/>
            <w:bottom w:val="none" w:sz="0" w:space="0" w:color="auto"/>
            <w:right w:val="none" w:sz="0" w:space="0" w:color="auto"/>
          </w:divBdr>
        </w:div>
        <w:div w:id="1698388402">
          <w:marLeft w:val="0"/>
          <w:marRight w:val="0"/>
          <w:marTop w:val="0"/>
          <w:marBottom w:val="0"/>
          <w:divBdr>
            <w:top w:val="none" w:sz="0" w:space="0" w:color="auto"/>
            <w:left w:val="none" w:sz="0" w:space="0" w:color="auto"/>
            <w:bottom w:val="none" w:sz="0" w:space="0" w:color="auto"/>
            <w:right w:val="none" w:sz="0" w:space="0" w:color="auto"/>
          </w:divBdr>
        </w:div>
      </w:divsChild>
    </w:div>
    <w:div w:id="1630817192">
      <w:bodyDiv w:val="1"/>
      <w:marLeft w:val="0"/>
      <w:marRight w:val="0"/>
      <w:marTop w:val="0"/>
      <w:marBottom w:val="0"/>
      <w:divBdr>
        <w:top w:val="none" w:sz="0" w:space="0" w:color="auto"/>
        <w:left w:val="none" w:sz="0" w:space="0" w:color="auto"/>
        <w:bottom w:val="none" w:sz="0" w:space="0" w:color="auto"/>
        <w:right w:val="none" w:sz="0" w:space="0" w:color="auto"/>
      </w:divBdr>
      <w:divsChild>
        <w:div w:id="36595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863426">
      <w:bodyDiv w:val="1"/>
      <w:marLeft w:val="0"/>
      <w:marRight w:val="0"/>
      <w:marTop w:val="0"/>
      <w:marBottom w:val="0"/>
      <w:divBdr>
        <w:top w:val="none" w:sz="0" w:space="0" w:color="auto"/>
        <w:left w:val="none" w:sz="0" w:space="0" w:color="auto"/>
        <w:bottom w:val="none" w:sz="0" w:space="0" w:color="auto"/>
        <w:right w:val="none" w:sz="0" w:space="0" w:color="auto"/>
      </w:divBdr>
    </w:div>
    <w:div w:id="1651011094">
      <w:bodyDiv w:val="1"/>
      <w:marLeft w:val="0"/>
      <w:marRight w:val="0"/>
      <w:marTop w:val="0"/>
      <w:marBottom w:val="0"/>
      <w:divBdr>
        <w:top w:val="none" w:sz="0" w:space="0" w:color="auto"/>
        <w:left w:val="none" w:sz="0" w:space="0" w:color="auto"/>
        <w:bottom w:val="none" w:sz="0" w:space="0" w:color="auto"/>
        <w:right w:val="none" w:sz="0" w:space="0" w:color="auto"/>
      </w:divBdr>
      <w:divsChild>
        <w:div w:id="90734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518382">
      <w:bodyDiv w:val="1"/>
      <w:marLeft w:val="0"/>
      <w:marRight w:val="0"/>
      <w:marTop w:val="0"/>
      <w:marBottom w:val="0"/>
      <w:divBdr>
        <w:top w:val="none" w:sz="0" w:space="0" w:color="auto"/>
        <w:left w:val="none" w:sz="0" w:space="0" w:color="auto"/>
        <w:bottom w:val="none" w:sz="0" w:space="0" w:color="auto"/>
        <w:right w:val="none" w:sz="0" w:space="0" w:color="auto"/>
      </w:divBdr>
      <w:divsChild>
        <w:div w:id="10451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399422">
      <w:bodyDiv w:val="1"/>
      <w:marLeft w:val="0"/>
      <w:marRight w:val="0"/>
      <w:marTop w:val="0"/>
      <w:marBottom w:val="0"/>
      <w:divBdr>
        <w:top w:val="none" w:sz="0" w:space="0" w:color="auto"/>
        <w:left w:val="none" w:sz="0" w:space="0" w:color="auto"/>
        <w:bottom w:val="none" w:sz="0" w:space="0" w:color="auto"/>
        <w:right w:val="none" w:sz="0" w:space="0" w:color="auto"/>
      </w:divBdr>
    </w:div>
    <w:div w:id="1712028477">
      <w:bodyDiv w:val="1"/>
      <w:marLeft w:val="0"/>
      <w:marRight w:val="0"/>
      <w:marTop w:val="0"/>
      <w:marBottom w:val="0"/>
      <w:divBdr>
        <w:top w:val="none" w:sz="0" w:space="0" w:color="auto"/>
        <w:left w:val="none" w:sz="0" w:space="0" w:color="auto"/>
        <w:bottom w:val="none" w:sz="0" w:space="0" w:color="auto"/>
        <w:right w:val="none" w:sz="0" w:space="0" w:color="auto"/>
      </w:divBdr>
      <w:divsChild>
        <w:div w:id="571937059">
          <w:marLeft w:val="0"/>
          <w:marRight w:val="0"/>
          <w:marTop w:val="0"/>
          <w:marBottom w:val="0"/>
          <w:divBdr>
            <w:top w:val="none" w:sz="0" w:space="0" w:color="auto"/>
            <w:left w:val="none" w:sz="0" w:space="0" w:color="auto"/>
            <w:bottom w:val="none" w:sz="0" w:space="0" w:color="auto"/>
            <w:right w:val="none" w:sz="0" w:space="0" w:color="auto"/>
          </w:divBdr>
          <w:divsChild>
            <w:div w:id="1185635719">
              <w:marLeft w:val="0"/>
              <w:marRight w:val="0"/>
              <w:marTop w:val="0"/>
              <w:marBottom w:val="0"/>
              <w:divBdr>
                <w:top w:val="none" w:sz="0" w:space="0" w:color="auto"/>
                <w:left w:val="none" w:sz="0" w:space="0" w:color="auto"/>
                <w:bottom w:val="none" w:sz="0" w:space="0" w:color="auto"/>
                <w:right w:val="none" w:sz="0" w:space="0" w:color="auto"/>
              </w:divBdr>
              <w:divsChild>
                <w:div w:id="1206680234">
                  <w:marLeft w:val="0"/>
                  <w:marRight w:val="0"/>
                  <w:marTop w:val="0"/>
                  <w:marBottom w:val="0"/>
                  <w:divBdr>
                    <w:top w:val="none" w:sz="0" w:space="0" w:color="auto"/>
                    <w:left w:val="none" w:sz="0" w:space="0" w:color="auto"/>
                    <w:bottom w:val="none" w:sz="0" w:space="0" w:color="auto"/>
                    <w:right w:val="none" w:sz="0" w:space="0" w:color="auto"/>
                  </w:divBdr>
                  <w:divsChild>
                    <w:div w:id="590772675">
                      <w:marLeft w:val="0"/>
                      <w:marRight w:val="0"/>
                      <w:marTop w:val="0"/>
                      <w:marBottom w:val="0"/>
                      <w:divBdr>
                        <w:top w:val="none" w:sz="0" w:space="0" w:color="auto"/>
                        <w:left w:val="none" w:sz="0" w:space="0" w:color="auto"/>
                        <w:bottom w:val="none" w:sz="0" w:space="0" w:color="auto"/>
                        <w:right w:val="none" w:sz="0" w:space="0" w:color="auto"/>
                      </w:divBdr>
                    </w:div>
                    <w:div w:id="1092433868">
                      <w:marLeft w:val="0"/>
                      <w:marRight w:val="0"/>
                      <w:marTop w:val="0"/>
                      <w:marBottom w:val="0"/>
                      <w:divBdr>
                        <w:top w:val="none" w:sz="0" w:space="0" w:color="auto"/>
                        <w:left w:val="none" w:sz="0" w:space="0" w:color="auto"/>
                        <w:bottom w:val="none" w:sz="0" w:space="0" w:color="auto"/>
                        <w:right w:val="none" w:sz="0" w:space="0" w:color="auto"/>
                      </w:divBdr>
                    </w:div>
                  </w:divsChild>
                </w:div>
                <w:div w:id="1434282560">
                  <w:marLeft w:val="0"/>
                  <w:marRight w:val="0"/>
                  <w:marTop w:val="0"/>
                  <w:marBottom w:val="0"/>
                  <w:divBdr>
                    <w:top w:val="none" w:sz="0" w:space="0" w:color="auto"/>
                    <w:left w:val="none" w:sz="0" w:space="0" w:color="auto"/>
                    <w:bottom w:val="none" w:sz="0" w:space="0" w:color="auto"/>
                    <w:right w:val="none" w:sz="0" w:space="0" w:color="auto"/>
                  </w:divBdr>
                  <w:divsChild>
                    <w:div w:id="1508474514">
                      <w:marLeft w:val="0"/>
                      <w:marRight w:val="0"/>
                      <w:marTop w:val="0"/>
                      <w:marBottom w:val="0"/>
                      <w:divBdr>
                        <w:top w:val="none" w:sz="0" w:space="0" w:color="auto"/>
                        <w:left w:val="none" w:sz="0" w:space="0" w:color="auto"/>
                        <w:bottom w:val="none" w:sz="0" w:space="0" w:color="auto"/>
                        <w:right w:val="none" w:sz="0" w:space="0" w:color="auto"/>
                      </w:divBdr>
                    </w:div>
                    <w:div w:id="1847669749">
                      <w:marLeft w:val="0"/>
                      <w:marRight w:val="0"/>
                      <w:marTop w:val="0"/>
                      <w:marBottom w:val="0"/>
                      <w:divBdr>
                        <w:top w:val="none" w:sz="0" w:space="0" w:color="auto"/>
                        <w:left w:val="none" w:sz="0" w:space="0" w:color="auto"/>
                        <w:bottom w:val="none" w:sz="0" w:space="0" w:color="auto"/>
                        <w:right w:val="none" w:sz="0" w:space="0" w:color="auto"/>
                      </w:divBdr>
                    </w:div>
                  </w:divsChild>
                </w:div>
                <w:div w:id="1841508294">
                  <w:marLeft w:val="0"/>
                  <w:marRight w:val="0"/>
                  <w:marTop w:val="0"/>
                  <w:marBottom w:val="0"/>
                  <w:divBdr>
                    <w:top w:val="none" w:sz="0" w:space="0" w:color="auto"/>
                    <w:left w:val="none" w:sz="0" w:space="0" w:color="auto"/>
                    <w:bottom w:val="none" w:sz="0" w:space="0" w:color="auto"/>
                    <w:right w:val="none" w:sz="0" w:space="0" w:color="auto"/>
                  </w:divBdr>
                  <w:divsChild>
                    <w:div w:id="1061028179">
                      <w:marLeft w:val="0"/>
                      <w:marRight w:val="0"/>
                      <w:marTop w:val="0"/>
                      <w:marBottom w:val="0"/>
                      <w:divBdr>
                        <w:top w:val="none" w:sz="0" w:space="0" w:color="auto"/>
                        <w:left w:val="none" w:sz="0" w:space="0" w:color="auto"/>
                        <w:bottom w:val="none" w:sz="0" w:space="0" w:color="auto"/>
                        <w:right w:val="none" w:sz="0" w:space="0" w:color="auto"/>
                      </w:divBdr>
                    </w:div>
                    <w:div w:id="16978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18060">
      <w:bodyDiv w:val="1"/>
      <w:marLeft w:val="0"/>
      <w:marRight w:val="0"/>
      <w:marTop w:val="0"/>
      <w:marBottom w:val="0"/>
      <w:divBdr>
        <w:top w:val="none" w:sz="0" w:space="0" w:color="auto"/>
        <w:left w:val="none" w:sz="0" w:space="0" w:color="auto"/>
        <w:bottom w:val="none" w:sz="0" w:space="0" w:color="auto"/>
        <w:right w:val="none" w:sz="0" w:space="0" w:color="auto"/>
      </w:divBdr>
    </w:div>
    <w:div w:id="1723669969">
      <w:bodyDiv w:val="1"/>
      <w:marLeft w:val="0"/>
      <w:marRight w:val="0"/>
      <w:marTop w:val="0"/>
      <w:marBottom w:val="0"/>
      <w:divBdr>
        <w:top w:val="none" w:sz="0" w:space="0" w:color="auto"/>
        <w:left w:val="none" w:sz="0" w:space="0" w:color="auto"/>
        <w:bottom w:val="none" w:sz="0" w:space="0" w:color="auto"/>
        <w:right w:val="none" w:sz="0" w:space="0" w:color="auto"/>
      </w:divBdr>
    </w:div>
    <w:div w:id="1730566403">
      <w:bodyDiv w:val="1"/>
      <w:marLeft w:val="0"/>
      <w:marRight w:val="0"/>
      <w:marTop w:val="0"/>
      <w:marBottom w:val="0"/>
      <w:divBdr>
        <w:top w:val="none" w:sz="0" w:space="0" w:color="auto"/>
        <w:left w:val="none" w:sz="0" w:space="0" w:color="auto"/>
        <w:bottom w:val="none" w:sz="0" w:space="0" w:color="auto"/>
        <w:right w:val="none" w:sz="0" w:space="0" w:color="auto"/>
      </w:divBdr>
      <w:divsChild>
        <w:div w:id="1644037660">
          <w:marLeft w:val="0"/>
          <w:marRight w:val="0"/>
          <w:marTop w:val="0"/>
          <w:marBottom w:val="0"/>
          <w:divBdr>
            <w:top w:val="none" w:sz="0" w:space="0" w:color="auto"/>
            <w:left w:val="none" w:sz="0" w:space="0" w:color="auto"/>
            <w:bottom w:val="none" w:sz="0" w:space="0" w:color="auto"/>
            <w:right w:val="none" w:sz="0" w:space="0" w:color="auto"/>
          </w:divBdr>
          <w:divsChild>
            <w:div w:id="22486494">
              <w:marLeft w:val="0"/>
              <w:marRight w:val="0"/>
              <w:marTop w:val="0"/>
              <w:marBottom w:val="0"/>
              <w:divBdr>
                <w:top w:val="none" w:sz="0" w:space="0" w:color="auto"/>
                <w:left w:val="none" w:sz="0" w:space="0" w:color="auto"/>
                <w:bottom w:val="none" w:sz="0" w:space="0" w:color="auto"/>
                <w:right w:val="none" w:sz="0" w:space="0" w:color="auto"/>
              </w:divBdr>
              <w:divsChild>
                <w:div w:id="1741632963">
                  <w:marLeft w:val="0"/>
                  <w:marRight w:val="0"/>
                  <w:marTop w:val="0"/>
                  <w:marBottom w:val="0"/>
                  <w:divBdr>
                    <w:top w:val="none" w:sz="0" w:space="0" w:color="auto"/>
                    <w:left w:val="none" w:sz="0" w:space="0" w:color="auto"/>
                    <w:bottom w:val="none" w:sz="0" w:space="0" w:color="auto"/>
                    <w:right w:val="none" w:sz="0" w:space="0" w:color="auto"/>
                  </w:divBdr>
                  <w:divsChild>
                    <w:div w:id="15169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89425">
      <w:bodyDiv w:val="1"/>
      <w:marLeft w:val="0"/>
      <w:marRight w:val="0"/>
      <w:marTop w:val="0"/>
      <w:marBottom w:val="0"/>
      <w:divBdr>
        <w:top w:val="none" w:sz="0" w:space="0" w:color="auto"/>
        <w:left w:val="none" w:sz="0" w:space="0" w:color="auto"/>
        <w:bottom w:val="none" w:sz="0" w:space="0" w:color="auto"/>
        <w:right w:val="none" w:sz="0" w:space="0" w:color="auto"/>
      </w:divBdr>
      <w:divsChild>
        <w:div w:id="191011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542773">
      <w:bodyDiv w:val="1"/>
      <w:marLeft w:val="0"/>
      <w:marRight w:val="0"/>
      <w:marTop w:val="0"/>
      <w:marBottom w:val="0"/>
      <w:divBdr>
        <w:top w:val="none" w:sz="0" w:space="0" w:color="auto"/>
        <w:left w:val="none" w:sz="0" w:space="0" w:color="auto"/>
        <w:bottom w:val="none" w:sz="0" w:space="0" w:color="auto"/>
        <w:right w:val="none" w:sz="0" w:space="0" w:color="auto"/>
      </w:divBdr>
      <w:divsChild>
        <w:div w:id="1831022504">
          <w:marLeft w:val="0"/>
          <w:marRight w:val="0"/>
          <w:marTop w:val="0"/>
          <w:marBottom w:val="0"/>
          <w:divBdr>
            <w:top w:val="none" w:sz="0" w:space="0" w:color="auto"/>
            <w:left w:val="none" w:sz="0" w:space="0" w:color="auto"/>
            <w:bottom w:val="none" w:sz="0" w:space="0" w:color="auto"/>
            <w:right w:val="none" w:sz="0" w:space="0" w:color="auto"/>
          </w:divBdr>
        </w:div>
      </w:divsChild>
    </w:div>
    <w:div w:id="1793555137">
      <w:bodyDiv w:val="1"/>
      <w:marLeft w:val="0"/>
      <w:marRight w:val="0"/>
      <w:marTop w:val="0"/>
      <w:marBottom w:val="0"/>
      <w:divBdr>
        <w:top w:val="none" w:sz="0" w:space="0" w:color="auto"/>
        <w:left w:val="none" w:sz="0" w:space="0" w:color="auto"/>
        <w:bottom w:val="none" w:sz="0" w:space="0" w:color="auto"/>
        <w:right w:val="none" w:sz="0" w:space="0" w:color="auto"/>
      </w:divBdr>
      <w:divsChild>
        <w:div w:id="1706589849">
          <w:marLeft w:val="0"/>
          <w:marRight w:val="0"/>
          <w:marTop w:val="0"/>
          <w:marBottom w:val="0"/>
          <w:divBdr>
            <w:top w:val="none" w:sz="0" w:space="0" w:color="auto"/>
            <w:left w:val="none" w:sz="0" w:space="0" w:color="auto"/>
            <w:bottom w:val="none" w:sz="0" w:space="0" w:color="auto"/>
            <w:right w:val="none" w:sz="0" w:space="0" w:color="auto"/>
          </w:divBdr>
          <w:divsChild>
            <w:div w:id="1002274547">
              <w:marLeft w:val="0"/>
              <w:marRight w:val="0"/>
              <w:marTop w:val="0"/>
              <w:marBottom w:val="0"/>
              <w:divBdr>
                <w:top w:val="none" w:sz="0" w:space="0" w:color="auto"/>
                <w:left w:val="none" w:sz="0" w:space="0" w:color="auto"/>
                <w:bottom w:val="none" w:sz="0" w:space="0" w:color="auto"/>
                <w:right w:val="none" w:sz="0" w:space="0" w:color="auto"/>
              </w:divBdr>
              <w:divsChild>
                <w:div w:id="489174878">
                  <w:marLeft w:val="0"/>
                  <w:marRight w:val="0"/>
                  <w:marTop w:val="0"/>
                  <w:marBottom w:val="0"/>
                  <w:divBdr>
                    <w:top w:val="none" w:sz="0" w:space="0" w:color="auto"/>
                    <w:left w:val="none" w:sz="0" w:space="0" w:color="auto"/>
                    <w:bottom w:val="none" w:sz="0" w:space="0" w:color="auto"/>
                    <w:right w:val="none" w:sz="0" w:space="0" w:color="auto"/>
                  </w:divBdr>
                  <w:divsChild>
                    <w:div w:id="246767773">
                      <w:marLeft w:val="0"/>
                      <w:marRight w:val="0"/>
                      <w:marTop w:val="0"/>
                      <w:marBottom w:val="0"/>
                      <w:divBdr>
                        <w:top w:val="none" w:sz="0" w:space="0" w:color="auto"/>
                        <w:left w:val="none" w:sz="0" w:space="0" w:color="auto"/>
                        <w:bottom w:val="none" w:sz="0" w:space="0" w:color="auto"/>
                        <w:right w:val="none" w:sz="0" w:space="0" w:color="auto"/>
                      </w:divBdr>
                      <w:divsChild>
                        <w:div w:id="1216433565">
                          <w:marLeft w:val="0"/>
                          <w:marRight w:val="0"/>
                          <w:marTop w:val="0"/>
                          <w:marBottom w:val="0"/>
                          <w:divBdr>
                            <w:top w:val="none" w:sz="0" w:space="0" w:color="auto"/>
                            <w:left w:val="none" w:sz="0" w:space="0" w:color="auto"/>
                            <w:bottom w:val="none" w:sz="0" w:space="0" w:color="auto"/>
                            <w:right w:val="none" w:sz="0" w:space="0" w:color="auto"/>
                          </w:divBdr>
                          <w:divsChild>
                            <w:div w:id="1390884963">
                              <w:marLeft w:val="0"/>
                              <w:marRight w:val="0"/>
                              <w:marTop w:val="0"/>
                              <w:marBottom w:val="0"/>
                              <w:divBdr>
                                <w:top w:val="none" w:sz="0" w:space="0" w:color="auto"/>
                                <w:left w:val="none" w:sz="0" w:space="0" w:color="auto"/>
                                <w:bottom w:val="none" w:sz="0" w:space="0" w:color="auto"/>
                                <w:right w:val="none" w:sz="0" w:space="0" w:color="auto"/>
                              </w:divBdr>
                              <w:divsChild>
                                <w:div w:id="385421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945921">
      <w:bodyDiv w:val="1"/>
      <w:marLeft w:val="0"/>
      <w:marRight w:val="0"/>
      <w:marTop w:val="0"/>
      <w:marBottom w:val="0"/>
      <w:divBdr>
        <w:top w:val="none" w:sz="0" w:space="0" w:color="auto"/>
        <w:left w:val="none" w:sz="0" w:space="0" w:color="auto"/>
        <w:bottom w:val="none" w:sz="0" w:space="0" w:color="auto"/>
        <w:right w:val="none" w:sz="0" w:space="0" w:color="auto"/>
      </w:divBdr>
    </w:div>
    <w:div w:id="1819154725">
      <w:bodyDiv w:val="1"/>
      <w:marLeft w:val="0"/>
      <w:marRight w:val="0"/>
      <w:marTop w:val="0"/>
      <w:marBottom w:val="0"/>
      <w:divBdr>
        <w:top w:val="none" w:sz="0" w:space="0" w:color="auto"/>
        <w:left w:val="none" w:sz="0" w:space="0" w:color="auto"/>
        <w:bottom w:val="none" w:sz="0" w:space="0" w:color="auto"/>
        <w:right w:val="none" w:sz="0" w:space="0" w:color="auto"/>
      </w:divBdr>
      <w:divsChild>
        <w:div w:id="1486627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8752">
      <w:bodyDiv w:val="1"/>
      <w:marLeft w:val="0"/>
      <w:marRight w:val="0"/>
      <w:marTop w:val="0"/>
      <w:marBottom w:val="0"/>
      <w:divBdr>
        <w:top w:val="none" w:sz="0" w:space="0" w:color="auto"/>
        <w:left w:val="none" w:sz="0" w:space="0" w:color="auto"/>
        <w:bottom w:val="none" w:sz="0" w:space="0" w:color="auto"/>
        <w:right w:val="none" w:sz="0" w:space="0" w:color="auto"/>
      </w:divBdr>
    </w:div>
    <w:div w:id="1877041445">
      <w:bodyDiv w:val="1"/>
      <w:marLeft w:val="0"/>
      <w:marRight w:val="0"/>
      <w:marTop w:val="0"/>
      <w:marBottom w:val="0"/>
      <w:divBdr>
        <w:top w:val="none" w:sz="0" w:space="0" w:color="auto"/>
        <w:left w:val="none" w:sz="0" w:space="0" w:color="auto"/>
        <w:bottom w:val="none" w:sz="0" w:space="0" w:color="auto"/>
        <w:right w:val="none" w:sz="0" w:space="0" w:color="auto"/>
      </w:divBdr>
    </w:div>
    <w:div w:id="1913345798">
      <w:bodyDiv w:val="1"/>
      <w:marLeft w:val="0"/>
      <w:marRight w:val="0"/>
      <w:marTop w:val="0"/>
      <w:marBottom w:val="0"/>
      <w:divBdr>
        <w:top w:val="none" w:sz="0" w:space="0" w:color="auto"/>
        <w:left w:val="none" w:sz="0" w:space="0" w:color="auto"/>
        <w:bottom w:val="none" w:sz="0" w:space="0" w:color="auto"/>
        <w:right w:val="none" w:sz="0" w:space="0" w:color="auto"/>
      </w:divBdr>
    </w:div>
    <w:div w:id="1915361227">
      <w:bodyDiv w:val="1"/>
      <w:marLeft w:val="0"/>
      <w:marRight w:val="0"/>
      <w:marTop w:val="0"/>
      <w:marBottom w:val="0"/>
      <w:divBdr>
        <w:top w:val="none" w:sz="0" w:space="0" w:color="auto"/>
        <w:left w:val="none" w:sz="0" w:space="0" w:color="auto"/>
        <w:bottom w:val="none" w:sz="0" w:space="0" w:color="auto"/>
        <w:right w:val="none" w:sz="0" w:space="0" w:color="auto"/>
      </w:divBdr>
      <w:divsChild>
        <w:div w:id="536086541">
          <w:marLeft w:val="0"/>
          <w:marRight w:val="0"/>
          <w:marTop w:val="0"/>
          <w:marBottom w:val="0"/>
          <w:divBdr>
            <w:top w:val="none" w:sz="0" w:space="0" w:color="auto"/>
            <w:left w:val="none" w:sz="0" w:space="0" w:color="auto"/>
            <w:bottom w:val="none" w:sz="0" w:space="0" w:color="auto"/>
            <w:right w:val="none" w:sz="0" w:space="0" w:color="auto"/>
          </w:divBdr>
          <w:divsChild>
            <w:div w:id="629282915">
              <w:marLeft w:val="0"/>
              <w:marRight w:val="0"/>
              <w:marTop w:val="0"/>
              <w:marBottom w:val="0"/>
              <w:divBdr>
                <w:top w:val="none" w:sz="0" w:space="0" w:color="auto"/>
                <w:left w:val="none" w:sz="0" w:space="0" w:color="auto"/>
                <w:bottom w:val="none" w:sz="0" w:space="0" w:color="auto"/>
                <w:right w:val="none" w:sz="0" w:space="0" w:color="auto"/>
              </w:divBdr>
              <w:divsChild>
                <w:div w:id="160581226">
                  <w:marLeft w:val="0"/>
                  <w:marRight w:val="0"/>
                  <w:marTop w:val="0"/>
                  <w:marBottom w:val="0"/>
                  <w:divBdr>
                    <w:top w:val="none" w:sz="0" w:space="0" w:color="auto"/>
                    <w:left w:val="none" w:sz="0" w:space="0" w:color="auto"/>
                    <w:bottom w:val="none" w:sz="0" w:space="0" w:color="auto"/>
                    <w:right w:val="none" w:sz="0" w:space="0" w:color="auto"/>
                  </w:divBdr>
                  <w:divsChild>
                    <w:div w:id="568422533">
                      <w:marLeft w:val="0"/>
                      <w:marRight w:val="0"/>
                      <w:marTop w:val="0"/>
                      <w:marBottom w:val="0"/>
                      <w:divBdr>
                        <w:top w:val="none" w:sz="0" w:space="0" w:color="auto"/>
                        <w:left w:val="none" w:sz="0" w:space="0" w:color="auto"/>
                        <w:bottom w:val="none" w:sz="0" w:space="0" w:color="auto"/>
                        <w:right w:val="none" w:sz="0" w:space="0" w:color="auto"/>
                      </w:divBdr>
                    </w:div>
                    <w:div w:id="925764826">
                      <w:marLeft w:val="0"/>
                      <w:marRight w:val="0"/>
                      <w:marTop w:val="0"/>
                      <w:marBottom w:val="0"/>
                      <w:divBdr>
                        <w:top w:val="none" w:sz="0" w:space="0" w:color="auto"/>
                        <w:left w:val="none" w:sz="0" w:space="0" w:color="auto"/>
                        <w:bottom w:val="none" w:sz="0" w:space="0" w:color="auto"/>
                        <w:right w:val="none" w:sz="0" w:space="0" w:color="auto"/>
                      </w:divBdr>
                    </w:div>
                  </w:divsChild>
                </w:div>
                <w:div w:id="1016230023">
                  <w:marLeft w:val="0"/>
                  <w:marRight w:val="0"/>
                  <w:marTop w:val="0"/>
                  <w:marBottom w:val="0"/>
                  <w:divBdr>
                    <w:top w:val="none" w:sz="0" w:space="0" w:color="auto"/>
                    <w:left w:val="none" w:sz="0" w:space="0" w:color="auto"/>
                    <w:bottom w:val="none" w:sz="0" w:space="0" w:color="auto"/>
                    <w:right w:val="none" w:sz="0" w:space="0" w:color="auto"/>
                  </w:divBdr>
                  <w:divsChild>
                    <w:div w:id="79062043">
                      <w:marLeft w:val="0"/>
                      <w:marRight w:val="0"/>
                      <w:marTop w:val="0"/>
                      <w:marBottom w:val="0"/>
                      <w:divBdr>
                        <w:top w:val="none" w:sz="0" w:space="0" w:color="auto"/>
                        <w:left w:val="none" w:sz="0" w:space="0" w:color="auto"/>
                        <w:bottom w:val="none" w:sz="0" w:space="0" w:color="auto"/>
                        <w:right w:val="none" w:sz="0" w:space="0" w:color="auto"/>
                      </w:divBdr>
                    </w:div>
                    <w:div w:id="280113557">
                      <w:marLeft w:val="0"/>
                      <w:marRight w:val="0"/>
                      <w:marTop w:val="0"/>
                      <w:marBottom w:val="0"/>
                      <w:divBdr>
                        <w:top w:val="none" w:sz="0" w:space="0" w:color="auto"/>
                        <w:left w:val="none" w:sz="0" w:space="0" w:color="auto"/>
                        <w:bottom w:val="none" w:sz="0" w:space="0" w:color="auto"/>
                        <w:right w:val="none" w:sz="0" w:space="0" w:color="auto"/>
                      </w:divBdr>
                    </w:div>
                  </w:divsChild>
                </w:div>
                <w:div w:id="1734423766">
                  <w:marLeft w:val="0"/>
                  <w:marRight w:val="0"/>
                  <w:marTop w:val="0"/>
                  <w:marBottom w:val="0"/>
                  <w:divBdr>
                    <w:top w:val="none" w:sz="0" w:space="0" w:color="auto"/>
                    <w:left w:val="none" w:sz="0" w:space="0" w:color="auto"/>
                    <w:bottom w:val="none" w:sz="0" w:space="0" w:color="auto"/>
                    <w:right w:val="none" w:sz="0" w:space="0" w:color="auto"/>
                  </w:divBdr>
                  <w:divsChild>
                    <w:div w:id="1439522982">
                      <w:marLeft w:val="0"/>
                      <w:marRight w:val="0"/>
                      <w:marTop w:val="0"/>
                      <w:marBottom w:val="0"/>
                      <w:divBdr>
                        <w:top w:val="none" w:sz="0" w:space="0" w:color="auto"/>
                        <w:left w:val="none" w:sz="0" w:space="0" w:color="auto"/>
                        <w:bottom w:val="none" w:sz="0" w:space="0" w:color="auto"/>
                        <w:right w:val="none" w:sz="0" w:space="0" w:color="auto"/>
                      </w:divBdr>
                    </w:div>
                    <w:div w:id="1553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622050">
      <w:bodyDiv w:val="1"/>
      <w:marLeft w:val="0"/>
      <w:marRight w:val="0"/>
      <w:marTop w:val="0"/>
      <w:marBottom w:val="0"/>
      <w:divBdr>
        <w:top w:val="none" w:sz="0" w:space="0" w:color="auto"/>
        <w:left w:val="none" w:sz="0" w:space="0" w:color="auto"/>
        <w:bottom w:val="none" w:sz="0" w:space="0" w:color="auto"/>
        <w:right w:val="none" w:sz="0" w:space="0" w:color="auto"/>
      </w:divBdr>
      <w:divsChild>
        <w:div w:id="1576360993">
          <w:marLeft w:val="0"/>
          <w:marRight w:val="0"/>
          <w:marTop w:val="0"/>
          <w:marBottom w:val="0"/>
          <w:divBdr>
            <w:top w:val="none" w:sz="0" w:space="0" w:color="auto"/>
            <w:left w:val="none" w:sz="0" w:space="0" w:color="auto"/>
            <w:bottom w:val="none" w:sz="0" w:space="0" w:color="auto"/>
            <w:right w:val="none" w:sz="0" w:space="0" w:color="auto"/>
          </w:divBdr>
          <w:divsChild>
            <w:div w:id="17553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80769">
      <w:bodyDiv w:val="1"/>
      <w:marLeft w:val="0"/>
      <w:marRight w:val="0"/>
      <w:marTop w:val="0"/>
      <w:marBottom w:val="0"/>
      <w:divBdr>
        <w:top w:val="none" w:sz="0" w:space="0" w:color="auto"/>
        <w:left w:val="none" w:sz="0" w:space="0" w:color="auto"/>
        <w:bottom w:val="none" w:sz="0" w:space="0" w:color="auto"/>
        <w:right w:val="none" w:sz="0" w:space="0" w:color="auto"/>
      </w:divBdr>
      <w:divsChild>
        <w:div w:id="731274289">
          <w:marLeft w:val="0"/>
          <w:marRight w:val="0"/>
          <w:marTop w:val="0"/>
          <w:marBottom w:val="0"/>
          <w:divBdr>
            <w:top w:val="none" w:sz="0" w:space="0" w:color="auto"/>
            <w:left w:val="none" w:sz="0" w:space="0" w:color="auto"/>
            <w:bottom w:val="none" w:sz="0" w:space="0" w:color="auto"/>
            <w:right w:val="none" w:sz="0" w:space="0" w:color="auto"/>
          </w:divBdr>
          <w:divsChild>
            <w:div w:id="17213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4769">
      <w:bodyDiv w:val="1"/>
      <w:marLeft w:val="0"/>
      <w:marRight w:val="0"/>
      <w:marTop w:val="0"/>
      <w:marBottom w:val="0"/>
      <w:divBdr>
        <w:top w:val="none" w:sz="0" w:space="0" w:color="auto"/>
        <w:left w:val="none" w:sz="0" w:space="0" w:color="auto"/>
        <w:bottom w:val="none" w:sz="0" w:space="0" w:color="auto"/>
        <w:right w:val="none" w:sz="0" w:space="0" w:color="auto"/>
      </w:divBdr>
    </w:div>
    <w:div w:id="1967929694">
      <w:bodyDiv w:val="1"/>
      <w:marLeft w:val="0"/>
      <w:marRight w:val="0"/>
      <w:marTop w:val="0"/>
      <w:marBottom w:val="0"/>
      <w:divBdr>
        <w:top w:val="none" w:sz="0" w:space="0" w:color="auto"/>
        <w:left w:val="none" w:sz="0" w:space="0" w:color="auto"/>
        <w:bottom w:val="none" w:sz="0" w:space="0" w:color="auto"/>
        <w:right w:val="none" w:sz="0" w:space="0" w:color="auto"/>
      </w:divBdr>
    </w:div>
    <w:div w:id="2030597798">
      <w:bodyDiv w:val="1"/>
      <w:marLeft w:val="0"/>
      <w:marRight w:val="0"/>
      <w:marTop w:val="0"/>
      <w:marBottom w:val="0"/>
      <w:divBdr>
        <w:top w:val="none" w:sz="0" w:space="0" w:color="auto"/>
        <w:left w:val="none" w:sz="0" w:space="0" w:color="auto"/>
        <w:bottom w:val="none" w:sz="0" w:space="0" w:color="auto"/>
        <w:right w:val="none" w:sz="0" w:space="0" w:color="auto"/>
      </w:divBdr>
      <w:divsChild>
        <w:div w:id="490297115">
          <w:marLeft w:val="0"/>
          <w:marRight w:val="0"/>
          <w:marTop w:val="0"/>
          <w:marBottom w:val="0"/>
          <w:divBdr>
            <w:top w:val="none" w:sz="0" w:space="0" w:color="auto"/>
            <w:left w:val="none" w:sz="0" w:space="0" w:color="auto"/>
            <w:bottom w:val="none" w:sz="0" w:space="0" w:color="auto"/>
            <w:right w:val="none" w:sz="0" w:space="0" w:color="auto"/>
          </w:divBdr>
        </w:div>
        <w:div w:id="1215391557">
          <w:marLeft w:val="0"/>
          <w:marRight w:val="0"/>
          <w:marTop w:val="0"/>
          <w:marBottom w:val="0"/>
          <w:divBdr>
            <w:top w:val="none" w:sz="0" w:space="0" w:color="auto"/>
            <w:left w:val="none" w:sz="0" w:space="0" w:color="auto"/>
            <w:bottom w:val="none" w:sz="0" w:space="0" w:color="auto"/>
            <w:right w:val="none" w:sz="0" w:space="0" w:color="auto"/>
          </w:divBdr>
        </w:div>
        <w:div w:id="1509902214">
          <w:marLeft w:val="0"/>
          <w:marRight w:val="0"/>
          <w:marTop w:val="0"/>
          <w:marBottom w:val="0"/>
          <w:divBdr>
            <w:top w:val="none" w:sz="0" w:space="0" w:color="auto"/>
            <w:left w:val="none" w:sz="0" w:space="0" w:color="auto"/>
            <w:bottom w:val="none" w:sz="0" w:space="0" w:color="auto"/>
            <w:right w:val="none" w:sz="0" w:space="0" w:color="auto"/>
          </w:divBdr>
        </w:div>
        <w:div w:id="1553231278">
          <w:marLeft w:val="0"/>
          <w:marRight w:val="0"/>
          <w:marTop w:val="0"/>
          <w:marBottom w:val="0"/>
          <w:divBdr>
            <w:top w:val="none" w:sz="0" w:space="0" w:color="auto"/>
            <w:left w:val="none" w:sz="0" w:space="0" w:color="auto"/>
            <w:bottom w:val="none" w:sz="0" w:space="0" w:color="auto"/>
            <w:right w:val="none" w:sz="0" w:space="0" w:color="auto"/>
          </w:divBdr>
        </w:div>
        <w:div w:id="1701201835">
          <w:marLeft w:val="0"/>
          <w:marRight w:val="0"/>
          <w:marTop w:val="0"/>
          <w:marBottom w:val="0"/>
          <w:divBdr>
            <w:top w:val="none" w:sz="0" w:space="0" w:color="auto"/>
            <w:left w:val="none" w:sz="0" w:space="0" w:color="auto"/>
            <w:bottom w:val="none" w:sz="0" w:space="0" w:color="auto"/>
            <w:right w:val="none" w:sz="0" w:space="0" w:color="auto"/>
          </w:divBdr>
        </w:div>
        <w:div w:id="2112240865">
          <w:marLeft w:val="0"/>
          <w:marRight w:val="0"/>
          <w:marTop w:val="0"/>
          <w:marBottom w:val="0"/>
          <w:divBdr>
            <w:top w:val="none" w:sz="0" w:space="0" w:color="auto"/>
            <w:left w:val="none" w:sz="0" w:space="0" w:color="auto"/>
            <w:bottom w:val="none" w:sz="0" w:space="0" w:color="auto"/>
            <w:right w:val="none" w:sz="0" w:space="0" w:color="auto"/>
          </w:divBdr>
        </w:div>
      </w:divsChild>
    </w:div>
    <w:div w:id="2032104166">
      <w:bodyDiv w:val="1"/>
      <w:marLeft w:val="0"/>
      <w:marRight w:val="0"/>
      <w:marTop w:val="0"/>
      <w:marBottom w:val="0"/>
      <w:divBdr>
        <w:top w:val="none" w:sz="0" w:space="0" w:color="auto"/>
        <w:left w:val="none" w:sz="0" w:space="0" w:color="auto"/>
        <w:bottom w:val="none" w:sz="0" w:space="0" w:color="auto"/>
        <w:right w:val="none" w:sz="0" w:space="0" w:color="auto"/>
      </w:divBdr>
    </w:div>
    <w:div w:id="2041740196">
      <w:bodyDiv w:val="1"/>
      <w:marLeft w:val="0"/>
      <w:marRight w:val="0"/>
      <w:marTop w:val="0"/>
      <w:marBottom w:val="0"/>
      <w:divBdr>
        <w:top w:val="none" w:sz="0" w:space="0" w:color="auto"/>
        <w:left w:val="none" w:sz="0" w:space="0" w:color="auto"/>
        <w:bottom w:val="none" w:sz="0" w:space="0" w:color="auto"/>
        <w:right w:val="none" w:sz="0" w:space="0" w:color="auto"/>
      </w:divBdr>
      <w:divsChild>
        <w:div w:id="42049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934590">
      <w:bodyDiv w:val="1"/>
      <w:marLeft w:val="0"/>
      <w:marRight w:val="0"/>
      <w:marTop w:val="0"/>
      <w:marBottom w:val="0"/>
      <w:divBdr>
        <w:top w:val="none" w:sz="0" w:space="0" w:color="auto"/>
        <w:left w:val="none" w:sz="0" w:space="0" w:color="auto"/>
        <w:bottom w:val="none" w:sz="0" w:space="0" w:color="auto"/>
        <w:right w:val="none" w:sz="0" w:space="0" w:color="auto"/>
      </w:divBdr>
      <w:divsChild>
        <w:div w:id="570389388">
          <w:marLeft w:val="0"/>
          <w:marRight w:val="0"/>
          <w:marTop w:val="0"/>
          <w:marBottom w:val="0"/>
          <w:divBdr>
            <w:top w:val="none" w:sz="0" w:space="0" w:color="auto"/>
            <w:left w:val="none" w:sz="0" w:space="0" w:color="auto"/>
            <w:bottom w:val="none" w:sz="0" w:space="0" w:color="auto"/>
            <w:right w:val="none" w:sz="0" w:space="0" w:color="auto"/>
          </w:divBdr>
        </w:div>
      </w:divsChild>
    </w:div>
    <w:div w:id="2073115397">
      <w:bodyDiv w:val="1"/>
      <w:marLeft w:val="0"/>
      <w:marRight w:val="0"/>
      <w:marTop w:val="0"/>
      <w:marBottom w:val="0"/>
      <w:divBdr>
        <w:top w:val="none" w:sz="0" w:space="0" w:color="auto"/>
        <w:left w:val="none" w:sz="0" w:space="0" w:color="auto"/>
        <w:bottom w:val="none" w:sz="0" w:space="0" w:color="auto"/>
        <w:right w:val="none" w:sz="0" w:space="0" w:color="auto"/>
      </w:divBdr>
    </w:div>
    <w:div w:id="2095777549">
      <w:bodyDiv w:val="1"/>
      <w:marLeft w:val="0"/>
      <w:marRight w:val="0"/>
      <w:marTop w:val="0"/>
      <w:marBottom w:val="0"/>
      <w:divBdr>
        <w:top w:val="none" w:sz="0" w:space="0" w:color="auto"/>
        <w:left w:val="none" w:sz="0" w:space="0" w:color="auto"/>
        <w:bottom w:val="none" w:sz="0" w:space="0" w:color="auto"/>
        <w:right w:val="none" w:sz="0" w:space="0" w:color="auto"/>
      </w:divBdr>
      <w:divsChild>
        <w:div w:id="83310149">
          <w:marLeft w:val="0"/>
          <w:marRight w:val="0"/>
          <w:marTop w:val="0"/>
          <w:marBottom w:val="0"/>
          <w:divBdr>
            <w:top w:val="none" w:sz="0" w:space="0" w:color="auto"/>
            <w:left w:val="none" w:sz="0" w:space="0" w:color="auto"/>
            <w:bottom w:val="none" w:sz="0" w:space="0" w:color="auto"/>
            <w:right w:val="none" w:sz="0" w:space="0" w:color="auto"/>
          </w:divBdr>
          <w:divsChild>
            <w:div w:id="854466782">
              <w:marLeft w:val="0"/>
              <w:marRight w:val="0"/>
              <w:marTop w:val="0"/>
              <w:marBottom w:val="0"/>
              <w:divBdr>
                <w:top w:val="none" w:sz="0" w:space="0" w:color="auto"/>
                <w:left w:val="none" w:sz="0" w:space="0" w:color="auto"/>
                <w:bottom w:val="none" w:sz="0" w:space="0" w:color="auto"/>
                <w:right w:val="none" w:sz="0" w:space="0" w:color="auto"/>
              </w:divBdr>
            </w:div>
            <w:div w:id="1634629485">
              <w:marLeft w:val="0"/>
              <w:marRight w:val="0"/>
              <w:marTop w:val="120"/>
              <w:marBottom w:val="0"/>
              <w:divBdr>
                <w:top w:val="none" w:sz="0" w:space="0" w:color="auto"/>
                <w:left w:val="none" w:sz="0" w:space="0" w:color="auto"/>
                <w:bottom w:val="none" w:sz="0" w:space="0" w:color="auto"/>
                <w:right w:val="none" w:sz="0" w:space="0" w:color="auto"/>
              </w:divBdr>
            </w:div>
          </w:divsChild>
        </w:div>
        <w:div w:id="909191687">
          <w:marLeft w:val="0"/>
          <w:marRight w:val="0"/>
          <w:marTop w:val="0"/>
          <w:marBottom w:val="0"/>
          <w:divBdr>
            <w:top w:val="none" w:sz="0" w:space="0" w:color="auto"/>
            <w:left w:val="none" w:sz="0" w:space="0" w:color="auto"/>
            <w:bottom w:val="none" w:sz="0" w:space="0" w:color="auto"/>
            <w:right w:val="none" w:sz="0" w:space="0" w:color="auto"/>
          </w:divBdr>
          <w:divsChild>
            <w:div w:id="772483280">
              <w:marLeft w:val="0"/>
              <w:marRight w:val="0"/>
              <w:marTop w:val="0"/>
              <w:marBottom w:val="0"/>
              <w:divBdr>
                <w:top w:val="none" w:sz="0" w:space="0" w:color="auto"/>
                <w:left w:val="none" w:sz="0" w:space="0" w:color="auto"/>
                <w:bottom w:val="none" w:sz="0" w:space="0" w:color="auto"/>
                <w:right w:val="none" w:sz="0" w:space="0" w:color="auto"/>
              </w:divBdr>
            </w:div>
            <w:div w:id="2049721336">
              <w:marLeft w:val="0"/>
              <w:marRight w:val="0"/>
              <w:marTop w:val="120"/>
              <w:marBottom w:val="0"/>
              <w:divBdr>
                <w:top w:val="none" w:sz="0" w:space="0" w:color="auto"/>
                <w:left w:val="none" w:sz="0" w:space="0" w:color="auto"/>
                <w:bottom w:val="none" w:sz="0" w:space="0" w:color="auto"/>
                <w:right w:val="none" w:sz="0" w:space="0" w:color="auto"/>
              </w:divBdr>
            </w:div>
          </w:divsChild>
        </w:div>
        <w:div w:id="1546525153">
          <w:marLeft w:val="0"/>
          <w:marRight w:val="0"/>
          <w:marTop w:val="0"/>
          <w:marBottom w:val="0"/>
          <w:divBdr>
            <w:top w:val="none" w:sz="0" w:space="0" w:color="auto"/>
            <w:left w:val="none" w:sz="0" w:space="0" w:color="auto"/>
            <w:bottom w:val="none" w:sz="0" w:space="0" w:color="auto"/>
            <w:right w:val="none" w:sz="0" w:space="0" w:color="auto"/>
          </w:divBdr>
          <w:divsChild>
            <w:div w:id="834614158">
              <w:marLeft w:val="0"/>
              <w:marRight w:val="0"/>
              <w:marTop w:val="120"/>
              <w:marBottom w:val="0"/>
              <w:divBdr>
                <w:top w:val="none" w:sz="0" w:space="0" w:color="auto"/>
                <w:left w:val="none" w:sz="0" w:space="0" w:color="auto"/>
                <w:bottom w:val="none" w:sz="0" w:space="0" w:color="auto"/>
                <w:right w:val="none" w:sz="0" w:space="0" w:color="auto"/>
              </w:divBdr>
            </w:div>
            <w:div w:id="1834224393">
              <w:marLeft w:val="0"/>
              <w:marRight w:val="0"/>
              <w:marTop w:val="0"/>
              <w:marBottom w:val="0"/>
              <w:divBdr>
                <w:top w:val="none" w:sz="0" w:space="0" w:color="auto"/>
                <w:left w:val="none" w:sz="0" w:space="0" w:color="auto"/>
                <w:bottom w:val="none" w:sz="0" w:space="0" w:color="auto"/>
                <w:right w:val="none" w:sz="0" w:space="0" w:color="auto"/>
              </w:divBdr>
            </w:div>
          </w:divsChild>
        </w:div>
        <w:div w:id="2045710905">
          <w:marLeft w:val="0"/>
          <w:marRight w:val="0"/>
          <w:marTop w:val="0"/>
          <w:marBottom w:val="0"/>
          <w:divBdr>
            <w:top w:val="none" w:sz="0" w:space="0" w:color="auto"/>
            <w:left w:val="none" w:sz="0" w:space="0" w:color="auto"/>
            <w:bottom w:val="none" w:sz="0" w:space="0" w:color="auto"/>
            <w:right w:val="none" w:sz="0" w:space="0" w:color="auto"/>
          </w:divBdr>
          <w:divsChild>
            <w:div w:id="713702717">
              <w:marLeft w:val="0"/>
              <w:marRight w:val="0"/>
              <w:marTop w:val="0"/>
              <w:marBottom w:val="0"/>
              <w:divBdr>
                <w:top w:val="none" w:sz="0" w:space="0" w:color="auto"/>
                <w:left w:val="none" w:sz="0" w:space="0" w:color="auto"/>
                <w:bottom w:val="none" w:sz="0" w:space="0" w:color="auto"/>
                <w:right w:val="none" w:sz="0" w:space="0" w:color="auto"/>
              </w:divBdr>
            </w:div>
            <w:div w:id="15481781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94111">
      <w:bodyDiv w:val="1"/>
      <w:marLeft w:val="0"/>
      <w:marRight w:val="0"/>
      <w:marTop w:val="0"/>
      <w:marBottom w:val="0"/>
      <w:divBdr>
        <w:top w:val="none" w:sz="0" w:space="0" w:color="auto"/>
        <w:left w:val="none" w:sz="0" w:space="0" w:color="auto"/>
        <w:bottom w:val="none" w:sz="0" w:space="0" w:color="auto"/>
        <w:right w:val="none" w:sz="0" w:space="0" w:color="auto"/>
      </w:divBdr>
      <w:divsChild>
        <w:div w:id="395012717">
          <w:marLeft w:val="0"/>
          <w:marRight w:val="0"/>
          <w:marTop w:val="0"/>
          <w:marBottom w:val="0"/>
          <w:divBdr>
            <w:top w:val="none" w:sz="0" w:space="0" w:color="auto"/>
            <w:left w:val="none" w:sz="0" w:space="0" w:color="auto"/>
            <w:bottom w:val="none" w:sz="0" w:space="0" w:color="auto"/>
            <w:right w:val="none" w:sz="0" w:space="0" w:color="auto"/>
          </w:divBdr>
        </w:div>
        <w:div w:id="1125974465">
          <w:marLeft w:val="0"/>
          <w:marRight w:val="0"/>
          <w:marTop w:val="0"/>
          <w:marBottom w:val="0"/>
          <w:divBdr>
            <w:top w:val="none" w:sz="0" w:space="0" w:color="auto"/>
            <w:left w:val="none" w:sz="0" w:space="0" w:color="auto"/>
            <w:bottom w:val="none" w:sz="0" w:space="0" w:color="auto"/>
            <w:right w:val="none" w:sz="0" w:space="0" w:color="auto"/>
          </w:divBdr>
        </w:div>
        <w:div w:id="1208765227">
          <w:marLeft w:val="0"/>
          <w:marRight w:val="0"/>
          <w:marTop w:val="0"/>
          <w:marBottom w:val="0"/>
          <w:divBdr>
            <w:top w:val="none" w:sz="0" w:space="0" w:color="auto"/>
            <w:left w:val="none" w:sz="0" w:space="0" w:color="auto"/>
            <w:bottom w:val="none" w:sz="0" w:space="0" w:color="auto"/>
            <w:right w:val="none" w:sz="0" w:space="0" w:color="auto"/>
          </w:divBdr>
        </w:div>
        <w:div w:id="1265384910">
          <w:marLeft w:val="0"/>
          <w:marRight w:val="0"/>
          <w:marTop w:val="0"/>
          <w:marBottom w:val="0"/>
          <w:divBdr>
            <w:top w:val="none" w:sz="0" w:space="0" w:color="auto"/>
            <w:left w:val="none" w:sz="0" w:space="0" w:color="auto"/>
            <w:bottom w:val="none" w:sz="0" w:space="0" w:color="auto"/>
            <w:right w:val="none" w:sz="0" w:space="0" w:color="auto"/>
          </w:divBdr>
        </w:div>
        <w:div w:id="1385449612">
          <w:marLeft w:val="0"/>
          <w:marRight w:val="0"/>
          <w:marTop w:val="0"/>
          <w:marBottom w:val="0"/>
          <w:divBdr>
            <w:top w:val="none" w:sz="0" w:space="0" w:color="auto"/>
            <w:left w:val="none" w:sz="0" w:space="0" w:color="auto"/>
            <w:bottom w:val="none" w:sz="0" w:space="0" w:color="auto"/>
            <w:right w:val="none" w:sz="0" w:space="0" w:color="auto"/>
          </w:divBdr>
        </w:div>
        <w:div w:id="1823040846">
          <w:marLeft w:val="0"/>
          <w:marRight w:val="0"/>
          <w:marTop w:val="0"/>
          <w:marBottom w:val="0"/>
          <w:divBdr>
            <w:top w:val="none" w:sz="0" w:space="0" w:color="auto"/>
            <w:left w:val="none" w:sz="0" w:space="0" w:color="auto"/>
            <w:bottom w:val="none" w:sz="0" w:space="0" w:color="auto"/>
            <w:right w:val="none" w:sz="0" w:space="0" w:color="auto"/>
          </w:divBdr>
        </w:div>
      </w:divsChild>
    </w:div>
    <w:div w:id="2126583638">
      <w:bodyDiv w:val="1"/>
      <w:marLeft w:val="0"/>
      <w:marRight w:val="0"/>
      <w:marTop w:val="0"/>
      <w:marBottom w:val="0"/>
      <w:divBdr>
        <w:top w:val="none" w:sz="0" w:space="0" w:color="auto"/>
        <w:left w:val="none" w:sz="0" w:space="0" w:color="auto"/>
        <w:bottom w:val="none" w:sz="0" w:space="0" w:color="auto"/>
        <w:right w:val="none" w:sz="0" w:space="0" w:color="auto"/>
      </w:divBdr>
    </w:div>
    <w:div w:id="21392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data.europa.eu/eli/reg/2019/2088/o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data.europa.eu/eli/reg_del/2021/473/oj"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ata.europa.eu/eli/reg/2020/852/oj"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eli/dir/2016/2341/oj/" TargetMode="External"/><Relationship Id="rId18" Type="http://schemas.openxmlformats.org/officeDocument/2006/relationships/hyperlink" Target="https://commission.europa.eu/topics/eu-competitiveness/competitiveness-compass_en" TargetMode="External"/><Relationship Id="rId26" Type="http://schemas.openxmlformats.org/officeDocument/2006/relationships/hyperlink" Target="https://www.eca.europa.eu/en/publications/sr-2025-14" TargetMode="External"/><Relationship Id="rId3" Type="http://schemas.openxmlformats.org/officeDocument/2006/relationships/hyperlink" Target="https://www.consilium.europa.eu/media/ny3j24sm/much-more-than-a-market-report-by-enrico-letta.pdf" TargetMode="External"/><Relationship Id="rId21" Type="http://schemas.openxmlformats.org/officeDocument/2006/relationships/hyperlink" Target="https://www.eiopa.europa.eu/publications/technical-input-reviews-iorp-ii-directive-and-pepp-regulation-context-savings-and-investments-union_en" TargetMode="External"/><Relationship Id="rId34" Type="http://schemas.openxmlformats.org/officeDocument/2006/relationships/hyperlink" Target="http://data.europa.eu/eli/dir/2002/58/oj" TargetMode="External"/><Relationship Id="rId7" Type="http://schemas.openxmlformats.org/officeDocument/2006/relationships/hyperlink" Target="https://www.eca.europa.eu/bg/publications?ref=sr-2025-14" TargetMode="External"/><Relationship Id="rId12" Type="http://schemas.openxmlformats.org/officeDocument/2006/relationships/hyperlink" Target="https://eur-lex.europa.eu/legal-content/BG/TXT/PDF/?uri=CELEX:32003L0041" TargetMode="External"/><Relationship Id="rId17" Type="http://schemas.openxmlformats.org/officeDocument/2006/relationships/hyperlink" Target="https://eur-lex.europa.eu/eli/reg/2019/1238/oj/" TargetMode="External"/><Relationship Id="rId25" Type="http://schemas.openxmlformats.org/officeDocument/2006/relationships/hyperlink" Target="https://www.eiopa.europa.eu/document/download/d3e95b85-875f-4b7e-83de-e3b7c829afa4_en?filename=EIOPA-BoS-25-418-Technical%20input%20to%20EC%20IORP%20II%20PEPP.pdf" TargetMode="External"/><Relationship Id="rId33" Type="http://schemas.openxmlformats.org/officeDocument/2006/relationships/hyperlink" Target="http://data.europa.eu/eli/reg/2011/182/oj" TargetMode="External"/><Relationship Id="rId2" Type="http://schemas.openxmlformats.org/officeDocument/2006/relationships/hyperlink" Target="https://commission.europa.eu/topics/eu-competitiveness/draghi-report_en" TargetMode="External"/><Relationship Id="rId16" Type="http://schemas.openxmlformats.org/officeDocument/2006/relationships/hyperlink" Target="https://eur-lex.europa.eu/eli/dir/2016/2341/oj/" TargetMode="External"/><Relationship Id="rId20" Type="http://schemas.openxmlformats.org/officeDocument/2006/relationships/hyperlink" Target="https://finance.ec.europa.eu/events/stakeholder-forum-reality-check-retirement-savings-2025-06-16_en" TargetMode="External"/><Relationship Id="rId29" Type="http://schemas.openxmlformats.org/officeDocument/2006/relationships/hyperlink" Target="http://data.europa.eu/eli/reg/2019/1238/oj" TargetMode="External"/><Relationship Id="rId1" Type="http://schemas.openxmlformats.org/officeDocument/2006/relationships/hyperlink" Target="https://commission.europa.eu/system/files/2017-11/social-summit-european-pillar-social-rights-booklet_en.pdf" TargetMode="External"/><Relationship Id="rId6" Type="http://schemas.openxmlformats.org/officeDocument/2006/relationships/hyperlink" Target="https://ec.europa.eu/social/BlobServlet?docId=26001&amp;langId=en" TargetMode="External"/><Relationship Id="rId11" Type="http://schemas.openxmlformats.org/officeDocument/2006/relationships/hyperlink" Target="https://eur-lex.europa.eu/eli/dir/2003/41/oj/" TargetMode="External"/><Relationship Id="rId24" Type="http://schemas.openxmlformats.org/officeDocument/2006/relationships/hyperlink" Target="https://www.eiopa.europa.eu/system/files/2023-09/EIOPA-BoS-23-341-Advice_IORPII_review.pdf" TargetMode="External"/><Relationship Id="rId32" Type="http://schemas.openxmlformats.org/officeDocument/2006/relationships/hyperlink" Target="http://data.europa.eu/eli/dir/2009/138/oj" TargetMode="External"/><Relationship Id="rId5" Type="http://schemas.openxmlformats.org/officeDocument/2006/relationships/hyperlink" Target="https://data.consilium.europa.eu/doc/document/ST-1-2025-INIT/bg/pdf" TargetMode="External"/><Relationship Id="rId15" Type="http://schemas.openxmlformats.org/officeDocument/2006/relationships/hyperlink" Target="https://eur-lex.europa.eu/eli/dir/2014/50/oj/" TargetMode="External"/><Relationship Id="rId23" Type="http://schemas.openxmlformats.org/officeDocument/2006/relationships/hyperlink" Target="https://eur-lex.europa.eu/legal-content/BG/TXT/?uri=celex:52025DC0124" TargetMode="External"/><Relationship Id="rId28" Type="http://schemas.openxmlformats.org/officeDocument/2006/relationships/hyperlink" Target="http://data.europa.eu/eli/reg/2018/231/oj" TargetMode="External"/><Relationship Id="rId10" Type="http://schemas.openxmlformats.org/officeDocument/2006/relationships/hyperlink" Target="https://eur-lex.europa.eu/eli/dir/2008/94/oj/" TargetMode="External"/><Relationship Id="rId19" Type="http://schemas.openxmlformats.org/officeDocument/2006/relationships/hyperlink" Target="https://www.eiopa.europa.eu/publications/technical-advice-review-iorp-ii-directive_en" TargetMode="External"/><Relationship Id="rId31" Type="http://schemas.openxmlformats.org/officeDocument/2006/relationships/hyperlink" Target="http://data.europa.eu/eli/dir/2009/65/oj" TargetMode="External"/><Relationship Id="rId4" Type="http://schemas.openxmlformats.org/officeDocument/2006/relationships/hyperlink" Target="https://data.consilium.europa.eu/doc/document/ST-12-2024-INIT/bg/pdf" TargetMode="External"/><Relationship Id="rId9" Type="http://schemas.openxmlformats.org/officeDocument/2006/relationships/hyperlink" Target="https://commission.europa.eu/document/download/ac06a896-2645-4857-9958-467d2ce6f221_en?filename=Mission%20letter%20-%20ALBUQUERQUE.pdf" TargetMode="External"/><Relationship Id="rId14" Type="http://schemas.openxmlformats.org/officeDocument/2006/relationships/hyperlink" Target="https://eur-lex.europa.eu/eli/dir/1998/49/oj/" TargetMode="External"/><Relationship Id="rId22" Type="http://schemas.openxmlformats.org/officeDocument/2006/relationships/hyperlink" Target="http://data.europa.eu/eli/dir/2016/2341/oj" TargetMode="External"/><Relationship Id="rId27" Type="http://schemas.openxmlformats.org/officeDocument/2006/relationships/hyperlink" Target="https://www.oecd.org/content/dam/oecd/en/publications/reports/2016/09/oecd-core-principles-of-private-pension-regulation_daeacf05/c950bb36-en.pdf" TargetMode="External"/><Relationship Id="rId30" Type="http://schemas.openxmlformats.org/officeDocument/2006/relationships/hyperlink" Target="http://data.europa.eu/eli/dir/1979/267/oj" TargetMode="External"/><Relationship Id="rId8" Type="http://schemas.openxmlformats.org/officeDocument/2006/relationships/hyperlink" Target="https://commission.europa.eu/document/download/e6cd4328-673c-4e7a-8683-f63ffb2cf648_bg?filename=Political%20Guidelines%202024-2029_B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CF20-F4A8-4DBC-AA29-07356B32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31881</Words>
  <Characters>191286</Characters>
  <Application>Microsoft Office Word</Application>
  <DocSecurity>0</DocSecurity>
  <Lines>11252</Lines>
  <Paragraphs>7198</Paragraphs>
  <ScaleCrop>false</ScaleCrop>
  <Manager/>
  <Company/>
  <LinksUpToDate>false</LinksUpToDate>
  <CharactersWithSpaces>215969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2026-02-09T16:35:00Z</dcterms:created>
  <dcterms:modified xsi:type="dcterms:W3CDTF">2026-02-09T16:35:00Z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2025-11-15T17:09:10Z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936aced0-b690-43a5-bae8-8e88d4905e0b</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Yellow (DQC version 03)</vt:lpwstr>
  </property>
</Properties>
</file>