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2.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94DD18" w14:textId="7AA19908" w:rsidR="00161159" w:rsidRPr="00584716" w:rsidRDefault="00EC5118" w:rsidP="00EC5118">
      <w:pPr>
        <w:pStyle w:val="Pagedecouverture"/>
        <w:rPr>
          <w:noProof/>
        </w:rPr>
      </w:pPr>
      <w:r>
        <w:rPr>
          <w:noProof/>
        </w:rPr>
        <w:pict w14:anchorId="50AB9DF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FE664113-2397-415F-8F78-883C8894AF88" style="width:455.25pt;height:341.25pt">
            <v:imagedata r:id="rId11" o:title=""/>
          </v:shape>
        </w:pict>
      </w:r>
    </w:p>
    <w:p w14:paraId="16F29F16" w14:textId="77777777" w:rsidR="00161159" w:rsidRPr="00584716" w:rsidRDefault="00161159" w:rsidP="00161159">
      <w:pPr>
        <w:rPr>
          <w:noProof/>
        </w:rPr>
        <w:sectPr w:rsidR="00161159" w:rsidRPr="00584716" w:rsidSect="00EC5118">
          <w:footerReference w:type="even" r:id="rId12"/>
          <w:footerReference w:type="default" r:id="rId13"/>
          <w:pgSz w:w="11907" w:h="16839"/>
          <w:pgMar w:top="1134" w:right="1417" w:bottom="1134" w:left="1417" w:header="709" w:footer="709" w:gutter="0"/>
          <w:pgNumType w:start="0"/>
          <w:cols w:space="720"/>
          <w:docGrid w:linePitch="360"/>
        </w:sectPr>
      </w:pPr>
    </w:p>
    <w:p w14:paraId="74CDDFC3" w14:textId="77777777" w:rsidR="00161159" w:rsidRPr="00584716" w:rsidRDefault="00161159" w:rsidP="00752C74">
      <w:pPr>
        <w:pStyle w:val="Exposdesmotifstitre"/>
        <w:rPr>
          <w:noProof/>
        </w:rPr>
      </w:pPr>
      <w:bookmarkStart w:id="0" w:name="_GoBack"/>
      <w:bookmarkEnd w:id="0"/>
      <w:r w:rsidRPr="00584716">
        <w:rPr>
          <w:noProof/>
        </w:rPr>
        <w:lastRenderedPageBreak/>
        <w:t>ОБЯСНИТЕЛЕН МЕМОРАНДУМ</w:t>
      </w:r>
    </w:p>
    <w:p w14:paraId="190E34B4" w14:textId="77777777" w:rsidR="00161159" w:rsidRPr="00584716" w:rsidRDefault="00161159" w:rsidP="00752C74">
      <w:pPr>
        <w:pStyle w:val="ManualHeading1"/>
        <w:rPr>
          <w:noProof/>
        </w:rPr>
      </w:pPr>
      <w:r w:rsidRPr="00584716">
        <w:rPr>
          <w:noProof/>
        </w:rPr>
        <w:t>1.</w:t>
      </w:r>
      <w:r w:rsidRPr="00584716">
        <w:rPr>
          <w:noProof/>
        </w:rPr>
        <w:tab/>
        <w:t>КОНТЕКСТ НА ПРЕДЛОЖЕНИЕТО</w:t>
      </w:r>
    </w:p>
    <w:p w14:paraId="5108906B" w14:textId="77777777" w:rsidR="00161159" w:rsidRPr="00584716" w:rsidRDefault="00161159" w:rsidP="00752C74">
      <w:pPr>
        <w:pStyle w:val="ManualHeading2"/>
        <w:rPr>
          <w:rFonts w:eastAsia="Arial Unicode MS"/>
          <w:noProof/>
        </w:rPr>
      </w:pPr>
      <w:r w:rsidRPr="00584716">
        <w:rPr>
          <w:noProof/>
          <w:color w:val="000000"/>
          <w:bdr w:val="nil"/>
        </w:rPr>
        <w:t>•</w:t>
      </w:r>
      <w:r w:rsidRPr="00584716">
        <w:rPr>
          <w:noProof/>
        </w:rPr>
        <w:tab/>
        <w:t>Основания и цели на предложението</w:t>
      </w:r>
    </w:p>
    <w:p w14:paraId="50992718" w14:textId="77777777" w:rsidR="003539F8" w:rsidRPr="00584716" w:rsidRDefault="003539F8" w:rsidP="003539F8">
      <w:pPr>
        <w:pBdr>
          <w:top w:val="nil"/>
          <w:left w:val="nil"/>
          <w:bottom w:val="nil"/>
          <w:right w:val="nil"/>
          <w:between w:val="nil"/>
          <w:bar w:val="nil"/>
        </w:pBdr>
        <w:spacing w:before="0" w:after="240"/>
        <w:rPr>
          <w:noProof/>
        </w:rPr>
      </w:pPr>
      <w:r w:rsidRPr="00584716">
        <w:rPr>
          <w:noProof/>
        </w:rPr>
        <w:t>Нашествието на Русия в Украйна изведе на преден план необходимостта в целия ЕС да функционира укрепен пазар на отбранителни продукти, способен да подкрепи отбранителната готовност на държавите членки в контекста на възникващите заплахи за сигурността. Продължаващият конфликт разкри уязвимите места в европейската отбранителна среда и показа колко е важно наличието на единна и устойчива отбранителна индустриална база. Добре функциониращият пазар на ЕС в областта на отбраната е от съществено значение, за да се гарантира, че държавите членки имат достъп до отбранителни способности, технологии и продукти, които са необходими, за да отговорят ефективно на настоящите и бъдещите предизвикателства в областта на сигурността.</w:t>
      </w:r>
    </w:p>
    <w:p w14:paraId="1E7DB5D6" w14:textId="77777777" w:rsidR="003539F8" w:rsidRPr="00584716" w:rsidRDefault="003539F8" w:rsidP="003539F8">
      <w:pPr>
        <w:pBdr>
          <w:top w:val="nil"/>
          <w:left w:val="nil"/>
          <w:bottom w:val="nil"/>
          <w:right w:val="nil"/>
          <w:between w:val="nil"/>
          <w:bar w:val="nil"/>
        </w:pBdr>
        <w:spacing w:before="0" w:after="240"/>
        <w:rPr>
          <w:noProof/>
        </w:rPr>
      </w:pPr>
      <w:r w:rsidRPr="00584716">
        <w:rPr>
          <w:noProof/>
        </w:rPr>
        <w:t>Въздействието на променящата се геополитическа обстановка върху пазара на ЕС в областта на отбраната е значително и се изразява в прекъсвания във веригите на доставки, повишено търсене на отбранителни продукти и нарастваща необходимост от оперативно съвместими и иновативни решения. Съществуващите правни разпоредби, които оказват въздействие върху пазара на ЕС в областта на отбраната, обаче не са адаптирани към настоящите предизвикателства, което възпрепятства способността на държавите членки да реагират бързо и ефективно на възникващите заплахи. Съществуващата рамка, разработена в мирно време, често реагира бавно на неотложните нужди на държавите членки и не предоставя необходимите стимули за инвестиции в научноизследователска и развойна дейност в областта на отбраната, по-специално за улесняване на инвестициите в отбраната в размер на най-малко 800 милиарда евро през следващите четири години, както е посочено в Съвместната бяла книга за отбранителната готовност</w:t>
      </w:r>
      <w:r w:rsidRPr="00584716">
        <w:rPr>
          <w:rStyle w:val="FootnoteReference"/>
          <w:noProof/>
        </w:rPr>
        <w:footnoteReference w:id="2"/>
      </w:r>
      <w:r w:rsidRPr="00584716">
        <w:rPr>
          <w:noProof/>
        </w:rPr>
        <w:t>.</w:t>
      </w:r>
    </w:p>
    <w:p w14:paraId="57B59EB8" w14:textId="1C0440A5" w:rsidR="00161159" w:rsidRPr="00584716" w:rsidRDefault="003539F8" w:rsidP="2028060F">
      <w:pPr>
        <w:pBdr>
          <w:top w:val="nil"/>
          <w:left w:val="nil"/>
          <w:bottom w:val="nil"/>
          <w:right w:val="nil"/>
          <w:between w:val="nil"/>
          <w:bar w:val="nil"/>
        </w:pBdr>
        <w:spacing w:before="0" w:after="240"/>
        <w:rPr>
          <w:noProof/>
        </w:rPr>
      </w:pPr>
      <w:r w:rsidRPr="00584716">
        <w:rPr>
          <w:noProof/>
        </w:rPr>
        <w:t xml:space="preserve">В отговор на тези предизвикателства ЕС трябва да предприеме стъпки за укрепване на пазара на отбранителни продукти в целия ЕС, като насърчава по-интегрирана и конкурентоспособна отбранителна индустриална база. Чрез създаването на по-стабилен и устойчив пазар на ЕС в областта на отбраната и чрез разработването на необходимата инфраструктура ЕС може да подкрепи отбранителната готовност на държавите членки, да насърчи европейската стратегическа автономност и да допринесе за по-стабилна и надеждна европейска среда за сигурност. </w:t>
      </w:r>
    </w:p>
    <w:p w14:paraId="6D96D9B9" w14:textId="41842159" w:rsidR="00161159" w:rsidRPr="00584716" w:rsidRDefault="003539F8" w:rsidP="00752C74">
      <w:pPr>
        <w:pBdr>
          <w:top w:val="nil"/>
          <w:left w:val="nil"/>
          <w:bottom w:val="nil"/>
          <w:right w:val="nil"/>
          <w:between w:val="nil"/>
          <w:bar w:val="nil"/>
        </w:pBdr>
        <w:spacing w:before="0" w:after="240"/>
        <w:rPr>
          <w:noProof/>
        </w:rPr>
      </w:pPr>
      <w:r w:rsidRPr="00584716">
        <w:rPr>
          <w:noProof/>
        </w:rPr>
        <w:t>Настоящото предложение е част от сборния пакет от мерки за отбранителната готовност. В допълнение към опростяването на съществуващите регулаторни разпоредби, съдържащи се в другите актове, в настоящото предложение се предвижда създаването на специална ускорена процедура за издаване на разрешения във връзка с отбранителната готовност.</w:t>
      </w:r>
    </w:p>
    <w:p w14:paraId="4F2B8917" w14:textId="77777777" w:rsidR="00161159" w:rsidRPr="00584716" w:rsidRDefault="00161159" w:rsidP="58997349">
      <w:pPr>
        <w:pStyle w:val="ManualHeading2"/>
        <w:rPr>
          <w:rFonts w:eastAsia="Arial Unicode MS"/>
          <w:noProof/>
          <w:color w:val="000000" w:themeColor="text1"/>
        </w:rPr>
      </w:pPr>
      <w:r w:rsidRPr="00584716">
        <w:rPr>
          <w:noProof/>
          <w:color w:val="000000"/>
          <w:bdr w:val="nil"/>
        </w:rPr>
        <w:t>•</w:t>
      </w:r>
      <w:r w:rsidRPr="00584716">
        <w:rPr>
          <w:noProof/>
        </w:rPr>
        <w:tab/>
        <w:t>Съгласуваност с действащите разпоредби в тази област на политиката</w:t>
      </w:r>
    </w:p>
    <w:p w14:paraId="54370CFF" w14:textId="77777777" w:rsidR="00161159" w:rsidRPr="00584716" w:rsidRDefault="7D65A95A" w:rsidP="00491FC7">
      <w:pPr>
        <w:pBdr>
          <w:top w:val="nil"/>
          <w:left w:val="nil"/>
          <w:bottom w:val="nil"/>
          <w:right w:val="nil"/>
          <w:between w:val="nil"/>
          <w:bar w:val="nil"/>
        </w:pBdr>
        <w:spacing w:before="0" w:after="240"/>
        <w:rPr>
          <w:rFonts w:eastAsia="Arial Unicode MS"/>
          <w:noProof/>
        </w:rPr>
      </w:pPr>
      <w:r w:rsidRPr="00584716">
        <w:rPr>
          <w:noProof/>
        </w:rPr>
        <w:t>Предложението има за цел разпоредбите, уреждащи пазара в областта на отбраната в целия ЕС, да се адаптират към настоящия сценарий за сигурност, като се въведат целенасочени изменения, които опростяват административните процедури, намаляват бюрокрацията и предоставят по-гъвкави решения. Чрез рационализиране на процедурите и намаляване на бюрократичните пречки предложението цели да се създаде по-гъвкав и реагиращ на нуждите пазар на ЕС в областта на отбраната, който е по-добре подготвен да подкрепя отбранителната готовност на държавите членки и да насърчава развитието на конкурентоспособна и иновативна европейска отбранителна промишленост.</w:t>
      </w:r>
    </w:p>
    <w:p w14:paraId="5EFA8414" w14:textId="77777777" w:rsidR="00161159" w:rsidRPr="00584716" w:rsidRDefault="00161159" w:rsidP="00752C74">
      <w:pPr>
        <w:pStyle w:val="ManualHeading2"/>
        <w:rPr>
          <w:rFonts w:eastAsia="Arial Unicode MS"/>
          <w:noProof/>
        </w:rPr>
      </w:pPr>
      <w:r w:rsidRPr="00584716">
        <w:rPr>
          <w:noProof/>
          <w:color w:val="000000"/>
          <w:u w:color="000000"/>
          <w:bdr w:val="nil"/>
        </w:rPr>
        <w:t>•</w:t>
      </w:r>
      <w:r w:rsidRPr="00584716">
        <w:rPr>
          <w:noProof/>
        </w:rPr>
        <w:tab/>
        <w:t>Съгласуваност с други политики на Съюза</w:t>
      </w:r>
    </w:p>
    <w:p w14:paraId="4BA9CD41" w14:textId="77777777" w:rsidR="007D5E71" w:rsidRPr="00584716" w:rsidRDefault="007D5E71" w:rsidP="007D5E71">
      <w:pPr>
        <w:pBdr>
          <w:top w:val="nil"/>
          <w:left w:val="nil"/>
          <w:bottom w:val="nil"/>
          <w:right w:val="nil"/>
          <w:between w:val="nil"/>
          <w:bar w:val="nil"/>
        </w:pBdr>
        <w:spacing w:before="0" w:after="240"/>
        <w:rPr>
          <w:noProof/>
        </w:rPr>
      </w:pPr>
      <w:r w:rsidRPr="00584716">
        <w:rPr>
          <w:noProof/>
        </w:rPr>
        <w:t>Предложението допринася за постигането на целите за подобряване на отбранителните способности на ЕС и за укрепване на неговата стратегическа автономност, като същевременно подкрепя разработването на иновативни и устойчиви отбранителни технологии. Ускорената процедура за издаване на разрешения, която се установява с настоящото предложение, ще улесни бързото разгръщане на проекти за отбранителна готовност и очакваните инвестиции в отбраната в размер на най-малко 800 милиарда евро през следващите четири години, като гарантира, че отбранителната промишленост на ЕС може да реагира бързо на възникващите предизвикателства в областта на сигурността и да допринася за защитата на европейските граждани. Чрез рационализирането на процеса на издаване на разрешения настоящото предложение ще спомогне и за намаляване на административната тежест и разходите на дружествата в областта на отбраната, което ще им позволи да се съсредоточат върху задоволяването на потребностите на държавите — членки на ЕС, от разработване на авангардни технологии и създаване на висококвалифицирани работни места.</w:t>
      </w:r>
    </w:p>
    <w:p w14:paraId="4C341639" w14:textId="77777777" w:rsidR="003A3F03" w:rsidRPr="00584716" w:rsidRDefault="531974CE" w:rsidP="5E8E30B1">
      <w:pPr>
        <w:pBdr>
          <w:top w:val="nil"/>
          <w:left w:val="nil"/>
          <w:bottom w:val="nil"/>
          <w:right w:val="nil"/>
          <w:between w:val="nil"/>
          <w:bar w:val="nil"/>
        </w:pBdr>
        <w:spacing w:before="0" w:after="240"/>
        <w:rPr>
          <w:noProof/>
        </w:rPr>
      </w:pPr>
      <w:r w:rsidRPr="00584716">
        <w:rPr>
          <w:noProof/>
        </w:rPr>
        <w:t>Предложените мерки ще допринесат също така за устойчивостта и стратегическата автономност на ЕС, като се гарантира сигурността на доставките на ключови технологии, свързани с отбраната, което е от решаващо значение за подпомагане на развитието на отбранителните способности на ЕС и за обществения ред и сигурност. Като насърчава развитието на силна и иновативна отбранителна промишленост, настоящото предложение ще спомогне за намаляване на зависимостта на ЕС от доставчици от трети държави и за повишаване на способността му да реагира на възникващите предизвикателства в областта на сигурността.</w:t>
      </w:r>
    </w:p>
    <w:p w14:paraId="054559DC" w14:textId="77777777" w:rsidR="77811740" w:rsidRPr="00584716" w:rsidRDefault="77811740" w:rsidP="5E8E30B1">
      <w:pPr>
        <w:pBdr>
          <w:top w:val="nil"/>
          <w:left w:val="nil"/>
          <w:bottom w:val="nil"/>
          <w:right w:val="nil"/>
          <w:between w:val="nil"/>
          <w:bar w:val="nil"/>
        </w:pBdr>
        <w:spacing w:before="0" w:after="240"/>
        <w:rPr>
          <w:noProof/>
        </w:rPr>
      </w:pPr>
      <w:r w:rsidRPr="00584716">
        <w:rPr>
          <w:noProof/>
        </w:rPr>
        <w:t>Предложението е в съответствие с политиките на ЕС в областта на безопасността, здравето и околната среда, тъй като не занижава стандартите, а цели ускоряване на процедурите. Предложението не засяга равнището на контрол, предвидено в приложимите процедури за издаване на разрешения.</w:t>
      </w:r>
    </w:p>
    <w:p w14:paraId="5094F588" w14:textId="77777777" w:rsidR="00161159" w:rsidRPr="00584716" w:rsidRDefault="00161159" w:rsidP="00752C74">
      <w:pPr>
        <w:pStyle w:val="ManualHeading1"/>
        <w:rPr>
          <w:noProof/>
        </w:rPr>
      </w:pPr>
      <w:r w:rsidRPr="00584716">
        <w:rPr>
          <w:noProof/>
        </w:rPr>
        <w:t>2.</w:t>
      </w:r>
      <w:r w:rsidRPr="00584716">
        <w:rPr>
          <w:noProof/>
        </w:rPr>
        <w:tab/>
        <w:t>ПРАВНО ОСНОВАНИЕ, СУБСИДИАРНОСТ И ПРОПОРЦИОНАЛНОСТ</w:t>
      </w:r>
    </w:p>
    <w:p w14:paraId="7D9C4D7A"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Правно основание</w:t>
      </w:r>
    </w:p>
    <w:p w14:paraId="705530D0" w14:textId="6A260045" w:rsidR="00161159" w:rsidRPr="00584716" w:rsidRDefault="003A3F03" w:rsidP="2028060F">
      <w:pPr>
        <w:pBdr>
          <w:top w:val="nil"/>
          <w:left w:val="nil"/>
          <w:bottom w:val="nil"/>
          <w:right w:val="nil"/>
          <w:between w:val="nil"/>
          <w:bar w:val="nil"/>
        </w:pBdr>
        <w:spacing w:before="0" w:after="240"/>
        <w:rPr>
          <w:rFonts w:eastAsia="Arial Unicode MS"/>
          <w:noProof/>
        </w:rPr>
      </w:pPr>
      <w:r w:rsidRPr="00584716">
        <w:rPr>
          <w:noProof/>
        </w:rPr>
        <w:t>Правното основание за настоящото предложение е член 114 от ДФЕС. Мерките, предложени в настоящия регламент, имат за цел да запазят доброто функциониране на вътрешния пазар, по-специално на пазара в областта на отбраната в целия ЕС. С оглед на настоящия геополитически контекст държавите — членки на ЕС, трябва бързо да повишат отбранителната си готовност. За тази цел ще бъдат необходими инвестиции в отбранителна готовност за функционирането на пазара в областта на отбраната в целия ЕС (като производствени предприятия, съоръжения за изпитване, както и необходимата инфраструктура). Такива проекти за развойна дейност, насочени към повишаване на отбранителната готовност на държавите членки или на ЕС, изискват издаването на множество разрешения. Ситуация, при която някои части от вътрешния пазар предвиждат много по-кратък процес на издаване на разрешения, би довела до сериозен риск за гладкото функциониране на вътрешния пазар. С настоящото предложение се гарантира, че процесът на издаване на разрешения за проекти за отбранителна готовност е бърз и хармонизиран във всички държави членки.</w:t>
      </w:r>
    </w:p>
    <w:p w14:paraId="0F3E8032"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 xml:space="preserve">Субсидиарност (при неизключителна компетентност) </w:t>
      </w:r>
    </w:p>
    <w:p w14:paraId="6BC8AF8A" w14:textId="77777777" w:rsidR="006E0048" w:rsidRPr="00584716" w:rsidRDefault="006E0048" w:rsidP="006A74A2">
      <w:pPr>
        <w:pBdr>
          <w:top w:val="nil"/>
          <w:left w:val="nil"/>
          <w:bottom w:val="nil"/>
          <w:right w:val="nil"/>
          <w:between w:val="nil"/>
          <w:bar w:val="nil"/>
        </w:pBdr>
        <w:spacing w:before="0" w:after="240"/>
        <w:rPr>
          <w:rFonts w:eastAsia="Arial Unicode MS"/>
          <w:noProof/>
        </w:rPr>
      </w:pPr>
      <w:r w:rsidRPr="00584716">
        <w:rPr>
          <w:noProof/>
        </w:rPr>
        <w:t>Целите на предложението не могат да бъдат постигнати чрез самостоятелни действия на държавите членки, тъй като проблемите са от трансграничен характер. Отбранителната промишленост е силно интегрирана и взаимосвързана, като дружествата извършват дейност в множество държави членки и разчитат на сложни вериги на доставки, които надхвърлят националните граници. Предложените действия са насочени към области, в които — поради мащаба, бързината и обхвата на необходимите усилия — има видима добавена стойност от действия на равнището на Съюза. Чрез установяването на ускорена процедура за издаване на разрешения на равнището на ЕС предложението има за цел да се създадат еднакви условия на конкуренция за дружествата в областта на отбраната, извършващи дейност в ЕС, като се гарантира, че те могат да реагират бързо и ефективно да увеличат промишленото производство в областта на отбраната. Колективните усилия на ЕС в областта на отбраната изискват координиран подход и предложеният механизъм ще улесни бързото разгръщане на проекти за отбранителна готовност.</w:t>
      </w:r>
    </w:p>
    <w:p w14:paraId="0D0335E0" w14:textId="77777777" w:rsidR="00161159" w:rsidRPr="00584716" w:rsidRDefault="006E0048" w:rsidP="1E7DE81B">
      <w:pPr>
        <w:pBdr>
          <w:top w:val="nil"/>
          <w:left w:val="nil"/>
          <w:bottom w:val="nil"/>
          <w:right w:val="nil"/>
          <w:between w:val="nil"/>
          <w:bar w:val="nil"/>
        </w:pBdr>
        <w:spacing w:before="0" w:after="240"/>
        <w:rPr>
          <w:rFonts w:eastAsia="Arial Unicode MS"/>
          <w:noProof/>
        </w:rPr>
      </w:pPr>
      <w:r w:rsidRPr="00584716">
        <w:rPr>
          <w:noProof/>
        </w:rPr>
        <w:t>Липсата на координация между държавите членки по отношение на третирането на процеса на издаване на разрешения за проекти за отбранителна готовност би могла да доведе до надпревара за занижаване на регулаторните изисквания или до конкурентно предимство за определени части от вътрешния пазар. Това би било нежелателно, тъй като би оказало отрицателно въздействие върху сигурността на доставките на отбранителни продукти, което може да застраши способността на ЕС да реагира на възникващи заплахи за сигурността. Предложеният механизъм не влияе върху фактическата основа на издаването на съответните разрешения, а създава единно звено за контакт в държавите членки и по-гъвкав начин за разглеждане на заявленията за издаване на разрешения. Това ще даде възможност на дружествата в областта на отбраната да получават съответните разрешения по-ефективно, като същевременно се гарантира спазването на необходимите стандарти в областта на околната среда, здравето и безопасността.</w:t>
      </w:r>
    </w:p>
    <w:p w14:paraId="4F3685DA"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Пропорционалност</w:t>
      </w:r>
    </w:p>
    <w:p w14:paraId="79B9CDDD" w14:textId="77777777" w:rsidR="00055D6C" w:rsidRPr="00584716" w:rsidRDefault="00055D6C" w:rsidP="00055D6C">
      <w:pPr>
        <w:pBdr>
          <w:top w:val="nil"/>
          <w:left w:val="nil"/>
          <w:bottom w:val="nil"/>
          <w:right w:val="nil"/>
          <w:between w:val="nil"/>
          <w:bar w:val="nil"/>
        </w:pBdr>
        <w:spacing w:before="0" w:after="240"/>
        <w:rPr>
          <w:rFonts w:eastAsia="Arial Unicode MS"/>
          <w:noProof/>
        </w:rPr>
      </w:pPr>
      <w:r w:rsidRPr="00584716">
        <w:rPr>
          <w:noProof/>
        </w:rPr>
        <w:t>Предложението е в съответствие с принципа на пропорционалност, тъй като не надхвърля минимума, необходим за постигането на заявените цели на европейско равнище и нужен в това отношение.</w:t>
      </w:r>
    </w:p>
    <w:p w14:paraId="681B9709" w14:textId="77777777" w:rsidR="00161159" w:rsidRPr="00584716" w:rsidRDefault="00055D6C" w:rsidP="00055D6C">
      <w:pPr>
        <w:pBdr>
          <w:top w:val="nil"/>
          <w:left w:val="nil"/>
          <w:bottom w:val="nil"/>
          <w:right w:val="nil"/>
          <w:between w:val="nil"/>
          <w:bar w:val="nil"/>
        </w:pBdr>
        <w:spacing w:before="0" w:after="240"/>
        <w:rPr>
          <w:rFonts w:eastAsia="Arial Unicode MS"/>
          <w:noProof/>
        </w:rPr>
      </w:pPr>
      <w:r w:rsidRPr="00584716">
        <w:rPr>
          <w:noProof/>
        </w:rPr>
        <w:t>Като се имат предвид безпрецедентната геополитическа ситуация, значителната заплаха за сигурността на Съюза и безпрецедентният мащаб на инвестициите в отбраната през следващите четири години, предложеният политически подход е пропорционален на мащаба и сериозността на установените проблеми. Предложението има за цел да засили отбранителната готовност на държавите членки чрез мерки за гарантиране на гладкото функциониране на пазара в областта на отбраната в целия ЕС с оглед на масовото и спешно увеличаване на производствения капацитет в областта на отбраната.</w:t>
      </w:r>
    </w:p>
    <w:p w14:paraId="057E28F0"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Избор на инструмент</w:t>
      </w:r>
    </w:p>
    <w:p w14:paraId="53F52B8B" w14:textId="77777777" w:rsidR="00161159" w:rsidRPr="00584716" w:rsidRDefault="00491FC7" w:rsidP="00752C74">
      <w:pPr>
        <w:pBdr>
          <w:top w:val="nil"/>
          <w:left w:val="nil"/>
          <w:bottom w:val="nil"/>
          <w:right w:val="nil"/>
          <w:between w:val="nil"/>
          <w:bar w:val="nil"/>
        </w:pBdr>
        <w:spacing w:before="0" w:after="240"/>
        <w:rPr>
          <w:rFonts w:eastAsia="Arial Unicode MS"/>
          <w:noProof/>
        </w:rPr>
      </w:pPr>
      <w:r w:rsidRPr="00584716">
        <w:rPr>
          <w:noProof/>
        </w:rPr>
        <w:t>Комисията предлага регламент на Европейския парламент и на Съвета. Това е най-подходящият правен инструмент, тъй като само регламентът, с неговото еднакво прилагане, обвързващ характер и пряка приложимост, може да осигури задължителната степен на уеднаквяване, необходима за улесняване на разгръщането на проекти за отбранителна готовност.</w:t>
      </w:r>
    </w:p>
    <w:p w14:paraId="7F9461B6" w14:textId="77777777" w:rsidR="00161159" w:rsidRPr="00584716" w:rsidRDefault="00161159" w:rsidP="00752C74">
      <w:pPr>
        <w:pStyle w:val="ManualHeading1"/>
        <w:rPr>
          <w:noProof/>
        </w:rPr>
      </w:pPr>
      <w:r w:rsidRPr="00584716">
        <w:rPr>
          <w:noProof/>
        </w:rPr>
        <w:t>3.</w:t>
      </w:r>
      <w:r w:rsidRPr="00584716">
        <w:rPr>
          <w:noProof/>
        </w:rPr>
        <w:tab/>
        <w:t>РЕЗУЛТАТИ ОТ ПОСЛЕДВАЩИТЕ ОЦЕНКИ, КОНСУЛТАЦИИТЕ СЪС ЗАИНТЕРЕСОВАНИТЕ СТРАНИ И ОЦЕНКИТЕ НА ВЪЗДЕЙСТВИЕТО</w:t>
      </w:r>
    </w:p>
    <w:p w14:paraId="7A758ABC"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Последващи оценки/проверки за пригодност на действащото законодателство</w:t>
      </w:r>
    </w:p>
    <w:p w14:paraId="0A5845D0" w14:textId="77777777" w:rsidR="00161159" w:rsidRPr="00584716" w:rsidRDefault="00C93627" w:rsidP="00752C74">
      <w:pPr>
        <w:pBdr>
          <w:top w:val="nil"/>
          <w:left w:val="nil"/>
          <w:bottom w:val="nil"/>
          <w:right w:val="nil"/>
          <w:between w:val="nil"/>
          <w:bar w:val="nil"/>
        </w:pBdr>
        <w:spacing w:before="0" w:after="240"/>
        <w:rPr>
          <w:rFonts w:eastAsia="Arial Unicode MS"/>
          <w:noProof/>
        </w:rPr>
      </w:pPr>
      <w:r w:rsidRPr="00584716">
        <w:rPr>
          <w:noProof/>
        </w:rPr>
        <w:t>Не се прилага.</w:t>
      </w:r>
    </w:p>
    <w:p w14:paraId="777AE53F"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Консултации със заинтересованите страни</w:t>
      </w:r>
    </w:p>
    <w:p w14:paraId="40B993EE" w14:textId="77777777" w:rsidR="00CF59C7" w:rsidRPr="00584716" w:rsidRDefault="00CF59C7" w:rsidP="1DBD7778">
      <w:pPr>
        <w:pBdr>
          <w:top w:val="nil"/>
          <w:left w:val="nil"/>
          <w:bottom w:val="nil"/>
          <w:right w:val="nil"/>
          <w:between w:val="nil"/>
          <w:bar w:val="nil"/>
        </w:pBdr>
        <w:spacing w:before="0" w:after="240"/>
        <w:rPr>
          <w:rFonts w:eastAsia="Arial Unicode MS"/>
          <w:noProof/>
        </w:rPr>
      </w:pPr>
      <w:r w:rsidRPr="00584716">
        <w:rPr>
          <w:noProof/>
        </w:rPr>
        <w:t>Процесът на консултации със заинтересованите страни беше обширен и включваше обществена консултация, която беше отворена до 22 април 2025 г., както и поредица от целеви срещи с държавите членки, съответните представители на стопанските среди от Съюза и други ключови заинтересовани страни. Този процес на консултации, в съчетание с опита на Комисията в прилагането на съответните правни актове, спомогна да се установят ключови пречки и предизвикателства в регулаторната среда на ЕС. Като се основават на получената ценна информация и експертния опит на Комисията, предложенията, очертани в настоящия регламент, имат за цел да се решат тези ключови въпроси и да се подобри цялостната ефективност на регулаторната рамка на ЕС.</w:t>
      </w:r>
    </w:p>
    <w:p w14:paraId="2A6CD69F"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Събиране и използване на експертни становища</w:t>
      </w:r>
    </w:p>
    <w:p w14:paraId="2C725E57" w14:textId="77777777" w:rsidR="00161159" w:rsidRPr="00584716" w:rsidRDefault="00C93627" w:rsidP="00752C74">
      <w:pPr>
        <w:pBdr>
          <w:top w:val="nil"/>
          <w:left w:val="nil"/>
          <w:bottom w:val="nil"/>
          <w:right w:val="nil"/>
          <w:between w:val="nil"/>
          <w:bar w:val="nil"/>
        </w:pBdr>
        <w:spacing w:before="0" w:after="240"/>
        <w:rPr>
          <w:noProof/>
        </w:rPr>
      </w:pPr>
      <w:r w:rsidRPr="00584716">
        <w:rPr>
          <w:noProof/>
        </w:rPr>
        <w:t>Не се прилага.</w:t>
      </w:r>
    </w:p>
    <w:p w14:paraId="3A99FB82"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Оценка на въздействието</w:t>
      </w:r>
    </w:p>
    <w:p w14:paraId="40528424" w14:textId="77777777" w:rsidR="00D64683" w:rsidRPr="00584716" w:rsidRDefault="00D64683" w:rsidP="00D64683">
      <w:pPr>
        <w:pBdr>
          <w:top w:val="nil"/>
          <w:left w:val="nil"/>
          <w:bottom w:val="nil"/>
          <w:right w:val="nil"/>
          <w:between w:val="nil"/>
          <w:bar w:val="nil"/>
        </w:pBdr>
        <w:spacing w:before="0" w:after="240"/>
        <w:rPr>
          <w:rFonts w:eastAsia="Arial Unicode MS"/>
          <w:noProof/>
        </w:rPr>
      </w:pPr>
      <w:r w:rsidRPr="00584716">
        <w:rPr>
          <w:noProof/>
        </w:rPr>
        <w:t>В заключенията си от 6 март 2025 г. Европейският съвет призова Комисията да ускори „работата по всички направления с цел решително повишаване на отбранителната готовност на Европа през следващите пет години“. Освен това в същите заключения Европейският съвет изрично призова Комисията да предприеме бързи последващи действия за опростяване на законодателството в областта на сигурността и отбраната.</w:t>
      </w:r>
    </w:p>
    <w:p w14:paraId="38A431B8" w14:textId="21D580FC" w:rsidR="00D93936" w:rsidRPr="00584716" w:rsidRDefault="00D93936" w:rsidP="26CA5F55">
      <w:pPr>
        <w:pBdr>
          <w:top w:val="nil"/>
          <w:left w:val="nil"/>
          <w:bottom w:val="nil"/>
          <w:right w:val="nil"/>
          <w:between w:val="nil"/>
          <w:bar w:val="nil"/>
        </w:pBdr>
        <w:spacing w:before="0" w:after="240"/>
        <w:rPr>
          <w:rFonts w:eastAsia="Arial Unicode MS"/>
          <w:noProof/>
        </w:rPr>
      </w:pPr>
      <w:r w:rsidRPr="00584716">
        <w:rPr>
          <w:noProof/>
        </w:rPr>
        <w:t>Поради спешния характер на предложението, което има за цел да подкрепи бързото адаптиране на европейската отбранителна промишленост към новата геополитическа среда и да помогне на държава във война от началото на 2023 г., не беше възможно да се представи оценка на въздействието преди приемането на сборен пакет от мерки за отбранителната готовност. В срок от 3 месеца след приемането на настоящото предложение Комисията ще представи работен документ на своите служби, за да обоснове подробно това законодателно действие и да обясни неговата целесъобразност за постигане на набелязаните цели на политиката съгласно съответните правила за по-добро регулиране.</w:t>
      </w:r>
    </w:p>
    <w:p w14:paraId="0E14351E" w14:textId="4A41E36A" w:rsidR="00161159" w:rsidRPr="00584716" w:rsidRDefault="00D93936" w:rsidP="26CA5F55">
      <w:pPr>
        <w:pBdr>
          <w:top w:val="nil"/>
          <w:left w:val="nil"/>
          <w:bottom w:val="nil"/>
          <w:right w:val="nil"/>
          <w:between w:val="nil"/>
          <w:bar w:val="nil"/>
        </w:pBdr>
        <w:spacing w:before="0" w:after="240"/>
        <w:rPr>
          <w:rFonts w:eastAsia="Arial Unicode MS"/>
          <w:noProof/>
        </w:rPr>
      </w:pPr>
      <w:r w:rsidRPr="00584716">
        <w:rPr>
          <w:noProof/>
        </w:rPr>
        <w:t>Предложението се отнася до ограничени и целенасочени промени в законодателството. Те се основават на опита от прилагането на законодателството. Промените не влияят съществено върху политиката, а само гарантират нейното по-ефикасно и по-ефективно изпълнение. Поради целевия им характер и липсата на съответни варианти на политиката не е необходимо да се извършва оценка на въздействието. Въпреки това в приложеното съобщение се разглеждат елементите на въздействието на тези мерки, включително анализ на резултатите от обществената консултация на ЕС, проведена в този контекст.</w:t>
      </w:r>
    </w:p>
    <w:p w14:paraId="38466823"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Пригодност и опростяване на законодателството</w:t>
      </w:r>
    </w:p>
    <w:p w14:paraId="0015CEF3" w14:textId="77777777" w:rsidR="003B768A" w:rsidRPr="00584716" w:rsidRDefault="003B768A" w:rsidP="003B768A">
      <w:pPr>
        <w:pBdr>
          <w:top w:val="nil"/>
          <w:left w:val="nil"/>
          <w:bottom w:val="nil"/>
          <w:right w:val="nil"/>
          <w:between w:val="nil"/>
          <w:bar w:val="nil"/>
        </w:pBdr>
        <w:spacing w:before="0" w:after="240"/>
        <w:rPr>
          <w:rFonts w:eastAsia="Arial Unicode MS"/>
          <w:noProof/>
        </w:rPr>
      </w:pPr>
      <w:r w:rsidRPr="00584716">
        <w:rPr>
          <w:noProof/>
        </w:rPr>
        <w:t>Очаква се предложението за създаване на единно звено за контакт за свързаните с разрешенията производства за сектора на отбраната, заедно с ускорена процедура за издаване на разрешения, да окаже положително въздействие върху свеждането до минимум на разходите за привеждане в съответствие за МСП, големите дружества и други заинтересовани страни в сектора на отбраната. Благодарение на създаването на единно звено за контакт в държавите членки вече няма да е необходимо дружествата да се ориентират в множество институции и административни органи, за да получат разрешения, което ще намали времето и ресурсите, изразходвани за административни задачи. Това опростяване на административните процедури ще намали значително несигурността, като предостави на дружествата в областта на отбраната по-голяма сигурност и предвидимост, което ще им позволи да планират дейностите си в областта на отбранителната готовност с по-голяма увереност.</w:t>
      </w:r>
    </w:p>
    <w:p w14:paraId="5FB0F7A6" w14:textId="77777777" w:rsidR="003B768A" w:rsidRPr="00584716" w:rsidRDefault="003B768A" w:rsidP="003B768A">
      <w:pPr>
        <w:pBdr>
          <w:top w:val="nil"/>
          <w:left w:val="nil"/>
          <w:bottom w:val="nil"/>
          <w:right w:val="nil"/>
          <w:between w:val="nil"/>
          <w:bar w:val="nil"/>
        </w:pBdr>
        <w:spacing w:before="0" w:after="240"/>
        <w:rPr>
          <w:rFonts w:eastAsia="Arial Unicode MS"/>
          <w:noProof/>
        </w:rPr>
      </w:pPr>
      <w:r w:rsidRPr="00584716">
        <w:rPr>
          <w:noProof/>
        </w:rPr>
        <w:t>Ускорената процедура, при която се предполага, че е издадено разрешение, ако не бъде получен отговор до определения краен срок, също ще подпомогне процеса на издаване на разрешения, което ще даде възможност на дружествата в областта на отбраната да започват проектите си по-рано, ще намали закъсненията и ще сведе до минимум свързаните с това разходи. Този рационализиран процес ще повиши конкурентоспособността на сектора на отбраната на ЕС, особено за МСП, които ще могат да реагират по-бързо на променящите се пазарни условия и потребностите на клиентите. По-ефективният и предвидим процес на издаване на разрешения ще направи сектора на отбраната на ЕС по-привлекателен за инвеститорите — както местни, така и чуждестранни, което би могло да доведе до увеличаване на инвестициите и растежа в сектора.</w:t>
      </w:r>
    </w:p>
    <w:p w14:paraId="23197E10" w14:textId="77777777" w:rsidR="003B768A" w:rsidRPr="00584716" w:rsidRDefault="003B768A" w:rsidP="003B768A">
      <w:pPr>
        <w:pBdr>
          <w:top w:val="nil"/>
          <w:left w:val="nil"/>
          <w:bottom w:val="nil"/>
          <w:right w:val="nil"/>
          <w:between w:val="nil"/>
          <w:bar w:val="nil"/>
        </w:pBdr>
        <w:spacing w:before="0" w:after="240"/>
        <w:rPr>
          <w:rFonts w:eastAsia="Arial Unicode MS"/>
          <w:noProof/>
        </w:rPr>
      </w:pPr>
      <w:r w:rsidRPr="00584716">
        <w:rPr>
          <w:noProof/>
        </w:rPr>
        <w:t xml:space="preserve"> Това ще улесни търговията в сектора на отбраната, особено за МСП, които ще могат по-лесно да изнасят своите продукти и услуги, като допринасят за растежа на международната търговия. Създаването на единно звено за контакт и ускорена процедура също така ще улесни сътрудничеството между дружествата от ЕС в областта на отбраната и техните международни партньори, като насърчава разработването на съвместни проекти и сътрудничество и същевременно гарантира спазването на международните споразумения и пропорционалните изисквания за свеждане до минимум на административната тежест за МСП и други заинтересовани страни.</w:t>
      </w:r>
    </w:p>
    <w:p w14:paraId="2405FC5D"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Основни права</w:t>
      </w:r>
    </w:p>
    <w:p w14:paraId="14AF3961" w14:textId="77777777" w:rsidR="003B768A" w:rsidRPr="00584716" w:rsidRDefault="003B768A" w:rsidP="00752C74">
      <w:pPr>
        <w:pBdr>
          <w:top w:val="nil"/>
          <w:left w:val="nil"/>
          <w:bottom w:val="nil"/>
          <w:right w:val="nil"/>
          <w:between w:val="nil"/>
          <w:bar w:val="nil"/>
        </w:pBdr>
        <w:spacing w:before="0" w:after="240"/>
        <w:rPr>
          <w:noProof/>
        </w:rPr>
      </w:pPr>
      <w:r w:rsidRPr="00584716">
        <w:rPr>
          <w:noProof/>
        </w:rPr>
        <w:t>Не се прилага.</w:t>
      </w:r>
    </w:p>
    <w:p w14:paraId="2138FD8E" w14:textId="77777777" w:rsidR="00161159" w:rsidRPr="00584716" w:rsidRDefault="00161159" w:rsidP="00752C74">
      <w:pPr>
        <w:pStyle w:val="ManualHeading1"/>
        <w:rPr>
          <w:noProof/>
        </w:rPr>
      </w:pPr>
      <w:r w:rsidRPr="00584716">
        <w:rPr>
          <w:noProof/>
        </w:rPr>
        <w:t>4.</w:t>
      </w:r>
      <w:r w:rsidRPr="00584716">
        <w:rPr>
          <w:noProof/>
        </w:rPr>
        <w:tab/>
        <w:t>ОТРАЖЕНИЕ ВЪРХУ БЮДЖЕТА</w:t>
      </w:r>
    </w:p>
    <w:p w14:paraId="2263F6B9" w14:textId="6E78E475" w:rsidR="003B768A" w:rsidRPr="00584716" w:rsidRDefault="126AACA9" w:rsidP="26CA5F55">
      <w:pPr>
        <w:pBdr>
          <w:top w:val="nil"/>
          <w:left w:val="nil"/>
          <w:bottom w:val="nil"/>
          <w:right w:val="nil"/>
          <w:between w:val="nil"/>
          <w:bar w:val="nil"/>
        </w:pBdr>
        <w:spacing w:before="0" w:after="240"/>
        <w:rPr>
          <w:noProof/>
        </w:rPr>
      </w:pPr>
      <w:r w:rsidRPr="00584716">
        <w:rPr>
          <w:noProof/>
        </w:rPr>
        <w:t>По искане на държава членка помощта за изграждане на капацитет в подкрепа на създаването или функционирането на единно звено за контакт ще бъде допустима за финансиране по Програмата за европейската отбранителна промишленост (ПЕОП), когато бъде приета, и в рамките на договорения пакет на програмата. Подкрепата за изграждане на капацитет съгласно настоящото предложение попада в обхвата на действията за подкрепа по ПЕОП. Поради ограниченото отражение върху бюджета няма да бъде изготвена законодателна финансова обосновка.</w:t>
      </w:r>
    </w:p>
    <w:p w14:paraId="6FFCCB48" w14:textId="77777777" w:rsidR="00161159" w:rsidRPr="00584716" w:rsidRDefault="00161159" w:rsidP="00752C74">
      <w:pPr>
        <w:pStyle w:val="ManualHeading1"/>
        <w:rPr>
          <w:noProof/>
        </w:rPr>
      </w:pPr>
      <w:r w:rsidRPr="00584716">
        <w:rPr>
          <w:noProof/>
        </w:rPr>
        <w:t>5.</w:t>
      </w:r>
      <w:r w:rsidRPr="00584716">
        <w:rPr>
          <w:noProof/>
        </w:rPr>
        <w:tab/>
        <w:t>ДРУГИ ЕЛЕМЕНТИ</w:t>
      </w:r>
    </w:p>
    <w:p w14:paraId="500F6C36"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Планове за изпълнение и механизъм за мониторинг, оценка и докладване</w:t>
      </w:r>
    </w:p>
    <w:p w14:paraId="7AB7328C" w14:textId="77777777" w:rsidR="00161159" w:rsidRPr="00584716" w:rsidRDefault="00F35F00" w:rsidP="00F35F00">
      <w:pPr>
        <w:pBdr>
          <w:top w:val="nil"/>
          <w:left w:val="nil"/>
          <w:bottom w:val="nil"/>
          <w:right w:val="nil"/>
          <w:between w:val="nil"/>
          <w:bar w:val="nil"/>
        </w:pBdr>
        <w:spacing w:before="0" w:after="240"/>
        <w:rPr>
          <w:noProof/>
        </w:rPr>
      </w:pPr>
      <w:r w:rsidRPr="00584716">
        <w:rPr>
          <w:noProof/>
        </w:rPr>
        <w:t>Не се прилага.</w:t>
      </w:r>
    </w:p>
    <w:p w14:paraId="611B2A61" w14:textId="77777777" w:rsidR="00161159" w:rsidRPr="00584716" w:rsidRDefault="00161159" w:rsidP="00752C74">
      <w:pPr>
        <w:pStyle w:val="ManualHeading2"/>
        <w:rPr>
          <w:rFonts w:eastAsia="Arial Unicode MS"/>
          <w:noProof/>
          <w:u w:color="000000"/>
          <w:bdr w:val="nil"/>
        </w:rPr>
      </w:pPr>
      <w:r w:rsidRPr="00584716">
        <w:rPr>
          <w:noProof/>
          <w:u w:color="000000"/>
          <w:bdr w:val="nil"/>
        </w:rPr>
        <w:t>•</w:t>
      </w:r>
      <w:r w:rsidRPr="00584716">
        <w:rPr>
          <w:noProof/>
        </w:rPr>
        <w:tab/>
      </w:r>
      <w:r w:rsidRPr="00584716">
        <w:rPr>
          <w:noProof/>
          <w:u w:color="000000"/>
          <w:bdr w:val="nil"/>
        </w:rPr>
        <w:t>Подробно разяснение на конкретните разпоредби на предложението</w:t>
      </w:r>
    </w:p>
    <w:p w14:paraId="6A35BF73" w14:textId="77777777" w:rsidR="00A14CD1" w:rsidRPr="00584716" w:rsidRDefault="00CA348E" w:rsidP="00FA6D21">
      <w:pPr>
        <w:pStyle w:val="Text1"/>
        <w:rPr>
          <w:noProof/>
        </w:rPr>
      </w:pPr>
      <w:r w:rsidRPr="00584716">
        <w:rPr>
          <w:noProof/>
        </w:rPr>
        <w:t>С настоящия регламент се установяват рационализирани процеси на издаване на разрешения за проекти за отбранителна готовност. Определянето от страна на държавите членки на национален компетентен орган, който да действа като единно звено за контакт, да отговаря за координацията и улесняването при издаването на разрешения, да дава насоки на икономическите оператори, да гарантира, че информацията е публично достъпна и че всички документи може да се подават в цифров вид, ще бъде от полза за всички проекти за отбранителна готовност. В регламента се определят подробни срокове за процедурите за издаване на разрешения. Предложението е в съответствие с правните разпоредби на Съюза относно издаването на разрешения.</w:t>
      </w:r>
    </w:p>
    <w:p w14:paraId="2AFE946B" w14:textId="77777777" w:rsidR="00161159" w:rsidRPr="00584716" w:rsidRDefault="00161159" w:rsidP="00752C74">
      <w:pPr>
        <w:rPr>
          <w:noProof/>
        </w:rPr>
        <w:sectPr w:rsidR="00161159" w:rsidRPr="00584716" w:rsidSect="00EC5118">
          <w:headerReference w:type="even" r:id="rId14"/>
          <w:footerReference w:type="even" r:id="rId15"/>
          <w:footerReference w:type="default" r:id="rId16"/>
          <w:headerReference w:type="first" r:id="rId17"/>
          <w:footerReference w:type="first" r:id="rId18"/>
          <w:pgSz w:w="11907" w:h="16839"/>
          <w:pgMar w:top="1134" w:right="1417" w:bottom="1134" w:left="1417" w:header="709" w:footer="709" w:gutter="0"/>
          <w:cols w:space="708"/>
          <w:docGrid w:linePitch="360"/>
        </w:sectPr>
      </w:pPr>
    </w:p>
    <w:p w14:paraId="116FFE39" w14:textId="5571A582" w:rsidR="00A33FA2" w:rsidRPr="00584716" w:rsidRDefault="00584716" w:rsidP="00584716">
      <w:pPr>
        <w:pStyle w:val="Rfrenceinterinstitutionnelle"/>
        <w:rPr>
          <w:noProof/>
        </w:rPr>
      </w:pPr>
      <w:r>
        <w:rPr>
          <w:noProof/>
        </w:rPr>
        <w:t>2025/0172 (COD)</w:t>
      </w:r>
    </w:p>
    <w:p w14:paraId="03908718" w14:textId="59277AFA" w:rsidR="00161159" w:rsidRPr="00584716" w:rsidRDefault="00584716" w:rsidP="00584716">
      <w:pPr>
        <w:pStyle w:val="Statut"/>
        <w:rPr>
          <w:noProof/>
        </w:rPr>
      </w:pPr>
      <w:r w:rsidRPr="00584716">
        <w:rPr>
          <w:noProof/>
        </w:rPr>
        <w:t>Предложение за</w:t>
      </w:r>
    </w:p>
    <w:p w14:paraId="5A9B5C5D" w14:textId="22913A36" w:rsidR="00161159" w:rsidRPr="00584716" w:rsidRDefault="00584716" w:rsidP="00584716">
      <w:pPr>
        <w:pStyle w:val="Typedudocument"/>
        <w:rPr>
          <w:noProof/>
        </w:rPr>
      </w:pPr>
      <w:r w:rsidRPr="00584716">
        <w:rPr>
          <w:noProof/>
        </w:rPr>
        <w:t>РЕГЛАМЕНТ НА ЕВРОПЕЙСКИЯ ПАРЛАМЕНТ И НА СЪВЕТА</w:t>
      </w:r>
    </w:p>
    <w:p w14:paraId="153341EA" w14:textId="2BBDBAB1" w:rsidR="00161159" w:rsidRPr="00584716" w:rsidRDefault="00584716" w:rsidP="00584716">
      <w:pPr>
        <w:pStyle w:val="Titreobjet"/>
        <w:rPr>
          <w:noProof/>
        </w:rPr>
      </w:pPr>
      <w:r w:rsidRPr="00584716">
        <w:rPr>
          <w:noProof/>
        </w:rPr>
        <w:t>за ускоряване на издаването на разрешения за проекти за отбранителна готовност</w:t>
      </w:r>
    </w:p>
    <w:p w14:paraId="6A747796" w14:textId="77777777" w:rsidR="00161159" w:rsidRPr="00584716" w:rsidRDefault="00161159" w:rsidP="00752C74">
      <w:pPr>
        <w:pStyle w:val="Institutionquiagit"/>
        <w:rPr>
          <w:noProof/>
        </w:rPr>
      </w:pPr>
      <w:r w:rsidRPr="00584716">
        <w:rPr>
          <w:noProof/>
        </w:rPr>
        <w:t>ЕВРОПЕЙСКИЯТ ПАРЛАМЕНТ И СЪВЕТЪТ НА ЕВРОПЕЙСКИЯ СЪЮЗ,</w:t>
      </w:r>
    </w:p>
    <w:p w14:paraId="111C9D92" w14:textId="77777777" w:rsidR="00161159" w:rsidRPr="00584716" w:rsidRDefault="00161159" w:rsidP="00752C74">
      <w:pPr>
        <w:rPr>
          <w:noProof/>
        </w:rPr>
      </w:pPr>
      <w:r w:rsidRPr="00584716">
        <w:rPr>
          <w:noProof/>
        </w:rPr>
        <w:t>като взеха предвид Договора за функционирането на Европейския съюз, и по-специално член 114 от него,</w:t>
      </w:r>
    </w:p>
    <w:p w14:paraId="11D5A8FB" w14:textId="77777777" w:rsidR="00161159" w:rsidRPr="00584716" w:rsidRDefault="00161159" w:rsidP="00752C74">
      <w:pPr>
        <w:rPr>
          <w:noProof/>
        </w:rPr>
      </w:pPr>
      <w:r w:rsidRPr="00584716">
        <w:rPr>
          <w:noProof/>
        </w:rPr>
        <w:t>като взеха предвид предложението на Европейската комисия,</w:t>
      </w:r>
    </w:p>
    <w:p w14:paraId="4CC06ED6" w14:textId="77777777" w:rsidR="00161159" w:rsidRPr="00584716" w:rsidRDefault="00161159" w:rsidP="00752C74">
      <w:pPr>
        <w:rPr>
          <w:noProof/>
        </w:rPr>
      </w:pPr>
      <w:r w:rsidRPr="00584716">
        <w:rPr>
          <w:noProof/>
        </w:rPr>
        <w:t>след предаване на проекта на законодателния акт на националните парламенти,</w:t>
      </w:r>
    </w:p>
    <w:p w14:paraId="0D68F6CA" w14:textId="77777777" w:rsidR="00161159" w:rsidRPr="00584716" w:rsidRDefault="00161159" w:rsidP="00752C74">
      <w:pPr>
        <w:rPr>
          <w:noProof/>
        </w:rPr>
      </w:pPr>
      <w:r w:rsidRPr="00584716">
        <w:rPr>
          <w:noProof/>
        </w:rPr>
        <w:t>като взеха предвид становището на Европейския икономически и социален комитет</w:t>
      </w:r>
      <w:r w:rsidRPr="00584716">
        <w:rPr>
          <w:rStyle w:val="FootnoteReference"/>
          <w:noProof/>
        </w:rPr>
        <w:footnoteReference w:id="3"/>
      </w:r>
      <w:r w:rsidRPr="00584716">
        <w:rPr>
          <w:noProof/>
        </w:rPr>
        <w:t>,</w:t>
      </w:r>
    </w:p>
    <w:p w14:paraId="0ED05E34" w14:textId="77777777" w:rsidR="00161159" w:rsidRPr="00584716" w:rsidRDefault="00161159" w:rsidP="00752C74">
      <w:pPr>
        <w:rPr>
          <w:noProof/>
        </w:rPr>
      </w:pPr>
      <w:r w:rsidRPr="00584716">
        <w:rPr>
          <w:noProof/>
        </w:rPr>
        <w:t>в съответствие с обикновената законодателна процедура,</w:t>
      </w:r>
    </w:p>
    <w:p w14:paraId="6ABABAEB" w14:textId="77777777" w:rsidR="00161159" w:rsidRPr="00584716" w:rsidRDefault="00161159" w:rsidP="00752C74">
      <w:pPr>
        <w:rPr>
          <w:noProof/>
        </w:rPr>
      </w:pPr>
      <w:r w:rsidRPr="00584716">
        <w:rPr>
          <w:noProof/>
        </w:rPr>
        <w:t>като имат предвид, че:</w:t>
      </w:r>
    </w:p>
    <w:p w14:paraId="18A1B4E5" w14:textId="6EE3F5EF" w:rsidR="00A34656" w:rsidRPr="00584716" w:rsidRDefault="001C3C96" w:rsidP="001C3C96">
      <w:pPr>
        <w:pStyle w:val="ManualConsidrant"/>
        <w:rPr>
          <w:noProof/>
        </w:rPr>
      </w:pPr>
      <w:r w:rsidRPr="001C3C96">
        <w:rPr>
          <w:noProof/>
        </w:rPr>
        <w:t>(1)</w:t>
      </w:r>
      <w:r w:rsidRPr="001C3C96">
        <w:rPr>
          <w:noProof/>
        </w:rPr>
        <w:tab/>
      </w:r>
      <w:r w:rsidR="00A34656" w:rsidRPr="00584716">
        <w:rPr>
          <w:noProof/>
        </w:rPr>
        <w:t>Както се подчертава в Съвместната бяла книга за европейската отбранителна готовност до 2030 г.</w:t>
      </w:r>
      <w:r w:rsidR="00A34656" w:rsidRPr="00584716">
        <w:rPr>
          <w:rStyle w:val="FootnoteReference"/>
          <w:noProof/>
        </w:rPr>
        <w:footnoteReference w:id="4"/>
      </w:r>
      <w:r w:rsidR="00A34656" w:rsidRPr="00584716">
        <w:rPr>
          <w:noProof/>
        </w:rPr>
        <w:t>, Съюзът е изправен пред остра и непрестанно нарастваща заплаха, свързана със завръщането на пълномащабен конфликт в Европа. В отговор на това нарастващо предизвикателство е наложително Съюзът да предприеме решителни действия за укрепване на отбранителната си готовност. Спешно трябва да се повиши европейската отбранителна готовност, за да се гарантира, че най-късно до 2030 г. Европа ще има силна и достатъчна европейска отбранителна позиция. Прогнозите за постепенно използване на инструментите, предложени в рамките на плана ReArm Europe/Готовност до 2030 г., сочат, че през следващите четири години инвестициите в отбраната биха могли да достигнат най-малко 800 милиарда евро. Ключов аспект на тези усилия е необходимостта от увеличаване на производствения капацитет на Съюза в областта на отбраната, което ще му позволи да реагира ефективно на възникващите заплахи за сигурността. От решаващо значение за постигането на тази цел са опростяването и хармонизирането на нормативната уредба. Като рационализира и съгласува нормативните уредби, Съюзът може да създаде по-благоприятна среда за отбранителната промишленост, за да функционира, да въвежда иновации и да създава необходимите способности за гарантиране на европейската сигурност и отбранителна готовност.</w:t>
      </w:r>
    </w:p>
    <w:p w14:paraId="0EA581C5" w14:textId="333E0F76" w:rsidR="00CA6F19" w:rsidRPr="00584716" w:rsidRDefault="001C3C96" w:rsidP="001C3C96">
      <w:pPr>
        <w:pStyle w:val="ManualConsidrant"/>
        <w:rPr>
          <w:noProof/>
        </w:rPr>
      </w:pPr>
      <w:r w:rsidRPr="001C3C96">
        <w:rPr>
          <w:noProof/>
        </w:rPr>
        <w:t>(2)</w:t>
      </w:r>
      <w:r w:rsidRPr="001C3C96">
        <w:rPr>
          <w:noProof/>
        </w:rPr>
        <w:tab/>
      </w:r>
      <w:r w:rsidR="00CA6F19" w:rsidRPr="00584716">
        <w:rPr>
          <w:noProof/>
        </w:rPr>
        <w:t>В този контекст отбранителната готовност следва да се разбира като способността на държавите членки да предвиждат, предотвратяват и реагират на свързани с отбраната кризи, както е посочено в Директива 2009/81/ЕО на Европейския парламент и на Съвета</w:t>
      </w:r>
      <w:r w:rsidR="00CA6F19" w:rsidRPr="00584716">
        <w:rPr>
          <w:rStyle w:val="FootnoteReference"/>
          <w:noProof/>
        </w:rPr>
        <w:footnoteReference w:id="5"/>
      </w:r>
      <w:r w:rsidR="00CA6F19" w:rsidRPr="00584716">
        <w:rPr>
          <w:noProof/>
        </w:rPr>
        <w:t>, чрез проактивен и координиран подход. Това включва гарантиране на наличието на отбранителен промишлен капацитет, необходим за придобиване и поддържане на необходимите ресурси, способности и инфраструктура с цел ефективно реагиране на такива кризи.</w:t>
      </w:r>
    </w:p>
    <w:p w14:paraId="7E702E77" w14:textId="355FB20B" w:rsidR="0089365B" w:rsidRPr="00584716" w:rsidRDefault="001C3C96" w:rsidP="001C3C96">
      <w:pPr>
        <w:pStyle w:val="ManualConsidrant"/>
        <w:rPr>
          <w:noProof/>
        </w:rPr>
      </w:pPr>
      <w:r w:rsidRPr="001C3C96">
        <w:rPr>
          <w:noProof/>
        </w:rPr>
        <w:t>(3)</w:t>
      </w:r>
      <w:r w:rsidRPr="001C3C96">
        <w:rPr>
          <w:noProof/>
        </w:rPr>
        <w:tab/>
      </w:r>
      <w:r w:rsidR="007A0B31" w:rsidRPr="00584716">
        <w:rPr>
          <w:noProof/>
        </w:rPr>
        <w:t>Създаването или разширяването на съоръжения и инфраструктура и предприемането на дейности, свързани с отбранителната готовност, често изисква подаване на заявления за множество съответни разрешения и одобрения. Съществуващите процедури за издаване на разрешения за оценки в различни области често са продължителни и тромави. Понастоящем в тези процедури липсват разпоредби за целия Съюз за ускорени процеси, специфични за дейностите за отбранителна готовност, което възпрепятства навременното увеличаване на производството в областта на отбраната и свързаната с него инфраструктура, както и дейностите и инвестициите в отбранителна готовност, които са от решаващо значение за посрещане на възникващите нужди в областта на сигурността.</w:t>
      </w:r>
    </w:p>
    <w:p w14:paraId="30B38B82" w14:textId="36D21AEC" w:rsidR="00745152" w:rsidRPr="00584716" w:rsidRDefault="001C3C96" w:rsidP="001C3C96">
      <w:pPr>
        <w:pStyle w:val="ManualConsidrant"/>
        <w:rPr>
          <w:noProof/>
        </w:rPr>
      </w:pPr>
      <w:r w:rsidRPr="001C3C96">
        <w:rPr>
          <w:noProof/>
        </w:rPr>
        <w:t>(4)</w:t>
      </w:r>
      <w:r w:rsidRPr="001C3C96">
        <w:rPr>
          <w:noProof/>
        </w:rPr>
        <w:tab/>
      </w:r>
      <w:r w:rsidR="00745152" w:rsidRPr="00584716">
        <w:rPr>
          <w:noProof/>
        </w:rPr>
        <w:t>Националният процес на издаване на разрешения гарантира, че проектите за отбранителна готовност са безопасни, сигурни и отговарят на екологичните, социалните и други изисквания за безопасност. Правото на Съюза в областта на околната среда установява общите условия за съдържанието на националния процес на издаване на разрешения, като по този начин осигурява високо ниво на опазване на околната среда и дава възможност за устойчива експлоатация на потенциала на Съюза по веригата за създаване на стойност в сектора на суровините.</w:t>
      </w:r>
    </w:p>
    <w:p w14:paraId="72FBD2DD" w14:textId="5DCA5956" w:rsidR="003512D3" w:rsidRPr="00584716" w:rsidRDefault="001C3C96" w:rsidP="001C3C96">
      <w:pPr>
        <w:pStyle w:val="ManualConsidrant"/>
        <w:rPr>
          <w:noProof/>
        </w:rPr>
      </w:pPr>
      <w:r w:rsidRPr="001C3C96">
        <w:rPr>
          <w:noProof/>
        </w:rPr>
        <w:t>(5)</w:t>
      </w:r>
      <w:r w:rsidRPr="001C3C96">
        <w:rPr>
          <w:noProof/>
        </w:rPr>
        <w:tab/>
      </w:r>
      <w:r w:rsidR="00745152" w:rsidRPr="00584716">
        <w:rPr>
          <w:noProof/>
        </w:rPr>
        <w:t>Същевременно непредвидимостта, сложността, а често и прекомерната продължителност на националните процеси на издаване на разрешения намаляват сигурността на инвестициите, необходима за ефективното укрепване на отбранителната готовност на държавите членки. Структурата и продължителността на процеса на издаване на разрешения за съответни проекти могат също така да са доста различни в отделните държави членки. Ето защо, за да осигурят и ускорят ефективното им изпълнение, държавите членки следва да прилагат рационализирани и предвидими процеси на издаване на разрешения за проекти за отбранителна готовност.</w:t>
      </w:r>
    </w:p>
    <w:p w14:paraId="41D563EB" w14:textId="603B4B73" w:rsidR="0089365B" w:rsidRPr="00584716" w:rsidRDefault="001C3C96" w:rsidP="001C3C96">
      <w:pPr>
        <w:pStyle w:val="ManualConsidrant"/>
        <w:rPr>
          <w:noProof/>
        </w:rPr>
      </w:pPr>
      <w:r w:rsidRPr="001C3C96">
        <w:rPr>
          <w:noProof/>
        </w:rPr>
        <w:t>(6)</w:t>
      </w:r>
      <w:r w:rsidRPr="001C3C96">
        <w:rPr>
          <w:noProof/>
        </w:rPr>
        <w:tab/>
      </w:r>
      <w:r w:rsidR="0089365B" w:rsidRPr="00584716">
        <w:rPr>
          <w:noProof/>
        </w:rPr>
        <w:t>Въпреки че някои държави членки са предприели или е вероятно да предприемат мерки за ускоряване на процесите на издаване на разрешения за отбранителната промишленост, това може да се направи по различни начини, което би довело до пречки пред функционирането на вътрешния пазар в сектора на отбраната. Различията между националните правни разпоредби по отношение на планирането на процеса на издаване на разрешения за проекти в областта на отбраната се оказват пречка за съответните европейските вериги на доставки на отбранителни продукти. За да се гарантира функционирането на вътрешния пазар, е необходимо да се установят хармонизирани правила за ускоряване на процесите на издаване на разрешения.</w:t>
      </w:r>
    </w:p>
    <w:p w14:paraId="3266FD1F" w14:textId="5BD046DC" w:rsidR="0089365B" w:rsidRPr="00584716" w:rsidRDefault="001C3C96" w:rsidP="001C3C96">
      <w:pPr>
        <w:pStyle w:val="ManualConsidrant"/>
        <w:rPr>
          <w:noProof/>
        </w:rPr>
      </w:pPr>
      <w:r w:rsidRPr="001C3C96">
        <w:rPr>
          <w:noProof/>
        </w:rPr>
        <w:t>(7)</w:t>
      </w:r>
      <w:r w:rsidRPr="001C3C96">
        <w:rPr>
          <w:noProof/>
        </w:rPr>
        <w:tab/>
      </w:r>
      <w:r w:rsidR="0089365B" w:rsidRPr="00584716">
        <w:rPr>
          <w:noProof/>
        </w:rPr>
        <w:t>Институциите на Съюза могат да предоставят насоки и рамки, но отговорността за издаването на разрешения и улесняването на ускорените процеси за издаване на разрешения е предимно на държавите членки. Държавите членки са в най-добра позиция да въведат промени, които отговарят на техните специфични административни и регулаторни условия.</w:t>
      </w:r>
    </w:p>
    <w:p w14:paraId="3409646E" w14:textId="06F40E2B" w:rsidR="0089365B" w:rsidRPr="00584716" w:rsidRDefault="001C3C96" w:rsidP="001C3C96">
      <w:pPr>
        <w:pStyle w:val="ManualConsidrant"/>
        <w:rPr>
          <w:noProof/>
        </w:rPr>
      </w:pPr>
      <w:r w:rsidRPr="001C3C96">
        <w:rPr>
          <w:noProof/>
        </w:rPr>
        <w:t>(8)</w:t>
      </w:r>
      <w:r w:rsidRPr="001C3C96">
        <w:rPr>
          <w:noProof/>
        </w:rPr>
        <w:tab/>
      </w:r>
      <w:r w:rsidR="00F63B33" w:rsidRPr="00584716">
        <w:rPr>
          <w:noProof/>
        </w:rPr>
        <w:t>Съществува неотложна необходимост от намаляване на сложността и продължителността на процесите за издаване на разрешения за проекти за отбранителна готовност. Чрез създаването на национални рамки за издаване на разрешения, които дават приоритет на тези проекти и гарантират бързото им обработване, Съюзът се стреми да увеличи своя производствен капацитет и готовност в областта на отбраната най-късно до 2030 г.</w:t>
      </w:r>
    </w:p>
    <w:p w14:paraId="675EA574" w14:textId="4BF812BF" w:rsidR="0089365B" w:rsidRPr="00584716" w:rsidRDefault="001C3C96" w:rsidP="001C3C96">
      <w:pPr>
        <w:pStyle w:val="ManualConsidrant"/>
        <w:rPr>
          <w:noProof/>
        </w:rPr>
      </w:pPr>
      <w:r w:rsidRPr="001C3C96">
        <w:rPr>
          <w:noProof/>
        </w:rPr>
        <w:t>(9)</w:t>
      </w:r>
      <w:r w:rsidRPr="001C3C96">
        <w:rPr>
          <w:noProof/>
        </w:rPr>
        <w:tab/>
      </w:r>
      <w:r w:rsidR="00CC4526" w:rsidRPr="00584716">
        <w:rPr>
          <w:noProof/>
        </w:rPr>
        <w:t>За да се справи с тези предизвикателства, отбранителната промишленост следва да се ползва от правила, които са доказали своята ефективност при рационализирането на процесите на издаване на разрешения за промишлеността. Целта е да се съкратят сроковете за издаване на разрешения за дейности на отбранителната промишленост, включително изграждането на нови заводи и свързаната с тях инфраструктура, разширяването на съществуващите съоръжения, създаването на обекти за изпитване, обучението и сертифицирането, като същевременно се надграждат и разширяват действащите понастоящем разпоредби.</w:t>
      </w:r>
    </w:p>
    <w:p w14:paraId="34FE36A5" w14:textId="23ECBC14" w:rsidR="00105BE9" w:rsidRPr="00584716" w:rsidRDefault="001C3C96" w:rsidP="001C3C96">
      <w:pPr>
        <w:pStyle w:val="ManualConsidrant"/>
        <w:rPr>
          <w:noProof/>
        </w:rPr>
      </w:pPr>
      <w:r w:rsidRPr="001C3C96">
        <w:rPr>
          <w:noProof/>
        </w:rPr>
        <w:t>(10)</w:t>
      </w:r>
      <w:r w:rsidRPr="001C3C96">
        <w:rPr>
          <w:noProof/>
        </w:rPr>
        <w:tab/>
      </w:r>
      <w:r w:rsidR="00361228" w:rsidRPr="00584716">
        <w:rPr>
          <w:noProof/>
        </w:rPr>
        <w:t>Неразделна част от процедурата за издаване на разрешения, включително за сектора на отбраната, е спазването на правото на Съюза, включително например по отношение на водите, управлението на отпадъците, въздуха, екосистемите, местообитанията, археологията, биологичното разнообразие и опазването на птиците. Тези правила са основна предпазна мярка, за да се гарантира, че отрицателните въздействия се предотвратяват или свеждат до минимум. Същевременно, за да се гарантира, че процедурите за издаване на разрешения за проекти за отбранителна готовност са предвидими и навременни, следва да се използват всички възможности за рационализиране на изискваните оценки и разрешения, без да се понижава нивото на защита на околната среда например. В това отношение следва да се гарантира, че необходимите оценки са групирани, за да се избегне ненужно припокриване.</w:t>
      </w:r>
    </w:p>
    <w:p w14:paraId="17833A2D" w14:textId="34E72E6C" w:rsidR="0089365B" w:rsidRPr="00584716" w:rsidRDefault="001C3C96" w:rsidP="001C3C96">
      <w:pPr>
        <w:pStyle w:val="ManualConsidrant"/>
        <w:rPr>
          <w:noProof/>
        </w:rPr>
      </w:pPr>
      <w:r w:rsidRPr="001C3C96">
        <w:rPr>
          <w:noProof/>
        </w:rPr>
        <w:t>(11)</w:t>
      </w:r>
      <w:r w:rsidRPr="001C3C96">
        <w:rPr>
          <w:noProof/>
        </w:rPr>
        <w:tab/>
      </w:r>
      <w:r w:rsidR="0089365B" w:rsidRPr="00584716">
        <w:rPr>
          <w:noProof/>
        </w:rPr>
        <w:t>За да се улесни ефикасното и навременно обработване на административните заявления за издаване на разрешения, свързани с дейностите за отбранителна готовност и увеличаването на производството в областта на отбраната, държавите членки трябва да гарантират, че компетентните национални органи прилагат ускорени процедури. Тези органи следва да осигурят възможно най-бързото правно третиране на такива заявления, като по този начин се даде възможност за навременен отговор на нуждите от отбранителна готовност.</w:t>
      </w:r>
    </w:p>
    <w:p w14:paraId="205B88D9" w14:textId="593A8402" w:rsidR="00D01B63" w:rsidRPr="00584716" w:rsidRDefault="001C3C96" w:rsidP="001C3C96">
      <w:pPr>
        <w:pStyle w:val="ManualConsidrant"/>
        <w:rPr>
          <w:noProof/>
        </w:rPr>
      </w:pPr>
      <w:r w:rsidRPr="001C3C96">
        <w:rPr>
          <w:noProof/>
        </w:rPr>
        <w:t>(12)</w:t>
      </w:r>
      <w:r w:rsidRPr="001C3C96">
        <w:rPr>
          <w:noProof/>
        </w:rPr>
        <w:tab/>
      </w:r>
      <w:r w:rsidR="0089365B" w:rsidRPr="00584716">
        <w:rPr>
          <w:noProof/>
        </w:rPr>
        <w:t xml:space="preserve">Създаването на единно звено за контакт за заявленията на промишлеността по отношение на разрешенията, свързани с отбранителни дейности, има за цел да се рационализира комуникацията, да се намали административната тежест и допълнително да се ускори процесът на издаване на разрешения с ясни и правно обвързващи срокове, като по този начин се осигури ефективен път за свързаните с отбраната промишлени приложения. Това също така ще предостави сигурност за инвеститорите, като осигури бързо обработване на заявленията за издаване на разрешения и ограничи рисковете за инвестициите, свързани с продължителните процедури. </w:t>
      </w:r>
    </w:p>
    <w:p w14:paraId="729D9EA8" w14:textId="4DABF749" w:rsidR="00C93A80" w:rsidRPr="00584716" w:rsidRDefault="001C3C96" w:rsidP="001C3C96">
      <w:pPr>
        <w:pStyle w:val="ManualConsidrant"/>
        <w:rPr>
          <w:noProof/>
        </w:rPr>
      </w:pPr>
      <w:r w:rsidRPr="001C3C96">
        <w:rPr>
          <w:noProof/>
        </w:rPr>
        <w:t>(13)</w:t>
      </w:r>
      <w:r w:rsidRPr="001C3C96">
        <w:rPr>
          <w:noProof/>
        </w:rPr>
        <w:tab/>
      </w:r>
      <w:r w:rsidR="00D03ABC" w:rsidRPr="00584716">
        <w:rPr>
          <w:noProof/>
        </w:rPr>
        <w:t>За да се ускори постигането на пълен оперативен капацитет на единните звена за контакт, държавите членки следва, доколкото е възможно, да се възползват от възможното взаимно допълване със съществуващите единни звена за контакт, например създадените съгласно Регламент (ЕС) 2024/1735 на Европейския парламент и на Съвета</w:t>
      </w:r>
      <w:r w:rsidR="00D03ABC" w:rsidRPr="00584716">
        <w:rPr>
          <w:rStyle w:val="FootnoteReference"/>
          <w:noProof/>
        </w:rPr>
        <w:footnoteReference w:id="6"/>
      </w:r>
      <w:r w:rsidR="00D03ABC" w:rsidRPr="00584716">
        <w:rPr>
          <w:noProof/>
        </w:rPr>
        <w:t xml:space="preserve"> или Регламент (ЕС) 2024/1252 на Европейския парламент и на Съвета</w:t>
      </w:r>
      <w:r w:rsidR="00D03ABC" w:rsidRPr="00584716">
        <w:rPr>
          <w:rStyle w:val="FootnoteReference"/>
          <w:noProof/>
        </w:rPr>
        <w:footnoteReference w:id="7"/>
      </w:r>
      <w:r w:rsidR="00D03ABC" w:rsidRPr="00584716">
        <w:rPr>
          <w:noProof/>
        </w:rPr>
        <w:t>.</w:t>
      </w:r>
    </w:p>
    <w:p w14:paraId="23DC8B38" w14:textId="25CD3D0E" w:rsidR="004E6D48" w:rsidRPr="00584716" w:rsidRDefault="001C3C96" w:rsidP="001C3C96">
      <w:pPr>
        <w:pStyle w:val="ManualConsidrant"/>
        <w:rPr>
          <w:noProof/>
        </w:rPr>
      </w:pPr>
      <w:r w:rsidRPr="001C3C96">
        <w:rPr>
          <w:noProof/>
        </w:rPr>
        <w:t>(14)</w:t>
      </w:r>
      <w:r w:rsidRPr="001C3C96">
        <w:rPr>
          <w:noProof/>
        </w:rPr>
        <w:tab/>
      </w:r>
      <w:r w:rsidR="007B7F09" w:rsidRPr="00584716">
        <w:rPr>
          <w:noProof/>
        </w:rPr>
        <w:t>Освен това държавите членки следва да предоставят необходимата административна подкрепа на проектите за отбранителна готовност, разположени на тяхна територия, за да улеснят тяхното навременно и ефективно изпълнение, като обръщат специално внимание на нуждите на малките и средните предприятия и предприятията със средна пазарна капитализация, участващи в тези проекти, чрез предоставяне на помощ по отношение на спазването на приложимите административни задължения и задължения за докладване, чрез информиране на обществеността, за да се повиши приемането на проектите, и чрез осигуряване на насоки за организаторите на проекти за процеса на издаване на разрешения.</w:t>
      </w:r>
    </w:p>
    <w:p w14:paraId="5ED5A44E" w14:textId="35DACBE7" w:rsidR="00F77D3C" w:rsidRPr="00584716" w:rsidRDefault="001C3C96" w:rsidP="001C3C96">
      <w:pPr>
        <w:pStyle w:val="ManualConsidrant"/>
        <w:rPr>
          <w:i/>
          <w:iCs/>
          <w:noProof/>
        </w:rPr>
      </w:pPr>
      <w:r w:rsidRPr="001C3C96">
        <w:rPr>
          <w:noProof/>
        </w:rPr>
        <w:t>(15)</w:t>
      </w:r>
      <w:r w:rsidRPr="001C3C96">
        <w:rPr>
          <w:noProof/>
        </w:rPr>
        <w:tab/>
      </w:r>
      <w:r w:rsidR="00F77D3C" w:rsidRPr="00584716">
        <w:rPr>
          <w:noProof/>
        </w:rPr>
        <w:t>Комисията може да предлага на единното звено за контакт подкрепа за изграждане на капацитет, включително техническа помощ, обучение, мониторинг и оценка, с цел развиване и укрепване на способностите, процесите и ресурсите, които единните звена за контакт трябва да разработят за целите на настоящия регламент. Такава подкрепа може да бъде поискана от държавите членки и ще попадне в обхвата на подкрепящите действия по Програмата за европейската отбранителна промишленост [</w:t>
      </w:r>
      <w:r w:rsidR="00F77D3C" w:rsidRPr="00584716">
        <w:rPr>
          <w:i/>
          <w:noProof/>
        </w:rPr>
        <w:t xml:space="preserve">да се добави препратка след приемането на ПЕОП]. </w:t>
      </w:r>
    </w:p>
    <w:p w14:paraId="450D30AF" w14:textId="38732EE5" w:rsidR="00FF13D3" w:rsidRPr="00584716" w:rsidRDefault="001C3C96" w:rsidP="001C3C96">
      <w:pPr>
        <w:pStyle w:val="ManualConsidrant"/>
        <w:rPr>
          <w:noProof/>
        </w:rPr>
      </w:pPr>
      <w:r w:rsidRPr="001C3C96">
        <w:rPr>
          <w:noProof/>
        </w:rPr>
        <w:t>(16)</w:t>
      </w:r>
      <w:r w:rsidRPr="001C3C96">
        <w:rPr>
          <w:noProof/>
        </w:rPr>
        <w:tab/>
      </w:r>
      <w:r w:rsidR="00FF13D3" w:rsidRPr="00584716">
        <w:rPr>
          <w:noProof/>
        </w:rPr>
        <w:t>За да се осигури яснота относно статута на разрешенията за проекти за отбранителна готовност и да се ограничи въздействието на евентуални злоупотреби с предявяването на съдебни искове, без същевременно да се засяга ефективният съдебен контрол, държавите членки следва да осигурят своевременното решаване на всички спорове относно процеса на издаване на разрешения за проекти за отбранителна готовност. За тази цел държавите членки следва да гарантират, че организаторите на проекти имат достъп до опростена процедура за решаване на спорове и че проектите за отбранителна готовност подлежат на спешно разглеждане във всички административни и съдебни процедури, както и процедури за решаване на спорове, свързани с проектите, доколкото националното право предвижда такива спешни процедури.</w:t>
      </w:r>
    </w:p>
    <w:p w14:paraId="26117614" w14:textId="0252AAE8" w:rsidR="00E87302" w:rsidRPr="00584716" w:rsidRDefault="001C3C96" w:rsidP="001C3C96">
      <w:pPr>
        <w:pStyle w:val="ManualConsidrant"/>
        <w:rPr>
          <w:noProof/>
        </w:rPr>
      </w:pPr>
      <w:r w:rsidRPr="001C3C96">
        <w:rPr>
          <w:noProof/>
        </w:rPr>
        <w:t>(17)</w:t>
      </w:r>
      <w:r w:rsidRPr="001C3C96">
        <w:rPr>
          <w:noProof/>
        </w:rPr>
        <w:tab/>
      </w:r>
      <w:r w:rsidR="00B4263E" w:rsidRPr="00584716">
        <w:rPr>
          <w:noProof/>
        </w:rPr>
        <w:t>За да се предоставят на организаторите на проекти и на други инвеститори сигурността и яснотата, необходими за увеличаване на разработването на проекти за отбранителна готовност, държавите членки следва да гарантират, че процесът на издаване на разрешения, свързани с такива проекти, не е по-продължителен от определените срокове.</w:t>
      </w:r>
    </w:p>
    <w:p w14:paraId="20701BB3" w14:textId="187602B5" w:rsidR="00A24F2B" w:rsidRPr="00584716" w:rsidRDefault="001C3C96" w:rsidP="001C3C96">
      <w:pPr>
        <w:pStyle w:val="ManualConsidrant"/>
        <w:rPr>
          <w:noProof/>
        </w:rPr>
      </w:pPr>
      <w:r w:rsidRPr="001C3C96">
        <w:rPr>
          <w:noProof/>
        </w:rPr>
        <w:t>(18)</w:t>
      </w:r>
      <w:r w:rsidRPr="001C3C96">
        <w:rPr>
          <w:noProof/>
        </w:rPr>
        <w:tab/>
      </w:r>
      <w:r w:rsidR="002834CD" w:rsidRPr="00584716">
        <w:rPr>
          <w:noProof/>
        </w:rPr>
        <w:t>Настоящият регламент не засяга задълженията, произтичащи от международното право, когато са приложими.</w:t>
      </w:r>
    </w:p>
    <w:p w14:paraId="06EBA234" w14:textId="76904A0E" w:rsidR="00F2153E" w:rsidRPr="00584716" w:rsidRDefault="001C3C96" w:rsidP="001C3C96">
      <w:pPr>
        <w:pStyle w:val="ManualConsidrant"/>
        <w:rPr>
          <w:noProof/>
        </w:rPr>
      </w:pPr>
      <w:r w:rsidRPr="001C3C96">
        <w:rPr>
          <w:noProof/>
        </w:rPr>
        <w:t>(19)</w:t>
      </w:r>
      <w:r w:rsidRPr="001C3C96">
        <w:rPr>
          <w:noProof/>
        </w:rPr>
        <w:tab/>
      </w:r>
      <w:r w:rsidR="00F2153E" w:rsidRPr="00584716">
        <w:rPr>
          <w:noProof/>
        </w:rPr>
        <w:t>Доколкото целта на настоящия регламент не може да бъде постигната в достатъчна степен от държавите членки, а поради обхвата или последиците от действието може да бъде по-добре постигната на равнището на Съюза, Съюзът може да приеме мерки в съответствие с принципа на субсидиарност, уреден в член 5 от Договора за Европейския съюз. В съответствие с принципа на пропорционалност, уреден в същия член, настоящият регламент не надхвърля необходимото за постигане на тази цел,</w:t>
      </w:r>
    </w:p>
    <w:p w14:paraId="18BA5C91" w14:textId="77777777" w:rsidR="0089365B" w:rsidRPr="00584716" w:rsidRDefault="0089365B" w:rsidP="00307046">
      <w:pPr>
        <w:rPr>
          <w:noProof/>
        </w:rPr>
      </w:pPr>
    </w:p>
    <w:p w14:paraId="407DD894" w14:textId="77777777" w:rsidR="00161159" w:rsidRPr="00584716" w:rsidRDefault="00161159" w:rsidP="00752C74">
      <w:pPr>
        <w:pStyle w:val="Formuledadoption"/>
        <w:rPr>
          <w:noProof/>
        </w:rPr>
      </w:pPr>
      <w:r w:rsidRPr="00584716">
        <w:rPr>
          <w:noProof/>
        </w:rPr>
        <w:t>ПРИЕХА НАСТОЯЩИЯ РЕГЛАМЕНТ:</w:t>
      </w:r>
    </w:p>
    <w:p w14:paraId="36EA7E8E" w14:textId="77777777" w:rsidR="00E67668" w:rsidRPr="00584716" w:rsidRDefault="00E67668" w:rsidP="00307046">
      <w:pPr>
        <w:pStyle w:val="Titrearticle"/>
        <w:rPr>
          <w:noProof/>
        </w:rPr>
      </w:pPr>
      <w:r w:rsidRPr="00584716">
        <w:rPr>
          <w:noProof/>
        </w:rPr>
        <w:t xml:space="preserve">Член 1 </w:t>
      </w:r>
      <w:r w:rsidRPr="00584716">
        <w:rPr>
          <w:noProof/>
        </w:rPr>
        <w:br/>
      </w:r>
      <w:r w:rsidRPr="00584716">
        <w:rPr>
          <w:b/>
          <w:noProof/>
        </w:rPr>
        <w:t>Определения</w:t>
      </w:r>
    </w:p>
    <w:p w14:paraId="5D05F0CA" w14:textId="4D0A1AF9" w:rsidR="00E67668" w:rsidRPr="00584716" w:rsidRDefault="00E67668" w:rsidP="00E67668">
      <w:pPr>
        <w:rPr>
          <w:noProof/>
        </w:rPr>
      </w:pPr>
      <w:r w:rsidRPr="00584716">
        <w:rPr>
          <w:noProof/>
        </w:rPr>
        <w:t>За целите на настоящия регламент се прилагат следните определения:</w:t>
      </w:r>
    </w:p>
    <w:p w14:paraId="47F3621B" w14:textId="09F8BD65" w:rsidR="00E67668" w:rsidRPr="00584716" w:rsidRDefault="00E67668" w:rsidP="00CD193F">
      <w:pPr>
        <w:pStyle w:val="ListNumber"/>
        <w:rPr>
          <w:noProof/>
        </w:rPr>
      </w:pPr>
      <w:r w:rsidRPr="00584716">
        <w:rPr>
          <w:noProof/>
        </w:rPr>
        <w:t>„проект за отбранителна готовност“ означава набор от дейности, инвестиции и мерки, насочени към повишаване на отбранителната готовност на дадена държава членка или няколко държави членки, включително чрез развитието на отбранителната промишленост;</w:t>
      </w:r>
    </w:p>
    <w:p w14:paraId="5F076ECA" w14:textId="4617EFDB" w:rsidR="00E67668" w:rsidRPr="00584716" w:rsidRDefault="00E67668" w:rsidP="00CD193F">
      <w:pPr>
        <w:pStyle w:val="ListNumber"/>
        <w:rPr>
          <w:noProof/>
        </w:rPr>
      </w:pPr>
      <w:r w:rsidRPr="00584716">
        <w:rPr>
          <w:noProof/>
        </w:rPr>
        <w:t>„отбранителна промишленост“ означава всички предприятия, участващи в разработването, производството и изработването на свързани с отбраната продукти съгласно определението в член 3, точка 1 от Директива 2009/43/ЕО на Европейския парламент и на Съвета</w:t>
      </w:r>
      <w:r w:rsidRPr="00584716">
        <w:rPr>
          <w:rStyle w:val="FootnoteReference"/>
          <w:noProof/>
        </w:rPr>
        <w:footnoteReference w:id="8"/>
      </w:r>
      <w:r w:rsidRPr="00584716">
        <w:rPr>
          <w:noProof/>
        </w:rPr>
        <w:t>;</w:t>
      </w:r>
    </w:p>
    <w:p w14:paraId="3B321213" w14:textId="7E2A1A34" w:rsidR="009F2FE0" w:rsidRPr="00584716" w:rsidRDefault="003206E1" w:rsidP="004B4348">
      <w:pPr>
        <w:pStyle w:val="ListNumber"/>
        <w:rPr>
          <w:noProof/>
        </w:rPr>
      </w:pPr>
      <w:r w:rsidRPr="00584716">
        <w:rPr>
          <w:noProof/>
        </w:rPr>
        <w:t>„отбранителна готовност“ означава състоянието на подготвеност на дадена държава членка или няколко държави членки да реагират на криза, съгласно определението в член 1, точка 10 от Директива 2009/81/ЕО на Европейския парламент и на Съвета</w:t>
      </w:r>
      <w:r w:rsidRPr="00584716">
        <w:rPr>
          <w:rStyle w:val="FootnoteReference"/>
          <w:noProof/>
          <w:lang w:eastAsia="en-GB"/>
        </w:rPr>
        <w:footnoteReference w:id="9"/>
      </w:r>
      <w:r w:rsidRPr="00584716">
        <w:rPr>
          <w:noProof/>
        </w:rPr>
        <w:t>, която се отнася до отбраната;</w:t>
      </w:r>
    </w:p>
    <w:p w14:paraId="0AEC42D0" w14:textId="0B17AB4B" w:rsidR="00C223ED" w:rsidRPr="00584716" w:rsidRDefault="00F2717F" w:rsidP="00C223ED">
      <w:pPr>
        <w:pStyle w:val="ListNumber"/>
        <w:rPr>
          <w:noProof/>
        </w:rPr>
      </w:pPr>
      <w:r w:rsidRPr="00584716">
        <w:rPr>
          <w:noProof/>
        </w:rPr>
        <w:t>„дружество със средна пазарна капитализация“ означава дружество със средна капитализация съгласно определението в член 2, точка 15 от Регламент (ЕС) 2021/697 на Европейския парламент и на Съвета</w:t>
      </w:r>
      <w:r w:rsidRPr="00584716">
        <w:rPr>
          <w:rStyle w:val="FootnoteReference"/>
          <w:noProof/>
        </w:rPr>
        <w:footnoteReference w:id="10"/>
      </w:r>
      <w:r w:rsidRPr="00584716">
        <w:rPr>
          <w:noProof/>
        </w:rPr>
        <w:t>;</w:t>
      </w:r>
    </w:p>
    <w:p w14:paraId="2B2FBA59" w14:textId="07FF5B6F" w:rsidR="00C94EA5" w:rsidRPr="00584716" w:rsidRDefault="00447EF6" w:rsidP="00C223ED">
      <w:pPr>
        <w:pStyle w:val="ListNumber"/>
        <w:rPr>
          <w:noProof/>
        </w:rPr>
      </w:pPr>
      <w:r w:rsidRPr="00584716">
        <w:rPr>
          <w:noProof/>
        </w:rPr>
        <w:t>„малки предприятия със средна пазарна капитализация“ означава предприятия съгласно определението в приложението към Препоръка (ЕС) 2025/1099 на Комисията</w:t>
      </w:r>
      <w:r w:rsidRPr="00584716">
        <w:rPr>
          <w:rStyle w:val="FootnoteReference"/>
          <w:noProof/>
        </w:rPr>
        <w:footnoteReference w:id="11"/>
      </w:r>
      <w:r w:rsidRPr="00584716">
        <w:rPr>
          <w:noProof/>
        </w:rPr>
        <w:t>;</w:t>
      </w:r>
    </w:p>
    <w:p w14:paraId="24CBEC39" w14:textId="6055A53D" w:rsidR="00E67668" w:rsidRPr="00584716" w:rsidRDefault="00E67668" w:rsidP="00CD193F">
      <w:pPr>
        <w:pStyle w:val="ListNumber"/>
        <w:rPr>
          <w:noProof/>
        </w:rPr>
      </w:pPr>
      <w:r w:rsidRPr="00584716">
        <w:rPr>
          <w:noProof/>
        </w:rPr>
        <w:t>„процес на издаване на разрешения“ означава процес, който обхваща всички съответни разрешения, включително разрешенията, необходими за изграждане, разширяване, преобразуване и експлоатация на проекти за отбранителна готовност, и всички необходими административни стъпки от потвърждаването, че заявлението е пълно, до уведомяването за окончателното решение по това заявление от съответното единно звено за контакт;</w:t>
      </w:r>
    </w:p>
    <w:p w14:paraId="3E320533" w14:textId="77777777" w:rsidR="00E67668" w:rsidRPr="00584716" w:rsidRDefault="00E67668" w:rsidP="00CD193F">
      <w:pPr>
        <w:pStyle w:val="ListNumber"/>
        <w:rPr>
          <w:noProof/>
        </w:rPr>
      </w:pPr>
      <w:r w:rsidRPr="00584716">
        <w:rPr>
          <w:noProof/>
        </w:rPr>
        <w:t>„организатор на проект“ означава всяко предприятие или консорциум от предприятия, разработващи проект за отбранителна готовност;</w:t>
      </w:r>
    </w:p>
    <w:p w14:paraId="1FFE3BBD" w14:textId="6A6371AF" w:rsidR="0039648A" w:rsidRPr="00584716" w:rsidRDefault="003E5129" w:rsidP="003F400A">
      <w:pPr>
        <w:pStyle w:val="ListNumber"/>
        <w:rPr>
          <w:noProof/>
        </w:rPr>
      </w:pPr>
      <w:r w:rsidRPr="00584716">
        <w:rPr>
          <w:noProof/>
        </w:rPr>
        <w:t>„малки и средни предприятия“ или „МСП“ означава малки и средни предприятия съгласно определението в член 2 от приложението към Препоръка 2003/361/ЕО на Комисията</w:t>
      </w:r>
      <w:r w:rsidRPr="00584716">
        <w:rPr>
          <w:rStyle w:val="FootnoteReference"/>
          <w:noProof/>
        </w:rPr>
        <w:footnoteReference w:id="12"/>
      </w:r>
      <w:r w:rsidRPr="00584716">
        <w:rPr>
          <w:noProof/>
        </w:rPr>
        <w:t>.</w:t>
      </w:r>
    </w:p>
    <w:p w14:paraId="77467CB3" w14:textId="77777777" w:rsidR="00E67668" w:rsidRPr="00584716" w:rsidRDefault="00E67668" w:rsidP="00307046">
      <w:pPr>
        <w:pStyle w:val="Titrearticle"/>
        <w:rPr>
          <w:noProof/>
        </w:rPr>
      </w:pPr>
      <w:r w:rsidRPr="00584716">
        <w:rPr>
          <w:noProof/>
        </w:rPr>
        <w:t xml:space="preserve">Член 2 </w:t>
      </w:r>
      <w:r w:rsidRPr="00584716">
        <w:rPr>
          <w:noProof/>
        </w:rPr>
        <w:br/>
      </w:r>
      <w:r w:rsidRPr="00584716">
        <w:rPr>
          <w:b/>
          <w:noProof/>
        </w:rPr>
        <w:t>Единно звено за контакт</w:t>
      </w:r>
    </w:p>
    <w:p w14:paraId="662AE453" w14:textId="1B373858" w:rsidR="00743822" w:rsidRPr="00584716" w:rsidRDefault="00E67668">
      <w:pPr>
        <w:pStyle w:val="LegalNumPar"/>
        <w:spacing w:line="240" w:lineRule="auto"/>
        <w:rPr>
          <w:noProof/>
        </w:rPr>
      </w:pPr>
      <w:r w:rsidRPr="00584716">
        <w:rPr>
          <w:noProof/>
        </w:rPr>
        <w:t>До... [3 месеца след датата на влизане в сила на настоящия регламент] всяка държава членка създава или определя един орган за единно звено за контакт на съответното административно равнище.</w:t>
      </w:r>
    </w:p>
    <w:p w14:paraId="16862364" w14:textId="77777777" w:rsidR="00E67668" w:rsidRPr="00584716" w:rsidRDefault="00D40421" w:rsidP="00CD093F">
      <w:pPr>
        <w:pStyle w:val="LegalNumPar"/>
        <w:spacing w:line="240" w:lineRule="auto"/>
        <w:rPr>
          <w:noProof/>
        </w:rPr>
      </w:pPr>
      <w:r w:rsidRPr="00584716">
        <w:rPr>
          <w:noProof/>
        </w:rPr>
        <w:t>Единното звено за контакт отговаря за подпомагането и координирането на процеса на издаване на разрешения за проекти за отбранителна готовност и за предоставянето на информация относно рационализирането на административните процеси в съответствие с член 3, включително информация до организатора на проекта кога дадено заявление се счита за пълно в съответствие с член 5, параграф 6.</w:t>
      </w:r>
    </w:p>
    <w:p w14:paraId="330861A3" w14:textId="77777777" w:rsidR="00E67668" w:rsidRPr="00584716" w:rsidRDefault="007A003E" w:rsidP="00FA6D21">
      <w:pPr>
        <w:pStyle w:val="LegalNumPar"/>
        <w:spacing w:line="240" w:lineRule="auto"/>
        <w:rPr>
          <w:noProof/>
        </w:rPr>
      </w:pPr>
      <w:r w:rsidRPr="00584716">
        <w:rPr>
          <w:noProof/>
        </w:rPr>
        <w:t>Единното звено за контакт, създадено или определено съгласно параграф 1, е единственото звено за контакт за организатора на проекта в процеса на издаване на разрешения за проект за отбранителна готовност. То уведомява организатора на проекта за окончателното решение от този процес.</w:t>
      </w:r>
    </w:p>
    <w:p w14:paraId="6396676E" w14:textId="77777777" w:rsidR="00E67668" w:rsidRPr="00584716" w:rsidRDefault="00E67668" w:rsidP="00FA6D21">
      <w:pPr>
        <w:pStyle w:val="LegalNumPar"/>
        <w:spacing w:line="240" w:lineRule="auto"/>
        <w:rPr>
          <w:noProof/>
        </w:rPr>
      </w:pPr>
      <w:r w:rsidRPr="00584716">
        <w:rPr>
          <w:noProof/>
        </w:rPr>
        <w:t>Организаторите на проекти имат право да представят всички документи, свързани с процеса на издаване на разрешения, в електронен вид.</w:t>
      </w:r>
    </w:p>
    <w:p w14:paraId="1C0AD02A" w14:textId="77777777" w:rsidR="00E67668" w:rsidRPr="00584716" w:rsidRDefault="00E67668" w:rsidP="00FA6D21">
      <w:pPr>
        <w:pStyle w:val="LegalNumPar"/>
        <w:spacing w:line="240" w:lineRule="auto"/>
        <w:rPr>
          <w:noProof/>
        </w:rPr>
      </w:pPr>
      <w:r w:rsidRPr="00584716">
        <w:rPr>
          <w:noProof/>
        </w:rPr>
        <w:t>Компетентните органи гарантират, че се вземат предвид всички съответни извършени проучвания или разрешенията или разрешителните, издадени за даден проект, и че не се изискват дублиращи се проучвания, разрешения или разрешителни, освен ако съгласно правото на Съюза или националното право се изисква друго.</w:t>
      </w:r>
    </w:p>
    <w:p w14:paraId="72F3126A" w14:textId="4033A802" w:rsidR="00E67668" w:rsidRPr="00584716" w:rsidRDefault="00E67668" w:rsidP="00FA6D21">
      <w:pPr>
        <w:pStyle w:val="LegalNumPar"/>
        <w:spacing w:line="240" w:lineRule="auto"/>
        <w:rPr>
          <w:noProof/>
        </w:rPr>
      </w:pPr>
      <w:r w:rsidRPr="00584716">
        <w:rPr>
          <w:noProof/>
        </w:rPr>
        <w:t>Държавите членки гарантират, че единното звено за контакт и всички компетентни органи, отговарящи за отделни стъпки от процеса на издаване на разрешения, включително за всички процедурни стъпки, разполагат с достатъчен брой квалифицирани служители и достатъчни финансови, технически и технологични ресурси, включително, по целесъобразност, за повишаване на квалификацията и за преквалификация, необходими за ефективното изпълнение на задачите им съгласно настоящия регламент.</w:t>
      </w:r>
    </w:p>
    <w:p w14:paraId="7216612B" w14:textId="77777777" w:rsidR="00E67668" w:rsidRPr="00584716" w:rsidRDefault="00E67668">
      <w:pPr>
        <w:pStyle w:val="LegalNumPar"/>
        <w:spacing w:line="240" w:lineRule="auto"/>
        <w:rPr>
          <w:noProof/>
        </w:rPr>
      </w:pPr>
      <w:r w:rsidRPr="00584716">
        <w:rPr>
          <w:noProof/>
        </w:rPr>
        <w:t>Органите, участващи в процеса на издаване на разрешения, и други заинтересовани органи посочват и предоставят на съответното единно звено за контакт изискванията и цялата информация, която се изисква от организатора на проект, преди да започне процесът на издаване на разрешения.</w:t>
      </w:r>
    </w:p>
    <w:p w14:paraId="4B23728E" w14:textId="77777777" w:rsidR="00F01618" w:rsidRPr="00584716" w:rsidRDefault="00F01618" w:rsidP="679D54AD">
      <w:pPr>
        <w:pStyle w:val="LegalNumPar"/>
        <w:spacing w:line="240" w:lineRule="auto"/>
        <w:rPr>
          <w:rFonts w:ascii="Aptos" w:eastAsia="Aptos" w:hAnsi="Aptos" w:cs="Aptos"/>
          <w:noProof/>
          <w:sz w:val="22"/>
        </w:rPr>
      </w:pPr>
      <w:r w:rsidRPr="00584716">
        <w:rPr>
          <w:noProof/>
        </w:rPr>
        <w:t>По искане на държава членка Комисията може да подпомага органите на тази държава членка при изграждането на капацитет в подкрепа на изпълнението на настоящия регламент, по-специално при създаването или експлоатацията на единно звено за контакт.</w:t>
      </w:r>
    </w:p>
    <w:p w14:paraId="29EE95B1" w14:textId="77777777" w:rsidR="00E67668" w:rsidRPr="00584716" w:rsidRDefault="00E67668" w:rsidP="00307046">
      <w:pPr>
        <w:pStyle w:val="Titrearticle"/>
        <w:rPr>
          <w:noProof/>
        </w:rPr>
      </w:pPr>
      <w:r w:rsidRPr="00584716">
        <w:rPr>
          <w:noProof/>
        </w:rPr>
        <w:t xml:space="preserve">Член 3 </w:t>
      </w:r>
      <w:r w:rsidRPr="00584716">
        <w:rPr>
          <w:noProof/>
        </w:rPr>
        <w:br/>
      </w:r>
      <w:r w:rsidRPr="00584716">
        <w:rPr>
          <w:b/>
          <w:noProof/>
        </w:rPr>
        <w:t>Онлайн достъп до информация</w:t>
      </w:r>
    </w:p>
    <w:p w14:paraId="40F1748D" w14:textId="76472797" w:rsidR="00E67668" w:rsidRPr="00584716" w:rsidRDefault="00E67668" w:rsidP="00E67668">
      <w:pPr>
        <w:rPr>
          <w:noProof/>
        </w:rPr>
      </w:pPr>
      <w:r w:rsidRPr="00584716">
        <w:rPr>
          <w:noProof/>
        </w:rPr>
        <w:t>Държавите членки предоставят публичен достъп до следната информация относно процесите на издаване на разрешения, свързани с проекти за отбранителна готовност, онлайн и по централизиран и леснодостъпен начин:</w:t>
      </w:r>
    </w:p>
    <w:p w14:paraId="0A11297B" w14:textId="1F44FF97" w:rsidR="00E67668" w:rsidRPr="00584716" w:rsidRDefault="000B1138" w:rsidP="000B1138">
      <w:pPr>
        <w:pStyle w:val="Point1"/>
        <w:rPr>
          <w:noProof/>
        </w:rPr>
      </w:pPr>
      <w:r>
        <w:rPr>
          <w:noProof/>
        </w:rPr>
        <w:t>а)</w:t>
      </w:r>
      <w:r w:rsidRPr="000B1138">
        <w:rPr>
          <w:noProof/>
        </w:rPr>
        <w:tab/>
      </w:r>
      <w:r w:rsidR="00E67668" w:rsidRPr="00584716">
        <w:rPr>
          <w:noProof/>
        </w:rPr>
        <w:t>единните звена за контакт, посочени в член 2, параграф 1;</w:t>
      </w:r>
    </w:p>
    <w:p w14:paraId="4F710882" w14:textId="7401679C" w:rsidR="00E67668" w:rsidRPr="00584716" w:rsidRDefault="000B1138" w:rsidP="000B1138">
      <w:pPr>
        <w:pStyle w:val="Point1"/>
        <w:rPr>
          <w:noProof/>
        </w:rPr>
      </w:pPr>
      <w:r>
        <w:rPr>
          <w:noProof/>
        </w:rPr>
        <w:t>б)</w:t>
      </w:r>
      <w:r w:rsidRPr="000B1138">
        <w:rPr>
          <w:noProof/>
        </w:rPr>
        <w:tab/>
      </w:r>
      <w:r w:rsidR="00E67668" w:rsidRPr="00584716">
        <w:rPr>
          <w:noProof/>
        </w:rPr>
        <w:t>процеса на издаване на разрешения, включително информация относно решаването на спорове във връзка с процеса на издаване на разрешения, включително, когато е приложимо, механизми за алтернативно решаване на спорове, ако такива процедури са предвидени в националното право;</w:t>
      </w:r>
    </w:p>
    <w:p w14:paraId="3E603F3D" w14:textId="51352B4D" w:rsidR="00E67668" w:rsidRPr="00584716" w:rsidRDefault="000B1138" w:rsidP="000B1138">
      <w:pPr>
        <w:pStyle w:val="Point1"/>
        <w:rPr>
          <w:noProof/>
        </w:rPr>
      </w:pPr>
      <w:r>
        <w:rPr>
          <w:noProof/>
        </w:rPr>
        <w:t>в)</w:t>
      </w:r>
      <w:r w:rsidRPr="000B1138">
        <w:rPr>
          <w:noProof/>
        </w:rPr>
        <w:tab/>
      </w:r>
      <w:r w:rsidR="00E67668" w:rsidRPr="00584716">
        <w:rPr>
          <w:noProof/>
        </w:rPr>
        <w:t>финансови и инвестиционни услуги;</w:t>
      </w:r>
    </w:p>
    <w:p w14:paraId="72D30E87" w14:textId="2BB3262A" w:rsidR="003F1759" w:rsidRPr="00584716" w:rsidRDefault="000B1138" w:rsidP="000B1138">
      <w:pPr>
        <w:pStyle w:val="Point1"/>
        <w:rPr>
          <w:noProof/>
        </w:rPr>
      </w:pPr>
      <w:r>
        <w:rPr>
          <w:noProof/>
        </w:rPr>
        <w:t>г)</w:t>
      </w:r>
      <w:r w:rsidRPr="000B1138">
        <w:rPr>
          <w:noProof/>
        </w:rPr>
        <w:tab/>
      </w:r>
      <w:r w:rsidR="00E67668" w:rsidRPr="00584716">
        <w:rPr>
          <w:noProof/>
        </w:rPr>
        <w:t>възможности за финансиране на равнището на Съюза или на равнището на държавите членки;</w:t>
      </w:r>
    </w:p>
    <w:p w14:paraId="6F12E16B" w14:textId="3425E42C" w:rsidR="003F1759" w:rsidRPr="00584716" w:rsidRDefault="000B1138" w:rsidP="000B1138">
      <w:pPr>
        <w:pStyle w:val="Point1"/>
        <w:rPr>
          <w:noProof/>
        </w:rPr>
      </w:pPr>
      <w:r>
        <w:rPr>
          <w:noProof/>
        </w:rPr>
        <w:t>д)</w:t>
      </w:r>
      <w:r w:rsidRPr="000B1138">
        <w:rPr>
          <w:noProof/>
        </w:rPr>
        <w:tab/>
      </w:r>
      <w:r w:rsidR="00E67668" w:rsidRPr="00584716">
        <w:rPr>
          <w:noProof/>
        </w:rPr>
        <w:t>услуги в подкрепа на дейността на предприятията, включително, но не само, деклариране на корпоративен данък, местни данъчни закони или трудово право.</w:t>
      </w:r>
    </w:p>
    <w:p w14:paraId="3E6BCAD0" w14:textId="77777777" w:rsidR="00E67668" w:rsidRPr="00584716" w:rsidRDefault="00E67668" w:rsidP="00307046">
      <w:pPr>
        <w:pStyle w:val="Titrearticle"/>
        <w:rPr>
          <w:noProof/>
        </w:rPr>
      </w:pPr>
      <w:r w:rsidRPr="00584716">
        <w:rPr>
          <w:noProof/>
        </w:rPr>
        <w:t xml:space="preserve">Член 4 </w:t>
      </w:r>
      <w:r w:rsidRPr="00584716">
        <w:rPr>
          <w:noProof/>
        </w:rPr>
        <w:br/>
      </w:r>
      <w:r w:rsidRPr="00584716">
        <w:rPr>
          <w:b/>
          <w:noProof/>
        </w:rPr>
        <w:t>Ускоряване на изпълнението</w:t>
      </w:r>
    </w:p>
    <w:p w14:paraId="48506647" w14:textId="64833C3E" w:rsidR="00E67668" w:rsidRPr="00584716" w:rsidRDefault="00E67668" w:rsidP="00B372E6">
      <w:pPr>
        <w:rPr>
          <w:noProof/>
        </w:rPr>
      </w:pPr>
      <w:r w:rsidRPr="00584716">
        <w:rPr>
          <w:noProof/>
        </w:rPr>
        <w:t>Държавите членки предоставят административна подкрепа за проекти за отбранителна готовност, разположени на тяхна територия, като обръщат специално внимание на МСП и дружествата със средна пазарна капитализация, включително малките предприятия със средна пазарна капитализация, участващи в тези проекти, включително като предоставят:</w:t>
      </w:r>
    </w:p>
    <w:p w14:paraId="4F708E07" w14:textId="5CFD1013" w:rsidR="00E67668" w:rsidRPr="00584716" w:rsidRDefault="000B1138" w:rsidP="000B1138">
      <w:pPr>
        <w:pStyle w:val="Point1"/>
        <w:rPr>
          <w:noProof/>
        </w:rPr>
      </w:pPr>
      <w:r>
        <w:rPr>
          <w:noProof/>
        </w:rPr>
        <w:t>а)</w:t>
      </w:r>
      <w:r w:rsidRPr="000B1138">
        <w:rPr>
          <w:noProof/>
        </w:rPr>
        <w:tab/>
      </w:r>
      <w:r w:rsidR="00E67668" w:rsidRPr="00584716">
        <w:rPr>
          <w:noProof/>
        </w:rPr>
        <w:t>съдействие за осигуряване на спазването на приложимите административни задължения и задължения за докладване;</w:t>
      </w:r>
    </w:p>
    <w:p w14:paraId="2C059363" w14:textId="0CBED9B5" w:rsidR="00E67668" w:rsidRPr="00584716" w:rsidRDefault="000B1138" w:rsidP="000B1138">
      <w:pPr>
        <w:pStyle w:val="Point1"/>
        <w:rPr>
          <w:noProof/>
        </w:rPr>
      </w:pPr>
      <w:r>
        <w:rPr>
          <w:noProof/>
        </w:rPr>
        <w:t>б)</w:t>
      </w:r>
      <w:r w:rsidRPr="000B1138">
        <w:rPr>
          <w:noProof/>
        </w:rPr>
        <w:tab/>
      </w:r>
      <w:r w:rsidR="00E67668" w:rsidRPr="00584716">
        <w:rPr>
          <w:noProof/>
        </w:rPr>
        <w:t>съдействие на организаторите на проекти при информирането на обществеността;</w:t>
      </w:r>
    </w:p>
    <w:p w14:paraId="6CF40591" w14:textId="301DBA6B" w:rsidR="00E67668" w:rsidRPr="00584716" w:rsidRDefault="000B1138" w:rsidP="000B1138">
      <w:pPr>
        <w:pStyle w:val="Point1"/>
        <w:rPr>
          <w:noProof/>
        </w:rPr>
      </w:pPr>
      <w:r>
        <w:rPr>
          <w:noProof/>
        </w:rPr>
        <w:t>в)</w:t>
      </w:r>
      <w:r w:rsidRPr="000B1138">
        <w:rPr>
          <w:noProof/>
        </w:rPr>
        <w:tab/>
      </w:r>
      <w:r w:rsidR="00E67668" w:rsidRPr="00584716">
        <w:rPr>
          <w:noProof/>
        </w:rPr>
        <w:t>съдействие на организаторите на проекти по време на процеса на издаване на разрешения, по-специално за МСП и малките предприятия със средна пазарна капитализация.</w:t>
      </w:r>
    </w:p>
    <w:p w14:paraId="68868C40" w14:textId="77777777" w:rsidR="00E67668" w:rsidRPr="00584716" w:rsidRDefault="00E67668" w:rsidP="00307046">
      <w:pPr>
        <w:keepNext/>
        <w:spacing w:before="360"/>
        <w:jc w:val="center"/>
        <w:rPr>
          <w:noProof/>
        </w:rPr>
      </w:pPr>
      <w:r w:rsidRPr="00584716">
        <w:rPr>
          <w:i/>
          <w:noProof/>
        </w:rPr>
        <w:t>Член 5</w:t>
      </w:r>
      <w:r w:rsidRPr="00584716">
        <w:rPr>
          <w:noProof/>
        </w:rPr>
        <w:t xml:space="preserve"> </w:t>
      </w:r>
      <w:r w:rsidRPr="00584716">
        <w:rPr>
          <w:noProof/>
        </w:rPr>
        <w:br/>
      </w:r>
      <w:r w:rsidRPr="00584716">
        <w:rPr>
          <w:b/>
          <w:i/>
          <w:noProof/>
        </w:rPr>
        <w:t>Времетраене на процеса на издаване на разрешения</w:t>
      </w:r>
    </w:p>
    <w:p w14:paraId="0CBF67C4" w14:textId="77777777" w:rsidR="00E67668" w:rsidRPr="00584716" w:rsidRDefault="00E67668" w:rsidP="00977126">
      <w:pPr>
        <w:pStyle w:val="LegalNumPar"/>
        <w:numPr>
          <w:ilvl w:val="0"/>
          <w:numId w:val="20"/>
        </w:numPr>
        <w:spacing w:line="240" w:lineRule="auto"/>
        <w:rPr>
          <w:noProof/>
        </w:rPr>
      </w:pPr>
      <w:r w:rsidRPr="00584716">
        <w:rPr>
          <w:noProof/>
        </w:rPr>
        <w:t xml:space="preserve">Процесът на издаване на разрешения за проекти за отбранителна готовност, включително издаването на съответното разрешение, не надвишава [60] дни. </w:t>
      </w:r>
    </w:p>
    <w:p w14:paraId="25FC8EFD" w14:textId="77777777" w:rsidR="00E67668" w:rsidRPr="00584716" w:rsidRDefault="00E67668" w:rsidP="00112F1D">
      <w:pPr>
        <w:pStyle w:val="LegalNumPar"/>
        <w:spacing w:line="240" w:lineRule="auto"/>
        <w:rPr>
          <w:noProof/>
        </w:rPr>
      </w:pPr>
      <w:r w:rsidRPr="00584716">
        <w:rPr>
          <w:noProof/>
        </w:rPr>
        <w:t>Когато проект за отбранителна готовност изисква изграждането на няколко съоръжения или звена на един обект, организаторът на проекта и единното звено за контакт може да се споразумеят за разделянето на проекта на няколко по-малки проекта с цел спазване на приложимите срокове.</w:t>
      </w:r>
    </w:p>
    <w:p w14:paraId="65065002" w14:textId="77777777" w:rsidR="00E67668" w:rsidRPr="00584716" w:rsidRDefault="00E67668" w:rsidP="00112F1D">
      <w:pPr>
        <w:pStyle w:val="LegalNumPar"/>
        <w:spacing w:line="240" w:lineRule="auto"/>
        <w:rPr>
          <w:noProof/>
        </w:rPr>
      </w:pPr>
      <w:r w:rsidRPr="00584716">
        <w:rPr>
          <w:noProof/>
        </w:rPr>
        <w:t>В изключителни случаи, когато естеството, сложността, местоположението или размерът на предложения проект за отбранителна готовност налага това, дадена държава членка може еднократно да удължи сроковете, посочени в параграф 1, най-много с 30 дни, преди изтичането им и като разглежда всеки случай поотделно.</w:t>
      </w:r>
    </w:p>
    <w:p w14:paraId="3E383D3C" w14:textId="0E5674AE" w:rsidR="00E67668" w:rsidRPr="00584716" w:rsidRDefault="00E67668" w:rsidP="00112F1D">
      <w:pPr>
        <w:pStyle w:val="LegalNumPar"/>
        <w:spacing w:line="240" w:lineRule="auto"/>
        <w:rPr>
          <w:noProof/>
        </w:rPr>
      </w:pPr>
      <w:r w:rsidRPr="00584716">
        <w:rPr>
          <w:noProof/>
        </w:rPr>
        <w:t>Когато държава членка счита, че проектът за отбранителна готовност поражда изключителни рискове за здравето и безопасността на работниците или на населението като цяло, и когато е необходимо допълнително време, за да се установи, че са били въведени мерки за избягване на разпознаваемите рискове, тя може да удължи с 60 дни сроковете, посочени в параграф 1, в рамките на 30 дни от началото на процеса на издаване на разрешения.</w:t>
      </w:r>
    </w:p>
    <w:p w14:paraId="0E91FED7" w14:textId="77777777" w:rsidR="00E67668" w:rsidRPr="00584716" w:rsidRDefault="00E67668" w:rsidP="00112F1D">
      <w:pPr>
        <w:pStyle w:val="LegalNumPar"/>
        <w:spacing w:line="240" w:lineRule="auto"/>
        <w:rPr>
          <w:noProof/>
        </w:rPr>
      </w:pPr>
      <w:r w:rsidRPr="00584716">
        <w:rPr>
          <w:noProof/>
        </w:rPr>
        <w:t>В случаите, когато се прилага параграф 3 или параграф 4, единното звено за контакт уведомява писмено организатора на проекта за причините за удължаването и за датата, на която се очаква да бъде взето окончателното решение.</w:t>
      </w:r>
    </w:p>
    <w:p w14:paraId="11EA41FE" w14:textId="5DBA25F4" w:rsidR="00E67668" w:rsidRPr="00584716" w:rsidRDefault="00E67668" w:rsidP="004203AC">
      <w:pPr>
        <w:pStyle w:val="LegalNumPar"/>
        <w:numPr>
          <w:ilvl w:val="0"/>
          <w:numId w:val="16"/>
        </w:numPr>
        <w:spacing w:line="240" w:lineRule="auto"/>
        <w:rPr>
          <w:noProof/>
        </w:rPr>
      </w:pPr>
      <w:r w:rsidRPr="00584716">
        <w:rPr>
          <w:noProof/>
        </w:rPr>
        <w:t>Не по-късно от 15 дни от получаването на заявлението за издаване на разрешение съответното единно звено за контакт потвърждава, че заявлението е пълно и дали се прилага настоящият регламент, или — ако организаторът на проекта не е изпратил цялата информация, необходима за обработването на заявлението — изисква от организатора на проекта да подаде пълно заявление без ненужно забавяне, като уточнява каква информация липсва. Ако подаденото заявление бъде счетено за непълно за втори път, единното звено за контакт може в срок от [15] дни от второто подаване да отправи второ искане за информация. Единното звено за контакт не може да изисква информация в области, които не са били обхванати от първото искане за информация, и има право да изисква допълнителни доказателства само за допълване на установената липсваща информация. Датата на потвърждаване на пълнотата на заявлението от единното звено за контакт служи за начало на процеса на издаване на разрешения за това заявление.</w:t>
      </w:r>
    </w:p>
    <w:p w14:paraId="62F2767A" w14:textId="77777777" w:rsidR="00E67668" w:rsidRPr="00584716" w:rsidRDefault="00E67668" w:rsidP="00112F1D">
      <w:pPr>
        <w:pStyle w:val="LegalNumPar"/>
        <w:spacing w:line="240" w:lineRule="auto"/>
        <w:rPr>
          <w:noProof/>
        </w:rPr>
      </w:pPr>
      <w:r w:rsidRPr="00584716">
        <w:rPr>
          <w:noProof/>
        </w:rPr>
        <w:t>Сроковете, определени в настоящия член за който и да е от процесите на издаване на разрешения, не засягат каквито и да било по-кратки срокове, определени от държавите членки.</w:t>
      </w:r>
    </w:p>
    <w:p w14:paraId="0AB811EC" w14:textId="0C8C3007" w:rsidR="00E67668" w:rsidRPr="00584716" w:rsidRDefault="446567F7" w:rsidP="00112F1D">
      <w:pPr>
        <w:pStyle w:val="LegalNumPar"/>
        <w:spacing w:line="240" w:lineRule="auto"/>
        <w:rPr>
          <w:noProof/>
        </w:rPr>
      </w:pPr>
      <w:r w:rsidRPr="00584716">
        <w:rPr>
          <w:noProof/>
        </w:rPr>
        <w:t>Когато единното звено за контакт не информира организатора на проекта за резултата от процеса на издаване на разрешения в срока, посочен в параграф 1, и удължен, когато е приложимо, в съответствие с параграфи 3 и 4, разрешенията, обхванати от заявлението, се считат за издадени. Единното звено за контакт незабавно предоставя на организатора на проекта писмено потвърждение, в което се посочва, че разрешенията са предоставени по подразбиране въз основа на подаденото заявление.</w:t>
      </w:r>
    </w:p>
    <w:p w14:paraId="529437EA" w14:textId="77777777" w:rsidR="00E67668" w:rsidRPr="00584716" w:rsidRDefault="00E67668" w:rsidP="00307046">
      <w:pPr>
        <w:pStyle w:val="Titrearticle"/>
        <w:rPr>
          <w:noProof/>
        </w:rPr>
      </w:pPr>
      <w:r w:rsidRPr="00584716">
        <w:rPr>
          <w:noProof/>
        </w:rPr>
        <w:t xml:space="preserve">Член 6 </w:t>
      </w:r>
      <w:r w:rsidRPr="00584716">
        <w:rPr>
          <w:noProof/>
        </w:rPr>
        <w:br/>
      </w:r>
      <w:r w:rsidRPr="00584716">
        <w:rPr>
          <w:b/>
          <w:noProof/>
        </w:rPr>
        <w:t>Планиране</w:t>
      </w:r>
    </w:p>
    <w:p w14:paraId="1B31FA28" w14:textId="098B946C" w:rsidR="00E67668" w:rsidRPr="00584716" w:rsidRDefault="00E67668" w:rsidP="00977126">
      <w:pPr>
        <w:pStyle w:val="LegalNumPar"/>
        <w:numPr>
          <w:ilvl w:val="0"/>
          <w:numId w:val="19"/>
        </w:numPr>
        <w:spacing w:line="240" w:lineRule="auto"/>
        <w:rPr>
          <w:noProof/>
        </w:rPr>
      </w:pPr>
      <w:r w:rsidRPr="00584716">
        <w:rPr>
          <w:noProof/>
        </w:rPr>
        <w:t>Националните, регионалните и местните органи, отговарящи за изготвянето на планове, включително планове за зониране, планове за териториално устройство и планове за земеползване, включват в тези планове, когато е целесъобразно, разпоредби за разработването на дейности за отбранителна готовност, на проекти, както и на необходимата инфраструктура. За да се улесни разработването на проекти за отбранителна готовност, държавите членки гарантират, че всички имащи отношение данни за териториалното устройство са достъпни онлайн в съответствие с член 3.</w:t>
      </w:r>
    </w:p>
    <w:p w14:paraId="67568474" w14:textId="4AC9B6AB" w:rsidR="00E67668" w:rsidRPr="00584716" w:rsidRDefault="00E67668" w:rsidP="00112F1D">
      <w:pPr>
        <w:pStyle w:val="LegalNumPar"/>
        <w:spacing w:line="240" w:lineRule="auto"/>
        <w:rPr>
          <w:noProof/>
        </w:rPr>
      </w:pPr>
      <w:r w:rsidRPr="00584716">
        <w:rPr>
          <w:noProof/>
        </w:rPr>
        <w:t>Когато плановете включват разпоредби за разработване на проекти за отбранителна готовност и необходимата за тях инфраструктура и подлежат на оценка съгласно Директива 2001/42/ЕО на Европейския парламент и на Съвета</w:t>
      </w:r>
      <w:r w:rsidRPr="00584716">
        <w:rPr>
          <w:rStyle w:val="FootnoteReference"/>
          <w:noProof/>
        </w:rPr>
        <w:footnoteReference w:id="13"/>
      </w:r>
      <w:r w:rsidRPr="00584716">
        <w:rPr>
          <w:noProof/>
        </w:rPr>
        <w:t xml:space="preserve"> и съгласно член 6 от Директива 92/43/ЕИО на Съвета</w:t>
      </w:r>
      <w:r w:rsidRPr="00584716">
        <w:rPr>
          <w:rStyle w:val="FootnoteReference"/>
          <w:noProof/>
        </w:rPr>
        <w:footnoteReference w:id="14"/>
      </w:r>
      <w:r w:rsidRPr="00584716">
        <w:rPr>
          <w:noProof/>
        </w:rPr>
        <w:t>, тези оценки се комбинират. Когато е приложимо, в рамките на тази комбинирана оценка се разглежда и въздействието върху потенциално засегнатите водни обекти, посочени в Директива 2000/60/ЕО на Европейския парламент и на Съвета</w:t>
      </w:r>
      <w:r w:rsidRPr="00584716">
        <w:rPr>
          <w:rStyle w:val="FootnoteReference"/>
          <w:noProof/>
        </w:rPr>
        <w:footnoteReference w:id="15"/>
      </w:r>
      <w:r w:rsidRPr="00584716">
        <w:rPr>
          <w:noProof/>
        </w:rPr>
        <w:t>. Когато от съответните държави членки се изисква да оценят въздействието на съществуващи и бъдещи дейности върху морската среда, включително взаимодействията суша—море, както е посочено в член 4 от Директива 2014/89/ЕС на Европейския парламент и на Съвета</w:t>
      </w:r>
      <w:r w:rsidRPr="00584716">
        <w:rPr>
          <w:rStyle w:val="FootnoteReference"/>
          <w:noProof/>
        </w:rPr>
        <w:footnoteReference w:id="16"/>
      </w:r>
      <w:r w:rsidRPr="00584716">
        <w:rPr>
          <w:noProof/>
        </w:rPr>
        <w:t>, това въздействие също се обхваща в комбинираната оценка. Фактът, че оценките се комбинират съгласно настоящия параграф, не засяга тяхното съдържание или качество. Комбинираната оценка се извършва в сроковете, определени в настоящия регламент.</w:t>
      </w:r>
    </w:p>
    <w:p w14:paraId="7D24519E" w14:textId="5E9CB2BB" w:rsidR="00E67668" w:rsidRPr="00584716" w:rsidRDefault="00E67668" w:rsidP="00307046">
      <w:pPr>
        <w:pStyle w:val="Titrearticle"/>
        <w:rPr>
          <w:noProof/>
        </w:rPr>
      </w:pPr>
      <w:r w:rsidRPr="00584716">
        <w:rPr>
          <w:noProof/>
        </w:rPr>
        <w:t>Член 7</w:t>
      </w:r>
      <w:r w:rsidRPr="00584716">
        <w:rPr>
          <w:noProof/>
        </w:rPr>
        <w:br/>
      </w:r>
      <w:r w:rsidRPr="00584716">
        <w:rPr>
          <w:b/>
          <w:noProof/>
        </w:rPr>
        <w:t>Приоритетен статут на проектите за отбранителна готовност</w:t>
      </w:r>
    </w:p>
    <w:p w14:paraId="755C27C9" w14:textId="32BF0B74" w:rsidR="00E67668" w:rsidRPr="00584716" w:rsidRDefault="00E67668" w:rsidP="234AE2F6">
      <w:pPr>
        <w:rPr>
          <w:rFonts w:eastAsia="Times New Roman"/>
          <w:b/>
          <w:bCs/>
          <w:i/>
          <w:iCs/>
          <w:noProof/>
          <w:highlight w:val="yellow"/>
        </w:rPr>
      </w:pPr>
      <w:r w:rsidRPr="00584716">
        <w:rPr>
          <w:noProof/>
        </w:rPr>
        <w:t xml:space="preserve">Всички процедури за решаване на спорове, искови производства, жалби и средства за правна защита, както и всички административни производства, свързани с проекти за отбранителна готовност, пред национални съдилища, трибунали, органи или състави, включително за медиация или арбитраж, когато такива са предвидени в националното право, се третират като спешни, ако и доколкото националното право относно съответните процеси на издаване на разрешения предвижда такива спешни процедури и при условие че се спазват приложимите права на защита на физическите лица или на местните общности. Организаторите на проекти за отбранителна готовност участват в тези спешни процедури, когато е приложимо. </w:t>
      </w:r>
    </w:p>
    <w:p w14:paraId="551BF18D" w14:textId="33E20C24" w:rsidR="00467023" w:rsidRPr="00584716" w:rsidRDefault="00467023" w:rsidP="00752C74">
      <w:pPr>
        <w:pStyle w:val="Titrearticle"/>
        <w:rPr>
          <w:b/>
          <w:bCs/>
          <w:noProof/>
        </w:rPr>
      </w:pPr>
      <w:r w:rsidRPr="00584716">
        <w:rPr>
          <w:noProof/>
        </w:rPr>
        <w:t xml:space="preserve">Член 8 </w:t>
      </w:r>
      <w:r w:rsidRPr="00584716">
        <w:rPr>
          <w:noProof/>
        </w:rPr>
        <w:br/>
      </w:r>
      <w:r w:rsidRPr="00584716">
        <w:rPr>
          <w:b/>
          <w:noProof/>
        </w:rPr>
        <w:t>Приложимост на конвенциите на ИКЕ на ООН</w:t>
      </w:r>
    </w:p>
    <w:p w14:paraId="0464B594" w14:textId="1C803D8E" w:rsidR="00467023" w:rsidRPr="00584716" w:rsidRDefault="004C45B4" w:rsidP="005464BF">
      <w:pPr>
        <w:rPr>
          <w:noProof/>
        </w:rPr>
      </w:pPr>
      <w:r w:rsidRPr="00584716">
        <w:rPr>
          <w:noProof/>
        </w:rPr>
        <w:t>Настоящият регламент не засяга, когато са приложими, задълженията по Конвенцията на Икономическата комисия за Европа на ООН (ИКЕ на ООН) за достъпа до информация, участието на обществеността в процеса на вземането на решения и достъпа до правосъдие по въпроси на околната среда, подписана в Орхус на 25 юни 1998 г., както и по Конвенцията на ИКЕ на ООН за оценка на въздействието върху околната среда в трансграничен контекст, подписана в Еспо на 25 февруари 1991 г., и Протокола за стратегическа екологична оценка към нея, подписан в Киев на 21 май 2003 г.</w:t>
      </w:r>
    </w:p>
    <w:p w14:paraId="6B6F40EE" w14:textId="791B3E7A" w:rsidR="00161159" w:rsidRPr="00584716" w:rsidRDefault="1F102D8E" w:rsidP="00752C74">
      <w:pPr>
        <w:pStyle w:val="Titrearticle"/>
        <w:rPr>
          <w:noProof/>
        </w:rPr>
      </w:pPr>
      <w:r w:rsidRPr="00584716">
        <w:rPr>
          <w:noProof/>
        </w:rPr>
        <w:t>Член 9</w:t>
      </w:r>
    </w:p>
    <w:p w14:paraId="310A47E8" w14:textId="77777777" w:rsidR="00B130D8" w:rsidRPr="00584716" w:rsidRDefault="1F102D8E" w:rsidP="00752C74">
      <w:pPr>
        <w:rPr>
          <w:noProof/>
        </w:rPr>
      </w:pPr>
      <w:r w:rsidRPr="00584716">
        <w:rPr>
          <w:noProof/>
        </w:rPr>
        <w:t xml:space="preserve">Настоящият регламент влиза в сила на двадесетия ден след деня на публикуването му в </w:t>
      </w:r>
      <w:r w:rsidRPr="00584716">
        <w:rPr>
          <w:i/>
          <w:noProof/>
        </w:rPr>
        <w:t>Официален вестник на Европейския съюз</w:t>
      </w:r>
      <w:r w:rsidRPr="00584716">
        <w:rPr>
          <w:noProof/>
        </w:rPr>
        <w:t>.</w:t>
      </w:r>
    </w:p>
    <w:p w14:paraId="261ACE7E" w14:textId="2538C888" w:rsidR="00161159" w:rsidRPr="00584716" w:rsidRDefault="000532D7" w:rsidP="00752C74">
      <w:pPr>
        <w:rPr>
          <w:noProof/>
        </w:rPr>
      </w:pPr>
      <w:r w:rsidRPr="00584716">
        <w:rPr>
          <w:noProof/>
        </w:rPr>
        <w:t>Той се прилага само за заявления за издаване на разрешения за проекти за отбранителна готовност, подадени след тази дата.</w:t>
      </w:r>
    </w:p>
    <w:p w14:paraId="6D707E21" w14:textId="77777777" w:rsidR="00161159" w:rsidRPr="00584716" w:rsidRDefault="00161159" w:rsidP="00752C74">
      <w:pPr>
        <w:pStyle w:val="Applicationdirecte"/>
        <w:rPr>
          <w:noProof/>
        </w:rPr>
      </w:pPr>
      <w:r w:rsidRPr="00584716">
        <w:rPr>
          <w:noProof/>
        </w:rPr>
        <w:t>Настоящият регламент е задължителен в своята цялост и се прилага пряко във всички държави членки.</w:t>
      </w:r>
    </w:p>
    <w:p w14:paraId="0FA3A756" w14:textId="2D8E56EE" w:rsidR="00161159" w:rsidRPr="00584716" w:rsidRDefault="00584716" w:rsidP="006B5FBD">
      <w:pPr>
        <w:pStyle w:val="Fait"/>
        <w:rPr>
          <w:noProof/>
        </w:rPr>
      </w:pPr>
      <w:r>
        <w:rPr>
          <w:noProof/>
        </w:rPr>
        <w:t xml:space="preserve">Съставено в Страсбург на </w:t>
      </w:r>
      <w:r>
        <w:rPr>
          <w:rStyle w:val="Marker"/>
          <w:noProof/>
        </w:rPr>
        <w:t>[…]</w:t>
      </w:r>
      <w:r>
        <w:rPr>
          <w:noProof/>
        </w:rPr>
        <w:t xml:space="preserve"> година.</w:t>
      </w:r>
    </w:p>
    <w:p w14:paraId="14573EB9" w14:textId="77777777" w:rsidR="00161159" w:rsidRPr="00584716" w:rsidRDefault="00161159" w:rsidP="006B5FBD">
      <w:pPr>
        <w:pStyle w:val="Institutionquisigne"/>
        <w:rPr>
          <w:noProof/>
        </w:rPr>
      </w:pPr>
      <w:r w:rsidRPr="00584716">
        <w:rPr>
          <w:noProof/>
        </w:rPr>
        <w:t>За Европейския парламент</w:t>
      </w:r>
      <w:r w:rsidRPr="00584716">
        <w:rPr>
          <w:noProof/>
        </w:rPr>
        <w:tab/>
        <w:t>За Съвета</w:t>
      </w:r>
    </w:p>
    <w:p w14:paraId="3723D18F" w14:textId="1E1C184F" w:rsidR="00161159" w:rsidRPr="00584716" w:rsidRDefault="00161159" w:rsidP="007700D6">
      <w:pPr>
        <w:pStyle w:val="Personnequisigne"/>
        <w:rPr>
          <w:noProof/>
          <w:color w:val="008000"/>
        </w:rPr>
      </w:pPr>
      <w:r w:rsidRPr="00584716">
        <w:rPr>
          <w:noProof/>
        </w:rPr>
        <w:t>Председател</w:t>
      </w:r>
      <w:r w:rsidRPr="00584716">
        <w:rPr>
          <w:noProof/>
        </w:rPr>
        <w:tab/>
        <w:t>Председател</w:t>
      </w:r>
    </w:p>
    <w:sectPr w:rsidR="00161159" w:rsidRPr="00584716" w:rsidSect="00EC5118">
      <w:pgSz w:w="11907" w:h="16839"/>
      <w:pgMar w:top="1134" w:right="1417" w:bottom="1134" w:left="1417"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55711B" w14:textId="77777777" w:rsidR="005E6AAB" w:rsidRDefault="005E6AAB" w:rsidP="00161159">
      <w:pPr>
        <w:spacing w:before="0" w:after="0"/>
      </w:pPr>
      <w:r>
        <w:separator/>
      </w:r>
    </w:p>
  </w:endnote>
  <w:endnote w:type="continuationSeparator" w:id="0">
    <w:p w14:paraId="7E065047" w14:textId="77777777" w:rsidR="005E6AAB" w:rsidRDefault="005E6AAB" w:rsidP="00161159">
      <w:pPr>
        <w:spacing w:before="0" w:after="0"/>
      </w:pPr>
      <w:r>
        <w:continuationSeparator/>
      </w:r>
    </w:p>
  </w:endnote>
  <w:endnote w:type="continuationNotice" w:id="1">
    <w:p w14:paraId="402B58F4" w14:textId="77777777" w:rsidR="005E6AAB" w:rsidRDefault="005E6AA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Aptos">
    <w:altName w:val="Arial"/>
    <w:charset w:val="00"/>
    <w:family w:val="swiss"/>
    <w:pitch w:val="variable"/>
    <w:sig w:usb0="00000001"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altName w:val="Yu Gothic UI"/>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BB6DC08" w14:textId="4866EBAE" w:rsidR="00EC5118" w:rsidRPr="00EC5118" w:rsidRDefault="00EC5118" w:rsidP="00EC5118">
    <w:pPr>
      <w:pStyle w:val="Footer"/>
      <w:rPr>
        <w:rFonts w:ascii="Arial" w:hAnsi="Arial" w:cs="Arial"/>
        <w:b/>
        <w:sz w:val="48"/>
      </w:rPr>
    </w:pPr>
    <w:r w:rsidRPr="00EC5118">
      <w:rPr>
        <w:rFonts w:ascii="Arial" w:hAnsi="Arial" w:cs="Arial"/>
        <w:b/>
        <w:sz w:val="48"/>
      </w:rPr>
      <w:t>BG</w:t>
    </w:r>
    <w:r w:rsidRPr="00EC5118">
      <w:rPr>
        <w:rFonts w:ascii="Arial" w:hAnsi="Arial" w:cs="Arial"/>
        <w:b/>
        <w:sz w:val="48"/>
      </w:rPr>
      <w:tab/>
    </w:r>
    <w:r w:rsidRPr="00EC5118">
      <w:rPr>
        <w:rFonts w:ascii="Arial" w:hAnsi="Arial" w:cs="Arial"/>
        <w:b/>
        <w:sz w:val="48"/>
      </w:rPr>
      <w:tab/>
    </w:r>
    <w:r w:rsidRPr="00EC5118">
      <w:tab/>
    </w:r>
    <w:r w:rsidRPr="00EC5118">
      <w:rPr>
        <w:rFonts w:ascii="Arial" w:hAnsi="Arial" w:cs="Arial"/>
        <w:b/>
        <w:sz w:val="48"/>
      </w:rPr>
      <w:t>BG</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86A607" w14:textId="540799AE" w:rsidR="00EC5118" w:rsidRPr="00EC5118" w:rsidRDefault="00EC5118" w:rsidP="00EC5118">
    <w:pPr>
      <w:pStyle w:val="Footer"/>
      <w:rPr>
        <w:rFonts w:ascii="Arial" w:hAnsi="Arial" w:cs="Arial"/>
        <w:b/>
        <w:sz w:val="48"/>
      </w:rPr>
    </w:pPr>
    <w:r w:rsidRPr="00EC5118">
      <w:rPr>
        <w:rFonts w:ascii="Arial" w:hAnsi="Arial" w:cs="Arial"/>
        <w:b/>
        <w:sz w:val="48"/>
      </w:rPr>
      <w:t>BG</w:t>
    </w:r>
    <w:r w:rsidRPr="00EC5118">
      <w:rPr>
        <w:rFonts w:ascii="Arial" w:hAnsi="Arial" w:cs="Arial"/>
        <w:b/>
        <w:sz w:val="48"/>
      </w:rPr>
      <w:tab/>
    </w:r>
    <w:r w:rsidRPr="00EC5118">
      <w:rPr>
        <w:rFonts w:ascii="Arial" w:hAnsi="Arial" w:cs="Arial"/>
        <w:b/>
        <w:sz w:val="48"/>
      </w:rPr>
      <w:tab/>
    </w:r>
    <w:r w:rsidRPr="00EC5118">
      <w:tab/>
    </w:r>
    <w:r w:rsidRPr="00EC5118">
      <w:rPr>
        <w:rFonts w:ascii="Arial" w:hAnsi="Arial" w:cs="Arial"/>
        <w:b/>
        <w:sz w:val="48"/>
      </w:rPr>
      <w:t>BG</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35587EA" w14:textId="77777777" w:rsidR="00EC5118" w:rsidRDefault="00EC5118">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CDB119C" w14:textId="4507479A" w:rsidR="00EC5118" w:rsidRPr="00EC5118" w:rsidRDefault="00EC5118" w:rsidP="00EC5118">
    <w:pPr>
      <w:pStyle w:val="Footer"/>
      <w:rPr>
        <w:rFonts w:ascii="Arial" w:hAnsi="Arial" w:cs="Arial"/>
        <w:b/>
        <w:sz w:val="48"/>
      </w:rPr>
    </w:pPr>
    <w:r w:rsidRPr="00EC5118">
      <w:rPr>
        <w:rFonts w:ascii="Arial" w:hAnsi="Arial" w:cs="Arial"/>
        <w:b/>
        <w:sz w:val="48"/>
      </w:rPr>
      <w:t>BG</w:t>
    </w:r>
    <w:r w:rsidRPr="00EC5118">
      <w:rPr>
        <w:rFonts w:ascii="Arial" w:hAnsi="Arial" w:cs="Arial"/>
        <w:b/>
        <w:sz w:val="48"/>
      </w:rPr>
      <w:tab/>
    </w:r>
    <w:r>
      <w:fldChar w:fldCharType="begin"/>
    </w:r>
    <w:r>
      <w:instrText xml:space="preserve"> PAGE  \* MERGEFORMAT </w:instrText>
    </w:r>
    <w:r>
      <w:fldChar w:fldCharType="separate"/>
    </w:r>
    <w:r w:rsidR="006B5FBD">
      <w:rPr>
        <w:noProof/>
      </w:rPr>
      <w:t>16</w:t>
    </w:r>
    <w:r>
      <w:fldChar w:fldCharType="end"/>
    </w:r>
    <w:r>
      <w:tab/>
    </w:r>
    <w:r w:rsidRPr="00EC5118">
      <w:tab/>
    </w:r>
    <w:r w:rsidRPr="00EC5118">
      <w:rPr>
        <w:rFonts w:ascii="Arial" w:hAnsi="Arial" w:cs="Arial"/>
        <w:b/>
        <w:sz w:val="48"/>
      </w:rPr>
      <w:t>BG</w: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4608229" w14:textId="77777777" w:rsidR="00EC5118" w:rsidRDefault="00EC5118" w:rsidP="00EC511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8100AB" w14:textId="77777777" w:rsidR="005E6AAB" w:rsidRDefault="005E6AAB" w:rsidP="00161159">
      <w:pPr>
        <w:spacing w:before="0" w:after="0"/>
      </w:pPr>
      <w:r>
        <w:separator/>
      </w:r>
    </w:p>
  </w:footnote>
  <w:footnote w:type="continuationSeparator" w:id="0">
    <w:p w14:paraId="2FD7B3C4" w14:textId="77777777" w:rsidR="005E6AAB" w:rsidRDefault="005E6AAB" w:rsidP="00161159">
      <w:pPr>
        <w:spacing w:before="0" w:after="0"/>
      </w:pPr>
      <w:r>
        <w:continuationSeparator/>
      </w:r>
    </w:p>
  </w:footnote>
  <w:footnote w:type="continuationNotice" w:id="1">
    <w:p w14:paraId="18B16AF1" w14:textId="77777777" w:rsidR="005E6AAB" w:rsidRDefault="005E6AAB">
      <w:pPr>
        <w:spacing w:before="0" w:after="0"/>
      </w:pPr>
    </w:p>
  </w:footnote>
  <w:footnote w:id="2">
    <w:p w14:paraId="20EB9AF9" w14:textId="3A15074C" w:rsidR="00A4758D" w:rsidRPr="00CD093F" w:rsidRDefault="00A4758D">
      <w:pPr>
        <w:pStyle w:val="FootnoteText"/>
      </w:pPr>
      <w:r>
        <w:rPr>
          <w:rStyle w:val="FootnoteReference"/>
        </w:rPr>
        <w:footnoteRef/>
      </w:r>
      <w:r>
        <w:tab/>
        <w:t>Съвместна бяла книга за европейската отбранителна готовност до 2030 г. (JOIN(2025) 120 final, 19 март 2025 г.).</w:t>
      </w:r>
    </w:p>
  </w:footnote>
  <w:footnote w:id="3">
    <w:p w14:paraId="09A50872" w14:textId="77777777" w:rsidR="00161159" w:rsidRDefault="00161159" w:rsidP="002539B0">
      <w:pPr>
        <w:pStyle w:val="FootnoteText"/>
        <w:ind w:left="0" w:firstLine="0"/>
      </w:pPr>
      <w:r>
        <w:rPr>
          <w:rStyle w:val="FootnoteReference"/>
        </w:rPr>
        <w:footnoteRef/>
      </w:r>
      <w:r>
        <w:tab/>
      </w:r>
    </w:p>
  </w:footnote>
  <w:footnote w:id="4">
    <w:p w14:paraId="1B41A38E" w14:textId="5ACE04BE" w:rsidR="00740B35" w:rsidRPr="00112F1D" w:rsidRDefault="00740B35">
      <w:pPr>
        <w:pStyle w:val="FootnoteText"/>
      </w:pPr>
      <w:r>
        <w:rPr>
          <w:rStyle w:val="FootnoteReference"/>
        </w:rPr>
        <w:footnoteRef/>
      </w:r>
      <w:r>
        <w:tab/>
        <w:t>Съвместна бяла книга за европейската отбранителна готовност до 2030 г. (JOIN(2025) 120 final, 19 март 2025 г.).</w:t>
      </w:r>
    </w:p>
  </w:footnote>
  <w:footnote w:id="5">
    <w:p w14:paraId="6069D9BE" w14:textId="31EE379C" w:rsidR="005E1E1B" w:rsidRPr="007700D6" w:rsidRDefault="005E1E1B">
      <w:pPr>
        <w:pStyle w:val="FootnoteText"/>
      </w:pPr>
      <w:r>
        <w:rPr>
          <w:rStyle w:val="FootnoteReference"/>
        </w:rPr>
        <w:footnoteRef/>
      </w:r>
      <w:r>
        <w:tab/>
        <w:t>Директива 2009/81/ЕО на Европейския парламент и на Съвета от 13 юли 2009 г.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(ОВ L 216, 20.8.2009 г., стр. 76, ELI: http://data.europa.eu/eli/dir/2009/81/oj).</w:t>
      </w:r>
    </w:p>
  </w:footnote>
  <w:footnote w:id="6">
    <w:p w14:paraId="402C4385" w14:textId="66D2AFB0" w:rsidR="00D03ABC" w:rsidRPr="005464BF" w:rsidRDefault="00D03ABC">
      <w:pPr>
        <w:pStyle w:val="FootnoteText"/>
      </w:pPr>
      <w:r>
        <w:rPr>
          <w:rStyle w:val="FootnoteReference"/>
        </w:rPr>
        <w:footnoteRef/>
      </w:r>
      <w:r>
        <w:tab/>
        <w:t>Регламент (ЕС) 2024/1735 на Европейския парламент и на Съвета от 13 юни 2024 г. за създаване на рамка от мерки за укрепване на европейската екосистема за производство в областта на технологиите за нулеви нетни емисии и за изменение на Регламент (ЕС) 2018/1724 (текст от значение за ЕИП) (ОВ L, 2024/1735, 28.6.2024 г., ELI: http://data.europa.eu/eli/reg/2024/1735/oj).</w:t>
      </w:r>
    </w:p>
  </w:footnote>
  <w:footnote w:id="7">
    <w:p w14:paraId="7D272359" w14:textId="1C4F70F5" w:rsidR="008640B7" w:rsidRPr="005464BF" w:rsidRDefault="008640B7">
      <w:pPr>
        <w:pStyle w:val="FootnoteText"/>
      </w:pPr>
      <w:r>
        <w:rPr>
          <w:rStyle w:val="FootnoteReference"/>
        </w:rPr>
        <w:footnoteRef/>
      </w:r>
      <w:r>
        <w:tab/>
        <w:t>Регламент (ЕС) 2024/1252 на Европейския парламент и на Съвета от 11 април 2024 г. за създаване на рамка за гарантиране на сигурни и устойчиви доставки на суровини от критично значение и за изменение на регламенти (ЕС) № 168/2013, (ЕС) 2018/858, (ЕС) 2018/1724 и (ЕС) 2019/1020 (ОВ L, 2024/1252, 3.5.2024 г., ELI: http://data.europa.eu/eli/reg/2024/1252/oj).</w:t>
      </w:r>
    </w:p>
  </w:footnote>
  <w:footnote w:id="8">
    <w:p w14:paraId="1F597303" w14:textId="2C06996C" w:rsidR="00A63CF3" w:rsidRPr="005464BF" w:rsidRDefault="00A63CF3">
      <w:pPr>
        <w:pStyle w:val="FootnoteText"/>
      </w:pPr>
      <w:r>
        <w:rPr>
          <w:rStyle w:val="FootnoteReference"/>
        </w:rPr>
        <w:footnoteRef/>
      </w:r>
      <w:r>
        <w:tab/>
        <w:t>Директива 2009/43/ЕО на Европейския парламент и на Съвета от 6 май 2009 г. за опростяване на реда и условията за трансфер на продукти, свързани с отбраната, вътре в Общността (ОВ L 146, 10.6.2009 г., стр. 1, ELI: http://data.europa.eu/eli/dir/2009/43/oj).</w:t>
      </w:r>
    </w:p>
  </w:footnote>
  <w:footnote w:id="9">
    <w:p w14:paraId="27D6D92B" w14:textId="3FFC8A04" w:rsidR="00401E0C" w:rsidRPr="005464BF" w:rsidRDefault="00401E0C">
      <w:pPr>
        <w:pStyle w:val="FootnoteText"/>
      </w:pPr>
      <w:r>
        <w:rPr>
          <w:rStyle w:val="FootnoteReference"/>
        </w:rPr>
        <w:footnoteRef/>
      </w:r>
      <w:r>
        <w:tab/>
        <w:t>Директива 2009/81/ЕО на Европейския парламент и на Съвета от 13 юли 2009 г. относно координирането на процедурите за възлагане на някои поръчки за строителство, доставки и услуги от възлагащи органи или възложители в областта на отбраната и сигурността и за изменение на директиви 2004/17/ЕО и 2004/18/ЕО (ОВ L 216, 20.8.2009 г., стр. 76, ELI: http://data.europa.eu/eli/dir/2009/81/oj).</w:t>
      </w:r>
    </w:p>
  </w:footnote>
  <w:footnote w:id="10">
    <w:p w14:paraId="21CBB54F" w14:textId="0E71C6C7" w:rsidR="00F2717F" w:rsidRPr="00F2717F" w:rsidRDefault="00F2717F">
      <w:pPr>
        <w:pStyle w:val="FootnoteText"/>
      </w:pPr>
      <w:r>
        <w:rPr>
          <w:rStyle w:val="FootnoteReference"/>
        </w:rPr>
        <w:footnoteRef/>
      </w:r>
      <w:r>
        <w:tab/>
        <w:t>Регламент (ЕС) 2021/697 на Европейския парламент и на Съвета от 29 април 2021 г. за създаване на Европейски фонд за отбрана и за отмяна на Регламент (ЕС) 2018/1092 (ОВ L 170, 12.5.2021 г., стр. 149, ELI: http://data.europa.eu/eli/reg/2021/697/oj).</w:t>
      </w:r>
    </w:p>
  </w:footnote>
  <w:footnote w:id="11">
    <w:p w14:paraId="78331FE1" w14:textId="243FB9CC" w:rsidR="009E791D" w:rsidRPr="005464BF" w:rsidRDefault="009E791D">
      <w:pPr>
        <w:pStyle w:val="FootnoteText"/>
      </w:pPr>
      <w:r>
        <w:rPr>
          <w:rStyle w:val="FootnoteReference"/>
        </w:rPr>
        <w:footnoteRef/>
      </w:r>
      <w:r>
        <w:tab/>
        <w:t>Препоръка (ЕС) 2025/1099 на Комисията от 21 май 2025 г. относно определението за малки предприятия със средна пазарна капитализация (</w:t>
      </w:r>
      <w:r>
        <w:rPr>
          <w:i/>
          <w:iCs/>
        </w:rPr>
        <w:t>small mid-cap enterprises</w:t>
      </w:r>
      <w:r>
        <w:t>) (ОВ L, 2025/1099, 28.5.2025 г., ELI: http://data.europa.eu/eli/reco/2025/1099/oj).</w:t>
      </w:r>
    </w:p>
  </w:footnote>
  <w:footnote w:id="12">
    <w:p w14:paraId="1EF7627B" w14:textId="77777777" w:rsidR="0039648A" w:rsidRPr="001C6556" w:rsidRDefault="0039648A" w:rsidP="0039648A">
      <w:pPr>
        <w:pStyle w:val="FootnoteText"/>
      </w:pPr>
      <w:r>
        <w:rPr>
          <w:rStyle w:val="FootnoteReference"/>
        </w:rPr>
        <w:footnoteRef/>
      </w:r>
      <w:r>
        <w:tab/>
        <w:t>Препоръка 2003/361/ЕО на Комисията от 6 май 2003 г. относно определението за микро-, малки и средни предприятия (</w:t>
      </w:r>
      <w:hyperlink r:id="rId1" w:history="1">
        <w:r>
          <w:rPr>
            <w:rStyle w:val="Hyperlink"/>
          </w:rPr>
          <w:t>ОВ L 124, 20.5.2003 г., стр. 36</w:t>
        </w:r>
      </w:hyperlink>
      <w:r>
        <w:t>, ELI: http://data.europa.eu/eli/reco/2003/361/oj).</w:t>
      </w:r>
    </w:p>
  </w:footnote>
  <w:footnote w:id="13">
    <w:p w14:paraId="1389C6CD" w14:textId="4D8EB91C" w:rsidR="00BD0605" w:rsidRPr="005464BF" w:rsidRDefault="00BD0605">
      <w:pPr>
        <w:pStyle w:val="FootnoteText"/>
      </w:pPr>
      <w:r>
        <w:rPr>
          <w:rStyle w:val="FootnoteReference"/>
        </w:rPr>
        <w:footnoteRef/>
      </w:r>
      <w:r>
        <w:tab/>
        <w:t>Директива 2001/42/ЕО на Европейския парламент и на Съвета от 27 юни 2001 г. относно оценката на последиците на някои планове и програми върху околната среда (ОВ L 197, 21.7.2001 г., стр. 30, ELI: http://data.europa.eu/eli/dir/2001/42/oj).</w:t>
      </w:r>
    </w:p>
  </w:footnote>
  <w:footnote w:id="14">
    <w:p w14:paraId="279C7034" w14:textId="08D818B1" w:rsidR="001460B7" w:rsidRPr="005464BF" w:rsidRDefault="001460B7">
      <w:pPr>
        <w:pStyle w:val="FootnoteText"/>
      </w:pPr>
      <w:r>
        <w:rPr>
          <w:rStyle w:val="FootnoteReference"/>
        </w:rPr>
        <w:footnoteRef/>
      </w:r>
      <w:r>
        <w:tab/>
        <w:t>Директива 92/43/ЕИО на Съвета от 21 май 1992 г. за опазване на естествените местообитания и на дивата флора и фауна (ОВ L 206, 22.7.1992 г., стр. 7, ELI: http://data.europa.eu/eli/dir/1992/43/oj).</w:t>
      </w:r>
    </w:p>
  </w:footnote>
  <w:footnote w:id="15">
    <w:p w14:paraId="37894A8A" w14:textId="12124EE8" w:rsidR="00B771FE" w:rsidRPr="005464BF" w:rsidRDefault="00B771FE">
      <w:pPr>
        <w:pStyle w:val="FootnoteText"/>
      </w:pPr>
      <w:r>
        <w:rPr>
          <w:rStyle w:val="FootnoteReference"/>
        </w:rPr>
        <w:footnoteRef/>
      </w:r>
      <w:r>
        <w:tab/>
        <w:t>Директива 2000/60/EО на Европейския парламент и на Съвета от 23 октомври 2000 г. за установяване на рамка за действията на Общността в областта на политиката за водите (ОВ L 327, 22.12.2000 г., стр. 1, ELI: http://data.europa.eu/eli/dir/2000/60/oj).</w:t>
      </w:r>
    </w:p>
  </w:footnote>
  <w:footnote w:id="16">
    <w:p w14:paraId="28FD6D32" w14:textId="40EA07E7" w:rsidR="00AC737E" w:rsidRPr="005464BF" w:rsidRDefault="00AC737E">
      <w:pPr>
        <w:pStyle w:val="FootnoteText"/>
      </w:pPr>
      <w:r>
        <w:rPr>
          <w:rStyle w:val="FootnoteReference"/>
        </w:rPr>
        <w:footnoteRef/>
      </w:r>
      <w:r>
        <w:tab/>
        <w:t>Директива 2014/89/ЕС на Европейския парламент и на Съвета от 23 юли 2014 г. за установяване на рамка за морско пространствено планиране (ОВ L 257, 28.8.2014 г., стр. 135, ELI: http://data.europa.eu/eli/dir/2014/89/oj).</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62A0029" w14:textId="77777777" w:rsidR="00EC5118" w:rsidRDefault="00EC511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13C23CD" w14:textId="77777777" w:rsidR="00EC5118" w:rsidRDefault="00EC511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62C6A95"/>
    <w:multiLevelType w:val="singleLevel"/>
    <w:tmpl w:val="02BAFA82"/>
    <w:name w:val="List Bullet 1"/>
    <w:lvl w:ilvl="0">
      <w:start w:val="1"/>
      <w:numFmt w:val="bullet"/>
      <w:lvlRestart w:val="0"/>
      <w:pStyle w:val="ListBullet1"/>
      <w:lvlText w:val=""/>
      <w:lvlJc w:val="left"/>
      <w:pPr>
        <w:tabs>
          <w:tab w:val="num" w:pos="1134"/>
        </w:tabs>
        <w:ind w:left="1134" w:hanging="283"/>
      </w:pPr>
      <w:rPr>
        <w:rFonts w:ascii="Symbol" w:hAnsi="Symbol" w:hint="default"/>
      </w:rPr>
    </w:lvl>
  </w:abstractNum>
  <w:abstractNum w:abstractNumId="1" w15:restartNumberingAfterBreak="0">
    <w:nsid w:val="128364B0"/>
    <w:multiLevelType w:val="singleLevel"/>
    <w:tmpl w:val="D084FB54"/>
    <w:lvl w:ilvl="0">
      <w:start w:val="1"/>
      <w:numFmt w:val="bullet"/>
      <w:pStyle w:val="ListDash3"/>
      <w:lvlText w:val="–"/>
      <w:lvlJc w:val="left"/>
      <w:pPr>
        <w:tabs>
          <w:tab w:val="num" w:pos="1134"/>
        </w:tabs>
        <w:ind w:left="1134" w:hanging="283"/>
      </w:pPr>
      <w:rPr>
        <w:rFonts w:ascii="Times New Roman" w:hAnsi="Times New Roman"/>
      </w:rPr>
    </w:lvl>
  </w:abstractNum>
  <w:abstractNum w:abstractNumId="2" w15:restartNumberingAfterBreak="0">
    <w:nsid w:val="13E4330B"/>
    <w:multiLevelType w:val="multilevel"/>
    <w:tmpl w:val="875C4416"/>
    <w:name w:val="List Dash 3"/>
    <w:lvl w:ilvl="0">
      <w:start w:val="1"/>
      <w:numFmt w:val="decimal"/>
      <w:pStyle w:val="ListNumber1"/>
      <w:lvlText w:val="(%1)"/>
      <w:lvlJc w:val="left"/>
      <w:pPr>
        <w:tabs>
          <w:tab w:val="num" w:pos="1560"/>
        </w:tabs>
        <w:ind w:left="1560" w:hanging="709"/>
      </w:pPr>
      <w:rPr>
        <w:rFonts w:cs="Times New Roman"/>
      </w:rPr>
    </w:lvl>
    <w:lvl w:ilvl="1">
      <w:start w:val="1"/>
      <w:numFmt w:val="lowerLetter"/>
      <w:pStyle w:val="ListNumber1Level2"/>
      <w:lvlText w:val="(%2)"/>
      <w:lvlJc w:val="left"/>
      <w:pPr>
        <w:tabs>
          <w:tab w:val="num" w:pos="2268"/>
        </w:tabs>
        <w:ind w:left="2268" w:hanging="708"/>
      </w:pPr>
      <w:rPr>
        <w:rFonts w:cs="Times New Roman"/>
      </w:rPr>
    </w:lvl>
    <w:lvl w:ilvl="2">
      <w:start w:val="1"/>
      <w:numFmt w:val="bullet"/>
      <w:pStyle w:val="ListNumber1Level3"/>
      <w:lvlText w:val="–"/>
      <w:lvlJc w:val="left"/>
      <w:pPr>
        <w:tabs>
          <w:tab w:val="num" w:pos="2977"/>
        </w:tabs>
        <w:ind w:left="2977" w:hanging="709"/>
      </w:pPr>
      <w:rPr>
        <w:rFonts w:ascii="Times New Roman" w:hAnsi="Times New Roman"/>
      </w:rPr>
    </w:lvl>
    <w:lvl w:ilvl="3">
      <w:start w:val="1"/>
      <w:numFmt w:val="bullet"/>
      <w:pStyle w:val="ListNumber1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 w15:restartNumberingAfterBreak="0">
    <w:nsid w:val="1B3C78B8"/>
    <w:multiLevelType w:val="multilevel"/>
    <w:tmpl w:val="2ED4F4D0"/>
    <w:name w:val="Point"/>
    <w:lvl w:ilvl="0">
      <w:start w:val="1"/>
      <w:numFmt w:val="decimal"/>
      <w:lvlRestart w:val="0"/>
      <w:pStyle w:val="Point0number"/>
      <w:lvlText w:val="(%1)"/>
      <w:lvlJc w:val="left"/>
      <w:pPr>
        <w:tabs>
          <w:tab w:val="num" w:pos="850"/>
        </w:tabs>
        <w:ind w:left="850" w:hanging="850"/>
      </w:pPr>
    </w:lvl>
    <w:lvl w:ilvl="1">
      <w:start w:val="1"/>
      <w:numFmt w:val="lowerLetter"/>
      <w:pStyle w:val="Point0letter"/>
      <w:lvlText w:val="(%2)"/>
      <w:lvlJc w:val="left"/>
      <w:pPr>
        <w:tabs>
          <w:tab w:val="num" w:pos="850"/>
        </w:tabs>
        <w:ind w:left="850" w:hanging="850"/>
      </w:pPr>
    </w:lvl>
    <w:lvl w:ilvl="2">
      <w:start w:val="1"/>
      <w:numFmt w:val="decimal"/>
      <w:pStyle w:val="Point1number"/>
      <w:lvlText w:val="(%3)"/>
      <w:lvlJc w:val="left"/>
      <w:pPr>
        <w:tabs>
          <w:tab w:val="num" w:pos="1417"/>
        </w:tabs>
        <w:ind w:left="1417" w:hanging="567"/>
      </w:pPr>
    </w:lvl>
    <w:lvl w:ilvl="3">
      <w:start w:val="1"/>
      <w:numFmt w:val="lowerLetter"/>
      <w:pStyle w:val="Point1letter"/>
      <w:lvlText w:val="(%4)"/>
      <w:lvlJc w:val="left"/>
      <w:pPr>
        <w:tabs>
          <w:tab w:val="num" w:pos="1417"/>
        </w:tabs>
        <w:ind w:left="1417" w:hanging="567"/>
      </w:pPr>
    </w:lvl>
    <w:lvl w:ilvl="4">
      <w:start w:val="1"/>
      <w:numFmt w:val="decimal"/>
      <w:pStyle w:val="Point2number"/>
      <w:lvlText w:val="(%5)"/>
      <w:lvlJc w:val="left"/>
      <w:pPr>
        <w:tabs>
          <w:tab w:val="num" w:pos="1984"/>
        </w:tabs>
        <w:ind w:left="1984" w:hanging="567"/>
      </w:pPr>
    </w:lvl>
    <w:lvl w:ilvl="5">
      <w:start w:val="1"/>
      <w:numFmt w:val="lowerLetter"/>
      <w:pStyle w:val="Point2letter"/>
      <w:lvlText w:val="(%6)"/>
      <w:lvlJc w:val="left"/>
      <w:pPr>
        <w:tabs>
          <w:tab w:val="num" w:pos="1984"/>
        </w:tabs>
        <w:ind w:left="1984" w:hanging="567"/>
      </w:pPr>
    </w:lvl>
    <w:lvl w:ilvl="6">
      <w:start w:val="1"/>
      <w:numFmt w:val="decimal"/>
      <w:pStyle w:val="Point3number"/>
      <w:lvlText w:val="(%7)"/>
      <w:lvlJc w:val="left"/>
      <w:pPr>
        <w:tabs>
          <w:tab w:val="num" w:pos="2551"/>
        </w:tabs>
        <w:ind w:left="2551" w:hanging="567"/>
      </w:pPr>
    </w:lvl>
    <w:lvl w:ilvl="7">
      <w:start w:val="1"/>
      <w:numFmt w:val="lowerLetter"/>
      <w:pStyle w:val="Point3letter"/>
      <w:lvlText w:val="(%8)"/>
      <w:lvlJc w:val="left"/>
      <w:pPr>
        <w:tabs>
          <w:tab w:val="num" w:pos="2551"/>
        </w:tabs>
        <w:ind w:left="2551" w:hanging="567"/>
      </w:pPr>
    </w:lvl>
    <w:lvl w:ilvl="8">
      <w:start w:val="1"/>
      <w:numFmt w:val="lowerLetter"/>
      <w:pStyle w:val="Point4letter"/>
      <w:lvlText w:val="(%9)"/>
      <w:lvlJc w:val="left"/>
      <w:pPr>
        <w:tabs>
          <w:tab w:val="num" w:pos="3118"/>
        </w:tabs>
        <w:ind w:left="3118" w:hanging="567"/>
      </w:pPr>
    </w:lvl>
  </w:abstractNum>
  <w:abstractNum w:abstractNumId="4" w15:restartNumberingAfterBreak="0">
    <w:nsid w:val="22E44180"/>
    <w:multiLevelType w:val="multilevel"/>
    <w:tmpl w:val="DFC88CEC"/>
    <w:name w:val="NumPar"/>
    <w:lvl w:ilvl="0">
      <w:start w:val="1"/>
      <w:numFmt w:val="decimal"/>
      <w:lvlRestart w:val="0"/>
      <w:pStyle w:val="NumPar1"/>
      <w:lvlText w:val="%1."/>
      <w:lvlJc w:val="left"/>
      <w:pPr>
        <w:tabs>
          <w:tab w:val="num" w:pos="850"/>
        </w:tabs>
        <w:ind w:left="850" w:hanging="850"/>
      </w:pPr>
    </w:lvl>
    <w:lvl w:ilvl="1">
      <w:start w:val="1"/>
      <w:numFmt w:val="decimal"/>
      <w:pStyle w:val="NumPar2"/>
      <w:lvlText w:val="%1.%2."/>
      <w:lvlJc w:val="left"/>
      <w:pPr>
        <w:tabs>
          <w:tab w:val="num" w:pos="850"/>
        </w:tabs>
        <w:ind w:left="850" w:hanging="850"/>
      </w:pPr>
    </w:lvl>
    <w:lvl w:ilvl="2">
      <w:start w:val="1"/>
      <w:numFmt w:val="decimal"/>
      <w:pStyle w:val="NumPar3"/>
      <w:lvlText w:val="%1.%2.%3."/>
      <w:lvlJc w:val="left"/>
      <w:pPr>
        <w:tabs>
          <w:tab w:val="num" w:pos="850"/>
        </w:tabs>
        <w:ind w:left="850" w:hanging="850"/>
      </w:pPr>
    </w:lvl>
    <w:lvl w:ilvl="3">
      <w:start w:val="1"/>
      <w:numFmt w:val="decimal"/>
      <w:pStyle w:val="NumPar4"/>
      <w:lvlText w:val="%1.%2.%3.%4."/>
      <w:lvlJc w:val="left"/>
      <w:pPr>
        <w:tabs>
          <w:tab w:val="num" w:pos="850"/>
        </w:tabs>
        <w:ind w:left="850" w:hanging="850"/>
      </w:pPr>
    </w:lvl>
    <w:lvl w:ilvl="4">
      <w:start w:val="1"/>
      <w:numFmt w:val="decimal"/>
      <w:pStyle w:val="NumPar5"/>
      <w:lvlText w:val="%1.%2.%3.%4.%5."/>
      <w:lvlJc w:val="left"/>
      <w:pPr>
        <w:tabs>
          <w:tab w:val="num" w:pos="1417"/>
        </w:tabs>
        <w:ind w:left="1417" w:hanging="1417"/>
      </w:pPr>
    </w:lvl>
    <w:lvl w:ilvl="5">
      <w:start w:val="1"/>
      <w:numFmt w:val="decimal"/>
      <w:pStyle w:val="NumPar6"/>
      <w:lvlText w:val="%1.%2.%3.%4.%5.%6."/>
      <w:lvlJc w:val="left"/>
      <w:pPr>
        <w:tabs>
          <w:tab w:val="num" w:pos="1417"/>
        </w:tabs>
        <w:ind w:left="1417" w:hanging="1417"/>
      </w:pPr>
    </w:lvl>
    <w:lvl w:ilvl="6">
      <w:start w:val="1"/>
      <w:numFmt w:val="decimal"/>
      <w:pStyle w:val="NumPar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2CB72C6E"/>
    <w:multiLevelType w:val="singleLevel"/>
    <w:tmpl w:val="10ACD464"/>
    <w:name w:val="Bullet 3"/>
    <w:lvl w:ilvl="0">
      <w:start w:val="1"/>
      <w:numFmt w:val="bullet"/>
      <w:lvlRestart w:val="0"/>
      <w:pStyle w:val="Bullet3"/>
      <w:lvlText w:val=""/>
      <w:lvlJc w:val="left"/>
      <w:pPr>
        <w:tabs>
          <w:tab w:val="num" w:pos="2551"/>
        </w:tabs>
        <w:ind w:left="2551" w:hanging="567"/>
      </w:pPr>
      <w:rPr>
        <w:rFonts w:ascii="Symbol" w:hAnsi="Symbol" w:hint="default"/>
      </w:rPr>
    </w:lvl>
  </w:abstractNum>
  <w:abstractNum w:abstractNumId="6" w15:restartNumberingAfterBreak="0">
    <w:nsid w:val="2CE9221F"/>
    <w:multiLevelType w:val="singleLevel"/>
    <w:tmpl w:val="9B4AFB48"/>
    <w:name w:val="Tiret 3"/>
    <w:lvl w:ilvl="0">
      <w:start w:val="1"/>
      <w:numFmt w:val="bullet"/>
      <w:lvlRestart w:val="0"/>
      <w:pStyle w:val="Tiret3"/>
      <w:lvlText w:val="–"/>
      <w:lvlJc w:val="left"/>
      <w:pPr>
        <w:tabs>
          <w:tab w:val="num" w:pos="2551"/>
        </w:tabs>
        <w:ind w:left="2551" w:hanging="567"/>
      </w:pPr>
    </w:lvl>
  </w:abstractNum>
  <w:abstractNum w:abstractNumId="7" w15:restartNumberingAfterBreak="0">
    <w:nsid w:val="2D293CE3"/>
    <w:multiLevelType w:val="multilevel"/>
    <w:tmpl w:val="1BF26E68"/>
    <w:lvl w:ilvl="0">
      <w:start w:val="1"/>
      <w:numFmt w:val="decimal"/>
      <w:pStyle w:val="LegalNumPar"/>
      <w:lvlText w:val="%1."/>
      <w:lvlJc w:val="left"/>
      <w:pPr>
        <w:ind w:left="476" w:hanging="476"/>
      </w:pPr>
      <w:rPr>
        <w:rFonts w:ascii="Times New Roman" w:hAnsi="Times New Roman" w:cs="Times New Roman" w:hint="default"/>
      </w:rPr>
    </w:lvl>
    <w:lvl w:ilvl="1">
      <w:start w:val="1"/>
      <w:numFmt w:val="lowerLetter"/>
      <w:pStyle w:val="Rfrenceinterinstitutionelleprliminaire"/>
      <w:lvlText w:val="%2."/>
      <w:lvlJc w:val="left"/>
      <w:pPr>
        <w:ind w:left="953" w:hanging="477"/>
      </w:pPr>
      <w:rPr>
        <w:rFonts w:hint="default"/>
      </w:rPr>
    </w:lvl>
    <w:lvl w:ilvl="2">
      <w:start w:val="1"/>
      <w:numFmt w:val="lowerRoman"/>
      <w:pStyle w:val="Sous-titreobjetprliminaire"/>
      <w:lvlText w:val="%3."/>
      <w:lvlJc w:val="left"/>
      <w:pPr>
        <w:ind w:left="1429" w:hanging="476"/>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8" w15:restartNumberingAfterBreak="0">
    <w:nsid w:val="2D820C1F"/>
    <w:multiLevelType w:val="singleLevel"/>
    <w:tmpl w:val="7896AADE"/>
    <w:name w:val="List Dash"/>
    <w:lvl w:ilvl="0">
      <w:start w:val="1"/>
      <w:numFmt w:val="bullet"/>
      <w:lvlRestart w:val="0"/>
      <w:pStyle w:val="ListDash"/>
      <w:lvlText w:val="–"/>
      <w:lvlJc w:val="left"/>
      <w:pPr>
        <w:tabs>
          <w:tab w:val="num" w:pos="283"/>
        </w:tabs>
        <w:ind w:left="283" w:hanging="283"/>
      </w:pPr>
      <w:rPr>
        <w:rFonts w:ascii="Times New Roman" w:hAnsi="Times New Roman" w:cs="Times New Roman"/>
      </w:rPr>
    </w:lvl>
  </w:abstractNum>
  <w:abstractNum w:abstractNumId="9" w15:restartNumberingAfterBreak="0">
    <w:nsid w:val="2F191641"/>
    <w:multiLevelType w:val="multilevel"/>
    <w:tmpl w:val="B67C4E92"/>
    <w:lvl w:ilvl="0">
      <w:start w:val="1"/>
      <w:numFmt w:val="decimal"/>
      <w:pStyle w:val="ListNumber3"/>
      <w:lvlText w:val="(%1)"/>
      <w:lvlJc w:val="left"/>
      <w:pPr>
        <w:tabs>
          <w:tab w:val="num" w:pos="1560"/>
        </w:tabs>
        <w:ind w:left="1560" w:hanging="709"/>
      </w:pPr>
      <w:rPr>
        <w:rFonts w:cs="Times New Roman"/>
      </w:rPr>
    </w:lvl>
    <w:lvl w:ilvl="1">
      <w:start w:val="1"/>
      <w:numFmt w:val="lowerLetter"/>
      <w:pStyle w:val="ListNumber3Level2"/>
      <w:lvlText w:val="(%2)"/>
      <w:lvlJc w:val="left"/>
      <w:pPr>
        <w:tabs>
          <w:tab w:val="num" w:pos="2268"/>
        </w:tabs>
        <w:ind w:left="2268" w:hanging="708"/>
      </w:pPr>
      <w:rPr>
        <w:rFonts w:cs="Times New Roman"/>
      </w:rPr>
    </w:lvl>
    <w:lvl w:ilvl="2">
      <w:start w:val="1"/>
      <w:numFmt w:val="bullet"/>
      <w:pStyle w:val="ListNumber3Level3"/>
      <w:lvlText w:val="–"/>
      <w:lvlJc w:val="left"/>
      <w:pPr>
        <w:tabs>
          <w:tab w:val="num" w:pos="2977"/>
        </w:tabs>
        <w:ind w:left="2977" w:hanging="709"/>
      </w:pPr>
      <w:rPr>
        <w:rFonts w:ascii="Times New Roman" w:hAnsi="Times New Roman"/>
      </w:rPr>
    </w:lvl>
    <w:lvl w:ilvl="3">
      <w:start w:val="1"/>
      <w:numFmt w:val="bullet"/>
      <w:pStyle w:val="ListNumber3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0" w15:restartNumberingAfterBreak="0">
    <w:nsid w:val="31CD398A"/>
    <w:multiLevelType w:val="singleLevel"/>
    <w:tmpl w:val="0276BF00"/>
    <w:lvl w:ilvl="0">
      <w:start w:val="1"/>
      <w:numFmt w:val="bullet"/>
      <w:pStyle w:val="ListDash4"/>
      <w:lvlText w:val="–"/>
      <w:lvlJc w:val="left"/>
      <w:pPr>
        <w:tabs>
          <w:tab w:val="num" w:pos="1134"/>
        </w:tabs>
        <w:ind w:left="1134" w:hanging="283"/>
      </w:pPr>
      <w:rPr>
        <w:rFonts w:ascii="Times New Roman" w:hAnsi="Times New Roman"/>
      </w:rPr>
    </w:lvl>
  </w:abstractNum>
  <w:abstractNum w:abstractNumId="11" w15:restartNumberingAfterBreak="0">
    <w:nsid w:val="398C015E"/>
    <w:multiLevelType w:val="multilevel"/>
    <w:tmpl w:val="027A66BA"/>
    <w:name w:val="List Dash 4"/>
    <w:lvl w:ilvl="0">
      <w:start w:val="1"/>
      <w:numFmt w:val="decimal"/>
      <w:pStyle w:val="ListNumber2"/>
      <w:lvlText w:val="(%1)"/>
      <w:lvlJc w:val="left"/>
      <w:pPr>
        <w:tabs>
          <w:tab w:val="num" w:pos="1560"/>
        </w:tabs>
        <w:ind w:left="1560" w:hanging="709"/>
      </w:pPr>
      <w:rPr>
        <w:rFonts w:cs="Times New Roman"/>
      </w:rPr>
    </w:lvl>
    <w:lvl w:ilvl="1">
      <w:start w:val="1"/>
      <w:numFmt w:val="lowerLetter"/>
      <w:pStyle w:val="ListNumber2Level2"/>
      <w:lvlText w:val="(%2)"/>
      <w:lvlJc w:val="left"/>
      <w:pPr>
        <w:tabs>
          <w:tab w:val="num" w:pos="2268"/>
        </w:tabs>
        <w:ind w:left="2268" w:hanging="708"/>
      </w:pPr>
      <w:rPr>
        <w:rFonts w:cs="Times New Roman"/>
      </w:rPr>
    </w:lvl>
    <w:lvl w:ilvl="2">
      <w:start w:val="1"/>
      <w:numFmt w:val="bullet"/>
      <w:pStyle w:val="ListNumber2Level3"/>
      <w:lvlText w:val="–"/>
      <w:lvlJc w:val="left"/>
      <w:pPr>
        <w:tabs>
          <w:tab w:val="num" w:pos="2977"/>
        </w:tabs>
        <w:ind w:left="2977" w:hanging="709"/>
      </w:pPr>
      <w:rPr>
        <w:rFonts w:ascii="Times New Roman" w:hAnsi="Times New Roman"/>
      </w:rPr>
    </w:lvl>
    <w:lvl w:ilvl="3">
      <w:start w:val="1"/>
      <w:numFmt w:val="bullet"/>
      <w:pStyle w:val="ListNumber2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2"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13" w15:restartNumberingAfterBreak="0">
    <w:nsid w:val="42FC0772"/>
    <w:multiLevelType w:val="singleLevel"/>
    <w:tmpl w:val="4128FCF8"/>
    <w:name w:val="Tiret 4"/>
    <w:lvl w:ilvl="0">
      <w:start w:val="1"/>
      <w:numFmt w:val="bullet"/>
      <w:lvlRestart w:val="0"/>
      <w:pStyle w:val="Tiret4"/>
      <w:lvlText w:val="–"/>
      <w:lvlJc w:val="left"/>
      <w:pPr>
        <w:tabs>
          <w:tab w:val="num" w:pos="3118"/>
        </w:tabs>
        <w:ind w:left="3118" w:hanging="567"/>
      </w:pPr>
    </w:lvl>
  </w:abstractNum>
  <w:abstractNum w:abstractNumId="14" w15:restartNumberingAfterBreak="0">
    <w:nsid w:val="42FC077D"/>
    <w:multiLevelType w:val="singleLevel"/>
    <w:tmpl w:val="4128FD03"/>
    <w:name w:val="Tiret 5"/>
    <w:lvl w:ilvl="0">
      <w:start w:val="1"/>
      <w:numFmt w:val="bullet"/>
      <w:lvlRestart w:val="0"/>
      <w:pStyle w:val="Tiret5"/>
      <w:lvlText w:val="–"/>
      <w:lvlJc w:val="left"/>
      <w:pPr>
        <w:tabs>
          <w:tab w:val="num" w:pos="3685"/>
        </w:tabs>
        <w:ind w:left="3685" w:hanging="567"/>
      </w:pPr>
    </w:lvl>
  </w:abstractNum>
  <w:abstractNum w:abstractNumId="15" w15:restartNumberingAfterBreak="0">
    <w:nsid w:val="4552127F"/>
    <w:multiLevelType w:val="singleLevel"/>
    <w:tmpl w:val="057A5296"/>
    <w:name w:val="Bullet 0"/>
    <w:lvl w:ilvl="0">
      <w:start w:val="1"/>
      <w:numFmt w:val="bullet"/>
      <w:lvlRestart w:val="0"/>
      <w:pStyle w:val="Bullet0"/>
      <w:lvlText w:val=""/>
      <w:lvlJc w:val="left"/>
      <w:pPr>
        <w:tabs>
          <w:tab w:val="num" w:pos="850"/>
        </w:tabs>
        <w:ind w:left="850" w:hanging="850"/>
      </w:pPr>
      <w:rPr>
        <w:rFonts w:ascii="Symbol" w:hAnsi="Symbol" w:hint="default"/>
      </w:rPr>
    </w:lvl>
  </w:abstractNum>
  <w:abstractNum w:abstractNumId="16" w15:restartNumberingAfterBreak="0">
    <w:nsid w:val="489D74ED"/>
    <w:multiLevelType w:val="singleLevel"/>
    <w:tmpl w:val="C2E2F936"/>
    <w:name w:val="List Dash 2"/>
    <w:lvl w:ilvl="0">
      <w:start w:val="1"/>
      <w:numFmt w:val="bullet"/>
      <w:lvlRestart w:val="0"/>
      <w:pStyle w:val="ListDash2"/>
      <w:lvlText w:val="–"/>
      <w:lvlJc w:val="left"/>
      <w:pPr>
        <w:tabs>
          <w:tab w:val="num" w:pos="1134"/>
        </w:tabs>
        <w:ind w:left="1134" w:hanging="283"/>
      </w:pPr>
      <w:rPr>
        <w:rFonts w:ascii="Times New Roman" w:hAnsi="Times New Roman" w:cs="Times New Roman"/>
      </w:rPr>
    </w:lvl>
  </w:abstractNum>
  <w:abstractNum w:abstractNumId="17" w15:restartNumberingAfterBreak="0">
    <w:nsid w:val="4D0C058A"/>
    <w:multiLevelType w:val="singleLevel"/>
    <w:tmpl w:val="BAE8D90E"/>
    <w:name w:val="List Dash 1"/>
    <w:lvl w:ilvl="0">
      <w:start w:val="1"/>
      <w:numFmt w:val="bullet"/>
      <w:lvlRestart w:val="0"/>
      <w:pStyle w:val="ListDash1"/>
      <w:lvlText w:val="–"/>
      <w:lvlJc w:val="left"/>
      <w:pPr>
        <w:tabs>
          <w:tab w:val="num" w:pos="1134"/>
        </w:tabs>
        <w:ind w:left="1134" w:hanging="283"/>
      </w:pPr>
      <w:rPr>
        <w:rFonts w:ascii="Times New Roman" w:hAnsi="Times New Roman" w:cs="Times New Roman"/>
      </w:rPr>
    </w:lvl>
  </w:abstractNum>
  <w:abstractNum w:abstractNumId="18" w15:restartNumberingAfterBreak="0">
    <w:nsid w:val="542A1204"/>
    <w:multiLevelType w:val="multilevel"/>
    <w:tmpl w:val="BC1E8404"/>
    <w:lvl w:ilvl="0">
      <w:start w:val="1"/>
      <w:numFmt w:val="decimal"/>
      <w:pStyle w:val="ListNumber4"/>
      <w:lvlText w:val="(%1)"/>
      <w:lvlJc w:val="left"/>
      <w:pPr>
        <w:tabs>
          <w:tab w:val="num" w:pos="1560"/>
        </w:tabs>
        <w:ind w:left="1560" w:hanging="709"/>
      </w:pPr>
      <w:rPr>
        <w:rFonts w:cs="Times New Roman"/>
      </w:rPr>
    </w:lvl>
    <w:lvl w:ilvl="1">
      <w:start w:val="1"/>
      <w:numFmt w:val="lowerLetter"/>
      <w:pStyle w:val="ListNumber4Level2"/>
      <w:lvlText w:val="(%2)"/>
      <w:lvlJc w:val="left"/>
      <w:pPr>
        <w:tabs>
          <w:tab w:val="num" w:pos="2268"/>
        </w:tabs>
        <w:ind w:left="2268" w:hanging="708"/>
      </w:pPr>
      <w:rPr>
        <w:rFonts w:cs="Times New Roman"/>
      </w:rPr>
    </w:lvl>
    <w:lvl w:ilvl="2">
      <w:start w:val="1"/>
      <w:numFmt w:val="bullet"/>
      <w:pStyle w:val="ListNumber4Level3"/>
      <w:lvlText w:val="–"/>
      <w:lvlJc w:val="left"/>
      <w:pPr>
        <w:tabs>
          <w:tab w:val="num" w:pos="2977"/>
        </w:tabs>
        <w:ind w:left="2977" w:hanging="709"/>
      </w:pPr>
      <w:rPr>
        <w:rFonts w:ascii="Times New Roman" w:hAnsi="Times New Roman"/>
      </w:rPr>
    </w:lvl>
    <w:lvl w:ilvl="3">
      <w:start w:val="1"/>
      <w:numFmt w:val="bullet"/>
      <w:pStyle w:val="ListNumber4Level4"/>
      <w:lvlText w:val=""/>
      <w:lvlJc w:val="left"/>
      <w:pPr>
        <w:tabs>
          <w:tab w:val="num" w:pos="3686"/>
        </w:tabs>
        <w:ind w:left="3686" w:hanging="709"/>
      </w:pPr>
      <w:rPr>
        <w:rFonts w:ascii="Symbol" w:hAnsi="Symbol"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9" w15:restartNumberingAfterBreak="0">
    <w:nsid w:val="556E1D63"/>
    <w:multiLevelType w:val="singleLevel"/>
    <w:tmpl w:val="493AAFF0"/>
    <w:name w:val="Bullet 4"/>
    <w:lvl w:ilvl="0">
      <w:start w:val="1"/>
      <w:numFmt w:val="bullet"/>
      <w:lvlRestart w:val="0"/>
      <w:pStyle w:val="Bullet4"/>
      <w:lvlText w:val=""/>
      <w:lvlJc w:val="left"/>
      <w:pPr>
        <w:tabs>
          <w:tab w:val="num" w:pos="3118"/>
        </w:tabs>
        <w:ind w:left="3118" w:hanging="567"/>
      </w:pPr>
      <w:rPr>
        <w:rFonts w:ascii="Symbol" w:hAnsi="Symbol" w:hint="default"/>
      </w:rPr>
    </w:lvl>
  </w:abstractNum>
  <w:abstractNum w:abstractNumId="20" w15:restartNumberingAfterBreak="0">
    <w:nsid w:val="5B0B0635"/>
    <w:multiLevelType w:val="singleLevel"/>
    <w:tmpl w:val="017E7CEE"/>
    <w:lvl w:ilvl="0">
      <w:start w:val="1"/>
      <w:numFmt w:val="bullet"/>
      <w:lvlRestart w:val="0"/>
      <w:pStyle w:val="ListBullet4"/>
      <w:lvlText w:val=""/>
      <w:lvlJc w:val="left"/>
      <w:pPr>
        <w:tabs>
          <w:tab w:val="num" w:pos="1134"/>
        </w:tabs>
        <w:ind w:left="1134" w:hanging="283"/>
      </w:pPr>
      <w:rPr>
        <w:rFonts w:ascii="Symbol" w:hAnsi="Symbol" w:hint="default"/>
      </w:rPr>
    </w:lvl>
  </w:abstractNum>
  <w:abstractNum w:abstractNumId="21" w15:restartNumberingAfterBreak="0">
    <w:nsid w:val="5B395AAA"/>
    <w:multiLevelType w:val="singleLevel"/>
    <w:tmpl w:val="96D02E8A"/>
    <w:name w:val="Bullet 1"/>
    <w:lvl w:ilvl="0">
      <w:start w:val="1"/>
      <w:numFmt w:val="bullet"/>
      <w:lvlRestart w:val="0"/>
      <w:pStyle w:val="Bullet1"/>
      <w:lvlText w:val=""/>
      <w:lvlJc w:val="left"/>
      <w:pPr>
        <w:tabs>
          <w:tab w:val="num" w:pos="1417"/>
        </w:tabs>
        <w:ind w:left="1417" w:hanging="567"/>
      </w:pPr>
      <w:rPr>
        <w:rFonts w:ascii="Symbol" w:hAnsi="Symbol" w:hint="default"/>
      </w:rPr>
    </w:lvl>
  </w:abstractNum>
  <w:abstractNum w:abstractNumId="22" w15:restartNumberingAfterBreak="0">
    <w:nsid w:val="5C056EE5"/>
    <w:multiLevelType w:val="singleLevel"/>
    <w:tmpl w:val="3378D27C"/>
    <w:name w:val="Bullet 2"/>
    <w:lvl w:ilvl="0">
      <w:start w:val="1"/>
      <w:numFmt w:val="bullet"/>
      <w:lvlRestart w:val="0"/>
      <w:pStyle w:val="Bullet2"/>
      <w:lvlText w:val=""/>
      <w:lvlJc w:val="left"/>
      <w:pPr>
        <w:tabs>
          <w:tab w:val="num" w:pos="1984"/>
        </w:tabs>
        <w:ind w:left="1984" w:hanging="567"/>
      </w:pPr>
      <w:rPr>
        <w:rFonts w:ascii="Symbol" w:hAnsi="Symbol" w:hint="default"/>
      </w:rPr>
    </w:lvl>
  </w:abstractNum>
  <w:abstractNum w:abstractNumId="23" w15:restartNumberingAfterBreak="0">
    <w:nsid w:val="5CA31A15"/>
    <w:multiLevelType w:val="singleLevel"/>
    <w:tmpl w:val="CB981644"/>
    <w:name w:val="Tiret 0"/>
    <w:lvl w:ilvl="0">
      <w:start w:val="1"/>
      <w:numFmt w:val="bullet"/>
      <w:lvlRestart w:val="0"/>
      <w:pStyle w:val="Tiret0"/>
      <w:lvlText w:val="–"/>
      <w:lvlJc w:val="left"/>
      <w:pPr>
        <w:tabs>
          <w:tab w:val="num" w:pos="850"/>
        </w:tabs>
        <w:ind w:left="850" w:hanging="850"/>
      </w:pPr>
    </w:lvl>
  </w:abstractNum>
  <w:abstractNum w:abstractNumId="24" w15:restartNumberingAfterBreak="0">
    <w:nsid w:val="5DF84969"/>
    <w:multiLevelType w:val="singleLevel"/>
    <w:tmpl w:val="1E12021A"/>
    <w:lvl w:ilvl="0">
      <w:start w:val="1"/>
      <w:numFmt w:val="bullet"/>
      <w:pStyle w:val="ListBullet"/>
      <w:lvlText w:val=""/>
      <w:lvlJc w:val="left"/>
      <w:pPr>
        <w:tabs>
          <w:tab w:val="num" w:pos="283"/>
        </w:tabs>
        <w:ind w:left="283" w:hanging="283"/>
      </w:pPr>
      <w:rPr>
        <w:rFonts w:ascii="Symbol" w:hAnsi="Symbol" w:hint="default"/>
      </w:rPr>
    </w:lvl>
  </w:abstractNum>
  <w:abstractNum w:abstractNumId="25" w15:restartNumberingAfterBreak="0">
    <w:nsid w:val="63A33A61"/>
    <w:multiLevelType w:val="hybridMultilevel"/>
    <w:tmpl w:val="681EE3CC"/>
    <w:lvl w:ilvl="0" w:tplc="C95C8986">
      <w:start w:val="1"/>
      <w:numFmt w:val="decimal"/>
      <w:pStyle w:val="NormalPara"/>
      <w:lvlText w:val="%1."/>
      <w:lvlJc w:val="left"/>
      <w:pPr>
        <w:ind w:left="720" w:hanging="720"/>
      </w:pPr>
      <w:rPr>
        <w:rFonts w:hint="default"/>
        <w:b w:val="0"/>
        <w:color w:val="595959" w:themeColor="text1" w:themeTint="A6"/>
        <w:vertAlign w:val="baseline"/>
        <w:lang w:val="en-GB"/>
      </w:rPr>
    </w:lvl>
    <w:lvl w:ilvl="1" w:tplc="18090019">
      <w:start w:val="1"/>
      <w:numFmt w:val="lowerLetter"/>
      <w:lvlText w:val="%2."/>
      <w:lvlJc w:val="left"/>
      <w:pPr>
        <w:ind w:left="1440" w:hanging="360"/>
      </w:pPr>
    </w:lvl>
    <w:lvl w:ilvl="2" w:tplc="1809001B">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6" w15:restartNumberingAfterBreak="0">
    <w:nsid w:val="64A12FA4"/>
    <w:multiLevelType w:val="multilevel"/>
    <w:tmpl w:val="428ECF3E"/>
    <w:name w:val="Heading"/>
    <w:lvl w:ilvl="0">
      <w:start w:val="1"/>
      <w:numFmt w:val="decimal"/>
      <w:lvlRestart w:val="0"/>
      <w:pStyle w:val="Heading1"/>
      <w:lvlText w:val="%1."/>
      <w:lvlJc w:val="left"/>
      <w:pPr>
        <w:tabs>
          <w:tab w:val="num" w:pos="850"/>
        </w:tabs>
        <w:ind w:left="850" w:hanging="850"/>
      </w:pPr>
    </w:lvl>
    <w:lvl w:ilvl="1">
      <w:start w:val="1"/>
      <w:numFmt w:val="decimal"/>
      <w:pStyle w:val="Heading2"/>
      <w:lvlText w:val="%1.%2."/>
      <w:lvlJc w:val="left"/>
      <w:pPr>
        <w:tabs>
          <w:tab w:val="num" w:pos="850"/>
        </w:tabs>
        <w:ind w:left="850" w:hanging="850"/>
      </w:pPr>
    </w:lvl>
    <w:lvl w:ilvl="2">
      <w:start w:val="1"/>
      <w:numFmt w:val="decimal"/>
      <w:pStyle w:val="Heading3"/>
      <w:lvlText w:val="%1.%2.%3."/>
      <w:lvlJc w:val="left"/>
      <w:pPr>
        <w:tabs>
          <w:tab w:val="num" w:pos="850"/>
        </w:tabs>
        <w:ind w:left="850" w:hanging="850"/>
      </w:pPr>
    </w:lvl>
    <w:lvl w:ilvl="3">
      <w:start w:val="1"/>
      <w:numFmt w:val="decimal"/>
      <w:pStyle w:val="Heading4"/>
      <w:lvlText w:val="%1.%2.%3.%4."/>
      <w:lvlJc w:val="left"/>
      <w:pPr>
        <w:tabs>
          <w:tab w:val="num" w:pos="850"/>
        </w:tabs>
        <w:ind w:left="850" w:hanging="850"/>
      </w:pPr>
    </w:lvl>
    <w:lvl w:ilvl="4">
      <w:start w:val="1"/>
      <w:numFmt w:val="decimal"/>
      <w:pStyle w:val="Heading5"/>
      <w:lvlText w:val="%1.%2.%3.%4.%5."/>
      <w:lvlJc w:val="left"/>
      <w:pPr>
        <w:tabs>
          <w:tab w:val="num" w:pos="1417"/>
        </w:tabs>
        <w:ind w:left="1417" w:hanging="1417"/>
      </w:pPr>
    </w:lvl>
    <w:lvl w:ilvl="5">
      <w:start w:val="1"/>
      <w:numFmt w:val="decimal"/>
      <w:pStyle w:val="Heading6"/>
      <w:lvlText w:val="%1.%2.%3.%4.%5.%6."/>
      <w:lvlJc w:val="left"/>
      <w:pPr>
        <w:tabs>
          <w:tab w:val="num" w:pos="1417"/>
        </w:tabs>
        <w:ind w:left="1417" w:hanging="1417"/>
      </w:pPr>
    </w:lvl>
    <w:lvl w:ilvl="6">
      <w:start w:val="1"/>
      <w:numFmt w:val="decimal"/>
      <w:pStyle w:val="Heading7"/>
      <w:lvlText w:val="%1.%2.%3.%4.%5.%6.%7."/>
      <w:lvlJc w:val="left"/>
      <w:pPr>
        <w:tabs>
          <w:tab w:val="num" w:pos="1417"/>
        </w:tabs>
        <w:ind w:left="1417" w:hanging="1417"/>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7" w15:restartNumberingAfterBreak="0">
    <w:nsid w:val="67B856F6"/>
    <w:multiLevelType w:val="singleLevel"/>
    <w:tmpl w:val="0AB28E9C"/>
    <w:name w:val="Tiret 2"/>
    <w:lvl w:ilvl="0">
      <w:start w:val="1"/>
      <w:numFmt w:val="bullet"/>
      <w:lvlRestart w:val="0"/>
      <w:pStyle w:val="Tiret2"/>
      <w:lvlText w:val="–"/>
      <w:lvlJc w:val="left"/>
      <w:pPr>
        <w:tabs>
          <w:tab w:val="num" w:pos="1984"/>
        </w:tabs>
        <w:ind w:left="1984" w:hanging="567"/>
      </w:pPr>
    </w:lvl>
  </w:abstractNum>
  <w:abstractNum w:abstractNumId="28" w15:restartNumberingAfterBreak="0">
    <w:nsid w:val="71F06166"/>
    <w:multiLevelType w:val="multilevel"/>
    <w:tmpl w:val="C08066D2"/>
    <w:name w:val="0.6719891"/>
    <w:lvl w:ilvl="0">
      <w:start w:val="1"/>
      <w:numFmt w:val="decimal"/>
      <w:lvlRestart w:val="0"/>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cs="Times New Roman"/>
      </w:rPr>
    </w:lvl>
    <w:lvl w:ilvl="3">
      <w:start w:val="1"/>
      <w:numFmt w:val="bullet"/>
      <w:pStyle w:val="ListNumberLevel4"/>
      <w:lvlText w:val=""/>
      <w:lvlJc w:val="left"/>
      <w:pPr>
        <w:tabs>
          <w:tab w:val="num" w:pos="2835"/>
        </w:tabs>
        <w:ind w:left="2835" w:hanging="709"/>
      </w:pPr>
      <w:rPr>
        <w:rFonts w:ascii="Symbol" w:hAnsi="Symbol" w:hint="default"/>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9" w15:restartNumberingAfterBreak="0">
    <w:nsid w:val="73D73F7A"/>
    <w:multiLevelType w:val="singleLevel"/>
    <w:tmpl w:val="26365734"/>
    <w:lvl w:ilvl="0">
      <w:start w:val="1"/>
      <w:numFmt w:val="bullet"/>
      <w:pStyle w:val="ListBullet2"/>
      <w:lvlText w:val=""/>
      <w:lvlJc w:val="left"/>
      <w:pPr>
        <w:tabs>
          <w:tab w:val="num" w:pos="1134"/>
        </w:tabs>
        <w:ind w:left="1134" w:hanging="283"/>
      </w:pPr>
      <w:rPr>
        <w:rFonts w:ascii="Symbol" w:hAnsi="Symbol" w:hint="default"/>
      </w:rPr>
    </w:lvl>
  </w:abstractNum>
  <w:abstractNum w:abstractNumId="30" w15:restartNumberingAfterBreak="0">
    <w:nsid w:val="76BC5C11"/>
    <w:multiLevelType w:val="singleLevel"/>
    <w:tmpl w:val="E44CE82E"/>
    <w:lvl w:ilvl="0">
      <w:start w:val="1"/>
      <w:numFmt w:val="bullet"/>
      <w:pStyle w:val="ListBullet3"/>
      <w:lvlText w:val=""/>
      <w:lvlJc w:val="left"/>
      <w:pPr>
        <w:tabs>
          <w:tab w:val="num" w:pos="1134"/>
        </w:tabs>
        <w:ind w:left="1134" w:hanging="283"/>
      </w:pPr>
      <w:rPr>
        <w:rFonts w:ascii="Symbol" w:hAnsi="Symbol" w:hint="default"/>
      </w:rPr>
    </w:lvl>
  </w:abstractNum>
  <w:abstractNum w:abstractNumId="31" w15:restartNumberingAfterBreak="0">
    <w:nsid w:val="7CBE4812"/>
    <w:multiLevelType w:val="singleLevel"/>
    <w:tmpl w:val="23C821E4"/>
    <w:name w:val="Considérant"/>
    <w:lvl w:ilvl="0">
      <w:start w:val="1"/>
      <w:numFmt w:val="decimal"/>
      <w:lvlRestart w:val="0"/>
      <w:pStyle w:val="Considrant"/>
      <w:lvlText w:val="(%1)"/>
      <w:lvlJc w:val="left"/>
      <w:pPr>
        <w:tabs>
          <w:tab w:val="num" w:pos="709"/>
        </w:tabs>
        <w:ind w:left="709" w:hanging="709"/>
      </w:pPr>
    </w:lvl>
  </w:abstractNum>
  <w:num w:numId="1">
    <w:abstractNumId w:val="0"/>
  </w:num>
  <w:num w:numId="2">
    <w:abstractNumId w:val="20"/>
  </w:num>
  <w:num w:numId="3">
    <w:abstractNumId w:val="8"/>
  </w:num>
  <w:num w:numId="4">
    <w:abstractNumId w:val="17"/>
  </w:num>
  <w:num w:numId="5">
    <w:abstractNumId w:val="16"/>
  </w:num>
  <w:num w:numId="6">
    <w:abstractNumId w:val="28"/>
  </w:num>
  <w:num w:numId="7">
    <w:abstractNumId w:val="24"/>
  </w:num>
  <w:num w:numId="8">
    <w:abstractNumId w:val="29"/>
  </w:num>
  <w:num w:numId="9">
    <w:abstractNumId w:val="30"/>
  </w:num>
  <w:num w:numId="10">
    <w:abstractNumId w:val="1"/>
  </w:num>
  <w:num w:numId="11">
    <w:abstractNumId w:val="10"/>
  </w:num>
  <w:num w:numId="12">
    <w:abstractNumId w:val="2"/>
  </w:num>
  <w:num w:numId="13">
    <w:abstractNumId w:val="11"/>
  </w:num>
  <w:num w:numId="14">
    <w:abstractNumId w:val="9"/>
  </w:num>
  <w:num w:numId="15">
    <w:abstractNumId w:val="18"/>
  </w:num>
  <w:num w:numId="16">
    <w:abstractNumId w:val="7"/>
  </w:num>
  <w:num w:numId="17">
    <w:abstractNumId w:val="31"/>
    <w:lvlOverride w:ilvl="0">
      <w:startOverride w:val="1"/>
    </w:lvlOverride>
  </w:num>
  <w:num w:numId="18">
    <w:abstractNumId w:val="7"/>
  </w:num>
  <w:num w:numId="19">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5"/>
  </w:num>
  <w:num w:numId="22">
    <w:abstractNumId w:val="23"/>
  </w:num>
  <w:num w:numId="23">
    <w:abstractNumId w:val="12"/>
  </w:num>
  <w:num w:numId="24">
    <w:abstractNumId w:val="27"/>
  </w:num>
  <w:num w:numId="25">
    <w:abstractNumId w:val="6"/>
  </w:num>
  <w:num w:numId="26">
    <w:abstractNumId w:val="13"/>
  </w:num>
  <w:num w:numId="27">
    <w:abstractNumId w:val="14"/>
  </w:num>
  <w:num w:numId="28">
    <w:abstractNumId w:val="4"/>
  </w:num>
  <w:num w:numId="29">
    <w:abstractNumId w:val="26"/>
  </w:num>
  <w:num w:numId="30">
    <w:abstractNumId w:val="3"/>
  </w:num>
  <w:num w:numId="31">
    <w:abstractNumId w:val="15"/>
  </w:num>
  <w:num w:numId="32">
    <w:abstractNumId w:val="21"/>
  </w:num>
  <w:num w:numId="33">
    <w:abstractNumId w:val="22"/>
  </w:num>
  <w:num w:numId="34">
    <w:abstractNumId w:val="5"/>
  </w:num>
  <w:num w:numId="35">
    <w:abstractNumId w:val="19"/>
  </w:num>
  <w:num w:numId="36">
    <w:abstractNumId w:val="31"/>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zoom w:percent="100"/>
  <w:removePersonalInformation/>
  <w:removeDateAndTime/>
  <w:hideSpellingErrors/>
  <w:hideGrammaticalErrors/>
  <w:attachedTemplate r:id="rId1"/>
  <w:revisionView w:markup="0"/>
  <w:defaultTabStop w:val="720"/>
  <w:hyphenationZone w:val="425"/>
  <w:characterSpacingControl w:val="doNotCompress"/>
  <w:hdrShapeDefaults>
    <o:shapedefaults v:ext="edit" spidmax="205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R_RefLast" w:val="0"/>
    <w:docVar w:name="DQCDateTime" w:val="2025-06-30 18:37:34"/>
    <w:docVar w:name="DQCResult_Distribution" w:val="0;0"/>
    <w:docVar w:name="DQCResult_DocumentContent" w:val="0;0"/>
    <w:docVar w:name="DQCResult_DocumentSize" w:val="0;0"/>
    <w:docVar w:name="DQCResult_InvalidFootnotes" w:val="0;0"/>
    <w:docVar w:name="DQCResult_ModifiedMarkers" w:val="0;0"/>
    <w:docVar w:name="DQCResult_ModifiedNumbering" w:val="0;0"/>
    <w:docVar w:name="DQCResult_Objects" w:val="0;0"/>
    <w:docVar w:name="DQCResult_StructureCheck" w:val="0;0"/>
    <w:docVar w:name="DQCStatus" w:val="Green"/>
    <w:docVar w:name="DQCVersion" w:val="3"/>
    <w:docVar w:name="DQCWithWarnings" w:val="0"/>
    <w:docVar w:name="LW_CORRIGENDUM" w:val="&lt;UNUSED&gt;"/>
    <w:docVar w:name="LW_COVERPAGE_EXISTS" w:val="True"/>
    <w:docVar w:name="LW_COVERPAGE_GUID" w:val="FE664113-2397-415F-8F78-883C8894AF88"/>
    <w:docVar w:name="LW_COVERPAGE_TYPE" w:val="1"/>
    <w:docVar w:name="LW_CreatedUtc" w:val="2025-05-15T07:55:53.5461755Z"/>
    <w:docVar w:name="LW_CROSSREFERENCE" w:val="&lt;UNUSED&gt;"/>
    <w:docVar w:name="LW_DocType" w:val="COM"/>
    <w:docVar w:name="LW_EMISSION" w:val="17.6.2025"/>
    <w:docVar w:name="LW_EMISSION_ISODATE" w:val="2025-06-17"/>
    <w:docVar w:name="LW_EMISSION_LOCATION" w:val="STR"/>
    <w:docVar w:name="LW_EMISSION_PREFIX" w:val="\u1057?\u1090?\u1088?\u1072?\u1089?\u1073?\u1091?\u1088?\u1075?, "/>
    <w:docVar w:name="LW_EMISSION_SUFFIX" w:val=" \u1075?."/>
    <w:docVar w:name="LW_ID_DOCMODEL" w:val="SJ-023"/>
    <w:docVar w:name="LW_ID_DOCSIGNATURE" w:val="SJ-023"/>
    <w:docVar w:name="LW_ID_DOCSTRUCTURE" w:val="COM/PL/ORG"/>
    <w:docVar w:name="LW_ID_DOCTYPE" w:val="SJ-023"/>
    <w:docVar w:name="LW_ID_STATUT" w:val="SJ-023"/>
    <w:docVar w:name="LW_INSERT_EXP.MOTIFS.NEW" w:val="1"/>
    <w:docVar w:name="LW_INTERETEEE.CP" w:val="&lt;UNUSED&gt;"/>
    <w:docVar w:name="LW_LANGUE" w:val="BG"/>
    <w:docVar w:name="LW_LEVEL_OF_SENSITIVITY" w:val="Standard treatment"/>
    <w:docVar w:name="LW_NOM.INST" w:val="\u1045?\u1042?\u1056?\u1054?\u1055?\u1045?\u1049?\u1057?\u1050?\u1040? \u1050?\u1054?\u1052?\u1048?\u1057?\u1048?\u1071?"/>
    <w:docVar w:name="LW_NOM.INST_JOINTDOC" w:val="&lt;EMPTY&gt;"/>
    <w:docVar w:name="LW_PART_NBR" w:val="1"/>
    <w:docVar w:name="LW_PART_NBR_TOTAL" w:val="1"/>
    <w:docVar w:name="LW_REF.II.NEW.CP" w:val="COD"/>
    <w:docVar w:name="LW_REF.II.NEW.CP_NUMBER" w:val="0172"/>
    <w:docVar w:name="LW_REF.II.NEW.CP_YEAR" w:val="2025"/>
    <w:docVar w:name="LW_REF.INST.NEW" w:val="COM"/>
    <w:docVar w:name="LW_REF.INST.NEW_ADOPTED" w:val="final"/>
    <w:docVar w:name="LW_REF.INST.NEW_TEXT" w:val="(2025) 821"/>
    <w:docVar w:name="LW_REF.INTERNE" w:val="&lt;UNUSED&gt;"/>
    <w:docVar w:name="LW_SENSITIVITY" w:val="&lt;?xml version=&quot;1.0&quot; encoding=&quot;utf-8&quot;?&gt;_x000d__x000a_&lt;SensitivityLevel xmlns:xsi=&quot;http://www.w3.org/2001/XMLSchema-instance&quot; xmlns:xsd=&quot;http://www.w3.org/2001/XMLSchema&quot; id=&quot;standard&quot;&gt;_x000d__x000a_  &lt;nicename EN=&quot;Standard treatment&quot; FR=&quot;Traitement standard&quot; /&gt;_x000d__x000a_  &lt;documentProperty&gt;Standard treatment&lt;/documentProperty&gt;_x000d__x000a_  &lt;markingConfig isAvailable=&quot;false&quot; isMandatory=&quot;false&quot; sensitiveMarkingMandatory=&quot;false&quot; specialMarkingMandatory=&quot;true&quot; isOptionDisplayInHeaderAvailable=&quot;true&quot; sensitiveMarkingListSee=&quot;SensitiveMarkings&quot; specialMarkingListSee=&quot;SpecialMarkings&quot; sensitiveFootnoteTextSee=&quot;sensitiveFootnote&quot; specialFootnoteTextSee=&quot;specialFootnote&quot; /&gt;_x000d__x000a_  &lt;chosenMainMarking xsi:nil=&quot;true&quot; /&gt;_x000d__x000a_  &lt;dateMarking xsi:nil=&quot;true&quot; /&gt;_x000d__x000a_  &lt;releasableToConfig isAvailable=&quot;false&quot; institutionListSee=&quot;DefaultInstitutions&quot; /&gt;_x000d__x000a_  &lt;chosenReleasableTo xsi:nil=&quot;true&quot; /&gt;_x000d__x000a_  &lt;detached xsi:nil=&quot;true&quot; /&gt;_x000d__x000a_  &lt;declassify xsi:nil=&quot;true&quot; /&gt;_x000d__x000a_  &lt;headerTexts xsi:nil=&quot;true&quot; /&gt;_x000d__x000a_  &lt;footerTexts xsi:nil=&quot;true&quot; /&gt;_x000d__x000a_  &lt;isRestricted&gt;false&lt;/isRestricted&gt;_x000d__x000a_&lt;/SensitivityLevel&gt;"/>
    <w:docVar w:name="LW_STATUT.CP" w:val="\u1055?\u1088?\u1077?\u1076?\u1083?\u1086?\u1078?\u1077?\u1085?\u1080?\u1077? \u1079?\u1072?"/>
    <w:docVar w:name="LW_SUPERTITRE" w:val="&lt;UNUSED&gt;"/>
    <w:docVar w:name="LW_TITRE.OBJ.CP" w:val="\u1079?\u1072? \u1091?\u1089?\u1082?\u1086?\u1088?\u1103?\u1074?\u1072?\u1085?\u1077? \u1085?\u1072? \u1080?\u1079?\u1076?\u1072?\u1074?\u1072?\u1085?\u1077?\u1090?\u1086? \u1085?\u1072? \u1088?\u1072?\u1079?\u1088?\u1077?\u1096?\u1077?\u1085?\u1080?\u1103? \u1079?\u1072? \u1087?\u1088?\u1086?\u1077?\u1082?\u1090?\u1080? \u1079?\u1072? \u1086?\u1090?\u1073?\u1088?\u1072?\u1085?\u1080?\u1090?\u1077?\u1083?\u1085?\u1072? \u1075?\u1086?\u1090?\u1086?\u1074?\u1085?\u1086?\u1089?\u1090?"/>
    <w:docVar w:name="LW_TYPE.DOC.CP" w:val="\u1056?\u1045?\u1043?\u1051?\u1040?\u1052?\u1045?\u1053?\u1058? \u1053?\u1040? \u1045?\u1042?\u1056?\u1054?\u1055?\u1045?\u1049?\u1057?\u1050?\u1048?\u1071? \u1055?\u1040?\u1056?\u1051?\u1040?\u1052?\u1045?\u1053?\u1058? \u1048? \u1053?\u1040? \u1057?\u1066?\u1042?\u1045?\u1058?\u1040?"/>
    <w:docVar w:name="LwApiVersions" w:val="LW4CoDe 1.24.5.0; LW 9.0, Build 20240221"/>
  </w:docVars>
  <w:rsids>
    <w:rsidRoot w:val="00161159"/>
    <w:rsid w:val="00000453"/>
    <w:rsid w:val="00001954"/>
    <w:rsid w:val="0000288B"/>
    <w:rsid w:val="00002A1F"/>
    <w:rsid w:val="00003030"/>
    <w:rsid w:val="0000569A"/>
    <w:rsid w:val="000059D4"/>
    <w:rsid w:val="00005B74"/>
    <w:rsid w:val="00006293"/>
    <w:rsid w:val="00007A99"/>
    <w:rsid w:val="00011576"/>
    <w:rsid w:val="0001157E"/>
    <w:rsid w:val="000138D3"/>
    <w:rsid w:val="000156F0"/>
    <w:rsid w:val="0001583F"/>
    <w:rsid w:val="000163B3"/>
    <w:rsid w:val="000174DE"/>
    <w:rsid w:val="00017C43"/>
    <w:rsid w:val="000220A8"/>
    <w:rsid w:val="000233B1"/>
    <w:rsid w:val="0002387F"/>
    <w:rsid w:val="0002422C"/>
    <w:rsid w:val="000242B4"/>
    <w:rsid w:val="00024916"/>
    <w:rsid w:val="000268C3"/>
    <w:rsid w:val="00027712"/>
    <w:rsid w:val="000307AF"/>
    <w:rsid w:val="00032009"/>
    <w:rsid w:val="00032EDD"/>
    <w:rsid w:val="00033C72"/>
    <w:rsid w:val="0003569F"/>
    <w:rsid w:val="000362F4"/>
    <w:rsid w:val="00037350"/>
    <w:rsid w:val="00037FE7"/>
    <w:rsid w:val="00045DE0"/>
    <w:rsid w:val="00047C58"/>
    <w:rsid w:val="000503B8"/>
    <w:rsid w:val="00050FAD"/>
    <w:rsid w:val="00051637"/>
    <w:rsid w:val="000529F6"/>
    <w:rsid w:val="00052F71"/>
    <w:rsid w:val="00053231"/>
    <w:rsid w:val="000532D7"/>
    <w:rsid w:val="00054E18"/>
    <w:rsid w:val="000557BD"/>
    <w:rsid w:val="00055D6C"/>
    <w:rsid w:val="0005683B"/>
    <w:rsid w:val="00057FC4"/>
    <w:rsid w:val="000602F7"/>
    <w:rsid w:val="00060315"/>
    <w:rsid w:val="000605E0"/>
    <w:rsid w:val="000616ED"/>
    <w:rsid w:val="00063243"/>
    <w:rsid w:val="000666D3"/>
    <w:rsid w:val="0006714A"/>
    <w:rsid w:val="00067933"/>
    <w:rsid w:val="00071C33"/>
    <w:rsid w:val="00071F93"/>
    <w:rsid w:val="000728D0"/>
    <w:rsid w:val="00074196"/>
    <w:rsid w:val="00074F22"/>
    <w:rsid w:val="000768A8"/>
    <w:rsid w:val="0007793F"/>
    <w:rsid w:val="00077B44"/>
    <w:rsid w:val="00080B32"/>
    <w:rsid w:val="000812A0"/>
    <w:rsid w:val="00087383"/>
    <w:rsid w:val="00087BAC"/>
    <w:rsid w:val="00090BF9"/>
    <w:rsid w:val="00091035"/>
    <w:rsid w:val="00093325"/>
    <w:rsid w:val="00093964"/>
    <w:rsid w:val="00094796"/>
    <w:rsid w:val="0009503D"/>
    <w:rsid w:val="00095917"/>
    <w:rsid w:val="00095BEC"/>
    <w:rsid w:val="0009631F"/>
    <w:rsid w:val="00096DC4"/>
    <w:rsid w:val="00097243"/>
    <w:rsid w:val="00097C46"/>
    <w:rsid w:val="00097C4C"/>
    <w:rsid w:val="000A18D6"/>
    <w:rsid w:val="000A257E"/>
    <w:rsid w:val="000A2987"/>
    <w:rsid w:val="000A3349"/>
    <w:rsid w:val="000A3EA1"/>
    <w:rsid w:val="000A5077"/>
    <w:rsid w:val="000A52D5"/>
    <w:rsid w:val="000A5BF2"/>
    <w:rsid w:val="000A6A55"/>
    <w:rsid w:val="000B062E"/>
    <w:rsid w:val="000B1138"/>
    <w:rsid w:val="000B11FF"/>
    <w:rsid w:val="000B20A9"/>
    <w:rsid w:val="000B20C0"/>
    <w:rsid w:val="000B3C94"/>
    <w:rsid w:val="000B45D0"/>
    <w:rsid w:val="000B487E"/>
    <w:rsid w:val="000B566E"/>
    <w:rsid w:val="000B59B7"/>
    <w:rsid w:val="000B76F0"/>
    <w:rsid w:val="000C04E7"/>
    <w:rsid w:val="000C1BAB"/>
    <w:rsid w:val="000C29CA"/>
    <w:rsid w:val="000C4539"/>
    <w:rsid w:val="000C4A40"/>
    <w:rsid w:val="000C4B47"/>
    <w:rsid w:val="000C672D"/>
    <w:rsid w:val="000C7241"/>
    <w:rsid w:val="000C76B9"/>
    <w:rsid w:val="000D0D86"/>
    <w:rsid w:val="000D1588"/>
    <w:rsid w:val="000D2263"/>
    <w:rsid w:val="000D43EA"/>
    <w:rsid w:val="000D601A"/>
    <w:rsid w:val="000E03B8"/>
    <w:rsid w:val="000E0AF7"/>
    <w:rsid w:val="000E1D8D"/>
    <w:rsid w:val="000E1DD0"/>
    <w:rsid w:val="000E3FCA"/>
    <w:rsid w:val="000E441D"/>
    <w:rsid w:val="000E6ADB"/>
    <w:rsid w:val="000F3A32"/>
    <w:rsid w:val="000F3C22"/>
    <w:rsid w:val="000F4E75"/>
    <w:rsid w:val="000F5919"/>
    <w:rsid w:val="000F68A3"/>
    <w:rsid w:val="000F7FD6"/>
    <w:rsid w:val="00100213"/>
    <w:rsid w:val="00100B7E"/>
    <w:rsid w:val="00100E1C"/>
    <w:rsid w:val="00101986"/>
    <w:rsid w:val="00103DFF"/>
    <w:rsid w:val="001041C1"/>
    <w:rsid w:val="00105480"/>
    <w:rsid w:val="00105B44"/>
    <w:rsid w:val="00105BE9"/>
    <w:rsid w:val="001065F5"/>
    <w:rsid w:val="001078F0"/>
    <w:rsid w:val="00110077"/>
    <w:rsid w:val="00112046"/>
    <w:rsid w:val="00112F1D"/>
    <w:rsid w:val="001135B4"/>
    <w:rsid w:val="001137EA"/>
    <w:rsid w:val="001139C4"/>
    <w:rsid w:val="0011442A"/>
    <w:rsid w:val="00114BCA"/>
    <w:rsid w:val="0011735E"/>
    <w:rsid w:val="00120205"/>
    <w:rsid w:val="00122B14"/>
    <w:rsid w:val="001238EF"/>
    <w:rsid w:val="00124929"/>
    <w:rsid w:val="001279F4"/>
    <w:rsid w:val="00130E0A"/>
    <w:rsid w:val="00130E95"/>
    <w:rsid w:val="00130FDD"/>
    <w:rsid w:val="00131820"/>
    <w:rsid w:val="0013319E"/>
    <w:rsid w:val="001335E0"/>
    <w:rsid w:val="00134DB2"/>
    <w:rsid w:val="00134E2D"/>
    <w:rsid w:val="00136049"/>
    <w:rsid w:val="0014174B"/>
    <w:rsid w:val="00145875"/>
    <w:rsid w:val="0014606A"/>
    <w:rsid w:val="001460B7"/>
    <w:rsid w:val="0015219F"/>
    <w:rsid w:val="001561E8"/>
    <w:rsid w:val="00156A87"/>
    <w:rsid w:val="00157707"/>
    <w:rsid w:val="00161159"/>
    <w:rsid w:val="00162B7F"/>
    <w:rsid w:val="0016514E"/>
    <w:rsid w:val="00165341"/>
    <w:rsid w:val="00166608"/>
    <w:rsid w:val="00166639"/>
    <w:rsid w:val="00170064"/>
    <w:rsid w:val="00172ABA"/>
    <w:rsid w:val="0017400E"/>
    <w:rsid w:val="00174FFE"/>
    <w:rsid w:val="0018147E"/>
    <w:rsid w:val="00182AED"/>
    <w:rsid w:val="001836D2"/>
    <w:rsid w:val="00183D54"/>
    <w:rsid w:val="00186924"/>
    <w:rsid w:val="00187F45"/>
    <w:rsid w:val="00190D9E"/>
    <w:rsid w:val="001915BF"/>
    <w:rsid w:val="00191A2E"/>
    <w:rsid w:val="001927EC"/>
    <w:rsid w:val="00193025"/>
    <w:rsid w:val="001932F7"/>
    <w:rsid w:val="00193607"/>
    <w:rsid w:val="00195C5D"/>
    <w:rsid w:val="00197613"/>
    <w:rsid w:val="00197851"/>
    <w:rsid w:val="001A0A90"/>
    <w:rsid w:val="001A253C"/>
    <w:rsid w:val="001A47E5"/>
    <w:rsid w:val="001A5125"/>
    <w:rsid w:val="001A558C"/>
    <w:rsid w:val="001A566A"/>
    <w:rsid w:val="001A5A5C"/>
    <w:rsid w:val="001A72C1"/>
    <w:rsid w:val="001A7AD2"/>
    <w:rsid w:val="001B202F"/>
    <w:rsid w:val="001B2100"/>
    <w:rsid w:val="001B2494"/>
    <w:rsid w:val="001B2A2F"/>
    <w:rsid w:val="001B5C49"/>
    <w:rsid w:val="001B5E5C"/>
    <w:rsid w:val="001B74DB"/>
    <w:rsid w:val="001B7AE6"/>
    <w:rsid w:val="001C01E2"/>
    <w:rsid w:val="001C08FE"/>
    <w:rsid w:val="001C300B"/>
    <w:rsid w:val="001C3C96"/>
    <w:rsid w:val="001C4CB5"/>
    <w:rsid w:val="001C5E19"/>
    <w:rsid w:val="001C65A8"/>
    <w:rsid w:val="001C6D9C"/>
    <w:rsid w:val="001C7D18"/>
    <w:rsid w:val="001D19A9"/>
    <w:rsid w:val="001D250C"/>
    <w:rsid w:val="001D77FD"/>
    <w:rsid w:val="001E07D5"/>
    <w:rsid w:val="001E13A0"/>
    <w:rsid w:val="001E2D7A"/>
    <w:rsid w:val="001F1372"/>
    <w:rsid w:val="001F1F13"/>
    <w:rsid w:val="001F21EE"/>
    <w:rsid w:val="001F3D9B"/>
    <w:rsid w:val="001F42A4"/>
    <w:rsid w:val="001F4C0D"/>
    <w:rsid w:val="001F7E88"/>
    <w:rsid w:val="002000F3"/>
    <w:rsid w:val="002018F8"/>
    <w:rsid w:val="0020255A"/>
    <w:rsid w:val="00202BE4"/>
    <w:rsid w:val="00202DCA"/>
    <w:rsid w:val="0020358F"/>
    <w:rsid w:val="00206D4E"/>
    <w:rsid w:val="00206FD9"/>
    <w:rsid w:val="00210EF5"/>
    <w:rsid w:val="0021150B"/>
    <w:rsid w:val="002119FB"/>
    <w:rsid w:val="00211D81"/>
    <w:rsid w:val="002127E2"/>
    <w:rsid w:val="0021343C"/>
    <w:rsid w:val="00215F8F"/>
    <w:rsid w:val="00216A9C"/>
    <w:rsid w:val="0022191D"/>
    <w:rsid w:val="002220AF"/>
    <w:rsid w:val="00224588"/>
    <w:rsid w:val="00224BD7"/>
    <w:rsid w:val="0022525F"/>
    <w:rsid w:val="00225F18"/>
    <w:rsid w:val="0022739D"/>
    <w:rsid w:val="002276F9"/>
    <w:rsid w:val="002304B7"/>
    <w:rsid w:val="00230A2A"/>
    <w:rsid w:val="002324AF"/>
    <w:rsid w:val="002333FC"/>
    <w:rsid w:val="002336E6"/>
    <w:rsid w:val="00233DC7"/>
    <w:rsid w:val="00233EE4"/>
    <w:rsid w:val="00234E05"/>
    <w:rsid w:val="00235EF4"/>
    <w:rsid w:val="00236A8F"/>
    <w:rsid w:val="002375F6"/>
    <w:rsid w:val="00237B8A"/>
    <w:rsid w:val="00240A20"/>
    <w:rsid w:val="00241898"/>
    <w:rsid w:val="00243B30"/>
    <w:rsid w:val="00243F56"/>
    <w:rsid w:val="002447E6"/>
    <w:rsid w:val="00244C78"/>
    <w:rsid w:val="002452F6"/>
    <w:rsid w:val="00247779"/>
    <w:rsid w:val="0024788C"/>
    <w:rsid w:val="0025380B"/>
    <w:rsid w:val="002539B0"/>
    <w:rsid w:val="00253A94"/>
    <w:rsid w:val="00257065"/>
    <w:rsid w:val="002607BB"/>
    <w:rsid w:val="002609E7"/>
    <w:rsid w:val="00263930"/>
    <w:rsid w:val="00263958"/>
    <w:rsid w:val="00263F06"/>
    <w:rsid w:val="00263FAB"/>
    <w:rsid w:val="002649F3"/>
    <w:rsid w:val="00265125"/>
    <w:rsid w:val="002662B9"/>
    <w:rsid w:val="00266BCF"/>
    <w:rsid w:val="00267DF1"/>
    <w:rsid w:val="002738B7"/>
    <w:rsid w:val="00274477"/>
    <w:rsid w:val="002765B2"/>
    <w:rsid w:val="002766BC"/>
    <w:rsid w:val="00276759"/>
    <w:rsid w:val="00276D1F"/>
    <w:rsid w:val="002809BC"/>
    <w:rsid w:val="00280EAD"/>
    <w:rsid w:val="002816BC"/>
    <w:rsid w:val="002834CD"/>
    <w:rsid w:val="00285BEE"/>
    <w:rsid w:val="0029389E"/>
    <w:rsid w:val="002949A1"/>
    <w:rsid w:val="0029533F"/>
    <w:rsid w:val="002958E0"/>
    <w:rsid w:val="00297B21"/>
    <w:rsid w:val="002A0192"/>
    <w:rsid w:val="002A14D2"/>
    <w:rsid w:val="002A1506"/>
    <w:rsid w:val="002A1D98"/>
    <w:rsid w:val="002A2416"/>
    <w:rsid w:val="002A4F0F"/>
    <w:rsid w:val="002A5A63"/>
    <w:rsid w:val="002A6F36"/>
    <w:rsid w:val="002A797E"/>
    <w:rsid w:val="002B0B6E"/>
    <w:rsid w:val="002B10C8"/>
    <w:rsid w:val="002B30AF"/>
    <w:rsid w:val="002B3E7A"/>
    <w:rsid w:val="002B63C2"/>
    <w:rsid w:val="002B6779"/>
    <w:rsid w:val="002B7886"/>
    <w:rsid w:val="002C11EF"/>
    <w:rsid w:val="002C19CE"/>
    <w:rsid w:val="002C2C67"/>
    <w:rsid w:val="002C2E23"/>
    <w:rsid w:val="002C51A5"/>
    <w:rsid w:val="002C62DF"/>
    <w:rsid w:val="002C7950"/>
    <w:rsid w:val="002C7C17"/>
    <w:rsid w:val="002D1BE3"/>
    <w:rsid w:val="002D27DA"/>
    <w:rsid w:val="002D43D6"/>
    <w:rsid w:val="002E0C7F"/>
    <w:rsid w:val="002E2054"/>
    <w:rsid w:val="002E795D"/>
    <w:rsid w:val="002F1714"/>
    <w:rsid w:val="002F197F"/>
    <w:rsid w:val="002F5449"/>
    <w:rsid w:val="00300301"/>
    <w:rsid w:val="00301F68"/>
    <w:rsid w:val="00303318"/>
    <w:rsid w:val="0030618E"/>
    <w:rsid w:val="00307046"/>
    <w:rsid w:val="00307C72"/>
    <w:rsid w:val="00307F85"/>
    <w:rsid w:val="003106C2"/>
    <w:rsid w:val="00312888"/>
    <w:rsid w:val="00312A63"/>
    <w:rsid w:val="00313B34"/>
    <w:rsid w:val="00316E48"/>
    <w:rsid w:val="003206E1"/>
    <w:rsid w:val="00321C11"/>
    <w:rsid w:val="0032318D"/>
    <w:rsid w:val="00326B62"/>
    <w:rsid w:val="0033236E"/>
    <w:rsid w:val="00332617"/>
    <w:rsid w:val="00332CFB"/>
    <w:rsid w:val="00332F19"/>
    <w:rsid w:val="00332FB6"/>
    <w:rsid w:val="0033344A"/>
    <w:rsid w:val="00334E8C"/>
    <w:rsid w:val="003440FD"/>
    <w:rsid w:val="00344B12"/>
    <w:rsid w:val="00345F10"/>
    <w:rsid w:val="003461BB"/>
    <w:rsid w:val="003473C5"/>
    <w:rsid w:val="003505C1"/>
    <w:rsid w:val="00350D4E"/>
    <w:rsid w:val="003512D3"/>
    <w:rsid w:val="00352F80"/>
    <w:rsid w:val="003538E4"/>
    <w:rsid w:val="003538F7"/>
    <w:rsid w:val="003539F8"/>
    <w:rsid w:val="00354F5B"/>
    <w:rsid w:val="0035646E"/>
    <w:rsid w:val="003570C2"/>
    <w:rsid w:val="00357B0D"/>
    <w:rsid w:val="00360695"/>
    <w:rsid w:val="00361228"/>
    <w:rsid w:val="003612A0"/>
    <w:rsid w:val="003612CE"/>
    <w:rsid w:val="0036375E"/>
    <w:rsid w:val="00363A87"/>
    <w:rsid w:val="0036414F"/>
    <w:rsid w:val="003657D0"/>
    <w:rsid w:val="00365A28"/>
    <w:rsid w:val="00365EB1"/>
    <w:rsid w:val="00367604"/>
    <w:rsid w:val="00367C9D"/>
    <w:rsid w:val="003726EA"/>
    <w:rsid w:val="003727D1"/>
    <w:rsid w:val="00372DC1"/>
    <w:rsid w:val="00373F67"/>
    <w:rsid w:val="00375C4B"/>
    <w:rsid w:val="0038044D"/>
    <w:rsid w:val="003807C2"/>
    <w:rsid w:val="003816BA"/>
    <w:rsid w:val="00381B14"/>
    <w:rsid w:val="003836E8"/>
    <w:rsid w:val="003840E4"/>
    <w:rsid w:val="00392A53"/>
    <w:rsid w:val="00395010"/>
    <w:rsid w:val="003956F5"/>
    <w:rsid w:val="0039648A"/>
    <w:rsid w:val="003A1079"/>
    <w:rsid w:val="003A149A"/>
    <w:rsid w:val="003A17E2"/>
    <w:rsid w:val="003A2F38"/>
    <w:rsid w:val="003A31BB"/>
    <w:rsid w:val="003A3721"/>
    <w:rsid w:val="003A3F03"/>
    <w:rsid w:val="003A4480"/>
    <w:rsid w:val="003A5050"/>
    <w:rsid w:val="003A5D3D"/>
    <w:rsid w:val="003A613A"/>
    <w:rsid w:val="003A68EC"/>
    <w:rsid w:val="003A6C34"/>
    <w:rsid w:val="003A78DF"/>
    <w:rsid w:val="003B1CD5"/>
    <w:rsid w:val="003B1EEC"/>
    <w:rsid w:val="003B296C"/>
    <w:rsid w:val="003B2CDB"/>
    <w:rsid w:val="003B4049"/>
    <w:rsid w:val="003B4A43"/>
    <w:rsid w:val="003B5C5B"/>
    <w:rsid w:val="003B65A3"/>
    <w:rsid w:val="003B65AA"/>
    <w:rsid w:val="003B7415"/>
    <w:rsid w:val="003B768A"/>
    <w:rsid w:val="003C10F1"/>
    <w:rsid w:val="003C15E8"/>
    <w:rsid w:val="003C40F5"/>
    <w:rsid w:val="003C56CE"/>
    <w:rsid w:val="003C5B47"/>
    <w:rsid w:val="003C673A"/>
    <w:rsid w:val="003D1F9B"/>
    <w:rsid w:val="003D29A4"/>
    <w:rsid w:val="003D3190"/>
    <w:rsid w:val="003D5488"/>
    <w:rsid w:val="003D6113"/>
    <w:rsid w:val="003D6B0F"/>
    <w:rsid w:val="003E0720"/>
    <w:rsid w:val="003E09E3"/>
    <w:rsid w:val="003E4537"/>
    <w:rsid w:val="003E4B28"/>
    <w:rsid w:val="003E5129"/>
    <w:rsid w:val="003E5499"/>
    <w:rsid w:val="003E672B"/>
    <w:rsid w:val="003E6FC8"/>
    <w:rsid w:val="003F0BCE"/>
    <w:rsid w:val="003F1759"/>
    <w:rsid w:val="003F1CAC"/>
    <w:rsid w:val="003F223F"/>
    <w:rsid w:val="003F400A"/>
    <w:rsid w:val="003F4A92"/>
    <w:rsid w:val="003F53A7"/>
    <w:rsid w:val="003F6520"/>
    <w:rsid w:val="003F6DD9"/>
    <w:rsid w:val="003F70DC"/>
    <w:rsid w:val="003F7910"/>
    <w:rsid w:val="003F7FAC"/>
    <w:rsid w:val="00400324"/>
    <w:rsid w:val="00401E0C"/>
    <w:rsid w:val="004047DB"/>
    <w:rsid w:val="00404B6F"/>
    <w:rsid w:val="00406177"/>
    <w:rsid w:val="00410C42"/>
    <w:rsid w:val="00411219"/>
    <w:rsid w:val="00414047"/>
    <w:rsid w:val="00414FE3"/>
    <w:rsid w:val="00415117"/>
    <w:rsid w:val="0041574D"/>
    <w:rsid w:val="00417409"/>
    <w:rsid w:val="004203AC"/>
    <w:rsid w:val="004210E8"/>
    <w:rsid w:val="004236D8"/>
    <w:rsid w:val="00423717"/>
    <w:rsid w:val="00423B3F"/>
    <w:rsid w:val="00423FDC"/>
    <w:rsid w:val="0042648E"/>
    <w:rsid w:val="0042742F"/>
    <w:rsid w:val="00427648"/>
    <w:rsid w:val="00427CE0"/>
    <w:rsid w:val="00427E0D"/>
    <w:rsid w:val="00432927"/>
    <w:rsid w:val="004334B9"/>
    <w:rsid w:val="00434AE5"/>
    <w:rsid w:val="00434C27"/>
    <w:rsid w:val="00435EB3"/>
    <w:rsid w:val="00435F88"/>
    <w:rsid w:val="0043614D"/>
    <w:rsid w:val="00436AB9"/>
    <w:rsid w:val="00441E18"/>
    <w:rsid w:val="004429D9"/>
    <w:rsid w:val="004445E0"/>
    <w:rsid w:val="00446102"/>
    <w:rsid w:val="0044629A"/>
    <w:rsid w:val="00446536"/>
    <w:rsid w:val="004476A0"/>
    <w:rsid w:val="00447EF6"/>
    <w:rsid w:val="00450C30"/>
    <w:rsid w:val="00452D0B"/>
    <w:rsid w:val="00452DC0"/>
    <w:rsid w:val="0045520F"/>
    <w:rsid w:val="0045525C"/>
    <w:rsid w:val="00456155"/>
    <w:rsid w:val="00456458"/>
    <w:rsid w:val="00461173"/>
    <w:rsid w:val="00461948"/>
    <w:rsid w:val="00462EEB"/>
    <w:rsid w:val="0046400A"/>
    <w:rsid w:val="004644EA"/>
    <w:rsid w:val="00464CB7"/>
    <w:rsid w:val="004651B1"/>
    <w:rsid w:val="00467023"/>
    <w:rsid w:val="00470E12"/>
    <w:rsid w:val="00472CB5"/>
    <w:rsid w:val="00472FF0"/>
    <w:rsid w:val="00473191"/>
    <w:rsid w:val="0047443D"/>
    <w:rsid w:val="00476181"/>
    <w:rsid w:val="00476526"/>
    <w:rsid w:val="00481822"/>
    <w:rsid w:val="004837B8"/>
    <w:rsid w:val="00487B55"/>
    <w:rsid w:val="004907AC"/>
    <w:rsid w:val="00490812"/>
    <w:rsid w:val="00490E7F"/>
    <w:rsid w:val="00491FC7"/>
    <w:rsid w:val="00492382"/>
    <w:rsid w:val="004936D2"/>
    <w:rsid w:val="00493D12"/>
    <w:rsid w:val="00494815"/>
    <w:rsid w:val="004952D2"/>
    <w:rsid w:val="00497E9D"/>
    <w:rsid w:val="004A013F"/>
    <w:rsid w:val="004A0368"/>
    <w:rsid w:val="004A06D6"/>
    <w:rsid w:val="004A1ED3"/>
    <w:rsid w:val="004A213F"/>
    <w:rsid w:val="004A2AA9"/>
    <w:rsid w:val="004A450E"/>
    <w:rsid w:val="004A66EB"/>
    <w:rsid w:val="004A6780"/>
    <w:rsid w:val="004A6CF9"/>
    <w:rsid w:val="004A7B87"/>
    <w:rsid w:val="004B3EE3"/>
    <w:rsid w:val="004B4348"/>
    <w:rsid w:val="004B612D"/>
    <w:rsid w:val="004B688D"/>
    <w:rsid w:val="004B75C0"/>
    <w:rsid w:val="004C147F"/>
    <w:rsid w:val="004C365D"/>
    <w:rsid w:val="004C389A"/>
    <w:rsid w:val="004C3C5F"/>
    <w:rsid w:val="004C3E51"/>
    <w:rsid w:val="004C45B4"/>
    <w:rsid w:val="004C4764"/>
    <w:rsid w:val="004C48AB"/>
    <w:rsid w:val="004C5314"/>
    <w:rsid w:val="004C5E37"/>
    <w:rsid w:val="004C60A6"/>
    <w:rsid w:val="004C60BF"/>
    <w:rsid w:val="004C6B8C"/>
    <w:rsid w:val="004D0678"/>
    <w:rsid w:val="004D06AE"/>
    <w:rsid w:val="004D30BB"/>
    <w:rsid w:val="004D4816"/>
    <w:rsid w:val="004D4939"/>
    <w:rsid w:val="004D7D54"/>
    <w:rsid w:val="004E10BA"/>
    <w:rsid w:val="004E110F"/>
    <w:rsid w:val="004E1A75"/>
    <w:rsid w:val="004E1B8E"/>
    <w:rsid w:val="004E2A9F"/>
    <w:rsid w:val="004E30A7"/>
    <w:rsid w:val="004E3471"/>
    <w:rsid w:val="004E3741"/>
    <w:rsid w:val="004E564D"/>
    <w:rsid w:val="004E60E7"/>
    <w:rsid w:val="004E616C"/>
    <w:rsid w:val="004E6D48"/>
    <w:rsid w:val="004F0EBE"/>
    <w:rsid w:val="004F10AA"/>
    <w:rsid w:val="004F1B7D"/>
    <w:rsid w:val="004F2827"/>
    <w:rsid w:val="004F2A2D"/>
    <w:rsid w:val="004F2C09"/>
    <w:rsid w:val="004F325E"/>
    <w:rsid w:val="004F5BE4"/>
    <w:rsid w:val="004F6E54"/>
    <w:rsid w:val="004F77BC"/>
    <w:rsid w:val="00500952"/>
    <w:rsid w:val="00500BA2"/>
    <w:rsid w:val="00501096"/>
    <w:rsid w:val="00501408"/>
    <w:rsid w:val="00501A63"/>
    <w:rsid w:val="00502763"/>
    <w:rsid w:val="00502A81"/>
    <w:rsid w:val="005106FA"/>
    <w:rsid w:val="00510EE9"/>
    <w:rsid w:val="00511425"/>
    <w:rsid w:val="00516A12"/>
    <w:rsid w:val="0051715C"/>
    <w:rsid w:val="00521F47"/>
    <w:rsid w:val="0053318E"/>
    <w:rsid w:val="00534F38"/>
    <w:rsid w:val="00535AA1"/>
    <w:rsid w:val="005408B2"/>
    <w:rsid w:val="00540C46"/>
    <w:rsid w:val="0054282D"/>
    <w:rsid w:val="00543662"/>
    <w:rsid w:val="005446F9"/>
    <w:rsid w:val="00544E65"/>
    <w:rsid w:val="00545C73"/>
    <w:rsid w:val="005464BF"/>
    <w:rsid w:val="00547ED7"/>
    <w:rsid w:val="0055126E"/>
    <w:rsid w:val="00552530"/>
    <w:rsid w:val="005530F2"/>
    <w:rsid w:val="00553EB3"/>
    <w:rsid w:val="00554393"/>
    <w:rsid w:val="00554C6E"/>
    <w:rsid w:val="005554A9"/>
    <w:rsid w:val="00555B4F"/>
    <w:rsid w:val="00555E4F"/>
    <w:rsid w:val="005567BA"/>
    <w:rsid w:val="005569B9"/>
    <w:rsid w:val="00556C40"/>
    <w:rsid w:val="00563E89"/>
    <w:rsid w:val="00564463"/>
    <w:rsid w:val="0056644B"/>
    <w:rsid w:val="005664F4"/>
    <w:rsid w:val="00566633"/>
    <w:rsid w:val="00567803"/>
    <w:rsid w:val="00572083"/>
    <w:rsid w:val="00572C19"/>
    <w:rsid w:val="0057340D"/>
    <w:rsid w:val="005752A5"/>
    <w:rsid w:val="00580E47"/>
    <w:rsid w:val="00582CA4"/>
    <w:rsid w:val="00583F77"/>
    <w:rsid w:val="00584716"/>
    <w:rsid w:val="00587281"/>
    <w:rsid w:val="00590DEE"/>
    <w:rsid w:val="005919BF"/>
    <w:rsid w:val="00591D94"/>
    <w:rsid w:val="00594E0C"/>
    <w:rsid w:val="005953ED"/>
    <w:rsid w:val="00595D11"/>
    <w:rsid w:val="00596457"/>
    <w:rsid w:val="00596DDE"/>
    <w:rsid w:val="005971BE"/>
    <w:rsid w:val="00597785"/>
    <w:rsid w:val="005A0586"/>
    <w:rsid w:val="005A117F"/>
    <w:rsid w:val="005A1779"/>
    <w:rsid w:val="005A2145"/>
    <w:rsid w:val="005A2582"/>
    <w:rsid w:val="005A319C"/>
    <w:rsid w:val="005A44D2"/>
    <w:rsid w:val="005A5F92"/>
    <w:rsid w:val="005A67F4"/>
    <w:rsid w:val="005A6AF4"/>
    <w:rsid w:val="005A7E8E"/>
    <w:rsid w:val="005B099D"/>
    <w:rsid w:val="005B0C52"/>
    <w:rsid w:val="005B0F95"/>
    <w:rsid w:val="005B1319"/>
    <w:rsid w:val="005B1CC3"/>
    <w:rsid w:val="005B1EB6"/>
    <w:rsid w:val="005B25C1"/>
    <w:rsid w:val="005B48E3"/>
    <w:rsid w:val="005B59EF"/>
    <w:rsid w:val="005B646B"/>
    <w:rsid w:val="005B70C0"/>
    <w:rsid w:val="005B74B8"/>
    <w:rsid w:val="005B7A7A"/>
    <w:rsid w:val="005B7DA0"/>
    <w:rsid w:val="005B7E0B"/>
    <w:rsid w:val="005C082B"/>
    <w:rsid w:val="005C1685"/>
    <w:rsid w:val="005C29C6"/>
    <w:rsid w:val="005C3486"/>
    <w:rsid w:val="005C586F"/>
    <w:rsid w:val="005C5F3E"/>
    <w:rsid w:val="005C62B0"/>
    <w:rsid w:val="005D05E0"/>
    <w:rsid w:val="005D0EB3"/>
    <w:rsid w:val="005D1830"/>
    <w:rsid w:val="005D3B1E"/>
    <w:rsid w:val="005D4035"/>
    <w:rsid w:val="005D5E93"/>
    <w:rsid w:val="005D6443"/>
    <w:rsid w:val="005D65FE"/>
    <w:rsid w:val="005E0872"/>
    <w:rsid w:val="005E096A"/>
    <w:rsid w:val="005E0D3A"/>
    <w:rsid w:val="005E1E1B"/>
    <w:rsid w:val="005E509B"/>
    <w:rsid w:val="005E5AF8"/>
    <w:rsid w:val="005E656D"/>
    <w:rsid w:val="005E667F"/>
    <w:rsid w:val="005E6696"/>
    <w:rsid w:val="005E6AAB"/>
    <w:rsid w:val="005F0317"/>
    <w:rsid w:val="005F06FB"/>
    <w:rsid w:val="005F1D8E"/>
    <w:rsid w:val="005F2F22"/>
    <w:rsid w:val="005F30D2"/>
    <w:rsid w:val="005F3ECB"/>
    <w:rsid w:val="005F40DD"/>
    <w:rsid w:val="005F4B3D"/>
    <w:rsid w:val="005F4F52"/>
    <w:rsid w:val="005F543D"/>
    <w:rsid w:val="00601094"/>
    <w:rsid w:val="0060228C"/>
    <w:rsid w:val="0060252F"/>
    <w:rsid w:val="00603AD8"/>
    <w:rsid w:val="0060780A"/>
    <w:rsid w:val="00607F70"/>
    <w:rsid w:val="00607FD1"/>
    <w:rsid w:val="00611DB7"/>
    <w:rsid w:val="006127E6"/>
    <w:rsid w:val="00617931"/>
    <w:rsid w:val="00621403"/>
    <w:rsid w:val="00621E05"/>
    <w:rsid w:val="00625AD8"/>
    <w:rsid w:val="00626DD7"/>
    <w:rsid w:val="00626EC3"/>
    <w:rsid w:val="0063010B"/>
    <w:rsid w:val="00630F17"/>
    <w:rsid w:val="00632EAD"/>
    <w:rsid w:val="006331E8"/>
    <w:rsid w:val="00634EB2"/>
    <w:rsid w:val="00636D9D"/>
    <w:rsid w:val="00637B0E"/>
    <w:rsid w:val="0064068E"/>
    <w:rsid w:val="00642CDB"/>
    <w:rsid w:val="00643B71"/>
    <w:rsid w:val="00645027"/>
    <w:rsid w:val="006456B6"/>
    <w:rsid w:val="00646A70"/>
    <w:rsid w:val="006479D3"/>
    <w:rsid w:val="00650F45"/>
    <w:rsid w:val="0065115E"/>
    <w:rsid w:val="006539C0"/>
    <w:rsid w:val="00653AE2"/>
    <w:rsid w:val="006552DF"/>
    <w:rsid w:val="00655E09"/>
    <w:rsid w:val="00656E2D"/>
    <w:rsid w:val="00657BCB"/>
    <w:rsid w:val="006608BD"/>
    <w:rsid w:val="00661008"/>
    <w:rsid w:val="00661A9D"/>
    <w:rsid w:val="006666FD"/>
    <w:rsid w:val="006672F7"/>
    <w:rsid w:val="00667F8D"/>
    <w:rsid w:val="00672AD7"/>
    <w:rsid w:val="00673E4C"/>
    <w:rsid w:val="00676A6C"/>
    <w:rsid w:val="0067733B"/>
    <w:rsid w:val="0068048E"/>
    <w:rsid w:val="006818AD"/>
    <w:rsid w:val="00681F5F"/>
    <w:rsid w:val="00682EDC"/>
    <w:rsid w:val="006853E2"/>
    <w:rsid w:val="00687BC0"/>
    <w:rsid w:val="006908E3"/>
    <w:rsid w:val="00691425"/>
    <w:rsid w:val="00692427"/>
    <w:rsid w:val="00692B86"/>
    <w:rsid w:val="0069422E"/>
    <w:rsid w:val="0069531F"/>
    <w:rsid w:val="0069574A"/>
    <w:rsid w:val="00697258"/>
    <w:rsid w:val="006A08C9"/>
    <w:rsid w:val="006A2BA4"/>
    <w:rsid w:val="006A45A7"/>
    <w:rsid w:val="006A4AEA"/>
    <w:rsid w:val="006A6C5B"/>
    <w:rsid w:val="006A74A2"/>
    <w:rsid w:val="006B076F"/>
    <w:rsid w:val="006B0893"/>
    <w:rsid w:val="006B12AE"/>
    <w:rsid w:val="006B3225"/>
    <w:rsid w:val="006B48D1"/>
    <w:rsid w:val="006B5D0C"/>
    <w:rsid w:val="006B5FBD"/>
    <w:rsid w:val="006B6103"/>
    <w:rsid w:val="006C1149"/>
    <w:rsid w:val="006C2888"/>
    <w:rsid w:val="006C3016"/>
    <w:rsid w:val="006C30E8"/>
    <w:rsid w:val="006C4491"/>
    <w:rsid w:val="006C55EE"/>
    <w:rsid w:val="006C5D33"/>
    <w:rsid w:val="006D00E9"/>
    <w:rsid w:val="006D0AE3"/>
    <w:rsid w:val="006D1193"/>
    <w:rsid w:val="006D149F"/>
    <w:rsid w:val="006D238A"/>
    <w:rsid w:val="006D2ED2"/>
    <w:rsid w:val="006D4C93"/>
    <w:rsid w:val="006D4E36"/>
    <w:rsid w:val="006D5C33"/>
    <w:rsid w:val="006D61D0"/>
    <w:rsid w:val="006D6204"/>
    <w:rsid w:val="006D7BF2"/>
    <w:rsid w:val="006E0048"/>
    <w:rsid w:val="006E0339"/>
    <w:rsid w:val="006E0C3E"/>
    <w:rsid w:val="006E0C6A"/>
    <w:rsid w:val="006E1449"/>
    <w:rsid w:val="006E26C9"/>
    <w:rsid w:val="006E32BF"/>
    <w:rsid w:val="006E3EB6"/>
    <w:rsid w:val="006E40AE"/>
    <w:rsid w:val="006E5450"/>
    <w:rsid w:val="006E65A9"/>
    <w:rsid w:val="006E7149"/>
    <w:rsid w:val="006F0369"/>
    <w:rsid w:val="006F067F"/>
    <w:rsid w:val="006F0EE0"/>
    <w:rsid w:val="006F1006"/>
    <w:rsid w:val="006F1D21"/>
    <w:rsid w:val="006F2AEC"/>
    <w:rsid w:val="006F52C5"/>
    <w:rsid w:val="006F60C8"/>
    <w:rsid w:val="006F79DE"/>
    <w:rsid w:val="007006B9"/>
    <w:rsid w:val="00701A04"/>
    <w:rsid w:val="00703587"/>
    <w:rsid w:val="00704F58"/>
    <w:rsid w:val="007052F0"/>
    <w:rsid w:val="00705E5F"/>
    <w:rsid w:val="00706314"/>
    <w:rsid w:val="00706782"/>
    <w:rsid w:val="00706818"/>
    <w:rsid w:val="00706E53"/>
    <w:rsid w:val="00710D0F"/>
    <w:rsid w:val="0071166F"/>
    <w:rsid w:val="007147C8"/>
    <w:rsid w:val="0071561A"/>
    <w:rsid w:val="007163AD"/>
    <w:rsid w:val="0071716D"/>
    <w:rsid w:val="00717D6C"/>
    <w:rsid w:val="00720AC8"/>
    <w:rsid w:val="00723052"/>
    <w:rsid w:val="0072347C"/>
    <w:rsid w:val="00723BF5"/>
    <w:rsid w:val="00724FF6"/>
    <w:rsid w:val="007251A1"/>
    <w:rsid w:val="007256D9"/>
    <w:rsid w:val="00725D5D"/>
    <w:rsid w:val="00725EE6"/>
    <w:rsid w:val="00725F00"/>
    <w:rsid w:val="00731183"/>
    <w:rsid w:val="00731FD1"/>
    <w:rsid w:val="007321EF"/>
    <w:rsid w:val="00732854"/>
    <w:rsid w:val="007328B3"/>
    <w:rsid w:val="00734203"/>
    <w:rsid w:val="0073422B"/>
    <w:rsid w:val="00737C14"/>
    <w:rsid w:val="0074011E"/>
    <w:rsid w:val="00740B35"/>
    <w:rsid w:val="007411CA"/>
    <w:rsid w:val="00741721"/>
    <w:rsid w:val="00741D78"/>
    <w:rsid w:val="007432D3"/>
    <w:rsid w:val="00743822"/>
    <w:rsid w:val="0074406C"/>
    <w:rsid w:val="00744A6D"/>
    <w:rsid w:val="00745152"/>
    <w:rsid w:val="00745E07"/>
    <w:rsid w:val="00745E33"/>
    <w:rsid w:val="00746D8C"/>
    <w:rsid w:val="00747A9A"/>
    <w:rsid w:val="007514B4"/>
    <w:rsid w:val="00752C74"/>
    <w:rsid w:val="00753EFB"/>
    <w:rsid w:val="007550DD"/>
    <w:rsid w:val="00756261"/>
    <w:rsid w:val="007562C0"/>
    <w:rsid w:val="00757C2B"/>
    <w:rsid w:val="0076097C"/>
    <w:rsid w:val="00761052"/>
    <w:rsid w:val="007619CA"/>
    <w:rsid w:val="00762B39"/>
    <w:rsid w:val="00762F97"/>
    <w:rsid w:val="00763588"/>
    <w:rsid w:val="0076553C"/>
    <w:rsid w:val="00765915"/>
    <w:rsid w:val="00765EF9"/>
    <w:rsid w:val="00767266"/>
    <w:rsid w:val="007672F5"/>
    <w:rsid w:val="007700D6"/>
    <w:rsid w:val="007709CF"/>
    <w:rsid w:val="00770B3E"/>
    <w:rsid w:val="00770E92"/>
    <w:rsid w:val="00771D20"/>
    <w:rsid w:val="00773331"/>
    <w:rsid w:val="00773384"/>
    <w:rsid w:val="0077484E"/>
    <w:rsid w:val="00782268"/>
    <w:rsid w:val="00783A22"/>
    <w:rsid w:val="007842DA"/>
    <w:rsid w:val="0078481B"/>
    <w:rsid w:val="007857B4"/>
    <w:rsid w:val="00786491"/>
    <w:rsid w:val="007869A1"/>
    <w:rsid w:val="0079096C"/>
    <w:rsid w:val="00790BE0"/>
    <w:rsid w:val="00790FC7"/>
    <w:rsid w:val="00791D7D"/>
    <w:rsid w:val="00792657"/>
    <w:rsid w:val="007932EF"/>
    <w:rsid w:val="00793EA0"/>
    <w:rsid w:val="00793ECF"/>
    <w:rsid w:val="00793FFD"/>
    <w:rsid w:val="0079400E"/>
    <w:rsid w:val="0079425A"/>
    <w:rsid w:val="00794589"/>
    <w:rsid w:val="00795C4D"/>
    <w:rsid w:val="007A003E"/>
    <w:rsid w:val="007A0B31"/>
    <w:rsid w:val="007A44B1"/>
    <w:rsid w:val="007A61EE"/>
    <w:rsid w:val="007A6208"/>
    <w:rsid w:val="007A708E"/>
    <w:rsid w:val="007A70C4"/>
    <w:rsid w:val="007A73ED"/>
    <w:rsid w:val="007A7C65"/>
    <w:rsid w:val="007B01BD"/>
    <w:rsid w:val="007B06E4"/>
    <w:rsid w:val="007B0895"/>
    <w:rsid w:val="007B2A2C"/>
    <w:rsid w:val="007B2C1F"/>
    <w:rsid w:val="007B3134"/>
    <w:rsid w:val="007B3C36"/>
    <w:rsid w:val="007B6802"/>
    <w:rsid w:val="007B6BDE"/>
    <w:rsid w:val="007B725D"/>
    <w:rsid w:val="007B7707"/>
    <w:rsid w:val="007B7F09"/>
    <w:rsid w:val="007C02D1"/>
    <w:rsid w:val="007C0932"/>
    <w:rsid w:val="007C17CA"/>
    <w:rsid w:val="007C1948"/>
    <w:rsid w:val="007C5943"/>
    <w:rsid w:val="007C68F2"/>
    <w:rsid w:val="007C741E"/>
    <w:rsid w:val="007C76D2"/>
    <w:rsid w:val="007C7D5E"/>
    <w:rsid w:val="007D5291"/>
    <w:rsid w:val="007D538C"/>
    <w:rsid w:val="007D5E71"/>
    <w:rsid w:val="007D6076"/>
    <w:rsid w:val="007D6F89"/>
    <w:rsid w:val="007E05B0"/>
    <w:rsid w:val="007E3607"/>
    <w:rsid w:val="007E66A3"/>
    <w:rsid w:val="007E77E1"/>
    <w:rsid w:val="007F04A9"/>
    <w:rsid w:val="007F1332"/>
    <w:rsid w:val="007F1925"/>
    <w:rsid w:val="007F211E"/>
    <w:rsid w:val="007F44D2"/>
    <w:rsid w:val="007F5E56"/>
    <w:rsid w:val="007F6156"/>
    <w:rsid w:val="007F6D8B"/>
    <w:rsid w:val="008022C4"/>
    <w:rsid w:val="00803768"/>
    <w:rsid w:val="008046FF"/>
    <w:rsid w:val="00806F9B"/>
    <w:rsid w:val="0080746F"/>
    <w:rsid w:val="00811062"/>
    <w:rsid w:val="00811D85"/>
    <w:rsid w:val="008148E2"/>
    <w:rsid w:val="008176D9"/>
    <w:rsid w:val="008206E1"/>
    <w:rsid w:val="008228C8"/>
    <w:rsid w:val="00823ED2"/>
    <w:rsid w:val="00824ED4"/>
    <w:rsid w:val="00825F63"/>
    <w:rsid w:val="00830300"/>
    <w:rsid w:val="008313D8"/>
    <w:rsid w:val="00832250"/>
    <w:rsid w:val="00832DFF"/>
    <w:rsid w:val="008338C0"/>
    <w:rsid w:val="00835A7F"/>
    <w:rsid w:val="00837E7C"/>
    <w:rsid w:val="0084069E"/>
    <w:rsid w:val="00840DE5"/>
    <w:rsid w:val="00841BF7"/>
    <w:rsid w:val="00841F58"/>
    <w:rsid w:val="00843161"/>
    <w:rsid w:val="00843F99"/>
    <w:rsid w:val="00845D31"/>
    <w:rsid w:val="008472E3"/>
    <w:rsid w:val="008473DC"/>
    <w:rsid w:val="00847A0F"/>
    <w:rsid w:val="008547DE"/>
    <w:rsid w:val="00854928"/>
    <w:rsid w:val="00861DEF"/>
    <w:rsid w:val="008640B7"/>
    <w:rsid w:val="00864230"/>
    <w:rsid w:val="00864841"/>
    <w:rsid w:val="00867169"/>
    <w:rsid w:val="00874D22"/>
    <w:rsid w:val="0087507D"/>
    <w:rsid w:val="008750A5"/>
    <w:rsid w:val="0088038F"/>
    <w:rsid w:val="008814A7"/>
    <w:rsid w:val="00881516"/>
    <w:rsid w:val="008816CD"/>
    <w:rsid w:val="00881A2E"/>
    <w:rsid w:val="00881BED"/>
    <w:rsid w:val="008826CB"/>
    <w:rsid w:val="00883882"/>
    <w:rsid w:val="008849E7"/>
    <w:rsid w:val="00884A52"/>
    <w:rsid w:val="00885E7E"/>
    <w:rsid w:val="0088623E"/>
    <w:rsid w:val="008864B8"/>
    <w:rsid w:val="00886F0F"/>
    <w:rsid w:val="00891D44"/>
    <w:rsid w:val="00891D47"/>
    <w:rsid w:val="00893336"/>
    <w:rsid w:val="0089336B"/>
    <w:rsid w:val="00893412"/>
    <w:rsid w:val="008934AC"/>
    <w:rsid w:val="0089365B"/>
    <w:rsid w:val="00894538"/>
    <w:rsid w:val="008A0905"/>
    <w:rsid w:val="008A0CD7"/>
    <w:rsid w:val="008A1B3F"/>
    <w:rsid w:val="008A2914"/>
    <w:rsid w:val="008A36CC"/>
    <w:rsid w:val="008A3DC5"/>
    <w:rsid w:val="008A71F0"/>
    <w:rsid w:val="008B08D2"/>
    <w:rsid w:val="008B0CC7"/>
    <w:rsid w:val="008B1B9F"/>
    <w:rsid w:val="008B4D84"/>
    <w:rsid w:val="008C041B"/>
    <w:rsid w:val="008C15A3"/>
    <w:rsid w:val="008C1B22"/>
    <w:rsid w:val="008C1EF7"/>
    <w:rsid w:val="008C5901"/>
    <w:rsid w:val="008C5BE4"/>
    <w:rsid w:val="008C5CEC"/>
    <w:rsid w:val="008C6A7A"/>
    <w:rsid w:val="008C7670"/>
    <w:rsid w:val="008D07BC"/>
    <w:rsid w:val="008D1826"/>
    <w:rsid w:val="008D2F98"/>
    <w:rsid w:val="008D515B"/>
    <w:rsid w:val="008D5C64"/>
    <w:rsid w:val="008D7693"/>
    <w:rsid w:val="008D7FA5"/>
    <w:rsid w:val="008E1BE9"/>
    <w:rsid w:val="008E27E9"/>
    <w:rsid w:val="008E32BB"/>
    <w:rsid w:val="008E3481"/>
    <w:rsid w:val="008E3AE2"/>
    <w:rsid w:val="008E4C54"/>
    <w:rsid w:val="008E4D8E"/>
    <w:rsid w:val="008E5B66"/>
    <w:rsid w:val="008E6B4E"/>
    <w:rsid w:val="008E6C62"/>
    <w:rsid w:val="008E7D96"/>
    <w:rsid w:val="008F0152"/>
    <w:rsid w:val="008F097C"/>
    <w:rsid w:val="008F1128"/>
    <w:rsid w:val="008F52D0"/>
    <w:rsid w:val="008F579E"/>
    <w:rsid w:val="008F5E3D"/>
    <w:rsid w:val="00900443"/>
    <w:rsid w:val="00902FC1"/>
    <w:rsid w:val="009047ED"/>
    <w:rsid w:val="009075B7"/>
    <w:rsid w:val="00910A6D"/>
    <w:rsid w:val="00911509"/>
    <w:rsid w:val="00914377"/>
    <w:rsid w:val="009145D2"/>
    <w:rsid w:val="009147F5"/>
    <w:rsid w:val="00915796"/>
    <w:rsid w:val="00915CEE"/>
    <w:rsid w:val="00917555"/>
    <w:rsid w:val="0091788A"/>
    <w:rsid w:val="00920D23"/>
    <w:rsid w:val="00922566"/>
    <w:rsid w:val="00923176"/>
    <w:rsid w:val="00925733"/>
    <w:rsid w:val="009267A0"/>
    <w:rsid w:val="0092728A"/>
    <w:rsid w:val="00927B3B"/>
    <w:rsid w:val="00930F18"/>
    <w:rsid w:val="0093182B"/>
    <w:rsid w:val="00931CE2"/>
    <w:rsid w:val="00932414"/>
    <w:rsid w:val="00932947"/>
    <w:rsid w:val="0093457D"/>
    <w:rsid w:val="00937494"/>
    <w:rsid w:val="00940F7B"/>
    <w:rsid w:val="00941348"/>
    <w:rsid w:val="00941C42"/>
    <w:rsid w:val="00942801"/>
    <w:rsid w:val="00942D0E"/>
    <w:rsid w:val="0094503B"/>
    <w:rsid w:val="0094657C"/>
    <w:rsid w:val="0094660F"/>
    <w:rsid w:val="0094774E"/>
    <w:rsid w:val="009522A4"/>
    <w:rsid w:val="00953187"/>
    <w:rsid w:val="00954D59"/>
    <w:rsid w:val="009552AE"/>
    <w:rsid w:val="0095781F"/>
    <w:rsid w:val="00957921"/>
    <w:rsid w:val="009602BE"/>
    <w:rsid w:val="009612CF"/>
    <w:rsid w:val="009617C1"/>
    <w:rsid w:val="00961C1D"/>
    <w:rsid w:val="00961F10"/>
    <w:rsid w:val="009643E5"/>
    <w:rsid w:val="009646AD"/>
    <w:rsid w:val="00964C5B"/>
    <w:rsid w:val="009654F3"/>
    <w:rsid w:val="00965B1F"/>
    <w:rsid w:val="009711DD"/>
    <w:rsid w:val="00972C9D"/>
    <w:rsid w:val="00975FE3"/>
    <w:rsid w:val="0097687F"/>
    <w:rsid w:val="00977126"/>
    <w:rsid w:val="00977664"/>
    <w:rsid w:val="00977865"/>
    <w:rsid w:val="00980B24"/>
    <w:rsid w:val="00981DBA"/>
    <w:rsid w:val="0098310A"/>
    <w:rsid w:val="00983B1E"/>
    <w:rsid w:val="00983DF8"/>
    <w:rsid w:val="00983FAD"/>
    <w:rsid w:val="00984977"/>
    <w:rsid w:val="009849F4"/>
    <w:rsid w:val="00985688"/>
    <w:rsid w:val="00987131"/>
    <w:rsid w:val="0099199C"/>
    <w:rsid w:val="00991D3D"/>
    <w:rsid w:val="00992C01"/>
    <w:rsid w:val="00992F93"/>
    <w:rsid w:val="0099500D"/>
    <w:rsid w:val="009952B4"/>
    <w:rsid w:val="00995FA9"/>
    <w:rsid w:val="00996200"/>
    <w:rsid w:val="00997C4D"/>
    <w:rsid w:val="009A1419"/>
    <w:rsid w:val="009A1C30"/>
    <w:rsid w:val="009A28CD"/>
    <w:rsid w:val="009A34DF"/>
    <w:rsid w:val="009A3B9B"/>
    <w:rsid w:val="009A78CF"/>
    <w:rsid w:val="009B18CD"/>
    <w:rsid w:val="009B2732"/>
    <w:rsid w:val="009B48C2"/>
    <w:rsid w:val="009B57A7"/>
    <w:rsid w:val="009B7914"/>
    <w:rsid w:val="009B7E48"/>
    <w:rsid w:val="009C1661"/>
    <w:rsid w:val="009C2CD5"/>
    <w:rsid w:val="009C4715"/>
    <w:rsid w:val="009C494B"/>
    <w:rsid w:val="009C4EFC"/>
    <w:rsid w:val="009D14E3"/>
    <w:rsid w:val="009D1A5D"/>
    <w:rsid w:val="009D2D6C"/>
    <w:rsid w:val="009D34A7"/>
    <w:rsid w:val="009D5B5F"/>
    <w:rsid w:val="009D67AC"/>
    <w:rsid w:val="009D7ECF"/>
    <w:rsid w:val="009E0055"/>
    <w:rsid w:val="009E1A6D"/>
    <w:rsid w:val="009E1FAC"/>
    <w:rsid w:val="009E20D2"/>
    <w:rsid w:val="009E2AA3"/>
    <w:rsid w:val="009E37F7"/>
    <w:rsid w:val="009E5023"/>
    <w:rsid w:val="009E5EFF"/>
    <w:rsid w:val="009E791D"/>
    <w:rsid w:val="009F05C5"/>
    <w:rsid w:val="009F2D39"/>
    <w:rsid w:val="009F2FE0"/>
    <w:rsid w:val="009F3D28"/>
    <w:rsid w:val="009F4223"/>
    <w:rsid w:val="009F42AB"/>
    <w:rsid w:val="009F49E0"/>
    <w:rsid w:val="009F7E6F"/>
    <w:rsid w:val="009F7F47"/>
    <w:rsid w:val="00A03D72"/>
    <w:rsid w:val="00A0423D"/>
    <w:rsid w:val="00A065D4"/>
    <w:rsid w:val="00A06F00"/>
    <w:rsid w:val="00A1079C"/>
    <w:rsid w:val="00A14CD1"/>
    <w:rsid w:val="00A1609F"/>
    <w:rsid w:val="00A174E3"/>
    <w:rsid w:val="00A202D0"/>
    <w:rsid w:val="00A21545"/>
    <w:rsid w:val="00A21A13"/>
    <w:rsid w:val="00A21F3D"/>
    <w:rsid w:val="00A236C3"/>
    <w:rsid w:val="00A24DEF"/>
    <w:rsid w:val="00A24F2B"/>
    <w:rsid w:val="00A255F0"/>
    <w:rsid w:val="00A25C9B"/>
    <w:rsid w:val="00A267FA"/>
    <w:rsid w:val="00A30849"/>
    <w:rsid w:val="00A314E8"/>
    <w:rsid w:val="00A3182E"/>
    <w:rsid w:val="00A32938"/>
    <w:rsid w:val="00A32999"/>
    <w:rsid w:val="00A330A5"/>
    <w:rsid w:val="00A33FA2"/>
    <w:rsid w:val="00A34656"/>
    <w:rsid w:val="00A379C6"/>
    <w:rsid w:val="00A37E58"/>
    <w:rsid w:val="00A4758D"/>
    <w:rsid w:val="00A50A5C"/>
    <w:rsid w:val="00A55679"/>
    <w:rsid w:val="00A55C42"/>
    <w:rsid w:val="00A57C27"/>
    <w:rsid w:val="00A57CC9"/>
    <w:rsid w:val="00A624E7"/>
    <w:rsid w:val="00A6382E"/>
    <w:rsid w:val="00A63CF3"/>
    <w:rsid w:val="00A66993"/>
    <w:rsid w:val="00A66BA3"/>
    <w:rsid w:val="00A66BE6"/>
    <w:rsid w:val="00A67FF5"/>
    <w:rsid w:val="00A704EE"/>
    <w:rsid w:val="00A71AD0"/>
    <w:rsid w:val="00A75159"/>
    <w:rsid w:val="00A76B44"/>
    <w:rsid w:val="00A77910"/>
    <w:rsid w:val="00A77A22"/>
    <w:rsid w:val="00A81BAC"/>
    <w:rsid w:val="00A81E6F"/>
    <w:rsid w:val="00A828DE"/>
    <w:rsid w:val="00A84653"/>
    <w:rsid w:val="00A84B72"/>
    <w:rsid w:val="00A8625B"/>
    <w:rsid w:val="00A86B72"/>
    <w:rsid w:val="00A90617"/>
    <w:rsid w:val="00A91E05"/>
    <w:rsid w:val="00A9429D"/>
    <w:rsid w:val="00A94640"/>
    <w:rsid w:val="00A95443"/>
    <w:rsid w:val="00AA0CFF"/>
    <w:rsid w:val="00AA195D"/>
    <w:rsid w:val="00AA29BF"/>
    <w:rsid w:val="00AA2E90"/>
    <w:rsid w:val="00AA6261"/>
    <w:rsid w:val="00AA7C76"/>
    <w:rsid w:val="00AA7D2A"/>
    <w:rsid w:val="00AB06B3"/>
    <w:rsid w:val="00AB0D46"/>
    <w:rsid w:val="00AB2B35"/>
    <w:rsid w:val="00AB54AD"/>
    <w:rsid w:val="00AB60AD"/>
    <w:rsid w:val="00AC0ACF"/>
    <w:rsid w:val="00AC23C5"/>
    <w:rsid w:val="00AC398D"/>
    <w:rsid w:val="00AC4A5D"/>
    <w:rsid w:val="00AC4AD9"/>
    <w:rsid w:val="00AC5F95"/>
    <w:rsid w:val="00AC737E"/>
    <w:rsid w:val="00AD14FC"/>
    <w:rsid w:val="00AD18E3"/>
    <w:rsid w:val="00AD2290"/>
    <w:rsid w:val="00AD357C"/>
    <w:rsid w:val="00AD4319"/>
    <w:rsid w:val="00AD5711"/>
    <w:rsid w:val="00AD6643"/>
    <w:rsid w:val="00AE05F0"/>
    <w:rsid w:val="00AE1B15"/>
    <w:rsid w:val="00AE51ED"/>
    <w:rsid w:val="00AE5F09"/>
    <w:rsid w:val="00AE60F9"/>
    <w:rsid w:val="00AE64E8"/>
    <w:rsid w:val="00AE72B6"/>
    <w:rsid w:val="00AF035E"/>
    <w:rsid w:val="00AF0D49"/>
    <w:rsid w:val="00AF17D9"/>
    <w:rsid w:val="00AF59A7"/>
    <w:rsid w:val="00AF636A"/>
    <w:rsid w:val="00AF6B1E"/>
    <w:rsid w:val="00AF6BC2"/>
    <w:rsid w:val="00AF7783"/>
    <w:rsid w:val="00AF7D71"/>
    <w:rsid w:val="00B010EB"/>
    <w:rsid w:val="00B0315E"/>
    <w:rsid w:val="00B04226"/>
    <w:rsid w:val="00B05341"/>
    <w:rsid w:val="00B06966"/>
    <w:rsid w:val="00B06B6E"/>
    <w:rsid w:val="00B12DE7"/>
    <w:rsid w:val="00B130D8"/>
    <w:rsid w:val="00B157CF"/>
    <w:rsid w:val="00B162E4"/>
    <w:rsid w:val="00B1729B"/>
    <w:rsid w:val="00B1742D"/>
    <w:rsid w:val="00B17911"/>
    <w:rsid w:val="00B20361"/>
    <w:rsid w:val="00B205D9"/>
    <w:rsid w:val="00B2111D"/>
    <w:rsid w:val="00B22DA5"/>
    <w:rsid w:val="00B26271"/>
    <w:rsid w:val="00B27E5F"/>
    <w:rsid w:val="00B3206C"/>
    <w:rsid w:val="00B3343E"/>
    <w:rsid w:val="00B3370D"/>
    <w:rsid w:val="00B33E75"/>
    <w:rsid w:val="00B36F15"/>
    <w:rsid w:val="00B372E6"/>
    <w:rsid w:val="00B40D53"/>
    <w:rsid w:val="00B4245A"/>
    <w:rsid w:val="00B4263E"/>
    <w:rsid w:val="00B42B5B"/>
    <w:rsid w:val="00B430E5"/>
    <w:rsid w:val="00B443DC"/>
    <w:rsid w:val="00B44CF7"/>
    <w:rsid w:val="00B45266"/>
    <w:rsid w:val="00B46050"/>
    <w:rsid w:val="00B5014A"/>
    <w:rsid w:val="00B50C3C"/>
    <w:rsid w:val="00B51870"/>
    <w:rsid w:val="00B52BDC"/>
    <w:rsid w:val="00B52CF1"/>
    <w:rsid w:val="00B52F7F"/>
    <w:rsid w:val="00B540DE"/>
    <w:rsid w:val="00B54F52"/>
    <w:rsid w:val="00B552B5"/>
    <w:rsid w:val="00B55A2D"/>
    <w:rsid w:val="00B60219"/>
    <w:rsid w:val="00B606D5"/>
    <w:rsid w:val="00B626FC"/>
    <w:rsid w:val="00B62A44"/>
    <w:rsid w:val="00B63277"/>
    <w:rsid w:val="00B6487C"/>
    <w:rsid w:val="00B64E94"/>
    <w:rsid w:val="00B6562D"/>
    <w:rsid w:val="00B65732"/>
    <w:rsid w:val="00B66CC1"/>
    <w:rsid w:val="00B67344"/>
    <w:rsid w:val="00B700F8"/>
    <w:rsid w:val="00B72374"/>
    <w:rsid w:val="00B72884"/>
    <w:rsid w:val="00B7335E"/>
    <w:rsid w:val="00B76BAF"/>
    <w:rsid w:val="00B771FE"/>
    <w:rsid w:val="00B80811"/>
    <w:rsid w:val="00B8109F"/>
    <w:rsid w:val="00B82DC9"/>
    <w:rsid w:val="00B85F4E"/>
    <w:rsid w:val="00B86FA7"/>
    <w:rsid w:val="00B87705"/>
    <w:rsid w:val="00B87B68"/>
    <w:rsid w:val="00B907A1"/>
    <w:rsid w:val="00B92E74"/>
    <w:rsid w:val="00B953D4"/>
    <w:rsid w:val="00B96484"/>
    <w:rsid w:val="00BA2681"/>
    <w:rsid w:val="00BA43A2"/>
    <w:rsid w:val="00BA5C2F"/>
    <w:rsid w:val="00BA64E2"/>
    <w:rsid w:val="00BA6519"/>
    <w:rsid w:val="00BA6A99"/>
    <w:rsid w:val="00BA7776"/>
    <w:rsid w:val="00BB0C33"/>
    <w:rsid w:val="00BB1189"/>
    <w:rsid w:val="00BB1273"/>
    <w:rsid w:val="00BB1AB1"/>
    <w:rsid w:val="00BB2353"/>
    <w:rsid w:val="00BB3D3B"/>
    <w:rsid w:val="00BB60D0"/>
    <w:rsid w:val="00BC06CF"/>
    <w:rsid w:val="00BC4B4E"/>
    <w:rsid w:val="00BC4EDB"/>
    <w:rsid w:val="00BC71C4"/>
    <w:rsid w:val="00BC7E34"/>
    <w:rsid w:val="00BD0605"/>
    <w:rsid w:val="00BD0688"/>
    <w:rsid w:val="00BD49D6"/>
    <w:rsid w:val="00BD4E44"/>
    <w:rsid w:val="00BE29E0"/>
    <w:rsid w:val="00BE308A"/>
    <w:rsid w:val="00BE4BD3"/>
    <w:rsid w:val="00BE50E0"/>
    <w:rsid w:val="00BE71E4"/>
    <w:rsid w:val="00BE732C"/>
    <w:rsid w:val="00BF0AE3"/>
    <w:rsid w:val="00BF0B90"/>
    <w:rsid w:val="00BF0DF1"/>
    <w:rsid w:val="00BF1C1A"/>
    <w:rsid w:val="00BF22A6"/>
    <w:rsid w:val="00BF24CB"/>
    <w:rsid w:val="00BF3F6E"/>
    <w:rsid w:val="00BF4B0A"/>
    <w:rsid w:val="00BF69EF"/>
    <w:rsid w:val="00C00918"/>
    <w:rsid w:val="00C00C09"/>
    <w:rsid w:val="00C041F5"/>
    <w:rsid w:val="00C04763"/>
    <w:rsid w:val="00C05640"/>
    <w:rsid w:val="00C0654A"/>
    <w:rsid w:val="00C06CD3"/>
    <w:rsid w:val="00C0779E"/>
    <w:rsid w:val="00C07DFF"/>
    <w:rsid w:val="00C10465"/>
    <w:rsid w:val="00C10D53"/>
    <w:rsid w:val="00C117E8"/>
    <w:rsid w:val="00C11E95"/>
    <w:rsid w:val="00C1216D"/>
    <w:rsid w:val="00C12221"/>
    <w:rsid w:val="00C12301"/>
    <w:rsid w:val="00C1498C"/>
    <w:rsid w:val="00C1512E"/>
    <w:rsid w:val="00C166E6"/>
    <w:rsid w:val="00C20500"/>
    <w:rsid w:val="00C223ED"/>
    <w:rsid w:val="00C22DD1"/>
    <w:rsid w:val="00C23652"/>
    <w:rsid w:val="00C23CEA"/>
    <w:rsid w:val="00C2680F"/>
    <w:rsid w:val="00C30BAF"/>
    <w:rsid w:val="00C311BF"/>
    <w:rsid w:val="00C33361"/>
    <w:rsid w:val="00C333A1"/>
    <w:rsid w:val="00C339D9"/>
    <w:rsid w:val="00C34385"/>
    <w:rsid w:val="00C379A5"/>
    <w:rsid w:val="00C404FA"/>
    <w:rsid w:val="00C4561B"/>
    <w:rsid w:val="00C46DC3"/>
    <w:rsid w:val="00C54208"/>
    <w:rsid w:val="00C54B2A"/>
    <w:rsid w:val="00C55A57"/>
    <w:rsid w:val="00C607AE"/>
    <w:rsid w:val="00C60838"/>
    <w:rsid w:val="00C60AB2"/>
    <w:rsid w:val="00C62811"/>
    <w:rsid w:val="00C63012"/>
    <w:rsid w:val="00C64757"/>
    <w:rsid w:val="00C652BF"/>
    <w:rsid w:val="00C66DBD"/>
    <w:rsid w:val="00C70040"/>
    <w:rsid w:val="00C72991"/>
    <w:rsid w:val="00C72A5A"/>
    <w:rsid w:val="00C762A4"/>
    <w:rsid w:val="00C76932"/>
    <w:rsid w:val="00C76AC0"/>
    <w:rsid w:val="00C77A30"/>
    <w:rsid w:val="00C77F8C"/>
    <w:rsid w:val="00C8031E"/>
    <w:rsid w:val="00C81082"/>
    <w:rsid w:val="00C816D9"/>
    <w:rsid w:val="00C827C1"/>
    <w:rsid w:val="00C8321A"/>
    <w:rsid w:val="00C847FB"/>
    <w:rsid w:val="00C90423"/>
    <w:rsid w:val="00C91C56"/>
    <w:rsid w:val="00C91DB7"/>
    <w:rsid w:val="00C92472"/>
    <w:rsid w:val="00C93627"/>
    <w:rsid w:val="00C93A80"/>
    <w:rsid w:val="00C94EA5"/>
    <w:rsid w:val="00C953F8"/>
    <w:rsid w:val="00C96558"/>
    <w:rsid w:val="00CA17C4"/>
    <w:rsid w:val="00CA194B"/>
    <w:rsid w:val="00CA28A4"/>
    <w:rsid w:val="00CA2D9D"/>
    <w:rsid w:val="00CA348E"/>
    <w:rsid w:val="00CA5A49"/>
    <w:rsid w:val="00CA6F19"/>
    <w:rsid w:val="00CB1B19"/>
    <w:rsid w:val="00CB2B50"/>
    <w:rsid w:val="00CB2D0D"/>
    <w:rsid w:val="00CB46AD"/>
    <w:rsid w:val="00CB4E25"/>
    <w:rsid w:val="00CB7D80"/>
    <w:rsid w:val="00CC19EC"/>
    <w:rsid w:val="00CC1F42"/>
    <w:rsid w:val="00CC2522"/>
    <w:rsid w:val="00CC25F6"/>
    <w:rsid w:val="00CC2F09"/>
    <w:rsid w:val="00CC4526"/>
    <w:rsid w:val="00CC4E70"/>
    <w:rsid w:val="00CC6780"/>
    <w:rsid w:val="00CC6EA3"/>
    <w:rsid w:val="00CC73A2"/>
    <w:rsid w:val="00CD04CB"/>
    <w:rsid w:val="00CD093F"/>
    <w:rsid w:val="00CD16A7"/>
    <w:rsid w:val="00CD193F"/>
    <w:rsid w:val="00CD19D7"/>
    <w:rsid w:val="00CD2487"/>
    <w:rsid w:val="00CD3080"/>
    <w:rsid w:val="00CE05DC"/>
    <w:rsid w:val="00CE21F1"/>
    <w:rsid w:val="00CE2AAF"/>
    <w:rsid w:val="00CE3155"/>
    <w:rsid w:val="00CF2275"/>
    <w:rsid w:val="00CF31A4"/>
    <w:rsid w:val="00CF5210"/>
    <w:rsid w:val="00CF53D9"/>
    <w:rsid w:val="00CF59C7"/>
    <w:rsid w:val="00CF5CF4"/>
    <w:rsid w:val="00CF6969"/>
    <w:rsid w:val="00CF6F33"/>
    <w:rsid w:val="00CF7209"/>
    <w:rsid w:val="00D019DF"/>
    <w:rsid w:val="00D01B63"/>
    <w:rsid w:val="00D02309"/>
    <w:rsid w:val="00D02EBB"/>
    <w:rsid w:val="00D0355D"/>
    <w:rsid w:val="00D03804"/>
    <w:rsid w:val="00D03ABC"/>
    <w:rsid w:val="00D042DD"/>
    <w:rsid w:val="00D04B64"/>
    <w:rsid w:val="00D05436"/>
    <w:rsid w:val="00D058C7"/>
    <w:rsid w:val="00D05F2E"/>
    <w:rsid w:val="00D06DB7"/>
    <w:rsid w:val="00D076D0"/>
    <w:rsid w:val="00D0779C"/>
    <w:rsid w:val="00D10CED"/>
    <w:rsid w:val="00D10D95"/>
    <w:rsid w:val="00D11395"/>
    <w:rsid w:val="00D116CB"/>
    <w:rsid w:val="00D121B9"/>
    <w:rsid w:val="00D1386A"/>
    <w:rsid w:val="00D13972"/>
    <w:rsid w:val="00D14065"/>
    <w:rsid w:val="00D158B1"/>
    <w:rsid w:val="00D169F1"/>
    <w:rsid w:val="00D17A08"/>
    <w:rsid w:val="00D20381"/>
    <w:rsid w:val="00D2164D"/>
    <w:rsid w:val="00D22018"/>
    <w:rsid w:val="00D24642"/>
    <w:rsid w:val="00D25161"/>
    <w:rsid w:val="00D25B69"/>
    <w:rsid w:val="00D26006"/>
    <w:rsid w:val="00D3002E"/>
    <w:rsid w:val="00D3127C"/>
    <w:rsid w:val="00D35546"/>
    <w:rsid w:val="00D35B36"/>
    <w:rsid w:val="00D36561"/>
    <w:rsid w:val="00D3660C"/>
    <w:rsid w:val="00D3750C"/>
    <w:rsid w:val="00D40421"/>
    <w:rsid w:val="00D42AEB"/>
    <w:rsid w:val="00D44333"/>
    <w:rsid w:val="00D461D2"/>
    <w:rsid w:val="00D46412"/>
    <w:rsid w:val="00D468A8"/>
    <w:rsid w:val="00D5097B"/>
    <w:rsid w:val="00D511FE"/>
    <w:rsid w:val="00D51917"/>
    <w:rsid w:val="00D52831"/>
    <w:rsid w:val="00D52AC1"/>
    <w:rsid w:val="00D53877"/>
    <w:rsid w:val="00D54427"/>
    <w:rsid w:val="00D54FD3"/>
    <w:rsid w:val="00D5614A"/>
    <w:rsid w:val="00D56190"/>
    <w:rsid w:val="00D571DB"/>
    <w:rsid w:val="00D572EB"/>
    <w:rsid w:val="00D574AF"/>
    <w:rsid w:val="00D61E52"/>
    <w:rsid w:val="00D62D85"/>
    <w:rsid w:val="00D63099"/>
    <w:rsid w:val="00D64217"/>
    <w:rsid w:val="00D64683"/>
    <w:rsid w:val="00D64A25"/>
    <w:rsid w:val="00D66BB6"/>
    <w:rsid w:val="00D66E93"/>
    <w:rsid w:val="00D70CE8"/>
    <w:rsid w:val="00D725C1"/>
    <w:rsid w:val="00D72C40"/>
    <w:rsid w:val="00D73731"/>
    <w:rsid w:val="00D7475F"/>
    <w:rsid w:val="00D76E0D"/>
    <w:rsid w:val="00D81D1A"/>
    <w:rsid w:val="00D82040"/>
    <w:rsid w:val="00D82825"/>
    <w:rsid w:val="00D839E3"/>
    <w:rsid w:val="00D83B51"/>
    <w:rsid w:val="00D84DFC"/>
    <w:rsid w:val="00D850ED"/>
    <w:rsid w:val="00D85CB4"/>
    <w:rsid w:val="00D860B0"/>
    <w:rsid w:val="00D861BE"/>
    <w:rsid w:val="00D875FA"/>
    <w:rsid w:val="00D87933"/>
    <w:rsid w:val="00D91D8B"/>
    <w:rsid w:val="00D921D4"/>
    <w:rsid w:val="00D93936"/>
    <w:rsid w:val="00D969D3"/>
    <w:rsid w:val="00D9786A"/>
    <w:rsid w:val="00DA497A"/>
    <w:rsid w:val="00DA6CFC"/>
    <w:rsid w:val="00DA76BB"/>
    <w:rsid w:val="00DA7A79"/>
    <w:rsid w:val="00DB178A"/>
    <w:rsid w:val="00DB18D3"/>
    <w:rsid w:val="00DB2BAA"/>
    <w:rsid w:val="00DB3208"/>
    <w:rsid w:val="00DB7984"/>
    <w:rsid w:val="00DC3093"/>
    <w:rsid w:val="00DC4D50"/>
    <w:rsid w:val="00DC5526"/>
    <w:rsid w:val="00DC5773"/>
    <w:rsid w:val="00DC7018"/>
    <w:rsid w:val="00DC7201"/>
    <w:rsid w:val="00DD1D42"/>
    <w:rsid w:val="00DD34E8"/>
    <w:rsid w:val="00DD3E49"/>
    <w:rsid w:val="00DE0214"/>
    <w:rsid w:val="00DE0B55"/>
    <w:rsid w:val="00DE0FC4"/>
    <w:rsid w:val="00DE2537"/>
    <w:rsid w:val="00DE56E2"/>
    <w:rsid w:val="00DE6776"/>
    <w:rsid w:val="00DE7A77"/>
    <w:rsid w:val="00DF2166"/>
    <w:rsid w:val="00DF3B17"/>
    <w:rsid w:val="00DF3F39"/>
    <w:rsid w:val="00DF44F3"/>
    <w:rsid w:val="00DF557A"/>
    <w:rsid w:val="00E00014"/>
    <w:rsid w:val="00E00B87"/>
    <w:rsid w:val="00E02994"/>
    <w:rsid w:val="00E03A85"/>
    <w:rsid w:val="00E042B8"/>
    <w:rsid w:val="00E04685"/>
    <w:rsid w:val="00E0783D"/>
    <w:rsid w:val="00E10A71"/>
    <w:rsid w:val="00E12B19"/>
    <w:rsid w:val="00E1388F"/>
    <w:rsid w:val="00E14194"/>
    <w:rsid w:val="00E17DA2"/>
    <w:rsid w:val="00E23353"/>
    <w:rsid w:val="00E24B6C"/>
    <w:rsid w:val="00E253E3"/>
    <w:rsid w:val="00E27B55"/>
    <w:rsid w:val="00E303D5"/>
    <w:rsid w:val="00E30E1C"/>
    <w:rsid w:val="00E351C6"/>
    <w:rsid w:val="00E37429"/>
    <w:rsid w:val="00E4222F"/>
    <w:rsid w:val="00E436E6"/>
    <w:rsid w:val="00E43712"/>
    <w:rsid w:val="00E43DFD"/>
    <w:rsid w:val="00E43E06"/>
    <w:rsid w:val="00E44E8C"/>
    <w:rsid w:val="00E45367"/>
    <w:rsid w:val="00E456DF"/>
    <w:rsid w:val="00E462F6"/>
    <w:rsid w:val="00E4710F"/>
    <w:rsid w:val="00E47834"/>
    <w:rsid w:val="00E518C9"/>
    <w:rsid w:val="00E52379"/>
    <w:rsid w:val="00E55663"/>
    <w:rsid w:val="00E55B4C"/>
    <w:rsid w:val="00E57DBE"/>
    <w:rsid w:val="00E61A3B"/>
    <w:rsid w:val="00E639FE"/>
    <w:rsid w:val="00E65CC7"/>
    <w:rsid w:val="00E65F5C"/>
    <w:rsid w:val="00E67668"/>
    <w:rsid w:val="00E758FA"/>
    <w:rsid w:val="00E778F6"/>
    <w:rsid w:val="00E77B3D"/>
    <w:rsid w:val="00E8043E"/>
    <w:rsid w:val="00E80A29"/>
    <w:rsid w:val="00E820CC"/>
    <w:rsid w:val="00E824B0"/>
    <w:rsid w:val="00E84AE7"/>
    <w:rsid w:val="00E867C6"/>
    <w:rsid w:val="00E87302"/>
    <w:rsid w:val="00E87BD5"/>
    <w:rsid w:val="00E87C5B"/>
    <w:rsid w:val="00E90B21"/>
    <w:rsid w:val="00E9160B"/>
    <w:rsid w:val="00E92283"/>
    <w:rsid w:val="00E940F3"/>
    <w:rsid w:val="00E94E74"/>
    <w:rsid w:val="00E974EE"/>
    <w:rsid w:val="00EA0634"/>
    <w:rsid w:val="00EA0E20"/>
    <w:rsid w:val="00EA23D8"/>
    <w:rsid w:val="00EA3592"/>
    <w:rsid w:val="00EA3C67"/>
    <w:rsid w:val="00EA4E74"/>
    <w:rsid w:val="00EA6CB3"/>
    <w:rsid w:val="00EA6F8D"/>
    <w:rsid w:val="00EB5697"/>
    <w:rsid w:val="00EB6365"/>
    <w:rsid w:val="00EC0B62"/>
    <w:rsid w:val="00EC0D6B"/>
    <w:rsid w:val="00EC3358"/>
    <w:rsid w:val="00EC3A92"/>
    <w:rsid w:val="00EC437D"/>
    <w:rsid w:val="00EC4EDC"/>
    <w:rsid w:val="00EC5118"/>
    <w:rsid w:val="00EC757F"/>
    <w:rsid w:val="00EE7570"/>
    <w:rsid w:val="00EE7944"/>
    <w:rsid w:val="00EF3128"/>
    <w:rsid w:val="00EF4096"/>
    <w:rsid w:val="00EF43CD"/>
    <w:rsid w:val="00EF4BE7"/>
    <w:rsid w:val="00EF580C"/>
    <w:rsid w:val="00F00773"/>
    <w:rsid w:val="00F01618"/>
    <w:rsid w:val="00F02426"/>
    <w:rsid w:val="00F0438A"/>
    <w:rsid w:val="00F047FE"/>
    <w:rsid w:val="00F05BCC"/>
    <w:rsid w:val="00F05BD9"/>
    <w:rsid w:val="00F07E4D"/>
    <w:rsid w:val="00F10BE0"/>
    <w:rsid w:val="00F1173B"/>
    <w:rsid w:val="00F12D28"/>
    <w:rsid w:val="00F14675"/>
    <w:rsid w:val="00F1557B"/>
    <w:rsid w:val="00F1615A"/>
    <w:rsid w:val="00F2153E"/>
    <w:rsid w:val="00F22C81"/>
    <w:rsid w:val="00F235C0"/>
    <w:rsid w:val="00F259A9"/>
    <w:rsid w:val="00F25E51"/>
    <w:rsid w:val="00F25FC3"/>
    <w:rsid w:val="00F26743"/>
    <w:rsid w:val="00F26B80"/>
    <w:rsid w:val="00F2717F"/>
    <w:rsid w:val="00F27C0C"/>
    <w:rsid w:val="00F311CD"/>
    <w:rsid w:val="00F31C5A"/>
    <w:rsid w:val="00F32266"/>
    <w:rsid w:val="00F345F2"/>
    <w:rsid w:val="00F350DF"/>
    <w:rsid w:val="00F35D5E"/>
    <w:rsid w:val="00F35F00"/>
    <w:rsid w:val="00F36B34"/>
    <w:rsid w:val="00F36D58"/>
    <w:rsid w:val="00F4016B"/>
    <w:rsid w:val="00F4107D"/>
    <w:rsid w:val="00F42780"/>
    <w:rsid w:val="00F443D1"/>
    <w:rsid w:val="00F44E2D"/>
    <w:rsid w:val="00F452F0"/>
    <w:rsid w:val="00F46FA4"/>
    <w:rsid w:val="00F47E04"/>
    <w:rsid w:val="00F52B34"/>
    <w:rsid w:val="00F53119"/>
    <w:rsid w:val="00F54C1A"/>
    <w:rsid w:val="00F5752B"/>
    <w:rsid w:val="00F575DE"/>
    <w:rsid w:val="00F62127"/>
    <w:rsid w:val="00F62B1A"/>
    <w:rsid w:val="00F63B33"/>
    <w:rsid w:val="00F64D17"/>
    <w:rsid w:val="00F65005"/>
    <w:rsid w:val="00F66B4F"/>
    <w:rsid w:val="00F67412"/>
    <w:rsid w:val="00F71B05"/>
    <w:rsid w:val="00F73C97"/>
    <w:rsid w:val="00F754AB"/>
    <w:rsid w:val="00F75F1F"/>
    <w:rsid w:val="00F773FE"/>
    <w:rsid w:val="00F77D3C"/>
    <w:rsid w:val="00F80B7A"/>
    <w:rsid w:val="00F81445"/>
    <w:rsid w:val="00F818EF"/>
    <w:rsid w:val="00F836A7"/>
    <w:rsid w:val="00F83948"/>
    <w:rsid w:val="00F84038"/>
    <w:rsid w:val="00F84E1A"/>
    <w:rsid w:val="00F853B9"/>
    <w:rsid w:val="00F85870"/>
    <w:rsid w:val="00F85F11"/>
    <w:rsid w:val="00F86C6D"/>
    <w:rsid w:val="00F90EAF"/>
    <w:rsid w:val="00F92B40"/>
    <w:rsid w:val="00F93267"/>
    <w:rsid w:val="00F93A0D"/>
    <w:rsid w:val="00F9407E"/>
    <w:rsid w:val="00F951DD"/>
    <w:rsid w:val="00F973F3"/>
    <w:rsid w:val="00F9750F"/>
    <w:rsid w:val="00FA15AA"/>
    <w:rsid w:val="00FA171C"/>
    <w:rsid w:val="00FA18CC"/>
    <w:rsid w:val="00FA1978"/>
    <w:rsid w:val="00FA628D"/>
    <w:rsid w:val="00FA6D21"/>
    <w:rsid w:val="00FA6FE6"/>
    <w:rsid w:val="00FA796C"/>
    <w:rsid w:val="00FB0FE8"/>
    <w:rsid w:val="00FB2746"/>
    <w:rsid w:val="00FB2BA2"/>
    <w:rsid w:val="00FB2BF4"/>
    <w:rsid w:val="00FB3408"/>
    <w:rsid w:val="00FB34C3"/>
    <w:rsid w:val="00FB4288"/>
    <w:rsid w:val="00FB44FB"/>
    <w:rsid w:val="00FB5200"/>
    <w:rsid w:val="00FB535D"/>
    <w:rsid w:val="00FB62C2"/>
    <w:rsid w:val="00FB63C7"/>
    <w:rsid w:val="00FB768D"/>
    <w:rsid w:val="00FC0201"/>
    <w:rsid w:val="00FC2A84"/>
    <w:rsid w:val="00FC2FEC"/>
    <w:rsid w:val="00FC3589"/>
    <w:rsid w:val="00FC38F8"/>
    <w:rsid w:val="00FC3D74"/>
    <w:rsid w:val="00FC4A60"/>
    <w:rsid w:val="00FC4B2E"/>
    <w:rsid w:val="00FC4BCC"/>
    <w:rsid w:val="00FC7061"/>
    <w:rsid w:val="00FD16C1"/>
    <w:rsid w:val="00FD19CE"/>
    <w:rsid w:val="00FD41DD"/>
    <w:rsid w:val="00FE1E5E"/>
    <w:rsid w:val="00FE1F70"/>
    <w:rsid w:val="00FE4B68"/>
    <w:rsid w:val="00FE5305"/>
    <w:rsid w:val="00FE54FF"/>
    <w:rsid w:val="00FE5626"/>
    <w:rsid w:val="00FF13D3"/>
    <w:rsid w:val="00FF428E"/>
    <w:rsid w:val="00FF52B7"/>
    <w:rsid w:val="00FF6526"/>
    <w:rsid w:val="00FF7310"/>
    <w:rsid w:val="00FF7820"/>
    <w:rsid w:val="03656E07"/>
    <w:rsid w:val="04C97524"/>
    <w:rsid w:val="0682DE14"/>
    <w:rsid w:val="06DB0A52"/>
    <w:rsid w:val="06F54EC3"/>
    <w:rsid w:val="0887527E"/>
    <w:rsid w:val="0891FFEE"/>
    <w:rsid w:val="0ABF2388"/>
    <w:rsid w:val="0B76F363"/>
    <w:rsid w:val="0BF270FF"/>
    <w:rsid w:val="0DBB989B"/>
    <w:rsid w:val="0DC581F0"/>
    <w:rsid w:val="0ED5B395"/>
    <w:rsid w:val="0EDA9320"/>
    <w:rsid w:val="10972265"/>
    <w:rsid w:val="10B3646A"/>
    <w:rsid w:val="126AACA9"/>
    <w:rsid w:val="13EE9F44"/>
    <w:rsid w:val="142C0421"/>
    <w:rsid w:val="1596A2FD"/>
    <w:rsid w:val="15DC2AA9"/>
    <w:rsid w:val="15DEC61E"/>
    <w:rsid w:val="16084EE1"/>
    <w:rsid w:val="1667D475"/>
    <w:rsid w:val="17953B57"/>
    <w:rsid w:val="17E63794"/>
    <w:rsid w:val="1A6B718E"/>
    <w:rsid w:val="1B27363C"/>
    <w:rsid w:val="1C77F126"/>
    <w:rsid w:val="1CB85DD9"/>
    <w:rsid w:val="1DBD7778"/>
    <w:rsid w:val="1E7DE81B"/>
    <w:rsid w:val="1F102D8E"/>
    <w:rsid w:val="2028060F"/>
    <w:rsid w:val="203F545F"/>
    <w:rsid w:val="20619E09"/>
    <w:rsid w:val="206EEE3B"/>
    <w:rsid w:val="21BDB738"/>
    <w:rsid w:val="21E28AFB"/>
    <w:rsid w:val="22B72CEB"/>
    <w:rsid w:val="234AE2F6"/>
    <w:rsid w:val="239D7EFA"/>
    <w:rsid w:val="23D846D9"/>
    <w:rsid w:val="24335C18"/>
    <w:rsid w:val="24BA56A9"/>
    <w:rsid w:val="26CA5F55"/>
    <w:rsid w:val="27807BC5"/>
    <w:rsid w:val="28E5551F"/>
    <w:rsid w:val="2CD4F4C6"/>
    <w:rsid w:val="2E386C44"/>
    <w:rsid w:val="2E900769"/>
    <w:rsid w:val="2EEBA1EF"/>
    <w:rsid w:val="310DC132"/>
    <w:rsid w:val="318E4B32"/>
    <w:rsid w:val="34C03C46"/>
    <w:rsid w:val="35BCFA9D"/>
    <w:rsid w:val="36282BB7"/>
    <w:rsid w:val="389407C2"/>
    <w:rsid w:val="3A2EBD07"/>
    <w:rsid w:val="3C009C4F"/>
    <w:rsid w:val="3DD6737A"/>
    <w:rsid w:val="3E318F34"/>
    <w:rsid w:val="40F609BD"/>
    <w:rsid w:val="415EF151"/>
    <w:rsid w:val="446567F7"/>
    <w:rsid w:val="447922F1"/>
    <w:rsid w:val="45A91BB6"/>
    <w:rsid w:val="4645D333"/>
    <w:rsid w:val="475CD2A0"/>
    <w:rsid w:val="47909B54"/>
    <w:rsid w:val="484D8674"/>
    <w:rsid w:val="48B315CE"/>
    <w:rsid w:val="48F9F698"/>
    <w:rsid w:val="4A59BF0C"/>
    <w:rsid w:val="4BBA2210"/>
    <w:rsid w:val="4CAA2753"/>
    <w:rsid w:val="4FCB9CF4"/>
    <w:rsid w:val="53104CEA"/>
    <w:rsid w:val="531974CE"/>
    <w:rsid w:val="536B8D3F"/>
    <w:rsid w:val="54D41AB9"/>
    <w:rsid w:val="55FB0497"/>
    <w:rsid w:val="58660B43"/>
    <w:rsid w:val="58997349"/>
    <w:rsid w:val="59F228D9"/>
    <w:rsid w:val="5E8E30B1"/>
    <w:rsid w:val="5F378A7D"/>
    <w:rsid w:val="5F691C23"/>
    <w:rsid w:val="62531141"/>
    <w:rsid w:val="62EA6845"/>
    <w:rsid w:val="64B25CCD"/>
    <w:rsid w:val="64F92D11"/>
    <w:rsid w:val="6521DB2C"/>
    <w:rsid w:val="659B17C3"/>
    <w:rsid w:val="666ED02E"/>
    <w:rsid w:val="6785DA4F"/>
    <w:rsid w:val="679D54AD"/>
    <w:rsid w:val="68F30878"/>
    <w:rsid w:val="6A822B73"/>
    <w:rsid w:val="6B4FFB84"/>
    <w:rsid w:val="6BA8ADA7"/>
    <w:rsid w:val="6DB196C6"/>
    <w:rsid w:val="6E14D161"/>
    <w:rsid w:val="6F7AB4DC"/>
    <w:rsid w:val="704E633F"/>
    <w:rsid w:val="727EECCB"/>
    <w:rsid w:val="728DA504"/>
    <w:rsid w:val="73D9E9BF"/>
    <w:rsid w:val="746FE39C"/>
    <w:rsid w:val="747B5784"/>
    <w:rsid w:val="74FB30F8"/>
    <w:rsid w:val="756EC66F"/>
    <w:rsid w:val="757020F3"/>
    <w:rsid w:val="766F77CE"/>
    <w:rsid w:val="77811740"/>
    <w:rsid w:val="77AF3566"/>
    <w:rsid w:val="7BE9ADA8"/>
    <w:rsid w:val="7CB4D1B1"/>
    <w:rsid w:val="7D65A95A"/>
    <w:rsid w:val="7E26083A"/>
    <w:rsid w:val="7E691F17"/>
    <w:rsid w:val="7F384D75"/>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3B1BF4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iPriority="0"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nhideWhenUsed="1"/>
    <w:lsdException w:name="List Number 2" w:semiHidden="1" w:uiPriority="0" w:unhideWhenUsed="1"/>
    <w:lsdException w:name="List Number 3" w:semiHidden="1" w:uiPriority="0" w:unhideWhenUsed="1"/>
    <w:lsdException w:name="List Number 4" w:semiHidden="1" w:uiPriority="0"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before="120" w:after="120" w:line="240" w:lineRule="auto"/>
      <w:jc w:val="both"/>
    </w:pPr>
    <w:rPr>
      <w:rFonts w:ascii="Times New Roman" w:hAnsi="Times New Roman" w:cs="Times New Roman"/>
      <w:sz w:val="24"/>
      <w:lang w:val="bg-BG"/>
    </w:rPr>
  </w:style>
  <w:style w:type="paragraph" w:styleId="Heading1">
    <w:name w:val="heading 1"/>
    <w:basedOn w:val="Normal"/>
    <w:next w:val="Text1"/>
    <w:link w:val="Heading1Char"/>
    <w:uiPriority w:val="9"/>
    <w:qFormat/>
    <w:pPr>
      <w:keepNext/>
      <w:numPr>
        <w:numId w:val="29"/>
      </w:numPr>
      <w:spacing w:before="360"/>
      <w:outlineLvl w:val="0"/>
    </w:pPr>
    <w:rPr>
      <w:rFonts w:eastAsiaTheme="majorEastAsia"/>
      <w:b/>
      <w:bCs/>
      <w:smallCaps/>
      <w:szCs w:val="28"/>
    </w:rPr>
  </w:style>
  <w:style w:type="paragraph" w:styleId="Heading2">
    <w:name w:val="heading 2"/>
    <w:basedOn w:val="Normal"/>
    <w:next w:val="Text1"/>
    <w:link w:val="Heading2Char"/>
    <w:uiPriority w:val="9"/>
    <w:semiHidden/>
    <w:unhideWhenUsed/>
    <w:qFormat/>
    <w:pPr>
      <w:keepNext/>
      <w:numPr>
        <w:ilvl w:val="1"/>
        <w:numId w:val="29"/>
      </w:numPr>
      <w:outlineLvl w:val="1"/>
    </w:pPr>
    <w:rPr>
      <w:rFonts w:eastAsiaTheme="majorEastAsia"/>
      <w:b/>
      <w:bCs/>
      <w:szCs w:val="26"/>
    </w:rPr>
  </w:style>
  <w:style w:type="paragraph" w:styleId="Heading3">
    <w:name w:val="heading 3"/>
    <w:basedOn w:val="Normal"/>
    <w:next w:val="Text1"/>
    <w:link w:val="Heading3Char"/>
    <w:uiPriority w:val="9"/>
    <w:semiHidden/>
    <w:unhideWhenUsed/>
    <w:qFormat/>
    <w:pPr>
      <w:keepNext/>
      <w:numPr>
        <w:ilvl w:val="2"/>
        <w:numId w:val="29"/>
      </w:numPr>
      <w:outlineLvl w:val="2"/>
    </w:pPr>
    <w:rPr>
      <w:rFonts w:eastAsiaTheme="majorEastAsia"/>
      <w:bCs/>
      <w:i/>
    </w:rPr>
  </w:style>
  <w:style w:type="paragraph" w:styleId="Heading4">
    <w:name w:val="heading 4"/>
    <w:basedOn w:val="Normal"/>
    <w:next w:val="Text1"/>
    <w:link w:val="Heading4Char"/>
    <w:uiPriority w:val="9"/>
    <w:semiHidden/>
    <w:unhideWhenUsed/>
    <w:qFormat/>
    <w:pPr>
      <w:keepNext/>
      <w:numPr>
        <w:ilvl w:val="3"/>
        <w:numId w:val="29"/>
      </w:numPr>
      <w:outlineLvl w:val="3"/>
    </w:pPr>
    <w:rPr>
      <w:rFonts w:eastAsiaTheme="majorEastAsia"/>
      <w:bCs/>
      <w:iCs/>
    </w:rPr>
  </w:style>
  <w:style w:type="paragraph" w:styleId="Heading5">
    <w:name w:val="heading 5"/>
    <w:basedOn w:val="Normal"/>
    <w:next w:val="Text2"/>
    <w:link w:val="Heading5Char"/>
    <w:uiPriority w:val="9"/>
    <w:semiHidden/>
    <w:unhideWhenUsed/>
    <w:qFormat/>
    <w:pPr>
      <w:keepNext/>
      <w:numPr>
        <w:ilvl w:val="4"/>
        <w:numId w:val="29"/>
      </w:numPr>
      <w:outlineLvl w:val="4"/>
    </w:pPr>
    <w:rPr>
      <w:rFonts w:eastAsiaTheme="majorEastAsia"/>
    </w:rPr>
  </w:style>
  <w:style w:type="paragraph" w:styleId="Heading6">
    <w:name w:val="heading 6"/>
    <w:basedOn w:val="Normal"/>
    <w:next w:val="Text2"/>
    <w:link w:val="Heading6Char"/>
    <w:uiPriority w:val="9"/>
    <w:semiHidden/>
    <w:unhideWhenUsed/>
    <w:qFormat/>
    <w:pPr>
      <w:keepNext/>
      <w:numPr>
        <w:ilvl w:val="5"/>
        <w:numId w:val="29"/>
      </w:numPr>
      <w:outlineLvl w:val="5"/>
    </w:pPr>
    <w:rPr>
      <w:rFonts w:eastAsiaTheme="majorEastAsia"/>
      <w:iCs/>
    </w:rPr>
  </w:style>
  <w:style w:type="paragraph" w:styleId="Heading7">
    <w:name w:val="heading 7"/>
    <w:basedOn w:val="Normal"/>
    <w:next w:val="Text2"/>
    <w:link w:val="Heading7Char"/>
    <w:uiPriority w:val="9"/>
    <w:semiHidden/>
    <w:unhideWhenUsed/>
    <w:qFormat/>
    <w:pPr>
      <w:keepNext/>
      <w:numPr>
        <w:ilvl w:val="6"/>
        <w:numId w:val="29"/>
      </w:numPr>
      <w:outlineLvl w:val="6"/>
    </w:pPr>
    <w:rPr>
      <w:rFonts w:eastAsiaTheme="majorEastAsia"/>
      <w:i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4">
    <w:name w:val="List Bullet 4"/>
    <w:basedOn w:val="Normal"/>
    <w:rsid w:val="00161159"/>
    <w:pPr>
      <w:numPr>
        <w:numId w:val="2"/>
      </w:numPr>
      <w:tabs>
        <w:tab w:val="num" w:pos="360"/>
      </w:tabs>
      <w:ind w:left="0" w:firstLine="0"/>
    </w:pPr>
    <w:rPr>
      <w:rFonts w:eastAsia="Times New Roman"/>
      <w:lang w:eastAsia="de-DE"/>
    </w:rPr>
  </w:style>
  <w:style w:type="paragraph" w:styleId="ListNumber">
    <w:name w:val="List Number"/>
    <w:basedOn w:val="Normal"/>
    <w:rsid w:val="00161159"/>
    <w:pPr>
      <w:numPr>
        <w:numId w:val="6"/>
      </w:numPr>
    </w:pPr>
    <w:rPr>
      <w:rFonts w:eastAsia="Times New Roman"/>
      <w:lang w:eastAsia="de-DE"/>
    </w:rPr>
  </w:style>
  <w:style w:type="paragraph" w:customStyle="1" w:styleId="ListBullet1">
    <w:name w:val="List Bullet 1"/>
    <w:basedOn w:val="Normal"/>
    <w:rsid w:val="00161159"/>
    <w:pPr>
      <w:numPr>
        <w:numId w:val="1"/>
      </w:numPr>
    </w:pPr>
    <w:rPr>
      <w:rFonts w:eastAsia="Times New Roman"/>
      <w:lang w:eastAsia="de-DE"/>
    </w:rPr>
  </w:style>
  <w:style w:type="paragraph" w:customStyle="1" w:styleId="ListDash">
    <w:name w:val="List Dash"/>
    <w:basedOn w:val="Normal"/>
    <w:rsid w:val="00161159"/>
    <w:pPr>
      <w:numPr>
        <w:numId w:val="3"/>
      </w:numPr>
    </w:pPr>
    <w:rPr>
      <w:rFonts w:eastAsia="Times New Roman"/>
      <w:lang w:eastAsia="de-DE"/>
    </w:rPr>
  </w:style>
  <w:style w:type="paragraph" w:customStyle="1" w:styleId="ListDash1">
    <w:name w:val="List Dash 1"/>
    <w:basedOn w:val="Normal"/>
    <w:rsid w:val="00161159"/>
    <w:pPr>
      <w:numPr>
        <w:numId w:val="4"/>
      </w:numPr>
    </w:pPr>
    <w:rPr>
      <w:rFonts w:eastAsia="Times New Roman"/>
      <w:lang w:eastAsia="de-DE"/>
    </w:rPr>
  </w:style>
  <w:style w:type="paragraph" w:customStyle="1" w:styleId="ListDash2">
    <w:name w:val="List Dash 2"/>
    <w:basedOn w:val="Normal"/>
    <w:rsid w:val="00161159"/>
    <w:pPr>
      <w:numPr>
        <w:numId w:val="5"/>
      </w:numPr>
    </w:pPr>
    <w:rPr>
      <w:rFonts w:eastAsia="Times New Roman"/>
      <w:lang w:eastAsia="de-DE"/>
    </w:rPr>
  </w:style>
  <w:style w:type="paragraph" w:customStyle="1" w:styleId="ListNumberLevel2">
    <w:name w:val="List Number (Level 2)"/>
    <w:basedOn w:val="Normal"/>
    <w:rsid w:val="00161159"/>
    <w:pPr>
      <w:numPr>
        <w:ilvl w:val="1"/>
        <w:numId w:val="6"/>
      </w:numPr>
    </w:pPr>
    <w:rPr>
      <w:rFonts w:eastAsia="Times New Roman"/>
      <w:lang w:eastAsia="de-DE"/>
    </w:rPr>
  </w:style>
  <w:style w:type="paragraph" w:customStyle="1" w:styleId="ListNumberLevel3">
    <w:name w:val="List Number (Level 3)"/>
    <w:basedOn w:val="Normal"/>
    <w:rsid w:val="00161159"/>
    <w:pPr>
      <w:numPr>
        <w:ilvl w:val="2"/>
        <w:numId w:val="6"/>
      </w:numPr>
    </w:pPr>
    <w:rPr>
      <w:rFonts w:eastAsia="Times New Roman"/>
      <w:lang w:eastAsia="de-DE"/>
    </w:rPr>
  </w:style>
  <w:style w:type="paragraph" w:customStyle="1" w:styleId="ListNumberLevel4">
    <w:name w:val="List Number (Level 4)"/>
    <w:basedOn w:val="Normal"/>
    <w:rsid w:val="00161159"/>
    <w:pPr>
      <w:numPr>
        <w:ilvl w:val="3"/>
        <w:numId w:val="6"/>
      </w:numPr>
    </w:pPr>
    <w:rPr>
      <w:rFonts w:eastAsia="Times New Roman"/>
      <w:lang w:eastAsia="de-DE"/>
    </w:rPr>
  </w:style>
  <w:style w:type="table" w:styleId="TableGrid">
    <w:name w:val="Table Grid"/>
    <w:basedOn w:val="TableNormal"/>
    <w:rsid w:val="00161159"/>
    <w:pPr>
      <w:spacing w:before="120" w:after="120" w:line="240" w:lineRule="auto"/>
      <w:jc w:val="both"/>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iPriority w:val="99"/>
    <w:rsid w:val="00161159"/>
    <w:rPr>
      <w:color w:val="0000FF"/>
      <w:u w:val="single"/>
    </w:rPr>
  </w:style>
  <w:style w:type="paragraph" w:styleId="ListBullet">
    <w:name w:val="List Bullet"/>
    <w:basedOn w:val="Normal"/>
    <w:rsid w:val="00161159"/>
    <w:pPr>
      <w:numPr>
        <w:numId w:val="7"/>
      </w:numPr>
    </w:pPr>
    <w:rPr>
      <w:rFonts w:eastAsia="Times New Roman"/>
      <w:lang w:eastAsia="en-GB"/>
    </w:rPr>
  </w:style>
  <w:style w:type="paragraph" w:styleId="ListBullet2">
    <w:name w:val="List Bullet 2"/>
    <w:basedOn w:val="Normal"/>
    <w:rsid w:val="00161159"/>
    <w:pPr>
      <w:numPr>
        <w:numId w:val="8"/>
      </w:numPr>
    </w:pPr>
    <w:rPr>
      <w:rFonts w:eastAsia="Times New Roman"/>
      <w:lang w:eastAsia="en-GB"/>
    </w:rPr>
  </w:style>
  <w:style w:type="paragraph" w:styleId="ListBullet3">
    <w:name w:val="List Bullet 3"/>
    <w:basedOn w:val="Normal"/>
    <w:rsid w:val="00161159"/>
    <w:pPr>
      <w:numPr>
        <w:numId w:val="9"/>
      </w:numPr>
    </w:pPr>
    <w:rPr>
      <w:rFonts w:eastAsia="Times New Roman"/>
      <w:lang w:eastAsia="en-GB"/>
    </w:rPr>
  </w:style>
  <w:style w:type="paragraph" w:styleId="ListNumber2">
    <w:name w:val="List Number 2"/>
    <w:basedOn w:val="Normal"/>
    <w:rsid w:val="00161159"/>
    <w:pPr>
      <w:numPr>
        <w:numId w:val="13"/>
      </w:numPr>
    </w:pPr>
    <w:rPr>
      <w:rFonts w:eastAsia="Times New Roman"/>
      <w:lang w:eastAsia="en-GB"/>
    </w:rPr>
  </w:style>
  <w:style w:type="paragraph" w:styleId="ListNumber3">
    <w:name w:val="List Number 3"/>
    <w:basedOn w:val="Normal"/>
    <w:rsid w:val="00161159"/>
    <w:pPr>
      <w:numPr>
        <w:numId w:val="14"/>
      </w:numPr>
    </w:pPr>
    <w:rPr>
      <w:rFonts w:eastAsia="Times New Roman"/>
      <w:lang w:eastAsia="en-GB"/>
    </w:rPr>
  </w:style>
  <w:style w:type="paragraph" w:styleId="ListNumber4">
    <w:name w:val="List Number 4"/>
    <w:basedOn w:val="Normal"/>
    <w:rsid w:val="00161159"/>
    <w:pPr>
      <w:numPr>
        <w:numId w:val="15"/>
      </w:numPr>
    </w:pPr>
    <w:rPr>
      <w:rFonts w:eastAsia="Times New Roman"/>
      <w:lang w:eastAsia="en-GB"/>
    </w:rPr>
  </w:style>
  <w:style w:type="paragraph" w:customStyle="1" w:styleId="ListDash3">
    <w:name w:val="List Dash 3"/>
    <w:basedOn w:val="Normal"/>
    <w:rsid w:val="00161159"/>
    <w:pPr>
      <w:numPr>
        <w:numId w:val="10"/>
      </w:numPr>
    </w:pPr>
    <w:rPr>
      <w:rFonts w:eastAsia="Times New Roman"/>
      <w:lang w:eastAsia="en-GB"/>
    </w:rPr>
  </w:style>
  <w:style w:type="paragraph" w:customStyle="1" w:styleId="ListDash4">
    <w:name w:val="List Dash 4"/>
    <w:basedOn w:val="Normal"/>
    <w:rsid w:val="00161159"/>
    <w:pPr>
      <w:numPr>
        <w:numId w:val="11"/>
      </w:numPr>
    </w:pPr>
    <w:rPr>
      <w:rFonts w:eastAsia="Times New Roman"/>
      <w:lang w:eastAsia="en-GB"/>
    </w:rPr>
  </w:style>
  <w:style w:type="paragraph" w:customStyle="1" w:styleId="ListNumber1">
    <w:name w:val="List Number 1"/>
    <w:basedOn w:val="Text1"/>
    <w:rsid w:val="00161159"/>
    <w:pPr>
      <w:numPr>
        <w:numId w:val="12"/>
      </w:numPr>
    </w:pPr>
    <w:rPr>
      <w:rFonts w:eastAsia="Times New Roman"/>
      <w:lang w:eastAsia="en-GB"/>
    </w:rPr>
  </w:style>
  <w:style w:type="paragraph" w:customStyle="1" w:styleId="ListNumber1Level2">
    <w:name w:val="List Number 1 (Level 2)"/>
    <w:basedOn w:val="Text1"/>
    <w:rsid w:val="00161159"/>
    <w:pPr>
      <w:numPr>
        <w:ilvl w:val="1"/>
        <w:numId w:val="12"/>
      </w:numPr>
    </w:pPr>
    <w:rPr>
      <w:rFonts w:eastAsia="Times New Roman"/>
      <w:lang w:eastAsia="en-GB"/>
    </w:rPr>
  </w:style>
  <w:style w:type="paragraph" w:customStyle="1" w:styleId="ListNumber2Level2">
    <w:name w:val="List Number 2 (Level 2)"/>
    <w:basedOn w:val="Text2"/>
    <w:rsid w:val="00161159"/>
    <w:pPr>
      <w:numPr>
        <w:ilvl w:val="1"/>
        <w:numId w:val="13"/>
      </w:numPr>
    </w:pPr>
    <w:rPr>
      <w:rFonts w:eastAsia="Times New Roman"/>
      <w:lang w:eastAsia="en-GB"/>
    </w:rPr>
  </w:style>
  <w:style w:type="paragraph" w:customStyle="1" w:styleId="ListNumber3Level2">
    <w:name w:val="List Number 3 (Level 2)"/>
    <w:basedOn w:val="Text3"/>
    <w:rsid w:val="00161159"/>
    <w:pPr>
      <w:numPr>
        <w:ilvl w:val="1"/>
        <w:numId w:val="14"/>
      </w:numPr>
    </w:pPr>
    <w:rPr>
      <w:rFonts w:eastAsia="Times New Roman"/>
      <w:lang w:eastAsia="en-GB"/>
    </w:rPr>
  </w:style>
  <w:style w:type="paragraph" w:customStyle="1" w:styleId="ListNumber4Level2">
    <w:name w:val="List Number 4 (Level 2)"/>
    <w:basedOn w:val="Text4"/>
    <w:rsid w:val="00161159"/>
    <w:pPr>
      <w:numPr>
        <w:ilvl w:val="1"/>
        <w:numId w:val="15"/>
      </w:numPr>
    </w:pPr>
    <w:rPr>
      <w:rFonts w:eastAsia="Times New Roman"/>
      <w:lang w:eastAsia="en-GB"/>
    </w:rPr>
  </w:style>
  <w:style w:type="paragraph" w:customStyle="1" w:styleId="ListNumber1Level3">
    <w:name w:val="List Number 1 (Level 3)"/>
    <w:basedOn w:val="Text1"/>
    <w:rsid w:val="00161159"/>
    <w:pPr>
      <w:numPr>
        <w:ilvl w:val="2"/>
        <w:numId w:val="12"/>
      </w:numPr>
    </w:pPr>
    <w:rPr>
      <w:rFonts w:eastAsia="Times New Roman"/>
      <w:lang w:eastAsia="en-GB"/>
    </w:rPr>
  </w:style>
  <w:style w:type="paragraph" w:customStyle="1" w:styleId="ListNumber2Level3">
    <w:name w:val="List Number 2 (Level 3)"/>
    <w:basedOn w:val="Text2"/>
    <w:rsid w:val="00161159"/>
    <w:pPr>
      <w:numPr>
        <w:ilvl w:val="2"/>
        <w:numId w:val="13"/>
      </w:numPr>
    </w:pPr>
    <w:rPr>
      <w:rFonts w:eastAsia="Times New Roman"/>
      <w:lang w:eastAsia="en-GB"/>
    </w:rPr>
  </w:style>
  <w:style w:type="paragraph" w:customStyle="1" w:styleId="ListNumber3Level3">
    <w:name w:val="List Number 3 (Level 3)"/>
    <w:basedOn w:val="Text3"/>
    <w:rsid w:val="00161159"/>
    <w:pPr>
      <w:numPr>
        <w:ilvl w:val="2"/>
        <w:numId w:val="14"/>
      </w:numPr>
    </w:pPr>
    <w:rPr>
      <w:rFonts w:eastAsia="Times New Roman"/>
      <w:lang w:eastAsia="en-GB"/>
    </w:rPr>
  </w:style>
  <w:style w:type="paragraph" w:customStyle="1" w:styleId="ListNumber4Level3">
    <w:name w:val="List Number 4 (Level 3)"/>
    <w:basedOn w:val="Text4"/>
    <w:rsid w:val="00161159"/>
    <w:pPr>
      <w:numPr>
        <w:ilvl w:val="2"/>
        <w:numId w:val="15"/>
      </w:numPr>
    </w:pPr>
    <w:rPr>
      <w:rFonts w:eastAsia="Times New Roman"/>
      <w:lang w:eastAsia="en-GB"/>
    </w:rPr>
  </w:style>
  <w:style w:type="paragraph" w:customStyle="1" w:styleId="ListNumber1Level4">
    <w:name w:val="List Number 1 (Level 4)"/>
    <w:basedOn w:val="Text1"/>
    <w:rsid w:val="00161159"/>
    <w:pPr>
      <w:numPr>
        <w:ilvl w:val="3"/>
        <w:numId w:val="12"/>
      </w:numPr>
    </w:pPr>
    <w:rPr>
      <w:rFonts w:eastAsia="Times New Roman"/>
      <w:lang w:eastAsia="en-GB"/>
    </w:rPr>
  </w:style>
  <w:style w:type="paragraph" w:customStyle="1" w:styleId="ListNumber2Level4">
    <w:name w:val="List Number 2 (Level 4)"/>
    <w:basedOn w:val="Text2"/>
    <w:rsid w:val="00161159"/>
    <w:pPr>
      <w:numPr>
        <w:ilvl w:val="3"/>
        <w:numId w:val="13"/>
      </w:numPr>
    </w:pPr>
    <w:rPr>
      <w:rFonts w:eastAsia="Times New Roman"/>
      <w:lang w:eastAsia="en-GB"/>
    </w:rPr>
  </w:style>
  <w:style w:type="paragraph" w:customStyle="1" w:styleId="ListNumber3Level4">
    <w:name w:val="List Number 3 (Level 4)"/>
    <w:basedOn w:val="Text3"/>
    <w:rsid w:val="00161159"/>
    <w:pPr>
      <w:numPr>
        <w:ilvl w:val="3"/>
        <w:numId w:val="14"/>
      </w:numPr>
    </w:pPr>
    <w:rPr>
      <w:rFonts w:eastAsia="Times New Roman"/>
      <w:lang w:eastAsia="en-GB"/>
    </w:rPr>
  </w:style>
  <w:style w:type="paragraph" w:customStyle="1" w:styleId="ListNumber4Level4">
    <w:name w:val="List Number 4 (Level 4)"/>
    <w:basedOn w:val="Text4"/>
    <w:rsid w:val="00161159"/>
    <w:pPr>
      <w:numPr>
        <w:ilvl w:val="3"/>
        <w:numId w:val="15"/>
      </w:numPr>
    </w:pPr>
    <w:rPr>
      <w:rFonts w:eastAsia="Times New Roman"/>
      <w:lang w:eastAsia="en-GB"/>
    </w:rPr>
  </w:style>
  <w:style w:type="paragraph" w:customStyle="1" w:styleId="Annexetitreacte">
    <w:name w:val="Annexe titre (acte)"/>
    <w:basedOn w:val="Normal"/>
    <w:next w:val="Normal"/>
    <w:rsid w:val="00161159"/>
    <w:pPr>
      <w:jc w:val="center"/>
    </w:pPr>
    <w:rPr>
      <w:rFonts w:eastAsia="Times New Roman"/>
      <w:b/>
      <w:u w:val="single"/>
      <w:lang w:eastAsia="en-GB"/>
    </w:rPr>
  </w:style>
  <w:style w:type="paragraph" w:customStyle="1" w:styleId="Annexetitreexposglobal">
    <w:name w:val="Annexe titre (exposé global)"/>
    <w:basedOn w:val="Normal"/>
    <w:next w:val="Normal"/>
    <w:rsid w:val="00161159"/>
    <w:pPr>
      <w:jc w:val="center"/>
    </w:pPr>
    <w:rPr>
      <w:rFonts w:eastAsia="Times New Roman"/>
      <w:b/>
      <w:u w:val="single"/>
      <w:lang w:eastAsia="en-GB"/>
    </w:rPr>
  </w:style>
  <w:style w:type="paragraph" w:customStyle="1" w:styleId="Annexetitrefichefinacte">
    <w:name w:val="Annexe titre (fiche fin. acte)"/>
    <w:basedOn w:val="Normal"/>
    <w:next w:val="Normal"/>
    <w:rsid w:val="00161159"/>
    <w:pPr>
      <w:jc w:val="center"/>
    </w:pPr>
    <w:rPr>
      <w:rFonts w:eastAsia="Times New Roman"/>
      <w:b/>
      <w:u w:val="single"/>
      <w:lang w:eastAsia="en-GB"/>
    </w:rPr>
  </w:style>
  <w:style w:type="paragraph" w:customStyle="1" w:styleId="Annexetitrefichefinglobale">
    <w:name w:val="Annexe titre (fiche fin. globale)"/>
    <w:basedOn w:val="Normal"/>
    <w:next w:val="Normal"/>
    <w:rsid w:val="00161159"/>
    <w:pPr>
      <w:jc w:val="center"/>
    </w:pPr>
    <w:rPr>
      <w:rFonts w:eastAsia="Times New Roman"/>
      <w:b/>
      <w:u w:val="single"/>
      <w:lang w:eastAsia="en-GB"/>
    </w:rPr>
  </w:style>
  <w:style w:type="paragraph" w:customStyle="1" w:styleId="Annexetitreglobale">
    <w:name w:val="Annexe titre (globale)"/>
    <w:basedOn w:val="Normal"/>
    <w:next w:val="Normal"/>
    <w:rsid w:val="00161159"/>
    <w:pPr>
      <w:jc w:val="center"/>
    </w:pPr>
    <w:rPr>
      <w:rFonts w:eastAsia="Times New Roman"/>
      <w:b/>
      <w:u w:val="single"/>
      <w:lang w:eastAsia="en-GB"/>
    </w:rPr>
  </w:style>
  <w:style w:type="paragraph" w:customStyle="1" w:styleId="Exposdesmotifstitreglobal">
    <w:name w:val="Exposé des motifs titre (global)"/>
    <w:basedOn w:val="Normal"/>
    <w:next w:val="Normal"/>
    <w:rsid w:val="00161159"/>
    <w:pPr>
      <w:jc w:val="center"/>
    </w:pPr>
    <w:rPr>
      <w:rFonts w:eastAsia="Times New Roman"/>
      <w:b/>
      <w:u w:val="single"/>
      <w:lang w:eastAsia="en-GB"/>
    </w:rPr>
  </w:style>
  <w:style w:type="paragraph" w:customStyle="1" w:styleId="Langueoriginale">
    <w:name w:val="Langue originale"/>
    <w:basedOn w:val="Normal"/>
    <w:rsid w:val="00161159"/>
    <w:pPr>
      <w:spacing w:before="360"/>
      <w:jc w:val="center"/>
    </w:pPr>
    <w:rPr>
      <w:rFonts w:eastAsia="Times New Roman"/>
      <w:caps/>
      <w:lang w:eastAsia="en-GB"/>
    </w:rPr>
  </w:style>
  <w:style w:type="paragraph" w:customStyle="1" w:styleId="Phrasefinale">
    <w:name w:val="Phrase finale"/>
    <w:basedOn w:val="Normal"/>
    <w:next w:val="Normal"/>
    <w:rsid w:val="00161159"/>
    <w:pPr>
      <w:spacing w:before="360" w:after="0"/>
      <w:jc w:val="center"/>
    </w:pPr>
    <w:rPr>
      <w:rFonts w:eastAsia="Times New Roman"/>
      <w:lang w:eastAsia="en-GB"/>
    </w:rPr>
  </w:style>
  <w:style w:type="paragraph" w:customStyle="1" w:styleId="Prliminairetitre">
    <w:name w:val="Préliminaire titre"/>
    <w:basedOn w:val="Normal"/>
    <w:next w:val="Normal"/>
    <w:rsid w:val="00161159"/>
    <w:pPr>
      <w:spacing w:before="360" w:after="360"/>
      <w:jc w:val="center"/>
    </w:pPr>
    <w:rPr>
      <w:rFonts w:eastAsia="Times New Roman"/>
      <w:b/>
      <w:lang w:eastAsia="en-GB"/>
    </w:rPr>
  </w:style>
  <w:style w:type="paragraph" w:customStyle="1" w:styleId="Prliminairetype">
    <w:name w:val="Préliminaire type"/>
    <w:basedOn w:val="Normal"/>
    <w:next w:val="Normal"/>
    <w:rsid w:val="00161159"/>
    <w:pPr>
      <w:spacing w:before="360" w:after="0"/>
      <w:jc w:val="center"/>
    </w:pPr>
    <w:rPr>
      <w:rFonts w:eastAsia="Times New Roman"/>
      <w:b/>
      <w:lang w:eastAsia="en-GB"/>
    </w:rPr>
  </w:style>
  <w:style w:type="paragraph" w:customStyle="1" w:styleId="Rfrenceinstitutionelle">
    <w:name w:val="Référence institutionelle"/>
    <w:basedOn w:val="Normal"/>
    <w:next w:val="Statut"/>
    <w:rsid w:val="00161159"/>
    <w:pPr>
      <w:spacing w:before="0" w:after="240"/>
      <w:ind w:left="5103"/>
      <w:jc w:val="left"/>
    </w:pPr>
    <w:rPr>
      <w:rFonts w:eastAsia="Times New Roman"/>
      <w:lang w:eastAsia="en-GB"/>
    </w:rPr>
  </w:style>
  <w:style w:type="paragraph" w:customStyle="1" w:styleId="Rfrenceinterinstitutionelle">
    <w:name w:val="Référence interinstitutionelle"/>
    <w:basedOn w:val="Normal"/>
    <w:next w:val="Statut"/>
    <w:rsid w:val="00161159"/>
    <w:pPr>
      <w:spacing w:before="0" w:after="0"/>
      <w:ind w:left="476" w:hanging="476"/>
      <w:jc w:val="left"/>
    </w:pPr>
    <w:rPr>
      <w:rFonts w:eastAsia="Times New Roman"/>
      <w:lang w:eastAsia="en-GB"/>
    </w:rPr>
  </w:style>
  <w:style w:type="paragraph" w:customStyle="1" w:styleId="Rfrenceinterinstitutionelleprliminaire">
    <w:name w:val="Référence interinstitutionelle (préliminaire)"/>
    <w:basedOn w:val="Normal"/>
    <w:next w:val="Normal"/>
    <w:rsid w:val="00161159"/>
    <w:pPr>
      <w:numPr>
        <w:ilvl w:val="1"/>
        <w:numId w:val="18"/>
      </w:numPr>
      <w:spacing w:before="0" w:after="0"/>
      <w:jc w:val="left"/>
    </w:pPr>
    <w:rPr>
      <w:rFonts w:eastAsia="Times New Roman"/>
      <w:lang w:eastAsia="en-GB"/>
    </w:rPr>
  </w:style>
  <w:style w:type="paragraph" w:customStyle="1" w:styleId="Sous-titreobjetprliminaire">
    <w:name w:val="Sous-titre objet (préliminaire)"/>
    <w:basedOn w:val="Normal"/>
    <w:rsid w:val="00161159"/>
    <w:pPr>
      <w:numPr>
        <w:ilvl w:val="2"/>
        <w:numId w:val="18"/>
      </w:numPr>
      <w:spacing w:before="0" w:after="0"/>
      <w:jc w:val="center"/>
    </w:pPr>
    <w:rPr>
      <w:rFonts w:eastAsia="Times New Roman"/>
      <w:b/>
      <w:lang w:eastAsia="en-GB"/>
    </w:rPr>
  </w:style>
  <w:style w:type="paragraph" w:customStyle="1" w:styleId="Statutprliminaire">
    <w:name w:val="Statut (préliminaire)"/>
    <w:basedOn w:val="Normal"/>
    <w:next w:val="Normal"/>
    <w:rsid w:val="00161159"/>
    <w:pPr>
      <w:spacing w:before="360" w:after="0"/>
      <w:jc w:val="center"/>
    </w:pPr>
    <w:rPr>
      <w:rFonts w:eastAsia="Times New Roman"/>
      <w:lang w:eastAsia="en-GB"/>
    </w:rPr>
  </w:style>
  <w:style w:type="paragraph" w:customStyle="1" w:styleId="Titreobjetprliminaire">
    <w:name w:val="Titre objet (préliminaire)"/>
    <w:basedOn w:val="Normal"/>
    <w:next w:val="Normal"/>
    <w:rsid w:val="00161159"/>
    <w:pPr>
      <w:spacing w:before="360" w:after="360"/>
      <w:jc w:val="center"/>
    </w:pPr>
    <w:rPr>
      <w:rFonts w:eastAsia="Times New Roman"/>
      <w:b/>
      <w:lang w:eastAsia="en-GB"/>
    </w:rPr>
  </w:style>
  <w:style w:type="paragraph" w:customStyle="1" w:styleId="Typedudocumentprliminaire">
    <w:name w:val="Type du document (préliminaire)"/>
    <w:basedOn w:val="Normal"/>
    <w:next w:val="Normal"/>
    <w:rsid w:val="00161159"/>
    <w:pPr>
      <w:spacing w:before="360" w:after="0"/>
      <w:jc w:val="center"/>
    </w:pPr>
    <w:rPr>
      <w:rFonts w:eastAsia="Times New Roman"/>
      <w:b/>
      <w:lang w:eastAsia="en-GB"/>
    </w:rPr>
  </w:style>
  <w:style w:type="paragraph" w:customStyle="1" w:styleId="Fichefinancirestandardtitre">
    <w:name w:val="Fiche financière (standard) titre"/>
    <w:basedOn w:val="Normal"/>
    <w:next w:val="Normal"/>
    <w:rsid w:val="00161159"/>
    <w:pPr>
      <w:jc w:val="center"/>
    </w:pPr>
    <w:rPr>
      <w:rFonts w:eastAsia="Times New Roman"/>
      <w:b/>
      <w:u w:val="single"/>
      <w:lang w:eastAsia="en-GB"/>
    </w:rPr>
  </w:style>
  <w:style w:type="paragraph" w:customStyle="1" w:styleId="Fichefinancirestandardtitreacte">
    <w:name w:val="Fiche financière (standard) titre (acte)"/>
    <w:basedOn w:val="Normal"/>
    <w:next w:val="Normal"/>
    <w:rsid w:val="00161159"/>
    <w:pPr>
      <w:jc w:val="center"/>
    </w:pPr>
    <w:rPr>
      <w:rFonts w:eastAsia="Times New Roman"/>
      <w:b/>
      <w:u w:val="single"/>
      <w:lang w:eastAsia="en-GB"/>
    </w:rPr>
  </w:style>
  <w:style w:type="paragraph" w:customStyle="1" w:styleId="Fichefinanciretravailtitre">
    <w:name w:val="Fiche financière (travail) titre"/>
    <w:basedOn w:val="Normal"/>
    <w:next w:val="Normal"/>
    <w:rsid w:val="00161159"/>
    <w:pPr>
      <w:jc w:val="center"/>
    </w:pPr>
    <w:rPr>
      <w:rFonts w:eastAsia="Times New Roman"/>
      <w:b/>
      <w:u w:val="single"/>
      <w:lang w:eastAsia="en-GB"/>
    </w:rPr>
  </w:style>
  <w:style w:type="paragraph" w:customStyle="1" w:styleId="Fichefinanciretravailtitreacte">
    <w:name w:val="Fiche financière (travail) titre (acte)"/>
    <w:basedOn w:val="Normal"/>
    <w:next w:val="Normal"/>
    <w:rsid w:val="00161159"/>
    <w:pPr>
      <w:jc w:val="center"/>
    </w:pPr>
    <w:rPr>
      <w:rFonts w:eastAsia="Times New Roman"/>
      <w:b/>
      <w:u w:val="single"/>
      <w:lang w:eastAsia="en-GB"/>
    </w:rPr>
  </w:style>
  <w:style w:type="paragraph" w:customStyle="1" w:styleId="Fichefinancireattributiontitre">
    <w:name w:val="Fiche financière (attribution) titre"/>
    <w:basedOn w:val="Normal"/>
    <w:next w:val="Normal"/>
    <w:rsid w:val="00161159"/>
    <w:pPr>
      <w:jc w:val="center"/>
    </w:pPr>
    <w:rPr>
      <w:rFonts w:eastAsia="Times New Roman"/>
      <w:b/>
      <w:u w:val="single"/>
      <w:lang w:eastAsia="en-GB"/>
    </w:rPr>
  </w:style>
  <w:style w:type="paragraph" w:customStyle="1" w:styleId="Fichefinancireattributiontitreacte">
    <w:name w:val="Fiche financière (attribution) titre (acte)"/>
    <w:basedOn w:val="Normal"/>
    <w:next w:val="Normal"/>
    <w:rsid w:val="00161159"/>
    <w:pPr>
      <w:jc w:val="center"/>
    </w:pPr>
    <w:rPr>
      <w:rFonts w:eastAsia="Times New Roman"/>
      <w:b/>
      <w:u w:val="single"/>
      <w:lang w:eastAsia="en-GB"/>
    </w:rPr>
  </w:style>
  <w:style w:type="character" w:styleId="CommentReference">
    <w:name w:val="annotation reference"/>
    <w:rsid w:val="00161159"/>
    <w:rPr>
      <w:rFonts w:cs="Times New Roman"/>
      <w:sz w:val="16"/>
      <w:szCs w:val="16"/>
    </w:rPr>
  </w:style>
  <w:style w:type="paragraph" w:styleId="CommentText">
    <w:name w:val="annotation text"/>
    <w:basedOn w:val="Normal"/>
    <w:link w:val="CommentTextChar"/>
    <w:rsid w:val="00161159"/>
    <w:rPr>
      <w:rFonts w:eastAsia="Times New Roman"/>
      <w:sz w:val="20"/>
      <w:szCs w:val="20"/>
      <w:lang w:eastAsia="en-GB"/>
    </w:rPr>
  </w:style>
  <w:style w:type="character" w:customStyle="1" w:styleId="CommentTextChar">
    <w:name w:val="Comment Text Char"/>
    <w:basedOn w:val="DefaultParagraphFont"/>
    <w:link w:val="CommentText"/>
    <w:rsid w:val="00161159"/>
    <w:rPr>
      <w:rFonts w:ascii="Times New Roman" w:eastAsia="Times New Roman" w:hAnsi="Times New Roman" w:cs="Times New Roman"/>
      <w:sz w:val="20"/>
      <w:szCs w:val="20"/>
      <w:lang w:val="bg-BG" w:eastAsia="en-GB"/>
    </w:rPr>
  </w:style>
  <w:style w:type="paragraph" w:styleId="CommentSubject">
    <w:name w:val="annotation subject"/>
    <w:basedOn w:val="CommentText"/>
    <w:next w:val="CommentText"/>
    <w:link w:val="CommentSubjectChar"/>
    <w:rsid w:val="00161159"/>
    <w:rPr>
      <w:b/>
      <w:bCs/>
    </w:rPr>
  </w:style>
  <w:style w:type="character" w:customStyle="1" w:styleId="CommentSubjectChar">
    <w:name w:val="Comment Subject Char"/>
    <w:basedOn w:val="CommentTextChar"/>
    <w:link w:val="CommentSubject"/>
    <w:rsid w:val="00161159"/>
    <w:rPr>
      <w:rFonts w:ascii="Times New Roman" w:eastAsia="Times New Roman" w:hAnsi="Times New Roman" w:cs="Times New Roman"/>
      <w:b/>
      <w:bCs/>
      <w:sz w:val="20"/>
      <w:szCs w:val="20"/>
      <w:lang w:val="bg-BG" w:eastAsia="en-GB"/>
    </w:rPr>
  </w:style>
  <w:style w:type="paragraph" w:styleId="BalloonText">
    <w:name w:val="Balloon Text"/>
    <w:basedOn w:val="Normal"/>
    <w:link w:val="BalloonTextChar"/>
    <w:rsid w:val="00161159"/>
    <w:rPr>
      <w:rFonts w:ascii="Tahoma" w:eastAsia="Times New Roman" w:hAnsi="Tahoma" w:cs="Tahoma"/>
      <w:sz w:val="16"/>
      <w:szCs w:val="16"/>
      <w:lang w:eastAsia="en-GB"/>
    </w:rPr>
  </w:style>
  <w:style w:type="character" w:customStyle="1" w:styleId="BalloonTextChar">
    <w:name w:val="Balloon Text Char"/>
    <w:basedOn w:val="DefaultParagraphFont"/>
    <w:link w:val="BalloonText"/>
    <w:rsid w:val="00161159"/>
    <w:rPr>
      <w:rFonts w:ascii="Tahoma" w:eastAsia="Times New Roman" w:hAnsi="Tahoma" w:cs="Tahoma"/>
      <w:sz w:val="16"/>
      <w:szCs w:val="16"/>
      <w:lang w:val="bg-BG" w:eastAsia="en-GB"/>
    </w:rPr>
  </w:style>
  <w:style w:type="paragraph" w:styleId="Caption">
    <w:name w:val="caption"/>
    <w:basedOn w:val="Normal"/>
    <w:next w:val="Normal"/>
    <w:qFormat/>
    <w:rsid w:val="00161159"/>
    <w:rPr>
      <w:rFonts w:eastAsia="Times New Roman"/>
      <w:b/>
      <w:bCs/>
      <w:sz w:val="20"/>
      <w:szCs w:val="20"/>
      <w:lang w:eastAsia="en-GB"/>
    </w:rPr>
  </w:style>
  <w:style w:type="paragraph" w:styleId="TableofFigures">
    <w:name w:val="table of figures"/>
    <w:basedOn w:val="Normal"/>
    <w:next w:val="Normal"/>
    <w:rsid w:val="00161159"/>
    <w:rPr>
      <w:rFonts w:eastAsia="Times New Roman"/>
      <w:lang w:eastAsia="en-GB"/>
    </w:rPr>
  </w:style>
  <w:style w:type="character" w:styleId="PageNumber">
    <w:name w:val="page number"/>
    <w:rsid w:val="00161159"/>
  </w:style>
  <w:style w:type="character" w:customStyle="1" w:styleId="tw4winMark">
    <w:name w:val="tw4winMark"/>
    <w:rsid w:val="00161159"/>
    <w:rPr>
      <w:vanish/>
      <w:color w:val="800080"/>
      <w:vertAlign w:val="subscript"/>
    </w:rPr>
  </w:style>
  <w:style w:type="character" w:styleId="FollowedHyperlink">
    <w:name w:val="FollowedHyperlink"/>
    <w:rsid w:val="00161159"/>
    <w:rPr>
      <w:color w:val="800080"/>
      <w:u w:val="single"/>
    </w:rPr>
  </w:style>
  <w:style w:type="paragraph" w:customStyle="1" w:styleId="Sous-titreobjet">
    <w:name w:val="Sous-titre objet"/>
    <w:basedOn w:val="Normal"/>
    <w:rsid w:val="00161159"/>
    <w:pPr>
      <w:spacing w:before="0" w:after="0"/>
      <w:jc w:val="center"/>
    </w:pPr>
    <w:rPr>
      <w:rFonts w:eastAsia="Times New Roman"/>
      <w:b/>
      <w:lang w:eastAsia="en-GB"/>
    </w:rPr>
  </w:style>
  <w:style w:type="paragraph" w:customStyle="1" w:styleId="Sous-titreobjetPagedecouverture">
    <w:name w:val="Sous-titre objet (Page de couverture)"/>
    <w:basedOn w:val="Sous-titreobjet"/>
    <w:rsid w:val="00161159"/>
  </w:style>
  <w:style w:type="paragraph" w:styleId="Revision">
    <w:name w:val="Revision"/>
    <w:hidden/>
    <w:uiPriority w:val="99"/>
    <w:semiHidden/>
    <w:rsid w:val="00161159"/>
    <w:rPr>
      <w:rFonts w:ascii="Calibri" w:eastAsia="Calibri" w:hAnsi="Calibri" w:cs="Times New Roman"/>
      <w:sz w:val="24"/>
      <w:lang w:eastAsia="en-GB"/>
    </w:rPr>
  </w:style>
  <w:style w:type="paragraph" w:customStyle="1" w:styleId="FooterCoverPage">
    <w:name w:val="Footer Cover Page"/>
    <w:basedOn w:val="Normal"/>
    <w:link w:val="FooterCoverPageChar"/>
    <w:rsid w:val="00161159"/>
    <w:pPr>
      <w:tabs>
        <w:tab w:val="center" w:pos="4535"/>
        <w:tab w:val="right" w:pos="9071"/>
        <w:tab w:val="right" w:pos="9921"/>
      </w:tabs>
      <w:spacing w:before="360" w:after="0"/>
      <w:ind w:left="-850" w:right="-850"/>
      <w:jc w:val="left"/>
    </w:pPr>
    <w:rPr>
      <w:rFonts w:eastAsia="Calibri"/>
      <w:lang w:eastAsia="en-GB"/>
    </w:rPr>
  </w:style>
  <w:style w:type="character" w:customStyle="1" w:styleId="TOCHeadingChar">
    <w:name w:val="TOC Heading Char"/>
    <w:uiPriority w:val="39"/>
    <w:rsid w:val="00161159"/>
    <w:rPr>
      <w:rFonts w:ascii="Times New Roman" w:hAnsi="Times New Roman" w:cs="Times New Roman"/>
      <w:b/>
      <w:sz w:val="28"/>
      <w:lang w:val="bg-BG"/>
    </w:rPr>
  </w:style>
  <w:style w:type="character" w:customStyle="1" w:styleId="FooterCoverPageChar">
    <w:name w:val="Footer Cover Page Char"/>
    <w:link w:val="FooterCoverPage"/>
    <w:rsid w:val="00161159"/>
    <w:rPr>
      <w:rFonts w:ascii="Times New Roman" w:eastAsia="Calibri" w:hAnsi="Times New Roman" w:cs="Times New Roman"/>
      <w:sz w:val="24"/>
      <w:lang w:val="bg-BG" w:eastAsia="en-GB"/>
    </w:rPr>
  </w:style>
  <w:style w:type="paragraph" w:customStyle="1" w:styleId="HeaderCoverPage">
    <w:name w:val="Header Cover Page"/>
    <w:basedOn w:val="Normal"/>
    <w:link w:val="HeaderCoverPageChar"/>
    <w:rsid w:val="00161159"/>
    <w:pPr>
      <w:tabs>
        <w:tab w:val="center" w:pos="4535"/>
        <w:tab w:val="right" w:pos="9071"/>
      </w:tabs>
      <w:spacing w:before="0"/>
    </w:pPr>
    <w:rPr>
      <w:rFonts w:eastAsia="Calibri"/>
      <w:lang w:eastAsia="en-GB"/>
    </w:rPr>
  </w:style>
  <w:style w:type="character" w:customStyle="1" w:styleId="HeaderCoverPageChar">
    <w:name w:val="Header Cover Page Char"/>
    <w:link w:val="HeaderCoverPage"/>
    <w:rsid w:val="00161159"/>
    <w:rPr>
      <w:rFonts w:ascii="Times New Roman" w:eastAsia="Calibri" w:hAnsi="Times New Roman" w:cs="Times New Roman"/>
      <w:sz w:val="24"/>
      <w:lang w:val="bg-BG" w:eastAsia="en-GB"/>
    </w:rPr>
  </w:style>
  <w:style w:type="character" w:customStyle="1" w:styleId="FooterSensitivityChar">
    <w:name w:val="Footer Sensitivity Char"/>
    <w:rsid w:val="00161159"/>
    <w:rPr>
      <w:rFonts w:ascii="Times New Roman" w:hAnsi="Times New Roman" w:cs="Times New Roman"/>
      <w:b/>
      <w:sz w:val="32"/>
      <w:lang w:val="bg-BG"/>
    </w:rPr>
  </w:style>
  <w:style w:type="character" w:customStyle="1" w:styleId="HeaderSensitivityChar">
    <w:name w:val="Header Sensitivity Char"/>
    <w:rsid w:val="00161159"/>
    <w:rPr>
      <w:rFonts w:ascii="Times New Roman" w:hAnsi="Times New Roman" w:cs="Times New Roman"/>
      <w:b/>
      <w:sz w:val="32"/>
      <w:lang w:val="bg-BG"/>
    </w:rPr>
  </w:style>
  <w:style w:type="character" w:customStyle="1" w:styleId="HeaderSensitivityRightChar">
    <w:name w:val="Header Sensitivity Right Char"/>
    <w:rsid w:val="00161159"/>
    <w:rPr>
      <w:rFonts w:ascii="Times New Roman" w:hAnsi="Times New Roman" w:cs="Times New Roman"/>
      <w:sz w:val="28"/>
      <w:lang w:val="bg-BG"/>
    </w:rPr>
  </w:style>
  <w:style w:type="paragraph" w:customStyle="1" w:styleId="LegalNumPar">
    <w:name w:val="LegalNumPar"/>
    <w:basedOn w:val="Normal"/>
    <w:rsid w:val="00161159"/>
    <w:pPr>
      <w:numPr>
        <w:numId w:val="18"/>
      </w:numPr>
      <w:spacing w:line="360" w:lineRule="auto"/>
    </w:pPr>
    <w:rPr>
      <w:rFonts w:eastAsia="Times New Roman"/>
      <w:lang w:eastAsia="en-GB"/>
    </w:rPr>
  </w:style>
  <w:style w:type="paragraph" w:customStyle="1" w:styleId="LegalNumPar2">
    <w:name w:val="LegalNumPar2"/>
    <w:basedOn w:val="Normal"/>
    <w:rsid w:val="00161159"/>
    <w:pPr>
      <w:spacing w:line="360" w:lineRule="auto"/>
      <w:ind w:left="953" w:hanging="477"/>
    </w:pPr>
    <w:rPr>
      <w:rFonts w:eastAsia="Times New Roman"/>
      <w:lang w:eastAsia="en-GB"/>
    </w:rPr>
  </w:style>
  <w:style w:type="paragraph" w:customStyle="1" w:styleId="LegalNumPar3">
    <w:name w:val="LegalNumPar3"/>
    <w:basedOn w:val="Normal"/>
    <w:rsid w:val="00161159"/>
    <w:pPr>
      <w:spacing w:line="360" w:lineRule="auto"/>
      <w:ind w:left="1429" w:hanging="476"/>
    </w:pPr>
    <w:rPr>
      <w:rFonts w:eastAsia="Times New Roman"/>
      <w:lang w:eastAsia="en-GB"/>
    </w:rPr>
  </w:style>
  <w:style w:type="paragraph" w:styleId="ListParagraph">
    <w:name w:val="List Paragraph"/>
    <w:aliases w:val="List Paragraph (numbered (a)),References,WB List Paragraph,Dot pt,F5 List Paragraph,List Paragraph1,No Spacing1,List Paragraph Char Char Char,Indicator Text,Colorful List - Accent 11,Numbered Para 1,Bullet Points,List Paragraph2"/>
    <w:basedOn w:val="Normal"/>
    <w:link w:val="ListParagraphChar"/>
    <w:uiPriority w:val="34"/>
    <w:qFormat/>
    <w:rsid w:val="00161159"/>
    <w:pPr>
      <w:ind w:left="720"/>
      <w:contextualSpacing/>
    </w:pPr>
    <w:rPr>
      <w:rFonts w:eastAsia="Times New Roman"/>
      <w:lang w:eastAsia="en-GB"/>
    </w:rPr>
  </w:style>
  <w:style w:type="character" w:customStyle="1" w:styleId="UnresolvedMention">
    <w:name w:val="Unresolved Mention"/>
    <w:basedOn w:val="DefaultParagraphFont"/>
    <w:uiPriority w:val="99"/>
    <w:semiHidden/>
    <w:unhideWhenUsed/>
    <w:rsid w:val="00161159"/>
    <w:rPr>
      <w:color w:val="605E5C"/>
      <w:shd w:val="clear" w:color="auto" w:fill="E1DFDD"/>
    </w:rPr>
  </w:style>
  <w:style w:type="character" w:styleId="Strong">
    <w:name w:val="Strong"/>
    <w:basedOn w:val="DefaultParagraphFont"/>
    <w:qFormat/>
    <w:rsid w:val="00161159"/>
    <w:rPr>
      <w:b/>
      <w:bCs/>
    </w:rPr>
  </w:style>
  <w:style w:type="character" w:styleId="Emphasis">
    <w:name w:val="Emphasis"/>
    <w:basedOn w:val="DefaultParagraphFont"/>
    <w:qFormat/>
    <w:rsid w:val="00161159"/>
    <w:rPr>
      <w:i/>
      <w:iCs/>
    </w:rPr>
  </w:style>
  <w:style w:type="character" w:customStyle="1" w:styleId="Mention">
    <w:name w:val="Mention"/>
    <w:basedOn w:val="DefaultParagraphFont"/>
    <w:uiPriority w:val="99"/>
    <w:unhideWhenUsed/>
    <w:rsid w:val="00161159"/>
    <w:rPr>
      <w:color w:val="2B579A"/>
      <w:shd w:val="clear" w:color="auto" w:fill="E1DFDD"/>
    </w:rPr>
  </w:style>
  <w:style w:type="character" w:customStyle="1" w:styleId="normaltextrun">
    <w:name w:val="normaltextrun"/>
    <w:basedOn w:val="DefaultParagraphFont"/>
    <w:rsid w:val="00161159"/>
  </w:style>
  <w:style w:type="character" w:customStyle="1" w:styleId="eop">
    <w:name w:val="eop"/>
    <w:basedOn w:val="DefaultParagraphFont"/>
    <w:rsid w:val="00161159"/>
  </w:style>
  <w:style w:type="character" w:customStyle="1" w:styleId="ListParagraphChar">
    <w:name w:val="List Paragraph Char"/>
    <w:aliases w:val="List Paragraph (numbered (a)) Char,References Char,WB List Paragraph Char,Dot pt Char,F5 List Paragraph Char,List Paragraph1 Char,No Spacing1 Char,List Paragraph Char Char Char Char,Indicator Text Char,Colorful List - Accent 11 Char"/>
    <w:basedOn w:val="DefaultParagraphFont"/>
    <w:link w:val="ListParagraph"/>
    <w:uiPriority w:val="34"/>
    <w:qFormat/>
    <w:locked/>
    <w:rsid w:val="00A95443"/>
    <w:rPr>
      <w:rFonts w:ascii="Times New Roman" w:eastAsia="Times New Roman" w:hAnsi="Times New Roman" w:cs="Times New Roman"/>
      <w:sz w:val="24"/>
      <w:lang w:val="bg-BG" w:eastAsia="en-GB"/>
    </w:rPr>
  </w:style>
  <w:style w:type="paragraph" w:customStyle="1" w:styleId="FootnoteReference1">
    <w:name w:val="Footnote Reference1"/>
    <w:basedOn w:val="Normal"/>
    <w:link w:val="FootnoteReference"/>
    <w:uiPriority w:val="99"/>
    <w:rsid w:val="00A95443"/>
    <w:pPr>
      <w:spacing w:before="0" w:after="160" w:line="240" w:lineRule="exact"/>
      <w:jc w:val="left"/>
    </w:pPr>
    <w:rPr>
      <w:rFonts w:asciiTheme="minorHAnsi" w:hAnsiTheme="minorHAnsi" w:cstheme="minorBidi"/>
      <w:sz w:val="22"/>
      <w:vertAlign w:val="superscript"/>
    </w:rPr>
  </w:style>
  <w:style w:type="paragraph" w:customStyle="1" w:styleId="NormalPara">
    <w:name w:val="Normal # Para"/>
    <w:basedOn w:val="Normal"/>
    <w:qFormat/>
    <w:rsid w:val="00A95443"/>
    <w:pPr>
      <w:numPr>
        <w:numId w:val="21"/>
      </w:numPr>
      <w:spacing w:before="0" w:after="240" w:line="288" w:lineRule="auto"/>
    </w:pPr>
    <w:rPr>
      <w:szCs w:val="24"/>
    </w:rPr>
  </w:style>
  <w:style w:type="character" w:customStyle="1" w:styleId="HeaderChar">
    <w:name w:val="Header Char"/>
    <w:basedOn w:val="DefaultParagraphFont"/>
    <w:link w:val="Header"/>
    <w:uiPriority w:val="99"/>
    <w:rsid w:val="00EC5118"/>
    <w:rPr>
      <w:rFonts w:ascii="Times New Roman" w:hAnsi="Times New Roman" w:cs="Times New Roman"/>
      <w:sz w:val="24"/>
      <w:lang w:val="bg-BG"/>
    </w:rPr>
  </w:style>
  <w:style w:type="character" w:customStyle="1" w:styleId="FooterChar">
    <w:name w:val="Footer Char"/>
    <w:basedOn w:val="DefaultParagraphFont"/>
    <w:link w:val="Footer"/>
    <w:uiPriority w:val="99"/>
    <w:rsid w:val="00EC5118"/>
    <w:rPr>
      <w:rFonts w:ascii="Times New Roman" w:hAnsi="Times New Roman" w:cs="Times New Roman"/>
      <w:sz w:val="24"/>
      <w:lang w:val="bg-BG"/>
    </w:rPr>
  </w:style>
  <w:style w:type="paragraph" w:styleId="FootnoteText">
    <w:name w:val="footnote text"/>
    <w:basedOn w:val="Normal"/>
    <w:link w:val="FootnoteTextChar"/>
    <w:uiPriority w:val="99"/>
    <w:semiHidden/>
    <w:unhideWhenUsed/>
    <w:pPr>
      <w:spacing w:before="0" w:after="0"/>
      <w:ind w:left="720" w:hanging="720"/>
    </w:pPr>
    <w:rPr>
      <w:sz w:val="20"/>
      <w:szCs w:val="20"/>
    </w:rPr>
  </w:style>
  <w:style w:type="character" w:customStyle="1" w:styleId="FootnoteTextChar">
    <w:name w:val="Footnote Text Char"/>
    <w:basedOn w:val="DefaultParagraphFont"/>
    <w:link w:val="FootnoteText"/>
    <w:uiPriority w:val="99"/>
    <w:semiHidden/>
    <w:rPr>
      <w:rFonts w:ascii="Times New Roman" w:hAnsi="Times New Roman" w:cs="Times New Roman"/>
      <w:sz w:val="20"/>
      <w:szCs w:val="20"/>
      <w:shd w:val="clear" w:color="auto" w:fill="auto"/>
      <w:lang w:val="en-GB"/>
    </w:rPr>
  </w:style>
  <w:style w:type="character" w:customStyle="1" w:styleId="Heading1Char">
    <w:name w:val="Heading 1 Char"/>
    <w:basedOn w:val="DefaultParagraphFont"/>
    <w:link w:val="Heading1"/>
    <w:uiPriority w:val="9"/>
    <w:rPr>
      <w:rFonts w:ascii="Times New Roman" w:eastAsiaTheme="majorEastAsia" w:hAnsi="Times New Roman" w:cs="Times New Roman"/>
      <w:b/>
      <w:bCs/>
      <w:smallCaps/>
      <w:sz w:val="24"/>
      <w:szCs w:val="28"/>
      <w:lang w:val="bg-BG"/>
    </w:rPr>
  </w:style>
  <w:style w:type="character" w:customStyle="1" w:styleId="Heading2Char">
    <w:name w:val="Heading 2 Char"/>
    <w:basedOn w:val="DefaultParagraphFont"/>
    <w:link w:val="Heading2"/>
    <w:uiPriority w:val="9"/>
    <w:semiHidden/>
    <w:rPr>
      <w:rFonts w:ascii="Times New Roman" w:eastAsiaTheme="majorEastAsia" w:hAnsi="Times New Roman" w:cs="Times New Roman"/>
      <w:b/>
      <w:bCs/>
      <w:sz w:val="24"/>
      <w:szCs w:val="26"/>
      <w:lang w:val="bg-BG"/>
    </w:rPr>
  </w:style>
  <w:style w:type="character" w:customStyle="1" w:styleId="Heading3Char">
    <w:name w:val="Heading 3 Char"/>
    <w:basedOn w:val="DefaultParagraphFont"/>
    <w:link w:val="Heading3"/>
    <w:uiPriority w:val="9"/>
    <w:semiHidden/>
    <w:rPr>
      <w:rFonts w:ascii="Times New Roman" w:eastAsiaTheme="majorEastAsia" w:hAnsi="Times New Roman" w:cs="Times New Roman"/>
      <w:bCs/>
      <w:i/>
      <w:sz w:val="24"/>
      <w:lang w:val="bg-BG"/>
    </w:rPr>
  </w:style>
  <w:style w:type="character" w:customStyle="1" w:styleId="Heading4Char">
    <w:name w:val="Heading 4 Char"/>
    <w:basedOn w:val="DefaultParagraphFont"/>
    <w:link w:val="Heading4"/>
    <w:uiPriority w:val="9"/>
    <w:semiHidden/>
    <w:rPr>
      <w:rFonts w:ascii="Times New Roman" w:eastAsiaTheme="majorEastAsia" w:hAnsi="Times New Roman" w:cs="Times New Roman"/>
      <w:bCs/>
      <w:iCs/>
      <w:sz w:val="24"/>
      <w:lang w:val="bg-BG"/>
    </w:rPr>
  </w:style>
  <w:style w:type="character" w:customStyle="1" w:styleId="Heading5Char">
    <w:name w:val="Heading 5 Char"/>
    <w:basedOn w:val="DefaultParagraphFont"/>
    <w:link w:val="Heading5"/>
    <w:uiPriority w:val="9"/>
    <w:semiHidden/>
    <w:rPr>
      <w:rFonts w:ascii="Times New Roman" w:eastAsiaTheme="majorEastAsia" w:hAnsi="Times New Roman" w:cs="Times New Roman"/>
      <w:sz w:val="24"/>
      <w:lang w:val="bg-BG"/>
    </w:rPr>
  </w:style>
  <w:style w:type="character" w:customStyle="1" w:styleId="Heading6Char">
    <w:name w:val="Heading 6 Char"/>
    <w:basedOn w:val="DefaultParagraphFont"/>
    <w:link w:val="Heading6"/>
    <w:uiPriority w:val="9"/>
    <w:semiHidden/>
    <w:rPr>
      <w:rFonts w:ascii="Times New Roman" w:eastAsiaTheme="majorEastAsia" w:hAnsi="Times New Roman" w:cs="Times New Roman"/>
      <w:iCs/>
      <w:sz w:val="24"/>
      <w:lang w:val="bg-BG"/>
    </w:rPr>
  </w:style>
  <w:style w:type="character" w:customStyle="1" w:styleId="Heading7Char">
    <w:name w:val="Heading 7 Char"/>
    <w:basedOn w:val="DefaultParagraphFont"/>
    <w:link w:val="Heading7"/>
    <w:uiPriority w:val="9"/>
    <w:semiHidden/>
    <w:rPr>
      <w:rFonts w:ascii="Times New Roman" w:eastAsiaTheme="majorEastAsia" w:hAnsi="Times New Roman" w:cs="Times New Roman"/>
      <w:iCs/>
      <w:sz w:val="24"/>
      <w:lang w:val="bg-BG"/>
    </w:rPr>
  </w:style>
  <w:style w:type="paragraph" w:styleId="TOCHeading">
    <w:name w:val="TOC Heading"/>
    <w:basedOn w:val="Normal"/>
    <w:next w:val="Normal"/>
    <w:uiPriority w:val="39"/>
    <w:semiHidden/>
    <w:unhideWhenUsed/>
    <w:qFormat/>
    <w:pPr>
      <w:spacing w:after="240"/>
      <w:jc w:val="center"/>
    </w:pPr>
    <w:rPr>
      <w:b/>
      <w:sz w:val="28"/>
    </w:rPr>
  </w:style>
  <w:style w:type="paragraph" w:styleId="TOC1">
    <w:name w:val="toc 1"/>
    <w:basedOn w:val="Normal"/>
    <w:next w:val="Normal"/>
    <w:uiPriority w:val="39"/>
    <w:semiHidden/>
    <w:unhideWhenUsed/>
    <w:pPr>
      <w:tabs>
        <w:tab w:val="right" w:leader="dot" w:pos="9071"/>
      </w:tabs>
      <w:spacing w:before="60"/>
      <w:ind w:left="850" w:hanging="850"/>
      <w:jc w:val="left"/>
    </w:pPr>
  </w:style>
  <w:style w:type="paragraph" w:styleId="TOC2">
    <w:name w:val="toc 2"/>
    <w:basedOn w:val="Normal"/>
    <w:next w:val="Normal"/>
    <w:uiPriority w:val="39"/>
    <w:semiHidden/>
    <w:unhideWhenUsed/>
    <w:pPr>
      <w:tabs>
        <w:tab w:val="right" w:leader="dot" w:pos="9071"/>
      </w:tabs>
      <w:spacing w:before="60"/>
      <w:ind w:left="850" w:hanging="850"/>
      <w:jc w:val="left"/>
    </w:pPr>
  </w:style>
  <w:style w:type="paragraph" w:styleId="TOC3">
    <w:name w:val="toc 3"/>
    <w:basedOn w:val="Normal"/>
    <w:next w:val="Normal"/>
    <w:uiPriority w:val="39"/>
    <w:semiHidden/>
    <w:unhideWhenUsed/>
    <w:pPr>
      <w:tabs>
        <w:tab w:val="right" w:leader="dot" w:pos="9071"/>
      </w:tabs>
      <w:spacing w:before="60"/>
      <w:ind w:left="850" w:hanging="850"/>
      <w:jc w:val="left"/>
    </w:pPr>
  </w:style>
  <w:style w:type="paragraph" w:styleId="TOC4">
    <w:name w:val="toc 4"/>
    <w:basedOn w:val="Normal"/>
    <w:next w:val="Normal"/>
    <w:uiPriority w:val="39"/>
    <w:semiHidden/>
    <w:unhideWhenUsed/>
    <w:pPr>
      <w:tabs>
        <w:tab w:val="right" w:leader="dot" w:pos="9071"/>
      </w:tabs>
      <w:spacing w:before="60"/>
      <w:ind w:left="850" w:hanging="850"/>
      <w:jc w:val="left"/>
    </w:pPr>
  </w:style>
  <w:style w:type="paragraph" w:styleId="TOC5">
    <w:name w:val="toc 5"/>
    <w:basedOn w:val="Normal"/>
    <w:next w:val="Normal"/>
    <w:uiPriority w:val="39"/>
    <w:semiHidden/>
    <w:unhideWhenUsed/>
    <w:pPr>
      <w:tabs>
        <w:tab w:val="right" w:leader="dot" w:pos="9071"/>
      </w:tabs>
      <w:spacing w:before="300"/>
      <w:jc w:val="left"/>
    </w:pPr>
  </w:style>
  <w:style w:type="paragraph" w:styleId="TOC6">
    <w:name w:val="toc 6"/>
    <w:basedOn w:val="Normal"/>
    <w:next w:val="Normal"/>
    <w:uiPriority w:val="39"/>
    <w:semiHidden/>
    <w:unhideWhenUsed/>
    <w:pPr>
      <w:tabs>
        <w:tab w:val="right" w:leader="dot" w:pos="9071"/>
      </w:tabs>
      <w:spacing w:before="240"/>
      <w:jc w:val="left"/>
    </w:pPr>
  </w:style>
  <w:style w:type="paragraph" w:styleId="TOC7">
    <w:name w:val="toc 7"/>
    <w:basedOn w:val="Normal"/>
    <w:next w:val="Normal"/>
    <w:uiPriority w:val="39"/>
    <w:semiHidden/>
    <w:unhideWhenUsed/>
    <w:pPr>
      <w:tabs>
        <w:tab w:val="right" w:leader="dot" w:pos="9071"/>
      </w:tabs>
      <w:spacing w:before="180"/>
      <w:jc w:val="left"/>
    </w:pPr>
  </w:style>
  <w:style w:type="paragraph" w:styleId="TOC8">
    <w:name w:val="toc 8"/>
    <w:basedOn w:val="Normal"/>
    <w:next w:val="Normal"/>
    <w:uiPriority w:val="39"/>
    <w:semiHidden/>
    <w:unhideWhenUsed/>
    <w:pPr>
      <w:tabs>
        <w:tab w:val="right" w:leader="dot" w:pos="9071"/>
      </w:tabs>
      <w:jc w:val="left"/>
    </w:pPr>
  </w:style>
  <w:style w:type="paragraph" w:styleId="TOC9">
    <w:name w:val="toc 9"/>
    <w:basedOn w:val="Normal"/>
    <w:next w:val="Normal"/>
    <w:uiPriority w:val="39"/>
    <w:semiHidden/>
    <w:unhideWhenUsed/>
    <w:pPr>
      <w:tabs>
        <w:tab w:val="right" w:leader="dot" w:pos="9071"/>
      </w:tabs>
      <w:ind w:left="1417" w:hanging="1417"/>
      <w:jc w:val="left"/>
    </w:pPr>
  </w:style>
  <w:style w:type="character" w:styleId="FootnoteReference">
    <w:name w:val="footnote reference"/>
    <w:basedOn w:val="DefaultParagraphFont"/>
    <w:link w:val="FootnoteReference1"/>
    <w:uiPriority w:val="99"/>
    <w:semiHidden/>
    <w:unhideWhenUsed/>
    <w:rPr>
      <w:shd w:val="clear" w:color="auto" w:fill="auto"/>
      <w:vertAlign w:val="superscript"/>
    </w:rPr>
  </w:style>
  <w:style w:type="paragraph" w:customStyle="1" w:styleId="HeaderSensitivity">
    <w:name w:val="Header Sensitivity"/>
    <w:basedOn w:val="Normal"/>
    <w:rsid w:val="00EC5118"/>
    <w:pPr>
      <w:pBdr>
        <w:top w:val="single" w:sz="4" w:space="1" w:color="auto"/>
        <w:left w:val="single" w:sz="4" w:space="4" w:color="auto"/>
        <w:bottom w:val="single" w:sz="4" w:space="1" w:color="auto"/>
        <w:right w:val="single" w:sz="4" w:space="4" w:color="auto"/>
      </w:pBdr>
      <w:spacing w:before="0"/>
      <w:ind w:left="113" w:right="113"/>
      <w:jc w:val="center"/>
    </w:pPr>
    <w:rPr>
      <w:b/>
      <w:sz w:val="32"/>
    </w:rPr>
  </w:style>
  <w:style w:type="paragraph" w:customStyle="1" w:styleId="HeaderSensitivityRight">
    <w:name w:val="Header Sensitivity Right"/>
    <w:basedOn w:val="Normal"/>
    <w:rsid w:val="00EC5118"/>
    <w:pPr>
      <w:spacing w:before="0"/>
      <w:jc w:val="right"/>
    </w:pPr>
    <w:rPr>
      <w:sz w:val="28"/>
    </w:rPr>
  </w:style>
  <w:style w:type="paragraph" w:customStyle="1" w:styleId="FooterSensitivity">
    <w:name w:val="Footer Sensitivity"/>
    <w:basedOn w:val="Normal"/>
    <w:rsid w:val="00EC5118"/>
    <w:pPr>
      <w:pBdr>
        <w:top w:val="single" w:sz="4" w:space="1" w:color="auto"/>
        <w:left w:val="single" w:sz="4" w:space="4" w:color="auto"/>
        <w:bottom w:val="single" w:sz="4" w:space="1" w:color="auto"/>
        <w:right w:val="single" w:sz="4" w:space="4" w:color="auto"/>
      </w:pBdr>
      <w:spacing w:before="360" w:after="0"/>
      <w:ind w:left="113" w:right="113"/>
      <w:jc w:val="center"/>
    </w:pPr>
    <w:rPr>
      <w:b/>
      <w:sz w:val="32"/>
    </w:rPr>
  </w:style>
  <w:style w:type="paragraph" w:customStyle="1" w:styleId="Text1">
    <w:name w:val="Text 1"/>
    <w:basedOn w:val="Normal"/>
    <w:pPr>
      <w:ind w:left="850"/>
    </w:pPr>
  </w:style>
  <w:style w:type="paragraph" w:customStyle="1" w:styleId="Text2">
    <w:name w:val="Text 2"/>
    <w:basedOn w:val="Normal"/>
    <w:pPr>
      <w:ind w:left="1417"/>
    </w:pPr>
  </w:style>
  <w:style w:type="paragraph" w:customStyle="1" w:styleId="Text3">
    <w:name w:val="Text 3"/>
    <w:basedOn w:val="Normal"/>
    <w:pPr>
      <w:ind w:left="1984"/>
    </w:pPr>
  </w:style>
  <w:style w:type="paragraph" w:customStyle="1" w:styleId="Text4">
    <w:name w:val="Text 4"/>
    <w:basedOn w:val="Normal"/>
    <w:pPr>
      <w:ind w:left="2551"/>
    </w:pPr>
  </w:style>
  <w:style w:type="paragraph" w:customStyle="1" w:styleId="Text5">
    <w:name w:val="Text 5"/>
    <w:basedOn w:val="Normal"/>
    <w:pPr>
      <w:ind w:left="3118"/>
    </w:pPr>
  </w:style>
  <w:style w:type="paragraph" w:customStyle="1" w:styleId="Text6">
    <w:name w:val="Text 6"/>
    <w:basedOn w:val="Normal"/>
    <w:pPr>
      <w:ind w:left="3685"/>
    </w:pPr>
  </w:style>
  <w:style w:type="paragraph" w:customStyle="1" w:styleId="NormalCentered">
    <w:name w:val="Normal Centered"/>
    <w:basedOn w:val="Normal"/>
    <w:pPr>
      <w:jc w:val="center"/>
    </w:pPr>
  </w:style>
  <w:style w:type="paragraph" w:customStyle="1" w:styleId="NormalLeft">
    <w:name w:val="Normal Left"/>
    <w:basedOn w:val="Normal"/>
    <w:pPr>
      <w:jc w:val="left"/>
    </w:pPr>
  </w:style>
  <w:style w:type="paragraph" w:customStyle="1" w:styleId="NormalRight">
    <w:name w:val="Normal Right"/>
    <w:basedOn w:val="Normal"/>
    <w:pPr>
      <w:jc w:val="right"/>
    </w:pPr>
  </w:style>
  <w:style w:type="paragraph" w:customStyle="1" w:styleId="QuotedText">
    <w:name w:val="Quoted Text"/>
    <w:basedOn w:val="Normal"/>
    <w:pPr>
      <w:ind w:left="1417"/>
    </w:pPr>
  </w:style>
  <w:style w:type="paragraph" w:customStyle="1" w:styleId="Point0">
    <w:name w:val="Point 0"/>
    <w:basedOn w:val="Normal"/>
    <w:pPr>
      <w:ind w:left="850" w:hanging="850"/>
    </w:pPr>
  </w:style>
  <w:style w:type="paragraph" w:customStyle="1" w:styleId="Point1">
    <w:name w:val="Point 1"/>
    <w:basedOn w:val="Normal"/>
    <w:pPr>
      <w:ind w:left="1417" w:hanging="567"/>
    </w:pPr>
  </w:style>
  <w:style w:type="paragraph" w:customStyle="1" w:styleId="Point2">
    <w:name w:val="Point 2"/>
    <w:basedOn w:val="Normal"/>
    <w:pPr>
      <w:ind w:left="1984" w:hanging="567"/>
    </w:pPr>
  </w:style>
  <w:style w:type="paragraph" w:customStyle="1" w:styleId="Point3">
    <w:name w:val="Point 3"/>
    <w:basedOn w:val="Normal"/>
    <w:pPr>
      <w:ind w:left="2551" w:hanging="567"/>
    </w:pPr>
  </w:style>
  <w:style w:type="paragraph" w:customStyle="1" w:styleId="Point4">
    <w:name w:val="Point 4"/>
    <w:basedOn w:val="Normal"/>
    <w:pPr>
      <w:ind w:left="3118" w:hanging="567"/>
    </w:pPr>
  </w:style>
  <w:style w:type="paragraph" w:customStyle="1" w:styleId="Point5">
    <w:name w:val="Point 5"/>
    <w:basedOn w:val="Normal"/>
    <w:pPr>
      <w:ind w:left="3685" w:hanging="567"/>
    </w:pPr>
  </w:style>
  <w:style w:type="paragraph" w:customStyle="1" w:styleId="Tiret0">
    <w:name w:val="Tiret 0"/>
    <w:basedOn w:val="Point0"/>
    <w:pPr>
      <w:numPr>
        <w:numId w:val="22"/>
      </w:numPr>
    </w:pPr>
  </w:style>
  <w:style w:type="paragraph" w:customStyle="1" w:styleId="Tiret1">
    <w:name w:val="Tiret 1"/>
    <w:basedOn w:val="Point1"/>
    <w:pPr>
      <w:numPr>
        <w:numId w:val="23"/>
      </w:numPr>
    </w:pPr>
  </w:style>
  <w:style w:type="paragraph" w:customStyle="1" w:styleId="Tiret2">
    <w:name w:val="Tiret 2"/>
    <w:basedOn w:val="Point2"/>
    <w:pPr>
      <w:numPr>
        <w:numId w:val="24"/>
      </w:numPr>
    </w:pPr>
  </w:style>
  <w:style w:type="paragraph" w:customStyle="1" w:styleId="Tiret3">
    <w:name w:val="Tiret 3"/>
    <w:basedOn w:val="Point3"/>
    <w:pPr>
      <w:numPr>
        <w:numId w:val="25"/>
      </w:numPr>
    </w:pPr>
  </w:style>
  <w:style w:type="paragraph" w:customStyle="1" w:styleId="Tiret4">
    <w:name w:val="Tiret 4"/>
    <w:basedOn w:val="Point4"/>
    <w:pPr>
      <w:numPr>
        <w:numId w:val="26"/>
      </w:numPr>
    </w:pPr>
  </w:style>
  <w:style w:type="paragraph" w:customStyle="1" w:styleId="Tiret5">
    <w:name w:val="Tiret 5"/>
    <w:basedOn w:val="Point5"/>
    <w:pPr>
      <w:numPr>
        <w:numId w:val="27"/>
      </w:numPr>
    </w:pPr>
  </w:style>
  <w:style w:type="paragraph" w:customStyle="1" w:styleId="PointDouble0">
    <w:name w:val="PointDouble 0"/>
    <w:basedOn w:val="Normal"/>
    <w:pPr>
      <w:tabs>
        <w:tab w:val="left" w:pos="850"/>
      </w:tabs>
      <w:ind w:left="1417" w:hanging="1417"/>
    </w:pPr>
  </w:style>
  <w:style w:type="paragraph" w:customStyle="1" w:styleId="PointDouble1">
    <w:name w:val="PointDouble 1"/>
    <w:basedOn w:val="Normal"/>
    <w:pPr>
      <w:tabs>
        <w:tab w:val="left" w:pos="1417"/>
      </w:tabs>
      <w:ind w:left="1984" w:hanging="1134"/>
    </w:pPr>
  </w:style>
  <w:style w:type="paragraph" w:customStyle="1" w:styleId="PointDouble2">
    <w:name w:val="PointDouble 2"/>
    <w:basedOn w:val="Normal"/>
    <w:pPr>
      <w:tabs>
        <w:tab w:val="left" w:pos="1984"/>
      </w:tabs>
      <w:ind w:left="2551" w:hanging="1134"/>
    </w:pPr>
  </w:style>
  <w:style w:type="paragraph" w:customStyle="1" w:styleId="PointDouble3">
    <w:name w:val="PointDouble 3"/>
    <w:basedOn w:val="Normal"/>
    <w:pPr>
      <w:tabs>
        <w:tab w:val="left" w:pos="2551"/>
      </w:tabs>
      <w:ind w:left="3118" w:hanging="1134"/>
    </w:pPr>
  </w:style>
  <w:style w:type="paragraph" w:customStyle="1" w:styleId="PointDouble4">
    <w:name w:val="PointDouble 4"/>
    <w:basedOn w:val="Normal"/>
    <w:pPr>
      <w:tabs>
        <w:tab w:val="left" w:pos="3118"/>
      </w:tabs>
      <w:ind w:left="3685" w:hanging="1134"/>
    </w:pPr>
  </w:style>
  <w:style w:type="paragraph" w:customStyle="1" w:styleId="PointTriple0">
    <w:name w:val="PointTriple 0"/>
    <w:basedOn w:val="Normal"/>
    <w:pPr>
      <w:tabs>
        <w:tab w:val="left" w:pos="850"/>
        <w:tab w:val="left" w:pos="1417"/>
      </w:tabs>
      <w:ind w:left="1984" w:hanging="1984"/>
    </w:pPr>
  </w:style>
  <w:style w:type="paragraph" w:customStyle="1" w:styleId="PointTriple1">
    <w:name w:val="PointTriple 1"/>
    <w:basedOn w:val="Normal"/>
    <w:pPr>
      <w:tabs>
        <w:tab w:val="left" w:pos="1417"/>
        <w:tab w:val="left" w:pos="1984"/>
      </w:tabs>
      <w:ind w:left="2551" w:hanging="1701"/>
    </w:pPr>
  </w:style>
  <w:style w:type="paragraph" w:customStyle="1" w:styleId="PointTriple2">
    <w:name w:val="PointTriple 2"/>
    <w:basedOn w:val="Normal"/>
    <w:pPr>
      <w:tabs>
        <w:tab w:val="left" w:pos="1984"/>
        <w:tab w:val="left" w:pos="2551"/>
      </w:tabs>
      <w:ind w:left="3118" w:hanging="1701"/>
    </w:pPr>
  </w:style>
  <w:style w:type="paragraph" w:customStyle="1" w:styleId="PointTriple3">
    <w:name w:val="PointTriple 3"/>
    <w:basedOn w:val="Normal"/>
    <w:pPr>
      <w:tabs>
        <w:tab w:val="left" w:pos="2551"/>
        <w:tab w:val="left" w:pos="3118"/>
      </w:tabs>
      <w:ind w:left="3685" w:hanging="1701"/>
    </w:pPr>
  </w:style>
  <w:style w:type="paragraph" w:customStyle="1" w:styleId="PointTriple4">
    <w:name w:val="PointTriple 4"/>
    <w:basedOn w:val="Normal"/>
    <w:pPr>
      <w:tabs>
        <w:tab w:val="left" w:pos="3118"/>
        <w:tab w:val="left" w:pos="3685"/>
      </w:tabs>
      <w:ind w:left="4252" w:hanging="1701"/>
    </w:pPr>
  </w:style>
  <w:style w:type="paragraph" w:customStyle="1" w:styleId="NumPar1">
    <w:name w:val="NumPar 1"/>
    <w:basedOn w:val="Normal"/>
    <w:next w:val="Text1"/>
    <w:pPr>
      <w:numPr>
        <w:numId w:val="28"/>
      </w:numPr>
    </w:pPr>
  </w:style>
  <w:style w:type="paragraph" w:customStyle="1" w:styleId="NumPar2">
    <w:name w:val="NumPar 2"/>
    <w:basedOn w:val="Normal"/>
    <w:next w:val="Text1"/>
    <w:pPr>
      <w:numPr>
        <w:ilvl w:val="1"/>
        <w:numId w:val="28"/>
      </w:numPr>
    </w:pPr>
  </w:style>
  <w:style w:type="paragraph" w:customStyle="1" w:styleId="NumPar3">
    <w:name w:val="NumPar 3"/>
    <w:basedOn w:val="Normal"/>
    <w:next w:val="Text1"/>
    <w:pPr>
      <w:numPr>
        <w:ilvl w:val="2"/>
        <w:numId w:val="28"/>
      </w:numPr>
    </w:pPr>
  </w:style>
  <w:style w:type="paragraph" w:customStyle="1" w:styleId="NumPar4">
    <w:name w:val="NumPar 4"/>
    <w:basedOn w:val="Normal"/>
    <w:next w:val="Text1"/>
    <w:pPr>
      <w:numPr>
        <w:ilvl w:val="3"/>
        <w:numId w:val="28"/>
      </w:numPr>
    </w:pPr>
  </w:style>
  <w:style w:type="paragraph" w:customStyle="1" w:styleId="NumPar5">
    <w:name w:val="NumPar 5"/>
    <w:basedOn w:val="Normal"/>
    <w:next w:val="Text2"/>
    <w:pPr>
      <w:numPr>
        <w:ilvl w:val="4"/>
        <w:numId w:val="28"/>
      </w:numPr>
    </w:pPr>
  </w:style>
  <w:style w:type="paragraph" w:customStyle="1" w:styleId="NumPar6">
    <w:name w:val="NumPar 6"/>
    <w:basedOn w:val="Normal"/>
    <w:next w:val="Text2"/>
    <w:pPr>
      <w:numPr>
        <w:ilvl w:val="5"/>
        <w:numId w:val="28"/>
      </w:numPr>
    </w:pPr>
  </w:style>
  <w:style w:type="paragraph" w:customStyle="1" w:styleId="NumPar7">
    <w:name w:val="NumPar 7"/>
    <w:basedOn w:val="Normal"/>
    <w:next w:val="Text2"/>
    <w:pPr>
      <w:numPr>
        <w:ilvl w:val="6"/>
        <w:numId w:val="28"/>
      </w:numPr>
    </w:pPr>
  </w:style>
  <w:style w:type="paragraph" w:customStyle="1" w:styleId="ManualNumPar1">
    <w:name w:val="Manual NumPar 1"/>
    <w:basedOn w:val="Normal"/>
    <w:next w:val="Text1"/>
    <w:pPr>
      <w:ind w:left="850" w:hanging="850"/>
    </w:pPr>
  </w:style>
  <w:style w:type="paragraph" w:customStyle="1" w:styleId="ManualNumPar2">
    <w:name w:val="Manual NumPar 2"/>
    <w:basedOn w:val="Normal"/>
    <w:next w:val="Text1"/>
    <w:pPr>
      <w:ind w:left="850" w:hanging="850"/>
    </w:pPr>
  </w:style>
  <w:style w:type="paragraph" w:customStyle="1" w:styleId="ManualNumPar3">
    <w:name w:val="Manual NumPar 3"/>
    <w:basedOn w:val="Normal"/>
    <w:next w:val="Text1"/>
    <w:pPr>
      <w:ind w:left="850" w:hanging="850"/>
    </w:pPr>
  </w:style>
  <w:style w:type="paragraph" w:customStyle="1" w:styleId="ManualNumPar4">
    <w:name w:val="Manual NumPar 4"/>
    <w:basedOn w:val="Normal"/>
    <w:next w:val="Text1"/>
    <w:pPr>
      <w:ind w:left="850" w:hanging="850"/>
    </w:pPr>
  </w:style>
  <w:style w:type="paragraph" w:customStyle="1" w:styleId="ManualNumPar5">
    <w:name w:val="Manual NumPar 5"/>
    <w:basedOn w:val="Normal"/>
    <w:next w:val="Text2"/>
    <w:pPr>
      <w:ind w:left="1417" w:hanging="1417"/>
    </w:pPr>
  </w:style>
  <w:style w:type="paragraph" w:customStyle="1" w:styleId="ManualNumPar6">
    <w:name w:val="Manual NumPar 6"/>
    <w:basedOn w:val="Normal"/>
    <w:next w:val="Text2"/>
    <w:pPr>
      <w:ind w:left="1417" w:hanging="1417"/>
    </w:pPr>
  </w:style>
  <w:style w:type="paragraph" w:customStyle="1" w:styleId="ManualNumPar7">
    <w:name w:val="Manual NumPar 7"/>
    <w:basedOn w:val="Normal"/>
    <w:next w:val="Text2"/>
    <w:pPr>
      <w:ind w:left="1417" w:hanging="1417"/>
    </w:pPr>
  </w:style>
  <w:style w:type="paragraph" w:customStyle="1" w:styleId="QuotedNumPar">
    <w:name w:val="Quoted NumPar"/>
    <w:basedOn w:val="Normal"/>
    <w:pPr>
      <w:ind w:left="1417" w:hanging="567"/>
    </w:pPr>
  </w:style>
  <w:style w:type="paragraph" w:customStyle="1" w:styleId="ManualHeading1">
    <w:name w:val="Manual Heading 1"/>
    <w:basedOn w:val="Normal"/>
    <w:next w:val="Text1"/>
    <w:pPr>
      <w:keepNext/>
      <w:tabs>
        <w:tab w:val="left" w:pos="850"/>
      </w:tabs>
      <w:spacing w:before="360"/>
      <w:ind w:left="850" w:hanging="850"/>
      <w:outlineLvl w:val="0"/>
    </w:pPr>
    <w:rPr>
      <w:b/>
      <w:smallCaps/>
    </w:rPr>
  </w:style>
  <w:style w:type="paragraph" w:customStyle="1" w:styleId="ManualHeading2">
    <w:name w:val="Manual Heading 2"/>
    <w:basedOn w:val="Normal"/>
    <w:next w:val="Text1"/>
    <w:pPr>
      <w:keepNext/>
      <w:tabs>
        <w:tab w:val="left" w:pos="850"/>
      </w:tabs>
      <w:ind w:left="850" w:hanging="850"/>
      <w:outlineLvl w:val="1"/>
    </w:pPr>
    <w:rPr>
      <w:b/>
    </w:rPr>
  </w:style>
  <w:style w:type="paragraph" w:customStyle="1" w:styleId="ManualHeading3">
    <w:name w:val="Manual Heading 3"/>
    <w:basedOn w:val="Normal"/>
    <w:next w:val="Text1"/>
    <w:pPr>
      <w:keepNext/>
      <w:tabs>
        <w:tab w:val="left" w:pos="850"/>
      </w:tabs>
      <w:ind w:left="850" w:hanging="850"/>
      <w:outlineLvl w:val="2"/>
    </w:pPr>
    <w:rPr>
      <w:i/>
    </w:rPr>
  </w:style>
  <w:style w:type="paragraph" w:customStyle="1" w:styleId="ManualHeading4">
    <w:name w:val="Manual Heading 4"/>
    <w:basedOn w:val="Normal"/>
    <w:next w:val="Text1"/>
    <w:pPr>
      <w:keepNext/>
      <w:tabs>
        <w:tab w:val="left" w:pos="850"/>
      </w:tabs>
      <w:ind w:left="850" w:hanging="850"/>
      <w:outlineLvl w:val="3"/>
    </w:pPr>
  </w:style>
  <w:style w:type="paragraph" w:customStyle="1" w:styleId="ManualHeading5">
    <w:name w:val="Manual Heading 5"/>
    <w:basedOn w:val="Normal"/>
    <w:next w:val="Text2"/>
    <w:pPr>
      <w:keepNext/>
      <w:tabs>
        <w:tab w:val="left" w:pos="1417"/>
      </w:tabs>
      <w:ind w:left="1417" w:hanging="1417"/>
      <w:outlineLvl w:val="4"/>
    </w:pPr>
  </w:style>
  <w:style w:type="paragraph" w:customStyle="1" w:styleId="ManualHeading6">
    <w:name w:val="Manual Heading 6"/>
    <w:basedOn w:val="Normal"/>
    <w:next w:val="Text2"/>
    <w:pPr>
      <w:keepNext/>
      <w:tabs>
        <w:tab w:val="left" w:pos="1417"/>
      </w:tabs>
      <w:ind w:left="1417" w:hanging="1417"/>
      <w:outlineLvl w:val="5"/>
    </w:pPr>
  </w:style>
  <w:style w:type="paragraph" w:customStyle="1" w:styleId="ManualHeading7">
    <w:name w:val="Manual Heading 7"/>
    <w:basedOn w:val="Normal"/>
    <w:next w:val="Text2"/>
    <w:pPr>
      <w:keepNext/>
      <w:tabs>
        <w:tab w:val="left" w:pos="1417"/>
      </w:tabs>
      <w:ind w:left="1417" w:hanging="1417"/>
      <w:outlineLvl w:val="6"/>
    </w:pPr>
  </w:style>
  <w:style w:type="paragraph" w:customStyle="1" w:styleId="ChapterTitle">
    <w:name w:val="ChapterTitle"/>
    <w:basedOn w:val="Normal"/>
    <w:next w:val="Normal"/>
    <w:pPr>
      <w:keepNext/>
      <w:spacing w:after="360"/>
      <w:jc w:val="center"/>
    </w:pPr>
    <w:rPr>
      <w:b/>
      <w:sz w:val="32"/>
    </w:rPr>
  </w:style>
  <w:style w:type="paragraph" w:customStyle="1" w:styleId="PartTitle">
    <w:name w:val="PartTitle"/>
    <w:basedOn w:val="Normal"/>
    <w:next w:val="ChapterTitle"/>
    <w:pPr>
      <w:keepNext/>
      <w:pageBreakBefore/>
      <w:spacing w:after="360"/>
      <w:jc w:val="center"/>
    </w:pPr>
    <w:rPr>
      <w:b/>
      <w:sz w:val="36"/>
    </w:rPr>
  </w:style>
  <w:style w:type="paragraph" w:customStyle="1" w:styleId="SectionTitle">
    <w:name w:val="SectionTitle"/>
    <w:basedOn w:val="Normal"/>
    <w:next w:val="Heading1"/>
    <w:pPr>
      <w:keepNext/>
      <w:spacing w:after="360"/>
      <w:jc w:val="center"/>
    </w:pPr>
    <w:rPr>
      <w:b/>
      <w:smallCaps/>
      <w:sz w:val="28"/>
    </w:rPr>
  </w:style>
  <w:style w:type="paragraph" w:customStyle="1" w:styleId="TableTitle">
    <w:name w:val="Table Title"/>
    <w:basedOn w:val="Normal"/>
    <w:next w:val="Normal"/>
    <w:pPr>
      <w:jc w:val="center"/>
    </w:pPr>
    <w:rPr>
      <w:b/>
    </w:rPr>
  </w:style>
  <w:style w:type="character" w:customStyle="1" w:styleId="Marker">
    <w:name w:val="Marker"/>
    <w:basedOn w:val="DefaultParagraphFont"/>
    <w:rPr>
      <w:color w:val="0000FF"/>
      <w:shd w:val="clear" w:color="auto" w:fill="auto"/>
    </w:rPr>
  </w:style>
  <w:style w:type="character" w:customStyle="1" w:styleId="Marker1">
    <w:name w:val="Marker1"/>
    <w:basedOn w:val="DefaultParagraphFont"/>
    <w:rPr>
      <w:color w:val="008000"/>
      <w:shd w:val="clear" w:color="auto" w:fill="auto"/>
    </w:rPr>
  </w:style>
  <w:style w:type="character" w:customStyle="1" w:styleId="Marker2">
    <w:name w:val="Marker2"/>
    <w:basedOn w:val="DefaultParagraphFont"/>
    <w:rPr>
      <w:color w:val="FF0000"/>
      <w:shd w:val="clear" w:color="auto" w:fill="auto"/>
    </w:rPr>
  </w:style>
  <w:style w:type="paragraph" w:customStyle="1" w:styleId="Point0number">
    <w:name w:val="Point 0 (number)"/>
    <w:basedOn w:val="Normal"/>
    <w:pPr>
      <w:numPr>
        <w:numId w:val="30"/>
      </w:numPr>
    </w:pPr>
  </w:style>
  <w:style w:type="paragraph" w:customStyle="1" w:styleId="Point1number">
    <w:name w:val="Point 1 (number)"/>
    <w:basedOn w:val="Normal"/>
    <w:pPr>
      <w:numPr>
        <w:ilvl w:val="2"/>
        <w:numId w:val="30"/>
      </w:numPr>
    </w:pPr>
  </w:style>
  <w:style w:type="paragraph" w:customStyle="1" w:styleId="Point2number">
    <w:name w:val="Point 2 (number)"/>
    <w:basedOn w:val="Normal"/>
    <w:pPr>
      <w:numPr>
        <w:ilvl w:val="4"/>
        <w:numId w:val="30"/>
      </w:numPr>
    </w:pPr>
  </w:style>
  <w:style w:type="paragraph" w:customStyle="1" w:styleId="Point3number">
    <w:name w:val="Point 3 (number)"/>
    <w:basedOn w:val="Normal"/>
    <w:pPr>
      <w:numPr>
        <w:ilvl w:val="6"/>
        <w:numId w:val="30"/>
      </w:numPr>
    </w:pPr>
  </w:style>
  <w:style w:type="paragraph" w:customStyle="1" w:styleId="Point0letter">
    <w:name w:val="Point 0 (letter)"/>
    <w:basedOn w:val="Normal"/>
    <w:pPr>
      <w:numPr>
        <w:ilvl w:val="1"/>
        <w:numId w:val="30"/>
      </w:numPr>
    </w:pPr>
  </w:style>
  <w:style w:type="paragraph" w:customStyle="1" w:styleId="Point1letter">
    <w:name w:val="Point 1 (letter)"/>
    <w:basedOn w:val="Normal"/>
    <w:pPr>
      <w:numPr>
        <w:ilvl w:val="3"/>
        <w:numId w:val="30"/>
      </w:numPr>
    </w:pPr>
  </w:style>
  <w:style w:type="paragraph" w:customStyle="1" w:styleId="Point2letter">
    <w:name w:val="Point 2 (letter)"/>
    <w:basedOn w:val="Normal"/>
    <w:pPr>
      <w:numPr>
        <w:ilvl w:val="5"/>
        <w:numId w:val="30"/>
      </w:numPr>
    </w:pPr>
  </w:style>
  <w:style w:type="paragraph" w:customStyle="1" w:styleId="Point3letter">
    <w:name w:val="Point 3 (letter)"/>
    <w:basedOn w:val="Normal"/>
    <w:pPr>
      <w:numPr>
        <w:ilvl w:val="7"/>
        <w:numId w:val="30"/>
      </w:numPr>
    </w:pPr>
  </w:style>
  <w:style w:type="paragraph" w:customStyle="1" w:styleId="Point4letter">
    <w:name w:val="Point 4 (letter)"/>
    <w:basedOn w:val="Normal"/>
    <w:pPr>
      <w:numPr>
        <w:ilvl w:val="8"/>
        <w:numId w:val="30"/>
      </w:numPr>
    </w:pPr>
  </w:style>
  <w:style w:type="paragraph" w:customStyle="1" w:styleId="Bullet0">
    <w:name w:val="Bullet 0"/>
    <w:basedOn w:val="Normal"/>
    <w:pPr>
      <w:numPr>
        <w:numId w:val="31"/>
      </w:numPr>
    </w:pPr>
  </w:style>
  <w:style w:type="paragraph" w:customStyle="1" w:styleId="Bullet1">
    <w:name w:val="Bullet 1"/>
    <w:basedOn w:val="Normal"/>
    <w:pPr>
      <w:numPr>
        <w:numId w:val="32"/>
      </w:numPr>
    </w:pPr>
  </w:style>
  <w:style w:type="paragraph" w:customStyle="1" w:styleId="Bullet2">
    <w:name w:val="Bullet 2"/>
    <w:basedOn w:val="Normal"/>
    <w:pPr>
      <w:numPr>
        <w:numId w:val="33"/>
      </w:numPr>
    </w:pPr>
  </w:style>
  <w:style w:type="paragraph" w:customStyle="1" w:styleId="Bullet3">
    <w:name w:val="Bullet 3"/>
    <w:basedOn w:val="Normal"/>
    <w:pPr>
      <w:numPr>
        <w:numId w:val="34"/>
      </w:numPr>
    </w:pPr>
  </w:style>
  <w:style w:type="paragraph" w:customStyle="1" w:styleId="Bullet4">
    <w:name w:val="Bullet 4"/>
    <w:basedOn w:val="Normal"/>
    <w:pPr>
      <w:numPr>
        <w:numId w:val="35"/>
      </w:numPr>
    </w:pPr>
  </w:style>
  <w:style w:type="paragraph" w:customStyle="1" w:styleId="Langue">
    <w:name w:val="Langue"/>
    <w:basedOn w:val="Normal"/>
    <w:next w:val="Rfrenceinterne"/>
    <w:pPr>
      <w:framePr w:wrap="around" w:vAnchor="page" w:hAnchor="text" w:xAlign="center" w:y="14741"/>
      <w:spacing w:before="0" w:after="600"/>
      <w:jc w:val="center"/>
    </w:pPr>
    <w:rPr>
      <w:b/>
      <w:caps/>
    </w:rPr>
  </w:style>
  <w:style w:type="paragraph" w:customStyle="1" w:styleId="Nomdelinstitution">
    <w:name w:val="Nom de l'institution"/>
    <w:basedOn w:val="Normal"/>
    <w:next w:val="Emission"/>
    <w:pPr>
      <w:spacing w:before="0" w:after="0"/>
      <w:jc w:val="left"/>
    </w:pPr>
    <w:rPr>
      <w:rFonts w:ascii="Arial" w:hAnsi="Arial" w:cs="Arial"/>
    </w:rPr>
  </w:style>
  <w:style w:type="paragraph" w:customStyle="1" w:styleId="Emission">
    <w:name w:val="Emission"/>
    <w:basedOn w:val="Normal"/>
    <w:next w:val="Rfrenceinstitutionnelle"/>
    <w:pPr>
      <w:spacing w:before="0" w:after="0"/>
      <w:ind w:left="5103"/>
      <w:jc w:val="left"/>
    </w:pPr>
  </w:style>
  <w:style w:type="paragraph" w:customStyle="1" w:styleId="Rfrenceinstitutionnelle">
    <w:name w:val="Référence institutionnelle"/>
    <w:basedOn w:val="Normal"/>
    <w:next w:val="Confidentialit"/>
    <w:pPr>
      <w:spacing w:before="0" w:after="240"/>
      <w:ind w:left="5103"/>
      <w:jc w:val="left"/>
    </w:pPr>
  </w:style>
  <w:style w:type="paragraph" w:customStyle="1" w:styleId="Pagedecouverture">
    <w:name w:val="Page de couverture"/>
    <w:basedOn w:val="Normal"/>
    <w:next w:val="Normal"/>
    <w:pPr>
      <w:spacing w:before="0" w:after="0"/>
    </w:pPr>
  </w:style>
  <w:style w:type="paragraph" w:customStyle="1" w:styleId="Declassification">
    <w:name w:val="Declassification"/>
    <w:basedOn w:val="Normal"/>
    <w:next w:val="Normal"/>
    <w:pPr>
      <w:spacing w:before="0" w:after="0"/>
    </w:pPr>
  </w:style>
  <w:style w:type="paragraph" w:customStyle="1" w:styleId="Disclaimer">
    <w:name w:val="Disclaimer"/>
    <w:basedOn w:val="Normal"/>
    <w:pPr>
      <w:framePr w:w="8220" w:wrap="notBeside" w:hAnchor="margin" w:xAlign="center" w:y="10401"/>
      <w:pBdr>
        <w:top w:val="single" w:sz="6" w:space="4" w:color="auto"/>
        <w:left w:val="single" w:sz="6" w:space="7" w:color="auto"/>
        <w:bottom w:val="single" w:sz="6" w:space="4" w:color="auto"/>
        <w:right w:val="single" w:sz="6" w:space="7" w:color="auto"/>
      </w:pBdr>
      <w:shd w:val="clear" w:color="FFFFFF" w:fill="auto"/>
    </w:pPr>
  </w:style>
  <w:style w:type="paragraph" w:customStyle="1" w:styleId="SecurityMarking">
    <w:name w:val="SecurityMarking"/>
    <w:basedOn w:val="Normal"/>
    <w:pPr>
      <w:spacing w:before="0" w:after="0" w:line="276" w:lineRule="auto"/>
      <w:ind w:left="5103"/>
      <w:jc w:val="left"/>
    </w:pPr>
    <w:rPr>
      <w:sz w:val="28"/>
    </w:rPr>
  </w:style>
  <w:style w:type="paragraph" w:customStyle="1" w:styleId="DateMarking">
    <w:name w:val="DateMarking"/>
    <w:basedOn w:val="Normal"/>
    <w:pPr>
      <w:spacing w:before="0" w:after="0" w:line="276" w:lineRule="auto"/>
      <w:ind w:left="5103"/>
      <w:jc w:val="left"/>
    </w:pPr>
    <w:rPr>
      <w:i/>
      <w:sz w:val="28"/>
    </w:rPr>
  </w:style>
  <w:style w:type="paragraph" w:customStyle="1" w:styleId="ReleasableTo">
    <w:name w:val="ReleasableTo"/>
    <w:basedOn w:val="Normal"/>
    <w:pPr>
      <w:spacing w:before="0" w:after="0" w:line="276" w:lineRule="auto"/>
      <w:ind w:left="5103"/>
      <w:jc w:val="left"/>
    </w:pPr>
    <w:rPr>
      <w:i/>
      <w:sz w:val="28"/>
    </w:rPr>
  </w:style>
  <w:style w:type="paragraph" w:customStyle="1" w:styleId="Annexetitreexpos">
    <w:name w:val="Annexe titre (exposé)"/>
    <w:basedOn w:val="Normal"/>
    <w:next w:val="Normal"/>
    <w:pPr>
      <w:jc w:val="center"/>
    </w:pPr>
    <w:rPr>
      <w:b/>
      <w:u w:val="single"/>
    </w:rPr>
  </w:style>
  <w:style w:type="paragraph" w:customStyle="1" w:styleId="Annexetitre">
    <w:name w:val="Annexe titre"/>
    <w:basedOn w:val="Normal"/>
    <w:next w:val="Normal"/>
    <w:pPr>
      <w:jc w:val="center"/>
    </w:pPr>
    <w:rPr>
      <w:b/>
      <w:u w:val="single"/>
    </w:rPr>
  </w:style>
  <w:style w:type="paragraph" w:customStyle="1" w:styleId="Annexetitrefichefinancire">
    <w:name w:val="Annexe titre (fiche financière)"/>
    <w:basedOn w:val="Normal"/>
    <w:next w:val="Normal"/>
    <w:pPr>
      <w:jc w:val="center"/>
    </w:pPr>
    <w:rPr>
      <w:b/>
      <w:u w:val="single"/>
    </w:rPr>
  </w:style>
  <w:style w:type="paragraph" w:customStyle="1" w:styleId="Applicationdirecte">
    <w:name w:val="Application directe"/>
    <w:basedOn w:val="Normal"/>
    <w:next w:val="Fait"/>
    <w:pPr>
      <w:spacing w:before="480"/>
    </w:pPr>
  </w:style>
  <w:style w:type="paragraph" w:customStyle="1" w:styleId="Avertissementtitre">
    <w:name w:val="Avertissement titre"/>
    <w:basedOn w:val="Normal"/>
    <w:next w:val="Normal"/>
    <w:pPr>
      <w:keepNext/>
      <w:spacing w:before="480"/>
    </w:pPr>
    <w:rPr>
      <w:u w:val="single"/>
    </w:rPr>
  </w:style>
  <w:style w:type="paragraph" w:customStyle="1" w:styleId="Confidence">
    <w:name w:val="Confidence"/>
    <w:basedOn w:val="Normal"/>
    <w:next w:val="Normal"/>
    <w:pPr>
      <w:spacing w:before="360"/>
      <w:jc w:val="center"/>
    </w:pPr>
  </w:style>
  <w:style w:type="paragraph" w:customStyle="1" w:styleId="Confidentialit">
    <w:name w:val="Confidentialité"/>
    <w:basedOn w:val="Normal"/>
    <w:next w:val="TypedudocumentPagedecouverture"/>
    <w:pPr>
      <w:spacing w:before="240" w:after="240"/>
      <w:ind w:left="5103"/>
      <w:jc w:val="left"/>
    </w:pPr>
    <w:rPr>
      <w:i/>
      <w:sz w:val="32"/>
    </w:rPr>
  </w:style>
  <w:style w:type="paragraph" w:customStyle="1" w:styleId="Considrant">
    <w:name w:val="Considérant"/>
    <w:basedOn w:val="Normal"/>
    <w:pPr>
      <w:numPr>
        <w:numId w:val="36"/>
      </w:numPr>
    </w:pPr>
  </w:style>
  <w:style w:type="paragraph" w:customStyle="1" w:styleId="Corrigendum">
    <w:name w:val="Corrigendum"/>
    <w:basedOn w:val="Normal"/>
    <w:next w:val="Normal"/>
    <w:pPr>
      <w:spacing w:before="0" w:after="240"/>
      <w:jc w:val="left"/>
    </w:pPr>
  </w:style>
  <w:style w:type="paragraph" w:customStyle="1" w:styleId="Datedadoption">
    <w:name w:val="Date d'adoption"/>
    <w:basedOn w:val="Normal"/>
    <w:next w:val="Titreobjet"/>
    <w:pPr>
      <w:spacing w:before="360" w:after="0"/>
      <w:jc w:val="center"/>
    </w:pPr>
    <w:rPr>
      <w:b/>
    </w:rPr>
  </w:style>
  <w:style w:type="paragraph" w:customStyle="1" w:styleId="Exposdesmotifstitre">
    <w:name w:val="Exposé des motifs titre"/>
    <w:basedOn w:val="Normal"/>
    <w:next w:val="Normal"/>
    <w:pPr>
      <w:jc w:val="center"/>
    </w:pPr>
    <w:rPr>
      <w:b/>
      <w:u w:val="single"/>
    </w:rPr>
  </w:style>
  <w:style w:type="paragraph" w:customStyle="1" w:styleId="Fait">
    <w:name w:val="Fait à"/>
    <w:basedOn w:val="Normal"/>
    <w:next w:val="Institutionquisigne"/>
    <w:pPr>
      <w:keepNext/>
      <w:spacing w:after="0"/>
    </w:pPr>
  </w:style>
  <w:style w:type="paragraph" w:customStyle="1" w:styleId="Formuledadoption">
    <w:name w:val="Formule d'adoption"/>
    <w:basedOn w:val="Normal"/>
    <w:next w:val="Titrearticle"/>
    <w:pPr>
      <w:keepNext/>
    </w:pPr>
  </w:style>
  <w:style w:type="paragraph" w:customStyle="1" w:styleId="Institutionquiagit">
    <w:name w:val="Institution qui agit"/>
    <w:basedOn w:val="Normal"/>
    <w:next w:val="Normal"/>
    <w:pPr>
      <w:keepNext/>
      <w:spacing w:before="600"/>
    </w:pPr>
  </w:style>
  <w:style w:type="paragraph" w:customStyle="1" w:styleId="Institutionquisigne">
    <w:name w:val="Institution qui signe"/>
    <w:basedOn w:val="Normal"/>
    <w:next w:val="Personnequisigne"/>
    <w:pPr>
      <w:keepNext/>
      <w:tabs>
        <w:tab w:val="left" w:pos="4252"/>
      </w:tabs>
      <w:spacing w:before="720" w:after="0"/>
    </w:pPr>
    <w:rPr>
      <w:i/>
    </w:rPr>
  </w:style>
  <w:style w:type="paragraph" w:customStyle="1" w:styleId="ManualConsidrant">
    <w:name w:val="Manual Considérant"/>
    <w:basedOn w:val="Normal"/>
    <w:pPr>
      <w:ind w:left="709" w:hanging="709"/>
    </w:pPr>
  </w:style>
  <w:style w:type="paragraph" w:customStyle="1" w:styleId="Personnequisigne">
    <w:name w:val="Personne qui signe"/>
    <w:basedOn w:val="Normal"/>
    <w:next w:val="Institutionquisigne"/>
    <w:pPr>
      <w:tabs>
        <w:tab w:val="left" w:pos="4252"/>
      </w:tabs>
      <w:spacing w:before="0" w:after="0"/>
      <w:jc w:val="left"/>
    </w:pPr>
    <w:rPr>
      <w:i/>
    </w:rPr>
  </w:style>
  <w:style w:type="paragraph" w:customStyle="1" w:styleId="Rfrenceinterinstitutionnelle">
    <w:name w:val="Référence interinstitutionnelle"/>
    <w:basedOn w:val="Normal"/>
    <w:next w:val="Statut"/>
    <w:pPr>
      <w:spacing w:before="0" w:after="0"/>
      <w:ind w:left="5103"/>
      <w:jc w:val="left"/>
    </w:pPr>
  </w:style>
  <w:style w:type="paragraph" w:customStyle="1" w:styleId="Rfrenceinterne">
    <w:name w:val="Référence interne"/>
    <w:basedOn w:val="Normal"/>
    <w:next w:val="Rfrenceinterinstitutionnelle"/>
    <w:pPr>
      <w:spacing w:before="0" w:after="0"/>
      <w:ind w:left="5103"/>
      <w:jc w:val="left"/>
    </w:pPr>
  </w:style>
  <w:style w:type="paragraph" w:customStyle="1" w:styleId="Statut">
    <w:name w:val="Statut"/>
    <w:basedOn w:val="Normal"/>
    <w:next w:val="Typedudocument"/>
    <w:pPr>
      <w:spacing w:before="360" w:after="0"/>
      <w:jc w:val="center"/>
    </w:pPr>
  </w:style>
  <w:style w:type="paragraph" w:customStyle="1" w:styleId="Titrearticle">
    <w:name w:val="Titre article"/>
    <w:basedOn w:val="Normal"/>
    <w:next w:val="Normal"/>
    <w:pPr>
      <w:keepNext/>
      <w:spacing w:before="360"/>
      <w:jc w:val="center"/>
    </w:pPr>
    <w:rPr>
      <w:i/>
    </w:rPr>
  </w:style>
  <w:style w:type="paragraph" w:customStyle="1" w:styleId="Titreobjet">
    <w:name w:val="Titre objet"/>
    <w:basedOn w:val="Normal"/>
    <w:next w:val="IntrtEEE"/>
    <w:pPr>
      <w:spacing w:before="360" w:after="360"/>
      <w:jc w:val="center"/>
    </w:pPr>
    <w:rPr>
      <w:b/>
    </w:rPr>
  </w:style>
  <w:style w:type="paragraph" w:customStyle="1" w:styleId="Typedudocument">
    <w:name w:val="Type du document"/>
    <w:basedOn w:val="Normal"/>
    <w:next w:val="Titreobjet"/>
    <w:pPr>
      <w:spacing w:before="360" w:after="0"/>
      <w:jc w:val="center"/>
    </w:pPr>
    <w:rPr>
      <w:b/>
    </w:rPr>
  </w:style>
  <w:style w:type="character" w:customStyle="1" w:styleId="Added">
    <w:name w:val="Added"/>
    <w:basedOn w:val="DefaultParagraphFont"/>
    <w:rPr>
      <w:b/>
      <w:u w:val="single"/>
      <w:shd w:val="clear" w:color="auto" w:fill="auto"/>
    </w:rPr>
  </w:style>
  <w:style w:type="character" w:customStyle="1" w:styleId="Deleted">
    <w:name w:val="Deleted"/>
    <w:basedOn w:val="DefaultParagraphFont"/>
    <w:rPr>
      <w:strike/>
      <w:dstrike w:val="0"/>
      <w:shd w:val="clear" w:color="auto" w:fill="auto"/>
    </w:rPr>
  </w:style>
  <w:style w:type="paragraph" w:customStyle="1" w:styleId="Address">
    <w:name w:val="Address"/>
    <w:basedOn w:val="Normal"/>
    <w:next w:val="Normal"/>
    <w:pPr>
      <w:keepLines/>
      <w:spacing w:line="360" w:lineRule="auto"/>
      <w:ind w:left="3402"/>
      <w:jc w:val="left"/>
    </w:pPr>
  </w:style>
  <w:style w:type="paragraph" w:customStyle="1" w:styleId="Objetexterne">
    <w:name w:val="Objet externe"/>
    <w:basedOn w:val="Normal"/>
    <w:next w:val="Normal"/>
    <w:rPr>
      <w:i/>
      <w:caps/>
    </w:rPr>
  </w:style>
  <w:style w:type="paragraph" w:customStyle="1" w:styleId="Supertitre">
    <w:name w:val="Supertitre"/>
    <w:basedOn w:val="Normal"/>
    <w:next w:val="Normal"/>
    <w:pPr>
      <w:spacing w:before="0" w:after="600"/>
      <w:jc w:val="center"/>
    </w:pPr>
    <w:rPr>
      <w:b/>
    </w:rPr>
  </w:style>
  <w:style w:type="paragraph" w:customStyle="1" w:styleId="Languesfaisantfoi">
    <w:name w:val="Langues faisant foi"/>
    <w:basedOn w:val="Normal"/>
    <w:next w:val="Normal"/>
    <w:pPr>
      <w:spacing w:before="360" w:after="0"/>
      <w:jc w:val="center"/>
    </w:pPr>
  </w:style>
  <w:style w:type="paragraph" w:customStyle="1" w:styleId="Rfrencecroise">
    <w:name w:val="Référence croisée"/>
    <w:basedOn w:val="Normal"/>
    <w:pPr>
      <w:spacing w:before="0" w:after="0"/>
      <w:jc w:val="center"/>
    </w:pPr>
  </w:style>
  <w:style w:type="paragraph" w:customStyle="1" w:styleId="Fichefinanciretitre">
    <w:name w:val="Fiche financière titre"/>
    <w:basedOn w:val="Normal"/>
    <w:next w:val="Normal"/>
    <w:pPr>
      <w:jc w:val="center"/>
    </w:pPr>
    <w:rPr>
      <w:b/>
      <w:u w:val="single"/>
    </w:rPr>
  </w:style>
  <w:style w:type="paragraph" w:customStyle="1" w:styleId="DatedadoptionPagedecouverture">
    <w:name w:val="Date d'adoption (Page de couverture)"/>
    <w:basedOn w:val="Datedadoption"/>
    <w:next w:val="TitreobjetPagedecouverture"/>
  </w:style>
  <w:style w:type="paragraph" w:customStyle="1" w:styleId="RfrenceinterinstitutionnellePagedecouverture">
    <w:name w:val="Référence interinstitutionnelle (Page de couverture)"/>
    <w:basedOn w:val="Rfrenceinterinstitutionnelle"/>
    <w:next w:val="Confidentialit"/>
  </w:style>
  <w:style w:type="paragraph" w:customStyle="1" w:styleId="StatutPagedecouverture">
    <w:name w:val="Statut (Page de couverture)"/>
    <w:basedOn w:val="Statut"/>
    <w:next w:val="TypedudocumentPagedecouverture"/>
  </w:style>
  <w:style w:type="paragraph" w:customStyle="1" w:styleId="TitreobjetPagedecouverture">
    <w:name w:val="Titre objet (Page de couverture)"/>
    <w:basedOn w:val="Titreobjet"/>
    <w:next w:val="IntrtEEEPagedecouverture"/>
  </w:style>
  <w:style w:type="paragraph" w:customStyle="1" w:styleId="TypedudocumentPagedecouverture">
    <w:name w:val="Type du document (Page de couverture)"/>
    <w:basedOn w:val="Typedudocument"/>
    <w:next w:val="TitreobjetPagedecouverture"/>
  </w:style>
  <w:style w:type="paragraph" w:customStyle="1" w:styleId="Volume">
    <w:name w:val="Volume"/>
    <w:basedOn w:val="Normal"/>
    <w:next w:val="Confidentialit"/>
    <w:pPr>
      <w:spacing w:before="0" w:after="240"/>
      <w:ind w:left="5103"/>
      <w:jc w:val="left"/>
    </w:pPr>
  </w:style>
  <w:style w:type="paragraph" w:customStyle="1" w:styleId="IntrtEEE">
    <w:name w:val="Intérêt EEE"/>
    <w:basedOn w:val="Languesfaisantfoi"/>
    <w:next w:val="Normal"/>
    <w:pPr>
      <w:spacing w:after="240"/>
    </w:pPr>
  </w:style>
  <w:style w:type="paragraph" w:customStyle="1" w:styleId="Accompagnant">
    <w:name w:val="Accompagnant"/>
    <w:basedOn w:val="Normal"/>
    <w:next w:val="Typeacteprincipal"/>
    <w:pPr>
      <w:spacing w:before="0" w:after="240"/>
      <w:jc w:val="center"/>
    </w:pPr>
    <w:rPr>
      <w:b/>
      <w:i/>
    </w:rPr>
  </w:style>
  <w:style w:type="paragraph" w:customStyle="1" w:styleId="Typeacteprincipal">
    <w:name w:val="Type acte principal"/>
    <w:basedOn w:val="Normal"/>
    <w:next w:val="Objetacteprincipal"/>
    <w:pPr>
      <w:spacing w:before="0" w:after="240"/>
      <w:jc w:val="center"/>
    </w:pPr>
    <w:rPr>
      <w:b/>
    </w:rPr>
  </w:style>
  <w:style w:type="paragraph" w:customStyle="1" w:styleId="Objetacteprincipal">
    <w:name w:val="Objet acte principal"/>
    <w:basedOn w:val="Normal"/>
    <w:next w:val="Titrearticle"/>
    <w:pPr>
      <w:spacing w:before="0" w:after="360"/>
      <w:jc w:val="center"/>
    </w:pPr>
    <w:rPr>
      <w:b/>
    </w:rPr>
  </w:style>
  <w:style w:type="paragraph" w:customStyle="1" w:styleId="IntrtEEEPagedecouverture">
    <w:name w:val="Intérêt EEE (Page de couverture)"/>
    <w:basedOn w:val="IntrtEEE"/>
    <w:next w:val="Rfrencecroise"/>
  </w:style>
  <w:style w:type="paragraph" w:customStyle="1" w:styleId="AccompagnantPagedecouverture">
    <w:name w:val="Accompagnant (Page de couverture)"/>
    <w:basedOn w:val="Accompagnant"/>
    <w:next w:val="TypeacteprincipalPagedecouverture"/>
  </w:style>
  <w:style w:type="paragraph" w:customStyle="1" w:styleId="TypeacteprincipalPagedecouverture">
    <w:name w:val="Type acte principal (Page de couverture)"/>
    <w:basedOn w:val="Typeacteprincipal"/>
    <w:next w:val="ObjetacteprincipalPagedecouverture"/>
  </w:style>
  <w:style w:type="paragraph" w:customStyle="1" w:styleId="ObjetacteprincipalPagedecouverture">
    <w:name w:val="Objet acte principal (Page de couverture)"/>
    <w:basedOn w:val="Objetacteprincipal"/>
    <w:next w:val="Rfrencecroise"/>
  </w:style>
  <w:style w:type="paragraph" w:customStyle="1" w:styleId="LanguesfaisantfoiPagedecouverture">
    <w:name w:val="Langues faisant foi (Page de couverture)"/>
    <w:basedOn w:val="Normal"/>
    <w:next w:val="Normal"/>
    <w:pPr>
      <w:spacing w:before="360" w:after="0"/>
      <w:jc w:val="center"/>
    </w:pPr>
  </w:style>
  <w:style w:type="paragraph" w:styleId="Header">
    <w:name w:val="header"/>
    <w:basedOn w:val="Normal"/>
    <w:link w:val="HeaderChar"/>
    <w:uiPriority w:val="99"/>
    <w:unhideWhenUsed/>
    <w:rsid w:val="00EC5118"/>
    <w:pPr>
      <w:tabs>
        <w:tab w:val="center" w:pos="4535"/>
        <w:tab w:val="right" w:pos="9071"/>
      </w:tabs>
      <w:spacing w:before="0"/>
    </w:pPr>
  </w:style>
  <w:style w:type="paragraph" w:customStyle="1" w:styleId="HeaderLandscape">
    <w:name w:val="HeaderLandscape"/>
    <w:basedOn w:val="Normal"/>
    <w:rsid w:val="00EC5118"/>
    <w:pPr>
      <w:tabs>
        <w:tab w:val="center" w:pos="7285"/>
        <w:tab w:val="right" w:pos="14003"/>
      </w:tabs>
      <w:spacing w:before="0"/>
    </w:pPr>
  </w:style>
  <w:style w:type="paragraph" w:styleId="Footer">
    <w:name w:val="footer"/>
    <w:basedOn w:val="Normal"/>
    <w:link w:val="FooterChar"/>
    <w:uiPriority w:val="99"/>
    <w:unhideWhenUsed/>
    <w:rsid w:val="00EC5118"/>
    <w:pPr>
      <w:tabs>
        <w:tab w:val="center" w:pos="4535"/>
        <w:tab w:val="right" w:pos="9071"/>
        <w:tab w:val="right" w:pos="9921"/>
      </w:tabs>
      <w:spacing w:before="360" w:after="0"/>
      <w:ind w:left="-850" w:right="-850"/>
      <w:jc w:val="left"/>
    </w:pPr>
  </w:style>
  <w:style w:type="paragraph" w:customStyle="1" w:styleId="FooterLandscape">
    <w:name w:val="FooterLandscape"/>
    <w:basedOn w:val="Normal"/>
    <w:rsid w:val="00EC5118"/>
    <w:pPr>
      <w:tabs>
        <w:tab w:val="center" w:pos="7285"/>
        <w:tab w:val="center" w:pos="10913"/>
        <w:tab w:val="right" w:pos="15137"/>
      </w:tabs>
      <w:spacing w:before="360" w:after="0"/>
      <w:ind w:left="-567" w:right="-567"/>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000221">
      <w:bodyDiv w:val="1"/>
      <w:marLeft w:val="0"/>
      <w:marRight w:val="0"/>
      <w:marTop w:val="0"/>
      <w:marBottom w:val="0"/>
      <w:divBdr>
        <w:top w:val="none" w:sz="0" w:space="0" w:color="auto"/>
        <w:left w:val="none" w:sz="0" w:space="0" w:color="auto"/>
        <w:bottom w:val="none" w:sz="0" w:space="0" w:color="auto"/>
        <w:right w:val="none" w:sz="0" w:space="0" w:color="auto"/>
      </w:divBdr>
    </w:div>
    <w:div w:id="90055821">
      <w:bodyDiv w:val="1"/>
      <w:marLeft w:val="0"/>
      <w:marRight w:val="0"/>
      <w:marTop w:val="0"/>
      <w:marBottom w:val="0"/>
      <w:divBdr>
        <w:top w:val="none" w:sz="0" w:space="0" w:color="auto"/>
        <w:left w:val="none" w:sz="0" w:space="0" w:color="auto"/>
        <w:bottom w:val="none" w:sz="0" w:space="0" w:color="auto"/>
        <w:right w:val="none" w:sz="0" w:space="0" w:color="auto"/>
      </w:divBdr>
    </w:div>
    <w:div w:id="118884099">
      <w:bodyDiv w:val="1"/>
      <w:marLeft w:val="0"/>
      <w:marRight w:val="0"/>
      <w:marTop w:val="0"/>
      <w:marBottom w:val="0"/>
      <w:divBdr>
        <w:top w:val="none" w:sz="0" w:space="0" w:color="auto"/>
        <w:left w:val="none" w:sz="0" w:space="0" w:color="auto"/>
        <w:bottom w:val="none" w:sz="0" w:space="0" w:color="auto"/>
        <w:right w:val="none" w:sz="0" w:space="0" w:color="auto"/>
      </w:divBdr>
    </w:div>
    <w:div w:id="711536434">
      <w:bodyDiv w:val="1"/>
      <w:marLeft w:val="0"/>
      <w:marRight w:val="0"/>
      <w:marTop w:val="0"/>
      <w:marBottom w:val="0"/>
      <w:divBdr>
        <w:top w:val="none" w:sz="0" w:space="0" w:color="auto"/>
        <w:left w:val="none" w:sz="0" w:space="0" w:color="auto"/>
        <w:bottom w:val="none" w:sz="0" w:space="0" w:color="auto"/>
        <w:right w:val="none" w:sz="0" w:space="0" w:color="auto"/>
      </w:divBdr>
    </w:div>
    <w:div w:id="729425791">
      <w:bodyDiv w:val="1"/>
      <w:marLeft w:val="0"/>
      <w:marRight w:val="0"/>
      <w:marTop w:val="0"/>
      <w:marBottom w:val="0"/>
      <w:divBdr>
        <w:top w:val="none" w:sz="0" w:space="0" w:color="auto"/>
        <w:left w:val="none" w:sz="0" w:space="0" w:color="auto"/>
        <w:bottom w:val="none" w:sz="0" w:space="0" w:color="auto"/>
        <w:right w:val="none" w:sz="0" w:space="0" w:color="auto"/>
      </w:divBdr>
    </w:div>
    <w:div w:id="1056971637">
      <w:bodyDiv w:val="1"/>
      <w:marLeft w:val="0"/>
      <w:marRight w:val="0"/>
      <w:marTop w:val="0"/>
      <w:marBottom w:val="0"/>
      <w:divBdr>
        <w:top w:val="none" w:sz="0" w:space="0" w:color="auto"/>
        <w:left w:val="none" w:sz="0" w:space="0" w:color="auto"/>
        <w:bottom w:val="none" w:sz="0" w:space="0" w:color="auto"/>
        <w:right w:val="none" w:sz="0" w:space="0" w:color="auto"/>
      </w:divBdr>
    </w:div>
    <w:div w:id="1061441498">
      <w:bodyDiv w:val="1"/>
      <w:marLeft w:val="0"/>
      <w:marRight w:val="0"/>
      <w:marTop w:val="0"/>
      <w:marBottom w:val="0"/>
      <w:divBdr>
        <w:top w:val="none" w:sz="0" w:space="0" w:color="auto"/>
        <w:left w:val="none" w:sz="0" w:space="0" w:color="auto"/>
        <w:bottom w:val="none" w:sz="0" w:space="0" w:color="auto"/>
        <w:right w:val="none" w:sz="0" w:space="0" w:color="auto"/>
      </w:divBdr>
      <w:divsChild>
        <w:div w:id="1593051385">
          <w:marLeft w:val="0"/>
          <w:marRight w:val="0"/>
          <w:marTop w:val="0"/>
          <w:marBottom w:val="0"/>
          <w:divBdr>
            <w:top w:val="single" w:sz="6" w:space="0" w:color="000000"/>
            <w:left w:val="single" w:sz="6" w:space="2" w:color="000000"/>
            <w:bottom w:val="single" w:sz="6" w:space="0" w:color="000000"/>
            <w:right w:val="single" w:sz="6" w:space="2" w:color="000000"/>
          </w:divBdr>
        </w:div>
      </w:divsChild>
    </w:div>
    <w:div w:id="1305310644">
      <w:bodyDiv w:val="1"/>
      <w:marLeft w:val="0"/>
      <w:marRight w:val="0"/>
      <w:marTop w:val="0"/>
      <w:marBottom w:val="0"/>
      <w:divBdr>
        <w:top w:val="none" w:sz="0" w:space="0" w:color="auto"/>
        <w:left w:val="none" w:sz="0" w:space="0" w:color="auto"/>
        <w:bottom w:val="none" w:sz="0" w:space="0" w:color="auto"/>
        <w:right w:val="none" w:sz="0" w:space="0" w:color="auto"/>
      </w:divBdr>
    </w:div>
    <w:div w:id="19754842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5.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header" Target="header2.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5" Type="http://schemas.openxmlformats.org/officeDocument/2006/relationships/numbering" Target="numbering.xml"/><Relationship Id="rId15"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eur-lex.europa.eu/legal-content/EN/AUTO/?uri=OJ:L:2003:124:TOC"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COM.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95a34f0-2971-47f4-ae84-4bb796cf4df9">
      <Terms xmlns="http://schemas.microsoft.com/office/infopath/2007/PartnerControls">
        <TermInfo xmlns="http://schemas.microsoft.com/office/infopath/2007/PartnerControls">
          <TermName xmlns="http://schemas.microsoft.com/office/infopath/2007/PartnerControls"/>
          <TermId xmlns="http://schemas.microsoft.com/office/infopath/2007/PartnerControls"/>
        </TermInfo>
      </Terms>
    </lcf76f155ced4ddcb4097134ff3c332f>
    <TaxCatchAll xmlns="380bbe51-08b5-47ac-8653-11274a252e84"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A5FB534F5018A47813C72953E395AF5" ma:contentTypeVersion="11" ma:contentTypeDescription="Create a new document." ma:contentTypeScope="" ma:versionID="4fa50f6dcc104269ffdc747c477efb2f">
  <xsd:schema xmlns:xsd="http://www.w3.org/2001/XMLSchema" xmlns:xs="http://www.w3.org/2001/XMLSchema" xmlns:p="http://schemas.microsoft.com/office/2006/metadata/properties" xmlns:ns2="b95a34f0-2971-47f4-ae84-4bb796cf4df9" xmlns:ns3="380bbe51-08b5-47ac-8653-11274a252e84" targetNamespace="http://schemas.microsoft.com/office/2006/metadata/properties" ma:root="true" ma:fieldsID="ac9ff21f8333bf9a04e48efb13a62fa9" ns2:_="" ns3:_="">
    <xsd:import namespace="b95a34f0-2971-47f4-ae84-4bb796cf4df9"/>
    <xsd:import namespace="380bbe51-08b5-47ac-8653-11274a252e8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95a34f0-2971-47f4-ae84-4bb796cf4df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22b2fad6-9d2c-441c-a321-3f5f1e9bd928"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80bbe51-08b5-47ac-8653-11274a252e8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593d8a31-c411-4e45-9eae-64f78230a202}" ma:internalName="TaxCatchAll" ma:showField="CatchAllData" ma:web="380bbe51-08b5-47ac-8653-11274a252e8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F314AB-C10B-4373-9FCD-3AEE3DADCCA0}">
  <ds:schemaRefs>
    <ds:schemaRef ds:uri="http://schemas.microsoft.com/office/2006/metadata/properties"/>
    <ds:schemaRef ds:uri="http://schemas.microsoft.com/office/infopath/2007/PartnerControls"/>
    <ds:schemaRef ds:uri="b95a34f0-2971-47f4-ae84-4bb796cf4df9"/>
    <ds:schemaRef ds:uri="380bbe51-08b5-47ac-8653-11274a252e84"/>
  </ds:schemaRefs>
</ds:datastoreItem>
</file>

<file path=customXml/itemProps2.xml><?xml version="1.0" encoding="utf-8"?>
<ds:datastoreItem xmlns:ds="http://schemas.openxmlformats.org/officeDocument/2006/customXml" ds:itemID="{E2872C8D-5D15-47D6-8962-8B8870A9C8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95a34f0-2971-47f4-ae84-4bb796cf4df9"/>
    <ds:schemaRef ds:uri="380bbe51-08b5-47ac-8653-11274a252e8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20F14E-6D6F-482A-B632-6F21D651485C}">
  <ds:schemaRefs>
    <ds:schemaRef ds:uri="http://schemas.microsoft.com/sharepoint/v3/contenttype/forms"/>
  </ds:schemaRefs>
</ds:datastoreItem>
</file>

<file path=customXml/itemProps4.xml><?xml version="1.0" encoding="utf-8"?>
<ds:datastoreItem xmlns:ds="http://schemas.openxmlformats.org/officeDocument/2006/customXml" ds:itemID="{BE799FA7-D436-4CC5-B565-19686E6C33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COM.dotm</Template>
  <TotalTime>0</TotalTime>
  <Pages>12</Pages>
  <Words>6025</Words>
  <Characters>34343</Characters>
  <Application>Microsoft Office Word</Application>
  <DocSecurity>0</DocSecurity>
  <Lines>286</Lines>
  <Paragraphs>80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40288</CharactersWithSpaces>
  <SharedDoc>false</SharedDoc>
  <HLinks>
    <vt:vector size="6" baseType="variant">
      <vt:variant>
        <vt:i4>7733373</vt:i4>
      </vt:variant>
      <vt:variant>
        <vt:i4>0</vt:i4>
      </vt:variant>
      <vt:variant>
        <vt:i4>0</vt:i4>
      </vt:variant>
      <vt:variant>
        <vt:i4>5</vt:i4>
      </vt:variant>
      <vt:variant>
        <vt:lpwstr>https://eur-lex.europa.eu/legal-content/EN/AUTO/?uri=OJ:L:2003:124:TOC</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2025-06-15T15:46:00Z</dcterms:created>
  <dcterms:modified xsi:type="dcterms:W3CDTF">2025-06-30T16:37:00Z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2025-06-15T07:44:52Z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2ddb3435-49ac-4eab-aa52-ca6831f7df5a</vt:lpwstr>
  </property>
  <property fmtid="{D5CDD505-2E9C-101B-9397-08002B2CF9AE}" pid="8" name="MSIP_Label_6bd9ddd1-4d20-43f6-abfa-fc3c07406f94_ContentBits">
    <vt:lpwstr>0</vt:lpwstr>
  </property>
  <property fmtid="{D5CDD505-2E9C-101B-9397-08002B2CF9AE}" pid="9" name="Version">
    <vt:lpwstr>8.0.25.0</vt:lpwstr>
  </property>
  <property fmtid="{D5CDD505-2E9C-101B-9397-08002B2CF9AE}" pid="10" name="Part">
    <vt:lpwstr>1</vt:lpwstr>
  </property>
  <property fmtid="{D5CDD505-2E9C-101B-9397-08002B2CF9AE}" pid="11" name="Last edited using">
    <vt:lpwstr>LW 9.1, Build 20240808</vt:lpwstr>
  </property>
  <property fmtid="{D5CDD505-2E9C-101B-9397-08002B2CF9AE}" pid="12" name="MediaServiceImageTags">
    <vt:lpwstr/>
  </property>
  <property fmtid="{D5CDD505-2E9C-101B-9397-08002B2CF9AE}" pid="13" name="ContentTypeId">
    <vt:lpwstr>0x0101003A5FB534F5018A47813C72953E395AF5</vt:lpwstr>
  </property>
  <property fmtid="{D5CDD505-2E9C-101B-9397-08002B2CF9AE}" pid="14" name="Created using">
    <vt:lpwstr>LW 9.1, Build 20240808</vt:lpwstr>
  </property>
  <property fmtid="{D5CDD505-2E9C-101B-9397-08002B2CF9AE}" pid="15" name="Total parts">
    <vt:lpwstr>1</vt:lpwstr>
  </property>
  <property fmtid="{D5CDD505-2E9C-101B-9397-08002B2CF9AE}" pid="16" name="Category">
    <vt:lpwstr>COM/PL/ORG</vt:lpwstr>
  </property>
  <property fmtid="{D5CDD505-2E9C-101B-9397-08002B2CF9AE}" pid="17" name="Level of sensitivity">
    <vt:lpwstr>Standard treatment</vt:lpwstr>
  </property>
  <property fmtid="{D5CDD505-2E9C-101B-9397-08002B2CF9AE}" pid="18" name="LWTemplateID">
    <vt:lpwstr>SJ-023</vt:lpwstr>
  </property>
  <property fmtid="{D5CDD505-2E9C-101B-9397-08002B2CF9AE}" pid="19" name="DQCStatus">
    <vt:lpwstr>Green (DQC version 03)</vt:lpwstr>
  </property>
</Properties>
</file>