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D7" w:rsidRPr="007D19EF" w:rsidRDefault="002768DE" w:rsidP="002768D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5BF9FA6E-F0CB-47ED-8FE4-D5A079DF1EA1" style="width:455.25pt;height:369.75pt">
            <v:imagedata r:id="rId11" o:title=""/>
          </v:shape>
        </w:pict>
      </w:r>
    </w:p>
    <w:p w:rsidR="001A62D7" w:rsidRPr="007D19EF" w:rsidRDefault="001A62D7" w:rsidP="001A62D7">
      <w:pPr>
        <w:rPr>
          <w:noProof/>
        </w:rPr>
        <w:sectPr w:rsidR="001A62D7" w:rsidRPr="007D19EF" w:rsidSect="002768DE">
          <w:footerReference w:type="even" r:id="rId12"/>
          <w:footerReference w:type="default" r:id="rId13"/>
          <w:pgSz w:w="11907" w:h="16839"/>
          <w:pgMar w:top="1134" w:right="1417" w:bottom="1134" w:left="1417" w:header="709" w:footer="709" w:gutter="0"/>
          <w:pgNumType w:start="0"/>
          <w:cols w:space="720"/>
          <w:docGrid w:linePitch="360"/>
        </w:sectPr>
      </w:pPr>
    </w:p>
    <w:p w:rsidR="001A62D7" w:rsidRPr="007D19EF" w:rsidRDefault="00C47C5B" w:rsidP="001A62D7">
      <w:pPr>
        <w:pStyle w:val="Exposdesmotifstitre"/>
        <w:rPr>
          <w:noProof/>
        </w:rPr>
      </w:pPr>
      <w:bookmarkStart w:id="0" w:name="_GoBack"/>
      <w:bookmarkEnd w:id="0"/>
      <w:r w:rsidRPr="007D19EF">
        <w:rPr>
          <w:noProof/>
        </w:rPr>
        <w:lastRenderedPageBreak/>
        <w:t>ОБЯСНИТЕЛЕН МЕМОРАНДУМ</w:t>
      </w:r>
    </w:p>
    <w:p w:rsidR="001A62D7" w:rsidRPr="007D19EF" w:rsidRDefault="001A62D7" w:rsidP="001A62D7">
      <w:pPr>
        <w:pStyle w:val="ManualHeading1"/>
        <w:rPr>
          <w:noProof/>
        </w:rPr>
      </w:pPr>
      <w:r w:rsidRPr="007D19EF">
        <w:rPr>
          <w:noProof/>
        </w:rPr>
        <w:t>КОНТЕКСТ НА ПРЕДЛОЖЕНИЕТО</w:t>
      </w:r>
    </w:p>
    <w:p w:rsidR="001A62D7" w:rsidRPr="007D19EF" w:rsidRDefault="00B83420" w:rsidP="00B83420">
      <w:pPr>
        <w:pStyle w:val="ManualNumPar1"/>
        <w:rPr>
          <w:noProof/>
        </w:rPr>
      </w:pPr>
      <w:r w:rsidRPr="00B83420">
        <w:rPr>
          <w:noProof/>
        </w:rPr>
        <w:t>1.</w:t>
      </w:r>
      <w:r w:rsidRPr="00B83420">
        <w:rPr>
          <w:noProof/>
        </w:rPr>
        <w:tab/>
      </w:r>
      <w:r w:rsidR="001A62D7" w:rsidRPr="007D19EF">
        <w:rPr>
          <w:noProof/>
        </w:rPr>
        <w:t>Приложимите разпоредби за предоставяне на финансов принос от Европейския фонд за приспособяване към глобализацията за съкратени работници (ЕФПГ) са определени в Регламент (ЕС) 2021/691 на Европейския парламент и на Съвета от 28 април 2021 г. относно Европейския фонд за приспособяване към глобализацията за съкратени работници (ЕФПГ) и за отмяна на Регламент (ЕС) № 1309/2013</w:t>
      </w:r>
      <w:r w:rsidR="001A62D7" w:rsidRPr="007D19EF">
        <w:rPr>
          <w:rStyle w:val="FootnoteReference"/>
          <w:noProof/>
        </w:rPr>
        <w:footnoteReference w:id="2"/>
      </w:r>
      <w:r w:rsidR="001A62D7" w:rsidRPr="007D19EF">
        <w:rPr>
          <w:noProof/>
        </w:rPr>
        <w:t>.</w:t>
      </w:r>
    </w:p>
    <w:p w:rsidR="001A62D7" w:rsidRPr="007D19EF" w:rsidRDefault="00B83420" w:rsidP="00B83420">
      <w:pPr>
        <w:pStyle w:val="ManualNumPar1"/>
        <w:rPr>
          <w:noProof/>
        </w:rPr>
      </w:pPr>
      <w:r w:rsidRPr="00B83420">
        <w:rPr>
          <w:noProof/>
        </w:rPr>
        <w:t>2.</w:t>
      </w:r>
      <w:r w:rsidRPr="00B83420">
        <w:rPr>
          <w:noProof/>
        </w:rPr>
        <w:tab/>
      </w:r>
      <w:r w:rsidR="001A62D7" w:rsidRPr="007D19EF">
        <w:rPr>
          <w:noProof/>
        </w:rPr>
        <w:t>На 16 юни 2025 г. Швеция подаде заявление EGF/2025/003 SE/Northvolt за финансов принос от ЕФПГ вследствие на съкращения в Northvolt (Northvolt AB) и неговите дъщерни дружества, както и в 13 подизпълнители, доставчици и производители надолу по веригата в Швеция.</w:t>
      </w:r>
    </w:p>
    <w:p w:rsidR="001A62D7" w:rsidRPr="007D19EF" w:rsidRDefault="00B83420" w:rsidP="00B83420">
      <w:pPr>
        <w:pStyle w:val="ManualNumPar1"/>
        <w:rPr>
          <w:noProof/>
        </w:rPr>
      </w:pPr>
      <w:r w:rsidRPr="00B83420">
        <w:rPr>
          <w:noProof/>
        </w:rPr>
        <w:t>3.</w:t>
      </w:r>
      <w:r w:rsidRPr="00B83420">
        <w:rPr>
          <w:noProof/>
        </w:rPr>
        <w:tab/>
      </w:r>
      <w:r w:rsidR="001A62D7" w:rsidRPr="007D19EF">
        <w:rPr>
          <w:noProof/>
        </w:rPr>
        <w:t xml:space="preserve">След оценка на заявлението Комисията заключи в съответствие с всички приложими разпоредби на Регламент (ЕС) 2021/691, че условията за предоставяне на финансов принос от ЕФПГ са изпълнени. </w:t>
      </w:r>
    </w:p>
    <w:p w:rsidR="001A62D7" w:rsidRPr="007D19EF" w:rsidRDefault="001A62D7" w:rsidP="001A62D7">
      <w:pPr>
        <w:pStyle w:val="ManualHeading1"/>
        <w:rPr>
          <w:noProof/>
        </w:rPr>
      </w:pPr>
      <w:r w:rsidRPr="007D19EF">
        <w:rPr>
          <w:noProof/>
        </w:rPr>
        <w:t>ОБОБЩЕНИ ДАННИ ЗА ЗАЯВЛЕНИЕТО</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662"/>
        <w:gridCol w:w="4411"/>
      </w:tblGrid>
      <w:tr w:rsidR="001A62D7" w:rsidRPr="007D19EF" w:rsidTr="007D19EF">
        <w:tc>
          <w:tcPr>
            <w:tcW w:w="4786" w:type="dxa"/>
            <w:shd w:val="clear" w:color="auto" w:fill="auto"/>
          </w:tcPr>
          <w:p w:rsidR="001A62D7" w:rsidRPr="007D19EF" w:rsidRDefault="001A62D7" w:rsidP="00052CC7">
            <w:pPr>
              <w:spacing w:before="60" w:after="60"/>
              <w:jc w:val="left"/>
              <w:rPr>
                <w:rFonts w:eastAsia="Calibri"/>
                <w:noProof/>
              </w:rPr>
            </w:pPr>
            <w:r w:rsidRPr="007D19EF">
              <w:rPr>
                <w:noProof/>
              </w:rPr>
              <w:t>Заявление по ЕФПГ</w:t>
            </w:r>
          </w:p>
        </w:tc>
        <w:tc>
          <w:tcPr>
            <w:tcW w:w="4501" w:type="dxa"/>
            <w:shd w:val="clear" w:color="auto" w:fill="auto"/>
          </w:tcPr>
          <w:p w:rsidR="001A62D7" w:rsidRPr="007D19EF" w:rsidRDefault="001A62D7" w:rsidP="00052CC7">
            <w:pPr>
              <w:spacing w:before="60" w:after="60"/>
              <w:ind w:rightChars="192" w:right="461"/>
              <w:jc w:val="left"/>
              <w:rPr>
                <w:rFonts w:eastAsia="Calibri"/>
                <w:noProof/>
              </w:rPr>
            </w:pPr>
            <w:r w:rsidRPr="007D19EF">
              <w:rPr>
                <w:noProof/>
              </w:rPr>
              <w:t>EGF/2025/003 SE/Northvolt</w:t>
            </w:r>
          </w:p>
        </w:tc>
      </w:tr>
      <w:tr w:rsidR="001A62D7" w:rsidRPr="007D19EF" w:rsidTr="007D19EF">
        <w:tc>
          <w:tcPr>
            <w:tcW w:w="4786" w:type="dxa"/>
            <w:shd w:val="clear" w:color="auto" w:fill="auto"/>
          </w:tcPr>
          <w:p w:rsidR="001A62D7" w:rsidRPr="007D19EF" w:rsidRDefault="001A62D7" w:rsidP="00052CC7">
            <w:pPr>
              <w:spacing w:before="60" w:after="60"/>
              <w:jc w:val="left"/>
              <w:rPr>
                <w:rFonts w:eastAsia="Calibri"/>
                <w:noProof/>
              </w:rPr>
            </w:pPr>
            <w:r w:rsidRPr="007D19EF">
              <w:rPr>
                <w:noProof/>
              </w:rPr>
              <w:t>Държава членка</w:t>
            </w:r>
          </w:p>
        </w:tc>
        <w:tc>
          <w:tcPr>
            <w:tcW w:w="4501" w:type="dxa"/>
            <w:shd w:val="clear" w:color="auto" w:fill="auto"/>
          </w:tcPr>
          <w:p w:rsidR="001A62D7" w:rsidRPr="007D19EF" w:rsidRDefault="00184853" w:rsidP="00052CC7">
            <w:pPr>
              <w:spacing w:before="60" w:after="60"/>
              <w:ind w:rightChars="192" w:right="461"/>
              <w:jc w:val="left"/>
              <w:rPr>
                <w:rFonts w:eastAsia="Calibri"/>
                <w:noProof/>
              </w:rPr>
            </w:pPr>
            <w:r w:rsidRPr="007D19EF">
              <w:rPr>
                <w:noProof/>
              </w:rPr>
              <w:t>Швеция</w:t>
            </w:r>
          </w:p>
        </w:tc>
      </w:tr>
      <w:tr w:rsidR="001A62D7" w:rsidRPr="007D19EF" w:rsidTr="007D19EF">
        <w:tc>
          <w:tcPr>
            <w:tcW w:w="4786" w:type="dxa"/>
            <w:tcBorders>
              <w:bottom w:val="single"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t>Засегнат(и) регион(и) (ниво 2 по NUTS</w:t>
            </w:r>
            <w:r w:rsidRPr="007D19EF">
              <w:rPr>
                <w:rStyle w:val="FootnoteReference"/>
                <w:noProof/>
              </w:rPr>
              <w:footnoteReference w:id="3"/>
            </w:r>
            <w:r w:rsidRPr="007D19EF">
              <w:rPr>
                <w:noProof/>
              </w:rPr>
              <w:t>)</w:t>
            </w:r>
          </w:p>
        </w:tc>
        <w:tc>
          <w:tcPr>
            <w:tcW w:w="4501" w:type="dxa"/>
            <w:tcBorders>
              <w:bottom w:val="single" w:sz="4" w:space="0" w:color="auto"/>
            </w:tcBorders>
            <w:shd w:val="clear" w:color="auto" w:fill="auto"/>
          </w:tcPr>
          <w:p w:rsidR="001A62D7" w:rsidRPr="007D19EF" w:rsidRDefault="00A15112" w:rsidP="00052CC7">
            <w:pPr>
              <w:spacing w:before="0" w:after="0"/>
              <w:ind w:rightChars="192" w:right="461"/>
              <w:jc w:val="left"/>
              <w:rPr>
                <w:noProof/>
                <w:szCs w:val="24"/>
              </w:rPr>
            </w:pPr>
            <w:r w:rsidRPr="007D19EF">
              <w:rPr>
                <w:noProof/>
              </w:rPr>
              <w:t>Övre Norrland (SE33)</w:t>
            </w:r>
          </w:p>
          <w:p w:rsidR="00A15112" w:rsidRPr="007D19EF" w:rsidRDefault="00A15112" w:rsidP="00052CC7">
            <w:pPr>
              <w:spacing w:before="0" w:after="0"/>
              <w:ind w:rightChars="192" w:right="461"/>
              <w:jc w:val="left"/>
              <w:rPr>
                <w:noProof/>
                <w:szCs w:val="24"/>
              </w:rPr>
            </w:pPr>
            <w:r w:rsidRPr="007D19EF">
              <w:rPr>
                <w:noProof/>
              </w:rPr>
              <w:t>Стокхолм (SE11)</w:t>
            </w:r>
          </w:p>
          <w:p w:rsidR="001A62D7" w:rsidRPr="007D19EF" w:rsidRDefault="00A15112" w:rsidP="00052CC7">
            <w:pPr>
              <w:spacing w:before="0" w:after="0"/>
              <w:ind w:rightChars="192" w:right="461"/>
              <w:jc w:val="left"/>
              <w:rPr>
                <w:noProof/>
                <w:szCs w:val="24"/>
              </w:rPr>
            </w:pPr>
            <w:r w:rsidRPr="007D19EF">
              <w:rPr>
                <w:noProof/>
              </w:rPr>
              <w:t>Östra Mellansverige (SE12)</w:t>
            </w:r>
          </w:p>
        </w:tc>
      </w:tr>
      <w:tr w:rsidR="001A62D7" w:rsidRPr="007D19EF" w:rsidTr="007D19EF">
        <w:tc>
          <w:tcPr>
            <w:tcW w:w="4786" w:type="dxa"/>
            <w:tcBorders>
              <w:bottom w:val="dotted"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t>Дата на подаване на заявлението</w:t>
            </w:r>
          </w:p>
        </w:tc>
        <w:tc>
          <w:tcPr>
            <w:tcW w:w="4501" w:type="dxa"/>
            <w:tcBorders>
              <w:bottom w:val="dotted" w:sz="4" w:space="0" w:color="auto"/>
            </w:tcBorders>
            <w:shd w:val="clear" w:color="auto" w:fill="auto"/>
          </w:tcPr>
          <w:p w:rsidR="001A62D7" w:rsidRPr="007D19EF" w:rsidRDefault="00184853" w:rsidP="00052CC7">
            <w:pPr>
              <w:spacing w:before="60" w:after="60"/>
              <w:ind w:rightChars="192" w:right="461"/>
              <w:jc w:val="left"/>
              <w:rPr>
                <w:rFonts w:eastAsia="Calibri"/>
                <w:noProof/>
              </w:rPr>
            </w:pPr>
            <w:r w:rsidRPr="007D19EF">
              <w:rPr>
                <w:noProof/>
              </w:rPr>
              <w:t>16 юни 2025 г.</w:t>
            </w:r>
          </w:p>
        </w:tc>
      </w:tr>
      <w:tr w:rsidR="001A62D7" w:rsidRPr="007D19EF" w:rsidTr="007D19EF">
        <w:tc>
          <w:tcPr>
            <w:tcW w:w="4786" w:type="dxa"/>
            <w:tcBorders>
              <w:top w:val="dotted" w:sz="4" w:space="0" w:color="auto"/>
              <w:bottom w:val="dotted"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t>Дата на потвърждението за получаване на заявлението</w:t>
            </w:r>
          </w:p>
        </w:tc>
        <w:tc>
          <w:tcPr>
            <w:tcW w:w="4501" w:type="dxa"/>
            <w:tcBorders>
              <w:top w:val="dotted" w:sz="4" w:space="0" w:color="auto"/>
              <w:bottom w:val="dotted" w:sz="4" w:space="0" w:color="auto"/>
            </w:tcBorders>
            <w:shd w:val="clear" w:color="auto" w:fill="auto"/>
          </w:tcPr>
          <w:p w:rsidR="001A62D7" w:rsidRPr="007D19EF" w:rsidRDefault="00184853" w:rsidP="00052CC7">
            <w:pPr>
              <w:spacing w:before="60" w:after="60"/>
              <w:ind w:rightChars="192" w:right="461"/>
              <w:jc w:val="left"/>
              <w:rPr>
                <w:rFonts w:eastAsia="Calibri"/>
                <w:noProof/>
              </w:rPr>
            </w:pPr>
            <w:r w:rsidRPr="007D19EF">
              <w:rPr>
                <w:noProof/>
              </w:rPr>
              <w:t>16 юни 2025 г.</w:t>
            </w:r>
          </w:p>
        </w:tc>
      </w:tr>
      <w:tr w:rsidR="001A62D7" w:rsidRPr="007D19EF" w:rsidTr="007D19EF">
        <w:tc>
          <w:tcPr>
            <w:tcW w:w="4786" w:type="dxa"/>
            <w:tcBorders>
              <w:top w:val="dotted" w:sz="4" w:space="0" w:color="auto"/>
              <w:bottom w:val="dotted"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t>Дата на искането за допълнителна информация</w:t>
            </w:r>
          </w:p>
        </w:tc>
        <w:tc>
          <w:tcPr>
            <w:tcW w:w="4501" w:type="dxa"/>
            <w:tcBorders>
              <w:top w:val="dotted" w:sz="4" w:space="0" w:color="auto"/>
              <w:bottom w:val="dotted" w:sz="4" w:space="0" w:color="auto"/>
            </w:tcBorders>
            <w:shd w:val="clear" w:color="auto" w:fill="auto"/>
          </w:tcPr>
          <w:p w:rsidR="001A62D7" w:rsidRPr="007D19EF" w:rsidRDefault="00184853" w:rsidP="00052CC7">
            <w:pPr>
              <w:spacing w:before="60" w:after="60"/>
              <w:ind w:rightChars="192" w:right="461"/>
              <w:jc w:val="left"/>
              <w:rPr>
                <w:rFonts w:eastAsia="Calibri"/>
                <w:noProof/>
              </w:rPr>
            </w:pPr>
            <w:r w:rsidRPr="007D19EF">
              <w:rPr>
                <w:noProof/>
              </w:rPr>
              <w:t>4 август 2025 г.</w:t>
            </w:r>
          </w:p>
        </w:tc>
      </w:tr>
      <w:tr w:rsidR="001A62D7" w:rsidRPr="007D19EF" w:rsidTr="007D19EF">
        <w:tc>
          <w:tcPr>
            <w:tcW w:w="4786" w:type="dxa"/>
            <w:tcBorders>
              <w:top w:val="dotted" w:sz="4" w:space="0" w:color="auto"/>
              <w:bottom w:val="dotted"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t>Срок за предоставяне на допълнителната информация</w:t>
            </w:r>
          </w:p>
        </w:tc>
        <w:tc>
          <w:tcPr>
            <w:tcW w:w="4501" w:type="dxa"/>
            <w:tcBorders>
              <w:top w:val="dotted" w:sz="4" w:space="0" w:color="auto"/>
              <w:bottom w:val="dotted" w:sz="4" w:space="0" w:color="auto"/>
            </w:tcBorders>
            <w:shd w:val="clear" w:color="auto" w:fill="auto"/>
          </w:tcPr>
          <w:p w:rsidR="001A62D7" w:rsidRPr="007D19EF" w:rsidRDefault="00184853" w:rsidP="00052CC7">
            <w:pPr>
              <w:spacing w:before="60" w:after="60"/>
              <w:ind w:rightChars="192" w:right="461"/>
              <w:jc w:val="left"/>
              <w:rPr>
                <w:rFonts w:eastAsia="Calibri"/>
                <w:noProof/>
              </w:rPr>
            </w:pPr>
            <w:r w:rsidRPr="007D19EF">
              <w:rPr>
                <w:noProof/>
              </w:rPr>
              <w:t>26 август 2025 г.</w:t>
            </w:r>
          </w:p>
        </w:tc>
      </w:tr>
      <w:tr w:rsidR="001A62D7" w:rsidRPr="007D19EF" w:rsidTr="007D19EF">
        <w:tc>
          <w:tcPr>
            <w:tcW w:w="4786" w:type="dxa"/>
            <w:tcBorders>
              <w:top w:val="dotted"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t>Срок за приключване на оценката</w:t>
            </w:r>
          </w:p>
        </w:tc>
        <w:tc>
          <w:tcPr>
            <w:tcW w:w="4501" w:type="dxa"/>
            <w:tcBorders>
              <w:top w:val="dotted" w:sz="4" w:space="0" w:color="auto"/>
            </w:tcBorders>
            <w:shd w:val="clear" w:color="auto" w:fill="auto"/>
          </w:tcPr>
          <w:p w:rsidR="001A62D7" w:rsidRPr="007D19EF" w:rsidRDefault="00A03141" w:rsidP="00052CC7">
            <w:pPr>
              <w:spacing w:before="60" w:after="60"/>
              <w:ind w:rightChars="192" w:right="461"/>
              <w:jc w:val="left"/>
              <w:rPr>
                <w:rFonts w:eastAsia="Calibri"/>
                <w:noProof/>
              </w:rPr>
            </w:pPr>
            <w:r w:rsidRPr="007D19EF">
              <w:rPr>
                <w:noProof/>
              </w:rPr>
              <w:t>4 ноември 2025 г.</w:t>
            </w:r>
          </w:p>
        </w:tc>
      </w:tr>
      <w:tr w:rsidR="001A62D7" w:rsidRPr="007D19EF" w:rsidTr="007D19EF">
        <w:tc>
          <w:tcPr>
            <w:tcW w:w="4786" w:type="dxa"/>
            <w:shd w:val="clear" w:color="auto" w:fill="auto"/>
          </w:tcPr>
          <w:p w:rsidR="001A62D7" w:rsidRPr="007D19EF" w:rsidRDefault="001A62D7" w:rsidP="00052CC7">
            <w:pPr>
              <w:spacing w:before="60" w:after="60"/>
              <w:jc w:val="left"/>
              <w:rPr>
                <w:rFonts w:eastAsia="Calibri"/>
                <w:noProof/>
              </w:rPr>
            </w:pPr>
            <w:r w:rsidRPr="007D19EF">
              <w:rPr>
                <w:noProof/>
              </w:rPr>
              <w:t>Критерий за намеса</w:t>
            </w:r>
          </w:p>
        </w:tc>
        <w:tc>
          <w:tcPr>
            <w:tcW w:w="4501" w:type="dxa"/>
            <w:shd w:val="clear" w:color="auto" w:fill="auto"/>
          </w:tcPr>
          <w:p w:rsidR="001A62D7" w:rsidRPr="007D19EF" w:rsidRDefault="001A62D7" w:rsidP="00052CC7">
            <w:pPr>
              <w:spacing w:before="60" w:after="60"/>
              <w:ind w:rightChars="192" w:right="461"/>
              <w:jc w:val="left"/>
              <w:rPr>
                <w:rFonts w:eastAsia="Calibri"/>
                <w:noProof/>
              </w:rPr>
            </w:pPr>
            <w:r w:rsidRPr="007D19EF">
              <w:rPr>
                <w:noProof/>
              </w:rPr>
              <w:t>Член 4, параграф 2, буква а) от Регламент (ЕС) 2021/691</w:t>
            </w:r>
          </w:p>
        </w:tc>
      </w:tr>
      <w:tr w:rsidR="001A62D7" w:rsidRPr="007D19EF" w:rsidTr="007D19EF">
        <w:tc>
          <w:tcPr>
            <w:tcW w:w="4786" w:type="dxa"/>
            <w:tcBorders>
              <w:top w:val="single" w:sz="4" w:space="0" w:color="auto"/>
              <w:bottom w:val="single" w:sz="4" w:space="0" w:color="auto"/>
              <w:right w:val="single"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br w:type="page"/>
              <w:t>Основно предприятие</w:t>
            </w:r>
          </w:p>
        </w:tc>
        <w:tc>
          <w:tcPr>
            <w:tcW w:w="4501" w:type="dxa"/>
            <w:tcBorders>
              <w:top w:val="single" w:sz="4" w:space="0" w:color="auto"/>
              <w:left w:val="single" w:sz="4" w:space="0" w:color="auto"/>
              <w:bottom w:val="single" w:sz="4" w:space="0" w:color="auto"/>
            </w:tcBorders>
            <w:shd w:val="clear" w:color="auto" w:fill="auto"/>
          </w:tcPr>
          <w:p w:rsidR="001A62D7" w:rsidRPr="007D19EF" w:rsidRDefault="00184853" w:rsidP="00052CC7">
            <w:pPr>
              <w:spacing w:before="60" w:after="60"/>
              <w:ind w:rightChars="192" w:right="461"/>
              <w:jc w:val="left"/>
              <w:rPr>
                <w:noProof/>
                <w:szCs w:val="24"/>
              </w:rPr>
            </w:pPr>
            <w:r w:rsidRPr="007D19EF">
              <w:rPr>
                <w:noProof/>
              </w:rPr>
              <w:t>Northvolt (Northvolt AB)</w:t>
            </w:r>
          </w:p>
        </w:tc>
      </w:tr>
      <w:tr w:rsidR="001A62D7" w:rsidRPr="007D19EF" w:rsidTr="007D19EF">
        <w:tc>
          <w:tcPr>
            <w:tcW w:w="4786" w:type="dxa"/>
            <w:tcBorders>
              <w:top w:val="single" w:sz="4" w:space="0" w:color="auto"/>
              <w:bottom w:val="single" w:sz="4" w:space="0" w:color="auto"/>
              <w:right w:val="single" w:sz="4" w:space="0" w:color="auto"/>
            </w:tcBorders>
            <w:shd w:val="clear" w:color="auto" w:fill="auto"/>
          </w:tcPr>
          <w:p w:rsidR="001A62D7" w:rsidRPr="007D19EF" w:rsidRDefault="001A62D7" w:rsidP="00052CC7">
            <w:pPr>
              <w:spacing w:before="60" w:after="60"/>
              <w:jc w:val="left"/>
              <w:rPr>
                <w:rFonts w:eastAsia="Calibri"/>
                <w:noProof/>
              </w:rPr>
            </w:pPr>
            <w:r w:rsidRPr="007D19EF">
              <w:rPr>
                <w:noProof/>
              </w:rPr>
              <w:br w:type="page"/>
              <w:t>Брой на засегнатите предприятия</w:t>
            </w:r>
            <w:r w:rsidRPr="007D19EF">
              <w:rPr>
                <w:rStyle w:val="FootnoteReference"/>
                <w:rFonts w:eastAsia="Calibri"/>
                <w:noProof/>
              </w:rPr>
              <w:footnoteReference w:id="4"/>
            </w:r>
          </w:p>
        </w:tc>
        <w:tc>
          <w:tcPr>
            <w:tcW w:w="4501" w:type="dxa"/>
            <w:tcBorders>
              <w:top w:val="single" w:sz="4" w:space="0" w:color="auto"/>
              <w:left w:val="single" w:sz="4" w:space="0" w:color="auto"/>
              <w:bottom w:val="single" w:sz="4" w:space="0" w:color="auto"/>
            </w:tcBorders>
            <w:shd w:val="clear" w:color="auto" w:fill="auto"/>
          </w:tcPr>
          <w:p w:rsidR="001A62D7" w:rsidRPr="007D19EF" w:rsidRDefault="00E8095D" w:rsidP="00052CC7">
            <w:pPr>
              <w:spacing w:before="60" w:after="60"/>
              <w:ind w:rightChars="192" w:right="461"/>
              <w:jc w:val="left"/>
              <w:rPr>
                <w:noProof/>
                <w:szCs w:val="24"/>
              </w:rPr>
            </w:pPr>
            <w:r w:rsidRPr="007D19EF">
              <w:rPr>
                <w:noProof/>
              </w:rPr>
              <w:t>14</w:t>
            </w:r>
          </w:p>
        </w:tc>
      </w:tr>
      <w:tr w:rsidR="001A62D7" w:rsidRPr="007D19EF" w:rsidTr="007D19EF">
        <w:tc>
          <w:tcPr>
            <w:tcW w:w="4786" w:type="dxa"/>
            <w:shd w:val="clear" w:color="auto" w:fill="auto"/>
          </w:tcPr>
          <w:p w:rsidR="001A62D7" w:rsidRPr="007D19EF" w:rsidRDefault="001A62D7" w:rsidP="00052CC7">
            <w:pPr>
              <w:spacing w:before="60" w:after="60"/>
              <w:jc w:val="left"/>
              <w:rPr>
                <w:rFonts w:eastAsia="Calibri"/>
                <w:noProof/>
              </w:rPr>
            </w:pPr>
            <w:r w:rsidRPr="007D19EF">
              <w:rPr>
                <w:noProof/>
              </w:rPr>
              <w:t>Сектор на икономическа дейност на основното предприятие</w:t>
            </w:r>
          </w:p>
          <w:p w:rsidR="001A62D7" w:rsidRPr="007D19EF" w:rsidRDefault="001A62D7" w:rsidP="00052CC7">
            <w:pPr>
              <w:spacing w:before="60" w:after="60"/>
              <w:jc w:val="left"/>
              <w:rPr>
                <w:rFonts w:eastAsia="Calibri"/>
                <w:noProof/>
              </w:rPr>
            </w:pPr>
            <w:r w:rsidRPr="007D19EF">
              <w:rPr>
                <w:noProof/>
              </w:rPr>
              <w:t>(разделение по NACE Rev. 2)</w:t>
            </w:r>
            <w:r w:rsidRPr="007D19EF">
              <w:rPr>
                <w:rStyle w:val="FootnoteReference"/>
                <w:noProof/>
                <w:szCs w:val="24"/>
              </w:rPr>
              <w:footnoteReference w:id="5"/>
            </w:r>
          </w:p>
        </w:tc>
        <w:tc>
          <w:tcPr>
            <w:tcW w:w="4501" w:type="dxa"/>
            <w:shd w:val="clear" w:color="auto" w:fill="auto"/>
          </w:tcPr>
          <w:p w:rsidR="001A62D7" w:rsidRPr="007D19EF" w:rsidRDefault="001A62D7" w:rsidP="00B907AD">
            <w:pPr>
              <w:spacing w:before="60" w:after="60"/>
              <w:ind w:rightChars="192" w:right="461"/>
              <w:rPr>
                <w:rFonts w:eastAsia="Calibri"/>
                <w:noProof/>
              </w:rPr>
            </w:pPr>
            <w:r w:rsidRPr="007D19EF">
              <w:rPr>
                <w:noProof/>
              </w:rPr>
              <w:t>Разделение 71 (Архитектурни и инженерни дейности; технически изпитвания и анализи)</w:t>
            </w:r>
          </w:p>
        </w:tc>
      </w:tr>
      <w:tr w:rsidR="00A15112" w:rsidRPr="007D19EF" w:rsidTr="007D19EF">
        <w:tc>
          <w:tcPr>
            <w:tcW w:w="4786" w:type="dxa"/>
            <w:shd w:val="clear" w:color="auto" w:fill="auto"/>
          </w:tcPr>
          <w:p w:rsidR="00A15112" w:rsidRPr="007D19EF" w:rsidRDefault="00A15112" w:rsidP="00A15112">
            <w:pPr>
              <w:spacing w:before="60" w:after="60"/>
              <w:jc w:val="left"/>
              <w:rPr>
                <w:rFonts w:eastAsia="Calibri"/>
                <w:noProof/>
              </w:rPr>
            </w:pPr>
            <w:r w:rsidRPr="007D19EF">
              <w:rPr>
                <w:noProof/>
              </w:rPr>
              <w:br w:type="page"/>
              <w:t>Брой подизпълнители, доставчици и производители надолу по веригата</w:t>
            </w:r>
            <w:r w:rsidRPr="007D19EF">
              <w:rPr>
                <w:rStyle w:val="FootnoteReference"/>
                <w:rFonts w:eastAsia="Calibri"/>
                <w:noProof/>
              </w:rPr>
              <w:footnoteReference w:id="6"/>
            </w:r>
          </w:p>
        </w:tc>
        <w:tc>
          <w:tcPr>
            <w:tcW w:w="4501" w:type="dxa"/>
            <w:shd w:val="clear" w:color="auto" w:fill="auto"/>
          </w:tcPr>
          <w:p w:rsidR="00A15112" w:rsidRPr="007D19EF" w:rsidRDefault="00A15112" w:rsidP="00A15112">
            <w:pPr>
              <w:spacing w:before="60" w:after="60"/>
              <w:ind w:rightChars="192" w:right="461"/>
              <w:jc w:val="left"/>
              <w:rPr>
                <w:rFonts w:eastAsia="Calibri"/>
                <w:noProof/>
              </w:rPr>
            </w:pPr>
            <w:r w:rsidRPr="007D19EF">
              <w:rPr>
                <w:noProof/>
                <w:color w:val="FFFFFF" w:themeColor="background1"/>
              </w:rPr>
              <w:t>8</w:t>
            </w:r>
            <w:r w:rsidRPr="007D19EF">
              <w:rPr>
                <w:noProof/>
              </w:rPr>
              <w:t>8</w:t>
            </w:r>
          </w:p>
        </w:tc>
      </w:tr>
      <w:tr w:rsidR="00A15112" w:rsidRPr="007D19EF" w:rsidTr="007D19EF">
        <w:tc>
          <w:tcPr>
            <w:tcW w:w="4786" w:type="dxa"/>
            <w:tcBorders>
              <w:bottom w:val="single" w:sz="4" w:space="0" w:color="auto"/>
            </w:tcBorders>
            <w:shd w:val="clear" w:color="auto" w:fill="auto"/>
          </w:tcPr>
          <w:p w:rsidR="00A15112" w:rsidRPr="007D19EF" w:rsidRDefault="00A15112" w:rsidP="00A15112">
            <w:pPr>
              <w:spacing w:before="60" w:after="60"/>
              <w:jc w:val="left"/>
              <w:rPr>
                <w:rFonts w:eastAsia="Calibri"/>
                <w:noProof/>
              </w:rPr>
            </w:pPr>
            <w:r w:rsidRPr="007D19EF">
              <w:rPr>
                <w:noProof/>
              </w:rPr>
              <w:t>Референтен период (четири месеца):</w:t>
            </w:r>
          </w:p>
        </w:tc>
        <w:tc>
          <w:tcPr>
            <w:tcW w:w="4501" w:type="dxa"/>
            <w:tcBorders>
              <w:bottom w:val="single" w:sz="4" w:space="0" w:color="auto"/>
            </w:tcBorders>
            <w:shd w:val="clear" w:color="auto" w:fill="auto"/>
          </w:tcPr>
          <w:p w:rsidR="00A15112" w:rsidRPr="007D19EF" w:rsidRDefault="00A15112" w:rsidP="00A15112">
            <w:pPr>
              <w:spacing w:before="60" w:after="60"/>
              <w:ind w:rightChars="192" w:right="461"/>
              <w:jc w:val="left"/>
              <w:rPr>
                <w:rFonts w:eastAsia="Calibri"/>
                <w:noProof/>
              </w:rPr>
            </w:pPr>
            <w:r w:rsidRPr="007D19EF">
              <w:rPr>
                <w:noProof/>
              </w:rPr>
              <w:t>28 ноември 2024 г.—28 март 2025 г.</w:t>
            </w:r>
          </w:p>
        </w:tc>
      </w:tr>
      <w:tr w:rsidR="00A15112" w:rsidRPr="007D19EF" w:rsidTr="007D19EF">
        <w:tc>
          <w:tcPr>
            <w:tcW w:w="4786" w:type="dxa"/>
            <w:tcBorders>
              <w:bottom w:val="dotted" w:sz="4" w:space="0" w:color="auto"/>
            </w:tcBorders>
            <w:shd w:val="clear" w:color="auto" w:fill="auto"/>
          </w:tcPr>
          <w:p w:rsidR="00A15112" w:rsidRPr="007D19EF" w:rsidRDefault="00A15112" w:rsidP="00A15112">
            <w:pPr>
              <w:spacing w:before="60" w:after="60"/>
              <w:jc w:val="left"/>
              <w:rPr>
                <w:rFonts w:eastAsia="Calibri"/>
                <w:noProof/>
                <w:highlight w:val="magenta"/>
              </w:rPr>
            </w:pPr>
            <w:r w:rsidRPr="007D19EF">
              <w:rPr>
                <w:noProof/>
              </w:rPr>
              <w:t>Брой на съкращенията по време на референтния период (</w:t>
            </w:r>
            <w:r w:rsidRPr="007D19EF">
              <w:rPr>
                <w:i/>
                <w:noProof/>
              </w:rPr>
              <w:t>а</w:t>
            </w:r>
            <w:r w:rsidRPr="007D19EF">
              <w:rPr>
                <w:noProof/>
              </w:rPr>
              <w:t>)</w:t>
            </w:r>
          </w:p>
        </w:tc>
        <w:tc>
          <w:tcPr>
            <w:tcW w:w="4501" w:type="dxa"/>
            <w:tcBorders>
              <w:bottom w:val="dotted" w:sz="4" w:space="0" w:color="auto"/>
            </w:tcBorders>
            <w:shd w:val="clear" w:color="auto" w:fill="auto"/>
          </w:tcPr>
          <w:p w:rsidR="00A15112" w:rsidRPr="007D19EF" w:rsidRDefault="00A15112" w:rsidP="00A15112">
            <w:pPr>
              <w:spacing w:before="60" w:after="60"/>
              <w:ind w:rightChars="192" w:right="461"/>
              <w:jc w:val="left"/>
              <w:rPr>
                <w:rFonts w:eastAsia="Calibri"/>
                <w:noProof/>
                <w:highlight w:val="magenta"/>
              </w:rPr>
            </w:pPr>
            <w:r w:rsidRPr="007D19EF">
              <w:rPr>
                <w:noProof/>
              </w:rPr>
              <w:t>5829</w:t>
            </w:r>
          </w:p>
        </w:tc>
      </w:tr>
      <w:tr w:rsidR="00A15112" w:rsidRPr="007D19EF" w:rsidTr="007D19EF">
        <w:tc>
          <w:tcPr>
            <w:tcW w:w="4786" w:type="dxa"/>
            <w:tcBorders>
              <w:top w:val="dotted" w:sz="4" w:space="0" w:color="auto"/>
              <w:bottom w:val="dotted" w:sz="4" w:space="0" w:color="auto"/>
            </w:tcBorders>
            <w:shd w:val="clear" w:color="auto" w:fill="auto"/>
          </w:tcPr>
          <w:p w:rsidR="00A15112" w:rsidRPr="007D19EF" w:rsidRDefault="00A15112" w:rsidP="00A15112">
            <w:pPr>
              <w:spacing w:before="60" w:after="60"/>
              <w:jc w:val="left"/>
              <w:rPr>
                <w:rFonts w:eastAsia="Calibri"/>
                <w:noProof/>
                <w:highlight w:val="magenta"/>
              </w:rPr>
            </w:pPr>
            <w:r w:rsidRPr="007D19EF">
              <w:rPr>
                <w:noProof/>
              </w:rPr>
              <w:t>Брой на съкращенията преди или след референтния период (</w:t>
            </w:r>
            <w:r w:rsidRPr="007D19EF">
              <w:rPr>
                <w:i/>
                <w:noProof/>
              </w:rPr>
              <w:t>б</w:t>
            </w:r>
            <w:r w:rsidRPr="007D19EF">
              <w:rPr>
                <w:noProof/>
              </w:rPr>
              <w:t>)</w:t>
            </w:r>
          </w:p>
        </w:tc>
        <w:tc>
          <w:tcPr>
            <w:tcW w:w="4501" w:type="dxa"/>
            <w:tcBorders>
              <w:top w:val="dotted" w:sz="4" w:space="0" w:color="auto"/>
              <w:bottom w:val="dotted" w:sz="4" w:space="0" w:color="auto"/>
            </w:tcBorders>
            <w:shd w:val="clear" w:color="auto" w:fill="auto"/>
          </w:tcPr>
          <w:p w:rsidR="00A15112" w:rsidRPr="007D19EF" w:rsidRDefault="00A15112" w:rsidP="00A15112">
            <w:pPr>
              <w:spacing w:before="60" w:after="60"/>
              <w:ind w:rightChars="192" w:right="461"/>
              <w:jc w:val="left"/>
              <w:rPr>
                <w:rFonts w:eastAsia="Calibri"/>
                <w:noProof/>
              </w:rPr>
            </w:pPr>
            <w:r w:rsidRPr="007D19EF">
              <w:rPr>
                <w:noProof/>
              </w:rPr>
              <w:t>657</w:t>
            </w:r>
          </w:p>
        </w:tc>
      </w:tr>
      <w:tr w:rsidR="00A15112" w:rsidRPr="007D19EF" w:rsidTr="007D19EF">
        <w:tc>
          <w:tcPr>
            <w:tcW w:w="4786" w:type="dxa"/>
            <w:tcBorders>
              <w:top w:val="dotted" w:sz="4" w:space="0" w:color="auto"/>
              <w:bottom w:val="single" w:sz="4" w:space="0" w:color="auto"/>
            </w:tcBorders>
            <w:shd w:val="clear" w:color="auto" w:fill="auto"/>
          </w:tcPr>
          <w:p w:rsidR="00A15112" w:rsidRPr="007D19EF" w:rsidRDefault="00A15112" w:rsidP="00A15112">
            <w:pPr>
              <w:spacing w:before="60" w:after="60"/>
              <w:jc w:val="left"/>
              <w:rPr>
                <w:rFonts w:eastAsia="Calibri"/>
                <w:noProof/>
              </w:rPr>
            </w:pPr>
            <w:r w:rsidRPr="007D19EF">
              <w:rPr>
                <w:noProof/>
              </w:rPr>
              <w:t>Общ брой на съкращенията (</w:t>
            </w:r>
            <w:r w:rsidRPr="007D19EF">
              <w:rPr>
                <w:i/>
                <w:noProof/>
              </w:rPr>
              <w:t>a</w:t>
            </w:r>
            <w:r w:rsidRPr="007D19EF">
              <w:rPr>
                <w:noProof/>
              </w:rPr>
              <w:t> + </w:t>
            </w:r>
            <w:r w:rsidRPr="007D19EF">
              <w:rPr>
                <w:i/>
                <w:noProof/>
              </w:rPr>
              <w:t>б</w:t>
            </w:r>
            <w:r w:rsidRPr="007D19EF">
              <w:rPr>
                <w:noProof/>
              </w:rPr>
              <w:t>)</w:t>
            </w:r>
          </w:p>
        </w:tc>
        <w:tc>
          <w:tcPr>
            <w:tcW w:w="4501" w:type="dxa"/>
            <w:tcBorders>
              <w:top w:val="dotted" w:sz="4" w:space="0" w:color="auto"/>
              <w:bottom w:val="single" w:sz="4" w:space="0" w:color="auto"/>
            </w:tcBorders>
            <w:shd w:val="clear" w:color="auto" w:fill="auto"/>
          </w:tcPr>
          <w:p w:rsidR="00A15112" w:rsidRPr="007D19EF" w:rsidRDefault="00A15112" w:rsidP="00A15112">
            <w:pPr>
              <w:spacing w:before="60" w:after="60"/>
              <w:ind w:rightChars="192" w:right="461"/>
              <w:jc w:val="left"/>
              <w:rPr>
                <w:rFonts w:eastAsia="Calibri"/>
                <w:noProof/>
              </w:rPr>
            </w:pPr>
            <w:r w:rsidRPr="007D19EF">
              <w:rPr>
                <w:noProof/>
              </w:rPr>
              <w:t>6486</w:t>
            </w:r>
          </w:p>
        </w:tc>
      </w:tr>
      <w:tr w:rsidR="00A15112" w:rsidRPr="007D19EF" w:rsidTr="007D19EF">
        <w:tc>
          <w:tcPr>
            <w:tcW w:w="4786" w:type="dxa"/>
            <w:tcBorders>
              <w:bottom w:val="dotted" w:sz="4" w:space="0" w:color="auto"/>
            </w:tcBorders>
            <w:shd w:val="clear" w:color="auto" w:fill="auto"/>
          </w:tcPr>
          <w:p w:rsidR="00A15112" w:rsidRPr="007D19EF" w:rsidRDefault="00A15112" w:rsidP="00A15112">
            <w:pPr>
              <w:spacing w:before="60" w:after="60"/>
              <w:jc w:val="left"/>
              <w:rPr>
                <w:rFonts w:eastAsia="Calibri"/>
                <w:noProof/>
              </w:rPr>
            </w:pPr>
            <w:r w:rsidRPr="007D19EF">
              <w:rPr>
                <w:noProof/>
              </w:rPr>
              <w:t>Общ брой на допустимите бенефициери</w:t>
            </w:r>
          </w:p>
        </w:tc>
        <w:tc>
          <w:tcPr>
            <w:tcW w:w="4501" w:type="dxa"/>
            <w:tcBorders>
              <w:bottom w:val="dotted" w:sz="4" w:space="0" w:color="auto"/>
            </w:tcBorders>
            <w:shd w:val="clear" w:color="auto" w:fill="auto"/>
          </w:tcPr>
          <w:p w:rsidR="00A15112" w:rsidRPr="007D19EF" w:rsidRDefault="00A15112" w:rsidP="00A15112">
            <w:pPr>
              <w:spacing w:before="60" w:after="60"/>
              <w:ind w:rightChars="192" w:right="461"/>
              <w:jc w:val="left"/>
              <w:rPr>
                <w:rFonts w:eastAsia="Calibri"/>
                <w:noProof/>
              </w:rPr>
            </w:pPr>
            <w:r w:rsidRPr="007D19EF">
              <w:rPr>
                <w:noProof/>
              </w:rPr>
              <w:t>6486</w:t>
            </w:r>
          </w:p>
        </w:tc>
      </w:tr>
      <w:tr w:rsidR="00A15112" w:rsidRPr="007D19EF" w:rsidTr="007D19EF">
        <w:tc>
          <w:tcPr>
            <w:tcW w:w="4786" w:type="dxa"/>
            <w:tcBorders>
              <w:top w:val="dotted" w:sz="4" w:space="0" w:color="auto"/>
              <w:bottom w:val="dotted" w:sz="4" w:space="0" w:color="auto"/>
            </w:tcBorders>
            <w:shd w:val="clear" w:color="auto" w:fill="auto"/>
          </w:tcPr>
          <w:p w:rsidR="00A15112" w:rsidRPr="007D19EF" w:rsidRDefault="00A15112" w:rsidP="00A15112">
            <w:pPr>
              <w:spacing w:before="60" w:after="60"/>
              <w:jc w:val="left"/>
              <w:rPr>
                <w:rFonts w:eastAsia="Calibri"/>
                <w:noProof/>
              </w:rPr>
            </w:pPr>
            <w:r w:rsidRPr="007D19EF">
              <w:rPr>
                <w:noProof/>
              </w:rPr>
              <w:t>Общ брой на бенефициерите от целевата група</w:t>
            </w:r>
          </w:p>
        </w:tc>
        <w:tc>
          <w:tcPr>
            <w:tcW w:w="4501" w:type="dxa"/>
            <w:tcBorders>
              <w:top w:val="dotted" w:sz="4" w:space="0" w:color="auto"/>
              <w:bottom w:val="dotted" w:sz="4" w:space="0" w:color="auto"/>
            </w:tcBorders>
            <w:shd w:val="clear" w:color="auto" w:fill="auto"/>
          </w:tcPr>
          <w:p w:rsidR="00A15112" w:rsidRPr="007D19EF" w:rsidRDefault="00A15112" w:rsidP="00A15112">
            <w:pPr>
              <w:spacing w:before="60" w:after="60"/>
              <w:ind w:rightChars="192" w:right="461"/>
              <w:jc w:val="left"/>
              <w:rPr>
                <w:rFonts w:eastAsia="Calibri"/>
                <w:noProof/>
              </w:rPr>
            </w:pPr>
            <w:r w:rsidRPr="007D19EF">
              <w:rPr>
                <w:noProof/>
              </w:rPr>
              <w:t>5800</w:t>
            </w:r>
          </w:p>
        </w:tc>
      </w:tr>
      <w:tr w:rsidR="00A15112" w:rsidRPr="007D19EF" w:rsidTr="007D19EF">
        <w:tc>
          <w:tcPr>
            <w:tcW w:w="4786" w:type="dxa"/>
            <w:tcBorders>
              <w:bottom w:val="dotted" w:sz="4" w:space="0" w:color="auto"/>
            </w:tcBorders>
            <w:shd w:val="clear" w:color="auto" w:fill="auto"/>
            <w:vAlign w:val="center"/>
          </w:tcPr>
          <w:p w:rsidR="00A15112" w:rsidRPr="007D19EF" w:rsidRDefault="00A15112" w:rsidP="00A15112">
            <w:pPr>
              <w:spacing w:before="0" w:after="0"/>
              <w:jc w:val="left"/>
              <w:rPr>
                <w:noProof/>
              </w:rPr>
            </w:pPr>
            <w:r w:rsidRPr="007D19EF">
              <w:rPr>
                <w:noProof/>
              </w:rPr>
              <w:t>Бюджет за персонализирани услуги (EUR)</w:t>
            </w:r>
          </w:p>
        </w:tc>
        <w:tc>
          <w:tcPr>
            <w:tcW w:w="4501" w:type="dxa"/>
            <w:tcBorders>
              <w:bottom w:val="dotted" w:sz="4" w:space="0" w:color="auto"/>
            </w:tcBorders>
            <w:shd w:val="clear" w:color="auto" w:fill="auto"/>
            <w:vAlign w:val="center"/>
          </w:tcPr>
          <w:p w:rsidR="00A15112" w:rsidRPr="007D19EF" w:rsidRDefault="00A15112" w:rsidP="00A15112">
            <w:pPr>
              <w:spacing w:before="0" w:after="0"/>
              <w:ind w:rightChars="192" w:right="461"/>
              <w:jc w:val="left"/>
              <w:rPr>
                <w:noProof/>
              </w:rPr>
            </w:pPr>
            <w:r w:rsidRPr="007D19EF">
              <w:rPr>
                <w:noProof/>
              </w:rPr>
              <w:t>13 663 977</w:t>
            </w:r>
          </w:p>
        </w:tc>
      </w:tr>
      <w:tr w:rsidR="00A15112" w:rsidRPr="007D19EF" w:rsidTr="007D19EF">
        <w:tc>
          <w:tcPr>
            <w:tcW w:w="4786" w:type="dxa"/>
            <w:tcBorders>
              <w:top w:val="dotted" w:sz="4" w:space="0" w:color="auto"/>
              <w:bottom w:val="dotted" w:sz="4" w:space="0" w:color="auto"/>
            </w:tcBorders>
            <w:shd w:val="clear" w:color="auto" w:fill="auto"/>
            <w:vAlign w:val="center"/>
          </w:tcPr>
          <w:p w:rsidR="00A15112" w:rsidRPr="007D19EF" w:rsidRDefault="00A15112" w:rsidP="00A15112">
            <w:pPr>
              <w:spacing w:before="0" w:after="0"/>
              <w:jc w:val="left"/>
              <w:rPr>
                <w:noProof/>
              </w:rPr>
            </w:pPr>
            <w:r w:rsidRPr="007D19EF">
              <w:rPr>
                <w:noProof/>
              </w:rPr>
              <w:t>Бюджет за изпълнението на ЕФПГ</w:t>
            </w:r>
            <w:r w:rsidRPr="007D19EF">
              <w:rPr>
                <w:rStyle w:val="FootnoteReference"/>
                <w:noProof/>
              </w:rPr>
              <w:footnoteReference w:id="7"/>
            </w:r>
            <w:r w:rsidRPr="007D19EF">
              <w:rPr>
                <w:noProof/>
              </w:rPr>
              <w:t xml:space="preserve"> (EUR)</w:t>
            </w:r>
          </w:p>
        </w:tc>
        <w:tc>
          <w:tcPr>
            <w:tcW w:w="4501" w:type="dxa"/>
            <w:tcBorders>
              <w:top w:val="dotted" w:sz="4" w:space="0" w:color="auto"/>
              <w:bottom w:val="dotted" w:sz="4" w:space="0" w:color="auto"/>
            </w:tcBorders>
            <w:shd w:val="clear" w:color="auto" w:fill="auto"/>
            <w:vAlign w:val="center"/>
          </w:tcPr>
          <w:p w:rsidR="00A15112" w:rsidRPr="007D19EF" w:rsidRDefault="00A15112" w:rsidP="00A15112">
            <w:pPr>
              <w:spacing w:before="0" w:after="0"/>
              <w:ind w:rightChars="192" w:right="461"/>
              <w:jc w:val="left"/>
              <w:rPr>
                <w:noProof/>
              </w:rPr>
            </w:pPr>
            <w:r w:rsidRPr="007D19EF">
              <w:rPr>
                <w:noProof/>
              </w:rPr>
              <w:t>546 560</w:t>
            </w:r>
          </w:p>
        </w:tc>
      </w:tr>
      <w:tr w:rsidR="00A15112" w:rsidRPr="007D19EF" w:rsidTr="007D19EF">
        <w:tc>
          <w:tcPr>
            <w:tcW w:w="4786" w:type="dxa"/>
            <w:tcBorders>
              <w:top w:val="dotted" w:sz="4" w:space="0" w:color="auto"/>
              <w:bottom w:val="dotted" w:sz="4" w:space="0" w:color="auto"/>
            </w:tcBorders>
            <w:shd w:val="clear" w:color="auto" w:fill="auto"/>
            <w:vAlign w:val="center"/>
          </w:tcPr>
          <w:p w:rsidR="00A15112" w:rsidRPr="007D19EF" w:rsidRDefault="00A15112" w:rsidP="00A15112">
            <w:pPr>
              <w:spacing w:before="0" w:after="0"/>
              <w:jc w:val="left"/>
              <w:rPr>
                <w:noProof/>
              </w:rPr>
            </w:pPr>
            <w:r w:rsidRPr="007D19EF">
              <w:rPr>
                <w:noProof/>
              </w:rPr>
              <w:t>Общ бюджет (EUR)</w:t>
            </w:r>
          </w:p>
        </w:tc>
        <w:tc>
          <w:tcPr>
            <w:tcW w:w="4501" w:type="dxa"/>
            <w:tcBorders>
              <w:top w:val="dotted" w:sz="4" w:space="0" w:color="auto"/>
              <w:bottom w:val="dotted" w:sz="4" w:space="0" w:color="auto"/>
            </w:tcBorders>
            <w:shd w:val="clear" w:color="auto" w:fill="auto"/>
            <w:vAlign w:val="center"/>
          </w:tcPr>
          <w:p w:rsidR="00A15112" w:rsidRPr="007D19EF" w:rsidRDefault="00A15112" w:rsidP="00A15112">
            <w:pPr>
              <w:spacing w:before="0" w:after="0"/>
              <w:ind w:rightChars="192" w:right="461"/>
              <w:jc w:val="left"/>
              <w:rPr>
                <w:noProof/>
              </w:rPr>
            </w:pPr>
            <w:r w:rsidRPr="007D19EF">
              <w:rPr>
                <w:noProof/>
              </w:rPr>
              <w:t>14 210 537</w:t>
            </w:r>
          </w:p>
        </w:tc>
      </w:tr>
      <w:tr w:rsidR="00A15112" w:rsidRPr="007D19EF" w:rsidTr="007D19EF">
        <w:tc>
          <w:tcPr>
            <w:tcW w:w="4786" w:type="dxa"/>
            <w:tcBorders>
              <w:top w:val="dotted" w:sz="4" w:space="0" w:color="auto"/>
            </w:tcBorders>
            <w:shd w:val="clear" w:color="auto" w:fill="auto"/>
            <w:vAlign w:val="center"/>
          </w:tcPr>
          <w:p w:rsidR="00A15112" w:rsidRPr="007D19EF" w:rsidRDefault="00A15112" w:rsidP="00A15112">
            <w:pPr>
              <w:spacing w:before="0" w:after="0"/>
              <w:jc w:val="left"/>
              <w:rPr>
                <w:noProof/>
              </w:rPr>
            </w:pPr>
            <w:r w:rsidRPr="007D19EF">
              <w:rPr>
                <w:noProof/>
              </w:rPr>
              <w:t>Принос от ЕФПГ (60 %) (EUR)</w:t>
            </w:r>
          </w:p>
        </w:tc>
        <w:tc>
          <w:tcPr>
            <w:tcW w:w="4501" w:type="dxa"/>
            <w:tcBorders>
              <w:top w:val="dotted" w:sz="4" w:space="0" w:color="auto"/>
            </w:tcBorders>
            <w:shd w:val="clear" w:color="auto" w:fill="auto"/>
            <w:vAlign w:val="center"/>
          </w:tcPr>
          <w:p w:rsidR="00A15112" w:rsidRPr="007D19EF" w:rsidRDefault="00A15112" w:rsidP="00A15112">
            <w:pPr>
              <w:spacing w:before="0" w:after="0"/>
              <w:ind w:rightChars="192" w:right="461"/>
              <w:jc w:val="left"/>
              <w:rPr>
                <w:noProof/>
              </w:rPr>
            </w:pPr>
            <w:r w:rsidRPr="007D19EF">
              <w:rPr>
                <w:noProof/>
              </w:rPr>
              <w:t>8 526 322</w:t>
            </w:r>
          </w:p>
        </w:tc>
      </w:tr>
    </w:tbl>
    <w:p w:rsidR="001A62D7" w:rsidRPr="007D19EF" w:rsidRDefault="001A62D7" w:rsidP="001A62D7">
      <w:pPr>
        <w:pStyle w:val="ManualHeading1"/>
        <w:rPr>
          <w:noProof/>
        </w:rPr>
      </w:pPr>
      <w:r w:rsidRPr="007D19EF">
        <w:rPr>
          <w:noProof/>
        </w:rPr>
        <w:t>ОЦЕНКА НА ЗАЯВЛЕНИЕТО</w:t>
      </w:r>
    </w:p>
    <w:p w:rsidR="001A62D7" w:rsidRPr="007D19EF" w:rsidRDefault="001A62D7" w:rsidP="001A62D7">
      <w:pPr>
        <w:pStyle w:val="ManualHeading2"/>
        <w:rPr>
          <w:noProof/>
        </w:rPr>
      </w:pPr>
      <w:r w:rsidRPr="007D19EF">
        <w:rPr>
          <w:noProof/>
        </w:rPr>
        <w:t>Процедура</w:t>
      </w:r>
    </w:p>
    <w:p w:rsidR="00985A79" w:rsidRPr="007D19EF" w:rsidRDefault="00B83420" w:rsidP="00B83420">
      <w:pPr>
        <w:pStyle w:val="ManualNumPar1"/>
        <w:rPr>
          <w:noProof/>
        </w:rPr>
      </w:pPr>
      <w:r w:rsidRPr="00B83420">
        <w:rPr>
          <w:noProof/>
        </w:rPr>
        <w:t>4.</w:t>
      </w:r>
      <w:r w:rsidRPr="00B83420">
        <w:rPr>
          <w:noProof/>
        </w:rPr>
        <w:tab/>
      </w:r>
      <w:r w:rsidR="00A03141" w:rsidRPr="007D19EF">
        <w:rPr>
          <w:noProof/>
        </w:rPr>
        <w:t>Швеция подаде заявление EGF/2025/003 SE/Northvolt на 16 юни 2025 г. в рамките на 12 седмици от датата, на която са били изпълнени критериите за намеса, определени в член 4, параграф 2, буква а) от Регламент (ЕС) 2021/691. Комисията потвърди получаването на заявлението на същата дата. На 18 юли 2025 г. Комисията получи превода на заявлението, а на 4 август 2025 г. поиска допълнителна информация от Швеция. Тази допълнителна информация беше предоставена в срок от 15 работни дни от датата на искането. На 4 ноември 2025 г. изтича срокът от 50 работни дни от датата на получаване на пълното заявление, в който Комисията следва да приключи оценката си за това дали заявлението отговаря на условията за предоставяне на финансов принос.</w:t>
      </w:r>
    </w:p>
    <w:p w:rsidR="001A62D7" w:rsidRPr="007D19EF" w:rsidRDefault="001A62D7" w:rsidP="007F7E81">
      <w:pPr>
        <w:pStyle w:val="ManualHeading2"/>
        <w:rPr>
          <w:bCs/>
          <w:noProof/>
        </w:rPr>
      </w:pPr>
      <w:r w:rsidRPr="007D19EF">
        <w:rPr>
          <w:noProof/>
        </w:rPr>
        <w:t>Допустимост на заявлението</w:t>
      </w:r>
    </w:p>
    <w:p w:rsidR="001A62D7" w:rsidRPr="007D19EF" w:rsidRDefault="001A62D7" w:rsidP="001A62D7">
      <w:pPr>
        <w:pStyle w:val="ManualHeading3"/>
        <w:rPr>
          <w:noProof/>
        </w:rPr>
      </w:pPr>
      <w:r w:rsidRPr="007D19EF">
        <w:rPr>
          <w:noProof/>
        </w:rPr>
        <w:t>Засегнати предприятия и бенефициери</w:t>
      </w:r>
    </w:p>
    <w:p w:rsidR="001A62D7" w:rsidRPr="007D19EF" w:rsidRDefault="00B83420" w:rsidP="00B83420">
      <w:pPr>
        <w:pStyle w:val="ManualNumPar1"/>
        <w:rPr>
          <w:noProof/>
          <w:szCs w:val="24"/>
        </w:rPr>
      </w:pPr>
      <w:r w:rsidRPr="00B83420">
        <w:rPr>
          <w:noProof/>
        </w:rPr>
        <w:t>5.</w:t>
      </w:r>
      <w:r w:rsidRPr="00B83420">
        <w:rPr>
          <w:noProof/>
        </w:rPr>
        <w:tab/>
      </w:r>
      <w:r w:rsidR="001A62D7" w:rsidRPr="007D19EF">
        <w:rPr>
          <w:noProof/>
        </w:rPr>
        <w:t>Заявлението се отнася до 5829 съкратени работници, чиято дейност е прекратена в Northvolt (Northvolt AB) и неговите дъщерни дружества, както и в 8 подизпълнители, доставчици и производители надолу по веригата. Основното предприятие е осъществявало дейност в икономическите отрасли, класифицирани в разделение 71 по NACE Rev. 2 (Архитектурни и инженерни дейности; технически изпитвания и анализи). Съкращенията, извършени от Northvolt, са основно в регионите на ниво 2 по NUTS Övre Norrland (SE33), Stockholm (SE11) и Östra Mellansverige (SE12).</w:t>
      </w:r>
    </w:p>
    <w:p w:rsidR="005822AE" w:rsidRPr="007D19EF" w:rsidRDefault="005822AE" w:rsidP="005822AE">
      <w:pPr>
        <w:pStyle w:val="Text1"/>
        <w:rPr>
          <w:noProof/>
        </w:rPr>
      </w:pPr>
    </w:p>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80"/>
        <w:gridCol w:w="360"/>
        <w:gridCol w:w="2940"/>
        <w:gridCol w:w="600"/>
        <w:gridCol w:w="600"/>
      </w:tblGrid>
      <w:tr w:rsidR="001A62D7" w:rsidRPr="007D19EF" w:rsidTr="00052CC7">
        <w:trPr>
          <w:trHeight w:val="284"/>
          <w:tblHeader/>
        </w:trPr>
        <w:tc>
          <w:tcPr>
            <w:tcW w:w="8340" w:type="dxa"/>
            <w:gridSpan w:val="6"/>
            <w:shd w:val="clear" w:color="auto" w:fill="D9D9D9" w:themeFill="background1" w:themeFillShade="D9"/>
          </w:tcPr>
          <w:p w:rsidR="001A62D7" w:rsidRPr="007D19EF" w:rsidRDefault="001A62D7" w:rsidP="00052CC7">
            <w:pPr>
              <w:spacing w:beforeLines="20" w:before="48" w:afterLines="20" w:after="48" w:line="276" w:lineRule="auto"/>
              <w:ind w:left="57"/>
              <w:jc w:val="center"/>
              <w:rPr>
                <w:rFonts w:eastAsia="Calibri"/>
                <w:noProof/>
                <w:szCs w:val="24"/>
              </w:rPr>
            </w:pPr>
            <w:r w:rsidRPr="007D19EF">
              <w:rPr>
                <w:b/>
                <w:noProof/>
              </w:rPr>
              <w:t>Предприятия и брой на съкращенията по време на референтния период</w:t>
            </w:r>
          </w:p>
        </w:tc>
      </w:tr>
      <w:tr w:rsidR="002A1949" w:rsidRPr="007D19EF" w:rsidTr="00052CC7">
        <w:tc>
          <w:tcPr>
            <w:tcW w:w="3360" w:type="dxa"/>
            <w:tcBorders>
              <w:bottom w:val="nil"/>
              <w:right w:val="nil"/>
            </w:tcBorders>
            <w:shd w:val="clear" w:color="auto" w:fill="auto"/>
            <w:vAlign w:val="center"/>
          </w:tcPr>
          <w:p w:rsidR="002A1949" w:rsidRPr="007D19EF" w:rsidDel="00B06F7C" w:rsidRDefault="002A1949" w:rsidP="00052CC7">
            <w:pPr>
              <w:spacing w:before="0" w:after="0"/>
              <w:ind w:right="252"/>
              <w:jc w:val="left"/>
              <w:rPr>
                <w:noProof/>
                <w:sz w:val="20"/>
              </w:rPr>
            </w:pPr>
            <w:r w:rsidRPr="007D19EF">
              <w:rPr>
                <w:noProof/>
                <w:sz w:val="20"/>
              </w:rPr>
              <w:t>Основно предприятие и дъщерни предприятия</w:t>
            </w:r>
            <w:r w:rsidRPr="007D19EF">
              <w:rPr>
                <w:rStyle w:val="FootnoteReference"/>
                <w:noProof/>
                <w:sz w:val="20"/>
              </w:rPr>
              <w:footnoteReference w:id="8"/>
            </w:r>
          </w:p>
        </w:tc>
        <w:tc>
          <w:tcPr>
            <w:tcW w:w="840" w:type="dxa"/>
            <w:gridSpan w:val="2"/>
            <w:tcBorders>
              <w:left w:val="nil"/>
              <w:bottom w:val="nil"/>
            </w:tcBorders>
            <w:shd w:val="clear" w:color="auto" w:fill="auto"/>
            <w:vAlign w:val="center"/>
          </w:tcPr>
          <w:p w:rsidR="002A1949" w:rsidRPr="007D19EF" w:rsidDel="00B06F7C" w:rsidRDefault="002A1949" w:rsidP="00052CC7">
            <w:pPr>
              <w:spacing w:before="0" w:after="0"/>
              <w:ind w:left="-828"/>
              <w:jc w:val="right"/>
              <w:rPr>
                <w:noProof/>
                <w:sz w:val="20"/>
                <w:szCs w:val="20"/>
              </w:rPr>
            </w:pPr>
          </w:p>
        </w:tc>
        <w:tc>
          <w:tcPr>
            <w:tcW w:w="3540" w:type="dxa"/>
            <w:gridSpan w:val="2"/>
            <w:tcBorders>
              <w:bottom w:val="nil"/>
              <w:right w:val="nil"/>
            </w:tcBorders>
            <w:shd w:val="clear" w:color="auto" w:fill="auto"/>
            <w:vAlign w:val="center"/>
          </w:tcPr>
          <w:p w:rsidR="002A1949" w:rsidRPr="007D19EF" w:rsidDel="00B06F7C" w:rsidRDefault="002A1949" w:rsidP="00052CC7">
            <w:pPr>
              <w:spacing w:before="0" w:after="0"/>
              <w:jc w:val="left"/>
              <w:rPr>
                <w:noProof/>
                <w:sz w:val="20"/>
              </w:rPr>
            </w:pPr>
            <w:r w:rsidRPr="007D19EF">
              <w:rPr>
                <w:noProof/>
                <w:sz w:val="20"/>
              </w:rPr>
              <w:t>Подизпълнители, доставчици, производители надолу по веригата</w:t>
            </w:r>
          </w:p>
        </w:tc>
        <w:tc>
          <w:tcPr>
            <w:tcW w:w="600" w:type="dxa"/>
            <w:tcBorders>
              <w:left w:val="nil"/>
              <w:bottom w:val="nil"/>
            </w:tcBorders>
            <w:shd w:val="clear" w:color="auto" w:fill="auto"/>
            <w:vAlign w:val="center"/>
          </w:tcPr>
          <w:p w:rsidR="002A1949" w:rsidRPr="007D19EF" w:rsidDel="00B06F7C" w:rsidRDefault="002A1949" w:rsidP="00052CC7">
            <w:pPr>
              <w:spacing w:before="0" w:after="0"/>
              <w:ind w:left="-828"/>
              <w:jc w:val="right"/>
              <w:rPr>
                <w:noProof/>
                <w:sz w:val="20"/>
                <w:szCs w:val="20"/>
              </w:rPr>
            </w:pPr>
          </w:p>
        </w:tc>
      </w:tr>
      <w:tr w:rsidR="001A62D7" w:rsidRPr="007D19EF" w:rsidTr="00052CC7">
        <w:tc>
          <w:tcPr>
            <w:tcW w:w="3360" w:type="dxa"/>
            <w:tcBorders>
              <w:bottom w:val="nil"/>
              <w:right w:val="nil"/>
            </w:tcBorders>
            <w:shd w:val="clear" w:color="auto" w:fill="auto"/>
            <w:vAlign w:val="center"/>
          </w:tcPr>
          <w:p w:rsidR="001A62D7" w:rsidRPr="007D19EF" w:rsidRDefault="00B06F7C" w:rsidP="00052CC7">
            <w:pPr>
              <w:spacing w:before="0" w:after="0"/>
              <w:ind w:right="252"/>
              <w:jc w:val="left"/>
              <w:rPr>
                <w:noProof/>
                <w:sz w:val="20"/>
              </w:rPr>
            </w:pPr>
            <w:bookmarkStart w:id="1" w:name="_Hlk209096157"/>
            <w:r w:rsidRPr="007D19EF">
              <w:rPr>
                <w:noProof/>
                <w:sz w:val="20"/>
              </w:rPr>
              <w:t>Northvolt AB</w:t>
            </w:r>
          </w:p>
        </w:tc>
        <w:tc>
          <w:tcPr>
            <w:tcW w:w="840" w:type="dxa"/>
            <w:gridSpan w:val="2"/>
            <w:tcBorders>
              <w:left w:val="nil"/>
              <w:bottom w:val="nil"/>
            </w:tcBorders>
            <w:shd w:val="clear" w:color="auto" w:fill="auto"/>
            <w:vAlign w:val="center"/>
          </w:tcPr>
          <w:p w:rsidR="001A62D7" w:rsidRPr="007D19EF" w:rsidRDefault="00A25E9A" w:rsidP="00052CC7">
            <w:pPr>
              <w:spacing w:before="0" w:after="0"/>
              <w:ind w:left="-828"/>
              <w:jc w:val="right"/>
              <w:rPr>
                <w:noProof/>
                <w:sz w:val="20"/>
                <w:szCs w:val="20"/>
              </w:rPr>
            </w:pPr>
            <w:r w:rsidRPr="007D19EF">
              <w:rPr>
                <w:noProof/>
                <w:sz w:val="20"/>
              </w:rPr>
              <w:t>1013</w:t>
            </w:r>
          </w:p>
        </w:tc>
        <w:tc>
          <w:tcPr>
            <w:tcW w:w="3540" w:type="dxa"/>
            <w:gridSpan w:val="2"/>
            <w:tcBorders>
              <w:bottom w:val="nil"/>
              <w:right w:val="nil"/>
            </w:tcBorders>
            <w:shd w:val="clear" w:color="auto" w:fill="auto"/>
            <w:vAlign w:val="center"/>
          </w:tcPr>
          <w:p w:rsidR="001A62D7" w:rsidRPr="007D19EF" w:rsidRDefault="00B06F7C" w:rsidP="00052CC7">
            <w:pPr>
              <w:spacing w:before="0" w:after="0"/>
              <w:jc w:val="left"/>
              <w:rPr>
                <w:noProof/>
                <w:sz w:val="20"/>
              </w:rPr>
            </w:pPr>
            <w:r w:rsidRPr="007D19EF">
              <w:rPr>
                <w:noProof/>
                <w:sz w:val="20"/>
              </w:rPr>
              <w:t>Adecco Sweden AB</w:t>
            </w:r>
          </w:p>
        </w:tc>
        <w:tc>
          <w:tcPr>
            <w:tcW w:w="600" w:type="dxa"/>
            <w:tcBorders>
              <w:left w:val="nil"/>
              <w:bottom w:val="nil"/>
            </w:tcBorders>
            <w:shd w:val="clear" w:color="auto" w:fill="auto"/>
            <w:vAlign w:val="center"/>
          </w:tcPr>
          <w:p w:rsidR="001A62D7" w:rsidRPr="007D19EF" w:rsidRDefault="00B06F7C" w:rsidP="00052CC7">
            <w:pPr>
              <w:spacing w:before="0" w:after="0"/>
              <w:ind w:left="-828"/>
              <w:jc w:val="right"/>
              <w:rPr>
                <w:noProof/>
                <w:sz w:val="20"/>
              </w:rPr>
            </w:pPr>
            <w:r w:rsidRPr="007D19EF">
              <w:rPr>
                <w:noProof/>
                <w:sz w:val="20"/>
              </w:rPr>
              <w:t>2</w:t>
            </w:r>
          </w:p>
        </w:tc>
      </w:tr>
      <w:tr w:rsidR="001A62D7" w:rsidRPr="007D19EF" w:rsidTr="00052CC7">
        <w:trPr>
          <w:trHeight w:val="138"/>
        </w:trPr>
        <w:tc>
          <w:tcPr>
            <w:tcW w:w="3360" w:type="dxa"/>
            <w:tcBorders>
              <w:top w:val="nil"/>
              <w:bottom w:val="nil"/>
              <w:right w:val="nil"/>
            </w:tcBorders>
            <w:shd w:val="clear" w:color="auto" w:fill="auto"/>
            <w:vAlign w:val="center"/>
          </w:tcPr>
          <w:p w:rsidR="001A62D7" w:rsidRPr="007D19EF" w:rsidRDefault="00A25E9A" w:rsidP="00052CC7">
            <w:pPr>
              <w:spacing w:before="0" w:after="0"/>
              <w:jc w:val="left"/>
              <w:rPr>
                <w:noProof/>
                <w:sz w:val="20"/>
              </w:rPr>
            </w:pPr>
            <w:r w:rsidRPr="007D19EF">
              <w:rPr>
                <w:noProof/>
                <w:sz w:val="20"/>
              </w:rPr>
              <w:t>Northvolt Ett AB</w:t>
            </w:r>
          </w:p>
        </w:tc>
        <w:tc>
          <w:tcPr>
            <w:tcW w:w="840" w:type="dxa"/>
            <w:gridSpan w:val="2"/>
            <w:tcBorders>
              <w:top w:val="nil"/>
              <w:left w:val="nil"/>
              <w:bottom w:val="nil"/>
            </w:tcBorders>
            <w:shd w:val="clear" w:color="auto" w:fill="auto"/>
            <w:vAlign w:val="center"/>
          </w:tcPr>
          <w:p w:rsidR="001A62D7" w:rsidRPr="007D19EF" w:rsidRDefault="00A25E9A" w:rsidP="00052CC7">
            <w:pPr>
              <w:spacing w:before="0" w:after="0"/>
              <w:ind w:left="-828"/>
              <w:jc w:val="right"/>
              <w:rPr>
                <w:noProof/>
                <w:sz w:val="20"/>
              </w:rPr>
            </w:pPr>
            <w:r w:rsidRPr="007D19EF">
              <w:rPr>
                <w:noProof/>
                <w:sz w:val="20"/>
              </w:rPr>
              <w:t>3456</w:t>
            </w:r>
          </w:p>
        </w:tc>
        <w:tc>
          <w:tcPr>
            <w:tcW w:w="3540" w:type="dxa"/>
            <w:gridSpan w:val="2"/>
            <w:tcBorders>
              <w:top w:val="nil"/>
              <w:bottom w:val="nil"/>
              <w:right w:val="nil"/>
            </w:tcBorders>
            <w:shd w:val="clear" w:color="auto" w:fill="auto"/>
            <w:vAlign w:val="center"/>
          </w:tcPr>
          <w:p w:rsidR="001A62D7" w:rsidRPr="007D19EF" w:rsidRDefault="00B06F7C" w:rsidP="00052CC7">
            <w:pPr>
              <w:spacing w:before="0" w:after="0"/>
              <w:jc w:val="left"/>
              <w:rPr>
                <w:noProof/>
                <w:sz w:val="20"/>
              </w:rPr>
            </w:pPr>
            <w:r w:rsidRPr="007D19EF">
              <w:rPr>
                <w:noProof/>
                <w:sz w:val="20"/>
              </w:rPr>
              <w:t>Compass Group AB</w:t>
            </w:r>
          </w:p>
        </w:tc>
        <w:tc>
          <w:tcPr>
            <w:tcW w:w="600" w:type="dxa"/>
            <w:tcBorders>
              <w:top w:val="nil"/>
              <w:left w:val="nil"/>
              <w:bottom w:val="nil"/>
            </w:tcBorders>
            <w:shd w:val="clear" w:color="auto" w:fill="auto"/>
            <w:vAlign w:val="center"/>
          </w:tcPr>
          <w:p w:rsidR="001A62D7" w:rsidRPr="007D19EF" w:rsidRDefault="00B06F7C" w:rsidP="00052CC7">
            <w:pPr>
              <w:spacing w:before="0" w:after="0"/>
              <w:ind w:left="-828"/>
              <w:jc w:val="right"/>
              <w:rPr>
                <w:noProof/>
                <w:sz w:val="20"/>
              </w:rPr>
            </w:pPr>
            <w:r w:rsidRPr="007D19EF">
              <w:rPr>
                <w:noProof/>
                <w:sz w:val="20"/>
              </w:rPr>
              <w:t>15</w:t>
            </w:r>
          </w:p>
        </w:tc>
      </w:tr>
      <w:tr w:rsidR="001A62D7" w:rsidRPr="007D19EF" w:rsidTr="00052CC7">
        <w:tc>
          <w:tcPr>
            <w:tcW w:w="3360" w:type="dxa"/>
            <w:tcBorders>
              <w:top w:val="nil"/>
              <w:bottom w:val="nil"/>
              <w:right w:val="nil"/>
            </w:tcBorders>
            <w:shd w:val="clear" w:color="auto" w:fill="auto"/>
            <w:vAlign w:val="center"/>
          </w:tcPr>
          <w:p w:rsidR="001A62D7" w:rsidRPr="007D19EF" w:rsidRDefault="00A25E9A" w:rsidP="00052CC7">
            <w:pPr>
              <w:spacing w:before="0" w:after="0"/>
              <w:jc w:val="left"/>
              <w:rPr>
                <w:noProof/>
                <w:sz w:val="20"/>
              </w:rPr>
            </w:pPr>
            <w:r w:rsidRPr="007D19EF">
              <w:rPr>
                <w:noProof/>
                <w:sz w:val="20"/>
              </w:rPr>
              <w:t>Northvolt Revolt AB</w:t>
            </w:r>
          </w:p>
        </w:tc>
        <w:tc>
          <w:tcPr>
            <w:tcW w:w="840" w:type="dxa"/>
            <w:gridSpan w:val="2"/>
            <w:tcBorders>
              <w:top w:val="nil"/>
              <w:left w:val="nil"/>
              <w:bottom w:val="nil"/>
            </w:tcBorders>
            <w:shd w:val="clear" w:color="auto" w:fill="auto"/>
            <w:vAlign w:val="center"/>
          </w:tcPr>
          <w:p w:rsidR="001A62D7" w:rsidRPr="007D19EF" w:rsidRDefault="00A25E9A" w:rsidP="00052CC7">
            <w:pPr>
              <w:spacing w:before="0" w:after="0"/>
              <w:ind w:left="-828"/>
              <w:jc w:val="right"/>
              <w:rPr>
                <w:noProof/>
                <w:sz w:val="20"/>
              </w:rPr>
            </w:pPr>
            <w:r w:rsidRPr="007D19EF">
              <w:rPr>
                <w:noProof/>
                <w:sz w:val="20"/>
              </w:rPr>
              <w:t>332</w:t>
            </w:r>
          </w:p>
        </w:tc>
        <w:tc>
          <w:tcPr>
            <w:tcW w:w="3540" w:type="dxa"/>
            <w:gridSpan w:val="2"/>
            <w:tcBorders>
              <w:top w:val="nil"/>
              <w:bottom w:val="nil"/>
              <w:right w:val="nil"/>
            </w:tcBorders>
            <w:shd w:val="clear" w:color="auto" w:fill="auto"/>
            <w:vAlign w:val="center"/>
          </w:tcPr>
          <w:p w:rsidR="001A62D7" w:rsidRPr="007D19EF" w:rsidRDefault="00B06F7C" w:rsidP="00052CC7">
            <w:pPr>
              <w:spacing w:before="0" w:after="0"/>
              <w:jc w:val="left"/>
              <w:rPr>
                <w:noProof/>
                <w:sz w:val="20"/>
              </w:rPr>
            </w:pPr>
            <w:r w:rsidRPr="007D19EF">
              <w:rPr>
                <w:noProof/>
                <w:sz w:val="20"/>
              </w:rPr>
              <w:t>Dongjin Sweden AB</w:t>
            </w:r>
          </w:p>
        </w:tc>
        <w:tc>
          <w:tcPr>
            <w:tcW w:w="600" w:type="dxa"/>
            <w:tcBorders>
              <w:top w:val="nil"/>
              <w:left w:val="nil"/>
              <w:bottom w:val="nil"/>
            </w:tcBorders>
            <w:shd w:val="clear" w:color="auto" w:fill="auto"/>
            <w:vAlign w:val="center"/>
          </w:tcPr>
          <w:p w:rsidR="001A62D7" w:rsidRPr="007D19EF" w:rsidRDefault="00B06F7C" w:rsidP="00052CC7">
            <w:pPr>
              <w:spacing w:before="0" w:after="0"/>
              <w:ind w:left="-828"/>
              <w:jc w:val="right"/>
              <w:rPr>
                <w:noProof/>
                <w:sz w:val="20"/>
              </w:rPr>
            </w:pPr>
            <w:r w:rsidRPr="007D19EF">
              <w:rPr>
                <w:noProof/>
                <w:sz w:val="20"/>
              </w:rPr>
              <w:t>11</w:t>
            </w:r>
          </w:p>
        </w:tc>
      </w:tr>
      <w:tr w:rsidR="001A62D7" w:rsidRPr="007D19EF" w:rsidTr="00052CC7">
        <w:tc>
          <w:tcPr>
            <w:tcW w:w="3360" w:type="dxa"/>
            <w:tcBorders>
              <w:top w:val="nil"/>
              <w:bottom w:val="nil"/>
              <w:right w:val="nil"/>
            </w:tcBorders>
            <w:shd w:val="clear" w:color="auto" w:fill="auto"/>
            <w:vAlign w:val="center"/>
          </w:tcPr>
          <w:p w:rsidR="001A62D7" w:rsidRPr="007D19EF" w:rsidRDefault="00A25E9A" w:rsidP="00052CC7">
            <w:pPr>
              <w:spacing w:before="0" w:after="0"/>
              <w:jc w:val="left"/>
              <w:rPr>
                <w:noProof/>
                <w:sz w:val="20"/>
              </w:rPr>
            </w:pPr>
            <w:r w:rsidRPr="007D19EF">
              <w:rPr>
                <w:noProof/>
                <w:sz w:val="20"/>
              </w:rPr>
              <w:t>Northvolt Systems AB</w:t>
            </w:r>
          </w:p>
        </w:tc>
        <w:tc>
          <w:tcPr>
            <w:tcW w:w="840" w:type="dxa"/>
            <w:gridSpan w:val="2"/>
            <w:tcBorders>
              <w:top w:val="nil"/>
              <w:left w:val="nil"/>
              <w:bottom w:val="nil"/>
            </w:tcBorders>
            <w:shd w:val="clear" w:color="auto" w:fill="auto"/>
            <w:vAlign w:val="center"/>
          </w:tcPr>
          <w:p w:rsidR="001A62D7" w:rsidRPr="007D19EF" w:rsidRDefault="00A25E9A" w:rsidP="00052CC7">
            <w:pPr>
              <w:spacing w:before="0" w:after="0"/>
              <w:ind w:left="-828"/>
              <w:jc w:val="right"/>
              <w:rPr>
                <w:noProof/>
                <w:sz w:val="20"/>
              </w:rPr>
            </w:pPr>
            <w:r w:rsidRPr="007D19EF">
              <w:rPr>
                <w:noProof/>
                <w:sz w:val="20"/>
              </w:rPr>
              <w:t>191</w:t>
            </w:r>
          </w:p>
        </w:tc>
        <w:tc>
          <w:tcPr>
            <w:tcW w:w="3540" w:type="dxa"/>
            <w:gridSpan w:val="2"/>
            <w:tcBorders>
              <w:top w:val="nil"/>
              <w:bottom w:val="nil"/>
              <w:right w:val="nil"/>
            </w:tcBorders>
            <w:shd w:val="clear" w:color="auto" w:fill="auto"/>
            <w:vAlign w:val="center"/>
          </w:tcPr>
          <w:p w:rsidR="001A62D7" w:rsidRPr="007D19EF" w:rsidRDefault="00B06F7C" w:rsidP="00052CC7">
            <w:pPr>
              <w:spacing w:before="0" w:after="0"/>
              <w:jc w:val="left"/>
              <w:rPr>
                <w:noProof/>
                <w:sz w:val="20"/>
              </w:rPr>
            </w:pPr>
            <w:r w:rsidRPr="007D19EF">
              <w:rPr>
                <w:noProof/>
                <w:sz w:val="20"/>
              </w:rPr>
              <w:t>Kedali AB</w:t>
            </w:r>
          </w:p>
        </w:tc>
        <w:tc>
          <w:tcPr>
            <w:tcW w:w="600" w:type="dxa"/>
            <w:tcBorders>
              <w:top w:val="nil"/>
              <w:left w:val="nil"/>
              <w:bottom w:val="nil"/>
            </w:tcBorders>
            <w:shd w:val="clear" w:color="auto" w:fill="auto"/>
            <w:vAlign w:val="center"/>
          </w:tcPr>
          <w:p w:rsidR="001A62D7" w:rsidRPr="007D19EF" w:rsidRDefault="00B06F7C" w:rsidP="00052CC7">
            <w:pPr>
              <w:spacing w:before="0" w:after="0"/>
              <w:ind w:left="-828"/>
              <w:jc w:val="right"/>
              <w:rPr>
                <w:noProof/>
                <w:sz w:val="20"/>
              </w:rPr>
            </w:pPr>
            <w:r w:rsidRPr="007D19EF">
              <w:rPr>
                <w:noProof/>
                <w:sz w:val="20"/>
              </w:rPr>
              <w:t>35</w:t>
            </w:r>
          </w:p>
        </w:tc>
      </w:tr>
      <w:tr w:rsidR="001A62D7" w:rsidRPr="007D19EF" w:rsidTr="00052CC7">
        <w:tc>
          <w:tcPr>
            <w:tcW w:w="3360" w:type="dxa"/>
            <w:tcBorders>
              <w:top w:val="nil"/>
              <w:bottom w:val="nil"/>
              <w:right w:val="nil"/>
            </w:tcBorders>
            <w:shd w:val="clear" w:color="auto" w:fill="auto"/>
            <w:vAlign w:val="center"/>
          </w:tcPr>
          <w:p w:rsidR="001A62D7" w:rsidRPr="007D19EF" w:rsidRDefault="00A25E9A" w:rsidP="00052CC7">
            <w:pPr>
              <w:spacing w:before="0" w:after="0"/>
              <w:jc w:val="left"/>
              <w:rPr>
                <w:noProof/>
                <w:sz w:val="20"/>
              </w:rPr>
            </w:pPr>
            <w:r w:rsidRPr="007D19EF">
              <w:rPr>
                <w:noProof/>
                <w:sz w:val="20"/>
              </w:rPr>
              <w:t>Northvolt Fem AB</w:t>
            </w:r>
          </w:p>
        </w:tc>
        <w:tc>
          <w:tcPr>
            <w:tcW w:w="840" w:type="dxa"/>
            <w:gridSpan w:val="2"/>
            <w:tcBorders>
              <w:top w:val="nil"/>
              <w:left w:val="nil"/>
              <w:bottom w:val="nil"/>
            </w:tcBorders>
            <w:shd w:val="clear" w:color="auto" w:fill="auto"/>
            <w:vAlign w:val="center"/>
          </w:tcPr>
          <w:p w:rsidR="001A62D7" w:rsidRPr="007D19EF" w:rsidRDefault="00A25E9A" w:rsidP="00052CC7">
            <w:pPr>
              <w:spacing w:before="0" w:after="0"/>
              <w:ind w:left="-828"/>
              <w:jc w:val="right"/>
              <w:rPr>
                <w:noProof/>
                <w:sz w:val="20"/>
              </w:rPr>
            </w:pPr>
            <w:r w:rsidRPr="007D19EF">
              <w:rPr>
                <w:noProof/>
                <w:sz w:val="20"/>
              </w:rPr>
              <w:t>10</w:t>
            </w:r>
          </w:p>
        </w:tc>
        <w:tc>
          <w:tcPr>
            <w:tcW w:w="3540" w:type="dxa"/>
            <w:gridSpan w:val="2"/>
            <w:tcBorders>
              <w:top w:val="nil"/>
              <w:bottom w:val="nil"/>
              <w:right w:val="nil"/>
            </w:tcBorders>
            <w:shd w:val="clear" w:color="auto" w:fill="auto"/>
            <w:vAlign w:val="center"/>
          </w:tcPr>
          <w:p w:rsidR="001A62D7" w:rsidRPr="007D19EF" w:rsidRDefault="00B06F7C" w:rsidP="00052CC7">
            <w:pPr>
              <w:spacing w:before="0" w:after="0"/>
              <w:jc w:val="left"/>
              <w:rPr>
                <w:noProof/>
                <w:sz w:val="20"/>
              </w:rPr>
            </w:pPr>
            <w:r w:rsidRPr="007D19EF">
              <w:rPr>
                <w:noProof/>
                <w:sz w:val="20"/>
              </w:rPr>
              <w:t>Kjell Grenholm Åkeri AB</w:t>
            </w:r>
          </w:p>
        </w:tc>
        <w:tc>
          <w:tcPr>
            <w:tcW w:w="600" w:type="dxa"/>
            <w:tcBorders>
              <w:top w:val="nil"/>
              <w:left w:val="nil"/>
              <w:bottom w:val="nil"/>
            </w:tcBorders>
            <w:shd w:val="clear" w:color="auto" w:fill="auto"/>
            <w:vAlign w:val="center"/>
          </w:tcPr>
          <w:p w:rsidR="001A62D7" w:rsidRPr="007D19EF" w:rsidRDefault="00B06F7C" w:rsidP="00052CC7">
            <w:pPr>
              <w:spacing w:before="0" w:after="0"/>
              <w:ind w:left="-828"/>
              <w:jc w:val="right"/>
              <w:rPr>
                <w:noProof/>
                <w:sz w:val="20"/>
              </w:rPr>
            </w:pPr>
            <w:r w:rsidRPr="007D19EF">
              <w:rPr>
                <w:noProof/>
                <w:sz w:val="20"/>
              </w:rPr>
              <w:t>3</w:t>
            </w:r>
          </w:p>
        </w:tc>
      </w:tr>
      <w:tr w:rsidR="0092072E" w:rsidRPr="007D19EF" w:rsidTr="00052CC7">
        <w:tc>
          <w:tcPr>
            <w:tcW w:w="3360" w:type="dxa"/>
            <w:tcBorders>
              <w:top w:val="nil"/>
              <w:bottom w:val="nil"/>
              <w:right w:val="nil"/>
            </w:tcBorders>
            <w:shd w:val="clear" w:color="auto" w:fill="auto"/>
            <w:vAlign w:val="center"/>
          </w:tcPr>
          <w:p w:rsidR="0092072E" w:rsidRPr="007D19EF" w:rsidRDefault="00A25E9A" w:rsidP="00052CC7">
            <w:pPr>
              <w:spacing w:before="0" w:after="0"/>
              <w:jc w:val="left"/>
              <w:rPr>
                <w:noProof/>
                <w:sz w:val="20"/>
              </w:rPr>
            </w:pPr>
            <w:r w:rsidRPr="007D19EF">
              <w:rPr>
                <w:noProof/>
                <w:sz w:val="20"/>
              </w:rPr>
              <w:t>Northvolt Labs AB</w:t>
            </w:r>
          </w:p>
        </w:tc>
        <w:tc>
          <w:tcPr>
            <w:tcW w:w="840" w:type="dxa"/>
            <w:gridSpan w:val="2"/>
            <w:tcBorders>
              <w:top w:val="nil"/>
              <w:left w:val="nil"/>
              <w:bottom w:val="nil"/>
            </w:tcBorders>
            <w:shd w:val="clear" w:color="auto" w:fill="auto"/>
            <w:vAlign w:val="center"/>
          </w:tcPr>
          <w:p w:rsidR="0092072E" w:rsidRPr="007D19EF" w:rsidRDefault="00A25E9A" w:rsidP="00052CC7">
            <w:pPr>
              <w:spacing w:before="0" w:after="0"/>
              <w:ind w:left="-828"/>
              <w:jc w:val="right"/>
              <w:rPr>
                <w:noProof/>
                <w:sz w:val="20"/>
                <w:szCs w:val="20"/>
              </w:rPr>
            </w:pPr>
            <w:r w:rsidRPr="007D19EF">
              <w:rPr>
                <w:noProof/>
                <w:sz w:val="20"/>
              </w:rPr>
              <w:t>492</w:t>
            </w:r>
          </w:p>
        </w:tc>
        <w:tc>
          <w:tcPr>
            <w:tcW w:w="3540" w:type="dxa"/>
            <w:gridSpan w:val="2"/>
            <w:tcBorders>
              <w:top w:val="nil"/>
              <w:bottom w:val="nil"/>
              <w:right w:val="nil"/>
            </w:tcBorders>
            <w:shd w:val="clear" w:color="auto" w:fill="auto"/>
            <w:vAlign w:val="center"/>
          </w:tcPr>
          <w:p w:rsidR="0092072E" w:rsidRPr="007D19EF" w:rsidRDefault="0092072E" w:rsidP="00052CC7">
            <w:pPr>
              <w:spacing w:before="0" w:after="0"/>
              <w:jc w:val="left"/>
              <w:rPr>
                <w:noProof/>
                <w:sz w:val="20"/>
              </w:rPr>
            </w:pPr>
            <w:r w:rsidRPr="007D19EF">
              <w:rPr>
                <w:noProof/>
                <w:sz w:val="20"/>
              </w:rPr>
              <w:t>Linotolgolv AB</w:t>
            </w:r>
          </w:p>
        </w:tc>
        <w:tc>
          <w:tcPr>
            <w:tcW w:w="600" w:type="dxa"/>
            <w:tcBorders>
              <w:top w:val="nil"/>
              <w:left w:val="nil"/>
              <w:bottom w:val="nil"/>
            </w:tcBorders>
            <w:shd w:val="clear" w:color="auto" w:fill="auto"/>
            <w:vAlign w:val="center"/>
          </w:tcPr>
          <w:p w:rsidR="0092072E" w:rsidRPr="007D19EF" w:rsidDel="00B06F7C" w:rsidRDefault="0092072E" w:rsidP="00052CC7">
            <w:pPr>
              <w:spacing w:before="0" w:after="0"/>
              <w:ind w:left="-828"/>
              <w:jc w:val="right"/>
              <w:rPr>
                <w:noProof/>
                <w:sz w:val="20"/>
                <w:szCs w:val="20"/>
              </w:rPr>
            </w:pPr>
            <w:r w:rsidRPr="007D19EF">
              <w:rPr>
                <w:noProof/>
                <w:sz w:val="20"/>
              </w:rPr>
              <w:t>25</w:t>
            </w:r>
          </w:p>
        </w:tc>
      </w:tr>
      <w:tr w:rsidR="0092072E" w:rsidRPr="007D19EF" w:rsidTr="00052CC7">
        <w:tc>
          <w:tcPr>
            <w:tcW w:w="3360" w:type="dxa"/>
            <w:tcBorders>
              <w:top w:val="nil"/>
              <w:bottom w:val="nil"/>
              <w:right w:val="nil"/>
            </w:tcBorders>
            <w:shd w:val="clear" w:color="auto" w:fill="auto"/>
            <w:vAlign w:val="center"/>
          </w:tcPr>
          <w:p w:rsidR="0092072E" w:rsidRPr="007D19EF" w:rsidRDefault="004A1A0C" w:rsidP="00052CC7">
            <w:pPr>
              <w:spacing w:before="0" w:after="0"/>
              <w:jc w:val="left"/>
              <w:rPr>
                <w:noProof/>
                <w:sz w:val="20"/>
              </w:rPr>
            </w:pPr>
            <w:r w:rsidRPr="007D19EF">
              <w:rPr>
                <w:noProof/>
                <w:sz w:val="20"/>
              </w:rPr>
              <w:t>Novo Energy Production AB</w:t>
            </w:r>
          </w:p>
        </w:tc>
        <w:tc>
          <w:tcPr>
            <w:tcW w:w="840" w:type="dxa"/>
            <w:gridSpan w:val="2"/>
            <w:tcBorders>
              <w:top w:val="nil"/>
              <w:left w:val="nil"/>
              <w:bottom w:val="nil"/>
            </w:tcBorders>
            <w:shd w:val="clear" w:color="auto" w:fill="auto"/>
            <w:vAlign w:val="center"/>
          </w:tcPr>
          <w:p w:rsidR="0092072E" w:rsidRPr="007D19EF" w:rsidRDefault="004A1A0C" w:rsidP="00052CC7">
            <w:pPr>
              <w:spacing w:before="0" w:after="0"/>
              <w:ind w:left="-828"/>
              <w:jc w:val="right"/>
              <w:rPr>
                <w:noProof/>
                <w:sz w:val="20"/>
                <w:szCs w:val="20"/>
              </w:rPr>
            </w:pPr>
            <w:r w:rsidRPr="007D19EF">
              <w:rPr>
                <w:noProof/>
                <w:sz w:val="20"/>
              </w:rPr>
              <w:t>54</w:t>
            </w:r>
          </w:p>
        </w:tc>
        <w:tc>
          <w:tcPr>
            <w:tcW w:w="3540" w:type="dxa"/>
            <w:gridSpan w:val="2"/>
            <w:tcBorders>
              <w:top w:val="nil"/>
              <w:bottom w:val="nil"/>
              <w:right w:val="nil"/>
            </w:tcBorders>
            <w:shd w:val="clear" w:color="auto" w:fill="auto"/>
            <w:vAlign w:val="center"/>
          </w:tcPr>
          <w:p w:rsidR="0092072E" w:rsidRPr="007D19EF" w:rsidRDefault="004A1A0C" w:rsidP="00052CC7">
            <w:pPr>
              <w:spacing w:before="0" w:after="0"/>
              <w:jc w:val="left"/>
              <w:rPr>
                <w:noProof/>
                <w:sz w:val="20"/>
              </w:rPr>
            </w:pPr>
            <w:r w:rsidRPr="007D19EF">
              <w:rPr>
                <w:noProof/>
                <w:sz w:val="20"/>
              </w:rPr>
              <w:t>Sodexo AB</w:t>
            </w:r>
          </w:p>
        </w:tc>
        <w:tc>
          <w:tcPr>
            <w:tcW w:w="600" w:type="dxa"/>
            <w:tcBorders>
              <w:top w:val="nil"/>
              <w:left w:val="nil"/>
              <w:bottom w:val="nil"/>
            </w:tcBorders>
            <w:shd w:val="clear" w:color="auto" w:fill="auto"/>
            <w:vAlign w:val="center"/>
          </w:tcPr>
          <w:p w:rsidR="0092072E" w:rsidRPr="007D19EF" w:rsidDel="00B06F7C" w:rsidRDefault="004A1A0C" w:rsidP="00052CC7">
            <w:pPr>
              <w:spacing w:before="0" w:after="0"/>
              <w:ind w:left="-828"/>
              <w:jc w:val="right"/>
              <w:rPr>
                <w:noProof/>
                <w:sz w:val="20"/>
                <w:szCs w:val="20"/>
              </w:rPr>
            </w:pPr>
            <w:r w:rsidRPr="007D19EF">
              <w:rPr>
                <w:noProof/>
                <w:sz w:val="20"/>
              </w:rPr>
              <w:t>167</w:t>
            </w:r>
          </w:p>
        </w:tc>
      </w:tr>
      <w:tr w:rsidR="0092072E" w:rsidRPr="007D19EF" w:rsidTr="00052CC7">
        <w:tc>
          <w:tcPr>
            <w:tcW w:w="3360" w:type="dxa"/>
            <w:tcBorders>
              <w:top w:val="nil"/>
              <w:bottom w:val="nil"/>
              <w:right w:val="nil"/>
            </w:tcBorders>
            <w:shd w:val="clear" w:color="auto" w:fill="auto"/>
            <w:vAlign w:val="center"/>
          </w:tcPr>
          <w:p w:rsidR="0092072E" w:rsidRPr="007D19EF" w:rsidRDefault="004A1A0C" w:rsidP="00052CC7">
            <w:pPr>
              <w:spacing w:before="0" w:after="0"/>
              <w:jc w:val="left"/>
              <w:rPr>
                <w:noProof/>
                <w:sz w:val="20"/>
              </w:rPr>
            </w:pPr>
            <w:r w:rsidRPr="007D19EF">
              <w:rPr>
                <w:noProof/>
                <w:sz w:val="20"/>
              </w:rPr>
              <w:t>Novo Energy R&amp;D AB</w:t>
            </w:r>
          </w:p>
        </w:tc>
        <w:tc>
          <w:tcPr>
            <w:tcW w:w="840" w:type="dxa"/>
            <w:gridSpan w:val="2"/>
            <w:tcBorders>
              <w:top w:val="nil"/>
              <w:left w:val="nil"/>
              <w:bottom w:val="nil"/>
            </w:tcBorders>
            <w:shd w:val="clear" w:color="auto" w:fill="auto"/>
            <w:vAlign w:val="center"/>
          </w:tcPr>
          <w:p w:rsidR="0092072E" w:rsidRPr="007D19EF" w:rsidRDefault="004A1A0C" w:rsidP="00052CC7">
            <w:pPr>
              <w:spacing w:before="0" w:after="0"/>
              <w:ind w:left="-828"/>
              <w:jc w:val="right"/>
              <w:rPr>
                <w:noProof/>
                <w:sz w:val="20"/>
                <w:szCs w:val="20"/>
              </w:rPr>
            </w:pPr>
            <w:r w:rsidRPr="007D19EF">
              <w:rPr>
                <w:noProof/>
                <w:sz w:val="20"/>
              </w:rPr>
              <w:t>3</w:t>
            </w:r>
          </w:p>
        </w:tc>
        <w:tc>
          <w:tcPr>
            <w:tcW w:w="3540" w:type="dxa"/>
            <w:gridSpan w:val="2"/>
            <w:tcBorders>
              <w:top w:val="nil"/>
              <w:bottom w:val="nil"/>
              <w:right w:val="nil"/>
            </w:tcBorders>
            <w:shd w:val="clear" w:color="auto" w:fill="auto"/>
            <w:vAlign w:val="center"/>
          </w:tcPr>
          <w:p w:rsidR="0092072E" w:rsidRPr="007D19EF" w:rsidRDefault="004A1A0C" w:rsidP="00052CC7">
            <w:pPr>
              <w:spacing w:before="0" w:after="0"/>
              <w:jc w:val="left"/>
              <w:rPr>
                <w:noProof/>
                <w:sz w:val="20"/>
              </w:rPr>
            </w:pPr>
            <w:r w:rsidRPr="007D19EF">
              <w:rPr>
                <w:noProof/>
                <w:sz w:val="20"/>
              </w:rPr>
              <w:t>Titan konstruktion AB</w:t>
            </w:r>
          </w:p>
        </w:tc>
        <w:tc>
          <w:tcPr>
            <w:tcW w:w="600" w:type="dxa"/>
            <w:tcBorders>
              <w:top w:val="nil"/>
              <w:left w:val="nil"/>
              <w:bottom w:val="nil"/>
            </w:tcBorders>
            <w:shd w:val="clear" w:color="auto" w:fill="auto"/>
            <w:vAlign w:val="center"/>
          </w:tcPr>
          <w:p w:rsidR="0092072E" w:rsidRPr="007D19EF" w:rsidRDefault="004A1A0C" w:rsidP="00052CC7">
            <w:pPr>
              <w:spacing w:before="0" w:after="0"/>
              <w:ind w:left="-828"/>
              <w:jc w:val="right"/>
              <w:rPr>
                <w:noProof/>
                <w:sz w:val="20"/>
                <w:szCs w:val="20"/>
              </w:rPr>
            </w:pPr>
            <w:r w:rsidRPr="007D19EF">
              <w:rPr>
                <w:noProof/>
                <w:sz w:val="20"/>
              </w:rPr>
              <w:t>10</w:t>
            </w:r>
          </w:p>
        </w:tc>
      </w:tr>
      <w:bookmarkEnd w:id="1"/>
      <w:tr w:rsidR="0092072E" w:rsidRPr="007D19EF" w:rsidTr="00052CC7">
        <w:tc>
          <w:tcPr>
            <w:tcW w:w="3360" w:type="dxa"/>
            <w:tcBorders>
              <w:top w:val="nil"/>
              <w:bottom w:val="nil"/>
              <w:right w:val="nil"/>
            </w:tcBorders>
            <w:shd w:val="clear" w:color="auto" w:fill="auto"/>
            <w:vAlign w:val="center"/>
          </w:tcPr>
          <w:p w:rsidR="0092072E" w:rsidRPr="007D19EF" w:rsidRDefault="004A1A0C" w:rsidP="00052CC7">
            <w:pPr>
              <w:spacing w:before="0" w:after="0"/>
              <w:jc w:val="left"/>
              <w:rPr>
                <w:noProof/>
                <w:sz w:val="20"/>
              </w:rPr>
            </w:pPr>
            <w:r w:rsidRPr="007D19EF">
              <w:rPr>
                <w:noProof/>
                <w:sz w:val="20"/>
              </w:rPr>
              <w:t>Novo Energy AB</w:t>
            </w:r>
          </w:p>
        </w:tc>
        <w:tc>
          <w:tcPr>
            <w:tcW w:w="840" w:type="dxa"/>
            <w:gridSpan w:val="2"/>
            <w:tcBorders>
              <w:top w:val="nil"/>
              <w:left w:val="nil"/>
              <w:bottom w:val="nil"/>
            </w:tcBorders>
            <w:shd w:val="clear" w:color="auto" w:fill="auto"/>
            <w:vAlign w:val="center"/>
          </w:tcPr>
          <w:p w:rsidR="0092072E" w:rsidRPr="007D19EF" w:rsidRDefault="004A1A0C" w:rsidP="00052CC7">
            <w:pPr>
              <w:spacing w:before="0" w:after="0"/>
              <w:ind w:left="-828"/>
              <w:jc w:val="right"/>
              <w:rPr>
                <w:noProof/>
                <w:sz w:val="20"/>
                <w:szCs w:val="20"/>
              </w:rPr>
            </w:pPr>
            <w:r w:rsidRPr="007D19EF">
              <w:rPr>
                <w:noProof/>
                <w:sz w:val="20"/>
              </w:rPr>
              <w:t>10</w:t>
            </w:r>
          </w:p>
        </w:tc>
        <w:tc>
          <w:tcPr>
            <w:tcW w:w="3540" w:type="dxa"/>
            <w:gridSpan w:val="2"/>
            <w:tcBorders>
              <w:top w:val="nil"/>
              <w:bottom w:val="nil"/>
              <w:right w:val="nil"/>
            </w:tcBorders>
            <w:shd w:val="clear" w:color="auto" w:fill="auto"/>
            <w:vAlign w:val="center"/>
          </w:tcPr>
          <w:p w:rsidR="0092072E" w:rsidRPr="007D19EF" w:rsidRDefault="0092072E" w:rsidP="00052CC7">
            <w:pPr>
              <w:spacing w:before="0" w:after="0"/>
              <w:jc w:val="left"/>
              <w:rPr>
                <w:noProof/>
                <w:sz w:val="20"/>
              </w:rPr>
            </w:pPr>
          </w:p>
        </w:tc>
        <w:tc>
          <w:tcPr>
            <w:tcW w:w="600" w:type="dxa"/>
            <w:tcBorders>
              <w:top w:val="nil"/>
              <w:left w:val="nil"/>
              <w:bottom w:val="nil"/>
            </w:tcBorders>
            <w:shd w:val="clear" w:color="auto" w:fill="auto"/>
            <w:vAlign w:val="center"/>
          </w:tcPr>
          <w:p w:rsidR="0092072E" w:rsidRPr="007D19EF" w:rsidRDefault="0092072E" w:rsidP="00052CC7">
            <w:pPr>
              <w:spacing w:before="0" w:after="0"/>
              <w:ind w:left="-828"/>
              <w:jc w:val="right"/>
              <w:rPr>
                <w:noProof/>
                <w:sz w:val="20"/>
                <w:szCs w:val="20"/>
              </w:rPr>
            </w:pPr>
          </w:p>
        </w:tc>
      </w:tr>
      <w:tr w:rsidR="00411996" w:rsidRPr="007D19EF" w:rsidTr="00052CC7">
        <w:tc>
          <w:tcPr>
            <w:tcW w:w="3360" w:type="dxa"/>
            <w:tcBorders>
              <w:top w:val="nil"/>
              <w:bottom w:val="nil"/>
              <w:right w:val="nil"/>
            </w:tcBorders>
            <w:shd w:val="clear" w:color="auto" w:fill="auto"/>
            <w:vAlign w:val="center"/>
          </w:tcPr>
          <w:p w:rsidR="00411996" w:rsidRPr="007D19EF" w:rsidRDefault="00411996" w:rsidP="00052CC7">
            <w:pPr>
              <w:spacing w:before="0" w:after="0"/>
              <w:jc w:val="left"/>
              <w:rPr>
                <w:noProof/>
                <w:sz w:val="20"/>
              </w:rPr>
            </w:pPr>
          </w:p>
        </w:tc>
        <w:tc>
          <w:tcPr>
            <w:tcW w:w="840" w:type="dxa"/>
            <w:gridSpan w:val="2"/>
            <w:tcBorders>
              <w:top w:val="nil"/>
              <w:left w:val="nil"/>
              <w:bottom w:val="nil"/>
            </w:tcBorders>
            <w:shd w:val="clear" w:color="auto" w:fill="auto"/>
            <w:vAlign w:val="center"/>
          </w:tcPr>
          <w:p w:rsidR="00411996" w:rsidRPr="007D19EF" w:rsidRDefault="00411996" w:rsidP="00052CC7">
            <w:pPr>
              <w:spacing w:before="0" w:after="0"/>
              <w:ind w:left="-828"/>
              <w:jc w:val="right"/>
              <w:rPr>
                <w:noProof/>
                <w:sz w:val="20"/>
                <w:szCs w:val="20"/>
              </w:rPr>
            </w:pPr>
          </w:p>
        </w:tc>
        <w:tc>
          <w:tcPr>
            <w:tcW w:w="3540" w:type="dxa"/>
            <w:gridSpan w:val="2"/>
            <w:tcBorders>
              <w:top w:val="nil"/>
              <w:bottom w:val="nil"/>
              <w:right w:val="nil"/>
            </w:tcBorders>
            <w:shd w:val="clear" w:color="auto" w:fill="auto"/>
            <w:vAlign w:val="center"/>
          </w:tcPr>
          <w:p w:rsidR="00411996" w:rsidRPr="007D19EF" w:rsidRDefault="00411996" w:rsidP="00052CC7">
            <w:pPr>
              <w:spacing w:before="0" w:after="0"/>
              <w:jc w:val="left"/>
              <w:rPr>
                <w:noProof/>
                <w:sz w:val="20"/>
              </w:rPr>
            </w:pPr>
          </w:p>
        </w:tc>
        <w:tc>
          <w:tcPr>
            <w:tcW w:w="600" w:type="dxa"/>
            <w:tcBorders>
              <w:top w:val="nil"/>
              <w:left w:val="nil"/>
              <w:bottom w:val="nil"/>
            </w:tcBorders>
            <w:shd w:val="clear" w:color="auto" w:fill="auto"/>
            <w:vAlign w:val="center"/>
          </w:tcPr>
          <w:p w:rsidR="00411996" w:rsidRPr="007D19EF" w:rsidRDefault="00411996" w:rsidP="00052CC7">
            <w:pPr>
              <w:spacing w:before="0" w:after="0"/>
              <w:ind w:left="-828"/>
              <w:jc w:val="right"/>
              <w:rPr>
                <w:noProof/>
                <w:sz w:val="20"/>
                <w:szCs w:val="20"/>
              </w:rPr>
            </w:pPr>
          </w:p>
        </w:tc>
      </w:tr>
      <w:tr w:rsidR="00411996" w:rsidRPr="007D19EF" w:rsidTr="00052CC7">
        <w:tc>
          <w:tcPr>
            <w:tcW w:w="3360" w:type="dxa"/>
            <w:tcBorders>
              <w:top w:val="nil"/>
              <w:bottom w:val="nil"/>
              <w:right w:val="nil"/>
            </w:tcBorders>
            <w:shd w:val="clear" w:color="auto" w:fill="auto"/>
            <w:vAlign w:val="center"/>
          </w:tcPr>
          <w:p w:rsidR="00411996" w:rsidRPr="007D19EF" w:rsidRDefault="00411996" w:rsidP="00052CC7">
            <w:pPr>
              <w:spacing w:before="0" w:after="0"/>
              <w:jc w:val="left"/>
              <w:rPr>
                <w:b/>
                <w:bCs/>
                <w:noProof/>
                <w:sz w:val="20"/>
              </w:rPr>
            </w:pPr>
            <w:r w:rsidRPr="007D19EF">
              <w:rPr>
                <w:b/>
                <w:noProof/>
                <w:sz w:val="20"/>
              </w:rPr>
              <w:t>Northvolt — общо</w:t>
            </w:r>
          </w:p>
        </w:tc>
        <w:tc>
          <w:tcPr>
            <w:tcW w:w="840" w:type="dxa"/>
            <w:gridSpan w:val="2"/>
            <w:tcBorders>
              <w:top w:val="nil"/>
              <w:left w:val="nil"/>
              <w:bottom w:val="nil"/>
            </w:tcBorders>
            <w:shd w:val="clear" w:color="auto" w:fill="auto"/>
            <w:vAlign w:val="center"/>
          </w:tcPr>
          <w:p w:rsidR="00411996" w:rsidRPr="007D19EF" w:rsidRDefault="00411996" w:rsidP="00052CC7">
            <w:pPr>
              <w:spacing w:before="0" w:after="0"/>
              <w:ind w:left="-828"/>
              <w:jc w:val="right"/>
              <w:rPr>
                <w:b/>
                <w:bCs/>
                <w:noProof/>
                <w:sz w:val="20"/>
                <w:szCs w:val="20"/>
              </w:rPr>
            </w:pPr>
            <w:r w:rsidRPr="007D19EF">
              <w:rPr>
                <w:b/>
                <w:noProof/>
                <w:sz w:val="20"/>
              </w:rPr>
              <w:t>5561</w:t>
            </w:r>
          </w:p>
        </w:tc>
        <w:tc>
          <w:tcPr>
            <w:tcW w:w="3540" w:type="dxa"/>
            <w:gridSpan w:val="2"/>
            <w:tcBorders>
              <w:top w:val="nil"/>
              <w:bottom w:val="nil"/>
              <w:right w:val="nil"/>
            </w:tcBorders>
            <w:shd w:val="clear" w:color="auto" w:fill="auto"/>
            <w:vAlign w:val="center"/>
          </w:tcPr>
          <w:p w:rsidR="00411996" w:rsidRPr="007D19EF" w:rsidRDefault="00411996" w:rsidP="00052CC7">
            <w:pPr>
              <w:spacing w:before="0" w:after="0"/>
              <w:jc w:val="left"/>
              <w:rPr>
                <w:noProof/>
                <w:sz w:val="20"/>
              </w:rPr>
            </w:pPr>
          </w:p>
        </w:tc>
        <w:tc>
          <w:tcPr>
            <w:tcW w:w="600" w:type="dxa"/>
            <w:tcBorders>
              <w:top w:val="nil"/>
              <w:left w:val="nil"/>
              <w:bottom w:val="nil"/>
            </w:tcBorders>
            <w:shd w:val="clear" w:color="auto" w:fill="auto"/>
            <w:vAlign w:val="center"/>
          </w:tcPr>
          <w:p w:rsidR="00411996" w:rsidRPr="007D19EF" w:rsidRDefault="00411996" w:rsidP="00052CC7">
            <w:pPr>
              <w:spacing w:before="0" w:after="0"/>
              <w:ind w:left="-828"/>
              <w:jc w:val="right"/>
              <w:rPr>
                <w:noProof/>
                <w:sz w:val="20"/>
                <w:szCs w:val="20"/>
              </w:rPr>
            </w:pPr>
          </w:p>
        </w:tc>
      </w:tr>
      <w:tr w:rsidR="001A62D7" w:rsidRPr="007D19EF" w:rsidTr="00052CC7">
        <w:trPr>
          <w:trHeight w:val="284"/>
        </w:trPr>
        <w:tc>
          <w:tcPr>
            <w:tcW w:w="3840" w:type="dxa"/>
            <w:gridSpan w:val="2"/>
            <w:tcBorders>
              <w:bottom w:val="nil"/>
              <w:right w:val="nil"/>
            </w:tcBorders>
            <w:shd w:val="clear" w:color="auto" w:fill="E6E6E6"/>
            <w:vAlign w:val="center"/>
          </w:tcPr>
          <w:p w:rsidR="001A62D7" w:rsidRPr="007D19EF" w:rsidRDefault="001A62D7" w:rsidP="00052CC7">
            <w:pPr>
              <w:spacing w:beforeLines="20" w:before="48" w:afterLines="20" w:after="48" w:line="276" w:lineRule="auto"/>
              <w:ind w:left="57"/>
              <w:jc w:val="left"/>
              <w:rPr>
                <w:rFonts w:eastAsia="Calibri"/>
                <w:b/>
                <w:noProof/>
                <w:szCs w:val="24"/>
              </w:rPr>
            </w:pPr>
            <w:r w:rsidRPr="007D19EF">
              <w:rPr>
                <w:noProof/>
              </w:rPr>
              <w:br w:type="page"/>
            </w:r>
            <w:r w:rsidRPr="007D19EF">
              <w:rPr>
                <w:b/>
                <w:noProof/>
              </w:rPr>
              <w:t>Общ брой на предприятията</w:t>
            </w:r>
            <w:r w:rsidRPr="007D19EF">
              <w:rPr>
                <w:rStyle w:val="FootnoteReference"/>
                <w:rFonts w:eastAsia="Calibri"/>
                <w:b/>
                <w:noProof/>
                <w:szCs w:val="24"/>
              </w:rPr>
              <w:footnoteReference w:id="9"/>
            </w:r>
            <w:r w:rsidRPr="007D19EF">
              <w:rPr>
                <w:b/>
                <w:noProof/>
              </w:rPr>
              <w:t>:</w:t>
            </w:r>
            <w:r w:rsidRPr="007D19EF">
              <w:rPr>
                <w:b/>
                <w:noProof/>
                <w:sz w:val="22"/>
              </w:rPr>
              <w:t xml:space="preserve"> </w:t>
            </w:r>
            <w:r w:rsidRPr="007D19EF">
              <w:rPr>
                <w:b/>
                <w:noProof/>
              </w:rPr>
              <w:t>9</w:t>
            </w:r>
          </w:p>
        </w:tc>
        <w:tc>
          <w:tcPr>
            <w:tcW w:w="3300" w:type="dxa"/>
            <w:gridSpan w:val="2"/>
            <w:tcBorders>
              <w:left w:val="nil"/>
              <w:bottom w:val="nil"/>
              <w:right w:val="nil"/>
            </w:tcBorders>
            <w:shd w:val="clear" w:color="auto" w:fill="E6E6E6"/>
            <w:vAlign w:val="center"/>
          </w:tcPr>
          <w:p w:rsidR="001A62D7" w:rsidRPr="007D19EF" w:rsidRDefault="001A62D7" w:rsidP="00DD52DF">
            <w:pPr>
              <w:spacing w:beforeLines="20" w:before="48" w:afterLines="20" w:after="48" w:line="276" w:lineRule="auto"/>
              <w:ind w:left="57" w:right="-242"/>
              <w:jc w:val="left"/>
              <w:rPr>
                <w:rFonts w:eastAsia="Calibri"/>
                <w:b/>
                <w:noProof/>
                <w:szCs w:val="24"/>
              </w:rPr>
            </w:pPr>
            <w:r w:rsidRPr="007D19EF">
              <w:rPr>
                <w:b/>
                <w:noProof/>
              </w:rPr>
              <w:t>Общ брой на съкращенията:</w:t>
            </w:r>
            <w:r w:rsidRPr="007D19EF">
              <w:rPr>
                <w:b/>
                <w:noProof/>
                <w:sz w:val="22"/>
              </w:rPr>
              <w:t xml:space="preserve"> </w:t>
            </w:r>
          </w:p>
        </w:tc>
        <w:tc>
          <w:tcPr>
            <w:tcW w:w="1200" w:type="dxa"/>
            <w:gridSpan w:val="2"/>
            <w:tcBorders>
              <w:left w:val="nil"/>
              <w:bottom w:val="nil"/>
            </w:tcBorders>
            <w:shd w:val="clear" w:color="auto" w:fill="E6E6E6"/>
            <w:vAlign w:val="center"/>
          </w:tcPr>
          <w:p w:rsidR="001A62D7" w:rsidRPr="007D19EF" w:rsidRDefault="00354072" w:rsidP="00052CC7">
            <w:pPr>
              <w:spacing w:beforeLines="20" w:before="48" w:afterLines="20" w:after="48" w:line="276" w:lineRule="auto"/>
              <w:ind w:left="57" w:right="227"/>
              <w:jc w:val="left"/>
              <w:rPr>
                <w:rFonts w:eastAsia="Calibri"/>
                <w:b/>
                <w:noProof/>
                <w:szCs w:val="24"/>
              </w:rPr>
            </w:pPr>
            <w:r w:rsidRPr="007D19EF">
              <w:rPr>
                <w:noProof/>
              </w:rPr>
              <w:t>5829</w:t>
            </w:r>
          </w:p>
        </w:tc>
      </w:tr>
    </w:tbl>
    <w:p w:rsidR="001A62D7" w:rsidRPr="007D19EF" w:rsidRDefault="001A62D7" w:rsidP="001A62D7">
      <w:pPr>
        <w:pStyle w:val="ManualHeading3"/>
        <w:rPr>
          <w:noProof/>
        </w:rPr>
      </w:pPr>
      <w:r w:rsidRPr="007D19EF">
        <w:rPr>
          <w:noProof/>
        </w:rPr>
        <w:t>Критерии за намеса</w:t>
      </w:r>
    </w:p>
    <w:p w:rsidR="001A62D7" w:rsidRPr="007D19EF" w:rsidRDefault="00B83420" w:rsidP="00B83420">
      <w:pPr>
        <w:pStyle w:val="ManualNumPar1"/>
        <w:rPr>
          <w:noProof/>
        </w:rPr>
      </w:pPr>
      <w:r w:rsidRPr="00B83420">
        <w:rPr>
          <w:noProof/>
        </w:rPr>
        <w:t>6.</w:t>
      </w:r>
      <w:r w:rsidRPr="00B83420">
        <w:rPr>
          <w:noProof/>
        </w:rPr>
        <w:tab/>
      </w:r>
      <w:r w:rsidR="00052CC7" w:rsidRPr="007D19EF">
        <w:rPr>
          <w:noProof/>
        </w:rPr>
        <w:t>Швеция подаде заявлението в съответствие с критериите за намеса по член 4, параграф 2, буква а) от Регламент (ЕС) 2021/691, съгласно който следва да е налице прекратяване на дейността на най-малко 200 съкратени работници и/или самостоятелно заети лица за референтен период от четири месеца в дадено предприятие в държава членка, включително когато това прекратяване на дейността се случва при негови доставчици или производители надолу по веригата.</w:t>
      </w:r>
    </w:p>
    <w:p w:rsidR="001A62D7" w:rsidRPr="007D19EF" w:rsidRDefault="00B83420" w:rsidP="00B83420">
      <w:pPr>
        <w:pStyle w:val="ManualNumPar1"/>
        <w:rPr>
          <w:noProof/>
        </w:rPr>
      </w:pPr>
      <w:bookmarkStart w:id="2" w:name="_Ref372189348"/>
      <w:r w:rsidRPr="00B83420">
        <w:rPr>
          <w:noProof/>
        </w:rPr>
        <w:t>7.</w:t>
      </w:r>
      <w:r w:rsidRPr="00B83420">
        <w:rPr>
          <w:noProof/>
        </w:rPr>
        <w:tab/>
      </w:r>
      <w:r w:rsidR="001A62D7" w:rsidRPr="007D19EF">
        <w:rPr>
          <w:noProof/>
        </w:rPr>
        <w:t>Четиримесечният референтен период за заявлението започва на 28 ноември 2024 г.</w:t>
      </w:r>
      <w:bookmarkEnd w:id="2"/>
      <w:r w:rsidR="001A62D7" w:rsidRPr="007D19EF">
        <w:rPr>
          <w:noProof/>
        </w:rPr>
        <w:t xml:space="preserve"> и приключва на 28 март 2025 г.</w:t>
      </w:r>
    </w:p>
    <w:p w:rsidR="001A62D7" w:rsidRPr="007D19EF" w:rsidRDefault="00B83420" w:rsidP="00B83420">
      <w:pPr>
        <w:pStyle w:val="ManualNumPar1"/>
        <w:rPr>
          <w:noProof/>
        </w:rPr>
      </w:pPr>
      <w:r w:rsidRPr="00B83420">
        <w:rPr>
          <w:noProof/>
        </w:rPr>
        <w:t>8.</w:t>
      </w:r>
      <w:r w:rsidRPr="00B83420">
        <w:rPr>
          <w:noProof/>
        </w:rPr>
        <w:tab/>
      </w:r>
      <w:r w:rsidR="001A62D7" w:rsidRPr="007D19EF">
        <w:rPr>
          <w:noProof/>
          <w:color w:val="FFFFFF" w:themeColor="background1"/>
        </w:rPr>
        <w:t xml:space="preserve">] </w:t>
      </w:r>
      <w:r w:rsidR="001A62D7" w:rsidRPr="007D19EF">
        <w:rPr>
          <w:noProof/>
        </w:rPr>
        <w:t>Прекратяването на дейността през референтния период е настъпило, както следва:</w:t>
      </w:r>
    </w:p>
    <w:p w:rsidR="00E8095D" w:rsidRPr="007D19EF" w:rsidRDefault="002A1949" w:rsidP="0045598D">
      <w:pPr>
        <w:pStyle w:val="Tiret1"/>
        <w:numPr>
          <w:ilvl w:val="0"/>
          <w:numId w:val="19"/>
        </w:numPr>
        <w:rPr>
          <w:noProof/>
        </w:rPr>
      </w:pPr>
      <w:r w:rsidRPr="007D19EF">
        <w:rPr>
          <w:noProof/>
        </w:rPr>
        <w:t>5561 съкратени работници в Northvolt,</w:t>
      </w:r>
    </w:p>
    <w:p w:rsidR="00935AF6" w:rsidRPr="007D19EF" w:rsidRDefault="00A266B0" w:rsidP="0045598D">
      <w:pPr>
        <w:pStyle w:val="Tiret1"/>
        <w:numPr>
          <w:ilvl w:val="0"/>
          <w:numId w:val="19"/>
        </w:numPr>
        <w:rPr>
          <w:noProof/>
        </w:rPr>
      </w:pPr>
      <w:r w:rsidRPr="007D19EF">
        <w:rPr>
          <w:noProof/>
        </w:rPr>
        <w:t>268 съкратени работници в 8 подизпълнители, доставчици и производители надолу по веригата на Northvolt.</w:t>
      </w:r>
    </w:p>
    <w:p w:rsidR="001A62D7" w:rsidRPr="007D19EF" w:rsidRDefault="001A62D7" w:rsidP="00935AF6">
      <w:pPr>
        <w:pStyle w:val="ManualHeading3"/>
        <w:rPr>
          <w:noProof/>
        </w:rPr>
      </w:pPr>
      <w:r w:rsidRPr="007D19EF">
        <w:rPr>
          <w:noProof/>
        </w:rPr>
        <w:t>Изчисляване на броя на съкращенията и на случаите на прекратяване на дейност</w:t>
      </w:r>
    </w:p>
    <w:p w:rsidR="001A62D7" w:rsidRPr="007D19EF" w:rsidRDefault="00B83420" w:rsidP="00B83420">
      <w:pPr>
        <w:pStyle w:val="ManualNumPar1"/>
        <w:rPr>
          <w:noProof/>
        </w:rPr>
      </w:pPr>
      <w:r w:rsidRPr="00B83420">
        <w:rPr>
          <w:noProof/>
        </w:rPr>
        <w:t>9.</w:t>
      </w:r>
      <w:r w:rsidRPr="00B83420">
        <w:rPr>
          <w:noProof/>
        </w:rPr>
        <w:tab/>
      </w:r>
      <w:r w:rsidR="001A62D7" w:rsidRPr="007D19EF">
        <w:rPr>
          <w:noProof/>
        </w:rPr>
        <w:t>В съответствие с член 6, първа алинея, буква а) във връзка с член 5, първа алинея от Регламент (ЕС) 2021/691 прекратяването на дейността на съкратените работници през референтния период е изчислено както следва:</w:t>
      </w:r>
    </w:p>
    <w:p w:rsidR="001A62D7" w:rsidRPr="007D19EF" w:rsidRDefault="0050750F" w:rsidP="001A62D7">
      <w:pPr>
        <w:pStyle w:val="Tiret1"/>
        <w:rPr>
          <w:noProof/>
        </w:rPr>
      </w:pPr>
      <w:r w:rsidRPr="007D19EF">
        <w:rPr>
          <w:noProof/>
        </w:rPr>
        <w:t>4552, считано от датата, на която в съответствие с член 3, параграф 1 от Директива 98/59/ЕО на Съвета</w:t>
      </w:r>
      <w:r w:rsidRPr="007D19EF">
        <w:rPr>
          <w:rStyle w:val="FootnoteReference"/>
          <w:noProof/>
        </w:rPr>
        <w:footnoteReference w:id="10"/>
      </w:r>
      <w:r w:rsidRPr="007D19EF">
        <w:rPr>
          <w:noProof/>
        </w:rPr>
        <w:t xml:space="preserve"> работодателят е уведомил писмено компетентния публичен орган за планираните колективни съкращения. Швеция е потвърдила преди датата на приключване на оценката от Комисията, че тези 4552 съкращения са били действително извършени.</w:t>
      </w:r>
    </w:p>
    <w:p w:rsidR="001A62D7" w:rsidRPr="007D19EF" w:rsidRDefault="004D7664" w:rsidP="001A62D7">
      <w:pPr>
        <w:pStyle w:val="Tiret1"/>
        <w:rPr>
          <w:noProof/>
        </w:rPr>
      </w:pPr>
      <w:r w:rsidRPr="007D19EF">
        <w:rPr>
          <w:noProof/>
        </w:rPr>
        <w:t>1277, считано от датата на фактическото прекратяване на трудовия договор или изтичането на неговия срок.</w:t>
      </w:r>
    </w:p>
    <w:p w:rsidR="001A62D7" w:rsidRPr="007D19EF" w:rsidRDefault="001A62D7" w:rsidP="004D7664">
      <w:pPr>
        <w:pStyle w:val="ManualHeading3"/>
        <w:rPr>
          <w:noProof/>
        </w:rPr>
      </w:pPr>
      <w:r w:rsidRPr="007D19EF">
        <w:rPr>
          <w:noProof/>
        </w:rPr>
        <w:t>Допустими бенефициери</w:t>
      </w:r>
    </w:p>
    <w:p w:rsidR="00AF62A9" w:rsidRPr="007D19EF" w:rsidRDefault="00B83420" w:rsidP="00B83420">
      <w:pPr>
        <w:pStyle w:val="ManualNumPar1"/>
        <w:rPr>
          <w:noProof/>
        </w:rPr>
      </w:pPr>
      <w:r w:rsidRPr="00B83420">
        <w:rPr>
          <w:noProof/>
        </w:rPr>
        <w:t>10.</w:t>
      </w:r>
      <w:r w:rsidRPr="00B83420">
        <w:rPr>
          <w:noProof/>
        </w:rPr>
        <w:tab/>
      </w:r>
      <w:r w:rsidR="001A62D7" w:rsidRPr="007D19EF">
        <w:rPr>
          <w:noProof/>
        </w:rPr>
        <w:t>Освен горепосочените работници към допустимите бенефициери спадат 657 съкратени работници, чиято дейност е била прекратена преди или след четиримесечния референтен период. Дейността на всички тези работници е била прекратена в рамките на шест месеца преди началото на референтния период на 28 ноември 2024 г. или между края на референтния период и деня преди приемането на настоящото предложение, съгласно член 6, първа алинея, буква б) от Регламент (ЕС) 2021/691. Може да се установи ясна причинно-следствена връзка със събитието, което е довело до прекратяването на дейността на работниците, съкратени през референтния период, както се изисква в член 6, втора алинея от Регламент (ЕС) 2021/691.</w:t>
      </w:r>
    </w:p>
    <w:p w:rsidR="001A62D7" w:rsidRPr="007D19EF" w:rsidRDefault="00B83420" w:rsidP="00B83420">
      <w:pPr>
        <w:pStyle w:val="ManualNumPar1"/>
        <w:rPr>
          <w:noProof/>
        </w:rPr>
      </w:pPr>
      <w:r w:rsidRPr="00B83420">
        <w:rPr>
          <w:noProof/>
        </w:rPr>
        <w:t>11.</w:t>
      </w:r>
      <w:r w:rsidRPr="00B83420">
        <w:rPr>
          <w:noProof/>
        </w:rPr>
        <w:tab/>
      </w:r>
      <w:r w:rsidR="001A62D7" w:rsidRPr="007D19EF">
        <w:rPr>
          <w:noProof/>
        </w:rPr>
        <w:t>Общият брой на допустимите бенефициери е 6 486 души.</w:t>
      </w:r>
    </w:p>
    <w:p w:rsidR="001A62D7" w:rsidRPr="007D19EF" w:rsidRDefault="001A62D7" w:rsidP="001A62D7">
      <w:pPr>
        <w:pStyle w:val="ManualHeading3"/>
        <w:rPr>
          <w:noProof/>
        </w:rPr>
      </w:pPr>
      <w:r w:rsidRPr="007D19EF">
        <w:rPr>
          <w:noProof/>
        </w:rPr>
        <w:t>Описание на събитията, довели до съкращаването на работниците и прекратяването на дейността</w:t>
      </w:r>
    </w:p>
    <w:p w:rsidR="00802E39" w:rsidRPr="007D19EF" w:rsidRDefault="00B83420" w:rsidP="00B83420">
      <w:pPr>
        <w:pStyle w:val="ManualNumPar1"/>
        <w:rPr>
          <w:noProof/>
        </w:rPr>
      </w:pPr>
      <w:r w:rsidRPr="00B83420">
        <w:rPr>
          <w:noProof/>
        </w:rPr>
        <w:t>12.</w:t>
      </w:r>
      <w:r w:rsidRPr="00B83420">
        <w:rPr>
          <w:noProof/>
        </w:rPr>
        <w:tab/>
      </w:r>
      <w:r w:rsidR="001A62D7" w:rsidRPr="007D19EF">
        <w:rPr>
          <w:noProof/>
        </w:rPr>
        <w:t>Събитието, довело до тези съкращения, е голямо преструктуриране на Northvolt AB, последвано от несъстоятелност на предприятието. Като верижен ефект допълнителна по-малка вълна от съкращения на работни места засегна подизпълнителите, доставчиците и производителите надолу по веригата на предприятието.</w:t>
      </w:r>
    </w:p>
    <w:p w:rsidR="00802E39" w:rsidRPr="007D19EF" w:rsidRDefault="00B83420" w:rsidP="00B83420">
      <w:pPr>
        <w:pStyle w:val="ManualNumPar1"/>
        <w:rPr>
          <w:noProof/>
        </w:rPr>
      </w:pPr>
      <w:r w:rsidRPr="00B83420">
        <w:rPr>
          <w:noProof/>
        </w:rPr>
        <w:t>13.</w:t>
      </w:r>
      <w:r w:rsidRPr="00B83420">
        <w:rPr>
          <w:noProof/>
        </w:rPr>
        <w:tab/>
      </w:r>
      <w:r w:rsidR="00802E39" w:rsidRPr="007D19EF">
        <w:rPr>
          <w:noProof/>
        </w:rPr>
        <w:t>Northvolt AB е основано през 2016 г. от частни инвеститори в опит да се създаде европейска промишленост за производство на акумулаторни батерии, за да се намали зависимостта от китайски производители. Northvolt изгражда завод за акумулаторни батерии в община Skellefteå. Тази фабрика, наречена Northvolt Ett (Northvolt One), е изградена с цел производство на литиевойонни батерии за електрически автомобили и за акумулиране на енергия. Освен това Northvolt Labs е създадено като научноизследователски комплекс в община Västerås.</w:t>
      </w:r>
    </w:p>
    <w:p w:rsidR="00802E39" w:rsidRPr="007D19EF" w:rsidRDefault="00B83420" w:rsidP="00B83420">
      <w:pPr>
        <w:pStyle w:val="ManualNumPar1"/>
        <w:rPr>
          <w:noProof/>
        </w:rPr>
      </w:pPr>
      <w:r w:rsidRPr="00B83420">
        <w:rPr>
          <w:noProof/>
        </w:rPr>
        <w:t>14.</w:t>
      </w:r>
      <w:r w:rsidRPr="00B83420">
        <w:rPr>
          <w:noProof/>
        </w:rPr>
        <w:tab/>
      </w:r>
      <w:r w:rsidR="00802E39" w:rsidRPr="007D19EF">
        <w:rPr>
          <w:noProof/>
        </w:rPr>
        <w:t>Northvolt Ett е открито през юни 2022 г. Бързо се появяват обаче сериозни проблеми в производствения процес. През 2023 г. производството в Northvolt Ett достига едва 0,5 % от първоначално планирания капацитет. Поради тези забавяния големи клиенти на Northvolt се оказват принудени да отменят поръчките си.</w:t>
      </w:r>
    </w:p>
    <w:p w:rsidR="00802E39" w:rsidRPr="007D19EF" w:rsidRDefault="00B83420" w:rsidP="00B83420">
      <w:pPr>
        <w:pStyle w:val="ManualNumPar1"/>
        <w:rPr>
          <w:noProof/>
        </w:rPr>
      </w:pPr>
      <w:r w:rsidRPr="00B83420">
        <w:rPr>
          <w:noProof/>
        </w:rPr>
        <w:t>15.</w:t>
      </w:r>
      <w:r w:rsidRPr="00B83420">
        <w:rPr>
          <w:noProof/>
        </w:rPr>
        <w:tab/>
      </w:r>
      <w:r w:rsidR="00802E39" w:rsidRPr="007D19EF">
        <w:rPr>
          <w:noProof/>
        </w:rPr>
        <w:t>В същото време китайските производители на акумулаторни батерии са продавали акумулаторни батерии на половин цена в сравнение с Northvolt поради държавни субсидии. В резултат на китайското господстващо положение и в опит да бъдат независими от китайските производители много световни икономики също са субсидирали силно собственото си производство на акумулаторни батерии.</w:t>
      </w:r>
    </w:p>
    <w:p w:rsidR="002A0F0F" w:rsidRPr="007D19EF" w:rsidRDefault="00B83420" w:rsidP="00B83420">
      <w:pPr>
        <w:pStyle w:val="ManualNumPar1"/>
        <w:rPr>
          <w:noProof/>
        </w:rPr>
      </w:pPr>
      <w:r w:rsidRPr="00B83420">
        <w:rPr>
          <w:noProof/>
        </w:rPr>
        <w:t>16.</w:t>
      </w:r>
      <w:r w:rsidRPr="00B83420">
        <w:rPr>
          <w:noProof/>
        </w:rPr>
        <w:tab/>
      </w:r>
      <w:r w:rsidR="00802E39" w:rsidRPr="007D19EF">
        <w:rPr>
          <w:noProof/>
        </w:rPr>
        <w:t>Усилията за увеличаване на пазарните дялове доведоха до огромно свръхпредлагане на акумулаторни батерии, като обявеният производствен капацитет надхвърли значително прогнозираното търсене. Китайските производители сами са произвеждали достатъчно акумулаторни батерии, за да задоволят търсенето в световен мащаб. Следователно несъстоятелността на Northvolt е знак за неизбежни корекции на пазара с оглед на предизвикателствата, свързани със свръхкапацитета.</w:t>
      </w:r>
    </w:p>
    <w:p w:rsidR="002A0F0F" w:rsidRPr="007D19EF" w:rsidRDefault="00B83420" w:rsidP="00B83420">
      <w:pPr>
        <w:pStyle w:val="ManualNumPar1"/>
        <w:rPr>
          <w:noProof/>
        </w:rPr>
      </w:pPr>
      <w:r w:rsidRPr="00B83420">
        <w:rPr>
          <w:noProof/>
        </w:rPr>
        <w:t>17.</w:t>
      </w:r>
      <w:r w:rsidRPr="00B83420">
        <w:rPr>
          <w:noProof/>
        </w:rPr>
        <w:tab/>
      </w:r>
      <w:r w:rsidR="002A0F0F" w:rsidRPr="007D19EF">
        <w:rPr>
          <w:noProof/>
        </w:rPr>
        <w:t xml:space="preserve">В резултат на стратегическия преглед, проведен на 23 септември 2024 г., Northvolt обяви значителни съкращения на персонала, като общо 1600 служители са получили предизвестие за прекратяване. </w:t>
      </w:r>
    </w:p>
    <w:p w:rsidR="00DC4B8B" w:rsidRPr="007D19EF" w:rsidRDefault="00B83420" w:rsidP="00B83420">
      <w:pPr>
        <w:pStyle w:val="ManualNumPar1"/>
        <w:rPr>
          <w:noProof/>
        </w:rPr>
      </w:pPr>
      <w:r w:rsidRPr="00B83420">
        <w:rPr>
          <w:noProof/>
        </w:rPr>
        <w:t>18.</w:t>
      </w:r>
      <w:r w:rsidRPr="00B83420">
        <w:rPr>
          <w:noProof/>
        </w:rPr>
        <w:tab/>
      </w:r>
      <w:r w:rsidR="00DC4B8B" w:rsidRPr="007D19EF">
        <w:rPr>
          <w:noProof/>
        </w:rPr>
        <w:t>На 12 март 2025 г. Northvolt е обявено в несъстоятелност. Производството е продължило до 22 май 2025 г., когато последният останал клиент е решил да смени доставчика си.</w:t>
      </w:r>
    </w:p>
    <w:p w:rsidR="00DC4B8B" w:rsidRPr="007D19EF" w:rsidRDefault="00B83420" w:rsidP="00B83420">
      <w:pPr>
        <w:pStyle w:val="ManualNumPar1"/>
        <w:rPr>
          <w:noProof/>
        </w:rPr>
      </w:pPr>
      <w:r w:rsidRPr="00B83420">
        <w:rPr>
          <w:noProof/>
        </w:rPr>
        <w:t>19.</w:t>
      </w:r>
      <w:r w:rsidRPr="00B83420">
        <w:rPr>
          <w:noProof/>
        </w:rPr>
        <w:tab/>
      </w:r>
      <w:r w:rsidR="00DC4B8B" w:rsidRPr="007D19EF">
        <w:rPr>
          <w:noProof/>
        </w:rPr>
        <w:t>На 7 август 2025 г. Lyten, американско новосъздадено дружество, обяви намерението си да поеме производството на акумулаторни батерии на Northvolt. Тази сделка понастоящем е в процес на одобрение от страна на шведските органи. Все още не е ясно кога производството може да се възобнови и колко работници биха могли да бъдат наети отново.</w:t>
      </w:r>
    </w:p>
    <w:p w:rsidR="001A62D7" w:rsidRPr="007D19EF" w:rsidRDefault="001A62D7" w:rsidP="001A62D7">
      <w:pPr>
        <w:pStyle w:val="ManualHeading3"/>
        <w:tabs>
          <w:tab w:val="clear" w:pos="850"/>
          <w:tab w:val="left" w:pos="0"/>
        </w:tabs>
        <w:ind w:left="0" w:firstLine="0"/>
        <w:rPr>
          <w:noProof/>
        </w:rPr>
      </w:pPr>
      <w:r w:rsidRPr="007D19EF">
        <w:rPr>
          <w:noProof/>
        </w:rPr>
        <w:t>Очаквано въздействие на съкращенията върху местната, регионалната или националната икономика и заетост</w:t>
      </w:r>
    </w:p>
    <w:p w:rsidR="00DA1B88" w:rsidRPr="007D19EF" w:rsidRDefault="00B83420" w:rsidP="00B83420">
      <w:pPr>
        <w:pStyle w:val="ManualNumPar1"/>
        <w:rPr>
          <w:noProof/>
        </w:rPr>
      </w:pPr>
      <w:r w:rsidRPr="00B83420">
        <w:rPr>
          <w:noProof/>
        </w:rPr>
        <w:t>20.</w:t>
      </w:r>
      <w:r w:rsidRPr="00B83420">
        <w:rPr>
          <w:noProof/>
        </w:rPr>
        <w:tab/>
      </w:r>
      <w:r w:rsidR="00DA1B88" w:rsidRPr="007D19EF">
        <w:rPr>
          <w:noProof/>
        </w:rPr>
        <w:t xml:space="preserve">Обявената от Northvolt несъстоятелност е най-голямата такава в Швеция в днешно време. Съкращенията са извършени в обектите на Northvolt в Skellefteå, Västerås и Стокхолм. Като се има предвид капацитетът за усвояване на местните пазари на труда обаче, броят на съкращенията в съответните градове и преди всичко типа длъжностни характеристики на засегнатата работна сила, насочен към научни изследвания и управленски функции, шведските органи не очакват значително въздействие в градовете Västerås и Стокхолм. С над 5000 съкращения на работни места въздействието върху град Skellefteå (население от 36 000 души в града и 77 000 души в общината) е сериозно. Поради това шведските органи решиха да съсредоточат помощта по ЕФПГ върху </w:t>
      </w:r>
      <w:bookmarkStart w:id="3" w:name="_Hlk209047713"/>
      <w:r w:rsidR="00DA1B88" w:rsidRPr="007D19EF">
        <w:rPr>
          <w:noProof/>
        </w:rPr>
        <w:t>Skellefteå</w:t>
      </w:r>
      <w:bookmarkEnd w:id="3"/>
      <w:r w:rsidR="00DA1B88" w:rsidRPr="007D19EF">
        <w:rPr>
          <w:noProof/>
        </w:rPr>
        <w:t>. Работната сила във Västerås и Стокхолм обаче ще бъде информирана за възможността за мерки по ЕФПГ, а помощта ще бъде предоставена при поискване.</w:t>
      </w:r>
    </w:p>
    <w:p w:rsidR="0037267F" w:rsidRPr="007D19EF" w:rsidRDefault="00B83420" w:rsidP="00B83420">
      <w:pPr>
        <w:pStyle w:val="ManualNumPar1"/>
        <w:rPr>
          <w:noProof/>
        </w:rPr>
      </w:pPr>
      <w:r w:rsidRPr="00B83420">
        <w:rPr>
          <w:noProof/>
        </w:rPr>
        <w:t>21.</w:t>
      </w:r>
      <w:r w:rsidRPr="00B83420">
        <w:rPr>
          <w:noProof/>
        </w:rPr>
        <w:tab/>
      </w:r>
      <w:r w:rsidR="0037267F" w:rsidRPr="007D19EF">
        <w:rPr>
          <w:noProof/>
        </w:rPr>
        <w:t>Град Skellefteå в Северна Швеция премина през период на трансформация. За да спре намаляването на населението, регионът предостави големи структурни инвестиции, които, съчетани със стратегия за развитие с акцент върху екологичния преход, привлякоха инвеститори. Фабриката за акумулаторни батерии на Northvolt е движеща сила за икономическото развитие на региона.</w:t>
      </w:r>
    </w:p>
    <w:p w:rsidR="00661A41" w:rsidRPr="007D19EF" w:rsidRDefault="00B83420" w:rsidP="00B83420">
      <w:pPr>
        <w:pStyle w:val="ManualNumPar1"/>
        <w:rPr>
          <w:noProof/>
        </w:rPr>
      </w:pPr>
      <w:r w:rsidRPr="00B83420">
        <w:rPr>
          <w:noProof/>
        </w:rPr>
        <w:t>22.</w:t>
      </w:r>
      <w:r w:rsidRPr="00B83420">
        <w:rPr>
          <w:noProof/>
        </w:rPr>
        <w:tab/>
      </w:r>
      <w:r w:rsidR="0037267F" w:rsidRPr="007D19EF">
        <w:rPr>
          <w:noProof/>
        </w:rPr>
        <w:t>В началото на 2024 г. все още има няколко хиляди свободни работни места в Skellefteå, а коефициентът на безработица е 2,9 </w:t>
      </w:r>
      <w:bookmarkStart w:id="4" w:name="_Hlk209048615"/>
      <w:r w:rsidR="0037267F" w:rsidRPr="007D19EF">
        <w:rPr>
          <w:noProof/>
        </w:rPr>
        <w:t xml:space="preserve">%. </w:t>
      </w:r>
      <w:bookmarkEnd w:id="4"/>
      <w:r w:rsidR="0037267F" w:rsidRPr="007D19EF">
        <w:rPr>
          <w:noProof/>
        </w:rPr>
        <w:t>След несъстоятелността на Northvolt обаче безработицата рязко нарасна до 8,2 % през април 2025 г.</w:t>
      </w:r>
    </w:p>
    <w:p w:rsidR="00661A41" w:rsidRPr="007D19EF" w:rsidRDefault="00B83420" w:rsidP="00B83420">
      <w:pPr>
        <w:pStyle w:val="ManualNumPar1"/>
        <w:rPr>
          <w:noProof/>
        </w:rPr>
      </w:pPr>
      <w:bookmarkStart w:id="5" w:name="_Hlk209046866"/>
      <w:r w:rsidRPr="00B83420">
        <w:rPr>
          <w:noProof/>
        </w:rPr>
        <w:t>23.</w:t>
      </w:r>
      <w:r w:rsidRPr="00B83420">
        <w:rPr>
          <w:noProof/>
        </w:rPr>
        <w:tab/>
      </w:r>
      <w:r w:rsidR="00661A41" w:rsidRPr="007D19EF">
        <w:rPr>
          <w:noProof/>
        </w:rPr>
        <w:t>Сериозен повод за притеснение е очакваното изтичане на мозъци след съкращенията на работни места. Само преди няколко години много работници са се преместили в града, за да работят в Northvolt. Освен това 40 % от работната сила на Northvolt са граждани на трети държави, чиито разрешения за работа и пребиваване зависят от тяхната заетост. За да се задържат талантите, са необходими значителни усилия с цел да им се помогне бързо да намерят нова работа, за предпочитане в региона.</w:t>
      </w:r>
    </w:p>
    <w:p w:rsidR="00DA1B88" w:rsidRPr="007D19EF" w:rsidRDefault="00B83420" w:rsidP="00B83420">
      <w:pPr>
        <w:pStyle w:val="ManualNumPar1"/>
        <w:rPr>
          <w:noProof/>
        </w:rPr>
      </w:pPr>
      <w:r w:rsidRPr="00B83420">
        <w:rPr>
          <w:noProof/>
        </w:rPr>
        <w:t>24.</w:t>
      </w:r>
      <w:r w:rsidRPr="00B83420">
        <w:rPr>
          <w:noProof/>
        </w:rPr>
        <w:tab/>
      </w:r>
      <w:r w:rsidR="00661A41" w:rsidRPr="007D19EF">
        <w:rPr>
          <w:noProof/>
        </w:rPr>
        <w:t>Много от съкратените работници имат специфични умения в областта на производството и инженерството на акумулаторни батерии. Може да са необходими целенасочени мерки, за да се помогне на тези хора да намерят нови длъжности в други разрастващи се отрасли в региона. Обучението и повишаването на квалификацията ще бъдат ключът към смекчаване на дългосрочните последици за безработицата.</w:t>
      </w:r>
      <w:bookmarkEnd w:id="5"/>
    </w:p>
    <w:p w:rsidR="001A62D7" w:rsidRPr="007D19EF" w:rsidRDefault="001A62D7" w:rsidP="001A62D7">
      <w:pPr>
        <w:pStyle w:val="ManualHeading2"/>
        <w:rPr>
          <w:noProof/>
        </w:rPr>
      </w:pPr>
      <w:r w:rsidRPr="007D19EF">
        <w:rPr>
          <w:noProof/>
        </w:rPr>
        <w:t>Прилагане на Рамката за качество на ЕС за предвиждане на промените и преструктуриране</w:t>
      </w:r>
    </w:p>
    <w:p w:rsidR="001A62D7" w:rsidRPr="007D19EF" w:rsidRDefault="00B83420" w:rsidP="00B83420">
      <w:pPr>
        <w:pStyle w:val="ManualNumPar1"/>
        <w:rPr>
          <w:noProof/>
        </w:rPr>
      </w:pPr>
      <w:r w:rsidRPr="00B83420">
        <w:rPr>
          <w:noProof/>
        </w:rPr>
        <w:t>25.</w:t>
      </w:r>
      <w:r w:rsidRPr="00B83420">
        <w:rPr>
          <w:noProof/>
        </w:rPr>
        <w:tab/>
      </w:r>
      <w:r w:rsidR="00307EA7" w:rsidRPr="007D19EF">
        <w:rPr>
          <w:noProof/>
        </w:rPr>
        <w:t xml:space="preserve">Швеция описа по какъв начин са взети предвид препоръките, изложени в Рамката за качество на ЕС за предвиждане на промените и преструктуриране: преди изпадането му в несъстоятелност Northvolt е осигурявало дейности за подпомагане за част от работната си сила, засегната неблагоприятно от мащабното преструктуриране през есента на 2024 г. Предприятието е сключило колективен трудов договор със синдикатите. На гражданите на трети държави, чиито разрешения за работа и пребиваване зависят от трудовия им договор, са предложени пакети за преместване. </w:t>
      </w:r>
    </w:p>
    <w:p w:rsidR="00AA173A" w:rsidRPr="007D19EF" w:rsidRDefault="00B83420" w:rsidP="00B83420">
      <w:pPr>
        <w:pStyle w:val="ManualNumPar1"/>
        <w:rPr>
          <w:noProof/>
        </w:rPr>
      </w:pPr>
      <w:r w:rsidRPr="00B83420">
        <w:rPr>
          <w:noProof/>
        </w:rPr>
        <w:t>26.</w:t>
      </w:r>
      <w:r w:rsidRPr="00B83420">
        <w:rPr>
          <w:noProof/>
        </w:rPr>
        <w:tab/>
      </w:r>
      <w:r w:rsidR="00AA173A" w:rsidRPr="007D19EF">
        <w:rPr>
          <w:noProof/>
        </w:rPr>
        <w:t>Що се отнася до дейностите, предприети за подпомагане на съкратените работници, Швеция докладва, че работниците са били подпомогнати от шведските съвети за сигурност на работните места TRR и TSL</w:t>
      </w:r>
      <w:r w:rsidR="00AA173A" w:rsidRPr="007D19EF">
        <w:rPr>
          <w:rStyle w:val="FootnoteReference"/>
          <w:noProof/>
        </w:rPr>
        <w:footnoteReference w:id="11"/>
      </w:r>
      <w:r w:rsidR="00AA173A" w:rsidRPr="007D19EF">
        <w:rPr>
          <w:noProof/>
        </w:rPr>
        <w:t>. Тези субекти са създадени чрез колективни трудови договори между организации на работодатели и организации на служителите, за да се финансира подкрепа за прехода за служителите, засегнати от съкращения на работни места. Не са обхванати обаче лицата с недостатъчен трудов стаж и гражданите на трети държави, които нямат право на постоянно пребиваване.</w:t>
      </w:r>
    </w:p>
    <w:p w:rsidR="001A62D7" w:rsidRPr="007D19EF" w:rsidRDefault="001A62D7" w:rsidP="001A62D7">
      <w:pPr>
        <w:pStyle w:val="ManualHeading3"/>
        <w:rPr>
          <w:noProof/>
        </w:rPr>
      </w:pPr>
      <w:r w:rsidRPr="007D19EF">
        <w:rPr>
          <w:noProof/>
        </w:rPr>
        <w:t>Допълване с действия, финансирани с национални средства или със средства от Съюза</w:t>
      </w:r>
    </w:p>
    <w:p w:rsidR="001A62D7" w:rsidRPr="007D19EF" w:rsidRDefault="00B83420" w:rsidP="00B83420">
      <w:pPr>
        <w:pStyle w:val="ManualNumPar1"/>
        <w:rPr>
          <w:noProof/>
        </w:rPr>
      </w:pPr>
      <w:r w:rsidRPr="00B83420">
        <w:rPr>
          <w:noProof/>
        </w:rPr>
        <w:t>27.</w:t>
      </w:r>
      <w:r w:rsidRPr="00B83420">
        <w:rPr>
          <w:noProof/>
        </w:rPr>
        <w:tab/>
      </w:r>
      <w:r w:rsidR="00307EA7" w:rsidRPr="007D19EF">
        <w:rPr>
          <w:noProof/>
        </w:rPr>
        <w:t>Швеция потвърди, че описаните по-долу мерки, за които се предоставя финансов принос от ЕФПГ, няма да се ползват от финансов принос по линия на други финансови инструменти на Съюза.</w:t>
      </w:r>
    </w:p>
    <w:p w:rsidR="001A62D7" w:rsidRPr="007D19EF" w:rsidRDefault="00B83420" w:rsidP="00B83420">
      <w:pPr>
        <w:pStyle w:val="ManualNumPar1"/>
        <w:rPr>
          <w:noProof/>
        </w:rPr>
      </w:pPr>
      <w:r w:rsidRPr="00B83420">
        <w:rPr>
          <w:noProof/>
        </w:rPr>
        <w:t>28.</w:t>
      </w:r>
      <w:r w:rsidRPr="00B83420">
        <w:rPr>
          <w:noProof/>
        </w:rPr>
        <w:tab/>
      </w:r>
      <w:r w:rsidR="001A62D7" w:rsidRPr="007D19EF">
        <w:rPr>
          <w:noProof/>
        </w:rPr>
        <w:t xml:space="preserve">Съгласуваният пакет от персонализирани услуги допълва действията, финансирани с национални или частни средства, а именно редовния набор от мерки, предлагани от публичната служба по заетостта, както и мерките, предлагани от шведските съвети за сигурност на работните места TRR и TSL. Той се допълва и от други фондове на ЕС, тъй като беше публикувана покана за представяне на предложения в рамките на националната програма по ЕСФ+ за насърчаване на изграждането на капацитет в засегнатия регион с цел съживяване на пазара на труда. </w:t>
      </w:r>
    </w:p>
    <w:p w:rsidR="001A62D7" w:rsidRPr="007D19EF" w:rsidRDefault="001A62D7" w:rsidP="001A62D7">
      <w:pPr>
        <w:pStyle w:val="ManualHeading3"/>
        <w:tabs>
          <w:tab w:val="clear" w:pos="850"/>
          <w:tab w:val="left" w:pos="0"/>
        </w:tabs>
        <w:ind w:left="0" w:firstLine="0"/>
        <w:rPr>
          <w:noProof/>
          <w:u w:val="single"/>
        </w:rPr>
      </w:pPr>
      <w:r w:rsidRPr="007D19EF">
        <w:rPr>
          <w:noProof/>
        </w:rPr>
        <w:t>Процедури за провеждане на консултации с бенефициерите от целевата група, с техните представители или със социалните партньори, както и с местните и регионалните органи</w:t>
      </w:r>
    </w:p>
    <w:p w:rsidR="001A62D7" w:rsidRPr="007D19EF" w:rsidRDefault="00B83420" w:rsidP="00B83420">
      <w:pPr>
        <w:pStyle w:val="ManualNumPar1"/>
        <w:rPr>
          <w:noProof/>
        </w:rPr>
      </w:pPr>
      <w:r w:rsidRPr="00B83420">
        <w:rPr>
          <w:noProof/>
        </w:rPr>
        <w:t>29.</w:t>
      </w:r>
      <w:r w:rsidRPr="00B83420">
        <w:rPr>
          <w:noProof/>
        </w:rPr>
        <w:tab/>
      </w:r>
      <w:r w:rsidR="00B82734" w:rsidRPr="007D19EF">
        <w:rPr>
          <w:noProof/>
        </w:rPr>
        <w:t>Швеция посочи, че съгласуваният пакет от персонализирани услуги е изготвен след консултации със синдикати в качеството им на представители на бенефициерите от целевата група, както и със социалните партньори, в съответствие с член 7, параграф 4 от Регламент (ЕС) 2021/691. На 22 октомври 2024 г. се проведе първата среща между предприятието, извършващо съкращенията, синдикатите, публичната служба по заетостта, както и шведските съвети за сигурност на работните места TRR и TSL. По време на тази среща беше създадена работна група с представители на тези организации.</w:t>
      </w:r>
    </w:p>
    <w:p w:rsidR="001A62D7" w:rsidRPr="007D19EF" w:rsidRDefault="00B83420" w:rsidP="00B83420">
      <w:pPr>
        <w:pStyle w:val="ManualNumPar1"/>
        <w:rPr>
          <w:noProof/>
        </w:rPr>
      </w:pPr>
      <w:r w:rsidRPr="00B83420">
        <w:rPr>
          <w:noProof/>
        </w:rPr>
        <w:t>30.</w:t>
      </w:r>
      <w:r w:rsidRPr="00B83420">
        <w:rPr>
          <w:noProof/>
        </w:rPr>
        <w:tab/>
      </w:r>
      <w:r w:rsidR="005832F1" w:rsidRPr="007D19EF">
        <w:rPr>
          <w:noProof/>
        </w:rPr>
        <w:t xml:space="preserve"> Работната група постигна съгласие и по заявлението за помощ по ЕФПГ, както и по изготвянето на пакет от мерки в съответствие със стратегиите за местно и регионално развитие и нуждите на работодателите.</w:t>
      </w:r>
    </w:p>
    <w:p w:rsidR="001A62D7" w:rsidRPr="007D19EF" w:rsidRDefault="001A62D7" w:rsidP="001A62D7">
      <w:pPr>
        <w:pStyle w:val="ManualHeading2"/>
        <w:rPr>
          <w:noProof/>
        </w:rPr>
      </w:pPr>
      <w:r w:rsidRPr="007D19EF">
        <w:rPr>
          <w:noProof/>
        </w:rPr>
        <w:t>Бенефициери от целевата група и предложени мерки</w:t>
      </w:r>
    </w:p>
    <w:p w:rsidR="001A62D7" w:rsidRPr="007D19EF" w:rsidRDefault="001A62D7" w:rsidP="001A62D7">
      <w:pPr>
        <w:pStyle w:val="ManualHeading3"/>
        <w:rPr>
          <w:noProof/>
        </w:rPr>
      </w:pPr>
      <w:r w:rsidRPr="007D19EF">
        <w:rPr>
          <w:noProof/>
        </w:rPr>
        <w:t>Бенефициери от целевата група</w:t>
      </w:r>
    </w:p>
    <w:p w:rsidR="001A62D7" w:rsidRPr="007D19EF" w:rsidRDefault="00B83420" w:rsidP="00B83420">
      <w:pPr>
        <w:pStyle w:val="ManualNumPar1"/>
        <w:rPr>
          <w:noProof/>
        </w:rPr>
      </w:pPr>
      <w:r w:rsidRPr="00B83420">
        <w:rPr>
          <w:noProof/>
        </w:rPr>
        <w:t>31.</w:t>
      </w:r>
      <w:r w:rsidRPr="00B83420">
        <w:rPr>
          <w:noProof/>
        </w:rPr>
        <w:tab/>
      </w:r>
      <w:r w:rsidR="001A62D7" w:rsidRPr="007D19EF">
        <w:rPr>
          <w:noProof/>
        </w:rPr>
        <w:t>Прогнозният брой на съкратените работници, които се очаква да вземат участие в мерките, е 5 800. В съответствие с член 8, параграф 7, буква е) от Регламент (ЕС) 2021/691 предоставената разбивка на състава на тези работници по пол, възрастова група и образователно равнище е, както следва:</w:t>
      </w:r>
    </w:p>
    <w:tbl>
      <w:tblPr>
        <w:tblW w:w="0" w:type="auto"/>
        <w:jc w:val="center"/>
        <w:tblLook w:val="04A0" w:firstRow="1" w:lastRow="0" w:firstColumn="1" w:lastColumn="0" w:noHBand="0" w:noVBand="1"/>
      </w:tblPr>
      <w:tblGrid>
        <w:gridCol w:w="1739"/>
        <w:gridCol w:w="1743"/>
        <w:gridCol w:w="629"/>
        <w:gridCol w:w="867"/>
        <w:gridCol w:w="1176"/>
      </w:tblGrid>
      <w:tr w:rsidR="001A62D7" w:rsidRPr="007D19EF" w:rsidTr="00FA24FD">
        <w:trPr>
          <w:jc w:val="center"/>
        </w:trPr>
        <w:tc>
          <w:tcPr>
            <w:tcW w:w="3482" w:type="dxa"/>
            <w:gridSpan w:val="2"/>
            <w:tcBorders>
              <w:top w:val="single" w:sz="4" w:space="0" w:color="auto"/>
              <w:left w:val="nil"/>
              <w:bottom w:val="single" w:sz="4" w:space="0" w:color="auto"/>
              <w:right w:val="nil"/>
            </w:tcBorders>
            <w:hideMark/>
          </w:tcPr>
          <w:p w:rsidR="001A62D7" w:rsidRPr="007D19EF" w:rsidRDefault="001A62D7" w:rsidP="00052CC7">
            <w:pPr>
              <w:spacing w:before="60" w:after="60"/>
              <w:jc w:val="center"/>
              <w:rPr>
                <w:noProof/>
              </w:rPr>
            </w:pPr>
            <w:r w:rsidRPr="007D19EF">
              <w:rPr>
                <w:noProof/>
              </w:rPr>
              <w:t>Категория</w:t>
            </w:r>
          </w:p>
        </w:tc>
        <w:tc>
          <w:tcPr>
            <w:tcW w:w="2672" w:type="dxa"/>
            <w:gridSpan w:val="3"/>
            <w:tcBorders>
              <w:top w:val="single" w:sz="4" w:space="0" w:color="auto"/>
              <w:left w:val="nil"/>
              <w:bottom w:val="single" w:sz="4" w:space="0" w:color="auto"/>
              <w:right w:val="nil"/>
            </w:tcBorders>
            <w:hideMark/>
          </w:tcPr>
          <w:p w:rsidR="001A62D7" w:rsidRPr="007D19EF" w:rsidRDefault="001A62D7" w:rsidP="00052CC7">
            <w:pPr>
              <w:spacing w:before="60" w:after="60"/>
              <w:jc w:val="center"/>
              <w:rPr>
                <w:noProof/>
              </w:rPr>
            </w:pPr>
            <w:r w:rsidRPr="007D19EF">
              <w:rPr>
                <w:noProof/>
              </w:rPr>
              <w:t xml:space="preserve">Брой на </w:t>
            </w:r>
            <w:r w:rsidRPr="007D19EF">
              <w:rPr>
                <w:noProof/>
              </w:rPr>
              <w:br/>
              <w:t>очакваните бенефициери</w:t>
            </w:r>
          </w:p>
        </w:tc>
      </w:tr>
      <w:tr w:rsidR="001A62D7" w:rsidRPr="007D19EF" w:rsidTr="00FA24FD">
        <w:trPr>
          <w:jc w:val="center"/>
        </w:trPr>
        <w:tc>
          <w:tcPr>
            <w:tcW w:w="1739" w:type="dxa"/>
            <w:tcBorders>
              <w:top w:val="single" w:sz="4" w:space="0" w:color="auto"/>
              <w:left w:val="nil"/>
              <w:right w:val="nil"/>
            </w:tcBorders>
            <w:hideMark/>
          </w:tcPr>
          <w:p w:rsidR="001A62D7" w:rsidRPr="007D19EF" w:rsidRDefault="001A62D7" w:rsidP="00052CC7">
            <w:pPr>
              <w:spacing w:before="60" w:after="60"/>
              <w:rPr>
                <w:noProof/>
              </w:rPr>
            </w:pPr>
            <w:r w:rsidRPr="007D19EF">
              <w:rPr>
                <w:noProof/>
              </w:rPr>
              <w:t>Пол:</w:t>
            </w:r>
          </w:p>
        </w:tc>
        <w:tc>
          <w:tcPr>
            <w:tcW w:w="2372" w:type="dxa"/>
            <w:gridSpan w:val="2"/>
            <w:tcBorders>
              <w:top w:val="single" w:sz="4" w:space="0" w:color="auto"/>
              <w:left w:val="nil"/>
              <w:right w:val="nil"/>
            </w:tcBorders>
            <w:hideMark/>
          </w:tcPr>
          <w:p w:rsidR="001A62D7" w:rsidRPr="007D19EF" w:rsidRDefault="001A62D7" w:rsidP="00052CC7">
            <w:pPr>
              <w:spacing w:before="60" w:after="60"/>
              <w:rPr>
                <w:noProof/>
              </w:rPr>
            </w:pPr>
            <w:r w:rsidRPr="007D19EF">
              <w:rPr>
                <w:noProof/>
              </w:rPr>
              <w:t>Мъже:</w:t>
            </w:r>
          </w:p>
        </w:tc>
        <w:tc>
          <w:tcPr>
            <w:tcW w:w="867" w:type="dxa"/>
            <w:tcBorders>
              <w:top w:val="single" w:sz="4" w:space="0" w:color="auto"/>
              <w:left w:val="nil"/>
              <w:right w:val="nil"/>
            </w:tcBorders>
            <w:hideMark/>
          </w:tcPr>
          <w:p w:rsidR="001A62D7" w:rsidRPr="007D19EF" w:rsidRDefault="000C31DE" w:rsidP="00052CC7">
            <w:pPr>
              <w:spacing w:before="60" w:after="60"/>
              <w:jc w:val="right"/>
              <w:rPr>
                <w:noProof/>
              </w:rPr>
            </w:pPr>
            <w:r w:rsidRPr="007D19EF">
              <w:rPr>
                <w:noProof/>
              </w:rPr>
              <w:t>4126</w:t>
            </w:r>
          </w:p>
        </w:tc>
        <w:tc>
          <w:tcPr>
            <w:tcW w:w="1176" w:type="dxa"/>
            <w:tcBorders>
              <w:top w:val="single" w:sz="4" w:space="0" w:color="auto"/>
              <w:left w:val="nil"/>
              <w:right w:val="nil"/>
            </w:tcBorders>
            <w:hideMark/>
          </w:tcPr>
          <w:p w:rsidR="001A62D7" w:rsidRPr="007D19EF" w:rsidRDefault="001A62D7" w:rsidP="00052CC7">
            <w:pPr>
              <w:spacing w:before="60" w:after="60"/>
              <w:jc w:val="right"/>
              <w:rPr>
                <w:noProof/>
              </w:rPr>
            </w:pPr>
            <w:r w:rsidRPr="007D19EF">
              <w:rPr>
                <w:noProof/>
              </w:rPr>
              <w:t>(71,1 %)</w:t>
            </w:r>
          </w:p>
        </w:tc>
      </w:tr>
      <w:tr w:rsidR="001A62D7" w:rsidRPr="007D19EF" w:rsidTr="00FA24FD">
        <w:trPr>
          <w:jc w:val="center"/>
        </w:trPr>
        <w:tc>
          <w:tcPr>
            <w:tcW w:w="1739" w:type="dxa"/>
            <w:tcBorders>
              <w:top w:val="nil"/>
              <w:left w:val="nil"/>
              <w:right w:val="nil"/>
            </w:tcBorders>
          </w:tcPr>
          <w:p w:rsidR="001A62D7" w:rsidRPr="007D19EF" w:rsidRDefault="001A62D7" w:rsidP="00052CC7">
            <w:pPr>
              <w:spacing w:before="60" w:after="60"/>
              <w:rPr>
                <w:noProof/>
              </w:rPr>
            </w:pPr>
          </w:p>
        </w:tc>
        <w:tc>
          <w:tcPr>
            <w:tcW w:w="2372" w:type="dxa"/>
            <w:gridSpan w:val="2"/>
            <w:tcBorders>
              <w:top w:val="nil"/>
              <w:left w:val="nil"/>
              <w:right w:val="nil"/>
            </w:tcBorders>
          </w:tcPr>
          <w:p w:rsidR="001A62D7" w:rsidRPr="007D19EF" w:rsidRDefault="001A62D7" w:rsidP="00052CC7">
            <w:pPr>
              <w:spacing w:before="60" w:after="60"/>
              <w:rPr>
                <w:rFonts w:eastAsia="Calibri"/>
                <w:noProof/>
              </w:rPr>
            </w:pPr>
            <w:r w:rsidRPr="007D19EF">
              <w:rPr>
                <w:noProof/>
              </w:rPr>
              <w:t>Жени:</w:t>
            </w:r>
          </w:p>
        </w:tc>
        <w:tc>
          <w:tcPr>
            <w:tcW w:w="867" w:type="dxa"/>
          </w:tcPr>
          <w:p w:rsidR="001A62D7" w:rsidRPr="007D19EF" w:rsidRDefault="000C31DE" w:rsidP="00052CC7">
            <w:pPr>
              <w:spacing w:before="60" w:after="60"/>
              <w:jc w:val="right"/>
              <w:rPr>
                <w:noProof/>
              </w:rPr>
            </w:pPr>
            <w:r w:rsidRPr="007D19EF">
              <w:rPr>
                <w:noProof/>
              </w:rPr>
              <w:t>1674</w:t>
            </w:r>
          </w:p>
        </w:tc>
        <w:tc>
          <w:tcPr>
            <w:tcW w:w="1176" w:type="dxa"/>
          </w:tcPr>
          <w:p w:rsidR="001A62D7" w:rsidRPr="007D19EF" w:rsidRDefault="001A62D7" w:rsidP="00052CC7">
            <w:pPr>
              <w:spacing w:before="60" w:after="60"/>
              <w:jc w:val="right"/>
              <w:rPr>
                <w:rFonts w:eastAsia="Calibri"/>
                <w:noProof/>
              </w:rPr>
            </w:pPr>
            <w:r w:rsidRPr="007D19EF">
              <w:rPr>
                <w:noProof/>
              </w:rPr>
              <w:t>(28,9 %)</w:t>
            </w:r>
          </w:p>
        </w:tc>
      </w:tr>
      <w:tr w:rsidR="001A62D7" w:rsidRPr="007D19EF" w:rsidTr="00FA24FD">
        <w:trPr>
          <w:jc w:val="center"/>
        </w:trPr>
        <w:tc>
          <w:tcPr>
            <w:tcW w:w="1739" w:type="dxa"/>
            <w:tcBorders>
              <w:left w:val="nil"/>
              <w:bottom w:val="single" w:sz="4" w:space="0" w:color="auto"/>
              <w:right w:val="nil"/>
            </w:tcBorders>
          </w:tcPr>
          <w:p w:rsidR="001A62D7" w:rsidRPr="007D19EF" w:rsidRDefault="001A62D7" w:rsidP="00052CC7">
            <w:pPr>
              <w:spacing w:before="60" w:after="60"/>
              <w:rPr>
                <w:noProof/>
              </w:rPr>
            </w:pPr>
          </w:p>
        </w:tc>
        <w:tc>
          <w:tcPr>
            <w:tcW w:w="2372" w:type="dxa"/>
            <w:gridSpan w:val="2"/>
            <w:tcBorders>
              <w:left w:val="nil"/>
              <w:bottom w:val="single" w:sz="4" w:space="0" w:color="auto"/>
              <w:right w:val="nil"/>
            </w:tcBorders>
          </w:tcPr>
          <w:p w:rsidR="001A62D7" w:rsidRPr="007D19EF" w:rsidRDefault="001A62D7" w:rsidP="00052CC7">
            <w:pPr>
              <w:spacing w:before="60" w:after="60"/>
              <w:rPr>
                <w:noProof/>
              </w:rPr>
            </w:pPr>
            <w:r w:rsidRPr="007D19EF">
              <w:rPr>
                <w:noProof/>
              </w:rPr>
              <w:t>Небинарни</w:t>
            </w:r>
          </w:p>
        </w:tc>
        <w:tc>
          <w:tcPr>
            <w:tcW w:w="867" w:type="dxa"/>
            <w:tcBorders>
              <w:bottom w:val="single" w:sz="4" w:space="0" w:color="auto"/>
            </w:tcBorders>
            <w:hideMark/>
          </w:tcPr>
          <w:p w:rsidR="001A62D7" w:rsidRPr="007D19EF" w:rsidRDefault="000C31DE" w:rsidP="00052CC7">
            <w:pPr>
              <w:spacing w:before="60" w:after="60"/>
              <w:jc w:val="right"/>
              <w:rPr>
                <w:noProof/>
              </w:rPr>
            </w:pPr>
            <w:r w:rsidRPr="007D19EF">
              <w:rPr>
                <w:noProof/>
              </w:rPr>
              <w:t>0</w:t>
            </w:r>
          </w:p>
        </w:tc>
        <w:tc>
          <w:tcPr>
            <w:tcW w:w="1176" w:type="dxa"/>
            <w:tcBorders>
              <w:bottom w:val="single" w:sz="4" w:space="0" w:color="auto"/>
            </w:tcBorders>
            <w:hideMark/>
          </w:tcPr>
          <w:p w:rsidR="001A62D7" w:rsidRPr="007D19EF" w:rsidRDefault="001A62D7" w:rsidP="00052CC7">
            <w:pPr>
              <w:spacing w:before="60" w:after="60"/>
              <w:jc w:val="right"/>
              <w:rPr>
                <w:noProof/>
              </w:rPr>
            </w:pPr>
            <w:r w:rsidRPr="007D19EF">
              <w:rPr>
                <w:noProof/>
              </w:rPr>
              <w:t>(0 %)</w:t>
            </w:r>
          </w:p>
        </w:tc>
      </w:tr>
      <w:tr w:rsidR="001A62D7" w:rsidRPr="007D19EF" w:rsidTr="00FA24FD">
        <w:trPr>
          <w:jc w:val="center"/>
        </w:trPr>
        <w:tc>
          <w:tcPr>
            <w:tcW w:w="1739" w:type="dxa"/>
            <w:tcBorders>
              <w:top w:val="single" w:sz="4" w:space="0" w:color="auto"/>
              <w:left w:val="nil"/>
              <w:bottom w:val="nil"/>
              <w:right w:val="nil"/>
            </w:tcBorders>
            <w:hideMark/>
          </w:tcPr>
          <w:p w:rsidR="001A62D7" w:rsidRPr="007D19EF" w:rsidRDefault="001A62D7" w:rsidP="00052CC7">
            <w:pPr>
              <w:spacing w:before="60" w:after="60"/>
              <w:rPr>
                <w:noProof/>
              </w:rPr>
            </w:pPr>
            <w:r w:rsidRPr="007D19EF">
              <w:rPr>
                <w:noProof/>
              </w:rPr>
              <w:t>Възрастова група:</w:t>
            </w:r>
          </w:p>
        </w:tc>
        <w:tc>
          <w:tcPr>
            <w:tcW w:w="2372" w:type="dxa"/>
            <w:gridSpan w:val="2"/>
            <w:tcBorders>
              <w:top w:val="single" w:sz="4" w:space="0" w:color="auto"/>
              <w:left w:val="nil"/>
              <w:bottom w:val="nil"/>
              <w:right w:val="nil"/>
            </w:tcBorders>
            <w:hideMark/>
          </w:tcPr>
          <w:p w:rsidR="001A62D7" w:rsidRPr="007D19EF" w:rsidRDefault="001A62D7" w:rsidP="00052CC7">
            <w:pPr>
              <w:spacing w:before="60" w:after="60"/>
              <w:rPr>
                <w:noProof/>
              </w:rPr>
            </w:pPr>
            <w:r w:rsidRPr="007D19EF">
              <w:rPr>
                <w:noProof/>
              </w:rPr>
              <w:t>Под 30 години:</w:t>
            </w:r>
          </w:p>
        </w:tc>
        <w:tc>
          <w:tcPr>
            <w:tcW w:w="867" w:type="dxa"/>
            <w:tcBorders>
              <w:top w:val="single" w:sz="4" w:space="0" w:color="auto"/>
            </w:tcBorders>
            <w:hideMark/>
          </w:tcPr>
          <w:p w:rsidR="001A62D7" w:rsidRPr="007D19EF" w:rsidRDefault="000C31DE" w:rsidP="00052CC7">
            <w:pPr>
              <w:spacing w:before="60" w:after="60"/>
              <w:jc w:val="right"/>
              <w:rPr>
                <w:noProof/>
              </w:rPr>
            </w:pPr>
            <w:r w:rsidRPr="007D19EF">
              <w:rPr>
                <w:noProof/>
              </w:rPr>
              <w:t>1682</w:t>
            </w:r>
          </w:p>
        </w:tc>
        <w:tc>
          <w:tcPr>
            <w:tcW w:w="1176" w:type="dxa"/>
            <w:tcBorders>
              <w:top w:val="single" w:sz="4" w:space="0" w:color="auto"/>
            </w:tcBorders>
            <w:hideMark/>
          </w:tcPr>
          <w:p w:rsidR="001A62D7" w:rsidRPr="007D19EF" w:rsidRDefault="001A62D7" w:rsidP="00052CC7">
            <w:pPr>
              <w:spacing w:before="60" w:after="60"/>
              <w:jc w:val="right"/>
              <w:rPr>
                <w:noProof/>
              </w:rPr>
            </w:pPr>
            <w:r w:rsidRPr="007D19EF">
              <w:rPr>
                <w:noProof/>
              </w:rPr>
              <w:t>(29,0 %)</w:t>
            </w:r>
          </w:p>
        </w:tc>
      </w:tr>
      <w:tr w:rsidR="001A62D7" w:rsidRPr="007D19EF" w:rsidTr="00FA24FD">
        <w:trPr>
          <w:jc w:val="center"/>
        </w:trPr>
        <w:tc>
          <w:tcPr>
            <w:tcW w:w="1739" w:type="dxa"/>
          </w:tcPr>
          <w:p w:rsidR="001A62D7" w:rsidRPr="007D19EF" w:rsidRDefault="001A62D7" w:rsidP="00052CC7">
            <w:pPr>
              <w:spacing w:before="60" w:after="60"/>
              <w:rPr>
                <w:noProof/>
              </w:rPr>
            </w:pPr>
          </w:p>
        </w:tc>
        <w:tc>
          <w:tcPr>
            <w:tcW w:w="2372" w:type="dxa"/>
            <w:gridSpan w:val="2"/>
            <w:hideMark/>
          </w:tcPr>
          <w:p w:rsidR="001A62D7" w:rsidRPr="007D19EF" w:rsidRDefault="001A62D7" w:rsidP="00052CC7">
            <w:pPr>
              <w:spacing w:before="60" w:after="60"/>
              <w:rPr>
                <w:noProof/>
              </w:rPr>
            </w:pPr>
            <w:r w:rsidRPr="007D19EF">
              <w:rPr>
                <w:noProof/>
              </w:rPr>
              <w:t>30—54 години:</w:t>
            </w:r>
          </w:p>
        </w:tc>
        <w:tc>
          <w:tcPr>
            <w:tcW w:w="867" w:type="dxa"/>
            <w:hideMark/>
          </w:tcPr>
          <w:p w:rsidR="001A62D7" w:rsidRPr="007D19EF" w:rsidRDefault="000C31DE" w:rsidP="00052CC7">
            <w:pPr>
              <w:spacing w:before="60" w:after="60"/>
              <w:jc w:val="right"/>
              <w:rPr>
                <w:noProof/>
              </w:rPr>
            </w:pPr>
            <w:r w:rsidRPr="007D19EF">
              <w:rPr>
                <w:noProof/>
              </w:rPr>
              <w:t>3944</w:t>
            </w:r>
          </w:p>
        </w:tc>
        <w:tc>
          <w:tcPr>
            <w:tcW w:w="1176" w:type="dxa"/>
            <w:hideMark/>
          </w:tcPr>
          <w:p w:rsidR="001A62D7" w:rsidRPr="007D19EF" w:rsidRDefault="001A62D7" w:rsidP="00052CC7">
            <w:pPr>
              <w:spacing w:before="60" w:after="60"/>
              <w:jc w:val="right"/>
              <w:rPr>
                <w:noProof/>
              </w:rPr>
            </w:pPr>
            <w:r w:rsidRPr="007D19EF">
              <w:rPr>
                <w:noProof/>
              </w:rPr>
              <w:t>(68,0 %)</w:t>
            </w:r>
          </w:p>
        </w:tc>
      </w:tr>
      <w:tr w:rsidR="001A62D7" w:rsidRPr="007D19EF" w:rsidTr="00FA24FD">
        <w:trPr>
          <w:jc w:val="center"/>
        </w:trPr>
        <w:tc>
          <w:tcPr>
            <w:tcW w:w="1739" w:type="dxa"/>
          </w:tcPr>
          <w:p w:rsidR="001A62D7" w:rsidRPr="007D19EF" w:rsidRDefault="001A62D7" w:rsidP="00052CC7">
            <w:pPr>
              <w:spacing w:before="60" w:after="60"/>
              <w:rPr>
                <w:noProof/>
              </w:rPr>
            </w:pPr>
          </w:p>
        </w:tc>
        <w:tc>
          <w:tcPr>
            <w:tcW w:w="2372" w:type="dxa"/>
            <w:gridSpan w:val="2"/>
            <w:hideMark/>
          </w:tcPr>
          <w:p w:rsidR="001A62D7" w:rsidRPr="007D19EF" w:rsidRDefault="001A62D7" w:rsidP="00052CC7">
            <w:pPr>
              <w:spacing w:before="60" w:after="60"/>
              <w:jc w:val="left"/>
              <w:rPr>
                <w:noProof/>
              </w:rPr>
            </w:pPr>
            <w:r w:rsidRPr="007D19EF">
              <w:rPr>
                <w:noProof/>
              </w:rPr>
              <w:t>Над 54 години:</w:t>
            </w:r>
          </w:p>
        </w:tc>
        <w:tc>
          <w:tcPr>
            <w:tcW w:w="867" w:type="dxa"/>
            <w:hideMark/>
          </w:tcPr>
          <w:p w:rsidR="001A62D7" w:rsidRPr="007D19EF" w:rsidRDefault="000C31DE" w:rsidP="00052CC7">
            <w:pPr>
              <w:spacing w:before="60" w:after="60"/>
              <w:jc w:val="right"/>
              <w:rPr>
                <w:noProof/>
              </w:rPr>
            </w:pPr>
            <w:r w:rsidRPr="007D19EF">
              <w:rPr>
                <w:noProof/>
              </w:rPr>
              <w:t>174</w:t>
            </w:r>
          </w:p>
        </w:tc>
        <w:tc>
          <w:tcPr>
            <w:tcW w:w="1176" w:type="dxa"/>
            <w:hideMark/>
          </w:tcPr>
          <w:p w:rsidR="001A62D7" w:rsidRPr="007D19EF" w:rsidRDefault="001A62D7" w:rsidP="00052CC7">
            <w:pPr>
              <w:spacing w:before="60" w:after="60"/>
              <w:jc w:val="right"/>
              <w:rPr>
                <w:noProof/>
              </w:rPr>
            </w:pPr>
            <w:r w:rsidRPr="007D19EF">
              <w:rPr>
                <w:noProof/>
              </w:rPr>
              <w:t>(3,0 %)</w:t>
            </w:r>
          </w:p>
        </w:tc>
      </w:tr>
      <w:tr w:rsidR="001A62D7" w:rsidRPr="007D19EF" w:rsidTr="00FA24FD">
        <w:trPr>
          <w:jc w:val="center"/>
        </w:trPr>
        <w:tc>
          <w:tcPr>
            <w:tcW w:w="1739" w:type="dxa"/>
            <w:tcBorders>
              <w:top w:val="single" w:sz="4" w:space="0" w:color="auto"/>
              <w:left w:val="nil"/>
              <w:bottom w:val="nil"/>
              <w:right w:val="nil"/>
            </w:tcBorders>
          </w:tcPr>
          <w:p w:rsidR="001A62D7" w:rsidRPr="007D19EF" w:rsidRDefault="001A62D7" w:rsidP="00052CC7">
            <w:pPr>
              <w:spacing w:before="60" w:after="60"/>
              <w:rPr>
                <w:noProof/>
              </w:rPr>
            </w:pPr>
            <w:r w:rsidRPr="007D19EF">
              <w:rPr>
                <w:noProof/>
              </w:rPr>
              <w:t>Образователна степен</w:t>
            </w:r>
          </w:p>
        </w:tc>
        <w:tc>
          <w:tcPr>
            <w:tcW w:w="2372" w:type="dxa"/>
            <w:gridSpan w:val="2"/>
            <w:tcBorders>
              <w:top w:val="single" w:sz="4" w:space="0" w:color="auto"/>
              <w:left w:val="nil"/>
              <w:bottom w:val="nil"/>
              <w:right w:val="nil"/>
            </w:tcBorders>
          </w:tcPr>
          <w:p w:rsidR="001A62D7" w:rsidRPr="007D19EF" w:rsidRDefault="001A62D7" w:rsidP="00052CC7">
            <w:pPr>
              <w:spacing w:before="60" w:after="60"/>
              <w:rPr>
                <w:noProof/>
              </w:rPr>
            </w:pPr>
            <w:r w:rsidRPr="007D19EF">
              <w:rPr>
                <w:noProof/>
              </w:rPr>
              <w:t>Прогимназиален етап на основното образование или по-ниска образователна степен</w:t>
            </w:r>
            <w:r w:rsidRPr="007D19EF">
              <w:rPr>
                <w:rStyle w:val="FootnoteReference"/>
                <w:noProof/>
              </w:rPr>
              <w:footnoteReference w:id="12"/>
            </w:r>
            <w:r w:rsidRPr="007D19EF">
              <w:rPr>
                <w:noProof/>
              </w:rPr>
              <w:t xml:space="preserve"> </w:t>
            </w:r>
          </w:p>
        </w:tc>
        <w:tc>
          <w:tcPr>
            <w:tcW w:w="867" w:type="dxa"/>
            <w:tcBorders>
              <w:top w:val="single" w:sz="4" w:space="0" w:color="auto"/>
              <w:left w:val="nil"/>
              <w:bottom w:val="nil"/>
              <w:right w:val="nil"/>
            </w:tcBorders>
          </w:tcPr>
          <w:p w:rsidR="001A62D7" w:rsidRPr="007D19EF" w:rsidRDefault="000C31DE" w:rsidP="00052CC7">
            <w:pPr>
              <w:spacing w:before="60" w:after="60"/>
              <w:jc w:val="right"/>
              <w:rPr>
                <w:noProof/>
              </w:rPr>
            </w:pPr>
            <w:r w:rsidRPr="007D19EF">
              <w:rPr>
                <w:noProof/>
              </w:rPr>
              <w:t>348</w:t>
            </w:r>
          </w:p>
        </w:tc>
        <w:tc>
          <w:tcPr>
            <w:tcW w:w="1176" w:type="dxa"/>
            <w:tcBorders>
              <w:top w:val="single" w:sz="4" w:space="0" w:color="auto"/>
              <w:left w:val="nil"/>
              <w:bottom w:val="nil"/>
              <w:right w:val="nil"/>
            </w:tcBorders>
          </w:tcPr>
          <w:p w:rsidR="001A62D7" w:rsidRPr="007D19EF" w:rsidRDefault="001A62D7" w:rsidP="00052CC7">
            <w:pPr>
              <w:spacing w:before="60" w:after="60"/>
              <w:jc w:val="right"/>
              <w:rPr>
                <w:rFonts w:eastAsia="Calibri"/>
                <w:noProof/>
              </w:rPr>
            </w:pPr>
            <w:r w:rsidRPr="007D19EF">
              <w:rPr>
                <w:noProof/>
              </w:rPr>
              <w:t>(6,0 %)</w:t>
            </w:r>
          </w:p>
        </w:tc>
      </w:tr>
      <w:tr w:rsidR="001A62D7" w:rsidRPr="007D19EF" w:rsidTr="00FA24FD">
        <w:trPr>
          <w:jc w:val="center"/>
        </w:trPr>
        <w:tc>
          <w:tcPr>
            <w:tcW w:w="1739" w:type="dxa"/>
            <w:tcBorders>
              <w:top w:val="nil"/>
              <w:left w:val="nil"/>
              <w:right w:val="nil"/>
            </w:tcBorders>
          </w:tcPr>
          <w:p w:rsidR="001A62D7" w:rsidRPr="007D19EF" w:rsidRDefault="001A62D7" w:rsidP="00052CC7">
            <w:pPr>
              <w:spacing w:before="60" w:after="60"/>
              <w:rPr>
                <w:noProof/>
              </w:rPr>
            </w:pPr>
          </w:p>
        </w:tc>
        <w:tc>
          <w:tcPr>
            <w:tcW w:w="2372" w:type="dxa"/>
            <w:gridSpan w:val="2"/>
            <w:tcBorders>
              <w:top w:val="nil"/>
              <w:left w:val="nil"/>
              <w:right w:val="nil"/>
            </w:tcBorders>
          </w:tcPr>
          <w:p w:rsidR="001A62D7" w:rsidRPr="007D19EF" w:rsidRDefault="001A62D7" w:rsidP="00052CC7">
            <w:pPr>
              <w:spacing w:before="60" w:after="60"/>
              <w:rPr>
                <w:noProof/>
              </w:rPr>
            </w:pPr>
            <w:r w:rsidRPr="007D19EF">
              <w:rPr>
                <w:noProof/>
              </w:rPr>
              <w:t>Гимназиален етап на средното образование</w:t>
            </w:r>
            <w:r w:rsidRPr="007D19EF">
              <w:rPr>
                <w:rStyle w:val="FootnoteReference"/>
                <w:noProof/>
              </w:rPr>
              <w:footnoteReference w:id="13"/>
            </w:r>
            <w:r w:rsidRPr="007D19EF">
              <w:rPr>
                <w:noProof/>
              </w:rPr>
              <w:t xml:space="preserve"> или образование след средното образование</w:t>
            </w:r>
            <w:r w:rsidRPr="007D19EF">
              <w:rPr>
                <w:rStyle w:val="FootnoteReference"/>
                <w:noProof/>
              </w:rPr>
              <w:footnoteReference w:id="14"/>
            </w:r>
          </w:p>
        </w:tc>
        <w:tc>
          <w:tcPr>
            <w:tcW w:w="867" w:type="dxa"/>
            <w:tcBorders>
              <w:top w:val="nil"/>
              <w:left w:val="nil"/>
              <w:right w:val="nil"/>
            </w:tcBorders>
          </w:tcPr>
          <w:p w:rsidR="001A62D7" w:rsidRPr="007D19EF" w:rsidRDefault="000C31DE" w:rsidP="00052CC7">
            <w:pPr>
              <w:spacing w:before="60" w:after="60"/>
              <w:jc w:val="right"/>
              <w:rPr>
                <w:noProof/>
              </w:rPr>
            </w:pPr>
            <w:r w:rsidRPr="007D19EF">
              <w:rPr>
                <w:noProof/>
              </w:rPr>
              <w:t>1740</w:t>
            </w:r>
          </w:p>
        </w:tc>
        <w:tc>
          <w:tcPr>
            <w:tcW w:w="1176" w:type="dxa"/>
            <w:tcBorders>
              <w:top w:val="nil"/>
              <w:left w:val="nil"/>
              <w:right w:val="nil"/>
            </w:tcBorders>
          </w:tcPr>
          <w:p w:rsidR="001A62D7" w:rsidRPr="007D19EF" w:rsidRDefault="001A62D7" w:rsidP="00052CC7">
            <w:pPr>
              <w:spacing w:before="60" w:after="60"/>
              <w:jc w:val="right"/>
              <w:rPr>
                <w:rFonts w:eastAsia="Calibri"/>
                <w:noProof/>
              </w:rPr>
            </w:pPr>
            <w:r w:rsidRPr="007D19EF">
              <w:rPr>
                <w:noProof/>
              </w:rPr>
              <w:t>(30,0 %)</w:t>
            </w:r>
          </w:p>
        </w:tc>
      </w:tr>
      <w:tr w:rsidR="001A62D7" w:rsidRPr="007D19EF" w:rsidTr="00FA24FD">
        <w:trPr>
          <w:jc w:val="center"/>
        </w:trPr>
        <w:tc>
          <w:tcPr>
            <w:tcW w:w="1739" w:type="dxa"/>
            <w:tcBorders>
              <w:top w:val="nil"/>
              <w:left w:val="nil"/>
              <w:bottom w:val="single" w:sz="4" w:space="0" w:color="auto"/>
              <w:right w:val="nil"/>
            </w:tcBorders>
          </w:tcPr>
          <w:p w:rsidR="001A62D7" w:rsidRPr="007D19EF" w:rsidRDefault="001A62D7" w:rsidP="00052CC7">
            <w:pPr>
              <w:spacing w:before="60" w:after="60"/>
              <w:rPr>
                <w:noProof/>
              </w:rPr>
            </w:pPr>
          </w:p>
        </w:tc>
        <w:tc>
          <w:tcPr>
            <w:tcW w:w="2372" w:type="dxa"/>
            <w:gridSpan w:val="2"/>
            <w:tcBorders>
              <w:top w:val="nil"/>
              <w:left w:val="nil"/>
              <w:bottom w:val="single" w:sz="4" w:space="0" w:color="auto"/>
              <w:right w:val="nil"/>
            </w:tcBorders>
          </w:tcPr>
          <w:p w:rsidR="001A62D7" w:rsidRPr="007D19EF" w:rsidRDefault="001A62D7" w:rsidP="00052CC7">
            <w:pPr>
              <w:spacing w:before="60" w:after="60"/>
              <w:rPr>
                <w:noProof/>
              </w:rPr>
            </w:pPr>
            <w:r w:rsidRPr="007D19EF">
              <w:rPr>
                <w:noProof/>
              </w:rPr>
              <w:t>Висше образование</w:t>
            </w:r>
            <w:r w:rsidRPr="007D19EF">
              <w:rPr>
                <w:rStyle w:val="FootnoteReference"/>
                <w:noProof/>
              </w:rPr>
              <w:footnoteReference w:id="15"/>
            </w:r>
          </w:p>
        </w:tc>
        <w:tc>
          <w:tcPr>
            <w:tcW w:w="867" w:type="dxa"/>
            <w:tcBorders>
              <w:top w:val="nil"/>
              <w:left w:val="nil"/>
              <w:bottom w:val="single" w:sz="4" w:space="0" w:color="auto"/>
              <w:right w:val="nil"/>
            </w:tcBorders>
          </w:tcPr>
          <w:p w:rsidR="001A62D7" w:rsidRPr="007D19EF" w:rsidRDefault="000C31DE" w:rsidP="00052CC7">
            <w:pPr>
              <w:spacing w:before="60" w:after="60"/>
              <w:jc w:val="right"/>
              <w:rPr>
                <w:noProof/>
              </w:rPr>
            </w:pPr>
            <w:r w:rsidRPr="007D19EF">
              <w:rPr>
                <w:noProof/>
              </w:rPr>
              <w:t>3712</w:t>
            </w:r>
          </w:p>
        </w:tc>
        <w:tc>
          <w:tcPr>
            <w:tcW w:w="1176" w:type="dxa"/>
            <w:tcBorders>
              <w:top w:val="nil"/>
              <w:left w:val="nil"/>
              <w:bottom w:val="single" w:sz="4" w:space="0" w:color="auto"/>
              <w:right w:val="nil"/>
            </w:tcBorders>
          </w:tcPr>
          <w:p w:rsidR="001A62D7" w:rsidRPr="007D19EF" w:rsidRDefault="001A62D7" w:rsidP="00052CC7">
            <w:pPr>
              <w:spacing w:before="60" w:after="60"/>
              <w:jc w:val="right"/>
              <w:rPr>
                <w:rFonts w:eastAsia="Calibri"/>
                <w:noProof/>
              </w:rPr>
            </w:pPr>
            <w:r w:rsidRPr="007D19EF">
              <w:rPr>
                <w:noProof/>
              </w:rPr>
              <w:t>(64,0 %)</w:t>
            </w:r>
          </w:p>
        </w:tc>
      </w:tr>
    </w:tbl>
    <w:p w:rsidR="001A62D7" w:rsidRPr="007D19EF" w:rsidRDefault="001A62D7" w:rsidP="001A62D7">
      <w:pPr>
        <w:pStyle w:val="ManualHeading3"/>
        <w:rPr>
          <w:noProof/>
          <w:u w:val="single"/>
        </w:rPr>
      </w:pPr>
      <w:r w:rsidRPr="007D19EF">
        <w:rPr>
          <w:noProof/>
        </w:rPr>
        <w:t>Предложени мерки</w:t>
      </w:r>
    </w:p>
    <w:p w:rsidR="001A62D7" w:rsidRPr="007D19EF" w:rsidRDefault="00B83420" w:rsidP="00B83420">
      <w:pPr>
        <w:pStyle w:val="ManualNumPar1"/>
        <w:rPr>
          <w:noProof/>
        </w:rPr>
      </w:pPr>
      <w:bookmarkStart w:id="6" w:name="_Ref372214239"/>
      <w:r w:rsidRPr="00B83420">
        <w:rPr>
          <w:noProof/>
        </w:rPr>
        <w:t>32.</w:t>
      </w:r>
      <w:r w:rsidRPr="00B83420">
        <w:rPr>
          <w:noProof/>
        </w:rPr>
        <w:tab/>
      </w:r>
      <w:r w:rsidR="001A62D7" w:rsidRPr="007D19EF">
        <w:rPr>
          <w:noProof/>
        </w:rPr>
        <w:t xml:space="preserve">В съответствие с член 8, параграф 7, буква з) от Регламент (ЕС) 2021/691 персонализираният съгласуван пакет, който ще бъде предоставен на съкратените работници, се състои от следните мерки: </w:t>
      </w:r>
      <w:bookmarkEnd w:id="6"/>
    </w:p>
    <w:p w:rsidR="001A62D7" w:rsidRPr="007D19EF" w:rsidRDefault="007216F5" w:rsidP="001A62D7">
      <w:pPr>
        <w:pStyle w:val="Tiret1"/>
        <w:rPr>
          <w:noProof/>
        </w:rPr>
      </w:pPr>
      <w:r w:rsidRPr="007D19EF">
        <w:rPr>
          <w:noProof/>
          <w:u w:val="single"/>
        </w:rPr>
        <w:t>Задълбочена оценка и индивидуално планиране:</w:t>
      </w:r>
      <w:r w:rsidRPr="007D19EF">
        <w:rPr>
          <w:noProof/>
        </w:rPr>
        <w:t xml:space="preserve"> Тази мярка е в основата на индивидуалната помощ при търсене на работа. Тя включва провеждането на задълбочени сесии с индивидуален наставник.</w:t>
      </w:r>
    </w:p>
    <w:p w:rsidR="00B05E28" w:rsidRPr="007D19EF" w:rsidRDefault="007216F5" w:rsidP="00B05E28">
      <w:pPr>
        <w:pStyle w:val="Tiret1"/>
        <w:rPr>
          <w:noProof/>
        </w:rPr>
      </w:pPr>
      <w:r w:rsidRPr="007D19EF">
        <w:rPr>
          <w:noProof/>
          <w:u w:val="single"/>
        </w:rPr>
        <w:t>Дейности по търсене на работа и наставничество:</w:t>
      </w:r>
      <w:r w:rsidRPr="007D19EF">
        <w:rPr>
          <w:noProof/>
        </w:rPr>
        <w:t xml:space="preserve"> Предлагат се както индивидуални, така и групови мерки, които включват наставничество за индивидуални срещи с потенциални работодатели, семинари или мотивационно интервюиране. Частните доставчици на услуги, наети от публичната служба по заетостта, предлагат индивидуализирана и всеобхватна подкрепа при оценяването на уменията на дадено лице и при намирането на работа.</w:t>
      </w:r>
    </w:p>
    <w:p w:rsidR="007216F5" w:rsidRPr="007D19EF" w:rsidRDefault="00207EE3" w:rsidP="001A62D7">
      <w:pPr>
        <w:pStyle w:val="Tiret1"/>
        <w:rPr>
          <w:noProof/>
        </w:rPr>
      </w:pPr>
      <w:r w:rsidRPr="007D19EF">
        <w:rPr>
          <w:noProof/>
          <w:u w:val="single"/>
        </w:rPr>
        <w:t>Подкрепа за започване на собствен бизнес:</w:t>
      </w:r>
      <w:r w:rsidRPr="007D19EF">
        <w:rPr>
          <w:noProof/>
        </w:rPr>
        <w:t xml:space="preserve"> Обучения, предлагани от външен консултант на желаещите да започнат собствен бизнес.</w:t>
      </w:r>
    </w:p>
    <w:p w:rsidR="00D06C35" w:rsidRPr="007D19EF" w:rsidRDefault="00207EE3" w:rsidP="00D06C35">
      <w:pPr>
        <w:pStyle w:val="Tiret1"/>
        <w:rPr>
          <w:noProof/>
        </w:rPr>
      </w:pPr>
      <w:r w:rsidRPr="007D19EF">
        <w:rPr>
          <w:noProof/>
          <w:u w:val="single"/>
        </w:rPr>
        <w:t>Подкрепа за инвестиции в стартиращи предприятия:</w:t>
      </w:r>
      <w:r w:rsidRPr="007D19EF">
        <w:rPr>
          <w:noProof/>
        </w:rPr>
        <w:t xml:space="preserve"> Търсещите работа, които създават свое собствено дружество, ще имат възможност да кандидатстват за специфична инвестиционна подкрепа в размер до 22 000 EUR. Тази сума може да се използва за първоначални инвестиции и оборудване, разходи за развитие на стопанска дейност, цифрови решения и маркетинг.</w:t>
      </w:r>
    </w:p>
    <w:p w:rsidR="00D06C35" w:rsidRPr="007D19EF" w:rsidRDefault="00D06C35" w:rsidP="00D06C35">
      <w:pPr>
        <w:pStyle w:val="Tiret1"/>
        <w:rPr>
          <w:noProof/>
        </w:rPr>
      </w:pPr>
      <w:r w:rsidRPr="007D19EF">
        <w:rPr>
          <w:noProof/>
          <w:u w:val="single"/>
        </w:rPr>
        <w:t>Обучение във връзка с пазара на труда:</w:t>
      </w:r>
      <w:r w:rsidRPr="007D19EF">
        <w:rPr>
          <w:noProof/>
        </w:rPr>
        <w:t xml:space="preserve"> Кратки практически курсове за професионално обучение, предлагани от публичната служба по заетостта, които са насочени към търсещите работа и имат за цел да задоволят нуждите от умения в професии с недостиг на работна ръка и да отговорят на текущите нужди от заетост на пазара на труда. Това може да включва използването на микроквалификации за признаване на придобитото обучение.</w:t>
      </w:r>
    </w:p>
    <w:p w:rsidR="007216F5" w:rsidRPr="007D19EF" w:rsidRDefault="00D06C35" w:rsidP="001A62D7">
      <w:pPr>
        <w:pStyle w:val="Tiret1"/>
        <w:rPr>
          <w:noProof/>
        </w:rPr>
      </w:pPr>
      <w:r w:rsidRPr="007D19EF">
        <w:rPr>
          <w:noProof/>
          <w:u w:val="single"/>
        </w:rPr>
        <w:t>Курсове за обучение в рамките на редовната образователна система:</w:t>
      </w:r>
      <w:r w:rsidRPr="007D19EF">
        <w:rPr>
          <w:noProof/>
        </w:rPr>
        <w:t xml:space="preserve"> Това са курсове с продължителност най-малко две години, предлагани от институтите за професионално образование и обучение или от висшите училища. Търсещите работа обикновено нямат достъп до тези курсове. Курсовете могат да бъдат адаптирани към индивидуалните нужди, по-специално за лицата, които не владеят шведски език.</w:t>
      </w:r>
    </w:p>
    <w:p w:rsidR="007216F5" w:rsidRPr="007D19EF" w:rsidRDefault="000D23C5" w:rsidP="001A62D7">
      <w:pPr>
        <w:pStyle w:val="Tiret1"/>
        <w:rPr>
          <w:noProof/>
        </w:rPr>
      </w:pPr>
      <w:r w:rsidRPr="007D19EF">
        <w:rPr>
          <w:noProof/>
          <w:u w:val="single"/>
        </w:rPr>
        <w:t>Стъпки към започването на работа:</w:t>
      </w:r>
      <w:r w:rsidRPr="007D19EF">
        <w:rPr>
          <w:noProof/>
        </w:rPr>
        <w:t xml:space="preserve"> Тази мярка е насочена към особено уязвими бенефициери, които може да се нуждаят от специална подкрепа за достъп до пазара на труда или за продължаване на образованието.</w:t>
      </w:r>
    </w:p>
    <w:p w:rsidR="00857F0B" w:rsidRPr="007D19EF" w:rsidRDefault="00B05E28" w:rsidP="00857F0B">
      <w:pPr>
        <w:pStyle w:val="Tiret1"/>
        <w:rPr>
          <w:noProof/>
        </w:rPr>
      </w:pPr>
      <w:r w:rsidRPr="007D19EF">
        <w:rPr>
          <w:noProof/>
          <w:u w:val="single"/>
        </w:rPr>
        <w:t>Помощи:</w:t>
      </w:r>
      <w:r w:rsidRPr="007D19EF">
        <w:rPr>
          <w:noProof/>
        </w:rPr>
        <w:t xml:space="preserve"> На лицата, които участват в стаж или се подготвят да започнат собствен бизнес, се изплаща надбавка. На лицата, които активно участват в предлаганите мерки за обучение, се изплаща надбавка за дейност. За покриване на пътните разноски и разноските за преместване, в случай че бъде намерена нова работа в друг регион, се изплаща надбавка за мобилност. Пътните разноски за участие в интервюта за работа извън града могат да бъдат възстановени.</w:t>
      </w:r>
    </w:p>
    <w:p w:rsidR="001A62D7" w:rsidRPr="007D19EF" w:rsidRDefault="00B83420" w:rsidP="00B83420">
      <w:pPr>
        <w:pStyle w:val="ManualNumPar1"/>
        <w:rPr>
          <w:noProof/>
        </w:rPr>
      </w:pPr>
      <w:r w:rsidRPr="00B83420">
        <w:rPr>
          <w:noProof/>
        </w:rPr>
        <w:t>33.</w:t>
      </w:r>
      <w:r w:rsidRPr="00B83420">
        <w:rPr>
          <w:noProof/>
        </w:rPr>
        <w:tab/>
      </w:r>
      <w:r w:rsidR="00036588" w:rsidRPr="007D19EF">
        <w:rPr>
          <w:noProof/>
          <w:u w:val="single"/>
        </w:rPr>
        <w:t>Умения в областта на цифровите технологии и екологични умения</w:t>
      </w:r>
      <w:r w:rsidR="00036588" w:rsidRPr="007D19EF">
        <w:rPr>
          <w:noProof/>
        </w:rPr>
        <w:t>: Тези мерки са насочени към разпространението на уменията, необходими в цифровата индустриална епоха и за икономика с ефективно използване на ресурсите, в съответствие с член  7, параграф 2 от Регламент (ЕС) 2021/691. Координираните мерки бяха разработени в съответствие с нуждите от умения, произтичащи от цифровата индустриална епоха и прехода към икономика с по-ефективно използване на ресурсите</w:t>
      </w:r>
      <w:r w:rsidR="00036588" w:rsidRPr="007D19EF">
        <w:rPr>
          <w:rStyle w:val="FootnoteReference"/>
          <w:noProof/>
        </w:rPr>
        <w:footnoteReference w:id="16"/>
      </w:r>
      <w:r w:rsidR="00036588" w:rsidRPr="007D19EF">
        <w:rPr>
          <w:noProof/>
        </w:rPr>
        <w:t>. Мерките включват и валидиране на предишен опит.</w:t>
      </w:r>
    </w:p>
    <w:p w:rsidR="001A62D7" w:rsidRPr="007D19EF" w:rsidRDefault="00B83420" w:rsidP="00B83420">
      <w:pPr>
        <w:pStyle w:val="ManualNumPar1"/>
        <w:rPr>
          <w:noProof/>
        </w:rPr>
      </w:pPr>
      <w:bookmarkStart w:id="7" w:name="_Ref372214242"/>
      <w:r w:rsidRPr="00B83420">
        <w:rPr>
          <w:noProof/>
        </w:rPr>
        <w:t>34.</w:t>
      </w:r>
      <w:r w:rsidRPr="00B83420">
        <w:rPr>
          <w:noProof/>
        </w:rPr>
        <w:tab/>
      </w:r>
      <w:r w:rsidR="001A62D7" w:rsidRPr="007D19EF">
        <w:rPr>
          <w:noProof/>
        </w:rPr>
        <w:t xml:space="preserve">Предложените действия, описани в настоящия документ, представляват активни мерки на пазара на труда в рамките на допустимите действия, посочени в член 7 от Регламент (ЕС) 2021/691. Тези действия не заместват пасивните мерки за социална закрила. </w:t>
      </w:r>
    </w:p>
    <w:p w:rsidR="001A62D7" w:rsidRPr="007D19EF" w:rsidRDefault="00B83420" w:rsidP="00B83420">
      <w:pPr>
        <w:pStyle w:val="ManualNumPar1"/>
        <w:rPr>
          <w:noProof/>
        </w:rPr>
      </w:pPr>
      <w:r w:rsidRPr="00B83420">
        <w:rPr>
          <w:noProof/>
        </w:rPr>
        <w:t>35.</w:t>
      </w:r>
      <w:r w:rsidRPr="00B83420">
        <w:rPr>
          <w:noProof/>
        </w:rPr>
        <w:tab/>
      </w:r>
      <w:r w:rsidR="00354072" w:rsidRPr="007D19EF">
        <w:rPr>
          <w:noProof/>
        </w:rPr>
        <w:t>Швеция предостави изискваната информация относно мерките, които са задължителни за засегнатото предприятие по силата на националното законодателство или съгласно колективните трудови договори. В съответствие с член 9, параграф 1 от Регламент (ЕС) 2021/691 Швеция потвърди, че финансовият принос от ЕФПГ няма да замени тези мерки.</w:t>
      </w:r>
      <w:bookmarkEnd w:id="7"/>
    </w:p>
    <w:p w:rsidR="001A62D7" w:rsidRPr="007D19EF" w:rsidRDefault="001A62D7" w:rsidP="001A62D7">
      <w:pPr>
        <w:pStyle w:val="ManualHeading3"/>
        <w:rPr>
          <w:noProof/>
        </w:rPr>
      </w:pPr>
      <w:r w:rsidRPr="007D19EF">
        <w:rPr>
          <w:noProof/>
        </w:rPr>
        <w:t>Прогнозен бюджет</w:t>
      </w:r>
    </w:p>
    <w:p w:rsidR="001A62D7" w:rsidRPr="007D19EF" w:rsidRDefault="00B83420" w:rsidP="00B83420">
      <w:pPr>
        <w:pStyle w:val="ManualNumPar1"/>
        <w:rPr>
          <w:noProof/>
        </w:rPr>
      </w:pPr>
      <w:r w:rsidRPr="00B83420">
        <w:rPr>
          <w:noProof/>
        </w:rPr>
        <w:t>36.</w:t>
      </w:r>
      <w:r w:rsidRPr="00B83420">
        <w:rPr>
          <w:noProof/>
        </w:rPr>
        <w:tab/>
      </w:r>
      <w:r w:rsidR="001A62D7" w:rsidRPr="007D19EF">
        <w:rPr>
          <w:noProof/>
        </w:rPr>
        <w:t>Общо прогнозните разходи са 14 210 537 EUR, като те включват разходи за персонализирани услуги в размер на 13 663 977 EUR и разходи за дейности по подготовка, управление, информация и публичност, контрол и докладване в размер на 546 560 EUR.</w:t>
      </w:r>
    </w:p>
    <w:p w:rsidR="001A62D7" w:rsidRPr="007D19EF" w:rsidRDefault="00B83420" w:rsidP="00B83420">
      <w:pPr>
        <w:pStyle w:val="ManualNumPar1"/>
        <w:rPr>
          <w:noProof/>
        </w:rPr>
      </w:pPr>
      <w:bookmarkStart w:id="8" w:name="_Ref372550770"/>
      <w:r w:rsidRPr="00B83420">
        <w:rPr>
          <w:noProof/>
        </w:rPr>
        <w:t>37.</w:t>
      </w:r>
      <w:r w:rsidRPr="00B83420">
        <w:rPr>
          <w:noProof/>
        </w:rPr>
        <w:tab/>
      </w:r>
      <w:r w:rsidR="001A62D7" w:rsidRPr="007D19EF">
        <w:rPr>
          <w:noProof/>
        </w:rPr>
        <w:t xml:space="preserve">Общият размер на поискания финансов принос от ЕФПГ възлиза на </w:t>
      </w:r>
      <w:bookmarkStart w:id="9" w:name="_Hlk209042046"/>
      <w:r w:rsidR="001A62D7" w:rsidRPr="007D19EF">
        <w:rPr>
          <w:noProof/>
        </w:rPr>
        <w:t>8 526 322</w:t>
      </w:r>
      <w:bookmarkEnd w:id="9"/>
      <w:r w:rsidR="001A62D7" w:rsidRPr="007D19EF">
        <w:rPr>
          <w:noProof/>
        </w:rPr>
        <w:t> EUR (60 % от общия размер на разходите).</w:t>
      </w:r>
      <w:bookmarkEnd w:id="8"/>
    </w:p>
    <w:p w:rsidR="001A62D7" w:rsidRPr="007D19EF" w:rsidRDefault="00B83420" w:rsidP="00B83420">
      <w:pPr>
        <w:pStyle w:val="ManualNumPar1"/>
        <w:rPr>
          <w:noProof/>
        </w:rPr>
      </w:pPr>
      <w:r w:rsidRPr="00B83420">
        <w:rPr>
          <w:noProof/>
        </w:rPr>
        <w:t>38.</w:t>
      </w:r>
      <w:r w:rsidRPr="00B83420">
        <w:rPr>
          <w:noProof/>
        </w:rPr>
        <w:tab/>
      </w:r>
      <w:r w:rsidR="001A62D7" w:rsidRPr="007D19EF">
        <w:rPr>
          <w:noProof/>
        </w:rPr>
        <w:t>В съответствие с член 8, параграф 7, буква м) от Регламент (ЕС) 2021/691 Швеция уточни, че националното предварително финансиране и съфинансиране се предоставят от Arbetsförmedlingen (шведската публична служба по заетостта).</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110"/>
        <w:gridCol w:w="1454"/>
        <w:gridCol w:w="1437"/>
        <w:gridCol w:w="2072"/>
      </w:tblGrid>
      <w:tr w:rsidR="00751A96" w:rsidRPr="007D19EF" w:rsidTr="00055197">
        <w:tc>
          <w:tcPr>
            <w:tcW w:w="4221" w:type="dxa"/>
            <w:shd w:val="clear" w:color="auto" w:fill="auto"/>
            <w:vAlign w:val="center"/>
          </w:tcPr>
          <w:p w:rsidR="001A62D7" w:rsidRPr="007D19EF" w:rsidRDefault="001A62D7" w:rsidP="00052CC7">
            <w:pPr>
              <w:spacing w:before="60" w:after="60"/>
              <w:jc w:val="center"/>
              <w:rPr>
                <w:rFonts w:eastAsia="Times New Roman"/>
                <w:noProof/>
                <w:sz w:val="22"/>
              </w:rPr>
            </w:pPr>
            <w:r w:rsidRPr="007D19EF">
              <w:rPr>
                <w:noProof/>
                <w:sz w:val="22"/>
              </w:rPr>
              <w:t>Мерки</w:t>
            </w:r>
          </w:p>
        </w:tc>
        <w:tc>
          <w:tcPr>
            <w:tcW w:w="1476" w:type="dxa"/>
            <w:shd w:val="clear" w:color="auto" w:fill="auto"/>
            <w:vAlign w:val="center"/>
          </w:tcPr>
          <w:p w:rsidR="001A62D7" w:rsidRPr="007D19EF" w:rsidRDefault="001A62D7" w:rsidP="00052CC7">
            <w:pPr>
              <w:spacing w:before="60" w:after="60"/>
              <w:jc w:val="center"/>
              <w:rPr>
                <w:rFonts w:eastAsia="Times New Roman"/>
                <w:noProof/>
                <w:sz w:val="22"/>
              </w:rPr>
            </w:pPr>
            <w:r w:rsidRPr="007D19EF">
              <w:rPr>
                <w:noProof/>
                <w:sz w:val="22"/>
              </w:rPr>
              <w:t>Прогнозен брой участници</w:t>
            </w:r>
          </w:p>
        </w:tc>
        <w:tc>
          <w:tcPr>
            <w:tcW w:w="1456" w:type="dxa"/>
            <w:shd w:val="clear" w:color="auto" w:fill="auto"/>
            <w:vAlign w:val="center"/>
          </w:tcPr>
          <w:p w:rsidR="001A62D7" w:rsidRPr="007D19EF" w:rsidRDefault="001A62D7" w:rsidP="00052CC7">
            <w:pPr>
              <w:spacing w:before="60" w:after="60"/>
              <w:jc w:val="center"/>
              <w:rPr>
                <w:rFonts w:eastAsia="Times New Roman"/>
                <w:noProof/>
                <w:sz w:val="22"/>
              </w:rPr>
            </w:pPr>
            <w:r w:rsidRPr="007D19EF">
              <w:rPr>
                <w:noProof/>
                <w:sz w:val="22"/>
              </w:rPr>
              <w:t>Прогнозни разходи на участник</w:t>
            </w:r>
            <w:r w:rsidRPr="007D19EF">
              <w:rPr>
                <w:noProof/>
              </w:rPr>
              <w:t xml:space="preserve"> </w:t>
            </w:r>
            <w:r w:rsidRPr="007D19EF">
              <w:rPr>
                <w:noProof/>
              </w:rPr>
              <w:br/>
            </w:r>
            <w:r w:rsidRPr="007D19EF">
              <w:rPr>
                <w:i/>
                <w:noProof/>
                <w:sz w:val="22"/>
              </w:rPr>
              <w:t>(EUR)</w:t>
            </w:r>
            <w:r w:rsidRPr="007D19EF">
              <w:rPr>
                <w:rStyle w:val="FootnoteReference"/>
                <w:rFonts w:eastAsia="Times New Roman"/>
                <w:i/>
                <w:noProof/>
                <w:sz w:val="22"/>
              </w:rPr>
              <w:footnoteReference w:id="17"/>
            </w:r>
          </w:p>
        </w:tc>
        <w:tc>
          <w:tcPr>
            <w:tcW w:w="2136" w:type="dxa"/>
            <w:shd w:val="clear" w:color="auto" w:fill="auto"/>
            <w:vAlign w:val="center"/>
          </w:tcPr>
          <w:p w:rsidR="001A62D7" w:rsidRPr="007D19EF" w:rsidRDefault="001A62D7" w:rsidP="00052CC7">
            <w:pPr>
              <w:spacing w:before="60" w:after="60"/>
              <w:jc w:val="center"/>
              <w:rPr>
                <w:rFonts w:eastAsia="Times New Roman"/>
                <w:noProof/>
                <w:sz w:val="22"/>
              </w:rPr>
            </w:pPr>
            <w:r w:rsidRPr="007D19EF">
              <w:rPr>
                <w:noProof/>
                <w:sz w:val="22"/>
              </w:rPr>
              <w:t>Общ размер на прогнозните разходи</w:t>
            </w:r>
          </w:p>
          <w:p w:rsidR="001A62D7" w:rsidRPr="007D19EF" w:rsidRDefault="001A62D7" w:rsidP="00052CC7">
            <w:pPr>
              <w:spacing w:before="60" w:after="60"/>
              <w:jc w:val="center"/>
              <w:rPr>
                <w:rFonts w:eastAsia="Times New Roman"/>
                <w:noProof/>
                <w:sz w:val="22"/>
              </w:rPr>
            </w:pPr>
            <w:r w:rsidRPr="007D19EF">
              <w:rPr>
                <w:i/>
                <w:noProof/>
                <w:sz w:val="22"/>
              </w:rPr>
              <w:t>(EUR)</w:t>
            </w:r>
            <w:r w:rsidRPr="007D19EF">
              <w:rPr>
                <w:rStyle w:val="FootnoteReference"/>
                <w:rFonts w:eastAsia="Times New Roman"/>
                <w:i/>
                <w:noProof/>
                <w:sz w:val="22"/>
              </w:rPr>
              <w:footnoteReference w:id="18"/>
            </w:r>
            <w:r w:rsidRPr="007D19EF">
              <w:rPr>
                <w:i/>
                <w:noProof/>
                <w:sz w:val="22"/>
              </w:rPr>
              <w:t xml:space="preserve"> </w:t>
            </w:r>
          </w:p>
        </w:tc>
      </w:tr>
      <w:tr w:rsidR="001A62D7" w:rsidRPr="007D19EF" w:rsidTr="00A15112">
        <w:tc>
          <w:tcPr>
            <w:tcW w:w="9289" w:type="dxa"/>
            <w:gridSpan w:val="4"/>
            <w:shd w:val="clear" w:color="auto" w:fill="auto"/>
          </w:tcPr>
          <w:p w:rsidR="001A62D7" w:rsidRPr="007D19EF" w:rsidRDefault="001A62D7" w:rsidP="00052CC7">
            <w:pPr>
              <w:spacing w:before="60" w:after="60"/>
              <w:jc w:val="left"/>
              <w:rPr>
                <w:rFonts w:eastAsia="Times New Roman"/>
                <w:noProof/>
                <w:sz w:val="22"/>
              </w:rPr>
            </w:pPr>
            <w:r w:rsidRPr="007D19EF">
              <w:rPr>
                <w:noProof/>
                <w:sz w:val="22"/>
              </w:rPr>
              <w:t>Персонализирани услуги (мерки по член 7, параграф 2,</w:t>
            </w:r>
            <w:r w:rsidRPr="007D19EF">
              <w:rPr>
                <w:noProof/>
              </w:rPr>
              <w:t xml:space="preserve"> втора алинея, </w:t>
            </w:r>
            <w:r w:rsidRPr="007D19EF">
              <w:rPr>
                <w:noProof/>
                <w:sz w:val="22"/>
              </w:rPr>
              <w:t>буква а) от Регламент (ЕС) 2021/691)</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4B0EDF" w:rsidP="00052CC7">
            <w:pPr>
              <w:spacing w:before="60" w:after="60"/>
              <w:jc w:val="left"/>
              <w:rPr>
                <w:noProof/>
              </w:rPr>
            </w:pPr>
            <w:r w:rsidRPr="007D19EF">
              <w:rPr>
                <w:noProof/>
              </w:rPr>
              <w:t>Задълбочена оценка и индивидуално планиране (Kartläggning och individuell planering)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4B0EDF" w:rsidP="00052CC7">
            <w:pPr>
              <w:spacing w:before="60" w:after="60"/>
              <w:jc w:val="center"/>
              <w:rPr>
                <w:noProof/>
              </w:rPr>
            </w:pPr>
            <w:r w:rsidRPr="007D19EF">
              <w:rPr>
                <w:noProof/>
              </w:rPr>
              <w:t>5800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57</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330 688</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4B0EDF" w:rsidP="00052CC7">
            <w:pPr>
              <w:spacing w:before="60" w:after="60"/>
              <w:jc w:val="left"/>
              <w:rPr>
                <w:noProof/>
              </w:rPr>
            </w:pPr>
            <w:r w:rsidRPr="007D19EF">
              <w:rPr>
                <w:noProof/>
              </w:rPr>
              <w:t>Дейности по търсене на работа и наставничество (Jobbsökaraktiviteter och coachning)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1000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29</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28 508</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4B0EDF" w:rsidP="00052CC7">
            <w:pPr>
              <w:spacing w:before="60" w:after="60"/>
              <w:jc w:val="left"/>
              <w:rPr>
                <w:noProof/>
              </w:rPr>
            </w:pPr>
            <w:r w:rsidRPr="007D19EF">
              <w:rPr>
                <w:noProof/>
              </w:rPr>
              <w:t xml:space="preserve">Дейности по търсене на работа и наставничество чрез доставчици (Jobbsökaraktiviteter och coachning via privata leverantörer) </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500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1824</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912 242</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4B0EDF" w:rsidP="00052CC7">
            <w:pPr>
              <w:spacing w:before="60" w:after="60"/>
              <w:jc w:val="left"/>
              <w:rPr>
                <w:noProof/>
              </w:rPr>
            </w:pPr>
            <w:r w:rsidRPr="007D19EF">
              <w:rPr>
                <w:noProof/>
              </w:rPr>
              <w:t>Подкрепа за започване на собствен бизнес (Stöd vid start av eget företagande)</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1642</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82 102</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4B0EDF" w:rsidP="00052CC7">
            <w:pPr>
              <w:spacing w:before="60" w:after="60"/>
              <w:jc w:val="left"/>
              <w:rPr>
                <w:noProof/>
              </w:rPr>
            </w:pPr>
            <w:r w:rsidRPr="007D19EF">
              <w:rPr>
                <w:noProof/>
              </w:rPr>
              <w:t>Подкрепа за инвестиции в стартиращи предприятия (Investeringsstöd)</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100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21 715</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2 171 502</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4B0EDF" w:rsidP="00052CC7">
            <w:pPr>
              <w:spacing w:before="60" w:after="60"/>
              <w:jc w:val="left"/>
              <w:rPr>
                <w:noProof/>
              </w:rPr>
            </w:pPr>
            <w:r w:rsidRPr="007D19EF">
              <w:rPr>
                <w:noProof/>
              </w:rPr>
              <w:t>Обучение във връзка с пазара на труда (Arbetsmarknadsutbildning)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510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9697</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4 945 539</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tcPr>
          <w:p w:rsidR="004B0EDF" w:rsidRPr="007D19EF" w:rsidRDefault="004B0EDF" w:rsidP="00052CC7">
            <w:pPr>
              <w:spacing w:before="60" w:after="60"/>
              <w:jc w:val="left"/>
              <w:rPr>
                <w:noProof/>
              </w:rPr>
            </w:pPr>
            <w:r w:rsidRPr="007D19EF">
              <w:rPr>
                <w:noProof/>
              </w:rPr>
              <w:t>Курсове за обучение в рамките на редовната образователна система (Utbildning inom ordinarie utbildningssystem)</w:t>
            </w:r>
          </w:p>
        </w:tc>
        <w:tc>
          <w:tcPr>
            <w:tcW w:w="1476" w:type="dxa"/>
            <w:tcBorders>
              <w:top w:val="single" w:sz="4" w:space="0" w:color="auto"/>
              <w:left w:val="single" w:sz="4" w:space="0" w:color="auto"/>
              <w:bottom w:val="single" w:sz="4" w:space="0" w:color="auto"/>
              <w:right w:val="single" w:sz="4" w:space="0" w:color="auto"/>
            </w:tcBorders>
            <w:vAlign w:val="center"/>
          </w:tcPr>
          <w:p w:rsidR="004B0EDF" w:rsidRPr="007D19EF" w:rsidRDefault="00390472" w:rsidP="00052CC7">
            <w:pPr>
              <w:spacing w:before="60" w:after="60"/>
              <w:jc w:val="center"/>
              <w:rPr>
                <w:noProof/>
              </w:rPr>
            </w:pPr>
            <w:r w:rsidRPr="007D19EF">
              <w:rPr>
                <w:noProof/>
              </w:rPr>
              <w:t>40</w:t>
            </w:r>
          </w:p>
        </w:tc>
        <w:tc>
          <w:tcPr>
            <w:tcW w:w="1456" w:type="dxa"/>
            <w:tcBorders>
              <w:top w:val="single" w:sz="4" w:space="0" w:color="auto"/>
              <w:left w:val="single" w:sz="4" w:space="0" w:color="auto"/>
              <w:bottom w:val="single" w:sz="4" w:space="0" w:color="auto"/>
              <w:right w:val="single" w:sz="4" w:space="0" w:color="auto"/>
            </w:tcBorders>
            <w:vAlign w:val="center"/>
          </w:tcPr>
          <w:p w:rsidR="004B0EDF" w:rsidRPr="007D19EF" w:rsidRDefault="003D21D1" w:rsidP="00052CC7">
            <w:pPr>
              <w:spacing w:before="60" w:after="60"/>
              <w:jc w:val="center"/>
              <w:rPr>
                <w:noProof/>
              </w:rPr>
            </w:pPr>
            <w:r w:rsidRPr="007D19EF">
              <w:rPr>
                <w:noProof/>
              </w:rPr>
              <w:t>17 105</w:t>
            </w:r>
          </w:p>
        </w:tc>
        <w:tc>
          <w:tcPr>
            <w:tcW w:w="2136" w:type="dxa"/>
            <w:tcBorders>
              <w:top w:val="single" w:sz="4" w:space="0" w:color="auto"/>
              <w:left w:val="single" w:sz="4" w:space="0" w:color="auto"/>
              <w:bottom w:val="single" w:sz="4" w:space="0" w:color="auto"/>
              <w:right w:val="nil"/>
            </w:tcBorders>
            <w:vAlign w:val="center"/>
          </w:tcPr>
          <w:p w:rsidR="004B0EDF" w:rsidRPr="007D19EF" w:rsidRDefault="00055197" w:rsidP="00052CC7">
            <w:pPr>
              <w:spacing w:before="60" w:after="60"/>
              <w:jc w:val="center"/>
              <w:rPr>
                <w:noProof/>
              </w:rPr>
            </w:pPr>
            <w:r w:rsidRPr="007D19EF">
              <w:rPr>
                <w:noProof/>
              </w:rPr>
              <w:t>684 182</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tcPr>
          <w:p w:rsidR="004B0EDF" w:rsidRPr="007D19EF" w:rsidRDefault="00390472" w:rsidP="00052CC7">
            <w:pPr>
              <w:spacing w:before="60" w:after="60"/>
              <w:jc w:val="left"/>
              <w:rPr>
                <w:noProof/>
              </w:rPr>
            </w:pPr>
            <w:r w:rsidRPr="007D19EF">
              <w:rPr>
                <w:noProof/>
              </w:rPr>
              <w:t>Стъпки към започването на работа (Stg till arbete (STA))</w:t>
            </w:r>
          </w:p>
        </w:tc>
        <w:tc>
          <w:tcPr>
            <w:tcW w:w="1476" w:type="dxa"/>
            <w:tcBorders>
              <w:top w:val="single" w:sz="4" w:space="0" w:color="auto"/>
              <w:left w:val="single" w:sz="4" w:space="0" w:color="auto"/>
              <w:bottom w:val="single" w:sz="4" w:space="0" w:color="auto"/>
              <w:right w:val="single" w:sz="4" w:space="0" w:color="auto"/>
            </w:tcBorders>
            <w:vAlign w:val="center"/>
          </w:tcPr>
          <w:p w:rsidR="004B0EDF" w:rsidRPr="007D19EF" w:rsidRDefault="00390472" w:rsidP="00052CC7">
            <w:pPr>
              <w:spacing w:before="60" w:after="60"/>
              <w:jc w:val="center"/>
              <w:rPr>
                <w:noProof/>
              </w:rPr>
            </w:pPr>
            <w:r w:rsidRPr="007D19EF">
              <w:rPr>
                <w:noProof/>
              </w:rPr>
              <w:t>50</w:t>
            </w:r>
          </w:p>
        </w:tc>
        <w:tc>
          <w:tcPr>
            <w:tcW w:w="1456" w:type="dxa"/>
            <w:tcBorders>
              <w:top w:val="single" w:sz="4" w:space="0" w:color="auto"/>
              <w:left w:val="single" w:sz="4" w:space="0" w:color="auto"/>
              <w:bottom w:val="single" w:sz="4" w:space="0" w:color="auto"/>
              <w:right w:val="single" w:sz="4" w:space="0" w:color="auto"/>
            </w:tcBorders>
            <w:vAlign w:val="center"/>
          </w:tcPr>
          <w:p w:rsidR="004B0EDF" w:rsidRPr="007D19EF" w:rsidRDefault="003D21D1" w:rsidP="00052CC7">
            <w:pPr>
              <w:spacing w:before="60" w:after="60"/>
              <w:jc w:val="center"/>
              <w:rPr>
                <w:noProof/>
              </w:rPr>
            </w:pPr>
            <w:r w:rsidRPr="007D19EF">
              <w:rPr>
                <w:noProof/>
              </w:rPr>
              <w:t>6769</w:t>
            </w:r>
          </w:p>
        </w:tc>
        <w:tc>
          <w:tcPr>
            <w:tcW w:w="2136" w:type="dxa"/>
            <w:tcBorders>
              <w:top w:val="single" w:sz="4" w:space="0" w:color="auto"/>
              <w:left w:val="single" w:sz="4" w:space="0" w:color="auto"/>
              <w:bottom w:val="single" w:sz="4" w:space="0" w:color="auto"/>
              <w:right w:val="nil"/>
            </w:tcBorders>
            <w:vAlign w:val="center"/>
          </w:tcPr>
          <w:p w:rsidR="004B0EDF" w:rsidRPr="007D19EF" w:rsidRDefault="00055197" w:rsidP="00052CC7">
            <w:pPr>
              <w:spacing w:before="60" w:after="60"/>
              <w:jc w:val="center"/>
              <w:rPr>
                <w:noProof/>
              </w:rPr>
            </w:pPr>
            <w:r w:rsidRPr="007D19EF">
              <w:rPr>
                <w:noProof/>
              </w:rPr>
              <w:t>338 442</w:t>
            </w:r>
          </w:p>
        </w:tc>
      </w:tr>
      <w:tr w:rsidR="001A62D7" w:rsidRPr="007D19EF" w:rsidTr="00A15112">
        <w:trPr>
          <w:trHeight w:val="398"/>
        </w:trPr>
        <w:tc>
          <w:tcPr>
            <w:tcW w:w="4221" w:type="dxa"/>
            <w:vMerge w:val="restart"/>
            <w:shd w:val="clear" w:color="auto" w:fill="auto"/>
            <w:vAlign w:val="center"/>
          </w:tcPr>
          <w:p w:rsidR="001A62D7" w:rsidRPr="007D19EF" w:rsidRDefault="001A62D7" w:rsidP="00052CC7">
            <w:pPr>
              <w:spacing w:before="60" w:after="60"/>
              <w:jc w:val="right"/>
              <w:rPr>
                <w:rFonts w:eastAsia="Times New Roman"/>
                <w:noProof/>
                <w:sz w:val="22"/>
              </w:rPr>
            </w:pPr>
            <w:r w:rsidRPr="007D19EF">
              <w:rPr>
                <w:noProof/>
                <w:sz w:val="22"/>
              </w:rPr>
              <w:t>Междинен сбор (a):</w:t>
            </w:r>
          </w:p>
          <w:p w:rsidR="001A62D7" w:rsidRPr="007D19EF" w:rsidRDefault="001A62D7" w:rsidP="00052CC7">
            <w:pPr>
              <w:spacing w:before="60" w:after="60"/>
              <w:jc w:val="right"/>
              <w:rPr>
                <w:rFonts w:eastAsia="Times New Roman"/>
                <w:noProof/>
                <w:sz w:val="22"/>
              </w:rPr>
            </w:pPr>
            <w:r w:rsidRPr="007D19EF">
              <w:rPr>
                <w:noProof/>
                <w:sz w:val="22"/>
              </w:rPr>
              <w:t xml:space="preserve">Процент от пакета персонализирани услуги </w:t>
            </w:r>
          </w:p>
        </w:tc>
        <w:tc>
          <w:tcPr>
            <w:tcW w:w="2932" w:type="dxa"/>
            <w:gridSpan w:val="2"/>
            <w:vMerge w:val="restart"/>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tcBorders>
              <w:bottom w:val="nil"/>
            </w:tcBorders>
            <w:shd w:val="clear" w:color="auto" w:fill="auto"/>
            <w:vAlign w:val="center"/>
          </w:tcPr>
          <w:p w:rsidR="001A62D7" w:rsidRPr="007D19EF" w:rsidRDefault="00751A96" w:rsidP="00052CC7">
            <w:pPr>
              <w:spacing w:before="60" w:after="60"/>
              <w:jc w:val="center"/>
              <w:rPr>
                <w:rFonts w:eastAsia="Times New Roman"/>
                <w:noProof/>
                <w:sz w:val="22"/>
              </w:rPr>
            </w:pPr>
            <w:r w:rsidRPr="007D19EF">
              <w:rPr>
                <w:noProof/>
              </w:rPr>
              <w:t>9 493 205</w:t>
            </w:r>
          </w:p>
        </w:tc>
      </w:tr>
      <w:tr w:rsidR="001A62D7" w:rsidRPr="007D19EF" w:rsidTr="00A15112">
        <w:trPr>
          <w:trHeight w:val="397"/>
        </w:trPr>
        <w:tc>
          <w:tcPr>
            <w:tcW w:w="4221" w:type="dxa"/>
            <w:vMerge/>
            <w:shd w:val="clear" w:color="auto" w:fill="auto"/>
            <w:vAlign w:val="center"/>
          </w:tcPr>
          <w:p w:rsidR="001A62D7" w:rsidRPr="007D19EF" w:rsidRDefault="001A62D7" w:rsidP="00052CC7">
            <w:pPr>
              <w:spacing w:before="60" w:after="60"/>
              <w:jc w:val="right"/>
              <w:rPr>
                <w:rFonts w:eastAsia="Times New Roman"/>
                <w:noProof/>
                <w:sz w:val="22"/>
              </w:rPr>
            </w:pPr>
          </w:p>
        </w:tc>
        <w:tc>
          <w:tcPr>
            <w:tcW w:w="2932" w:type="dxa"/>
            <w:gridSpan w:val="2"/>
            <w:vMerge/>
            <w:shd w:val="clear" w:color="auto" w:fill="D9D9D9"/>
            <w:vAlign w:val="center"/>
          </w:tcPr>
          <w:p w:rsidR="001A62D7" w:rsidRPr="007D19EF" w:rsidRDefault="001A62D7" w:rsidP="00052CC7">
            <w:pPr>
              <w:spacing w:before="60" w:after="60"/>
              <w:jc w:val="center"/>
              <w:rPr>
                <w:rFonts w:eastAsia="Times New Roman"/>
                <w:noProof/>
                <w:sz w:val="22"/>
              </w:rPr>
            </w:pPr>
          </w:p>
        </w:tc>
        <w:tc>
          <w:tcPr>
            <w:tcW w:w="2136" w:type="dxa"/>
            <w:tcBorders>
              <w:top w:val="nil"/>
            </w:tcBorders>
            <w:shd w:val="clear" w:color="auto" w:fill="auto"/>
            <w:vAlign w:val="center"/>
          </w:tcPr>
          <w:p w:rsidR="001A62D7" w:rsidRPr="007D19EF" w:rsidRDefault="001A62D7" w:rsidP="00052CC7">
            <w:pPr>
              <w:spacing w:before="60" w:after="60"/>
              <w:jc w:val="center"/>
              <w:rPr>
                <w:rFonts w:eastAsia="Times New Roman"/>
                <w:noProof/>
                <w:sz w:val="22"/>
              </w:rPr>
            </w:pPr>
            <w:r w:rsidRPr="007D19EF">
              <w:rPr>
                <w:noProof/>
                <w:sz w:val="22"/>
              </w:rPr>
              <w:t>(</w:t>
            </w:r>
            <w:r w:rsidRPr="007D19EF">
              <w:rPr>
                <w:noProof/>
              </w:rPr>
              <w:t>69,48 </w:t>
            </w:r>
            <w:r w:rsidRPr="007D19EF">
              <w:rPr>
                <w:noProof/>
                <w:sz w:val="22"/>
              </w:rPr>
              <w:t>%)</w:t>
            </w:r>
          </w:p>
        </w:tc>
      </w:tr>
      <w:tr w:rsidR="001A62D7" w:rsidRPr="007D19EF" w:rsidTr="00A15112">
        <w:tc>
          <w:tcPr>
            <w:tcW w:w="9289" w:type="dxa"/>
            <w:gridSpan w:val="4"/>
            <w:shd w:val="clear" w:color="auto" w:fill="auto"/>
            <w:vAlign w:val="center"/>
          </w:tcPr>
          <w:p w:rsidR="001A62D7" w:rsidRPr="007D19EF" w:rsidRDefault="001A62D7" w:rsidP="00052CC7">
            <w:pPr>
              <w:spacing w:before="60" w:after="60"/>
              <w:jc w:val="left"/>
              <w:rPr>
                <w:noProof/>
                <w:sz w:val="22"/>
              </w:rPr>
            </w:pPr>
            <w:r w:rsidRPr="007D19EF">
              <w:rPr>
                <w:noProof/>
              </w:rPr>
              <w:t>Помощи и стимули (мерки по член 7, параграф 2, втора алинея, буква б) от Регламент (ЕС) 2021/691)</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390472" w:rsidP="00052CC7">
            <w:pPr>
              <w:spacing w:before="60" w:after="60"/>
              <w:jc w:val="left"/>
              <w:rPr>
                <w:noProof/>
              </w:rPr>
            </w:pPr>
            <w:r w:rsidRPr="007D19EF">
              <w:rPr>
                <w:noProof/>
              </w:rPr>
              <w:t xml:space="preserve">Надбавка за дейност по време на стаж или за подготовка за започване на стопанска дейност (Finansiellt stöd (Aktivitetsstöd) för praktik och starta eget) </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150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5473</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821 018</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390472" w:rsidP="00052CC7">
            <w:pPr>
              <w:spacing w:before="60" w:after="60"/>
              <w:jc w:val="left"/>
              <w:rPr>
                <w:noProof/>
              </w:rPr>
            </w:pPr>
            <w:r w:rsidRPr="007D19EF">
              <w:rPr>
                <w:noProof/>
              </w:rPr>
              <w:t>Помощ за мобилност (Flyttbidrag)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150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1824</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273 673</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7D19EF" w:rsidRDefault="00390472" w:rsidP="00052CC7">
            <w:pPr>
              <w:spacing w:before="60" w:after="60"/>
              <w:jc w:val="left"/>
              <w:rPr>
                <w:noProof/>
              </w:rPr>
            </w:pPr>
            <w:r w:rsidRPr="007D19EF">
              <w:rPr>
                <w:noProof/>
              </w:rPr>
              <w:t xml:space="preserve">Надбавка за дейност (Finansiellt stöd (Aktivitetsstöd) </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90472" w:rsidP="00052CC7">
            <w:pPr>
              <w:spacing w:before="60" w:after="60"/>
              <w:jc w:val="center"/>
              <w:rPr>
                <w:noProof/>
              </w:rPr>
            </w:pPr>
            <w:r w:rsidRPr="007D19EF">
              <w:rPr>
                <w:noProof/>
              </w:rPr>
              <w:t>550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7D19EF" w:rsidRDefault="003D21D1" w:rsidP="00052CC7">
            <w:pPr>
              <w:spacing w:before="60" w:after="60"/>
              <w:jc w:val="center"/>
              <w:rPr>
                <w:noProof/>
              </w:rPr>
            </w:pPr>
            <w:r w:rsidRPr="007D19EF">
              <w:rPr>
                <w:noProof/>
              </w:rPr>
              <w:t>5473</w:t>
            </w:r>
          </w:p>
        </w:tc>
        <w:tc>
          <w:tcPr>
            <w:tcW w:w="2136" w:type="dxa"/>
            <w:tcBorders>
              <w:top w:val="single" w:sz="4" w:space="0" w:color="auto"/>
              <w:left w:val="single" w:sz="4" w:space="0" w:color="auto"/>
              <w:bottom w:val="single" w:sz="4" w:space="0" w:color="auto"/>
              <w:right w:val="nil"/>
            </w:tcBorders>
            <w:vAlign w:val="center"/>
            <w:hideMark/>
          </w:tcPr>
          <w:p w:rsidR="001A62D7" w:rsidRPr="007D19EF" w:rsidRDefault="00055197" w:rsidP="00052CC7">
            <w:pPr>
              <w:spacing w:before="60" w:after="60"/>
              <w:jc w:val="center"/>
              <w:rPr>
                <w:noProof/>
              </w:rPr>
            </w:pPr>
            <w:r w:rsidRPr="007D19EF">
              <w:rPr>
                <w:noProof/>
              </w:rPr>
              <w:t>3 010 400</w:t>
            </w:r>
          </w:p>
        </w:tc>
      </w:tr>
      <w:tr w:rsidR="00751A96" w:rsidRPr="007D19EF" w:rsidTr="00055197">
        <w:trPr>
          <w:trHeight w:val="802"/>
        </w:trPr>
        <w:tc>
          <w:tcPr>
            <w:tcW w:w="4221" w:type="dxa"/>
            <w:tcBorders>
              <w:top w:val="single" w:sz="4" w:space="0" w:color="auto"/>
              <w:left w:val="nil"/>
              <w:bottom w:val="single" w:sz="4" w:space="0" w:color="auto"/>
              <w:right w:val="single" w:sz="4" w:space="0" w:color="auto"/>
            </w:tcBorders>
            <w:vAlign w:val="center"/>
          </w:tcPr>
          <w:p w:rsidR="00390472" w:rsidRPr="007D19EF" w:rsidDel="00390472" w:rsidRDefault="00390472" w:rsidP="00052CC7">
            <w:pPr>
              <w:spacing w:before="60" w:after="60"/>
              <w:jc w:val="left"/>
              <w:rPr>
                <w:noProof/>
              </w:rPr>
            </w:pPr>
            <w:r w:rsidRPr="007D19EF">
              <w:rPr>
                <w:noProof/>
              </w:rPr>
              <w:t>Надбавки за покриване на пътни разноски за участие в интервюта (Finansiellt stöd för resa vid anställningsintervju)</w:t>
            </w:r>
          </w:p>
        </w:tc>
        <w:tc>
          <w:tcPr>
            <w:tcW w:w="1476" w:type="dxa"/>
            <w:tcBorders>
              <w:top w:val="single" w:sz="4" w:space="0" w:color="auto"/>
              <w:left w:val="single" w:sz="4" w:space="0" w:color="auto"/>
              <w:bottom w:val="single" w:sz="4" w:space="0" w:color="auto"/>
              <w:right w:val="single" w:sz="4" w:space="0" w:color="auto"/>
            </w:tcBorders>
            <w:vAlign w:val="center"/>
          </w:tcPr>
          <w:p w:rsidR="00390472" w:rsidRPr="007D19EF" w:rsidRDefault="00390472" w:rsidP="00052CC7">
            <w:pPr>
              <w:spacing w:before="60" w:after="60"/>
              <w:jc w:val="center"/>
              <w:rPr>
                <w:noProof/>
              </w:rPr>
            </w:pPr>
            <w:r w:rsidRPr="007D19EF">
              <w:rPr>
                <w:noProof/>
              </w:rPr>
              <w:t>200</w:t>
            </w:r>
          </w:p>
        </w:tc>
        <w:tc>
          <w:tcPr>
            <w:tcW w:w="1456" w:type="dxa"/>
            <w:tcBorders>
              <w:top w:val="single" w:sz="4" w:space="0" w:color="auto"/>
              <w:left w:val="single" w:sz="4" w:space="0" w:color="auto"/>
              <w:bottom w:val="single" w:sz="4" w:space="0" w:color="auto"/>
              <w:right w:val="single" w:sz="4" w:space="0" w:color="auto"/>
            </w:tcBorders>
            <w:vAlign w:val="center"/>
          </w:tcPr>
          <w:p w:rsidR="00390472" w:rsidRPr="007D19EF" w:rsidRDefault="003D21D1" w:rsidP="00052CC7">
            <w:pPr>
              <w:spacing w:before="60" w:after="60"/>
              <w:jc w:val="center"/>
              <w:rPr>
                <w:noProof/>
              </w:rPr>
            </w:pPr>
            <w:r w:rsidRPr="007D19EF">
              <w:rPr>
                <w:noProof/>
              </w:rPr>
              <w:t>328</w:t>
            </w:r>
          </w:p>
        </w:tc>
        <w:tc>
          <w:tcPr>
            <w:tcW w:w="2136" w:type="dxa"/>
            <w:tcBorders>
              <w:top w:val="single" w:sz="4" w:space="0" w:color="auto"/>
              <w:left w:val="single" w:sz="4" w:space="0" w:color="auto"/>
              <w:bottom w:val="single" w:sz="4" w:space="0" w:color="auto"/>
              <w:right w:val="nil"/>
            </w:tcBorders>
            <w:vAlign w:val="center"/>
          </w:tcPr>
          <w:p w:rsidR="00390472" w:rsidRPr="007D19EF" w:rsidRDefault="00055197" w:rsidP="00052CC7">
            <w:pPr>
              <w:spacing w:before="60" w:after="60"/>
              <w:jc w:val="center"/>
              <w:rPr>
                <w:noProof/>
              </w:rPr>
            </w:pPr>
            <w:r w:rsidRPr="007D19EF">
              <w:rPr>
                <w:noProof/>
              </w:rPr>
              <w:t>65 681</w:t>
            </w:r>
          </w:p>
        </w:tc>
      </w:tr>
      <w:tr w:rsidR="001A62D7" w:rsidRPr="007D19EF" w:rsidTr="00A15112">
        <w:trPr>
          <w:trHeight w:val="203"/>
        </w:trPr>
        <w:tc>
          <w:tcPr>
            <w:tcW w:w="4221" w:type="dxa"/>
            <w:vMerge w:val="restart"/>
            <w:shd w:val="clear" w:color="auto" w:fill="auto"/>
            <w:vAlign w:val="center"/>
          </w:tcPr>
          <w:p w:rsidR="001A62D7" w:rsidRPr="007D19EF" w:rsidRDefault="001A62D7" w:rsidP="00052CC7">
            <w:pPr>
              <w:spacing w:before="60" w:after="60"/>
              <w:jc w:val="right"/>
              <w:rPr>
                <w:rFonts w:eastAsia="Times New Roman"/>
                <w:noProof/>
                <w:sz w:val="22"/>
              </w:rPr>
            </w:pPr>
            <w:r w:rsidRPr="007D19EF">
              <w:rPr>
                <w:noProof/>
                <w:sz w:val="22"/>
              </w:rPr>
              <w:t>Междинен сбор (б):</w:t>
            </w:r>
          </w:p>
          <w:p w:rsidR="001A62D7" w:rsidRPr="007D19EF" w:rsidRDefault="001A62D7" w:rsidP="00052CC7">
            <w:pPr>
              <w:spacing w:before="60" w:after="60"/>
              <w:jc w:val="right"/>
              <w:rPr>
                <w:rFonts w:eastAsia="Times New Roman"/>
                <w:noProof/>
                <w:sz w:val="22"/>
              </w:rPr>
            </w:pPr>
            <w:r w:rsidRPr="007D19EF">
              <w:rPr>
                <w:noProof/>
                <w:sz w:val="22"/>
              </w:rPr>
              <w:t>Процент от пакета персонализирани услуги:</w:t>
            </w:r>
          </w:p>
        </w:tc>
        <w:tc>
          <w:tcPr>
            <w:tcW w:w="2932" w:type="dxa"/>
            <w:gridSpan w:val="2"/>
            <w:vMerge w:val="restart"/>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tcBorders>
              <w:bottom w:val="nil"/>
            </w:tcBorders>
            <w:shd w:val="clear" w:color="auto" w:fill="auto"/>
            <w:vAlign w:val="center"/>
          </w:tcPr>
          <w:p w:rsidR="001A62D7" w:rsidRPr="007D19EF" w:rsidRDefault="00154BDB" w:rsidP="00052CC7">
            <w:pPr>
              <w:spacing w:before="60" w:after="60"/>
              <w:jc w:val="center"/>
              <w:rPr>
                <w:rFonts w:eastAsia="Times New Roman"/>
                <w:noProof/>
                <w:sz w:val="22"/>
              </w:rPr>
            </w:pPr>
            <w:r w:rsidRPr="007D19EF">
              <w:rPr>
                <w:noProof/>
              </w:rPr>
              <w:t>4 170 772</w:t>
            </w:r>
          </w:p>
        </w:tc>
      </w:tr>
      <w:tr w:rsidR="001A62D7" w:rsidRPr="007D19EF" w:rsidTr="00A15112">
        <w:trPr>
          <w:trHeight w:val="202"/>
        </w:trPr>
        <w:tc>
          <w:tcPr>
            <w:tcW w:w="4221" w:type="dxa"/>
            <w:vMerge/>
            <w:shd w:val="clear" w:color="auto" w:fill="auto"/>
            <w:vAlign w:val="center"/>
          </w:tcPr>
          <w:p w:rsidR="001A62D7" w:rsidRPr="007D19EF" w:rsidRDefault="001A62D7" w:rsidP="00052CC7">
            <w:pPr>
              <w:spacing w:before="60" w:after="60"/>
              <w:jc w:val="right"/>
              <w:rPr>
                <w:rFonts w:eastAsia="Times New Roman"/>
                <w:noProof/>
                <w:sz w:val="22"/>
              </w:rPr>
            </w:pPr>
          </w:p>
        </w:tc>
        <w:tc>
          <w:tcPr>
            <w:tcW w:w="2932" w:type="dxa"/>
            <w:gridSpan w:val="2"/>
            <w:vMerge/>
            <w:shd w:val="clear" w:color="auto" w:fill="D9D9D9"/>
            <w:vAlign w:val="center"/>
          </w:tcPr>
          <w:p w:rsidR="001A62D7" w:rsidRPr="007D19EF" w:rsidRDefault="001A62D7" w:rsidP="00052CC7">
            <w:pPr>
              <w:spacing w:before="60" w:after="60"/>
              <w:jc w:val="center"/>
              <w:rPr>
                <w:rFonts w:eastAsia="Times New Roman"/>
                <w:noProof/>
                <w:sz w:val="22"/>
              </w:rPr>
            </w:pPr>
          </w:p>
        </w:tc>
        <w:tc>
          <w:tcPr>
            <w:tcW w:w="2136" w:type="dxa"/>
            <w:tcBorders>
              <w:top w:val="nil"/>
            </w:tcBorders>
            <w:shd w:val="clear" w:color="auto" w:fill="auto"/>
            <w:vAlign w:val="center"/>
          </w:tcPr>
          <w:p w:rsidR="001A62D7" w:rsidRPr="007D19EF" w:rsidRDefault="001A62D7" w:rsidP="00052CC7">
            <w:pPr>
              <w:spacing w:before="60" w:after="60"/>
              <w:jc w:val="center"/>
              <w:rPr>
                <w:rFonts w:eastAsia="Times New Roman"/>
                <w:noProof/>
                <w:sz w:val="22"/>
              </w:rPr>
            </w:pPr>
            <w:r w:rsidRPr="007D19EF">
              <w:rPr>
                <w:noProof/>
                <w:sz w:val="22"/>
              </w:rPr>
              <w:t>(</w:t>
            </w:r>
            <w:r w:rsidRPr="007D19EF">
              <w:rPr>
                <w:noProof/>
              </w:rPr>
              <w:t>30,52 </w:t>
            </w:r>
            <w:r w:rsidRPr="007D19EF">
              <w:rPr>
                <w:noProof/>
                <w:sz w:val="22"/>
              </w:rPr>
              <w:t>%)</w:t>
            </w:r>
          </w:p>
        </w:tc>
      </w:tr>
      <w:tr w:rsidR="001A62D7" w:rsidRPr="007D19EF" w:rsidTr="00A15112">
        <w:tc>
          <w:tcPr>
            <w:tcW w:w="9289" w:type="dxa"/>
            <w:gridSpan w:val="4"/>
            <w:shd w:val="clear" w:color="auto" w:fill="auto"/>
            <w:vAlign w:val="center"/>
          </w:tcPr>
          <w:p w:rsidR="001A62D7" w:rsidRPr="007D19EF" w:rsidRDefault="001A62D7" w:rsidP="00052CC7">
            <w:pPr>
              <w:spacing w:before="60" w:after="60"/>
              <w:jc w:val="left"/>
              <w:rPr>
                <w:rFonts w:eastAsia="Times New Roman"/>
                <w:noProof/>
                <w:sz w:val="22"/>
              </w:rPr>
            </w:pPr>
            <w:r w:rsidRPr="007D19EF">
              <w:rPr>
                <w:noProof/>
                <w:sz w:val="22"/>
              </w:rPr>
              <w:t>Дейности по член 7, параграф 5 от Регламент (ЕС) 2021/691</w:t>
            </w:r>
          </w:p>
        </w:tc>
      </w:tr>
      <w:tr w:rsidR="001A62D7" w:rsidRPr="007D19EF" w:rsidTr="00A15112">
        <w:tc>
          <w:tcPr>
            <w:tcW w:w="4221" w:type="dxa"/>
            <w:shd w:val="clear" w:color="auto" w:fill="auto"/>
          </w:tcPr>
          <w:p w:rsidR="001A62D7" w:rsidRPr="007D19EF" w:rsidRDefault="001A62D7" w:rsidP="00052CC7">
            <w:pPr>
              <w:spacing w:before="60" w:after="60"/>
              <w:ind w:left="284"/>
              <w:jc w:val="left"/>
              <w:rPr>
                <w:rFonts w:eastAsia="Times New Roman"/>
                <w:noProof/>
                <w:sz w:val="22"/>
              </w:rPr>
            </w:pPr>
            <w:r w:rsidRPr="007D19EF">
              <w:rPr>
                <w:noProof/>
                <w:sz w:val="22"/>
              </w:rPr>
              <w:t>1. Дейности по подготовка</w:t>
            </w:r>
          </w:p>
        </w:tc>
        <w:tc>
          <w:tcPr>
            <w:tcW w:w="2932" w:type="dxa"/>
            <w:gridSpan w:val="2"/>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shd w:val="clear" w:color="auto" w:fill="auto"/>
          </w:tcPr>
          <w:p w:rsidR="001A62D7" w:rsidRPr="007D19EF" w:rsidRDefault="00941A00" w:rsidP="00052CC7">
            <w:pPr>
              <w:spacing w:before="60" w:after="60"/>
              <w:jc w:val="center"/>
              <w:rPr>
                <w:rFonts w:eastAsia="Times New Roman"/>
                <w:noProof/>
                <w:sz w:val="22"/>
              </w:rPr>
            </w:pPr>
            <w:r w:rsidRPr="007D19EF">
              <w:rPr>
                <w:noProof/>
              </w:rPr>
              <w:t>63 071</w:t>
            </w:r>
          </w:p>
        </w:tc>
      </w:tr>
      <w:tr w:rsidR="001A62D7" w:rsidRPr="007D19EF" w:rsidTr="00A15112">
        <w:tc>
          <w:tcPr>
            <w:tcW w:w="4221" w:type="dxa"/>
            <w:shd w:val="clear" w:color="auto" w:fill="auto"/>
          </w:tcPr>
          <w:p w:rsidR="001A62D7" w:rsidRPr="007D19EF" w:rsidRDefault="001A62D7" w:rsidP="00052CC7">
            <w:pPr>
              <w:spacing w:before="60" w:after="60"/>
              <w:ind w:left="284"/>
              <w:jc w:val="left"/>
              <w:rPr>
                <w:rFonts w:eastAsia="Times New Roman"/>
                <w:noProof/>
                <w:sz w:val="22"/>
              </w:rPr>
            </w:pPr>
            <w:r w:rsidRPr="007D19EF">
              <w:rPr>
                <w:noProof/>
                <w:sz w:val="22"/>
              </w:rPr>
              <w:t>2. Управление</w:t>
            </w:r>
          </w:p>
        </w:tc>
        <w:tc>
          <w:tcPr>
            <w:tcW w:w="2932" w:type="dxa"/>
            <w:gridSpan w:val="2"/>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shd w:val="clear" w:color="auto" w:fill="auto"/>
          </w:tcPr>
          <w:p w:rsidR="001A62D7" w:rsidRPr="007D19EF" w:rsidRDefault="00941A00" w:rsidP="00052CC7">
            <w:pPr>
              <w:spacing w:before="60" w:after="60"/>
              <w:jc w:val="center"/>
              <w:rPr>
                <w:rFonts w:eastAsia="Times New Roman"/>
                <w:noProof/>
                <w:sz w:val="22"/>
              </w:rPr>
            </w:pPr>
            <w:r w:rsidRPr="007D19EF">
              <w:rPr>
                <w:noProof/>
              </w:rPr>
              <w:t>456 121</w:t>
            </w:r>
          </w:p>
        </w:tc>
      </w:tr>
      <w:tr w:rsidR="001A62D7" w:rsidRPr="007D19EF" w:rsidTr="00A15112">
        <w:tc>
          <w:tcPr>
            <w:tcW w:w="4221" w:type="dxa"/>
            <w:shd w:val="clear" w:color="auto" w:fill="auto"/>
          </w:tcPr>
          <w:p w:rsidR="001A62D7" w:rsidRPr="007D19EF" w:rsidRDefault="001A62D7" w:rsidP="00052CC7">
            <w:pPr>
              <w:spacing w:before="60" w:after="60"/>
              <w:ind w:left="284"/>
              <w:jc w:val="left"/>
              <w:rPr>
                <w:rFonts w:eastAsia="Times New Roman"/>
                <w:noProof/>
                <w:sz w:val="22"/>
              </w:rPr>
            </w:pPr>
            <w:r w:rsidRPr="007D19EF">
              <w:rPr>
                <w:noProof/>
                <w:sz w:val="22"/>
              </w:rPr>
              <w:t>3. Информация и публичност</w:t>
            </w:r>
          </w:p>
        </w:tc>
        <w:tc>
          <w:tcPr>
            <w:tcW w:w="2932" w:type="dxa"/>
            <w:gridSpan w:val="2"/>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shd w:val="clear" w:color="auto" w:fill="auto"/>
          </w:tcPr>
          <w:p w:rsidR="001A62D7" w:rsidRPr="007D19EF" w:rsidRDefault="00941A00" w:rsidP="00052CC7">
            <w:pPr>
              <w:spacing w:before="60" w:after="60"/>
              <w:jc w:val="center"/>
              <w:rPr>
                <w:rFonts w:eastAsia="Times New Roman"/>
                <w:noProof/>
                <w:sz w:val="22"/>
              </w:rPr>
            </w:pPr>
            <w:r w:rsidRPr="007D19EF">
              <w:rPr>
                <w:noProof/>
              </w:rPr>
              <w:t>13 684</w:t>
            </w:r>
          </w:p>
        </w:tc>
      </w:tr>
      <w:tr w:rsidR="001A62D7" w:rsidRPr="007D19EF" w:rsidTr="00A15112">
        <w:tc>
          <w:tcPr>
            <w:tcW w:w="4221" w:type="dxa"/>
            <w:shd w:val="clear" w:color="auto" w:fill="auto"/>
          </w:tcPr>
          <w:p w:rsidR="001A62D7" w:rsidRPr="007D19EF" w:rsidRDefault="001A62D7" w:rsidP="00052CC7">
            <w:pPr>
              <w:spacing w:before="60" w:after="60"/>
              <w:ind w:left="284"/>
              <w:jc w:val="left"/>
              <w:rPr>
                <w:rFonts w:eastAsia="Times New Roman"/>
                <w:noProof/>
                <w:sz w:val="22"/>
              </w:rPr>
            </w:pPr>
            <w:r w:rsidRPr="007D19EF">
              <w:rPr>
                <w:noProof/>
                <w:sz w:val="22"/>
              </w:rPr>
              <w:t>4. Контрол и докладване</w:t>
            </w:r>
          </w:p>
        </w:tc>
        <w:tc>
          <w:tcPr>
            <w:tcW w:w="2932" w:type="dxa"/>
            <w:gridSpan w:val="2"/>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tcBorders>
              <w:bottom w:val="single" w:sz="4" w:space="0" w:color="auto"/>
            </w:tcBorders>
            <w:shd w:val="clear" w:color="auto" w:fill="auto"/>
          </w:tcPr>
          <w:p w:rsidR="001A62D7" w:rsidRPr="007D19EF" w:rsidRDefault="00941A00" w:rsidP="00052CC7">
            <w:pPr>
              <w:spacing w:before="60" w:after="60"/>
              <w:jc w:val="center"/>
              <w:rPr>
                <w:rFonts w:eastAsia="Times New Roman"/>
                <w:noProof/>
                <w:sz w:val="22"/>
              </w:rPr>
            </w:pPr>
            <w:r w:rsidRPr="007D19EF">
              <w:rPr>
                <w:noProof/>
              </w:rPr>
              <w:t>13 684</w:t>
            </w:r>
          </w:p>
        </w:tc>
      </w:tr>
      <w:tr w:rsidR="001A62D7" w:rsidRPr="007D19EF" w:rsidTr="00A15112">
        <w:trPr>
          <w:trHeight w:val="203"/>
        </w:trPr>
        <w:tc>
          <w:tcPr>
            <w:tcW w:w="4221" w:type="dxa"/>
            <w:vMerge w:val="restart"/>
            <w:shd w:val="clear" w:color="auto" w:fill="auto"/>
            <w:vAlign w:val="center"/>
          </w:tcPr>
          <w:p w:rsidR="001A62D7" w:rsidRPr="007D19EF" w:rsidRDefault="001A62D7" w:rsidP="00052CC7">
            <w:pPr>
              <w:spacing w:before="60" w:after="60"/>
              <w:jc w:val="right"/>
              <w:rPr>
                <w:rFonts w:eastAsia="Times New Roman"/>
                <w:noProof/>
                <w:sz w:val="22"/>
              </w:rPr>
            </w:pPr>
            <w:r w:rsidRPr="007D19EF">
              <w:rPr>
                <w:noProof/>
                <w:sz w:val="22"/>
              </w:rPr>
              <w:t>Междинен сбор (в):</w:t>
            </w:r>
          </w:p>
          <w:p w:rsidR="001A62D7" w:rsidRPr="007D19EF" w:rsidRDefault="001A62D7" w:rsidP="00052CC7">
            <w:pPr>
              <w:spacing w:before="60" w:after="60"/>
              <w:jc w:val="right"/>
              <w:rPr>
                <w:rFonts w:eastAsia="Times New Roman"/>
                <w:noProof/>
                <w:sz w:val="22"/>
              </w:rPr>
            </w:pPr>
            <w:r w:rsidRPr="007D19EF">
              <w:rPr>
                <w:noProof/>
                <w:sz w:val="22"/>
              </w:rPr>
              <w:t>Процент от общите разходи:</w:t>
            </w:r>
          </w:p>
        </w:tc>
        <w:tc>
          <w:tcPr>
            <w:tcW w:w="2932" w:type="dxa"/>
            <w:gridSpan w:val="2"/>
            <w:vMerge w:val="restart"/>
            <w:shd w:val="clear" w:color="auto" w:fill="D9D9D9"/>
            <w:vAlign w:val="center"/>
          </w:tcPr>
          <w:p w:rsidR="001A62D7" w:rsidRPr="007D19EF" w:rsidRDefault="001A62D7" w:rsidP="00052CC7">
            <w:pPr>
              <w:spacing w:before="0" w:after="0"/>
              <w:jc w:val="center"/>
              <w:rPr>
                <w:rFonts w:eastAsia="Times New Roman"/>
                <w:noProof/>
                <w:sz w:val="22"/>
              </w:rPr>
            </w:pPr>
            <w:r w:rsidRPr="007D19EF">
              <w:rPr>
                <w:noProof/>
                <w:sz w:val="22"/>
              </w:rPr>
              <w:t>—</w:t>
            </w:r>
          </w:p>
        </w:tc>
        <w:tc>
          <w:tcPr>
            <w:tcW w:w="2136" w:type="dxa"/>
            <w:tcBorders>
              <w:bottom w:val="nil"/>
            </w:tcBorders>
            <w:shd w:val="clear" w:color="auto" w:fill="auto"/>
            <w:vAlign w:val="center"/>
          </w:tcPr>
          <w:p w:rsidR="001A62D7" w:rsidRPr="007D19EF" w:rsidRDefault="00941A00" w:rsidP="00052CC7">
            <w:pPr>
              <w:spacing w:before="60" w:after="60"/>
              <w:jc w:val="center"/>
              <w:rPr>
                <w:rFonts w:eastAsia="Times New Roman"/>
                <w:noProof/>
                <w:sz w:val="22"/>
              </w:rPr>
            </w:pPr>
            <w:r w:rsidRPr="007D19EF">
              <w:rPr>
                <w:noProof/>
              </w:rPr>
              <w:t>546 560</w:t>
            </w:r>
          </w:p>
        </w:tc>
      </w:tr>
      <w:tr w:rsidR="001A62D7" w:rsidRPr="007D19EF" w:rsidTr="00A15112">
        <w:trPr>
          <w:trHeight w:val="202"/>
        </w:trPr>
        <w:tc>
          <w:tcPr>
            <w:tcW w:w="4221" w:type="dxa"/>
            <w:vMerge/>
            <w:shd w:val="clear" w:color="auto" w:fill="auto"/>
          </w:tcPr>
          <w:p w:rsidR="001A62D7" w:rsidRPr="007D19EF" w:rsidRDefault="001A62D7" w:rsidP="00052CC7">
            <w:pPr>
              <w:spacing w:before="0" w:after="0"/>
              <w:jc w:val="right"/>
              <w:rPr>
                <w:rFonts w:eastAsia="Times New Roman"/>
                <w:noProof/>
                <w:sz w:val="22"/>
              </w:rPr>
            </w:pPr>
          </w:p>
        </w:tc>
        <w:tc>
          <w:tcPr>
            <w:tcW w:w="2932" w:type="dxa"/>
            <w:gridSpan w:val="2"/>
            <w:vMerge/>
            <w:shd w:val="clear" w:color="auto" w:fill="D9D9D9"/>
            <w:vAlign w:val="center"/>
          </w:tcPr>
          <w:p w:rsidR="001A62D7" w:rsidRPr="007D19EF" w:rsidRDefault="001A62D7" w:rsidP="00052CC7">
            <w:pPr>
              <w:spacing w:before="0" w:after="0"/>
              <w:jc w:val="center"/>
              <w:rPr>
                <w:rFonts w:eastAsia="Times New Roman"/>
                <w:noProof/>
                <w:sz w:val="22"/>
              </w:rPr>
            </w:pPr>
          </w:p>
        </w:tc>
        <w:tc>
          <w:tcPr>
            <w:tcW w:w="2136" w:type="dxa"/>
            <w:tcBorders>
              <w:top w:val="nil"/>
            </w:tcBorders>
            <w:shd w:val="clear" w:color="auto" w:fill="auto"/>
            <w:vAlign w:val="center"/>
          </w:tcPr>
          <w:p w:rsidR="001A62D7" w:rsidRPr="007D19EF" w:rsidRDefault="001A62D7" w:rsidP="00052CC7">
            <w:pPr>
              <w:spacing w:before="60" w:after="60"/>
              <w:jc w:val="center"/>
              <w:rPr>
                <w:rFonts w:eastAsia="Times New Roman"/>
                <w:noProof/>
                <w:sz w:val="22"/>
              </w:rPr>
            </w:pPr>
            <w:r w:rsidRPr="007D19EF">
              <w:rPr>
                <w:noProof/>
                <w:sz w:val="22"/>
              </w:rPr>
              <w:t>(</w:t>
            </w:r>
            <w:r w:rsidRPr="007D19EF">
              <w:rPr>
                <w:noProof/>
              </w:rPr>
              <w:t>3,85 </w:t>
            </w:r>
            <w:r w:rsidRPr="007D19EF">
              <w:rPr>
                <w:noProof/>
                <w:sz w:val="22"/>
              </w:rPr>
              <w:t>%)</w:t>
            </w:r>
          </w:p>
        </w:tc>
      </w:tr>
      <w:tr w:rsidR="001A62D7" w:rsidRPr="007D19EF" w:rsidTr="00A15112">
        <w:tc>
          <w:tcPr>
            <w:tcW w:w="4221" w:type="dxa"/>
            <w:shd w:val="clear" w:color="auto" w:fill="auto"/>
          </w:tcPr>
          <w:p w:rsidR="001A62D7" w:rsidRPr="007D19EF" w:rsidRDefault="001A62D7" w:rsidP="00052CC7">
            <w:pPr>
              <w:spacing w:before="60" w:after="60"/>
              <w:jc w:val="left"/>
              <w:rPr>
                <w:rFonts w:eastAsia="Times New Roman"/>
                <w:noProof/>
                <w:sz w:val="22"/>
              </w:rPr>
            </w:pPr>
            <w:r w:rsidRPr="007D19EF">
              <w:rPr>
                <w:noProof/>
                <w:sz w:val="22"/>
              </w:rPr>
              <w:t>Общо разходи (а + б + в):</w:t>
            </w:r>
          </w:p>
        </w:tc>
        <w:tc>
          <w:tcPr>
            <w:tcW w:w="2932" w:type="dxa"/>
            <w:gridSpan w:val="2"/>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shd w:val="clear" w:color="auto" w:fill="auto"/>
          </w:tcPr>
          <w:p w:rsidR="001A62D7" w:rsidRPr="007D19EF" w:rsidRDefault="00941A00" w:rsidP="00052CC7">
            <w:pPr>
              <w:spacing w:before="60" w:after="60"/>
              <w:jc w:val="center"/>
              <w:rPr>
                <w:noProof/>
                <w:sz w:val="22"/>
              </w:rPr>
            </w:pPr>
            <w:r w:rsidRPr="007D19EF">
              <w:rPr>
                <w:noProof/>
              </w:rPr>
              <w:t>14 210 537</w:t>
            </w:r>
          </w:p>
        </w:tc>
      </w:tr>
      <w:tr w:rsidR="001A62D7" w:rsidRPr="007D19EF" w:rsidTr="00A15112">
        <w:tc>
          <w:tcPr>
            <w:tcW w:w="4221" w:type="dxa"/>
            <w:shd w:val="clear" w:color="auto" w:fill="auto"/>
          </w:tcPr>
          <w:p w:rsidR="001A62D7" w:rsidRPr="007D19EF" w:rsidRDefault="001A62D7" w:rsidP="00052CC7">
            <w:pPr>
              <w:spacing w:before="60" w:after="60"/>
              <w:jc w:val="left"/>
              <w:rPr>
                <w:rFonts w:eastAsia="Times New Roman"/>
                <w:noProof/>
                <w:sz w:val="22"/>
              </w:rPr>
            </w:pPr>
            <w:r w:rsidRPr="007D19EF">
              <w:rPr>
                <w:noProof/>
                <w:sz w:val="22"/>
              </w:rPr>
              <w:t>Принос от ЕФПГ (</w:t>
            </w:r>
            <w:r w:rsidRPr="007D19EF">
              <w:rPr>
                <w:noProof/>
              </w:rPr>
              <w:t>60 </w:t>
            </w:r>
            <w:r w:rsidRPr="007D19EF">
              <w:rPr>
                <w:noProof/>
                <w:sz w:val="22"/>
              </w:rPr>
              <w:t>% от общия размер на разходите)</w:t>
            </w:r>
          </w:p>
        </w:tc>
        <w:tc>
          <w:tcPr>
            <w:tcW w:w="2932" w:type="dxa"/>
            <w:gridSpan w:val="2"/>
            <w:shd w:val="clear" w:color="auto" w:fill="D9D9D9"/>
            <w:vAlign w:val="center"/>
          </w:tcPr>
          <w:p w:rsidR="001A62D7" w:rsidRPr="007D19EF" w:rsidRDefault="001A62D7" w:rsidP="00052CC7">
            <w:pPr>
              <w:spacing w:before="60" w:after="60"/>
              <w:jc w:val="center"/>
              <w:rPr>
                <w:rFonts w:eastAsia="Times New Roman"/>
                <w:noProof/>
                <w:sz w:val="22"/>
              </w:rPr>
            </w:pPr>
            <w:r w:rsidRPr="007D19EF">
              <w:rPr>
                <w:noProof/>
                <w:sz w:val="22"/>
              </w:rPr>
              <w:t>—</w:t>
            </w:r>
          </w:p>
        </w:tc>
        <w:tc>
          <w:tcPr>
            <w:tcW w:w="2136" w:type="dxa"/>
            <w:shd w:val="clear" w:color="auto" w:fill="auto"/>
          </w:tcPr>
          <w:p w:rsidR="001A62D7" w:rsidRPr="007D19EF" w:rsidRDefault="00941A00" w:rsidP="00052CC7">
            <w:pPr>
              <w:spacing w:before="60" w:after="60"/>
              <w:jc w:val="center"/>
              <w:rPr>
                <w:rFonts w:eastAsia="Times New Roman"/>
                <w:noProof/>
                <w:sz w:val="22"/>
              </w:rPr>
            </w:pPr>
            <w:r w:rsidRPr="007D19EF">
              <w:rPr>
                <w:noProof/>
              </w:rPr>
              <w:t>8 526 322</w:t>
            </w:r>
          </w:p>
        </w:tc>
      </w:tr>
    </w:tbl>
    <w:p w:rsidR="001A62D7" w:rsidRPr="007D19EF" w:rsidRDefault="00B83420" w:rsidP="00B83420">
      <w:pPr>
        <w:pStyle w:val="ManualNumPar1"/>
        <w:rPr>
          <w:noProof/>
          <w:szCs w:val="20"/>
        </w:rPr>
      </w:pPr>
      <w:r w:rsidRPr="00B83420">
        <w:rPr>
          <w:noProof/>
        </w:rPr>
        <w:t>39.</w:t>
      </w:r>
      <w:r w:rsidRPr="00B83420">
        <w:rPr>
          <w:noProof/>
        </w:rPr>
        <w:tab/>
      </w:r>
      <w:r w:rsidR="001A62D7" w:rsidRPr="007D19EF">
        <w:rPr>
          <w:noProof/>
        </w:rPr>
        <w:t>Разходите за мерките, определени в горната таблица като мерки по член 7, параграф 2, втора алинея, буква б) от Регламент (ЕС) 2021/691, не надвишават 35 % от общия размер на разходите за съгласувания пакет от персонализирани услуги. Швеция потвърди, че тези мерки са обвързани с условието за активно участие на целевите бенефициери в дейности по търсене на работа или обучение.</w:t>
      </w:r>
    </w:p>
    <w:p w:rsidR="001A62D7" w:rsidRPr="007D19EF" w:rsidRDefault="00B83420" w:rsidP="00B83420">
      <w:pPr>
        <w:pStyle w:val="ManualNumPar1"/>
        <w:rPr>
          <w:noProof/>
        </w:rPr>
      </w:pPr>
      <w:r w:rsidRPr="00B83420">
        <w:rPr>
          <w:noProof/>
        </w:rPr>
        <w:t>40.</w:t>
      </w:r>
      <w:r w:rsidRPr="00B83420">
        <w:rPr>
          <w:noProof/>
        </w:rPr>
        <w:tab/>
      </w:r>
      <w:r w:rsidR="001A62D7" w:rsidRPr="007D19EF">
        <w:rPr>
          <w:noProof/>
        </w:rPr>
        <w:t>В съответствие с член 7, параграф 2, четвърта алинея от Регламент (ЕС) 2021/691 Швеция потвърди, че разходите за инвестиции за самостоятелна заетост, започване на предприемаческа дейност и изкупуване на дружество от служителите няма да надхвърлят 22 000 EUR на бенефициер.</w:t>
      </w:r>
    </w:p>
    <w:p w:rsidR="001A62D7" w:rsidRPr="007D19EF" w:rsidRDefault="001A62D7" w:rsidP="001A62D7">
      <w:pPr>
        <w:pStyle w:val="ManualHeading3"/>
        <w:rPr>
          <w:noProof/>
        </w:rPr>
      </w:pPr>
      <w:r w:rsidRPr="007D19EF">
        <w:rPr>
          <w:noProof/>
        </w:rPr>
        <w:t>Период на допустимост на разходите</w:t>
      </w:r>
    </w:p>
    <w:p w:rsidR="001A62D7" w:rsidRPr="007D19EF" w:rsidRDefault="00B83420" w:rsidP="00B83420">
      <w:pPr>
        <w:pStyle w:val="ManualNumPar1"/>
        <w:rPr>
          <w:noProof/>
        </w:rPr>
      </w:pPr>
      <w:r w:rsidRPr="00B83420">
        <w:rPr>
          <w:noProof/>
        </w:rPr>
        <w:t>41.</w:t>
      </w:r>
      <w:r w:rsidRPr="00B83420">
        <w:rPr>
          <w:noProof/>
        </w:rPr>
        <w:tab/>
      </w:r>
      <w:r w:rsidR="00354072" w:rsidRPr="007D19EF">
        <w:rPr>
          <w:noProof/>
        </w:rPr>
        <w:t>Швеция започна да предоставя персонализираните услуги на бенефициерите от целевата група на 25 октомври 2024 г. Поради това разходите за мерките ще бъдат допустими за финансов принос от ЕФПГ в периода от 25 октомври 2024 г. до 24 месеца след датата на влизане в сила на решението за финансиране, с изключение на курсове за образование или обучение, чиято продължителност е две или повече години, които ще бъдат допустими до 31 месеца след датата на влизане в сила на решението за финансиране.</w:t>
      </w:r>
    </w:p>
    <w:p w:rsidR="001A62D7" w:rsidRPr="007D19EF" w:rsidRDefault="00B83420" w:rsidP="00B83420">
      <w:pPr>
        <w:pStyle w:val="ManualNumPar1"/>
        <w:rPr>
          <w:noProof/>
        </w:rPr>
      </w:pPr>
      <w:r w:rsidRPr="00B83420">
        <w:rPr>
          <w:noProof/>
        </w:rPr>
        <w:t>42.</w:t>
      </w:r>
      <w:r w:rsidRPr="00B83420">
        <w:rPr>
          <w:noProof/>
        </w:rPr>
        <w:tab/>
      </w:r>
      <w:r w:rsidR="009F7C12" w:rsidRPr="007D19EF">
        <w:rPr>
          <w:noProof/>
        </w:rPr>
        <w:t xml:space="preserve">Швеция започна да извършва административните разходи по прилагането на ЕФПГ на 25 октомври 2024 г. Поради това разходите за дейности по подготовка, управление, информация и публичност, контрол и докладване следва да бъдат допустими за финансов принос от ЕФПГ в периода от 25 октомври 2024 г. до 31 месеца след датата на влизане в сила на решението за финансиране. </w:t>
      </w:r>
    </w:p>
    <w:p w:rsidR="001A62D7" w:rsidRPr="007D19EF" w:rsidRDefault="001A62D7" w:rsidP="001A62D7">
      <w:pPr>
        <w:pStyle w:val="ManualHeading2"/>
        <w:rPr>
          <w:noProof/>
        </w:rPr>
      </w:pPr>
      <w:r w:rsidRPr="007D19EF">
        <w:rPr>
          <w:noProof/>
        </w:rPr>
        <w:t>Системи за управление и контрол</w:t>
      </w:r>
    </w:p>
    <w:p w:rsidR="006F4354" w:rsidRPr="007D19EF" w:rsidRDefault="00B83420" w:rsidP="00B83420">
      <w:pPr>
        <w:pStyle w:val="ManualNumPar1"/>
        <w:rPr>
          <w:noProof/>
        </w:rPr>
      </w:pPr>
      <w:r w:rsidRPr="00B83420">
        <w:rPr>
          <w:noProof/>
        </w:rPr>
        <w:t>43.</w:t>
      </w:r>
      <w:r w:rsidRPr="00B83420">
        <w:rPr>
          <w:noProof/>
        </w:rPr>
        <w:tab/>
      </w:r>
      <w:r w:rsidR="001A62D7" w:rsidRPr="007D19EF">
        <w:rPr>
          <w:noProof/>
        </w:rPr>
        <w:t>В заявлението е описана системата за управление и контрол, изисквана съгласно член 23 от Регламент (ЕС) 2021/691, в който са посочени отговорностите на съответните органи. Швеция уведоми Комисията, че финансовото участие ще бъде управлявано от Arbetsförmedlingen, шведската публична служба по заетостта, както и при предишни случаи на подпомагане по ЕФПГ. Arbetsförmedlingen действа като управляващ и разплащателен орган. Отделът за европейско и международно сътрудничество в Службата на генералния директор носи цялостната отговорност за управлението на мерките по ЕФПГ. Отдел „Счетоводство и отчетност“ към Дирекция „Финанси“ отговаря за управлението на финансовите ресурси. Определена е и удостоверяваща функция за заверяване на окончателните отчети по проекта. Швеция също така уведоми, че управляващият орган ще възложи на външно независимо одитно дружество да изготви одитно становище относно това дали разходите, за които е предоставено съфинансиране от ЕС, са законосъобразни и редовни, дали отчетите, в които подробно се описват разходите по програмата, дават вярна и точна представа, и дали въведените системи за контрол функционират правилно.</w:t>
      </w:r>
    </w:p>
    <w:p w:rsidR="001A62D7" w:rsidRPr="007D19EF" w:rsidRDefault="001A62D7" w:rsidP="001A62D7">
      <w:pPr>
        <w:pStyle w:val="ManualHeading2"/>
        <w:rPr>
          <w:noProof/>
        </w:rPr>
      </w:pPr>
      <w:r w:rsidRPr="007D19EF">
        <w:rPr>
          <w:noProof/>
        </w:rPr>
        <w:t>Ангажименти, поети от засегнатата държава членка</w:t>
      </w:r>
    </w:p>
    <w:p w:rsidR="001A62D7" w:rsidRPr="007D19EF" w:rsidRDefault="00B83420" w:rsidP="00B83420">
      <w:pPr>
        <w:pStyle w:val="ManualNumPar1"/>
        <w:rPr>
          <w:noProof/>
        </w:rPr>
      </w:pPr>
      <w:r w:rsidRPr="00B83420">
        <w:rPr>
          <w:noProof/>
        </w:rPr>
        <w:t>44.</w:t>
      </w:r>
      <w:r w:rsidRPr="00B83420">
        <w:rPr>
          <w:noProof/>
        </w:rPr>
        <w:tab/>
      </w:r>
      <w:r w:rsidR="00307EA7" w:rsidRPr="007D19EF">
        <w:rPr>
          <w:noProof/>
        </w:rPr>
        <w:t xml:space="preserve">Шведските органи са предоставили всички необходими гаранции за това, че: </w:t>
      </w:r>
    </w:p>
    <w:p w:rsidR="001A62D7" w:rsidRPr="007D19EF" w:rsidRDefault="001A62D7" w:rsidP="001A62D7">
      <w:pPr>
        <w:pStyle w:val="Tiret1"/>
        <w:rPr>
          <w:noProof/>
        </w:rPr>
      </w:pPr>
      <w:r w:rsidRPr="007D19EF">
        <w:rPr>
          <w:noProof/>
        </w:rPr>
        <w:t>при достъпа до предложените мерки и тяхното изпълнение ще се спазват принципите на равно третиране и недискриминация;</w:t>
      </w:r>
    </w:p>
    <w:p w:rsidR="001A62D7" w:rsidRPr="007D19EF" w:rsidRDefault="001A62D7" w:rsidP="001A62D7">
      <w:pPr>
        <w:pStyle w:val="Tiret1"/>
        <w:rPr>
          <w:noProof/>
        </w:rPr>
      </w:pPr>
      <w:r w:rsidRPr="007D19EF">
        <w:rPr>
          <w:noProof/>
        </w:rPr>
        <w:t>са спазени изискванията, определени в националното законодателство и в законодателството на ЕС относно колективните съкращения;</w:t>
      </w:r>
    </w:p>
    <w:p w:rsidR="001A62D7" w:rsidRPr="007D19EF" w:rsidRDefault="001A62D7" w:rsidP="001A62D7">
      <w:pPr>
        <w:pStyle w:val="Tiret1"/>
        <w:rPr>
          <w:noProof/>
        </w:rPr>
      </w:pPr>
      <w:r w:rsidRPr="007D19EF">
        <w:rPr>
          <w:noProof/>
        </w:rPr>
        <w:t>няма да бъде допуснато двойно финансиране;</w:t>
      </w:r>
    </w:p>
    <w:p w:rsidR="001A62D7" w:rsidRPr="007D19EF" w:rsidRDefault="001A62D7" w:rsidP="001A62D7">
      <w:pPr>
        <w:pStyle w:val="Tiret1"/>
        <w:rPr>
          <w:noProof/>
        </w:rPr>
      </w:pPr>
      <w:r w:rsidRPr="007D19EF">
        <w:rPr>
          <w:noProof/>
        </w:rPr>
        <w:t>финансовият принос от ЕФПГ ще бъде съобразен с процедурните и материалноправните разпоредби на Съюза относно държавната помощ.</w:t>
      </w:r>
    </w:p>
    <w:p w:rsidR="001A62D7" w:rsidRPr="007D19EF" w:rsidRDefault="001A62D7" w:rsidP="001A62D7">
      <w:pPr>
        <w:pStyle w:val="ManualHeading1"/>
        <w:rPr>
          <w:noProof/>
        </w:rPr>
      </w:pPr>
      <w:r w:rsidRPr="007D19EF">
        <w:rPr>
          <w:noProof/>
        </w:rPr>
        <w:t>ОТРАЖЕНИЕ ВЪРХУ БЮДЖЕТА</w:t>
      </w:r>
    </w:p>
    <w:p w:rsidR="001A62D7" w:rsidRPr="007D19EF" w:rsidRDefault="001A62D7" w:rsidP="001A62D7">
      <w:pPr>
        <w:pStyle w:val="ManualHeading2"/>
        <w:rPr>
          <w:noProof/>
        </w:rPr>
      </w:pPr>
      <w:r w:rsidRPr="007D19EF">
        <w:rPr>
          <w:noProof/>
        </w:rPr>
        <w:t>Бюджетно предложение</w:t>
      </w:r>
    </w:p>
    <w:p w:rsidR="001A62D7" w:rsidRPr="007D19EF" w:rsidRDefault="00B83420" w:rsidP="00B83420">
      <w:pPr>
        <w:pStyle w:val="ManualNumPar1"/>
        <w:rPr>
          <w:noProof/>
        </w:rPr>
      </w:pPr>
      <w:r w:rsidRPr="00B83420">
        <w:rPr>
          <w:noProof/>
        </w:rPr>
        <w:t>45.</w:t>
      </w:r>
      <w:r w:rsidRPr="00B83420">
        <w:rPr>
          <w:noProof/>
        </w:rPr>
        <w:tab/>
      </w:r>
      <w:r w:rsidR="001A62D7" w:rsidRPr="007D19EF">
        <w:rPr>
          <w:noProof/>
        </w:rPr>
        <w:t>В съответствие с предвиденото в член 8 от Регламент (ЕС, Евратом) 2020/2093 на Съвета от 17 декември 2020 г. за определяне на многогодишната финансова рамка за годините 2021—2027</w:t>
      </w:r>
      <w:r w:rsidR="001A62D7" w:rsidRPr="007D19EF">
        <w:rPr>
          <w:rStyle w:val="FootnoteReference"/>
          <w:noProof/>
        </w:rPr>
        <w:footnoteReference w:id="19"/>
      </w:r>
      <w:r w:rsidR="001A62D7" w:rsidRPr="007D19EF">
        <w:rPr>
          <w:noProof/>
        </w:rPr>
        <w:t>, изменен с Регламент (ЕС, Евратом) 2024/765 на Съвета от 29 февруари 2024 г.</w:t>
      </w:r>
      <w:r w:rsidR="001A62D7" w:rsidRPr="007D19EF">
        <w:rPr>
          <w:rStyle w:val="FootnoteReference"/>
          <w:noProof/>
        </w:rPr>
        <w:footnoteReference w:id="20"/>
      </w:r>
      <w:r w:rsidR="001A62D7" w:rsidRPr="007D19EF">
        <w:rPr>
          <w:noProof/>
        </w:rPr>
        <w:t>, ЕФПГ не може да надхвърля максимален годишен размер от 30 милиона евро (по цени от 2018 г.).</w:t>
      </w:r>
    </w:p>
    <w:p w:rsidR="001A62D7" w:rsidRPr="007D19EF" w:rsidRDefault="00B83420" w:rsidP="00B83420">
      <w:pPr>
        <w:pStyle w:val="ManualNumPar1"/>
        <w:rPr>
          <w:rFonts w:eastAsia="Calibri"/>
          <w:noProof/>
        </w:rPr>
      </w:pPr>
      <w:r w:rsidRPr="00B83420">
        <w:rPr>
          <w:noProof/>
        </w:rPr>
        <w:t>46.</w:t>
      </w:r>
      <w:r w:rsidRPr="00B83420">
        <w:rPr>
          <w:noProof/>
        </w:rPr>
        <w:tab/>
      </w:r>
      <w:r w:rsidR="001A62D7" w:rsidRPr="007D19EF">
        <w:rPr>
          <w:noProof/>
        </w:rPr>
        <w:t>След като проучи заявлението с оглед на условията, определени в член 13, параграфи 1 и 2 от Регламент (ЕС) 2021/691, и като отчете броя на целевите бенефициери, предложените мерки и прогнозните разходи, Комисията предлага да бъдат мобилизирани средства от ЕФПГ в размер на 8 526 322 EUR за предоставяне на финансов принос в отговор на заявлението, което представлява 60 % от общите разходи за предложените мерки.</w:t>
      </w:r>
    </w:p>
    <w:p w:rsidR="001A62D7" w:rsidRPr="007D19EF" w:rsidRDefault="00B83420" w:rsidP="00B83420">
      <w:pPr>
        <w:pStyle w:val="ManualNumPar1"/>
        <w:rPr>
          <w:rFonts w:eastAsia="Times New Roman"/>
          <w:noProof/>
        </w:rPr>
      </w:pPr>
      <w:r w:rsidRPr="00B83420">
        <w:rPr>
          <w:noProof/>
        </w:rPr>
        <w:t>47.</w:t>
      </w:r>
      <w:r w:rsidRPr="00B83420">
        <w:rPr>
          <w:noProof/>
        </w:rPr>
        <w:tab/>
      </w:r>
      <w:r w:rsidR="001A62D7" w:rsidRPr="007D19EF">
        <w:rPr>
          <w:noProof/>
        </w:rPr>
        <w:t>Предложеното решение за мобилизиране на средства от ЕФПГ ще бъде взето съвместно от Европейския парламент и Съвета съгласно член 15, параграф 1, първа алинея, второ изречение от Регламент (ЕС) 2021/691 и в съответствие с предвиденото в точка 9 от Междуинституционалното споразумение от 16 декември 2020 г. между Европейския парламент, Съвета на Европейския съюз и Европейската комисия относно бюджетната дисциплина, сътрудничеството по бюджетни въпроси и доброто финансово управление и относно новите собствени ресурси, включително пътна карта за въвеждането на нови собствени ресурси</w:t>
      </w:r>
      <w:r w:rsidR="001A62D7" w:rsidRPr="007D19EF">
        <w:rPr>
          <w:rStyle w:val="FootnoteReference"/>
          <w:noProof/>
        </w:rPr>
        <w:footnoteReference w:id="21"/>
      </w:r>
      <w:r w:rsidR="001A62D7" w:rsidRPr="007D19EF">
        <w:rPr>
          <w:noProof/>
        </w:rPr>
        <w:t>.</w:t>
      </w:r>
    </w:p>
    <w:p w:rsidR="001A62D7" w:rsidRPr="007D19EF" w:rsidRDefault="001A62D7" w:rsidP="001A62D7">
      <w:pPr>
        <w:pStyle w:val="ManualHeading2"/>
        <w:rPr>
          <w:noProof/>
        </w:rPr>
      </w:pPr>
      <w:r w:rsidRPr="007D19EF">
        <w:rPr>
          <w:noProof/>
        </w:rPr>
        <w:t>Свързани актове</w:t>
      </w:r>
    </w:p>
    <w:p w:rsidR="001A62D7" w:rsidRPr="007D19EF" w:rsidRDefault="00B83420" w:rsidP="00B83420">
      <w:pPr>
        <w:pStyle w:val="ManualNumPar1"/>
        <w:rPr>
          <w:noProof/>
        </w:rPr>
      </w:pPr>
      <w:r w:rsidRPr="00B83420">
        <w:rPr>
          <w:noProof/>
        </w:rPr>
        <w:t>48.</w:t>
      </w:r>
      <w:r w:rsidRPr="00B83420">
        <w:rPr>
          <w:noProof/>
        </w:rPr>
        <w:tab/>
      </w:r>
      <w:r w:rsidR="001A62D7" w:rsidRPr="007D19EF">
        <w:rPr>
          <w:noProof/>
        </w:rPr>
        <w:t>Едновременно с настоящото предложение за решение за мобилизиране на средства от ЕФПГ Комисията ще представи на Европейския парламент и на Съвета предложение да бъде прехвърлена сумата от 8 526 322 EUR към съответния бюджетен ред.</w:t>
      </w:r>
    </w:p>
    <w:p w:rsidR="001A62D7" w:rsidRPr="007D19EF" w:rsidRDefault="00B83420" w:rsidP="00B83420">
      <w:pPr>
        <w:pStyle w:val="ManualNumPar1"/>
        <w:rPr>
          <w:noProof/>
        </w:rPr>
      </w:pPr>
      <w:r w:rsidRPr="00B83420">
        <w:rPr>
          <w:noProof/>
        </w:rPr>
        <w:t>49.</w:t>
      </w:r>
      <w:r w:rsidRPr="00B83420">
        <w:rPr>
          <w:noProof/>
        </w:rPr>
        <w:tab/>
      </w:r>
      <w:r w:rsidR="001A62D7" w:rsidRPr="007D19EF">
        <w:rPr>
          <w:noProof/>
        </w:rPr>
        <w:t>Едновременно с приемането на настоящото предложение за решение за мобилизиране на средства от ЕФПГ Комисията прие решение за предоставяне на финансов принос, което представлява решение за финансиране по смисъла на член 110 от Регламент (ЕС, Евратом) 2024/2509</w:t>
      </w:r>
      <w:r w:rsidR="001A62D7" w:rsidRPr="007D19EF">
        <w:rPr>
          <w:rStyle w:val="FootnoteReference"/>
          <w:noProof/>
        </w:rPr>
        <w:footnoteReference w:id="22"/>
      </w:r>
      <w:r w:rsidR="001A62D7" w:rsidRPr="007D19EF">
        <w:rPr>
          <w:noProof/>
        </w:rPr>
        <w:t>. Решението за финансиране ще влезе в сила на датата, на която Комисията бъде уведомена за одобряването на бюджетния трансфер от Европейския парламент и от Съвета съгласно член 15, параграф 2, първа алинея от Регламент (ЕС) 2021/691.</w:t>
      </w:r>
    </w:p>
    <w:p w:rsidR="001A62D7" w:rsidRPr="007D19EF" w:rsidRDefault="001A62D7" w:rsidP="001A62D7">
      <w:pPr>
        <w:rPr>
          <w:noProof/>
        </w:rPr>
        <w:sectPr w:rsidR="001A62D7" w:rsidRPr="007D19EF" w:rsidSect="002768D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08"/>
          <w:docGrid w:linePitch="360"/>
        </w:sectPr>
      </w:pPr>
    </w:p>
    <w:p w:rsidR="009236F9" w:rsidRDefault="0050792B">
      <w:pPr>
        <w:pStyle w:val="Rfrenceinterinstitutionnelle"/>
        <w:rPr>
          <w:noProof/>
        </w:rPr>
      </w:pPr>
      <w:r>
        <w:rPr>
          <w:noProof/>
        </w:rPr>
        <w:t>2025/0326 (BUD)</w:t>
      </w:r>
    </w:p>
    <w:p w:rsidR="001A62D7" w:rsidRPr="007D19EF" w:rsidRDefault="007D19EF" w:rsidP="007D19EF">
      <w:pPr>
        <w:pStyle w:val="Statut"/>
        <w:rPr>
          <w:noProof/>
        </w:rPr>
      </w:pPr>
      <w:r w:rsidRPr="007D19EF">
        <w:rPr>
          <w:noProof/>
        </w:rPr>
        <w:t>Предложение за</w:t>
      </w:r>
    </w:p>
    <w:p w:rsidR="001A62D7" w:rsidRPr="007D19EF" w:rsidRDefault="007D19EF" w:rsidP="007D19EF">
      <w:pPr>
        <w:pStyle w:val="Typedudocument"/>
        <w:rPr>
          <w:noProof/>
        </w:rPr>
      </w:pPr>
      <w:r w:rsidRPr="007D19EF">
        <w:rPr>
          <w:noProof/>
        </w:rPr>
        <w:t>РЕШЕНИЕ НА ЕВРОПЕЙСКИЯ ПАРЛАМЕНТ И НА СЪВЕТА</w:t>
      </w:r>
    </w:p>
    <w:p w:rsidR="001A62D7" w:rsidRPr="007D19EF" w:rsidRDefault="007D19EF" w:rsidP="007D19EF">
      <w:pPr>
        <w:pStyle w:val="Titreobjet"/>
        <w:rPr>
          <w:noProof/>
        </w:rPr>
      </w:pPr>
      <w:r w:rsidRPr="007D19EF">
        <w:rPr>
          <w:noProof/>
        </w:rPr>
        <w:t>за мобилизиране на средства от Европейския фонд за приспособяване към глобализацията за съкратени работници във връзка със заявление от Швеция — EGF/2025/003 SE/Northvolt</w:t>
      </w:r>
    </w:p>
    <w:p w:rsidR="001A62D7" w:rsidRPr="007D19EF" w:rsidRDefault="001A62D7" w:rsidP="001A62D7">
      <w:pPr>
        <w:pStyle w:val="Institutionquiagit"/>
        <w:rPr>
          <w:noProof/>
        </w:rPr>
      </w:pPr>
      <w:r w:rsidRPr="007D19EF">
        <w:rPr>
          <w:noProof/>
        </w:rPr>
        <w:t>ЕВРОПЕЙСКИЯТ ПАРЛАМЕНТ И СЪВЕТЪТ НА ЕВРОПЕЙСКИЯ СЪЮЗ,</w:t>
      </w:r>
    </w:p>
    <w:p w:rsidR="001A62D7" w:rsidRPr="007D19EF" w:rsidRDefault="001A62D7" w:rsidP="001A62D7">
      <w:pPr>
        <w:rPr>
          <w:noProof/>
        </w:rPr>
      </w:pPr>
      <w:r w:rsidRPr="007D19EF">
        <w:rPr>
          <w:noProof/>
        </w:rPr>
        <w:t>като взеха предвид Договора за функционирането на Европейския съюз,</w:t>
      </w:r>
    </w:p>
    <w:p w:rsidR="001A62D7" w:rsidRPr="007D19EF" w:rsidRDefault="001A62D7" w:rsidP="001A62D7">
      <w:pPr>
        <w:rPr>
          <w:noProof/>
        </w:rPr>
      </w:pPr>
      <w:r w:rsidRPr="007D19EF">
        <w:rPr>
          <w:noProof/>
        </w:rPr>
        <w:t>като взеха предвид Регламент (ЕС) 2021/691 на Европейския парламент и на Съвета от 28 април 2021 г. относно Европейския фонд за приспособяване към глобализацията за съкратени работници (ЕФПГ) и за отмяна на Регламент (ЕС) № 1309/2013</w:t>
      </w:r>
      <w:r w:rsidRPr="007D19EF">
        <w:rPr>
          <w:rStyle w:val="FootnoteReference"/>
          <w:noProof/>
        </w:rPr>
        <w:footnoteReference w:id="23"/>
      </w:r>
      <w:r w:rsidRPr="007D19EF">
        <w:rPr>
          <w:noProof/>
        </w:rPr>
        <w:t>, и по-специално член 15, параграф 1, първа алинея от него,</w:t>
      </w:r>
    </w:p>
    <w:p w:rsidR="001A62D7" w:rsidRPr="007D19EF" w:rsidRDefault="001A62D7" w:rsidP="001A62D7">
      <w:pPr>
        <w:rPr>
          <w:noProof/>
        </w:rPr>
      </w:pPr>
      <w:r w:rsidRPr="007D19EF">
        <w:rPr>
          <w:noProof/>
        </w:rPr>
        <w:t>като взеха предвид Междуинституционалното споразумение от 16 декември 2020 г. между Европейския парламент, Съвета на Европейския съюз и Европейската комисия относно бюджетната дисциплина, сътрудничеството по бюджетни въпроси и доброто финансово управление и относно новите собствени ресурси, включително пътна карта за въвеждането на нови собствени ресурси</w:t>
      </w:r>
      <w:r w:rsidRPr="007D19EF">
        <w:rPr>
          <w:rStyle w:val="FootnoteReference"/>
          <w:noProof/>
        </w:rPr>
        <w:footnoteReference w:id="24"/>
      </w:r>
      <w:r w:rsidRPr="007D19EF">
        <w:rPr>
          <w:noProof/>
        </w:rPr>
        <w:t>, и по-специално точка 9 от него,</w:t>
      </w:r>
    </w:p>
    <w:p w:rsidR="001A62D7" w:rsidRPr="007D19EF" w:rsidRDefault="001A62D7" w:rsidP="001A62D7">
      <w:pPr>
        <w:rPr>
          <w:noProof/>
        </w:rPr>
      </w:pPr>
      <w:r w:rsidRPr="007D19EF">
        <w:rPr>
          <w:noProof/>
        </w:rPr>
        <w:t>като взеха предвид предложението на Европейската комисия,</w:t>
      </w:r>
    </w:p>
    <w:p w:rsidR="001A62D7" w:rsidRPr="007D19EF" w:rsidRDefault="001A62D7" w:rsidP="001A62D7">
      <w:pPr>
        <w:rPr>
          <w:noProof/>
        </w:rPr>
      </w:pPr>
      <w:r w:rsidRPr="007D19EF">
        <w:rPr>
          <w:noProof/>
        </w:rPr>
        <w:t>като имат предвид, че:</w:t>
      </w:r>
    </w:p>
    <w:p w:rsidR="001A62D7" w:rsidRPr="007D19EF" w:rsidRDefault="00B83420" w:rsidP="00B83420">
      <w:pPr>
        <w:pStyle w:val="ManualConsidrant"/>
        <w:rPr>
          <w:noProof/>
        </w:rPr>
      </w:pPr>
      <w:r w:rsidRPr="00B83420">
        <w:rPr>
          <w:noProof/>
        </w:rPr>
        <w:t>(1)</w:t>
      </w:r>
      <w:r w:rsidRPr="00B83420">
        <w:rPr>
          <w:noProof/>
        </w:rPr>
        <w:tab/>
      </w:r>
      <w:r w:rsidR="001A62D7" w:rsidRPr="007D19EF">
        <w:rPr>
          <w:noProof/>
        </w:rPr>
        <w:t xml:space="preserve">Целите на Европейския фонд за приспособяване към глобализацията за съкратени работници (ЕФПГ) са да засвидетелства солидарност и да насърчава достойната и устойчива заетост в Съюза, като оказва подкрепа на съкратени работници и самостоятелно заети лица, чиято дейност е била прекратена в резултат на големи преструктурирания, както и като ги подпомага за възможно най-бързото им връщане към достойна и устойчива заетост. </w:t>
      </w:r>
    </w:p>
    <w:p w:rsidR="001A62D7" w:rsidRPr="007D19EF" w:rsidRDefault="00B83420" w:rsidP="00B83420">
      <w:pPr>
        <w:pStyle w:val="ManualConsidrant"/>
        <w:rPr>
          <w:noProof/>
        </w:rPr>
      </w:pPr>
      <w:r w:rsidRPr="00B83420">
        <w:rPr>
          <w:noProof/>
        </w:rPr>
        <w:t>(2)</w:t>
      </w:r>
      <w:r w:rsidRPr="00B83420">
        <w:rPr>
          <w:noProof/>
        </w:rPr>
        <w:tab/>
      </w:r>
      <w:r w:rsidR="001A62D7" w:rsidRPr="007D19EF">
        <w:rPr>
          <w:noProof/>
        </w:rPr>
        <w:t>В съответствие с предвиденото в член 8 от Регламент (ЕС, Евратом) 2020/2093 на Съвета</w:t>
      </w:r>
      <w:r w:rsidR="001A62D7" w:rsidRPr="007D19EF">
        <w:rPr>
          <w:rStyle w:val="FootnoteReference"/>
          <w:noProof/>
        </w:rPr>
        <w:footnoteReference w:id="25"/>
      </w:r>
      <w:r w:rsidR="001A62D7" w:rsidRPr="007D19EF">
        <w:rPr>
          <w:noProof/>
        </w:rPr>
        <w:t>, изменен с Регламент (ЕС, Евратом) 2024/765 на Съвета, и член 16 от Регламент (ЕС) 2021/691, ЕФПГ не може да надхвърля максимален годишен размер от 30 милиона евро (по цени от 2018 г.).</w:t>
      </w:r>
    </w:p>
    <w:p w:rsidR="001A62D7" w:rsidRPr="007D19EF" w:rsidRDefault="00B83420" w:rsidP="00B83420">
      <w:pPr>
        <w:pStyle w:val="ManualConsidrant"/>
        <w:rPr>
          <w:noProof/>
        </w:rPr>
      </w:pPr>
      <w:r w:rsidRPr="00B83420">
        <w:rPr>
          <w:noProof/>
        </w:rPr>
        <w:t>(3)</w:t>
      </w:r>
      <w:r w:rsidRPr="00B83420">
        <w:rPr>
          <w:noProof/>
        </w:rPr>
        <w:tab/>
      </w:r>
      <w:r w:rsidR="001A62D7" w:rsidRPr="007D19EF">
        <w:rPr>
          <w:noProof/>
        </w:rPr>
        <w:t>На 16 юни 2025 г. Швеция подаде заявление за мобилизиране на средства по ЕФПГ в съответствие с член 8, параграф 1 от Регламент (ЕС) 2021/691 във връзка със съкращения на работници в Northvolt (Northvolt AB) и неговите дъщерни дружества, както и в 13 подизпълнители, доставчици и производители надолу по веригата в Швеция. Беше предоставена и допълнителна информация към заявлението в съответствие с член 8, параграф 5 от Регламент (ЕС) 2021/691. Въз основа на оценката, направена от Комисията в Предложението за решение на Европейския парламент и на Съвета за мобилизиране на средства, се счита, че посоченото заявление отговаря на условията за предоставяне на финансов принос от ЕФПГ, посочени в член 13 от Регламент (ЕС) 2021/691</w:t>
      </w:r>
      <w:r w:rsidR="001A62D7" w:rsidRPr="007D19EF">
        <w:rPr>
          <w:rStyle w:val="FootnoteReference"/>
          <w:iCs/>
          <w:noProof/>
        </w:rPr>
        <w:footnoteReference w:id="26"/>
      </w:r>
      <w:r w:rsidR="001A62D7" w:rsidRPr="007D19EF">
        <w:rPr>
          <w:noProof/>
        </w:rPr>
        <w:t>.</w:t>
      </w:r>
    </w:p>
    <w:p w:rsidR="001A62D7" w:rsidRPr="007D19EF" w:rsidRDefault="00B83420" w:rsidP="00B83420">
      <w:pPr>
        <w:pStyle w:val="ManualConsidrant"/>
        <w:rPr>
          <w:noProof/>
        </w:rPr>
      </w:pPr>
      <w:r w:rsidRPr="00B83420">
        <w:rPr>
          <w:noProof/>
        </w:rPr>
        <w:t>(4)</w:t>
      </w:r>
      <w:r w:rsidRPr="00B83420">
        <w:rPr>
          <w:noProof/>
        </w:rPr>
        <w:tab/>
      </w:r>
      <w:r w:rsidR="001A62D7" w:rsidRPr="007D19EF">
        <w:rPr>
          <w:noProof/>
        </w:rPr>
        <w:t>Следователно, за да бъде удовлетворено подаденото от Швеция заявление, следва да бъдат мобилизирани средства за предоставяне на финансов принос от ЕФПГ в размер на 8 526 322 EUR.</w:t>
      </w:r>
    </w:p>
    <w:p w:rsidR="001A62D7" w:rsidRPr="007D19EF" w:rsidRDefault="00B83420" w:rsidP="00B83420">
      <w:pPr>
        <w:pStyle w:val="ManualConsidrant"/>
        <w:rPr>
          <w:noProof/>
        </w:rPr>
      </w:pPr>
      <w:r w:rsidRPr="00B83420">
        <w:rPr>
          <w:noProof/>
        </w:rPr>
        <w:t>(5)</w:t>
      </w:r>
      <w:r w:rsidRPr="00B83420">
        <w:rPr>
          <w:noProof/>
        </w:rPr>
        <w:tab/>
      </w:r>
      <w:r w:rsidR="001A62D7" w:rsidRPr="007D19EF">
        <w:rPr>
          <w:noProof/>
        </w:rPr>
        <w:t>За да се сведе до минимум времето за мобилизиране на средствата от ЕФПГ, настоящото решение следва да се прилага от датата на приемането му,</w:t>
      </w:r>
    </w:p>
    <w:p w:rsidR="001A62D7" w:rsidRPr="007D19EF" w:rsidRDefault="001A62D7" w:rsidP="001A62D7">
      <w:pPr>
        <w:pStyle w:val="Formuledadoption"/>
        <w:rPr>
          <w:noProof/>
        </w:rPr>
      </w:pPr>
      <w:r w:rsidRPr="007D19EF">
        <w:rPr>
          <w:noProof/>
        </w:rPr>
        <w:t xml:space="preserve">ПРИЕХА НАСТОЯЩОТО РЕШЕНИЕ: </w:t>
      </w:r>
    </w:p>
    <w:p w:rsidR="001A62D7" w:rsidRPr="007D19EF" w:rsidRDefault="001A62D7" w:rsidP="001A62D7">
      <w:pPr>
        <w:pStyle w:val="Titrearticle"/>
        <w:rPr>
          <w:noProof/>
        </w:rPr>
      </w:pPr>
      <w:r w:rsidRPr="007D19EF">
        <w:rPr>
          <w:noProof/>
        </w:rPr>
        <w:t>Член 1</w:t>
      </w:r>
    </w:p>
    <w:p w:rsidR="001A62D7" w:rsidRPr="007D19EF" w:rsidRDefault="001A62D7" w:rsidP="001A62D7">
      <w:pPr>
        <w:rPr>
          <w:noProof/>
        </w:rPr>
      </w:pPr>
      <w:r w:rsidRPr="007D19EF">
        <w:rPr>
          <w:noProof/>
        </w:rPr>
        <w:t>В рамките на общия бюджет на Съюза за 2025 финансова година от Европейския фонд за приспособяване към глобализацията за съкратени работници се мобилизират средства за предоставяне на сумата от 8 526 322 EUR под формата на бюджетни кредити за поети задължения и бюджетни кредити за плащания.</w:t>
      </w:r>
    </w:p>
    <w:p w:rsidR="001A62D7" w:rsidRPr="007D19EF" w:rsidRDefault="001A62D7" w:rsidP="001A62D7">
      <w:pPr>
        <w:pStyle w:val="Titrearticle"/>
        <w:rPr>
          <w:noProof/>
        </w:rPr>
      </w:pPr>
      <w:r w:rsidRPr="007D19EF">
        <w:rPr>
          <w:noProof/>
        </w:rPr>
        <w:t>Член 2</w:t>
      </w:r>
    </w:p>
    <w:p w:rsidR="004C7EB7" w:rsidRPr="007D19EF" w:rsidRDefault="003B3282" w:rsidP="003B3282">
      <w:pPr>
        <w:keepNext/>
        <w:keepLines/>
        <w:rPr>
          <w:noProof/>
        </w:rPr>
      </w:pPr>
      <w:r w:rsidRPr="007D19EF">
        <w:rPr>
          <w:noProof/>
        </w:rPr>
        <w:t xml:space="preserve">Настоящото решение влиза в сила в деня на публикуването му в </w:t>
      </w:r>
      <w:r w:rsidRPr="007D19EF">
        <w:rPr>
          <w:i/>
          <w:noProof/>
        </w:rPr>
        <w:t>Официален вестник на Европейския съюз</w:t>
      </w:r>
      <w:r w:rsidRPr="007D19EF">
        <w:rPr>
          <w:noProof/>
        </w:rPr>
        <w:t>.</w:t>
      </w:r>
    </w:p>
    <w:p w:rsidR="003B3282" w:rsidRPr="007D19EF" w:rsidRDefault="003B3282" w:rsidP="003B3282">
      <w:pPr>
        <w:keepNext/>
        <w:keepLines/>
        <w:rPr>
          <w:noProof/>
        </w:rPr>
      </w:pPr>
      <w:r w:rsidRPr="007D19EF">
        <w:rPr>
          <w:noProof/>
        </w:rPr>
        <w:t xml:space="preserve">То се прилага от </w:t>
      </w:r>
      <w:r w:rsidRPr="007D19EF">
        <w:rPr>
          <w:noProof/>
          <w:color w:val="FF0000"/>
        </w:rPr>
        <w:t>[</w:t>
      </w:r>
      <w:r w:rsidRPr="007D19EF">
        <w:rPr>
          <w:i/>
          <w:noProof/>
          <w:color w:val="FF0000"/>
        </w:rPr>
        <w:t>датата на приемането му</w:t>
      </w:r>
      <w:r w:rsidRPr="007D19EF">
        <w:rPr>
          <w:noProof/>
          <w:color w:val="FF0000"/>
        </w:rPr>
        <w:t>]</w:t>
      </w:r>
      <w:r w:rsidRPr="007D19EF">
        <w:rPr>
          <w:rStyle w:val="FootnoteReference"/>
          <w:noProof/>
          <w:color w:val="FF0000"/>
        </w:rPr>
        <w:footnoteReference w:customMarkFollows="1" w:id="27"/>
        <w:t>*</w:t>
      </w:r>
      <w:r w:rsidRPr="007D19EF">
        <w:rPr>
          <w:noProof/>
        </w:rPr>
        <w:t>.</w:t>
      </w:r>
    </w:p>
    <w:p w:rsidR="001A62D7" w:rsidRPr="007D19EF" w:rsidRDefault="007D19EF" w:rsidP="0059133B">
      <w:pPr>
        <w:pStyle w:val="Fait"/>
        <w:rPr>
          <w:noProof/>
        </w:rPr>
      </w:pPr>
      <w:r>
        <w:rPr>
          <w:noProof/>
        </w:rPr>
        <w:t>Съставено в Брюксел на  година.</w:t>
      </w:r>
    </w:p>
    <w:p w:rsidR="001A62D7" w:rsidRPr="007D19EF" w:rsidRDefault="001A62D7" w:rsidP="0059133B">
      <w:pPr>
        <w:pStyle w:val="Institutionquisigne"/>
        <w:rPr>
          <w:noProof/>
        </w:rPr>
      </w:pPr>
      <w:r w:rsidRPr="007D19EF">
        <w:rPr>
          <w:noProof/>
        </w:rPr>
        <w:t>За Европейския парламент</w:t>
      </w:r>
      <w:r w:rsidRPr="007D19EF">
        <w:rPr>
          <w:noProof/>
        </w:rPr>
        <w:tab/>
        <w:t>За Съвета</w:t>
      </w:r>
    </w:p>
    <w:p w:rsidR="001A62D7" w:rsidRPr="007D19EF" w:rsidRDefault="001A62D7" w:rsidP="001A62D7">
      <w:pPr>
        <w:pStyle w:val="Personnequisigne"/>
        <w:rPr>
          <w:noProof/>
        </w:rPr>
      </w:pPr>
      <w:r w:rsidRPr="007D19EF">
        <w:rPr>
          <w:noProof/>
        </w:rPr>
        <w:t>Председател</w:t>
      </w:r>
      <w:r w:rsidRPr="007D19EF">
        <w:rPr>
          <w:noProof/>
        </w:rPr>
        <w:tab/>
        <w:t xml:space="preserve">Председател </w:t>
      </w:r>
      <w:r w:rsidRPr="007D19EF">
        <w:rPr>
          <w:noProof/>
        </w:rPr>
        <w:br/>
      </w:r>
    </w:p>
    <w:sectPr w:rsidR="001A62D7" w:rsidRPr="007D19EF" w:rsidSect="002768D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81" w:rsidRDefault="00525781" w:rsidP="001A62D7">
      <w:pPr>
        <w:spacing w:before="0" w:after="0"/>
      </w:pPr>
      <w:r>
        <w:separator/>
      </w:r>
    </w:p>
  </w:endnote>
  <w:endnote w:type="continuationSeparator" w:id="0">
    <w:p w:rsidR="00525781" w:rsidRDefault="00525781" w:rsidP="001A62D7">
      <w:pPr>
        <w:spacing w:before="0" w:after="0"/>
      </w:pPr>
      <w:r>
        <w:continuationSeparator/>
      </w:r>
    </w:p>
  </w:endnote>
  <w:endnote w:type="continuationNotice" w:id="1">
    <w:p w:rsidR="00525781" w:rsidRDefault="005257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E" w:rsidRPr="002768DE" w:rsidRDefault="002768DE" w:rsidP="002768DE">
    <w:pPr>
      <w:pStyle w:val="Footer"/>
      <w:rPr>
        <w:rFonts w:ascii="Arial" w:hAnsi="Arial" w:cs="Arial"/>
        <w:b/>
        <w:sz w:val="48"/>
      </w:rPr>
    </w:pPr>
    <w:r w:rsidRPr="002768DE">
      <w:rPr>
        <w:rFonts w:ascii="Arial" w:hAnsi="Arial" w:cs="Arial"/>
        <w:b/>
        <w:sz w:val="48"/>
      </w:rPr>
      <w:t>BG</w:t>
    </w:r>
    <w:r w:rsidRPr="002768DE">
      <w:rPr>
        <w:rFonts w:ascii="Arial" w:hAnsi="Arial" w:cs="Arial"/>
        <w:b/>
        <w:sz w:val="48"/>
      </w:rPr>
      <w:tab/>
    </w:r>
    <w:r w:rsidRPr="002768DE">
      <w:rPr>
        <w:rFonts w:ascii="Arial" w:hAnsi="Arial" w:cs="Arial"/>
        <w:b/>
        <w:sz w:val="48"/>
      </w:rPr>
      <w:tab/>
    </w:r>
    <w:r w:rsidRPr="002768DE">
      <w:tab/>
    </w:r>
    <w:r w:rsidRPr="002768DE">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E" w:rsidRPr="002768DE" w:rsidRDefault="002768DE" w:rsidP="002768DE">
    <w:pPr>
      <w:pStyle w:val="Footer"/>
      <w:rPr>
        <w:rFonts w:ascii="Arial" w:hAnsi="Arial" w:cs="Arial"/>
        <w:b/>
        <w:sz w:val="48"/>
      </w:rPr>
    </w:pPr>
    <w:r w:rsidRPr="002768DE">
      <w:rPr>
        <w:rFonts w:ascii="Arial" w:hAnsi="Arial" w:cs="Arial"/>
        <w:b/>
        <w:sz w:val="48"/>
      </w:rPr>
      <w:t>BG</w:t>
    </w:r>
    <w:r w:rsidRPr="002768DE">
      <w:rPr>
        <w:rFonts w:ascii="Arial" w:hAnsi="Arial" w:cs="Arial"/>
        <w:b/>
        <w:sz w:val="48"/>
      </w:rPr>
      <w:tab/>
    </w:r>
    <w:r w:rsidRPr="002768DE">
      <w:rPr>
        <w:rFonts w:ascii="Arial" w:hAnsi="Arial" w:cs="Arial"/>
        <w:b/>
        <w:sz w:val="48"/>
      </w:rPr>
      <w:tab/>
    </w:r>
    <w:r w:rsidRPr="002768DE">
      <w:tab/>
    </w:r>
    <w:r w:rsidRPr="002768DE">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E" w:rsidRDefault="002768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E" w:rsidRPr="002768DE" w:rsidRDefault="002768DE" w:rsidP="002768DE">
    <w:pPr>
      <w:pStyle w:val="Footer"/>
      <w:rPr>
        <w:rFonts w:ascii="Arial" w:hAnsi="Arial" w:cs="Arial"/>
        <w:b/>
        <w:sz w:val="48"/>
      </w:rPr>
    </w:pPr>
    <w:r w:rsidRPr="002768DE">
      <w:rPr>
        <w:rFonts w:ascii="Arial" w:hAnsi="Arial" w:cs="Arial"/>
        <w:b/>
        <w:sz w:val="48"/>
      </w:rPr>
      <w:t>BG</w:t>
    </w:r>
    <w:r w:rsidRPr="002768DE">
      <w:rPr>
        <w:rFonts w:ascii="Arial" w:hAnsi="Arial" w:cs="Arial"/>
        <w:b/>
        <w:sz w:val="48"/>
      </w:rPr>
      <w:tab/>
    </w:r>
    <w:r>
      <w:fldChar w:fldCharType="begin"/>
    </w:r>
    <w:r>
      <w:instrText xml:space="preserve"> PAGE  \* MERGEFORMAT </w:instrText>
    </w:r>
    <w:r>
      <w:fldChar w:fldCharType="separate"/>
    </w:r>
    <w:r w:rsidR="0059133B">
      <w:rPr>
        <w:noProof/>
      </w:rPr>
      <w:t>15</w:t>
    </w:r>
    <w:r>
      <w:fldChar w:fldCharType="end"/>
    </w:r>
    <w:r>
      <w:tab/>
    </w:r>
    <w:r w:rsidRPr="002768DE">
      <w:tab/>
    </w:r>
    <w:r w:rsidRPr="002768DE">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E" w:rsidRDefault="002768DE" w:rsidP="0027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81" w:rsidRDefault="00525781" w:rsidP="001A62D7">
      <w:pPr>
        <w:spacing w:before="0" w:after="0"/>
      </w:pPr>
      <w:r>
        <w:separator/>
      </w:r>
    </w:p>
  </w:footnote>
  <w:footnote w:type="continuationSeparator" w:id="0">
    <w:p w:rsidR="00525781" w:rsidRDefault="00525781" w:rsidP="001A62D7">
      <w:pPr>
        <w:spacing w:before="0" w:after="0"/>
      </w:pPr>
      <w:r>
        <w:continuationSeparator/>
      </w:r>
    </w:p>
  </w:footnote>
  <w:footnote w:type="continuationNotice" w:id="1">
    <w:p w:rsidR="00525781" w:rsidRDefault="00525781">
      <w:pPr>
        <w:spacing w:before="0" w:after="0"/>
      </w:pPr>
    </w:p>
  </w:footnote>
  <w:footnote w:id="2">
    <w:p w:rsidR="001A62D7" w:rsidRPr="00BE109D" w:rsidRDefault="001A62D7" w:rsidP="001A62D7">
      <w:pPr>
        <w:pStyle w:val="FootnoteText"/>
      </w:pPr>
      <w:r>
        <w:rPr>
          <w:rStyle w:val="FootnoteReference"/>
        </w:rPr>
        <w:footnoteRef/>
      </w:r>
      <w:r>
        <w:tab/>
        <w:t>ОВ L 153, 3.5.2021 г., стр. 48.</w:t>
      </w:r>
    </w:p>
  </w:footnote>
  <w:footnote w:id="3">
    <w:p w:rsidR="001A62D7" w:rsidRPr="002308DE" w:rsidRDefault="001A62D7" w:rsidP="001A62D7">
      <w:pPr>
        <w:pStyle w:val="FootnoteText"/>
      </w:pPr>
      <w:r>
        <w:rPr>
          <w:rStyle w:val="FootnoteReference"/>
        </w:rPr>
        <w:footnoteRef/>
      </w:r>
      <w:r>
        <w:tab/>
        <w:t>Делегиран регламент (ЕС) 2019/1755 на Комисията от 8 август 2019 г. за изменение на приложенията към Регламент (ЕО) № 1059/2003 на Европейския парламент и на Съвета за установяване на обща класификация на териториалните единици за статистически цели (NUTS). ОВ L 270, 24.10.2019 г., стр. 1—56.</w:t>
      </w:r>
    </w:p>
  </w:footnote>
  <w:footnote w:id="4">
    <w:p w:rsidR="00C544BB" w:rsidRPr="00A2538E" w:rsidRDefault="00C544BB">
      <w:pPr>
        <w:pStyle w:val="FootnoteText"/>
      </w:pPr>
      <w:r>
        <w:rPr>
          <w:rStyle w:val="FootnoteReference"/>
        </w:rPr>
        <w:footnoteRef/>
      </w:r>
      <w:r>
        <w:tab/>
        <w:t>Тази цифра включва и съкращения на работни места извън референтния период в Northvolt (включително дъщерните му дружества), както и в Adecco Sweden AB, Away Group AB, Dongjin Sweden AB, Falck Sverige AB, Kubli Bod AB, Randstad AB, Sodexo AB и Uggla Engineering Sweden AB.</w:t>
      </w:r>
    </w:p>
  </w:footnote>
  <w:footnote w:id="5">
    <w:p w:rsidR="001A62D7" w:rsidRPr="00A50D50" w:rsidRDefault="001A62D7" w:rsidP="001A62D7">
      <w:pPr>
        <w:pStyle w:val="FootnoteText"/>
      </w:pPr>
      <w:r>
        <w:rPr>
          <w:rStyle w:val="FootnoteReference"/>
        </w:rPr>
        <w:footnoteRef/>
      </w:r>
      <w:r>
        <w:tab/>
        <w:t>ОВ L 393, 30.12.2006 г., стр. 1.</w:t>
      </w:r>
    </w:p>
  </w:footnote>
  <w:footnote w:id="6">
    <w:p w:rsidR="00173B4E" w:rsidRPr="00173B4E" w:rsidRDefault="00173B4E">
      <w:pPr>
        <w:pStyle w:val="FootnoteText"/>
      </w:pPr>
      <w:r>
        <w:rPr>
          <w:rStyle w:val="FootnoteReference"/>
        </w:rPr>
        <w:footnoteRef/>
      </w:r>
      <w:r>
        <w:tab/>
        <w:t>Тази цифра се отнася до съкращения на работни места в рамките на референтния период.</w:t>
      </w:r>
    </w:p>
  </w:footnote>
  <w:footnote w:id="7">
    <w:p w:rsidR="00A15112" w:rsidRPr="00A50D50" w:rsidRDefault="00A15112" w:rsidP="001A62D7">
      <w:pPr>
        <w:pStyle w:val="FootnoteText"/>
      </w:pPr>
      <w:r>
        <w:rPr>
          <w:rStyle w:val="FootnoteReference"/>
        </w:rPr>
        <w:footnoteRef/>
      </w:r>
      <w:r>
        <w:tab/>
        <w:t>В съответствие с член 7, параграф 5 от Регламент (ЕС) 2021/691.</w:t>
      </w:r>
    </w:p>
  </w:footnote>
  <w:footnote w:id="8">
    <w:p w:rsidR="00CD68E2" w:rsidRDefault="00CD68E2">
      <w:pPr>
        <w:pStyle w:val="FootnoteText"/>
      </w:pPr>
      <w:r>
        <w:rPr>
          <w:rStyle w:val="FootnoteReference"/>
        </w:rPr>
        <w:footnoteRef/>
      </w:r>
      <w:r>
        <w:tab/>
        <w:t>Novo Energy Production AB, Novo Energy R&amp;D AB и Novo Energy AB са учредени като съвместни предприятия на Northvolt и Volvo Cars. В началото на 2025 г. Volvo Cars придобива всички акции, за да бъде единствен собственик на дружествата.</w:t>
      </w:r>
    </w:p>
  </w:footnote>
  <w:footnote w:id="9">
    <w:p w:rsidR="00A266B0" w:rsidRPr="00A266B0" w:rsidRDefault="00A266B0">
      <w:pPr>
        <w:pStyle w:val="FootnoteText"/>
      </w:pPr>
      <w:r>
        <w:rPr>
          <w:rStyle w:val="FootnoteReference"/>
        </w:rPr>
        <w:footnoteRef/>
      </w:r>
      <w:r>
        <w:tab/>
        <w:t>Основното предприятие Northvolt, включително дъщерните му дружества и осем подизпълнители, доставчици и производители надолу по веригата.</w:t>
      </w:r>
    </w:p>
  </w:footnote>
  <w:footnote w:id="10">
    <w:p w:rsidR="001A62D7" w:rsidRPr="00A63605" w:rsidRDefault="001A62D7" w:rsidP="001A62D7">
      <w:pPr>
        <w:pStyle w:val="FootnoteText"/>
      </w:pPr>
      <w:r>
        <w:rPr>
          <w:rStyle w:val="FootnoteReference"/>
        </w:rPr>
        <w:footnoteRef/>
      </w:r>
      <w:r>
        <w:tab/>
        <w:t>Директива 98/59/ЕО на Съвета от 20 юли 1998 г. за сближаване на законодателствата на държавите членки в областта на колективните уволнения (ОВ L 225, 12.8.1998 г., стр. 16).</w:t>
      </w:r>
    </w:p>
  </w:footnote>
  <w:footnote w:id="11">
    <w:p w:rsidR="009A30CC" w:rsidRPr="002F19DB" w:rsidRDefault="009A30CC">
      <w:pPr>
        <w:pStyle w:val="FootnoteText"/>
      </w:pPr>
      <w:r>
        <w:rPr>
          <w:rStyle w:val="FootnoteReference"/>
        </w:rPr>
        <w:footnoteRef/>
      </w:r>
      <w:r>
        <w:tab/>
        <w:t>TRR (Trygghetsrådet) подпомага административните служители, а TSL (Trygghetsfonden) — работниците.</w:t>
      </w:r>
    </w:p>
  </w:footnote>
  <w:footnote w:id="12">
    <w:p w:rsidR="001A62D7" w:rsidRPr="00A31F0E" w:rsidRDefault="001A62D7" w:rsidP="001A62D7">
      <w:pPr>
        <w:pStyle w:val="FootnoteText"/>
      </w:pPr>
      <w:r>
        <w:rPr>
          <w:rStyle w:val="FootnoteReference"/>
        </w:rPr>
        <w:footnoteRef/>
      </w:r>
      <w:r>
        <w:tab/>
        <w:t>Нива 0—2 по ISCED.</w:t>
      </w:r>
    </w:p>
  </w:footnote>
  <w:footnote w:id="13">
    <w:p w:rsidR="001A62D7" w:rsidRPr="00A31F0E" w:rsidRDefault="001A62D7" w:rsidP="001A62D7">
      <w:pPr>
        <w:pStyle w:val="FootnoteText"/>
      </w:pPr>
      <w:r>
        <w:rPr>
          <w:rStyle w:val="FootnoteReference"/>
        </w:rPr>
        <w:footnoteRef/>
      </w:r>
      <w:r>
        <w:tab/>
        <w:t>Ниво 3 по ISCED.</w:t>
      </w:r>
    </w:p>
  </w:footnote>
  <w:footnote w:id="14">
    <w:p w:rsidR="001A62D7" w:rsidRPr="00A31F0E" w:rsidRDefault="001A62D7" w:rsidP="001A62D7">
      <w:pPr>
        <w:pStyle w:val="FootnoteText"/>
      </w:pPr>
      <w:r>
        <w:rPr>
          <w:rStyle w:val="FootnoteReference"/>
        </w:rPr>
        <w:footnoteRef/>
      </w:r>
      <w:r>
        <w:tab/>
        <w:t>Ниво 4 по ISCED.</w:t>
      </w:r>
    </w:p>
  </w:footnote>
  <w:footnote w:id="15">
    <w:p w:rsidR="001A62D7" w:rsidRPr="00A31F0E" w:rsidRDefault="001A62D7" w:rsidP="001A62D7">
      <w:pPr>
        <w:pStyle w:val="FootnoteText"/>
      </w:pPr>
      <w:r>
        <w:rPr>
          <w:rStyle w:val="FootnoteReference"/>
        </w:rPr>
        <w:footnoteRef/>
      </w:r>
      <w:r>
        <w:tab/>
        <w:t>Нива 5—8 по ISCED.</w:t>
      </w:r>
    </w:p>
  </w:footnote>
  <w:footnote w:id="16">
    <w:p w:rsidR="000116B2" w:rsidRPr="000116B2" w:rsidRDefault="000116B2">
      <w:pPr>
        <w:pStyle w:val="FootnoteText"/>
      </w:pPr>
      <w:r>
        <w:rPr>
          <w:rStyle w:val="FootnoteReference"/>
        </w:rPr>
        <w:footnoteRef/>
      </w:r>
      <w:r>
        <w:tab/>
        <w:t>Примери за съдържанието на курса са програмируем логически контролер (PLC), промишлена автоматизация, цифрово управление на производството, енергийно ефективни технологии и основно програмиране.</w:t>
      </w:r>
    </w:p>
  </w:footnote>
  <w:footnote w:id="17">
    <w:p w:rsidR="001A62D7" w:rsidRPr="00AB0B03" w:rsidRDefault="001A62D7" w:rsidP="001A62D7">
      <w:pPr>
        <w:pStyle w:val="FootnoteText"/>
      </w:pPr>
      <w:r>
        <w:rPr>
          <w:rStyle w:val="FootnoteReference"/>
        </w:rPr>
        <w:footnoteRef/>
      </w:r>
      <w:r>
        <w:tab/>
        <w:t>За да се избегне използването на десетични запетаи, прогнозните разходи на работник са закръглени. Закръглянето обаче не влияе на общите разходи за всяка мярка, които остават същите както в подаденото от Швеция заявление.</w:t>
      </w:r>
    </w:p>
  </w:footnote>
  <w:footnote w:id="18">
    <w:p w:rsidR="001A62D7" w:rsidRPr="002060F6" w:rsidRDefault="001A62D7" w:rsidP="001A62D7">
      <w:pPr>
        <w:pStyle w:val="FootnoteText"/>
      </w:pPr>
      <w:r>
        <w:rPr>
          <w:rStyle w:val="FootnoteReference"/>
        </w:rPr>
        <w:footnoteRef/>
      </w:r>
      <w:r>
        <w:tab/>
        <w:t>Общите суми не съвпадат напълно поради закръглянето.</w:t>
      </w:r>
    </w:p>
  </w:footnote>
  <w:footnote w:id="19">
    <w:p w:rsidR="001A62D7" w:rsidRDefault="001A62D7" w:rsidP="001A62D7">
      <w:pPr>
        <w:pStyle w:val="FootnoteText"/>
      </w:pPr>
      <w:r>
        <w:rPr>
          <w:rStyle w:val="FootnoteReference"/>
        </w:rPr>
        <w:footnoteRef/>
      </w:r>
      <w:r>
        <w:tab/>
        <w:t>ОВ L 433 I, 22.12.2020 г., стр. 11.</w:t>
      </w:r>
    </w:p>
  </w:footnote>
  <w:footnote w:id="20">
    <w:p w:rsidR="001A62D7" w:rsidRPr="00B54269" w:rsidRDefault="001A62D7" w:rsidP="001A62D7">
      <w:pPr>
        <w:pStyle w:val="FootnoteText"/>
      </w:pPr>
      <w:r>
        <w:rPr>
          <w:rStyle w:val="FootnoteReference"/>
        </w:rPr>
        <w:footnoteRef/>
      </w:r>
      <w:r>
        <w:tab/>
        <w:t>OВ L, 2024/765, 29.2.2024 г.</w:t>
      </w:r>
    </w:p>
  </w:footnote>
  <w:footnote w:id="21">
    <w:p w:rsidR="001A62D7" w:rsidRDefault="001A62D7" w:rsidP="001A62D7">
      <w:pPr>
        <w:pStyle w:val="FootnoteText"/>
      </w:pPr>
      <w:r>
        <w:rPr>
          <w:rStyle w:val="FootnoteReference"/>
        </w:rPr>
        <w:footnoteRef/>
      </w:r>
      <w:r>
        <w:tab/>
        <w:t>ОВ L 433 I, 22.12.2020 г., стр. 28.</w:t>
      </w:r>
    </w:p>
  </w:footnote>
  <w:footnote w:id="22">
    <w:p w:rsidR="001A62D7" w:rsidRPr="00E76684" w:rsidRDefault="001A62D7" w:rsidP="001A62D7">
      <w:pPr>
        <w:pStyle w:val="FootnoteText"/>
      </w:pPr>
      <w:r>
        <w:rPr>
          <w:rStyle w:val="FootnoteReference"/>
        </w:rPr>
        <w:footnoteRef/>
      </w:r>
      <w:r>
        <w:tab/>
        <w:t>Регламент (ЕС, Евратом) 2024/2509 на Европейския парламент и на Съвета от 23 септември 2024 г. за финансовите правила, приложими за общия бюджет на Съюза (преработен текст), ОВ L, 2024/2509, 26.9.2024 г.</w:t>
      </w:r>
    </w:p>
  </w:footnote>
  <w:footnote w:id="23">
    <w:p w:rsidR="001A62D7" w:rsidRDefault="001A62D7" w:rsidP="001A62D7">
      <w:pPr>
        <w:pStyle w:val="FootnoteText"/>
      </w:pPr>
      <w:r>
        <w:rPr>
          <w:rStyle w:val="FootnoteReference"/>
        </w:rPr>
        <w:footnoteRef/>
      </w:r>
      <w:r>
        <w:tab/>
        <w:t>ОВ L 153, 3.5.2021 г., стр. 48, ELI: http://data.europa.eu/eli/reg/2021/691/oj.</w:t>
      </w:r>
    </w:p>
  </w:footnote>
  <w:footnote w:id="24">
    <w:p w:rsidR="001A62D7" w:rsidRPr="002A5EB9" w:rsidRDefault="001A62D7" w:rsidP="001A62D7">
      <w:pPr>
        <w:pStyle w:val="FootnoteText"/>
      </w:pPr>
      <w:r>
        <w:rPr>
          <w:rStyle w:val="FootnoteReference"/>
        </w:rPr>
        <w:footnoteRef/>
      </w:r>
      <w:r>
        <w:tab/>
        <w:t>OB L 433 I, 22.12.2020 г., стр. 28, ELI: http://data.europa.eu/eli/agree_interinstit/2020/1222/oj.</w:t>
      </w:r>
    </w:p>
  </w:footnote>
  <w:footnote w:id="25">
    <w:p w:rsidR="001A62D7" w:rsidRPr="009F7C73" w:rsidRDefault="001A62D7" w:rsidP="001A62D7">
      <w:pPr>
        <w:pStyle w:val="FootnoteText"/>
      </w:pPr>
      <w:r>
        <w:rPr>
          <w:rStyle w:val="FootnoteReference"/>
        </w:rPr>
        <w:footnoteRef/>
      </w:r>
      <w:r>
        <w:tab/>
        <w:t>Регламент (ЕС, Евратом) 2020/2093 на Съвета от 17 декември 2020 г. за определяне на многогодишната финансова рамка за годините 2021—2027 (ОВ L 433 I, 22.12.2020 г., стр. 11, ELI: http://data.europa.eu/eli/reg/2020/2093/oj).</w:t>
      </w:r>
    </w:p>
  </w:footnote>
  <w:footnote w:id="26">
    <w:p w:rsidR="001A62D7" w:rsidRPr="003450D2" w:rsidRDefault="001A62D7" w:rsidP="001A62D7">
      <w:pPr>
        <w:pStyle w:val="FootnoteText"/>
      </w:pPr>
      <w:r>
        <w:rPr>
          <w:rStyle w:val="FootnoteReference"/>
        </w:rPr>
        <w:footnoteRef/>
      </w:r>
      <w:r>
        <w:tab/>
        <w:t>COM(2025) 621</w:t>
      </w:r>
    </w:p>
  </w:footnote>
  <w:footnote w:id="27">
    <w:p w:rsidR="003B3282" w:rsidRPr="00DE46A1" w:rsidRDefault="003B3282" w:rsidP="003B3282">
      <w:pPr>
        <w:pStyle w:val="FootnoteText"/>
      </w:pPr>
      <w:r>
        <w:rPr>
          <w:rStyle w:val="FootnoteReference"/>
        </w:rPr>
        <w:t>*</w:t>
      </w:r>
      <w:r>
        <w:tab/>
      </w:r>
      <w:r>
        <w:rPr>
          <w:color w:val="FF0000"/>
        </w:rPr>
        <w:t>Датата да се попълни от Парламента преди публикуването в 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E" w:rsidRDefault="0027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E" w:rsidRDefault="00276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num>
  <w:num w:numId="19">
    <w:abstractNumId w:val="12"/>
    <w:lvlOverride w:ilvl="0">
      <w:startOverride w:val="1"/>
    </w:lvlOverride>
  </w:num>
  <w:num w:numId="20">
    <w:abstractNumId w:val="23"/>
  </w:num>
  <w:num w:numId="21">
    <w:abstractNumId w:val="12"/>
  </w:num>
  <w:num w:numId="22">
    <w:abstractNumId w:val="26"/>
  </w:num>
  <w:num w:numId="23">
    <w:abstractNumId w:val="6"/>
  </w:num>
  <w:num w:numId="24">
    <w:abstractNumId w:val="13"/>
  </w:num>
  <w:num w:numId="25">
    <w:abstractNumId w:val="14"/>
  </w:num>
  <w:num w:numId="26">
    <w:abstractNumId w:val="4"/>
  </w:num>
  <w:num w:numId="27">
    <w:abstractNumId w:val="25"/>
  </w:num>
  <w:num w:numId="28">
    <w:abstractNumId w:val="3"/>
  </w:num>
  <w:num w:numId="29">
    <w:abstractNumId w:val="15"/>
  </w:num>
  <w:num w:numId="30">
    <w:abstractNumId w:val="21"/>
  </w:num>
  <w:num w:numId="31">
    <w:abstractNumId w:val="22"/>
  </w:num>
  <w:num w:numId="32">
    <w:abstractNumId w:val="5"/>
  </w:num>
  <w:num w:numId="33">
    <w:abstractNumId w:val="19"/>
  </w:num>
  <w:num w:numId="34">
    <w:abstractNumId w:val="30"/>
  </w:num>
  <w:num w:numId="35">
    <w:abstractNumId w:val="23"/>
  </w:num>
  <w:num w:numId="36">
    <w:abstractNumId w:val="12"/>
  </w:num>
  <w:num w:numId="37">
    <w:abstractNumId w:val="26"/>
  </w:num>
  <w:num w:numId="38">
    <w:abstractNumId w:val="6"/>
  </w:num>
  <w:num w:numId="39">
    <w:abstractNumId w:val="13"/>
  </w:num>
  <w:num w:numId="40">
    <w:abstractNumId w:val="14"/>
  </w:num>
  <w:num w:numId="41">
    <w:abstractNumId w:val="4"/>
  </w:num>
  <w:num w:numId="42">
    <w:abstractNumId w:val="25"/>
  </w:num>
  <w:num w:numId="43">
    <w:abstractNumId w:val="3"/>
  </w:num>
  <w:num w:numId="44">
    <w:abstractNumId w:val="15"/>
  </w:num>
  <w:num w:numId="45">
    <w:abstractNumId w:val="21"/>
  </w:num>
  <w:num w:numId="46">
    <w:abstractNumId w:val="22"/>
  </w:num>
  <w:num w:numId="47">
    <w:abstractNumId w:val="5"/>
  </w:num>
  <w:num w:numId="48">
    <w:abstractNumId w:val="19"/>
  </w:num>
  <w:num w:numId="49">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10-21 07:55: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BF9FA6E-F0CB-47ED-8FE4-D5A079DF1EA1"/>
    <w:docVar w:name="LW_COVERPAGE_TYPE" w:val="1"/>
    <w:docVar w:name="LW_CreatedUtc" w:val="2025-02-03T12:09:04.7855178Z"/>
    <w:docVar w:name="LW_CROSSREFERENCE" w:val="&lt;UNUSED&gt;"/>
    <w:docVar w:name="LW_DocType" w:val="COM"/>
    <w:docVar w:name="LW_EMISSION" w:val="28.10.2025"/>
    <w:docVar w:name="LW_EMISSION_ISODATE" w:val="2025-10-28"/>
    <w:docVar w:name="LW_EMISSION_LOCATION" w:val="BRX"/>
    <w:docVar w:name="LW_EMISSION_PREFIX" w:val="\u1041?\u1088?\u1102?\u1082?\u1089?\u1077?\u1083?, "/>
    <w:docVar w:name="LW_EMISSION_SUFFIX" w:val=" \u1075?."/>
    <w:docVar w:name="LW_ID_DOCMODEL" w:val="SJ-026"/>
    <w:docVar w:name="LW_ID_DOCSIGNATURE" w:val="SJ-026"/>
    <w:docVar w:name="LW_ID_DOCSTRUCTURE" w:val="COM/PL/ORG"/>
    <w:docVar w:name="LW_ID_DOCTYPE" w:val="SJ-026"/>
    <w:docVar w:name="LW_ID_STATUT" w:val="SJ-026"/>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BUD"/>
    <w:docVar w:name="LW_REF.II.NEW.CP_NUMBER" w:val="0326"/>
    <w:docVar w:name="LW_REF.II.NEW.CP_YEAR" w:val="2025"/>
    <w:docVar w:name="LW_REF.INST.NEW" w:val="COM"/>
    <w:docVar w:name="LW_REF.INST.NEW_ADOPTED" w:val="final"/>
    <w:docVar w:name="LW_REF.INST.NEW_TEXT" w:val="(2025) 62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4?\u1086?\u1073?\u1080?\u1083?\u1080?\u1079?\u1080?\u1088?\u1072?\u1085?\u1077? \u1085?\u1072? \u1089?\u1088?\u1077?\u1076?\u1089?\u1090?\u1074?\u1072? \u1086?\u1090? \u1045?\u1074?\u1088?\u1086?\u1087?\u1077?\u1081?\u1089?\u1082?\u1080?\u1103? \u1092?\u1086?\u1085?\u1076? \u1079?\u1072? \u1087?\u1088?\u1080?\u1089?\u1087?\u1086?\u1089?\u1086?\u1073?\u1103?\u1074?\u1072?\u1085?\u1077? \u1082?\u1098?\u1084? \u1075?\u1083?\u1086?\u1073?\u1072?\u1083?\u1080?\u1079?\u1072?\u1094?\u1080?\u1103?\u1090?\u1072? \u1079?\u1072? \u1089?\u1098?\u1082?\u1088?\u1072?\u1090?\u1077?\u1085?\u1080? \u1088?\u1072?\u1073?\u1086?\u1090?\u1085?\u1080?\u1094?\u1080? \u1074?\u1098?\u1074? \u1074?\u1088?\u1098?\u1079?\u1082?\u1072? \u1089?\u1098?\u1089? \u1079?\u1072?\u1103?\u1074?\u1083?\u1077?\u1085?\u1080?\u1077? \u1086?\u1090? \u1064?\u1074?\u1077?\u1094?\u1080?\u1103? \u8212? EGF/2025/003 SE/Northvolt"/>
    <w:docVar w:name="LW_TYPE.DOC.CP" w:val="\u1056?\u1045?\u1064?\u1045?\u1053?\u1048?\u1045? \u1053?\u1040? \u1045?\u1042?\u1056?\u1054?\u1055?\u1045?\u1049?\u1057?\u1050?\u1048?\u1071? \u1055?\u1040?\u1056?\u1051?\u1040?\u1052?\u1045?\u1053?\u1058? \u1048? \u1053?\u1040? \u1057?\u1066?\u1042?\u1045?\u1058?\u1040?"/>
    <w:docVar w:name="LwApiVersions" w:val="LW4CoDe 1.24.5.0; LW 9.0, Build 20240221"/>
  </w:docVars>
  <w:rsids>
    <w:rsidRoot w:val="001A62D7"/>
    <w:rsid w:val="000116B2"/>
    <w:rsid w:val="00017FE4"/>
    <w:rsid w:val="0002182E"/>
    <w:rsid w:val="00032828"/>
    <w:rsid w:val="00036588"/>
    <w:rsid w:val="00046DD1"/>
    <w:rsid w:val="00052CC7"/>
    <w:rsid w:val="00055197"/>
    <w:rsid w:val="00060301"/>
    <w:rsid w:val="00072FCD"/>
    <w:rsid w:val="0007300A"/>
    <w:rsid w:val="00074062"/>
    <w:rsid w:val="000742F0"/>
    <w:rsid w:val="00075527"/>
    <w:rsid w:val="00076673"/>
    <w:rsid w:val="000B5FD2"/>
    <w:rsid w:val="000C1B4E"/>
    <w:rsid w:val="000C31DE"/>
    <w:rsid w:val="000C4C86"/>
    <w:rsid w:val="000D23C5"/>
    <w:rsid w:val="000D50D2"/>
    <w:rsid w:val="000F478D"/>
    <w:rsid w:val="001065F5"/>
    <w:rsid w:val="00122513"/>
    <w:rsid w:val="00122636"/>
    <w:rsid w:val="001238EF"/>
    <w:rsid w:val="0014379F"/>
    <w:rsid w:val="0014588D"/>
    <w:rsid w:val="00154BDB"/>
    <w:rsid w:val="00154EFC"/>
    <w:rsid w:val="00163694"/>
    <w:rsid w:val="00173B4E"/>
    <w:rsid w:val="00184853"/>
    <w:rsid w:val="00195A16"/>
    <w:rsid w:val="00197613"/>
    <w:rsid w:val="001A1FB5"/>
    <w:rsid w:val="001A62D7"/>
    <w:rsid w:val="001B2035"/>
    <w:rsid w:val="001C0583"/>
    <w:rsid w:val="001C0B35"/>
    <w:rsid w:val="001E0E0E"/>
    <w:rsid w:val="001E58B5"/>
    <w:rsid w:val="001F0EAF"/>
    <w:rsid w:val="001F1E43"/>
    <w:rsid w:val="002040F4"/>
    <w:rsid w:val="002043D9"/>
    <w:rsid w:val="00204BD8"/>
    <w:rsid w:val="00205A09"/>
    <w:rsid w:val="00207EE3"/>
    <w:rsid w:val="00225C0F"/>
    <w:rsid w:val="00233DC7"/>
    <w:rsid w:val="00236714"/>
    <w:rsid w:val="00236B80"/>
    <w:rsid w:val="002421CF"/>
    <w:rsid w:val="00244058"/>
    <w:rsid w:val="00247779"/>
    <w:rsid w:val="002542CD"/>
    <w:rsid w:val="002551A0"/>
    <w:rsid w:val="00273D96"/>
    <w:rsid w:val="002768DE"/>
    <w:rsid w:val="00284C33"/>
    <w:rsid w:val="00285BEE"/>
    <w:rsid w:val="00292432"/>
    <w:rsid w:val="00292E4F"/>
    <w:rsid w:val="0029533F"/>
    <w:rsid w:val="002A06F5"/>
    <w:rsid w:val="002A0F0F"/>
    <w:rsid w:val="002A1949"/>
    <w:rsid w:val="002A5EB9"/>
    <w:rsid w:val="002A6E3A"/>
    <w:rsid w:val="002B30AF"/>
    <w:rsid w:val="002E7BDD"/>
    <w:rsid w:val="002F19B6"/>
    <w:rsid w:val="002F19DB"/>
    <w:rsid w:val="002F1D82"/>
    <w:rsid w:val="002F2BA1"/>
    <w:rsid w:val="002F6199"/>
    <w:rsid w:val="00302057"/>
    <w:rsid w:val="00307EA7"/>
    <w:rsid w:val="0032003A"/>
    <w:rsid w:val="003217C2"/>
    <w:rsid w:val="0033344A"/>
    <w:rsid w:val="00344742"/>
    <w:rsid w:val="003450D2"/>
    <w:rsid w:val="00354072"/>
    <w:rsid w:val="00372266"/>
    <w:rsid w:val="0037267F"/>
    <w:rsid w:val="00385601"/>
    <w:rsid w:val="00390472"/>
    <w:rsid w:val="00397ECC"/>
    <w:rsid w:val="003B3282"/>
    <w:rsid w:val="003D21D1"/>
    <w:rsid w:val="003D2D76"/>
    <w:rsid w:val="003D67C5"/>
    <w:rsid w:val="003F28E6"/>
    <w:rsid w:val="00411996"/>
    <w:rsid w:val="0042648E"/>
    <w:rsid w:val="00442C70"/>
    <w:rsid w:val="0045598D"/>
    <w:rsid w:val="00460E55"/>
    <w:rsid w:val="004637B4"/>
    <w:rsid w:val="00485FD5"/>
    <w:rsid w:val="00487C31"/>
    <w:rsid w:val="00492B11"/>
    <w:rsid w:val="004936D2"/>
    <w:rsid w:val="004A0D86"/>
    <w:rsid w:val="004A1A0C"/>
    <w:rsid w:val="004A4D38"/>
    <w:rsid w:val="004B0EDF"/>
    <w:rsid w:val="004C1A95"/>
    <w:rsid w:val="004C7EB7"/>
    <w:rsid w:val="004D7664"/>
    <w:rsid w:val="004E5E99"/>
    <w:rsid w:val="004E7555"/>
    <w:rsid w:val="005034DE"/>
    <w:rsid w:val="00503F05"/>
    <w:rsid w:val="00505D97"/>
    <w:rsid w:val="0050750F"/>
    <w:rsid w:val="0050792B"/>
    <w:rsid w:val="00507CF1"/>
    <w:rsid w:val="00512F0B"/>
    <w:rsid w:val="00522400"/>
    <w:rsid w:val="00525781"/>
    <w:rsid w:val="00535EFE"/>
    <w:rsid w:val="00545F7C"/>
    <w:rsid w:val="00562857"/>
    <w:rsid w:val="00575EF4"/>
    <w:rsid w:val="005822AE"/>
    <w:rsid w:val="005832F1"/>
    <w:rsid w:val="0059133B"/>
    <w:rsid w:val="00594460"/>
    <w:rsid w:val="0059613B"/>
    <w:rsid w:val="005B1EB6"/>
    <w:rsid w:val="005B3966"/>
    <w:rsid w:val="005D1C91"/>
    <w:rsid w:val="005D1DC5"/>
    <w:rsid w:val="005E047F"/>
    <w:rsid w:val="00604AFD"/>
    <w:rsid w:val="006202DD"/>
    <w:rsid w:val="0063151F"/>
    <w:rsid w:val="0063549B"/>
    <w:rsid w:val="00641D31"/>
    <w:rsid w:val="00641E6E"/>
    <w:rsid w:val="00641F01"/>
    <w:rsid w:val="00661A41"/>
    <w:rsid w:val="0068352B"/>
    <w:rsid w:val="00683885"/>
    <w:rsid w:val="00684A50"/>
    <w:rsid w:val="00693169"/>
    <w:rsid w:val="006B665D"/>
    <w:rsid w:val="006B7B84"/>
    <w:rsid w:val="006C5784"/>
    <w:rsid w:val="006E0159"/>
    <w:rsid w:val="006E1B4D"/>
    <w:rsid w:val="006E6A33"/>
    <w:rsid w:val="006F4354"/>
    <w:rsid w:val="00705EEC"/>
    <w:rsid w:val="007216F5"/>
    <w:rsid w:val="00725CAD"/>
    <w:rsid w:val="00731699"/>
    <w:rsid w:val="00737AEC"/>
    <w:rsid w:val="007479C9"/>
    <w:rsid w:val="00750B0E"/>
    <w:rsid w:val="00751A96"/>
    <w:rsid w:val="00755591"/>
    <w:rsid w:val="0076025E"/>
    <w:rsid w:val="0076760B"/>
    <w:rsid w:val="00770D8E"/>
    <w:rsid w:val="00773331"/>
    <w:rsid w:val="00776384"/>
    <w:rsid w:val="0079002C"/>
    <w:rsid w:val="007932EF"/>
    <w:rsid w:val="007A15AA"/>
    <w:rsid w:val="007B368A"/>
    <w:rsid w:val="007B69C6"/>
    <w:rsid w:val="007D19EF"/>
    <w:rsid w:val="007E05B0"/>
    <w:rsid w:val="007E6C4B"/>
    <w:rsid w:val="007F220E"/>
    <w:rsid w:val="007F7E81"/>
    <w:rsid w:val="00802E39"/>
    <w:rsid w:val="00807347"/>
    <w:rsid w:val="00807CC2"/>
    <w:rsid w:val="008110C3"/>
    <w:rsid w:val="0082267A"/>
    <w:rsid w:val="008305B1"/>
    <w:rsid w:val="008327DA"/>
    <w:rsid w:val="00842DE2"/>
    <w:rsid w:val="00842E8B"/>
    <w:rsid w:val="00857F0B"/>
    <w:rsid w:val="008664AF"/>
    <w:rsid w:val="00874D22"/>
    <w:rsid w:val="00882186"/>
    <w:rsid w:val="008A2914"/>
    <w:rsid w:val="008C536F"/>
    <w:rsid w:val="008D15CF"/>
    <w:rsid w:val="008D4A9A"/>
    <w:rsid w:val="008D6F9B"/>
    <w:rsid w:val="008E470D"/>
    <w:rsid w:val="008E4D8E"/>
    <w:rsid w:val="008E4FFB"/>
    <w:rsid w:val="0092072E"/>
    <w:rsid w:val="009236F9"/>
    <w:rsid w:val="00923D6C"/>
    <w:rsid w:val="009243BF"/>
    <w:rsid w:val="00924AE9"/>
    <w:rsid w:val="00924C72"/>
    <w:rsid w:val="00935AF6"/>
    <w:rsid w:val="00941A00"/>
    <w:rsid w:val="009460A3"/>
    <w:rsid w:val="00953D1D"/>
    <w:rsid w:val="0095612F"/>
    <w:rsid w:val="00970A51"/>
    <w:rsid w:val="00984C11"/>
    <w:rsid w:val="00985A79"/>
    <w:rsid w:val="009869C5"/>
    <w:rsid w:val="00987ED6"/>
    <w:rsid w:val="0099366A"/>
    <w:rsid w:val="009A30CC"/>
    <w:rsid w:val="009A31F2"/>
    <w:rsid w:val="009A42A0"/>
    <w:rsid w:val="009B1C62"/>
    <w:rsid w:val="009B71E9"/>
    <w:rsid w:val="009D4644"/>
    <w:rsid w:val="009D6467"/>
    <w:rsid w:val="009F7C12"/>
    <w:rsid w:val="00A03141"/>
    <w:rsid w:val="00A15112"/>
    <w:rsid w:val="00A2538E"/>
    <w:rsid w:val="00A25E9A"/>
    <w:rsid w:val="00A266B0"/>
    <w:rsid w:val="00A4040A"/>
    <w:rsid w:val="00A54313"/>
    <w:rsid w:val="00A70A08"/>
    <w:rsid w:val="00A76E74"/>
    <w:rsid w:val="00AA173A"/>
    <w:rsid w:val="00AB0B03"/>
    <w:rsid w:val="00AF3FB8"/>
    <w:rsid w:val="00AF62A9"/>
    <w:rsid w:val="00B05E28"/>
    <w:rsid w:val="00B06F7C"/>
    <w:rsid w:val="00B10AFB"/>
    <w:rsid w:val="00B4234D"/>
    <w:rsid w:val="00B42F67"/>
    <w:rsid w:val="00B6143B"/>
    <w:rsid w:val="00B822BC"/>
    <w:rsid w:val="00B82734"/>
    <w:rsid w:val="00B83420"/>
    <w:rsid w:val="00B8630A"/>
    <w:rsid w:val="00B907AD"/>
    <w:rsid w:val="00BA761D"/>
    <w:rsid w:val="00BA7A26"/>
    <w:rsid w:val="00BB07B8"/>
    <w:rsid w:val="00BC3C6D"/>
    <w:rsid w:val="00C1093F"/>
    <w:rsid w:val="00C12301"/>
    <w:rsid w:val="00C178B9"/>
    <w:rsid w:val="00C26EB4"/>
    <w:rsid w:val="00C3113F"/>
    <w:rsid w:val="00C32628"/>
    <w:rsid w:val="00C47C5B"/>
    <w:rsid w:val="00C544BB"/>
    <w:rsid w:val="00C67FF1"/>
    <w:rsid w:val="00C735F6"/>
    <w:rsid w:val="00CA01A7"/>
    <w:rsid w:val="00CA0C56"/>
    <w:rsid w:val="00CB54F9"/>
    <w:rsid w:val="00CC1120"/>
    <w:rsid w:val="00CC6902"/>
    <w:rsid w:val="00CC7952"/>
    <w:rsid w:val="00CD3D47"/>
    <w:rsid w:val="00CD4080"/>
    <w:rsid w:val="00CD68E2"/>
    <w:rsid w:val="00CE2FDF"/>
    <w:rsid w:val="00CE51C0"/>
    <w:rsid w:val="00CF26FB"/>
    <w:rsid w:val="00D05015"/>
    <w:rsid w:val="00D06C35"/>
    <w:rsid w:val="00D20381"/>
    <w:rsid w:val="00D26078"/>
    <w:rsid w:val="00D32F50"/>
    <w:rsid w:val="00D517FB"/>
    <w:rsid w:val="00D54F1D"/>
    <w:rsid w:val="00D66E5A"/>
    <w:rsid w:val="00D75662"/>
    <w:rsid w:val="00D765B3"/>
    <w:rsid w:val="00DA1B88"/>
    <w:rsid w:val="00DC4B8B"/>
    <w:rsid w:val="00DD302E"/>
    <w:rsid w:val="00DD52DF"/>
    <w:rsid w:val="00DE6C12"/>
    <w:rsid w:val="00E11069"/>
    <w:rsid w:val="00E12FD6"/>
    <w:rsid w:val="00E224AE"/>
    <w:rsid w:val="00E3440A"/>
    <w:rsid w:val="00E4089C"/>
    <w:rsid w:val="00E4456D"/>
    <w:rsid w:val="00E601E5"/>
    <w:rsid w:val="00E8095D"/>
    <w:rsid w:val="00EB1A39"/>
    <w:rsid w:val="00EC1F6D"/>
    <w:rsid w:val="00ED5A00"/>
    <w:rsid w:val="00EF1B0B"/>
    <w:rsid w:val="00EF7B93"/>
    <w:rsid w:val="00F16CA0"/>
    <w:rsid w:val="00F36A9C"/>
    <w:rsid w:val="00F63CFC"/>
    <w:rsid w:val="00F73B18"/>
    <w:rsid w:val="00F808A7"/>
    <w:rsid w:val="00F81DA2"/>
    <w:rsid w:val="00F852AC"/>
    <w:rsid w:val="00FA24FD"/>
    <w:rsid w:val="00FC38F8"/>
    <w:rsid w:val="00FC7C40"/>
    <w:rsid w:val="00FD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A94AA8-0223-42D5-91F6-91890698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1A62D7"/>
    <w:pPr>
      <w:numPr>
        <w:numId w:val="2"/>
      </w:numPr>
      <w:tabs>
        <w:tab w:val="num" w:pos="360"/>
      </w:tabs>
      <w:ind w:left="0" w:firstLine="0"/>
    </w:pPr>
    <w:rPr>
      <w:rFonts w:eastAsia="Times New Roman"/>
      <w:lang w:eastAsia="de-DE"/>
    </w:rPr>
  </w:style>
  <w:style w:type="paragraph" w:styleId="ListNumber">
    <w:name w:val="List Number"/>
    <w:basedOn w:val="Normal"/>
    <w:uiPriority w:val="99"/>
    <w:rsid w:val="001A62D7"/>
    <w:pPr>
      <w:numPr>
        <w:numId w:val="6"/>
      </w:numPr>
    </w:pPr>
    <w:rPr>
      <w:rFonts w:eastAsia="Times New Roman"/>
      <w:lang w:eastAsia="de-DE"/>
    </w:rPr>
  </w:style>
  <w:style w:type="paragraph" w:customStyle="1" w:styleId="ListBullet1">
    <w:name w:val="List Bullet 1"/>
    <w:basedOn w:val="Normal"/>
    <w:rsid w:val="001A62D7"/>
    <w:pPr>
      <w:numPr>
        <w:numId w:val="1"/>
      </w:numPr>
    </w:pPr>
    <w:rPr>
      <w:rFonts w:eastAsia="Times New Roman"/>
      <w:lang w:eastAsia="de-DE"/>
    </w:rPr>
  </w:style>
  <w:style w:type="paragraph" w:customStyle="1" w:styleId="ListDash">
    <w:name w:val="List Dash"/>
    <w:basedOn w:val="Normal"/>
    <w:rsid w:val="001A62D7"/>
    <w:pPr>
      <w:numPr>
        <w:numId w:val="3"/>
      </w:numPr>
    </w:pPr>
    <w:rPr>
      <w:rFonts w:eastAsia="Times New Roman"/>
      <w:lang w:eastAsia="de-DE"/>
    </w:rPr>
  </w:style>
  <w:style w:type="paragraph" w:customStyle="1" w:styleId="ListDash1">
    <w:name w:val="List Dash 1"/>
    <w:basedOn w:val="Normal"/>
    <w:rsid w:val="001A62D7"/>
    <w:pPr>
      <w:numPr>
        <w:numId w:val="4"/>
      </w:numPr>
    </w:pPr>
    <w:rPr>
      <w:rFonts w:eastAsia="Times New Roman"/>
      <w:lang w:eastAsia="de-DE"/>
    </w:rPr>
  </w:style>
  <w:style w:type="paragraph" w:customStyle="1" w:styleId="ListDash2">
    <w:name w:val="List Dash 2"/>
    <w:basedOn w:val="Normal"/>
    <w:rsid w:val="001A62D7"/>
    <w:pPr>
      <w:numPr>
        <w:numId w:val="5"/>
      </w:numPr>
    </w:pPr>
    <w:rPr>
      <w:rFonts w:eastAsia="Times New Roman"/>
      <w:lang w:eastAsia="de-DE"/>
    </w:rPr>
  </w:style>
  <w:style w:type="paragraph" w:customStyle="1" w:styleId="ListNumberLevel2">
    <w:name w:val="List Number (Level 2)"/>
    <w:basedOn w:val="Normal"/>
    <w:rsid w:val="001A62D7"/>
    <w:pPr>
      <w:numPr>
        <w:ilvl w:val="1"/>
        <w:numId w:val="6"/>
      </w:numPr>
    </w:pPr>
    <w:rPr>
      <w:rFonts w:eastAsia="Times New Roman"/>
      <w:lang w:eastAsia="de-DE"/>
    </w:rPr>
  </w:style>
  <w:style w:type="paragraph" w:customStyle="1" w:styleId="ListNumberLevel3">
    <w:name w:val="List Number (Level 3)"/>
    <w:basedOn w:val="Normal"/>
    <w:rsid w:val="001A62D7"/>
    <w:pPr>
      <w:numPr>
        <w:ilvl w:val="2"/>
        <w:numId w:val="6"/>
      </w:numPr>
    </w:pPr>
    <w:rPr>
      <w:rFonts w:eastAsia="Times New Roman"/>
      <w:lang w:eastAsia="de-DE"/>
    </w:rPr>
  </w:style>
  <w:style w:type="paragraph" w:customStyle="1" w:styleId="ListNumberLevel4">
    <w:name w:val="List Number (Level 4)"/>
    <w:basedOn w:val="Normal"/>
    <w:rsid w:val="001A62D7"/>
    <w:pPr>
      <w:numPr>
        <w:ilvl w:val="3"/>
        <w:numId w:val="6"/>
      </w:numPr>
    </w:pPr>
    <w:rPr>
      <w:rFonts w:eastAsia="Times New Roman"/>
      <w:lang w:eastAsia="de-DE"/>
    </w:rPr>
  </w:style>
  <w:style w:type="table" w:styleId="TableGrid">
    <w:name w:val="Table Grid"/>
    <w:basedOn w:val="TableNormal"/>
    <w:rsid w:val="001A62D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62D7"/>
    <w:rPr>
      <w:color w:val="0000FF"/>
      <w:u w:val="single"/>
    </w:rPr>
  </w:style>
  <w:style w:type="paragraph" w:styleId="ListBullet">
    <w:name w:val="List Bullet"/>
    <w:basedOn w:val="Normal"/>
    <w:uiPriority w:val="99"/>
    <w:rsid w:val="001A62D7"/>
    <w:pPr>
      <w:numPr>
        <w:numId w:val="7"/>
      </w:numPr>
    </w:pPr>
    <w:rPr>
      <w:rFonts w:eastAsia="Times New Roman"/>
      <w:lang w:eastAsia="en-GB"/>
    </w:rPr>
  </w:style>
  <w:style w:type="paragraph" w:styleId="ListBullet2">
    <w:name w:val="List Bullet 2"/>
    <w:basedOn w:val="Normal"/>
    <w:uiPriority w:val="99"/>
    <w:rsid w:val="001A62D7"/>
    <w:pPr>
      <w:numPr>
        <w:numId w:val="8"/>
      </w:numPr>
    </w:pPr>
    <w:rPr>
      <w:rFonts w:eastAsia="Times New Roman"/>
      <w:lang w:eastAsia="en-GB"/>
    </w:rPr>
  </w:style>
  <w:style w:type="paragraph" w:styleId="ListBullet3">
    <w:name w:val="List Bullet 3"/>
    <w:basedOn w:val="Normal"/>
    <w:uiPriority w:val="99"/>
    <w:rsid w:val="001A62D7"/>
    <w:pPr>
      <w:numPr>
        <w:numId w:val="9"/>
      </w:numPr>
    </w:pPr>
    <w:rPr>
      <w:rFonts w:eastAsia="Times New Roman"/>
      <w:lang w:eastAsia="en-GB"/>
    </w:rPr>
  </w:style>
  <w:style w:type="paragraph" w:styleId="ListNumber2">
    <w:name w:val="List Number 2"/>
    <w:basedOn w:val="Normal"/>
    <w:uiPriority w:val="99"/>
    <w:rsid w:val="001A62D7"/>
    <w:pPr>
      <w:numPr>
        <w:numId w:val="13"/>
      </w:numPr>
    </w:pPr>
    <w:rPr>
      <w:rFonts w:eastAsia="Times New Roman"/>
      <w:lang w:eastAsia="en-GB"/>
    </w:rPr>
  </w:style>
  <w:style w:type="paragraph" w:styleId="ListNumber3">
    <w:name w:val="List Number 3"/>
    <w:basedOn w:val="Normal"/>
    <w:uiPriority w:val="99"/>
    <w:rsid w:val="001A62D7"/>
    <w:pPr>
      <w:numPr>
        <w:numId w:val="14"/>
      </w:numPr>
    </w:pPr>
    <w:rPr>
      <w:rFonts w:eastAsia="Times New Roman"/>
      <w:lang w:eastAsia="en-GB"/>
    </w:rPr>
  </w:style>
  <w:style w:type="paragraph" w:styleId="ListNumber4">
    <w:name w:val="List Number 4"/>
    <w:basedOn w:val="Normal"/>
    <w:uiPriority w:val="99"/>
    <w:rsid w:val="001A62D7"/>
    <w:pPr>
      <w:numPr>
        <w:numId w:val="15"/>
      </w:numPr>
    </w:pPr>
    <w:rPr>
      <w:rFonts w:eastAsia="Times New Roman"/>
      <w:lang w:eastAsia="en-GB"/>
    </w:rPr>
  </w:style>
  <w:style w:type="paragraph" w:customStyle="1" w:styleId="ListDash3">
    <w:name w:val="List Dash 3"/>
    <w:basedOn w:val="Normal"/>
    <w:rsid w:val="001A62D7"/>
    <w:pPr>
      <w:numPr>
        <w:numId w:val="10"/>
      </w:numPr>
    </w:pPr>
    <w:rPr>
      <w:rFonts w:eastAsia="Times New Roman"/>
      <w:lang w:eastAsia="en-GB"/>
    </w:rPr>
  </w:style>
  <w:style w:type="paragraph" w:customStyle="1" w:styleId="ListDash4">
    <w:name w:val="List Dash 4"/>
    <w:basedOn w:val="Normal"/>
    <w:rsid w:val="001A62D7"/>
    <w:pPr>
      <w:numPr>
        <w:numId w:val="11"/>
      </w:numPr>
    </w:pPr>
    <w:rPr>
      <w:rFonts w:eastAsia="Times New Roman"/>
      <w:lang w:eastAsia="en-GB"/>
    </w:rPr>
  </w:style>
  <w:style w:type="paragraph" w:customStyle="1" w:styleId="ListNumber1">
    <w:name w:val="List Number 1"/>
    <w:basedOn w:val="Text1"/>
    <w:rsid w:val="001A62D7"/>
    <w:pPr>
      <w:numPr>
        <w:numId w:val="12"/>
      </w:numPr>
    </w:pPr>
    <w:rPr>
      <w:rFonts w:eastAsia="Times New Roman"/>
      <w:lang w:eastAsia="en-GB"/>
    </w:rPr>
  </w:style>
  <w:style w:type="paragraph" w:customStyle="1" w:styleId="ListNumber1Level2">
    <w:name w:val="List Number 1 (Level 2)"/>
    <w:basedOn w:val="Text1"/>
    <w:rsid w:val="001A62D7"/>
    <w:pPr>
      <w:numPr>
        <w:ilvl w:val="1"/>
        <w:numId w:val="12"/>
      </w:numPr>
    </w:pPr>
    <w:rPr>
      <w:rFonts w:eastAsia="Times New Roman"/>
      <w:lang w:eastAsia="en-GB"/>
    </w:rPr>
  </w:style>
  <w:style w:type="paragraph" w:customStyle="1" w:styleId="ListNumber2Level2">
    <w:name w:val="List Number 2 (Level 2)"/>
    <w:basedOn w:val="Text2"/>
    <w:rsid w:val="001A62D7"/>
    <w:pPr>
      <w:numPr>
        <w:ilvl w:val="1"/>
        <w:numId w:val="13"/>
      </w:numPr>
    </w:pPr>
    <w:rPr>
      <w:rFonts w:eastAsia="Times New Roman"/>
      <w:lang w:eastAsia="en-GB"/>
    </w:rPr>
  </w:style>
  <w:style w:type="paragraph" w:customStyle="1" w:styleId="ListNumber3Level2">
    <w:name w:val="List Number 3 (Level 2)"/>
    <w:basedOn w:val="Text3"/>
    <w:rsid w:val="001A62D7"/>
    <w:pPr>
      <w:numPr>
        <w:ilvl w:val="1"/>
        <w:numId w:val="14"/>
      </w:numPr>
    </w:pPr>
    <w:rPr>
      <w:rFonts w:eastAsia="Times New Roman"/>
      <w:lang w:eastAsia="en-GB"/>
    </w:rPr>
  </w:style>
  <w:style w:type="paragraph" w:customStyle="1" w:styleId="ListNumber4Level2">
    <w:name w:val="List Number 4 (Level 2)"/>
    <w:basedOn w:val="Text4"/>
    <w:rsid w:val="001A62D7"/>
    <w:pPr>
      <w:numPr>
        <w:ilvl w:val="1"/>
        <w:numId w:val="15"/>
      </w:numPr>
    </w:pPr>
    <w:rPr>
      <w:rFonts w:eastAsia="Times New Roman"/>
      <w:lang w:eastAsia="en-GB"/>
    </w:rPr>
  </w:style>
  <w:style w:type="paragraph" w:customStyle="1" w:styleId="ListNumber1Level3">
    <w:name w:val="List Number 1 (Level 3)"/>
    <w:basedOn w:val="Text1"/>
    <w:rsid w:val="001A62D7"/>
    <w:pPr>
      <w:numPr>
        <w:ilvl w:val="2"/>
        <w:numId w:val="12"/>
      </w:numPr>
    </w:pPr>
    <w:rPr>
      <w:rFonts w:eastAsia="Times New Roman"/>
      <w:lang w:eastAsia="en-GB"/>
    </w:rPr>
  </w:style>
  <w:style w:type="paragraph" w:customStyle="1" w:styleId="ListNumber2Level3">
    <w:name w:val="List Number 2 (Level 3)"/>
    <w:basedOn w:val="Text2"/>
    <w:rsid w:val="001A62D7"/>
    <w:pPr>
      <w:numPr>
        <w:ilvl w:val="2"/>
        <w:numId w:val="13"/>
      </w:numPr>
    </w:pPr>
    <w:rPr>
      <w:rFonts w:eastAsia="Times New Roman"/>
      <w:lang w:eastAsia="en-GB"/>
    </w:rPr>
  </w:style>
  <w:style w:type="paragraph" w:customStyle="1" w:styleId="ListNumber3Level3">
    <w:name w:val="List Number 3 (Level 3)"/>
    <w:basedOn w:val="Text3"/>
    <w:rsid w:val="001A62D7"/>
    <w:pPr>
      <w:numPr>
        <w:ilvl w:val="2"/>
        <w:numId w:val="14"/>
      </w:numPr>
    </w:pPr>
    <w:rPr>
      <w:rFonts w:eastAsia="Times New Roman"/>
      <w:lang w:eastAsia="en-GB"/>
    </w:rPr>
  </w:style>
  <w:style w:type="paragraph" w:customStyle="1" w:styleId="ListNumber4Level3">
    <w:name w:val="List Number 4 (Level 3)"/>
    <w:basedOn w:val="Text4"/>
    <w:rsid w:val="001A62D7"/>
    <w:pPr>
      <w:numPr>
        <w:ilvl w:val="2"/>
        <w:numId w:val="15"/>
      </w:numPr>
    </w:pPr>
    <w:rPr>
      <w:rFonts w:eastAsia="Times New Roman"/>
      <w:lang w:eastAsia="en-GB"/>
    </w:rPr>
  </w:style>
  <w:style w:type="paragraph" w:customStyle="1" w:styleId="ListNumber1Level4">
    <w:name w:val="List Number 1 (Level 4)"/>
    <w:basedOn w:val="Text1"/>
    <w:rsid w:val="001A62D7"/>
    <w:pPr>
      <w:numPr>
        <w:ilvl w:val="3"/>
        <w:numId w:val="12"/>
      </w:numPr>
    </w:pPr>
    <w:rPr>
      <w:rFonts w:eastAsia="Times New Roman"/>
      <w:lang w:eastAsia="en-GB"/>
    </w:rPr>
  </w:style>
  <w:style w:type="paragraph" w:customStyle="1" w:styleId="ListNumber2Level4">
    <w:name w:val="List Number 2 (Level 4)"/>
    <w:basedOn w:val="Text2"/>
    <w:rsid w:val="001A62D7"/>
    <w:pPr>
      <w:numPr>
        <w:ilvl w:val="3"/>
        <w:numId w:val="13"/>
      </w:numPr>
    </w:pPr>
    <w:rPr>
      <w:rFonts w:eastAsia="Times New Roman"/>
      <w:lang w:eastAsia="en-GB"/>
    </w:rPr>
  </w:style>
  <w:style w:type="paragraph" w:customStyle="1" w:styleId="ListNumber3Level4">
    <w:name w:val="List Number 3 (Level 4)"/>
    <w:basedOn w:val="Text3"/>
    <w:rsid w:val="001A62D7"/>
    <w:pPr>
      <w:numPr>
        <w:ilvl w:val="3"/>
        <w:numId w:val="14"/>
      </w:numPr>
    </w:pPr>
    <w:rPr>
      <w:rFonts w:eastAsia="Times New Roman"/>
      <w:lang w:eastAsia="en-GB"/>
    </w:rPr>
  </w:style>
  <w:style w:type="paragraph" w:customStyle="1" w:styleId="ListNumber4Level4">
    <w:name w:val="List Number 4 (Level 4)"/>
    <w:basedOn w:val="Text4"/>
    <w:rsid w:val="001A62D7"/>
    <w:pPr>
      <w:numPr>
        <w:ilvl w:val="3"/>
        <w:numId w:val="15"/>
      </w:numPr>
    </w:pPr>
    <w:rPr>
      <w:rFonts w:eastAsia="Times New Roman"/>
      <w:lang w:eastAsia="en-GB"/>
    </w:rPr>
  </w:style>
  <w:style w:type="paragraph" w:customStyle="1" w:styleId="Annexetitreacte">
    <w:name w:val="Annexe titre (acte)"/>
    <w:basedOn w:val="Normal"/>
    <w:next w:val="Normal"/>
    <w:rsid w:val="001A62D7"/>
    <w:pPr>
      <w:jc w:val="center"/>
    </w:pPr>
    <w:rPr>
      <w:rFonts w:eastAsia="Times New Roman"/>
      <w:b/>
      <w:u w:val="single"/>
      <w:lang w:eastAsia="en-GB"/>
    </w:rPr>
  </w:style>
  <w:style w:type="paragraph" w:customStyle="1" w:styleId="Annexetitreexposglobal">
    <w:name w:val="Annexe titre (exposé global)"/>
    <w:basedOn w:val="Normal"/>
    <w:next w:val="Normal"/>
    <w:rsid w:val="001A62D7"/>
    <w:pPr>
      <w:jc w:val="center"/>
    </w:pPr>
    <w:rPr>
      <w:rFonts w:eastAsia="Times New Roman"/>
      <w:b/>
      <w:u w:val="single"/>
      <w:lang w:eastAsia="en-GB"/>
    </w:rPr>
  </w:style>
  <w:style w:type="paragraph" w:customStyle="1" w:styleId="Annexetitrefichefinacte">
    <w:name w:val="Annexe titre (fiche fin. acte)"/>
    <w:basedOn w:val="Normal"/>
    <w:next w:val="Normal"/>
    <w:rsid w:val="001A62D7"/>
    <w:pPr>
      <w:jc w:val="center"/>
    </w:pPr>
    <w:rPr>
      <w:rFonts w:eastAsia="Times New Roman"/>
      <w:b/>
      <w:u w:val="single"/>
      <w:lang w:eastAsia="en-GB"/>
    </w:rPr>
  </w:style>
  <w:style w:type="paragraph" w:customStyle="1" w:styleId="Annexetitrefichefinglobale">
    <w:name w:val="Annexe titre (fiche fin. globale)"/>
    <w:basedOn w:val="Normal"/>
    <w:next w:val="Normal"/>
    <w:rsid w:val="001A62D7"/>
    <w:pPr>
      <w:jc w:val="center"/>
    </w:pPr>
    <w:rPr>
      <w:rFonts w:eastAsia="Times New Roman"/>
      <w:b/>
      <w:u w:val="single"/>
      <w:lang w:eastAsia="en-GB"/>
    </w:rPr>
  </w:style>
  <w:style w:type="paragraph" w:customStyle="1" w:styleId="Annexetitreglobale">
    <w:name w:val="Annexe titre (globale)"/>
    <w:basedOn w:val="Normal"/>
    <w:next w:val="Normal"/>
    <w:rsid w:val="001A62D7"/>
    <w:pPr>
      <w:jc w:val="center"/>
    </w:pPr>
    <w:rPr>
      <w:rFonts w:eastAsia="Times New Roman"/>
      <w:b/>
      <w:u w:val="single"/>
      <w:lang w:eastAsia="en-GB"/>
    </w:rPr>
  </w:style>
  <w:style w:type="paragraph" w:customStyle="1" w:styleId="Exposdesmotifstitreglobal">
    <w:name w:val="Exposé des motifs titre (global)"/>
    <w:basedOn w:val="Normal"/>
    <w:next w:val="Normal"/>
    <w:rsid w:val="001A62D7"/>
    <w:pPr>
      <w:jc w:val="center"/>
    </w:pPr>
    <w:rPr>
      <w:rFonts w:eastAsia="Times New Roman"/>
      <w:b/>
      <w:u w:val="single"/>
      <w:lang w:eastAsia="en-GB"/>
    </w:rPr>
  </w:style>
  <w:style w:type="paragraph" w:customStyle="1" w:styleId="Langueoriginale">
    <w:name w:val="Langue originale"/>
    <w:basedOn w:val="Normal"/>
    <w:rsid w:val="001A62D7"/>
    <w:pPr>
      <w:spacing w:before="360"/>
      <w:jc w:val="center"/>
    </w:pPr>
    <w:rPr>
      <w:rFonts w:eastAsia="Times New Roman"/>
      <w:caps/>
      <w:lang w:eastAsia="en-GB"/>
    </w:rPr>
  </w:style>
  <w:style w:type="paragraph" w:customStyle="1" w:styleId="Phrasefinale">
    <w:name w:val="Phrase finale"/>
    <w:basedOn w:val="Normal"/>
    <w:next w:val="Normal"/>
    <w:rsid w:val="001A62D7"/>
    <w:pPr>
      <w:spacing w:before="360" w:after="0"/>
      <w:jc w:val="center"/>
    </w:pPr>
    <w:rPr>
      <w:rFonts w:eastAsia="Times New Roman"/>
      <w:lang w:eastAsia="en-GB"/>
    </w:rPr>
  </w:style>
  <w:style w:type="paragraph" w:customStyle="1" w:styleId="Prliminairetitre">
    <w:name w:val="Préliminaire titre"/>
    <w:basedOn w:val="Normal"/>
    <w:next w:val="Normal"/>
    <w:rsid w:val="001A62D7"/>
    <w:pPr>
      <w:spacing w:before="360" w:after="360"/>
      <w:jc w:val="center"/>
    </w:pPr>
    <w:rPr>
      <w:rFonts w:eastAsia="Times New Roman"/>
      <w:b/>
      <w:lang w:eastAsia="en-GB"/>
    </w:rPr>
  </w:style>
  <w:style w:type="paragraph" w:customStyle="1" w:styleId="Prliminairetype">
    <w:name w:val="Préliminaire type"/>
    <w:basedOn w:val="Normal"/>
    <w:next w:val="Normal"/>
    <w:rsid w:val="001A62D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A62D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A62D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A62D7"/>
    <w:pPr>
      <w:spacing w:before="0" w:after="0"/>
      <w:ind w:left="5103"/>
      <w:jc w:val="left"/>
    </w:pPr>
    <w:rPr>
      <w:rFonts w:eastAsia="Times New Roman"/>
      <w:lang w:eastAsia="en-GB"/>
    </w:rPr>
  </w:style>
  <w:style w:type="paragraph" w:customStyle="1" w:styleId="Sous-titreobjetprliminaire">
    <w:name w:val="Sous-titre objet (préliminaire)"/>
    <w:basedOn w:val="Normal"/>
    <w:rsid w:val="001A62D7"/>
    <w:pPr>
      <w:spacing w:before="0" w:after="0"/>
      <w:jc w:val="center"/>
    </w:pPr>
    <w:rPr>
      <w:rFonts w:eastAsia="Times New Roman"/>
      <w:b/>
      <w:lang w:eastAsia="en-GB"/>
    </w:rPr>
  </w:style>
  <w:style w:type="paragraph" w:customStyle="1" w:styleId="Statutprliminaire">
    <w:name w:val="Statut (préliminaire)"/>
    <w:basedOn w:val="Normal"/>
    <w:next w:val="Normal"/>
    <w:rsid w:val="001A62D7"/>
    <w:pPr>
      <w:spacing w:before="360" w:after="0"/>
      <w:jc w:val="center"/>
    </w:pPr>
    <w:rPr>
      <w:rFonts w:eastAsia="Times New Roman"/>
      <w:lang w:eastAsia="en-GB"/>
    </w:rPr>
  </w:style>
  <w:style w:type="paragraph" w:customStyle="1" w:styleId="Titreobjetprliminaire">
    <w:name w:val="Titre objet (préliminaire)"/>
    <w:basedOn w:val="Normal"/>
    <w:next w:val="Normal"/>
    <w:rsid w:val="001A62D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A62D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A62D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A62D7"/>
    <w:pPr>
      <w:jc w:val="center"/>
    </w:pPr>
    <w:rPr>
      <w:rFonts w:eastAsia="Times New Roman"/>
      <w:b/>
      <w:u w:val="single"/>
      <w:lang w:eastAsia="en-GB"/>
    </w:rPr>
  </w:style>
  <w:style w:type="paragraph" w:customStyle="1" w:styleId="Fichefinanciretravailtitre">
    <w:name w:val="Fiche financière (travail) titre"/>
    <w:basedOn w:val="Normal"/>
    <w:next w:val="Normal"/>
    <w:rsid w:val="001A62D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A62D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A62D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A62D7"/>
    <w:pPr>
      <w:jc w:val="center"/>
    </w:pPr>
    <w:rPr>
      <w:rFonts w:eastAsia="Times New Roman"/>
      <w:b/>
      <w:u w:val="single"/>
      <w:lang w:eastAsia="en-GB"/>
    </w:rPr>
  </w:style>
  <w:style w:type="character" w:styleId="CommentReference">
    <w:name w:val="annotation reference"/>
    <w:uiPriority w:val="99"/>
    <w:rsid w:val="001A62D7"/>
    <w:rPr>
      <w:rFonts w:cs="Times New Roman"/>
      <w:sz w:val="16"/>
      <w:szCs w:val="16"/>
    </w:rPr>
  </w:style>
  <w:style w:type="paragraph" w:styleId="CommentText">
    <w:name w:val="annotation text"/>
    <w:basedOn w:val="Normal"/>
    <w:link w:val="CommentTextChar"/>
    <w:uiPriority w:val="99"/>
    <w:rsid w:val="001A62D7"/>
    <w:rPr>
      <w:rFonts w:eastAsia="Times New Roman"/>
      <w:sz w:val="20"/>
      <w:szCs w:val="20"/>
      <w:lang w:eastAsia="en-GB"/>
    </w:rPr>
  </w:style>
  <w:style w:type="character" w:customStyle="1" w:styleId="CommentTextChar">
    <w:name w:val="Comment Text Char"/>
    <w:basedOn w:val="DefaultParagraphFont"/>
    <w:link w:val="CommentText"/>
    <w:uiPriority w:val="99"/>
    <w:rsid w:val="001A62D7"/>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uiPriority w:val="99"/>
    <w:rsid w:val="001A62D7"/>
    <w:rPr>
      <w:b/>
      <w:bCs/>
    </w:rPr>
  </w:style>
  <w:style w:type="character" w:customStyle="1" w:styleId="CommentSubjectChar">
    <w:name w:val="Comment Subject Char"/>
    <w:basedOn w:val="CommentTextChar"/>
    <w:link w:val="CommentSubject"/>
    <w:uiPriority w:val="99"/>
    <w:rsid w:val="001A62D7"/>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uiPriority w:val="99"/>
    <w:rsid w:val="001A62D7"/>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1A62D7"/>
    <w:rPr>
      <w:rFonts w:ascii="Tahoma" w:eastAsia="Times New Roman" w:hAnsi="Tahoma" w:cs="Tahoma"/>
      <w:sz w:val="16"/>
      <w:szCs w:val="16"/>
      <w:lang w:val="bg-BG" w:eastAsia="en-GB"/>
    </w:rPr>
  </w:style>
  <w:style w:type="paragraph" w:styleId="Caption">
    <w:name w:val="caption"/>
    <w:basedOn w:val="Normal"/>
    <w:next w:val="Normal"/>
    <w:uiPriority w:val="35"/>
    <w:qFormat/>
    <w:rsid w:val="001A62D7"/>
    <w:rPr>
      <w:rFonts w:eastAsia="Times New Roman"/>
      <w:b/>
      <w:bCs/>
      <w:sz w:val="20"/>
      <w:szCs w:val="20"/>
      <w:lang w:eastAsia="en-GB"/>
    </w:rPr>
  </w:style>
  <w:style w:type="paragraph" w:styleId="TableofFigures">
    <w:name w:val="table of figures"/>
    <w:basedOn w:val="Normal"/>
    <w:next w:val="Normal"/>
    <w:uiPriority w:val="99"/>
    <w:rsid w:val="001A62D7"/>
    <w:rPr>
      <w:rFonts w:eastAsia="Times New Roman"/>
      <w:lang w:eastAsia="en-GB"/>
    </w:rPr>
  </w:style>
  <w:style w:type="character" w:styleId="PageNumber">
    <w:name w:val="page number"/>
    <w:rsid w:val="001A62D7"/>
  </w:style>
  <w:style w:type="character" w:customStyle="1" w:styleId="tw4winMark">
    <w:name w:val="tw4winMark"/>
    <w:rsid w:val="001A62D7"/>
    <w:rPr>
      <w:vanish/>
      <w:color w:val="800080"/>
      <w:vertAlign w:val="subscript"/>
    </w:rPr>
  </w:style>
  <w:style w:type="character" w:styleId="FollowedHyperlink">
    <w:name w:val="FollowedHyperlink"/>
    <w:rsid w:val="001A62D7"/>
    <w:rPr>
      <w:color w:val="800080"/>
      <w:u w:val="single"/>
    </w:rPr>
  </w:style>
  <w:style w:type="paragraph" w:customStyle="1" w:styleId="Sous-titreobjet">
    <w:name w:val="Sous-titre objet"/>
    <w:basedOn w:val="Normal"/>
    <w:rsid w:val="001A62D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A62D7"/>
  </w:style>
  <w:style w:type="paragraph" w:styleId="Revision">
    <w:name w:val="Revision"/>
    <w:hidden/>
    <w:uiPriority w:val="99"/>
    <w:semiHidden/>
    <w:rsid w:val="001A62D7"/>
    <w:rPr>
      <w:rFonts w:ascii="Calibri" w:eastAsia="Calibri" w:hAnsi="Calibri" w:cs="Times New Roman"/>
      <w:sz w:val="24"/>
      <w:lang w:eastAsia="en-GB"/>
    </w:rPr>
  </w:style>
  <w:style w:type="paragraph" w:customStyle="1" w:styleId="FooterCoverPage">
    <w:name w:val="Footer Cover Page"/>
    <w:basedOn w:val="Normal"/>
    <w:link w:val="FooterCoverPageChar"/>
    <w:rsid w:val="001A62D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A62D7"/>
    <w:rPr>
      <w:rFonts w:ascii="Times New Roman" w:hAnsi="Times New Roman" w:cs="Times New Roman"/>
      <w:b/>
      <w:sz w:val="28"/>
      <w:lang w:val="bg-BG"/>
    </w:rPr>
  </w:style>
  <w:style w:type="character" w:customStyle="1" w:styleId="FooterCoverPageChar">
    <w:name w:val="Footer Cover Page Char"/>
    <w:link w:val="FooterCoverPage"/>
    <w:rsid w:val="001A62D7"/>
    <w:rPr>
      <w:rFonts w:ascii="Times New Roman" w:eastAsia="Calibri" w:hAnsi="Times New Roman" w:cs="Times New Roman"/>
      <w:sz w:val="24"/>
      <w:lang w:val="bg-BG" w:eastAsia="en-GB"/>
    </w:rPr>
  </w:style>
  <w:style w:type="paragraph" w:customStyle="1" w:styleId="HeaderCoverPage">
    <w:name w:val="Header Cover Page"/>
    <w:basedOn w:val="Normal"/>
    <w:link w:val="HeaderCoverPageChar"/>
    <w:rsid w:val="001A62D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A62D7"/>
    <w:rPr>
      <w:rFonts w:ascii="Times New Roman" w:eastAsia="Calibri" w:hAnsi="Times New Roman" w:cs="Times New Roman"/>
      <w:sz w:val="24"/>
      <w:lang w:val="bg-BG" w:eastAsia="en-GB"/>
    </w:rPr>
  </w:style>
  <w:style w:type="character" w:customStyle="1" w:styleId="FooterSensitivityChar">
    <w:name w:val="Footer Sensitivity Char"/>
    <w:rsid w:val="001A62D7"/>
    <w:rPr>
      <w:rFonts w:ascii="Times New Roman" w:hAnsi="Times New Roman" w:cs="Times New Roman"/>
      <w:b/>
      <w:sz w:val="32"/>
      <w:lang w:val="bg-BG"/>
    </w:rPr>
  </w:style>
  <w:style w:type="character" w:customStyle="1" w:styleId="HeaderSensitivityChar">
    <w:name w:val="Header Sensitivity Char"/>
    <w:rsid w:val="001A62D7"/>
    <w:rPr>
      <w:rFonts w:ascii="Times New Roman" w:hAnsi="Times New Roman" w:cs="Times New Roman"/>
      <w:b/>
      <w:sz w:val="32"/>
      <w:lang w:val="bg-BG"/>
    </w:rPr>
  </w:style>
  <w:style w:type="character" w:customStyle="1" w:styleId="HeaderSensitivityRightChar">
    <w:name w:val="Header Sensitivity Right Char"/>
    <w:rsid w:val="001A62D7"/>
    <w:rPr>
      <w:rFonts w:ascii="Times New Roman" w:hAnsi="Times New Roman" w:cs="Times New Roman"/>
      <w:sz w:val="28"/>
      <w:lang w:val="bg-BG"/>
    </w:rPr>
  </w:style>
  <w:style w:type="paragraph" w:customStyle="1" w:styleId="LegalNumPar">
    <w:name w:val="LegalNumPar"/>
    <w:basedOn w:val="Normal"/>
    <w:rsid w:val="001A62D7"/>
    <w:pPr>
      <w:numPr>
        <w:numId w:val="16"/>
      </w:numPr>
      <w:spacing w:line="360" w:lineRule="auto"/>
    </w:pPr>
    <w:rPr>
      <w:rFonts w:eastAsia="Times New Roman"/>
      <w:lang w:eastAsia="en-GB"/>
    </w:rPr>
  </w:style>
  <w:style w:type="paragraph" w:customStyle="1" w:styleId="LegalNumPar2">
    <w:name w:val="LegalNumPar2"/>
    <w:basedOn w:val="Normal"/>
    <w:rsid w:val="001A62D7"/>
    <w:pPr>
      <w:numPr>
        <w:ilvl w:val="1"/>
        <w:numId w:val="16"/>
      </w:numPr>
      <w:spacing w:line="360" w:lineRule="auto"/>
    </w:pPr>
    <w:rPr>
      <w:rFonts w:eastAsia="Times New Roman"/>
      <w:lang w:eastAsia="en-GB"/>
    </w:rPr>
  </w:style>
  <w:style w:type="paragraph" w:customStyle="1" w:styleId="LegalNumPar3">
    <w:name w:val="LegalNumPar3"/>
    <w:basedOn w:val="Normal"/>
    <w:rsid w:val="001A62D7"/>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1A62D7"/>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1A62D7"/>
    <w:rPr>
      <w:color w:val="605E5C"/>
      <w:shd w:val="clear" w:color="auto" w:fill="E1DFDD"/>
    </w:rPr>
  </w:style>
  <w:style w:type="character" w:styleId="Strong">
    <w:name w:val="Strong"/>
    <w:basedOn w:val="DefaultParagraphFont"/>
    <w:qFormat/>
    <w:rsid w:val="001A62D7"/>
    <w:rPr>
      <w:b/>
      <w:bCs/>
    </w:rPr>
  </w:style>
  <w:style w:type="character" w:styleId="Emphasis">
    <w:name w:val="Emphasis"/>
    <w:basedOn w:val="DefaultParagraphFont"/>
    <w:qFormat/>
    <w:rsid w:val="001A62D7"/>
    <w:rPr>
      <w:i/>
      <w:iCs/>
    </w:rPr>
  </w:style>
  <w:style w:type="character" w:customStyle="1" w:styleId="Mention">
    <w:name w:val="Mention"/>
    <w:basedOn w:val="DefaultParagraphFont"/>
    <w:uiPriority w:val="99"/>
    <w:unhideWhenUsed/>
    <w:rsid w:val="001A62D7"/>
    <w:rPr>
      <w:color w:val="2B579A"/>
      <w:shd w:val="clear" w:color="auto" w:fill="E1DFDD"/>
    </w:rPr>
  </w:style>
  <w:style w:type="character" w:customStyle="1" w:styleId="normaltextrun">
    <w:name w:val="normaltextrun"/>
    <w:basedOn w:val="DefaultParagraphFont"/>
    <w:rsid w:val="001A62D7"/>
  </w:style>
  <w:style w:type="character" w:customStyle="1" w:styleId="eop">
    <w:name w:val="eop"/>
    <w:basedOn w:val="DefaultParagraphFont"/>
    <w:rsid w:val="001A62D7"/>
  </w:style>
  <w:style w:type="character" w:customStyle="1" w:styleId="viiyi">
    <w:name w:val="viiyi"/>
    <w:basedOn w:val="DefaultParagraphFont"/>
    <w:rsid w:val="001A62D7"/>
  </w:style>
  <w:style w:type="character" w:customStyle="1" w:styleId="jlqj4b">
    <w:name w:val="jlqj4b"/>
    <w:basedOn w:val="DefaultParagraphFont"/>
    <w:rsid w:val="001A62D7"/>
  </w:style>
  <w:style w:type="paragraph" w:styleId="EndnoteText">
    <w:name w:val="endnote text"/>
    <w:basedOn w:val="Normal"/>
    <w:link w:val="EndnoteTextChar"/>
    <w:uiPriority w:val="99"/>
    <w:semiHidden/>
    <w:unhideWhenUsed/>
    <w:rsid w:val="002F19DB"/>
    <w:pPr>
      <w:spacing w:before="0" w:after="0"/>
    </w:pPr>
    <w:rPr>
      <w:sz w:val="20"/>
      <w:szCs w:val="20"/>
    </w:rPr>
  </w:style>
  <w:style w:type="character" w:customStyle="1" w:styleId="EndnoteTextChar">
    <w:name w:val="Endnote Text Char"/>
    <w:basedOn w:val="DefaultParagraphFont"/>
    <w:link w:val="EndnoteText"/>
    <w:uiPriority w:val="99"/>
    <w:semiHidden/>
    <w:rsid w:val="002F19DB"/>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sid w:val="002F19DB"/>
    <w:rPr>
      <w:vertAlign w:val="superscript"/>
    </w:rPr>
  </w:style>
  <w:style w:type="character" w:customStyle="1" w:styleId="HeaderChar">
    <w:name w:val="Header Char"/>
    <w:basedOn w:val="DefaultParagraphFont"/>
    <w:link w:val="Header"/>
    <w:uiPriority w:val="99"/>
    <w:rsid w:val="002768DE"/>
    <w:rPr>
      <w:rFonts w:ascii="Times New Roman" w:hAnsi="Times New Roman" w:cs="Times New Roman"/>
      <w:sz w:val="24"/>
      <w:lang w:val="bg-BG"/>
    </w:rPr>
  </w:style>
  <w:style w:type="character" w:customStyle="1" w:styleId="FooterChar">
    <w:name w:val="Footer Char"/>
    <w:basedOn w:val="DefaultParagraphFont"/>
    <w:link w:val="Footer"/>
    <w:uiPriority w:val="99"/>
    <w:rsid w:val="002768DE"/>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768D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768DE"/>
    <w:pPr>
      <w:spacing w:before="0"/>
      <w:jc w:val="right"/>
    </w:pPr>
    <w:rPr>
      <w:sz w:val="28"/>
    </w:rPr>
  </w:style>
  <w:style w:type="paragraph" w:customStyle="1" w:styleId="FooterSensitivity">
    <w:name w:val="Footer Sensitivity"/>
    <w:basedOn w:val="Normal"/>
    <w:rsid w:val="002768D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768DE"/>
    <w:pPr>
      <w:tabs>
        <w:tab w:val="center" w:pos="4535"/>
        <w:tab w:val="right" w:pos="9071"/>
      </w:tabs>
      <w:spacing w:before="0"/>
    </w:pPr>
  </w:style>
  <w:style w:type="paragraph" w:customStyle="1" w:styleId="HeaderLandscape">
    <w:name w:val="HeaderLandscape"/>
    <w:basedOn w:val="Normal"/>
    <w:rsid w:val="002768DE"/>
    <w:pPr>
      <w:tabs>
        <w:tab w:val="center" w:pos="7285"/>
        <w:tab w:val="right" w:pos="14003"/>
      </w:tabs>
      <w:spacing w:before="0"/>
    </w:pPr>
  </w:style>
  <w:style w:type="paragraph" w:styleId="Footer">
    <w:name w:val="footer"/>
    <w:basedOn w:val="Normal"/>
    <w:link w:val="FooterChar"/>
    <w:uiPriority w:val="99"/>
    <w:unhideWhenUsed/>
    <w:rsid w:val="002768D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768D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1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A367-6827-44D3-ADA3-93E90160D3A8}">
  <ds:schemaRefs>
    <ds:schemaRef ds:uri="f7bb8512-91eb-4bfd-be42-d6f021407e9a"/>
    <ds:schemaRef ds:uri="http://schemas.microsoft.com/office/2006/documentManagement/types"/>
    <ds:schemaRef ds:uri="http://www.w3.org/XML/1998/namespace"/>
    <ds:schemaRef ds:uri="144c03d0-0f03-451f-9d46-5279004462a4"/>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E8A71C6F-1AE7-423F-B168-25A6EBB875DA}">
  <ds:schemaRefs>
    <ds:schemaRef ds:uri="http://schemas.microsoft.com/sharepoint/v3/contenttype/forms"/>
  </ds:schemaRefs>
</ds:datastoreItem>
</file>

<file path=customXml/itemProps3.xml><?xml version="1.0" encoding="utf-8"?>
<ds:datastoreItem xmlns:ds="http://schemas.openxmlformats.org/officeDocument/2006/customXml" ds:itemID="{9569FA1F-965D-4119-B5C4-047EF260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CA219-67AD-4DC0-8FE7-3EE02B1B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32</TotalTime>
  <Pages>11</Pages>
  <Words>4647</Words>
  <Characters>26489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cp:lastPrinted>2025-09-30T08:38:00Z</cp:lastPrinted>
  <dcterms:created xsi:type="dcterms:W3CDTF">2025-10-15T16:01:00Z</dcterms:created>
  <dcterms:modified xsi:type="dcterms:W3CDTF">2025-10-21T05:55:00Z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MSIP_Label_6bd9ddd1-4d20-43f6-abfa-fc3c07406f94_Enabled">
    <vt:lpwstr>true</vt:lpwstr>
  </property>
  <property fmtid="{D5CDD505-2E9C-101B-9397-08002B2CF9AE}" pid="11" name="MSIP_Label_6bd9ddd1-4d20-43f6-abfa-fc3c07406f94_SetDate">
    <vt:lpwstr>2025-02-03T12:15:49Z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56910240-6c56-4989-8e01-d1db357c2268</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ies>
</file>