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33F" w:rsidRPr="00157E0B" w:rsidRDefault="00E41D5B" w:rsidP="00E41D5B">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61A224B-8B36-44DA-A060-BDDF59C80361" style="width:455.25pt;height:450.75pt">
            <v:imagedata r:id="rId11" o:title=""/>
          </v:shape>
        </w:pict>
      </w:r>
    </w:p>
    <w:p w:rsidR="00A732C8" w:rsidRPr="00157E0B" w:rsidRDefault="00A732C8">
      <w:pPr>
        <w:rPr>
          <w:noProof/>
        </w:rPr>
        <w:sectPr w:rsidR="00A732C8" w:rsidRPr="00157E0B" w:rsidSect="00E41D5B">
          <w:footerReference w:type="even" r:id="rId12"/>
          <w:footerReference w:type="default" r:id="rId13"/>
          <w:pgSz w:w="11907" w:h="16839"/>
          <w:pgMar w:top="1134" w:right="1417" w:bottom="1134" w:left="1417" w:header="709" w:footer="709" w:gutter="0"/>
          <w:pgNumType w:start="0"/>
          <w:cols w:space="720"/>
          <w:docGrid w:linePitch="360"/>
        </w:sectPr>
      </w:pPr>
    </w:p>
    <w:p w:rsidR="00D219BA" w:rsidRPr="00157E0B" w:rsidRDefault="00157E0B" w:rsidP="00157E0B">
      <w:pPr>
        <w:pStyle w:val="Rfrenceinterinstitutionnelle"/>
        <w:rPr>
          <w:noProof/>
        </w:rPr>
      </w:pPr>
      <w:bookmarkStart w:id="0" w:name="_GoBack"/>
      <w:bookmarkEnd w:id="0"/>
      <w:r>
        <w:rPr>
          <w:noProof/>
        </w:rPr>
        <w:lastRenderedPageBreak/>
        <w:t>2023/0234 (COD)</w:t>
      </w:r>
    </w:p>
    <w:p w:rsidR="00A732C8" w:rsidRPr="00157E0B" w:rsidRDefault="00157E0B" w:rsidP="00157E0B">
      <w:pPr>
        <w:pStyle w:val="Typedudocument"/>
        <w:rPr>
          <w:noProof/>
        </w:rPr>
      </w:pPr>
      <w:r w:rsidRPr="00157E0B">
        <w:rPr>
          <w:noProof/>
        </w:rPr>
        <w:t>СЪОБЩЕНИЕ НА КОМИСИЯТА ДО ЕВРОПЕЙСКИЯ ПАРЛАМЕНТ</w:t>
      </w:r>
      <w:r w:rsidRPr="00157E0B">
        <w:rPr>
          <w:noProof/>
        </w:rPr>
        <w:br/>
      </w:r>
      <w:r w:rsidRPr="00157E0B">
        <w:rPr>
          <w:noProof/>
        </w:rPr>
        <w:br/>
        <w:t>съгласно член 294, параграф 6 от Договора за функционирането на Европейския съюз</w:t>
      </w:r>
      <w:r w:rsidRPr="00157E0B">
        <w:rPr>
          <w:noProof/>
        </w:rPr>
        <w:br/>
      </w:r>
      <w:r w:rsidRPr="00157E0B">
        <w:rPr>
          <w:noProof/>
        </w:rPr>
        <w:br/>
        <w:t>относно</w:t>
      </w:r>
    </w:p>
    <w:p w:rsidR="00A732C8" w:rsidRPr="00157E0B" w:rsidRDefault="00157E0B" w:rsidP="00157E0B">
      <w:pPr>
        <w:pStyle w:val="Titreobjet"/>
        <w:rPr>
          <w:noProof/>
        </w:rPr>
      </w:pPr>
      <w:r w:rsidRPr="00157E0B">
        <w:rPr>
          <w:noProof/>
        </w:rPr>
        <w:t>позицията на Съвета във връзка с приемането на Директива на Европейския парламент и на Съвета за изменение на Директива 2008/98/ЕО относно отпадъците (целево преразглеждане на Рамковата директива за отпадъците)</w:t>
      </w:r>
    </w:p>
    <w:p w:rsidR="00A732C8" w:rsidRPr="00157E0B" w:rsidRDefault="00157E0B" w:rsidP="00157E0B">
      <w:pPr>
        <w:pStyle w:val="IntrtEEE"/>
        <w:rPr>
          <w:noProof/>
        </w:rPr>
      </w:pPr>
      <w:r w:rsidRPr="00157E0B">
        <w:rPr>
          <w:noProof/>
        </w:rPr>
        <w:t>(текст от значение за ЕИП)</w:t>
      </w:r>
    </w:p>
    <w:p w:rsidR="00A732C8" w:rsidRPr="00157E0B" w:rsidRDefault="00A732C8" w:rsidP="0029748F">
      <w:pPr>
        <w:pStyle w:val="ManualHeading1"/>
        <w:rPr>
          <w:noProof/>
          <w:sz w:val="22"/>
        </w:rPr>
      </w:pPr>
      <w:r w:rsidRPr="00157E0B">
        <w:rPr>
          <w:noProof/>
        </w:rPr>
        <w:t>1.</w:t>
      </w:r>
      <w:r w:rsidRPr="00157E0B">
        <w:rPr>
          <w:noProof/>
        </w:rPr>
        <w:tab/>
        <w:t>Хронология на преписката</w:t>
      </w:r>
    </w:p>
    <w:tbl>
      <w:tblPr>
        <w:tblW w:w="0" w:type="auto"/>
        <w:tblLayout w:type="fixed"/>
        <w:tblLook w:val="0000" w:firstRow="0" w:lastRow="0" w:firstColumn="0" w:lastColumn="0" w:noHBand="0" w:noVBand="0"/>
      </w:tblPr>
      <w:tblGrid>
        <w:gridCol w:w="6804"/>
        <w:gridCol w:w="2483"/>
      </w:tblGrid>
      <w:tr w:rsidR="00A732C8" w:rsidRPr="00157E0B" w:rsidTr="0029748F">
        <w:tc>
          <w:tcPr>
            <w:tcW w:w="6804" w:type="dxa"/>
          </w:tcPr>
          <w:p w:rsidR="00A732C8" w:rsidRPr="00157E0B" w:rsidRDefault="00A732C8" w:rsidP="0029748F">
            <w:pPr>
              <w:jc w:val="left"/>
              <w:rPr>
                <w:noProof/>
              </w:rPr>
            </w:pPr>
            <w:r w:rsidRPr="00157E0B">
              <w:rPr>
                <w:noProof/>
              </w:rPr>
              <w:t>Дата на предаване на предложението на Европейския парламент и на Съвета</w:t>
            </w:r>
            <w:r w:rsidRPr="00157E0B">
              <w:rPr>
                <w:noProof/>
              </w:rPr>
              <w:br/>
              <w:t>(Документ COM(2023) 420 final — 2023/0234 COD):</w:t>
            </w:r>
          </w:p>
        </w:tc>
        <w:tc>
          <w:tcPr>
            <w:tcW w:w="2483" w:type="dxa"/>
          </w:tcPr>
          <w:p w:rsidR="00A732C8" w:rsidRPr="00157E0B" w:rsidRDefault="00EC4647" w:rsidP="0029748F">
            <w:pPr>
              <w:jc w:val="left"/>
              <w:rPr>
                <w:noProof/>
              </w:rPr>
            </w:pPr>
            <w:r w:rsidRPr="00157E0B">
              <w:rPr>
                <w:noProof/>
              </w:rPr>
              <w:t>5 юли 2023 г.</w:t>
            </w:r>
          </w:p>
        </w:tc>
      </w:tr>
      <w:tr w:rsidR="00A732C8" w:rsidRPr="00157E0B" w:rsidTr="0029748F">
        <w:tc>
          <w:tcPr>
            <w:tcW w:w="6804" w:type="dxa"/>
          </w:tcPr>
          <w:p w:rsidR="00A732C8" w:rsidRPr="00157E0B" w:rsidRDefault="00A732C8" w:rsidP="0029748F">
            <w:pPr>
              <w:rPr>
                <w:noProof/>
              </w:rPr>
            </w:pPr>
            <w:r w:rsidRPr="00157E0B">
              <w:rPr>
                <w:noProof/>
              </w:rPr>
              <w:t>Дата на становището на Европейския икономически и социален комитет:</w:t>
            </w:r>
          </w:p>
        </w:tc>
        <w:tc>
          <w:tcPr>
            <w:tcW w:w="2483" w:type="dxa"/>
          </w:tcPr>
          <w:p w:rsidR="00A732C8" w:rsidRPr="00157E0B" w:rsidRDefault="00EC4647" w:rsidP="0029748F">
            <w:pPr>
              <w:jc w:val="left"/>
              <w:rPr>
                <w:noProof/>
              </w:rPr>
            </w:pPr>
            <w:r w:rsidRPr="00157E0B">
              <w:rPr>
                <w:noProof/>
              </w:rPr>
              <w:t>25 октомври 2023 г.</w:t>
            </w:r>
          </w:p>
        </w:tc>
      </w:tr>
      <w:tr w:rsidR="00A732C8" w:rsidRPr="00157E0B" w:rsidTr="0029748F">
        <w:tc>
          <w:tcPr>
            <w:tcW w:w="6804" w:type="dxa"/>
          </w:tcPr>
          <w:p w:rsidR="00A732C8" w:rsidRPr="00157E0B" w:rsidRDefault="00A732C8" w:rsidP="0029748F">
            <w:pPr>
              <w:rPr>
                <w:noProof/>
              </w:rPr>
            </w:pPr>
            <w:r w:rsidRPr="00157E0B">
              <w:rPr>
                <w:noProof/>
              </w:rPr>
              <w:t>Дата на позицията на Европейския парламент на първо четене:</w:t>
            </w:r>
          </w:p>
        </w:tc>
        <w:tc>
          <w:tcPr>
            <w:tcW w:w="2483" w:type="dxa"/>
          </w:tcPr>
          <w:p w:rsidR="00A732C8" w:rsidRPr="00157E0B" w:rsidRDefault="0084706F" w:rsidP="0029748F">
            <w:pPr>
              <w:jc w:val="left"/>
              <w:rPr>
                <w:noProof/>
              </w:rPr>
            </w:pPr>
            <w:r w:rsidRPr="00157E0B">
              <w:rPr>
                <w:noProof/>
              </w:rPr>
              <w:t>13 март 2024 г.</w:t>
            </w:r>
          </w:p>
        </w:tc>
      </w:tr>
      <w:tr w:rsidR="00A732C8" w:rsidRPr="00157E0B" w:rsidTr="0029748F">
        <w:tc>
          <w:tcPr>
            <w:tcW w:w="6804" w:type="dxa"/>
          </w:tcPr>
          <w:p w:rsidR="00A732C8" w:rsidRPr="00157E0B" w:rsidRDefault="00A732C8" w:rsidP="0029748F">
            <w:pPr>
              <w:rPr>
                <w:noProof/>
              </w:rPr>
            </w:pPr>
            <w:r w:rsidRPr="00157E0B">
              <w:rPr>
                <w:noProof/>
              </w:rPr>
              <w:t>Дата на предаване на измененото предложение:</w:t>
            </w:r>
          </w:p>
        </w:tc>
        <w:tc>
          <w:tcPr>
            <w:tcW w:w="2483" w:type="dxa"/>
          </w:tcPr>
          <w:p w:rsidR="00A732C8" w:rsidRPr="00157E0B" w:rsidRDefault="00704B48" w:rsidP="0029748F">
            <w:pPr>
              <w:jc w:val="left"/>
              <w:rPr>
                <w:noProof/>
              </w:rPr>
            </w:pPr>
            <w:r w:rsidRPr="00157E0B">
              <w:rPr>
                <w:noProof/>
              </w:rPr>
              <w:t>н.п.</w:t>
            </w:r>
          </w:p>
        </w:tc>
      </w:tr>
      <w:tr w:rsidR="00A732C8" w:rsidRPr="00157E0B" w:rsidTr="0029748F">
        <w:tc>
          <w:tcPr>
            <w:tcW w:w="6804" w:type="dxa"/>
          </w:tcPr>
          <w:p w:rsidR="00A732C8" w:rsidRPr="00157E0B" w:rsidRDefault="00A732C8" w:rsidP="0029748F">
            <w:pPr>
              <w:rPr>
                <w:noProof/>
              </w:rPr>
            </w:pPr>
            <w:r w:rsidRPr="00157E0B">
              <w:rPr>
                <w:noProof/>
              </w:rPr>
              <w:t>Дата на приемане на позицията на Съвета:</w:t>
            </w:r>
          </w:p>
        </w:tc>
        <w:tc>
          <w:tcPr>
            <w:tcW w:w="2483" w:type="dxa"/>
          </w:tcPr>
          <w:p w:rsidR="00A732C8" w:rsidRPr="00157E0B" w:rsidRDefault="0084706F" w:rsidP="0029748F">
            <w:pPr>
              <w:jc w:val="left"/>
              <w:rPr>
                <w:noProof/>
              </w:rPr>
            </w:pPr>
            <w:r w:rsidRPr="00157E0B">
              <w:rPr>
                <w:noProof/>
              </w:rPr>
              <w:t>23 юни 2025 г.</w:t>
            </w:r>
          </w:p>
        </w:tc>
      </w:tr>
    </w:tbl>
    <w:p w:rsidR="00A732C8" w:rsidRPr="00157E0B" w:rsidRDefault="00A732C8" w:rsidP="0029748F">
      <w:pPr>
        <w:pStyle w:val="ManualHeading1"/>
        <w:rPr>
          <w:noProof/>
        </w:rPr>
      </w:pPr>
      <w:r w:rsidRPr="00157E0B">
        <w:rPr>
          <w:noProof/>
        </w:rPr>
        <w:t>2.</w:t>
      </w:r>
      <w:r w:rsidRPr="00157E0B">
        <w:rPr>
          <w:noProof/>
        </w:rPr>
        <w:tab/>
        <w:t>Цел на предложението на Комисията</w:t>
      </w:r>
    </w:p>
    <w:p w:rsidR="00AF2BE6" w:rsidRPr="00157E0B" w:rsidRDefault="005024D6" w:rsidP="00AF2BE6">
      <w:pPr>
        <w:rPr>
          <w:noProof/>
        </w:rPr>
      </w:pPr>
      <w:r w:rsidRPr="00157E0B">
        <w:rPr>
          <w:noProof/>
        </w:rPr>
        <w:t>Целта на предложението на Комисията е да се преразгледа Рамковата директива за отпадъците (РДО), за да се въведат мерки за намаляване на въздействието върху околната среда и климата, свързано с генерирането на хранителни отпадъци и управлението на текстилни отпадъци, в съответствие с йерархията на отпадъците.</w:t>
      </w:r>
    </w:p>
    <w:p w:rsidR="00166CE6" w:rsidRPr="00157E0B" w:rsidRDefault="00166CE6" w:rsidP="00166CE6">
      <w:pPr>
        <w:rPr>
          <w:noProof/>
        </w:rPr>
      </w:pPr>
      <w:r w:rsidRPr="00157E0B">
        <w:rPr>
          <w:noProof/>
        </w:rPr>
        <w:t>По отношение на предотвратяването на образуването на хранителни отпадъци конкретният стремеж е да се установят обвързващи цели на национално равнище държави членки да намалят количеството на хранителни отпадъци до края на 2030 г., в сравнение с количеството, образувано през 2020 г., за да се допринесе за постигането на цел за устойчиво развитие 12.3 „намаляване наполовина до 2030 г. на разхищаването на храни в световен мащаб и на хранителните отпадъци на глава от населението в търговията на дребно и в потреблението, намаляване на загубите на храни по веригите на производство и доставките, включително загубите след прибиране на реколтата“</w:t>
      </w:r>
      <w:r w:rsidR="00E25A16" w:rsidRPr="00157E0B">
        <w:rPr>
          <w:rStyle w:val="FootnoteReference"/>
          <w:noProof/>
        </w:rPr>
        <w:footnoteReference w:id="2"/>
      </w:r>
      <w:r w:rsidRPr="00157E0B">
        <w:rPr>
          <w:noProof/>
        </w:rPr>
        <w:t xml:space="preserve">. </w:t>
      </w:r>
    </w:p>
    <w:p w:rsidR="00AF2BE6" w:rsidRPr="00157E0B" w:rsidRDefault="005024D6" w:rsidP="005024D6">
      <w:pPr>
        <w:rPr>
          <w:noProof/>
        </w:rPr>
      </w:pPr>
      <w:r w:rsidRPr="00157E0B">
        <w:rPr>
          <w:noProof/>
        </w:rPr>
        <w:t xml:space="preserve">По отношение на текстилните изделия конкретните цели са: i) въвеждане на задължителна разширена отговорност на производителя (РОП) за текстилните изделия, ii) въвеждане на общи правила за управлението на използвани текстилни изделия и текстилни отпадъци; и iii) борба с незаконния превоз на текстилни отпадъци. </w:t>
      </w:r>
    </w:p>
    <w:p w:rsidR="00A732C8" w:rsidRPr="00157E0B" w:rsidRDefault="00A732C8" w:rsidP="0029748F">
      <w:pPr>
        <w:pStyle w:val="ManualHeading1"/>
        <w:rPr>
          <w:noProof/>
        </w:rPr>
      </w:pPr>
      <w:r w:rsidRPr="00157E0B">
        <w:rPr>
          <w:noProof/>
        </w:rPr>
        <w:t>3.</w:t>
      </w:r>
      <w:r w:rsidRPr="00157E0B">
        <w:rPr>
          <w:noProof/>
        </w:rPr>
        <w:tab/>
        <w:t>Коментари относно позицията на Съвета</w:t>
      </w:r>
    </w:p>
    <w:p w:rsidR="00D81FB0" w:rsidRPr="00157E0B" w:rsidRDefault="00D81FB0" w:rsidP="00D81FB0">
      <w:pPr>
        <w:widowControl w:val="0"/>
        <w:rPr>
          <w:noProof/>
        </w:rPr>
      </w:pPr>
      <w:r w:rsidRPr="00157E0B">
        <w:rPr>
          <w:noProof/>
        </w:rPr>
        <w:t>Позицията на Съвета, приета на първо четене, напълно отразява политическото споразумение, постигнато от Европейския парламент и Съвета на 18 февруари 2025 г. Комисията поддържа това споразумение, чиито основни точки са изложени по-долу.</w:t>
      </w:r>
    </w:p>
    <w:p w:rsidR="00A732C8" w:rsidRPr="00157E0B" w:rsidRDefault="008F251C" w:rsidP="008F251C">
      <w:pPr>
        <w:widowControl w:val="0"/>
        <w:rPr>
          <w:b/>
          <w:bCs/>
          <w:noProof/>
        </w:rPr>
      </w:pPr>
      <w:r w:rsidRPr="00157E0B">
        <w:rPr>
          <w:b/>
          <w:noProof/>
        </w:rPr>
        <w:t>За намаляването на хранителните отпадъци</w:t>
      </w:r>
    </w:p>
    <w:p w:rsidR="00766450" w:rsidRPr="00157E0B" w:rsidRDefault="006724CF" w:rsidP="00922851">
      <w:pPr>
        <w:pStyle w:val="Bullet0"/>
        <w:numPr>
          <w:ilvl w:val="0"/>
          <w:numId w:val="7"/>
        </w:numPr>
        <w:rPr>
          <w:noProof/>
        </w:rPr>
      </w:pPr>
      <w:r w:rsidRPr="00157E0B">
        <w:rPr>
          <w:noProof/>
        </w:rPr>
        <w:t>Относно нивото на целите за намаляване на хранителните отпадъци (член 9а, параграф 4, букви а) и б)): Европейският парламент и Съветът приеха предложените от Комисията нива на целите за намаляване на хранителните отпадъци.</w:t>
      </w:r>
    </w:p>
    <w:p w:rsidR="00577482" w:rsidRPr="00157E0B" w:rsidRDefault="00577482" w:rsidP="00B653BD">
      <w:pPr>
        <w:pStyle w:val="Bullet0"/>
        <w:rPr>
          <w:noProof/>
        </w:rPr>
      </w:pPr>
      <w:r w:rsidRPr="00157E0B">
        <w:rPr>
          <w:b/>
          <w:noProof/>
        </w:rPr>
        <w:t>Относно</w:t>
      </w:r>
      <w:r w:rsidRPr="00157E0B">
        <w:rPr>
          <w:noProof/>
        </w:rPr>
        <w:t xml:space="preserve"> </w:t>
      </w:r>
      <w:r w:rsidRPr="00157E0B">
        <w:rPr>
          <w:b/>
          <w:noProof/>
        </w:rPr>
        <w:t>референтната година</w:t>
      </w:r>
      <w:r w:rsidRPr="00157E0B">
        <w:rPr>
          <w:noProof/>
        </w:rPr>
        <w:t xml:space="preserve"> (член 9а, параграф 4, букви а) и б) и член 9а, параграф 5): Европейският парламент и Съветът се споразумяха да използват средната годишна стойност от периода 2021—2023 г. като референтна точка за намаляване на хранителните отпадъци, с възможност държавите членки да използват по-ранна референтна година, преди 2021 г. </w:t>
      </w:r>
    </w:p>
    <w:p w:rsidR="00577482" w:rsidRPr="00157E0B" w:rsidRDefault="00577482" w:rsidP="00B653BD">
      <w:pPr>
        <w:pStyle w:val="Bullet0"/>
        <w:rPr>
          <w:noProof/>
        </w:rPr>
      </w:pPr>
      <w:r w:rsidRPr="00157E0B">
        <w:rPr>
          <w:noProof/>
        </w:rPr>
        <w:t>Относно корекционния коефициент за туризма (член 9а, параграф 5а): съзаконодателите се споразумяха да установят корекционен коефициент за отчитане на колебанията в туристическия поток.</w:t>
      </w:r>
    </w:p>
    <w:p w:rsidR="00D250FF" w:rsidRPr="00157E0B" w:rsidRDefault="00D250FF" w:rsidP="00B653BD">
      <w:pPr>
        <w:pStyle w:val="Bullet0"/>
        <w:rPr>
          <w:noProof/>
        </w:rPr>
      </w:pPr>
      <w:r w:rsidRPr="00157E0B">
        <w:rPr>
          <w:noProof/>
        </w:rPr>
        <w:t>Относно клаузата за преразглеждане до 31 декември 2027 г. (член 9а, параграф 7): Европейският парламент и Съветът се споразумяха за разширяване на обхвата на клаузата за преглед относно целите за намаляване на хранителните отпадъци, за да се включи допълнително оценка на а) осъществимостта на определянето на цели за намаляване на хранителните отпадъци за 2035 г.; б) подходящи лостове за намаляване на хранителните отпадъци и загубите при първичното производство и в) въздействието на промените в равнищата на производство на храни върху постигането на целите за намаляване на хранителните отпадъци.</w:t>
      </w:r>
    </w:p>
    <w:p w:rsidR="00400CEB" w:rsidRPr="00157E0B" w:rsidRDefault="00400CEB" w:rsidP="00B653BD">
      <w:pPr>
        <w:pStyle w:val="Bullet0"/>
        <w:rPr>
          <w:noProof/>
        </w:rPr>
      </w:pPr>
      <w:r w:rsidRPr="00157E0B">
        <w:rPr>
          <w:noProof/>
        </w:rPr>
        <w:t xml:space="preserve">Относно даряването на храни (член 9а, параграф 1, втора алинея, последно изречение): Европейският парламент и Съветът се споразумяха да поддържат доброволния подход по отношение на даряването на храни, като същевременно изискват от държавите членки да предприемат мерки, за да гарантират, че икономическите оператори, които притежават значителна роля в предотвратяването и генерирането на хранителни отпадъци (както са идентифицирани от всяка държава членка), предлагат споразумения за даряване с хранителни банки и други организации за преразпределяне. </w:t>
      </w:r>
    </w:p>
    <w:p w:rsidR="008F251C" w:rsidRPr="00157E0B" w:rsidRDefault="008F251C" w:rsidP="008F251C">
      <w:pPr>
        <w:widowControl w:val="0"/>
        <w:rPr>
          <w:b/>
          <w:bCs/>
          <w:noProof/>
        </w:rPr>
      </w:pPr>
      <w:r w:rsidRPr="00157E0B">
        <w:rPr>
          <w:b/>
          <w:noProof/>
        </w:rPr>
        <w:t>За текстилните изделия:</w:t>
      </w:r>
    </w:p>
    <w:p w:rsidR="005D4279" w:rsidRPr="00157E0B" w:rsidRDefault="00552D53" w:rsidP="00FA20B7">
      <w:pPr>
        <w:pStyle w:val="Bullet0"/>
        <w:rPr>
          <w:noProof/>
        </w:rPr>
      </w:pPr>
      <w:r w:rsidRPr="00157E0B">
        <w:rPr>
          <w:noProof/>
        </w:rPr>
        <w:t xml:space="preserve">Относно включването на микропредприятията в определението за „производители“: Европейският парламент и Съветът се споразумяха да включат микропредприятията в обхвата на РОП, като изменят първоначално предложеното от Комисията определение за „производители“. В съответствие с приоритетите на Комисията </w:t>
      </w:r>
      <w:r w:rsidRPr="00157E0B">
        <w:rPr>
          <w:noProof/>
          <w:bdr w:val="none" w:sz="0" w:space="0" w:color="auto" w:frame="1"/>
        </w:rPr>
        <w:t>бяха въведени важни мерки за смекчаване</w:t>
      </w:r>
      <w:r w:rsidRPr="00157E0B">
        <w:rPr>
          <w:noProof/>
        </w:rPr>
        <w:t xml:space="preserve">, за да се избегне създаването на прекомерна допълнителна административна тежест за малките икономически оператори. Европейският парламент и Съветът се споразумяха за постепенно въвеждане на микропредприятията, което следва да бъде включено едва на по-късен етап в определението за „производители“, като определиха отлагане с 12 месеца след изтичането на крайния срок за въвеждане на схемите за РОП (общо 42 месеца след влизането в сила на директивата за изменение). </w:t>
      </w:r>
      <w:r w:rsidRPr="00157E0B">
        <w:rPr>
          <w:noProof/>
        </w:rPr>
        <w:br/>
        <w:t xml:space="preserve">Европейският парламент и Съветът също така се споразумяха да намалят и опростят задълженията за докладване за микропредприятията, например посредством ежегодно отчитане само на продуктите, които са предоставили на пазара на дадена държава членка за първи път. Накрая, беше включено съображение, в което се посочва, че за финансовото участие на такива организации следва да се взема предвид обемът на предоставените на пазара текстилни изделия. Този компромис увеличава обхвата на РОП, като същевременно гарантира пропорционални задължения за докладване и финансов принос за микропредприятията, за да се поддържат справедливи пазарни условия и да се избегнат неволни пречки пред навлизането на пазара на такива по-малки оператори. </w:t>
      </w:r>
    </w:p>
    <w:p w:rsidR="000657BA" w:rsidRPr="00157E0B" w:rsidRDefault="008F251C" w:rsidP="00922851">
      <w:pPr>
        <w:pStyle w:val="Bullet0"/>
        <w:numPr>
          <w:ilvl w:val="0"/>
          <w:numId w:val="6"/>
        </w:numPr>
        <w:rPr>
          <w:noProof/>
        </w:rPr>
      </w:pPr>
      <w:r w:rsidRPr="00157E0B">
        <w:rPr>
          <w:noProof/>
        </w:rPr>
        <w:t>За екомодулацията на таксите за РОП: съзаконодателите се споразумяха да предоставят на държавите членки възможността за модулиране на таксите за РОП въз основа на практиките на свръхбързата и бързата мода, в допълнение към критериите за устойчивост, които ще бъдат определени съгласно Регламента за екопроектирането на устойчиви продукти (РЕУП). Европейският парламент и Съветът се споразумяха, че критериите за модулиране на финансовите вноски въз основа на практиките на производителите, например свръхбързата мода и бързата мода, ще бъдат определени във вече планираните актове за изпълнение на Комисията за определяне на критериите за екомодулация в съответствие с делегираните актове по РЕУП.</w:t>
      </w:r>
    </w:p>
    <w:p w:rsidR="00941EF8" w:rsidRPr="00157E0B" w:rsidRDefault="00941EF8" w:rsidP="00922851">
      <w:pPr>
        <w:pStyle w:val="Bullet0"/>
        <w:numPr>
          <w:ilvl w:val="0"/>
          <w:numId w:val="6"/>
        </w:numPr>
        <w:rPr>
          <w:noProof/>
        </w:rPr>
      </w:pPr>
      <w:r w:rsidRPr="00157E0B">
        <w:rPr>
          <w:noProof/>
        </w:rPr>
        <w:t xml:space="preserve">Относно промяната на определението за „предоставяне на пазара“: Европейският парламент и Съветът се споразумяха да заменят първоначалното определение за „предоставяне на пазара на Съюза“ с определението за „предоставяне на пазара на държава членка“. Съветът и Парламентът се споразумяха да включат съображение, което се отнася до пазара на Съюза (ЕС), за да се поясни, че плащането на такса за РОП за един и същ продукт в повече от една държава членка следва да се избягва. </w:t>
      </w:r>
    </w:p>
    <w:p w:rsidR="00194C6E" w:rsidRPr="00157E0B" w:rsidRDefault="00C3146B" w:rsidP="00922851">
      <w:pPr>
        <w:pStyle w:val="Bullet0"/>
        <w:numPr>
          <w:ilvl w:val="0"/>
          <w:numId w:val="6"/>
        </w:numPr>
        <w:rPr>
          <w:noProof/>
        </w:rPr>
      </w:pPr>
      <w:r w:rsidRPr="00157E0B">
        <w:rPr>
          <w:b/>
          <w:noProof/>
        </w:rPr>
        <w:t xml:space="preserve">Срок за транспониране на директивата: </w:t>
      </w:r>
      <w:r w:rsidRPr="00157E0B">
        <w:rPr>
          <w:noProof/>
        </w:rPr>
        <w:t>Европейският парламент и Съветът се споразумяха транспонирането да се извърши в срок от 20 месеца (вместо 18 месеца, както е предвидено в предложението на Комисията) след влизането в сила на директивата за изменение. По отношение на въвеждането на схеми за РОП Европейският парламент и Съветът запазиха крайния срок от 30 месеца след влизането в сила на директивата за изменение. Този срок има за цел да гарантира, че на държавите членки се предоставя достатъчно време за транспониране на директивата за изменение, без да се отлага въвеждането на схеми за РОП.</w:t>
      </w:r>
    </w:p>
    <w:p w:rsidR="008F251C" w:rsidRPr="00157E0B" w:rsidRDefault="00763675" w:rsidP="00922851">
      <w:pPr>
        <w:pStyle w:val="Bullet0"/>
        <w:numPr>
          <w:ilvl w:val="0"/>
          <w:numId w:val="6"/>
        </w:numPr>
        <w:rPr>
          <w:noProof/>
        </w:rPr>
      </w:pPr>
      <w:r w:rsidRPr="00157E0B">
        <w:rPr>
          <w:noProof/>
        </w:rPr>
        <w:t>За онлайн платформите и задълженията за РОП: Европейският парламент и Съветът се споразумяха да включат съображение, поясняващо задълженията, приложими за доставчиците на онлайн платформи съгласно Регламент (ЕС) 2022/2065 (Законодателен акт за цифровите услуги) по отношение на задълженията за РОП. В компромисния текст също така се пояснява, че задълженията съгласно Рамковата директива за отпадъците трябва да бъдат в съответствие със Законодателния акт за цифровите услуги.</w:t>
      </w:r>
    </w:p>
    <w:p w:rsidR="004137CF" w:rsidRPr="00157E0B" w:rsidRDefault="008561A2" w:rsidP="00922851">
      <w:pPr>
        <w:pStyle w:val="Bullet0"/>
        <w:numPr>
          <w:ilvl w:val="0"/>
          <w:numId w:val="6"/>
        </w:numPr>
        <w:rPr>
          <w:noProof/>
        </w:rPr>
      </w:pPr>
      <w:r w:rsidRPr="00157E0B">
        <w:rPr>
          <w:noProof/>
        </w:rPr>
        <w:t xml:space="preserve">Включване на клаузи за оценка и преглед: Европейският парламент и Съветът се споразумяха да включат оценки на Рамковата директива за отпадъците и Директивата относно депонирането на отпадъци до 31 декември 2029 г., включително три клаузи за преглед, за да се оценят: 1) финансовите възможности на схемите за РОП за текстилни изделия; 2) възможността за определяне на цели за събиране, повторна употреба и рециклиране на текстилни изделия; и 3) възможността за предварително сортиране на смесени битови отпадъци преди обезвреждането им. Компромисният текст предоставя на Комисията достатъчно време за събирането на данни за схемите за РОП, които ще се оценяват в рамките на клаузите за преглед. </w:t>
      </w:r>
    </w:p>
    <w:p w:rsidR="00A732C8" w:rsidRPr="00157E0B" w:rsidRDefault="00A732C8" w:rsidP="0029748F">
      <w:pPr>
        <w:pStyle w:val="ManualHeading1"/>
        <w:rPr>
          <w:noProof/>
        </w:rPr>
      </w:pPr>
      <w:r w:rsidRPr="00157E0B">
        <w:rPr>
          <w:noProof/>
        </w:rPr>
        <w:t>4.</w:t>
      </w:r>
      <w:r w:rsidRPr="00157E0B">
        <w:rPr>
          <w:noProof/>
        </w:rPr>
        <w:tab/>
        <w:t>Заключение</w:t>
      </w:r>
    </w:p>
    <w:p w:rsidR="009D1133" w:rsidRDefault="008F251C" w:rsidP="0029748F">
      <w:pPr>
        <w:rPr>
          <w:noProof/>
        </w:rPr>
      </w:pPr>
      <w:r w:rsidRPr="00157E0B">
        <w:rPr>
          <w:noProof/>
        </w:rPr>
        <w:t>Комисията подкрепя резултатите от междуинституционалните преговори и следователно може да приеме позицията на Съвета на първо четене.</w:t>
      </w:r>
    </w:p>
    <w:p w:rsidR="00A732C8" w:rsidRPr="00157E0B" w:rsidRDefault="00A732C8" w:rsidP="0029748F">
      <w:pPr>
        <w:rPr>
          <w:noProof/>
        </w:rPr>
      </w:pPr>
    </w:p>
    <w:sectPr w:rsidR="00A732C8" w:rsidRPr="00157E0B" w:rsidSect="00E41D5B">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43ED" w:rsidRDefault="003B43ED" w:rsidP="00A732C8">
      <w:pPr>
        <w:spacing w:before="0" w:after="0"/>
      </w:pPr>
      <w:r>
        <w:separator/>
      </w:r>
    </w:p>
  </w:endnote>
  <w:endnote w:type="continuationSeparator" w:id="0">
    <w:p w:rsidR="003B43ED" w:rsidRDefault="003B43ED" w:rsidP="00A732C8">
      <w:pPr>
        <w:spacing w:before="0" w:after="0"/>
      </w:pPr>
      <w:r>
        <w:continuationSeparator/>
      </w:r>
    </w:p>
  </w:endnote>
  <w:endnote w:type="continuationNotice" w:id="1">
    <w:p w:rsidR="003B43ED" w:rsidRDefault="003B43E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D5B" w:rsidRPr="00E41D5B" w:rsidRDefault="00E41D5B" w:rsidP="00E41D5B">
    <w:pPr>
      <w:pStyle w:val="Footer"/>
      <w:rPr>
        <w:rFonts w:ascii="Arial" w:hAnsi="Arial" w:cs="Arial"/>
        <w:b/>
        <w:sz w:val="48"/>
      </w:rPr>
    </w:pPr>
    <w:r w:rsidRPr="00E41D5B">
      <w:rPr>
        <w:rFonts w:ascii="Arial" w:hAnsi="Arial" w:cs="Arial"/>
        <w:b/>
        <w:sz w:val="48"/>
      </w:rPr>
      <w:t>BG</w:t>
    </w:r>
    <w:r w:rsidRPr="00E41D5B">
      <w:rPr>
        <w:rFonts w:ascii="Arial" w:hAnsi="Arial" w:cs="Arial"/>
        <w:b/>
        <w:sz w:val="48"/>
      </w:rPr>
      <w:tab/>
    </w:r>
    <w:r w:rsidRPr="00E41D5B">
      <w:rPr>
        <w:rFonts w:ascii="Arial" w:hAnsi="Arial" w:cs="Arial"/>
        <w:b/>
        <w:sz w:val="48"/>
      </w:rPr>
      <w:tab/>
    </w:r>
    <w:r w:rsidRPr="00E41D5B">
      <w:tab/>
    </w:r>
    <w:r w:rsidRPr="00E41D5B">
      <w:rPr>
        <w:rFonts w:ascii="Arial" w:hAnsi="Arial" w:cs="Arial"/>
        <w:b/>
        <w:sz w:val="48"/>
      </w:rPr>
      <w:t>BG</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D5B" w:rsidRPr="00E41D5B" w:rsidRDefault="00E41D5B" w:rsidP="00E41D5B">
    <w:pPr>
      <w:pStyle w:val="Footer"/>
      <w:rPr>
        <w:rFonts w:ascii="Arial" w:hAnsi="Arial" w:cs="Arial"/>
        <w:b/>
        <w:sz w:val="48"/>
      </w:rPr>
    </w:pPr>
    <w:r w:rsidRPr="00E41D5B">
      <w:rPr>
        <w:rFonts w:ascii="Arial" w:hAnsi="Arial" w:cs="Arial"/>
        <w:b/>
        <w:sz w:val="48"/>
      </w:rPr>
      <w:t>BG</w:t>
    </w:r>
    <w:r w:rsidRPr="00E41D5B">
      <w:rPr>
        <w:rFonts w:ascii="Arial" w:hAnsi="Arial" w:cs="Arial"/>
        <w:b/>
        <w:sz w:val="48"/>
      </w:rPr>
      <w:tab/>
    </w:r>
    <w:r w:rsidRPr="00E41D5B">
      <w:rPr>
        <w:rFonts w:ascii="Arial" w:hAnsi="Arial" w:cs="Arial"/>
        <w:b/>
        <w:sz w:val="48"/>
      </w:rPr>
      <w:tab/>
    </w:r>
    <w:r w:rsidRPr="00E41D5B">
      <w:tab/>
    </w:r>
    <w:r w:rsidRPr="00E41D5B">
      <w:rPr>
        <w:rFonts w:ascii="Arial" w:hAnsi="Arial" w:cs="Arial"/>
        <w:b/>
        <w:sz w:val="48"/>
      </w:rPr>
      <w:t>BG</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D5B" w:rsidRDefault="00E41D5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D5B" w:rsidRPr="00E41D5B" w:rsidRDefault="00E41D5B" w:rsidP="00E41D5B">
    <w:pPr>
      <w:pStyle w:val="Footer"/>
      <w:rPr>
        <w:rFonts w:ascii="Arial" w:hAnsi="Arial" w:cs="Arial"/>
        <w:b/>
        <w:sz w:val="48"/>
      </w:rPr>
    </w:pPr>
    <w:r w:rsidRPr="00E41D5B">
      <w:rPr>
        <w:rFonts w:ascii="Arial" w:hAnsi="Arial" w:cs="Arial"/>
        <w:b/>
        <w:sz w:val="48"/>
      </w:rPr>
      <w:t>BG</w:t>
    </w:r>
    <w:r w:rsidRPr="00E41D5B">
      <w:rPr>
        <w:rFonts w:ascii="Arial" w:hAnsi="Arial" w:cs="Arial"/>
        <w:b/>
        <w:sz w:val="48"/>
      </w:rPr>
      <w:tab/>
    </w:r>
    <w:r>
      <w:fldChar w:fldCharType="begin"/>
    </w:r>
    <w:r>
      <w:instrText xml:space="preserve"> PAGE  \* MERGEFORMAT </w:instrText>
    </w:r>
    <w:r>
      <w:fldChar w:fldCharType="separate"/>
    </w:r>
    <w:r w:rsidR="009D1133">
      <w:rPr>
        <w:noProof/>
      </w:rPr>
      <w:t>4</w:t>
    </w:r>
    <w:r>
      <w:fldChar w:fldCharType="end"/>
    </w:r>
    <w:r>
      <w:tab/>
    </w:r>
    <w:r w:rsidRPr="00E41D5B">
      <w:tab/>
    </w:r>
    <w:r w:rsidRPr="00E41D5B">
      <w:rPr>
        <w:rFonts w:ascii="Arial" w:hAnsi="Arial" w:cs="Arial"/>
        <w:b/>
        <w:sz w:val="48"/>
      </w:rPr>
      <w:t>BG</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D5B" w:rsidRDefault="00E41D5B" w:rsidP="00E41D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43ED" w:rsidRDefault="003B43ED" w:rsidP="00A732C8">
      <w:pPr>
        <w:spacing w:before="0" w:after="0"/>
      </w:pPr>
      <w:r>
        <w:separator/>
      </w:r>
    </w:p>
  </w:footnote>
  <w:footnote w:type="continuationSeparator" w:id="0">
    <w:p w:rsidR="003B43ED" w:rsidRDefault="003B43ED" w:rsidP="00A732C8">
      <w:pPr>
        <w:spacing w:before="0" w:after="0"/>
      </w:pPr>
      <w:r>
        <w:continuationSeparator/>
      </w:r>
    </w:p>
  </w:footnote>
  <w:footnote w:type="continuationNotice" w:id="1">
    <w:p w:rsidR="003B43ED" w:rsidRDefault="003B43ED">
      <w:pPr>
        <w:spacing w:before="0" w:after="0"/>
      </w:pPr>
    </w:p>
  </w:footnote>
  <w:footnote w:id="2">
    <w:p w:rsidR="00E25A16" w:rsidRPr="00E25A16" w:rsidRDefault="00E25A16" w:rsidP="00E25A16">
      <w:pPr>
        <w:pStyle w:val="FootnoteText"/>
      </w:pPr>
      <w:r>
        <w:rPr>
          <w:rStyle w:val="FootnoteReference"/>
        </w:rPr>
        <w:footnoteRef/>
      </w:r>
      <w:r>
        <w:tab/>
      </w:r>
      <w:hyperlink r:id="rId1" w:history="1">
        <w:r>
          <w:rPr>
            <w:rStyle w:val="Hyperlink"/>
          </w:rPr>
          <w:t>https://sdgs.un.org/2030agenda</w:t>
        </w:r>
      </w:hyperlink>
      <w:r>
        <w:t> </w:t>
      </w:r>
      <w:r>
        <w:rPr>
          <w:i/>
        </w:rPr>
        <w:t>(вж. цел 12.3)</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D5B" w:rsidRDefault="00E41D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1D5B" w:rsidRDefault="00E41D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234C5C4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811234FC"/>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71C4E7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67E0863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AF65F2F"/>
    <w:multiLevelType w:val="multilevel"/>
    <w:tmpl w:val="148C959C"/>
    <w:styleLink w:val="ImportedStyle1"/>
    <w:lvl w:ilvl="0">
      <w:start w:val="1"/>
      <w:numFmt w:val="decimal"/>
      <w:lvlText w:val="%1."/>
      <w:lvlJc w:val="left"/>
      <w:pPr>
        <w:tabs>
          <w:tab w:val="left" w:pos="709"/>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tabs>
          <w:tab w:val="left" w:pos="709"/>
        </w:tabs>
        <w:ind w:left="420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709"/>
        </w:tabs>
        <w:ind w:left="2138"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709"/>
        </w:tabs>
        <w:ind w:left="2422"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lowerLetter"/>
      <w:suff w:val="nothing"/>
      <w:lvlText w:val="%1.%2.%3.%4.(%5)"/>
      <w:lvlJc w:val="left"/>
      <w:pPr>
        <w:tabs>
          <w:tab w:val="left" w:pos="709"/>
        </w:tabs>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lowerRoman"/>
      <w:suff w:val="nothing"/>
      <w:lvlText w:val="%1.%2.%3.%4.(%5)(%6)"/>
      <w:lvlJc w:val="left"/>
      <w:pPr>
        <w:tabs>
          <w:tab w:val="left" w:pos="709"/>
        </w:tabs>
        <w:ind w:left="21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709"/>
        </w:tabs>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lowerLetter"/>
      <w:suff w:val="nothing"/>
      <w:lvlText w:val="%1.%2.%3.%4.(%5)(%6)%7.%8."/>
      <w:lvlJc w:val="left"/>
      <w:pPr>
        <w:tabs>
          <w:tab w:val="left" w:pos="709"/>
        </w:tabs>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lowerRoman"/>
      <w:suff w:val="nothing"/>
      <w:lvlText w:val="%1.%2.%3.%4.(%5)(%6)%7.%8.%9."/>
      <w:lvlJc w:val="left"/>
      <w:pPr>
        <w:tabs>
          <w:tab w:val="left" w:pos="709"/>
        </w:tabs>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3"/>
  </w:num>
  <w:num w:numId="6">
    <w:abstractNumId w:val="11"/>
    <w:lvlOverride w:ilvl="0">
      <w:startOverride w:val="1"/>
    </w:lvlOverride>
  </w:num>
  <w:num w:numId="7">
    <w:abstractNumId w:val="11"/>
    <w:lvlOverride w:ilvl="0">
      <w:startOverride w:val="1"/>
    </w:lvlOverride>
  </w:num>
  <w:num w:numId="8">
    <w:abstractNumId w:val="16"/>
  </w:num>
  <w:num w:numId="9">
    <w:abstractNumId w:val="8"/>
  </w:num>
  <w:num w:numId="10">
    <w:abstractNumId w:val="18"/>
  </w:num>
  <w:num w:numId="11">
    <w:abstractNumId w:val="7"/>
  </w:num>
  <w:num w:numId="12">
    <w:abstractNumId w:val="9"/>
  </w:num>
  <w:num w:numId="13">
    <w:abstractNumId w:val="10"/>
  </w:num>
  <w:num w:numId="14">
    <w:abstractNumId w:val="5"/>
  </w:num>
  <w:num w:numId="15">
    <w:abstractNumId w:val="17"/>
  </w:num>
  <w:num w:numId="16">
    <w:abstractNumId w:val="4"/>
  </w:num>
  <w:num w:numId="17">
    <w:abstractNumId w:val="11"/>
  </w:num>
  <w:num w:numId="18">
    <w:abstractNumId w:val="14"/>
  </w:num>
  <w:num w:numId="19">
    <w:abstractNumId w:val="15"/>
  </w:num>
  <w:num w:numId="20">
    <w:abstractNumId w:val="6"/>
  </w:num>
  <w:num w:numId="21">
    <w:abstractNumId w:val="12"/>
  </w:num>
  <w:num w:numId="22">
    <w:abstractNumId w:val="19"/>
  </w:num>
  <w:num w:numId="23">
    <w:abstractNumId w:val="16"/>
  </w:num>
  <w:num w:numId="24">
    <w:abstractNumId w:val="8"/>
  </w:num>
  <w:num w:numId="25">
    <w:abstractNumId w:val="18"/>
  </w:num>
  <w:num w:numId="26">
    <w:abstractNumId w:val="7"/>
  </w:num>
  <w:num w:numId="27">
    <w:abstractNumId w:val="9"/>
  </w:num>
  <w:num w:numId="28">
    <w:abstractNumId w:val="10"/>
  </w:num>
  <w:num w:numId="29">
    <w:abstractNumId w:val="5"/>
  </w:num>
  <w:num w:numId="30">
    <w:abstractNumId w:val="17"/>
  </w:num>
  <w:num w:numId="31">
    <w:abstractNumId w:val="4"/>
  </w:num>
  <w:num w:numId="32">
    <w:abstractNumId w:val="11"/>
  </w:num>
  <w:num w:numId="33">
    <w:abstractNumId w:val="14"/>
  </w:num>
  <w:num w:numId="34">
    <w:abstractNumId w:val="15"/>
  </w:num>
  <w:num w:numId="35">
    <w:abstractNumId w:val="6"/>
  </w:num>
  <w:num w:numId="36">
    <w:abstractNumId w:val="12"/>
  </w:num>
  <w:num w:numId="37">
    <w:abstractNumId w:val="1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5-07-03 10:48:3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61A224B-8B36-44DA-A060-BDDF59C80361"/>
    <w:docVar w:name="LW_COVERPAGE_TYPE" w:val="1"/>
    <w:docVar w:name="LW_CreatedUtc" w:val="2025-06-18T15:12:50.4519695Z"/>
    <w:docVar w:name="LW_CROSSREFERENCE" w:val="&lt;UNUSED&gt;"/>
    <w:docVar w:name="LW_DocType" w:val="COM"/>
    <w:docVar w:name="LW_EMISSION" w:val="3.7.2025"/>
    <w:docVar w:name="LW_EMISSION_ISODATE" w:val="2025-07-03"/>
    <w:docVar w:name="LW_EMISSION_LOCATION" w:val="BRX"/>
    <w:docVar w:name="LW_EMISSION_PREFIX" w:val="\u1041?\u1088?\u1102?\u1082?\u1089?\u1077?\u1083?, "/>
    <w:docVar w:name="LW_EMISSION_SUFFIX" w:val=" \u1075?."/>
    <w:docVar w:name="LW_ID_DOCMODEL" w:val="SJ-028"/>
    <w:docVar w:name="LW_ID_DOCSTRUCTURE" w:val="COM/PL/CODEC"/>
    <w:docVar w:name="LW_ID_DOCTYPE" w:val="SJ-028"/>
    <w:docVar w:name="LW_INTERETEEE.CP" w:val="(\u1090?\u1077?\u1082?\u1089?\u1090? \u1086?\u1090? \u1079?\u1085?\u1072?\u1095?\u1077?\u1085?\u1080?\u1077? \u1079?\u1072? \u1045?\u1048?\u1055?)"/>
    <w:docVar w:name="LW_LANGUE" w:val="BG"/>
    <w:docVar w:name="LW_LEVEL_OF_SENSITIVITY" w:val="Standard treatment"/>
    <w:docVar w:name="LW_NOM.INST" w:val="\u1045?\u1042?\u1056?\u1054?\u1055?\u1045?\u1049?\u1057?\u1050?\u1040? \u1050?\u1054?\u1052?\u1048?\u1057?\u1048?\u1071?"/>
    <w:docVar w:name="LW_NOM.INST_JOINTDOC" w:val="&lt;EMPTY&gt;"/>
    <w:docVar w:name="LW_PART_NBR" w:val="1"/>
    <w:docVar w:name="LW_PART_NBR_TOTAL" w:val="1"/>
    <w:docVar w:name="LW_REF.II.NEW.CP" w:val="COD"/>
    <w:docVar w:name="LW_REF.II.NEW.CP_NUMBER" w:val="0234"/>
    <w:docVar w:name="LW_REF.II.NEW.CP_YEAR" w:val="2023"/>
    <w:docVar w:name="LW_REF.INST.NEW" w:val="COM"/>
    <w:docVar w:name="LW_REF.INST.NEW_ADOPTED" w:val="final"/>
    <w:docVar w:name="LW_REF.INST.NEW_TEXT" w:val="(2025) 38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u1087?\u1086?\u1079?\u1080?\u1094?\u1080?\u1103?\u1090?\u1072? \u1085?\u1072? \u1057?\u1098?\u1074?\u1077?\u1090?\u1072? \u1074?\u1098?\u1074? \u1074?\u1088?\u1098?\u1079?\u1082?\u1072? \u1089? \u1087?\u1088?\u1080?\u1077?\u1084?\u1072?\u1085?\u1077?\u1090?\u1086? \u1085?\u1072? \u1044?\u1080?\u1088?\u1077?\u1082?\u1090?\u1080?\u1074?\u1072? \u1085?\u1072? \u1045?\u1074?\u1088?\u1086?\u1087?\u1077?\u1081?\u1089?\u1082?\u1080?\u1103? \u1087?\u1072?\u1088?\u1083?\u1072?\u1084?\u1077?\u1085?\u1090? \u1080? \u1085?\u1072? \u1057?\u1098?\u1074?\u1077?\u1090?\u1072? \u1079?\u1072? \u1080?\u1079?\u1084?\u1077?\u1085?\u1077?\u1085?\u1080?\u1077? \u1085?\u1072? \u1044?\u1080?\u1088?\u1077?\u1082?\u1090?\u1080?\u1074?\u1072? 2008/98/\u1045?\u1054? \u1086?\u1090?\u1085?\u1086?\u1089?\u1085?\u1086? \u1086?\u1090?\u1087?\u1072?\u1076?\u1098?\u1094?\u1080?\u1090?\u1077? (\u1094?\u1077?\u1083?\u1077?\u1074?\u1086? \u1087?\u1088?\u1077?\u1088?\u1072?\u1079?\u1075?\u1083?\u1077?\u1078?\u1076?\u1072?\u1085?\u1077? \u1085?\u1072? \u1056?\u1072?\u1084?\u1082?\u1086?\u1074?\u1072?\u1090?\u1072? \u1076?\u1080?\u1088?\u1077?\u1082?\u1090?\u1080?\u1074?\u1072? \u1079?\u1072? \u1086?\u1090?\u1087?\u1072?\u1076?\u1098?\u1094?\u1080?\u1090?\u1077?)"/>
    <w:docVar w:name="LW_TYPE.DOC.CP" w:val="\u1057?\u1066?\u1054?\u1041?\u1065?\u1045?\u1053?\u1048?\u1045? \u1053?\u1040? \u1050?\u1054?\u1052?\u1048?\u1057?\u1048?\u1071?\u1058?\u1040? \u1044?\u1054? \u1045?\u1042?\u1056?\u1054?\u1055?\u1045?\u1049?\u1057?\u1050?\u1048?\u1071? \u1055?\u1040?\u1056?\u1051?\u1040?\u1052?\u1045?\u1053?\u1058?_x000b__x000b_\u1089?\u1098?\u1075?\u1083?\u1072?\u1089?\u1085?\u1086? \u1095?\u1083?\u1077?\u1085? 294, \u1087?\u1072?\u1088?\u1072?\u1075?\u1088?\u1072?\u1092? 6 \u1086?\u1090? \u1044?\u1086?\u1075?\u1086?\u1074?\u1086?\u1088?\u1072? \u1079?\u1072? \u1092?\u1091?\u1085?\u1082?\u1094?\u1080?\u1086?\u1085?\u1080?\u1088?\u1072?\u1085?\u1077?\u1090?\u1086? \u1085?\u1072? \u1045?\u1074?\u1088?\u1086?\u1087?\u1077?\u1081?\u1089?\u1082?\u1080?\u1103? \u1089?\u1098?\u1102?\u1079?_x000b__x000b_\u1086?\u1090?\u1085?\u1086?\u1089?\u1085?\u1086?"/>
    <w:docVar w:name="LwApiVersions" w:val="LW4CoDe 1.24.5.0; LW 9.0, Build 20240221"/>
  </w:docVars>
  <w:rsids>
    <w:rsidRoot w:val="00A732C8"/>
    <w:rsid w:val="00000E29"/>
    <w:rsid w:val="00005CE8"/>
    <w:rsid w:val="00011D6C"/>
    <w:rsid w:val="000123F9"/>
    <w:rsid w:val="0001421E"/>
    <w:rsid w:val="0003224B"/>
    <w:rsid w:val="000414D8"/>
    <w:rsid w:val="00047EBC"/>
    <w:rsid w:val="000556F7"/>
    <w:rsid w:val="000657BA"/>
    <w:rsid w:val="000665D6"/>
    <w:rsid w:val="0006794E"/>
    <w:rsid w:val="000723DC"/>
    <w:rsid w:val="00072C09"/>
    <w:rsid w:val="00084F9C"/>
    <w:rsid w:val="00095119"/>
    <w:rsid w:val="00096F89"/>
    <w:rsid w:val="0009759E"/>
    <w:rsid w:val="000B2A0D"/>
    <w:rsid w:val="000B3765"/>
    <w:rsid w:val="000C1CFD"/>
    <w:rsid w:val="000D1E64"/>
    <w:rsid w:val="000E2D26"/>
    <w:rsid w:val="000E465E"/>
    <w:rsid w:val="000F77EA"/>
    <w:rsid w:val="001065F5"/>
    <w:rsid w:val="00123851"/>
    <w:rsid w:val="001238EF"/>
    <w:rsid w:val="00123A91"/>
    <w:rsid w:val="00125DEC"/>
    <w:rsid w:val="00155152"/>
    <w:rsid w:val="00157E0B"/>
    <w:rsid w:val="00166CE6"/>
    <w:rsid w:val="0017381B"/>
    <w:rsid w:val="00174BA6"/>
    <w:rsid w:val="00190AEA"/>
    <w:rsid w:val="001948F2"/>
    <w:rsid w:val="00194C6E"/>
    <w:rsid w:val="00197613"/>
    <w:rsid w:val="001B154B"/>
    <w:rsid w:val="001B170C"/>
    <w:rsid w:val="001B4BF6"/>
    <w:rsid w:val="001C311E"/>
    <w:rsid w:val="001C577F"/>
    <w:rsid w:val="001C58E8"/>
    <w:rsid w:val="001D3C9B"/>
    <w:rsid w:val="001D4D4E"/>
    <w:rsid w:val="001E4A4F"/>
    <w:rsid w:val="00203A12"/>
    <w:rsid w:val="00207279"/>
    <w:rsid w:val="00207CE0"/>
    <w:rsid w:val="00210014"/>
    <w:rsid w:val="0022151B"/>
    <w:rsid w:val="00233DC7"/>
    <w:rsid w:val="00234628"/>
    <w:rsid w:val="00243583"/>
    <w:rsid w:val="00247779"/>
    <w:rsid w:val="00255ABB"/>
    <w:rsid w:val="00261BD4"/>
    <w:rsid w:val="00280F96"/>
    <w:rsid w:val="00285BEE"/>
    <w:rsid w:val="0029533F"/>
    <w:rsid w:val="0029748F"/>
    <w:rsid w:val="002A200B"/>
    <w:rsid w:val="002B30AF"/>
    <w:rsid w:val="002C11B8"/>
    <w:rsid w:val="002D13EE"/>
    <w:rsid w:val="002D6AE0"/>
    <w:rsid w:val="002E77D3"/>
    <w:rsid w:val="00312517"/>
    <w:rsid w:val="00330371"/>
    <w:rsid w:val="0033344A"/>
    <w:rsid w:val="003502B5"/>
    <w:rsid w:val="00351C1C"/>
    <w:rsid w:val="00356228"/>
    <w:rsid w:val="003625C0"/>
    <w:rsid w:val="00365C73"/>
    <w:rsid w:val="00366291"/>
    <w:rsid w:val="00375432"/>
    <w:rsid w:val="00390C62"/>
    <w:rsid w:val="003A2CF4"/>
    <w:rsid w:val="003A53B4"/>
    <w:rsid w:val="003B0D1F"/>
    <w:rsid w:val="003B43ED"/>
    <w:rsid w:val="003B75F0"/>
    <w:rsid w:val="003C09D4"/>
    <w:rsid w:val="003C5681"/>
    <w:rsid w:val="003D38B0"/>
    <w:rsid w:val="003E76C8"/>
    <w:rsid w:val="00400CEB"/>
    <w:rsid w:val="00402C39"/>
    <w:rsid w:val="00411D23"/>
    <w:rsid w:val="004137CF"/>
    <w:rsid w:val="004258EA"/>
    <w:rsid w:val="0042648E"/>
    <w:rsid w:val="00427913"/>
    <w:rsid w:val="004453C8"/>
    <w:rsid w:val="00451FC7"/>
    <w:rsid w:val="004568D5"/>
    <w:rsid w:val="00470E69"/>
    <w:rsid w:val="0047413A"/>
    <w:rsid w:val="004775C8"/>
    <w:rsid w:val="00481826"/>
    <w:rsid w:val="00490991"/>
    <w:rsid w:val="004936D2"/>
    <w:rsid w:val="004C5421"/>
    <w:rsid w:val="004C6D40"/>
    <w:rsid w:val="004C75D7"/>
    <w:rsid w:val="004E201D"/>
    <w:rsid w:val="004F419C"/>
    <w:rsid w:val="005024D6"/>
    <w:rsid w:val="005076C8"/>
    <w:rsid w:val="00515BE4"/>
    <w:rsid w:val="0052378F"/>
    <w:rsid w:val="00550595"/>
    <w:rsid w:val="00552D53"/>
    <w:rsid w:val="00561147"/>
    <w:rsid w:val="0056709C"/>
    <w:rsid w:val="00577482"/>
    <w:rsid w:val="005925B8"/>
    <w:rsid w:val="005B1D43"/>
    <w:rsid w:val="005B1EB6"/>
    <w:rsid w:val="005B574E"/>
    <w:rsid w:val="005B678B"/>
    <w:rsid w:val="005D3D56"/>
    <w:rsid w:val="005D4279"/>
    <w:rsid w:val="00606011"/>
    <w:rsid w:val="00615849"/>
    <w:rsid w:val="006724CF"/>
    <w:rsid w:val="00695467"/>
    <w:rsid w:val="006A2031"/>
    <w:rsid w:val="006A6A63"/>
    <w:rsid w:val="006A74F5"/>
    <w:rsid w:val="006B523D"/>
    <w:rsid w:val="006D10A4"/>
    <w:rsid w:val="006F0876"/>
    <w:rsid w:val="006F5FDF"/>
    <w:rsid w:val="006F6953"/>
    <w:rsid w:val="00704B48"/>
    <w:rsid w:val="007174E3"/>
    <w:rsid w:val="007257C3"/>
    <w:rsid w:val="007271B4"/>
    <w:rsid w:val="00730C0F"/>
    <w:rsid w:val="00750B96"/>
    <w:rsid w:val="00755C02"/>
    <w:rsid w:val="007575E3"/>
    <w:rsid w:val="00763675"/>
    <w:rsid w:val="00766450"/>
    <w:rsid w:val="00773331"/>
    <w:rsid w:val="007804C6"/>
    <w:rsid w:val="00787E5D"/>
    <w:rsid w:val="007932EF"/>
    <w:rsid w:val="00797C90"/>
    <w:rsid w:val="007D0C76"/>
    <w:rsid w:val="007E05B0"/>
    <w:rsid w:val="007E374C"/>
    <w:rsid w:val="007E3F72"/>
    <w:rsid w:val="00802F57"/>
    <w:rsid w:val="00813B21"/>
    <w:rsid w:val="00831A63"/>
    <w:rsid w:val="0084706F"/>
    <w:rsid w:val="008561A2"/>
    <w:rsid w:val="00856D88"/>
    <w:rsid w:val="00862BDF"/>
    <w:rsid w:val="00874D22"/>
    <w:rsid w:val="0087569C"/>
    <w:rsid w:val="0089752A"/>
    <w:rsid w:val="008A11D7"/>
    <w:rsid w:val="008A2914"/>
    <w:rsid w:val="008A7345"/>
    <w:rsid w:val="008B2F72"/>
    <w:rsid w:val="008E4377"/>
    <w:rsid w:val="008E4D8E"/>
    <w:rsid w:val="008F251C"/>
    <w:rsid w:val="008F3D54"/>
    <w:rsid w:val="00912334"/>
    <w:rsid w:val="00912A0F"/>
    <w:rsid w:val="0091565C"/>
    <w:rsid w:val="00922851"/>
    <w:rsid w:val="00927B06"/>
    <w:rsid w:val="00933E0E"/>
    <w:rsid w:val="00941EF8"/>
    <w:rsid w:val="0095677F"/>
    <w:rsid w:val="00961C3F"/>
    <w:rsid w:val="009732B5"/>
    <w:rsid w:val="00986787"/>
    <w:rsid w:val="00991840"/>
    <w:rsid w:val="009A6223"/>
    <w:rsid w:val="009B5C8C"/>
    <w:rsid w:val="009B7385"/>
    <w:rsid w:val="009C418C"/>
    <w:rsid w:val="009C7D79"/>
    <w:rsid w:val="009D1133"/>
    <w:rsid w:val="009F095C"/>
    <w:rsid w:val="00A05331"/>
    <w:rsid w:val="00A13A1A"/>
    <w:rsid w:val="00A21BFB"/>
    <w:rsid w:val="00A36C88"/>
    <w:rsid w:val="00A453C6"/>
    <w:rsid w:val="00A50C5C"/>
    <w:rsid w:val="00A71310"/>
    <w:rsid w:val="00A732C8"/>
    <w:rsid w:val="00A91D4D"/>
    <w:rsid w:val="00A961E4"/>
    <w:rsid w:val="00A97BF5"/>
    <w:rsid w:val="00A97CDB"/>
    <w:rsid w:val="00AC20B5"/>
    <w:rsid w:val="00AD2CF1"/>
    <w:rsid w:val="00AF2BE6"/>
    <w:rsid w:val="00AF5D1F"/>
    <w:rsid w:val="00B06528"/>
    <w:rsid w:val="00B104EF"/>
    <w:rsid w:val="00B177D7"/>
    <w:rsid w:val="00B2154F"/>
    <w:rsid w:val="00B30009"/>
    <w:rsid w:val="00B31ADF"/>
    <w:rsid w:val="00B320C8"/>
    <w:rsid w:val="00B4011E"/>
    <w:rsid w:val="00B577EB"/>
    <w:rsid w:val="00B63482"/>
    <w:rsid w:val="00B653BD"/>
    <w:rsid w:val="00B82E5E"/>
    <w:rsid w:val="00B86240"/>
    <w:rsid w:val="00B8783D"/>
    <w:rsid w:val="00BA21E8"/>
    <w:rsid w:val="00BB2550"/>
    <w:rsid w:val="00BB5243"/>
    <w:rsid w:val="00BB7C0D"/>
    <w:rsid w:val="00BE3548"/>
    <w:rsid w:val="00BE49DF"/>
    <w:rsid w:val="00BF48B8"/>
    <w:rsid w:val="00C06099"/>
    <w:rsid w:val="00C12301"/>
    <w:rsid w:val="00C245EA"/>
    <w:rsid w:val="00C3146B"/>
    <w:rsid w:val="00C3570F"/>
    <w:rsid w:val="00C369D7"/>
    <w:rsid w:val="00C5265E"/>
    <w:rsid w:val="00C62072"/>
    <w:rsid w:val="00C675D6"/>
    <w:rsid w:val="00C70F70"/>
    <w:rsid w:val="00C8277D"/>
    <w:rsid w:val="00CC23E3"/>
    <w:rsid w:val="00CC4F6D"/>
    <w:rsid w:val="00CD40A5"/>
    <w:rsid w:val="00CE1234"/>
    <w:rsid w:val="00CE475E"/>
    <w:rsid w:val="00CE5744"/>
    <w:rsid w:val="00CF023F"/>
    <w:rsid w:val="00D06296"/>
    <w:rsid w:val="00D10596"/>
    <w:rsid w:val="00D20381"/>
    <w:rsid w:val="00D219BA"/>
    <w:rsid w:val="00D250FF"/>
    <w:rsid w:val="00D25450"/>
    <w:rsid w:val="00D31E13"/>
    <w:rsid w:val="00D41EBF"/>
    <w:rsid w:val="00D43647"/>
    <w:rsid w:val="00D46865"/>
    <w:rsid w:val="00D46CE2"/>
    <w:rsid w:val="00D514E1"/>
    <w:rsid w:val="00D81FB0"/>
    <w:rsid w:val="00D8656B"/>
    <w:rsid w:val="00DA079B"/>
    <w:rsid w:val="00DA2343"/>
    <w:rsid w:val="00DD712A"/>
    <w:rsid w:val="00DE1B63"/>
    <w:rsid w:val="00DF7459"/>
    <w:rsid w:val="00E003DB"/>
    <w:rsid w:val="00E13077"/>
    <w:rsid w:val="00E24D96"/>
    <w:rsid w:val="00E25A16"/>
    <w:rsid w:val="00E30631"/>
    <w:rsid w:val="00E3168E"/>
    <w:rsid w:val="00E367F2"/>
    <w:rsid w:val="00E3691A"/>
    <w:rsid w:val="00E3711E"/>
    <w:rsid w:val="00E41D5B"/>
    <w:rsid w:val="00E57EC2"/>
    <w:rsid w:val="00E71DDC"/>
    <w:rsid w:val="00E7385E"/>
    <w:rsid w:val="00E907F9"/>
    <w:rsid w:val="00E97F59"/>
    <w:rsid w:val="00EB2512"/>
    <w:rsid w:val="00EC1784"/>
    <w:rsid w:val="00EC4647"/>
    <w:rsid w:val="00EF5007"/>
    <w:rsid w:val="00F01AD7"/>
    <w:rsid w:val="00F12A20"/>
    <w:rsid w:val="00F1601C"/>
    <w:rsid w:val="00F24C14"/>
    <w:rsid w:val="00F452A9"/>
    <w:rsid w:val="00F4702D"/>
    <w:rsid w:val="00F52384"/>
    <w:rsid w:val="00F731E6"/>
    <w:rsid w:val="00F948A2"/>
    <w:rsid w:val="00FA20B7"/>
    <w:rsid w:val="00FB3902"/>
    <w:rsid w:val="00FB5D34"/>
    <w:rsid w:val="00FC2AF1"/>
    <w:rsid w:val="00FC38F8"/>
    <w:rsid w:val="00FC73F6"/>
    <w:rsid w:val="00FD0FB0"/>
    <w:rsid w:val="00FD403E"/>
    <w:rsid w:val="00FE398C"/>
    <w:rsid w:val="00FE6C49"/>
    <w:rsid w:val="00FF21B9"/>
    <w:rsid w:val="00FF6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0CB5CC8-2AB0-407B-A36D-474A5A1F4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bg-BG"/>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A453C6"/>
    <w:pPr>
      <w:numPr>
        <w:numId w:val="1"/>
      </w:numPr>
      <w:contextualSpacing/>
    </w:pPr>
  </w:style>
  <w:style w:type="paragraph" w:styleId="ListBullet2">
    <w:name w:val="List Bullet 2"/>
    <w:basedOn w:val="Normal"/>
    <w:uiPriority w:val="99"/>
    <w:semiHidden/>
    <w:unhideWhenUsed/>
    <w:rsid w:val="00A453C6"/>
    <w:pPr>
      <w:numPr>
        <w:numId w:val="2"/>
      </w:numPr>
      <w:contextualSpacing/>
    </w:pPr>
  </w:style>
  <w:style w:type="paragraph" w:styleId="ListBullet3">
    <w:name w:val="List Bullet 3"/>
    <w:basedOn w:val="Normal"/>
    <w:uiPriority w:val="99"/>
    <w:semiHidden/>
    <w:unhideWhenUsed/>
    <w:rsid w:val="00A453C6"/>
    <w:pPr>
      <w:numPr>
        <w:numId w:val="3"/>
      </w:numPr>
      <w:contextualSpacing/>
    </w:pPr>
  </w:style>
  <w:style w:type="paragraph" w:styleId="ListBullet4">
    <w:name w:val="List Bullet 4"/>
    <w:basedOn w:val="Normal"/>
    <w:uiPriority w:val="99"/>
    <w:semiHidden/>
    <w:unhideWhenUsed/>
    <w:rsid w:val="00A453C6"/>
    <w:pPr>
      <w:numPr>
        <w:numId w:val="4"/>
      </w:numPr>
      <w:contextualSpacing/>
    </w:pPr>
  </w:style>
  <w:style w:type="character" w:styleId="CommentReference">
    <w:name w:val="annotation reference"/>
    <w:basedOn w:val="DefaultParagraphFont"/>
    <w:uiPriority w:val="99"/>
    <w:semiHidden/>
    <w:unhideWhenUsed/>
    <w:rsid w:val="008F251C"/>
    <w:rPr>
      <w:sz w:val="16"/>
      <w:szCs w:val="16"/>
    </w:rPr>
  </w:style>
  <w:style w:type="paragraph" w:styleId="CommentText">
    <w:name w:val="annotation text"/>
    <w:basedOn w:val="Normal"/>
    <w:link w:val="CommentTextChar"/>
    <w:uiPriority w:val="99"/>
    <w:unhideWhenUsed/>
    <w:rsid w:val="008F251C"/>
    <w:rPr>
      <w:sz w:val="20"/>
      <w:szCs w:val="20"/>
    </w:rPr>
  </w:style>
  <w:style w:type="character" w:customStyle="1" w:styleId="CommentTextChar">
    <w:name w:val="Comment Text Char"/>
    <w:basedOn w:val="DefaultParagraphFont"/>
    <w:link w:val="CommentText"/>
    <w:uiPriority w:val="99"/>
    <w:rsid w:val="008F251C"/>
    <w:rPr>
      <w:rFonts w:ascii="Times New Roman" w:hAnsi="Times New Roman" w:cs="Times New Roman"/>
      <w:sz w:val="20"/>
      <w:szCs w:val="20"/>
      <w:lang w:val="bg-BG"/>
    </w:rPr>
  </w:style>
  <w:style w:type="paragraph" w:styleId="CommentSubject">
    <w:name w:val="annotation subject"/>
    <w:basedOn w:val="CommentText"/>
    <w:next w:val="CommentText"/>
    <w:link w:val="CommentSubjectChar"/>
    <w:uiPriority w:val="99"/>
    <w:semiHidden/>
    <w:unhideWhenUsed/>
    <w:rsid w:val="008F251C"/>
    <w:rPr>
      <w:b/>
      <w:bCs/>
    </w:rPr>
  </w:style>
  <w:style w:type="character" w:customStyle="1" w:styleId="CommentSubjectChar">
    <w:name w:val="Comment Subject Char"/>
    <w:basedOn w:val="CommentTextChar"/>
    <w:link w:val="CommentSubject"/>
    <w:uiPriority w:val="99"/>
    <w:semiHidden/>
    <w:rsid w:val="008F251C"/>
    <w:rPr>
      <w:rFonts w:ascii="Times New Roman" w:hAnsi="Times New Roman" w:cs="Times New Roman"/>
      <w:b/>
      <w:bCs/>
      <w:sz w:val="20"/>
      <w:szCs w:val="20"/>
      <w:lang w:val="bg-BG"/>
    </w:rPr>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N"/>
    <w:basedOn w:val="Normal"/>
    <w:link w:val="ListParagraphChar"/>
    <w:uiPriority w:val="34"/>
    <w:qFormat/>
    <w:rsid w:val="008F251C"/>
    <w:pPr>
      <w:ind w:left="720"/>
      <w:contextualSpacing/>
    </w:pPr>
  </w:style>
  <w:style w:type="numbering" w:customStyle="1" w:styleId="ImportedStyle1">
    <w:name w:val="Imported Style 1"/>
    <w:rsid w:val="008F251C"/>
    <w:pPr>
      <w:numPr>
        <w:numId w:val="5"/>
      </w:numPr>
    </w:p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link w:val="ListParagraph"/>
    <w:uiPriority w:val="34"/>
    <w:qFormat/>
    <w:locked/>
    <w:rsid w:val="008F251C"/>
    <w:rPr>
      <w:rFonts w:ascii="Times New Roman" w:hAnsi="Times New Roman" w:cs="Times New Roman"/>
      <w:sz w:val="24"/>
      <w:lang w:val="bg-BG"/>
    </w:rPr>
  </w:style>
  <w:style w:type="character" w:styleId="Hyperlink">
    <w:name w:val="Hyperlink"/>
    <w:rsid w:val="000657BA"/>
    <w:rPr>
      <w:u w:val="single"/>
    </w:rPr>
  </w:style>
  <w:style w:type="character" w:customStyle="1" w:styleId="s1">
    <w:name w:val="s1"/>
    <w:basedOn w:val="DefaultParagraphFont"/>
    <w:rsid w:val="00A71310"/>
  </w:style>
  <w:style w:type="character" w:customStyle="1" w:styleId="normaltextrun">
    <w:name w:val="normaltextrun"/>
    <w:basedOn w:val="DefaultParagraphFont"/>
    <w:rsid w:val="001948F2"/>
  </w:style>
  <w:style w:type="paragraph" w:styleId="Revision">
    <w:name w:val="Revision"/>
    <w:hidden/>
    <w:uiPriority w:val="99"/>
    <w:semiHidden/>
    <w:rsid w:val="00D514E1"/>
    <w:pPr>
      <w:spacing w:after="0" w:line="240" w:lineRule="auto"/>
    </w:pPr>
    <w:rPr>
      <w:rFonts w:ascii="Times New Roman" w:hAnsi="Times New Roman" w:cs="Times New Roman"/>
      <w:sz w:val="24"/>
    </w:rPr>
  </w:style>
  <w:style w:type="character" w:customStyle="1" w:styleId="UnresolvedMention">
    <w:name w:val="Unresolved Mention"/>
    <w:basedOn w:val="DefaultParagraphFont"/>
    <w:uiPriority w:val="99"/>
    <w:semiHidden/>
    <w:unhideWhenUsed/>
    <w:rsid w:val="00E25A16"/>
    <w:rPr>
      <w:color w:val="605E5C"/>
      <w:shd w:val="clear" w:color="auto" w:fill="E1DFDD"/>
    </w:rPr>
  </w:style>
  <w:style w:type="character" w:customStyle="1" w:styleId="HeaderChar">
    <w:name w:val="Header Char"/>
    <w:basedOn w:val="DefaultParagraphFont"/>
    <w:link w:val="Header"/>
    <w:uiPriority w:val="99"/>
    <w:rsid w:val="00E41D5B"/>
    <w:rPr>
      <w:rFonts w:ascii="Times New Roman" w:hAnsi="Times New Roman" w:cs="Times New Roman"/>
      <w:sz w:val="24"/>
      <w:lang w:val="bg-BG"/>
    </w:rPr>
  </w:style>
  <w:style w:type="character" w:customStyle="1" w:styleId="FooterChar">
    <w:name w:val="Footer Char"/>
    <w:basedOn w:val="DefaultParagraphFont"/>
    <w:link w:val="Footer"/>
    <w:uiPriority w:val="99"/>
    <w:rsid w:val="00E41D5B"/>
    <w:rPr>
      <w:rFonts w:ascii="Times New Roman" w:hAnsi="Times New Roman" w:cs="Times New Roman"/>
      <w:sz w:val="24"/>
      <w:lang w:val="bg-BG"/>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E41D5B"/>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E41D5B"/>
    <w:pPr>
      <w:spacing w:before="0"/>
      <w:jc w:val="right"/>
    </w:pPr>
    <w:rPr>
      <w:sz w:val="28"/>
    </w:rPr>
  </w:style>
  <w:style w:type="paragraph" w:customStyle="1" w:styleId="FooterSensitivity">
    <w:name w:val="Footer Sensitivity"/>
    <w:basedOn w:val="Normal"/>
    <w:rsid w:val="00E41D5B"/>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3"/>
      </w:numPr>
    </w:pPr>
  </w:style>
  <w:style w:type="paragraph" w:customStyle="1" w:styleId="Tiret1">
    <w:name w:val="Tiret 1"/>
    <w:basedOn w:val="Point1"/>
    <w:pPr>
      <w:numPr>
        <w:numId w:val="24"/>
      </w:numPr>
    </w:pPr>
  </w:style>
  <w:style w:type="paragraph" w:customStyle="1" w:styleId="Tiret2">
    <w:name w:val="Tiret 2"/>
    <w:basedOn w:val="Point2"/>
    <w:pPr>
      <w:numPr>
        <w:numId w:val="25"/>
      </w:numPr>
    </w:pPr>
  </w:style>
  <w:style w:type="paragraph" w:customStyle="1" w:styleId="Tiret3">
    <w:name w:val="Tiret 3"/>
    <w:basedOn w:val="Point3"/>
    <w:pPr>
      <w:numPr>
        <w:numId w:val="26"/>
      </w:numPr>
    </w:pPr>
  </w:style>
  <w:style w:type="paragraph" w:customStyle="1" w:styleId="Tiret4">
    <w:name w:val="Tiret 4"/>
    <w:basedOn w:val="Point4"/>
    <w:pPr>
      <w:numPr>
        <w:numId w:val="27"/>
      </w:numPr>
    </w:pPr>
  </w:style>
  <w:style w:type="paragraph" w:customStyle="1" w:styleId="Tiret5">
    <w:name w:val="Tiret 5"/>
    <w:basedOn w:val="Point5"/>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NumPar5">
    <w:name w:val="NumPar 5"/>
    <w:basedOn w:val="Normal"/>
    <w:next w:val="Text2"/>
    <w:pPr>
      <w:numPr>
        <w:ilvl w:val="4"/>
        <w:numId w:val="29"/>
      </w:numPr>
    </w:pPr>
  </w:style>
  <w:style w:type="paragraph" w:customStyle="1" w:styleId="NumPar6">
    <w:name w:val="NumPar 6"/>
    <w:basedOn w:val="Normal"/>
    <w:next w:val="Text2"/>
    <w:pPr>
      <w:numPr>
        <w:ilvl w:val="5"/>
        <w:numId w:val="29"/>
      </w:numPr>
    </w:pPr>
  </w:style>
  <w:style w:type="paragraph" w:customStyle="1" w:styleId="NumPar7">
    <w:name w:val="NumPar 7"/>
    <w:basedOn w:val="Normal"/>
    <w:next w:val="Text2"/>
    <w:pPr>
      <w:numPr>
        <w:ilvl w:val="6"/>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 w:type="paragraph" w:styleId="Header">
    <w:name w:val="header"/>
    <w:basedOn w:val="Normal"/>
    <w:link w:val="HeaderChar"/>
    <w:uiPriority w:val="99"/>
    <w:unhideWhenUsed/>
    <w:rsid w:val="00E41D5B"/>
    <w:pPr>
      <w:tabs>
        <w:tab w:val="center" w:pos="4535"/>
        <w:tab w:val="right" w:pos="9071"/>
      </w:tabs>
      <w:spacing w:before="0"/>
    </w:pPr>
  </w:style>
  <w:style w:type="paragraph" w:customStyle="1" w:styleId="HeaderLandscape">
    <w:name w:val="HeaderLandscape"/>
    <w:basedOn w:val="Normal"/>
    <w:rsid w:val="00E41D5B"/>
    <w:pPr>
      <w:tabs>
        <w:tab w:val="center" w:pos="7285"/>
        <w:tab w:val="right" w:pos="14003"/>
      </w:tabs>
      <w:spacing w:before="0"/>
    </w:pPr>
  </w:style>
  <w:style w:type="paragraph" w:styleId="Footer">
    <w:name w:val="footer"/>
    <w:basedOn w:val="Normal"/>
    <w:link w:val="FooterChar"/>
    <w:uiPriority w:val="99"/>
    <w:unhideWhenUsed/>
    <w:rsid w:val="00E41D5B"/>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E41D5B"/>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1081260">
      <w:bodyDiv w:val="1"/>
      <w:marLeft w:val="0"/>
      <w:marRight w:val="0"/>
      <w:marTop w:val="0"/>
      <w:marBottom w:val="0"/>
      <w:divBdr>
        <w:top w:val="none" w:sz="0" w:space="0" w:color="auto"/>
        <w:left w:val="none" w:sz="0" w:space="0" w:color="auto"/>
        <w:bottom w:val="none" w:sz="0" w:space="0" w:color="auto"/>
        <w:right w:val="none" w:sz="0" w:space="0" w:color="auto"/>
      </w:divBdr>
    </w:div>
    <w:div w:id="803935785">
      <w:bodyDiv w:val="1"/>
      <w:marLeft w:val="0"/>
      <w:marRight w:val="0"/>
      <w:marTop w:val="0"/>
      <w:marBottom w:val="0"/>
      <w:divBdr>
        <w:top w:val="none" w:sz="0" w:space="0" w:color="auto"/>
        <w:left w:val="none" w:sz="0" w:space="0" w:color="auto"/>
        <w:bottom w:val="none" w:sz="0" w:space="0" w:color="auto"/>
        <w:right w:val="none" w:sz="0" w:space="0" w:color="auto"/>
      </w:divBdr>
    </w:div>
    <w:div w:id="1406761425">
      <w:bodyDiv w:val="1"/>
      <w:marLeft w:val="0"/>
      <w:marRight w:val="0"/>
      <w:marTop w:val="0"/>
      <w:marBottom w:val="0"/>
      <w:divBdr>
        <w:top w:val="none" w:sz="0" w:space="0" w:color="auto"/>
        <w:left w:val="none" w:sz="0" w:space="0" w:color="auto"/>
        <w:bottom w:val="none" w:sz="0" w:space="0" w:color="auto"/>
        <w:right w:val="none" w:sz="0" w:space="0" w:color="auto"/>
      </w:divBdr>
    </w:div>
    <w:div w:id="1574776194">
      <w:bodyDiv w:val="1"/>
      <w:marLeft w:val="0"/>
      <w:marRight w:val="0"/>
      <w:marTop w:val="0"/>
      <w:marBottom w:val="0"/>
      <w:divBdr>
        <w:top w:val="none" w:sz="0" w:space="0" w:color="auto"/>
        <w:left w:val="none" w:sz="0" w:space="0" w:color="auto"/>
        <w:bottom w:val="none" w:sz="0" w:space="0" w:color="auto"/>
        <w:right w:val="none" w:sz="0" w:space="0" w:color="auto"/>
      </w:divBdr>
    </w:div>
    <w:div w:id="1898126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sdgs.un.org/goals/2030agend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2B821FD596CA4199F5E15CA8AF115B" ma:contentTypeVersion="12" ma:contentTypeDescription="Create a new document." ma:contentTypeScope="" ma:versionID="8a56d879e6f7161fb0693e3baeafa33b">
  <xsd:schema xmlns:xsd="http://www.w3.org/2001/XMLSchema" xmlns:xs="http://www.w3.org/2001/XMLSchema" xmlns:p="http://schemas.microsoft.com/office/2006/metadata/properties" xmlns:ns2="6d5ad584-533d-4d9e-8d12-f1eda2044479" xmlns:ns3="93584799-4ddd-4bd3-91b5-fd19e73f04ec" targetNamespace="http://schemas.microsoft.com/office/2006/metadata/properties" ma:root="true" ma:fieldsID="cd204891d623141644865566389980d5" ns2:_="" ns3:_="">
    <xsd:import namespace="6d5ad584-533d-4d9e-8d12-f1eda2044479"/>
    <xsd:import namespace="93584799-4ddd-4bd3-91b5-fd19e73f04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5ad584-533d-4d9e-8d12-f1eda20444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584799-4ddd-4bd3-91b5-fd19e73f04ec"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9E6148-7CBB-4201-8780-8EF3D36EEC5A}">
  <ds:schemaRefs>
    <ds:schemaRef ds:uri="http://schemas.microsoft.com/sharepoint/v3/contenttype/forms"/>
  </ds:schemaRefs>
</ds:datastoreItem>
</file>

<file path=customXml/itemProps2.xml><?xml version="1.0" encoding="utf-8"?>
<ds:datastoreItem xmlns:ds="http://schemas.openxmlformats.org/officeDocument/2006/customXml" ds:itemID="{2B9B4FB4-CB0A-4CDC-BB9A-7FF493B4B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5ad584-533d-4d9e-8d12-f1eda2044479"/>
    <ds:schemaRef ds:uri="93584799-4ddd-4bd3-91b5-fd19e73f04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49C7163-3D6D-40AA-A4EC-A1FDFC7149E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B4E9473-35AB-4A0E-91A2-A2BDCCA0A5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5</TotalTime>
  <Pages>5</Pages>
  <Words>1347</Words>
  <Characters>7682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26</cp:revision>
  <dcterms:created xsi:type="dcterms:W3CDTF">2025-07-01T12:09:00Z</dcterms:created>
  <dcterms:modified xsi:type="dcterms:W3CDTF">2025-07-03T08:48:00Z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8.0.25.0</vt:lpwstr>
  </property>
  <property fmtid="{D5CDD505-2E9C-101B-9397-08002B2CF9AE}" pid="4" name="Last edited using">
    <vt:lpwstr>LW 9.1, Build 20240808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MSIP_Label_6bd9ddd1-4d20-43f6-abfa-fc3c07406f94_Enabled">
    <vt:lpwstr>true</vt:lpwstr>
  </property>
  <property fmtid="{D5CDD505-2E9C-101B-9397-08002B2CF9AE}" pid="11" name="MSIP_Label_6bd9ddd1-4d20-43f6-abfa-fc3c07406f94_SetDate">
    <vt:lpwstr>2025-06-18T15:13:26Z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be8ba38c-c33a-42a8-9d43-4a7fa446caca</vt:lpwstr>
  </property>
  <property fmtid="{D5CDD505-2E9C-101B-9397-08002B2CF9AE}" pid="16" name="MSIP_Label_6bd9ddd1-4d20-43f6-abfa-fc3c07406f94_ContentBits">
    <vt:lpwstr>0</vt:lpwstr>
  </property>
  <property fmtid="{D5CDD505-2E9C-101B-9397-08002B2CF9AE}" pid="17" name="ContentTypeId">
    <vt:lpwstr>0x010100852B821FD596CA4199F5E15CA8AF115B</vt:lpwstr>
  </property>
  <property fmtid="{D5CDD505-2E9C-101B-9397-08002B2CF9AE}" pid="18" name="DQCStatus">
    <vt:lpwstr>Green (DQC version 03)</vt:lpwstr>
  </property>
</Properties>
</file>