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C827E" w14:textId="47EB04CB" w:rsidR="007E2797" w:rsidRDefault="005E012A" w:rsidP="005E012A">
      <w:pPr>
        <w:pStyle w:val="Pagedecouverture"/>
        <w:rPr>
          <w:noProof/>
        </w:rPr>
      </w:pPr>
      <w:bookmarkStart w:id="0" w:name="LW_BM_COVERPAGE"/>
      <w:r>
        <w:rPr>
          <w:noProof/>
        </w:rPr>
        <w:pict w14:anchorId="6F758B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8BCA41FD-4B3E-4EB2-B721-D28B1527D351" style="width:455.25pt;height:271.5pt">
            <v:imagedata r:id="rId11" o:title=""/>
          </v:shape>
        </w:pict>
      </w:r>
    </w:p>
    <w:bookmarkEnd w:id="0"/>
    <w:p w14:paraId="56E3A4F8" w14:textId="039F3523" w:rsidR="007E2797" w:rsidRDefault="007E2797" w:rsidP="007E2797">
      <w:pPr>
        <w:rPr>
          <w:noProof/>
        </w:rPr>
        <w:sectPr w:rsidR="007E2797" w:rsidSect="005E012A">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25E636BA" w14:textId="0BCE3373" w:rsidR="00EF00CF" w:rsidRPr="00EF00CF" w:rsidRDefault="00EF00CF" w:rsidP="00EF00CF">
      <w:pPr>
        <w:pStyle w:val="Typedudocument"/>
        <w:rPr>
          <w:noProof/>
        </w:rPr>
      </w:pPr>
      <w:bookmarkStart w:id="1" w:name="_GoBack"/>
      <w:bookmarkEnd w:id="1"/>
      <w:r w:rsidRPr="00EF00CF">
        <w:rPr>
          <w:noProof/>
        </w:rPr>
        <w:lastRenderedPageBreak/>
        <w:t>СЪОБЩЕНИЕ НА КОМИСИЯТА</w:t>
      </w:r>
    </w:p>
    <w:p w14:paraId="550124D7" w14:textId="27EF3635" w:rsidR="00EF00CF" w:rsidRPr="00EF00CF" w:rsidRDefault="00EF00CF" w:rsidP="00EF00CF">
      <w:pPr>
        <w:pStyle w:val="Titreobjet"/>
        <w:rPr>
          <w:noProof/>
        </w:rPr>
      </w:pPr>
      <w:r w:rsidRPr="00EF00CF">
        <w:rPr>
          <w:noProof/>
        </w:rPr>
        <w:t>(Първи) работен план съгласно РСП за периода 2026—2029 г.</w:t>
      </w:r>
    </w:p>
    <w:p w14:paraId="5C00E463" w14:textId="0DF39754" w:rsidR="00D76193" w:rsidRPr="007E2797" w:rsidRDefault="00D76193" w:rsidP="00C5300B">
      <w:pPr>
        <w:pStyle w:val="Heading1"/>
        <w:rPr>
          <w:noProof/>
        </w:rPr>
      </w:pPr>
      <w:r>
        <w:rPr>
          <w:noProof/>
        </w:rPr>
        <w:t>Въведение</w:t>
      </w:r>
    </w:p>
    <w:p w14:paraId="29468814" w14:textId="77CDA9E6" w:rsidR="00D76193" w:rsidRPr="007E2797" w:rsidRDefault="00D76193" w:rsidP="00C5300B">
      <w:pPr>
        <w:pStyle w:val="Heading2"/>
        <w:rPr>
          <w:noProof/>
        </w:rPr>
      </w:pPr>
      <w:r>
        <w:rPr>
          <w:noProof/>
        </w:rPr>
        <w:t>Единен пазар на строителни продукти</w:t>
      </w:r>
    </w:p>
    <w:p w14:paraId="33F9CA3D" w14:textId="24857F2B" w:rsidR="00801E5B" w:rsidRPr="007E2797" w:rsidRDefault="00801E5B" w:rsidP="007E2797">
      <w:pPr>
        <w:spacing w:after="120"/>
        <w:jc w:val="both"/>
        <w:rPr>
          <w:rFonts w:ascii="Times New Roman" w:hAnsi="Times New Roman" w:cs="Times New Roman"/>
          <w:noProof/>
          <w:sz w:val="24"/>
          <w:szCs w:val="24"/>
        </w:rPr>
      </w:pPr>
      <w:r>
        <w:rPr>
          <w:rFonts w:ascii="Times New Roman" w:hAnsi="Times New Roman"/>
          <w:noProof/>
          <w:sz w:val="24"/>
        </w:rPr>
        <w:t>В Регламента за строителните продукти (РСП)</w:t>
      </w:r>
      <w:r>
        <w:rPr>
          <w:rStyle w:val="FootnoteReference"/>
          <w:rFonts w:ascii="Times New Roman" w:hAnsi="Times New Roman" w:cs="Times New Roman"/>
          <w:noProof/>
          <w:sz w:val="24"/>
          <w:szCs w:val="24"/>
        </w:rPr>
        <w:footnoteReference w:id="2"/>
      </w:r>
      <w:r>
        <w:rPr>
          <w:rFonts w:ascii="Times New Roman" w:hAnsi="Times New Roman"/>
          <w:noProof/>
          <w:sz w:val="24"/>
        </w:rPr>
        <w:t xml:space="preserve"> се определят хармонизирани правила за предлагането на пазара на строителни продукти в ЕС. Разпоредбите на РСП осигуряват гладкото функциониране на единния пазар и свободното движение на строителни продукти в ЕС. Това се постига основно чрез хармонизирани технически спецификации, с които се предоставят общи технически норми относно оценяването и съобщаването на експлоатационните показатели на строителните продукти (например реакция на огън, топлопроводимост или шумоизолационни свойства). Използването на стандартите става задължително, след като същите бъдат приети за задължителни посредством акт за изпълнение. С РСП се гарантира, че специалистите, публичните органи и потребителите имат достъп до надеждна информация, така че да могат да сравняват експлоатационните показатели на строителните продукти на различни производители от различни държави — членки на ЕС.</w:t>
      </w:r>
      <w:r>
        <w:rPr>
          <w:rStyle w:val="FootnoteReference"/>
          <w:rFonts w:ascii="Times New Roman" w:hAnsi="Times New Roman" w:cs="Times New Roman"/>
          <w:noProof/>
          <w:sz w:val="24"/>
          <w:szCs w:val="24"/>
        </w:rPr>
        <w:footnoteReference w:id="3"/>
      </w:r>
      <w:r>
        <w:rPr>
          <w:noProof/>
        </w:rPr>
        <w:t>.</w:t>
      </w:r>
    </w:p>
    <w:p w14:paraId="542555EC" w14:textId="47C5B9D8" w:rsidR="00EE6C3E" w:rsidRPr="007E2797" w:rsidRDefault="00BA1509" w:rsidP="007E2797">
      <w:pPr>
        <w:jc w:val="both"/>
        <w:rPr>
          <w:rFonts w:ascii="Times New Roman" w:hAnsi="Times New Roman" w:cs="Times New Roman"/>
          <w:noProof/>
          <w:sz w:val="24"/>
          <w:szCs w:val="24"/>
        </w:rPr>
      </w:pPr>
      <w:r>
        <w:rPr>
          <w:rFonts w:ascii="Times New Roman" w:hAnsi="Times New Roman"/>
          <w:noProof/>
          <w:sz w:val="24"/>
        </w:rPr>
        <w:t>Съгласно член 4, параграф 2 от РСП „Комисията изготвя работен план, обхващащ най-малко следващия тригодишен период, за разработването на хармонизирани технически спецификации за фамилиите продукти, изброени в приложение VII, включително изисквания към продуктите, както и обща информация за продукта, инструкции за употреба и информация за безопасност.“ За тази цел Комисията се консултира с Експертната група по законодателството, свързано с РСП</w:t>
      </w:r>
      <w:r>
        <w:rPr>
          <w:rStyle w:val="FootnoteReference"/>
          <w:rFonts w:ascii="Times New Roman" w:hAnsi="Times New Roman" w:cs="Times New Roman"/>
          <w:noProof/>
          <w:sz w:val="24"/>
          <w:szCs w:val="24"/>
        </w:rPr>
        <w:footnoteReference w:id="4"/>
      </w:r>
      <w:r>
        <w:rPr>
          <w:rFonts w:ascii="Times New Roman" w:hAnsi="Times New Roman"/>
          <w:noProof/>
          <w:sz w:val="24"/>
        </w:rPr>
        <w:t xml:space="preserve"> през първата половина на 2025 г. </w:t>
      </w:r>
    </w:p>
    <w:p w14:paraId="33C9E412" w14:textId="1B1E8537" w:rsidR="00EE6C3E" w:rsidRPr="007E2797" w:rsidRDefault="004E083E" w:rsidP="007E2797">
      <w:pPr>
        <w:jc w:val="both"/>
        <w:rPr>
          <w:rFonts w:ascii="Times New Roman" w:hAnsi="Times New Roman" w:cs="Times New Roman"/>
          <w:noProof/>
          <w:sz w:val="24"/>
          <w:szCs w:val="24"/>
        </w:rPr>
      </w:pPr>
      <w:r>
        <w:rPr>
          <w:rFonts w:ascii="Times New Roman" w:hAnsi="Times New Roman"/>
          <w:noProof/>
          <w:sz w:val="24"/>
        </w:rPr>
        <w:t xml:space="preserve">Комисията има задължението да публикува първия работен план не по-късно от 8 януари 2026 г. Той обхваща периода 2026—2029 г. Тъй като Комисията трябва да подновява и актуализира работния план най-малко веднъж на всеки три години, следващият работен план ще бъде публикуван най-късно до края на 2028 г. </w:t>
      </w:r>
    </w:p>
    <w:p w14:paraId="0DEBADFD" w14:textId="2AF365A2" w:rsidR="00CA1222" w:rsidRPr="007E2797" w:rsidRDefault="00CA1222" w:rsidP="007E2797">
      <w:pPr>
        <w:jc w:val="both"/>
        <w:rPr>
          <w:rFonts w:ascii="Times New Roman" w:hAnsi="Times New Roman" w:cs="Times New Roman"/>
          <w:noProof/>
          <w:sz w:val="24"/>
          <w:szCs w:val="24"/>
        </w:rPr>
      </w:pPr>
      <w:r>
        <w:rPr>
          <w:rFonts w:ascii="Times New Roman" w:hAnsi="Times New Roman"/>
          <w:noProof/>
          <w:sz w:val="24"/>
        </w:rPr>
        <w:t xml:space="preserve">В края на всяка година — като първият път ще е в края на 2026 г. — Комисията ще информира Европейския парламент и държавите членки за постигнатия при изпълнението на работния план напредък. </w:t>
      </w:r>
    </w:p>
    <w:p w14:paraId="4717A455" w14:textId="66543989" w:rsidR="000402F3" w:rsidRPr="007E2797" w:rsidRDefault="000402F3" w:rsidP="007E2797">
      <w:pPr>
        <w:spacing w:after="120"/>
        <w:jc w:val="both"/>
        <w:rPr>
          <w:rFonts w:ascii="Times New Roman" w:hAnsi="Times New Roman" w:cs="Times New Roman"/>
          <w:noProof/>
          <w:sz w:val="24"/>
          <w:szCs w:val="24"/>
        </w:rPr>
      </w:pPr>
      <w:r>
        <w:rPr>
          <w:rFonts w:ascii="Times New Roman" w:hAnsi="Times New Roman"/>
          <w:noProof/>
          <w:sz w:val="24"/>
        </w:rPr>
        <w:t>Настоящият работен план ще допринесе и за целите на наскоро приетия Компас за конкурентоспособността</w:t>
      </w:r>
      <w:r>
        <w:rPr>
          <w:rStyle w:val="FootnoteReference"/>
          <w:rFonts w:ascii="Times New Roman" w:hAnsi="Times New Roman" w:cs="Times New Roman"/>
          <w:noProof/>
          <w:sz w:val="24"/>
          <w:szCs w:val="24"/>
        </w:rPr>
        <w:footnoteReference w:id="5"/>
      </w:r>
      <w:r>
        <w:rPr>
          <w:rFonts w:ascii="Times New Roman" w:hAnsi="Times New Roman"/>
          <w:noProof/>
          <w:sz w:val="24"/>
        </w:rPr>
        <w:t>, като спомогне за преодоляване на различията в иновациите и за повишаване на конкурентоспособността, декарбонизацията и икономическата сигурност на ЕС. Освен това той може да спомогне за развитието на водещи пазари за устойчиви и кръгови продукти в съответствие с неотдавнашния Пакт за чиста промишленост</w:t>
      </w:r>
      <w:r>
        <w:rPr>
          <w:rStyle w:val="FootnoteReference"/>
          <w:rFonts w:ascii="Times New Roman" w:hAnsi="Times New Roman" w:cs="Times New Roman"/>
          <w:noProof/>
          <w:sz w:val="24"/>
          <w:szCs w:val="24"/>
        </w:rPr>
        <w:footnoteReference w:id="6"/>
      </w:r>
      <w:r>
        <w:rPr>
          <w:rStyle w:val="FootnoteReference"/>
          <w:rFonts w:ascii="Times New Roman" w:hAnsi="Times New Roman" w:cs="Times New Roman"/>
          <w:noProof/>
          <w:sz w:val="24"/>
          <w:szCs w:val="24"/>
        </w:rPr>
        <w:t>,</w:t>
      </w:r>
      <w:r>
        <w:rPr>
          <w:rStyle w:val="FootnoteReference"/>
          <w:rFonts w:ascii="Times New Roman" w:hAnsi="Times New Roman"/>
          <w:noProof/>
          <w:sz w:val="24"/>
        </w:rPr>
        <w:t>,</w:t>
      </w:r>
      <w:r>
        <w:rPr>
          <w:rFonts w:ascii="Times New Roman" w:hAnsi="Times New Roman"/>
          <w:noProof/>
          <w:sz w:val="24"/>
        </w:rPr>
        <w:t xml:space="preserve"> Плана за действие в областта на стоманата и металите</w:t>
      </w:r>
      <w:r>
        <w:rPr>
          <w:rFonts w:ascii="Times New Roman" w:hAnsi="Times New Roman" w:cs="Times New Roman"/>
          <w:noProof/>
          <w:sz w:val="24"/>
          <w:szCs w:val="24"/>
          <w:vertAlign w:val="superscript"/>
        </w:rPr>
        <w:footnoteReference w:id="7"/>
      </w:r>
      <w:r>
        <w:rPr>
          <w:rFonts w:ascii="Times New Roman" w:hAnsi="Times New Roman"/>
          <w:noProof/>
          <w:sz w:val="24"/>
          <w:vertAlign w:val="superscript"/>
        </w:rPr>
        <w:t>,</w:t>
      </w:r>
      <w:r>
        <w:rPr>
          <w:rFonts w:ascii="Times New Roman" w:hAnsi="Times New Roman"/>
          <w:noProof/>
          <w:sz w:val="24"/>
        </w:rPr>
        <w:t>, Директивата относно енергийните характеристики на сградите</w:t>
      </w:r>
      <w:r>
        <w:rPr>
          <w:rStyle w:val="FootnoteReference"/>
          <w:rFonts w:ascii="Times New Roman" w:hAnsi="Times New Roman" w:cs="Times New Roman"/>
          <w:noProof/>
          <w:sz w:val="24"/>
          <w:szCs w:val="24"/>
        </w:rPr>
        <w:footnoteReference w:id="8"/>
      </w:r>
      <w:r>
        <w:rPr>
          <w:rFonts w:ascii="Times New Roman" w:hAnsi="Times New Roman"/>
          <w:noProof/>
          <w:sz w:val="24"/>
        </w:rPr>
        <w:t xml:space="preserve"> и Стратегията на ЕС за биоикономиката от 2025 г.</w:t>
      </w:r>
      <w:r>
        <w:rPr>
          <w:rStyle w:val="FootnoteReference"/>
          <w:rFonts w:ascii="Times New Roman" w:hAnsi="Times New Roman" w:cs="Times New Roman"/>
          <w:noProof/>
          <w:sz w:val="24"/>
          <w:szCs w:val="24"/>
        </w:rPr>
        <w:footnoteReference w:id="9"/>
      </w:r>
      <w:r>
        <w:rPr>
          <w:rFonts w:ascii="Times New Roman" w:hAnsi="Times New Roman"/>
          <w:noProof/>
          <w:sz w:val="24"/>
        </w:rPr>
        <w:t xml:space="preserve"> Комисията планира да приеме Акта за кръговата икономика, за да стимулира предлагането и търсенето на висококачествени вторични суровини, както и Акта за ускоряване на промишлеността</w:t>
      </w:r>
      <w:r>
        <w:rPr>
          <w:rStyle w:val="FootnoteReference"/>
          <w:rFonts w:ascii="Times New Roman" w:hAnsi="Times New Roman" w:cs="Times New Roman"/>
          <w:noProof/>
          <w:sz w:val="24"/>
          <w:szCs w:val="24"/>
        </w:rPr>
        <w:footnoteReference w:id="10"/>
      </w:r>
      <w:r>
        <w:rPr>
          <w:rFonts w:ascii="Times New Roman" w:hAnsi="Times New Roman"/>
          <w:noProof/>
          <w:sz w:val="24"/>
        </w:rPr>
        <w:t xml:space="preserve">, които да допълнят тези инициативи. </w:t>
      </w:r>
    </w:p>
    <w:p w14:paraId="71082505" w14:textId="6754B9A6" w:rsidR="000402F3" w:rsidRPr="008260CB" w:rsidRDefault="000402F3" w:rsidP="007E2797">
      <w:pPr>
        <w:spacing w:after="120"/>
        <w:jc w:val="both"/>
        <w:rPr>
          <w:rFonts w:ascii="Times New Roman" w:hAnsi="Times New Roman" w:cs="Times New Roman"/>
          <w:noProof/>
          <w:sz w:val="24"/>
          <w:szCs w:val="24"/>
        </w:rPr>
      </w:pPr>
      <w:r>
        <w:rPr>
          <w:rFonts w:ascii="Times New Roman" w:hAnsi="Times New Roman"/>
          <w:noProof/>
          <w:sz w:val="24"/>
        </w:rPr>
        <w:t>РСП е ключов принос към амбицията на Пакта за чиста промишленост ЕС да се превърне в световен лидер в областта на кръговата икономика до 2030 г. Приемането на хармонизирани технически спецификации съгласно РСП — които ще бъдат допълнени с мерките в подкрепа на кръговостта на строителния сектор в предстоящия Акт за кръговата икономика — ще бъде в центъра на усилията за подобряване на конкурентоспособността и кръговостта на нашите икономики, тъй като осигурява пълна и надеждна регулаторна среда и насърчава водещи пазари за устойчиви и кръгови продукти. Накратко, РСП ще допринесе значително за постигането на целта ни за чиста, декарбонизирана икономика на ЕС с ефективно използване на ресурсите.</w:t>
      </w:r>
    </w:p>
    <w:p w14:paraId="3E080ACB" w14:textId="1067616C" w:rsidR="00F42AE6" w:rsidRPr="007E2797" w:rsidRDefault="00F42AE6" w:rsidP="007E2797">
      <w:pPr>
        <w:spacing w:after="120"/>
        <w:jc w:val="both"/>
        <w:rPr>
          <w:rFonts w:ascii="Times New Roman" w:hAnsi="Times New Roman" w:cs="Times New Roman"/>
          <w:noProof/>
          <w:sz w:val="24"/>
          <w:szCs w:val="24"/>
        </w:rPr>
      </w:pPr>
      <w:r>
        <w:rPr>
          <w:rFonts w:ascii="Times New Roman" w:hAnsi="Times New Roman"/>
          <w:noProof/>
          <w:sz w:val="24"/>
        </w:rPr>
        <w:t>РСП ще бъде важна част и от Европейската стратегия за жилищно строителство</w:t>
      </w:r>
      <w:r>
        <w:rPr>
          <w:rStyle w:val="FootnoteReference"/>
          <w:rFonts w:ascii="Times New Roman" w:hAnsi="Times New Roman" w:cs="Times New Roman"/>
          <w:noProof/>
          <w:sz w:val="24"/>
          <w:szCs w:val="24"/>
        </w:rPr>
        <w:footnoteReference w:id="11"/>
      </w:r>
      <w:r>
        <w:rPr>
          <w:rFonts w:ascii="Times New Roman" w:hAnsi="Times New Roman"/>
          <w:noProof/>
          <w:sz w:val="24"/>
        </w:rPr>
        <w:t>, като ще улеснява иновациите и ще повишава конкурентоспособността на сектора. Чрез разработването на нови хармонизирани стандарти, осъвременяването на съществуващите такива и разработването на европейски документи за оценяване (ЕДО) за иновативни продукти РСП може да подкрепи ускореното внедряване на производства, отдалечени от строителната площадка, което ще увеличи производителността на строителната екосистема като цяло и ще помогне за справянето с недостига на жилища, като намали времето за строителство. Въвеждането на цифровия продуктов паспорт ще подкрепи цифровизацията на строителната екосистема.</w:t>
      </w:r>
    </w:p>
    <w:p w14:paraId="2E4BB1CC" w14:textId="4F0AB733" w:rsidR="00B832F9" w:rsidRPr="007E2797" w:rsidRDefault="00B832F9" w:rsidP="00C5300B">
      <w:pPr>
        <w:pStyle w:val="Heading2"/>
        <w:rPr>
          <w:noProof/>
        </w:rPr>
      </w:pPr>
      <w:r>
        <w:rPr>
          <w:noProof/>
        </w:rPr>
        <w:t>Процесът по създаване на законодателството, свързано с РСП</w:t>
      </w:r>
    </w:p>
    <w:p w14:paraId="27E0DDA2" w14:textId="3E6F03B2" w:rsidR="00B832F9" w:rsidRPr="00590675" w:rsidRDefault="000077B2" w:rsidP="00674054">
      <w:pPr>
        <w:rPr>
          <w:rFonts w:ascii="Times New Roman" w:hAnsi="Times New Roman" w:cs="Times New Roman"/>
          <w:noProof/>
          <w:sz w:val="24"/>
          <w:szCs w:val="24"/>
        </w:rPr>
      </w:pPr>
      <w:r>
        <w:rPr>
          <w:rFonts w:ascii="Times New Roman" w:hAnsi="Times New Roman"/>
          <w:noProof/>
          <w:sz w:val="24"/>
        </w:rPr>
        <w:t>През 2020 г. Комисията започна т.нар. процес по създаване на свързаното с РСП законодателство съгласно РСП от 2011 г.</w:t>
      </w:r>
      <w:r>
        <w:rPr>
          <w:rStyle w:val="FootnoteReference"/>
          <w:rFonts w:ascii="Times New Roman" w:hAnsi="Times New Roman" w:cs="Times New Roman"/>
          <w:noProof/>
          <w:sz w:val="24"/>
          <w:szCs w:val="24"/>
        </w:rPr>
        <w:footnoteReference w:id="12"/>
      </w:r>
      <w:r>
        <w:rPr>
          <w:rFonts w:ascii="Times New Roman" w:hAnsi="Times New Roman"/>
          <w:noProof/>
          <w:sz w:val="24"/>
        </w:rPr>
        <w:t xml:space="preserve">, чиято цел е да се съберат техническите и регулаторните нужди от заинтересованите страни и държавите членки, за да се създадат подробни искания за стандартизация, делегирани актове, изисквания към продуктите и информация за тях. Това позволява актуализирането на всички съществуващи хармонизирани стандарти съгласно РСП и разширяването на техния обхват чрез включване на нови продукти. </w:t>
      </w:r>
    </w:p>
    <w:p w14:paraId="2F6C4DB6" w14:textId="347989E0" w:rsidR="00E459F3" w:rsidRPr="00590675" w:rsidRDefault="00E459F3" w:rsidP="00674054">
      <w:pPr>
        <w:rPr>
          <w:rFonts w:ascii="Times New Roman" w:hAnsi="Times New Roman" w:cs="Times New Roman"/>
          <w:noProof/>
          <w:sz w:val="24"/>
          <w:szCs w:val="24"/>
        </w:rPr>
      </w:pPr>
      <w:r>
        <w:rPr>
          <w:rFonts w:ascii="Times New Roman" w:hAnsi="Times New Roman"/>
          <w:noProof/>
          <w:sz w:val="24"/>
        </w:rPr>
        <w:t xml:space="preserve">През 2021 г. Комисията създаде Експертната група по законодателството, свързано с РСП, както и няколко подгрупи, за да структурира работата на процеса по създаване на това законодателство. Всяка подгрупа работи по една или повече от фамилиите продукти, понастоящем включени в приложение VII към РСП. Освен това бяха създадени три хоризонтални подгрупи (по екологична устойчивост, пожарна безопасност и опасни вещества). </w:t>
      </w:r>
    </w:p>
    <w:p w14:paraId="2858B28A" w14:textId="59E76382" w:rsidR="00E4161C" w:rsidRPr="00590675" w:rsidRDefault="00235983" w:rsidP="00674054">
      <w:pPr>
        <w:rPr>
          <w:rFonts w:ascii="Times New Roman" w:hAnsi="Times New Roman" w:cs="Times New Roman"/>
          <w:noProof/>
          <w:sz w:val="24"/>
          <w:szCs w:val="24"/>
        </w:rPr>
      </w:pPr>
      <w:r>
        <w:rPr>
          <w:rFonts w:ascii="Times New Roman" w:hAnsi="Times New Roman"/>
          <w:noProof/>
          <w:sz w:val="24"/>
        </w:rPr>
        <w:t>В член 4 от РСП се утвърждава официално процеса и се определят задачите на Комисията и отговорностите на държавите членки и другите заинтересовани страни в процеса. Структурата на експертната група беше приведена в съответствие с новия регламент през пролетта на 2025 г. Европейските сдружения и неправителствени организации са насърчавани да подават заявления за членство в експертната група или в една или няколко от подгрупите</w:t>
      </w:r>
      <w:r>
        <w:rPr>
          <w:rStyle w:val="FootnoteReference"/>
          <w:rFonts w:ascii="Times New Roman" w:hAnsi="Times New Roman" w:cs="Times New Roman"/>
          <w:noProof/>
          <w:sz w:val="24"/>
          <w:szCs w:val="24"/>
        </w:rPr>
        <w:footnoteReference w:id="13"/>
      </w:r>
      <w:r>
        <w:rPr>
          <w:rFonts w:ascii="Times New Roman" w:hAnsi="Times New Roman"/>
          <w:noProof/>
          <w:sz w:val="24"/>
        </w:rPr>
        <w:t xml:space="preserve">, за да могат да участват в работата. </w:t>
      </w:r>
    </w:p>
    <w:p w14:paraId="43CE7B4F" w14:textId="63E21CF2" w:rsidR="00E06E82" w:rsidRPr="00590675" w:rsidRDefault="00403ACB" w:rsidP="002B393B">
      <w:pPr>
        <w:pStyle w:val="Caption"/>
        <w:jc w:val="center"/>
        <w:rPr>
          <w:rFonts w:ascii="Times New Roman" w:hAnsi="Times New Roman" w:cs="Times New Roman"/>
          <w:b/>
          <w:bCs/>
          <w:i w:val="0"/>
          <w:iCs w:val="0"/>
          <w:noProof/>
          <w:color w:val="auto"/>
          <w:sz w:val="20"/>
          <w:szCs w:val="20"/>
        </w:rPr>
      </w:pPr>
      <w:r w:rsidRPr="00403ACB">
        <w:rPr>
          <w:noProof/>
          <w:lang w:val="en-GB" w:eastAsia="en-GB"/>
        </w:rPr>
        <w:drawing>
          <wp:inline distT="0" distB="0" distL="0" distR="0" wp14:anchorId="2338F8C6" wp14:editId="0F725950">
            <wp:extent cx="6841067" cy="3848100"/>
            <wp:effectExtent l="0" t="0" r="0" b="0"/>
            <wp:docPr id="1434786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42361" cy="3848828"/>
                    </a:xfrm>
                    <a:prstGeom prst="rect">
                      <a:avLst/>
                    </a:prstGeom>
                    <a:noFill/>
                    <a:ln>
                      <a:noFill/>
                    </a:ln>
                  </pic:spPr>
                </pic:pic>
              </a:graphicData>
            </a:graphic>
          </wp:inline>
        </w:drawing>
      </w:r>
      <w:r w:rsidR="00E06E82">
        <w:rPr>
          <w:rFonts w:ascii="Times New Roman" w:hAnsi="Times New Roman"/>
          <w:b/>
          <w:i w:val="0"/>
          <w:noProof/>
          <w:color w:val="auto"/>
          <w:sz w:val="20"/>
        </w:rPr>
        <w:t>Фигура</w:t>
      </w:r>
      <w:r w:rsidR="00E06E82">
        <w:rPr>
          <w:rFonts w:ascii="Times New Roman" w:hAnsi="Times New Roman" w:cs="Times New Roman"/>
          <w:b/>
          <w:i w:val="0"/>
          <w:noProof/>
          <w:color w:val="auto"/>
          <w:sz w:val="20"/>
        </w:rPr>
        <w:fldChar w:fldCharType="begin"/>
      </w:r>
      <w:r w:rsidR="00E06E82">
        <w:rPr>
          <w:rFonts w:ascii="Times New Roman" w:hAnsi="Times New Roman" w:cs="Times New Roman"/>
          <w:b/>
          <w:i w:val="0"/>
          <w:noProof/>
          <w:color w:val="auto"/>
          <w:sz w:val="20"/>
        </w:rPr>
        <w:instrText>SEQ Figure \* ARABIC</w:instrText>
      </w:r>
      <w:r w:rsidR="00E06E82">
        <w:rPr>
          <w:rFonts w:ascii="Times New Roman" w:hAnsi="Times New Roman" w:cs="Times New Roman"/>
          <w:b/>
          <w:i w:val="0"/>
          <w:noProof/>
          <w:color w:val="auto"/>
          <w:sz w:val="20"/>
        </w:rPr>
        <w:fldChar w:fldCharType="separate"/>
      </w:r>
      <w:r w:rsidR="00E06E82">
        <w:rPr>
          <w:rFonts w:ascii="Times New Roman" w:hAnsi="Times New Roman" w:cs="Times New Roman"/>
          <w:b/>
          <w:i w:val="0"/>
          <w:noProof/>
          <w:color w:val="auto"/>
          <w:sz w:val="20"/>
        </w:rPr>
        <w:t>1</w:t>
      </w:r>
      <w:r w:rsidR="00E06E82">
        <w:rPr>
          <w:rFonts w:ascii="Times New Roman" w:hAnsi="Times New Roman" w:cs="Times New Roman"/>
          <w:b/>
          <w:i w:val="0"/>
          <w:noProof/>
          <w:color w:val="auto"/>
          <w:sz w:val="20"/>
        </w:rPr>
        <w:fldChar w:fldCharType="end"/>
      </w:r>
      <w:r w:rsidR="00E06E82">
        <w:rPr>
          <w:rFonts w:ascii="Times New Roman" w:hAnsi="Times New Roman"/>
          <w:b/>
          <w:i w:val="0"/>
          <w:noProof/>
          <w:color w:val="auto"/>
          <w:sz w:val="20"/>
        </w:rPr>
        <w:t>: Структура на Експертната група по законодателството, свързано с РСП, и нейните подгрупи</w:t>
      </w:r>
    </w:p>
    <w:p w14:paraId="500B216D" w14:textId="0B694BC1" w:rsidR="00354C44" w:rsidRPr="00DD4746" w:rsidRDefault="00354C44" w:rsidP="00C5300B">
      <w:pPr>
        <w:pStyle w:val="Heading2"/>
        <w:rPr>
          <w:noProof/>
        </w:rPr>
      </w:pPr>
      <w:r>
        <w:rPr>
          <w:noProof/>
        </w:rPr>
        <w:t>Междинни цели в процеса по създаване на законодателството, свързано с РСП</w:t>
      </w:r>
    </w:p>
    <w:p w14:paraId="03059BB0" w14:textId="6C5BA0CB" w:rsidR="008E17EA" w:rsidRPr="00DD4746" w:rsidRDefault="006A1F65" w:rsidP="00DD4746">
      <w:pPr>
        <w:jc w:val="both"/>
        <w:rPr>
          <w:rFonts w:ascii="Times New Roman" w:hAnsi="Times New Roman" w:cs="Times New Roman"/>
          <w:noProof/>
          <w:sz w:val="24"/>
          <w:szCs w:val="24"/>
        </w:rPr>
      </w:pPr>
      <w:r>
        <w:rPr>
          <w:rFonts w:ascii="Times New Roman" w:hAnsi="Times New Roman"/>
          <w:noProof/>
          <w:sz w:val="24"/>
        </w:rPr>
        <w:t>Работата по конкретна фамилия продукти следва предварително определени междинни цели приключва с влизането в сила на хармонизирани технически спецификации (хармонизирани стандарти и придружаващите ги делегирани актове). Следващият работен цикъл за конкретна фамилия продукти започва, когато държавите членки и другите заинтересовани страни почувстват необходимостта от актуализиране на съответните хармонизирани технически спецификации. Експертите в организациите за стандартизация обикновено започват консултации относно необходимостта от преразглеждане на стандартите пет години след като са ги представили на Комисията</w:t>
      </w:r>
      <w:r>
        <w:rPr>
          <w:rStyle w:val="FootnoteReference"/>
          <w:rFonts w:ascii="Times New Roman" w:hAnsi="Times New Roman" w:cs="Times New Roman"/>
          <w:noProof/>
          <w:sz w:val="24"/>
          <w:szCs w:val="24"/>
        </w:rPr>
        <w:footnoteReference w:id="14"/>
      </w:r>
      <w:r>
        <w:rPr>
          <w:rFonts w:ascii="Times New Roman" w:hAnsi="Times New Roman"/>
          <w:noProof/>
          <w:sz w:val="24"/>
        </w:rPr>
        <w:t>. След такива консултации Комисията ще се консултира и със съответните подгрупи на Експертната група по законодателството, свързано с РСП.</w:t>
      </w:r>
    </w:p>
    <w:p w14:paraId="3CE67F76" w14:textId="1C278551" w:rsidR="00374007" w:rsidRPr="00194E91" w:rsidRDefault="00220978" w:rsidP="002B393B">
      <w:pPr>
        <w:pStyle w:val="Caption"/>
        <w:jc w:val="center"/>
        <w:rPr>
          <w:rFonts w:ascii="Times New Roman" w:hAnsi="Times New Roman" w:cs="Times New Roman"/>
          <w:b/>
          <w:bCs/>
          <w:i w:val="0"/>
          <w:iCs w:val="0"/>
          <w:noProof/>
          <w:color w:val="auto"/>
          <w:sz w:val="20"/>
          <w:szCs w:val="20"/>
        </w:rPr>
      </w:pPr>
      <w:r w:rsidRPr="00220978">
        <w:rPr>
          <w:noProof/>
          <w:lang w:val="en-GB" w:eastAsia="en-GB"/>
        </w:rPr>
        <w:drawing>
          <wp:inline distT="0" distB="0" distL="0" distR="0" wp14:anchorId="00241566" wp14:editId="446E0139">
            <wp:extent cx="5943600" cy="3343275"/>
            <wp:effectExtent l="0" t="0" r="0" b="9525"/>
            <wp:docPr id="1035311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sidR="00374007">
        <w:rPr>
          <w:rFonts w:ascii="Times New Roman" w:hAnsi="Times New Roman"/>
          <w:b/>
          <w:i w:val="0"/>
          <w:noProof/>
          <w:color w:val="auto"/>
          <w:sz w:val="20"/>
        </w:rPr>
        <w:t>Фигура</w:t>
      </w:r>
      <w:r w:rsidR="00374007">
        <w:rPr>
          <w:rFonts w:ascii="Times New Roman" w:hAnsi="Times New Roman" w:cs="Times New Roman"/>
          <w:b/>
          <w:i w:val="0"/>
          <w:noProof/>
          <w:color w:val="auto"/>
          <w:sz w:val="20"/>
        </w:rPr>
        <w:fldChar w:fldCharType="begin"/>
      </w:r>
      <w:r w:rsidR="00374007">
        <w:rPr>
          <w:rFonts w:ascii="Times New Roman" w:hAnsi="Times New Roman" w:cs="Times New Roman"/>
          <w:b/>
          <w:i w:val="0"/>
          <w:noProof/>
          <w:color w:val="auto"/>
          <w:sz w:val="20"/>
        </w:rPr>
        <w:instrText>SEQ Figure \* ARABIC</w:instrText>
      </w:r>
      <w:r w:rsidR="00374007">
        <w:rPr>
          <w:rFonts w:ascii="Times New Roman" w:hAnsi="Times New Roman" w:cs="Times New Roman"/>
          <w:b/>
          <w:i w:val="0"/>
          <w:noProof/>
          <w:color w:val="auto"/>
          <w:sz w:val="20"/>
        </w:rPr>
        <w:fldChar w:fldCharType="separate"/>
      </w:r>
      <w:r w:rsidR="00374007">
        <w:rPr>
          <w:rFonts w:ascii="Times New Roman" w:hAnsi="Times New Roman" w:cs="Times New Roman"/>
          <w:b/>
          <w:i w:val="0"/>
          <w:noProof/>
          <w:color w:val="auto"/>
          <w:sz w:val="20"/>
        </w:rPr>
        <w:t>2</w:t>
      </w:r>
      <w:r w:rsidR="00374007">
        <w:rPr>
          <w:rFonts w:ascii="Times New Roman" w:hAnsi="Times New Roman" w:cs="Times New Roman"/>
          <w:b/>
          <w:i w:val="0"/>
          <w:noProof/>
          <w:color w:val="auto"/>
          <w:sz w:val="20"/>
        </w:rPr>
        <w:fldChar w:fldCharType="end"/>
      </w:r>
      <w:r w:rsidR="00374007">
        <w:rPr>
          <w:rFonts w:ascii="Times New Roman" w:hAnsi="Times New Roman"/>
          <w:b/>
          <w:i w:val="0"/>
          <w:noProof/>
          <w:color w:val="auto"/>
          <w:sz w:val="20"/>
        </w:rPr>
        <w:t>: Междинни цели в процеса по създаване на законодателството, свързано с РСП</w:t>
      </w:r>
    </w:p>
    <w:p w14:paraId="187A7A07" w14:textId="504705F0" w:rsidR="0026287A" w:rsidRPr="00DD4746" w:rsidRDefault="0026287A" w:rsidP="00DD4746">
      <w:pPr>
        <w:pStyle w:val="Heading3"/>
        <w:rPr>
          <w:noProof/>
        </w:rPr>
      </w:pPr>
      <w:r>
        <w:rPr>
          <w:noProof/>
        </w:rPr>
        <w:t>Междинна цел 0</w:t>
      </w:r>
    </w:p>
    <w:p w14:paraId="44C10EBC" w14:textId="77777777" w:rsidR="0043474E" w:rsidRPr="00194E91" w:rsidRDefault="0026287A" w:rsidP="00194E91">
      <w:pPr>
        <w:jc w:val="both"/>
        <w:rPr>
          <w:rFonts w:ascii="Times New Roman" w:hAnsi="Times New Roman" w:cs="Times New Roman"/>
          <w:noProof/>
          <w:sz w:val="24"/>
          <w:szCs w:val="24"/>
        </w:rPr>
      </w:pPr>
      <w:r>
        <w:rPr>
          <w:rFonts w:ascii="Times New Roman" w:hAnsi="Times New Roman"/>
          <w:noProof/>
          <w:sz w:val="24"/>
        </w:rPr>
        <w:t>Тази междинна цел не е задължителна и е свързана с разработването на методи за оценяване.</w:t>
      </w:r>
    </w:p>
    <w:p w14:paraId="0738009B" w14:textId="23A76364" w:rsidR="007B1CCA" w:rsidRPr="00194E91" w:rsidRDefault="0026287A" w:rsidP="00194E91">
      <w:pPr>
        <w:jc w:val="both"/>
        <w:rPr>
          <w:rFonts w:ascii="Times New Roman" w:hAnsi="Times New Roman" w:cs="Times New Roman"/>
          <w:noProof/>
          <w:sz w:val="24"/>
          <w:szCs w:val="24"/>
        </w:rPr>
      </w:pPr>
      <w:r>
        <w:rPr>
          <w:rFonts w:ascii="Times New Roman" w:hAnsi="Times New Roman"/>
          <w:noProof/>
          <w:sz w:val="24"/>
        </w:rPr>
        <w:t xml:space="preserve">Ако за важни съществени характеристики или изисквания към продукта липсва (актуален) европейски метод за оценяване, а разработването или актуализирането му/им ще изисква известно време и допълнителни ресурси, надхвърлящи обичайно необходимите, по-нататъшната работа по законодателството, свързано с РСП, може да се ускори, като се започне проект съгласно отворена покана на EISMEA или други финансови инструменти за нуждите на неговото/тяхното разработване или актуализиране. </w:t>
      </w:r>
    </w:p>
    <w:p w14:paraId="52FC4378" w14:textId="02A0D644" w:rsidR="0026287A" w:rsidRPr="00194E91" w:rsidRDefault="0026287A" w:rsidP="00194E91">
      <w:pPr>
        <w:jc w:val="both"/>
        <w:rPr>
          <w:rFonts w:ascii="Times New Roman" w:hAnsi="Times New Roman" w:cs="Times New Roman"/>
          <w:noProof/>
          <w:sz w:val="24"/>
          <w:szCs w:val="24"/>
        </w:rPr>
      </w:pPr>
      <w:r>
        <w:rPr>
          <w:rFonts w:ascii="Times New Roman" w:hAnsi="Times New Roman"/>
          <w:noProof/>
          <w:sz w:val="24"/>
        </w:rPr>
        <w:t xml:space="preserve">Междинна цел 0 може да започне преди решението на Експертната група по законодателството, свързано с РСП, за официално започване на работата в съответната подгрупа. </w:t>
      </w:r>
    </w:p>
    <w:p w14:paraId="417033D7" w14:textId="39A6D0B2" w:rsidR="00C73820" w:rsidRPr="00194E91" w:rsidRDefault="002770DE" w:rsidP="000A24A6">
      <w:pPr>
        <w:pStyle w:val="Heading3"/>
        <w:rPr>
          <w:noProof/>
        </w:rPr>
      </w:pPr>
      <w:r>
        <w:rPr>
          <w:noProof/>
        </w:rPr>
        <w:t xml:space="preserve">Започване на работата в подгрупа: </w:t>
      </w:r>
    </w:p>
    <w:p w14:paraId="2F9EE799" w14:textId="1FEFF2B8" w:rsidR="006C29D6" w:rsidRPr="00194E91" w:rsidRDefault="002770DE" w:rsidP="00194E91">
      <w:pPr>
        <w:jc w:val="both"/>
        <w:rPr>
          <w:rFonts w:ascii="Times New Roman" w:hAnsi="Times New Roman" w:cs="Times New Roman"/>
          <w:noProof/>
          <w:sz w:val="24"/>
          <w:szCs w:val="24"/>
        </w:rPr>
      </w:pPr>
      <w:r>
        <w:rPr>
          <w:rFonts w:ascii="Times New Roman" w:hAnsi="Times New Roman"/>
          <w:noProof/>
          <w:sz w:val="24"/>
        </w:rPr>
        <w:t xml:space="preserve">Комисията се договаря с държавите членки и другите членове на Експертната група по законодателството, свързано с РСП, работният цикъл, свързан с дадена фамилия продукти, в съответната подгрупа на Експертната група по законодателството, свързано с РСП, да започне на датата, посочена в работния план. </w:t>
      </w:r>
    </w:p>
    <w:p w14:paraId="1E294DAA" w14:textId="5E7ADD5E" w:rsidR="003621CD" w:rsidRPr="00194E91" w:rsidRDefault="00102E09" w:rsidP="00194E91">
      <w:pPr>
        <w:jc w:val="both"/>
        <w:rPr>
          <w:rFonts w:ascii="Times New Roman" w:hAnsi="Times New Roman" w:cs="Times New Roman"/>
          <w:noProof/>
          <w:sz w:val="24"/>
          <w:szCs w:val="24"/>
        </w:rPr>
      </w:pPr>
      <w:r>
        <w:rPr>
          <w:rFonts w:ascii="Times New Roman" w:hAnsi="Times New Roman"/>
          <w:noProof/>
          <w:sz w:val="24"/>
        </w:rPr>
        <w:t xml:space="preserve">Първата стъпка е определянето на работната програма на подгрупата: членовете на подгрупата договарят конкретните резултати и ориентировъчния график за изготвянето на техническото съдържание на искането за стандартизация и придружаващите го делегирани актове. </w:t>
      </w:r>
    </w:p>
    <w:p w14:paraId="73CAD1F1" w14:textId="131102A6" w:rsidR="00C23B60" w:rsidRPr="00194E91" w:rsidRDefault="009F62A1" w:rsidP="000A24A6">
      <w:pPr>
        <w:pStyle w:val="Heading3"/>
        <w:rPr>
          <w:noProof/>
        </w:rPr>
      </w:pPr>
      <w:r>
        <w:rPr>
          <w:noProof/>
        </w:rPr>
        <w:t>Междинна цел I</w:t>
      </w:r>
    </w:p>
    <w:p w14:paraId="25238302" w14:textId="52F17BB7" w:rsidR="009F62A1" w:rsidRPr="00194E91" w:rsidRDefault="006D01DC" w:rsidP="00194E91">
      <w:pPr>
        <w:jc w:val="both"/>
        <w:rPr>
          <w:rFonts w:ascii="Times New Roman" w:hAnsi="Times New Roman" w:cs="Times New Roman"/>
          <w:noProof/>
          <w:sz w:val="24"/>
          <w:szCs w:val="24"/>
        </w:rPr>
      </w:pPr>
      <w:r>
        <w:rPr>
          <w:rFonts w:ascii="Times New Roman" w:hAnsi="Times New Roman"/>
          <w:noProof/>
          <w:sz w:val="24"/>
        </w:rPr>
        <w:t xml:space="preserve">Междинна цел I е свързана с определянето на обхвата на фамилията продукти. Подгрупата най-напред решава кои продукти, включително кои суровини и предвидени употреби в рамките на фамилията продукти, следва да попаднат в обхвата на работата в този работен цикъл (напр. не всички възможни продукти трябва да се хармонизират, не всички съществуващи хармонизирани стандарти трябва да се актуализират едновременно). Това решение трябва да бъде одобрено от Експертната група по законодателството, свързано с РСП. </w:t>
      </w:r>
    </w:p>
    <w:p w14:paraId="4D62923F" w14:textId="77777777" w:rsidR="009330E4" w:rsidRPr="00194E91" w:rsidRDefault="009F62A1" w:rsidP="000A24A6">
      <w:pPr>
        <w:pStyle w:val="Heading3"/>
        <w:rPr>
          <w:noProof/>
        </w:rPr>
      </w:pPr>
      <w:r>
        <w:rPr>
          <w:noProof/>
        </w:rPr>
        <w:t>Междинна цел II</w:t>
      </w:r>
    </w:p>
    <w:p w14:paraId="7D495161" w14:textId="4C674A48" w:rsidR="009F62A1" w:rsidRPr="00194E91" w:rsidRDefault="00693568" w:rsidP="00194E91">
      <w:pPr>
        <w:jc w:val="both"/>
        <w:rPr>
          <w:rFonts w:ascii="Times New Roman" w:hAnsi="Times New Roman" w:cs="Times New Roman"/>
          <w:noProof/>
          <w:sz w:val="24"/>
          <w:szCs w:val="24"/>
        </w:rPr>
      </w:pPr>
      <w:r>
        <w:rPr>
          <w:rFonts w:ascii="Times New Roman" w:hAnsi="Times New Roman"/>
          <w:noProof/>
          <w:sz w:val="24"/>
        </w:rPr>
        <w:t>Междинна цел II е свързан със създаването на технически комисии в подгрупата (когато е целесъобразно). Ако обхватът, определен по междинна цел I, е широк и включва нееднородни продукти, участниците в подгрупата могат да разделят работата в няколко технически комисии (работни групи в рамките на подгрупата).</w:t>
      </w:r>
    </w:p>
    <w:p w14:paraId="6F532665" w14:textId="3199937C" w:rsidR="009330E4" w:rsidRPr="00DD4746" w:rsidRDefault="00EE48CA" w:rsidP="004D187D">
      <w:pPr>
        <w:pStyle w:val="Heading3"/>
        <w:rPr>
          <w:noProof/>
        </w:rPr>
      </w:pPr>
      <w:r>
        <w:rPr>
          <w:noProof/>
        </w:rPr>
        <w:t>Междинна цел III</w:t>
      </w:r>
    </w:p>
    <w:p w14:paraId="24D38674" w14:textId="340E9B2C" w:rsidR="00055D38" w:rsidRPr="00DD4746" w:rsidRDefault="00693568" w:rsidP="00DD4746">
      <w:pPr>
        <w:jc w:val="both"/>
        <w:rPr>
          <w:rFonts w:ascii="Times New Roman" w:hAnsi="Times New Roman" w:cs="Times New Roman"/>
          <w:noProof/>
          <w:sz w:val="24"/>
          <w:szCs w:val="24"/>
        </w:rPr>
      </w:pPr>
      <w:r>
        <w:rPr>
          <w:rFonts w:ascii="Times New Roman" w:hAnsi="Times New Roman"/>
          <w:noProof/>
          <w:sz w:val="24"/>
        </w:rPr>
        <w:t>Междинна цел III е свързана с изготвянето на техническото съдържание (високото структурно равнище на хармонизираните технически спецификации) за искането за стандартизация и за придружаващите го делегирани актове. Това е най-важната междинна цел, когато се извършва основната работа. Като се основава на регулаторните нужди на държавите членки, приоритетите на Комисията (напр. свързани с Пакта за чиста промишленост или с Акта за кръговата икономика), коментарите на сектора, потребителите и другите заинтересовани страни, подгрупата събира и цели да договори:</w:t>
      </w:r>
    </w:p>
    <w:p w14:paraId="372A28BC" w14:textId="27566ABF" w:rsidR="009926EB" w:rsidRPr="00DD4746" w:rsidRDefault="00435ABD" w:rsidP="00435ABD">
      <w:pPr>
        <w:pStyle w:val="Point0"/>
        <w:rPr>
          <w:noProof/>
        </w:rPr>
      </w:pPr>
      <w:r>
        <w:rPr>
          <w:noProof/>
        </w:rPr>
        <w:t>а)</w:t>
      </w:r>
      <w:r>
        <w:rPr>
          <w:noProof/>
        </w:rPr>
        <w:tab/>
      </w:r>
      <w:r w:rsidR="009926EB">
        <w:rPr>
          <w:noProof/>
        </w:rPr>
        <w:t>Основните изисквания към строежите (ОИС) (приложение I към РСП)</w:t>
      </w:r>
    </w:p>
    <w:p w14:paraId="67698478" w14:textId="463BB202" w:rsidR="009926EB" w:rsidRPr="00194E91" w:rsidRDefault="00435ABD" w:rsidP="00435ABD">
      <w:pPr>
        <w:pStyle w:val="Point3"/>
        <w:rPr>
          <w:noProof/>
        </w:rPr>
      </w:pPr>
      <w:r>
        <w:rPr>
          <w:noProof/>
        </w:rPr>
        <w:t>1)</w:t>
      </w:r>
      <w:r>
        <w:rPr>
          <w:noProof/>
        </w:rPr>
        <w:tab/>
      </w:r>
      <w:r w:rsidR="009926EB">
        <w:rPr>
          <w:noProof/>
        </w:rPr>
        <w:t>Съществени характеристики, включително определянето на прагове и класове експлоатационни показатели, методи за оценяване;</w:t>
      </w:r>
    </w:p>
    <w:p w14:paraId="560BD712" w14:textId="430B1CD1" w:rsidR="009926EB" w:rsidRPr="00194E91" w:rsidRDefault="00435ABD" w:rsidP="00435ABD">
      <w:pPr>
        <w:pStyle w:val="Point3"/>
        <w:rPr>
          <w:noProof/>
        </w:rPr>
      </w:pPr>
      <w:r>
        <w:rPr>
          <w:noProof/>
        </w:rPr>
        <w:t>2)</w:t>
      </w:r>
      <w:r>
        <w:rPr>
          <w:noProof/>
        </w:rPr>
        <w:tab/>
      </w:r>
      <w:r w:rsidR="009926EB">
        <w:rPr>
          <w:noProof/>
        </w:rPr>
        <w:t>Продуктова документация и/или изчисления, изразяващи показателите за конструктивно поведение (когато е целесъобразно);</w:t>
      </w:r>
    </w:p>
    <w:p w14:paraId="1F46A176" w14:textId="33035FDF" w:rsidR="009926EB" w:rsidRPr="00194E91" w:rsidRDefault="00435ABD" w:rsidP="00435ABD">
      <w:pPr>
        <w:pStyle w:val="Point3"/>
        <w:rPr>
          <w:noProof/>
        </w:rPr>
      </w:pPr>
      <w:r>
        <w:rPr>
          <w:noProof/>
        </w:rPr>
        <w:t>3)</w:t>
      </w:r>
      <w:r>
        <w:rPr>
          <w:noProof/>
        </w:rPr>
        <w:tab/>
      </w:r>
      <w:r w:rsidR="009926EB">
        <w:rPr>
          <w:noProof/>
        </w:rPr>
        <w:t>Клаузи за оценяване и проверка (ОП) и производствен контрол в предприятието (ПКП);</w:t>
      </w:r>
    </w:p>
    <w:p w14:paraId="73ACF020" w14:textId="31D1F04B" w:rsidR="009926EB" w:rsidRPr="00194E91" w:rsidRDefault="00435ABD" w:rsidP="00435ABD">
      <w:pPr>
        <w:pStyle w:val="Point3"/>
        <w:rPr>
          <w:noProof/>
        </w:rPr>
      </w:pPr>
      <w:r>
        <w:rPr>
          <w:noProof/>
        </w:rPr>
        <w:t>4)</w:t>
      </w:r>
      <w:r>
        <w:rPr>
          <w:noProof/>
        </w:rPr>
        <w:tab/>
      </w:r>
      <w:r w:rsidR="003448DA">
        <w:rPr>
          <w:noProof/>
        </w:rPr>
        <w:t>Несъответствия на/с националните разпоредби в областта на строителството;</w:t>
      </w:r>
    </w:p>
    <w:p w14:paraId="4C84E7AC" w14:textId="1700DB92" w:rsidR="009926EB" w:rsidRPr="00194E91" w:rsidRDefault="00435ABD" w:rsidP="00435ABD">
      <w:pPr>
        <w:pStyle w:val="Point0"/>
        <w:rPr>
          <w:noProof/>
        </w:rPr>
      </w:pPr>
      <w:r>
        <w:rPr>
          <w:noProof/>
        </w:rPr>
        <w:t>б)</w:t>
      </w:r>
      <w:r>
        <w:rPr>
          <w:noProof/>
        </w:rPr>
        <w:tab/>
      </w:r>
      <w:r w:rsidR="009926EB">
        <w:rPr>
          <w:noProof/>
        </w:rPr>
        <w:t>Предварително определените съществени екологични характеристики (приложение II към РСП)</w:t>
      </w:r>
    </w:p>
    <w:p w14:paraId="21B888A1" w14:textId="328F85F9" w:rsidR="009926EB" w:rsidRPr="00194E91" w:rsidRDefault="00435ABD" w:rsidP="00435ABD">
      <w:pPr>
        <w:pStyle w:val="Point0"/>
        <w:rPr>
          <w:noProof/>
        </w:rPr>
      </w:pPr>
      <w:r>
        <w:rPr>
          <w:noProof/>
        </w:rPr>
        <w:t>в)</w:t>
      </w:r>
      <w:r>
        <w:rPr>
          <w:noProof/>
        </w:rPr>
        <w:tab/>
      </w:r>
      <w:r w:rsidR="009926EB">
        <w:rPr>
          <w:noProof/>
        </w:rPr>
        <w:t>Общата информация за продукта, инструкциите за употреба и информацията за безопасност (приложение IV към РСП)</w:t>
      </w:r>
    </w:p>
    <w:p w14:paraId="3F5E457B" w14:textId="020A82C9" w:rsidR="009926EB" w:rsidRPr="00194E91" w:rsidRDefault="00435ABD" w:rsidP="00435ABD">
      <w:pPr>
        <w:pStyle w:val="Point0"/>
        <w:rPr>
          <w:noProof/>
        </w:rPr>
      </w:pPr>
      <w:r>
        <w:rPr>
          <w:noProof/>
        </w:rPr>
        <w:t>г)</w:t>
      </w:r>
      <w:r>
        <w:rPr>
          <w:noProof/>
        </w:rPr>
        <w:tab/>
      </w:r>
      <w:r w:rsidR="009926EB">
        <w:rPr>
          <w:noProof/>
        </w:rPr>
        <w:t>Изискванията към продукта (приложение III към РСП)</w:t>
      </w:r>
    </w:p>
    <w:p w14:paraId="1E9C53FB" w14:textId="00E4A8CA" w:rsidR="009926EB" w:rsidRPr="00194E91" w:rsidRDefault="00435ABD" w:rsidP="00435ABD">
      <w:pPr>
        <w:pStyle w:val="Point3"/>
        <w:rPr>
          <w:noProof/>
        </w:rPr>
      </w:pPr>
      <w:r>
        <w:rPr>
          <w:noProof/>
        </w:rPr>
        <w:t>1)</w:t>
      </w:r>
      <w:r>
        <w:rPr>
          <w:noProof/>
        </w:rPr>
        <w:tab/>
      </w:r>
      <w:r w:rsidR="009926EB">
        <w:rPr>
          <w:noProof/>
        </w:rPr>
        <w:t>Изисквания, чрез които се осигуряват подходящо функциониране и експлоатационни показатели;</w:t>
      </w:r>
    </w:p>
    <w:p w14:paraId="6E4E84EB" w14:textId="0B653879" w:rsidR="009926EB" w:rsidRPr="00194E91" w:rsidRDefault="00435ABD" w:rsidP="00435ABD">
      <w:pPr>
        <w:pStyle w:val="Point3"/>
        <w:rPr>
          <w:noProof/>
        </w:rPr>
      </w:pPr>
      <w:r>
        <w:rPr>
          <w:noProof/>
        </w:rPr>
        <w:t>2)</w:t>
      </w:r>
      <w:r>
        <w:rPr>
          <w:noProof/>
        </w:rPr>
        <w:tab/>
      </w:r>
      <w:r w:rsidR="00355E60">
        <w:rPr>
          <w:noProof/>
        </w:rPr>
        <w:t>Изисквания за безопасност към продуктите;</w:t>
      </w:r>
    </w:p>
    <w:p w14:paraId="554E292D" w14:textId="7A9D1C5B" w:rsidR="009926EB" w:rsidRPr="00194E91" w:rsidRDefault="00435ABD" w:rsidP="00435ABD">
      <w:pPr>
        <w:pStyle w:val="Point3"/>
        <w:rPr>
          <w:noProof/>
        </w:rPr>
      </w:pPr>
      <w:r>
        <w:rPr>
          <w:noProof/>
        </w:rPr>
        <w:t>3)</w:t>
      </w:r>
      <w:r>
        <w:rPr>
          <w:noProof/>
        </w:rPr>
        <w:tab/>
      </w:r>
      <w:r w:rsidR="00355E60">
        <w:rPr>
          <w:noProof/>
        </w:rPr>
        <w:t>Изисквания за екологичност на продуктите;</w:t>
      </w:r>
    </w:p>
    <w:p w14:paraId="328E7C4A" w14:textId="6D1C66F0" w:rsidR="009926EB" w:rsidRPr="00194E91" w:rsidRDefault="00435ABD" w:rsidP="00435ABD">
      <w:pPr>
        <w:pStyle w:val="Point0"/>
        <w:rPr>
          <w:noProof/>
        </w:rPr>
      </w:pPr>
      <w:r>
        <w:rPr>
          <w:noProof/>
        </w:rPr>
        <w:t>д)</w:t>
      </w:r>
      <w:r>
        <w:rPr>
          <w:noProof/>
        </w:rPr>
        <w:tab/>
      </w:r>
      <w:r w:rsidR="009926EB">
        <w:rPr>
          <w:noProof/>
        </w:rPr>
        <w:t>Приложимите системи за оценяване и проверка (приложение IX към РСП)</w:t>
      </w:r>
    </w:p>
    <w:p w14:paraId="4C67256D" w14:textId="3AF0CFCF" w:rsidR="00B62699" w:rsidRPr="00DD4746" w:rsidRDefault="59F514CE" w:rsidP="00DD4746">
      <w:pPr>
        <w:jc w:val="both"/>
        <w:rPr>
          <w:rFonts w:ascii="Times New Roman" w:hAnsi="Times New Roman" w:cs="Times New Roman"/>
          <w:noProof/>
          <w:sz w:val="24"/>
          <w:szCs w:val="24"/>
        </w:rPr>
      </w:pPr>
      <w:r>
        <w:rPr>
          <w:rFonts w:ascii="Times New Roman" w:hAnsi="Times New Roman"/>
          <w:noProof/>
          <w:sz w:val="24"/>
        </w:rPr>
        <w:t xml:space="preserve">Подгрупата ще провери дали резултатът отразява националните регулаторни нужди в достатъчна степен. Резултатите на междинна цел III ще бъдат представени на Експертната група по законодателството, свързано с РСП. </w:t>
      </w:r>
    </w:p>
    <w:p w14:paraId="2C265518" w14:textId="43611D6D" w:rsidR="00276B16" w:rsidRPr="00DD4746" w:rsidRDefault="002649F4" w:rsidP="004D187D">
      <w:pPr>
        <w:pStyle w:val="Heading3"/>
        <w:rPr>
          <w:noProof/>
        </w:rPr>
      </w:pPr>
      <w:r>
        <w:rPr>
          <w:noProof/>
        </w:rPr>
        <w:t xml:space="preserve">Междинна цел IV </w:t>
      </w:r>
    </w:p>
    <w:p w14:paraId="3AEC2834" w14:textId="0C6741E9" w:rsidR="00CF5BAE" w:rsidRPr="00DD4746" w:rsidRDefault="00EC325F" w:rsidP="00DD4746">
      <w:pPr>
        <w:jc w:val="both"/>
        <w:rPr>
          <w:rFonts w:ascii="Times New Roman" w:hAnsi="Times New Roman" w:cs="Times New Roman"/>
          <w:noProof/>
          <w:sz w:val="24"/>
          <w:szCs w:val="24"/>
        </w:rPr>
      </w:pPr>
      <w:r>
        <w:rPr>
          <w:rFonts w:ascii="Times New Roman" w:hAnsi="Times New Roman"/>
          <w:noProof/>
          <w:sz w:val="24"/>
        </w:rPr>
        <w:t>Междинна цел IV се отнася до окончателния процес по приемане на искането за стандартизация за хармонизирани стандарти относно експлоатационните показатели и свързаните с тях допълнителни правни актове (напр. класове, прагове, задължителна декларация или етикети).</w:t>
      </w:r>
    </w:p>
    <w:p w14:paraId="419710F1" w14:textId="09BAFFBB" w:rsidR="002649F4" w:rsidRPr="00DD4746" w:rsidRDefault="007672E6" w:rsidP="00DD4746">
      <w:pPr>
        <w:jc w:val="both"/>
        <w:rPr>
          <w:rFonts w:ascii="Times New Roman" w:hAnsi="Times New Roman" w:cs="Times New Roman"/>
          <w:noProof/>
          <w:sz w:val="24"/>
          <w:szCs w:val="24"/>
        </w:rPr>
      </w:pPr>
      <w:r>
        <w:rPr>
          <w:rFonts w:ascii="Times New Roman" w:hAnsi="Times New Roman"/>
          <w:noProof/>
          <w:sz w:val="24"/>
        </w:rPr>
        <w:t>След одобряването на междинна цел III от Експертната група по законодателството, свързано с РСП, Комисията ще изготви съответното искане за стандартизация (акт за изпълнение с процедура за разглеждане съгласно Регламента относно стандартизацията)</w:t>
      </w:r>
      <w:r>
        <w:rPr>
          <w:rStyle w:val="FootnoteReference"/>
          <w:rFonts w:ascii="Times New Roman" w:hAnsi="Times New Roman" w:cs="Times New Roman"/>
          <w:noProof/>
          <w:sz w:val="24"/>
          <w:szCs w:val="24"/>
        </w:rPr>
        <w:footnoteReference w:id="15"/>
      </w:r>
      <w:r>
        <w:rPr>
          <w:rFonts w:ascii="Times New Roman" w:hAnsi="Times New Roman"/>
          <w:noProof/>
          <w:sz w:val="24"/>
        </w:rPr>
        <w:t>, основавайки се на изготвения за междинна цел III документ. След като проведе консултация с Експертната група по законодателството, свързано с РСП, Комисията ще представи официално искането за стандартизация на Комитета по стандартизация</w:t>
      </w:r>
      <w:r>
        <w:rPr>
          <w:rFonts w:ascii="Times New Roman" w:hAnsi="Times New Roman" w:cs="Times New Roman"/>
          <w:noProof/>
          <w:sz w:val="24"/>
          <w:szCs w:val="24"/>
          <w:vertAlign w:val="superscript"/>
        </w:rPr>
        <w:footnoteReference w:id="16"/>
      </w:r>
      <w:r>
        <w:rPr>
          <w:rFonts w:ascii="Times New Roman" w:hAnsi="Times New Roman"/>
          <w:noProof/>
          <w:sz w:val="24"/>
          <w:vertAlign w:val="superscript"/>
        </w:rPr>
        <w:t xml:space="preserve"> </w:t>
      </w:r>
      <w:r>
        <w:rPr>
          <w:rFonts w:ascii="Times New Roman" w:hAnsi="Times New Roman"/>
          <w:noProof/>
          <w:sz w:val="24"/>
        </w:rPr>
        <w:t xml:space="preserve"> и ще го приеме, след като същото бъде одобрено от държавите членки. </w:t>
      </w:r>
    </w:p>
    <w:p w14:paraId="3E7DDBB4" w14:textId="34BAD7DD" w:rsidR="00FB36E5" w:rsidRPr="00DD4746" w:rsidRDefault="00FB36E5" w:rsidP="00DD4746">
      <w:pPr>
        <w:jc w:val="both"/>
        <w:rPr>
          <w:rFonts w:ascii="Times New Roman" w:hAnsi="Times New Roman" w:cs="Times New Roman"/>
          <w:noProof/>
          <w:sz w:val="24"/>
          <w:szCs w:val="24"/>
        </w:rPr>
      </w:pPr>
      <w:r>
        <w:rPr>
          <w:rFonts w:ascii="Times New Roman" w:hAnsi="Times New Roman"/>
          <w:noProof/>
          <w:sz w:val="24"/>
        </w:rPr>
        <w:t xml:space="preserve">На междинна цел III може да се установи също така необходимостта да се изготвят изисквания към продукта. В такъв случай Комисията ще приеме делегиран акт, в който ще се определят изискванията към продукта, след като съответният хармонизиран стандарт за експлоатационните показатели стане задължителен (вж. </w:t>
      </w:r>
      <w:r>
        <w:rPr>
          <w:rFonts w:ascii="Times New Roman" w:hAnsi="Times New Roman" w:cs="Times New Roman"/>
          <w:noProof/>
          <w:sz w:val="24"/>
        </w:rPr>
        <w:fldChar w:fldCharType="begin"/>
      </w:r>
      <w:r>
        <w:rPr>
          <w:rFonts w:ascii="Times New Roman" w:hAnsi="Times New Roman" w:cs="Times New Roman"/>
          <w:noProof/>
          <w:sz w:val="24"/>
        </w:rPr>
        <w:instrText xml:space="preserve"> REF _Ref208567217 \r \h  \* MERGEFORMAT </w:instrText>
      </w:r>
      <w:r>
        <w:rPr>
          <w:rFonts w:ascii="Times New Roman" w:hAnsi="Times New Roman" w:cs="Times New Roman"/>
          <w:noProof/>
          <w:sz w:val="24"/>
        </w:rPr>
      </w:r>
      <w:r>
        <w:rPr>
          <w:rFonts w:ascii="Times New Roman" w:hAnsi="Times New Roman" w:cs="Times New Roman"/>
          <w:noProof/>
          <w:sz w:val="24"/>
        </w:rPr>
        <w:fldChar w:fldCharType="separate"/>
      </w:r>
      <w:r>
        <w:rPr>
          <w:rFonts w:ascii="Times New Roman" w:hAnsi="Times New Roman" w:cs="Times New Roman"/>
          <w:noProof/>
          <w:sz w:val="24"/>
        </w:rPr>
        <w:t>1.3.8</w:t>
      </w:r>
      <w:r>
        <w:rPr>
          <w:rFonts w:ascii="Times New Roman" w:hAnsi="Times New Roman" w:cs="Times New Roman"/>
          <w:noProof/>
          <w:sz w:val="24"/>
        </w:rPr>
        <w:fldChar w:fldCharType="end"/>
      </w:r>
      <w:r>
        <w:rPr>
          <w:rFonts w:ascii="Times New Roman" w:hAnsi="Times New Roman"/>
          <w:noProof/>
          <w:sz w:val="24"/>
        </w:rPr>
        <w:t>) и, ако е необходимо, ще отправи отделно искане за стандартизация за разработването на (доброволни) хармонизирани стандарти, за да гарантира презумпция за съответствие с изискванията към продуктите.</w:t>
      </w:r>
    </w:p>
    <w:p w14:paraId="4E991356" w14:textId="65F15B6F" w:rsidR="00BB73BB" w:rsidRPr="00DD4746" w:rsidRDefault="00BB73BB" w:rsidP="00BB73BB">
      <w:pPr>
        <w:pStyle w:val="Heading3"/>
        <w:rPr>
          <w:noProof/>
        </w:rPr>
      </w:pPr>
      <w:r>
        <w:rPr>
          <w:noProof/>
        </w:rPr>
        <w:t>Изготвяне на хармонизиран стандарт за експлоатационните показатели</w:t>
      </w:r>
    </w:p>
    <w:p w14:paraId="4E249AB5" w14:textId="18400663" w:rsidR="00ED3927" w:rsidRPr="00DD4746" w:rsidRDefault="008C79BA" w:rsidP="00DD4746">
      <w:pPr>
        <w:jc w:val="both"/>
        <w:rPr>
          <w:rFonts w:ascii="Times New Roman" w:hAnsi="Times New Roman" w:cs="Times New Roman"/>
          <w:noProof/>
          <w:sz w:val="24"/>
          <w:szCs w:val="24"/>
        </w:rPr>
      </w:pPr>
      <w:r>
        <w:rPr>
          <w:rFonts w:ascii="Times New Roman" w:hAnsi="Times New Roman"/>
          <w:noProof/>
          <w:sz w:val="24"/>
        </w:rPr>
        <w:t xml:space="preserve">Приетите искания за стандартизация ще бъдат представени за приемане на съответната организация по стандартизация (обикновено CEN, но може и CENELEC за електрически изделия като кабели). Организацията по стандартизация ще приеме, ще изготви стандартите, ще ги публикува и ще ги представи на Комисията за разглеждане. За целите на своевременното представяне работата се обвързва с крайни срокове, определени в искането за стандартизация. </w:t>
      </w:r>
    </w:p>
    <w:p w14:paraId="638E55E1" w14:textId="2B5CA802" w:rsidR="00274CDD" w:rsidRPr="00DD4746" w:rsidRDefault="00274CDD" w:rsidP="00274CDD">
      <w:pPr>
        <w:pStyle w:val="Heading3"/>
        <w:rPr>
          <w:noProof/>
        </w:rPr>
      </w:pPr>
      <w:bookmarkStart w:id="2" w:name="_Ref208567217"/>
      <w:r>
        <w:rPr>
          <w:noProof/>
        </w:rPr>
        <w:t>Превръщане на стандарта в задължителен</w:t>
      </w:r>
      <w:bookmarkEnd w:id="2"/>
    </w:p>
    <w:p w14:paraId="3AC127C3" w14:textId="3DB780F0" w:rsidR="00451A4D" w:rsidRPr="00DD4746" w:rsidRDefault="00747690" w:rsidP="00DD4746">
      <w:pPr>
        <w:jc w:val="both"/>
        <w:rPr>
          <w:rFonts w:ascii="Times New Roman" w:hAnsi="Times New Roman" w:cs="Times New Roman"/>
          <w:noProof/>
          <w:sz w:val="24"/>
          <w:szCs w:val="24"/>
        </w:rPr>
      </w:pPr>
      <w:r>
        <w:rPr>
          <w:rFonts w:ascii="Times New Roman" w:hAnsi="Times New Roman"/>
          <w:noProof/>
          <w:sz w:val="24"/>
        </w:rPr>
        <w:t>Комисията ще провери дали стандартите са в съответствие с искането за стандартизация и с европейската нормативна уредба, след което ще приеме акт за изпълнение с процедура по консултиране, за да може стандартът да стане задължителен. Едновременно с това Комисията ще приеме делегиран акт за одобряване на приложимите класове, прагове и задължителни декларации, включени в стандартите, който ще влезе в сила заедно с акта за изпълнение.</w:t>
      </w:r>
    </w:p>
    <w:p w14:paraId="57C42EEC" w14:textId="77777777" w:rsidR="00626BE3" w:rsidRPr="00DD4746" w:rsidRDefault="00626BE3" w:rsidP="00C5300B">
      <w:pPr>
        <w:pStyle w:val="Heading2"/>
        <w:rPr>
          <w:noProof/>
        </w:rPr>
      </w:pPr>
      <w:bookmarkStart w:id="3" w:name="_Ref207212189"/>
      <w:r>
        <w:rPr>
          <w:noProof/>
        </w:rPr>
        <w:t>Работа по законодателството, свързано с РСП, по продуктови фамилии за периода 2020—2025 г.</w:t>
      </w:r>
      <w:bookmarkEnd w:id="3"/>
    </w:p>
    <w:p w14:paraId="40051B9B" w14:textId="53B2183F" w:rsidR="003B25E3" w:rsidRPr="00194E91" w:rsidRDefault="00626BE3" w:rsidP="00194E91">
      <w:pPr>
        <w:jc w:val="both"/>
        <w:rPr>
          <w:rFonts w:ascii="Times New Roman" w:hAnsi="Times New Roman" w:cs="Times New Roman"/>
          <w:noProof/>
          <w:sz w:val="24"/>
          <w:szCs w:val="24"/>
        </w:rPr>
      </w:pPr>
      <w:r>
        <w:rPr>
          <w:rFonts w:ascii="Times New Roman" w:hAnsi="Times New Roman"/>
          <w:noProof/>
          <w:sz w:val="24"/>
        </w:rPr>
        <w:t>Между 2020 г. и първото тримесечие на 2025 г. започна работата в 14 подгрупи , занимаващи се с различни фамилии продукти. Беше решено групите, работещи по продукти/елементи от дървесина и съединителни средства за тях (фамилия продукти 13) и по дървесни плочи (панели) и елементи (фамилия продукти 14), да се обединят. До момента Комисията е приела три искания за стандартизация, основани на тази работа, за 21 хармонизирани стандарта, четири съпътстващи стандарта и един технически доклад (първите два все още съгласно РСП от 2011 г.):</w:t>
      </w:r>
    </w:p>
    <w:p w14:paraId="29A8CADB" w14:textId="62E14FCF" w:rsidR="00626BE3" w:rsidRPr="00194E91" w:rsidRDefault="003B25E3"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Предварително изготвени продукти от обикновен бетон/лек бетон/газобетон (фамилия продукти 1)</w:t>
      </w:r>
      <w:r>
        <w:rPr>
          <w:rStyle w:val="FootnoteReference"/>
          <w:rFonts w:ascii="Times New Roman" w:hAnsi="Times New Roman" w:cs="Times New Roman"/>
          <w:noProof/>
          <w:sz w:val="24"/>
          <w:szCs w:val="24"/>
        </w:rPr>
        <w:footnoteReference w:id="17"/>
      </w:r>
    </w:p>
    <w:p w14:paraId="108C12BF" w14:textId="3A34B2F9" w:rsidR="003B25E3" w:rsidRPr="00194E91" w:rsidRDefault="00296E01"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Продукти за метални конструкции и съединителни средства за тях (фамилия продукти 20)</w:t>
      </w:r>
      <w:r>
        <w:rPr>
          <w:rStyle w:val="FootnoteReference"/>
          <w:rFonts w:ascii="Times New Roman" w:hAnsi="Times New Roman" w:cs="Times New Roman"/>
          <w:noProof/>
          <w:sz w:val="24"/>
          <w:szCs w:val="24"/>
        </w:rPr>
        <w:footnoteReference w:id="18"/>
      </w:r>
    </w:p>
    <w:p w14:paraId="3C1C5C03" w14:textId="3CD058D3" w:rsidR="00296E01" w:rsidRPr="00194E91" w:rsidRDefault="00296E01"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Цимент, строителна вар и други хидравлични свързващи вещества (фамилия продукти 15)</w:t>
      </w:r>
      <w:r>
        <w:rPr>
          <w:rStyle w:val="FootnoteReference"/>
          <w:rFonts w:ascii="Times New Roman" w:hAnsi="Times New Roman" w:cs="Times New Roman"/>
          <w:noProof/>
          <w:sz w:val="24"/>
          <w:szCs w:val="24"/>
        </w:rPr>
        <w:footnoteReference w:id="19"/>
      </w:r>
    </w:p>
    <w:p w14:paraId="38856A47" w14:textId="725913BB" w:rsidR="00503AF2" w:rsidRPr="00194E91" w:rsidRDefault="001528DD" w:rsidP="00194E91">
      <w:pPr>
        <w:jc w:val="both"/>
        <w:rPr>
          <w:rFonts w:ascii="Times New Roman" w:hAnsi="Times New Roman" w:cs="Times New Roman"/>
          <w:noProof/>
          <w:sz w:val="24"/>
          <w:szCs w:val="24"/>
        </w:rPr>
      </w:pPr>
      <w:r>
        <w:rPr>
          <w:rFonts w:ascii="Times New Roman" w:hAnsi="Times New Roman"/>
          <w:noProof/>
          <w:sz w:val="24"/>
        </w:rPr>
        <w:t>Понастоящем в процес на изготвяне са още четири искания за стандартизация:</w:t>
      </w:r>
    </w:p>
    <w:p w14:paraId="1E66CAA7" w14:textId="77777777" w:rsidR="00503AF2" w:rsidRPr="00194E91" w:rsidRDefault="00503AF2"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Армировъчна стомана и стомана за предварително напрегнат бетон (и спомагателни продукти) — Комплекти за напрягане след бетониране (фамилия продукти 16)</w:t>
      </w:r>
    </w:p>
    <w:p w14:paraId="5D0EE620" w14:textId="7EBB9F1C" w:rsidR="007647E8" w:rsidRPr="00194E91" w:rsidRDefault="002A3643"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Врати, прозорци, капаци, врати за промишлени и търговски сгради и за гаражи и свързаният с тях обков (фамилия продукти 2)</w:t>
      </w:r>
    </w:p>
    <w:p w14:paraId="7614F337" w14:textId="53855729" w:rsidR="001528DD" w:rsidRPr="00194E91" w:rsidRDefault="001528DD"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Продукти за топлоизолация — Комбинирани изолационни комплекти/системи (фамилия продукти 4).</w:t>
      </w:r>
    </w:p>
    <w:p w14:paraId="51666539" w14:textId="4385D33E" w:rsidR="002514D2" w:rsidRPr="00194E91" w:rsidRDefault="002514D2"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Продукти от плоско стъкло, профилирано стъкло и стъклени блокчета (фамилия продукти 30)</w:t>
      </w:r>
    </w:p>
    <w:p w14:paraId="7871EDE0" w14:textId="26351D8E" w:rsidR="00D94C8A" w:rsidRPr="00DD4746" w:rsidRDefault="00D94C8A" w:rsidP="00C5300B">
      <w:pPr>
        <w:pStyle w:val="Heading1"/>
        <w:rPr>
          <w:noProof/>
        </w:rPr>
      </w:pPr>
      <w:r>
        <w:rPr>
          <w:noProof/>
        </w:rPr>
        <w:t>Методика и определяне на приоритетите на работния план съгласно РСП</w:t>
      </w:r>
    </w:p>
    <w:p w14:paraId="31F8050A" w14:textId="00079723" w:rsidR="00694AF7" w:rsidRPr="00194E91" w:rsidRDefault="00694AF7" w:rsidP="00194E91">
      <w:pPr>
        <w:jc w:val="both"/>
        <w:rPr>
          <w:rFonts w:ascii="Times New Roman" w:hAnsi="Times New Roman" w:cs="Times New Roman"/>
          <w:noProof/>
          <w:sz w:val="24"/>
          <w:szCs w:val="24"/>
        </w:rPr>
      </w:pPr>
      <w:r>
        <w:rPr>
          <w:rFonts w:ascii="Times New Roman" w:hAnsi="Times New Roman"/>
          <w:noProof/>
          <w:sz w:val="24"/>
        </w:rPr>
        <w:t>В член 4, параграф 2 от РСП е посочено, че „Комисията определя приоритетите на работния план, като използва прозрачна и балансирана методика, която се публикува заедно с работния план. Тази методика отразява най-малко регулаторните нужди на държавите членки, въпросите, свързани с безопасността на строежите и продуктите, и целите на Съюза в областта на климата и кръговата икономика“.</w:t>
      </w:r>
    </w:p>
    <w:p w14:paraId="080E7CCA" w14:textId="78F79BC5" w:rsidR="005C3B05" w:rsidRPr="00194E91" w:rsidRDefault="005C3B05" w:rsidP="00194E91">
      <w:pPr>
        <w:pStyle w:val="Text1"/>
        <w:ind w:left="0"/>
        <w:rPr>
          <w:noProof/>
          <w:szCs w:val="24"/>
        </w:rPr>
      </w:pPr>
      <w:r>
        <w:rPr>
          <w:noProof/>
        </w:rPr>
        <w:t>Подходът, следван в работния план съгласно РСП, е сходен с подхода, следван в работния план</w:t>
      </w:r>
      <w:r>
        <w:rPr>
          <w:rStyle w:val="FootnoteReference"/>
          <w:noProof/>
          <w:szCs w:val="24"/>
        </w:rPr>
        <w:footnoteReference w:id="20"/>
      </w:r>
      <w:r>
        <w:rPr>
          <w:noProof/>
        </w:rPr>
        <w:t xml:space="preserve"> съгласно Регламента за екопроектирането на устойчиви продукти (РЕУП)</w:t>
      </w:r>
      <w:r>
        <w:rPr>
          <w:rStyle w:val="FootnoteReference"/>
          <w:noProof/>
          <w:szCs w:val="24"/>
        </w:rPr>
        <w:footnoteReference w:id="21"/>
      </w:r>
      <w:r>
        <w:rPr>
          <w:noProof/>
        </w:rPr>
        <w:t xml:space="preserve">. Има обаче една съществена разликата в съдържанието: В работния план съгласно РСП се определя основно графикът за разработването на нови хармонизирани технически спецификации за всички фамилии продукти в приложение VII към РСП. Едва в хода на работата по съответните фамилии продукти в конкретните подгрупи на Експертната група по законодателството, свързано с РСП, ще се установи и реши кои продукти, съществени характеристики, класове, прагове, изисквания към продуктите, етикети, информация за продуктите и т.н. следва да бъдат регулирани.  </w:t>
      </w:r>
    </w:p>
    <w:p w14:paraId="2ED5F952" w14:textId="77777777" w:rsidR="005C3B05" w:rsidRPr="00194E91" w:rsidRDefault="005C3B05" w:rsidP="00194E91">
      <w:pPr>
        <w:pStyle w:val="Text1"/>
        <w:ind w:left="0"/>
        <w:rPr>
          <w:noProof/>
          <w:szCs w:val="24"/>
        </w:rPr>
      </w:pPr>
      <w:r>
        <w:rPr>
          <w:noProof/>
        </w:rPr>
        <w:t xml:space="preserve">Следователно, изискваната прозрачна и балансирана методика е насочена основно към правилния ред на фамилиите продукти, който да се следва при разработването или актуализирането на хармонизираните технически спецификации. </w:t>
      </w:r>
    </w:p>
    <w:p w14:paraId="50A49E7C" w14:textId="1E0803C6" w:rsidR="007F45CD" w:rsidRPr="00194E91" w:rsidRDefault="00852368" w:rsidP="00194E91">
      <w:pPr>
        <w:jc w:val="both"/>
        <w:rPr>
          <w:rFonts w:ascii="Times New Roman" w:hAnsi="Times New Roman" w:cs="Times New Roman"/>
          <w:noProof/>
          <w:sz w:val="24"/>
          <w:szCs w:val="24"/>
        </w:rPr>
      </w:pPr>
      <w:r>
        <w:rPr>
          <w:rFonts w:ascii="Times New Roman" w:hAnsi="Times New Roman"/>
          <w:noProof/>
          <w:sz w:val="24"/>
        </w:rPr>
        <w:t>Основната част на тази методика е определянето на начина, по който да се установи приоритетният ред за започване на работата в последващите подгрупи. Отправната точка е редът, установен през 2020 г.</w:t>
      </w:r>
      <w:r>
        <w:rPr>
          <w:rStyle w:val="FootnoteReference"/>
          <w:rFonts w:ascii="Times New Roman" w:hAnsi="Times New Roman" w:cs="Times New Roman"/>
          <w:noProof/>
          <w:sz w:val="24"/>
          <w:szCs w:val="24"/>
        </w:rPr>
        <w:footnoteReference w:id="22"/>
      </w:r>
      <w:r>
        <w:rPr>
          <w:rFonts w:ascii="Times New Roman" w:hAnsi="Times New Roman"/>
          <w:noProof/>
          <w:sz w:val="24"/>
        </w:rPr>
        <w:t xml:space="preserve"> Той беше основан на консултация с държавите членки относно приоритетите им, що се отнася до законодателството, свързано с РСП, съгласно РСП от 2011 г. От държавите членки беше поискано да посочат последователността, в която следва да се започне работата по 34 фамилии продукти. Тази консултация доведе до представения приоритетен ред, </w:t>
      </w:r>
      <w:r>
        <w:rPr>
          <w:rFonts w:ascii="Times New Roman" w:hAnsi="Times New Roman" w:cs="Times New Roman"/>
          <w:noProof/>
          <w:sz w:val="24"/>
        </w:rPr>
        <w:fldChar w:fldCharType="begin"/>
      </w:r>
      <w:r>
        <w:rPr>
          <w:rFonts w:ascii="Times New Roman" w:hAnsi="Times New Roman" w:cs="Times New Roman"/>
          <w:noProof/>
          <w:sz w:val="24"/>
        </w:rPr>
        <w:instrText xml:space="preserve"> REF _Ref156912439 \h  \* MERGEFORMAT </w:instrText>
      </w:r>
      <w:r>
        <w:rPr>
          <w:rFonts w:ascii="Times New Roman" w:hAnsi="Times New Roman" w:cs="Times New Roman"/>
          <w:noProof/>
          <w:sz w:val="24"/>
        </w:rPr>
      </w:r>
      <w:r>
        <w:rPr>
          <w:rFonts w:ascii="Times New Roman" w:hAnsi="Times New Roman" w:cs="Times New Roman"/>
          <w:noProof/>
          <w:sz w:val="24"/>
        </w:rPr>
        <w:fldChar w:fldCharType="end"/>
      </w:r>
      <w:r>
        <w:rPr>
          <w:rFonts w:ascii="Times New Roman" w:hAnsi="Times New Roman"/>
          <w:noProof/>
          <w:sz w:val="24"/>
        </w:rPr>
        <w:t xml:space="preserve"> който е основан на следните осем критерия</w:t>
      </w:r>
      <w:r>
        <w:rPr>
          <w:rStyle w:val="FootnoteReference"/>
          <w:rFonts w:ascii="Times New Roman" w:hAnsi="Times New Roman" w:cs="Times New Roman"/>
          <w:noProof/>
          <w:sz w:val="24"/>
          <w:szCs w:val="24"/>
        </w:rPr>
        <w:footnoteReference w:id="23"/>
      </w:r>
      <w:r>
        <w:rPr>
          <w:noProof/>
        </w:rPr>
        <w:t>:</w:t>
      </w:r>
    </w:p>
    <w:p w14:paraId="5660D4E3" w14:textId="77777777" w:rsidR="007F45CD" w:rsidRPr="00194E91" w:rsidRDefault="007F45CD" w:rsidP="008269F8">
      <w:pPr>
        <w:pStyle w:val="Point0letter"/>
        <w:numPr>
          <w:ilvl w:val="1"/>
          <w:numId w:val="23"/>
        </w:numPr>
        <w:rPr>
          <w:noProof/>
        </w:rPr>
      </w:pPr>
      <w:r>
        <w:rPr>
          <w:noProof/>
        </w:rPr>
        <w:t>Регулаторни нужди на държавите членки;</w:t>
      </w:r>
    </w:p>
    <w:p w14:paraId="5BD3DA23" w14:textId="77777777" w:rsidR="007F45CD" w:rsidRPr="00194E91" w:rsidRDefault="007F45CD" w:rsidP="008269F8">
      <w:pPr>
        <w:pStyle w:val="Point0letter"/>
        <w:numPr>
          <w:ilvl w:val="1"/>
          <w:numId w:val="23"/>
        </w:numPr>
        <w:rPr>
          <w:noProof/>
        </w:rPr>
      </w:pPr>
      <w:r>
        <w:rPr>
          <w:noProof/>
        </w:rPr>
        <w:t>Проблеми с безопасността, свързани с основните изисквания към строежите;</w:t>
      </w:r>
    </w:p>
    <w:p w14:paraId="69644A1A" w14:textId="77777777" w:rsidR="007F45CD" w:rsidRPr="00194E91" w:rsidRDefault="007F45CD" w:rsidP="008269F8">
      <w:pPr>
        <w:pStyle w:val="Point0letter"/>
        <w:numPr>
          <w:ilvl w:val="1"/>
          <w:numId w:val="23"/>
        </w:numPr>
        <w:rPr>
          <w:noProof/>
        </w:rPr>
      </w:pPr>
      <w:r>
        <w:rPr>
          <w:noProof/>
        </w:rPr>
        <w:t>Проблеми с безопасността, присъщи на строителните продукти;</w:t>
      </w:r>
    </w:p>
    <w:p w14:paraId="477BBC09" w14:textId="77777777" w:rsidR="007F45CD" w:rsidRPr="00194E91" w:rsidRDefault="007F45CD" w:rsidP="008269F8">
      <w:pPr>
        <w:pStyle w:val="Point0letter"/>
        <w:numPr>
          <w:ilvl w:val="1"/>
          <w:numId w:val="23"/>
        </w:numPr>
        <w:rPr>
          <w:noProof/>
        </w:rPr>
      </w:pPr>
      <w:r>
        <w:rPr>
          <w:noProof/>
        </w:rPr>
        <w:t>Проблеми с околната среда, включително енергия и устойчивост;</w:t>
      </w:r>
    </w:p>
    <w:p w14:paraId="70E97105" w14:textId="77777777" w:rsidR="007F45CD" w:rsidRPr="00194E91" w:rsidRDefault="007F45CD" w:rsidP="008269F8">
      <w:pPr>
        <w:pStyle w:val="Point0letter"/>
        <w:numPr>
          <w:ilvl w:val="1"/>
          <w:numId w:val="23"/>
        </w:numPr>
        <w:rPr>
          <w:noProof/>
        </w:rPr>
      </w:pPr>
      <w:r>
        <w:rPr>
          <w:noProof/>
        </w:rPr>
        <w:t>Размер на пазара на ЕС в количества;</w:t>
      </w:r>
    </w:p>
    <w:p w14:paraId="46A1BF28" w14:textId="77777777" w:rsidR="007F45CD" w:rsidRPr="00194E91" w:rsidRDefault="007F45CD" w:rsidP="008269F8">
      <w:pPr>
        <w:pStyle w:val="Point0letter"/>
        <w:numPr>
          <w:ilvl w:val="1"/>
          <w:numId w:val="23"/>
        </w:numPr>
        <w:rPr>
          <w:noProof/>
        </w:rPr>
      </w:pPr>
      <w:r>
        <w:rPr>
          <w:noProof/>
        </w:rPr>
        <w:t>Трансгранична търговия;</w:t>
      </w:r>
    </w:p>
    <w:p w14:paraId="462F4290" w14:textId="77777777" w:rsidR="007F45CD" w:rsidRPr="00194E91" w:rsidRDefault="007F45CD" w:rsidP="008269F8">
      <w:pPr>
        <w:pStyle w:val="Point0letter"/>
        <w:numPr>
          <w:ilvl w:val="1"/>
          <w:numId w:val="23"/>
        </w:numPr>
        <w:rPr>
          <w:noProof/>
        </w:rPr>
      </w:pPr>
      <w:r>
        <w:rPr>
          <w:noProof/>
        </w:rPr>
        <w:t>Потенциална трансгранична търговия; и</w:t>
      </w:r>
    </w:p>
    <w:p w14:paraId="1E1970C5" w14:textId="77777777" w:rsidR="007F45CD" w:rsidRPr="00194E91" w:rsidRDefault="007F45CD" w:rsidP="005F7DA2">
      <w:pPr>
        <w:pStyle w:val="Point0letter"/>
        <w:numPr>
          <w:ilvl w:val="1"/>
          <w:numId w:val="23"/>
        </w:numPr>
        <w:spacing w:after="240"/>
        <w:ind w:left="357" w:hanging="357"/>
        <w:rPr>
          <w:noProof/>
        </w:rPr>
      </w:pPr>
      <w:r>
        <w:rPr>
          <w:noProof/>
        </w:rPr>
        <w:t>Непълнота или липса на хармонизирани стандарти.</w:t>
      </w:r>
    </w:p>
    <w:p w14:paraId="14416C48" w14:textId="35BCF304" w:rsidR="002457B2" w:rsidRPr="00194E91" w:rsidRDefault="002457B2" w:rsidP="002457B2">
      <w:pPr>
        <w:pStyle w:val="Caption"/>
        <w:keepNext/>
        <w:jc w:val="center"/>
        <w:rPr>
          <w:rFonts w:ascii="Times New Roman" w:hAnsi="Times New Roman" w:cs="Times New Roman"/>
          <w:b/>
          <w:bCs/>
          <w:i w:val="0"/>
          <w:iCs w:val="0"/>
          <w:noProof/>
          <w:color w:val="auto"/>
          <w:sz w:val="20"/>
          <w:szCs w:val="20"/>
        </w:rPr>
      </w:pPr>
      <w:bookmarkStart w:id="4" w:name="_Ref156912439"/>
      <w:r>
        <w:rPr>
          <w:rFonts w:ascii="Times New Roman" w:hAnsi="Times New Roman"/>
          <w:b/>
          <w:i w:val="0"/>
          <w:noProof/>
          <w:color w:val="auto"/>
          <w:sz w:val="20"/>
        </w:rPr>
        <w:t>Таблица</w:t>
      </w:r>
      <w:r>
        <w:rPr>
          <w:rFonts w:ascii="Times New Roman" w:hAnsi="Times New Roman" w:cs="Times New Roman"/>
          <w:b/>
          <w:i w:val="0"/>
          <w:noProof/>
          <w:color w:val="auto"/>
          <w:sz w:val="20"/>
        </w:rPr>
        <w:fldChar w:fldCharType="begin"/>
      </w:r>
      <w:r>
        <w:rPr>
          <w:rFonts w:ascii="Times New Roman" w:hAnsi="Times New Roman" w:cs="Times New Roman"/>
          <w:b/>
          <w:i w:val="0"/>
          <w:noProof/>
          <w:color w:val="auto"/>
          <w:sz w:val="20"/>
        </w:rPr>
        <w:instrText>SEQ Table \* ARABIC</w:instrText>
      </w:r>
      <w:r>
        <w:rPr>
          <w:rFonts w:ascii="Times New Roman" w:hAnsi="Times New Roman" w:cs="Times New Roman"/>
          <w:b/>
          <w:i w:val="0"/>
          <w:noProof/>
          <w:color w:val="auto"/>
          <w:sz w:val="20"/>
        </w:rPr>
        <w:fldChar w:fldCharType="separate"/>
      </w:r>
      <w:r>
        <w:rPr>
          <w:rFonts w:ascii="Times New Roman" w:hAnsi="Times New Roman" w:cs="Times New Roman"/>
          <w:b/>
          <w:i w:val="0"/>
          <w:noProof/>
          <w:color w:val="auto"/>
          <w:sz w:val="20"/>
        </w:rPr>
        <w:t>1</w:t>
      </w:r>
      <w:r>
        <w:rPr>
          <w:rFonts w:ascii="Times New Roman" w:hAnsi="Times New Roman" w:cs="Times New Roman"/>
          <w:b/>
          <w:i w:val="0"/>
          <w:noProof/>
          <w:color w:val="auto"/>
          <w:sz w:val="20"/>
        </w:rPr>
        <w:fldChar w:fldCharType="end"/>
      </w:r>
      <w:bookmarkEnd w:id="4"/>
      <w:r>
        <w:rPr>
          <w:rFonts w:ascii="Times New Roman" w:hAnsi="Times New Roman"/>
          <w:b/>
          <w:i w:val="0"/>
          <w:noProof/>
          <w:color w:val="auto"/>
          <w:sz w:val="20"/>
        </w:rPr>
        <w:t> —Списък с първоначални приоритети, фамилии продукти и мандати</w:t>
      </w:r>
      <w:r>
        <w:rPr>
          <w:rStyle w:val="FootnoteReference"/>
          <w:rFonts w:ascii="Times New Roman" w:hAnsi="Times New Roman" w:cs="Times New Roman"/>
          <w:b/>
          <w:bCs/>
          <w:i w:val="0"/>
          <w:iCs w:val="0"/>
          <w:noProof/>
          <w:color w:val="auto"/>
          <w:sz w:val="20"/>
          <w:szCs w:val="20"/>
        </w:rPr>
        <w:footnoteReference w:id="24"/>
      </w:r>
    </w:p>
    <w:tbl>
      <w:tblPr>
        <w:tblStyle w:val="TableGrid"/>
        <w:tblW w:w="0" w:type="auto"/>
        <w:tblLayout w:type="fixed"/>
        <w:tblLook w:val="04A0" w:firstRow="1" w:lastRow="0" w:firstColumn="1" w:lastColumn="0" w:noHBand="0" w:noVBand="1"/>
      </w:tblPr>
      <w:tblGrid>
        <w:gridCol w:w="793"/>
        <w:gridCol w:w="1162"/>
        <w:gridCol w:w="4566"/>
        <w:gridCol w:w="2124"/>
        <w:gridCol w:w="715"/>
      </w:tblGrid>
      <w:tr w:rsidR="00C95F37" w:rsidRPr="00427899" w14:paraId="42DBD5E8" w14:textId="77777777" w:rsidTr="00266E6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793" w:type="dxa"/>
            <w:noWrap/>
            <w:hideMark/>
          </w:tcPr>
          <w:p w14:paraId="2CE3CF70" w14:textId="12871E62" w:rsidR="002457B2" w:rsidRPr="00427899" w:rsidRDefault="00D82957">
            <w:pPr>
              <w:spacing w:before="0" w:after="0"/>
              <w:jc w:val="center"/>
              <w:rPr>
                <w:rFonts w:ascii="Aptos Narrow" w:eastAsia="Times New Roman" w:hAnsi="Aptos Narrow" w:cs="Times New Roman"/>
                <w:noProof/>
                <w:color w:val="000000"/>
              </w:rPr>
            </w:pPr>
            <w:bookmarkStart w:id="5" w:name="_Product_requirements"/>
            <w:bookmarkStart w:id="6" w:name="_General_product_information,"/>
            <w:bookmarkStart w:id="7" w:name="_Annex_A_-"/>
            <w:bookmarkStart w:id="8" w:name="_Annex_B_-"/>
            <w:bookmarkStart w:id="9" w:name="_Annex_C_-"/>
            <w:bookmarkStart w:id="10" w:name="_Annex_D_-"/>
            <w:bookmarkEnd w:id="5"/>
            <w:bookmarkEnd w:id="6"/>
            <w:bookmarkEnd w:id="7"/>
            <w:bookmarkEnd w:id="8"/>
            <w:bookmarkEnd w:id="9"/>
            <w:bookmarkEnd w:id="10"/>
            <w:r>
              <w:rPr>
                <w:rFonts w:ascii="Aptos Narrow" w:hAnsi="Aptos Narrow"/>
                <w:noProof/>
                <w:color w:val="000000"/>
              </w:rPr>
              <w:t>Приоритет за 2020 г.</w:t>
            </w:r>
          </w:p>
        </w:tc>
        <w:tc>
          <w:tcPr>
            <w:tcW w:w="1162" w:type="dxa"/>
            <w:shd w:val="clear" w:color="auto" w:fill="034EA2" w:themeFill="text2"/>
            <w:noWrap/>
            <w:hideMark/>
          </w:tcPr>
          <w:p w14:paraId="3A99C7E4" w14:textId="3651766E" w:rsidR="002457B2" w:rsidRPr="00427899" w:rsidRDefault="00D82957">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 на фамилията продукти</w:t>
            </w:r>
          </w:p>
        </w:tc>
        <w:tc>
          <w:tcPr>
            <w:tcW w:w="4566" w:type="dxa"/>
            <w:shd w:val="clear" w:color="auto" w:fill="034EA2" w:themeFill="text2"/>
            <w:noWrap/>
            <w:hideMark/>
          </w:tcPr>
          <w:p w14:paraId="38964541" w14:textId="77777777" w:rsidR="002457B2" w:rsidRPr="00427899" w:rsidRDefault="002457B2">
            <w:pPr>
              <w:spacing w:before="0"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Фамилия продукти</w:t>
            </w:r>
          </w:p>
        </w:tc>
        <w:tc>
          <w:tcPr>
            <w:tcW w:w="2124" w:type="dxa"/>
            <w:shd w:val="clear" w:color="auto" w:fill="034EA2" w:themeFill="text2"/>
          </w:tcPr>
          <w:p w14:paraId="77EB96C4" w14:textId="53EA354B" w:rsidR="002457B2" w:rsidRPr="00427899" w:rsidRDefault="00B0782C">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Стар мандат за стандартизация</w:t>
            </w:r>
          </w:p>
        </w:tc>
        <w:tc>
          <w:tcPr>
            <w:tcW w:w="715" w:type="dxa"/>
            <w:shd w:val="clear" w:color="auto" w:fill="034EA2" w:themeFill="text2"/>
            <w:noWrap/>
            <w:hideMark/>
          </w:tcPr>
          <w:p w14:paraId="2403DA56" w14:textId="77777777" w:rsidR="002457B2" w:rsidRPr="00427899" w:rsidRDefault="002457B2">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rPr>
              <w:t>Буквен код</w:t>
            </w:r>
          </w:p>
        </w:tc>
      </w:tr>
      <w:tr w:rsidR="00C35BE6" w:rsidRPr="00427899" w14:paraId="4C3B3D66"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06A9F5C2"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01</w:t>
            </w:r>
          </w:p>
        </w:tc>
        <w:tc>
          <w:tcPr>
            <w:tcW w:w="1162" w:type="dxa"/>
            <w:noWrap/>
            <w:hideMark/>
          </w:tcPr>
          <w:p w14:paraId="4145CA19"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01</w:t>
            </w:r>
          </w:p>
        </w:tc>
        <w:tc>
          <w:tcPr>
            <w:tcW w:w="4566" w:type="dxa"/>
            <w:noWrap/>
            <w:hideMark/>
          </w:tcPr>
          <w:p w14:paraId="2D670AE2"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Предварително изготвени продукти от обикновен бетон/лек бетон/газобетон</w:t>
            </w:r>
          </w:p>
        </w:tc>
        <w:tc>
          <w:tcPr>
            <w:tcW w:w="2124" w:type="dxa"/>
          </w:tcPr>
          <w:p w14:paraId="651945DC"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M100 Предварително изготвени продукти от бетон</w:t>
            </w:r>
          </w:p>
        </w:tc>
        <w:tc>
          <w:tcPr>
            <w:tcW w:w="715" w:type="dxa"/>
            <w:noWrap/>
            <w:hideMark/>
          </w:tcPr>
          <w:p w14:paraId="1599E6E3"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PCP</w:t>
            </w:r>
          </w:p>
        </w:tc>
      </w:tr>
      <w:tr w:rsidR="00C95F37" w:rsidRPr="00427899" w14:paraId="59681B2C"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17AF4EF8"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02</w:t>
            </w:r>
          </w:p>
        </w:tc>
        <w:tc>
          <w:tcPr>
            <w:tcW w:w="1162" w:type="dxa"/>
            <w:shd w:val="clear" w:color="auto" w:fill="DBDBDB" w:themeFill="text1" w:themeFillTint="33"/>
            <w:noWrap/>
            <w:hideMark/>
          </w:tcPr>
          <w:p w14:paraId="3B753C90"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w:t>
            </w:r>
          </w:p>
        </w:tc>
        <w:tc>
          <w:tcPr>
            <w:tcW w:w="4566" w:type="dxa"/>
            <w:shd w:val="clear" w:color="auto" w:fill="DBDBDB" w:themeFill="text1" w:themeFillTint="33"/>
            <w:noWrap/>
            <w:hideMark/>
          </w:tcPr>
          <w:p w14:paraId="1BA12A32"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метални конструкции и съединителни средства за тях</w:t>
            </w:r>
          </w:p>
        </w:tc>
        <w:tc>
          <w:tcPr>
            <w:tcW w:w="2124" w:type="dxa"/>
            <w:shd w:val="clear" w:color="auto" w:fill="DBDBDB" w:themeFill="text1" w:themeFillTint="33"/>
          </w:tcPr>
          <w:p w14:paraId="10DC7764"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M120 Продукти за метални конструкции</w:t>
            </w:r>
          </w:p>
        </w:tc>
        <w:tc>
          <w:tcPr>
            <w:tcW w:w="715" w:type="dxa"/>
            <w:shd w:val="clear" w:color="auto" w:fill="DBDBDB" w:themeFill="text1" w:themeFillTint="33"/>
            <w:noWrap/>
            <w:hideMark/>
          </w:tcPr>
          <w:p w14:paraId="74DCE5C8"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SMP</w:t>
            </w:r>
          </w:p>
        </w:tc>
      </w:tr>
      <w:tr w:rsidR="00C35BE6" w:rsidRPr="00427899" w14:paraId="24D1035D"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09E74805"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03</w:t>
            </w:r>
          </w:p>
        </w:tc>
        <w:tc>
          <w:tcPr>
            <w:tcW w:w="1162" w:type="dxa"/>
            <w:noWrap/>
            <w:hideMark/>
          </w:tcPr>
          <w:p w14:paraId="08C2A3EA"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16</w:t>
            </w:r>
          </w:p>
        </w:tc>
        <w:tc>
          <w:tcPr>
            <w:tcW w:w="4566" w:type="dxa"/>
            <w:noWrap/>
            <w:hideMark/>
          </w:tcPr>
          <w:p w14:paraId="2E16EF0C"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Армировъчна стомана и стомана за предварително напрегнат бетон (и спомагателни продукти) — Комплекти за напрягане след бетониране</w:t>
            </w:r>
          </w:p>
        </w:tc>
        <w:tc>
          <w:tcPr>
            <w:tcW w:w="2124" w:type="dxa"/>
          </w:tcPr>
          <w:p w14:paraId="40DD6B30"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M115 Армировъчна стомана</w:t>
            </w:r>
          </w:p>
        </w:tc>
        <w:tc>
          <w:tcPr>
            <w:tcW w:w="715" w:type="dxa"/>
            <w:noWrap/>
            <w:hideMark/>
          </w:tcPr>
          <w:p w14:paraId="0965E363"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RPS</w:t>
            </w:r>
          </w:p>
        </w:tc>
      </w:tr>
      <w:tr w:rsidR="00C95F37" w:rsidRPr="00427899" w14:paraId="038B80F7"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017ADBAF"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04</w:t>
            </w:r>
          </w:p>
        </w:tc>
        <w:tc>
          <w:tcPr>
            <w:tcW w:w="1162" w:type="dxa"/>
            <w:shd w:val="clear" w:color="auto" w:fill="DBDBDB" w:themeFill="text1" w:themeFillTint="33"/>
            <w:noWrap/>
            <w:hideMark/>
          </w:tcPr>
          <w:p w14:paraId="614A7455"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02</w:t>
            </w:r>
          </w:p>
        </w:tc>
        <w:tc>
          <w:tcPr>
            <w:tcW w:w="4566" w:type="dxa"/>
            <w:shd w:val="clear" w:color="auto" w:fill="DBDBDB" w:themeFill="text1" w:themeFillTint="33"/>
            <w:noWrap/>
            <w:hideMark/>
          </w:tcPr>
          <w:p w14:paraId="005DBDB8"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Врати, прозорци, капаци, врати за промишлени и търговски сгради и за гаражи и свързаният с тях обков</w:t>
            </w:r>
          </w:p>
        </w:tc>
        <w:tc>
          <w:tcPr>
            <w:tcW w:w="2124" w:type="dxa"/>
            <w:shd w:val="clear" w:color="auto" w:fill="DBDBDB" w:themeFill="text1" w:themeFillTint="33"/>
          </w:tcPr>
          <w:p w14:paraId="2743FCCF"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M101 Врати, прозорци</w:t>
            </w:r>
          </w:p>
        </w:tc>
        <w:tc>
          <w:tcPr>
            <w:tcW w:w="715" w:type="dxa"/>
            <w:shd w:val="clear" w:color="auto" w:fill="DBDBDB" w:themeFill="text1" w:themeFillTint="33"/>
            <w:noWrap/>
            <w:hideMark/>
          </w:tcPr>
          <w:p w14:paraId="7646572E"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DWS</w:t>
            </w:r>
          </w:p>
        </w:tc>
      </w:tr>
      <w:tr w:rsidR="00C35BE6" w:rsidRPr="00427899" w14:paraId="4C7B6B2A"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19DF43F2"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05</w:t>
            </w:r>
          </w:p>
        </w:tc>
        <w:tc>
          <w:tcPr>
            <w:tcW w:w="1162" w:type="dxa"/>
            <w:noWrap/>
            <w:hideMark/>
          </w:tcPr>
          <w:p w14:paraId="253E67F1"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15</w:t>
            </w:r>
          </w:p>
        </w:tc>
        <w:tc>
          <w:tcPr>
            <w:tcW w:w="4566" w:type="dxa"/>
            <w:noWrap/>
            <w:hideMark/>
          </w:tcPr>
          <w:p w14:paraId="662657E6"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Цимент, строителна вар и други хидравлични свързващи вещества</w:t>
            </w:r>
          </w:p>
        </w:tc>
        <w:tc>
          <w:tcPr>
            <w:tcW w:w="2124" w:type="dxa"/>
          </w:tcPr>
          <w:p w14:paraId="6806FA1A"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M114 Цимент</w:t>
            </w:r>
          </w:p>
        </w:tc>
        <w:tc>
          <w:tcPr>
            <w:tcW w:w="715" w:type="dxa"/>
            <w:noWrap/>
            <w:hideMark/>
          </w:tcPr>
          <w:p w14:paraId="6EB5B8B2"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CEM</w:t>
            </w:r>
          </w:p>
        </w:tc>
      </w:tr>
      <w:tr w:rsidR="00C95F37" w:rsidRPr="00427899" w14:paraId="065FECF3"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35CB16AE"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06</w:t>
            </w:r>
          </w:p>
        </w:tc>
        <w:tc>
          <w:tcPr>
            <w:tcW w:w="1162" w:type="dxa"/>
            <w:shd w:val="clear" w:color="auto" w:fill="DBDBDB" w:themeFill="text1" w:themeFillTint="33"/>
            <w:noWrap/>
            <w:hideMark/>
          </w:tcPr>
          <w:p w14:paraId="4B31E4AE"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04</w:t>
            </w:r>
          </w:p>
        </w:tc>
        <w:tc>
          <w:tcPr>
            <w:tcW w:w="4566" w:type="dxa"/>
            <w:shd w:val="clear" w:color="auto" w:fill="DBDBDB" w:themeFill="text1" w:themeFillTint="33"/>
            <w:noWrap/>
            <w:hideMark/>
          </w:tcPr>
          <w:p w14:paraId="541ECE63"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топлоизолация [ — Комбинирани изолационни комплекти/системи]</w:t>
            </w:r>
          </w:p>
        </w:tc>
        <w:tc>
          <w:tcPr>
            <w:tcW w:w="2124" w:type="dxa"/>
            <w:shd w:val="clear" w:color="auto" w:fill="DBDBDB" w:themeFill="text1" w:themeFillTint="33"/>
          </w:tcPr>
          <w:p w14:paraId="3CE08A60"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M103 Продукти за топлоизолация</w:t>
            </w:r>
          </w:p>
        </w:tc>
        <w:tc>
          <w:tcPr>
            <w:tcW w:w="715" w:type="dxa"/>
            <w:shd w:val="clear" w:color="auto" w:fill="DBDBDB" w:themeFill="text1" w:themeFillTint="33"/>
            <w:noWrap/>
            <w:hideMark/>
          </w:tcPr>
          <w:p w14:paraId="0D29599F"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TIP</w:t>
            </w:r>
          </w:p>
        </w:tc>
      </w:tr>
      <w:tr w:rsidR="00C35BE6" w:rsidRPr="00427899" w14:paraId="6CE57CA5"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2911E4FE"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07</w:t>
            </w:r>
          </w:p>
        </w:tc>
        <w:tc>
          <w:tcPr>
            <w:tcW w:w="1162" w:type="dxa"/>
            <w:noWrap/>
            <w:hideMark/>
          </w:tcPr>
          <w:p w14:paraId="2E8ABF63"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13</w:t>
            </w:r>
          </w:p>
        </w:tc>
        <w:tc>
          <w:tcPr>
            <w:tcW w:w="4566" w:type="dxa"/>
            <w:noWrap/>
            <w:hideMark/>
          </w:tcPr>
          <w:p w14:paraId="1BDD0E03"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Продукти/елементи от дървесина и съединителни средства за тях</w:t>
            </w:r>
          </w:p>
        </w:tc>
        <w:tc>
          <w:tcPr>
            <w:tcW w:w="2124" w:type="dxa"/>
          </w:tcPr>
          <w:p w14:paraId="0A6F42CA"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M112 Продукти от дървесина и съединителни средства за тях</w:t>
            </w:r>
          </w:p>
        </w:tc>
        <w:tc>
          <w:tcPr>
            <w:tcW w:w="715" w:type="dxa"/>
            <w:noWrap/>
            <w:hideMark/>
          </w:tcPr>
          <w:p w14:paraId="6961ED9D"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STP</w:t>
            </w:r>
          </w:p>
        </w:tc>
      </w:tr>
      <w:tr w:rsidR="00C95F37" w:rsidRPr="00427899" w14:paraId="3FCF6023"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3AEBB343"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08</w:t>
            </w:r>
          </w:p>
        </w:tc>
        <w:tc>
          <w:tcPr>
            <w:tcW w:w="1162" w:type="dxa"/>
            <w:shd w:val="clear" w:color="auto" w:fill="DBDBDB" w:themeFill="text1" w:themeFillTint="33"/>
            <w:noWrap/>
            <w:hideMark/>
          </w:tcPr>
          <w:p w14:paraId="7F48EBC6"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26</w:t>
            </w:r>
          </w:p>
        </w:tc>
        <w:tc>
          <w:tcPr>
            <w:tcW w:w="4566" w:type="dxa"/>
            <w:shd w:val="clear" w:color="auto" w:fill="DBDBDB" w:themeFill="text1" w:themeFillTint="33"/>
            <w:noWrap/>
            <w:hideMark/>
          </w:tcPr>
          <w:p w14:paraId="2B8A145A"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бетони и разтвори. Инжекционни разтвори</w:t>
            </w:r>
          </w:p>
        </w:tc>
        <w:tc>
          <w:tcPr>
            <w:tcW w:w="2124" w:type="dxa"/>
            <w:shd w:val="clear" w:color="auto" w:fill="DBDBDB" w:themeFill="text1" w:themeFillTint="33"/>
          </w:tcPr>
          <w:p w14:paraId="6B3B7944"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M128 Бетони, разтвори и фугиращи разтвори</w:t>
            </w:r>
          </w:p>
        </w:tc>
        <w:tc>
          <w:tcPr>
            <w:tcW w:w="715" w:type="dxa"/>
            <w:shd w:val="clear" w:color="auto" w:fill="DBDBDB" w:themeFill="text1" w:themeFillTint="33"/>
            <w:noWrap/>
            <w:hideMark/>
          </w:tcPr>
          <w:p w14:paraId="63A804DC"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CMG</w:t>
            </w:r>
          </w:p>
        </w:tc>
      </w:tr>
      <w:tr w:rsidR="00C35BE6" w:rsidRPr="00427899" w14:paraId="2E967EA9"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11A7EDFE"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09</w:t>
            </w:r>
          </w:p>
        </w:tc>
        <w:tc>
          <w:tcPr>
            <w:tcW w:w="1162" w:type="dxa"/>
            <w:noWrap/>
            <w:hideMark/>
          </w:tcPr>
          <w:p w14:paraId="7261E37D"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17</w:t>
            </w:r>
          </w:p>
        </w:tc>
        <w:tc>
          <w:tcPr>
            <w:tcW w:w="4566" w:type="dxa"/>
            <w:noWrap/>
            <w:hideMark/>
          </w:tcPr>
          <w:p w14:paraId="306137C9"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Зидария и свързани с нея продукти — Блокове за зидария, строителни разтвори, стенни връзки</w:t>
            </w:r>
          </w:p>
        </w:tc>
        <w:tc>
          <w:tcPr>
            <w:tcW w:w="2124" w:type="dxa"/>
          </w:tcPr>
          <w:p w14:paraId="1CA5D9C9"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M116 Зидария</w:t>
            </w:r>
          </w:p>
        </w:tc>
        <w:tc>
          <w:tcPr>
            <w:tcW w:w="715" w:type="dxa"/>
            <w:noWrap/>
            <w:hideMark/>
          </w:tcPr>
          <w:p w14:paraId="21A0BD9A"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MAS</w:t>
            </w:r>
          </w:p>
        </w:tc>
      </w:tr>
      <w:tr w:rsidR="00C95F37" w:rsidRPr="00427899" w14:paraId="45614016"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5E85D855"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10</w:t>
            </w:r>
          </w:p>
        </w:tc>
        <w:tc>
          <w:tcPr>
            <w:tcW w:w="1162" w:type="dxa"/>
            <w:shd w:val="clear" w:color="auto" w:fill="DBDBDB" w:themeFill="text1" w:themeFillTint="33"/>
            <w:noWrap/>
            <w:hideMark/>
          </w:tcPr>
          <w:p w14:paraId="4FC924E5"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24</w:t>
            </w:r>
          </w:p>
        </w:tc>
        <w:tc>
          <w:tcPr>
            <w:tcW w:w="4566" w:type="dxa"/>
            <w:shd w:val="clear" w:color="auto" w:fill="DBDBDB" w:themeFill="text1" w:themeFillTint="33"/>
            <w:noWrap/>
            <w:hideMark/>
          </w:tcPr>
          <w:p w14:paraId="7299543B"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Добавъчни материали</w:t>
            </w:r>
          </w:p>
        </w:tc>
        <w:tc>
          <w:tcPr>
            <w:tcW w:w="2124" w:type="dxa"/>
            <w:shd w:val="clear" w:color="auto" w:fill="DBDBDB" w:themeFill="text1" w:themeFillTint="33"/>
          </w:tcPr>
          <w:p w14:paraId="7F4162FA"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M125 Добавъчни материали</w:t>
            </w:r>
          </w:p>
        </w:tc>
        <w:tc>
          <w:tcPr>
            <w:tcW w:w="715" w:type="dxa"/>
            <w:shd w:val="clear" w:color="auto" w:fill="DBDBDB" w:themeFill="text1" w:themeFillTint="33"/>
            <w:noWrap/>
            <w:hideMark/>
          </w:tcPr>
          <w:p w14:paraId="0A7F014B"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AGG</w:t>
            </w:r>
          </w:p>
        </w:tc>
      </w:tr>
      <w:tr w:rsidR="00C35BE6" w:rsidRPr="00427899" w14:paraId="4DD65333"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3EE45B6B"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11</w:t>
            </w:r>
          </w:p>
        </w:tc>
        <w:tc>
          <w:tcPr>
            <w:tcW w:w="1162" w:type="dxa"/>
            <w:noWrap/>
            <w:hideMark/>
          </w:tcPr>
          <w:p w14:paraId="5993E007"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10</w:t>
            </w:r>
          </w:p>
        </w:tc>
        <w:tc>
          <w:tcPr>
            <w:tcW w:w="4566" w:type="dxa"/>
            <w:noWrap/>
            <w:hideMark/>
          </w:tcPr>
          <w:p w14:paraId="19064350"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Стационарно противопожарно оборудване (аларма/детектор за пожароизвестяване, стационарни продукти за гасене на пожар, продукти за управление на огън и дим и за предотвратяване на експлозии)</w:t>
            </w:r>
          </w:p>
        </w:tc>
        <w:tc>
          <w:tcPr>
            <w:tcW w:w="2124" w:type="dxa"/>
          </w:tcPr>
          <w:p w14:paraId="20511494"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M109 Стационарно противопожарно оборудване</w:t>
            </w:r>
          </w:p>
        </w:tc>
        <w:tc>
          <w:tcPr>
            <w:tcW w:w="715" w:type="dxa"/>
            <w:noWrap/>
            <w:hideMark/>
          </w:tcPr>
          <w:p w14:paraId="618F344D"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FFF</w:t>
            </w:r>
          </w:p>
        </w:tc>
      </w:tr>
      <w:tr w:rsidR="00C95F37" w:rsidRPr="00427899" w14:paraId="037B230A"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3242B494"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12</w:t>
            </w:r>
          </w:p>
        </w:tc>
        <w:tc>
          <w:tcPr>
            <w:tcW w:w="1162" w:type="dxa"/>
            <w:shd w:val="clear" w:color="auto" w:fill="DBDBDB" w:themeFill="text1" w:themeFillTint="33"/>
            <w:noWrap/>
            <w:hideMark/>
          </w:tcPr>
          <w:p w14:paraId="44165E91"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23</w:t>
            </w:r>
          </w:p>
        </w:tc>
        <w:tc>
          <w:tcPr>
            <w:tcW w:w="4566" w:type="dxa"/>
            <w:shd w:val="clear" w:color="auto" w:fill="DBDBDB" w:themeFill="text1" w:themeFillTint="33"/>
            <w:noWrap/>
            <w:hideMark/>
          </w:tcPr>
          <w:p w14:paraId="2936C17C"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строителство на пътища</w:t>
            </w:r>
          </w:p>
        </w:tc>
        <w:tc>
          <w:tcPr>
            <w:tcW w:w="2124" w:type="dxa"/>
            <w:shd w:val="clear" w:color="auto" w:fill="DBDBDB" w:themeFill="text1" w:themeFillTint="33"/>
          </w:tcPr>
          <w:p w14:paraId="34A97F99"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M124 Продукти за строителство на пътища</w:t>
            </w:r>
          </w:p>
        </w:tc>
        <w:tc>
          <w:tcPr>
            <w:tcW w:w="715" w:type="dxa"/>
            <w:shd w:val="clear" w:color="auto" w:fill="DBDBDB" w:themeFill="text1" w:themeFillTint="33"/>
            <w:noWrap/>
            <w:hideMark/>
          </w:tcPr>
          <w:p w14:paraId="6590EA58"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RCP</w:t>
            </w:r>
          </w:p>
        </w:tc>
      </w:tr>
      <w:tr w:rsidR="00C35BE6" w:rsidRPr="00427899" w14:paraId="1E1DEF37"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25FBEDC8"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13</w:t>
            </w:r>
          </w:p>
        </w:tc>
        <w:tc>
          <w:tcPr>
            <w:tcW w:w="1162" w:type="dxa"/>
            <w:noWrap/>
            <w:hideMark/>
          </w:tcPr>
          <w:p w14:paraId="4CDDDF82"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19</w:t>
            </w:r>
          </w:p>
        </w:tc>
        <w:tc>
          <w:tcPr>
            <w:tcW w:w="4566" w:type="dxa"/>
            <w:noWrap/>
            <w:hideMark/>
          </w:tcPr>
          <w:p w14:paraId="76D44D7F"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Подови покрития</w:t>
            </w:r>
          </w:p>
        </w:tc>
        <w:tc>
          <w:tcPr>
            <w:tcW w:w="2124" w:type="dxa"/>
          </w:tcPr>
          <w:p w14:paraId="49AE0815"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M119 Подови покрития</w:t>
            </w:r>
          </w:p>
        </w:tc>
        <w:tc>
          <w:tcPr>
            <w:tcW w:w="715" w:type="dxa"/>
            <w:noWrap/>
            <w:hideMark/>
          </w:tcPr>
          <w:p w14:paraId="3478ECB7"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FLO</w:t>
            </w:r>
          </w:p>
        </w:tc>
      </w:tr>
      <w:tr w:rsidR="00C95F37" w:rsidRPr="00427899" w14:paraId="782B1B45"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tcPr>
          <w:p w14:paraId="7D6ED670"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14</w:t>
            </w:r>
          </w:p>
        </w:tc>
        <w:tc>
          <w:tcPr>
            <w:tcW w:w="1162" w:type="dxa"/>
            <w:shd w:val="clear" w:color="auto" w:fill="DBDBDB" w:themeFill="text1" w:themeFillTint="33"/>
            <w:noWrap/>
          </w:tcPr>
          <w:p w14:paraId="20256F24"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04</w:t>
            </w:r>
          </w:p>
        </w:tc>
        <w:tc>
          <w:tcPr>
            <w:tcW w:w="4566" w:type="dxa"/>
            <w:shd w:val="clear" w:color="auto" w:fill="DBDBDB" w:themeFill="text1" w:themeFillTint="33"/>
            <w:noWrap/>
          </w:tcPr>
          <w:p w14:paraId="572573A5"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топлоизолация] — Комбинирани изолационни комплекти/системи</w:t>
            </w:r>
          </w:p>
        </w:tc>
        <w:tc>
          <w:tcPr>
            <w:tcW w:w="2124" w:type="dxa"/>
            <w:shd w:val="clear" w:color="auto" w:fill="DBDBDB" w:themeFill="text1" w:themeFillTint="33"/>
          </w:tcPr>
          <w:p w14:paraId="52D26A4A"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M489 ETICS</w:t>
            </w:r>
          </w:p>
        </w:tc>
        <w:tc>
          <w:tcPr>
            <w:tcW w:w="715" w:type="dxa"/>
            <w:shd w:val="clear" w:color="auto" w:fill="DBDBDB" w:themeFill="text1" w:themeFillTint="33"/>
            <w:noWrap/>
          </w:tcPr>
          <w:p w14:paraId="6D44818E"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023543BB"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28C21B7B"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15</w:t>
            </w:r>
          </w:p>
        </w:tc>
        <w:tc>
          <w:tcPr>
            <w:tcW w:w="1162" w:type="dxa"/>
            <w:noWrap/>
            <w:hideMark/>
          </w:tcPr>
          <w:p w14:paraId="39A50970"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09</w:t>
            </w:r>
          </w:p>
        </w:tc>
        <w:tc>
          <w:tcPr>
            <w:tcW w:w="4566" w:type="dxa"/>
            <w:noWrap/>
            <w:hideMark/>
          </w:tcPr>
          <w:p w14:paraId="0B67D9AB"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Окачени фасади/облицовки/остъкляване и уплътняване</w:t>
            </w:r>
          </w:p>
        </w:tc>
        <w:tc>
          <w:tcPr>
            <w:tcW w:w="2124" w:type="dxa"/>
          </w:tcPr>
          <w:p w14:paraId="2A162FA4"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M108 Окачени фасади</w:t>
            </w:r>
          </w:p>
        </w:tc>
        <w:tc>
          <w:tcPr>
            <w:tcW w:w="715" w:type="dxa"/>
            <w:noWrap/>
            <w:hideMark/>
          </w:tcPr>
          <w:p w14:paraId="302E7B19"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CWP</w:t>
            </w:r>
          </w:p>
        </w:tc>
      </w:tr>
      <w:tr w:rsidR="00C95F37" w:rsidRPr="00427899" w14:paraId="230CF3E5"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507401A6"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16</w:t>
            </w:r>
          </w:p>
        </w:tc>
        <w:tc>
          <w:tcPr>
            <w:tcW w:w="1162" w:type="dxa"/>
            <w:shd w:val="clear" w:color="auto" w:fill="DBDBDB" w:themeFill="text1" w:themeFillTint="33"/>
            <w:noWrap/>
            <w:hideMark/>
          </w:tcPr>
          <w:p w14:paraId="0D70174D"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14</w:t>
            </w:r>
          </w:p>
        </w:tc>
        <w:tc>
          <w:tcPr>
            <w:tcW w:w="4566" w:type="dxa"/>
            <w:shd w:val="clear" w:color="auto" w:fill="DBDBDB" w:themeFill="text1" w:themeFillTint="33"/>
            <w:noWrap/>
            <w:hideMark/>
          </w:tcPr>
          <w:p w14:paraId="203A8EDC"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Дървесни плочи (панели) и елементи</w:t>
            </w:r>
          </w:p>
        </w:tc>
        <w:tc>
          <w:tcPr>
            <w:tcW w:w="2124" w:type="dxa"/>
            <w:shd w:val="clear" w:color="auto" w:fill="DBDBDB" w:themeFill="text1" w:themeFillTint="33"/>
          </w:tcPr>
          <w:p w14:paraId="01875602"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M113 Дървесни плочи</w:t>
            </w:r>
          </w:p>
        </w:tc>
        <w:tc>
          <w:tcPr>
            <w:tcW w:w="715" w:type="dxa"/>
            <w:shd w:val="clear" w:color="auto" w:fill="DBDBDB" w:themeFill="text1" w:themeFillTint="33"/>
            <w:noWrap/>
            <w:hideMark/>
          </w:tcPr>
          <w:p w14:paraId="3FFB342A"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WBP</w:t>
            </w:r>
          </w:p>
        </w:tc>
      </w:tr>
      <w:tr w:rsidR="00C35BE6" w:rsidRPr="00427899" w14:paraId="0AA7CCAA"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42F565D1"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17</w:t>
            </w:r>
          </w:p>
        </w:tc>
        <w:tc>
          <w:tcPr>
            <w:tcW w:w="1162" w:type="dxa"/>
            <w:noWrap/>
            <w:hideMark/>
          </w:tcPr>
          <w:p w14:paraId="5B4FE3A8"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05</w:t>
            </w:r>
          </w:p>
        </w:tc>
        <w:tc>
          <w:tcPr>
            <w:tcW w:w="4566" w:type="dxa"/>
            <w:noWrap/>
            <w:hideMark/>
          </w:tcPr>
          <w:p w14:paraId="22DD90FB"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Лагери за конструкции — Елементи за фуги на конструкции</w:t>
            </w:r>
          </w:p>
        </w:tc>
        <w:tc>
          <w:tcPr>
            <w:tcW w:w="2124" w:type="dxa"/>
          </w:tcPr>
          <w:p w14:paraId="290FA4B5"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M104 Лагери за конструкции</w:t>
            </w:r>
          </w:p>
        </w:tc>
        <w:tc>
          <w:tcPr>
            <w:tcW w:w="715" w:type="dxa"/>
            <w:noWrap/>
            <w:hideMark/>
          </w:tcPr>
          <w:p w14:paraId="582E7E15"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SBE</w:t>
            </w:r>
          </w:p>
        </w:tc>
      </w:tr>
      <w:tr w:rsidR="00C95F37" w:rsidRPr="00427899" w14:paraId="65C6DFF1"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626351D9"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18</w:t>
            </w:r>
          </w:p>
        </w:tc>
        <w:tc>
          <w:tcPr>
            <w:tcW w:w="1162" w:type="dxa"/>
            <w:shd w:val="clear" w:color="auto" w:fill="DBDBDB" w:themeFill="text1" w:themeFillTint="33"/>
            <w:noWrap/>
            <w:hideMark/>
          </w:tcPr>
          <w:p w14:paraId="1747E599"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34</w:t>
            </w:r>
          </w:p>
        </w:tc>
        <w:tc>
          <w:tcPr>
            <w:tcW w:w="4566" w:type="dxa"/>
            <w:shd w:val="clear" w:color="auto" w:fill="DBDBDB" w:themeFill="text1" w:themeFillTint="33"/>
            <w:noWrap/>
            <w:hideMark/>
          </w:tcPr>
          <w:p w14:paraId="3C3FEA69"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Строителни комплекти, компоненти, предварително изготвени елементи</w:t>
            </w:r>
          </w:p>
        </w:tc>
        <w:tc>
          <w:tcPr>
            <w:tcW w:w="2124" w:type="dxa"/>
            <w:shd w:val="clear" w:color="auto" w:fill="DBDBDB" w:themeFill="text1" w:themeFillTint="33"/>
          </w:tcPr>
          <w:p w14:paraId="7B109116"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Комплекти и сглобени продукти на фамилиите по-горе</w:t>
            </w:r>
          </w:p>
        </w:tc>
        <w:tc>
          <w:tcPr>
            <w:tcW w:w="715" w:type="dxa"/>
            <w:shd w:val="clear" w:color="auto" w:fill="DBDBDB" w:themeFill="text1" w:themeFillTint="33"/>
            <w:noWrap/>
            <w:hideMark/>
          </w:tcPr>
          <w:p w14:paraId="459AFC1E"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KAS</w:t>
            </w:r>
          </w:p>
        </w:tc>
      </w:tr>
      <w:tr w:rsidR="00C35BE6" w:rsidRPr="00427899" w14:paraId="6319E4D1"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198A009D"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19</w:t>
            </w:r>
          </w:p>
        </w:tc>
        <w:tc>
          <w:tcPr>
            <w:tcW w:w="1162" w:type="dxa"/>
            <w:noWrap/>
            <w:hideMark/>
          </w:tcPr>
          <w:p w14:paraId="5E463544"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21</w:t>
            </w:r>
          </w:p>
        </w:tc>
        <w:tc>
          <w:tcPr>
            <w:tcW w:w="4566" w:type="dxa"/>
            <w:noWrap/>
            <w:hideMark/>
          </w:tcPr>
          <w:p w14:paraId="46764E50"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Облицовка за вътрешни, външни стени и тавани — Комплекти вътрешни преградни стени</w:t>
            </w:r>
          </w:p>
        </w:tc>
        <w:tc>
          <w:tcPr>
            <w:tcW w:w="2124" w:type="dxa"/>
          </w:tcPr>
          <w:p w14:paraId="43A74062"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M121 Облицовки за стени и тавани</w:t>
            </w:r>
          </w:p>
        </w:tc>
        <w:tc>
          <w:tcPr>
            <w:tcW w:w="715" w:type="dxa"/>
            <w:noWrap/>
            <w:hideMark/>
          </w:tcPr>
          <w:p w14:paraId="025DC9F8"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WCF</w:t>
            </w:r>
          </w:p>
        </w:tc>
      </w:tr>
      <w:tr w:rsidR="00C95F37" w:rsidRPr="00427899" w14:paraId="5539F391"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736C08D5"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20</w:t>
            </w:r>
          </w:p>
        </w:tc>
        <w:tc>
          <w:tcPr>
            <w:tcW w:w="1162" w:type="dxa"/>
            <w:shd w:val="clear" w:color="auto" w:fill="DBDBDB" w:themeFill="text1" w:themeFillTint="33"/>
            <w:noWrap/>
            <w:hideMark/>
          </w:tcPr>
          <w:p w14:paraId="129BBB3C"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27</w:t>
            </w:r>
          </w:p>
        </w:tc>
        <w:tc>
          <w:tcPr>
            <w:tcW w:w="4566" w:type="dxa"/>
            <w:shd w:val="clear" w:color="auto" w:fill="DBDBDB" w:themeFill="text1" w:themeFillTint="33"/>
            <w:noWrap/>
            <w:hideMark/>
          </w:tcPr>
          <w:p w14:paraId="7B6A96FA"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Уреди за отопление</w:t>
            </w:r>
          </w:p>
        </w:tc>
        <w:tc>
          <w:tcPr>
            <w:tcW w:w="2124" w:type="dxa"/>
            <w:shd w:val="clear" w:color="auto" w:fill="DBDBDB" w:themeFill="text1" w:themeFillTint="33"/>
          </w:tcPr>
          <w:p w14:paraId="432EFF23"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M129 Уреди за отопление</w:t>
            </w:r>
          </w:p>
        </w:tc>
        <w:tc>
          <w:tcPr>
            <w:tcW w:w="715" w:type="dxa"/>
            <w:shd w:val="clear" w:color="auto" w:fill="DBDBDB" w:themeFill="text1" w:themeFillTint="33"/>
            <w:noWrap/>
            <w:hideMark/>
          </w:tcPr>
          <w:p w14:paraId="7CFEC78A"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SHA</w:t>
            </w:r>
          </w:p>
        </w:tc>
      </w:tr>
      <w:tr w:rsidR="00C35BE6" w:rsidRPr="00427899" w14:paraId="364EFBA4"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2B41D406"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21</w:t>
            </w:r>
          </w:p>
        </w:tc>
        <w:tc>
          <w:tcPr>
            <w:tcW w:w="1162" w:type="dxa"/>
            <w:noWrap/>
            <w:hideMark/>
          </w:tcPr>
          <w:p w14:paraId="176FB58F"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22</w:t>
            </w:r>
          </w:p>
        </w:tc>
        <w:tc>
          <w:tcPr>
            <w:tcW w:w="4566" w:type="dxa"/>
            <w:noWrap/>
            <w:hideMark/>
          </w:tcPr>
          <w:p w14:paraId="3394FE73"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Покривни покрития, горно осветление, покривни прозорци и спомагателни продукти — Покривни комплекти</w:t>
            </w:r>
          </w:p>
        </w:tc>
        <w:tc>
          <w:tcPr>
            <w:tcW w:w="2124" w:type="dxa"/>
          </w:tcPr>
          <w:p w14:paraId="75F250E6"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M122 Покривни покрития</w:t>
            </w:r>
          </w:p>
        </w:tc>
        <w:tc>
          <w:tcPr>
            <w:tcW w:w="715" w:type="dxa"/>
            <w:noWrap/>
            <w:hideMark/>
          </w:tcPr>
          <w:p w14:paraId="6C168090"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ROC</w:t>
            </w:r>
          </w:p>
        </w:tc>
      </w:tr>
      <w:tr w:rsidR="00C95F37" w:rsidRPr="00427899" w14:paraId="3C4858C3"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0F1888A4"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22</w:t>
            </w:r>
          </w:p>
        </w:tc>
        <w:tc>
          <w:tcPr>
            <w:tcW w:w="1162" w:type="dxa"/>
            <w:shd w:val="clear" w:color="auto" w:fill="DBDBDB" w:themeFill="text1" w:themeFillTint="33"/>
            <w:noWrap/>
            <w:hideMark/>
          </w:tcPr>
          <w:p w14:paraId="3B3EA8B0"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12</w:t>
            </w:r>
          </w:p>
        </w:tc>
        <w:tc>
          <w:tcPr>
            <w:tcW w:w="4566" w:type="dxa"/>
            <w:shd w:val="clear" w:color="auto" w:fill="DBDBDB" w:themeFill="text1" w:themeFillTint="33"/>
            <w:noWrap/>
            <w:hideMark/>
          </w:tcPr>
          <w:p w14:paraId="6DDA28BF"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Средства за организация и регулиране на движението: пътни принадлежности</w:t>
            </w:r>
          </w:p>
        </w:tc>
        <w:tc>
          <w:tcPr>
            <w:tcW w:w="2124" w:type="dxa"/>
            <w:shd w:val="clear" w:color="auto" w:fill="DBDBDB" w:themeFill="text1" w:themeFillTint="33"/>
          </w:tcPr>
          <w:p w14:paraId="655A2C28"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M111 Средства за организация и регулиране на движението</w:t>
            </w:r>
          </w:p>
        </w:tc>
        <w:tc>
          <w:tcPr>
            <w:tcW w:w="715" w:type="dxa"/>
            <w:shd w:val="clear" w:color="auto" w:fill="DBDBDB" w:themeFill="text1" w:themeFillTint="33"/>
            <w:noWrap/>
            <w:hideMark/>
          </w:tcPr>
          <w:p w14:paraId="4F5CF5A3"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CIF</w:t>
            </w:r>
          </w:p>
        </w:tc>
      </w:tr>
      <w:tr w:rsidR="00C35BE6" w:rsidRPr="00427899" w14:paraId="17C6D40F"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3E8215EB"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23</w:t>
            </w:r>
          </w:p>
        </w:tc>
        <w:tc>
          <w:tcPr>
            <w:tcW w:w="1162" w:type="dxa"/>
            <w:noWrap/>
            <w:hideMark/>
          </w:tcPr>
          <w:p w14:paraId="1F8FB37C"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18</w:t>
            </w:r>
          </w:p>
        </w:tc>
        <w:tc>
          <w:tcPr>
            <w:tcW w:w="4566" w:type="dxa"/>
            <w:noWrap/>
            <w:hideMark/>
          </w:tcPr>
          <w:p w14:paraId="66E57117"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Инженерни продукти за отпадъчни води</w:t>
            </w:r>
          </w:p>
        </w:tc>
        <w:tc>
          <w:tcPr>
            <w:tcW w:w="2124" w:type="dxa"/>
          </w:tcPr>
          <w:p w14:paraId="0B305F6B"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M118 Системи за отвеждане на отпадъчни води</w:t>
            </w:r>
          </w:p>
        </w:tc>
        <w:tc>
          <w:tcPr>
            <w:tcW w:w="715" w:type="dxa"/>
            <w:noWrap/>
            <w:hideMark/>
          </w:tcPr>
          <w:p w14:paraId="59C93A1A"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WWD</w:t>
            </w:r>
          </w:p>
        </w:tc>
      </w:tr>
      <w:tr w:rsidR="00C95F37" w:rsidRPr="00427899" w14:paraId="39358E17"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41C20A68"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24</w:t>
            </w:r>
          </w:p>
        </w:tc>
        <w:tc>
          <w:tcPr>
            <w:tcW w:w="1162" w:type="dxa"/>
            <w:shd w:val="clear" w:color="auto" w:fill="DBDBDB" w:themeFill="text1" w:themeFillTint="33"/>
            <w:noWrap/>
            <w:hideMark/>
          </w:tcPr>
          <w:p w14:paraId="4C161225"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25</w:t>
            </w:r>
          </w:p>
        </w:tc>
        <w:tc>
          <w:tcPr>
            <w:tcW w:w="4566" w:type="dxa"/>
            <w:shd w:val="clear" w:color="auto" w:fill="DBDBDB" w:themeFill="text1" w:themeFillTint="33"/>
            <w:noWrap/>
            <w:hideMark/>
          </w:tcPr>
          <w:p w14:paraId="05C2F188"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Строителни лепила</w:t>
            </w:r>
          </w:p>
        </w:tc>
        <w:tc>
          <w:tcPr>
            <w:tcW w:w="2124" w:type="dxa"/>
            <w:shd w:val="clear" w:color="auto" w:fill="DBDBDB" w:themeFill="text1" w:themeFillTint="33"/>
          </w:tcPr>
          <w:p w14:paraId="22B8AAF3"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M127 Лепила</w:t>
            </w:r>
          </w:p>
        </w:tc>
        <w:tc>
          <w:tcPr>
            <w:tcW w:w="715" w:type="dxa"/>
            <w:shd w:val="clear" w:color="auto" w:fill="DBDBDB" w:themeFill="text1" w:themeFillTint="33"/>
            <w:noWrap/>
            <w:hideMark/>
          </w:tcPr>
          <w:p w14:paraId="2182FD21"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ADH</w:t>
            </w:r>
          </w:p>
        </w:tc>
      </w:tr>
      <w:tr w:rsidR="00C35BE6" w:rsidRPr="00427899" w14:paraId="3639E12C"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5698DD8C"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25</w:t>
            </w:r>
          </w:p>
        </w:tc>
        <w:tc>
          <w:tcPr>
            <w:tcW w:w="1162" w:type="dxa"/>
            <w:noWrap/>
            <w:hideMark/>
          </w:tcPr>
          <w:p w14:paraId="417831DB"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07</w:t>
            </w:r>
          </w:p>
        </w:tc>
        <w:tc>
          <w:tcPr>
            <w:tcW w:w="4566" w:type="dxa"/>
            <w:noWrap/>
            <w:hideMark/>
          </w:tcPr>
          <w:p w14:paraId="3B1D6AE9"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Гипсови продукти</w:t>
            </w:r>
          </w:p>
        </w:tc>
        <w:tc>
          <w:tcPr>
            <w:tcW w:w="2124" w:type="dxa"/>
          </w:tcPr>
          <w:p w14:paraId="729B4A01"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M106 Гипсови продукти</w:t>
            </w:r>
          </w:p>
        </w:tc>
        <w:tc>
          <w:tcPr>
            <w:tcW w:w="715" w:type="dxa"/>
            <w:noWrap/>
            <w:hideMark/>
          </w:tcPr>
          <w:p w14:paraId="4A72EEA4"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GYP</w:t>
            </w:r>
          </w:p>
        </w:tc>
      </w:tr>
      <w:tr w:rsidR="00C95F37" w:rsidRPr="00427899" w14:paraId="5AF67CD7"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6580156C"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26</w:t>
            </w:r>
          </w:p>
        </w:tc>
        <w:tc>
          <w:tcPr>
            <w:tcW w:w="1162" w:type="dxa"/>
            <w:shd w:val="clear" w:color="auto" w:fill="DBDBDB" w:themeFill="text1" w:themeFillTint="33"/>
            <w:noWrap/>
            <w:hideMark/>
          </w:tcPr>
          <w:p w14:paraId="7DC2B22A"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33</w:t>
            </w:r>
          </w:p>
        </w:tc>
        <w:tc>
          <w:tcPr>
            <w:tcW w:w="4566" w:type="dxa"/>
            <w:shd w:val="clear" w:color="auto" w:fill="DBDBDB" w:themeFill="text1" w:themeFillTint="33"/>
            <w:noWrap/>
            <w:hideMark/>
          </w:tcPr>
          <w:p w14:paraId="3139DE9C"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Закотвящи устройства</w:t>
            </w:r>
          </w:p>
        </w:tc>
        <w:tc>
          <w:tcPr>
            <w:tcW w:w="2124" w:type="dxa"/>
            <w:shd w:val="clear" w:color="auto" w:fill="DBDBDB" w:themeFill="text1" w:themeFillTint="33"/>
          </w:tcPr>
          <w:p w14:paraId="141DC923"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N/A</w:t>
            </w:r>
          </w:p>
        </w:tc>
        <w:tc>
          <w:tcPr>
            <w:tcW w:w="715" w:type="dxa"/>
            <w:shd w:val="clear" w:color="auto" w:fill="DBDBDB" w:themeFill="text1" w:themeFillTint="33"/>
            <w:noWrap/>
            <w:hideMark/>
          </w:tcPr>
          <w:p w14:paraId="55B9FB9C"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FIX</w:t>
            </w:r>
          </w:p>
        </w:tc>
      </w:tr>
      <w:tr w:rsidR="00C35BE6" w:rsidRPr="00427899" w14:paraId="03966DE4"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3D2036E5"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27</w:t>
            </w:r>
          </w:p>
        </w:tc>
        <w:tc>
          <w:tcPr>
            <w:tcW w:w="1162" w:type="dxa"/>
            <w:noWrap/>
            <w:hideMark/>
          </w:tcPr>
          <w:p w14:paraId="17E6D386"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03</w:t>
            </w:r>
          </w:p>
        </w:tc>
        <w:tc>
          <w:tcPr>
            <w:tcW w:w="4566" w:type="dxa"/>
            <w:noWrap/>
            <w:hideMark/>
          </w:tcPr>
          <w:p w14:paraId="0D4D777A"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Мембрани, включително течно полагани и комплекти (за хидроизолация и/или пароизолация)</w:t>
            </w:r>
          </w:p>
        </w:tc>
        <w:tc>
          <w:tcPr>
            <w:tcW w:w="2124" w:type="dxa"/>
          </w:tcPr>
          <w:p w14:paraId="6FED34D8"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M102 Мембрани</w:t>
            </w:r>
          </w:p>
        </w:tc>
        <w:tc>
          <w:tcPr>
            <w:tcW w:w="715" w:type="dxa"/>
            <w:noWrap/>
            <w:hideMark/>
          </w:tcPr>
          <w:p w14:paraId="7A114524"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MEM</w:t>
            </w:r>
          </w:p>
        </w:tc>
      </w:tr>
      <w:tr w:rsidR="00C95F37" w:rsidRPr="00427899" w14:paraId="085946E3"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3D028863"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28</w:t>
            </w:r>
          </w:p>
        </w:tc>
        <w:tc>
          <w:tcPr>
            <w:tcW w:w="1162" w:type="dxa"/>
            <w:shd w:val="clear" w:color="auto" w:fill="DBDBDB" w:themeFill="text1" w:themeFillTint="33"/>
            <w:noWrap/>
            <w:hideMark/>
          </w:tcPr>
          <w:p w14:paraId="25371F86"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30</w:t>
            </w:r>
          </w:p>
        </w:tc>
        <w:tc>
          <w:tcPr>
            <w:tcW w:w="4566" w:type="dxa"/>
            <w:shd w:val="clear" w:color="auto" w:fill="DBDBDB" w:themeFill="text1" w:themeFillTint="33"/>
            <w:noWrap/>
            <w:hideMark/>
          </w:tcPr>
          <w:p w14:paraId="4EC11E30"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от плоско стъкло, профилирано стъкло и стъклени блокчета</w:t>
            </w:r>
          </w:p>
        </w:tc>
        <w:tc>
          <w:tcPr>
            <w:tcW w:w="2124" w:type="dxa"/>
            <w:shd w:val="clear" w:color="auto" w:fill="DBDBDB" w:themeFill="text1" w:themeFillTint="33"/>
          </w:tcPr>
          <w:p w14:paraId="61AFEE5A"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M135 Стъкло</w:t>
            </w:r>
          </w:p>
        </w:tc>
        <w:tc>
          <w:tcPr>
            <w:tcW w:w="715" w:type="dxa"/>
            <w:shd w:val="clear" w:color="auto" w:fill="DBDBDB" w:themeFill="text1" w:themeFillTint="33"/>
            <w:noWrap/>
            <w:hideMark/>
          </w:tcPr>
          <w:p w14:paraId="3557E782"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GLA</w:t>
            </w:r>
          </w:p>
        </w:tc>
      </w:tr>
      <w:tr w:rsidR="00C35BE6" w:rsidRPr="00427899" w14:paraId="15CD765A"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64013214"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29</w:t>
            </w:r>
          </w:p>
        </w:tc>
        <w:tc>
          <w:tcPr>
            <w:tcW w:w="1162" w:type="dxa"/>
            <w:noWrap/>
            <w:hideMark/>
          </w:tcPr>
          <w:p w14:paraId="1CEB0B46"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08</w:t>
            </w:r>
          </w:p>
        </w:tc>
        <w:tc>
          <w:tcPr>
            <w:tcW w:w="4566" w:type="dxa"/>
            <w:noWrap/>
            <w:hideMark/>
          </w:tcPr>
          <w:p w14:paraId="001C4663"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Геотекстил, геомембрани и спомагателни продукти</w:t>
            </w:r>
          </w:p>
        </w:tc>
        <w:tc>
          <w:tcPr>
            <w:tcW w:w="2124" w:type="dxa"/>
          </w:tcPr>
          <w:p w14:paraId="57C50227"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M107 Геотекстил</w:t>
            </w:r>
          </w:p>
        </w:tc>
        <w:tc>
          <w:tcPr>
            <w:tcW w:w="715" w:type="dxa"/>
            <w:noWrap/>
            <w:hideMark/>
          </w:tcPr>
          <w:p w14:paraId="3BF0893B"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GEO</w:t>
            </w:r>
          </w:p>
        </w:tc>
      </w:tr>
      <w:tr w:rsidR="00C95F37" w:rsidRPr="00427899" w14:paraId="726F353C"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06420CFA"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30</w:t>
            </w:r>
          </w:p>
        </w:tc>
        <w:tc>
          <w:tcPr>
            <w:tcW w:w="1162" w:type="dxa"/>
            <w:shd w:val="clear" w:color="auto" w:fill="DBDBDB" w:themeFill="text1" w:themeFillTint="33"/>
            <w:noWrap/>
            <w:hideMark/>
          </w:tcPr>
          <w:p w14:paraId="2EF881BA"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11</w:t>
            </w:r>
          </w:p>
        </w:tc>
        <w:tc>
          <w:tcPr>
            <w:tcW w:w="4566" w:type="dxa"/>
            <w:shd w:val="clear" w:color="auto" w:fill="DBDBDB" w:themeFill="text1" w:themeFillTint="33"/>
            <w:noWrap/>
            <w:hideMark/>
          </w:tcPr>
          <w:p w14:paraId="0E958B2C"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Санитарно обзавеждане</w:t>
            </w:r>
          </w:p>
        </w:tc>
        <w:tc>
          <w:tcPr>
            <w:tcW w:w="2124" w:type="dxa"/>
            <w:shd w:val="clear" w:color="auto" w:fill="DBDBDB" w:themeFill="text1" w:themeFillTint="33"/>
          </w:tcPr>
          <w:p w14:paraId="1A08DF38"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M110 Санитарно обзавеждане</w:t>
            </w:r>
          </w:p>
        </w:tc>
        <w:tc>
          <w:tcPr>
            <w:tcW w:w="715" w:type="dxa"/>
            <w:shd w:val="clear" w:color="auto" w:fill="DBDBDB" w:themeFill="text1" w:themeFillTint="33"/>
            <w:noWrap/>
            <w:hideMark/>
          </w:tcPr>
          <w:p w14:paraId="61681EB7"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SAP</w:t>
            </w:r>
          </w:p>
        </w:tc>
      </w:tr>
      <w:tr w:rsidR="00C35BE6" w:rsidRPr="00427899" w14:paraId="48912601"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2F5A2813"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31</w:t>
            </w:r>
          </w:p>
        </w:tc>
        <w:tc>
          <w:tcPr>
            <w:tcW w:w="1162" w:type="dxa"/>
            <w:noWrap/>
            <w:hideMark/>
          </w:tcPr>
          <w:p w14:paraId="30C01C52"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28</w:t>
            </w:r>
          </w:p>
        </w:tc>
        <w:tc>
          <w:tcPr>
            <w:tcW w:w="4566" w:type="dxa"/>
            <w:noWrap/>
            <w:hideMark/>
          </w:tcPr>
          <w:p w14:paraId="550B5133"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Тръби, резервоари и спомагателни елементи, които не са в контакт с вода, предназначена за консумация от човека</w:t>
            </w:r>
          </w:p>
        </w:tc>
        <w:tc>
          <w:tcPr>
            <w:tcW w:w="2124" w:type="dxa"/>
          </w:tcPr>
          <w:p w14:paraId="2E370272"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M131 Тръби, резервоари, които не са в контакт с питейна вода</w:t>
            </w:r>
          </w:p>
        </w:tc>
        <w:tc>
          <w:tcPr>
            <w:tcW w:w="715" w:type="dxa"/>
            <w:noWrap/>
            <w:hideMark/>
          </w:tcPr>
          <w:p w14:paraId="0F659EFE"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PTA</w:t>
            </w:r>
          </w:p>
        </w:tc>
      </w:tr>
      <w:tr w:rsidR="00C95F37" w:rsidRPr="00427899" w14:paraId="5AA17424"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036BC2E4"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32</w:t>
            </w:r>
          </w:p>
        </w:tc>
        <w:tc>
          <w:tcPr>
            <w:tcW w:w="1162" w:type="dxa"/>
            <w:shd w:val="clear" w:color="auto" w:fill="DBDBDB" w:themeFill="text1" w:themeFillTint="33"/>
            <w:noWrap/>
            <w:hideMark/>
          </w:tcPr>
          <w:p w14:paraId="58206617"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31</w:t>
            </w:r>
          </w:p>
        </w:tc>
        <w:tc>
          <w:tcPr>
            <w:tcW w:w="4566" w:type="dxa"/>
            <w:shd w:val="clear" w:color="auto" w:fill="DBDBDB" w:themeFill="text1" w:themeFillTint="33"/>
            <w:noWrap/>
            <w:hideMark/>
          </w:tcPr>
          <w:p w14:paraId="6DF96236"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Силови, контролни и съобщителни кабели</w:t>
            </w:r>
          </w:p>
        </w:tc>
        <w:tc>
          <w:tcPr>
            <w:tcW w:w="2124" w:type="dxa"/>
            <w:shd w:val="clear" w:color="auto" w:fill="DBDBDB" w:themeFill="text1" w:themeFillTint="33"/>
          </w:tcPr>
          <w:p w14:paraId="13399400"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M443 Силови, контролни и съобщителни кабели</w:t>
            </w:r>
          </w:p>
        </w:tc>
        <w:tc>
          <w:tcPr>
            <w:tcW w:w="715" w:type="dxa"/>
            <w:shd w:val="clear" w:color="auto" w:fill="DBDBDB" w:themeFill="text1" w:themeFillTint="33"/>
            <w:noWrap/>
            <w:hideMark/>
          </w:tcPr>
          <w:p w14:paraId="22EF8A82"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CAB</w:t>
            </w:r>
          </w:p>
        </w:tc>
      </w:tr>
      <w:tr w:rsidR="00C35BE6" w:rsidRPr="00427899" w14:paraId="6499D349"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7EF17DE3"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33</w:t>
            </w:r>
          </w:p>
        </w:tc>
        <w:tc>
          <w:tcPr>
            <w:tcW w:w="1162" w:type="dxa"/>
            <w:noWrap/>
            <w:hideMark/>
          </w:tcPr>
          <w:p w14:paraId="1177747D"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06</w:t>
            </w:r>
          </w:p>
        </w:tc>
        <w:tc>
          <w:tcPr>
            <w:tcW w:w="4566" w:type="dxa"/>
            <w:noWrap/>
            <w:hideMark/>
          </w:tcPr>
          <w:p w14:paraId="2EBC9F2D"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Комини, димоотводи и специфични продукти</w:t>
            </w:r>
          </w:p>
        </w:tc>
        <w:tc>
          <w:tcPr>
            <w:tcW w:w="2124" w:type="dxa"/>
          </w:tcPr>
          <w:p w14:paraId="15334AEE"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M105 Комини</w:t>
            </w:r>
          </w:p>
        </w:tc>
        <w:tc>
          <w:tcPr>
            <w:tcW w:w="715" w:type="dxa"/>
            <w:noWrap/>
            <w:hideMark/>
          </w:tcPr>
          <w:p w14:paraId="6BCE4E2C"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CHI</w:t>
            </w:r>
          </w:p>
        </w:tc>
      </w:tr>
      <w:tr w:rsidR="00C95F37" w:rsidRPr="00427899" w14:paraId="6A17E93E"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7C4B8789"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34</w:t>
            </w:r>
          </w:p>
        </w:tc>
        <w:tc>
          <w:tcPr>
            <w:tcW w:w="1162" w:type="dxa"/>
            <w:shd w:val="clear" w:color="auto" w:fill="DBDBDB" w:themeFill="text1" w:themeFillTint="33"/>
            <w:noWrap/>
            <w:hideMark/>
          </w:tcPr>
          <w:p w14:paraId="789B81CF"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32</w:t>
            </w:r>
          </w:p>
        </w:tc>
        <w:tc>
          <w:tcPr>
            <w:tcW w:w="4566" w:type="dxa"/>
            <w:shd w:val="clear" w:color="auto" w:fill="DBDBDB" w:themeFill="text1" w:themeFillTint="33"/>
            <w:noWrap/>
            <w:hideMark/>
          </w:tcPr>
          <w:p w14:paraId="00CFE9E6"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Уплътнители на фуги</w:t>
            </w:r>
          </w:p>
        </w:tc>
        <w:tc>
          <w:tcPr>
            <w:tcW w:w="2124" w:type="dxa"/>
            <w:shd w:val="clear" w:color="auto" w:fill="DBDBDB" w:themeFill="text1" w:themeFillTint="33"/>
          </w:tcPr>
          <w:p w14:paraId="434CCE3B"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M474 Неносещи уплътнения в сгради и пешеходни зони</w:t>
            </w:r>
          </w:p>
        </w:tc>
        <w:tc>
          <w:tcPr>
            <w:tcW w:w="715" w:type="dxa"/>
            <w:shd w:val="clear" w:color="auto" w:fill="DBDBDB" w:themeFill="text1" w:themeFillTint="33"/>
            <w:noWrap/>
            <w:hideMark/>
          </w:tcPr>
          <w:p w14:paraId="749097AE"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SEA</w:t>
            </w:r>
          </w:p>
        </w:tc>
      </w:tr>
      <w:tr w:rsidR="00C35BE6" w:rsidRPr="00427899" w14:paraId="33262BC1"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325BD341"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N/A</w:t>
            </w:r>
          </w:p>
        </w:tc>
        <w:tc>
          <w:tcPr>
            <w:tcW w:w="1162" w:type="dxa"/>
            <w:noWrap/>
            <w:hideMark/>
          </w:tcPr>
          <w:p w14:paraId="07C43564"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29</w:t>
            </w:r>
          </w:p>
        </w:tc>
        <w:tc>
          <w:tcPr>
            <w:tcW w:w="4566" w:type="dxa"/>
            <w:noWrap/>
            <w:hideMark/>
          </w:tcPr>
          <w:p w14:paraId="0D40E977"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Строителни продукти, които са в контакт с вода, предназначена за консумация от човека</w:t>
            </w:r>
          </w:p>
        </w:tc>
        <w:tc>
          <w:tcPr>
            <w:tcW w:w="2124" w:type="dxa"/>
          </w:tcPr>
          <w:p w14:paraId="0E492D2F"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N/A</w:t>
            </w:r>
          </w:p>
        </w:tc>
        <w:tc>
          <w:tcPr>
            <w:tcW w:w="715" w:type="dxa"/>
            <w:noWrap/>
            <w:hideMark/>
          </w:tcPr>
          <w:p w14:paraId="28572B55"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DWP</w:t>
            </w:r>
          </w:p>
        </w:tc>
      </w:tr>
      <w:tr w:rsidR="00C95F37" w:rsidRPr="00427899" w14:paraId="4D03F2AC"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shd w:val="clear" w:color="auto" w:fill="DBDBDB" w:themeFill="text1" w:themeFillTint="33"/>
            <w:noWrap/>
            <w:hideMark/>
          </w:tcPr>
          <w:p w14:paraId="5A6956B7"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N/A</w:t>
            </w:r>
          </w:p>
        </w:tc>
        <w:tc>
          <w:tcPr>
            <w:tcW w:w="1162" w:type="dxa"/>
            <w:shd w:val="clear" w:color="auto" w:fill="DBDBDB" w:themeFill="text1" w:themeFillTint="33"/>
            <w:noWrap/>
            <w:hideMark/>
          </w:tcPr>
          <w:p w14:paraId="16308EE3"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35</w:t>
            </w:r>
          </w:p>
        </w:tc>
        <w:tc>
          <w:tcPr>
            <w:tcW w:w="4566" w:type="dxa"/>
            <w:shd w:val="clear" w:color="auto" w:fill="DBDBDB" w:themeFill="text1" w:themeFillTint="33"/>
            <w:noWrap/>
            <w:hideMark/>
          </w:tcPr>
          <w:p w14:paraId="5FE65D39"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Пожароограничителни, пожароизолиращи и пожарозащитни продукти – Продукти, забавящи разпространението на огъня</w:t>
            </w:r>
          </w:p>
        </w:tc>
        <w:tc>
          <w:tcPr>
            <w:tcW w:w="2124" w:type="dxa"/>
            <w:shd w:val="clear" w:color="auto" w:fill="DBDBDB" w:themeFill="text1" w:themeFillTint="33"/>
          </w:tcPr>
          <w:p w14:paraId="23934DD8"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N/A</w:t>
            </w:r>
          </w:p>
        </w:tc>
        <w:tc>
          <w:tcPr>
            <w:tcW w:w="715" w:type="dxa"/>
            <w:shd w:val="clear" w:color="auto" w:fill="DBDBDB" w:themeFill="text1" w:themeFillTint="33"/>
            <w:noWrap/>
            <w:hideMark/>
          </w:tcPr>
          <w:p w14:paraId="651E0DCA"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FPP</w:t>
            </w:r>
          </w:p>
        </w:tc>
      </w:tr>
      <w:tr w:rsidR="00C35BE6" w:rsidRPr="00427899" w14:paraId="4A1B6C56"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 w:type="dxa"/>
            <w:noWrap/>
            <w:hideMark/>
          </w:tcPr>
          <w:p w14:paraId="2B8186BA"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N/A</w:t>
            </w:r>
          </w:p>
        </w:tc>
        <w:tc>
          <w:tcPr>
            <w:tcW w:w="1162" w:type="dxa"/>
            <w:noWrap/>
            <w:hideMark/>
          </w:tcPr>
          <w:p w14:paraId="231A6A09"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36</w:t>
            </w:r>
          </w:p>
        </w:tc>
        <w:tc>
          <w:tcPr>
            <w:tcW w:w="4566" w:type="dxa"/>
            <w:noWrap/>
            <w:hideMark/>
          </w:tcPr>
          <w:p w14:paraId="4762944A"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Закрепени стълби</w:t>
            </w:r>
          </w:p>
        </w:tc>
        <w:tc>
          <w:tcPr>
            <w:tcW w:w="2124" w:type="dxa"/>
          </w:tcPr>
          <w:p w14:paraId="2BDFBD7D"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N/A</w:t>
            </w:r>
          </w:p>
        </w:tc>
        <w:tc>
          <w:tcPr>
            <w:tcW w:w="715" w:type="dxa"/>
            <w:noWrap/>
            <w:hideMark/>
          </w:tcPr>
          <w:p w14:paraId="41753FBF"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LAD</w:t>
            </w:r>
          </w:p>
        </w:tc>
      </w:tr>
    </w:tbl>
    <w:p w14:paraId="2A42C434" w14:textId="672499DC" w:rsidR="006A0B6D" w:rsidRPr="009E1F70" w:rsidRDefault="15DF28F3" w:rsidP="00C5300B">
      <w:pPr>
        <w:spacing w:before="240"/>
        <w:jc w:val="both"/>
        <w:rPr>
          <w:rFonts w:ascii="Times New Roman" w:hAnsi="Times New Roman" w:cs="Times New Roman"/>
          <w:noProof/>
          <w:sz w:val="24"/>
          <w:szCs w:val="24"/>
        </w:rPr>
      </w:pPr>
      <w:r>
        <w:rPr>
          <w:rFonts w:ascii="Times New Roman" w:hAnsi="Times New Roman"/>
          <w:noProof/>
          <w:sz w:val="24"/>
        </w:rPr>
        <w:t>Тъй като работата, започната съгласно РСП от 2011 г., все още продължава, в началото на 2025 г. Комисията предложи на Експертната група по законодателството, свързано с РСП, да запази доста от установения през 2020 г. ред, тъй като той продължава да отразява регулаторните нужди на държавите членки, въпросите, свързани с безопасността на строежите и продуктите, както и целите на Съюза в областта на климата и кръговата икономика</w:t>
      </w:r>
      <w:r>
        <w:rPr>
          <w:rStyle w:val="FootnoteReference"/>
          <w:rFonts w:ascii="Times New Roman" w:hAnsi="Times New Roman" w:cs="Times New Roman"/>
          <w:noProof/>
          <w:sz w:val="24"/>
          <w:szCs w:val="24"/>
        </w:rPr>
        <w:footnoteReference w:id="25"/>
      </w:r>
      <w:r>
        <w:rPr>
          <w:rFonts w:ascii="Times New Roman" w:hAnsi="Times New Roman"/>
          <w:noProof/>
          <w:sz w:val="24"/>
        </w:rPr>
        <w:t>. Комисията предложи незначително актуализиране на установения преди това ред с цел:</w:t>
      </w:r>
    </w:p>
    <w:p w14:paraId="5E6DD163" w14:textId="3B9CFC35" w:rsidR="006A0B6D" w:rsidRPr="006D2C33" w:rsidRDefault="00435ABD" w:rsidP="00435ABD">
      <w:pPr>
        <w:pStyle w:val="Point3"/>
        <w:rPr>
          <w:noProof/>
        </w:rPr>
      </w:pPr>
      <w:r>
        <w:rPr>
          <w:noProof/>
        </w:rPr>
        <w:t>1)</w:t>
      </w:r>
      <w:r>
        <w:rPr>
          <w:noProof/>
        </w:rPr>
        <w:tab/>
      </w:r>
      <w:r w:rsidR="00670493">
        <w:rPr>
          <w:noProof/>
        </w:rPr>
        <w:t>адаптиране към промените на приоритетите на държавите членки, що се отнася до регулаторните им нужди;</w:t>
      </w:r>
    </w:p>
    <w:p w14:paraId="36069C48" w14:textId="3200DFCE" w:rsidR="006A0B6D" w:rsidRPr="006D2C33" w:rsidRDefault="00435ABD" w:rsidP="00435ABD">
      <w:pPr>
        <w:pStyle w:val="Point3"/>
        <w:rPr>
          <w:noProof/>
        </w:rPr>
      </w:pPr>
      <w:r>
        <w:rPr>
          <w:noProof/>
        </w:rPr>
        <w:t>2)</w:t>
      </w:r>
      <w:r>
        <w:rPr>
          <w:noProof/>
        </w:rPr>
        <w:tab/>
      </w:r>
      <w:r w:rsidR="007D75C9">
        <w:rPr>
          <w:noProof/>
        </w:rPr>
        <w:t>отразяване на настоящите приоритети на Комисията, особено във връзка с Европейския план за жилища на достъпни цени, Европейската стратегия за жилищно строителство, Пакта за чиста промишленост, Акта за кръговата икономика и Стратегията на ЕС за биоикономиката, относно това как подобни инициативи могат да бъдат допълнени от РСП;</w:t>
      </w:r>
    </w:p>
    <w:p w14:paraId="36A63D6A" w14:textId="7522E37A" w:rsidR="006A0B6D" w:rsidRPr="006D2C33" w:rsidRDefault="00435ABD" w:rsidP="00435ABD">
      <w:pPr>
        <w:pStyle w:val="Point3"/>
        <w:rPr>
          <w:noProof/>
        </w:rPr>
      </w:pPr>
      <w:r>
        <w:rPr>
          <w:noProof/>
        </w:rPr>
        <w:t>3)</w:t>
      </w:r>
      <w:r>
        <w:rPr>
          <w:noProof/>
        </w:rPr>
        <w:tab/>
      </w:r>
      <w:r w:rsidR="006A0B6D">
        <w:rPr>
          <w:noProof/>
        </w:rPr>
        <w:t>гарантиране, че обхватът на РСП е изцяло отразен чрез включване на всички фамилии продукти, изброени в приложение VII;</w:t>
      </w:r>
    </w:p>
    <w:p w14:paraId="228EDB62" w14:textId="6FB9099F" w:rsidR="006A0B6D" w:rsidRPr="006D2C33" w:rsidRDefault="00435ABD" w:rsidP="00435ABD">
      <w:pPr>
        <w:pStyle w:val="Point3"/>
        <w:rPr>
          <w:noProof/>
        </w:rPr>
      </w:pPr>
      <w:r>
        <w:rPr>
          <w:noProof/>
        </w:rPr>
        <w:t>4)</w:t>
      </w:r>
      <w:r>
        <w:rPr>
          <w:noProof/>
        </w:rPr>
        <w:tab/>
      </w:r>
      <w:r w:rsidR="006A0B6D">
        <w:rPr>
          <w:noProof/>
        </w:rPr>
        <w:t>синхронизиране на дейностите по прилагане на Регламента за екопроектирането на устойчиви продукти с работата по законодателството, свързано с РСП, чрез гарантиране на едновременното извършване на работата по обхванати от двата регламента (сходни) продукти;</w:t>
      </w:r>
    </w:p>
    <w:p w14:paraId="2531D0C7" w14:textId="559D2FBE" w:rsidR="00590EEF" w:rsidRPr="006D2C33" w:rsidRDefault="00435ABD" w:rsidP="00435ABD">
      <w:pPr>
        <w:pStyle w:val="Point3"/>
        <w:rPr>
          <w:noProof/>
        </w:rPr>
      </w:pPr>
      <w:r>
        <w:rPr>
          <w:noProof/>
        </w:rPr>
        <w:t>5)</w:t>
      </w:r>
      <w:r>
        <w:rPr>
          <w:noProof/>
        </w:rPr>
        <w:tab/>
      </w:r>
      <w:r w:rsidR="006A0B6D">
        <w:rPr>
          <w:noProof/>
        </w:rPr>
        <w:t>рационализиране на дейностите, когато работата по две фамилии продукти може да бъде обединена в една подгрупа.</w:t>
      </w:r>
    </w:p>
    <w:p w14:paraId="52E1A760" w14:textId="4899A1EE" w:rsidR="000A788F" w:rsidRPr="009E1F70" w:rsidRDefault="174BDCB5" w:rsidP="005F7DA2">
      <w:pPr>
        <w:spacing w:before="240"/>
        <w:jc w:val="both"/>
        <w:rPr>
          <w:rFonts w:ascii="Times New Roman" w:hAnsi="Times New Roman" w:cs="Times New Roman"/>
          <w:noProof/>
          <w:sz w:val="24"/>
          <w:szCs w:val="24"/>
        </w:rPr>
      </w:pPr>
      <w:r>
        <w:rPr>
          <w:rFonts w:ascii="Times New Roman" w:hAnsi="Times New Roman"/>
          <w:noProof/>
          <w:sz w:val="24"/>
        </w:rPr>
        <w:t xml:space="preserve">След консултацията с Експертната група по законодателството, свързано с РСП, се стигна до следния ред за започване на работата в конкретните подгрупи. </w:t>
      </w:r>
    </w:p>
    <w:p w14:paraId="2A0D381E" w14:textId="23F3E42D" w:rsidR="0019125A" w:rsidRPr="009E1F70" w:rsidRDefault="00E76A02" w:rsidP="0019125A">
      <w:pPr>
        <w:pStyle w:val="Caption"/>
        <w:keepNext/>
        <w:jc w:val="center"/>
        <w:rPr>
          <w:rFonts w:ascii="Times New Roman" w:hAnsi="Times New Roman" w:cs="Times New Roman"/>
          <w:b/>
          <w:bCs/>
          <w:i w:val="0"/>
          <w:iCs w:val="0"/>
          <w:noProof/>
          <w:color w:val="auto"/>
          <w:sz w:val="20"/>
          <w:szCs w:val="20"/>
        </w:rPr>
      </w:pPr>
      <w:r>
        <w:rPr>
          <w:rFonts w:ascii="Times New Roman" w:hAnsi="Times New Roman"/>
          <w:b/>
          <w:i w:val="0"/>
          <w:noProof/>
          <w:color w:val="auto"/>
          <w:sz w:val="20"/>
        </w:rPr>
        <w:t>Таблица</w:t>
      </w:r>
      <w:r>
        <w:rPr>
          <w:rFonts w:ascii="Times New Roman" w:hAnsi="Times New Roman" w:cs="Times New Roman"/>
          <w:b/>
          <w:i w:val="0"/>
          <w:noProof/>
          <w:color w:val="auto"/>
          <w:sz w:val="20"/>
        </w:rPr>
        <w:fldChar w:fldCharType="begin"/>
      </w:r>
      <w:r>
        <w:rPr>
          <w:rFonts w:ascii="Times New Roman" w:hAnsi="Times New Roman" w:cs="Times New Roman"/>
          <w:b/>
          <w:i w:val="0"/>
          <w:noProof/>
          <w:color w:val="auto"/>
          <w:sz w:val="20"/>
        </w:rPr>
        <w:instrText>SEQ Table \* ARABIC</w:instrText>
      </w:r>
      <w:r>
        <w:rPr>
          <w:rFonts w:ascii="Times New Roman" w:hAnsi="Times New Roman" w:cs="Times New Roman"/>
          <w:b/>
          <w:i w:val="0"/>
          <w:noProof/>
          <w:color w:val="auto"/>
          <w:sz w:val="20"/>
        </w:rPr>
        <w:fldChar w:fldCharType="separate"/>
      </w:r>
      <w:r>
        <w:rPr>
          <w:rFonts w:ascii="Times New Roman" w:hAnsi="Times New Roman" w:cs="Times New Roman"/>
          <w:b/>
          <w:i w:val="0"/>
          <w:noProof/>
          <w:color w:val="auto"/>
          <w:sz w:val="20"/>
        </w:rPr>
        <w:t>2</w:t>
      </w:r>
      <w:r>
        <w:rPr>
          <w:rFonts w:ascii="Times New Roman" w:hAnsi="Times New Roman" w:cs="Times New Roman"/>
          <w:b/>
          <w:i w:val="0"/>
          <w:noProof/>
          <w:color w:val="auto"/>
          <w:sz w:val="20"/>
        </w:rPr>
        <w:fldChar w:fldCharType="end"/>
      </w:r>
      <w:r>
        <w:rPr>
          <w:rFonts w:ascii="Times New Roman" w:hAnsi="Times New Roman"/>
          <w:b/>
          <w:i w:val="0"/>
          <w:noProof/>
          <w:color w:val="auto"/>
          <w:sz w:val="20"/>
        </w:rPr>
        <w:t xml:space="preserve"> </w:t>
      </w:r>
      <w:r>
        <w:rPr>
          <w:rFonts w:ascii="Times New Roman" w:hAnsi="Times New Roman" w:cs="Times New Roman"/>
          <w:b/>
          <w:i w:val="0"/>
          <w:noProof/>
          <w:color w:val="auto"/>
          <w:sz w:val="20"/>
        </w:rPr>
        <w:fldChar w:fldCharType="begin"/>
      </w:r>
      <w:r>
        <w:rPr>
          <w:rFonts w:ascii="Times New Roman" w:hAnsi="Times New Roman" w:cs="Times New Roman"/>
          <w:b/>
          <w:i w:val="0"/>
          <w:noProof/>
          <w:color w:val="auto"/>
          <w:sz w:val="20"/>
        </w:rPr>
        <w:instrText>SEQ Table \* ARABIC</w:instrText>
      </w:r>
      <w:r>
        <w:rPr>
          <w:rFonts w:ascii="Times New Roman" w:hAnsi="Times New Roman" w:cs="Times New Roman"/>
          <w:b/>
          <w:i w:val="0"/>
          <w:noProof/>
          <w:color w:val="auto"/>
          <w:sz w:val="20"/>
        </w:rPr>
        <w:fldChar w:fldCharType="end"/>
      </w:r>
      <w:r>
        <w:rPr>
          <w:rFonts w:ascii="Times New Roman" w:hAnsi="Times New Roman"/>
          <w:b/>
          <w:i w:val="0"/>
          <w:noProof/>
          <w:color w:val="auto"/>
          <w:sz w:val="20"/>
        </w:rPr>
        <w:t xml:space="preserve"> — Списък с нови приоритети по фамилии продукти </w:t>
      </w:r>
    </w:p>
    <w:tbl>
      <w:tblPr>
        <w:tblStyle w:val="TableGrid"/>
        <w:tblW w:w="0" w:type="auto"/>
        <w:tblLayout w:type="fixed"/>
        <w:tblLook w:val="04A0" w:firstRow="1" w:lastRow="0" w:firstColumn="1" w:lastColumn="0" w:noHBand="0" w:noVBand="1"/>
      </w:tblPr>
      <w:tblGrid>
        <w:gridCol w:w="1173"/>
        <w:gridCol w:w="1026"/>
        <w:gridCol w:w="920"/>
        <w:gridCol w:w="4252"/>
        <w:gridCol w:w="851"/>
        <w:gridCol w:w="1138"/>
      </w:tblGrid>
      <w:tr w:rsidR="00786B25" w:rsidRPr="00427899" w14:paraId="29A43F36" w14:textId="77777777" w:rsidTr="00266E6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173" w:type="dxa"/>
          </w:tcPr>
          <w:p w14:paraId="22414207" w14:textId="15A5FC6E" w:rsidR="00C71DF6" w:rsidRPr="00832A60" w:rsidRDefault="00C71DF6">
            <w:pPr>
              <w:spacing w:before="0" w:after="0"/>
              <w:jc w:val="center"/>
              <w:rPr>
                <w:rFonts w:ascii="Aptos Narrow" w:eastAsia="Times New Roman" w:hAnsi="Aptos Narrow" w:cs="Times New Roman"/>
                <w:noProof/>
                <w:color w:val="000000"/>
              </w:rPr>
            </w:pPr>
            <w:r>
              <w:rPr>
                <w:rFonts w:ascii="Aptos Narrow" w:hAnsi="Aptos Narrow"/>
                <w:noProof/>
                <w:color w:val="000000"/>
              </w:rPr>
              <w:t>Нов приоритет/</w:t>
            </w:r>
            <w:r>
              <w:rPr>
                <w:noProof/>
              </w:rPr>
              <w:t xml:space="preserve"> </w:t>
            </w:r>
            <w:r>
              <w:rPr>
                <w:noProof/>
              </w:rPr>
              <w:br/>
            </w:r>
            <w:r>
              <w:rPr>
                <w:rFonts w:ascii="Aptos Narrow" w:hAnsi="Aptos Narrow"/>
                <w:noProof/>
                <w:color w:val="000000"/>
              </w:rPr>
              <w:t>статус</w:t>
            </w:r>
          </w:p>
        </w:tc>
        <w:tc>
          <w:tcPr>
            <w:tcW w:w="1026" w:type="dxa"/>
            <w:shd w:val="clear" w:color="auto" w:fill="034EA2" w:themeFill="text2"/>
            <w:noWrap/>
            <w:hideMark/>
          </w:tcPr>
          <w:p w14:paraId="3C8EC76F" w14:textId="6D58D11A" w:rsidR="00C71DF6" w:rsidRPr="00427899" w:rsidRDefault="00C71DF6">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Приоритет за 2020 г.</w:t>
            </w:r>
          </w:p>
        </w:tc>
        <w:tc>
          <w:tcPr>
            <w:tcW w:w="920" w:type="dxa"/>
            <w:shd w:val="clear" w:color="auto" w:fill="034EA2" w:themeFill="text2"/>
            <w:noWrap/>
            <w:hideMark/>
          </w:tcPr>
          <w:p w14:paraId="4C85B7D7" w14:textId="7CA406C9" w:rsidR="00C71DF6" w:rsidRPr="00427899" w:rsidRDefault="00C71DF6">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 на фамилията продукти</w:t>
            </w:r>
          </w:p>
        </w:tc>
        <w:tc>
          <w:tcPr>
            <w:tcW w:w="4252" w:type="dxa"/>
            <w:shd w:val="clear" w:color="auto" w:fill="034EA2" w:themeFill="text2"/>
            <w:noWrap/>
            <w:hideMark/>
          </w:tcPr>
          <w:p w14:paraId="40EA926A" w14:textId="77777777" w:rsidR="00C71DF6" w:rsidRPr="00427899" w:rsidRDefault="00C71DF6">
            <w:pPr>
              <w:spacing w:before="0"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Фамилия продукти</w:t>
            </w:r>
          </w:p>
        </w:tc>
        <w:tc>
          <w:tcPr>
            <w:tcW w:w="851" w:type="dxa"/>
            <w:shd w:val="clear" w:color="auto" w:fill="034EA2" w:themeFill="text2"/>
          </w:tcPr>
          <w:p w14:paraId="01FFC826" w14:textId="77777777" w:rsidR="00C71DF6" w:rsidRDefault="00C71DF6">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Буквен код</w:t>
            </w:r>
          </w:p>
        </w:tc>
        <w:tc>
          <w:tcPr>
            <w:tcW w:w="1138" w:type="dxa"/>
            <w:shd w:val="clear" w:color="auto" w:fill="034EA2" w:themeFill="text2"/>
          </w:tcPr>
          <w:p w14:paraId="4CAE12E6" w14:textId="1105A7D7" w:rsidR="00C71DF6" w:rsidRPr="00427899" w:rsidRDefault="00C71DF6" w:rsidP="006E51E0">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Работата по законодателството, свързано с РСП, е започнала</w:t>
            </w:r>
          </w:p>
        </w:tc>
      </w:tr>
      <w:tr w:rsidR="00D72D26" w:rsidRPr="00427899" w14:paraId="672DCFBE"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626529DC" w14:textId="3B3C2624" w:rsidR="00C71DF6" w:rsidRPr="00832A60" w:rsidRDefault="008D54BA" w:rsidP="003015DB">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ИскС е прието</w:t>
            </w:r>
            <w:r>
              <w:rPr>
                <w:rStyle w:val="FootnoteReference"/>
                <w:rFonts w:ascii="Aptos Narrow" w:eastAsia="Times New Roman" w:hAnsi="Aptos Narrow" w:cs="Times New Roman"/>
                <w:b/>
                <w:noProof/>
                <w:color w:val="034EA2" w:themeColor="text2"/>
                <w:lang w:eastAsia="en-IE"/>
              </w:rPr>
              <w:footnoteReference w:id="26"/>
            </w:r>
          </w:p>
        </w:tc>
        <w:tc>
          <w:tcPr>
            <w:tcW w:w="1026" w:type="dxa"/>
            <w:noWrap/>
          </w:tcPr>
          <w:p w14:paraId="5E03B603" w14:textId="79FC1809" w:rsidR="00C71DF6" w:rsidRPr="00427899" w:rsidRDefault="00A94BC8" w:rsidP="003015DB">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01</w:t>
            </w:r>
          </w:p>
        </w:tc>
        <w:tc>
          <w:tcPr>
            <w:tcW w:w="920" w:type="dxa"/>
            <w:noWrap/>
          </w:tcPr>
          <w:p w14:paraId="4F6A69CE" w14:textId="65C8DC04" w:rsidR="00C71DF6" w:rsidRPr="00427899" w:rsidRDefault="00C71DF6" w:rsidP="003015DB">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01</w:t>
            </w:r>
          </w:p>
        </w:tc>
        <w:tc>
          <w:tcPr>
            <w:tcW w:w="4252" w:type="dxa"/>
            <w:noWrap/>
          </w:tcPr>
          <w:p w14:paraId="4069E013" w14:textId="13EB8C17" w:rsidR="00C71DF6" w:rsidRPr="00427899" w:rsidRDefault="00C71DF6"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Предварително изготвени продукти от обикновен бетон/лек бетон/газобетон</w:t>
            </w:r>
          </w:p>
        </w:tc>
        <w:tc>
          <w:tcPr>
            <w:tcW w:w="851" w:type="dxa"/>
          </w:tcPr>
          <w:p w14:paraId="38C60362" w14:textId="70F67250" w:rsidR="00C71DF6" w:rsidRPr="00427899" w:rsidRDefault="00C71DF6" w:rsidP="003015DB">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PCP</w:t>
            </w:r>
          </w:p>
        </w:tc>
        <w:tc>
          <w:tcPr>
            <w:tcW w:w="1138" w:type="dxa"/>
          </w:tcPr>
          <w:p w14:paraId="1F7C8F36" w14:textId="4B3FE5AA" w:rsidR="00C71DF6" w:rsidRDefault="00C71DF6"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D72D26" w:rsidRPr="00427899" w14:paraId="650264C5"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6387972B" w14:textId="6DC38A37" w:rsidR="00C71DF6" w:rsidRPr="00832A60" w:rsidRDefault="008D54BA" w:rsidP="003015DB">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ИскС е прието</w:t>
            </w:r>
          </w:p>
        </w:tc>
        <w:tc>
          <w:tcPr>
            <w:tcW w:w="1026" w:type="dxa"/>
            <w:shd w:val="clear" w:color="auto" w:fill="DBDBDB" w:themeFill="text1" w:themeFillTint="33"/>
            <w:noWrap/>
          </w:tcPr>
          <w:p w14:paraId="63BF4315" w14:textId="5A6940C6" w:rsidR="00C71DF6" w:rsidRPr="00427899" w:rsidRDefault="00A94BC8" w:rsidP="003015DB">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02</w:t>
            </w:r>
          </w:p>
        </w:tc>
        <w:tc>
          <w:tcPr>
            <w:tcW w:w="920" w:type="dxa"/>
            <w:shd w:val="clear" w:color="auto" w:fill="DBDBDB" w:themeFill="text1" w:themeFillTint="33"/>
            <w:noWrap/>
          </w:tcPr>
          <w:p w14:paraId="3B7D5D23" w14:textId="65AD83BE" w:rsidR="00C71DF6" w:rsidRPr="00427899" w:rsidRDefault="00C71DF6" w:rsidP="003015DB">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w:t>
            </w:r>
          </w:p>
        </w:tc>
        <w:tc>
          <w:tcPr>
            <w:tcW w:w="4252" w:type="dxa"/>
            <w:shd w:val="clear" w:color="auto" w:fill="DBDBDB" w:themeFill="text1" w:themeFillTint="33"/>
            <w:noWrap/>
          </w:tcPr>
          <w:p w14:paraId="536ADFC1" w14:textId="4E6A0B1F" w:rsidR="00C71DF6" w:rsidRPr="00427899" w:rsidRDefault="00C71DF6"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метални конструкции и съединителни средства за тях</w:t>
            </w:r>
          </w:p>
        </w:tc>
        <w:tc>
          <w:tcPr>
            <w:tcW w:w="851" w:type="dxa"/>
            <w:shd w:val="clear" w:color="auto" w:fill="DBDBDB" w:themeFill="text1" w:themeFillTint="33"/>
          </w:tcPr>
          <w:p w14:paraId="4616D95D" w14:textId="398C52A9" w:rsidR="00C71DF6" w:rsidRPr="00427899" w:rsidRDefault="00C71DF6" w:rsidP="003015DB">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SMP</w:t>
            </w:r>
          </w:p>
        </w:tc>
        <w:tc>
          <w:tcPr>
            <w:tcW w:w="1138" w:type="dxa"/>
            <w:shd w:val="clear" w:color="auto" w:fill="DBDBDB" w:themeFill="text1" w:themeFillTint="33"/>
          </w:tcPr>
          <w:p w14:paraId="759D8DFD" w14:textId="6D5A7DDA" w:rsidR="00C71DF6" w:rsidRDefault="00C71DF6"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D72D26" w:rsidRPr="00427899" w14:paraId="7E2A31AA"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78098E9A" w14:textId="01B784D6" w:rsidR="00C71DF6" w:rsidRPr="00832A60" w:rsidRDefault="008D54BA" w:rsidP="003015DB">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ИскС е прието</w:t>
            </w:r>
          </w:p>
        </w:tc>
        <w:tc>
          <w:tcPr>
            <w:tcW w:w="1026" w:type="dxa"/>
            <w:noWrap/>
          </w:tcPr>
          <w:p w14:paraId="21B09D7D" w14:textId="3EE6D292" w:rsidR="00C71DF6" w:rsidRPr="00427899" w:rsidRDefault="00A94BC8" w:rsidP="003015DB">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03</w:t>
            </w:r>
          </w:p>
        </w:tc>
        <w:tc>
          <w:tcPr>
            <w:tcW w:w="920" w:type="dxa"/>
            <w:noWrap/>
          </w:tcPr>
          <w:p w14:paraId="0F967B7C" w14:textId="4CA402F7" w:rsidR="00C71DF6" w:rsidRPr="00427899" w:rsidRDefault="00C71DF6" w:rsidP="003015DB">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16</w:t>
            </w:r>
          </w:p>
        </w:tc>
        <w:tc>
          <w:tcPr>
            <w:tcW w:w="4252" w:type="dxa"/>
            <w:noWrap/>
          </w:tcPr>
          <w:p w14:paraId="1B0C0AEE" w14:textId="55398A03" w:rsidR="00C71DF6" w:rsidRPr="00427899" w:rsidRDefault="00C71DF6"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Армировъчна стомана и стомана за предварително напрегнат бетон (и спомагателни продукти) — Комплекти за напрягане след бетониране</w:t>
            </w:r>
          </w:p>
        </w:tc>
        <w:tc>
          <w:tcPr>
            <w:tcW w:w="851" w:type="dxa"/>
          </w:tcPr>
          <w:p w14:paraId="380C1FDB" w14:textId="574BF0F0" w:rsidR="00C71DF6" w:rsidRPr="00427899" w:rsidRDefault="00C71DF6" w:rsidP="003015DB">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RPS</w:t>
            </w:r>
          </w:p>
        </w:tc>
        <w:tc>
          <w:tcPr>
            <w:tcW w:w="1138" w:type="dxa"/>
          </w:tcPr>
          <w:p w14:paraId="442EF4C4" w14:textId="439AFEE5" w:rsidR="00C71DF6" w:rsidRDefault="00C71DF6"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D72D26" w:rsidRPr="00427899" w14:paraId="592B828D"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33C034D4" w14:textId="39C4C470" w:rsidR="00C71DF6" w:rsidRPr="00832A60" w:rsidRDefault="00F84240" w:rsidP="003015DB">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ИскС се изготвя</w:t>
            </w:r>
          </w:p>
        </w:tc>
        <w:tc>
          <w:tcPr>
            <w:tcW w:w="1026" w:type="dxa"/>
            <w:shd w:val="clear" w:color="auto" w:fill="DBDBDB" w:themeFill="text1" w:themeFillTint="33"/>
            <w:noWrap/>
          </w:tcPr>
          <w:p w14:paraId="6FB77C69" w14:textId="15460499" w:rsidR="00C71DF6" w:rsidRPr="00427899" w:rsidRDefault="00A94BC8" w:rsidP="003015DB">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04</w:t>
            </w:r>
          </w:p>
        </w:tc>
        <w:tc>
          <w:tcPr>
            <w:tcW w:w="920" w:type="dxa"/>
            <w:shd w:val="clear" w:color="auto" w:fill="DBDBDB" w:themeFill="text1" w:themeFillTint="33"/>
            <w:noWrap/>
          </w:tcPr>
          <w:p w14:paraId="6D2CA85A" w14:textId="4B1289A2" w:rsidR="00C71DF6" w:rsidRPr="00427899" w:rsidRDefault="00C71DF6" w:rsidP="003015DB">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02</w:t>
            </w:r>
          </w:p>
        </w:tc>
        <w:tc>
          <w:tcPr>
            <w:tcW w:w="4252" w:type="dxa"/>
            <w:shd w:val="clear" w:color="auto" w:fill="DBDBDB" w:themeFill="text1" w:themeFillTint="33"/>
            <w:noWrap/>
          </w:tcPr>
          <w:p w14:paraId="65436739" w14:textId="1B70888F" w:rsidR="00C71DF6" w:rsidRPr="00427899" w:rsidRDefault="00C71DF6"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Врати, прозорци, капаци, врати за промишлени и търговски сгради и за гаражи и свързаният с тях обков</w:t>
            </w:r>
          </w:p>
        </w:tc>
        <w:tc>
          <w:tcPr>
            <w:tcW w:w="851" w:type="dxa"/>
            <w:shd w:val="clear" w:color="auto" w:fill="DBDBDB" w:themeFill="text1" w:themeFillTint="33"/>
          </w:tcPr>
          <w:p w14:paraId="65DBF083" w14:textId="17671556" w:rsidR="00C71DF6" w:rsidRPr="00427899" w:rsidRDefault="00C71DF6" w:rsidP="003015DB">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DWS</w:t>
            </w:r>
          </w:p>
        </w:tc>
        <w:tc>
          <w:tcPr>
            <w:tcW w:w="1138" w:type="dxa"/>
            <w:shd w:val="clear" w:color="auto" w:fill="DBDBDB" w:themeFill="text1" w:themeFillTint="33"/>
          </w:tcPr>
          <w:p w14:paraId="41A6C6A1" w14:textId="2C3163D8" w:rsidR="00C71DF6" w:rsidRDefault="00C71DF6"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D72D26" w:rsidRPr="00427899" w14:paraId="10A4C000"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753C3E5A" w14:textId="08A180E1"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ИскС е прието</w:t>
            </w:r>
          </w:p>
        </w:tc>
        <w:tc>
          <w:tcPr>
            <w:tcW w:w="1026" w:type="dxa"/>
            <w:noWrap/>
          </w:tcPr>
          <w:p w14:paraId="2330E873" w14:textId="24EA2E8F"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05</w:t>
            </w:r>
          </w:p>
        </w:tc>
        <w:tc>
          <w:tcPr>
            <w:tcW w:w="920" w:type="dxa"/>
            <w:noWrap/>
          </w:tcPr>
          <w:p w14:paraId="26525108" w14:textId="2136E5C5"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15</w:t>
            </w:r>
          </w:p>
        </w:tc>
        <w:tc>
          <w:tcPr>
            <w:tcW w:w="4252" w:type="dxa"/>
            <w:noWrap/>
          </w:tcPr>
          <w:p w14:paraId="3EFB5DCC" w14:textId="473385E7"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Цимент, строителна вар и други хидравлични свързващи вещества</w:t>
            </w:r>
          </w:p>
        </w:tc>
        <w:tc>
          <w:tcPr>
            <w:tcW w:w="851" w:type="dxa"/>
          </w:tcPr>
          <w:p w14:paraId="4C4A364C" w14:textId="68AA382A"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CEM</w:t>
            </w:r>
          </w:p>
        </w:tc>
        <w:tc>
          <w:tcPr>
            <w:tcW w:w="1138" w:type="dxa"/>
          </w:tcPr>
          <w:p w14:paraId="5611DD9F" w14:textId="7DD02856" w:rsidR="00F84240"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D72D26" w:rsidRPr="00427899" w14:paraId="0F5D8B30"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1B6672BB" w14:textId="2B2201E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ИскС се изготвя</w:t>
            </w:r>
          </w:p>
        </w:tc>
        <w:tc>
          <w:tcPr>
            <w:tcW w:w="1026" w:type="dxa"/>
            <w:shd w:val="clear" w:color="auto" w:fill="DBDBDB" w:themeFill="text1" w:themeFillTint="33"/>
            <w:noWrap/>
          </w:tcPr>
          <w:p w14:paraId="444C2249" w14:textId="3BCF84A8"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06</w:t>
            </w:r>
          </w:p>
        </w:tc>
        <w:tc>
          <w:tcPr>
            <w:tcW w:w="920" w:type="dxa"/>
            <w:shd w:val="clear" w:color="auto" w:fill="DBDBDB" w:themeFill="text1" w:themeFillTint="33"/>
            <w:noWrap/>
          </w:tcPr>
          <w:p w14:paraId="37CC26C2" w14:textId="4CDE747E"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04</w:t>
            </w:r>
          </w:p>
        </w:tc>
        <w:tc>
          <w:tcPr>
            <w:tcW w:w="4252" w:type="dxa"/>
            <w:shd w:val="clear" w:color="auto" w:fill="DBDBDB" w:themeFill="text1" w:themeFillTint="33"/>
            <w:noWrap/>
          </w:tcPr>
          <w:p w14:paraId="2DF7AAF5" w14:textId="33743122" w:rsidR="00F84240" w:rsidRPr="00427899" w:rsidRDefault="00F84240"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топлоизолация — Комбинирани изолационни комплекти/системи</w:t>
            </w:r>
          </w:p>
        </w:tc>
        <w:tc>
          <w:tcPr>
            <w:tcW w:w="851" w:type="dxa"/>
            <w:shd w:val="clear" w:color="auto" w:fill="DBDBDB" w:themeFill="text1" w:themeFillTint="33"/>
          </w:tcPr>
          <w:p w14:paraId="1166419D" w14:textId="60D5CB1E"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TIP</w:t>
            </w:r>
          </w:p>
        </w:tc>
        <w:tc>
          <w:tcPr>
            <w:tcW w:w="1138" w:type="dxa"/>
            <w:shd w:val="clear" w:color="auto" w:fill="DBDBDB" w:themeFill="text1" w:themeFillTint="33"/>
          </w:tcPr>
          <w:p w14:paraId="1AEFD7E3" w14:textId="35A86766" w:rsidR="00F84240"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D72D26" w:rsidRPr="00427899" w14:paraId="75C28955"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12B15A53" w14:textId="64B09199"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ИскС се изготвя</w:t>
            </w:r>
          </w:p>
        </w:tc>
        <w:tc>
          <w:tcPr>
            <w:tcW w:w="1026" w:type="dxa"/>
            <w:noWrap/>
          </w:tcPr>
          <w:p w14:paraId="38E2EA3C" w14:textId="15A661C8"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28</w:t>
            </w:r>
          </w:p>
        </w:tc>
        <w:tc>
          <w:tcPr>
            <w:tcW w:w="920" w:type="dxa"/>
            <w:noWrap/>
          </w:tcPr>
          <w:p w14:paraId="7440CF98" w14:textId="4D727EF1"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30</w:t>
            </w:r>
          </w:p>
        </w:tc>
        <w:tc>
          <w:tcPr>
            <w:tcW w:w="4252" w:type="dxa"/>
            <w:noWrap/>
          </w:tcPr>
          <w:p w14:paraId="7568E537" w14:textId="0C00689A"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от плоско стъкло, профилирано стъкло и стъклени блокчета</w:t>
            </w:r>
          </w:p>
        </w:tc>
        <w:tc>
          <w:tcPr>
            <w:tcW w:w="851" w:type="dxa"/>
          </w:tcPr>
          <w:p w14:paraId="542E5781" w14:textId="62CF189F"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GLA</w:t>
            </w:r>
          </w:p>
        </w:tc>
        <w:tc>
          <w:tcPr>
            <w:tcW w:w="1138" w:type="dxa"/>
          </w:tcPr>
          <w:p w14:paraId="10DFD8B1" w14:textId="18938D26" w:rsidR="00F84240"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786B25" w:rsidRPr="00427899" w14:paraId="14D4BCC4"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vMerge w:val="restart"/>
            <w:shd w:val="clear" w:color="auto" w:fill="DBDBDB" w:themeFill="text1" w:themeFillTint="33"/>
          </w:tcPr>
          <w:p w14:paraId="1D19B583"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01</w:t>
            </w:r>
          </w:p>
        </w:tc>
        <w:tc>
          <w:tcPr>
            <w:tcW w:w="1026" w:type="dxa"/>
            <w:shd w:val="clear" w:color="auto" w:fill="DBDBDB" w:themeFill="text1" w:themeFillTint="33"/>
            <w:noWrap/>
            <w:hideMark/>
          </w:tcPr>
          <w:p w14:paraId="7E55339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07</w:t>
            </w:r>
          </w:p>
        </w:tc>
        <w:tc>
          <w:tcPr>
            <w:tcW w:w="920" w:type="dxa"/>
            <w:shd w:val="clear" w:color="auto" w:fill="DBDBDB" w:themeFill="text1" w:themeFillTint="33"/>
            <w:noWrap/>
            <w:hideMark/>
          </w:tcPr>
          <w:p w14:paraId="25A8E8E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13</w:t>
            </w:r>
          </w:p>
        </w:tc>
        <w:tc>
          <w:tcPr>
            <w:tcW w:w="4252" w:type="dxa"/>
            <w:shd w:val="clear" w:color="auto" w:fill="DBDBDB" w:themeFill="text1" w:themeFillTint="33"/>
            <w:noWrap/>
            <w:hideMark/>
          </w:tcPr>
          <w:p w14:paraId="5BFB6624" w14:textId="77777777" w:rsidR="00F84240" w:rsidRPr="00427899" w:rsidRDefault="00F84240"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Продукти/елементи от дървесина и съединителни средства за тях</w:t>
            </w:r>
          </w:p>
        </w:tc>
        <w:tc>
          <w:tcPr>
            <w:tcW w:w="851" w:type="dxa"/>
            <w:shd w:val="clear" w:color="auto" w:fill="DBDBDB" w:themeFill="text1" w:themeFillTint="33"/>
          </w:tcPr>
          <w:p w14:paraId="568A61D2"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STP</w:t>
            </w:r>
          </w:p>
        </w:tc>
        <w:tc>
          <w:tcPr>
            <w:tcW w:w="1138" w:type="dxa"/>
            <w:shd w:val="clear" w:color="auto" w:fill="DBDBDB" w:themeFill="text1" w:themeFillTint="33"/>
          </w:tcPr>
          <w:p w14:paraId="15D7A0F7"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D72D26" w:rsidRPr="00427899" w14:paraId="733E11D5"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vMerge/>
          </w:tcPr>
          <w:p w14:paraId="405A5F81" w14:textId="77777777" w:rsidR="00F84240" w:rsidRPr="00832A60" w:rsidRDefault="00F84240" w:rsidP="00F84240">
            <w:pPr>
              <w:spacing w:before="0" w:after="0"/>
              <w:jc w:val="center"/>
              <w:rPr>
                <w:rFonts w:ascii="Aptos Narrow" w:eastAsia="Times New Roman" w:hAnsi="Aptos Narrow" w:cs="Times New Roman"/>
                <w:b/>
                <w:noProof/>
                <w:color w:val="034EA2" w:themeColor="text2"/>
                <w:lang w:eastAsia="en-IE"/>
              </w:rPr>
            </w:pPr>
          </w:p>
        </w:tc>
        <w:tc>
          <w:tcPr>
            <w:tcW w:w="1026" w:type="dxa"/>
            <w:noWrap/>
            <w:hideMark/>
          </w:tcPr>
          <w:p w14:paraId="660EA975"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16</w:t>
            </w:r>
          </w:p>
        </w:tc>
        <w:tc>
          <w:tcPr>
            <w:tcW w:w="920" w:type="dxa"/>
            <w:noWrap/>
            <w:hideMark/>
          </w:tcPr>
          <w:p w14:paraId="5B87E649"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14</w:t>
            </w:r>
          </w:p>
        </w:tc>
        <w:tc>
          <w:tcPr>
            <w:tcW w:w="4252" w:type="dxa"/>
            <w:noWrap/>
            <w:hideMark/>
          </w:tcPr>
          <w:p w14:paraId="079A773C" w14:textId="77777777"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Дървесни плочи (панели) и елементи</w:t>
            </w:r>
          </w:p>
        </w:tc>
        <w:tc>
          <w:tcPr>
            <w:tcW w:w="851" w:type="dxa"/>
          </w:tcPr>
          <w:p w14:paraId="4BDCDDD0"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WBP</w:t>
            </w:r>
          </w:p>
        </w:tc>
        <w:tc>
          <w:tcPr>
            <w:tcW w:w="1138" w:type="dxa"/>
          </w:tcPr>
          <w:p w14:paraId="7336440F"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786B25" w:rsidRPr="00427899" w14:paraId="2CF8BD8C"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2F3EFFA2"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02</w:t>
            </w:r>
          </w:p>
        </w:tc>
        <w:tc>
          <w:tcPr>
            <w:tcW w:w="1026" w:type="dxa"/>
            <w:shd w:val="clear" w:color="auto" w:fill="DBDBDB" w:themeFill="text1" w:themeFillTint="33"/>
            <w:noWrap/>
            <w:hideMark/>
          </w:tcPr>
          <w:p w14:paraId="1EE1A90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08</w:t>
            </w:r>
          </w:p>
        </w:tc>
        <w:tc>
          <w:tcPr>
            <w:tcW w:w="920" w:type="dxa"/>
            <w:shd w:val="clear" w:color="auto" w:fill="DBDBDB" w:themeFill="text1" w:themeFillTint="33"/>
            <w:noWrap/>
            <w:hideMark/>
          </w:tcPr>
          <w:p w14:paraId="521DDD03"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26</w:t>
            </w:r>
          </w:p>
        </w:tc>
        <w:tc>
          <w:tcPr>
            <w:tcW w:w="4252" w:type="dxa"/>
            <w:shd w:val="clear" w:color="auto" w:fill="DBDBDB" w:themeFill="text1" w:themeFillTint="33"/>
            <w:noWrap/>
            <w:hideMark/>
          </w:tcPr>
          <w:p w14:paraId="5EB49EC5" w14:textId="77777777" w:rsidR="00F84240" w:rsidRPr="00427899" w:rsidRDefault="00F84240"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бетони и разтвори. Инжекционни разтвори</w:t>
            </w:r>
          </w:p>
        </w:tc>
        <w:tc>
          <w:tcPr>
            <w:tcW w:w="851" w:type="dxa"/>
            <w:shd w:val="clear" w:color="auto" w:fill="DBDBDB" w:themeFill="text1" w:themeFillTint="33"/>
          </w:tcPr>
          <w:p w14:paraId="523BCDDF"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CMG</w:t>
            </w:r>
          </w:p>
        </w:tc>
        <w:tc>
          <w:tcPr>
            <w:tcW w:w="1138" w:type="dxa"/>
            <w:shd w:val="clear" w:color="auto" w:fill="DBDBDB" w:themeFill="text1" w:themeFillTint="33"/>
          </w:tcPr>
          <w:p w14:paraId="5B55C9D7"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D72D26" w:rsidRPr="00427899" w14:paraId="52CD66F8"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5D8C614D"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03</w:t>
            </w:r>
          </w:p>
        </w:tc>
        <w:tc>
          <w:tcPr>
            <w:tcW w:w="1026" w:type="dxa"/>
            <w:noWrap/>
            <w:hideMark/>
          </w:tcPr>
          <w:p w14:paraId="6D7D9EB6"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09</w:t>
            </w:r>
          </w:p>
        </w:tc>
        <w:tc>
          <w:tcPr>
            <w:tcW w:w="920" w:type="dxa"/>
            <w:noWrap/>
            <w:hideMark/>
          </w:tcPr>
          <w:p w14:paraId="073EA0DC"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17</w:t>
            </w:r>
          </w:p>
        </w:tc>
        <w:tc>
          <w:tcPr>
            <w:tcW w:w="4252" w:type="dxa"/>
            <w:noWrap/>
            <w:hideMark/>
          </w:tcPr>
          <w:p w14:paraId="08ADCB67" w14:textId="77777777"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Зидария и свързани с нея продукти — Блокове за зидария, строителни разтвори, стенни връзки</w:t>
            </w:r>
          </w:p>
        </w:tc>
        <w:tc>
          <w:tcPr>
            <w:tcW w:w="851" w:type="dxa"/>
          </w:tcPr>
          <w:p w14:paraId="0E60D9BB"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MAS</w:t>
            </w:r>
          </w:p>
        </w:tc>
        <w:tc>
          <w:tcPr>
            <w:tcW w:w="1138" w:type="dxa"/>
          </w:tcPr>
          <w:p w14:paraId="348D8DF6"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786B25" w:rsidRPr="00427899" w14:paraId="7B0448DD"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2CF42A70"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04</w:t>
            </w:r>
          </w:p>
        </w:tc>
        <w:tc>
          <w:tcPr>
            <w:tcW w:w="1026" w:type="dxa"/>
            <w:shd w:val="clear" w:color="auto" w:fill="DBDBDB" w:themeFill="text1" w:themeFillTint="33"/>
            <w:noWrap/>
            <w:hideMark/>
          </w:tcPr>
          <w:p w14:paraId="2E0CC53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10</w:t>
            </w:r>
          </w:p>
        </w:tc>
        <w:tc>
          <w:tcPr>
            <w:tcW w:w="920" w:type="dxa"/>
            <w:shd w:val="clear" w:color="auto" w:fill="DBDBDB" w:themeFill="text1" w:themeFillTint="33"/>
            <w:noWrap/>
            <w:hideMark/>
          </w:tcPr>
          <w:p w14:paraId="3AF656C6"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24</w:t>
            </w:r>
          </w:p>
        </w:tc>
        <w:tc>
          <w:tcPr>
            <w:tcW w:w="4252" w:type="dxa"/>
            <w:shd w:val="clear" w:color="auto" w:fill="DBDBDB" w:themeFill="text1" w:themeFillTint="33"/>
            <w:noWrap/>
            <w:hideMark/>
          </w:tcPr>
          <w:p w14:paraId="176BBF93" w14:textId="77777777" w:rsidR="00F84240" w:rsidRPr="00427899" w:rsidRDefault="00F84240"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Добавъчни материали</w:t>
            </w:r>
          </w:p>
        </w:tc>
        <w:tc>
          <w:tcPr>
            <w:tcW w:w="851" w:type="dxa"/>
            <w:shd w:val="clear" w:color="auto" w:fill="DBDBDB" w:themeFill="text1" w:themeFillTint="33"/>
          </w:tcPr>
          <w:p w14:paraId="1BA1357C"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AGG</w:t>
            </w:r>
          </w:p>
        </w:tc>
        <w:tc>
          <w:tcPr>
            <w:tcW w:w="1138" w:type="dxa"/>
            <w:shd w:val="clear" w:color="auto" w:fill="DBDBDB" w:themeFill="text1" w:themeFillTint="33"/>
          </w:tcPr>
          <w:p w14:paraId="128D89AD"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D72D26" w:rsidRPr="00427899" w14:paraId="50C15A06"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6E6C3B9F"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05</w:t>
            </w:r>
          </w:p>
        </w:tc>
        <w:tc>
          <w:tcPr>
            <w:tcW w:w="1026" w:type="dxa"/>
            <w:noWrap/>
            <w:hideMark/>
          </w:tcPr>
          <w:p w14:paraId="49382DFC"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15</w:t>
            </w:r>
          </w:p>
        </w:tc>
        <w:tc>
          <w:tcPr>
            <w:tcW w:w="920" w:type="dxa"/>
            <w:noWrap/>
            <w:hideMark/>
          </w:tcPr>
          <w:p w14:paraId="0B48F3B1"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09</w:t>
            </w:r>
          </w:p>
        </w:tc>
        <w:tc>
          <w:tcPr>
            <w:tcW w:w="4252" w:type="dxa"/>
            <w:noWrap/>
            <w:hideMark/>
          </w:tcPr>
          <w:p w14:paraId="08B98A4C" w14:textId="77777777"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Окачени фасади/облицовки/остъкляване и уплътняване</w:t>
            </w:r>
          </w:p>
        </w:tc>
        <w:tc>
          <w:tcPr>
            <w:tcW w:w="851" w:type="dxa"/>
          </w:tcPr>
          <w:p w14:paraId="50FB338A"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CWP</w:t>
            </w:r>
          </w:p>
        </w:tc>
        <w:tc>
          <w:tcPr>
            <w:tcW w:w="1138" w:type="dxa"/>
          </w:tcPr>
          <w:p w14:paraId="4FF51C3C" w14:textId="6EBD7EAF" w:rsidR="00F84240" w:rsidRPr="00427899" w:rsidRDefault="0018611F"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p>
        </w:tc>
      </w:tr>
      <w:tr w:rsidR="00786B25" w:rsidRPr="00427899" w14:paraId="42B5540D"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24A7825B"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06</w:t>
            </w:r>
          </w:p>
        </w:tc>
        <w:tc>
          <w:tcPr>
            <w:tcW w:w="1026" w:type="dxa"/>
            <w:shd w:val="clear" w:color="auto" w:fill="DBDBDB" w:themeFill="text1" w:themeFillTint="33"/>
            <w:noWrap/>
            <w:hideMark/>
          </w:tcPr>
          <w:p w14:paraId="49409F4C"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11</w:t>
            </w:r>
          </w:p>
        </w:tc>
        <w:tc>
          <w:tcPr>
            <w:tcW w:w="920" w:type="dxa"/>
            <w:shd w:val="clear" w:color="auto" w:fill="DBDBDB" w:themeFill="text1" w:themeFillTint="33"/>
            <w:noWrap/>
            <w:hideMark/>
          </w:tcPr>
          <w:p w14:paraId="4F2BEFF7"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10</w:t>
            </w:r>
          </w:p>
        </w:tc>
        <w:tc>
          <w:tcPr>
            <w:tcW w:w="4252" w:type="dxa"/>
            <w:shd w:val="clear" w:color="auto" w:fill="DBDBDB" w:themeFill="text1" w:themeFillTint="33"/>
            <w:noWrap/>
            <w:hideMark/>
          </w:tcPr>
          <w:p w14:paraId="63A1A9E6" w14:textId="77777777" w:rsidR="00F84240" w:rsidRPr="00427899" w:rsidRDefault="00F84240"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Стационарно противопожарно оборудване (аларма/детектор за пожароизвестяване, стационарни продукти за гасене на пожар, продукти за управление на огън и дим и за предотвратяване на експлозии)</w:t>
            </w:r>
          </w:p>
        </w:tc>
        <w:tc>
          <w:tcPr>
            <w:tcW w:w="851" w:type="dxa"/>
            <w:shd w:val="clear" w:color="auto" w:fill="DBDBDB" w:themeFill="text1" w:themeFillTint="33"/>
          </w:tcPr>
          <w:p w14:paraId="4BFFCE38"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FFF</w:t>
            </w:r>
          </w:p>
        </w:tc>
        <w:tc>
          <w:tcPr>
            <w:tcW w:w="1138" w:type="dxa"/>
            <w:shd w:val="clear" w:color="auto" w:fill="DBDBDB" w:themeFill="text1" w:themeFillTint="33"/>
          </w:tcPr>
          <w:p w14:paraId="2F97293D"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6CA0823E"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4166617F"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07</w:t>
            </w:r>
          </w:p>
        </w:tc>
        <w:tc>
          <w:tcPr>
            <w:tcW w:w="1026" w:type="dxa"/>
            <w:noWrap/>
            <w:hideMark/>
          </w:tcPr>
          <w:p w14:paraId="0FB718C3"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12</w:t>
            </w:r>
          </w:p>
        </w:tc>
        <w:tc>
          <w:tcPr>
            <w:tcW w:w="920" w:type="dxa"/>
            <w:noWrap/>
            <w:hideMark/>
          </w:tcPr>
          <w:p w14:paraId="7E3D9939"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23</w:t>
            </w:r>
          </w:p>
        </w:tc>
        <w:tc>
          <w:tcPr>
            <w:tcW w:w="4252" w:type="dxa"/>
            <w:noWrap/>
            <w:hideMark/>
          </w:tcPr>
          <w:p w14:paraId="1C2C1C3E" w14:textId="77777777"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строителство на пътища</w:t>
            </w:r>
          </w:p>
        </w:tc>
        <w:tc>
          <w:tcPr>
            <w:tcW w:w="851" w:type="dxa"/>
          </w:tcPr>
          <w:p w14:paraId="634425CD"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RCP</w:t>
            </w:r>
          </w:p>
        </w:tc>
        <w:tc>
          <w:tcPr>
            <w:tcW w:w="1138" w:type="dxa"/>
          </w:tcPr>
          <w:p w14:paraId="486B1AEA"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786B25" w:rsidRPr="00427899" w14:paraId="036FDBBE"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64B17C08"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08</w:t>
            </w:r>
          </w:p>
        </w:tc>
        <w:tc>
          <w:tcPr>
            <w:tcW w:w="1026" w:type="dxa"/>
            <w:shd w:val="clear" w:color="auto" w:fill="DBDBDB" w:themeFill="text1" w:themeFillTint="33"/>
            <w:noWrap/>
            <w:hideMark/>
          </w:tcPr>
          <w:p w14:paraId="07F03453"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13</w:t>
            </w:r>
          </w:p>
        </w:tc>
        <w:tc>
          <w:tcPr>
            <w:tcW w:w="920" w:type="dxa"/>
            <w:shd w:val="clear" w:color="auto" w:fill="DBDBDB" w:themeFill="text1" w:themeFillTint="33"/>
            <w:noWrap/>
            <w:hideMark/>
          </w:tcPr>
          <w:p w14:paraId="2513F978"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19</w:t>
            </w:r>
          </w:p>
        </w:tc>
        <w:tc>
          <w:tcPr>
            <w:tcW w:w="4252" w:type="dxa"/>
            <w:shd w:val="clear" w:color="auto" w:fill="DBDBDB" w:themeFill="text1" w:themeFillTint="33"/>
            <w:noWrap/>
            <w:hideMark/>
          </w:tcPr>
          <w:p w14:paraId="0A56359B" w14:textId="77777777" w:rsidR="00F84240" w:rsidRPr="00427899" w:rsidRDefault="00F84240"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Подови покрития</w:t>
            </w:r>
          </w:p>
        </w:tc>
        <w:tc>
          <w:tcPr>
            <w:tcW w:w="851" w:type="dxa"/>
            <w:shd w:val="clear" w:color="auto" w:fill="DBDBDB" w:themeFill="text1" w:themeFillTint="33"/>
          </w:tcPr>
          <w:p w14:paraId="285339F3"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FLO</w:t>
            </w:r>
          </w:p>
        </w:tc>
        <w:tc>
          <w:tcPr>
            <w:tcW w:w="1138" w:type="dxa"/>
            <w:shd w:val="clear" w:color="auto" w:fill="DBDBDB" w:themeFill="text1" w:themeFillTint="33"/>
          </w:tcPr>
          <w:p w14:paraId="1BE2F36D"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61A5F05F"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vMerge w:val="restart"/>
          </w:tcPr>
          <w:p w14:paraId="754DB9D9"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09</w:t>
            </w:r>
          </w:p>
        </w:tc>
        <w:tc>
          <w:tcPr>
            <w:tcW w:w="1026" w:type="dxa"/>
            <w:noWrap/>
            <w:hideMark/>
          </w:tcPr>
          <w:p w14:paraId="41DFB204"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18</w:t>
            </w:r>
          </w:p>
        </w:tc>
        <w:tc>
          <w:tcPr>
            <w:tcW w:w="920" w:type="dxa"/>
            <w:noWrap/>
            <w:hideMark/>
          </w:tcPr>
          <w:p w14:paraId="3DBD2AC8"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34</w:t>
            </w:r>
          </w:p>
        </w:tc>
        <w:tc>
          <w:tcPr>
            <w:tcW w:w="4252" w:type="dxa"/>
            <w:noWrap/>
            <w:hideMark/>
          </w:tcPr>
          <w:p w14:paraId="1D1F00A4" w14:textId="77777777"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Строителни комплекти, компоненти, предварително изготвени елементи</w:t>
            </w:r>
          </w:p>
        </w:tc>
        <w:tc>
          <w:tcPr>
            <w:tcW w:w="851" w:type="dxa"/>
          </w:tcPr>
          <w:p w14:paraId="49686014"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KAS</w:t>
            </w:r>
          </w:p>
        </w:tc>
        <w:tc>
          <w:tcPr>
            <w:tcW w:w="1138" w:type="dxa"/>
          </w:tcPr>
          <w:p w14:paraId="443ACA90"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786B25" w:rsidRPr="00427899" w14:paraId="0892282E"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vMerge/>
            <w:shd w:val="clear" w:color="auto" w:fill="DBDBDB" w:themeFill="text1" w:themeFillTint="33"/>
          </w:tcPr>
          <w:p w14:paraId="36034FB8" w14:textId="77777777" w:rsidR="00F84240" w:rsidRPr="00832A60" w:rsidRDefault="00F84240" w:rsidP="00F84240">
            <w:pPr>
              <w:spacing w:before="0" w:after="0"/>
              <w:jc w:val="center"/>
              <w:rPr>
                <w:rFonts w:ascii="Aptos Narrow" w:eastAsia="Times New Roman" w:hAnsi="Aptos Narrow" w:cs="Times New Roman"/>
                <w:b/>
                <w:noProof/>
                <w:color w:val="034EA2" w:themeColor="text2"/>
                <w:lang w:eastAsia="en-IE"/>
              </w:rPr>
            </w:pPr>
          </w:p>
        </w:tc>
        <w:tc>
          <w:tcPr>
            <w:tcW w:w="1026" w:type="dxa"/>
            <w:shd w:val="clear" w:color="auto" w:fill="DBDBDB" w:themeFill="text1" w:themeFillTint="33"/>
            <w:noWrap/>
            <w:hideMark/>
          </w:tcPr>
          <w:p w14:paraId="38160C34"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N/A</w:t>
            </w:r>
          </w:p>
        </w:tc>
        <w:tc>
          <w:tcPr>
            <w:tcW w:w="920" w:type="dxa"/>
            <w:shd w:val="clear" w:color="auto" w:fill="DBDBDB" w:themeFill="text1" w:themeFillTint="33"/>
            <w:noWrap/>
            <w:hideMark/>
          </w:tcPr>
          <w:p w14:paraId="40DEEFDF"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36</w:t>
            </w:r>
          </w:p>
        </w:tc>
        <w:tc>
          <w:tcPr>
            <w:tcW w:w="4252" w:type="dxa"/>
            <w:shd w:val="clear" w:color="auto" w:fill="DBDBDB" w:themeFill="text1" w:themeFillTint="33"/>
            <w:noWrap/>
            <w:hideMark/>
          </w:tcPr>
          <w:p w14:paraId="43A514B4"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Закрепени стълби</w:t>
            </w:r>
          </w:p>
        </w:tc>
        <w:tc>
          <w:tcPr>
            <w:tcW w:w="851" w:type="dxa"/>
            <w:shd w:val="clear" w:color="auto" w:fill="DBDBDB" w:themeFill="text1" w:themeFillTint="33"/>
          </w:tcPr>
          <w:p w14:paraId="2F181D4D" w14:textId="77777777" w:rsidR="00F84240"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LAD</w:t>
            </w:r>
          </w:p>
        </w:tc>
        <w:tc>
          <w:tcPr>
            <w:tcW w:w="1138" w:type="dxa"/>
            <w:shd w:val="clear" w:color="auto" w:fill="DBDBDB" w:themeFill="text1" w:themeFillTint="33"/>
          </w:tcPr>
          <w:p w14:paraId="4B28D9A1"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5AB2F164"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6A1C27D4"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10</w:t>
            </w:r>
          </w:p>
        </w:tc>
        <w:tc>
          <w:tcPr>
            <w:tcW w:w="1026" w:type="dxa"/>
            <w:noWrap/>
            <w:hideMark/>
          </w:tcPr>
          <w:p w14:paraId="5530D5EB"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19</w:t>
            </w:r>
          </w:p>
        </w:tc>
        <w:tc>
          <w:tcPr>
            <w:tcW w:w="920" w:type="dxa"/>
            <w:noWrap/>
            <w:hideMark/>
          </w:tcPr>
          <w:p w14:paraId="4D8B7369"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21</w:t>
            </w:r>
          </w:p>
        </w:tc>
        <w:tc>
          <w:tcPr>
            <w:tcW w:w="4252" w:type="dxa"/>
            <w:noWrap/>
            <w:hideMark/>
          </w:tcPr>
          <w:p w14:paraId="79D75137"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Облицовка за вътрешни, външни стени и тавани — Комплекти вътрешни преградни стени</w:t>
            </w:r>
          </w:p>
        </w:tc>
        <w:tc>
          <w:tcPr>
            <w:tcW w:w="851" w:type="dxa"/>
          </w:tcPr>
          <w:p w14:paraId="5453B586"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WCF</w:t>
            </w:r>
          </w:p>
        </w:tc>
        <w:tc>
          <w:tcPr>
            <w:tcW w:w="1138" w:type="dxa"/>
          </w:tcPr>
          <w:p w14:paraId="2A67A9FA"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7BBDE6F3"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4F4AE960" w14:textId="149C8D45" w:rsidR="00F8424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11</w:t>
            </w:r>
          </w:p>
        </w:tc>
        <w:tc>
          <w:tcPr>
            <w:tcW w:w="1026" w:type="dxa"/>
            <w:shd w:val="clear" w:color="auto" w:fill="DBDBDB" w:themeFill="text1" w:themeFillTint="33"/>
            <w:noWrap/>
          </w:tcPr>
          <w:p w14:paraId="07E7F31A" w14:textId="2B05CBE6"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25</w:t>
            </w:r>
          </w:p>
        </w:tc>
        <w:tc>
          <w:tcPr>
            <w:tcW w:w="920" w:type="dxa"/>
            <w:shd w:val="clear" w:color="auto" w:fill="DBDBDB" w:themeFill="text1" w:themeFillTint="33"/>
            <w:noWrap/>
          </w:tcPr>
          <w:p w14:paraId="6865DD26" w14:textId="186C0AA1"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07</w:t>
            </w:r>
          </w:p>
        </w:tc>
        <w:tc>
          <w:tcPr>
            <w:tcW w:w="4252" w:type="dxa"/>
            <w:shd w:val="clear" w:color="auto" w:fill="DBDBDB" w:themeFill="text1" w:themeFillTint="33"/>
            <w:noWrap/>
          </w:tcPr>
          <w:p w14:paraId="26E1D731" w14:textId="03E06E53" w:rsidR="00F84240" w:rsidRPr="00427899" w:rsidRDefault="00F84240" w:rsidP="0099364A">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Гипсови продукти</w:t>
            </w:r>
          </w:p>
        </w:tc>
        <w:tc>
          <w:tcPr>
            <w:tcW w:w="851" w:type="dxa"/>
            <w:shd w:val="clear" w:color="auto" w:fill="DBDBDB" w:themeFill="text1" w:themeFillTint="33"/>
          </w:tcPr>
          <w:p w14:paraId="41094B37" w14:textId="53F52398"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GYP</w:t>
            </w:r>
          </w:p>
        </w:tc>
        <w:tc>
          <w:tcPr>
            <w:tcW w:w="1138" w:type="dxa"/>
            <w:shd w:val="clear" w:color="auto" w:fill="DBDBDB" w:themeFill="text1" w:themeFillTint="33"/>
          </w:tcPr>
          <w:p w14:paraId="1C9763B6" w14:textId="7E6355F5" w:rsidR="00F84240" w:rsidRPr="00223DF8"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21E5CCEF"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1DE36232" w14:textId="0722643D" w:rsidR="00F84240" w:rsidRPr="00991C43"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12</w:t>
            </w:r>
          </w:p>
        </w:tc>
        <w:tc>
          <w:tcPr>
            <w:tcW w:w="1026" w:type="dxa"/>
            <w:noWrap/>
            <w:hideMark/>
          </w:tcPr>
          <w:p w14:paraId="373ADBFA"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17</w:t>
            </w:r>
          </w:p>
        </w:tc>
        <w:tc>
          <w:tcPr>
            <w:tcW w:w="920" w:type="dxa"/>
            <w:noWrap/>
            <w:hideMark/>
          </w:tcPr>
          <w:p w14:paraId="6815C80E"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05</w:t>
            </w:r>
          </w:p>
        </w:tc>
        <w:tc>
          <w:tcPr>
            <w:tcW w:w="4252" w:type="dxa"/>
            <w:noWrap/>
            <w:hideMark/>
          </w:tcPr>
          <w:p w14:paraId="26A8B0CE"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Лагери за конструкции — Елементи за фуги на конструкции</w:t>
            </w:r>
          </w:p>
        </w:tc>
        <w:tc>
          <w:tcPr>
            <w:tcW w:w="851" w:type="dxa"/>
          </w:tcPr>
          <w:p w14:paraId="3093A202"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SBE</w:t>
            </w:r>
          </w:p>
        </w:tc>
        <w:tc>
          <w:tcPr>
            <w:tcW w:w="1138" w:type="dxa"/>
          </w:tcPr>
          <w:p w14:paraId="2ABAF208"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786B25" w:rsidRPr="00427899" w14:paraId="2D0EB61F"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07F3BF19" w14:textId="4FED8D91" w:rsidR="00F84240" w:rsidRPr="00991C43"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13</w:t>
            </w:r>
          </w:p>
        </w:tc>
        <w:tc>
          <w:tcPr>
            <w:tcW w:w="1026" w:type="dxa"/>
            <w:shd w:val="clear" w:color="auto" w:fill="DBDBDB" w:themeFill="text1" w:themeFillTint="33"/>
            <w:noWrap/>
            <w:hideMark/>
          </w:tcPr>
          <w:p w14:paraId="2CF6E67E"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w:t>
            </w:r>
          </w:p>
        </w:tc>
        <w:tc>
          <w:tcPr>
            <w:tcW w:w="920" w:type="dxa"/>
            <w:shd w:val="clear" w:color="auto" w:fill="DBDBDB" w:themeFill="text1" w:themeFillTint="33"/>
            <w:noWrap/>
            <w:hideMark/>
          </w:tcPr>
          <w:p w14:paraId="16F5436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27</w:t>
            </w:r>
          </w:p>
        </w:tc>
        <w:tc>
          <w:tcPr>
            <w:tcW w:w="4252" w:type="dxa"/>
            <w:shd w:val="clear" w:color="auto" w:fill="DBDBDB" w:themeFill="text1" w:themeFillTint="33"/>
            <w:noWrap/>
            <w:hideMark/>
          </w:tcPr>
          <w:p w14:paraId="5A274871"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Уреди за отопление</w:t>
            </w:r>
          </w:p>
        </w:tc>
        <w:tc>
          <w:tcPr>
            <w:tcW w:w="851" w:type="dxa"/>
            <w:shd w:val="clear" w:color="auto" w:fill="DBDBDB" w:themeFill="text1" w:themeFillTint="33"/>
          </w:tcPr>
          <w:p w14:paraId="3012ED38"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SHA</w:t>
            </w:r>
          </w:p>
        </w:tc>
        <w:tc>
          <w:tcPr>
            <w:tcW w:w="1138" w:type="dxa"/>
            <w:shd w:val="clear" w:color="auto" w:fill="DBDBDB" w:themeFill="text1" w:themeFillTint="33"/>
          </w:tcPr>
          <w:p w14:paraId="612352D6" w14:textId="6934290C"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3B297FC2"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286D7BC2" w14:textId="7202478F" w:rsidR="00F84240" w:rsidRPr="00991C43"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14</w:t>
            </w:r>
          </w:p>
        </w:tc>
        <w:tc>
          <w:tcPr>
            <w:tcW w:w="1026" w:type="dxa"/>
            <w:noWrap/>
            <w:hideMark/>
          </w:tcPr>
          <w:p w14:paraId="0B3199AC"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21</w:t>
            </w:r>
          </w:p>
        </w:tc>
        <w:tc>
          <w:tcPr>
            <w:tcW w:w="920" w:type="dxa"/>
            <w:noWrap/>
            <w:hideMark/>
          </w:tcPr>
          <w:p w14:paraId="08E106F2"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22</w:t>
            </w:r>
          </w:p>
        </w:tc>
        <w:tc>
          <w:tcPr>
            <w:tcW w:w="4252" w:type="dxa"/>
            <w:noWrap/>
            <w:hideMark/>
          </w:tcPr>
          <w:p w14:paraId="3BD432E1"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Покривни покрития, горно осветление, покривни прозорци и спомагателни продукти — Покривни комплекти</w:t>
            </w:r>
          </w:p>
        </w:tc>
        <w:tc>
          <w:tcPr>
            <w:tcW w:w="851" w:type="dxa"/>
          </w:tcPr>
          <w:p w14:paraId="56B0A7B8"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ROC</w:t>
            </w:r>
          </w:p>
        </w:tc>
        <w:tc>
          <w:tcPr>
            <w:tcW w:w="1138" w:type="dxa"/>
          </w:tcPr>
          <w:p w14:paraId="521F30B5"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786B25" w:rsidRPr="00427899" w14:paraId="5CC81E89"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42170DBE" w14:textId="399CB2DA" w:rsidR="00F84240" w:rsidRPr="00991C43"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15</w:t>
            </w:r>
          </w:p>
        </w:tc>
        <w:tc>
          <w:tcPr>
            <w:tcW w:w="1026" w:type="dxa"/>
            <w:shd w:val="clear" w:color="auto" w:fill="DBDBDB" w:themeFill="text1" w:themeFillTint="33"/>
            <w:noWrap/>
            <w:hideMark/>
          </w:tcPr>
          <w:p w14:paraId="09770AD1"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22</w:t>
            </w:r>
          </w:p>
        </w:tc>
        <w:tc>
          <w:tcPr>
            <w:tcW w:w="920" w:type="dxa"/>
            <w:shd w:val="clear" w:color="auto" w:fill="DBDBDB" w:themeFill="text1" w:themeFillTint="33"/>
            <w:noWrap/>
            <w:hideMark/>
          </w:tcPr>
          <w:p w14:paraId="36E6B0C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12</w:t>
            </w:r>
          </w:p>
        </w:tc>
        <w:tc>
          <w:tcPr>
            <w:tcW w:w="4252" w:type="dxa"/>
            <w:shd w:val="clear" w:color="auto" w:fill="DBDBDB" w:themeFill="text1" w:themeFillTint="33"/>
            <w:noWrap/>
            <w:hideMark/>
          </w:tcPr>
          <w:p w14:paraId="4B183BEC"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Средства за организация и регулиране на движението: пътни принадлежности</w:t>
            </w:r>
          </w:p>
        </w:tc>
        <w:tc>
          <w:tcPr>
            <w:tcW w:w="851" w:type="dxa"/>
            <w:shd w:val="clear" w:color="auto" w:fill="DBDBDB" w:themeFill="text1" w:themeFillTint="33"/>
          </w:tcPr>
          <w:p w14:paraId="7BBFBC13"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CIF</w:t>
            </w:r>
          </w:p>
        </w:tc>
        <w:tc>
          <w:tcPr>
            <w:tcW w:w="1138" w:type="dxa"/>
            <w:shd w:val="clear" w:color="auto" w:fill="DBDBDB" w:themeFill="text1" w:themeFillTint="33"/>
          </w:tcPr>
          <w:p w14:paraId="059F21F6"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459F15DF"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04484E82" w14:textId="727D03D5" w:rsidR="00F84240" w:rsidRPr="00991C43"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16</w:t>
            </w:r>
          </w:p>
        </w:tc>
        <w:tc>
          <w:tcPr>
            <w:tcW w:w="1026" w:type="dxa"/>
            <w:noWrap/>
            <w:hideMark/>
          </w:tcPr>
          <w:p w14:paraId="64F87172"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23</w:t>
            </w:r>
          </w:p>
        </w:tc>
        <w:tc>
          <w:tcPr>
            <w:tcW w:w="920" w:type="dxa"/>
            <w:noWrap/>
            <w:hideMark/>
          </w:tcPr>
          <w:p w14:paraId="2A25004D"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18</w:t>
            </w:r>
          </w:p>
        </w:tc>
        <w:tc>
          <w:tcPr>
            <w:tcW w:w="4252" w:type="dxa"/>
            <w:noWrap/>
            <w:hideMark/>
          </w:tcPr>
          <w:p w14:paraId="6889544D"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Инженерни продукти за отпадъчни води</w:t>
            </w:r>
          </w:p>
        </w:tc>
        <w:tc>
          <w:tcPr>
            <w:tcW w:w="851" w:type="dxa"/>
          </w:tcPr>
          <w:p w14:paraId="7773EF00"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WWD</w:t>
            </w:r>
          </w:p>
        </w:tc>
        <w:tc>
          <w:tcPr>
            <w:tcW w:w="1138" w:type="dxa"/>
          </w:tcPr>
          <w:p w14:paraId="35A4DBD2"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786B25" w:rsidRPr="00427899" w14:paraId="3B43221B"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vMerge w:val="restart"/>
            <w:shd w:val="clear" w:color="auto" w:fill="DBDBDB" w:themeFill="text1" w:themeFillTint="33"/>
          </w:tcPr>
          <w:p w14:paraId="0316D6B8" w14:textId="0E9E635E" w:rsidR="00F84240" w:rsidRPr="00991C43"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17</w:t>
            </w:r>
          </w:p>
        </w:tc>
        <w:tc>
          <w:tcPr>
            <w:tcW w:w="1026" w:type="dxa"/>
            <w:shd w:val="clear" w:color="auto" w:fill="DBDBDB" w:themeFill="text1" w:themeFillTint="33"/>
            <w:noWrap/>
            <w:hideMark/>
          </w:tcPr>
          <w:p w14:paraId="1E3807FE"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24</w:t>
            </w:r>
          </w:p>
        </w:tc>
        <w:tc>
          <w:tcPr>
            <w:tcW w:w="920" w:type="dxa"/>
            <w:shd w:val="clear" w:color="auto" w:fill="DBDBDB" w:themeFill="text1" w:themeFillTint="33"/>
            <w:noWrap/>
            <w:hideMark/>
          </w:tcPr>
          <w:p w14:paraId="66976920"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25</w:t>
            </w:r>
          </w:p>
        </w:tc>
        <w:tc>
          <w:tcPr>
            <w:tcW w:w="4252" w:type="dxa"/>
            <w:shd w:val="clear" w:color="auto" w:fill="DBDBDB" w:themeFill="text1" w:themeFillTint="33"/>
            <w:noWrap/>
            <w:hideMark/>
          </w:tcPr>
          <w:p w14:paraId="59A8D6E7"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Строителни лепила</w:t>
            </w:r>
          </w:p>
        </w:tc>
        <w:tc>
          <w:tcPr>
            <w:tcW w:w="851" w:type="dxa"/>
            <w:shd w:val="clear" w:color="auto" w:fill="DBDBDB" w:themeFill="text1" w:themeFillTint="33"/>
          </w:tcPr>
          <w:p w14:paraId="3D49336F"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ADH</w:t>
            </w:r>
          </w:p>
        </w:tc>
        <w:tc>
          <w:tcPr>
            <w:tcW w:w="1138" w:type="dxa"/>
            <w:shd w:val="clear" w:color="auto" w:fill="DBDBDB" w:themeFill="text1" w:themeFillTint="33"/>
          </w:tcPr>
          <w:p w14:paraId="3C470928"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24C3256D"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vMerge/>
          </w:tcPr>
          <w:p w14:paraId="19802BA5" w14:textId="77777777" w:rsidR="00F84240" w:rsidRPr="00832A60" w:rsidRDefault="00F84240" w:rsidP="00F84240">
            <w:pPr>
              <w:spacing w:before="0" w:after="0"/>
              <w:jc w:val="center"/>
              <w:rPr>
                <w:rFonts w:ascii="Aptos Narrow" w:eastAsia="Times New Roman" w:hAnsi="Aptos Narrow" w:cs="Times New Roman"/>
                <w:b/>
                <w:noProof/>
                <w:color w:val="034EA2" w:themeColor="text2"/>
                <w:lang w:eastAsia="en-IE"/>
              </w:rPr>
            </w:pPr>
          </w:p>
        </w:tc>
        <w:tc>
          <w:tcPr>
            <w:tcW w:w="1026" w:type="dxa"/>
            <w:noWrap/>
            <w:hideMark/>
          </w:tcPr>
          <w:p w14:paraId="65171781"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34</w:t>
            </w:r>
          </w:p>
        </w:tc>
        <w:tc>
          <w:tcPr>
            <w:tcW w:w="920" w:type="dxa"/>
            <w:noWrap/>
            <w:hideMark/>
          </w:tcPr>
          <w:p w14:paraId="41EDA367"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32</w:t>
            </w:r>
          </w:p>
        </w:tc>
        <w:tc>
          <w:tcPr>
            <w:tcW w:w="4252" w:type="dxa"/>
            <w:noWrap/>
            <w:hideMark/>
          </w:tcPr>
          <w:p w14:paraId="54A283B4"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Уплътнители на фуги</w:t>
            </w:r>
          </w:p>
        </w:tc>
        <w:tc>
          <w:tcPr>
            <w:tcW w:w="851" w:type="dxa"/>
          </w:tcPr>
          <w:p w14:paraId="79A36FB2"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SEA</w:t>
            </w:r>
          </w:p>
        </w:tc>
        <w:tc>
          <w:tcPr>
            <w:tcW w:w="1138" w:type="dxa"/>
          </w:tcPr>
          <w:p w14:paraId="0E0101AB"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786B25" w:rsidRPr="00427899" w14:paraId="68E89E5F"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7F6B1D3B"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18</w:t>
            </w:r>
          </w:p>
        </w:tc>
        <w:tc>
          <w:tcPr>
            <w:tcW w:w="1026" w:type="dxa"/>
            <w:shd w:val="clear" w:color="auto" w:fill="DBDBDB" w:themeFill="text1" w:themeFillTint="33"/>
            <w:noWrap/>
            <w:hideMark/>
          </w:tcPr>
          <w:p w14:paraId="4B4D4AC2"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N/A</w:t>
            </w:r>
          </w:p>
        </w:tc>
        <w:tc>
          <w:tcPr>
            <w:tcW w:w="920" w:type="dxa"/>
            <w:shd w:val="clear" w:color="auto" w:fill="DBDBDB" w:themeFill="text1" w:themeFillTint="33"/>
            <w:noWrap/>
            <w:hideMark/>
          </w:tcPr>
          <w:p w14:paraId="6F39C4B9"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35</w:t>
            </w:r>
          </w:p>
        </w:tc>
        <w:tc>
          <w:tcPr>
            <w:tcW w:w="4252" w:type="dxa"/>
            <w:shd w:val="clear" w:color="auto" w:fill="DBDBDB" w:themeFill="text1" w:themeFillTint="33"/>
            <w:noWrap/>
            <w:hideMark/>
          </w:tcPr>
          <w:p w14:paraId="163CDBA7"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Пожароограничителни, пожароизолиращи и пожарозащитни продукти – Продукти, забавящи разпространението на огъня</w:t>
            </w:r>
          </w:p>
        </w:tc>
        <w:tc>
          <w:tcPr>
            <w:tcW w:w="851" w:type="dxa"/>
            <w:shd w:val="clear" w:color="auto" w:fill="DBDBDB" w:themeFill="text1" w:themeFillTint="33"/>
          </w:tcPr>
          <w:p w14:paraId="37C3659E" w14:textId="77777777" w:rsidR="00F84240"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FPP</w:t>
            </w:r>
          </w:p>
        </w:tc>
        <w:tc>
          <w:tcPr>
            <w:tcW w:w="1138" w:type="dxa"/>
            <w:shd w:val="clear" w:color="auto" w:fill="DBDBDB" w:themeFill="text1" w:themeFillTint="33"/>
          </w:tcPr>
          <w:p w14:paraId="5E1E30F8"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551AB0D5"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3F109920"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19</w:t>
            </w:r>
          </w:p>
        </w:tc>
        <w:tc>
          <w:tcPr>
            <w:tcW w:w="1026" w:type="dxa"/>
            <w:noWrap/>
            <w:hideMark/>
          </w:tcPr>
          <w:p w14:paraId="7ACF28B4"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26</w:t>
            </w:r>
          </w:p>
        </w:tc>
        <w:tc>
          <w:tcPr>
            <w:tcW w:w="920" w:type="dxa"/>
            <w:noWrap/>
            <w:hideMark/>
          </w:tcPr>
          <w:p w14:paraId="7859778D"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33</w:t>
            </w:r>
          </w:p>
        </w:tc>
        <w:tc>
          <w:tcPr>
            <w:tcW w:w="4252" w:type="dxa"/>
            <w:noWrap/>
            <w:hideMark/>
          </w:tcPr>
          <w:p w14:paraId="1B4C474C"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Закотвящи устройства</w:t>
            </w:r>
          </w:p>
        </w:tc>
        <w:tc>
          <w:tcPr>
            <w:tcW w:w="851" w:type="dxa"/>
          </w:tcPr>
          <w:p w14:paraId="5857F7D0" w14:textId="77777777" w:rsidR="00F84240"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FIX</w:t>
            </w:r>
          </w:p>
        </w:tc>
        <w:tc>
          <w:tcPr>
            <w:tcW w:w="1138" w:type="dxa"/>
          </w:tcPr>
          <w:p w14:paraId="41CAD229"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786B25" w:rsidRPr="00427899" w14:paraId="7CC0435E"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7BFEB5AA"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20</w:t>
            </w:r>
          </w:p>
        </w:tc>
        <w:tc>
          <w:tcPr>
            <w:tcW w:w="1026" w:type="dxa"/>
            <w:shd w:val="clear" w:color="auto" w:fill="DBDBDB" w:themeFill="text1" w:themeFillTint="33"/>
            <w:noWrap/>
            <w:hideMark/>
          </w:tcPr>
          <w:p w14:paraId="758C363D"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27</w:t>
            </w:r>
          </w:p>
        </w:tc>
        <w:tc>
          <w:tcPr>
            <w:tcW w:w="920" w:type="dxa"/>
            <w:shd w:val="clear" w:color="auto" w:fill="DBDBDB" w:themeFill="text1" w:themeFillTint="33"/>
            <w:noWrap/>
            <w:hideMark/>
          </w:tcPr>
          <w:p w14:paraId="1F09A930"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03</w:t>
            </w:r>
          </w:p>
        </w:tc>
        <w:tc>
          <w:tcPr>
            <w:tcW w:w="4252" w:type="dxa"/>
            <w:shd w:val="clear" w:color="auto" w:fill="DBDBDB" w:themeFill="text1" w:themeFillTint="33"/>
            <w:noWrap/>
            <w:hideMark/>
          </w:tcPr>
          <w:p w14:paraId="50AC66FC"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Мембрани, включително течно полагани и комплекти (за хидроизолация и/или пароизолация)</w:t>
            </w:r>
          </w:p>
        </w:tc>
        <w:tc>
          <w:tcPr>
            <w:tcW w:w="851" w:type="dxa"/>
            <w:shd w:val="clear" w:color="auto" w:fill="DBDBDB" w:themeFill="text1" w:themeFillTint="33"/>
          </w:tcPr>
          <w:p w14:paraId="00F7B581"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MEM</w:t>
            </w:r>
          </w:p>
        </w:tc>
        <w:tc>
          <w:tcPr>
            <w:tcW w:w="1138" w:type="dxa"/>
            <w:shd w:val="clear" w:color="auto" w:fill="DBDBDB" w:themeFill="text1" w:themeFillTint="33"/>
          </w:tcPr>
          <w:p w14:paraId="39FAD52E"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72F6BD9E"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76E56E8C"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21</w:t>
            </w:r>
          </w:p>
        </w:tc>
        <w:tc>
          <w:tcPr>
            <w:tcW w:w="1026" w:type="dxa"/>
            <w:noWrap/>
            <w:hideMark/>
          </w:tcPr>
          <w:p w14:paraId="5ACEE55F"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29</w:t>
            </w:r>
          </w:p>
        </w:tc>
        <w:tc>
          <w:tcPr>
            <w:tcW w:w="920" w:type="dxa"/>
            <w:noWrap/>
            <w:hideMark/>
          </w:tcPr>
          <w:p w14:paraId="4E4258BC"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08</w:t>
            </w:r>
          </w:p>
        </w:tc>
        <w:tc>
          <w:tcPr>
            <w:tcW w:w="4252" w:type="dxa"/>
            <w:noWrap/>
            <w:hideMark/>
          </w:tcPr>
          <w:p w14:paraId="6252FB5D"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Геотекстил, геомембрани и спомагателни продукти</w:t>
            </w:r>
          </w:p>
        </w:tc>
        <w:tc>
          <w:tcPr>
            <w:tcW w:w="851" w:type="dxa"/>
          </w:tcPr>
          <w:p w14:paraId="2481FB2C"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GEO</w:t>
            </w:r>
          </w:p>
        </w:tc>
        <w:tc>
          <w:tcPr>
            <w:tcW w:w="1138" w:type="dxa"/>
          </w:tcPr>
          <w:p w14:paraId="298D9F67"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786B25" w:rsidRPr="00427899" w14:paraId="0455F254"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7ED543DD"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22</w:t>
            </w:r>
          </w:p>
        </w:tc>
        <w:tc>
          <w:tcPr>
            <w:tcW w:w="1026" w:type="dxa"/>
            <w:shd w:val="clear" w:color="auto" w:fill="DBDBDB" w:themeFill="text1" w:themeFillTint="33"/>
            <w:noWrap/>
            <w:hideMark/>
          </w:tcPr>
          <w:p w14:paraId="56998406"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30</w:t>
            </w:r>
          </w:p>
        </w:tc>
        <w:tc>
          <w:tcPr>
            <w:tcW w:w="920" w:type="dxa"/>
            <w:shd w:val="clear" w:color="auto" w:fill="DBDBDB" w:themeFill="text1" w:themeFillTint="33"/>
            <w:noWrap/>
            <w:hideMark/>
          </w:tcPr>
          <w:p w14:paraId="5A6AB511"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11</w:t>
            </w:r>
          </w:p>
        </w:tc>
        <w:tc>
          <w:tcPr>
            <w:tcW w:w="4252" w:type="dxa"/>
            <w:shd w:val="clear" w:color="auto" w:fill="DBDBDB" w:themeFill="text1" w:themeFillTint="33"/>
            <w:noWrap/>
            <w:hideMark/>
          </w:tcPr>
          <w:p w14:paraId="4AB133AD"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Санитарно обзавеждане</w:t>
            </w:r>
          </w:p>
        </w:tc>
        <w:tc>
          <w:tcPr>
            <w:tcW w:w="851" w:type="dxa"/>
            <w:shd w:val="clear" w:color="auto" w:fill="DBDBDB" w:themeFill="text1" w:themeFillTint="33"/>
          </w:tcPr>
          <w:p w14:paraId="0B186046"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SAP</w:t>
            </w:r>
          </w:p>
        </w:tc>
        <w:tc>
          <w:tcPr>
            <w:tcW w:w="1138" w:type="dxa"/>
            <w:shd w:val="clear" w:color="auto" w:fill="DBDBDB" w:themeFill="text1" w:themeFillTint="33"/>
          </w:tcPr>
          <w:p w14:paraId="41320A89"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122AE295"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703E2EE5"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23</w:t>
            </w:r>
          </w:p>
        </w:tc>
        <w:tc>
          <w:tcPr>
            <w:tcW w:w="1026" w:type="dxa"/>
            <w:noWrap/>
            <w:hideMark/>
          </w:tcPr>
          <w:p w14:paraId="1C99F1BE"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31</w:t>
            </w:r>
          </w:p>
        </w:tc>
        <w:tc>
          <w:tcPr>
            <w:tcW w:w="920" w:type="dxa"/>
            <w:noWrap/>
            <w:hideMark/>
          </w:tcPr>
          <w:p w14:paraId="58DBC4E3"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28</w:t>
            </w:r>
          </w:p>
        </w:tc>
        <w:tc>
          <w:tcPr>
            <w:tcW w:w="4252" w:type="dxa"/>
            <w:noWrap/>
            <w:hideMark/>
          </w:tcPr>
          <w:p w14:paraId="021D2185"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Тръби, резервоари и спомагателни елементи, които не са в контакт с вода, предназначена за консумация от човека</w:t>
            </w:r>
          </w:p>
        </w:tc>
        <w:tc>
          <w:tcPr>
            <w:tcW w:w="851" w:type="dxa"/>
          </w:tcPr>
          <w:p w14:paraId="329B91C1"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PTA</w:t>
            </w:r>
          </w:p>
        </w:tc>
        <w:tc>
          <w:tcPr>
            <w:tcW w:w="1138" w:type="dxa"/>
          </w:tcPr>
          <w:p w14:paraId="153379ED"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786B25" w:rsidRPr="00427899" w14:paraId="1B08455D"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124339BC"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24</w:t>
            </w:r>
          </w:p>
        </w:tc>
        <w:tc>
          <w:tcPr>
            <w:tcW w:w="1026" w:type="dxa"/>
            <w:shd w:val="clear" w:color="auto" w:fill="DBDBDB" w:themeFill="text1" w:themeFillTint="33"/>
            <w:noWrap/>
            <w:hideMark/>
          </w:tcPr>
          <w:p w14:paraId="380A9F57"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N/A</w:t>
            </w:r>
          </w:p>
        </w:tc>
        <w:tc>
          <w:tcPr>
            <w:tcW w:w="920" w:type="dxa"/>
            <w:shd w:val="clear" w:color="auto" w:fill="DBDBDB" w:themeFill="text1" w:themeFillTint="33"/>
            <w:noWrap/>
            <w:hideMark/>
          </w:tcPr>
          <w:p w14:paraId="0A8F8F5F"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29</w:t>
            </w:r>
          </w:p>
        </w:tc>
        <w:tc>
          <w:tcPr>
            <w:tcW w:w="4252" w:type="dxa"/>
            <w:shd w:val="clear" w:color="auto" w:fill="DBDBDB" w:themeFill="text1" w:themeFillTint="33"/>
            <w:noWrap/>
            <w:hideMark/>
          </w:tcPr>
          <w:p w14:paraId="407BDCEB"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Строителни продукти, които са в контакт с вода, предназначена за консумация от човека</w:t>
            </w:r>
          </w:p>
        </w:tc>
        <w:tc>
          <w:tcPr>
            <w:tcW w:w="851" w:type="dxa"/>
            <w:shd w:val="clear" w:color="auto" w:fill="DBDBDB" w:themeFill="text1" w:themeFillTint="33"/>
          </w:tcPr>
          <w:p w14:paraId="6AD7000E" w14:textId="77777777" w:rsidR="00F84240"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DWP</w:t>
            </w:r>
          </w:p>
        </w:tc>
        <w:tc>
          <w:tcPr>
            <w:tcW w:w="1138" w:type="dxa"/>
            <w:shd w:val="clear" w:color="auto" w:fill="DBDBDB" w:themeFill="text1" w:themeFillTint="33"/>
          </w:tcPr>
          <w:p w14:paraId="552A0D60"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51F4A036"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2759B9CF"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25</w:t>
            </w:r>
          </w:p>
        </w:tc>
        <w:tc>
          <w:tcPr>
            <w:tcW w:w="1026" w:type="dxa"/>
            <w:noWrap/>
            <w:hideMark/>
          </w:tcPr>
          <w:p w14:paraId="3839F671"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32</w:t>
            </w:r>
          </w:p>
        </w:tc>
        <w:tc>
          <w:tcPr>
            <w:tcW w:w="920" w:type="dxa"/>
            <w:noWrap/>
            <w:hideMark/>
          </w:tcPr>
          <w:p w14:paraId="22B02864"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31</w:t>
            </w:r>
          </w:p>
        </w:tc>
        <w:tc>
          <w:tcPr>
            <w:tcW w:w="4252" w:type="dxa"/>
            <w:noWrap/>
            <w:hideMark/>
          </w:tcPr>
          <w:p w14:paraId="5B0A47EA"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Силови, контролни и съобщителни кабели</w:t>
            </w:r>
          </w:p>
        </w:tc>
        <w:tc>
          <w:tcPr>
            <w:tcW w:w="851" w:type="dxa"/>
          </w:tcPr>
          <w:p w14:paraId="3475AFB4"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CAB</w:t>
            </w:r>
          </w:p>
        </w:tc>
        <w:tc>
          <w:tcPr>
            <w:tcW w:w="1138" w:type="dxa"/>
          </w:tcPr>
          <w:p w14:paraId="21E2621C"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2919D1CA" w14:textId="77777777" w:rsidTr="00266E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30B3179A"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26</w:t>
            </w:r>
          </w:p>
        </w:tc>
        <w:tc>
          <w:tcPr>
            <w:tcW w:w="1026" w:type="dxa"/>
            <w:shd w:val="clear" w:color="auto" w:fill="DBDBDB" w:themeFill="text1" w:themeFillTint="33"/>
            <w:noWrap/>
          </w:tcPr>
          <w:p w14:paraId="619D3C92"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N/A</w:t>
            </w:r>
          </w:p>
        </w:tc>
        <w:tc>
          <w:tcPr>
            <w:tcW w:w="920" w:type="dxa"/>
            <w:shd w:val="clear" w:color="auto" w:fill="DBDBDB" w:themeFill="text1" w:themeFillTint="33"/>
            <w:noWrap/>
          </w:tcPr>
          <w:p w14:paraId="68298DC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N/A</w:t>
            </w:r>
          </w:p>
        </w:tc>
        <w:tc>
          <w:tcPr>
            <w:tcW w:w="4252" w:type="dxa"/>
            <w:shd w:val="clear" w:color="auto" w:fill="DBDBDB" w:themeFill="text1" w:themeFillTint="33"/>
            <w:noWrap/>
          </w:tcPr>
          <w:p w14:paraId="1D30AB84"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 xml:space="preserve">Декоративни бои и тапети </w:t>
            </w:r>
          </w:p>
        </w:tc>
        <w:tc>
          <w:tcPr>
            <w:tcW w:w="851" w:type="dxa"/>
            <w:shd w:val="clear" w:color="auto" w:fill="DBDBDB" w:themeFill="text1" w:themeFillTint="33"/>
          </w:tcPr>
          <w:p w14:paraId="6F309E79"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DPW</w:t>
            </w:r>
          </w:p>
        </w:tc>
        <w:tc>
          <w:tcPr>
            <w:tcW w:w="1138" w:type="dxa"/>
            <w:shd w:val="clear" w:color="auto" w:fill="DBDBDB" w:themeFill="text1" w:themeFillTint="33"/>
          </w:tcPr>
          <w:p w14:paraId="373C78A6"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r>
      <w:tr w:rsidR="00D72D26" w:rsidRPr="00427899" w14:paraId="718EA03A" w14:textId="77777777" w:rsidTr="00266E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5E920554"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27</w:t>
            </w:r>
          </w:p>
        </w:tc>
        <w:tc>
          <w:tcPr>
            <w:tcW w:w="1026" w:type="dxa"/>
            <w:noWrap/>
            <w:hideMark/>
          </w:tcPr>
          <w:p w14:paraId="22E34447"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33</w:t>
            </w:r>
          </w:p>
        </w:tc>
        <w:tc>
          <w:tcPr>
            <w:tcW w:w="920" w:type="dxa"/>
            <w:noWrap/>
            <w:hideMark/>
          </w:tcPr>
          <w:p w14:paraId="03BF2CB1"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06</w:t>
            </w:r>
          </w:p>
        </w:tc>
        <w:tc>
          <w:tcPr>
            <w:tcW w:w="4252" w:type="dxa"/>
            <w:noWrap/>
            <w:hideMark/>
          </w:tcPr>
          <w:p w14:paraId="58222E0F" w14:textId="02A736B9"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Комини, димоотводи и специфични продукти</w:t>
            </w:r>
          </w:p>
        </w:tc>
        <w:tc>
          <w:tcPr>
            <w:tcW w:w="851" w:type="dxa"/>
          </w:tcPr>
          <w:p w14:paraId="324DD249"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CHI</w:t>
            </w:r>
          </w:p>
        </w:tc>
        <w:tc>
          <w:tcPr>
            <w:tcW w:w="1138" w:type="dxa"/>
          </w:tcPr>
          <w:p w14:paraId="6E891661" w14:textId="63EB0E0D" w:rsidR="00F84240" w:rsidRPr="00427899" w:rsidRDefault="003126D7"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Да</w:t>
            </w:r>
            <w:r>
              <w:rPr>
                <w:rStyle w:val="FootnoteReference"/>
                <w:rFonts w:ascii="Aptos Narrow" w:eastAsia="Times New Roman" w:hAnsi="Aptos Narrow" w:cs="Times New Roman"/>
                <w:noProof/>
                <w:color w:val="000000"/>
                <w:lang w:eastAsia="en-IE"/>
              </w:rPr>
              <w:footnoteReference w:id="27"/>
            </w:r>
          </w:p>
        </w:tc>
      </w:tr>
    </w:tbl>
    <w:p w14:paraId="137B5F92" w14:textId="610200A2" w:rsidR="00684DF1" w:rsidRPr="00DD4746" w:rsidRDefault="00684DF1" w:rsidP="00C5300B">
      <w:pPr>
        <w:pStyle w:val="Heading1"/>
        <w:rPr>
          <w:noProof/>
        </w:rPr>
      </w:pPr>
      <w:r>
        <w:rPr>
          <w:noProof/>
        </w:rPr>
        <w:t>Хоризонтални мерки</w:t>
      </w:r>
    </w:p>
    <w:p w14:paraId="679805D4" w14:textId="48F4F629" w:rsidR="007B05E9" w:rsidRPr="009E1F70" w:rsidRDefault="007B05E9" w:rsidP="009E1F70">
      <w:pPr>
        <w:jc w:val="both"/>
        <w:rPr>
          <w:rFonts w:ascii="Times New Roman" w:hAnsi="Times New Roman" w:cs="Times New Roman"/>
          <w:noProof/>
          <w:sz w:val="24"/>
          <w:szCs w:val="24"/>
        </w:rPr>
      </w:pPr>
      <w:r>
        <w:rPr>
          <w:rFonts w:ascii="Times New Roman" w:hAnsi="Times New Roman"/>
          <w:noProof/>
          <w:sz w:val="24"/>
        </w:rPr>
        <w:t xml:space="preserve">В глави 3 и 4 са описани конкретните действия, планирани за периода 2026—2029 г. </w:t>
      </w:r>
    </w:p>
    <w:p w14:paraId="7867C119" w14:textId="3F67D218" w:rsidR="00DD4746" w:rsidRPr="00DD4746" w:rsidRDefault="00DD4746" w:rsidP="006D2C33">
      <w:pPr>
        <w:pStyle w:val="ListParagraph"/>
        <w:numPr>
          <w:ilvl w:val="1"/>
          <w:numId w:val="19"/>
        </w:numPr>
        <w:rPr>
          <w:rFonts w:ascii="Times New Roman" w:eastAsia="Times New Roman" w:hAnsi="Times New Roman" w:cs="Times New Roman"/>
          <w:b/>
          <w:noProof/>
          <w:sz w:val="24"/>
          <w:szCs w:val="24"/>
        </w:rPr>
      </w:pPr>
      <w:r>
        <w:rPr>
          <w:rFonts w:ascii="Times New Roman" w:hAnsi="Times New Roman"/>
          <w:b/>
          <w:noProof/>
          <w:sz w:val="24"/>
        </w:rPr>
        <w:t>Изменение на приложение VII (списък на фамилиите продукти)</w:t>
      </w:r>
    </w:p>
    <w:p w14:paraId="740118C3" w14:textId="73F0CFFB" w:rsidR="00250C75" w:rsidRPr="009E1F70" w:rsidRDefault="2B89621A" w:rsidP="009E1F70">
      <w:pPr>
        <w:jc w:val="both"/>
        <w:rPr>
          <w:rFonts w:ascii="Times New Roman" w:hAnsi="Times New Roman" w:cs="Times New Roman"/>
          <w:noProof/>
          <w:sz w:val="24"/>
          <w:szCs w:val="24"/>
        </w:rPr>
      </w:pPr>
      <w:r>
        <w:rPr>
          <w:rFonts w:ascii="Times New Roman" w:hAnsi="Times New Roman"/>
          <w:noProof/>
          <w:sz w:val="24"/>
        </w:rPr>
        <w:t>Комисията ще внесе изменения в приложение VII, с цел да го адаптира към техническия напредък:</w:t>
      </w:r>
    </w:p>
    <w:p w14:paraId="04BFAE12" w14:textId="545B6AA6" w:rsidR="00250C75" w:rsidRPr="009E1F70" w:rsidRDefault="33B89516" w:rsidP="006D2C33">
      <w:pPr>
        <w:pStyle w:val="ListParagraph"/>
        <w:numPr>
          <w:ilvl w:val="0"/>
          <w:numId w:val="20"/>
        </w:numPr>
        <w:jc w:val="both"/>
        <w:rPr>
          <w:rFonts w:ascii="Times New Roman" w:eastAsia="Times New Roman" w:hAnsi="Times New Roman" w:cs="Times New Roman"/>
          <w:noProof/>
          <w:color w:val="000000"/>
          <w:sz w:val="24"/>
          <w:szCs w:val="24"/>
        </w:rPr>
      </w:pPr>
      <w:r>
        <w:rPr>
          <w:rFonts w:ascii="Times New Roman" w:hAnsi="Times New Roman"/>
          <w:noProof/>
          <w:sz w:val="24"/>
        </w:rPr>
        <w:t>Това ще включва обединяване на фамилиите продукти 34 „</w:t>
      </w:r>
      <w:r>
        <w:rPr>
          <w:rFonts w:ascii="Times New Roman" w:hAnsi="Times New Roman"/>
          <w:noProof/>
          <w:color w:val="000000"/>
          <w:sz w:val="24"/>
        </w:rPr>
        <w:t xml:space="preserve">Строителни комплекти, компоненти, предварително изготвени елементи“ и 36 „Закрепени стълби“, тъй като последната не е самостоятелна фамилия продукти. </w:t>
      </w:r>
    </w:p>
    <w:p w14:paraId="79F2D715" w14:textId="24A03951" w:rsidR="00250C75" w:rsidRPr="009E1F70" w:rsidRDefault="4CC0F5B4" w:rsidP="006D2C33">
      <w:pPr>
        <w:pStyle w:val="ListParagraph"/>
        <w:numPr>
          <w:ilvl w:val="0"/>
          <w:numId w:val="20"/>
        </w:numPr>
        <w:jc w:val="both"/>
        <w:rPr>
          <w:rFonts w:ascii="Times New Roman" w:eastAsia="Times New Roman" w:hAnsi="Times New Roman" w:cs="Times New Roman"/>
          <w:noProof/>
          <w:color w:val="000000"/>
          <w:sz w:val="24"/>
          <w:szCs w:val="24"/>
        </w:rPr>
      </w:pPr>
      <w:r>
        <w:rPr>
          <w:rFonts w:ascii="Times New Roman" w:hAnsi="Times New Roman"/>
          <w:noProof/>
          <w:color w:val="000000"/>
          <w:sz w:val="24"/>
        </w:rPr>
        <w:t xml:space="preserve">Освен това ще се създаде нова фамилия продукти, под името „Декоративни бои и тапети“. Понастоящем тапетите са включени във фамилия продукти 21, но е по-подходящо да бъдат преместени в отделна група заедно с декоративните бои. Тъй като боите ще бъдат уредени от РЕУП, Комисията има за цел да регулира допълнително строителните бои като част от регулаторната рамка на РСП. </w:t>
      </w:r>
    </w:p>
    <w:p w14:paraId="1EA9E5E3" w14:textId="3D7525AD" w:rsidR="00247B82" w:rsidRPr="009E1F70" w:rsidRDefault="4A757FFC" w:rsidP="006D2C33">
      <w:pPr>
        <w:pStyle w:val="ListParagraph"/>
        <w:numPr>
          <w:ilvl w:val="0"/>
          <w:numId w:val="20"/>
        </w:numPr>
        <w:jc w:val="both"/>
        <w:rPr>
          <w:rFonts w:ascii="Times New Roman" w:eastAsia="Times New Roman" w:hAnsi="Times New Roman" w:cs="Times New Roman"/>
          <w:noProof/>
          <w:color w:val="000000"/>
          <w:sz w:val="24"/>
          <w:szCs w:val="24"/>
        </w:rPr>
      </w:pPr>
      <w:r>
        <w:rPr>
          <w:rFonts w:ascii="Times New Roman" w:hAnsi="Times New Roman"/>
          <w:noProof/>
          <w:color w:val="000000"/>
          <w:sz w:val="24"/>
        </w:rPr>
        <w:t xml:space="preserve">Изменението ще включва също така разширяване на наименованието на фамилия продукти 27 „Уреди за отопление“ на „Уреди за отопление и охлаждане“, за да се включат всички уреди за отопление и охлаждане, както и на фамилия продукти 31 „Силови, контролни и съобщителни кабели“ на „Силови, контролни и съобщителни кабели, електрически и електронни продукти и принадлежности“. </w:t>
      </w:r>
    </w:p>
    <w:p w14:paraId="1CBA4ED4" w14:textId="0E04D416" w:rsidR="002E3A89" w:rsidRDefault="009F005C" w:rsidP="006D2C33">
      <w:pPr>
        <w:pStyle w:val="ListParagraph"/>
        <w:numPr>
          <w:ilvl w:val="0"/>
          <w:numId w:val="20"/>
        </w:numPr>
        <w:jc w:val="both"/>
        <w:rPr>
          <w:rFonts w:ascii="Times New Roman" w:eastAsia="Times New Roman" w:hAnsi="Times New Roman" w:cs="Times New Roman"/>
          <w:noProof/>
          <w:color w:val="000000"/>
          <w:sz w:val="24"/>
          <w:szCs w:val="24"/>
        </w:rPr>
      </w:pPr>
      <w:r>
        <w:rPr>
          <w:rFonts w:ascii="Times New Roman" w:hAnsi="Times New Roman"/>
          <w:noProof/>
          <w:color w:val="000000"/>
          <w:sz w:val="24"/>
        </w:rPr>
        <w:t>И накрая, фамилия продукти 22 „Покривни покрития, горно осветление, покривни прозорци и спомагателни продукти — Покривни комплекти“ ще бъде преименувана на „Покривни покрития и спомагателни продукти — Покривни комплекти и фотоволтаични панели“, тъй като горното осветление и покривните прозорци вече са включени във фамилия продукти 2 „Врати, прозорци, капаци, врати за промишлени и търговски сгради и за гаражи и свързаният с тях обков“, а фотоволтаичните панели не са споменавани до момента.</w:t>
      </w:r>
    </w:p>
    <w:p w14:paraId="3A262B45" w14:textId="75A0D05E" w:rsidR="008260CB" w:rsidRPr="009E1F70" w:rsidRDefault="008260CB" w:rsidP="005F7DA2">
      <w:pPr>
        <w:pStyle w:val="ListParagraph"/>
        <w:jc w:val="both"/>
        <w:rPr>
          <w:rFonts w:ascii="Times New Roman" w:eastAsia="Times New Roman" w:hAnsi="Times New Roman" w:cs="Times New Roman"/>
          <w:noProof/>
          <w:color w:val="000000"/>
          <w:sz w:val="24"/>
          <w:szCs w:val="24"/>
          <w:lang w:eastAsia="en-IE"/>
        </w:rPr>
      </w:pPr>
    </w:p>
    <w:p w14:paraId="1B3CBCCD" w14:textId="46A1B24C" w:rsidR="00686ABB" w:rsidRPr="00DD4746" w:rsidRDefault="00686ABB" w:rsidP="005F7DA2">
      <w:pPr>
        <w:pStyle w:val="ListParagraph"/>
        <w:numPr>
          <w:ilvl w:val="1"/>
          <w:numId w:val="19"/>
        </w:numPr>
        <w:spacing w:before="240"/>
        <w:ind w:left="578" w:hanging="578"/>
        <w:rPr>
          <w:rFonts w:ascii="Times New Roman" w:eastAsia="Times New Roman" w:hAnsi="Times New Roman" w:cs="Times New Roman"/>
          <w:b/>
          <w:noProof/>
          <w:sz w:val="24"/>
          <w:szCs w:val="24"/>
        </w:rPr>
      </w:pPr>
      <w:r>
        <w:rPr>
          <w:rFonts w:ascii="Times New Roman" w:hAnsi="Times New Roman"/>
          <w:b/>
          <w:noProof/>
          <w:sz w:val="24"/>
        </w:rPr>
        <w:t xml:space="preserve">Работа в хоризонталните подгрупи (пожарна безопасност, екологична устойчивост и опасни вещества) </w:t>
      </w:r>
    </w:p>
    <w:p w14:paraId="229C32F4" w14:textId="61482504" w:rsidR="00686ABB" w:rsidRPr="00DD4746" w:rsidRDefault="0097673E" w:rsidP="000A24A6">
      <w:pPr>
        <w:pStyle w:val="Heading3"/>
        <w:rPr>
          <w:noProof/>
        </w:rPr>
      </w:pPr>
      <w:r>
        <w:rPr>
          <w:noProof/>
        </w:rPr>
        <w:t xml:space="preserve">Пожарна безопасност </w:t>
      </w:r>
    </w:p>
    <w:p w14:paraId="268E5494" w14:textId="06C02F75" w:rsidR="009612FF" w:rsidRDefault="009612FF" w:rsidP="009E1F70">
      <w:pPr>
        <w:jc w:val="both"/>
        <w:rPr>
          <w:noProof/>
        </w:rPr>
      </w:pPr>
      <w:r>
        <w:rPr>
          <w:rFonts w:ascii="Times New Roman" w:hAnsi="Times New Roman"/>
          <w:noProof/>
          <w:sz w:val="24"/>
        </w:rPr>
        <w:t>Комисията ще приема делегирани актове за устойчивост и реакция на огън на строителните продукти. Освен това през 2026 г. ще се преразгледа делегираният акт за външно излагане на огън — покриви и покривни конструкции, за да се проучи как потенциалните нужди от фамилия продукти 2 „Врати, прозорци, капаци, врати за промишлени и търговски сгради и за гаражи и свързаният с тях обков“ могат да повлияят на условията за изпитване и класификация (покривни прозорци и горно осветление). Комисията ще инициира работата по искане за стандартизация на стандарт(и) за изпитвания на пожароустойчивостта на фасадите, което ще бъде прието през 2027 г. Тази работа ще се основава на приключването на проекта за европейски подход в оценката на пожароустойчивостта на фасадите</w:t>
      </w:r>
      <w:r>
        <w:rPr>
          <w:rStyle w:val="FootnoteReference"/>
          <w:noProof/>
        </w:rPr>
        <w:footnoteReference w:id="28"/>
      </w:r>
      <w:r>
        <w:rPr>
          <w:noProof/>
        </w:rPr>
        <w:t>.</w:t>
      </w:r>
    </w:p>
    <w:p w14:paraId="7342B65E" w14:textId="3A90203D" w:rsidR="00932477" w:rsidRPr="009E1F70" w:rsidRDefault="0097673E" w:rsidP="000A24A6">
      <w:pPr>
        <w:pStyle w:val="Heading3"/>
        <w:rPr>
          <w:noProof/>
        </w:rPr>
      </w:pPr>
      <w:r>
        <w:rPr>
          <w:noProof/>
        </w:rPr>
        <w:t>Екологична устойчивост</w:t>
      </w:r>
    </w:p>
    <w:p w14:paraId="0B319808" w14:textId="3F0E24C5" w:rsidR="00516113" w:rsidRPr="009E1F70" w:rsidRDefault="00F61FF3" w:rsidP="009E1F70">
      <w:pPr>
        <w:jc w:val="both"/>
        <w:rPr>
          <w:rFonts w:ascii="Times New Roman" w:hAnsi="Times New Roman" w:cs="Times New Roman"/>
          <w:noProof/>
          <w:sz w:val="24"/>
          <w:szCs w:val="24"/>
        </w:rPr>
      </w:pPr>
      <w:r>
        <w:rPr>
          <w:rFonts w:ascii="Times New Roman" w:hAnsi="Times New Roman"/>
          <w:noProof/>
          <w:sz w:val="24"/>
        </w:rPr>
        <w:t xml:space="preserve">Съгласно член 15 от РСП декларацията за експлоатационни показатели и за съответствие трябва да включва експлоатационните показатели за екологична устойчивост на продукта през целия му жизнен цикъл по отношение на предварително определените съществени екологични характеристики, изброени в приложение II, като потенциал за глобално затопляне (общ, от изкопаеми горива, биогенен, от земеползване и промени в земеползването). Този подход осигурява равнопоставеност, тъй като методите за оценяване ще се прилагат за всички строителни продукти, включително материалите на основата на биомаса. </w:t>
      </w:r>
    </w:p>
    <w:p w14:paraId="4BD40CDF" w14:textId="42DF08EE" w:rsidR="00EB7AD7" w:rsidRPr="009E1F70" w:rsidRDefault="00932477" w:rsidP="009E1F70">
      <w:pPr>
        <w:jc w:val="both"/>
        <w:rPr>
          <w:rFonts w:ascii="Times New Roman" w:hAnsi="Times New Roman" w:cs="Times New Roman"/>
          <w:noProof/>
          <w:sz w:val="24"/>
          <w:szCs w:val="24"/>
        </w:rPr>
      </w:pPr>
      <w:r>
        <w:rPr>
          <w:rFonts w:ascii="Times New Roman" w:hAnsi="Times New Roman"/>
          <w:noProof/>
          <w:sz w:val="24"/>
        </w:rPr>
        <w:t>Комисията подкрепя изготвянето на допълнителни правила за категориите продукти (c-PCR)</w:t>
      </w:r>
      <w:r>
        <w:rPr>
          <w:rStyle w:val="FootnoteReference"/>
          <w:rFonts w:ascii="Times New Roman" w:hAnsi="Times New Roman" w:cs="Times New Roman"/>
          <w:noProof/>
          <w:sz w:val="24"/>
          <w:szCs w:val="24"/>
        </w:rPr>
        <w:footnoteReference w:id="29"/>
      </w:r>
      <w:r>
        <w:rPr>
          <w:rFonts w:ascii="Times New Roman" w:hAnsi="Times New Roman"/>
          <w:noProof/>
          <w:sz w:val="24"/>
        </w:rPr>
        <w:t>. Това ще ускори разработването на техническото съдържание, необходимо за прилагане на разпоредбите за екологична устойчивост на РСП, и ще осигури съгласуваност и своевременно представяне на стандартите. Разработката ще бъде използвана в бъдещи искания за стандартизация и правила за категории продукти. Крайната цел е да се представи последователна техническа рамка за оценка на екологичната устойчивост на строителните продукти.</w:t>
      </w:r>
    </w:p>
    <w:p w14:paraId="562C2FBC" w14:textId="7A658553" w:rsidR="00B043D6" w:rsidRDefault="00F838F9" w:rsidP="009E1F70">
      <w:pPr>
        <w:jc w:val="both"/>
        <w:rPr>
          <w:rFonts w:ascii="Times New Roman" w:hAnsi="Times New Roman" w:cs="Times New Roman"/>
          <w:noProof/>
          <w:sz w:val="24"/>
          <w:szCs w:val="24"/>
        </w:rPr>
      </w:pPr>
      <w:r>
        <w:rPr>
          <w:rFonts w:ascii="Times New Roman" w:hAnsi="Times New Roman"/>
          <w:noProof/>
          <w:sz w:val="24"/>
        </w:rPr>
        <w:t xml:space="preserve">Комисията обяви покана за представяне на оферти за фонови набори от данни за изчисляването на експлоатационните показатели за екологичност. Целта на проекта е да се установят европейски фонови набори от данни за производителите. В началото той ще предоставя данни за първите хармонизирани стандарти, което включва екологичната устойчивост, а през следващите години ще се разширява, за да обхване още фамилии продукти. </w:t>
      </w:r>
    </w:p>
    <w:p w14:paraId="6327D6BD" w14:textId="0D71757A" w:rsidR="00F127C9" w:rsidRPr="009E1F70" w:rsidRDefault="00F127C9" w:rsidP="009E1F70">
      <w:pPr>
        <w:jc w:val="both"/>
        <w:rPr>
          <w:rFonts w:ascii="Times New Roman" w:hAnsi="Times New Roman" w:cs="Times New Roman"/>
          <w:noProof/>
          <w:sz w:val="24"/>
          <w:szCs w:val="24"/>
        </w:rPr>
      </w:pPr>
      <w:r>
        <w:rPr>
          <w:rFonts w:ascii="Times New Roman" w:hAnsi="Times New Roman"/>
          <w:noProof/>
          <w:sz w:val="24"/>
        </w:rPr>
        <w:t>Предвидено е фоновите набори от данни да се използват задължително в случаите, когато специфични за дадено дружество данни, включително висококачествени такива, генерирани при прилагането на системата за търговия с емисии на ЕС (СТЕ) за големи инсталации, са трудно достъпни или когато получаването им е скъпо. За да няма „пазаруване на данни“ (т.е. избиране на данни, които позволяват продуктът да бъде представен в най-добрата светлина), фоновите набори от данни трябва да са консервативни по характер.</w:t>
      </w:r>
    </w:p>
    <w:p w14:paraId="574C7F73" w14:textId="09D53803" w:rsidR="008D5D01" w:rsidRDefault="008D5D01" w:rsidP="009E1F70">
      <w:pPr>
        <w:jc w:val="both"/>
        <w:rPr>
          <w:rFonts w:ascii="Times New Roman" w:hAnsi="Times New Roman" w:cs="Times New Roman"/>
          <w:noProof/>
          <w:sz w:val="24"/>
          <w:szCs w:val="24"/>
        </w:rPr>
      </w:pPr>
      <w:r>
        <w:rPr>
          <w:rFonts w:ascii="Times New Roman" w:hAnsi="Times New Roman"/>
          <w:noProof/>
          <w:sz w:val="24"/>
        </w:rPr>
        <w:t>Подгрупата по екологична устойчивост обсъжда също така прилагането на оценката за екологична устойчивост, по-специално що се отнася до еднообразното прилагане на AVS 3+ и разработването на правилата за бъдещи делегирани актове за декларацията, без изпитване на свързаните с екологичната устойчивост съществени характеристики.</w:t>
      </w:r>
    </w:p>
    <w:p w14:paraId="74A724C6" w14:textId="5E22E455" w:rsidR="00F127C9" w:rsidRPr="00F127C9" w:rsidRDefault="00F127C9" w:rsidP="009E1F70">
      <w:pPr>
        <w:jc w:val="both"/>
        <w:rPr>
          <w:rFonts w:ascii="Times New Roman" w:hAnsi="Times New Roman" w:cs="Times New Roman"/>
          <w:noProof/>
          <w:sz w:val="24"/>
          <w:szCs w:val="24"/>
        </w:rPr>
      </w:pPr>
      <w:r>
        <w:rPr>
          <w:rFonts w:ascii="Times New Roman" w:hAnsi="Times New Roman"/>
          <w:noProof/>
          <w:sz w:val="24"/>
        </w:rPr>
        <w:t xml:space="preserve">Комисията ще приеме делегиран акт, с който приносът от използването на данните от СТЕ </w:t>
      </w:r>
      <w:r>
        <w:rPr>
          <w:rFonts w:ascii="Times New Roman" w:hAnsi="Times New Roman"/>
          <w:noProof/>
        </w:rPr>
        <w:t xml:space="preserve"> за </w:t>
      </w:r>
      <w:r>
        <w:rPr>
          <w:rFonts w:ascii="Times New Roman" w:hAnsi="Times New Roman"/>
          <w:noProof/>
          <w:sz w:val="24"/>
        </w:rPr>
        <w:t xml:space="preserve">оценката за екологична устойчивост ще бъде признат за онези фамилии продукти, за които данните и методиката на СТЕ ще позволят да се обхване значителен дял от емисиите през жизнения цикъл. Това ще осигури хармонизиран подход на съответното законодателство на ЕС и ще намали административната тежест за производителите.  </w:t>
      </w:r>
    </w:p>
    <w:p w14:paraId="6350DE29" w14:textId="66DDCC1E" w:rsidR="00EB7AD7" w:rsidRPr="009E1F70" w:rsidRDefault="00EB7AD7" w:rsidP="000A24A6">
      <w:pPr>
        <w:pStyle w:val="Heading3"/>
        <w:rPr>
          <w:noProof/>
        </w:rPr>
      </w:pPr>
      <w:r>
        <w:rPr>
          <w:noProof/>
        </w:rPr>
        <w:t>Опасни вещества</w:t>
      </w:r>
    </w:p>
    <w:p w14:paraId="0900EF58" w14:textId="4E14A96C" w:rsidR="000103E9" w:rsidRDefault="25DC207E" w:rsidP="009E1F70">
      <w:pPr>
        <w:spacing w:before="240" w:after="120"/>
        <w:jc w:val="both"/>
        <w:rPr>
          <w:rFonts w:ascii="Times New Roman" w:hAnsi="Times New Roman" w:cs="Times New Roman"/>
          <w:noProof/>
          <w:sz w:val="24"/>
          <w:szCs w:val="24"/>
        </w:rPr>
      </w:pPr>
      <w:r>
        <w:rPr>
          <w:rFonts w:ascii="Times New Roman" w:hAnsi="Times New Roman"/>
          <w:noProof/>
          <w:sz w:val="24"/>
        </w:rPr>
        <w:t>През 2026 г. Комисията ще приеме искане за стандартизация, което ще включва допълнителни методи за оценяване, допълващи съществуващите инструменти за оценка на съдържанието или на емисиите във или от строителните продукти. Тази работа ще се съсредоточи върху добавянето на допълнителни вещества и суровини (напр. микропластмаси) и на методи за оценяване (които да допълват/усъвършенстват съществуващите методи за емисиите/съдържанието на опасни вещества), които да се адаптират към новото законодателство на ЕС, както и към националните изисквания.</w:t>
      </w:r>
    </w:p>
    <w:p w14:paraId="34A08450" w14:textId="77777777" w:rsidR="008260CB" w:rsidRPr="009E1F70" w:rsidRDefault="008260CB" w:rsidP="009E1F70">
      <w:pPr>
        <w:spacing w:before="240" w:after="120"/>
        <w:jc w:val="both"/>
        <w:rPr>
          <w:rFonts w:ascii="Times New Roman" w:hAnsi="Times New Roman" w:cs="Times New Roman"/>
          <w:noProof/>
          <w:sz w:val="24"/>
          <w:szCs w:val="24"/>
        </w:rPr>
      </w:pPr>
    </w:p>
    <w:p w14:paraId="2754A566" w14:textId="3557B60A" w:rsidR="00684DF1" w:rsidRPr="009E1F70" w:rsidRDefault="00C761AC" w:rsidP="006D2C33">
      <w:pPr>
        <w:pStyle w:val="ListParagraph"/>
        <w:numPr>
          <w:ilvl w:val="1"/>
          <w:numId w:val="19"/>
        </w:numPr>
        <w:rPr>
          <w:rFonts w:ascii="Times New Roman" w:eastAsia="Times New Roman" w:hAnsi="Times New Roman" w:cs="Times New Roman"/>
          <w:b/>
          <w:noProof/>
          <w:sz w:val="24"/>
          <w:szCs w:val="24"/>
        </w:rPr>
      </w:pPr>
      <w:r>
        <w:rPr>
          <w:rFonts w:ascii="Times New Roman" w:hAnsi="Times New Roman"/>
          <w:b/>
          <w:noProof/>
          <w:sz w:val="24"/>
        </w:rPr>
        <w:t xml:space="preserve">Цифровият продуктов паспорт (ЦПП) — информация относно всички части на веригата на стойността </w:t>
      </w:r>
    </w:p>
    <w:p w14:paraId="7559F7DE" w14:textId="3CF40164" w:rsidR="00684DF1" w:rsidRDefault="00684DF1" w:rsidP="009E1F70">
      <w:pPr>
        <w:spacing w:before="240" w:after="120"/>
        <w:jc w:val="both"/>
        <w:rPr>
          <w:rFonts w:ascii="Times New Roman" w:hAnsi="Times New Roman" w:cs="Times New Roman"/>
          <w:noProof/>
          <w:sz w:val="24"/>
          <w:szCs w:val="24"/>
        </w:rPr>
      </w:pPr>
      <w:r>
        <w:rPr>
          <w:rFonts w:ascii="Times New Roman" w:hAnsi="Times New Roman"/>
          <w:noProof/>
          <w:sz w:val="24"/>
        </w:rPr>
        <w:t>Цифровият продуктов паспорт е основен стълб на РСП. Всеки продукт, регулиран от хармонизирани технически спецификации или ЕДО съгласно РСП (не РСП от 2011 г.), ще разполага с цифров продуктов паспорт от момента, в който последният започне да се използва и стане задължителен по силата на делегиран акт. ЦПП ще предостави на предприятията, потребителите и публичните органи достъп до данни въз основа на отворени международни стандарти, които не са обект на индустриална собственост. Комисията е започнала процеса на стандартизация, за да определи правила относно носителите на данни, инфраструктурата и оперативната съвместимост на данните, които са необходими, за да се даде възможност на системата за продуктови паспорти да се развива. Цифровият продуктов паспорт ще осигури проследимост по веригата на стойността след пускането на продукта на пазара. Това ще има съществен принос за съгласуването на цифровизацията на строителната екосистема. ЦПП ще подпомага прилагането на Директивата относно енергийните характеристики на сградите</w:t>
      </w:r>
      <w:r>
        <w:rPr>
          <w:rStyle w:val="FootnoteReference"/>
          <w:rFonts w:ascii="Times New Roman" w:hAnsi="Times New Roman" w:cs="Times New Roman"/>
          <w:noProof/>
          <w:sz w:val="24"/>
          <w:szCs w:val="24"/>
        </w:rPr>
        <w:footnoteReference w:id="30"/>
      </w:r>
      <w:r>
        <w:rPr>
          <w:rFonts w:ascii="Times New Roman" w:hAnsi="Times New Roman"/>
          <w:noProof/>
          <w:sz w:val="24"/>
        </w:rPr>
        <w:t xml:space="preserve">, използването на цифрови дневници за сградите и на строително-информационни модели (СИМ). Той ще включва информация относно съществените характеристики и суровини, както и информация за това как продуктът може да бъде използван, ремонтиран, използван повторно, рециклиран и изхвърлян безопасно. Това ще улесни управлението на цялостния жизнен цикъл на продукта. </w:t>
      </w:r>
    </w:p>
    <w:p w14:paraId="77E52800" w14:textId="77777777" w:rsidR="008260CB" w:rsidRPr="009E1F70" w:rsidRDefault="008260CB" w:rsidP="009E1F70">
      <w:pPr>
        <w:spacing w:before="240" w:after="120"/>
        <w:jc w:val="both"/>
        <w:rPr>
          <w:rFonts w:ascii="Times New Roman" w:eastAsiaTheme="majorEastAsia" w:hAnsi="Times New Roman" w:cs="Times New Roman"/>
          <w:noProof/>
          <w:sz w:val="24"/>
          <w:szCs w:val="24"/>
        </w:rPr>
      </w:pPr>
    </w:p>
    <w:p w14:paraId="1786FA3C" w14:textId="77E62753" w:rsidR="00684DF1" w:rsidRPr="009E1F70" w:rsidRDefault="00684DF1" w:rsidP="006D2C33">
      <w:pPr>
        <w:pStyle w:val="ListParagraph"/>
        <w:numPr>
          <w:ilvl w:val="1"/>
          <w:numId w:val="19"/>
        </w:numPr>
        <w:rPr>
          <w:rFonts w:ascii="Times New Roman" w:eastAsia="Times New Roman" w:hAnsi="Times New Roman" w:cs="Times New Roman"/>
          <w:b/>
          <w:noProof/>
          <w:sz w:val="24"/>
          <w:szCs w:val="24"/>
        </w:rPr>
      </w:pPr>
      <w:r>
        <w:rPr>
          <w:rFonts w:ascii="Times New Roman" w:hAnsi="Times New Roman"/>
          <w:b/>
          <w:noProof/>
          <w:sz w:val="24"/>
        </w:rPr>
        <w:t>Овластяване на потребителите и специалистите: обща информация за продукта, инструкции за употреба, информация за безопасност и информация върху етикетите</w:t>
      </w:r>
    </w:p>
    <w:p w14:paraId="27866E01" w14:textId="6F3FEE18" w:rsidR="00D74785" w:rsidRPr="009E1F70" w:rsidRDefault="0EEA698B" w:rsidP="00684DF1">
      <w:pPr>
        <w:pStyle w:val="Text1"/>
        <w:ind w:left="0"/>
        <w:rPr>
          <w:noProof/>
          <w:szCs w:val="24"/>
        </w:rPr>
      </w:pPr>
      <w:r>
        <w:rPr>
          <w:noProof/>
        </w:rPr>
        <w:t xml:space="preserve">РСП поставя силно ударение върху информацията за продукта. В приложение IV се определя съдържанието на информацията за продукта. Комисията ще поиска от организациите за стандартизация, посочени в исканията за стандартизация, да изготвят насоки за производителите относно изпълнението на правните задължения. </w:t>
      </w:r>
    </w:p>
    <w:p w14:paraId="50BC5B3D" w14:textId="0B221345" w:rsidR="00684DF1" w:rsidRPr="009E1F70" w:rsidRDefault="7C94BCFE" w:rsidP="00AC0A47">
      <w:pPr>
        <w:pStyle w:val="Text1"/>
        <w:ind w:left="0"/>
        <w:rPr>
          <w:noProof/>
          <w:color w:val="4D4D4D" w:themeColor="text1"/>
          <w:szCs w:val="24"/>
        </w:rPr>
      </w:pPr>
      <w:r>
        <w:rPr>
          <w:noProof/>
        </w:rPr>
        <w:t xml:space="preserve">За продукти, които се избират от потребителите, в РСП се предвижда възможност за въвеждане на задължителни етикети за екологична устойчивост, които ще помогнат на потребителите да правят информиран избор и ще стимулират промяната в поведението. Това може да спомогне за извличане на ползите, които РСП носи за екологичната устойчивост, отвъд равнището, което може да се постигне чрез регулиране на минималните експлоатационни показатели. </w:t>
      </w:r>
    </w:p>
    <w:p w14:paraId="61D7DE9C" w14:textId="77777777" w:rsidR="00213656" w:rsidRDefault="46AFE7FC" w:rsidP="295E7731">
      <w:pPr>
        <w:pStyle w:val="Text1"/>
        <w:ind w:left="0"/>
        <w:rPr>
          <w:noProof/>
          <w:szCs w:val="24"/>
        </w:rPr>
      </w:pPr>
      <w:r>
        <w:rPr>
          <w:noProof/>
        </w:rPr>
        <w:t xml:space="preserve">В бъдеще тази информация по принцип ще се предоставя в цифровия продуктов паспорт. Върху някои продукти може да има и етикет съгласно РЕУП и/или други етикети, уредени от специфичното законодателство на ЕС. Тези етикети ще предоставят ясна и надеждна информация за съответните характеристики или експлоатационни показатели на продукта, като въглероден отпечатък, съдържание на материали на основата на биомаса, консумация на вода, дълготрайност, ремонтопригодност или възможност за рециклиране. </w:t>
      </w:r>
      <w:bookmarkStart w:id="11" w:name="_Hlk194701308"/>
    </w:p>
    <w:p w14:paraId="65050BA6" w14:textId="76DD67A5" w:rsidR="00684DF1" w:rsidRPr="009E1F70" w:rsidRDefault="00213656" w:rsidP="295E7731">
      <w:pPr>
        <w:pStyle w:val="Text1"/>
        <w:ind w:left="0"/>
        <w:rPr>
          <w:noProof/>
          <w:szCs w:val="24"/>
        </w:rPr>
      </w:pPr>
      <w:r>
        <w:rPr>
          <w:noProof/>
        </w:rPr>
        <w:t>Задачата на подгрупите, занимаващи се със съответното законодателство, като част от работата им по фамилиите продукти, и на хоризонталната подгрупа по екологична устойчивост е да набележат строителните продукти, за които следва да се създадат такива етикети. В рамките на тази оценка подгрупите ще вземат предвид съществуващите етикети, основани на законодателството на ЕС, за да се избегнат припокривания и объркващи послания за потребителите.</w:t>
      </w:r>
    </w:p>
    <w:p w14:paraId="4D922395" w14:textId="576599AD" w:rsidR="00702540" w:rsidRDefault="7DD42C3D" w:rsidP="00684DF1">
      <w:pPr>
        <w:pStyle w:val="Text1"/>
        <w:ind w:left="0"/>
        <w:rPr>
          <w:rFonts w:ascii="Arial" w:hAnsi="Arial" w:cs="Arial"/>
          <w:noProof/>
          <w:sz w:val="22"/>
        </w:rPr>
      </w:pPr>
      <w:r>
        <w:rPr>
          <w:noProof/>
        </w:rPr>
        <w:t>С Пакта за чиста промишленост се обявява въвеждането на задължителни етикети за цимент (показващи потенциала за глобално затопляне), когато новите стандарти за цимент станат задължителни</w:t>
      </w:r>
      <w:r>
        <w:rPr>
          <w:rStyle w:val="FootnoteReference"/>
          <w:rFonts w:ascii="Arial" w:hAnsi="Arial" w:cs="Arial"/>
          <w:noProof/>
          <w:sz w:val="22"/>
          <w:lang w:val="en-US"/>
        </w:rPr>
        <w:footnoteReference w:id="31"/>
      </w:r>
      <w:r>
        <w:rPr>
          <w:noProof/>
        </w:rPr>
        <w:t>.</w:t>
      </w:r>
      <w:r>
        <w:rPr>
          <w:rFonts w:ascii="Arial" w:hAnsi="Arial"/>
          <w:noProof/>
          <w:sz w:val="22"/>
        </w:rPr>
        <w:t xml:space="preserve"> </w:t>
      </w:r>
    </w:p>
    <w:p w14:paraId="7F2C297C" w14:textId="77777777" w:rsidR="008260CB" w:rsidRPr="00EF00CF" w:rsidRDefault="008260CB" w:rsidP="00684DF1">
      <w:pPr>
        <w:pStyle w:val="Text1"/>
        <w:ind w:left="0"/>
        <w:rPr>
          <w:rFonts w:ascii="Arial" w:hAnsi="Arial" w:cs="Arial"/>
          <w:noProof/>
          <w:sz w:val="22"/>
        </w:rPr>
      </w:pPr>
    </w:p>
    <w:bookmarkEnd w:id="11"/>
    <w:p w14:paraId="0D9CCD01" w14:textId="09D8BDB5" w:rsidR="00684DF1" w:rsidRPr="009E1F70" w:rsidRDefault="00D31688" w:rsidP="006D2C33">
      <w:pPr>
        <w:pStyle w:val="ListParagraph"/>
        <w:numPr>
          <w:ilvl w:val="1"/>
          <w:numId w:val="19"/>
        </w:numPr>
        <w:rPr>
          <w:rFonts w:ascii="Times New Roman" w:eastAsia="Times New Roman" w:hAnsi="Times New Roman" w:cs="Times New Roman"/>
          <w:b/>
          <w:noProof/>
          <w:sz w:val="24"/>
          <w:szCs w:val="24"/>
        </w:rPr>
      </w:pPr>
      <w:r>
        <w:rPr>
          <w:rFonts w:ascii="Times New Roman" w:hAnsi="Times New Roman"/>
          <w:b/>
          <w:noProof/>
          <w:sz w:val="24"/>
        </w:rPr>
        <w:t>Екологосъобразни обществени поръчки</w:t>
      </w:r>
    </w:p>
    <w:p w14:paraId="6B91CFEF" w14:textId="7B49CF7C" w:rsidR="006579B4" w:rsidRPr="009E1F70" w:rsidRDefault="00684DF1" w:rsidP="009E1F70">
      <w:pPr>
        <w:jc w:val="both"/>
        <w:rPr>
          <w:rFonts w:ascii="Times New Roman" w:hAnsi="Times New Roman" w:cs="Times New Roman"/>
          <w:noProof/>
          <w:sz w:val="24"/>
          <w:szCs w:val="24"/>
        </w:rPr>
      </w:pPr>
      <w:r>
        <w:rPr>
          <w:rFonts w:ascii="Times New Roman" w:hAnsi="Times New Roman"/>
          <w:noProof/>
          <w:sz w:val="24"/>
        </w:rPr>
        <w:t xml:space="preserve">В РСП се предвижда възможността за приемане на делегирани актове, установяващи задължителни минимални изисквания за екологична устойчивост на строителните продукти в процедурите за възлагане на обществени поръчки, когато продуктите, регулирани от хармонизираните стандарти, са от значение за публичните купувачи и за тях е икономически осъществимо да купуват най-добрите екологично устойчиви продукти. Тези мерки имат за цел да подпомогнат създаването на водещи пазари, да стимулират инвестициите и да помогнат на промишлеността на ЕС да подобри своята конкурентоспособност в съответствие с целите на Пакта за чиста промишленост. Комисията ще започне първата оценка на въздействието до края на 2026 г. </w:t>
      </w:r>
    </w:p>
    <w:p w14:paraId="1C9EF7EB" w14:textId="04D6AD8F" w:rsidR="009C4B85" w:rsidRDefault="007F6D26" w:rsidP="009E1F70">
      <w:pPr>
        <w:jc w:val="both"/>
        <w:rPr>
          <w:rFonts w:ascii="Times New Roman" w:hAnsi="Times New Roman" w:cs="Times New Roman"/>
          <w:noProof/>
          <w:sz w:val="24"/>
          <w:szCs w:val="24"/>
        </w:rPr>
      </w:pPr>
      <w:r>
        <w:rPr>
          <w:rFonts w:ascii="Times New Roman" w:hAnsi="Times New Roman"/>
          <w:noProof/>
          <w:sz w:val="24"/>
        </w:rPr>
        <w:t>Евентуалните мерки ще трябва да вземат предвид преразглеждането на нормативната уредба относно обществените поръчки и предстоящия Акт за ускоряване на промишлеността.</w:t>
      </w:r>
    </w:p>
    <w:p w14:paraId="6E7475A9" w14:textId="77777777" w:rsidR="008260CB" w:rsidRPr="009E1F70" w:rsidRDefault="008260CB" w:rsidP="009E1F70">
      <w:pPr>
        <w:jc w:val="both"/>
        <w:rPr>
          <w:rFonts w:ascii="Times New Roman" w:hAnsi="Times New Roman" w:cs="Times New Roman"/>
          <w:noProof/>
          <w:sz w:val="24"/>
          <w:szCs w:val="24"/>
        </w:rPr>
      </w:pPr>
    </w:p>
    <w:p w14:paraId="6AFF1D3D" w14:textId="7DB3AF31" w:rsidR="002B46BE" w:rsidRPr="009E1F70" w:rsidRDefault="00AD4F75" w:rsidP="00C5300B">
      <w:pPr>
        <w:pStyle w:val="Heading1"/>
        <w:rPr>
          <w:noProof/>
        </w:rPr>
      </w:pPr>
      <w:r>
        <w:rPr>
          <w:noProof/>
        </w:rPr>
        <w:t xml:space="preserve">Мерки, свързани с фамилиите продукти </w:t>
      </w:r>
    </w:p>
    <w:p w14:paraId="53DC4262" w14:textId="2193245B" w:rsidR="00665DF0" w:rsidRPr="009E1F70" w:rsidRDefault="007877CA" w:rsidP="009E1F70">
      <w:pPr>
        <w:jc w:val="both"/>
        <w:rPr>
          <w:rFonts w:ascii="Times New Roman" w:hAnsi="Times New Roman" w:cs="Times New Roman"/>
          <w:noProof/>
          <w:sz w:val="24"/>
          <w:szCs w:val="24"/>
        </w:rPr>
      </w:pPr>
      <w:r>
        <w:rPr>
          <w:rFonts w:ascii="Times New Roman" w:hAnsi="Times New Roman"/>
          <w:noProof/>
          <w:sz w:val="24"/>
        </w:rPr>
        <w:t xml:space="preserve">Основната част от работата е свързана с фамилиите продукти. В таблица 3 по-долу са представени всички планирани и текущи действия в хода на работния план за периода 2026—2029 г. за всички фамилии продукти, подредени съгласно установения в таблица 2 ред. Фамилиите продукти са организирани според (планираното) начало на работата по законодателството. Всички дати са ориентировъчни. </w:t>
      </w:r>
    </w:p>
    <w:p w14:paraId="62147035" w14:textId="528166F7" w:rsidR="00F6295C" w:rsidRPr="009E1F70" w:rsidRDefault="003F2B02" w:rsidP="009E1F70">
      <w:pPr>
        <w:spacing w:before="0" w:after="160"/>
        <w:jc w:val="both"/>
        <w:rPr>
          <w:rFonts w:ascii="Times New Roman" w:hAnsi="Times New Roman" w:cs="Times New Roman"/>
          <w:noProof/>
          <w:sz w:val="24"/>
          <w:szCs w:val="24"/>
        </w:rPr>
      </w:pPr>
      <w:r>
        <w:rPr>
          <w:rFonts w:ascii="Times New Roman" w:hAnsi="Times New Roman"/>
          <w:noProof/>
          <w:sz w:val="24"/>
        </w:rPr>
        <w:t xml:space="preserve">Обяснение на таблицата: </w:t>
      </w:r>
    </w:p>
    <w:p w14:paraId="6892BEF0" w14:textId="3996F1E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Код на фамилиите продукти — трибуквен код, присвоен им в свързаното с РСП законодателство</w:t>
      </w:r>
    </w:p>
    <w:p w14:paraId="60B3DE98" w14:textId="7777777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Междинна цел I — представяне на свързания с междинна цел I документ: продукти, които ще бъдат обхванати</w:t>
      </w:r>
    </w:p>
    <w:p w14:paraId="6F6F4C26" w14:textId="7777777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Междинна цел III — представяне на свързания с междинна цел III документ: съществени характеристики, класове, прагове, обща информация за продукта, инструкции за употреба и информация за безопасност и предварително съдържание относно изискванията към продукта (когато е приложимо).</w:t>
      </w:r>
    </w:p>
    <w:p w14:paraId="1BC95354" w14:textId="7777777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Искане за стандартизация — искане за проектостандарти, представено за гласуване от комитета за стандартизация.</w:t>
      </w:r>
    </w:p>
    <w:p w14:paraId="158E8B5E" w14:textId="7777777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Краен срок за представяне на стандарта — очаквано представяне на първите стандарти, включени в искането за стандартизация, конкретни дати за всеки документ, който ще бъде обсъждан.</w:t>
      </w:r>
    </w:p>
    <w:p w14:paraId="1885646D" w14:textId="7777777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Стандарт, придобил задължителен характер, и приемане на ДА — дата на приемане на акта за изпълнение, който превръща стандартите в задължителни, и на делегирания акт, с който се установяват свързаните класове, прагове, задължително деклариране и т.н.</w:t>
      </w:r>
    </w:p>
    <w:p w14:paraId="506A63D1" w14:textId="7777777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ДА във връзка с изискванията към продуктите — дата на приемане на делегирания акт, с който се установяват изискванията към продуктите. Той може да бъде последван от отделно искане за стандартизация за разработването на доброволни хармонизирани стандарти, осигуряващи презумпция за съответствие с изискванията.</w:t>
      </w:r>
    </w:p>
    <w:p w14:paraId="1C8427F0" w14:textId="2DB52E3A"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Допълнителна информация — друга приложима информация, която трябва да се вземе предвид, като подготвителната работа по междинна цел 0, започнала в някои групи.</w:t>
      </w:r>
    </w:p>
    <w:p w14:paraId="43364857" w14:textId="77777777" w:rsidR="005A38FE" w:rsidRDefault="005A38FE" w:rsidP="001D62BB">
      <w:pPr>
        <w:rPr>
          <w:noProof/>
        </w:rPr>
      </w:pPr>
    </w:p>
    <w:p w14:paraId="30E26418" w14:textId="77777777" w:rsidR="00E63AD4" w:rsidRDefault="00E63AD4" w:rsidP="001D62BB">
      <w:pPr>
        <w:rPr>
          <w:noProof/>
        </w:rPr>
        <w:sectPr w:rsidR="00E63AD4" w:rsidSect="008269F8">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08" w:footer="483" w:gutter="0"/>
          <w:pgNumType w:start="1"/>
          <w:cols w:space="720"/>
          <w:titlePg/>
          <w:docGrid w:linePitch="360"/>
        </w:sectPr>
      </w:pPr>
    </w:p>
    <w:p w14:paraId="0C94F598" w14:textId="59CD5F7B" w:rsidR="009F3156" w:rsidRPr="009E1F70" w:rsidRDefault="00062E84" w:rsidP="004D187D">
      <w:pPr>
        <w:pStyle w:val="Caption"/>
        <w:rPr>
          <w:rFonts w:ascii="Times New Roman" w:hAnsi="Times New Roman" w:cs="Times New Roman"/>
          <w:b/>
          <w:bCs/>
          <w:i w:val="0"/>
          <w:iCs w:val="0"/>
          <w:noProof/>
          <w:color w:val="auto"/>
          <w:sz w:val="20"/>
          <w:szCs w:val="20"/>
        </w:rPr>
      </w:pPr>
      <w:r>
        <w:rPr>
          <w:rFonts w:ascii="Times New Roman" w:hAnsi="Times New Roman"/>
          <w:b/>
          <w:i w:val="0"/>
          <w:noProof/>
          <w:color w:val="auto"/>
          <w:sz w:val="20"/>
        </w:rPr>
        <w:t xml:space="preserve">Таблица 3: Мерки, свързани с фамилиите продукти </w:t>
      </w:r>
    </w:p>
    <w:tbl>
      <w:tblPr>
        <w:tblStyle w:val="TableGrid"/>
        <w:tblW w:w="14715" w:type="dxa"/>
        <w:tblLayout w:type="fixed"/>
        <w:tblLook w:val="04A0" w:firstRow="1" w:lastRow="0" w:firstColumn="1" w:lastColumn="0" w:noHBand="0" w:noVBand="1"/>
      </w:tblPr>
      <w:tblGrid>
        <w:gridCol w:w="1339"/>
        <w:gridCol w:w="2778"/>
        <w:gridCol w:w="1020"/>
        <w:gridCol w:w="1020"/>
        <w:gridCol w:w="1020"/>
        <w:gridCol w:w="1020"/>
        <w:gridCol w:w="1020"/>
        <w:gridCol w:w="1020"/>
        <w:gridCol w:w="1020"/>
        <w:gridCol w:w="3458"/>
      </w:tblGrid>
      <w:tr w:rsidR="00C95F37" w14:paraId="0B06A386" w14:textId="23B88EF6" w:rsidTr="00354CA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339" w:type="dxa"/>
            <w:noWrap/>
            <w:hideMark/>
          </w:tcPr>
          <w:p w14:paraId="080E1D4D" w14:textId="39CAD653" w:rsidR="000C2404" w:rsidRPr="00427899" w:rsidRDefault="007D5D16" w:rsidP="004D187D">
            <w:pPr>
              <w:spacing w:before="0" w:after="0"/>
              <w:jc w:val="center"/>
              <w:rPr>
                <w:rFonts w:ascii="Aptos Narrow" w:eastAsia="Times New Roman" w:hAnsi="Aptos Narrow" w:cs="Times New Roman"/>
                <w:noProof/>
              </w:rPr>
            </w:pPr>
            <w:r>
              <w:rPr>
                <w:rFonts w:ascii="Aptos Narrow" w:hAnsi="Aptos Narrow"/>
                <w:noProof/>
              </w:rPr>
              <w:t>№ на фамилията продукти в приложение VII</w:t>
            </w:r>
          </w:p>
        </w:tc>
        <w:tc>
          <w:tcPr>
            <w:tcW w:w="2778" w:type="dxa"/>
            <w:shd w:val="clear" w:color="auto" w:fill="034EA2" w:themeFill="text2"/>
            <w:noWrap/>
            <w:hideMark/>
          </w:tcPr>
          <w:p w14:paraId="2086DA15" w14:textId="358D0E10" w:rsidR="000C2404" w:rsidRPr="00427899" w:rsidRDefault="000C2404" w:rsidP="004D187D">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Фамилия продукти</w:t>
            </w:r>
          </w:p>
        </w:tc>
        <w:tc>
          <w:tcPr>
            <w:tcW w:w="1020" w:type="dxa"/>
            <w:shd w:val="clear" w:color="auto" w:fill="034EA2" w:themeFill="text2"/>
          </w:tcPr>
          <w:p w14:paraId="70691990" w14:textId="7F614277"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Код</w:t>
            </w:r>
          </w:p>
        </w:tc>
        <w:tc>
          <w:tcPr>
            <w:tcW w:w="1020" w:type="dxa"/>
            <w:shd w:val="clear" w:color="auto" w:fill="034EA2" w:themeFill="text2"/>
          </w:tcPr>
          <w:p w14:paraId="4723EECA" w14:textId="19AC3423" w:rsidR="000C2404" w:rsidRPr="00427899"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Междинна цел I</w:t>
            </w:r>
          </w:p>
        </w:tc>
        <w:tc>
          <w:tcPr>
            <w:tcW w:w="1020" w:type="dxa"/>
            <w:shd w:val="clear" w:color="auto" w:fill="034EA2" w:themeFill="text2"/>
          </w:tcPr>
          <w:p w14:paraId="0EE31A8C" w14:textId="637F0445"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Междинна цел III</w:t>
            </w:r>
          </w:p>
        </w:tc>
        <w:tc>
          <w:tcPr>
            <w:tcW w:w="1020" w:type="dxa"/>
            <w:shd w:val="clear" w:color="auto" w:fill="034EA2" w:themeFill="text2"/>
          </w:tcPr>
          <w:p w14:paraId="07A347FF" w14:textId="1074379C" w:rsidR="000C2404" w:rsidRDefault="00D2159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Искане за стандартизация</w:t>
            </w:r>
          </w:p>
        </w:tc>
        <w:tc>
          <w:tcPr>
            <w:tcW w:w="1020" w:type="dxa"/>
            <w:shd w:val="clear" w:color="auto" w:fill="034EA2" w:themeFill="text2"/>
          </w:tcPr>
          <w:p w14:paraId="0C110EA5" w14:textId="77777777"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Краен срок за представяне</w:t>
            </w:r>
          </w:p>
          <w:p w14:paraId="53901CF3" w14:textId="2657D3A9"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на стандарта</w:t>
            </w:r>
          </w:p>
        </w:tc>
        <w:tc>
          <w:tcPr>
            <w:tcW w:w="1020" w:type="dxa"/>
            <w:shd w:val="clear" w:color="auto" w:fill="034EA2" w:themeFill="text2"/>
          </w:tcPr>
          <w:p w14:paraId="2F7F76E8" w14:textId="11AE697A"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Превръщане на стандарта в задължителен и ДА</w:t>
            </w:r>
          </w:p>
        </w:tc>
        <w:tc>
          <w:tcPr>
            <w:tcW w:w="1020" w:type="dxa"/>
            <w:shd w:val="clear" w:color="auto" w:fill="034EA2" w:themeFill="text2"/>
          </w:tcPr>
          <w:p w14:paraId="7F71A984" w14:textId="3F7EF760"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ДА във връзка с изискванията към продуктите</w:t>
            </w:r>
          </w:p>
        </w:tc>
        <w:tc>
          <w:tcPr>
            <w:tcW w:w="3458" w:type="dxa"/>
            <w:shd w:val="clear" w:color="auto" w:fill="034EA2" w:themeFill="text2"/>
          </w:tcPr>
          <w:p w14:paraId="7A512B56" w14:textId="771F2316"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Допълнителна информация</w:t>
            </w:r>
          </w:p>
        </w:tc>
      </w:tr>
      <w:tr w:rsidR="00C35BE6" w:rsidRPr="00427899" w14:paraId="4A65E46E"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1150125F" w14:textId="77777777"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w:t>
            </w:r>
          </w:p>
        </w:tc>
        <w:tc>
          <w:tcPr>
            <w:tcW w:w="2778" w:type="dxa"/>
            <w:noWrap/>
          </w:tcPr>
          <w:p w14:paraId="47DD6FB9" w14:textId="421A420F" w:rsidR="000C2404" w:rsidRPr="00950FF3"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предварително изготвени продукти от обикновен бетон/лек бетон/газобетон</w:t>
            </w:r>
          </w:p>
        </w:tc>
        <w:tc>
          <w:tcPr>
            <w:tcW w:w="1020" w:type="dxa"/>
          </w:tcPr>
          <w:p w14:paraId="1513E24D" w14:textId="77777777" w:rsidR="000C2404" w:rsidRPr="00427899"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PCR</w:t>
            </w:r>
          </w:p>
        </w:tc>
        <w:tc>
          <w:tcPr>
            <w:tcW w:w="1020" w:type="dxa"/>
          </w:tcPr>
          <w:p w14:paraId="36DD7280" w14:textId="70D569CB"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tcPr>
          <w:p w14:paraId="0700BB6C" w14:textId="6832500E"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tcPr>
          <w:p w14:paraId="687E59C3" w14:textId="75F65AA7"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2-ро тримесечие на 2025 г.</w:t>
            </w:r>
          </w:p>
        </w:tc>
        <w:tc>
          <w:tcPr>
            <w:tcW w:w="1020" w:type="dxa"/>
          </w:tcPr>
          <w:p w14:paraId="52466FB2" w14:textId="73A7EAB6"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4-то тримесечие на 2025 г.</w:t>
            </w:r>
          </w:p>
        </w:tc>
        <w:tc>
          <w:tcPr>
            <w:tcW w:w="1020" w:type="dxa"/>
          </w:tcPr>
          <w:p w14:paraId="7337E20B" w14:textId="31A7EA7A"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4-то тримесечие на 2025 г.</w:t>
            </w:r>
          </w:p>
        </w:tc>
        <w:tc>
          <w:tcPr>
            <w:tcW w:w="1020" w:type="dxa"/>
          </w:tcPr>
          <w:p w14:paraId="6A2F0B53" w14:textId="747E080F" w:rsidR="000C2404" w:rsidRDefault="0045329B"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c>
          <w:tcPr>
            <w:tcW w:w="3458" w:type="dxa"/>
          </w:tcPr>
          <w:p w14:paraId="6FDCB7B1" w14:textId="37E03CC0"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съгласно РСП от 2011 г.</w:t>
            </w:r>
          </w:p>
        </w:tc>
      </w:tr>
      <w:tr w:rsidR="00C95F37" w:rsidRPr="00427899" w14:paraId="3465DDED"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383F8826" w14:textId="77777777"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20</w:t>
            </w:r>
          </w:p>
        </w:tc>
        <w:tc>
          <w:tcPr>
            <w:tcW w:w="2778" w:type="dxa"/>
            <w:shd w:val="clear" w:color="auto" w:fill="DBDBDB" w:themeFill="text1" w:themeFillTint="33"/>
            <w:noWrap/>
          </w:tcPr>
          <w:p w14:paraId="7856F836" w14:textId="33BEB9C6" w:rsidR="000C2404" w:rsidRPr="00950FF3"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метални конструкции и съединителни средства за тях</w:t>
            </w:r>
          </w:p>
        </w:tc>
        <w:tc>
          <w:tcPr>
            <w:tcW w:w="1020" w:type="dxa"/>
            <w:shd w:val="clear" w:color="auto" w:fill="DBDBDB" w:themeFill="text1" w:themeFillTint="33"/>
          </w:tcPr>
          <w:p w14:paraId="3B7D2ABA" w14:textId="5D303B85" w:rsidR="000C2404" w:rsidRPr="00427899"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SMP</w:t>
            </w:r>
          </w:p>
        </w:tc>
        <w:tc>
          <w:tcPr>
            <w:tcW w:w="1020" w:type="dxa"/>
            <w:shd w:val="clear" w:color="auto" w:fill="DBDBDB" w:themeFill="text1" w:themeFillTint="33"/>
          </w:tcPr>
          <w:p w14:paraId="4BDCE5D4" w14:textId="7511F01D"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shd w:val="clear" w:color="auto" w:fill="DBDBDB" w:themeFill="text1" w:themeFillTint="33"/>
          </w:tcPr>
          <w:p w14:paraId="7A55E080" w14:textId="4C358571"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shd w:val="clear" w:color="auto" w:fill="DBDBDB" w:themeFill="text1" w:themeFillTint="33"/>
          </w:tcPr>
          <w:p w14:paraId="7469E20F" w14:textId="3BD520BE"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3-то тримесечие на 2025 г.</w:t>
            </w:r>
          </w:p>
        </w:tc>
        <w:tc>
          <w:tcPr>
            <w:tcW w:w="1020" w:type="dxa"/>
            <w:shd w:val="clear" w:color="auto" w:fill="DBDBDB" w:themeFill="text1" w:themeFillTint="33"/>
          </w:tcPr>
          <w:p w14:paraId="1D1256CF" w14:textId="4B08819D"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4-то тримесечие на 2025 г.</w:t>
            </w:r>
          </w:p>
        </w:tc>
        <w:tc>
          <w:tcPr>
            <w:tcW w:w="1020" w:type="dxa"/>
            <w:shd w:val="clear" w:color="auto" w:fill="DBDBDB" w:themeFill="text1" w:themeFillTint="33"/>
          </w:tcPr>
          <w:p w14:paraId="6398F254" w14:textId="7E58EBB1"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2-ро тримесечие на 2026 г.</w:t>
            </w:r>
          </w:p>
        </w:tc>
        <w:tc>
          <w:tcPr>
            <w:tcW w:w="1020" w:type="dxa"/>
            <w:shd w:val="clear" w:color="auto" w:fill="DBDBDB" w:themeFill="text1" w:themeFillTint="33"/>
          </w:tcPr>
          <w:p w14:paraId="53C67C4D" w14:textId="4CC80AA8" w:rsidR="000C2404" w:rsidRDefault="0045329B"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c>
          <w:tcPr>
            <w:tcW w:w="3458" w:type="dxa"/>
            <w:shd w:val="clear" w:color="auto" w:fill="DBDBDB" w:themeFill="text1" w:themeFillTint="33"/>
          </w:tcPr>
          <w:p w14:paraId="672AF60C" w14:textId="3E337C9F"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 xml:space="preserve">съгласно РСП от 2011 г.; за стандарти, които не са представени или не отговарят на изискванията, ще има ново ИскС съгласно РСП през 2-то тримесечие на 2026 г. с краен срок за представяне </w:t>
            </w:r>
            <w:r>
              <w:rPr>
                <w:noProof/>
              </w:rPr>
              <w:t xml:space="preserve"> </w:t>
            </w:r>
            <w:r>
              <w:rPr>
                <w:noProof/>
              </w:rPr>
              <w:br/>
            </w:r>
            <w:r>
              <w:rPr>
                <w:rFonts w:ascii="Aptos Narrow" w:hAnsi="Aptos Narrow"/>
                <w:noProof/>
                <w:color w:val="000000"/>
              </w:rPr>
              <w:t>3-то тримесечие на 2027 г.</w:t>
            </w:r>
          </w:p>
        </w:tc>
      </w:tr>
      <w:tr w:rsidR="00C35BE6" w:rsidRPr="00427899" w14:paraId="689AFEF3" w14:textId="1A0E126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3916410B" w14:textId="234D1C92" w:rsidR="000C2404" w:rsidRPr="009D582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w:t>
            </w:r>
          </w:p>
        </w:tc>
        <w:tc>
          <w:tcPr>
            <w:tcW w:w="2778" w:type="dxa"/>
            <w:noWrap/>
          </w:tcPr>
          <w:p w14:paraId="25CA065C" w14:textId="3CA9AC07" w:rsidR="000C2404" w:rsidRPr="004D187D"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врати, прозорци, капаци, врати за промишлени и търговски сгради и за гаражи и свързаният с тях обков</w:t>
            </w:r>
          </w:p>
        </w:tc>
        <w:tc>
          <w:tcPr>
            <w:tcW w:w="1020" w:type="dxa"/>
          </w:tcPr>
          <w:p w14:paraId="5262B636" w14:textId="1DEB6320" w:rsidR="000C2404" w:rsidRPr="004D187D"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DWS</w:t>
            </w:r>
          </w:p>
        </w:tc>
        <w:tc>
          <w:tcPr>
            <w:tcW w:w="1020" w:type="dxa"/>
          </w:tcPr>
          <w:p w14:paraId="2FF517B3" w14:textId="31E029F1" w:rsidR="000C2404" w:rsidRPr="004D187D"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tcPr>
          <w:p w14:paraId="2DAECC9D" w14:textId="73BC1EF2"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tcPr>
          <w:p w14:paraId="6DAB9F6A" w14:textId="3FB8C01C"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1-во тримесечие на 2026 г.</w:t>
            </w:r>
          </w:p>
        </w:tc>
        <w:tc>
          <w:tcPr>
            <w:tcW w:w="1020" w:type="dxa"/>
          </w:tcPr>
          <w:p w14:paraId="26FA03F3" w14:textId="73112B73"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tcPr>
          <w:p w14:paraId="409B8245" w14:textId="5618677A"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tcPr>
          <w:p w14:paraId="720090F2" w14:textId="09D618C1"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3458" w:type="dxa"/>
          </w:tcPr>
          <w:p w14:paraId="28E4AE52" w14:textId="30BCBCEB" w:rsidR="000C2404" w:rsidRDefault="7C5244F3"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изискванията към продуктите за строителен обков бяха установени и ще бъдат въведени чрез делегиран акт. Това се отнася до изискванията за аварийни изходи</w:t>
            </w:r>
          </w:p>
        </w:tc>
      </w:tr>
      <w:tr w:rsidR="00C95F37" w:rsidRPr="00427899" w14:paraId="189BF1CE"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25E91148" w14:textId="0484A433"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16</w:t>
            </w:r>
          </w:p>
        </w:tc>
        <w:tc>
          <w:tcPr>
            <w:tcW w:w="2778" w:type="dxa"/>
            <w:shd w:val="clear" w:color="auto" w:fill="DBDBDB" w:themeFill="text1" w:themeFillTint="33"/>
            <w:noWrap/>
          </w:tcPr>
          <w:p w14:paraId="7948CA53" w14:textId="37D682E8" w:rsidR="000C2404" w:rsidRPr="00950FF3"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армировъчна стомана и стомана за предварително напрегнат бетон (и спомагателни продукти) — комплекти за напрягане след бетониране</w:t>
            </w:r>
          </w:p>
        </w:tc>
        <w:tc>
          <w:tcPr>
            <w:tcW w:w="1020" w:type="dxa"/>
            <w:shd w:val="clear" w:color="auto" w:fill="DBDBDB" w:themeFill="text1" w:themeFillTint="33"/>
          </w:tcPr>
          <w:p w14:paraId="7886C3D1" w14:textId="411158C9" w:rsidR="000C2404" w:rsidRPr="00427899"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RPS</w:t>
            </w:r>
          </w:p>
        </w:tc>
        <w:tc>
          <w:tcPr>
            <w:tcW w:w="1020" w:type="dxa"/>
            <w:shd w:val="clear" w:color="auto" w:fill="DBDBDB" w:themeFill="text1" w:themeFillTint="33"/>
          </w:tcPr>
          <w:p w14:paraId="651317E5" w14:textId="40D400A8" w:rsidR="000C2404" w:rsidRPr="00550C9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shd w:val="clear" w:color="auto" w:fill="DBDBDB" w:themeFill="text1" w:themeFillTint="33"/>
          </w:tcPr>
          <w:p w14:paraId="071284FC" w14:textId="2029F856" w:rsidR="000C2404" w:rsidRDefault="00FC30B5"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4-то тримесечие на 2025 г.</w:t>
            </w:r>
          </w:p>
        </w:tc>
        <w:tc>
          <w:tcPr>
            <w:tcW w:w="1020" w:type="dxa"/>
            <w:shd w:val="clear" w:color="auto" w:fill="DBDBDB" w:themeFill="text1" w:themeFillTint="33"/>
          </w:tcPr>
          <w:p w14:paraId="60E6D1EC" w14:textId="37EC80B6"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2-ро тримесечие на 2026 г.</w:t>
            </w:r>
          </w:p>
        </w:tc>
        <w:tc>
          <w:tcPr>
            <w:tcW w:w="1020" w:type="dxa"/>
            <w:shd w:val="clear" w:color="auto" w:fill="DBDBDB" w:themeFill="text1" w:themeFillTint="33"/>
          </w:tcPr>
          <w:p w14:paraId="07EFB1E2" w14:textId="0528C3C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shd w:val="clear" w:color="auto" w:fill="DBDBDB" w:themeFill="text1" w:themeFillTint="33"/>
          </w:tcPr>
          <w:p w14:paraId="36127920" w14:textId="07EB562E"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shd w:val="clear" w:color="auto" w:fill="DBDBDB" w:themeFill="text1" w:themeFillTint="33"/>
          </w:tcPr>
          <w:p w14:paraId="3D7AC5DD" w14:textId="2E1D450A"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в процес на обсъждане</w:t>
            </w:r>
          </w:p>
        </w:tc>
        <w:tc>
          <w:tcPr>
            <w:tcW w:w="3458" w:type="dxa"/>
            <w:shd w:val="clear" w:color="auto" w:fill="DBDBDB" w:themeFill="text1" w:themeFillTint="33"/>
          </w:tcPr>
          <w:p w14:paraId="2888867B"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04D7E00C"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60B64CA2" w14:textId="5B70718F"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15</w:t>
            </w:r>
          </w:p>
        </w:tc>
        <w:tc>
          <w:tcPr>
            <w:tcW w:w="2778" w:type="dxa"/>
            <w:noWrap/>
          </w:tcPr>
          <w:p w14:paraId="4CA6C768" w14:textId="3C583B8D" w:rsidR="000C2404" w:rsidRPr="00950FF3"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цимент, строителна вар и други хидравлични свързващи вещества</w:t>
            </w:r>
          </w:p>
        </w:tc>
        <w:tc>
          <w:tcPr>
            <w:tcW w:w="1020" w:type="dxa"/>
          </w:tcPr>
          <w:p w14:paraId="353CB17B" w14:textId="1EBE910A" w:rsidR="000C2404" w:rsidRPr="00427899"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CEM</w:t>
            </w:r>
          </w:p>
        </w:tc>
        <w:tc>
          <w:tcPr>
            <w:tcW w:w="1020" w:type="dxa"/>
          </w:tcPr>
          <w:p w14:paraId="74718735" w14:textId="15D26EEC" w:rsidR="000C2404" w:rsidRPr="00550C9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tcPr>
          <w:p w14:paraId="51996519" w14:textId="4C353BEA"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tcPr>
          <w:p w14:paraId="7329DEF3" w14:textId="142E5C58"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3-то тримесечие на 2025 г.</w:t>
            </w:r>
          </w:p>
        </w:tc>
        <w:tc>
          <w:tcPr>
            <w:tcW w:w="1020" w:type="dxa"/>
          </w:tcPr>
          <w:p w14:paraId="4432B9B6" w14:textId="7AFDEDB0"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3-то тримесечие на 2027 г.</w:t>
            </w:r>
          </w:p>
        </w:tc>
        <w:tc>
          <w:tcPr>
            <w:tcW w:w="1020" w:type="dxa"/>
          </w:tcPr>
          <w:p w14:paraId="0B979A7A" w14:textId="560C633E"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4-то тримесечие на 2027 г.</w:t>
            </w:r>
          </w:p>
        </w:tc>
        <w:tc>
          <w:tcPr>
            <w:tcW w:w="1020" w:type="dxa"/>
          </w:tcPr>
          <w:p w14:paraId="71564A3A" w14:textId="7B121FAE" w:rsidR="000C2404" w:rsidRDefault="0045329B"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не</w:t>
            </w:r>
          </w:p>
        </w:tc>
        <w:tc>
          <w:tcPr>
            <w:tcW w:w="3458" w:type="dxa"/>
          </w:tcPr>
          <w:p w14:paraId="3226DD2F" w14:textId="2DBEB172"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 xml:space="preserve">Комисията иска ЕДО за иновативни и алкално активирани цименти </w:t>
            </w:r>
            <w:r>
              <w:rPr>
                <w:noProof/>
              </w:rPr>
              <w:br/>
            </w:r>
            <w:r>
              <w:rPr>
                <w:rFonts w:ascii="Aptos Narrow" w:hAnsi="Aptos Narrow"/>
                <w:noProof/>
                <w:color w:val="000000"/>
              </w:rPr>
              <w:t>1-во тримесечие на 2026 г.</w:t>
            </w:r>
          </w:p>
          <w:p w14:paraId="425D000E" w14:textId="3F50493C"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 xml:space="preserve">искане за стандартизация за алкално активиран цимент </w:t>
            </w:r>
            <w:r>
              <w:rPr>
                <w:noProof/>
              </w:rPr>
              <w:t xml:space="preserve"> </w:t>
            </w:r>
            <w:r>
              <w:rPr>
                <w:noProof/>
              </w:rPr>
              <w:br/>
            </w:r>
            <w:r>
              <w:rPr>
                <w:rFonts w:ascii="Aptos Narrow" w:hAnsi="Aptos Narrow"/>
                <w:noProof/>
                <w:color w:val="000000"/>
              </w:rPr>
              <w:t>4-то тримесечие на 2027 г.</w:t>
            </w:r>
          </w:p>
        </w:tc>
      </w:tr>
      <w:tr w:rsidR="00C95F37" w:rsidRPr="00427899" w14:paraId="6B5D6E28"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02FE2A9F" w14:textId="03C16919"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4</w:t>
            </w:r>
          </w:p>
        </w:tc>
        <w:tc>
          <w:tcPr>
            <w:tcW w:w="2778" w:type="dxa"/>
            <w:shd w:val="clear" w:color="auto" w:fill="DBDBDB" w:themeFill="text1" w:themeFillTint="33"/>
            <w:noWrap/>
          </w:tcPr>
          <w:p w14:paraId="6BB5C50A" w14:textId="0BC69641" w:rsidR="000C2404" w:rsidRPr="00950FF3"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топлоизолация — комбинирани изолационни комплекти/системи</w:t>
            </w:r>
          </w:p>
        </w:tc>
        <w:tc>
          <w:tcPr>
            <w:tcW w:w="1020" w:type="dxa"/>
            <w:shd w:val="clear" w:color="auto" w:fill="DBDBDB" w:themeFill="text1" w:themeFillTint="33"/>
          </w:tcPr>
          <w:p w14:paraId="37550214" w14:textId="7D6692EE" w:rsidR="000C2404" w:rsidRPr="00427899"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TIP</w:t>
            </w:r>
          </w:p>
        </w:tc>
        <w:tc>
          <w:tcPr>
            <w:tcW w:w="1020" w:type="dxa"/>
            <w:shd w:val="clear" w:color="auto" w:fill="DBDBDB" w:themeFill="text1" w:themeFillTint="33"/>
          </w:tcPr>
          <w:p w14:paraId="533D83F8" w14:textId="2C71600A"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shd w:val="clear" w:color="auto" w:fill="DBDBDB" w:themeFill="text1" w:themeFillTint="33"/>
          </w:tcPr>
          <w:p w14:paraId="40482A68" w14:textId="06F6D1F8"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текущ</w:t>
            </w:r>
          </w:p>
        </w:tc>
        <w:tc>
          <w:tcPr>
            <w:tcW w:w="1020" w:type="dxa"/>
            <w:shd w:val="clear" w:color="auto" w:fill="DBDBDB" w:themeFill="text1" w:themeFillTint="33"/>
          </w:tcPr>
          <w:p w14:paraId="4E7253F3" w14:textId="4059636D"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3-то тримесечие на 2026 г.</w:t>
            </w:r>
          </w:p>
        </w:tc>
        <w:tc>
          <w:tcPr>
            <w:tcW w:w="1020" w:type="dxa"/>
            <w:shd w:val="clear" w:color="auto" w:fill="DBDBDB" w:themeFill="text1" w:themeFillTint="33"/>
          </w:tcPr>
          <w:p w14:paraId="40F4BC47" w14:textId="48C9F50B"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shd w:val="clear" w:color="auto" w:fill="DBDBDB" w:themeFill="text1" w:themeFillTint="33"/>
          </w:tcPr>
          <w:p w14:paraId="05A5B2D2" w14:textId="0F44F723"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shd w:val="clear" w:color="auto" w:fill="DBDBDB" w:themeFill="text1" w:themeFillTint="33"/>
          </w:tcPr>
          <w:p w14:paraId="6495EB3D" w14:textId="4A1057D3"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в процес на обсъждане</w:t>
            </w:r>
          </w:p>
        </w:tc>
        <w:tc>
          <w:tcPr>
            <w:tcW w:w="3458" w:type="dxa"/>
            <w:shd w:val="clear" w:color="auto" w:fill="DBDBDB" w:themeFill="text1" w:themeFillTint="33"/>
          </w:tcPr>
          <w:p w14:paraId="79FC9E9A"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07C9255D"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3E4C27B9" w14:textId="2DE99802"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30</w:t>
            </w:r>
          </w:p>
        </w:tc>
        <w:tc>
          <w:tcPr>
            <w:tcW w:w="2778" w:type="dxa"/>
            <w:noWrap/>
          </w:tcPr>
          <w:p w14:paraId="0A9CB343" w14:textId="0E64A2FC" w:rsidR="000C2404" w:rsidRPr="00950FF3"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от плоско стъкло, профилирано стъкло и стъклени блокчета</w:t>
            </w:r>
          </w:p>
        </w:tc>
        <w:tc>
          <w:tcPr>
            <w:tcW w:w="1020" w:type="dxa"/>
          </w:tcPr>
          <w:p w14:paraId="3895B6A8" w14:textId="654755C1" w:rsidR="000C2404" w:rsidRPr="00427899"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GLA</w:t>
            </w:r>
          </w:p>
        </w:tc>
        <w:tc>
          <w:tcPr>
            <w:tcW w:w="1020" w:type="dxa"/>
          </w:tcPr>
          <w:p w14:paraId="628D100A" w14:textId="704904B5"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tcPr>
          <w:p w14:paraId="07FF56B2" w14:textId="40D1C1C6"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текущ</w:t>
            </w:r>
          </w:p>
        </w:tc>
        <w:tc>
          <w:tcPr>
            <w:tcW w:w="1020" w:type="dxa"/>
          </w:tcPr>
          <w:p w14:paraId="0C4CBF1E" w14:textId="12BA168A"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1-во тримесечие на 2026 г.</w:t>
            </w:r>
          </w:p>
        </w:tc>
        <w:tc>
          <w:tcPr>
            <w:tcW w:w="1020" w:type="dxa"/>
          </w:tcPr>
          <w:p w14:paraId="17499815" w14:textId="3C468F3C" w:rsidR="000C2404" w:rsidRPr="004D187D"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tcPr>
          <w:p w14:paraId="2D23114C" w14:textId="79F1D7D2"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tcPr>
          <w:p w14:paraId="01AD089B" w14:textId="4DF18A20"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3458" w:type="dxa"/>
          </w:tcPr>
          <w:p w14:paraId="58AD34A3" w14:textId="33BE94DE"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изискванията към продуктите бяха установени и ще бъдат въведени чрез делегиран акт</w:t>
            </w:r>
          </w:p>
        </w:tc>
      </w:tr>
      <w:tr w:rsidR="00C95F37" w:rsidRPr="00427899" w14:paraId="6D09D200"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5D9090DF" w14:textId="757959D8"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6</w:t>
            </w:r>
          </w:p>
        </w:tc>
        <w:tc>
          <w:tcPr>
            <w:tcW w:w="2778" w:type="dxa"/>
            <w:shd w:val="clear" w:color="auto" w:fill="DBDBDB" w:themeFill="text1" w:themeFillTint="33"/>
            <w:noWrap/>
          </w:tcPr>
          <w:p w14:paraId="0E12B167" w14:textId="729B6E7A" w:rsidR="000C2404" w:rsidRPr="00950FF3"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комини, димоотводи и специфични продукти</w:t>
            </w:r>
          </w:p>
        </w:tc>
        <w:tc>
          <w:tcPr>
            <w:tcW w:w="1020" w:type="dxa"/>
            <w:shd w:val="clear" w:color="auto" w:fill="DBDBDB" w:themeFill="text1" w:themeFillTint="33"/>
          </w:tcPr>
          <w:p w14:paraId="7E2C6F97" w14:textId="3471DAD7" w:rsidR="000C2404" w:rsidRPr="00427899"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CHI</w:t>
            </w:r>
          </w:p>
        </w:tc>
        <w:tc>
          <w:tcPr>
            <w:tcW w:w="1020" w:type="dxa"/>
            <w:shd w:val="clear" w:color="auto" w:fill="DBDBDB" w:themeFill="text1" w:themeFillTint="33"/>
          </w:tcPr>
          <w:p w14:paraId="09C1F662" w14:textId="464CCAC3"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shd w:val="clear" w:color="auto" w:fill="DBDBDB" w:themeFill="text1" w:themeFillTint="33"/>
          </w:tcPr>
          <w:p w14:paraId="34050426" w14:textId="45D56B92"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текущ</w:t>
            </w:r>
          </w:p>
        </w:tc>
        <w:tc>
          <w:tcPr>
            <w:tcW w:w="1020" w:type="dxa"/>
            <w:shd w:val="clear" w:color="auto" w:fill="DBDBDB" w:themeFill="text1" w:themeFillTint="33"/>
          </w:tcPr>
          <w:p w14:paraId="45E1395A" w14:textId="15F6B185"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3-то тримесечие на 2026 г.</w:t>
            </w:r>
          </w:p>
        </w:tc>
        <w:tc>
          <w:tcPr>
            <w:tcW w:w="1020" w:type="dxa"/>
            <w:shd w:val="clear" w:color="auto" w:fill="DBDBDB" w:themeFill="text1" w:themeFillTint="33"/>
          </w:tcPr>
          <w:p w14:paraId="2F6B92F9" w14:textId="0B0B6C3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shd w:val="clear" w:color="auto" w:fill="DBDBDB" w:themeFill="text1" w:themeFillTint="33"/>
          </w:tcPr>
          <w:p w14:paraId="22A4D454" w14:textId="5043377F"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shd w:val="clear" w:color="auto" w:fill="DBDBDB" w:themeFill="text1" w:themeFillTint="33"/>
          </w:tcPr>
          <w:p w14:paraId="736CDB03" w14:textId="24ACEA7D"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7115D142" w14:textId="3DB4E1D9"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самостоятелните комини са изключени</w:t>
            </w:r>
          </w:p>
        </w:tc>
      </w:tr>
      <w:tr w:rsidR="00C35BE6" w:rsidRPr="00427899" w14:paraId="538E5269"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01F5749F" w14:textId="4B789A7F"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13</w:t>
            </w:r>
          </w:p>
        </w:tc>
        <w:tc>
          <w:tcPr>
            <w:tcW w:w="2778" w:type="dxa"/>
            <w:noWrap/>
          </w:tcPr>
          <w:p w14:paraId="4087B98D" w14:textId="25AC6A28" w:rsidR="000C2404" w:rsidRPr="00950FF3"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продукти/елементи от дървесина и съединителни средства за тях</w:t>
            </w:r>
          </w:p>
        </w:tc>
        <w:tc>
          <w:tcPr>
            <w:tcW w:w="1020" w:type="dxa"/>
          </w:tcPr>
          <w:p w14:paraId="31E61C22" w14:textId="170CF413" w:rsidR="000C2404" w:rsidRPr="00427899"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STP</w:t>
            </w:r>
          </w:p>
        </w:tc>
        <w:tc>
          <w:tcPr>
            <w:tcW w:w="1020" w:type="dxa"/>
            <w:vMerge w:val="restart"/>
          </w:tcPr>
          <w:p w14:paraId="63D220E3" w14:textId="5765DC8D"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текущ</w:t>
            </w:r>
          </w:p>
        </w:tc>
        <w:tc>
          <w:tcPr>
            <w:tcW w:w="1020" w:type="dxa"/>
            <w:vMerge w:val="restart"/>
          </w:tcPr>
          <w:p w14:paraId="3C5EB398" w14:textId="040AE4F0"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1-во тримесечие на 2026 г.</w:t>
            </w:r>
          </w:p>
        </w:tc>
        <w:tc>
          <w:tcPr>
            <w:tcW w:w="1020" w:type="dxa"/>
            <w:vMerge w:val="restart"/>
          </w:tcPr>
          <w:p w14:paraId="2FF5B92F" w14:textId="361AC75B"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3-то тримесечие на 2026 г.</w:t>
            </w:r>
          </w:p>
        </w:tc>
        <w:tc>
          <w:tcPr>
            <w:tcW w:w="1020" w:type="dxa"/>
            <w:vMerge w:val="restart"/>
          </w:tcPr>
          <w:p w14:paraId="0743E6D3" w14:textId="79CAF6A5"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vMerge w:val="restart"/>
          </w:tcPr>
          <w:p w14:paraId="74B1C6A5" w14:textId="7A650795"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vMerge w:val="restart"/>
          </w:tcPr>
          <w:p w14:paraId="3B3E185E" w14:textId="18AC81E6"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vMerge w:val="restart"/>
          </w:tcPr>
          <w:p w14:paraId="0F448AD2" w14:textId="05371AFE"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65E68E6C"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59C269F6" w14:textId="6CCBCAAF"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14</w:t>
            </w:r>
          </w:p>
        </w:tc>
        <w:tc>
          <w:tcPr>
            <w:tcW w:w="2778" w:type="dxa"/>
            <w:shd w:val="clear" w:color="auto" w:fill="DBDBDB" w:themeFill="text1" w:themeFillTint="33"/>
            <w:noWrap/>
          </w:tcPr>
          <w:p w14:paraId="1267EBB8" w14:textId="10E0D1D9" w:rsidR="000C2404" w:rsidRPr="00950FF3"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 xml:space="preserve">дървесни плочи (панели) и елементи </w:t>
            </w:r>
          </w:p>
        </w:tc>
        <w:tc>
          <w:tcPr>
            <w:tcW w:w="1020" w:type="dxa"/>
            <w:shd w:val="clear" w:color="auto" w:fill="DBDBDB" w:themeFill="text1" w:themeFillTint="33"/>
          </w:tcPr>
          <w:p w14:paraId="37CAB428" w14:textId="7DBC8498" w:rsidR="000C2404" w:rsidRPr="00427899"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WBP</w:t>
            </w:r>
          </w:p>
        </w:tc>
        <w:tc>
          <w:tcPr>
            <w:tcW w:w="1020" w:type="dxa"/>
            <w:vMerge/>
            <w:shd w:val="clear" w:color="auto" w:fill="DBDBDB" w:themeFill="text1" w:themeFillTint="33"/>
          </w:tcPr>
          <w:p w14:paraId="766E32DA" w14:textId="77777777"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079F0E7A"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0ABCD65B" w14:textId="1CFBEC25"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4931DCF7"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0B069F24"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381898DF"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vMerge/>
            <w:shd w:val="clear" w:color="auto" w:fill="DBDBDB" w:themeFill="text1" w:themeFillTint="33"/>
          </w:tcPr>
          <w:p w14:paraId="7CA1CA9B"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208DB376"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060150CD" w14:textId="612B7F87"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26</w:t>
            </w:r>
          </w:p>
        </w:tc>
        <w:tc>
          <w:tcPr>
            <w:tcW w:w="2778" w:type="dxa"/>
            <w:noWrap/>
          </w:tcPr>
          <w:p w14:paraId="7B8583F6" w14:textId="72EF2328" w:rsidR="000C2404" w:rsidRPr="00950FF3"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бетони и разтвори, инжекционни разтвори</w:t>
            </w:r>
          </w:p>
        </w:tc>
        <w:tc>
          <w:tcPr>
            <w:tcW w:w="1020" w:type="dxa"/>
          </w:tcPr>
          <w:p w14:paraId="4C247D1C" w14:textId="07921AB2" w:rsidR="000C2404" w:rsidRPr="00427899"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CMG</w:t>
            </w:r>
          </w:p>
        </w:tc>
        <w:tc>
          <w:tcPr>
            <w:tcW w:w="1020" w:type="dxa"/>
          </w:tcPr>
          <w:p w14:paraId="2EE0880B" w14:textId="31E252AD"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текущ</w:t>
            </w:r>
          </w:p>
        </w:tc>
        <w:tc>
          <w:tcPr>
            <w:tcW w:w="1020" w:type="dxa"/>
          </w:tcPr>
          <w:p w14:paraId="6CF508AD" w14:textId="211E5D5E" w:rsidR="000C2404"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1-во тримесечие на 2026 г.</w:t>
            </w:r>
          </w:p>
        </w:tc>
        <w:tc>
          <w:tcPr>
            <w:tcW w:w="1020" w:type="dxa"/>
          </w:tcPr>
          <w:p w14:paraId="727DCEB7" w14:textId="25EBA023" w:rsidR="000C2404"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4-то тримесечие на 2026 г.</w:t>
            </w:r>
          </w:p>
        </w:tc>
        <w:tc>
          <w:tcPr>
            <w:tcW w:w="1020" w:type="dxa"/>
          </w:tcPr>
          <w:p w14:paraId="08D0CACF" w14:textId="528A8CDD" w:rsidR="000C2404"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tcPr>
          <w:p w14:paraId="55EA2C6A" w14:textId="284AE835" w:rsidR="000C2404"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41898676" w14:textId="2D0008C8" w:rsidR="000C2404"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76CFE4E9" w14:textId="77777777" w:rsidR="000C2404"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02E0D2BE"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5224C758" w14:textId="5CC843DE"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17</w:t>
            </w:r>
          </w:p>
        </w:tc>
        <w:tc>
          <w:tcPr>
            <w:tcW w:w="2778" w:type="dxa"/>
            <w:shd w:val="clear" w:color="auto" w:fill="DBDBDB" w:themeFill="text1" w:themeFillTint="33"/>
            <w:noWrap/>
          </w:tcPr>
          <w:p w14:paraId="68006EA8" w14:textId="2ABE7AA6" w:rsidR="000C2404" w:rsidRPr="00950FF3"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зидария и свързани с нея продукти — блокове за зидария, строителни разтвори, стенни връзки</w:t>
            </w:r>
          </w:p>
        </w:tc>
        <w:tc>
          <w:tcPr>
            <w:tcW w:w="1020" w:type="dxa"/>
            <w:shd w:val="clear" w:color="auto" w:fill="DBDBDB" w:themeFill="text1" w:themeFillTint="33"/>
          </w:tcPr>
          <w:p w14:paraId="73A20E40" w14:textId="5E44DCAD" w:rsidR="000C2404" w:rsidRPr="00427899"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MAS</w:t>
            </w:r>
          </w:p>
        </w:tc>
        <w:tc>
          <w:tcPr>
            <w:tcW w:w="1020" w:type="dxa"/>
            <w:shd w:val="clear" w:color="auto" w:fill="DBDBDB" w:themeFill="text1" w:themeFillTint="33"/>
          </w:tcPr>
          <w:p w14:paraId="2B09AAAE" w14:textId="2B1495E4"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текущ</w:t>
            </w:r>
          </w:p>
        </w:tc>
        <w:tc>
          <w:tcPr>
            <w:tcW w:w="1020" w:type="dxa"/>
            <w:shd w:val="clear" w:color="auto" w:fill="DBDBDB" w:themeFill="text1" w:themeFillTint="33"/>
          </w:tcPr>
          <w:p w14:paraId="5820546A" w14:textId="27841A36" w:rsidR="000C2404"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2-ро тримесечие на 2026 г.</w:t>
            </w:r>
          </w:p>
        </w:tc>
        <w:tc>
          <w:tcPr>
            <w:tcW w:w="1020" w:type="dxa"/>
            <w:shd w:val="clear" w:color="auto" w:fill="DBDBDB" w:themeFill="text1" w:themeFillTint="33"/>
          </w:tcPr>
          <w:p w14:paraId="0AAF76F6" w14:textId="4E778082" w:rsidR="000C2404"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1-во тримесечие на 2027 г.</w:t>
            </w:r>
          </w:p>
        </w:tc>
        <w:tc>
          <w:tcPr>
            <w:tcW w:w="1020" w:type="dxa"/>
            <w:shd w:val="clear" w:color="auto" w:fill="DBDBDB" w:themeFill="text1" w:themeFillTint="33"/>
          </w:tcPr>
          <w:p w14:paraId="048703C4" w14:textId="76FC200C" w:rsidR="000C2404"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458C2FFE" w14:textId="2CCAC8F6" w:rsidR="000C2404"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0DF3AF68" w14:textId="755DAB48" w:rsidR="000C2404"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2CE5B1C0" w14:textId="77777777" w:rsidR="000C2404"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1569C9BC"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3B0E5636" w14:textId="09E09616"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24</w:t>
            </w:r>
          </w:p>
        </w:tc>
        <w:tc>
          <w:tcPr>
            <w:tcW w:w="2778" w:type="dxa"/>
            <w:noWrap/>
          </w:tcPr>
          <w:p w14:paraId="300E196E" w14:textId="6D9A4D18" w:rsidR="000C2404" w:rsidRPr="00950FF3"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добавъчни материали</w:t>
            </w:r>
          </w:p>
        </w:tc>
        <w:tc>
          <w:tcPr>
            <w:tcW w:w="1020" w:type="dxa"/>
          </w:tcPr>
          <w:p w14:paraId="27F25333" w14:textId="1FA49D4A" w:rsidR="000C2404" w:rsidRPr="00427899"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AGG</w:t>
            </w:r>
          </w:p>
        </w:tc>
        <w:tc>
          <w:tcPr>
            <w:tcW w:w="1020" w:type="dxa"/>
          </w:tcPr>
          <w:p w14:paraId="166E94E3" w14:textId="3F3C3A41"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текущ</w:t>
            </w:r>
          </w:p>
        </w:tc>
        <w:tc>
          <w:tcPr>
            <w:tcW w:w="1020" w:type="dxa"/>
          </w:tcPr>
          <w:p w14:paraId="209F6C91" w14:textId="00D4D7E8" w:rsidR="000C2404"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2-ро тримесечие на 2026 г.</w:t>
            </w:r>
          </w:p>
        </w:tc>
        <w:tc>
          <w:tcPr>
            <w:tcW w:w="1020" w:type="dxa"/>
          </w:tcPr>
          <w:p w14:paraId="796B3A1C" w14:textId="19BF67D5" w:rsidR="000C2404"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1-во тримесечие на 2027 г.</w:t>
            </w:r>
          </w:p>
        </w:tc>
        <w:tc>
          <w:tcPr>
            <w:tcW w:w="1020" w:type="dxa"/>
          </w:tcPr>
          <w:p w14:paraId="6BAE475F" w14:textId="7B31B861" w:rsidR="000C2404" w:rsidRDefault="00327A8A"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tcPr>
          <w:p w14:paraId="41F2E8A2" w14:textId="02C1A117" w:rsidR="000C2404"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7A7484A1" w14:textId="2580E610" w:rsidR="000C2404"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2B527546" w14:textId="77777777" w:rsidR="000C2404"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6495DEC6"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31904CAC" w14:textId="07EA75D4"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9</w:t>
            </w:r>
          </w:p>
        </w:tc>
        <w:tc>
          <w:tcPr>
            <w:tcW w:w="2778" w:type="dxa"/>
            <w:shd w:val="clear" w:color="auto" w:fill="DBDBDB" w:themeFill="text1" w:themeFillTint="33"/>
            <w:noWrap/>
          </w:tcPr>
          <w:p w14:paraId="07DA3549" w14:textId="4F4EA484"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окачени фасади/облицовки/остъкляване и уплътняване</w:t>
            </w:r>
          </w:p>
        </w:tc>
        <w:tc>
          <w:tcPr>
            <w:tcW w:w="1020" w:type="dxa"/>
            <w:shd w:val="clear" w:color="auto" w:fill="DBDBDB" w:themeFill="text1" w:themeFillTint="33"/>
          </w:tcPr>
          <w:p w14:paraId="593AD9FB" w14:textId="0C35EF2E"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CWP</w:t>
            </w:r>
          </w:p>
        </w:tc>
        <w:tc>
          <w:tcPr>
            <w:tcW w:w="1020" w:type="dxa"/>
            <w:shd w:val="clear" w:color="auto" w:fill="DBDBDB" w:themeFill="text1" w:themeFillTint="33"/>
          </w:tcPr>
          <w:p w14:paraId="41C94F52" w14:textId="019792FF"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приключил</w:t>
            </w:r>
          </w:p>
        </w:tc>
        <w:tc>
          <w:tcPr>
            <w:tcW w:w="1020" w:type="dxa"/>
            <w:shd w:val="clear" w:color="auto" w:fill="DBDBDB" w:themeFill="text1" w:themeFillTint="33"/>
          </w:tcPr>
          <w:p w14:paraId="7984FA49" w14:textId="2EEEED12" w:rsidR="000C2404" w:rsidRDefault="0055021B"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2-ро тримесечие на 2026 г.</w:t>
            </w:r>
          </w:p>
        </w:tc>
        <w:tc>
          <w:tcPr>
            <w:tcW w:w="1020" w:type="dxa"/>
            <w:shd w:val="clear" w:color="auto" w:fill="DBDBDB" w:themeFill="text1" w:themeFillTint="33"/>
          </w:tcPr>
          <w:p w14:paraId="071FAA25" w14:textId="7BC672B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4-то тримесечие на 2026 г.</w:t>
            </w:r>
          </w:p>
        </w:tc>
        <w:tc>
          <w:tcPr>
            <w:tcW w:w="1020" w:type="dxa"/>
            <w:shd w:val="clear" w:color="auto" w:fill="DBDBDB" w:themeFill="text1" w:themeFillTint="33"/>
          </w:tcPr>
          <w:p w14:paraId="05694F15" w14:textId="1F099A5E"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shd w:val="clear" w:color="auto" w:fill="DBDBDB" w:themeFill="text1" w:themeFillTint="33"/>
          </w:tcPr>
          <w:p w14:paraId="008EBC68" w14:textId="4E73CA6C"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6E0A4137" w14:textId="5D06C5DC"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62F4CE29"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3FEB7771"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7DD6234C" w14:textId="48B70375"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10</w:t>
            </w:r>
          </w:p>
        </w:tc>
        <w:tc>
          <w:tcPr>
            <w:tcW w:w="2778" w:type="dxa"/>
            <w:noWrap/>
          </w:tcPr>
          <w:p w14:paraId="1B152887" w14:textId="35E34924"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Стационарно противопожарно оборудване (аларма/детектор за пожароизвестяване, стационарни продукти за гасене на пожар, продукти за управление на огън и дим и за предотвратяване на експлозии)</w:t>
            </w:r>
          </w:p>
        </w:tc>
        <w:tc>
          <w:tcPr>
            <w:tcW w:w="1020" w:type="dxa"/>
          </w:tcPr>
          <w:p w14:paraId="15C077B8" w14:textId="3D6EE71A"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FFF</w:t>
            </w:r>
          </w:p>
        </w:tc>
        <w:tc>
          <w:tcPr>
            <w:tcW w:w="1020" w:type="dxa"/>
          </w:tcPr>
          <w:p w14:paraId="13BD9BEC" w14:textId="24B1B834"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2-ро тримесечие на 2026 г.</w:t>
            </w:r>
          </w:p>
        </w:tc>
        <w:tc>
          <w:tcPr>
            <w:tcW w:w="1020" w:type="dxa"/>
          </w:tcPr>
          <w:p w14:paraId="7FE1BB09" w14:textId="0FDB0A3F"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1-во тримесечие на 2027 г.</w:t>
            </w:r>
          </w:p>
        </w:tc>
        <w:tc>
          <w:tcPr>
            <w:tcW w:w="1020" w:type="dxa"/>
          </w:tcPr>
          <w:p w14:paraId="19BC7CD2" w14:textId="2942D0E4" w:rsidR="000C2404" w:rsidRDefault="00D94488"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3-то тримесечие на 2027 г.</w:t>
            </w:r>
          </w:p>
        </w:tc>
        <w:tc>
          <w:tcPr>
            <w:tcW w:w="1020" w:type="dxa"/>
          </w:tcPr>
          <w:p w14:paraId="004305A5"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582EEA15"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6E9C0389"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6C136A8C"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1F318405"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69AAF339" w14:textId="300C773F"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23</w:t>
            </w:r>
          </w:p>
        </w:tc>
        <w:tc>
          <w:tcPr>
            <w:tcW w:w="2778" w:type="dxa"/>
            <w:shd w:val="clear" w:color="auto" w:fill="DBDBDB" w:themeFill="text1" w:themeFillTint="33"/>
            <w:noWrap/>
          </w:tcPr>
          <w:p w14:paraId="5E41B67C" w14:textId="35758D0D"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продукти за строителство на пътища (асфалт и т.н.)</w:t>
            </w:r>
          </w:p>
        </w:tc>
        <w:tc>
          <w:tcPr>
            <w:tcW w:w="1020" w:type="dxa"/>
            <w:shd w:val="clear" w:color="auto" w:fill="DBDBDB" w:themeFill="text1" w:themeFillTint="33"/>
          </w:tcPr>
          <w:p w14:paraId="1A0298A7" w14:textId="00570E6E"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RCP</w:t>
            </w:r>
          </w:p>
        </w:tc>
        <w:tc>
          <w:tcPr>
            <w:tcW w:w="1020" w:type="dxa"/>
            <w:shd w:val="clear" w:color="auto" w:fill="DBDBDB" w:themeFill="text1" w:themeFillTint="33"/>
          </w:tcPr>
          <w:p w14:paraId="70A6FDD4" w14:textId="26AF27F0"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1-во тримесечие на 2026 г.</w:t>
            </w:r>
          </w:p>
        </w:tc>
        <w:tc>
          <w:tcPr>
            <w:tcW w:w="1020" w:type="dxa"/>
            <w:shd w:val="clear" w:color="auto" w:fill="DBDBDB" w:themeFill="text1" w:themeFillTint="33"/>
          </w:tcPr>
          <w:p w14:paraId="6628E5A4" w14:textId="04E1237B"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3-то тримесечие на 2026 г.</w:t>
            </w:r>
          </w:p>
        </w:tc>
        <w:tc>
          <w:tcPr>
            <w:tcW w:w="1020" w:type="dxa"/>
            <w:shd w:val="clear" w:color="auto" w:fill="DBDBDB" w:themeFill="text1" w:themeFillTint="33"/>
          </w:tcPr>
          <w:p w14:paraId="43278D9A" w14:textId="7DFE80BD"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 г.</w:t>
            </w:r>
          </w:p>
        </w:tc>
        <w:tc>
          <w:tcPr>
            <w:tcW w:w="1020" w:type="dxa"/>
            <w:shd w:val="clear" w:color="auto" w:fill="DBDBDB" w:themeFill="text1" w:themeFillTint="33"/>
          </w:tcPr>
          <w:p w14:paraId="53672ED7"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6D390E55"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1CEFBD6F"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5164B2F0"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61133853"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1BFACE77" w14:textId="69477A42"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19</w:t>
            </w:r>
          </w:p>
        </w:tc>
        <w:tc>
          <w:tcPr>
            <w:tcW w:w="2778" w:type="dxa"/>
            <w:noWrap/>
          </w:tcPr>
          <w:p w14:paraId="7FCF7CC0" w14:textId="1397605F"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подови покрития</w:t>
            </w:r>
          </w:p>
        </w:tc>
        <w:tc>
          <w:tcPr>
            <w:tcW w:w="1020" w:type="dxa"/>
          </w:tcPr>
          <w:p w14:paraId="55F1C391" w14:textId="6B9E47DC"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FLO</w:t>
            </w:r>
          </w:p>
        </w:tc>
        <w:tc>
          <w:tcPr>
            <w:tcW w:w="1020" w:type="dxa"/>
          </w:tcPr>
          <w:p w14:paraId="36E86838" w14:textId="5F5E3EEB"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2-ро тримесечие на 2026 г.</w:t>
            </w:r>
          </w:p>
        </w:tc>
        <w:tc>
          <w:tcPr>
            <w:tcW w:w="1020" w:type="dxa"/>
          </w:tcPr>
          <w:p w14:paraId="6E372541" w14:textId="7FB76A21"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4-то тримесечие на 2026 г.</w:t>
            </w:r>
          </w:p>
        </w:tc>
        <w:tc>
          <w:tcPr>
            <w:tcW w:w="1020" w:type="dxa"/>
          </w:tcPr>
          <w:p w14:paraId="66F9F13B" w14:textId="74C22F81"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 г.</w:t>
            </w:r>
          </w:p>
        </w:tc>
        <w:tc>
          <w:tcPr>
            <w:tcW w:w="1020" w:type="dxa"/>
          </w:tcPr>
          <w:p w14:paraId="0F111A48"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08684BB0"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52C3CD6B"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0CF2FE52" w14:textId="4B5A0EF0"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 междинна цел 0 вече се работи по методи за изпитване на устойчивостта на плъзгане</w:t>
            </w:r>
            <w:r>
              <w:rPr>
                <w:rStyle w:val="FootnoteReference"/>
                <w:rFonts w:ascii="Aptos Narrow" w:eastAsia="Times New Roman" w:hAnsi="Aptos Narrow" w:cs="Times New Roman"/>
                <w:noProof/>
                <w:color w:val="000000"/>
                <w:lang w:eastAsia="en-IE"/>
              </w:rPr>
              <w:footnoteReference w:id="32"/>
            </w:r>
          </w:p>
        </w:tc>
      </w:tr>
      <w:tr w:rsidR="00C95F37" w:rsidRPr="00427899" w14:paraId="1641C19F"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3DDA4356" w14:textId="3DA09DE1"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 xml:space="preserve">34 </w:t>
            </w:r>
          </w:p>
        </w:tc>
        <w:tc>
          <w:tcPr>
            <w:tcW w:w="2778" w:type="dxa"/>
            <w:shd w:val="clear" w:color="auto" w:fill="DBDBDB" w:themeFill="text1" w:themeFillTint="33"/>
            <w:noWrap/>
          </w:tcPr>
          <w:p w14:paraId="79560F35" w14:textId="394C5645"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строителни комплекти, компоненти, предварително изготвени елементи</w:t>
            </w:r>
          </w:p>
        </w:tc>
        <w:tc>
          <w:tcPr>
            <w:tcW w:w="1020" w:type="dxa"/>
            <w:shd w:val="clear" w:color="auto" w:fill="DBDBDB" w:themeFill="text1" w:themeFillTint="33"/>
          </w:tcPr>
          <w:p w14:paraId="759263B4" w14:textId="4E7EF75D"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KAS</w:t>
            </w:r>
          </w:p>
        </w:tc>
        <w:tc>
          <w:tcPr>
            <w:tcW w:w="1020" w:type="dxa"/>
            <w:shd w:val="clear" w:color="auto" w:fill="DBDBDB" w:themeFill="text1" w:themeFillTint="33"/>
          </w:tcPr>
          <w:p w14:paraId="0C07EF8C" w14:textId="08937A3B"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2-ро тримесечие на 2026 г.</w:t>
            </w:r>
          </w:p>
        </w:tc>
        <w:tc>
          <w:tcPr>
            <w:tcW w:w="1020" w:type="dxa"/>
            <w:shd w:val="clear" w:color="auto" w:fill="DBDBDB" w:themeFill="text1" w:themeFillTint="33"/>
          </w:tcPr>
          <w:p w14:paraId="491F5D95" w14:textId="26EF359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2-ро тримесечие на 2027 г.</w:t>
            </w:r>
          </w:p>
        </w:tc>
        <w:tc>
          <w:tcPr>
            <w:tcW w:w="1020" w:type="dxa"/>
            <w:shd w:val="clear" w:color="auto" w:fill="DBDBDB" w:themeFill="text1" w:themeFillTint="33"/>
          </w:tcPr>
          <w:p w14:paraId="63A579A8" w14:textId="7E1ED525"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 г.</w:t>
            </w:r>
          </w:p>
        </w:tc>
        <w:tc>
          <w:tcPr>
            <w:tcW w:w="1020" w:type="dxa"/>
            <w:shd w:val="clear" w:color="auto" w:fill="DBDBDB" w:themeFill="text1" w:themeFillTint="33"/>
          </w:tcPr>
          <w:p w14:paraId="31C4A09F"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574EABBE"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6A570739"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277D8AC7" w14:textId="2280B98A"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включително фамилия продукти 36. Ако е уместно, тази работа се разделя на няколко работни потока с различни срокове. Освен това Комисията може да поиска ЕДО за иновативни комплекти.</w:t>
            </w:r>
          </w:p>
        </w:tc>
      </w:tr>
      <w:tr w:rsidR="00C35BE6" w:rsidRPr="00427899" w14:paraId="40A246C9"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3B751041" w14:textId="4C6794A4"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21</w:t>
            </w:r>
          </w:p>
        </w:tc>
        <w:tc>
          <w:tcPr>
            <w:tcW w:w="2778" w:type="dxa"/>
            <w:noWrap/>
          </w:tcPr>
          <w:p w14:paraId="14FD54A6" w14:textId="64F8D9A9"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облицовка за вътрешни, външни стени и тавани — комплекти вътрешни преградни стени</w:t>
            </w:r>
          </w:p>
        </w:tc>
        <w:tc>
          <w:tcPr>
            <w:tcW w:w="1020" w:type="dxa"/>
          </w:tcPr>
          <w:p w14:paraId="55A51F46" w14:textId="371E8FFB"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WCF</w:t>
            </w:r>
          </w:p>
        </w:tc>
        <w:tc>
          <w:tcPr>
            <w:tcW w:w="1020" w:type="dxa"/>
          </w:tcPr>
          <w:p w14:paraId="3AAD9865" w14:textId="29E1295F"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3-то тримесечие на 2026 г.</w:t>
            </w:r>
          </w:p>
        </w:tc>
        <w:tc>
          <w:tcPr>
            <w:tcW w:w="1020" w:type="dxa"/>
          </w:tcPr>
          <w:p w14:paraId="5D71EFA4" w14:textId="1795BD1B"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3-то тримесечие на 2027 г.</w:t>
            </w:r>
          </w:p>
        </w:tc>
        <w:tc>
          <w:tcPr>
            <w:tcW w:w="1020" w:type="dxa"/>
          </w:tcPr>
          <w:p w14:paraId="39FA2D9C" w14:textId="7C16162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tcPr>
          <w:p w14:paraId="2BBC113B"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351193E0"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00CAF523"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30BC3DF9"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05925D64"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4BC6EFFD" w14:textId="768FA834" w:rsidR="000C2404" w:rsidRPr="00B56E8E"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7</w:t>
            </w:r>
          </w:p>
        </w:tc>
        <w:tc>
          <w:tcPr>
            <w:tcW w:w="2778" w:type="dxa"/>
            <w:shd w:val="clear" w:color="auto" w:fill="DBDBDB" w:themeFill="text1" w:themeFillTint="33"/>
            <w:noWrap/>
          </w:tcPr>
          <w:p w14:paraId="29F1AA3B" w14:textId="0B6170A4" w:rsidR="000C2404" w:rsidRPr="00BF7A0C"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гипсови продукти</w:t>
            </w:r>
          </w:p>
        </w:tc>
        <w:tc>
          <w:tcPr>
            <w:tcW w:w="1020" w:type="dxa"/>
            <w:shd w:val="clear" w:color="auto" w:fill="DBDBDB" w:themeFill="text1" w:themeFillTint="33"/>
          </w:tcPr>
          <w:p w14:paraId="371C73CC" w14:textId="0C489F7E"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GYP</w:t>
            </w:r>
          </w:p>
        </w:tc>
        <w:tc>
          <w:tcPr>
            <w:tcW w:w="1020" w:type="dxa"/>
            <w:shd w:val="clear" w:color="auto" w:fill="DBDBDB" w:themeFill="text1" w:themeFillTint="33"/>
          </w:tcPr>
          <w:p w14:paraId="59933532" w14:textId="713FE51F" w:rsidR="000C2404" w:rsidRPr="00E11133"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3-то тримесечие на 2026 г.</w:t>
            </w:r>
          </w:p>
        </w:tc>
        <w:tc>
          <w:tcPr>
            <w:tcW w:w="1020" w:type="dxa"/>
            <w:shd w:val="clear" w:color="auto" w:fill="DBDBDB" w:themeFill="text1" w:themeFillTint="33"/>
          </w:tcPr>
          <w:p w14:paraId="03BE883D" w14:textId="612D58F1"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3-то тримесечие на 2027 г.</w:t>
            </w:r>
          </w:p>
        </w:tc>
        <w:tc>
          <w:tcPr>
            <w:tcW w:w="1020" w:type="dxa"/>
            <w:shd w:val="clear" w:color="auto" w:fill="DBDBDB" w:themeFill="text1" w:themeFillTint="33"/>
          </w:tcPr>
          <w:p w14:paraId="6AC260EF" w14:textId="2C2C22CB"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shd w:val="clear" w:color="auto" w:fill="DBDBDB" w:themeFill="text1" w:themeFillTint="33"/>
          </w:tcPr>
          <w:p w14:paraId="08AAF86D"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2AE193CD"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734EFD75"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7F6CA211"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5F85458D"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6B4D90DF" w14:textId="3CBE3936"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5</w:t>
            </w:r>
          </w:p>
        </w:tc>
        <w:tc>
          <w:tcPr>
            <w:tcW w:w="2778" w:type="dxa"/>
            <w:noWrap/>
          </w:tcPr>
          <w:p w14:paraId="19BBA87C" w14:textId="716B4DB3"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лагери за конструкции — елементи за фуги на конструкции</w:t>
            </w:r>
          </w:p>
        </w:tc>
        <w:tc>
          <w:tcPr>
            <w:tcW w:w="1020" w:type="dxa"/>
          </w:tcPr>
          <w:p w14:paraId="4F3B5F0F" w14:textId="317622B9"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SBE</w:t>
            </w:r>
          </w:p>
        </w:tc>
        <w:tc>
          <w:tcPr>
            <w:tcW w:w="1020" w:type="dxa"/>
          </w:tcPr>
          <w:p w14:paraId="33BA9D43" w14:textId="2A9BBD8B"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4-то тримесечие на 2026 г.</w:t>
            </w:r>
          </w:p>
        </w:tc>
        <w:tc>
          <w:tcPr>
            <w:tcW w:w="1020" w:type="dxa"/>
          </w:tcPr>
          <w:p w14:paraId="62743FF0" w14:textId="78727FAB"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4-то тримесечие на 2027 г.</w:t>
            </w:r>
          </w:p>
        </w:tc>
        <w:tc>
          <w:tcPr>
            <w:tcW w:w="1020" w:type="dxa"/>
          </w:tcPr>
          <w:p w14:paraId="5B293E9E" w14:textId="2764A5F4"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tcPr>
          <w:p w14:paraId="76DBE325"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5F91DAE6"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229EBAAC"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192FF2E0"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3DD7650F"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72BCEA13" w14:textId="68A59A17"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27</w:t>
            </w:r>
          </w:p>
        </w:tc>
        <w:tc>
          <w:tcPr>
            <w:tcW w:w="2778" w:type="dxa"/>
            <w:shd w:val="clear" w:color="auto" w:fill="DBDBDB" w:themeFill="text1" w:themeFillTint="33"/>
            <w:noWrap/>
          </w:tcPr>
          <w:p w14:paraId="546CCAEB" w14:textId="77AA2D2E"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уреди за отопление и други уреди за отопление и охлаждане</w:t>
            </w:r>
          </w:p>
        </w:tc>
        <w:tc>
          <w:tcPr>
            <w:tcW w:w="1020" w:type="dxa"/>
            <w:shd w:val="clear" w:color="auto" w:fill="DBDBDB" w:themeFill="text1" w:themeFillTint="33"/>
          </w:tcPr>
          <w:p w14:paraId="6CB1887D" w14:textId="34124AA9"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SHA</w:t>
            </w:r>
          </w:p>
        </w:tc>
        <w:tc>
          <w:tcPr>
            <w:tcW w:w="1020" w:type="dxa"/>
            <w:shd w:val="clear" w:color="auto" w:fill="DBDBDB" w:themeFill="text1" w:themeFillTint="33"/>
          </w:tcPr>
          <w:p w14:paraId="71CE0B8F" w14:textId="3C1D4313"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4-то тримесечие на 2026 г.</w:t>
            </w:r>
          </w:p>
        </w:tc>
        <w:tc>
          <w:tcPr>
            <w:tcW w:w="1020" w:type="dxa"/>
            <w:shd w:val="clear" w:color="auto" w:fill="DBDBDB" w:themeFill="text1" w:themeFillTint="33"/>
          </w:tcPr>
          <w:p w14:paraId="54F6418B" w14:textId="34C9E39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4-то тримесечие на 2027 г.</w:t>
            </w:r>
          </w:p>
        </w:tc>
        <w:tc>
          <w:tcPr>
            <w:tcW w:w="1020" w:type="dxa"/>
            <w:shd w:val="clear" w:color="auto" w:fill="DBDBDB" w:themeFill="text1" w:themeFillTint="33"/>
          </w:tcPr>
          <w:p w14:paraId="4DF772C0" w14:textId="74C0AFFC"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shd w:val="clear" w:color="auto" w:fill="DBDBDB" w:themeFill="text1" w:themeFillTint="33"/>
          </w:tcPr>
          <w:p w14:paraId="756A8ABA"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6A7A50B3"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05ED48B8"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089E5960" w14:textId="49A301B9"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част от продуктите се регулират и от Екопроектиране/РЕУП, работата ще бъде съобразена с дейностите там</w:t>
            </w:r>
          </w:p>
        </w:tc>
      </w:tr>
      <w:tr w:rsidR="00C35BE6" w:rsidRPr="00427899" w14:paraId="78D476DC"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580B76EE" w14:textId="34155D84"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22</w:t>
            </w:r>
          </w:p>
        </w:tc>
        <w:tc>
          <w:tcPr>
            <w:tcW w:w="2778" w:type="dxa"/>
            <w:noWrap/>
          </w:tcPr>
          <w:p w14:paraId="4ADE6E23" w14:textId="142B481C"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покривни покрития, горно осветление, покривни прозорци и спомагателни продукти — покривни комплекти</w:t>
            </w:r>
          </w:p>
        </w:tc>
        <w:tc>
          <w:tcPr>
            <w:tcW w:w="1020" w:type="dxa"/>
          </w:tcPr>
          <w:p w14:paraId="52342136" w14:textId="47CCE569"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ROC</w:t>
            </w:r>
          </w:p>
        </w:tc>
        <w:tc>
          <w:tcPr>
            <w:tcW w:w="1020" w:type="dxa"/>
          </w:tcPr>
          <w:p w14:paraId="34EAEF0E" w14:textId="3E7936CD" w:rsidR="000C2404" w:rsidRDefault="0059191B"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 г.</w:t>
            </w:r>
          </w:p>
        </w:tc>
        <w:tc>
          <w:tcPr>
            <w:tcW w:w="1020" w:type="dxa"/>
          </w:tcPr>
          <w:p w14:paraId="697FFB10" w14:textId="13FE7F86" w:rsidR="000C2404" w:rsidRDefault="00256903"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 г.</w:t>
            </w:r>
          </w:p>
        </w:tc>
        <w:tc>
          <w:tcPr>
            <w:tcW w:w="1020" w:type="dxa"/>
          </w:tcPr>
          <w:p w14:paraId="067FF491" w14:textId="4453AC01" w:rsidR="000C2404" w:rsidRDefault="004D2B06"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tcPr>
          <w:p w14:paraId="3D2D530A"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207936D1"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450ED0B2"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33E1CF24" w14:textId="370483D0"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покривните комплекти се регулират от Екопроектиране/РЕУП, работата ще бъде съобразена с дейностите там</w:t>
            </w:r>
          </w:p>
        </w:tc>
      </w:tr>
      <w:tr w:rsidR="00C95F37" w:rsidRPr="00427899" w14:paraId="2FBB316F"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43948242" w14:textId="32B15FC7"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12</w:t>
            </w:r>
          </w:p>
        </w:tc>
        <w:tc>
          <w:tcPr>
            <w:tcW w:w="2778" w:type="dxa"/>
            <w:shd w:val="clear" w:color="auto" w:fill="DBDBDB" w:themeFill="text1" w:themeFillTint="33"/>
            <w:noWrap/>
          </w:tcPr>
          <w:p w14:paraId="33560980" w14:textId="4DD6DCCF"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средства за организация и регулиране на движението: пътни принадлежности (бои, пътни знаци, системи от пътни ограничители)</w:t>
            </w:r>
          </w:p>
        </w:tc>
        <w:tc>
          <w:tcPr>
            <w:tcW w:w="1020" w:type="dxa"/>
            <w:shd w:val="clear" w:color="auto" w:fill="DBDBDB" w:themeFill="text1" w:themeFillTint="33"/>
          </w:tcPr>
          <w:p w14:paraId="06B74B8B" w14:textId="6D11BF15"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CIF</w:t>
            </w:r>
          </w:p>
        </w:tc>
        <w:tc>
          <w:tcPr>
            <w:tcW w:w="1020" w:type="dxa"/>
            <w:shd w:val="clear" w:color="auto" w:fill="DBDBDB" w:themeFill="text1" w:themeFillTint="33"/>
          </w:tcPr>
          <w:p w14:paraId="40D9D762" w14:textId="043A104A" w:rsidR="000C2404" w:rsidRDefault="0059191B"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 г.</w:t>
            </w:r>
          </w:p>
        </w:tc>
        <w:tc>
          <w:tcPr>
            <w:tcW w:w="1020" w:type="dxa"/>
            <w:shd w:val="clear" w:color="auto" w:fill="DBDBDB" w:themeFill="text1" w:themeFillTint="33"/>
          </w:tcPr>
          <w:p w14:paraId="15B64417" w14:textId="627D76FC" w:rsidR="000C2404" w:rsidRPr="5A158C90" w:rsidRDefault="00256903"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 г.</w:t>
            </w:r>
          </w:p>
        </w:tc>
        <w:tc>
          <w:tcPr>
            <w:tcW w:w="1020" w:type="dxa"/>
            <w:shd w:val="clear" w:color="auto" w:fill="DBDBDB" w:themeFill="text1" w:themeFillTint="33"/>
          </w:tcPr>
          <w:p w14:paraId="5139D047" w14:textId="3524B3B2" w:rsidR="000C2404" w:rsidRPr="5A158C90" w:rsidRDefault="009D36B9"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shd w:val="clear" w:color="auto" w:fill="DBDBDB" w:themeFill="text1" w:themeFillTint="33"/>
          </w:tcPr>
          <w:p w14:paraId="641D12F5" w14:textId="77777777" w:rsidR="000C2404" w:rsidRPr="5A158C90"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5858E8AF" w14:textId="77777777" w:rsidR="000C2404" w:rsidRPr="5A158C90"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64602A67" w14:textId="77777777" w:rsidR="000C2404" w:rsidRPr="5A158C90"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002893D0" w14:textId="590C7ECC" w:rsidR="000C2404" w:rsidRPr="004D187D"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при междинна цел 0 вече се разработва метод за оценка за системи от пътни ограничители</w:t>
            </w:r>
            <w:r>
              <w:rPr>
                <w:rStyle w:val="FootnoteReference"/>
                <w:rFonts w:ascii="Aptos Narrow" w:eastAsia="Times New Roman" w:hAnsi="Aptos Narrow" w:cs="Times New Roman"/>
                <w:noProof/>
                <w:color w:val="000000"/>
                <w:lang w:eastAsia="en-IE"/>
              </w:rPr>
              <w:footnoteReference w:id="33"/>
            </w:r>
          </w:p>
        </w:tc>
      </w:tr>
      <w:tr w:rsidR="00C35BE6" w:rsidRPr="00427899" w14:paraId="766A0090"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1A8E1B99" w14:textId="59B4326D"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18</w:t>
            </w:r>
          </w:p>
        </w:tc>
        <w:tc>
          <w:tcPr>
            <w:tcW w:w="2778" w:type="dxa"/>
            <w:noWrap/>
          </w:tcPr>
          <w:p w14:paraId="58C56E8F" w14:textId="612B39CD"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инженерни продукти за отпадъчни води</w:t>
            </w:r>
          </w:p>
        </w:tc>
        <w:tc>
          <w:tcPr>
            <w:tcW w:w="1020" w:type="dxa"/>
          </w:tcPr>
          <w:p w14:paraId="292F43B6" w14:textId="0892D857"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WWD</w:t>
            </w:r>
          </w:p>
        </w:tc>
        <w:tc>
          <w:tcPr>
            <w:tcW w:w="1020" w:type="dxa"/>
          </w:tcPr>
          <w:p w14:paraId="154555D7" w14:textId="706F1026" w:rsidR="000C2404" w:rsidRDefault="00355A45"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 г.</w:t>
            </w:r>
          </w:p>
        </w:tc>
        <w:tc>
          <w:tcPr>
            <w:tcW w:w="1020" w:type="dxa"/>
          </w:tcPr>
          <w:p w14:paraId="45B77505" w14:textId="6B878E23" w:rsidR="000C2404" w:rsidRDefault="00256903"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tcPr>
          <w:p w14:paraId="477314AB" w14:textId="4781481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1D84A656"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5B923D3E"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083315D0"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1FFADFD7"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7A388375"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6E23389A" w14:textId="70FF7755"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25</w:t>
            </w:r>
          </w:p>
        </w:tc>
        <w:tc>
          <w:tcPr>
            <w:tcW w:w="2778" w:type="dxa"/>
            <w:shd w:val="clear" w:color="auto" w:fill="DBDBDB" w:themeFill="text1" w:themeFillTint="33"/>
            <w:noWrap/>
          </w:tcPr>
          <w:p w14:paraId="583F5DFC" w14:textId="2E528614"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строителни лепила</w:t>
            </w:r>
          </w:p>
        </w:tc>
        <w:tc>
          <w:tcPr>
            <w:tcW w:w="1020" w:type="dxa"/>
            <w:shd w:val="clear" w:color="auto" w:fill="DBDBDB" w:themeFill="text1" w:themeFillTint="33"/>
          </w:tcPr>
          <w:p w14:paraId="12057812" w14:textId="0354FD3A"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ADH</w:t>
            </w:r>
          </w:p>
        </w:tc>
        <w:tc>
          <w:tcPr>
            <w:tcW w:w="1020" w:type="dxa"/>
            <w:shd w:val="clear" w:color="auto" w:fill="DBDBDB" w:themeFill="text1" w:themeFillTint="33"/>
          </w:tcPr>
          <w:p w14:paraId="76DC171D" w14:textId="3A9394DD" w:rsidR="000C2404" w:rsidRDefault="00355A45"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 г.</w:t>
            </w:r>
          </w:p>
        </w:tc>
        <w:tc>
          <w:tcPr>
            <w:tcW w:w="1020" w:type="dxa"/>
            <w:shd w:val="clear" w:color="auto" w:fill="DBDBDB" w:themeFill="text1" w:themeFillTint="33"/>
          </w:tcPr>
          <w:p w14:paraId="73038AA6" w14:textId="01428DFF" w:rsidR="000C2404" w:rsidRDefault="00256903"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shd w:val="clear" w:color="auto" w:fill="DBDBDB" w:themeFill="text1" w:themeFillTint="33"/>
          </w:tcPr>
          <w:p w14:paraId="263BDA1B" w14:textId="4A39375E" w:rsidR="000C2404" w:rsidRDefault="00B16B5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shd w:val="clear" w:color="auto" w:fill="DBDBDB" w:themeFill="text1" w:themeFillTint="33"/>
          </w:tcPr>
          <w:p w14:paraId="1507FC36"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5BE1D8A5"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5384DCC1"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746FA5CC"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059A0608"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43C975A4" w14:textId="1391DBC3"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32</w:t>
            </w:r>
          </w:p>
        </w:tc>
        <w:tc>
          <w:tcPr>
            <w:tcW w:w="2778" w:type="dxa"/>
            <w:noWrap/>
          </w:tcPr>
          <w:p w14:paraId="22B2FFE1" w14:textId="0DCDBEFD"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уплътнители на фуги</w:t>
            </w:r>
          </w:p>
        </w:tc>
        <w:tc>
          <w:tcPr>
            <w:tcW w:w="1020" w:type="dxa"/>
          </w:tcPr>
          <w:p w14:paraId="480F1269" w14:textId="5472CF64"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SEA</w:t>
            </w:r>
          </w:p>
        </w:tc>
        <w:tc>
          <w:tcPr>
            <w:tcW w:w="1020" w:type="dxa"/>
          </w:tcPr>
          <w:p w14:paraId="05421E6A" w14:textId="0CAE00DA" w:rsidR="000C2404" w:rsidRDefault="004B31F8"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 г.</w:t>
            </w:r>
          </w:p>
        </w:tc>
        <w:tc>
          <w:tcPr>
            <w:tcW w:w="1020" w:type="dxa"/>
          </w:tcPr>
          <w:p w14:paraId="730292F1" w14:textId="5615A80F" w:rsidR="000C2404" w:rsidRDefault="00256903"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tcPr>
          <w:p w14:paraId="42C65B5B" w14:textId="115AEB44" w:rsidR="000C2404" w:rsidRDefault="00B16B5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tcPr>
          <w:p w14:paraId="36ED21B0"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67E30E64"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46010E24"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54957AEF"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75359932"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4CFE67DE" w14:textId="244D5B90"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35</w:t>
            </w:r>
          </w:p>
        </w:tc>
        <w:tc>
          <w:tcPr>
            <w:tcW w:w="2778" w:type="dxa"/>
            <w:shd w:val="clear" w:color="auto" w:fill="DBDBDB" w:themeFill="text1" w:themeFillTint="33"/>
            <w:noWrap/>
          </w:tcPr>
          <w:p w14:paraId="56E39E51" w14:textId="7BC573D8"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пожароограничителни, пожароизолиращи и пожарозащитни продукти — продукти, забавящи разпространението на огъня</w:t>
            </w:r>
          </w:p>
        </w:tc>
        <w:tc>
          <w:tcPr>
            <w:tcW w:w="1020" w:type="dxa"/>
            <w:shd w:val="clear" w:color="auto" w:fill="DBDBDB" w:themeFill="text1" w:themeFillTint="33"/>
          </w:tcPr>
          <w:p w14:paraId="753D6E20" w14:textId="127923ED"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FPP</w:t>
            </w:r>
          </w:p>
        </w:tc>
        <w:tc>
          <w:tcPr>
            <w:tcW w:w="1020" w:type="dxa"/>
            <w:shd w:val="clear" w:color="auto" w:fill="DBDBDB" w:themeFill="text1" w:themeFillTint="33"/>
          </w:tcPr>
          <w:p w14:paraId="50B6C69F" w14:textId="385F305E" w:rsidR="000C2404" w:rsidRDefault="004070AF"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shd w:val="clear" w:color="auto" w:fill="DBDBDB" w:themeFill="text1" w:themeFillTint="33"/>
          </w:tcPr>
          <w:p w14:paraId="51341D5C" w14:textId="7A24BCC1" w:rsidR="000C2404" w:rsidRDefault="00256903"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shd w:val="clear" w:color="auto" w:fill="DBDBDB" w:themeFill="text1" w:themeFillTint="33"/>
          </w:tcPr>
          <w:p w14:paraId="25CFBA7C" w14:textId="4CE410C9" w:rsidR="000C2404" w:rsidRDefault="002B07E3"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shd w:val="clear" w:color="auto" w:fill="DBDBDB" w:themeFill="text1" w:themeFillTint="33"/>
          </w:tcPr>
          <w:p w14:paraId="69C2A6B4"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4E634A7C"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1B0E9890"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0EEEAB7D"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1D9B0771"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5C2661FA" w14:textId="46BE7941" w:rsidR="004070AF" w:rsidRDefault="004070AF"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33</w:t>
            </w:r>
          </w:p>
        </w:tc>
        <w:tc>
          <w:tcPr>
            <w:tcW w:w="2778" w:type="dxa"/>
            <w:noWrap/>
          </w:tcPr>
          <w:p w14:paraId="47898A5D" w14:textId="753F635A" w:rsidR="004070AF" w:rsidRPr="00950FF3"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закотвящи устройства</w:t>
            </w:r>
          </w:p>
        </w:tc>
        <w:tc>
          <w:tcPr>
            <w:tcW w:w="1020" w:type="dxa"/>
          </w:tcPr>
          <w:p w14:paraId="028DE3C3" w14:textId="1E90B4A8" w:rsidR="004070AF" w:rsidRPr="00427899"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FIX</w:t>
            </w:r>
          </w:p>
        </w:tc>
        <w:tc>
          <w:tcPr>
            <w:tcW w:w="1020" w:type="dxa"/>
          </w:tcPr>
          <w:p w14:paraId="18675861" w14:textId="1A4293D7" w:rsidR="004070AF" w:rsidRDefault="004070AF"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tcPr>
          <w:p w14:paraId="3C3528C8" w14:textId="4C5053BC" w:rsidR="004070AF" w:rsidRDefault="00256903"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tcPr>
          <w:p w14:paraId="05B60645" w14:textId="57358B7D"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4BD42258"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437218B7"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778FDE24"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4FB63EFB"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1EB8A13A"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0DECF361" w14:textId="143E9991" w:rsidR="004070AF" w:rsidRDefault="004070AF"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3</w:t>
            </w:r>
          </w:p>
        </w:tc>
        <w:tc>
          <w:tcPr>
            <w:tcW w:w="2778" w:type="dxa"/>
            <w:shd w:val="clear" w:color="auto" w:fill="DBDBDB" w:themeFill="text1" w:themeFillTint="33"/>
            <w:noWrap/>
          </w:tcPr>
          <w:p w14:paraId="56418D14" w14:textId="195178E5" w:rsidR="004070AF" w:rsidRPr="00950FF3"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мембрани, включително течно полагани и комплекти (за хидроизолация и/или пароизолация)</w:t>
            </w:r>
          </w:p>
        </w:tc>
        <w:tc>
          <w:tcPr>
            <w:tcW w:w="1020" w:type="dxa"/>
            <w:shd w:val="clear" w:color="auto" w:fill="DBDBDB" w:themeFill="text1" w:themeFillTint="33"/>
          </w:tcPr>
          <w:p w14:paraId="2BCE24FD" w14:textId="2B2ECD2A" w:rsidR="004070AF" w:rsidRPr="00427899"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MEM</w:t>
            </w:r>
          </w:p>
        </w:tc>
        <w:tc>
          <w:tcPr>
            <w:tcW w:w="1020" w:type="dxa"/>
            <w:shd w:val="clear" w:color="auto" w:fill="DBDBDB" w:themeFill="text1" w:themeFillTint="33"/>
          </w:tcPr>
          <w:p w14:paraId="1E6DC6E5" w14:textId="4C86BDF5" w:rsidR="004070AF" w:rsidRDefault="004070AF"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shd w:val="clear" w:color="auto" w:fill="DBDBDB" w:themeFill="text1" w:themeFillTint="33"/>
          </w:tcPr>
          <w:p w14:paraId="62F61A0D" w14:textId="2387D975" w:rsidR="004070AF" w:rsidRDefault="00256903"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shd w:val="clear" w:color="auto" w:fill="DBDBDB" w:themeFill="text1" w:themeFillTint="33"/>
          </w:tcPr>
          <w:p w14:paraId="065A035F" w14:textId="33767869" w:rsidR="004070AF"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3B915263" w14:textId="77777777" w:rsidR="004070AF"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271753EF" w14:textId="77777777" w:rsidR="004070AF"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0E33E381" w14:textId="77777777" w:rsidR="004070AF"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7473EF84" w14:textId="77777777" w:rsidR="004070AF"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4DE5BE55"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17437BAA" w14:textId="4096192E" w:rsidR="004070AF" w:rsidRDefault="004070AF"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8</w:t>
            </w:r>
          </w:p>
        </w:tc>
        <w:tc>
          <w:tcPr>
            <w:tcW w:w="2778" w:type="dxa"/>
            <w:noWrap/>
          </w:tcPr>
          <w:p w14:paraId="12EBF676" w14:textId="05733183" w:rsidR="004070AF" w:rsidRPr="00950FF3"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геотекстил, геомембрани и спомагателни продукти</w:t>
            </w:r>
          </w:p>
        </w:tc>
        <w:tc>
          <w:tcPr>
            <w:tcW w:w="1020" w:type="dxa"/>
          </w:tcPr>
          <w:p w14:paraId="015ACE35" w14:textId="47AB1F28" w:rsidR="004070AF" w:rsidRPr="00427899"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GEO</w:t>
            </w:r>
          </w:p>
        </w:tc>
        <w:tc>
          <w:tcPr>
            <w:tcW w:w="1020" w:type="dxa"/>
          </w:tcPr>
          <w:p w14:paraId="13A589B8" w14:textId="2C675FA7" w:rsidR="004070AF" w:rsidRDefault="004070AF"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tcPr>
          <w:p w14:paraId="7230756D" w14:textId="54A5D91B" w:rsidR="004070AF" w:rsidRDefault="00256903"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tcPr>
          <w:p w14:paraId="24D03BF6" w14:textId="6251AB96"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016A0F01"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69CAB0C9"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37F3687C"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50A10FBE"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75EAEBA2"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70D69930" w14:textId="5950DAD1" w:rsidR="004070AF" w:rsidRDefault="004070AF"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11</w:t>
            </w:r>
          </w:p>
        </w:tc>
        <w:tc>
          <w:tcPr>
            <w:tcW w:w="2778" w:type="dxa"/>
            <w:shd w:val="clear" w:color="auto" w:fill="DBDBDB" w:themeFill="text1" w:themeFillTint="33"/>
            <w:noWrap/>
          </w:tcPr>
          <w:p w14:paraId="73BFC73D" w14:textId="22CBA634" w:rsidR="004070AF" w:rsidRPr="00950FF3"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санитарно обзавеждане</w:t>
            </w:r>
          </w:p>
        </w:tc>
        <w:tc>
          <w:tcPr>
            <w:tcW w:w="1020" w:type="dxa"/>
            <w:shd w:val="clear" w:color="auto" w:fill="DBDBDB" w:themeFill="text1" w:themeFillTint="33"/>
          </w:tcPr>
          <w:p w14:paraId="1F4B524B" w14:textId="49DF53F8" w:rsidR="004070AF" w:rsidRPr="00427899"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SAP</w:t>
            </w:r>
          </w:p>
        </w:tc>
        <w:tc>
          <w:tcPr>
            <w:tcW w:w="1020" w:type="dxa"/>
            <w:shd w:val="clear" w:color="auto" w:fill="DBDBDB" w:themeFill="text1" w:themeFillTint="33"/>
          </w:tcPr>
          <w:p w14:paraId="27A0C6B6" w14:textId="67715127" w:rsidR="004070AF" w:rsidRDefault="004070AF"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shd w:val="clear" w:color="auto" w:fill="DBDBDB" w:themeFill="text1" w:themeFillTint="33"/>
          </w:tcPr>
          <w:p w14:paraId="7B8E0C34" w14:textId="5F575EEB" w:rsidR="004070AF" w:rsidRDefault="00256903"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shd w:val="clear" w:color="auto" w:fill="DBDBDB" w:themeFill="text1" w:themeFillTint="33"/>
          </w:tcPr>
          <w:p w14:paraId="569599B6" w14:textId="52A769AE" w:rsidR="004070AF" w:rsidRDefault="004070AF"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21FB8DE5" w14:textId="77777777" w:rsidR="004070AF" w:rsidRDefault="004070AF"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1030E3E2" w14:textId="77777777" w:rsidR="004070AF" w:rsidRDefault="004070AF"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7FB66D4B" w14:textId="77777777" w:rsidR="004070AF" w:rsidRDefault="004070AF"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5DF4082F" w14:textId="77777777" w:rsidR="004070AF" w:rsidRDefault="004070AF"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7AD0E7AE"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030CEA6E" w14:textId="0DE76D5A" w:rsidR="004070AF" w:rsidRDefault="004070AF"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28</w:t>
            </w:r>
          </w:p>
        </w:tc>
        <w:tc>
          <w:tcPr>
            <w:tcW w:w="2778" w:type="dxa"/>
            <w:noWrap/>
          </w:tcPr>
          <w:p w14:paraId="218A2513" w14:textId="06F2676E" w:rsidR="004070AF" w:rsidRPr="00950FF3"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тръби, резервоари и спомагателни елементи, които не са в контакт с вода, предназначена за консумация от човека</w:t>
            </w:r>
          </w:p>
        </w:tc>
        <w:tc>
          <w:tcPr>
            <w:tcW w:w="1020" w:type="dxa"/>
          </w:tcPr>
          <w:p w14:paraId="4BBD1CB3" w14:textId="385596FF" w:rsidR="004070AF" w:rsidRPr="00427899"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PTA</w:t>
            </w:r>
          </w:p>
        </w:tc>
        <w:tc>
          <w:tcPr>
            <w:tcW w:w="1020" w:type="dxa"/>
            <w:vMerge w:val="restart"/>
          </w:tcPr>
          <w:p w14:paraId="3102E4DB" w14:textId="60FD771C" w:rsidR="004070AF" w:rsidRDefault="004070AF"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 г.</w:t>
            </w:r>
          </w:p>
        </w:tc>
        <w:tc>
          <w:tcPr>
            <w:tcW w:w="1020" w:type="dxa"/>
            <w:vMerge w:val="restart"/>
          </w:tcPr>
          <w:p w14:paraId="23B2A788" w14:textId="78729DA2" w:rsidR="004070AF" w:rsidRDefault="00256903"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vMerge w:val="restart"/>
          </w:tcPr>
          <w:p w14:paraId="7918F222" w14:textId="39844E0A" w:rsidR="004070AF" w:rsidRDefault="004070AF"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val="restart"/>
          </w:tcPr>
          <w:p w14:paraId="60D1F3CB" w14:textId="77777777" w:rsidR="004070AF" w:rsidRDefault="004070AF"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val="restart"/>
          </w:tcPr>
          <w:p w14:paraId="34AE62D8" w14:textId="77777777" w:rsidR="004070AF" w:rsidRDefault="004070AF"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val="restart"/>
          </w:tcPr>
          <w:p w14:paraId="7A775CB4" w14:textId="77777777" w:rsidR="004070AF" w:rsidRDefault="004070AF"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vMerge w:val="restart"/>
          </w:tcPr>
          <w:p w14:paraId="571279A1" w14:textId="77777777" w:rsidR="004070AF" w:rsidRDefault="004070AF"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129B8022"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290E17B2" w14:textId="1F70046E"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29</w:t>
            </w:r>
          </w:p>
        </w:tc>
        <w:tc>
          <w:tcPr>
            <w:tcW w:w="2778" w:type="dxa"/>
            <w:shd w:val="clear" w:color="auto" w:fill="DBDBDB" w:themeFill="text1" w:themeFillTint="33"/>
            <w:noWrap/>
          </w:tcPr>
          <w:p w14:paraId="1CAFD524" w14:textId="0C0CD801"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строителни продукти, които са в контакт с вода, предназначена за консумация от човека</w:t>
            </w:r>
          </w:p>
        </w:tc>
        <w:tc>
          <w:tcPr>
            <w:tcW w:w="1020" w:type="dxa"/>
            <w:shd w:val="clear" w:color="auto" w:fill="DBDBDB" w:themeFill="text1" w:themeFillTint="33"/>
          </w:tcPr>
          <w:p w14:paraId="209098E0" w14:textId="18D39E94"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DWP</w:t>
            </w:r>
          </w:p>
        </w:tc>
        <w:tc>
          <w:tcPr>
            <w:tcW w:w="1020" w:type="dxa"/>
            <w:vMerge/>
            <w:shd w:val="clear" w:color="auto" w:fill="DBDBDB" w:themeFill="text1" w:themeFillTint="33"/>
          </w:tcPr>
          <w:p w14:paraId="66459833"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6ED6125E"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571B67F1" w14:textId="10E2FB79"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45A7DF78"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03DB64EF"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2F064474"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vMerge/>
            <w:shd w:val="clear" w:color="auto" w:fill="DBDBDB" w:themeFill="text1" w:themeFillTint="33"/>
          </w:tcPr>
          <w:p w14:paraId="16ECB9AB"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4033E49C"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599A479F" w14:textId="2766AC35"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31</w:t>
            </w:r>
          </w:p>
        </w:tc>
        <w:tc>
          <w:tcPr>
            <w:tcW w:w="2778" w:type="dxa"/>
            <w:noWrap/>
          </w:tcPr>
          <w:p w14:paraId="0EBA94DA" w14:textId="6EA18D89"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силови, контролни и съобщителни кабели</w:t>
            </w:r>
          </w:p>
        </w:tc>
        <w:tc>
          <w:tcPr>
            <w:tcW w:w="1020" w:type="dxa"/>
          </w:tcPr>
          <w:p w14:paraId="26ED2CDD" w14:textId="6856F0ED"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CAB</w:t>
            </w:r>
          </w:p>
        </w:tc>
        <w:tc>
          <w:tcPr>
            <w:tcW w:w="1020" w:type="dxa"/>
          </w:tcPr>
          <w:p w14:paraId="73DEE091" w14:textId="7F89A9FB" w:rsidR="000C2404" w:rsidRDefault="004070AF"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tcPr>
          <w:p w14:paraId="3713111A" w14:textId="3964A000" w:rsidR="000C2404" w:rsidRDefault="00AA4E96"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tcPr>
          <w:p w14:paraId="529D2048" w14:textId="74C14F7B" w:rsidR="000C2404"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678EC619" w14:textId="77777777" w:rsidR="000C2404"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6411356F" w14:textId="77777777" w:rsidR="000C2404"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37A9D554" w14:textId="77777777" w:rsidR="000C2404"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485A030D" w14:textId="77777777" w:rsidR="000C2404"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03C87FC3"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4EBBC379" w14:textId="28E9223B"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нова</w:t>
            </w:r>
          </w:p>
        </w:tc>
        <w:tc>
          <w:tcPr>
            <w:tcW w:w="2778" w:type="dxa"/>
            <w:shd w:val="clear" w:color="auto" w:fill="DBDBDB" w:themeFill="text1" w:themeFillTint="33"/>
            <w:noWrap/>
          </w:tcPr>
          <w:p w14:paraId="1446D426" w14:textId="5F4B07C7"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декоративни бои и тапети</w:t>
            </w:r>
          </w:p>
        </w:tc>
        <w:tc>
          <w:tcPr>
            <w:tcW w:w="1020" w:type="dxa"/>
            <w:shd w:val="clear" w:color="auto" w:fill="DBDBDB" w:themeFill="text1" w:themeFillTint="33"/>
          </w:tcPr>
          <w:p w14:paraId="7C456B73" w14:textId="77777777"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0E381D15" w14:textId="3B0F61C7" w:rsidR="000C2404" w:rsidRPr="004D187D" w:rsidRDefault="004070AF"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shd w:val="clear" w:color="auto" w:fill="DBDBDB" w:themeFill="text1" w:themeFillTint="33"/>
          </w:tcPr>
          <w:p w14:paraId="760AEB62" w14:textId="320A7DC5"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1F8EA6B3" w14:textId="799F79A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3EEEFE07"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05F1D480"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3C4B664E"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19C05D50" w14:textId="05F988A4"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работата ще бъде съобразена с втория работен план на РЕУП</w:t>
            </w:r>
          </w:p>
        </w:tc>
      </w:tr>
      <w:tr w:rsidR="00C35BE6" w:rsidRPr="00427899" w14:paraId="5A87525D"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5FD9BD95" w14:textId="65D969B6"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6</w:t>
            </w:r>
          </w:p>
        </w:tc>
        <w:tc>
          <w:tcPr>
            <w:tcW w:w="2778" w:type="dxa"/>
            <w:noWrap/>
          </w:tcPr>
          <w:p w14:paraId="3F4ADC4A" w14:textId="7C170767"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комини, димоотводи и специфични продукти</w:t>
            </w:r>
          </w:p>
        </w:tc>
        <w:tc>
          <w:tcPr>
            <w:tcW w:w="1020" w:type="dxa"/>
          </w:tcPr>
          <w:p w14:paraId="35F1D096" w14:textId="04C4DA14"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CHI</w:t>
            </w:r>
          </w:p>
        </w:tc>
        <w:tc>
          <w:tcPr>
            <w:tcW w:w="1020" w:type="dxa"/>
          </w:tcPr>
          <w:p w14:paraId="18DBCBD5" w14:textId="5570C30A" w:rsidR="000C2404" w:rsidRDefault="004070AF"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 г.</w:t>
            </w:r>
          </w:p>
        </w:tc>
        <w:tc>
          <w:tcPr>
            <w:tcW w:w="1020" w:type="dxa"/>
          </w:tcPr>
          <w:p w14:paraId="7D5C4DAB" w14:textId="6EA49DE6" w:rsidR="000C2404" w:rsidRPr="11C2EDB6"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34E914BF" w14:textId="5EABBC1B" w:rsidR="000C2404" w:rsidRPr="11C2EDB6"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201C6C6E" w14:textId="77777777" w:rsidR="000C2404" w:rsidRPr="11C2EDB6"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767261D5" w14:textId="77777777" w:rsidR="000C2404" w:rsidRPr="11C2EDB6"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00A98F7D" w14:textId="77777777" w:rsidR="000C2404" w:rsidRPr="11C2EDB6"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43276CD7" w14:textId="61F72707" w:rsidR="000C2404"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включва само самостоятелни комини</w:t>
            </w:r>
          </w:p>
        </w:tc>
      </w:tr>
    </w:tbl>
    <w:p w14:paraId="4ADD0546" w14:textId="72855CB4" w:rsidR="009E1F70" w:rsidRPr="009E1F70" w:rsidRDefault="009E1F70" w:rsidP="009E1F70">
      <w:pPr>
        <w:tabs>
          <w:tab w:val="left" w:pos="975"/>
        </w:tabs>
        <w:rPr>
          <w:noProof/>
        </w:rPr>
      </w:pPr>
    </w:p>
    <w:sectPr w:rsidR="009E1F70" w:rsidRPr="009E1F70" w:rsidSect="005A38FE">
      <w:headerReference w:type="default" r:id="rId26"/>
      <w:footerReference w:type="default" r:id="rId27"/>
      <w:pgSz w:w="15840" w:h="12240" w:orient="landscape"/>
      <w:pgMar w:top="720" w:right="720" w:bottom="616" w:left="720" w:header="708"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56F78" w14:textId="77777777" w:rsidR="006509AD" w:rsidRDefault="006509AD" w:rsidP="0086174D">
      <w:pPr>
        <w:spacing w:before="0" w:after="0" w:line="240" w:lineRule="auto"/>
      </w:pPr>
      <w:r>
        <w:separator/>
      </w:r>
    </w:p>
  </w:endnote>
  <w:endnote w:type="continuationSeparator" w:id="0">
    <w:p w14:paraId="281DFE20" w14:textId="77777777" w:rsidR="006509AD" w:rsidRDefault="006509AD" w:rsidP="0086174D">
      <w:pPr>
        <w:spacing w:before="0" w:after="0" w:line="240" w:lineRule="auto"/>
      </w:pPr>
      <w:r>
        <w:continuationSeparator/>
      </w:r>
    </w:p>
  </w:endnote>
  <w:endnote w:type="continuationNotice" w:id="1">
    <w:p w14:paraId="30581C9C" w14:textId="77777777" w:rsidR="006509AD" w:rsidRDefault="006509A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D31F6" w14:textId="1FA8D5FD" w:rsidR="005E012A" w:rsidRPr="005E012A" w:rsidRDefault="005E012A" w:rsidP="005E012A">
    <w:pPr>
      <w:pStyle w:val="FooterCoverPage"/>
      <w:rPr>
        <w:rFonts w:ascii="Arial" w:hAnsi="Arial" w:cs="Arial"/>
        <w:b/>
        <w:sz w:val="48"/>
      </w:rPr>
    </w:pPr>
    <w:r w:rsidRPr="005E012A">
      <w:rPr>
        <w:rFonts w:ascii="Arial" w:hAnsi="Arial" w:cs="Arial"/>
        <w:b/>
        <w:sz w:val="48"/>
      </w:rPr>
      <w:t>BG</w:t>
    </w:r>
    <w:r w:rsidRPr="005E012A">
      <w:rPr>
        <w:rFonts w:ascii="Arial" w:hAnsi="Arial" w:cs="Arial"/>
        <w:b/>
        <w:sz w:val="48"/>
      </w:rPr>
      <w:tab/>
    </w:r>
    <w:r w:rsidRPr="005E012A">
      <w:rPr>
        <w:rFonts w:ascii="Arial" w:hAnsi="Arial" w:cs="Arial"/>
        <w:b/>
        <w:sz w:val="48"/>
      </w:rPr>
      <w:tab/>
    </w:r>
    <w:r w:rsidRPr="005E012A">
      <w:tab/>
    </w:r>
    <w:r w:rsidRPr="005E012A">
      <w:rPr>
        <w:rFonts w:ascii="Arial" w:hAnsi="Arial" w:cs="Arial"/>
        <w:b/>
        <w:sz w:val="48"/>
      </w:rPr>
      <w:t>BG</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28D6D" w14:textId="5B52C4EE" w:rsidR="005E012A" w:rsidRPr="005E012A" w:rsidRDefault="005E012A" w:rsidP="005E012A">
    <w:pPr>
      <w:pStyle w:val="FooterCoverPage"/>
      <w:rPr>
        <w:rFonts w:ascii="Arial" w:hAnsi="Arial" w:cs="Arial"/>
        <w:b/>
        <w:sz w:val="48"/>
      </w:rPr>
    </w:pPr>
    <w:r w:rsidRPr="005E012A">
      <w:rPr>
        <w:rFonts w:ascii="Arial" w:hAnsi="Arial" w:cs="Arial"/>
        <w:b/>
        <w:sz w:val="48"/>
      </w:rPr>
      <w:t>BG</w:t>
    </w:r>
    <w:r w:rsidRPr="005E012A">
      <w:rPr>
        <w:rFonts w:ascii="Arial" w:hAnsi="Arial" w:cs="Arial"/>
        <w:b/>
        <w:sz w:val="48"/>
      </w:rPr>
      <w:tab/>
    </w:r>
    <w:r w:rsidRPr="005E012A">
      <w:rPr>
        <w:rFonts w:ascii="Arial" w:hAnsi="Arial" w:cs="Arial"/>
        <w:b/>
        <w:sz w:val="48"/>
      </w:rPr>
      <w:tab/>
    </w:r>
    <w:r w:rsidRPr="005E012A">
      <w:tab/>
    </w:r>
    <w:r w:rsidRPr="005E012A">
      <w:rPr>
        <w:rFonts w:ascii="Arial" w:hAnsi="Arial" w:cs="Arial"/>
        <w:b/>
        <w:sz w:val="48"/>
      </w:rPr>
      <w:t>BG</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BCC5A" w14:textId="77777777" w:rsidR="005E012A" w:rsidRPr="005E012A" w:rsidRDefault="005E012A" w:rsidP="005E012A">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3241864"/>
      <w:docPartObj>
        <w:docPartGallery w:val="Page Numbers (Bottom of Page)"/>
        <w:docPartUnique/>
      </w:docPartObj>
    </w:sdtPr>
    <w:sdtEndPr>
      <w:rPr>
        <w:rFonts w:ascii="Times New Roman" w:hAnsi="Times New Roman" w:cs="Times New Roman"/>
        <w:noProof/>
        <w:sz w:val="24"/>
        <w:szCs w:val="24"/>
      </w:rPr>
    </w:sdtEndPr>
    <w:sdtContent>
      <w:p w14:paraId="43C58381" w14:textId="746585AB" w:rsidR="00194E91" w:rsidRPr="008578FD" w:rsidRDefault="00194E91" w:rsidP="008578FD">
        <w:pPr>
          <w:pStyle w:val="NoSpacing"/>
          <w:jc w:val="center"/>
          <w:rPr>
            <w:rFonts w:ascii="Times New Roman" w:hAnsi="Times New Roman" w:cs="Times New Roman"/>
            <w:noProof/>
            <w:sz w:val="24"/>
            <w:szCs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2</w:t>
        </w:r>
        <w:r>
          <w:rPr>
            <w:rFonts w:ascii="Times New Roman" w:hAnsi="Times New Roman" w:cs="Times New Roman"/>
            <w:sz w:val="24"/>
          </w:rPr>
          <w:fldChar w:fldCharType="end"/>
        </w:r>
      </w:p>
    </w:sdtContent>
  </w:sdt>
  <w:p w14:paraId="237F126F" w14:textId="77777777" w:rsidR="007E2797" w:rsidRPr="008578FD" w:rsidRDefault="007E2797" w:rsidP="008578FD">
    <w:pPr>
      <w:pStyle w:val="Header"/>
      <w:pBdr>
        <w:bottom w:val="none" w:sz="0" w:space="0" w:color="auto"/>
      </w:pBdr>
      <w:rPr>
        <w:color w:val="auto"/>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78609"/>
      <w:docPartObj>
        <w:docPartGallery w:val="Page Numbers (Bottom of Page)"/>
        <w:docPartUnique/>
      </w:docPartObj>
    </w:sdtPr>
    <w:sdtEndPr>
      <w:rPr>
        <w:noProof/>
      </w:rPr>
    </w:sdtEndPr>
    <w:sdtContent>
      <w:p w14:paraId="63102AAA" w14:textId="51374B67" w:rsidR="006D2C33" w:rsidRDefault="006D2C33" w:rsidP="008578FD">
        <w:pPr>
          <w:pStyle w:val="NoSpacing"/>
          <w:jc w:val="cente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5E012A">
          <w:rPr>
            <w:rFonts w:ascii="Times New Roman" w:hAnsi="Times New Roman" w:cs="Times New Roman"/>
            <w:noProof/>
            <w:sz w:val="24"/>
          </w:rPr>
          <w:t>8</w:t>
        </w:r>
        <w:r>
          <w:rPr>
            <w:rFonts w:ascii="Times New Roman" w:hAnsi="Times New Roman" w:cs="Times New Roman"/>
            <w:sz w:val="24"/>
          </w:rPr>
          <w:fldChar w:fldCharType="end"/>
        </w:r>
      </w:p>
    </w:sdtContent>
  </w:sdt>
  <w:p w14:paraId="5DB03956" w14:textId="36D403AC" w:rsidR="007E2797" w:rsidRPr="006D2C33" w:rsidRDefault="007E2797" w:rsidP="008578FD">
    <w:pPr>
      <w:pStyle w:val="Header"/>
      <w:pBdr>
        <w:bottom w:val="none" w:sz="0" w:space="0" w:color="auto"/>
      </w:pBdr>
      <w:rPr>
        <w:color w:val="auto"/>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554496"/>
      <w:docPartObj>
        <w:docPartGallery w:val="Page Numbers (Bottom of Page)"/>
        <w:docPartUnique/>
      </w:docPartObj>
    </w:sdtPr>
    <w:sdtEndPr>
      <w:rPr>
        <w:noProof/>
      </w:rPr>
    </w:sdtEndPr>
    <w:sdtContent>
      <w:p w14:paraId="4D09E897" w14:textId="597A5FD5" w:rsidR="00194E91" w:rsidRPr="00194E91" w:rsidRDefault="00194E91" w:rsidP="008578FD">
        <w:pPr>
          <w:jc w:val="center"/>
        </w:pPr>
        <w:r>
          <w:fldChar w:fldCharType="begin"/>
        </w:r>
        <w:r>
          <w:instrText xml:space="preserve"> PAGE   \* MERGEFORMAT </w:instrText>
        </w:r>
        <w:r>
          <w:fldChar w:fldCharType="separate"/>
        </w:r>
        <w:r w:rsidR="005E012A">
          <w:rPr>
            <w:noProof/>
          </w:rPr>
          <w:t>1</w:t>
        </w:r>
        <w:r>
          <w:fldChar w:fldCharType="end"/>
        </w:r>
      </w:p>
    </w:sdtContent>
  </w:sdt>
  <w:p w14:paraId="2FBE87A4" w14:textId="3B9E9012" w:rsidR="007E2797" w:rsidRPr="008578FD" w:rsidRDefault="007E2797" w:rsidP="008578FD">
    <w:pPr>
      <w:pStyle w:val="Header"/>
      <w:pBdr>
        <w:bottom w:val="none" w:sz="0" w:space="0" w:color="auto"/>
      </w:pBdr>
      <w:rPr>
        <w:color w:val="auto"/>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723513"/>
      <w:docPartObj>
        <w:docPartGallery w:val="Page Numbers (Bottom of Page)"/>
        <w:docPartUnique/>
      </w:docPartObj>
    </w:sdtPr>
    <w:sdtEndPr>
      <w:rPr>
        <w:noProof/>
      </w:rPr>
    </w:sdtEndPr>
    <w:sdtContent>
      <w:p w14:paraId="502C3006" w14:textId="4AEE41D3" w:rsidR="006D2C33" w:rsidRPr="006D2C33" w:rsidRDefault="006D2C33" w:rsidP="00C5300B">
        <w:pPr>
          <w:jc w:val="center"/>
        </w:pPr>
        <w:r>
          <w:fldChar w:fldCharType="begin"/>
        </w:r>
        <w:r>
          <w:instrText xml:space="preserve"> PAGE   \* MERGEFORMAT </w:instrText>
        </w:r>
        <w:r>
          <w:fldChar w:fldCharType="separate"/>
        </w:r>
        <w:r>
          <w:t>2</w:t>
        </w:r>
        <w:r>
          <w:fldChar w:fldCharType="end"/>
        </w:r>
      </w:p>
    </w:sdtContent>
  </w:sdt>
  <w:p w14:paraId="79F2E919" w14:textId="6312A296" w:rsidR="007E2797" w:rsidRPr="009E1F70" w:rsidRDefault="007E2797" w:rsidP="00C530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A20EE" w14:textId="77777777" w:rsidR="006509AD" w:rsidRDefault="006509AD" w:rsidP="0086174D">
      <w:pPr>
        <w:spacing w:before="0" w:after="0" w:line="240" w:lineRule="auto"/>
      </w:pPr>
      <w:r>
        <w:separator/>
      </w:r>
    </w:p>
  </w:footnote>
  <w:footnote w:type="continuationSeparator" w:id="0">
    <w:p w14:paraId="47C74CAD" w14:textId="77777777" w:rsidR="006509AD" w:rsidRDefault="006509AD" w:rsidP="0086174D">
      <w:pPr>
        <w:spacing w:before="0" w:after="0" w:line="240" w:lineRule="auto"/>
      </w:pPr>
      <w:r>
        <w:continuationSeparator/>
      </w:r>
    </w:p>
  </w:footnote>
  <w:footnote w:type="continuationNotice" w:id="1">
    <w:p w14:paraId="69EA861E" w14:textId="77777777" w:rsidR="006509AD" w:rsidRDefault="006509AD">
      <w:pPr>
        <w:spacing w:before="0" w:after="0" w:line="240" w:lineRule="auto"/>
      </w:pPr>
    </w:p>
  </w:footnote>
  <w:footnote w:id="2">
    <w:p w14:paraId="6CD574D4" w14:textId="02107921" w:rsidR="00A255E6" w:rsidRPr="00590675" w:rsidRDefault="00A255E6" w:rsidP="0034082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Регламент (ЕС) 2024/3110 на Европейския парламент и на Съвета от 27 ноември 2024 г. за определяне на хармонизирани правила за предлагането на пазара на строителни продукти и за отмяна на Регламент (ЕС) № 305/2011, ОВ L, 2024/3110, 18.12.2024 г., ELI: </w:t>
      </w:r>
      <w:hyperlink r:id="rId1" w:history="1">
        <w:r>
          <w:rPr>
            <w:rStyle w:val="Hyperlink"/>
            <w:rFonts w:ascii="Times New Roman" w:hAnsi="Times New Roman"/>
          </w:rPr>
          <w:t>http://data.europa.eu/eli/reg/2024/3110/oj</w:t>
        </w:r>
      </w:hyperlink>
      <w:r>
        <w:rPr>
          <w:rFonts w:ascii="Times New Roman" w:hAnsi="Times New Roman"/>
        </w:rPr>
        <w:t>.</w:t>
      </w:r>
    </w:p>
  </w:footnote>
  <w:footnote w:id="3">
    <w:p w14:paraId="39619EA3" w14:textId="637A8F2A" w:rsidR="00EB737A" w:rsidRPr="00590675" w:rsidRDefault="00EB737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Както и в държавите от ЕИП, Швейцария и Турция</w:t>
      </w:r>
    </w:p>
  </w:footnote>
  <w:footnote w:id="4">
    <w:p w14:paraId="1E3F9764" w14:textId="25E9A9BC" w:rsidR="00EE6C3E" w:rsidRPr="00590675" w:rsidRDefault="00EE6C3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Експертна група по законодателството, свързано с РСП (</w:t>
      </w:r>
      <w:hyperlink r:id="rId2" w:history="1">
        <w:r>
          <w:rPr>
            <w:rStyle w:val="Hyperlink"/>
            <w:rFonts w:ascii="Times New Roman" w:hAnsi="Times New Roman"/>
          </w:rPr>
          <w:t>E03776</w:t>
        </w:r>
      </w:hyperlink>
      <w:r>
        <w:rPr>
          <w:rFonts w:ascii="Times New Roman" w:hAnsi="Times New Roman"/>
        </w:rPr>
        <w:t xml:space="preserve">); </w:t>
      </w:r>
      <w:hyperlink r:id="rId3" w:history="1">
        <w:r>
          <w:rPr>
            <w:rStyle w:val="Hyperlink"/>
            <w:rFonts w:ascii="Times New Roman" w:hAnsi="Times New Roman"/>
          </w:rPr>
          <w:t>Регистър на експертните групи към Комисията и други подобни органи</w:t>
        </w:r>
      </w:hyperlink>
      <w:r>
        <w:rPr>
          <w:rFonts w:ascii="Times New Roman" w:hAnsi="Times New Roman"/>
        </w:rPr>
        <w:t>.</w:t>
      </w:r>
    </w:p>
  </w:footnote>
  <w:footnote w:id="5">
    <w:p w14:paraId="2D055737" w14:textId="10215B7B" w:rsidR="000402F3" w:rsidRPr="00590675" w:rsidRDefault="000402F3" w:rsidP="000402F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 w:history="1">
        <w:r>
          <w:rPr>
            <w:rStyle w:val="Hyperlink"/>
            <w:rFonts w:ascii="Times New Roman" w:hAnsi="Times New Roman"/>
          </w:rPr>
          <w:t>Компас за конкурентоспособността на ЕС</w:t>
        </w:r>
      </w:hyperlink>
      <w:r>
        <w:rPr>
          <w:rFonts w:ascii="Times New Roman" w:hAnsi="Times New Roman"/>
        </w:rPr>
        <w:t xml:space="preserve"> COM(2025) 30 final.</w:t>
      </w:r>
    </w:p>
  </w:footnote>
  <w:footnote w:id="6">
    <w:p w14:paraId="40EFA628" w14:textId="6ABF2A6A" w:rsidR="000402F3" w:rsidRPr="00590675" w:rsidRDefault="000402F3" w:rsidP="000402F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 w:history="1">
        <w:r>
          <w:rPr>
            <w:rStyle w:val="Hyperlink"/>
            <w:rFonts w:ascii="Times New Roman" w:hAnsi="Times New Roman"/>
          </w:rPr>
          <w:t>Пактът за чиста промишленост:</w:t>
        </w:r>
      </w:hyperlink>
      <w:hyperlink r:id="rId6" w:history="1">
        <w:r>
          <w:rPr>
            <w:rStyle w:val="Hyperlink"/>
            <w:rFonts w:ascii="Times New Roman" w:hAnsi="Times New Roman"/>
          </w:rPr>
          <w:t>Съвместна пътна карта за конкурентоспособност и декарбонизация</w:t>
        </w:r>
      </w:hyperlink>
      <w:r>
        <w:rPr>
          <w:rFonts w:ascii="Times New Roman" w:hAnsi="Times New Roman"/>
        </w:rPr>
        <w:t xml:space="preserve"> COM(2025) 85 final.</w:t>
      </w:r>
    </w:p>
  </w:footnote>
  <w:footnote w:id="7">
    <w:p w14:paraId="44C629D1" w14:textId="7AD636ED" w:rsidR="000402F3" w:rsidRPr="00590675" w:rsidRDefault="000402F3" w:rsidP="00194E91">
      <w:pPr>
        <w:pStyle w:val="FootnoteText"/>
        <w:tabs>
          <w:tab w:val="right" w:pos="1090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7" w:history="1">
        <w:r>
          <w:rPr>
            <w:rStyle w:val="Hyperlink"/>
            <w:rFonts w:ascii="Times New Roman" w:hAnsi="Times New Roman"/>
          </w:rPr>
          <w:t>Европейски план за действие в областта на стоманата и металите</w:t>
        </w:r>
      </w:hyperlink>
      <w:r>
        <w:rPr>
          <w:rFonts w:ascii="Times New Roman" w:hAnsi="Times New Roman"/>
        </w:rPr>
        <w:t xml:space="preserve"> COM(2025) 125 final.  </w:t>
      </w:r>
    </w:p>
  </w:footnote>
  <w:footnote w:id="8">
    <w:p w14:paraId="51E91326" w14:textId="3AFFF765" w:rsidR="00DE3D71" w:rsidRPr="000E15F5" w:rsidRDefault="00DE3D71">
      <w:pPr>
        <w:pStyle w:val="FootnoteText"/>
      </w:pPr>
      <w:r>
        <w:rPr>
          <w:rStyle w:val="FootnoteReference"/>
          <w:rFonts w:ascii="Times New Roman" w:hAnsi="Times New Roman" w:cs="Times New Roman"/>
        </w:rPr>
        <w:footnoteRef/>
      </w:r>
      <w:r>
        <w:rPr>
          <w:rFonts w:ascii="Times New Roman" w:hAnsi="Times New Roman"/>
        </w:rPr>
        <w:t xml:space="preserve"> Директива (ЕС) 2024/1275 на Европейския парламент и на Съвета от 24 април 2024 г. относно енергийните характеристики на сградите (преработен текст), ОВ L, 2024/1275, 8.5.2024 г., ELI: http://data.europa.eu/eli/dir/2024/1275/oj</w:t>
      </w:r>
    </w:p>
  </w:footnote>
  <w:footnote w:id="9">
    <w:p w14:paraId="6C8EC872" w14:textId="20429186" w:rsidR="00BA6934" w:rsidRPr="00480FEB" w:rsidRDefault="00BA693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8" w:history="1">
        <w:r>
          <w:rPr>
            <w:rStyle w:val="Hyperlink"/>
            <w:rFonts w:ascii="Times New Roman" w:hAnsi="Times New Roman"/>
          </w:rPr>
          <w:t>Към кръгова, регенеративна и конкурентоспособна биоикономика</w:t>
        </w:r>
      </w:hyperlink>
    </w:p>
  </w:footnote>
  <w:footnote w:id="10">
    <w:p w14:paraId="48302B83" w14:textId="4B64B27C" w:rsidR="00040CFA" w:rsidRPr="00040CFA" w:rsidRDefault="00040CF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9" w:history="1">
        <w:r>
          <w:rPr>
            <w:rStyle w:val="Hyperlink"/>
            <w:rFonts w:ascii="Times New Roman" w:hAnsi="Times New Roman"/>
          </w:rPr>
          <w:t>Акт за ускоряване на промишлената декарбонизация — ускоряване на декарбонизацията</w:t>
        </w:r>
      </w:hyperlink>
    </w:p>
  </w:footnote>
  <w:footnote w:id="11">
    <w:p w14:paraId="0137FC43" w14:textId="519196E4" w:rsidR="007967E7" w:rsidRPr="00590675" w:rsidRDefault="007967E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0" w:history="1">
        <w:r>
          <w:rPr>
            <w:rStyle w:val="Hyperlink"/>
            <w:rFonts w:ascii="Times New Roman" w:hAnsi="Times New Roman"/>
          </w:rPr>
          <w:t>Европейска стратегия за жилищно строителство</w:t>
        </w:r>
      </w:hyperlink>
    </w:p>
  </w:footnote>
  <w:footnote w:id="12">
    <w:p w14:paraId="10C9422C" w14:textId="12480728" w:rsidR="006959B0" w:rsidRPr="00590675" w:rsidRDefault="006959B0" w:rsidP="006D63A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Регламент (ЕС) № 305/2011 на Европейския парламент и на Съвета от 9 март 2011 г. за определяне на хармонизирани условия за предлагането на пазара на строителни продукти и за отмяна на Директива 89/106/ЕИО на Съвета, ОВ L 88, 4.4.2011 г., стр. 5—43, ELI: </w:t>
      </w:r>
      <w:hyperlink r:id="rId11" w:history="1">
        <w:r>
          <w:rPr>
            <w:rStyle w:val="Hyperlink"/>
            <w:rFonts w:ascii="Times New Roman" w:hAnsi="Times New Roman"/>
          </w:rPr>
          <w:t>http://data.europa.eu/eli/reg/2011/305/oj</w:t>
        </w:r>
      </w:hyperlink>
      <w:r>
        <w:rPr>
          <w:rFonts w:ascii="Times New Roman" w:hAnsi="Times New Roman"/>
        </w:rPr>
        <w:t>.</w:t>
      </w:r>
    </w:p>
  </w:footnote>
  <w:footnote w:id="13">
    <w:p w14:paraId="5DF24412" w14:textId="61F5050A" w:rsidR="001E702E" w:rsidRPr="008578FD" w:rsidRDefault="001E702E" w:rsidP="00040CFA">
      <w:pPr>
        <w:spacing w:before="0" w:after="0" w:line="240" w:lineRule="auto"/>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hyperlink r:id="rId12" w:history="1">
        <w:r>
          <w:rPr>
            <w:rStyle w:val="Hyperlink"/>
            <w:rFonts w:ascii="Times New Roman" w:hAnsi="Times New Roman"/>
            <w:sz w:val="20"/>
          </w:rPr>
          <w:t>Постоянно отворени покани</w:t>
        </w:r>
      </w:hyperlink>
      <w:r>
        <w:rPr>
          <w:rFonts w:ascii="Times New Roman" w:hAnsi="Times New Roman"/>
          <w:sz w:val="20"/>
        </w:rPr>
        <w:t xml:space="preserve"> за участие в експертни групи на Комисията.</w:t>
      </w:r>
    </w:p>
  </w:footnote>
  <w:footnote w:id="14">
    <w:p w14:paraId="6430F65A" w14:textId="78EEE503" w:rsidR="00F66FFA" w:rsidRPr="00590675" w:rsidRDefault="00F66FF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Вж. напр. </w:t>
      </w:r>
      <w:hyperlink r:id="rId13" w:history="1">
        <w:r>
          <w:rPr>
            <w:rStyle w:val="Hyperlink"/>
            <w:rFonts w:ascii="Times New Roman" w:hAnsi="Times New Roman"/>
          </w:rPr>
          <w:t>Преглед на европейските стандарти</w:t>
        </w:r>
      </w:hyperlink>
    </w:p>
  </w:footnote>
  <w:footnote w:id="15">
    <w:p w14:paraId="5CBA34D3" w14:textId="77777777" w:rsidR="0086042E" w:rsidRPr="00DD4746" w:rsidRDefault="0086042E" w:rsidP="00DD474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Регламент (ЕС) № 1025/2012 относно европейската стандартизация, ОВ L 316, 14.11.2012 г., стр. 12—33, ELI: </w:t>
      </w:r>
      <w:hyperlink r:id="rId14" w:history="1">
        <w:r>
          <w:rPr>
            <w:rStyle w:val="Hyperlink"/>
            <w:rFonts w:ascii="Times New Roman" w:hAnsi="Times New Roman"/>
          </w:rPr>
          <w:t>http://data.europa.eu/eli/reg/2012/1025/oj</w:t>
        </w:r>
      </w:hyperlink>
      <w:r>
        <w:rPr>
          <w:rFonts w:ascii="Times New Roman" w:hAnsi="Times New Roman"/>
        </w:rPr>
        <w:t>.</w:t>
      </w:r>
    </w:p>
  </w:footnote>
  <w:footnote w:id="16">
    <w:p w14:paraId="1741CC5B" w14:textId="704738F6" w:rsidR="00851822" w:rsidRPr="00040CFA" w:rsidRDefault="00851822" w:rsidP="00DD474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Комитет, предвиден в член 22 от Регламент (ЕС) № 1025/2012 относно европейската стандартизация, ОВ L 316, 14.11.2012 г., стр. 12—33, ELI: </w:t>
      </w:r>
      <w:hyperlink r:id="rId15" w:history="1">
        <w:r>
          <w:rPr>
            <w:rStyle w:val="Hyperlink"/>
            <w:rFonts w:ascii="Times New Roman" w:hAnsi="Times New Roman"/>
          </w:rPr>
          <w:t>http://data.europa.eu/eli/reg/2012/1025/oj</w:t>
        </w:r>
      </w:hyperlink>
      <w:r>
        <w:rPr>
          <w:rFonts w:ascii="Times New Roman" w:hAnsi="Times New Roman"/>
        </w:rPr>
        <w:t>.</w:t>
      </w:r>
    </w:p>
  </w:footnote>
  <w:footnote w:id="17">
    <w:p w14:paraId="78BFB09B" w14:textId="0AD6A8D9" w:rsidR="00F242D7" w:rsidRPr="00194E91" w:rsidRDefault="00F242D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6" w:history="1">
        <w:r>
          <w:rPr>
            <w:rStyle w:val="Hyperlink"/>
            <w:rFonts w:ascii="Times New Roman" w:hAnsi="Times New Roman"/>
          </w:rPr>
          <w:t>Платформа eNorm</w:t>
        </w:r>
      </w:hyperlink>
    </w:p>
  </w:footnote>
  <w:footnote w:id="18">
    <w:p w14:paraId="12C2C1DE" w14:textId="29F894E2" w:rsidR="00F75613" w:rsidRPr="00194E91" w:rsidRDefault="00F7561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7" w:history="1">
        <w:r>
          <w:rPr>
            <w:rStyle w:val="Hyperlink"/>
            <w:rFonts w:ascii="Times New Roman" w:hAnsi="Times New Roman"/>
          </w:rPr>
          <w:t>Платформа eNorm</w:t>
        </w:r>
      </w:hyperlink>
    </w:p>
  </w:footnote>
  <w:footnote w:id="19">
    <w:p w14:paraId="1FEC6DB9" w14:textId="548A8453" w:rsidR="004B47FF" w:rsidRPr="00194E91" w:rsidRDefault="004B47F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8" w:history="1">
        <w:r>
          <w:rPr>
            <w:rStyle w:val="Hyperlink"/>
            <w:rFonts w:ascii="Times New Roman" w:hAnsi="Times New Roman"/>
          </w:rPr>
          <w:t>Платформа eNorm</w:t>
        </w:r>
      </w:hyperlink>
    </w:p>
  </w:footnote>
  <w:footnote w:id="20">
    <w:p w14:paraId="7096B2BA" w14:textId="72938326" w:rsidR="008B1EAE" w:rsidRPr="00194E91" w:rsidRDefault="008B1EAE" w:rsidP="0013577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9" w:history="1">
        <w:r>
          <w:rPr>
            <w:rStyle w:val="Hyperlink"/>
            <w:rFonts w:ascii="Times New Roman" w:hAnsi="Times New Roman"/>
          </w:rPr>
          <w:t>РЕУП и Работен план за енергийно етикетиране, 2025—2030 г.</w:t>
        </w:r>
      </w:hyperlink>
    </w:p>
  </w:footnote>
  <w:footnote w:id="21">
    <w:p w14:paraId="39091746" w14:textId="4FAE5201" w:rsidR="00DE24D0" w:rsidRPr="00194E91" w:rsidRDefault="00DE24D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Регламент (ЕС) 2024/1781 на Европейския парламент и на Съвета от 13 юни 2024 г. за създаване на рамка за определяне на изискванията за екопроектиране за устойчиви продукти, за изменение на Директива (EС) 2020/1828 и Регламент (EС) 2023/1542 и за отмяна на Директива 2009/125/ЕО (Текст от значение за ЕИП), ОВ L, 2024/1781, 28.6.2024 г., ELI: </w:t>
      </w:r>
      <w:hyperlink r:id="rId20" w:tgtFrame="_blank" w:tooltip="Предоставя достъп до този документ чрез неговия унифициран идентификатор на ресурс (URI) на европейския идентификатор на законодателството (ELI)." w:history="1">
        <w:r>
          <w:rPr>
            <w:rStyle w:val="Hyperlink"/>
            <w:rFonts w:ascii="Times New Roman" w:hAnsi="Times New Roman"/>
          </w:rPr>
          <w:t>http://data.europa.eu/eli/reg/2024/1781/oj</w:t>
        </w:r>
      </w:hyperlink>
    </w:p>
  </w:footnote>
  <w:footnote w:id="22">
    <w:p w14:paraId="7FA9427F" w14:textId="20CE4902" w:rsidR="002E6BC6" w:rsidRPr="00312372" w:rsidRDefault="002E6BC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1" w:history="1">
        <w:r>
          <w:rPr>
            <w:rStyle w:val="Hyperlink"/>
            <w:rFonts w:ascii="Times New Roman" w:hAnsi="Times New Roman"/>
          </w:rPr>
          <w:t>Законодателство — Европейска комисия</w:t>
        </w:r>
      </w:hyperlink>
    </w:p>
  </w:footnote>
  <w:footnote w:id="23">
    <w:p w14:paraId="2E687660" w14:textId="593AC2D2" w:rsidR="009C441D" w:rsidRPr="00312372" w:rsidRDefault="009C441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2" w:history="1">
        <w:r>
          <w:rPr>
            <w:rStyle w:val="Hyperlink"/>
            <w:rFonts w:ascii="Times New Roman" w:hAnsi="Times New Roman"/>
          </w:rPr>
          <w:t>https://ec.europa.eu/docsroom/documents/42128/attachments/1/translations/en/renditions/native</w:t>
        </w:r>
      </w:hyperlink>
      <w:r>
        <w:rPr>
          <w:rFonts w:ascii="Times New Roman" w:hAnsi="Times New Roman"/>
        </w:rPr>
        <w:t xml:space="preserve"> </w:t>
      </w:r>
    </w:p>
  </w:footnote>
  <w:footnote w:id="24">
    <w:p w14:paraId="05D093CB" w14:textId="77777777" w:rsidR="009C1B3B" w:rsidRPr="00312372" w:rsidRDefault="009C1B3B" w:rsidP="009C1B3B">
      <w:pPr>
        <w:pStyle w:val="FootnoteText"/>
      </w:pPr>
      <w:r>
        <w:rPr>
          <w:rStyle w:val="FootnoteReference"/>
          <w:rFonts w:ascii="Times New Roman" w:hAnsi="Times New Roman" w:cs="Times New Roman"/>
        </w:rPr>
        <w:footnoteRef/>
      </w:r>
      <w:r>
        <w:rPr>
          <w:rFonts w:ascii="Times New Roman" w:hAnsi="Times New Roman"/>
        </w:rPr>
        <w:t xml:space="preserve"> </w:t>
      </w:r>
      <w:hyperlink r:id="rId23" w:history="1">
        <w:r>
          <w:rPr>
            <w:rStyle w:val="Hyperlink"/>
            <w:rFonts w:ascii="Times New Roman" w:hAnsi="Times New Roman"/>
          </w:rPr>
          <w:t>https://ec.europa.eu/docsroom/documents/42129/attachments/1/translations/en/renditions/native</w:t>
        </w:r>
      </w:hyperlink>
      <w:r>
        <w:t xml:space="preserve"> </w:t>
      </w:r>
    </w:p>
  </w:footnote>
  <w:footnote w:id="25">
    <w:p w14:paraId="14C882B8" w14:textId="77612562" w:rsidR="00853AC5" w:rsidRPr="009E1F70" w:rsidRDefault="00853AC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Вж. </w:t>
      </w:r>
      <w:hyperlink r:id="rId24" w:history="1">
        <w:r>
          <w:rPr>
            <w:rStyle w:val="Hyperlink"/>
            <w:rFonts w:ascii="Times New Roman" w:hAnsi="Times New Roman"/>
          </w:rPr>
          <w:t>Регистър на експертните групи към Комисията и други подобни органи</w:t>
        </w:r>
      </w:hyperlink>
    </w:p>
  </w:footnote>
  <w:footnote w:id="26">
    <w:p w14:paraId="0D8FF4DE" w14:textId="6AA30A0B" w:rsidR="00F127C9" w:rsidRPr="00C5300B" w:rsidRDefault="00F127C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ИскС означава искане за стандартизация</w:t>
      </w:r>
    </w:p>
  </w:footnote>
  <w:footnote w:id="27">
    <w:p w14:paraId="7B21F7DF" w14:textId="0787A141" w:rsidR="00171B06" w:rsidRPr="006D2C33" w:rsidRDefault="00171B06" w:rsidP="00171B0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В момента CEN изготвя техническото съдържание за приемане на искане за стандартизация, което ще бъде прието през 2026 г. и ще покрива частично обхвата на тази подгрупа. Останалите продукти (самостоятелни комини) ще бъдат обсъдени по установения в таблицата ред.</w:t>
      </w:r>
    </w:p>
  </w:footnote>
  <w:footnote w:id="28">
    <w:p w14:paraId="0CAA7ADB" w14:textId="4228F56A" w:rsidR="00EE7CB3" w:rsidRPr="002A0377" w:rsidRDefault="00EE7CB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https://www.ri.se/en/expertise-areas/projects/european-approach-to-assess-the-fire-performance-of-facades </w:t>
      </w:r>
    </w:p>
  </w:footnote>
  <w:footnote w:id="29">
    <w:p w14:paraId="6717FC48" w14:textId="14466C6C" w:rsidR="00963F9C" w:rsidRPr="00754267" w:rsidRDefault="00963F9C">
      <w:pPr>
        <w:pStyle w:val="FootnoteText"/>
      </w:pPr>
      <w:r>
        <w:rPr>
          <w:rStyle w:val="FootnoteReference"/>
          <w:rFonts w:ascii="Times New Roman" w:hAnsi="Times New Roman" w:cs="Times New Roman"/>
        </w:rPr>
        <w:footnoteRef/>
      </w:r>
      <w:r>
        <w:rPr>
          <w:rFonts w:ascii="Times New Roman" w:hAnsi="Times New Roman"/>
        </w:rPr>
        <w:t xml:space="preserve"> Чрез покана SMP-STAND-2025-ESOS-01-IBA на EISMEA, тема 24, </w:t>
      </w:r>
      <w:hyperlink r:id="rId25" w:history="1">
        <w:r>
          <w:rPr>
            <w:rStyle w:val="Hyperlink"/>
            <w:rFonts w:ascii="Times New Roman" w:hAnsi="Times New Roman"/>
          </w:rPr>
          <w:t>Подкрепа за дейности по стандартизация, извършвани от CEN, CENELEC и ETSI — Европейска комисия</w:t>
        </w:r>
      </w:hyperlink>
    </w:p>
  </w:footnote>
  <w:footnote w:id="30">
    <w:p w14:paraId="4B73E0C4" w14:textId="50863A75" w:rsidR="00EB7A2F" w:rsidRPr="009E1F70" w:rsidRDefault="00EB7A2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Директива (ЕС) 2024/1275 на Европейския парламент и на Съвета от 24 април 2024 г. относно енергийните характеристики на сградите (преработен текст), ОВ L, 2024/1275, 8.5.2024 г., ELI: </w:t>
      </w:r>
      <w:hyperlink r:id="rId26" w:tgtFrame="_blank" w:tooltip="Предоставя достъп до този документ чрез неговия унифициран идентификатор на ресурс (URI) на европейския идентификатор на законодателството (ELI)." w:history="1">
        <w:r>
          <w:rPr>
            <w:rStyle w:val="Hyperlink"/>
            <w:rFonts w:ascii="Times New Roman" w:hAnsi="Times New Roman"/>
          </w:rPr>
          <w:t>http://data.europa.eu/eli/dir/2024/1275/oj</w:t>
        </w:r>
      </w:hyperlink>
    </w:p>
  </w:footnote>
  <w:footnote w:id="31">
    <w:p w14:paraId="689A316D" w14:textId="385BCB49" w:rsidR="00702540" w:rsidRPr="009E1F70" w:rsidRDefault="0070254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Пактът за чиста промишленост: Съвместна пътна карта за конкурентоспособност и декарбонизация COM/2025/85 final </w:t>
      </w:r>
      <w:hyperlink r:id="rId27" w:history="1">
        <w:r>
          <w:rPr>
            <w:rStyle w:val="Hyperlink"/>
            <w:rFonts w:ascii="Times New Roman" w:hAnsi="Times New Roman"/>
          </w:rPr>
          <w:t>https://eur-lex.europa.eu/legal-content/BG/TXT/?uri=CELEX:52025DC0085</w:t>
        </w:r>
      </w:hyperlink>
      <w:r>
        <w:rPr>
          <w:rFonts w:ascii="Times New Roman" w:hAnsi="Times New Roman"/>
        </w:rPr>
        <w:t xml:space="preserve"> </w:t>
      </w:r>
    </w:p>
  </w:footnote>
  <w:footnote w:id="32">
    <w:p w14:paraId="58FBDE69" w14:textId="4B5A91B7" w:rsidR="00272F47" w:rsidRPr="00040CFA" w:rsidRDefault="00272F4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8" w:history="1">
        <w:r>
          <w:rPr>
            <w:rStyle w:val="Hyperlink"/>
            <w:rFonts w:ascii="Times New Roman" w:hAnsi="Times New Roman"/>
          </w:rPr>
          <w:t>SMP-STAND-2024-ESOS-01-IBA, тема 19</w:t>
        </w:r>
      </w:hyperlink>
    </w:p>
  </w:footnote>
  <w:footnote w:id="33">
    <w:p w14:paraId="06D8C083" w14:textId="09473252" w:rsidR="00732D91" w:rsidRPr="0042604E" w:rsidRDefault="00732D9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9" w:history="1">
        <w:r>
          <w:rPr>
            <w:rStyle w:val="Hyperlink"/>
            <w:rFonts w:ascii="Times New Roman" w:hAnsi="Times New Roman"/>
          </w:rPr>
          <w:t>SMP-STAND-2024-ESOS-01-IBA, тема 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32A24" w14:textId="77777777" w:rsidR="005E012A" w:rsidRPr="005E012A" w:rsidRDefault="005E012A" w:rsidP="005E012A">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ECFA0" w14:textId="77777777" w:rsidR="005E012A" w:rsidRPr="005E012A" w:rsidRDefault="005E012A" w:rsidP="005E012A">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3B55B" w14:textId="77777777" w:rsidR="005E012A" w:rsidRPr="005E012A" w:rsidRDefault="005E012A" w:rsidP="005E012A">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14793" w14:textId="77777777" w:rsidR="007E2797" w:rsidRPr="008578FD" w:rsidRDefault="007E2797" w:rsidP="008578FD">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D9A4F" w14:textId="743BCF86" w:rsidR="007E2797" w:rsidRPr="006D2C33" w:rsidRDefault="007E2797" w:rsidP="006D2C33"/>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C02C2" w14:textId="77777777" w:rsidR="007E2797" w:rsidRPr="008578FD" w:rsidRDefault="007E2797" w:rsidP="008578FD"/>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CD67C" w14:textId="781D7E66" w:rsidR="007E2797" w:rsidRPr="008E7A26" w:rsidRDefault="007E2797" w:rsidP="004B750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7852429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BE43DF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67618F6"/>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FB4FD7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43055D6"/>
    <w:multiLevelType w:val="hybridMultilevel"/>
    <w:tmpl w:val="8D52E80E"/>
    <w:lvl w:ilvl="0" w:tplc="DA8EF5DE">
      <w:start w:val="1"/>
      <w:numFmt w:val="bullet"/>
      <w:lvlText w:val=""/>
      <w:lvlJc w:val="left"/>
      <w:pPr>
        <w:ind w:left="720" w:hanging="360"/>
      </w:pPr>
      <w:rPr>
        <w:rFonts w:ascii="Symbol" w:hAnsi="Symbol" w:hint="default"/>
        <w:u w:color="4BC5DE" w:themeColor="accent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B3C78B8"/>
    <w:multiLevelType w:val="multilevel"/>
    <w:tmpl w:val="C380AE7C"/>
    <w:name w:val="Point"/>
    <w:lvl w:ilvl="0">
      <w:start w:val="1"/>
      <w:numFmt w:val="decimal"/>
      <w:lvlRestart w:val="0"/>
      <w:pStyle w:val="Point2lett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3lett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4lett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567"/>
        </w:tabs>
        <w:ind w:left="567"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7"/>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4" w15:restartNumberingAfterBreak="0">
    <w:nsid w:val="56833208"/>
    <w:multiLevelType w:val="multilevel"/>
    <w:tmpl w:val="0FC0A75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96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6" w15:restartNumberingAfterBreak="0">
    <w:nsid w:val="5BBD259B"/>
    <w:multiLevelType w:val="multilevel"/>
    <w:tmpl w:val="9710B572"/>
    <w:lvl w:ilvl="0">
      <w:start w:val="1"/>
      <w:numFmt w:val="decimal"/>
      <w:lvlRestart w:val="0"/>
      <w:lvlText w:val="(%1)"/>
      <w:lvlJc w:val="left"/>
      <w:pPr>
        <w:tabs>
          <w:tab w:val="num" w:pos="850"/>
        </w:tabs>
        <w:ind w:left="850" w:hanging="850"/>
      </w:pPr>
    </w:lvl>
    <w:lvl w:ilvl="1">
      <w:start w:val="1"/>
      <w:numFmt w:val="decimal"/>
      <w:lvlText w:val="%2."/>
      <w:lvlJc w:val="left"/>
      <w:pPr>
        <w:ind w:left="360" w:hanging="36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567"/>
        </w:tabs>
        <w:ind w:left="567"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0" w15:restartNumberingAfterBreak="0">
    <w:nsid w:val="755C219A"/>
    <w:multiLevelType w:val="hybridMultilevel"/>
    <w:tmpl w:val="4E32598A"/>
    <w:lvl w:ilvl="0" w:tplc="8DE8A818">
      <w:start w:val="2"/>
      <w:numFmt w:val="bullet"/>
      <w:lvlText w:val="-"/>
      <w:lvlJc w:val="left"/>
      <w:pPr>
        <w:ind w:left="720" w:hanging="360"/>
      </w:pPr>
      <w:rPr>
        <w:rFonts w:ascii="Arial" w:eastAsiaTheme="minorHAnsi"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8"/>
  </w:num>
  <w:num w:numId="2">
    <w:abstractNumId w:val="9"/>
  </w:num>
  <w:num w:numId="3">
    <w:abstractNumId w:val="19"/>
  </w:num>
  <w:num w:numId="4">
    <w:abstractNumId w:val="8"/>
  </w:num>
  <w:num w:numId="5">
    <w:abstractNumId w:val="10"/>
  </w:num>
  <w:num w:numId="6">
    <w:abstractNumId w:val="5"/>
  </w:num>
  <w:num w:numId="7">
    <w:abstractNumId w:val="12"/>
  </w:num>
  <w:num w:numId="8">
    <w:abstractNumId w:val="15"/>
  </w:num>
  <w:num w:numId="9">
    <w:abstractNumId w:val="17"/>
  </w:num>
  <w:num w:numId="10">
    <w:abstractNumId w:val="7"/>
  </w:num>
  <w:num w:numId="11">
    <w:abstractNumId w:val="13"/>
  </w:num>
  <w:num w:numId="12">
    <w:abstractNumId w:val="21"/>
  </w:num>
  <w:num w:numId="13">
    <w:abstractNumId w:val="3"/>
  </w:num>
  <w:num w:numId="14">
    <w:abstractNumId w:val="2"/>
  </w:num>
  <w:num w:numId="15">
    <w:abstractNumId w:val="1"/>
  </w:num>
  <w:num w:numId="16">
    <w:abstractNumId w:val="0"/>
  </w:num>
  <w:num w:numId="17">
    <w:abstractNumId w:val="11"/>
  </w:num>
  <w:num w:numId="18">
    <w:abstractNumId w:val="6"/>
  </w:num>
  <w:num w:numId="19">
    <w:abstractNumId w:val="14"/>
  </w:num>
  <w:num w:numId="20">
    <w:abstractNumId w:val="20"/>
  </w:num>
  <w:num w:numId="21">
    <w:abstractNumId w:val="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ocStatus" w:val="Green"/>
    <w:docVar w:name="LW_CORRIGENDUM" w:val="&lt;UNUSED&gt;"/>
    <w:docVar w:name="LW_COVERPAGE_EXISTS" w:val="True"/>
    <w:docVar w:name="LW_COVERPAGE_GUID" w:val="8BCA41FD-4B3E-4EB2-B721-D28B1527D351"/>
    <w:docVar w:name="LW_COVERPAGE_TYPE" w:val="1"/>
    <w:docVar w:name="LW_CROSSREFERENCE" w:val="&lt;UNUSED&gt;"/>
    <w:docVar w:name="LW_DocType" w:val="NORMAL"/>
    <w:docVar w:name="LW_EMISSION" w:val="16.12.2025"/>
    <w:docVar w:name="LW_EMISSION_ISODATE" w:val="2025-12-16"/>
    <w:docVar w:name="LW_EMISSION_LOCATION" w:val="BRX"/>
    <w:docVar w:name="LW_EMISSION_PREFIX" w:val="\u1041?\u1088?\u1102?\u1082?\u1089?\u1077?\u1083?, "/>
    <w:docVar w:name="LW_EMISSION_SUFFIX" w:val=" \u1075?."/>
    <w:docVar w:name="LW_ID_DOCTYPE_NONLW" w:val="CP-009"/>
    <w:docVar w:name="LW_LANGUE" w:val="BG"/>
    <w:docVar w:name="LW_LEVEL_OF_SENSITIVITY" w:val="Standard treatment"/>
    <w:docVar w:name="LW_NOM.INST" w:val="\u1045?\u1042?\u1056?\u1054?\u1055?\u1045?\u1049?\u1057?\u1050?\u1040? \u1050?\u1054?\u1052?\u1048?\u1057?\u1048?\u1071?"/>
    <w:docVar w:name="LW_NOM.INST_JOINTDOC" w:val="&lt;EMPTY&gt;"/>
    <w:docVar w:name="LW_PART_NBR" w:val="1"/>
    <w:docVar w:name="LW_PART_NBR_TOTAL" w:val="1"/>
    <w:docVar w:name="LW_REF.INST.NEW" w:val="COM"/>
    <w:docVar w:name="LW_REF.INST.NEW_ADOPTED" w:val="final"/>
    <w:docVar w:name="LW_REF.INST.NEW_TEXT" w:val="(2025) 772"/>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1055?\u1098?\u1088?\u1074?\u1080?) \u1088?\u1072?\u1073?\u1086?\u1090?\u1077?\u1085? \u1087?\u1083?\u1072?\u1085? \u1089?\u1098?\u1075?\u1083?\u1072?\u1089?\u1085?\u1086? \u1056?\u1057?\u1055? \u1079?\u1072? \u1087?\u1077?\u1088?\u1080?\u1086?\u1076?\u1072? 2026\u8212?2029 \u1075?."/>
    <w:docVar w:name="LW_TYPE.DOC.CP" w:val="\u1057?\u1066?\u1054?\u1041?\u1065?\u1045?\u1053?\u1048?\u1045? \u1053?\u1040? \u1050?\u1054?\u1052?\u1048?\u1057?\u1048?\u1071?\u1058?\u1040?"/>
    <w:docVar w:name="LW_TYPE.DOC.CP.USERTEXT" w:val="&lt;EMPTY&gt;"/>
    <w:docVar w:name="LwApiVersions" w:val="LW4CoDe 1.24.5.0; LW 9.2, Build 20251112"/>
  </w:docVars>
  <w:rsids>
    <w:rsidRoot w:val="008E7A26"/>
    <w:rsid w:val="00001ED4"/>
    <w:rsid w:val="00002E92"/>
    <w:rsid w:val="000030C0"/>
    <w:rsid w:val="00003B29"/>
    <w:rsid w:val="00004217"/>
    <w:rsid w:val="00004B8C"/>
    <w:rsid w:val="00005BB5"/>
    <w:rsid w:val="000077B2"/>
    <w:rsid w:val="000103E9"/>
    <w:rsid w:val="00010F53"/>
    <w:rsid w:val="0001107F"/>
    <w:rsid w:val="00012DB0"/>
    <w:rsid w:val="00013A23"/>
    <w:rsid w:val="00013DE7"/>
    <w:rsid w:val="00014BF5"/>
    <w:rsid w:val="00014C59"/>
    <w:rsid w:val="000162C2"/>
    <w:rsid w:val="000165B1"/>
    <w:rsid w:val="00017079"/>
    <w:rsid w:val="000200A8"/>
    <w:rsid w:val="00020339"/>
    <w:rsid w:val="00020A9A"/>
    <w:rsid w:val="00020E62"/>
    <w:rsid w:val="00022928"/>
    <w:rsid w:val="00022D24"/>
    <w:rsid w:val="000237B7"/>
    <w:rsid w:val="00023E4C"/>
    <w:rsid w:val="00024F79"/>
    <w:rsid w:val="00025800"/>
    <w:rsid w:val="00025CB6"/>
    <w:rsid w:val="0002707A"/>
    <w:rsid w:val="000272C3"/>
    <w:rsid w:val="0002746C"/>
    <w:rsid w:val="00027BB5"/>
    <w:rsid w:val="00030EDB"/>
    <w:rsid w:val="00030EF6"/>
    <w:rsid w:val="00031314"/>
    <w:rsid w:val="00032958"/>
    <w:rsid w:val="0003367A"/>
    <w:rsid w:val="000336D8"/>
    <w:rsid w:val="000337BA"/>
    <w:rsid w:val="00035EA5"/>
    <w:rsid w:val="000360B7"/>
    <w:rsid w:val="00036946"/>
    <w:rsid w:val="00040031"/>
    <w:rsid w:val="000402F3"/>
    <w:rsid w:val="0004055B"/>
    <w:rsid w:val="000406AE"/>
    <w:rsid w:val="00040CFA"/>
    <w:rsid w:val="000413FB"/>
    <w:rsid w:val="00041FBD"/>
    <w:rsid w:val="00043979"/>
    <w:rsid w:val="00043FFE"/>
    <w:rsid w:val="0004438F"/>
    <w:rsid w:val="00044391"/>
    <w:rsid w:val="00045422"/>
    <w:rsid w:val="000457D5"/>
    <w:rsid w:val="00045A5F"/>
    <w:rsid w:val="00046960"/>
    <w:rsid w:val="00047051"/>
    <w:rsid w:val="00047686"/>
    <w:rsid w:val="00047F39"/>
    <w:rsid w:val="00050041"/>
    <w:rsid w:val="00051CF6"/>
    <w:rsid w:val="000521E1"/>
    <w:rsid w:val="00052FFD"/>
    <w:rsid w:val="00054292"/>
    <w:rsid w:val="0005446E"/>
    <w:rsid w:val="00054D6E"/>
    <w:rsid w:val="000553BA"/>
    <w:rsid w:val="0005567C"/>
    <w:rsid w:val="00055D38"/>
    <w:rsid w:val="00055F42"/>
    <w:rsid w:val="00056EB1"/>
    <w:rsid w:val="00057167"/>
    <w:rsid w:val="0005723C"/>
    <w:rsid w:val="000573FC"/>
    <w:rsid w:val="00057E06"/>
    <w:rsid w:val="00060642"/>
    <w:rsid w:val="00061282"/>
    <w:rsid w:val="000612EC"/>
    <w:rsid w:val="00062E84"/>
    <w:rsid w:val="00063A52"/>
    <w:rsid w:val="00064409"/>
    <w:rsid w:val="000656C8"/>
    <w:rsid w:val="00065810"/>
    <w:rsid w:val="00065896"/>
    <w:rsid w:val="00065ADB"/>
    <w:rsid w:val="00066319"/>
    <w:rsid w:val="000667F5"/>
    <w:rsid w:val="00066944"/>
    <w:rsid w:val="00066962"/>
    <w:rsid w:val="00066A34"/>
    <w:rsid w:val="00071249"/>
    <w:rsid w:val="000722E5"/>
    <w:rsid w:val="00072694"/>
    <w:rsid w:val="000768B3"/>
    <w:rsid w:val="00077CD6"/>
    <w:rsid w:val="00077EFA"/>
    <w:rsid w:val="00080A29"/>
    <w:rsid w:val="00081511"/>
    <w:rsid w:val="00081B0B"/>
    <w:rsid w:val="00081C34"/>
    <w:rsid w:val="00081DC2"/>
    <w:rsid w:val="0008324B"/>
    <w:rsid w:val="00083412"/>
    <w:rsid w:val="00083849"/>
    <w:rsid w:val="00085CBC"/>
    <w:rsid w:val="00086600"/>
    <w:rsid w:val="000868F0"/>
    <w:rsid w:val="00086D0A"/>
    <w:rsid w:val="0008738C"/>
    <w:rsid w:val="00090A89"/>
    <w:rsid w:val="00090EC7"/>
    <w:rsid w:val="000919EB"/>
    <w:rsid w:val="00091AC0"/>
    <w:rsid w:val="00092003"/>
    <w:rsid w:val="000924D3"/>
    <w:rsid w:val="00094523"/>
    <w:rsid w:val="00094577"/>
    <w:rsid w:val="000949F3"/>
    <w:rsid w:val="0009589E"/>
    <w:rsid w:val="00095E71"/>
    <w:rsid w:val="0009689B"/>
    <w:rsid w:val="00097F71"/>
    <w:rsid w:val="000A0B32"/>
    <w:rsid w:val="000A24A6"/>
    <w:rsid w:val="000A31DA"/>
    <w:rsid w:val="000A405F"/>
    <w:rsid w:val="000A58A3"/>
    <w:rsid w:val="000A64A0"/>
    <w:rsid w:val="000A788F"/>
    <w:rsid w:val="000A7E58"/>
    <w:rsid w:val="000B00F6"/>
    <w:rsid w:val="000B243A"/>
    <w:rsid w:val="000B26A2"/>
    <w:rsid w:val="000B2F63"/>
    <w:rsid w:val="000B30C0"/>
    <w:rsid w:val="000B3FD4"/>
    <w:rsid w:val="000B41E8"/>
    <w:rsid w:val="000B4E46"/>
    <w:rsid w:val="000B51D8"/>
    <w:rsid w:val="000B5506"/>
    <w:rsid w:val="000B5667"/>
    <w:rsid w:val="000B5A8A"/>
    <w:rsid w:val="000B6248"/>
    <w:rsid w:val="000B68C4"/>
    <w:rsid w:val="000B71A3"/>
    <w:rsid w:val="000C03FC"/>
    <w:rsid w:val="000C1F2D"/>
    <w:rsid w:val="000C2404"/>
    <w:rsid w:val="000C282C"/>
    <w:rsid w:val="000C3953"/>
    <w:rsid w:val="000C3B4C"/>
    <w:rsid w:val="000C443D"/>
    <w:rsid w:val="000C44F8"/>
    <w:rsid w:val="000C4648"/>
    <w:rsid w:val="000C4BFC"/>
    <w:rsid w:val="000C5524"/>
    <w:rsid w:val="000C58A9"/>
    <w:rsid w:val="000C6374"/>
    <w:rsid w:val="000D0054"/>
    <w:rsid w:val="000D0293"/>
    <w:rsid w:val="000D09F1"/>
    <w:rsid w:val="000D243C"/>
    <w:rsid w:val="000D2AAC"/>
    <w:rsid w:val="000D3B87"/>
    <w:rsid w:val="000D4B12"/>
    <w:rsid w:val="000D56BB"/>
    <w:rsid w:val="000D64EC"/>
    <w:rsid w:val="000D65CB"/>
    <w:rsid w:val="000D794E"/>
    <w:rsid w:val="000E15F5"/>
    <w:rsid w:val="000E19DF"/>
    <w:rsid w:val="000E26AF"/>
    <w:rsid w:val="000E3618"/>
    <w:rsid w:val="000E3C6C"/>
    <w:rsid w:val="000E5F9A"/>
    <w:rsid w:val="000E600A"/>
    <w:rsid w:val="000F0BBB"/>
    <w:rsid w:val="000F0FE7"/>
    <w:rsid w:val="000F1976"/>
    <w:rsid w:val="000F2713"/>
    <w:rsid w:val="000F31CA"/>
    <w:rsid w:val="000F3514"/>
    <w:rsid w:val="000F45CA"/>
    <w:rsid w:val="000F4E85"/>
    <w:rsid w:val="000F6377"/>
    <w:rsid w:val="000F654D"/>
    <w:rsid w:val="000F72A1"/>
    <w:rsid w:val="001003F9"/>
    <w:rsid w:val="00101220"/>
    <w:rsid w:val="0010173B"/>
    <w:rsid w:val="00101AC4"/>
    <w:rsid w:val="00102384"/>
    <w:rsid w:val="00102E09"/>
    <w:rsid w:val="00103071"/>
    <w:rsid w:val="001033B6"/>
    <w:rsid w:val="00103521"/>
    <w:rsid w:val="0010535D"/>
    <w:rsid w:val="00105A8F"/>
    <w:rsid w:val="00105AD1"/>
    <w:rsid w:val="00105AFD"/>
    <w:rsid w:val="00105D8F"/>
    <w:rsid w:val="001078C1"/>
    <w:rsid w:val="00107E74"/>
    <w:rsid w:val="0011080E"/>
    <w:rsid w:val="00110F74"/>
    <w:rsid w:val="00110FF0"/>
    <w:rsid w:val="00112922"/>
    <w:rsid w:val="00112EE9"/>
    <w:rsid w:val="001139AC"/>
    <w:rsid w:val="00114FE0"/>
    <w:rsid w:val="0011563C"/>
    <w:rsid w:val="00115825"/>
    <w:rsid w:val="001160F7"/>
    <w:rsid w:val="0011642B"/>
    <w:rsid w:val="0012065E"/>
    <w:rsid w:val="0012076B"/>
    <w:rsid w:val="00120C2E"/>
    <w:rsid w:val="00121A54"/>
    <w:rsid w:val="00121AC5"/>
    <w:rsid w:val="00121BA8"/>
    <w:rsid w:val="00122D9B"/>
    <w:rsid w:val="00123779"/>
    <w:rsid w:val="001238AD"/>
    <w:rsid w:val="00123CF8"/>
    <w:rsid w:val="00123D06"/>
    <w:rsid w:val="00124145"/>
    <w:rsid w:val="00124612"/>
    <w:rsid w:val="0012561F"/>
    <w:rsid w:val="00125A4C"/>
    <w:rsid w:val="00127E37"/>
    <w:rsid w:val="001300D6"/>
    <w:rsid w:val="0013124E"/>
    <w:rsid w:val="001327CB"/>
    <w:rsid w:val="00133134"/>
    <w:rsid w:val="00134B30"/>
    <w:rsid w:val="0013577D"/>
    <w:rsid w:val="00135BD0"/>
    <w:rsid w:val="00136612"/>
    <w:rsid w:val="00136862"/>
    <w:rsid w:val="00136EF8"/>
    <w:rsid w:val="00141C2D"/>
    <w:rsid w:val="00141EC3"/>
    <w:rsid w:val="00142EB1"/>
    <w:rsid w:val="0014380F"/>
    <w:rsid w:val="00143F71"/>
    <w:rsid w:val="001442E7"/>
    <w:rsid w:val="00144410"/>
    <w:rsid w:val="00146B55"/>
    <w:rsid w:val="00147124"/>
    <w:rsid w:val="00150721"/>
    <w:rsid w:val="001528DD"/>
    <w:rsid w:val="0015327E"/>
    <w:rsid w:val="00154831"/>
    <w:rsid w:val="00155F37"/>
    <w:rsid w:val="00161B2F"/>
    <w:rsid w:val="00165733"/>
    <w:rsid w:val="00165BBA"/>
    <w:rsid w:val="00166317"/>
    <w:rsid w:val="00167639"/>
    <w:rsid w:val="00167BE3"/>
    <w:rsid w:val="00167CEC"/>
    <w:rsid w:val="0017090D"/>
    <w:rsid w:val="00170F7C"/>
    <w:rsid w:val="00171B06"/>
    <w:rsid w:val="0017213A"/>
    <w:rsid w:val="00172777"/>
    <w:rsid w:val="00175FED"/>
    <w:rsid w:val="0017779D"/>
    <w:rsid w:val="00180712"/>
    <w:rsid w:val="001823ED"/>
    <w:rsid w:val="00182E9D"/>
    <w:rsid w:val="00183560"/>
    <w:rsid w:val="00183FA4"/>
    <w:rsid w:val="00185ADC"/>
    <w:rsid w:val="0018611F"/>
    <w:rsid w:val="00186B1E"/>
    <w:rsid w:val="001877ED"/>
    <w:rsid w:val="00187837"/>
    <w:rsid w:val="001900F7"/>
    <w:rsid w:val="00190427"/>
    <w:rsid w:val="001911A6"/>
    <w:rsid w:val="0019125A"/>
    <w:rsid w:val="00191362"/>
    <w:rsid w:val="00191654"/>
    <w:rsid w:val="00193E0A"/>
    <w:rsid w:val="00194709"/>
    <w:rsid w:val="001947CC"/>
    <w:rsid w:val="00194C0F"/>
    <w:rsid w:val="00194E91"/>
    <w:rsid w:val="00195245"/>
    <w:rsid w:val="0019534E"/>
    <w:rsid w:val="0019568D"/>
    <w:rsid w:val="00196121"/>
    <w:rsid w:val="001971FE"/>
    <w:rsid w:val="001A06A2"/>
    <w:rsid w:val="001A16F5"/>
    <w:rsid w:val="001A1726"/>
    <w:rsid w:val="001A179F"/>
    <w:rsid w:val="001A1DCA"/>
    <w:rsid w:val="001A1F52"/>
    <w:rsid w:val="001A1F61"/>
    <w:rsid w:val="001A1F72"/>
    <w:rsid w:val="001A4412"/>
    <w:rsid w:val="001A566D"/>
    <w:rsid w:val="001A5D8C"/>
    <w:rsid w:val="001A6093"/>
    <w:rsid w:val="001A71ED"/>
    <w:rsid w:val="001A72DA"/>
    <w:rsid w:val="001A79B7"/>
    <w:rsid w:val="001B05CF"/>
    <w:rsid w:val="001B0BE5"/>
    <w:rsid w:val="001B2E41"/>
    <w:rsid w:val="001B3B1F"/>
    <w:rsid w:val="001B404D"/>
    <w:rsid w:val="001B49A7"/>
    <w:rsid w:val="001B56DE"/>
    <w:rsid w:val="001B5714"/>
    <w:rsid w:val="001B589C"/>
    <w:rsid w:val="001B7ECC"/>
    <w:rsid w:val="001C2BCD"/>
    <w:rsid w:val="001C3022"/>
    <w:rsid w:val="001C335E"/>
    <w:rsid w:val="001C4400"/>
    <w:rsid w:val="001C4C6D"/>
    <w:rsid w:val="001C4ECE"/>
    <w:rsid w:val="001C6F71"/>
    <w:rsid w:val="001C70EB"/>
    <w:rsid w:val="001C71F6"/>
    <w:rsid w:val="001D0904"/>
    <w:rsid w:val="001D094E"/>
    <w:rsid w:val="001D1CBE"/>
    <w:rsid w:val="001D210B"/>
    <w:rsid w:val="001D340F"/>
    <w:rsid w:val="001D344B"/>
    <w:rsid w:val="001D3920"/>
    <w:rsid w:val="001D3B55"/>
    <w:rsid w:val="001D4D03"/>
    <w:rsid w:val="001D5A96"/>
    <w:rsid w:val="001D5DE4"/>
    <w:rsid w:val="001D600A"/>
    <w:rsid w:val="001D62BB"/>
    <w:rsid w:val="001D62D9"/>
    <w:rsid w:val="001D6798"/>
    <w:rsid w:val="001D6B76"/>
    <w:rsid w:val="001D6BC1"/>
    <w:rsid w:val="001D7860"/>
    <w:rsid w:val="001D7D90"/>
    <w:rsid w:val="001D7EF0"/>
    <w:rsid w:val="001E0824"/>
    <w:rsid w:val="001E154B"/>
    <w:rsid w:val="001E15C7"/>
    <w:rsid w:val="001E23F9"/>
    <w:rsid w:val="001E26F4"/>
    <w:rsid w:val="001E270F"/>
    <w:rsid w:val="001E55D7"/>
    <w:rsid w:val="001E5F9D"/>
    <w:rsid w:val="001E702E"/>
    <w:rsid w:val="001F0C59"/>
    <w:rsid w:val="001F14A9"/>
    <w:rsid w:val="001F1E74"/>
    <w:rsid w:val="001F21F5"/>
    <w:rsid w:val="001F4268"/>
    <w:rsid w:val="001F4559"/>
    <w:rsid w:val="001F4A4C"/>
    <w:rsid w:val="001F555F"/>
    <w:rsid w:val="001F5582"/>
    <w:rsid w:val="001F60A7"/>
    <w:rsid w:val="001F6415"/>
    <w:rsid w:val="001F6CFB"/>
    <w:rsid w:val="001F711B"/>
    <w:rsid w:val="001F7691"/>
    <w:rsid w:val="001F7FD9"/>
    <w:rsid w:val="00202203"/>
    <w:rsid w:val="00202425"/>
    <w:rsid w:val="00202697"/>
    <w:rsid w:val="00203266"/>
    <w:rsid w:val="00203423"/>
    <w:rsid w:val="00203E31"/>
    <w:rsid w:val="00203EF8"/>
    <w:rsid w:val="00204160"/>
    <w:rsid w:val="00204B94"/>
    <w:rsid w:val="00206BDC"/>
    <w:rsid w:val="00213656"/>
    <w:rsid w:val="00214301"/>
    <w:rsid w:val="00214690"/>
    <w:rsid w:val="00214752"/>
    <w:rsid w:val="00214D5A"/>
    <w:rsid w:val="00215855"/>
    <w:rsid w:val="00215A83"/>
    <w:rsid w:val="00215B55"/>
    <w:rsid w:val="002169AB"/>
    <w:rsid w:val="002173B2"/>
    <w:rsid w:val="00217610"/>
    <w:rsid w:val="00220978"/>
    <w:rsid w:val="00221B7F"/>
    <w:rsid w:val="00221EA0"/>
    <w:rsid w:val="00223919"/>
    <w:rsid w:val="00223F05"/>
    <w:rsid w:val="002240F2"/>
    <w:rsid w:val="00224E8F"/>
    <w:rsid w:val="002250B5"/>
    <w:rsid w:val="002251B0"/>
    <w:rsid w:val="0022541D"/>
    <w:rsid w:val="00225F00"/>
    <w:rsid w:val="002306BD"/>
    <w:rsid w:val="00230BB2"/>
    <w:rsid w:val="00230CE2"/>
    <w:rsid w:val="00231B69"/>
    <w:rsid w:val="00232059"/>
    <w:rsid w:val="00233546"/>
    <w:rsid w:val="00233F11"/>
    <w:rsid w:val="00234918"/>
    <w:rsid w:val="00234F4E"/>
    <w:rsid w:val="0023508E"/>
    <w:rsid w:val="00235983"/>
    <w:rsid w:val="00235C22"/>
    <w:rsid w:val="00236057"/>
    <w:rsid w:val="002368E9"/>
    <w:rsid w:val="0024036C"/>
    <w:rsid w:val="00240B23"/>
    <w:rsid w:val="002414F8"/>
    <w:rsid w:val="002419C4"/>
    <w:rsid w:val="00241FC2"/>
    <w:rsid w:val="00243E27"/>
    <w:rsid w:val="00244585"/>
    <w:rsid w:val="002451AB"/>
    <w:rsid w:val="00245532"/>
    <w:rsid w:val="002457B2"/>
    <w:rsid w:val="002459AE"/>
    <w:rsid w:val="00246690"/>
    <w:rsid w:val="00246C6B"/>
    <w:rsid w:val="00247B82"/>
    <w:rsid w:val="00250BA9"/>
    <w:rsid w:val="00250C75"/>
    <w:rsid w:val="002514D2"/>
    <w:rsid w:val="00252768"/>
    <w:rsid w:val="002528A1"/>
    <w:rsid w:val="00252C4B"/>
    <w:rsid w:val="002535E3"/>
    <w:rsid w:val="00253EED"/>
    <w:rsid w:val="00254287"/>
    <w:rsid w:val="002549BC"/>
    <w:rsid w:val="00256903"/>
    <w:rsid w:val="00257424"/>
    <w:rsid w:val="0025751E"/>
    <w:rsid w:val="00260C44"/>
    <w:rsid w:val="00260F25"/>
    <w:rsid w:val="0026131B"/>
    <w:rsid w:val="00261846"/>
    <w:rsid w:val="00261BEC"/>
    <w:rsid w:val="002620F5"/>
    <w:rsid w:val="0026287A"/>
    <w:rsid w:val="0026301D"/>
    <w:rsid w:val="00263EE9"/>
    <w:rsid w:val="00264313"/>
    <w:rsid w:val="002649F4"/>
    <w:rsid w:val="00265726"/>
    <w:rsid w:val="00265D39"/>
    <w:rsid w:val="00266E63"/>
    <w:rsid w:val="0027028D"/>
    <w:rsid w:val="0027245B"/>
    <w:rsid w:val="00272E33"/>
    <w:rsid w:val="00272F47"/>
    <w:rsid w:val="00273CED"/>
    <w:rsid w:val="002748DC"/>
    <w:rsid w:val="00274CDD"/>
    <w:rsid w:val="00275BD1"/>
    <w:rsid w:val="00276620"/>
    <w:rsid w:val="0027696E"/>
    <w:rsid w:val="00276B16"/>
    <w:rsid w:val="002770DE"/>
    <w:rsid w:val="00277122"/>
    <w:rsid w:val="00277897"/>
    <w:rsid w:val="00280CF3"/>
    <w:rsid w:val="00282029"/>
    <w:rsid w:val="002822AE"/>
    <w:rsid w:val="0028231C"/>
    <w:rsid w:val="0028316F"/>
    <w:rsid w:val="002831AA"/>
    <w:rsid w:val="00284241"/>
    <w:rsid w:val="00284C0F"/>
    <w:rsid w:val="0028595C"/>
    <w:rsid w:val="00286747"/>
    <w:rsid w:val="00287460"/>
    <w:rsid w:val="00287C4E"/>
    <w:rsid w:val="00290246"/>
    <w:rsid w:val="002902A1"/>
    <w:rsid w:val="00290C03"/>
    <w:rsid w:val="00290C9D"/>
    <w:rsid w:val="00291706"/>
    <w:rsid w:val="002927BC"/>
    <w:rsid w:val="00292D1C"/>
    <w:rsid w:val="00293AAC"/>
    <w:rsid w:val="00293DC2"/>
    <w:rsid w:val="00294A18"/>
    <w:rsid w:val="00296D20"/>
    <w:rsid w:val="00296E01"/>
    <w:rsid w:val="00297C85"/>
    <w:rsid w:val="00297DBD"/>
    <w:rsid w:val="002A0377"/>
    <w:rsid w:val="002A1696"/>
    <w:rsid w:val="002A1774"/>
    <w:rsid w:val="002A1E55"/>
    <w:rsid w:val="002A278D"/>
    <w:rsid w:val="002A3643"/>
    <w:rsid w:val="002A453F"/>
    <w:rsid w:val="002A46D6"/>
    <w:rsid w:val="002A688F"/>
    <w:rsid w:val="002B07E3"/>
    <w:rsid w:val="002B19FF"/>
    <w:rsid w:val="002B1B42"/>
    <w:rsid w:val="002B1FF7"/>
    <w:rsid w:val="002B33D9"/>
    <w:rsid w:val="002B38BF"/>
    <w:rsid w:val="002B393B"/>
    <w:rsid w:val="002B3ACD"/>
    <w:rsid w:val="002B460F"/>
    <w:rsid w:val="002B46BE"/>
    <w:rsid w:val="002B482A"/>
    <w:rsid w:val="002B4C95"/>
    <w:rsid w:val="002B4D3B"/>
    <w:rsid w:val="002B635C"/>
    <w:rsid w:val="002B72A2"/>
    <w:rsid w:val="002B751B"/>
    <w:rsid w:val="002C05F4"/>
    <w:rsid w:val="002C3933"/>
    <w:rsid w:val="002C3EFF"/>
    <w:rsid w:val="002C60C6"/>
    <w:rsid w:val="002C6D06"/>
    <w:rsid w:val="002C71C1"/>
    <w:rsid w:val="002C7508"/>
    <w:rsid w:val="002D1761"/>
    <w:rsid w:val="002D2BFB"/>
    <w:rsid w:val="002D3176"/>
    <w:rsid w:val="002D41BF"/>
    <w:rsid w:val="002D4404"/>
    <w:rsid w:val="002D54CB"/>
    <w:rsid w:val="002D6169"/>
    <w:rsid w:val="002D65A3"/>
    <w:rsid w:val="002D6DD5"/>
    <w:rsid w:val="002E0552"/>
    <w:rsid w:val="002E0F41"/>
    <w:rsid w:val="002E13AE"/>
    <w:rsid w:val="002E22C9"/>
    <w:rsid w:val="002E2D13"/>
    <w:rsid w:val="002E3A89"/>
    <w:rsid w:val="002E3BBC"/>
    <w:rsid w:val="002E3CEB"/>
    <w:rsid w:val="002E483E"/>
    <w:rsid w:val="002E4F08"/>
    <w:rsid w:val="002E52D1"/>
    <w:rsid w:val="002E58B7"/>
    <w:rsid w:val="002E5A09"/>
    <w:rsid w:val="002E6BC6"/>
    <w:rsid w:val="002E71C7"/>
    <w:rsid w:val="002F02E2"/>
    <w:rsid w:val="002F219C"/>
    <w:rsid w:val="002F246D"/>
    <w:rsid w:val="002F3FEB"/>
    <w:rsid w:val="002F4060"/>
    <w:rsid w:val="002F589D"/>
    <w:rsid w:val="002F59D5"/>
    <w:rsid w:val="002F6729"/>
    <w:rsid w:val="002F69AF"/>
    <w:rsid w:val="003007E6"/>
    <w:rsid w:val="003009E3"/>
    <w:rsid w:val="00300CC4"/>
    <w:rsid w:val="003015DB"/>
    <w:rsid w:val="00301A58"/>
    <w:rsid w:val="003021CB"/>
    <w:rsid w:val="00302D29"/>
    <w:rsid w:val="00303896"/>
    <w:rsid w:val="00304048"/>
    <w:rsid w:val="003041CD"/>
    <w:rsid w:val="0030472F"/>
    <w:rsid w:val="00307643"/>
    <w:rsid w:val="00307A6B"/>
    <w:rsid w:val="00307C18"/>
    <w:rsid w:val="00310785"/>
    <w:rsid w:val="003114D4"/>
    <w:rsid w:val="00312372"/>
    <w:rsid w:val="003126D7"/>
    <w:rsid w:val="00312AD0"/>
    <w:rsid w:val="00314289"/>
    <w:rsid w:val="00314536"/>
    <w:rsid w:val="0031477A"/>
    <w:rsid w:val="00315712"/>
    <w:rsid w:val="00315BBB"/>
    <w:rsid w:val="003177D8"/>
    <w:rsid w:val="00317F35"/>
    <w:rsid w:val="003200EF"/>
    <w:rsid w:val="00320CEF"/>
    <w:rsid w:val="00322AE7"/>
    <w:rsid w:val="00322F44"/>
    <w:rsid w:val="003230C7"/>
    <w:rsid w:val="003231F4"/>
    <w:rsid w:val="003237D5"/>
    <w:rsid w:val="00324FF0"/>
    <w:rsid w:val="003252A8"/>
    <w:rsid w:val="00325CDC"/>
    <w:rsid w:val="003262F6"/>
    <w:rsid w:val="0032645C"/>
    <w:rsid w:val="003264B4"/>
    <w:rsid w:val="00327A8A"/>
    <w:rsid w:val="00330F2A"/>
    <w:rsid w:val="00331CF1"/>
    <w:rsid w:val="00331F30"/>
    <w:rsid w:val="0033225D"/>
    <w:rsid w:val="003333E0"/>
    <w:rsid w:val="00333B97"/>
    <w:rsid w:val="00334A81"/>
    <w:rsid w:val="00337919"/>
    <w:rsid w:val="00340826"/>
    <w:rsid w:val="00341F67"/>
    <w:rsid w:val="00342085"/>
    <w:rsid w:val="003428B3"/>
    <w:rsid w:val="003432C8"/>
    <w:rsid w:val="00343BBD"/>
    <w:rsid w:val="00343FA0"/>
    <w:rsid w:val="0034461B"/>
    <w:rsid w:val="00344700"/>
    <w:rsid w:val="003448DA"/>
    <w:rsid w:val="00344E0E"/>
    <w:rsid w:val="00345F0A"/>
    <w:rsid w:val="00346888"/>
    <w:rsid w:val="00346978"/>
    <w:rsid w:val="00346E73"/>
    <w:rsid w:val="00347644"/>
    <w:rsid w:val="00350C7C"/>
    <w:rsid w:val="003523E1"/>
    <w:rsid w:val="00352BC4"/>
    <w:rsid w:val="00353765"/>
    <w:rsid w:val="00354A5A"/>
    <w:rsid w:val="00354C44"/>
    <w:rsid w:val="00354CAF"/>
    <w:rsid w:val="00355A45"/>
    <w:rsid w:val="00355E60"/>
    <w:rsid w:val="003570F9"/>
    <w:rsid w:val="00360E78"/>
    <w:rsid w:val="003621CD"/>
    <w:rsid w:val="00362332"/>
    <w:rsid w:val="00362B7D"/>
    <w:rsid w:val="00364B80"/>
    <w:rsid w:val="003650BF"/>
    <w:rsid w:val="00365BA8"/>
    <w:rsid w:val="00365F99"/>
    <w:rsid w:val="00367A9C"/>
    <w:rsid w:val="00367DA2"/>
    <w:rsid w:val="00370CAA"/>
    <w:rsid w:val="00372F7D"/>
    <w:rsid w:val="00374007"/>
    <w:rsid w:val="00374925"/>
    <w:rsid w:val="00374AFF"/>
    <w:rsid w:val="00374E81"/>
    <w:rsid w:val="00374FA7"/>
    <w:rsid w:val="00375F1C"/>
    <w:rsid w:val="00377D85"/>
    <w:rsid w:val="0038026B"/>
    <w:rsid w:val="0038039D"/>
    <w:rsid w:val="00380427"/>
    <w:rsid w:val="00380849"/>
    <w:rsid w:val="00381648"/>
    <w:rsid w:val="003816CA"/>
    <w:rsid w:val="003817DC"/>
    <w:rsid w:val="00381A9B"/>
    <w:rsid w:val="00381F11"/>
    <w:rsid w:val="00383759"/>
    <w:rsid w:val="00383A77"/>
    <w:rsid w:val="003844DE"/>
    <w:rsid w:val="00384A44"/>
    <w:rsid w:val="003869C8"/>
    <w:rsid w:val="00387CC2"/>
    <w:rsid w:val="00390D8E"/>
    <w:rsid w:val="00390FBD"/>
    <w:rsid w:val="00392396"/>
    <w:rsid w:val="00393291"/>
    <w:rsid w:val="0039355F"/>
    <w:rsid w:val="00393966"/>
    <w:rsid w:val="0039498D"/>
    <w:rsid w:val="00394FF6"/>
    <w:rsid w:val="00396075"/>
    <w:rsid w:val="00397541"/>
    <w:rsid w:val="003A0343"/>
    <w:rsid w:val="003A1017"/>
    <w:rsid w:val="003A1BAC"/>
    <w:rsid w:val="003A2C0A"/>
    <w:rsid w:val="003A3B5B"/>
    <w:rsid w:val="003A434B"/>
    <w:rsid w:val="003A5BE3"/>
    <w:rsid w:val="003A5D56"/>
    <w:rsid w:val="003A6315"/>
    <w:rsid w:val="003A67CD"/>
    <w:rsid w:val="003A7CDA"/>
    <w:rsid w:val="003B0F72"/>
    <w:rsid w:val="003B2351"/>
    <w:rsid w:val="003B25E3"/>
    <w:rsid w:val="003B33B2"/>
    <w:rsid w:val="003B4462"/>
    <w:rsid w:val="003C1BEF"/>
    <w:rsid w:val="003C1E34"/>
    <w:rsid w:val="003C1EA1"/>
    <w:rsid w:val="003C2490"/>
    <w:rsid w:val="003C2A41"/>
    <w:rsid w:val="003C2B81"/>
    <w:rsid w:val="003C457B"/>
    <w:rsid w:val="003C46CC"/>
    <w:rsid w:val="003C5C9C"/>
    <w:rsid w:val="003C653C"/>
    <w:rsid w:val="003C65C1"/>
    <w:rsid w:val="003C751D"/>
    <w:rsid w:val="003D0572"/>
    <w:rsid w:val="003D0B92"/>
    <w:rsid w:val="003D2237"/>
    <w:rsid w:val="003D301B"/>
    <w:rsid w:val="003D482A"/>
    <w:rsid w:val="003D4D1D"/>
    <w:rsid w:val="003D615E"/>
    <w:rsid w:val="003D7EB7"/>
    <w:rsid w:val="003E2310"/>
    <w:rsid w:val="003E2737"/>
    <w:rsid w:val="003E434A"/>
    <w:rsid w:val="003E54E7"/>
    <w:rsid w:val="003E568F"/>
    <w:rsid w:val="003E5A68"/>
    <w:rsid w:val="003E6C50"/>
    <w:rsid w:val="003E6DC1"/>
    <w:rsid w:val="003F077A"/>
    <w:rsid w:val="003F1F98"/>
    <w:rsid w:val="003F2283"/>
    <w:rsid w:val="003F2B02"/>
    <w:rsid w:val="003F2DBB"/>
    <w:rsid w:val="003F42FD"/>
    <w:rsid w:val="003F46F8"/>
    <w:rsid w:val="003F4BA9"/>
    <w:rsid w:val="003F4DE9"/>
    <w:rsid w:val="003F508A"/>
    <w:rsid w:val="003F5863"/>
    <w:rsid w:val="003F5B94"/>
    <w:rsid w:val="003F6C6C"/>
    <w:rsid w:val="003F7B13"/>
    <w:rsid w:val="00400D15"/>
    <w:rsid w:val="004010F2"/>
    <w:rsid w:val="00401151"/>
    <w:rsid w:val="004015CE"/>
    <w:rsid w:val="00402799"/>
    <w:rsid w:val="00403ACB"/>
    <w:rsid w:val="00404952"/>
    <w:rsid w:val="00404CDB"/>
    <w:rsid w:val="004057D3"/>
    <w:rsid w:val="004070AF"/>
    <w:rsid w:val="00410189"/>
    <w:rsid w:val="00410834"/>
    <w:rsid w:val="0041087B"/>
    <w:rsid w:val="00416BE3"/>
    <w:rsid w:val="004171DE"/>
    <w:rsid w:val="00417A78"/>
    <w:rsid w:val="00417DE8"/>
    <w:rsid w:val="0042108F"/>
    <w:rsid w:val="004214D1"/>
    <w:rsid w:val="00421B3F"/>
    <w:rsid w:val="00421CFC"/>
    <w:rsid w:val="00423782"/>
    <w:rsid w:val="0042604E"/>
    <w:rsid w:val="004261D4"/>
    <w:rsid w:val="00426B59"/>
    <w:rsid w:val="004272F1"/>
    <w:rsid w:val="00427712"/>
    <w:rsid w:val="00427899"/>
    <w:rsid w:val="004279A6"/>
    <w:rsid w:val="00427D92"/>
    <w:rsid w:val="00430188"/>
    <w:rsid w:val="00431304"/>
    <w:rsid w:val="004317A8"/>
    <w:rsid w:val="00431A2B"/>
    <w:rsid w:val="004331B3"/>
    <w:rsid w:val="0043387F"/>
    <w:rsid w:val="00433C7B"/>
    <w:rsid w:val="00434358"/>
    <w:rsid w:val="0043474E"/>
    <w:rsid w:val="00435995"/>
    <w:rsid w:val="00435ABD"/>
    <w:rsid w:val="004367A8"/>
    <w:rsid w:val="0043729B"/>
    <w:rsid w:val="00437C47"/>
    <w:rsid w:val="0044007D"/>
    <w:rsid w:val="00441BBA"/>
    <w:rsid w:val="00442A12"/>
    <w:rsid w:val="00442CDC"/>
    <w:rsid w:val="00444434"/>
    <w:rsid w:val="00444EFD"/>
    <w:rsid w:val="00447E6B"/>
    <w:rsid w:val="004502AA"/>
    <w:rsid w:val="00450988"/>
    <w:rsid w:val="004515EE"/>
    <w:rsid w:val="004518C0"/>
    <w:rsid w:val="00451A4D"/>
    <w:rsid w:val="00451B0A"/>
    <w:rsid w:val="00452893"/>
    <w:rsid w:val="004530DF"/>
    <w:rsid w:val="0045329B"/>
    <w:rsid w:val="00453638"/>
    <w:rsid w:val="00453A30"/>
    <w:rsid w:val="00454253"/>
    <w:rsid w:val="0045449F"/>
    <w:rsid w:val="00454C55"/>
    <w:rsid w:val="00456804"/>
    <w:rsid w:val="00457F3A"/>
    <w:rsid w:val="004611B0"/>
    <w:rsid w:val="0046138F"/>
    <w:rsid w:val="0046167D"/>
    <w:rsid w:val="00461A95"/>
    <w:rsid w:val="00461B26"/>
    <w:rsid w:val="00461B49"/>
    <w:rsid w:val="00461E2E"/>
    <w:rsid w:val="00462EA5"/>
    <w:rsid w:val="00462F60"/>
    <w:rsid w:val="00464639"/>
    <w:rsid w:val="0046520E"/>
    <w:rsid w:val="0046798B"/>
    <w:rsid w:val="00467E08"/>
    <w:rsid w:val="004712CD"/>
    <w:rsid w:val="00471C8E"/>
    <w:rsid w:val="00471E61"/>
    <w:rsid w:val="004722DF"/>
    <w:rsid w:val="004742BA"/>
    <w:rsid w:val="00475098"/>
    <w:rsid w:val="0047510B"/>
    <w:rsid w:val="00475B0B"/>
    <w:rsid w:val="00475CA0"/>
    <w:rsid w:val="00476BD3"/>
    <w:rsid w:val="00477074"/>
    <w:rsid w:val="00477BB2"/>
    <w:rsid w:val="00480CE5"/>
    <w:rsid w:val="00480FEB"/>
    <w:rsid w:val="0048102E"/>
    <w:rsid w:val="004829BE"/>
    <w:rsid w:val="00482D26"/>
    <w:rsid w:val="004841F7"/>
    <w:rsid w:val="0048424E"/>
    <w:rsid w:val="0048513F"/>
    <w:rsid w:val="00485FD7"/>
    <w:rsid w:val="0048650D"/>
    <w:rsid w:val="00487678"/>
    <w:rsid w:val="00490609"/>
    <w:rsid w:val="00490991"/>
    <w:rsid w:val="00490E46"/>
    <w:rsid w:val="00491F49"/>
    <w:rsid w:val="00491F81"/>
    <w:rsid w:val="004921B4"/>
    <w:rsid w:val="004923CC"/>
    <w:rsid w:val="004927DC"/>
    <w:rsid w:val="00492BBB"/>
    <w:rsid w:val="00493F51"/>
    <w:rsid w:val="0049401C"/>
    <w:rsid w:val="00495D66"/>
    <w:rsid w:val="00496578"/>
    <w:rsid w:val="00497643"/>
    <w:rsid w:val="00497DEA"/>
    <w:rsid w:val="004A0D9E"/>
    <w:rsid w:val="004A210F"/>
    <w:rsid w:val="004A46BA"/>
    <w:rsid w:val="004A4D83"/>
    <w:rsid w:val="004A578C"/>
    <w:rsid w:val="004A63D8"/>
    <w:rsid w:val="004A705C"/>
    <w:rsid w:val="004A73D1"/>
    <w:rsid w:val="004A79B2"/>
    <w:rsid w:val="004A7A14"/>
    <w:rsid w:val="004B1569"/>
    <w:rsid w:val="004B18CE"/>
    <w:rsid w:val="004B1E04"/>
    <w:rsid w:val="004B236E"/>
    <w:rsid w:val="004B251C"/>
    <w:rsid w:val="004B31F8"/>
    <w:rsid w:val="004B47E3"/>
    <w:rsid w:val="004B47FF"/>
    <w:rsid w:val="004B4FEC"/>
    <w:rsid w:val="004B59CE"/>
    <w:rsid w:val="004B6570"/>
    <w:rsid w:val="004B7508"/>
    <w:rsid w:val="004B794C"/>
    <w:rsid w:val="004C01B8"/>
    <w:rsid w:val="004C01DC"/>
    <w:rsid w:val="004C07AC"/>
    <w:rsid w:val="004C09D7"/>
    <w:rsid w:val="004C0D44"/>
    <w:rsid w:val="004C0EF5"/>
    <w:rsid w:val="004C4640"/>
    <w:rsid w:val="004C534F"/>
    <w:rsid w:val="004C5F44"/>
    <w:rsid w:val="004C6159"/>
    <w:rsid w:val="004C7771"/>
    <w:rsid w:val="004D061A"/>
    <w:rsid w:val="004D187D"/>
    <w:rsid w:val="004D1923"/>
    <w:rsid w:val="004D1AAF"/>
    <w:rsid w:val="004D24EF"/>
    <w:rsid w:val="004D2B06"/>
    <w:rsid w:val="004D33A1"/>
    <w:rsid w:val="004D34DD"/>
    <w:rsid w:val="004D47BD"/>
    <w:rsid w:val="004D4815"/>
    <w:rsid w:val="004D48AA"/>
    <w:rsid w:val="004D49D4"/>
    <w:rsid w:val="004D4B80"/>
    <w:rsid w:val="004D51BD"/>
    <w:rsid w:val="004D563C"/>
    <w:rsid w:val="004D6109"/>
    <w:rsid w:val="004D6268"/>
    <w:rsid w:val="004D7F4A"/>
    <w:rsid w:val="004E03D0"/>
    <w:rsid w:val="004E083E"/>
    <w:rsid w:val="004E1628"/>
    <w:rsid w:val="004E2087"/>
    <w:rsid w:val="004E3394"/>
    <w:rsid w:val="004E3693"/>
    <w:rsid w:val="004E43CA"/>
    <w:rsid w:val="004E4816"/>
    <w:rsid w:val="004E4E96"/>
    <w:rsid w:val="004E5B1F"/>
    <w:rsid w:val="004E5F38"/>
    <w:rsid w:val="004E5F5D"/>
    <w:rsid w:val="004F09F8"/>
    <w:rsid w:val="004F27F6"/>
    <w:rsid w:val="004F34FA"/>
    <w:rsid w:val="004F37FA"/>
    <w:rsid w:val="004F390E"/>
    <w:rsid w:val="004F3D5C"/>
    <w:rsid w:val="004F45C2"/>
    <w:rsid w:val="004F59F1"/>
    <w:rsid w:val="004F6428"/>
    <w:rsid w:val="004F7AAC"/>
    <w:rsid w:val="00500064"/>
    <w:rsid w:val="005005A7"/>
    <w:rsid w:val="005017D5"/>
    <w:rsid w:val="00501C55"/>
    <w:rsid w:val="00501CF8"/>
    <w:rsid w:val="005039AA"/>
    <w:rsid w:val="00503AF2"/>
    <w:rsid w:val="00503DEB"/>
    <w:rsid w:val="00504855"/>
    <w:rsid w:val="00504F76"/>
    <w:rsid w:val="00506762"/>
    <w:rsid w:val="00506E0E"/>
    <w:rsid w:val="00511B60"/>
    <w:rsid w:val="00512371"/>
    <w:rsid w:val="0051297B"/>
    <w:rsid w:val="005132E1"/>
    <w:rsid w:val="00513B0D"/>
    <w:rsid w:val="00514712"/>
    <w:rsid w:val="00515992"/>
    <w:rsid w:val="00516113"/>
    <w:rsid w:val="00516394"/>
    <w:rsid w:val="005168D4"/>
    <w:rsid w:val="00516EDF"/>
    <w:rsid w:val="0052011C"/>
    <w:rsid w:val="00520BBD"/>
    <w:rsid w:val="00522940"/>
    <w:rsid w:val="00522AD0"/>
    <w:rsid w:val="00522E49"/>
    <w:rsid w:val="005238C2"/>
    <w:rsid w:val="00524758"/>
    <w:rsid w:val="0052535F"/>
    <w:rsid w:val="00526C08"/>
    <w:rsid w:val="00526D63"/>
    <w:rsid w:val="00530533"/>
    <w:rsid w:val="00530A7F"/>
    <w:rsid w:val="00532057"/>
    <w:rsid w:val="0053242C"/>
    <w:rsid w:val="00533312"/>
    <w:rsid w:val="00533B1C"/>
    <w:rsid w:val="00533DB8"/>
    <w:rsid w:val="0053413A"/>
    <w:rsid w:val="00535E7D"/>
    <w:rsid w:val="00536608"/>
    <w:rsid w:val="00536D41"/>
    <w:rsid w:val="00536D89"/>
    <w:rsid w:val="00537755"/>
    <w:rsid w:val="00537957"/>
    <w:rsid w:val="00540691"/>
    <w:rsid w:val="005407C8"/>
    <w:rsid w:val="00540829"/>
    <w:rsid w:val="00541C79"/>
    <w:rsid w:val="00541DF0"/>
    <w:rsid w:val="00544C3D"/>
    <w:rsid w:val="00545E94"/>
    <w:rsid w:val="00546367"/>
    <w:rsid w:val="00546A9C"/>
    <w:rsid w:val="00547828"/>
    <w:rsid w:val="00547860"/>
    <w:rsid w:val="0055021B"/>
    <w:rsid w:val="00550C94"/>
    <w:rsid w:val="00551740"/>
    <w:rsid w:val="00552422"/>
    <w:rsid w:val="00552DBB"/>
    <w:rsid w:val="00553757"/>
    <w:rsid w:val="00553D4C"/>
    <w:rsid w:val="0055442B"/>
    <w:rsid w:val="00554BF4"/>
    <w:rsid w:val="00554D98"/>
    <w:rsid w:val="00555EE9"/>
    <w:rsid w:val="005563EB"/>
    <w:rsid w:val="005565E6"/>
    <w:rsid w:val="005566F2"/>
    <w:rsid w:val="00557871"/>
    <w:rsid w:val="00561438"/>
    <w:rsid w:val="00562D25"/>
    <w:rsid w:val="00563D65"/>
    <w:rsid w:val="00564535"/>
    <w:rsid w:val="005647BD"/>
    <w:rsid w:val="005663F0"/>
    <w:rsid w:val="005670A7"/>
    <w:rsid w:val="00567938"/>
    <w:rsid w:val="00567CC6"/>
    <w:rsid w:val="005708D2"/>
    <w:rsid w:val="005718DE"/>
    <w:rsid w:val="005727B9"/>
    <w:rsid w:val="005733D5"/>
    <w:rsid w:val="00573D0B"/>
    <w:rsid w:val="00574F0A"/>
    <w:rsid w:val="00575E0A"/>
    <w:rsid w:val="00577B2D"/>
    <w:rsid w:val="00580915"/>
    <w:rsid w:val="00581C1C"/>
    <w:rsid w:val="00581F36"/>
    <w:rsid w:val="0058290F"/>
    <w:rsid w:val="00582A27"/>
    <w:rsid w:val="0058335E"/>
    <w:rsid w:val="005834DE"/>
    <w:rsid w:val="005852D6"/>
    <w:rsid w:val="005860C5"/>
    <w:rsid w:val="005863B8"/>
    <w:rsid w:val="0058745D"/>
    <w:rsid w:val="00587C83"/>
    <w:rsid w:val="00587DB8"/>
    <w:rsid w:val="00590675"/>
    <w:rsid w:val="005907E1"/>
    <w:rsid w:val="005907ED"/>
    <w:rsid w:val="00590C6E"/>
    <w:rsid w:val="00590EBD"/>
    <w:rsid w:val="00590EEF"/>
    <w:rsid w:val="0059112A"/>
    <w:rsid w:val="0059191B"/>
    <w:rsid w:val="00591BA8"/>
    <w:rsid w:val="005922FF"/>
    <w:rsid w:val="00592F97"/>
    <w:rsid w:val="00593821"/>
    <w:rsid w:val="00593F9C"/>
    <w:rsid w:val="00594E97"/>
    <w:rsid w:val="00596BCE"/>
    <w:rsid w:val="00597308"/>
    <w:rsid w:val="00597632"/>
    <w:rsid w:val="005979D6"/>
    <w:rsid w:val="005A0F1A"/>
    <w:rsid w:val="005A105C"/>
    <w:rsid w:val="005A170D"/>
    <w:rsid w:val="005A301B"/>
    <w:rsid w:val="005A38FE"/>
    <w:rsid w:val="005A4354"/>
    <w:rsid w:val="005A5941"/>
    <w:rsid w:val="005A5DD6"/>
    <w:rsid w:val="005A667D"/>
    <w:rsid w:val="005A7B5C"/>
    <w:rsid w:val="005A7C09"/>
    <w:rsid w:val="005B0417"/>
    <w:rsid w:val="005B0BD3"/>
    <w:rsid w:val="005B114E"/>
    <w:rsid w:val="005B287F"/>
    <w:rsid w:val="005B4111"/>
    <w:rsid w:val="005B42B9"/>
    <w:rsid w:val="005B4DE2"/>
    <w:rsid w:val="005B525F"/>
    <w:rsid w:val="005B5778"/>
    <w:rsid w:val="005B7BEA"/>
    <w:rsid w:val="005B7EEC"/>
    <w:rsid w:val="005C0754"/>
    <w:rsid w:val="005C1D68"/>
    <w:rsid w:val="005C2034"/>
    <w:rsid w:val="005C2ACD"/>
    <w:rsid w:val="005C38B9"/>
    <w:rsid w:val="005C3B05"/>
    <w:rsid w:val="005C436C"/>
    <w:rsid w:val="005C46D1"/>
    <w:rsid w:val="005C5297"/>
    <w:rsid w:val="005C600F"/>
    <w:rsid w:val="005C6953"/>
    <w:rsid w:val="005D0573"/>
    <w:rsid w:val="005D064B"/>
    <w:rsid w:val="005D109A"/>
    <w:rsid w:val="005D1261"/>
    <w:rsid w:val="005D193F"/>
    <w:rsid w:val="005D3806"/>
    <w:rsid w:val="005D4CF1"/>
    <w:rsid w:val="005D50A4"/>
    <w:rsid w:val="005D51DD"/>
    <w:rsid w:val="005D5E47"/>
    <w:rsid w:val="005D6136"/>
    <w:rsid w:val="005D79D0"/>
    <w:rsid w:val="005D7D28"/>
    <w:rsid w:val="005D7F81"/>
    <w:rsid w:val="005E00B0"/>
    <w:rsid w:val="005E012A"/>
    <w:rsid w:val="005E01D3"/>
    <w:rsid w:val="005E1CF9"/>
    <w:rsid w:val="005E2A53"/>
    <w:rsid w:val="005E3C1E"/>
    <w:rsid w:val="005E5125"/>
    <w:rsid w:val="005E6FD7"/>
    <w:rsid w:val="005F070B"/>
    <w:rsid w:val="005F20A1"/>
    <w:rsid w:val="005F39EA"/>
    <w:rsid w:val="005F3B10"/>
    <w:rsid w:val="005F5CA9"/>
    <w:rsid w:val="005F7DA2"/>
    <w:rsid w:val="0060027B"/>
    <w:rsid w:val="00600C41"/>
    <w:rsid w:val="0060143C"/>
    <w:rsid w:val="006016C2"/>
    <w:rsid w:val="006020C7"/>
    <w:rsid w:val="006025A2"/>
    <w:rsid w:val="00604531"/>
    <w:rsid w:val="006049F2"/>
    <w:rsid w:val="00604A3E"/>
    <w:rsid w:val="00604EC2"/>
    <w:rsid w:val="00605532"/>
    <w:rsid w:val="0060672C"/>
    <w:rsid w:val="006078BF"/>
    <w:rsid w:val="00610408"/>
    <w:rsid w:val="006107B2"/>
    <w:rsid w:val="00611BB5"/>
    <w:rsid w:val="006123FB"/>
    <w:rsid w:val="00612AE6"/>
    <w:rsid w:val="006132CD"/>
    <w:rsid w:val="006158E3"/>
    <w:rsid w:val="00615C46"/>
    <w:rsid w:val="0061754B"/>
    <w:rsid w:val="006178C2"/>
    <w:rsid w:val="00620E64"/>
    <w:rsid w:val="00621D02"/>
    <w:rsid w:val="00621E9A"/>
    <w:rsid w:val="006223F1"/>
    <w:rsid w:val="006232C7"/>
    <w:rsid w:val="00623881"/>
    <w:rsid w:val="00623DA8"/>
    <w:rsid w:val="006243B4"/>
    <w:rsid w:val="006243BA"/>
    <w:rsid w:val="00625943"/>
    <w:rsid w:val="00626900"/>
    <w:rsid w:val="00626BE3"/>
    <w:rsid w:val="00626D7D"/>
    <w:rsid w:val="00627105"/>
    <w:rsid w:val="00627583"/>
    <w:rsid w:val="006277F8"/>
    <w:rsid w:val="00630403"/>
    <w:rsid w:val="00631277"/>
    <w:rsid w:val="00632876"/>
    <w:rsid w:val="00633958"/>
    <w:rsid w:val="00633ACE"/>
    <w:rsid w:val="00633E6D"/>
    <w:rsid w:val="0063411C"/>
    <w:rsid w:val="0063437F"/>
    <w:rsid w:val="0063724E"/>
    <w:rsid w:val="006419C8"/>
    <w:rsid w:val="0064359D"/>
    <w:rsid w:val="00643AD4"/>
    <w:rsid w:val="00643C98"/>
    <w:rsid w:val="00643DEA"/>
    <w:rsid w:val="006462B7"/>
    <w:rsid w:val="0064642B"/>
    <w:rsid w:val="00646539"/>
    <w:rsid w:val="0064675C"/>
    <w:rsid w:val="006467AD"/>
    <w:rsid w:val="006470EC"/>
    <w:rsid w:val="00650933"/>
    <w:rsid w:val="006509AD"/>
    <w:rsid w:val="00651D56"/>
    <w:rsid w:val="00652424"/>
    <w:rsid w:val="00652697"/>
    <w:rsid w:val="006529DA"/>
    <w:rsid w:val="006534ED"/>
    <w:rsid w:val="00653A38"/>
    <w:rsid w:val="006541F4"/>
    <w:rsid w:val="00655F15"/>
    <w:rsid w:val="00656042"/>
    <w:rsid w:val="00656AE5"/>
    <w:rsid w:val="0065708A"/>
    <w:rsid w:val="006574F7"/>
    <w:rsid w:val="006579B4"/>
    <w:rsid w:val="00660294"/>
    <w:rsid w:val="00660321"/>
    <w:rsid w:val="0066034B"/>
    <w:rsid w:val="00660BAE"/>
    <w:rsid w:val="00660CF8"/>
    <w:rsid w:val="006621DB"/>
    <w:rsid w:val="00663927"/>
    <w:rsid w:val="00663EE6"/>
    <w:rsid w:val="0066469D"/>
    <w:rsid w:val="00664700"/>
    <w:rsid w:val="00664858"/>
    <w:rsid w:val="00665DC7"/>
    <w:rsid w:val="00665DF0"/>
    <w:rsid w:val="00666782"/>
    <w:rsid w:val="0066695F"/>
    <w:rsid w:val="006679F6"/>
    <w:rsid w:val="00667E90"/>
    <w:rsid w:val="00670493"/>
    <w:rsid w:val="006708D5"/>
    <w:rsid w:val="00670EDC"/>
    <w:rsid w:val="0067230E"/>
    <w:rsid w:val="00672627"/>
    <w:rsid w:val="0067276C"/>
    <w:rsid w:val="00672B23"/>
    <w:rsid w:val="00672F00"/>
    <w:rsid w:val="0067330B"/>
    <w:rsid w:val="00674054"/>
    <w:rsid w:val="00675332"/>
    <w:rsid w:val="00680C29"/>
    <w:rsid w:val="0068144C"/>
    <w:rsid w:val="00681A2D"/>
    <w:rsid w:val="00682585"/>
    <w:rsid w:val="006832DA"/>
    <w:rsid w:val="006834B8"/>
    <w:rsid w:val="00683D36"/>
    <w:rsid w:val="006844C8"/>
    <w:rsid w:val="00684DF1"/>
    <w:rsid w:val="00684EC1"/>
    <w:rsid w:val="00685518"/>
    <w:rsid w:val="0068588B"/>
    <w:rsid w:val="00686ABB"/>
    <w:rsid w:val="00686BEE"/>
    <w:rsid w:val="00686FD2"/>
    <w:rsid w:val="00687137"/>
    <w:rsid w:val="00687677"/>
    <w:rsid w:val="00687BA2"/>
    <w:rsid w:val="0069008C"/>
    <w:rsid w:val="00691EF5"/>
    <w:rsid w:val="00692ED6"/>
    <w:rsid w:val="00693568"/>
    <w:rsid w:val="00694AF7"/>
    <w:rsid w:val="00694CF0"/>
    <w:rsid w:val="006959B0"/>
    <w:rsid w:val="00697D04"/>
    <w:rsid w:val="00697F01"/>
    <w:rsid w:val="006A06C4"/>
    <w:rsid w:val="006A0B6D"/>
    <w:rsid w:val="006A1081"/>
    <w:rsid w:val="006A1EFA"/>
    <w:rsid w:val="006A1F65"/>
    <w:rsid w:val="006A24A1"/>
    <w:rsid w:val="006A2714"/>
    <w:rsid w:val="006A2F42"/>
    <w:rsid w:val="006A3E19"/>
    <w:rsid w:val="006A51C0"/>
    <w:rsid w:val="006A5760"/>
    <w:rsid w:val="006A5A1E"/>
    <w:rsid w:val="006A72B0"/>
    <w:rsid w:val="006A7494"/>
    <w:rsid w:val="006A7BA7"/>
    <w:rsid w:val="006B0D68"/>
    <w:rsid w:val="006B0E8B"/>
    <w:rsid w:val="006B237A"/>
    <w:rsid w:val="006B23B3"/>
    <w:rsid w:val="006B2E81"/>
    <w:rsid w:val="006B374F"/>
    <w:rsid w:val="006B3DE2"/>
    <w:rsid w:val="006B4B15"/>
    <w:rsid w:val="006B594C"/>
    <w:rsid w:val="006B5DF8"/>
    <w:rsid w:val="006B6C52"/>
    <w:rsid w:val="006B6DA1"/>
    <w:rsid w:val="006B77BB"/>
    <w:rsid w:val="006C0F92"/>
    <w:rsid w:val="006C2952"/>
    <w:rsid w:val="006C29D6"/>
    <w:rsid w:val="006C459C"/>
    <w:rsid w:val="006C4AB5"/>
    <w:rsid w:val="006C5A20"/>
    <w:rsid w:val="006C5F81"/>
    <w:rsid w:val="006C6E9D"/>
    <w:rsid w:val="006C7B68"/>
    <w:rsid w:val="006D01DC"/>
    <w:rsid w:val="006D1029"/>
    <w:rsid w:val="006D1289"/>
    <w:rsid w:val="006D1ACC"/>
    <w:rsid w:val="006D1C2D"/>
    <w:rsid w:val="006D1CF1"/>
    <w:rsid w:val="006D1D98"/>
    <w:rsid w:val="006D2C33"/>
    <w:rsid w:val="006D3156"/>
    <w:rsid w:val="006D3603"/>
    <w:rsid w:val="006D49A5"/>
    <w:rsid w:val="006D584E"/>
    <w:rsid w:val="006D591E"/>
    <w:rsid w:val="006D5DD0"/>
    <w:rsid w:val="006D63AA"/>
    <w:rsid w:val="006D7707"/>
    <w:rsid w:val="006E0870"/>
    <w:rsid w:val="006E107E"/>
    <w:rsid w:val="006E261B"/>
    <w:rsid w:val="006E2E01"/>
    <w:rsid w:val="006E4778"/>
    <w:rsid w:val="006E4E1B"/>
    <w:rsid w:val="006E51E0"/>
    <w:rsid w:val="006E534E"/>
    <w:rsid w:val="006E56EA"/>
    <w:rsid w:val="006E6B1C"/>
    <w:rsid w:val="006E6EC6"/>
    <w:rsid w:val="006E79DE"/>
    <w:rsid w:val="006F0B76"/>
    <w:rsid w:val="006F1C3E"/>
    <w:rsid w:val="006F1D1B"/>
    <w:rsid w:val="006F2918"/>
    <w:rsid w:val="006F2D60"/>
    <w:rsid w:val="006F3088"/>
    <w:rsid w:val="006F51CD"/>
    <w:rsid w:val="006F55C2"/>
    <w:rsid w:val="006F55EE"/>
    <w:rsid w:val="006F5A48"/>
    <w:rsid w:val="006F6DE7"/>
    <w:rsid w:val="006F76C1"/>
    <w:rsid w:val="006F7917"/>
    <w:rsid w:val="006F79FA"/>
    <w:rsid w:val="00700143"/>
    <w:rsid w:val="00701F8C"/>
    <w:rsid w:val="00702540"/>
    <w:rsid w:val="00702D43"/>
    <w:rsid w:val="007037DD"/>
    <w:rsid w:val="007039B9"/>
    <w:rsid w:val="00703E92"/>
    <w:rsid w:val="007041BA"/>
    <w:rsid w:val="00704E7C"/>
    <w:rsid w:val="00705627"/>
    <w:rsid w:val="00706265"/>
    <w:rsid w:val="007062B9"/>
    <w:rsid w:val="00706B02"/>
    <w:rsid w:val="00706E00"/>
    <w:rsid w:val="007111A2"/>
    <w:rsid w:val="00712359"/>
    <w:rsid w:val="00712B65"/>
    <w:rsid w:val="00713400"/>
    <w:rsid w:val="00713B42"/>
    <w:rsid w:val="00713F55"/>
    <w:rsid w:val="0071459E"/>
    <w:rsid w:val="0071469D"/>
    <w:rsid w:val="00714970"/>
    <w:rsid w:val="00715099"/>
    <w:rsid w:val="007151AC"/>
    <w:rsid w:val="007151B7"/>
    <w:rsid w:val="00715D71"/>
    <w:rsid w:val="0071677D"/>
    <w:rsid w:val="00717137"/>
    <w:rsid w:val="00717482"/>
    <w:rsid w:val="00721662"/>
    <w:rsid w:val="00721714"/>
    <w:rsid w:val="00722132"/>
    <w:rsid w:val="007228E2"/>
    <w:rsid w:val="00724D68"/>
    <w:rsid w:val="00724E04"/>
    <w:rsid w:val="00725BF0"/>
    <w:rsid w:val="00727B67"/>
    <w:rsid w:val="0073028A"/>
    <w:rsid w:val="00730A6C"/>
    <w:rsid w:val="00730B42"/>
    <w:rsid w:val="00730C06"/>
    <w:rsid w:val="00731670"/>
    <w:rsid w:val="00731D4B"/>
    <w:rsid w:val="00732D91"/>
    <w:rsid w:val="00732F42"/>
    <w:rsid w:val="00733320"/>
    <w:rsid w:val="00733452"/>
    <w:rsid w:val="00733574"/>
    <w:rsid w:val="007335AD"/>
    <w:rsid w:val="0073429F"/>
    <w:rsid w:val="0073710E"/>
    <w:rsid w:val="007376AB"/>
    <w:rsid w:val="0074001A"/>
    <w:rsid w:val="00740181"/>
    <w:rsid w:val="00740969"/>
    <w:rsid w:val="00740C96"/>
    <w:rsid w:val="00741861"/>
    <w:rsid w:val="00742792"/>
    <w:rsid w:val="00742835"/>
    <w:rsid w:val="00743191"/>
    <w:rsid w:val="00743628"/>
    <w:rsid w:val="007439DC"/>
    <w:rsid w:val="00743AFD"/>
    <w:rsid w:val="00743B03"/>
    <w:rsid w:val="007446EE"/>
    <w:rsid w:val="00744A30"/>
    <w:rsid w:val="00744B56"/>
    <w:rsid w:val="00744C68"/>
    <w:rsid w:val="0074551E"/>
    <w:rsid w:val="00745B20"/>
    <w:rsid w:val="00745E99"/>
    <w:rsid w:val="00747690"/>
    <w:rsid w:val="0074777C"/>
    <w:rsid w:val="0075018C"/>
    <w:rsid w:val="007501C7"/>
    <w:rsid w:val="00751DBB"/>
    <w:rsid w:val="00751E7E"/>
    <w:rsid w:val="007521C4"/>
    <w:rsid w:val="007529C7"/>
    <w:rsid w:val="00753460"/>
    <w:rsid w:val="00753694"/>
    <w:rsid w:val="00754267"/>
    <w:rsid w:val="0075481B"/>
    <w:rsid w:val="00755FE5"/>
    <w:rsid w:val="00757A35"/>
    <w:rsid w:val="00757CC1"/>
    <w:rsid w:val="0076152E"/>
    <w:rsid w:val="00761CF9"/>
    <w:rsid w:val="0076368C"/>
    <w:rsid w:val="00763EDF"/>
    <w:rsid w:val="007647E8"/>
    <w:rsid w:val="00764E99"/>
    <w:rsid w:val="00765113"/>
    <w:rsid w:val="00765A08"/>
    <w:rsid w:val="00766695"/>
    <w:rsid w:val="0076681A"/>
    <w:rsid w:val="007672E6"/>
    <w:rsid w:val="00770A6E"/>
    <w:rsid w:val="0077114A"/>
    <w:rsid w:val="00771717"/>
    <w:rsid w:val="00772CF2"/>
    <w:rsid w:val="00773BB5"/>
    <w:rsid w:val="00773E8A"/>
    <w:rsid w:val="0077420C"/>
    <w:rsid w:val="007745ED"/>
    <w:rsid w:val="007745F8"/>
    <w:rsid w:val="007746EC"/>
    <w:rsid w:val="00774FA1"/>
    <w:rsid w:val="00775050"/>
    <w:rsid w:val="007773E9"/>
    <w:rsid w:val="00780127"/>
    <w:rsid w:val="007802B8"/>
    <w:rsid w:val="007806D2"/>
    <w:rsid w:val="007827B8"/>
    <w:rsid w:val="00783120"/>
    <w:rsid w:val="00784A55"/>
    <w:rsid w:val="00786B25"/>
    <w:rsid w:val="007877CA"/>
    <w:rsid w:val="00790DF2"/>
    <w:rsid w:val="00791B1C"/>
    <w:rsid w:val="0079419A"/>
    <w:rsid w:val="00794A0E"/>
    <w:rsid w:val="00794E56"/>
    <w:rsid w:val="007967E7"/>
    <w:rsid w:val="00797F23"/>
    <w:rsid w:val="007A165E"/>
    <w:rsid w:val="007A187A"/>
    <w:rsid w:val="007A1B6A"/>
    <w:rsid w:val="007A1EF7"/>
    <w:rsid w:val="007A24FE"/>
    <w:rsid w:val="007A2927"/>
    <w:rsid w:val="007A2CC8"/>
    <w:rsid w:val="007A323A"/>
    <w:rsid w:val="007A3888"/>
    <w:rsid w:val="007A392D"/>
    <w:rsid w:val="007A4CC2"/>
    <w:rsid w:val="007A6158"/>
    <w:rsid w:val="007A76C5"/>
    <w:rsid w:val="007A7DA3"/>
    <w:rsid w:val="007A7EAC"/>
    <w:rsid w:val="007B00FA"/>
    <w:rsid w:val="007B05E9"/>
    <w:rsid w:val="007B0C10"/>
    <w:rsid w:val="007B1CCA"/>
    <w:rsid w:val="007B3115"/>
    <w:rsid w:val="007B3894"/>
    <w:rsid w:val="007B39F7"/>
    <w:rsid w:val="007B3A4D"/>
    <w:rsid w:val="007B4C1B"/>
    <w:rsid w:val="007B4E52"/>
    <w:rsid w:val="007B5128"/>
    <w:rsid w:val="007C0157"/>
    <w:rsid w:val="007C0B08"/>
    <w:rsid w:val="007C1AF4"/>
    <w:rsid w:val="007C21FB"/>
    <w:rsid w:val="007C2486"/>
    <w:rsid w:val="007C317B"/>
    <w:rsid w:val="007C3DA2"/>
    <w:rsid w:val="007C3F4B"/>
    <w:rsid w:val="007C498D"/>
    <w:rsid w:val="007C4A83"/>
    <w:rsid w:val="007C696A"/>
    <w:rsid w:val="007C7A5A"/>
    <w:rsid w:val="007D0CFD"/>
    <w:rsid w:val="007D1E61"/>
    <w:rsid w:val="007D2837"/>
    <w:rsid w:val="007D2F63"/>
    <w:rsid w:val="007D2FE0"/>
    <w:rsid w:val="007D42B4"/>
    <w:rsid w:val="007D4368"/>
    <w:rsid w:val="007D4F53"/>
    <w:rsid w:val="007D5D16"/>
    <w:rsid w:val="007D6E12"/>
    <w:rsid w:val="007D75C9"/>
    <w:rsid w:val="007E19C4"/>
    <w:rsid w:val="007E2797"/>
    <w:rsid w:val="007E479D"/>
    <w:rsid w:val="007E57CB"/>
    <w:rsid w:val="007E7881"/>
    <w:rsid w:val="007E7D3D"/>
    <w:rsid w:val="007F02F1"/>
    <w:rsid w:val="007F04C2"/>
    <w:rsid w:val="007F04D1"/>
    <w:rsid w:val="007F06F3"/>
    <w:rsid w:val="007F1A24"/>
    <w:rsid w:val="007F1D88"/>
    <w:rsid w:val="007F2708"/>
    <w:rsid w:val="007F291D"/>
    <w:rsid w:val="007F418D"/>
    <w:rsid w:val="007F45CD"/>
    <w:rsid w:val="007F5336"/>
    <w:rsid w:val="007F556B"/>
    <w:rsid w:val="007F5994"/>
    <w:rsid w:val="007F5E1C"/>
    <w:rsid w:val="007F6D26"/>
    <w:rsid w:val="007F72FE"/>
    <w:rsid w:val="00800877"/>
    <w:rsid w:val="008019E8"/>
    <w:rsid w:val="00801BE3"/>
    <w:rsid w:val="00801E5B"/>
    <w:rsid w:val="00802088"/>
    <w:rsid w:val="008021E3"/>
    <w:rsid w:val="0080274B"/>
    <w:rsid w:val="00802912"/>
    <w:rsid w:val="00802B28"/>
    <w:rsid w:val="0080337A"/>
    <w:rsid w:val="008063FA"/>
    <w:rsid w:val="0081004E"/>
    <w:rsid w:val="00810C51"/>
    <w:rsid w:val="008114E8"/>
    <w:rsid w:val="0081161E"/>
    <w:rsid w:val="00812040"/>
    <w:rsid w:val="00812783"/>
    <w:rsid w:val="00814109"/>
    <w:rsid w:val="00814275"/>
    <w:rsid w:val="008168D3"/>
    <w:rsid w:val="00816E37"/>
    <w:rsid w:val="00816EEB"/>
    <w:rsid w:val="00817440"/>
    <w:rsid w:val="0081789A"/>
    <w:rsid w:val="008201D2"/>
    <w:rsid w:val="0082101F"/>
    <w:rsid w:val="008222D6"/>
    <w:rsid w:val="00822926"/>
    <w:rsid w:val="00822C3F"/>
    <w:rsid w:val="008243AB"/>
    <w:rsid w:val="008247BD"/>
    <w:rsid w:val="00825245"/>
    <w:rsid w:val="008260CB"/>
    <w:rsid w:val="008269F8"/>
    <w:rsid w:val="00826E23"/>
    <w:rsid w:val="008272B2"/>
    <w:rsid w:val="008272CA"/>
    <w:rsid w:val="00827A23"/>
    <w:rsid w:val="00827BF5"/>
    <w:rsid w:val="0083063A"/>
    <w:rsid w:val="00831763"/>
    <w:rsid w:val="00832029"/>
    <w:rsid w:val="00832141"/>
    <w:rsid w:val="00832A60"/>
    <w:rsid w:val="00832CFC"/>
    <w:rsid w:val="00834EC9"/>
    <w:rsid w:val="00836B25"/>
    <w:rsid w:val="00836BA5"/>
    <w:rsid w:val="00836E42"/>
    <w:rsid w:val="0083710E"/>
    <w:rsid w:val="008409AE"/>
    <w:rsid w:val="00840E85"/>
    <w:rsid w:val="00840F6E"/>
    <w:rsid w:val="008416A1"/>
    <w:rsid w:val="008430BA"/>
    <w:rsid w:val="0084378B"/>
    <w:rsid w:val="00843B2F"/>
    <w:rsid w:val="00844A3F"/>
    <w:rsid w:val="00845EBD"/>
    <w:rsid w:val="008470EF"/>
    <w:rsid w:val="0084729B"/>
    <w:rsid w:val="0085105A"/>
    <w:rsid w:val="00851822"/>
    <w:rsid w:val="008518B9"/>
    <w:rsid w:val="008521A7"/>
    <w:rsid w:val="00852368"/>
    <w:rsid w:val="00853AC5"/>
    <w:rsid w:val="00854975"/>
    <w:rsid w:val="008565B6"/>
    <w:rsid w:val="00856922"/>
    <w:rsid w:val="008578FD"/>
    <w:rsid w:val="0086042E"/>
    <w:rsid w:val="00860B22"/>
    <w:rsid w:val="00861128"/>
    <w:rsid w:val="0086174D"/>
    <w:rsid w:val="00861943"/>
    <w:rsid w:val="00862BAE"/>
    <w:rsid w:val="008634F1"/>
    <w:rsid w:val="008637A6"/>
    <w:rsid w:val="00863A81"/>
    <w:rsid w:val="008655AF"/>
    <w:rsid w:val="00866EDB"/>
    <w:rsid w:val="00866F25"/>
    <w:rsid w:val="0086708C"/>
    <w:rsid w:val="008678EE"/>
    <w:rsid w:val="0086795B"/>
    <w:rsid w:val="00867AAA"/>
    <w:rsid w:val="00867B6C"/>
    <w:rsid w:val="00867F15"/>
    <w:rsid w:val="00870A4A"/>
    <w:rsid w:val="00870E30"/>
    <w:rsid w:val="0087306E"/>
    <w:rsid w:val="0087416F"/>
    <w:rsid w:val="00874368"/>
    <w:rsid w:val="008743FB"/>
    <w:rsid w:val="00874602"/>
    <w:rsid w:val="00874E39"/>
    <w:rsid w:val="0087537E"/>
    <w:rsid w:val="00875553"/>
    <w:rsid w:val="00875F9E"/>
    <w:rsid w:val="008764D4"/>
    <w:rsid w:val="00876F46"/>
    <w:rsid w:val="00877495"/>
    <w:rsid w:val="00877942"/>
    <w:rsid w:val="00880BBF"/>
    <w:rsid w:val="00881717"/>
    <w:rsid w:val="00881FF5"/>
    <w:rsid w:val="0088225A"/>
    <w:rsid w:val="00885052"/>
    <w:rsid w:val="0088798C"/>
    <w:rsid w:val="0089074C"/>
    <w:rsid w:val="00890759"/>
    <w:rsid w:val="0089137F"/>
    <w:rsid w:val="0089442A"/>
    <w:rsid w:val="00897565"/>
    <w:rsid w:val="00897A26"/>
    <w:rsid w:val="008A0982"/>
    <w:rsid w:val="008A1163"/>
    <w:rsid w:val="008A1546"/>
    <w:rsid w:val="008A2086"/>
    <w:rsid w:val="008A28A8"/>
    <w:rsid w:val="008A3666"/>
    <w:rsid w:val="008A373A"/>
    <w:rsid w:val="008A44DF"/>
    <w:rsid w:val="008A4B9A"/>
    <w:rsid w:val="008A4DBD"/>
    <w:rsid w:val="008A545A"/>
    <w:rsid w:val="008A581D"/>
    <w:rsid w:val="008A67D4"/>
    <w:rsid w:val="008A7818"/>
    <w:rsid w:val="008A7852"/>
    <w:rsid w:val="008A7922"/>
    <w:rsid w:val="008B01E4"/>
    <w:rsid w:val="008B15D4"/>
    <w:rsid w:val="008B160B"/>
    <w:rsid w:val="008B1EAE"/>
    <w:rsid w:val="008B1F8C"/>
    <w:rsid w:val="008B237E"/>
    <w:rsid w:val="008B2401"/>
    <w:rsid w:val="008B3A18"/>
    <w:rsid w:val="008B3DED"/>
    <w:rsid w:val="008B472A"/>
    <w:rsid w:val="008B47F1"/>
    <w:rsid w:val="008B5709"/>
    <w:rsid w:val="008B5FFC"/>
    <w:rsid w:val="008B69D4"/>
    <w:rsid w:val="008B6B03"/>
    <w:rsid w:val="008B7590"/>
    <w:rsid w:val="008B7988"/>
    <w:rsid w:val="008C0122"/>
    <w:rsid w:val="008C12E5"/>
    <w:rsid w:val="008C14CA"/>
    <w:rsid w:val="008C232B"/>
    <w:rsid w:val="008C23F9"/>
    <w:rsid w:val="008C272C"/>
    <w:rsid w:val="008C2A71"/>
    <w:rsid w:val="008C3C11"/>
    <w:rsid w:val="008C469F"/>
    <w:rsid w:val="008C477B"/>
    <w:rsid w:val="008C4AEA"/>
    <w:rsid w:val="008C4E7B"/>
    <w:rsid w:val="008C5665"/>
    <w:rsid w:val="008C57D5"/>
    <w:rsid w:val="008C6CE7"/>
    <w:rsid w:val="008C79BA"/>
    <w:rsid w:val="008C7F01"/>
    <w:rsid w:val="008D0009"/>
    <w:rsid w:val="008D0056"/>
    <w:rsid w:val="008D01AC"/>
    <w:rsid w:val="008D0315"/>
    <w:rsid w:val="008D0F1F"/>
    <w:rsid w:val="008D1EAA"/>
    <w:rsid w:val="008D359D"/>
    <w:rsid w:val="008D360F"/>
    <w:rsid w:val="008D3892"/>
    <w:rsid w:val="008D38AD"/>
    <w:rsid w:val="008D54BA"/>
    <w:rsid w:val="008D5D01"/>
    <w:rsid w:val="008D60B2"/>
    <w:rsid w:val="008D63B0"/>
    <w:rsid w:val="008D6CF0"/>
    <w:rsid w:val="008D6F3F"/>
    <w:rsid w:val="008D6F8A"/>
    <w:rsid w:val="008D6FD1"/>
    <w:rsid w:val="008D71AB"/>
    <w:rsid w:val="008E03D8"/>
    <w:rsid w:val="008E17EA"/>
    <w:rsid w:val="008E1B7C"/>
    <w:rsid w:val="008E1D41"/>
    <w:rsid w:val="008E286D"/>
    <w:rsid w:val="008E3BAD"/>
    <w:rsid w:val="008E40E0"/>
    <w:rsid w:val="008E47D5"/>
    <w:rsid w:val="008E4975"/>
    <w:rsid w:val="008E50F6"/>
    <w:rsid w:val="008E7A26"/>
    <w:rsid w:val="008E7B81"/>
    <w:rsid w:val="008E7D03"/>
    <w:rsid w:val="008F0204"/>
    <w:rsid w:val="008F0500"/>
    <w:rsid w:val="008F0E1F"/>
    <w:rsid w:val="008F1D1E"/>
    <w:rsid w:val="008F3B71"/>
    <w:rsid w:val="008F4D16"/>
    <w:rsid w:val="008F53AF"/>
    <w:rsid w:val="008F63BB"/>
    <w:rsid w:val="008F63EE"/>
    <w:rsid w:val="008F6DF8"/>
    <w:rsid w:val="008F72C4"/>
    <w:rsid w:val="00901085"/>
    <w:rsid w:val="00901898"/>
    <w:rsid w:val="00901E15"/>
    <w:rsid w:val="00902991"/>
    <w:rsid w:val="00902C6A"/>
    <w:rsid w:val="0090460B"/>
    <w:rsid w:val="00904AC2"/>
    <w:rsid w:val="00904CBB"/>
    <w:rsid w:val="009056BD"/>
    <w:rsid w:val="00905B51"/>
    <w:rsid w:val="009100AE"/>
    <w:rsid w:val="009105BC"/>
    <w:rsid w:val="00910690"/>
    <w:rsid w:val="00911806"/>
    <w:rsid w:val="00911B5A"/>
    <w:rsid w:val="00911EA0"/>
    <w:rsid w:val="0091214A"/>
    <w:rsid w:val="009125D4"/>
    <w:rsid w:val="00913333"/>
    <w:rsid w:val="0091531B"/>
    <w:rsid w:val="00915D4F"/>
    <w:rsid w:val="00916252"/>
    <w:rsid w:val="0091639D"/>
    <w:rsid w:val="009166DB"/>
    <w:rsid w:val="009176F0"/>
    <w:rsid w:val="00917AAD"/>
    <w:rsid w:val="00920E64"/>
    <w:rsid w:val="00921673"/>
    <w:rsid w:val="00921A17"/>
    <w:rsid w:val="00921A38"/>
    <w:rsid w:val="00922419"/>
    <w:rsid w:val="0092436B"/>
    <w:rsid w:val="00924700"/>
    <w:rsid w:val="00924DBD"/>
    <w:rsid w:val="009258A8"/>
    <w:rsid w:val="00926FA0"/>
    <w:rsid w:val="00927354"/>
    <w:rsid w:val="00927AFB"/>
    <w:rsid w:val="00927CAA"/>
    <w:rsid w:val="0093082E"/>
    <w:rsid w:val="00930F38"/>
    <w:rsid w:val="00932477"/>
    <w:rsid w:val="009330E4"/>
    <w:rsid w:val="0093365E"/>
    <w:rsid w:val="00933B75"/>
    <w:rsid w:val="00935FA2"/>
    <w:rsid w:val="009364CB"/>
    <w:rsid w:val="00940559"/>
    <w:rsid w:val="00940733"/>
    <w:rsid w:val="00941339"/>
    <w:rsid w:val="00942FB5"/>
    <w:rsid w:val="009435C2"/>
    <w:rsid w:val="00943BBC"/>
    <w:rsid w:val="00944773"/>
    <w:rsid w:val="00944C9B"/>
    <w:rsid w:val="00946CA8"/>
    <w:rsid w:val="00947A74"/>
    <w:rsid w:val="00947C5E"/>
    <w:rsid w:val="00947F45"/>
    <w:rsid w:val="00950FF3"/>
    <w:rsid w:val="009517F8"/>
    <w:rsid w:val="00952201"/>
    <w:rsid w:val="0095272B"/>
    <w:rsid w:val="00952F49"/>
    <w:rsid w:val="009537D9"/>
    <w:rsid w:val="00953A11"/>
    <w:rsid w:val="00953E5D"/>
    <w:rsid w:val="00954162"/>
    <w:rsid w:val="009541DB"/>
    <w:rsid w:val="00954229"/>
    <w:rsid w:val="009546D7"/>
    <w:rsid w:val="00954A41"/>
    <w:rsid w:val="009557E8"/>
    <w:rsid w:val="00955F25"/>
    <w:rsid w:val="00956F34"/>
    <w:rsid w:val="0095795C"/>
    <w:rsid w:val="00957EF5"/>
    <w:rsid w:val="00960536"/>
    <w:rsid w:val="009606AD"/>
    <w:rsid w:val="009612FF"/>
    <w:rsid w:val="00961ADF"/>
    <w:rsid w:val="00961CC5"/>
    <w:rsid w:val="00962666"/>
    <w:rsid w:val="00962A58"/>
    <w:rsid w:val="00963097"/>
    <w:rsid w:val="00963F9C"/>
    <w:rsid w:val="00964947"/>
    <w:rsid w:val="0096500E"/>
    <w:rsid w:val="009657F1"/>
    <w:rsid w:val="00965932"/>
    <w:rsid w:val="00967233"/>
    <w:rsid w:val="00967265"/>
    <w:rsid w:val="0096767E"/>
    <w:rsid w:val="009703F7"/>
    <w:rsid w:val="00970B7A"/>
    <w:rsid w:val="0097333A"/>
    <w:rsid w:val="00974DC3"/>
    <w:rsid w:val="009754B9"/>
    <w:rsid w:val="00975C37"/>
    <w:rsid w:val="0097673E"/>
    <w:rsid w:val="0098004E"/>
    <w:rsid w:val="00980369"/>
    <w:rsid w:val="009813C3"/>
    <w:rsid w:val="00982CAB"/>
    <w:rsid w:val="00983FF0"/>
    <w:rsid w:val="0098413D"/>
    <w:rsid w:val="009857A5"/>
    <w:rsid w:val="00986F8E"/>
    <w:rsid w:val="0098785A"/>
    <w:rsid w:val="00987CAB"/>
    <w:rsid w:val="00987EAE"/>
    <w:rsid w:val="00991C43"/>
    <w:rsid w:val="009926EB"/>
    <w:rsid w:val="00992DFE"/>
    <w:rsid w:val="0099364A"/>
    <w:rsid w:val="00994468"/>
    <w:rsid w:val="00995094"/>
    <w:rsid w:val="0099568A"/>
    <w:rsid w:val="009964D6"/>
    <w:rsid w:val="009A02CA"/>
    <w:rsid w:val="009A0C75"/>
    <w:rsid w:val="009A14AC"/>
    <w:rsid w:val="009A17AD"/>
    <w:rsid w:val="009A184D"/>
    <w:rsid w:val="009A258C"/>
    <w:rsid w:val="009A5905"/>
    <w:rsid w:val="009A7860"/>
    <w:rsid w:val="009B03C0"/>
    <w:rsid w:val="009B0801"/>
    <w:rsid w:val="009B0CFD"/>
    <w:rsid w:val="009B0E4D"/>
    <w:rsid w:val="009B1DEF"/>
    <w:rsid w:val="009B22DC"/>
    <w:rsid w:val="009B2F5D"/>
    <w:rsid w:val="009B5178"/>
    <w:rsid w:val="009B7010"/>
    <w:rsid w:val="009B70CF"/>
    <w:rsid w:val="009B7118"/>
    <w:rsid w:val="009C1B3B"/>
    <w:rsid w:val="009C441D"/>
    <w:rsid w:val="009C4B85"/>
    <w:rsid w:val="009C4F8E"/>
    <w:rsid w:val="009C5E8C"/>
    <w:rsid w:val="009C61C1"/>
    <w:rsid w:val="009C691E"/>
    <w:rsid w:val="009C6DDC"/>
    <w:rsid w:val="009C6FCC"/>
    <w:rsid w:val="009C7566"/>
    <w:rsid w:val="009C7F91"/>
    <w:rsid w:val="009D12A6"/>
    <w:rsid w:val="009D291A"/>
    <w:rsid w:val="009D36B9"/>
    <w:rsid w:val="009D3D2B"/>
    <w:rsid w:val="009D400F"/>
    <w:rsid w:val="009D4431"/>
    <w:rsid w:val="009D4DCB"/>
    <w:rsid w:val="009D5824"/>
    <w:rsid w:val="009D5A7F"/>
    <w:rsid w:val="009D7407"/>
    <w:rsid w:val="009E0443"/>
    <w:rsid w:val="009E04D6"/>
    <w:rsid w:val="009E11B3"/>
    <w:rsid w:val="009E1F70"/>
    <w:rsid w:val="009E1F91"/>
    <w:rsid w:val="009E3F09"/>
    <w:rsid w:val="009E3FED"/>
    <w:rsid w:val="009E4DC2"/>
    <w:rsid w:val="009E6CB0"/>
    <w:rsid w:val="009E6F9C"/>
    <w:rsid w:val="009E71CA"/>
    <w:rsid w:val="009F005C"/>
    <w:rsid w:val="009F0E26"/>
    <w:rsid w:val="009F15CC"/>
    <w:rsid w:val="009F2E79"/>
    <w:rsid w:val="009F3156"/>
    <w:rsid w:val="009F37BC"/>
    <w:rsid w:val="009F421F"/>
    <w:rsid w:val="009F5598"/>
    <w:rsid w:val="009F62A1"/>
    <w:rsid w:val="009F6922"/>
    <w:rsid w:val="009F72B4"/>
    <w:rsid w:val="00A00E3D"/>
    <w:rsid w:val="00A02D3B"/>
    <w:rsid w:val="00A03243"/>
    <w:rsid w:val="00A05020"/>
    <w:rsid w:val="00A05921"/>
    <w:rsid w:val="00A05E79"/>
    <w:rsid w:val="00A06F0B"/>
    <w:rsid w:val="00A100FC"/>
    <w:rsid w:val="00A102DF"/>
    <w:rsid w:val="00A11821"/>
    <w:rsid w:val="00A11DDD"/>
    <w:rsid w:val="00A127C1"/>
    <w:rsid w:val="00A13561"/>
    <w:rsid w:val="00A14C26"/>
    <w:rsid w:val="00A161CC"/>
    <w:rsid w:val="00A17290"/>
    <w:rsid w:val="00A17587"/>
    <w:rsid w:val="00A1773E"/>
    <w:rsid w:val="00A17969"/>
    <w:rsid w:val="00A207E0"/>
    <w:rsid w:val="00A21B27"/>
    <w:rsid w:val="00A2203F"/>
    <w:rsid w:val="00A23077"/>
    <w:rsid w:val="00A23A63"/>
    <w:rsid w:val="00A2406E"/>
    <w:rsid w:val="00A255E6"/>
    <w:rsid w:val="00A258D4"/>
    <w:rsid w:val="00A25A5E"/>
    <w:rsid w:val="00A2738E"/>
    <w:rsid w:val="00A30407"/>
    <w:rsid w:val="00A31944"/>
    <w:rsid w:val="00A31DEA"/>
    <w:rsid w:val="00A328CE"/>
    <w:rsid w:val="00A3293A"/>
    <w:rsid w:val="00A338F7"/>
    <w:rsid w:val="00A349B1"/>
    <w:rsid w:val="00A358D8"/>
    <w:rsid w:val="00A36498"/>
    <w:rsid w:val="00A37D2C"/>
    <w:rsid w:val="00A40547"/>
    <w:rsid w:val="00A40EFE"/>
    <w:rsid w:val="00A4445B"/>
    <w:rsid w:val="00A44ACA"/>
    <w:rsid w:val="00A44F40"/>
    <w:rsid w:val="00A47879"/>
    <w:rsid w:val="00A47B13"/>
    <w:rsid w:val="00A50889"/>
    <w:rsid w:val="00A50CAF"/>
    <w:rsid w:val="00A50DCB"/>
    <w:rsid w:val="00A51123"/>
    <w:rsid w:val="00A51227"/>
    <w:rsid w:val="00A540A7"/>
    <w:rsid w:val="00A556E6"/>
    <w:rsid w:val="00A56CF9"/>
    <w:rsid w:val="00A573C7"/>
    <w:rsid w:val="00A57D0C"/>
    <w:rsid w:val="00A608C1"/>
    <w:rsid w:val="00A60E07"/>
    <w:rsid w:val="00A61E1E"/>
    <w:rsid w:val="00A62E16"/>
    <w:rsid w:val="00A63739"/>
    <w:rsid w:val="00A641B5"/>
    <w:rsid w:val="00A64891"/>
    <w:rsid w:val="00A6495E"/>
    <w:rsid w:val="00A64C1E"/>
    <w:rsid w:val="00A65306"/>
    <w:rsid w:val="00A66FF6"/>
    <w:rsid w:val="00A67A47"/>
    <w:rsid w:val="00A67E39"/>
    <w:rsid w:val="00A707B9"/>
    <w:rsid w:val="00A70EB2"/>
    <w:rsid w:val="00A727DA"/>
    <w:rsid w:val="00A72BF6"/>
    <w:rsid w:val="00A7325A"/>
    <w:rsid w:val="00A748CB"/>
    <w:rsid w:val="00A77238"/>
    <w:rsid w:val="00A77A7E"/>
    <w:rsid w:val="00A8128B"/>
    <w:rsid w:val="00A81F2C"/>
    <w:rsid w:val="00A8202F"/>
    <w:rsid w:val="00A8242E"/>
    <w:rsid w:val="00A835F3"/>
    <w:rsid w:val="00A844E2"/>
    <w:rsid w:val="00A84C91"/>
    <w:rsid w:val="00A864FD"/>
    <w:rsid w:val="00A904B8"/>
    <w:rsid w:val="00A9091D"/>
    <w:rsid w:val="00A9132F"/>
    <w:rsid w:val="00A9160E"/>
    <w:rsid w:val="00A92561"/>
    <w:rsid w:val="00A92FFA"/>
    <w:rsid w:val="00A94960"/>
    <w:rsid w:val="00A94BC8"/>
    <w:rsid w:val="00A94EB2"/>
    <w:rsid w:val="00A95FAE"/>
    <w:rsid w:val="00A9621C"/>
    <w:rsid w:val="00A96F69"/>
    <w:rsid w:val="00A97724"/>
    <w:rsid w:val="00A97949"/>
    <w:rsid w:val="00AA0FD0"/>
    <w:rsid w:val="00AA12A5"/>
    <w:rsid w:val="00AA1F32"/>
    <w:rsid w:val="00AA2D1C"/>
    <w:rsid w:val="00AA422C"/>
    <w:rsid w:val="00AA4AD0"/>
    <w:rsid w:val="00AA4C21"/>
    <w:rsid w:val="00AA4E96"/>
    <w:rsid w:val="00AA550E"/>
    <w:rsid w:val="00AA5D09"/>
    <w:rsid w:val="00AA6BF9"/>
    <w:rsid w:val="00AA6FE5"/>
    <w:rsid w:val="00AB0D9A"/>
    <w:rsid w:val="00AB1365"/>
    <w:rsid w:val="00AB147D"/>
    <w:rsid w:val="00AB1636"/>
    <w:rsid w:val="00AB2328"/>
    <w:rsid w:val="00AB40BD"/>
    <w:rsid w:val="00AB432C"/>
    <w:rsid w:val="00AB4DE8"/>
    <w:rsid w:val="00AB4EDB"/>
    <w:rsid w:val="00AB514E"/>
    <w:rsid w:val="00AB53EE"/>
    <w:rsid w:val="00AB567C"/>
    <w:rsid w:val="00AB6273"/>
    <w:rsid w:val="00AB7022"/>
    <w:rsid w:val="00AB7BA9"/>
    <w:rsid w:val="00AB7DDD"/>
    <w:rsid w:val="00AB7E9D"/>
    <w:rsid w:val="00AC051D"/>
    <w:rsid w:val="00AC0A47"/>
    <w:rsid w:val="00AC0FBC"/>
    <w:rsid w:val="00AC15D3"/>
    <w:rsid w:val="00AC2F84"/>
    <w:rsid w:val="00AC363C"/>
    <w:rsid w:val="00AC44D2"/>
    <w:rsid w:val="00AC4662"/>
    <w:rsid w:val="00AC4919"/>
    <w:rsid w:val="00AC6E71"/>
    <w:rsid w:val="00AC70A7"/>
    <w:rsid w:val="00AC7D73"/>
    <w:rsid w:val="00AD0085"/>
    <w:rsid w:val="00AD175F"/>
    <w:rsid w:val="00AD17A9"/>
    <w:rsid w:val="00AD1BBC"/>
    <w:rsid w:val="00AD2A3F"/>
    <w:rsid w:val="00AD338D"/>
    <w:rsid w:val="00AD4F75"/>
    <w:rsid w:val="00AD63A7"/>
    <w:rsid w:val="00AD6E91"/>
    <w:rsid w:val="00AD6F07"/>
    <w:rsid w:val="00AD755B"/>
    <w:rsid w:val="00AD75C4"/>
    <w:rsid w:val="00AE041C"/>
    <w:rsid w:val="00AE07CB"/>
    <w:rsid w:val="00AE08FB"/>
    <w:rsid w:val="00AE1980"/>
    <w:rsid w:val="00AE2BC3"/>
    <w:rsid w:val="00AE3E79"/>
    <w:rsid w:val="00AE424F"/>
    <w:rsid w:val="00AE5FE8"/>
    <w:rsid w:val="00AE6001"/>
    <w:rsid w:val="00AE696B"/>
    <w:rsid w:val="00AE7072"/>
    <w:rsid w:val="00AE7AAF"/>
    <w:rsid w:val="00AE7AED"/>
    <w:rsid w:val="00AF2088"/>
    <w:rsid w:val="00AF49FB"/>
    <w:rsid w:val="00AF5D3F"/>
    <w:rsid w:val="00AF6346"/>
    <w:rsid w:val="00AF76D2"/>
    <w:rsid w:val="00AF7964"/>
    <w:rsid w:val="00B013AB"/>
    <w:rsid w:val="00B019C4"/>
    <w:rsid w:val="00B01CD9"/>
    <w:rsid w:val="00B01F37"/>
    <w:rsid w:val="00B0286E"/>
    <w:rsid w:val="00B03144"/>
    <w:rsid w:val="00B0410A"/>
    <w:rsid w:val="00B043D6"/>
    <w:rsid w:val="00B04BB3"/>
    <w:rsid w:val="00B058BE"/>
    <w:rsid w:val="00B05E5B"/>
    <w:rsid w:val="00B0605D"/>
    <w:rsid w:val="00B070E2"/>
    <w:rsid w:val="00B0782C"/>
    <w:rsid w:val="00B07B68"/>
    <w:rsid w:val="00B100F7"/>
    <w:rsid w:val="00B10157"/>
    <w:rsid w:val="00B10B33"/>
    <w:rsid w:val="00B16136"/>
    <w:rsid w:val="00B16845"/>
    <w:rsid w:val="00B16907"/>
    <w:rsid w:val="00B16B54"/>
    <w:rsid w:val="00B17272"/>
    <w:rsid w:val="00B20B9C"/>
    <w:rsid w:val="00B20DF8"/>
    <w:rsid w:val="00B213E2"/>
    <w:rsid w:val="00B21A34"/>
    <w:rsid w:val="00B2280E"/>
    <w:rsid w:val="00B22DC4"/>
    <w:rsid w:val="00B23995"/>
    <w:rsid w:val="00B25074"/>
    <w:rsid w:val="00B25378"/>
    <w:rsid w:val="00B256D0"/>
    <w:rsid w:val="00B25C7C"/>
    <w:rsid w:val="00B26825"/>
    <w:rsid w:val="00B26A7C"/>
    <w:rsid w:val="00B308FA"/>
    <w:rsid w:val="00B31D28"/>
    <w:rsid w:val="00B3259E"/>
    <w:rsid w:val="00B341F3"/>
    <w:rsid w:val="00B34B69"/>
    <w:rsid w:val="00B3575F"/>
    <w:rsid w:val="00B35881"/>
    <w:rsid w:val="00B36426"/>
    <w:rsid w:val="00B36568"/>
    <w:rsid w:val="00B36CD0"/>
    <w:rsid w:val="00B42493"/>
    <w:rsid w:val="00B42A70"/>
    <w:rsid w:val="00B431E7"/>
    <w:rsid w:val="00B4356C"/>
    <w:rsid w:val="00B44D59"/>
    <w:rsid w:val="00B45147"/>
    <w:rsid w:val="00B454E9"/>
    <w:rsid w:val="00B516D8"/>
    <w:rsid w:val="00B54858"/>
    <w:rsid w:val="00B54B49"/>
    <w:rsid w:val="00B54D6F"/>
    <w:rsid w:val="00B54EB0"/>
    <w:rsid w:val="00B5501C"/>
    <w:rsid w:val="00B55987"/>
    <w:rsid w:val="00B55EFE"/>
    <w:rsid w:val="00B56411"/>
    <w:rsid w:val="00B5697D"/>
    <w:rsid w:val="00B56E8E"/>
    <w:rsid w:val="00B570C3"/>
    <w:rsid w:val="00B57C32"/>
    <w:rsid w:val="00B619C8"/>
    <w:rsid w:val="00B62699"/>
    <w:rsid w:val="00B63023"/>
    <w:rsid w:val="00B63483"/>
    <w:rsid w:val="00B634FD"/>
    <w:rsid w:val="00B63D97"/>
    <w:rsid w:val="00B6449F"/>
    <w:rsid w:val="00B64806"/>
    <w:rsid w:val="00B64DC9"/>
    <w:rsid w:val="00B66AC0"/>
    <w:rsid w:val="00B67151"/>
    <w:rsid w:val="00B70140"/>
    <w:rsid w:val="00B704E2"/>
    <w:rsid w:val="00B7065B"/>
    <w:rsid w:val="00B70802"/>
    <w:rsid w:val="00B70AC2"/>
    <w:rsid w:val="00B70B08"/>
    <w:rsid w:val="00B70B79"/>
    <w:rsid w:val="00B718A7"/>
    <w:rsid w:val="00B72081"/>
    <w:rsid w:val="00B7481C"/>
    <w:rsid w:val="00B75F55"/>
    <w:rsid w:val="00B76C9F"/>
    <w:rsid w:val="00B77E75"/>
    <w:rsid w:val="00B8005C"/>
    <w:rsid w:val="00B8132F"/>
    <w:rsid w:val="00B832F9"/>
    <w:rsid w:val="00B83ADA"/>
    <w:rsid w:val="00B862C9"/>
    <w:rsid w:val="00B87BA3"/>
    <w:rsid w:val="00B90288"/>
    <w:rsid w:val="00B90E74"/>
    <w:rsid w:val="00B9121C"/>
    <w:rsid w:val="00B91363"/>
    <w:rsid w:val="00B92DAF"/>
    <w:rsid w:val="00B93632"/>
    <w:rsid w:val="00B954E9"/>
    <w:rsid w:val="00B955C6"/>
    <w:rsid w:val="00B95A93"/>
    <w:rsid w:val="00B95E46"/>
    <w:rsid w:val="00B9641A"/>
    <w:rsid w:val="00B966FA"/>
    <w:rsid w:val="00B972F8"/>
    <w:rsid w:val="00B97A7B"/>
    <w:rsid w:val="00BA100F"/>
    <w:rsid w:val="00BA11C1"/>
    <w:rsid w:val="00BA1509"/>
    <w:rsid w:val="00BA1BDD"/>
    <w:rsid w:val="00BA283C"/>
    <w:rsid w:val="00BA3C81"/>
    <w:rsid w:val="00BA5F0B"/>
    <w:rsid w:val="00BA6934"/>
    <w:rsid w:val="00BA6CBE"/>
    <w:rsid w:val="00BA742E"/>
    <w:rsid w:val="00BB0111"/>
    <w:rsid w:val="00BB02FD"/>
    <w:rsid w:val="00BB11FC"/>
    <w:rsid w:val="00BB1435"/>
    <w:rsid w:val="00BB14FB"/>
    <w:rsid w:val="00BB3408"/>
    <w:rsid w:val="00BB427D"/>
    <w:rsid w:val="00BB4478"/>
    <w:rsid w:val="00BB4C7F"/>
    <w:rsid w:val="00BB666C"/>
    <w:rsid w:val="00BB73BB"/>
    <w:rsid w:val="00BB75D6"/>
    <w:rsid w:val="00BB79FA"/>
    <w:rsid w:val="00BC06B4"/>
    <w:rsid w:val="00BC1ECE"/>
    <w:rsid w:val="00BC4033"/>
    <w:rsid w:val="00BC5BF3"/>
    <w:rsid w:val="00BC6EE8"/>
    <w:rsid w:val="00BC73BF"/>
    <w:rsid w:val="00BC79BC"/>
    <w:rsid w:val="00BC7B53"/>
    <w:rsid w:val="00BD0FF9"/>
    <w:rsid w:val="00BD2167"/>
    <w:rsid w:val="00BD296B"/>
    <w:rsid w:val="00BD3B31"/>
    <w:rsid w:val="00BD3E71"/>
    <w:rsid w:val="00BD48FF"/>
    <w:rsid w:val="00BD54E6"/>
    <w:rsid w:val="00BD6F32"/>
    <w:rsid w:val="00BD734F"/>
    <w:rsid w:val="00BE34C2"/>
    <w:rsid w:val="00BE376D"/>
    <w:rsid w:val="00BE5FD1"/>
    <w:rsid w:val="00BE60A5"/>
    <w:rsid w:val="00BF011A"/>
    <w:rsid w:val="00BF09E7"/>
    <w:rsid w:val="00BF162D"/>
    <w:rsid w:val="00BF21B9"/>
    <w:rsid w:val="00BF2620"/>
    <w:rsid w:val="00BF3363"/>
    <w:rsid w:val="00BF3655"/>
    <w:rsid w:val="00BF37AE"/>
    <w:rsid w:val="00BF7A0C"/>
    <w:rsid w:val="00C03DB8"/>
    <w:rsid w:val="00C04078"/>
    <w:rsid w:val="00C040AB"/>
    <w:rsid w:val="00C04ED5"/>
    <w:rsid w:val="00C05357"/>
    <w:rsid w:val="00C0602E"/>
    <w:rsid w:val="00C0657E"/>
    <w:rsid w:val="00C07D43"/>
    <w:rsid w:val="00C101E6"/>
    <w:rsid w:val="00C10A60"/>
    <w:rsid w:val="00C11454"/>
    <w:rsid w:val="00C133FA"/>
    <w:rsid w:val="00C136B4"/>
    <w:rsid w:val="00C139BB"/>
    <w:rsid w:val="00C13D1C"/>
    <w:rsid w:val="00C141A0"/>
    <w:rsid w:val="00C14381"/>
    <w:rsid w:val="00C151D0"/>
    <w:rsid w:val="00C1798E"/>
    <w:rsid w:val="00C21F0C"/>
    <w:rsid w:val="00C22F86"/>
    <w:rsid w:val="00C232AE"/>
    <w:rsid w:val="00C2363E"/>
    <w:rsid w:val="00C23B60"/>
    <w:rsid w:val="00C25E42"/>
    <w:rsid w:val="00C26422"/>
    <w:rsid w:val="00C26B34"/>
    <w:rsid w:val="00C3125B"/>
    <w:rsid w:val="00C31734"/>
    <w:rsid w:val="00C3220A"/>
    <w:rsid w:val="00C32373"/>
    <w:rsid w:val="00C33376"/>
    <w:rsid w:val="00C33460"/>
    <w:rsid w:val="00C33AF7"/>
    <w:rsid w:val="00C34BD8"/>
    <w:rsid w:val="00C351DC"/>
    <w:rsid w:val="00C35AD2"/>
    <w:rsid w:val="00C35BE6"/>
    <w:rsid w:val="00C37983"/>
    <w:rsid w:val="00C40F82"/>
    <w:rsid w:val="00C41BE5"/>
    <w:rsid w:val="00C42D55"/>
    <w:rsid w:val="00C431CD"/>
    <w:rsid w:val="00C43606"/>
    <w:rsid w:val="00C43838"/>
    <w:rsid w:val="00C43884"/>
    <w:rsid w:val="00C445F9"/>
    <w:rsid w:val="00C456DA"/>
    <w:rsid w:val="00C46C41"/>
    <w:rsid w:val="00C5160E"/>
    <w:rsid w:val="00C5300B"/>
    <w:rsid w:val="00C563CE"/>
    <w:rsid w:val="00C56AE7"/>
    <w:rsid w:val="00C57B8D"/>
    <w:rsid w:val="00C61083"/>
    <w:rsid w:val="00C618C8"/>
    <w:rsid w:val="00C623F6"/>
    <w:rsid w:val="00C62448"/>
    <w:rsid w:val="00C6370D"/>
    <w:rsid w:val="00C64FDA"/>
    <w:rsid w:val="00C6594D"/>
    <w:rsid w:val="00C65B7D"/>
    <w:rsid w:val="00C67F8C"/>
    <w:rsid w:val="00C7040E"/>
    <w:rsid w:val="00C70DAD"/>
    <w:rsid w:val="00C71A87"/>
    <w:rsid w:val="00C71DF6"/>
    <w:rsid w:val="00C72EE1"/>
    <w:rsid w:val="00C73820"/>
    <w:rsid w:val="00C741C5"/>
    <w:rsid w:val="00C751F8"/>
    <w:rsid w:val="00C761AC"/>
    <w:rsid w:val="00C81932"/>
    <w:rsid w:val="00C8198B"/>
    <w:rsid w:val="00C81CB6"/>
    <w:rsid w:val="00C82792"/>
    <w:rsid w:val="00C82CEC"/>
    <w:rsid w:val="00C839A5"/>
    <w:rsid w:val="00C83A53"/>
    <w:rsid w:val="00C86E5B"/>
    <w:rsid w:val="00C87012"/>
    <w:rsid w:val="00C8751F"/>
    <w:rsid w:val="00C87D64"/>
    <w:rsid w:val="00C91314"/>
    <w:rsid w:val="00C91C8E"/>
    <w:rsid w:val="00C91CF7"/>
    <w:rsid w:val="00C91DE6"/>
    <w:rsid w:val="00C92690"/>
    <w:rsid w:val="00C92C3A"/>
    <w:rsid w:val="00C9321A"/>
    <w:rsid w:val="00C946A0"/>
    <w:rsid w:val="00C94A74"/>
    <w:rsid w:val="00C9553C"/>
    <w:rsid w:val="00C957DC"/>
    <w:rsid w:val="00C95885"/>
    <w:rsid w:val="00C95997"/>
    <w:rsid w:val="00C95D47"/>
    <w:rsid w:val="00C95F37"/>
    <w:rsid w:val="00C96655"/>
    <w:rsid w:val="00C96CEF"/>
    <w:rsid w:val="00C97427"/>
    <w:rsid w:val="00CA0CBD"/>
    <w:rsid w:val="00CA1222"/>
    <w:rsid w:val="00CA133F"/>
    <w:rsid w:val="00CA1699"/>
    <w:rsid w:val="00CA2588"/>
    <w:rsid w:val="00CA2B4C"/>
    <w:rsid w:val="00CA3751"/>
    <w:rsid w:val="00CA66B9"/>
    <w:rsid w:val="00CA7A13"/>
    <w:rsid w:val="00CB0BDC"/>
    <w:rsid w:val="00CB1F27"/>
    <w:rsid w:val="00CB3A82"/>
    <w:rsid w:val="00CB4065"/>
    <w:rsid w:val="00CB476C"/>
    <w:rsid w:val="00CB4BA8"/>
    <w:rsid w:val="00CB69B0"/>
    <w:rsid w:val="00CB7F73"/>
    <w:rsid w:val="00CC0069"/>
    <w:rsid w:val="00CC0A0B"/>
    <w:rsid w:val="00CC141E"/>
    <w:rsid w:val="00CC147C"/>
    <w:rsid w:val="00CC14A9"/>
    <w:rsid w:val="00CC155B"/>
    <w:rsid w:val="00CC173E"/>
    <w:rsid w:val="00CC29E3"/>
    <w:rsid w:val="00CC2F5E"/>
    <w:rsid w:val="00CC32F1"/>
    <w:rsid w:val="00CC3445"/>
    <w:rsid w:val="00CC51E9"/>
    <w:rsid w:val="00CC5882"/>
    <w:rsid w:val="00CC5D52"/>
    <w:rsid w:val="00CC6871"/>
    <w:rsid w:val="00CC7A17"/>
    <w:rsid w:val="00CD0531"/>
    <w:rsid w:val="00CD08B8"/>
    <w:rsid w:val="00CD1285"/>
    <w:rsid w:val="00CD1325"/>
    <w:rsid w:val="00CD2302"/>
    <w:rsid w:val="00CD2AE8"/>
    <w:rsid w:val="00CD4490"/>
    <w:rsid w:val="00CD6055"/>
    <w:rsid w:val="00CD61A5"/>
    <w:rsid w:val="00CD6822"/>
    <w:rsid w:val="00CD74FB"/>
    <w:rsid w:val="00CD77C8"/>
    <w:rsid w:val="00CD7900"/>
    <w:rsid w:val="00CD79E4"/>
    <w:rsid w:val="00CD7DCE"/>
    <w:rsid w:val="00CD7F3C"/>
    <w:rsid w:val="00CE1897"/>
    <w:rsid w:val="00CE1D60"/>
    <w:rsid w:val="00CE325F"/>
    <w:rsid w:val="00CE4957"/>
    <w:rsid w:val="00CE5B7A"/>
    <w:rsid w:val="00CE5C28"/>
    <w:rsid w:val="00CE67E5"/>
    <w:rsid w:val="00CE6CCB"/>
    <w:rsid w:val="00CE76C2"/>
    <w:rsid w:val="00CE7D45"/>
    <w:rsid w:val="00CF00D6"/>
    <w:rsid w:val="00CF35C9"/>
    <w:rsid w:val="00CF370E"/>
    <w:rsid w:val="00CF373E"/>
    <w:rsid w:val="00CF5BAE"/>
    <w:rsid w:val="00CF6286"/>
    <w:rsid w:val="00D0030B"/>
    <w:rsid w:val="00D00574"/>
    <w:rsid w:val="00D016B9"/>
    <w:rsid w:val="00D017C5"/>
    <w:rsid w:val="00D01A30"/>
    <w:rsid w:val="00D02075"/>
    <w:rsid w:val="00D023DB"/>
    <w:rsid w:val="00D0359E"/>
    <w:rsid w:val="00D050ED"/>
    <w:rsid w:val="00D05620"/>
    <w:rsid w:val="00D056DD"/>
    <w:rsid w:val="00D06DB7"/>
    <w:rsid w:val="00D103EA"/>
    <w:rsid w:val="00D10BF6"/>
    <w:rsid w:val="00D129B4"/>
    <w:rsid w:val="00D12D70"/>
    <w:rsid w:val="00D13F68"/>
    <w:rsid w:val="00D15A69"/>
    <w:rsid w:val="00D1607B"/>
    <w:rsid w:val="00D175F3"/>
    <w:rsid w:val="00D17797"/>
    <w:rsid w:val="00D17E02"/>
    <w:rsid w:val="00D20F5D"/>
    <w:rsid w:val="00D21594"/>
    <w:rsid w:val="00D21885"/>
    <w:rsid w:val="00D21CE8"/>
    <w:rsid w:val="00D2325A"/>
    <w:rsid w:val="00D232B4"/>
    <w:rsid w:val="00D238C0"/>
    <w:rsid w:val="00D23B3C"/>
    <w:rsid w:val="00D24ADB"/>
    <w:rsid w:val="00D265BE"/>
    <w:rsid w:val="00D27E9D"/>
    <w:rsid w:val="00D27F0B"/>
    <w:rsid w:val="00D31688"/>
    <w:rsid w:val="00D323DB"/>
    <w:rsid w:val="00D346AC"/>
    <w:rsid w:val="00D35155"/>
    <w:rsid w:val="00D36607"/>
    <w:rsid w:val="00D36712"/>
    <w:rsid w:val="00D37105"/>
    <w:rsid w:val="00D37585"/>
    <w:rsid w:val="00D37BCC"/>
    <w:rsid w:val="00D37BE1"/>
    <w:rsid w:val="00D401AF"/>
    <w:rsid w:val="00D405E5"/>
    <w:rsid w:val="00D417F2"/>
    <w:rsid w:val="00D41869"/>
    <w:rsid w:val="00D419BF"/>
    <w:rsid w:val="00D42E81"/>
    <w:rsid w:val="00D43FD0"/>
    <w:rsid w:val="00D4544F"/>
    <w:rsid w:val="00D46B9E"/>
    <w:rsid w:val="00D47F21"/>
    <w:rsid w:val="00D50317"/>
    <w:rsid w:val="00D50528"/>
    <w:rsid w:val="00D50AA0"/>
    <w:rsid w:val="00D50AFE"/>
    <w:rsid w:val="00D50F2F"/>
    <w:rsid w:val="00D50F7D"/>
    <w:rsid w:val="00D51BC8"/>
    <w:rsid w:val="00D51D80"/>
    <w:rsid w:val="00D51F71"/>
    <w:rsid w:val="00D5375E"/>
    <w:rsid w:val="00D53D99"/>
    <w:rsid w:val="00D542F0"/>
    <w:rsid w:val="00D55357"/>
    <w:rsid w:val="00D56102"/>
    <w:rsid w:val="00D573A1"/>
    <w:rsid w:val="00D57BAA"/>
    <w:rsid w:val="00D60347"/>
    <w:rsid w:val="00D61A0A"/>
    <w:rsid w:val="00D628BD"/>
    <w:rsid w:val="00D62AD4"/>
    <w:rsid w:val="00D62DF7"/>
    <w:rsid w:val="00D638B3"/>
    <w:rsid w:val="00D64701"/>
    <w:rsid w:val="00D661BB"/>
    <w:rsid w:val="00D6706D"/>
    <w:rsid w:val="00D678E6"/>
    <w:rsid w:val="00D70372"/>
    <w:rsid w:val="00D71314"/>
    <w:rsid w:val="00D71446"/>
    <w:rsid w:val="00D71D1A"/>
    <w:rsid w:val="00D72D26"/>
    <w:rsid w:val="00D73717"/>
    <w:rsid w:val="00D738D0"/>
    <w:rsid w:val="00D74785"/>
    <w:rsid w:val="00D7484E"/>
    <w:rsid w:val="00D74E19"/>
    <w:rsid w:val="00D74E7A"/>
    <w:rsid w:val="00D757DA"/>
    <w:rsid w:val="00D759D2"/>
    <w:rsid w:val="00D76193"/>
    <w:rsid w:val="00D77937"/>
    <w:rsid w:val="00D77985"/>
    <w:rsid w:val="00D77B7B"/>
    <w:rsid w:val="00D8024A"/>
    <w:rsid w:val="00D808C6"/>
    <w:rsid w:val="00D811BF"/>
    <w:rsid w:val="00D81471"/>
    <w:rsid w:val="00D81507"/>
    <w:rsid w:val="00D81D6D"/>
    <w:rsid w:val="00D820BA"/>
    <w:rsid w:val="00D823D1"/>
    <w:rsid w:val="00D82797"/>
    <w:rsid w:val="00D82957"/>
    <w:rsid w:val="00D8297E"/>
    <w:rsid w:val="00D830E1"/>
    <w:rsid w:val="00D84312"/>
    <w:rsid w:val="00D84F23"/>
    <w:rsid w:val="00D85A44"/>
    <w:rsid w:val="00D87E85"/>
    <w:rsid w:val="00D9047D"/>
    <w:rsid w:val="00D90A40"/>
    <w:rsid w:val="00D90A5E"/>
    <w:rsid w:val="00D91134"/>
    <w:rsid w:val="00D913EB"/>
    <w:rsid w:val="00D91EBE"/>
    <w:rsid w:val="00D94488"/>
    <w:rsid w:val="00D94C8A"/>
    <w:rsid w:val="00D95247"/>
    <w:rsid w:val="00D95842"/>
    <w:rsid w:val="00D95E11"/>
    <w:rsid w:val="00D96FE8"/>
    <w:rsid w:val="00D9725A"/>
    <w:rsid w:val="00D976DD"/>
    <w:rsid w:val="00DA0B5B"/>
    <w:rsid w:val="00DA0F7B"/>
    <w:rsid w:val="00DA157C"/>
    <w:rsid w:val="00DA2352"/>
    <w:rsid w:val="00DA2AE4"/>
    <w:rsid w:val="00DA3621"/>
    <w:rsid w:val="00DA466A"/>
    <w:rsid w:val="00DA482E"/>
    <w:rsid w:val="00DA4B22"/>
    <w:rsid w:val="00DA50C9"/>
    <w:rsid w:val="00DA5D50"/>
    <w:rsid w:val="00DB0311"/>
    <w:rsid w:val="00DB0482"/>
    <w:rsid w:val="00DB0A58"/>
    <w:rsid w:val="00DB0F0E"/>
    <w:rsid w:val="00DB0FDF"/>
    <w:rsid w:val="00DB1B6A"/>
    <w:rsid w:val="00DB226D"/>
    <w:rsid w:val="00DB3011"/>
    <w:rsid w:val="00DB3097"/>
    <w:rsid w:val="00DB3723"/>
    <w:rsid w:val="00DB4694"/>
    <w:rsid w:val="00DB48A4"/>
    <w:rsid w:val="00DB56C9"/>
    <w:rsid w:val="00DB5AE7"/>
    <w:rsid w:val="00DB6152"/>
    <w:rsid w:val="00DB7357"/>
    <w:rsid w:val="00DB73CC"/>
    <w:rsid w:val="00DC06B5"/>
    <w:rsid w:val="00DC0DA9"/>
    <w:rsid w:val="00DC2C89"/>
    <w:rsid w:val="00DC3224"/>
    <w:rsid w:val="00DC4577"/>
    <w:rsid w:val="00DC4C42"/>
    <w:rsid w:val="00DC6B1D"/>
    <w:rsid w:val="00DC7BC3"/>
    <w:rsid w:val="00DD0C20"/>
    <w:rsid w:val="00DD0C2E"/>
    <w:rsid w:val="00DD12DF"/>
    <w:rsid w:val="00DD1C70"/>
    <w:rsid w:val="00DD28F0"/>
    <w:rsid w:val="00DD2950"/>
    <w:rsid w:val="00DD403C"/>
    <w:rsid w:val="00DD4746"/>
    <w:rsid w:val="00DD5544"/>
    <w:rsid w:val="00DD59FE"/>
    <w:rsid w:val="00DD5B89"/>
    <w:rsid w:val="00DD636C"/>
    <w:rsid w:val="00DD6D8E"/>
    <w:rsid w:val="00DD76D6"/>
    <w:rsid w:val="00DD790C"/>
    <w:rsid w:val="00DD79A1"/>
    <w:rsid w:val="00DE011A"/>
    <w:rsid w:val="00DE1ACD"/>
    <w:rsid w:val="00DE1B8A"/>
    <w:rsid w:val="00DE24D0"/>
    <w:rsid w:val="00DE3D71"/>
    <w:rsid w:val="00DE4AC6"/>
    <w:rsid w:val="00DE5976"/>
    <w:rsid w:val="00DE6C0E"/>
    <w:rsid w:val="00DE79BB"/>
    <w:rsid w:val="00DF1EFD"/>
    <w:rsid w:val="00DF3E25"/>
    <w:rsid w:val="00DF4177"/>
    <w:rsid w:val="00DF6AEB"/>
    <w:rsid w:val="00DF72F1"/>
    <w:rsid w:val="00E001E4"/>
    <w:rsid w:val="00E0339D"/>
    <w:rsid w:val="00E03B4A"/>
    <w:rsid w:val="00E051DD"/>
    <w:rsid w:val="00E05571"/>
    <w:rsid w:val="00E05640"/>
    <w:rsid w:val="00E06E82"/>
    <w:rsid w:val="00E07123"/>
    <w:rsid w:val="00E11133"/>
    <w:rsid w:val="00E113C1"/>
    <w:rsid w:val="00E117BC"/>
    <w:rsid w:val="00E11805"/>
    <w:rsid w:val="00E11FE0"/>
    <w:rsid w:val="00E141F8"/>
    <w:rsid w:val="00E156D5"/>
    <w:rsid w:val="00E17268"/>
    <w:rsid w:val="00E17EC4"/>
    <w:rsid w:val="00E17FD4"/>
    <w:rsid w:val="00E21758"/>
    <w:rsid w:val="00E21BCB"/>
    <w:rsid w:val="00E24E5D"/>
    <w:rsid w:val="00E25CD9"/>
    <w:rsid w:val="00E25E4F"/>
    <w:rsid w:val="00E315C0"/>
    <w:rsid w:val="00E31FE9"/>
    <w:rsid w:val="00E3338A"/>
    <w:rsid w:val="00E33811"/>
    <w:rsid w:val="00E33B4B"/>
    <w:rsid w:val="00E34D3D"/>
    <w:rsid w:val="00E3542D"/>
    <w:rsid w:val="00E37590"/>
    <w:rsid w:val="00E377E1"/>
    <w:rsid w:val="00E37C0F"/>
    <w:rsid w:val="00E4161C"/>
    <w:rsid w:val="00E41804"/>
    <w:rsid w:val="00E41FC2"/>
    <w:rsid w:val="00E449C8"/>
    <w:rsid w:val="00E459F3"/>
    <w:rsid w:val="00E45C71"/>
    <w:rsid w:val="00E4724B"/>
    <w:rsid w:val="00E51201"/>
    <w:rsid w:val="00E52B87"/>
    <w:rsid w:val="00E535F1"/>
    <w:rsid w:val="00E53A85"/>
    <w:rsid w:val="00E53E48"/>
    <w:rsid w:val="00E54C96"/>
    <w:rsid w:val="00E564E4"/>
    <w:rsid w:val="00E56674"/>
    <w:rsid w:val="00E56850"/>
    <w:rsid w:val="00E56D4A"/>
    <w:rsid w:val="00E5716F"/>
    <w:rsid w:val="00E5772F"/>
    <w:rsid w:val="00E601D6"/>
    <w:rsid w:val="00E6131A"/>
    <w:rsid w:val="00E62E47"/>
    <w:rsid w:val="00E63AD4"/>
    <w:rsid w:val="00E6444B"/>
    <w:rsid w:val="00E64E47"/>
    <w:rsid w:val="00E65CF4"/>
    <w:rsid w:val="00E67630"/>
    <w:rsid w:val="00E7078D"/>
    <w:rsid w:val="00E7090F"/>
    <w:rsid w:val="00E712BE"/>
    <w:rsid w:val="00E72840"/>
    <w:rsid w:val="00E73011"/>
    <w:rsid w:val="00E739F8"/>
    <w:rsid w:val="00E73D88"/>
    <w:rsid w:val="00E73FA2"/>
    <w:rsid w:val="00E7457B"/>
    <w:rsid w:val="00E756E6"/>
    <w:rsid w:val="00E76A02"/>
    <w:rsid w:val="00E76E67"/>
    <w:rsid w:val="00E7759F"/>
    <w:rsid w:val="00E821CD"/>
    <w:rsid w:val="00E83280"/>
    <w:rsid w:val="00E83596"/>
    <w:rsid w:val="00E83C4E"/>
    <w:rsid w:val="00E84729"/>
    <w:rsid w:val="00E851E5"/>
    <w:rsid w:val="00E86E11"/>
    <w:rsid w:val="00E9002B"/>
    <w:rsid w:val="00E90184"/>
    <w:rsid w:val="00E90B6F"/>
    <w:rsid w:val="00E9130C"/>
    <w:rsid w:val="00E94159"/>
    <w:rsid w:val="00E942A1"/>
    <w:rsid w:val="00E9551F"/>
    <w:rsid w:val="00E95CED"/>
    <w:rsid w:val="00E96194"/>
    <w:rsid w:val="00E96659"/>
    <w:rsid w:val="00E96667"/>
    <w:rsid w:val="00E97933"/>
    <w:rsid w:val="00E9796D"/>
    <w:rsid w:val="00EA00B8"/>
    <w:rsid w:val="00EA1E07"/>
    <w:rsid w:val="00EA2D09"/>
    <w:rsid w:val="00EA4091"/>
    <w:rsid w:val="00EA4DAA"/>
    <w:rsid w:val="00EA552F"/>
    <w:rsid w:val="00EA6DE2"/>
    <w:rsid w:val="00EA761A"/>
    <w:rsid w:val="00EA76C1"/>
    <w:rsid w:val="00EA77AF"/>
    <w:rsid w:val="00EA79F1"/>
    <w:rsid w:val="00EB01F4"/>
    <w:rsid w:val="00EB034C"/>
    <w:rsid w:val="00EB0458"/>
    <w:rsid w:val="00EB0940"/>
    <w:rsid w:val="00EB1295"/>
    <w:rsid w:val="00EB16EA"/>
    <w:rsid w:val="00EB2236"/>
    <w:rsid w:val="00EB3DBA"/>
    <w:rsid w:val="00EB4FE9"/>
    <w:rsid w:val="00EB5709"/>
    <w:rsid w:val="00EB67CA"/>
    <w:rsid w:val="00EB737A"/>
    <w:rsid w:val="00EB7A2F"/>
    <w:rsid w:val="00EB7AD7"/>
    <w:rsid w:val="00EC030C"/>
    <w:rsid w:val="00EC1565"/>
    <w:rsid w:val="00EC2DDB"/>
    <w:rsid w:val="00EC325F"/>
    <w:rsid w:val="00EC35FE"/>
    <w:rsid w:val="00EC51BF"/>
    <w:rsid w:val="00EC688C"/>
    <w:rsid w:val="00EC7C30"/>
    <w:rsid w:val="00ED01FF"/>
    <w:rsid w:val="00ED0B3B"/>
    <w:rsid w:val="00ED1C7D"/>
    <w:rsid w:val="00ED21D8"/>
    <w:rsid w:val="00ED2923"/>
    <w:rsid w:val="00ED3927"/>
    <w:rsid w:val="00ED5876"/>
    <w:rsid w:val="00ED60F2"/>
    <w:rsid w:val="00ED6655"/>
    <w:rsid w:val="00ED71DD"/>
    <w:rsid w:val="00ED7201"/>
    <w:rsid w:val="00ED7A91"/>
    <w:rsid w:val="00EE0161"/>
    <w:rsid w:val="00EE082B"/>
    <w:rsid w:val="00EE09DF"/>
    <w:rsid w:val="00EE1D64"/>
    <w:rsid w:val="00EE22F2"/>
    <w:rsid w:val="00EE316E"/>
    <w:rsid w:val="00EE3CBE"/>
    <w:rsid w:val="00EE4347"/>
    <w:rsid w:val="00EE48CA"/>
    <w:rsid w:val="00EE4B82"/>
    <w:rsid w:val="00EE523E"/>
    <w:rsid w:val="00EE5962"/>
    <w:rsid w:val="00EE6C3E"/>
    <w:rsid w:val="00EE70DA"/>
    <w:rsid w:val="00EE77C4"/>
    <w:rsid w:val="00EE7CB3"/>
    <w:rsid w:val="00EE7EB4"/>
    <w:rsid w:val="00EE7F9F"/>
    <w:rsid w:val="00EF00CF"/>
    <w:rsid w:val="00EF017A"/>
    <w:rsid w:val="00EF0E17"/>
    <w:rsid w:val="00EF2672"/>
    <w:rsid w:val="00EF3876"/>
    <w:rsid w:val="00EF4A90"/>
    <w:rsid w:val="00EF4D15"/>
    <w:rsid w:val="00EF546C"/>
    <w:rsid w:val="00EF5C6E"/>
    <w:rsid w:val="00EF712E"/>
    <w:rsid w:val="00EF7AD1"/>
    <w:rsid w:val="00EF7C2A"/>
    <w:rsid w:val="00F00D83"/>
    <w:rsid w:val="00F010AF"/>
    <w:rsid w:val="00F016ED"/>
    <w:rsid w:val="00F019B3"/>
    <w:rsid w:val="00F01BAF"/>
    <w:rsid w:val="00F03EA1"/>
    <w:rsid w:val="00F04621"/>
    <w:rsid w:val="00F04BCB"/>
    <w:rsid w:val="00F067AD"/>
    <w:rsid w:val="00F072D9"/>
    <w:rsid w:val="00F077E1"/>
    <w:rsid w:val="00F07E07"/>
    <w:rsid w:val="00F11628"/>
    <w:rsid w:val="00F1237F"/>
    <w:rsid w:val="00F127C9"/>
    <w:rsid w:val="00F13B34"/>
    <w:rsid w:val="00F155DC"/>
    <w:rsid w:val="00F1616D"/>
    <w:rsid w:val="00F16385"/>
    <w:rsid w:val="00F1679C"/>
    <w:rsid w:val="00F16C40"/>
    <w:rsid w:val="00F16C81"/>
    <w:rsid w:val="00F178ED"/>
    <w:rsid w:val="00F203C8"/>
    <w:rsid w:val="00F20A78"/>
    <w:rsid w:val="00F20C70"/>
    <w:rsid w:val="00F21152"/>
    <w:rsid w:val="00F21981"/>
    <w:rsid w:val="00F21BB4"/>
    <w:rsid w:val="00F22374"/>
    <w:rsid w:val="00F223B0"/>
    <w:rsid w:val="00F2289D"/>
    <w:rsid w:val="00F22E3C"/>
    <w:rsid w:val="00F22E5F"/>
    <w:rsid w:val="00F242D7"/>
    <w:rsid w:val="00F25C43"/>
    <w:rsid w:val="00F25F93"/>
    <w:rsid w:val="00F26313"/>
    <w:rsid w:val="00F31394"/>
    <w:rsid w:val="00F313EB"/>
    <w:rsid w:val="00F34CFC"/>
    <w:rsid w:val="00F354C0"/>
    <w:rsid w:val="00F35552"/>
    <w:rsid w:val="00F35BE7"/>
    <w:rsid w:val="00F3629C"/>
    <w:rsid w:val="00F36A19"/>
    <w:rsid w:val="00F371E1"/>
    <w:rsid w:val="00F376A3"/>
    <w:rsid w:val="00F404B8"/>
    <w:rsid w:val="00F41281"/>
    <w:rsid w:val="00F42AE6"/>
    <w:rsid w:val="00F42E5C"/>
    <w:rsid w:val="00F4463F"/>
    <w:rsid w:val="00F45860"/>
    <w:rsid w:val="00F45B57"/>
    <w:rsid w:val="00F4726F"/>
    <w:rsid w:val="00F47447"/>
    <w:rsid w:val="00F52868"/>
    <w:rsid w:val="00F5292D"/>
    <w:rsid w:val="00F52ADC"/>
    <w:rsid w:val="00F53303"/>
    <w:rsid w:val="00F547EE"/>
    <w:rsid w:val="00F5572B"/>
    <w:rsid w:val="00F5617C"/>
    <w:rsid w:val="00F56312"/>
    <w:rsid w:val="00F56C82"/>
    <w:rsid w:val="00F60E4E"/>
    <w:rsid w:val="00F61FF3"/>
    <w:rsid w:val="00F620FE"/>
    <w:rsid w:val="00F6295C"/>
    <w:rsid w:val="00F63CFE"/>
    <w:rsid w:val="00F655E8"/>
    <w:rsid w:val="00F66F9E"/>
    <w:rsid w:val="00F66FFA"/>
    <w:rsid w:val="00F70D36"/>
    <w:rsid w:val="00F70F3A"/>
    <w:rsid w:val="00F7108D"/>
    <w:rsid w:val="00F7274D"/>
    <w:rsid w:val="00F72C4D"/>
    <w:rsid w:val="00F74D20"/>
    <w:rsid w:val="00F75613"/>
    <w:rsid w:val="00F757C0"/>
    <w:rsid w:val="00F763CB"/>
    <w:rsid w:val="00F77633"/>
    <w:rsid w:val="00F77DA6"/>
    <w:rsid w:val="00F802B7"/>
    <w:rsid w:val="00F8085A"/>
    <w:rsid w:val="00F80B37"/>
    <w:rsid w:val="00F821CD"/>
    <w:rsid w:val="00F82649"/>
    <w:rsid w:val="00F83113"/>
    <w:rsid w:val="00F8336E"/>
    <w:rsid w:val="00F8381A"/>
    <w:rsid w:val="00F838F9"/>
    <w:rsid w:val="00F83E5A"/>
    <w:rsid w:val="00F84240"/>
    <w:rsid w:val="00F84D5E"/>
    <w:rsid w:val="00F8672A"/>
    <w:rsid w:val="00F86D05"/>
    <w:rsid w:val="00F922F1"/>
    <w:rsid w:val="00F93448"/>
    <w:rsid w:val="00F9546E"/>
    <w:rsid w:val="00F95F12"/>
    <w:rsid w:val="00F97E1F"/>
    <w:rsid w:val="00FA019B"/>
    <w:rsid w:val="00FA0869"/>
    <w:rsid w:val="00FA1214"/>
    <w:rsid w:val="00FA1E30"/>
    <w:rsid w:val="00FA2FA2"/>
    <w:rsid w:val="00FA3610"/>
    <w:rsid w:val="00FA4A83"/>
    <w:rsid w:val="00FA4D8D"/>
    <w:rsid w:val="00FA4FAF"/>
    <w:rsid w:val="00FA6E7B"/>
    <w:rsid w:val="00FA7D57"/>
    <w:rsid w:val="00FB0CCE"/>
    <w:rsid w:val="00FB115B"/>
    <w:rsid w:val="00FB1BA4"/>
    <w:rsid w:val="00FB3205"/>
    <w:rsid w:val="00FB36E5"/>
    <w:rsid w:val="00FB4CDA"/>
    <w:rsid w:val="00FB6475"/>
    <w:rsid w:val="00FB6AB4"/>
    <w:rsid w:val="00FB6D51"/>
    <w:rsid w:val="00FB743A"/>
    <w:rsid w:val="00FC0158"/>
    <w:rsid w:val="00FC1682"/>
    <w:rsid w:val="00FC1F0E"/>
    <w:rsid w:val="00FC25A6"/>
    <w:rsid w:val="00FC30B5"/>
    <w:rsid w:val="00FC42F8"/>
    <w:rsid w:val="00FC611F"/>
    <w:rsid w:val="00FC6227"/>
    <w:rsid w:val="00FC702F"/>
    <w:rsid w:val="00FC7317"/>
    <w:rsid w:val="00FC7684"/>
    <w:rsid w:val="00FD0C2E"/>
    <w:rsid w:val="00FD151A"/>
    <w:rsid w:val="00FD2D99"/>
    <w:rsid w:val="00FD2EBE"/>
    <w:rsid w:val="00FD323D"/>
    <w:rsid w:val="00FD325C"/>
    <w:rsid w:val="00FD3426"/>
    <w:rsid w:val="00FD3FB5"/>
    <w:rsid w:val="00FD596B"/>
    <w:rsid w:val="00FD5971"/>
    <w:rsid w:val="00FD5DA1"/>
    <w:rsid w:val="00FD6F18"/>
    <w:rsid w:val="00FE17B2"/>
    <w:rsid w:val="00FE2C01"/>
    <w:rsid w:val="00FE4273"/>
    <w:rsid w:val="00FE48CB"/>
    <w:rsid w:val="00FE4BDC"/>
    <w:rsid w:val="00FE529C"/>
    <w:rsid w:val="00FE5B27"/>
    <w:rsid w:val="00FE5E69"/>
    <w:rsid w:val="00FF1A8A"/>
    <w:rsid w:val="00FF1B6A"/>
    <w:rsid w:val="00FF1E97"/>
    <w:rsid w:val="00FF2E47"/>
    <w:rsid w:val="00FF44A8"/>
    <w:rsid w:val="00FF51FD"/>
    <w:rsid w:val="00FF5F76"/>
    <w:rsid w:val="00FF60E1"/>
    <w:rsid w:val="00FF645E"/>
    <w:rsid w:val="00FF6D51"/>
    <w:rsid w:val="00FF7452"/>
    <w:rsid w:val="00FF74DF"/>
    <w:rsid w:val="020701F8"/>
    <w:rsid w:val="02C56B7F"/>
    <w:rsid w:val="02E70A14"/>
    <w:rsid w:val="03344665"/>
    <w:rsid w:val="03483DE8"/>
    <w:rsid w:val="03704511"/>
    <w:rsid w:val="03D4FA2D"/>
    <w:rsid w:val="03D97249"/>
    <w:rsid w:val="040BE068"/>
    <w:rsid w:val="044845E4"/>
    <w:rsid w:val="04CAB324"/>
    <w:rsid w:val="05AA151B"/>
    <w:rsid w:val="06852A49"/>
    <w:rsid w:val="0694385F"/>
    <w:rsid w:val="06D84D11"/>
    <w:rsid w:val="06FE1D06"/>
    <w:rsid w:val="076FDFD6"/>
    <w:rsid w:val="07A5CE96"/>
    <w:rsid w:val="07A84EDB"/>
    <w:rsid w:val="0826A328"/>
    <w:rsid w:val="0869BBBD"/>
    <w:rsid w:val="086E1E57"/>
    <w:rsid w:val="089A465A"/>
    <w:rsid w:val="08E0E980"/>
    <w:rsid w:val="093587B1"/>
    <w:rsid w:val="09D8CE42"/>
    <w:rsid w:val="09DB4E78"/>
    <w:rsid w:val="09E8509B"/>
    <w:rsid w:val="0A9DD095"/>
    <w:rsid w:val="0ADC81D4"/>
    <w:rsid w:val="0B3A4768"/>
    <w:rsid w:val="0B485544"/>
    <w:rsid w:val="0B52B24A"/>
    <w:rsid w:val="0B9AA326"/>
    <w:rsid w:val="0C080DCB"/>
    <w:rsid w:val="0C6D5AE1"/>
    <w:rsid w:val="0E09F9E7"/>
    <w:rsid w:val="0E73D35B"/>
    <w:rsid w:val="0E8A2F5D"/>
    <w:rsid w:val="0E9DA948"/>
    <w:rsid w:val="0EC694EF"/>
    <w:rsid w:val="0EEA698B"/>
    <w:rsid w:val="0F3752F1"/>
    <w:rsid w:val="0F3BF3B8"/>
    <w:rsid w:val="0F56C408"/>
    <w:rsid w:val="0F90B333"/>
    <w:rsid w:val="0FEC6696"/>
    <w:rsid w:val="10BBF214"/>
    <w:rsid w:val="110F2C75"/>
    <w:rsid w:val="11C2EDB6"/>
    <w:rsid w:val="11F7C668"/>
    <w:rsid w:val="1215781B"/>
    <w:rsid w:val="126B7968"/>
    <w:rsid w:val="1312D10C"/>
    <w:rsid w:val="1440816A"/>
    <w:rsid w:val="14752E3A"/>
    <w:rsid w:val="14AD6EC9"/>
    <w:rsid w:val="1555E57E"/>
    <w:rsid w:val="159EAE68"/>
    <w:rsid w:val="15D25F6F"/>
    <w:rsid w:val="15DF28F3"/>
    <w:rsid w:val="164FE718"/>
    <w:rsid w:val="16821548"/>
    <w:rsid w:val="17356FC2"/>
    <w:rsid w:val="174BDCB5"/>
    <w:rsid w:val="1804B573"/>
    <w:rsid w:val="1883F2E8"/>
    <w:rsid w:val="1966671C"/>
    <w:rsid w:val="197EB07A"/>
    <w:rsid w:val="19EF04CF"/>
    <w:rsid w:val="1C3E5509"/>
    <w:rsid w:val="1C8949FF"/>
    <w:rsid w:val="1CB3A0EE"/>
    <w:rsid w:val="1D148D79"/>
    <w:rsid w:val="1D62D06B"/>
    <w:rsid w:val="1D8765A6"/>
    <w:rsid w:val="1DC7B42E"/>
    <w:rsid w:val="1DF2AB54"/>
    <w:rsid w:val="1EA85019"/>
    <w:rsid w:val="1EC2418F"/>
    <w:rsid w:val="1EC3EA4F"/>
    <w:rsid w:val="1F24BE54"/>
    <w:rsid w:val="1F92B1EE"/>
    <w:rsid w:val="1FB32303"/>
    <w:rsid w:val="20737CBA"/>
    <w:rsid w:val="20AEF0D2"/>
    <w:rsid w:val="20B6F05D"/>
    <w:rsid w:val="20B762ED"/>
    <w:rsid w:val="20F46565"/>
    <w:rsid w:val="216C8F45"/>
    <w:rsid w:val="2199A88B"/>
    <w:rsid w:val="21AF4F7C"/>
    <w:rsid w:val="21F6F70C"/>
    <w:rsid w:val="233136B3"/>
    <w:rsid w:val="2390DFE0"/>
    <w:rsid w:val="2433A1C2"/>
    <w:rsid w:val="245354CD"/>
    <w:rsid w:val="2464D307"/>
    <w:rsid w:val="24E05761"/>
    <w:rsid w:val="24ED7459"/>
    <w:rsid w:val="24FE0E85"/>
    <w:rsid w:val="251D7976"/>
    <w:rsid w:val="25DC207E"/>
    <w:rsid w:val="2698B9C9"/>
    <w:rsid w:val="278A0C24"/>
    <w:rsid w:val="27949E0D"/>
    <w:rsid w:val="27D90BA3"/>
    <w:rsid w:val="2827543D"/>
    <w:rsid w:val="2828231D"/>
    <w:rsid w:val="287A2582"/>
    <w:rsid w:val="288DFAA9"/>
    <w:rsid w:val="28982085"/>
    <w:rsid w:val="291E274E"/>
    <w:rsid w:val="295E7731"/>
    <w:rsid w:val="2976B3B5"/>
    <w:rsid w:val="2A4A2B7B"/>
    <w:rsid w:val="2A516DE6"/>
    <w:rsid w:val="2A7EF568"/>
    <w:rsid w:val="2AF2C47C"/>
    <w:rsid w:val="2B4CD417"/>
    <w:rsid w:val="2B89621A"/>
    <w:rsid w:val="2B8B4E28"/>
    <w:rsid w:val="2BE8E457"/>
    <w:rsid w:val="2C565DF0"/>
    <w:rsid w:val="2C6E3628"/>
    <w:rsid w:val="2C94CE14"/>
    <w:rsid w:val="2CE4A34B"/>
    <w:rsid w:val="2CE8C154"/>
    <w:rsid w:val="2D007C16"/>
    <w:rsid w:val="2D110BF8"/>
    <w:rsid w:val="2D68F536"/>
    <w:rsid w:val="2D70A6E9"/>
    <w:rsid w:val="2D7368C6"/>
    <w:rsid w:val="2DA33B77"/>
    <w:rsid w:val="2E4E80D0"/>
    <w:rsid w:val="2E4F317E"/>
    <w:rsid w:val="2F5AA68F"/>
    <w:rsid w:val="2FADD1BE"/>
    <w:rsid w:val="31A73A53"/>
    <w:rsid w:val="31B1DE50"/>
    <w:rsid w:val="31CD824A"/>
    <w:rsid w:val="322AD754"/>
    <w:rsid w:val="3251BE46"/>
    <w:rsid w:val="32867FF0"/>
    <w:rsid w:val="334083B0"/>
    <w:rsid w:val="33B89516"/>
    <w:rsid w:val="34247D4A"/>
    <w:rsid w:val="34780E71"/>
    <w:rsid w:val="3542D3AF"/>
    <w:rsid w:val="3629C5AD"/>
    <w:rsid w:val="362EE1B0"/>
    <w:rsid w:val="36A884C5"/>
    <w:rsid w:val="36AC046A"/>
    <w:rsid w:val="36C63B94"/>
    <w:rsid w:val="3771B04A"/>
    <w:rsid w:val="37854DE0"/>
    <w:rsid w:val="37AC173A"/>
    <w:rsid w:val="38635743"/>
    <w:rsid w:val="390D4008"/>
    <w:rsid w:val="3952E3F0"/>
    <w:rsid w:val="39956CA3"/>
    <w:rsid w:val="39DEE042"/>
    <w:rsid w:val="39E2377B"/>
    <w:rsid w:val="3A007333"/>
    <w:rsid w:val="3A1ACFAC"/>
    <w:rsid w:val="3A6A98DD"/>
    <w:rsid w:val="3A7C5CA3"/>
    <w:rsid w:val="3B265835"/>
    <w:rsid w:val="3B403F1E"/>
    <w:rsid w:val="3B42943A"/>
    <w:rsid w:val="3B48A98A"/>
    <w:rsid w:val="3B7604E3"/>
    <w:rsid w:val="3BEA95BC"/>
    <w:rsid w:val="3BF21843"/>
    <w:rsid w:val="3C578AEF"/>
    <w:rsid w:val="3C7F39A3"/>
    <w:rsid w:val="3CD2DF24"/>
    <w:rsid w:val="3D180066"/>
    <w:rsid w:val="3D18F714"/>
    <w:rsid w:val="3D5D4B53"/>
    <w:rsid w:val="3DA7006A"/>
    <w:rsid w:val="3ED92990"/>
    <w:rsid w:val="3F7BCB4E"/>
    <w:rsid w:val="3FC504FA"/>
    <w:rsid w:val="40600F6B"/>
    <w:rsid w:val="4089F597"/>
    <w:rsid w:val="4105CE27"/>
    <w:rsid w:val="410CCB1F"/>
    <w:rsid w:val="415D39CF"/>
    <w:rsid w:val="41A4AC4C"/>
    <w:rsid w:val="42017A2F"/>
    <w:rsid w:val="424417F9"/>
    <w:rsid w:val="424835C6"/>
    <w:rsid w:val="42636566"/>
    <w:rsid w:val="42EF9A49"/>
    <w:rsid w:val="43319001"/>
    <w:rsid w:val="437BF26D"/>
    <w:rsid w:val="43965AB8"/>
    <w:rsid w:val="43D5B01A"/>
    <w:rsid w:val="442EC2DE"/>
    <w:rsid w:val="44BAF96E"/>
    <w:rsid w:val="451583EA"/>
    <w:rsid w:val="451D73D1"/>
    <w:rsid w:val="453D6333"/>
    <w:rsid w:val="45670295"/>
    <w:rsid w:val="45B1ED47"/>
    <w:rsid w:val="45CB922E"/>
    <w:rsid w:val="45F790B9"/>
    <w:rsid w:val="46928BC2"/>
    <w:rsid w:val="46AD53D6"/>
    <w:rsid w:val="46ADE5A7"/>
    <w:rsid w:val="46AFE7FC"/>
    <w:rsid w:val="4727E8E2"/>
    <w:rsid w:val="47283A60"/>
    <w:rsid w:val="47975127"/>
    <w:rsid w:val="47B27060"/>
    <w:rsid w:val="47B63BC5"/>
    <w:rsid w:val="48071CF7"/>
    <w:rsid w:val="48C535EE"/>
    <w:rsid w:val="48CFCF38"/>
    <w:rsid w:val="48E96D2E"/>
    <w:rsid w:val="49153F74"/>
    <w:rsid w:val="492C4941"/>
    <w:rsid w:val="4970CC64"/>
    <w:rsid w:val="49A60BEE"/>
    <w:rsid w:val="49DDB0D5"/>
    <w:rsid w:val="4A296923"/>
    <w:rsid w:val="4A29A365"/>
    <w:rsid w:val="4A757FFC"/>
    <w:rsid w:val="4A89DAFA"/>
    <w:rsid w:val="4A953EC1"/>
    <w:rsid w:val="4AF25CB0"/>
    <w:rsid w:val="4B073837"/>
    <w:rsid w:val="4B0895F2"/>
    <w:rsid w:val="4B69867D"/>
    <w:rsid w:val="4BB3AAA4"/>
    <w:rsid w:val="4CC0F5B4"/>
    <w:rsid w:val="4D1B5764"/>
    <w:rsid w:val="4D3E9720"/>
    <w:rsid w:val="4D6E8CDE"/>
    <w:rsid w:val="4DBDECF7"/>
    <w:rsid w:val="4DE224D2"/>
    <w:rsid w:val="4E40ED49"/>
    <w:rsid w:val="4E467979"/>
    <w:rsid w:val="4ED561A9"/>
    <w:rsid w:val="4EDCCD7C"/>
    <w:rsid w:val="4F5BD6BC"/>
    <w:rsid w:val="4FFF1353"/>
    <w:rsid w:val="5027855E"/>
    <w:rsid w:val="50350CC0"/>
    <w:rsid w:val="50746158"/>
    <w:rsid w:val="515D3813"/>
    <w:rsid w:val="5173C3D4"/>
    <w:rsid w:val="5248A3C3"/>
    <w:rsid w:val="52E5E670"/>
    <w:rsid w:val="53C69E52"/>
    <w:rsid w:val="5492029C"/>
    <w:rsid w:val="549C2CA5"/>
    <w:rsid w:val="55A65317"/>
    <w:rsid w:val="55EB7950"/>
    <w:rsid w:val="5614C825"/>
    <w:rsid w:val="5642FB28"/>
    <w:rsid w:val="56A081AA"/>
    <w:rsid w:val="56F60FA5"/>
    <w:rsid w:val="5886DF2D"/>
    <w:rsid w:val="5894B646"/>
    <w:rsid w:val="58C39AF5"/>
    <w:rsid w:val="58C73F8F"/>
    <w:rsid w:val="58E84F06"/>
    <w:rsid w:val="597683DB"/>
    <w:rsid w:val="59F514CE"/>
    <w:rsid w:val="5A158C90"/>
    <w:rsid w:val="5A33B154"/>
    <w:rsid w:val="5A677C6F"/>
    <w:rsid w:val="5A914F93"/>
    <w:rsid w:val="5A9334CE"/>
    <w:rsid w:val="5AB2752A"/>
    <w:rsid w:val="5AF21A83"/>
    <w:rsid w:val="5BD67E92"/>
    <w:rsid w:val="5CD926BF"/>
    <w:rsid w:val="5D1211F7"/>
    <w:rsid w:val="5D60DAC8"/>
    <w:rsid w:val="5E17B0A8"/>
    <w:rsid w:val="5E6D9E03"/>
    <w:rsid w:val="5E9825FE"/>
    <w:rsid w:val="5F1668B7"/>
    <w:rsid w:val="5F3D60CB"/>
    <w:rsid w:val="5FE0CF30"/>
    <w:rsid w:val="5FF4D9CE"/>
    <w:rsid w:val="61484311"/>
    <w:rsid w:val="6158F53D"/>
    <w:rsid w:val="62233C1A"/>
    <w:rsid w:val="626E4953"/>
    <w:rsid w:val="62C95EAA"/>
    <w:rsid w:val="62D883D6"/>
    <w:rsid w:val="62F06369"/>
    <w:rsid w:val="635408F2"/>
    <w:rsid w:val="63A74BB5"/>
    <w:rsid w:val="63C849A3"/>
    <w:rsid w:val="63D175A4"/>
    <w:rsid w:val="648CA4E0"/>
    <w:rsid w:val="64A0B223"/>
    <w:rsid w:val="64B1EE72"/>
    <w:rsid w:val="64E2260C"/>
    <w:rsid w:val="663CBF60"/>
    <w:rsid w:val="665AAAE7"/>
    <w:rsid w:val="667546F1"/>
    <w:rsid w:val="6747E5EC"/>
    <w:rsid w:val="676827D8"/>
    <w:rsid w:val="67E65D04"/>
    <w:rsid w:val="681E9AF7"/>
    <w:rsid w:val="683B6220"/>
    <w:rsid w:val="683E619E"/>
    <w:rsid w:val="6892A7FA"/>
    <w:rsid w:val="68CC3E16"/>
    <w:rsid w:val="696298B2"/>
    <w:rsid w:val="69F5B5C0"/>
    <w:rsid w:val="6A5E0219"/>
    <w:rsid w:val="6A986A5D"/>
    <w:rsid w:val="6AD52103"/>
    <w:rsid w:val="6AF160E9"/>
    <w:rsid w:val="6B14637A"/>
    <w:rsid w:val="6B78B242"/>
    <w:rsid w:val="6C12AE1F"/>
    <w:rsid w:val="6C2B9C94"/>
    <w:rsid w:val="6C9648FE"/>
    <w:rsid w:val="6D71218D"/>
    <w:rsid w:val="6D9A0B78"/>
    <w:rsid w:val="6E1BC4BA"/>
    <w:rsid w:val="6E4BA61D"/>
    <w:rsid w:val="6E61B6D5"/>
    <w:rsid w:val="6E7ADDCB"/>
    <w:rsid w:val="6E815426"/>
    <w:rsid w:val="6F07EF53"/>
    <w:rsid w:val="6FA9D420"/>
    <w:rsid w:val="6FAE8823"/>
    <w:rsid w:val="7093F202"/>
    <w:rsid w:val="712657A4"/>
    <w:rsid w:val="72171A8C"/>
    <w:rsid w:val="726E2122"/>
    <w:rsid w:val="735FAAAE"/>
    <w:rsid w:val="739D9A65"/>
    <w:rsid w:val="73B2B346"/>
    <w:rsid w:val="74F0D14C"/>
    <w:rsid w:val="7510D683"/>
    <w:rsid w:val="753628CD"/>
    <w:rsid w:val="757DEE74"/>
    <w:rsid w:val="765D7826"/>
    <w:rsid w:val="774E3182"/>
    <w:rsid w:val="77A3EAF2"/>
    <w:rsid w:val="77A5B5DB"/>
    <w:rsid w:val="77AD1B7D"/>
    <w:rsid w:val="789A51BD"/>
    <w:rsid w:val="78D4ECEA"/>
    <w:rsid w:val="78FDE1BC"/>
    <w:rsid w:val="79B37DA7"/>
    <w:rsid w:val="7A082065"/>
    <w:rsid w:val="7A27DCBE"/>
    <w:rsid w:val="7A556332"/>
    <w:rsid w:val="7A68656C"/>
    <w:rsid w:val="7A78E7D5"/>
    <w:rsid w:val="7A8081CB"/>
    <w:rsid w:val="7B891DC9"/>
    <w:rsid w:val="7BED40CE"/>
    <w:rsid w:val="7C34E03F"/>
    <w:rsid w:val="7C5244F3"/>
    <w:rsid w:val="7C94BCFE"/>
    <w:rsid w:val="7C969B5E"/>
    <w:rsid w:val="7C9CFA30"/>
    <w:rsid w:val="7D349ACB"/>
    <w:rsid w:val="7D5721A2"/>
    <w:rsid w:val="7DD42C3D"/>
    <w:rsid w:val="7DFE0BD0"/>
    <w:rsid w:val="7E3F7CC2"/>
    <w:rsid w:val="7E656AB0"/>
    <w:rsid w:val="7EC4906E"/>
    <w:rsid w:val="7FB6CA04"/>
    <w:rsid w:val="7FC7A86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3C036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5"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74D"/>
    <w:pPr>
      <w:spacing w:before="80" w:after="80"/>
    </w:pPr>
    <w:rPr>
      <w:rFonts w:ascii="Arial" w:hAnsi="Arial"/>
    </w:rPr>
  </w:style>
  <w:style w:type="paragraph" w:styleId="Heading1">
    <w:name w:val="heading 1"/>
    <w:basedOn w:val="Normal"/>
    <w:next w:val="Normal"/>
    <w:link w:val="Heading1Char"/>
    <w:uiPriority w:val="1"/>
    <w:qFormat/>
    <w:rsid w:val="008269F8"/>
    <w:pPr>
      <w:keepNext/>
      <w:numPr>
        <w:numId w:val="19"/>
      </w:numPr>
      <w:tabs>
        <w:tab w:val="num" w:pos="482"/>
      </w:tabs>
      <w:spacing w:before="240" w:after="160" w:line="240" w:lineRule="auto"/>
      <w:ind w:left="482" w:hanging="482"/>
      <w:jc w:val="both"/>
      <w:outlineLvl w:val="0"/>
    </w:pPr>
    <w:rPr>
      <w:rFonts w:ascii="Times New Roman" w:eastAsia="Times New Roman" w:hAnsi="Times New Roman" w:cs="Times New Roman"/>
      <w:b/>
      <w:smallCaps/>
      <w:sz w:val="24"/>
      <w:szCs w:val="20"/>
      <w:lang w:eastAsia="en-GB"/>
    </w:rPr>
  </w:style>
  <w:style w:type="paragraph" w:styleId="Heading2">
    <w:name w:val="heading 2"/>
    <w:basedOn w:val="Normal"/>
    <w:next w:val="Normal"/>
    <w:link w:val="Heading2Char"/>
    <w:uiPriority w:val="1"/>
    <w:unhideWhenUsed/>
    <w:qFormat/>
    <w:rsid w:val="008269F8"/>
    <w:pPr>
      <w:keepNext/>
      <w:numPr>
        <w:ilvl w:val="1"/>
        <w:numId w:val="19"/>
      </w:numPr>
      <w:tabs>
        <w:tab w:val="num" w:pos="1202"/>
      </w:tabs>
      <w:spacing w:before="120" w:line="240" w:lineRule="auto"/>
      <w:ind w:left="720" w:hanging="720"/>
      <w:jc w:val="both"/>
      <w:outlineLvl w:val="1"/>
    </w:pPr>
    <w:rPr>
      <w:rFonts w:ascii="Times New Roman" w:eastAsia="Times New Roman" w:hAnsi="Times New Roman" w:cs="Times New Roman"/>
      <w:b/>
      <w:sz w:val="24"/>
      <w:szCs w:val="20"/>
      <w:lang w:eastAsia="en-GB"/>
    </w:rPr>
  </w:style>
  <w:style w:type="paragraph" w:styleId="Heading3">
    <w:name w:val="heading 3"/>
    <w:basedOn w:val="Normal"/>
    <w:next w:val="Normal"/>
    <w:link w:val="Heading3Char"/>
    <w:uiPriority w:val="9"/>
    <w:unhideWhenUsed/>
    <w:qFormat/>
    <w:rsid w:val="000A24A6"/>
    <w:pPr>
      <w:keepNext/>
      <w:keepLines/>
      <w:numPr>
        <w:ilvl w:val="2"/>
        <w:numId w:val="19"/>
      </w:numPr>
      <w:spacing w:before="40"/>
      <w:ind w:left="720"/>
      <w:outlineLvl w:val="2"/>
    </w:pPr>
    <w:rPr>
      <w:rFonts w:ascii="Times New Roman" w:eastAsiaTheme="majorEastAsia" w:hAnsi="Times New Roman" w:cs="Times New Roman"/>
      <w:b/>
      <w:bCs/>
      <w:sz w:val="24"/>
      <w:szCs w:val="24"/>
      <w:lang w:eastAsia="en-GB"/>
    </w:rPr>
  </w:style>
  <w:style w:type="paragraph" w:styleId="Heading4">
    <w:name w:val="heading 4"/>
    <w:basedOn w:val="Normal"/>
    <w:next w:val="Normal"/>
    <w:link w:val="Heading4Char"/>
    <w:uiPriority w:val="9"/>
    <w:unhideWhenUsed/>
    <w:qFormat/>
    <w:rsid w:val="002E5A09"/>
    <w:pPr>
      <w:keepNext/>
      <w:keepLines/>
      <w:numPr>
        <w:ilvl w:val="3"/>
        <w:numId w:val="19"/>
      </w:numPr>
      <w:spacing w:before="40" w:after="0"/>
      <w:outlineLvl w:val="3"/>
    </w:pPr>
    <w:rPr>
      <w:rFonts w:eastAsiaTheme="majorEastAsia" w:cstheme="majorBidi"/>
      <w:i/>
      <w:iCs/>
      <w:color w:val="034EA2" w:themeColor="text2"/>
    </w:rPr>
  </w:style>
  <w:style w:type="paragraph" w:styleId="Heading5">
    <w:name w:val="heading 5"/>
    <w:basedOn w:val="Normal"/>
    <w:next w:val="Normal"/>
    <w:link w:val="Heading5Char"/>
    <w:uiPriority w:val="9"/>
    <w:unhideWhenUsed/>
    <w:qFormat/>
    <w:rsid w:val="0086174D"/>
    <w:pPr>
      <w:keepNext/>
      <w:keepLines/>
      <w:numPr>
        <w:ilvl w:val="4"/>
        <w:numId w:val="19"/>
      </w:numPr>
      <w:spacing w:before="40" w:after="0"/>
      <w:outlineLvl w:val="4"/>
    </w:pPr>
    <w:rPr>
      <w:rFonts w:asciiTheme="majorHAnsi" w:eastAsiaTheme="majorEastAsia" w:hAnsiTheme="majorHAnsi" w:cstheme="majorBidi"/>
      <w:color w:val="166367" w:themeColor="accent1" w:themeShade="BF"/>
    </w:rPr>
  </w:style>
  <w:style w:type="paragraph" w:styleId="Heading6">
    <w:name w:val="heading 6"/>
    <w:basedOn w:val="Normal"/>
    <w:next w:val="Normal"/>
    <w:link w:val="Heading6Char"/>
    <w:uiPriority w:val="9"/>
    <w:unhideWhenUsed/>
    <w:qFormat/>
    <w:rsid w:val="0086174D"/>
    <w:pPr>
      <w:keepNext/>
      <w:keepLines/>
      <w:numPr>
        <w:ilvl w:val="5"/>
        <w:numId w:val="19"/>
      </w:numPr>
      <w:spacing w:before="40" w:after="0"/>
      <w:outlineLvl w:val="5"/>
    </w:pPr>
    <w:rPr>
      <w:rFonts w:asciiTheme="majorHAnsi" w:eastAsiaTheme="majorEastAsia" w:hAnsiTheme="majorHAnsi" w:cstheme="majorBidi"/>
      <w:color w:val="0F4145" w:themeColor="accent1" w:themeShade="7F"/>
    </w:rPr>
  </w:style>
  <w:style w:type="paragraph" w:styleId="Heading7">
    <w:name w:val="heading 7"/>
    <w:basedOn w:val="Normal"/>
    <w:next w:val="Normal"/>
    <w:link w:val="Heading7Char"/>
    <w:uiPriority w:val="9"/>
    <w:unhideWhenUsed/>
    <w:qFormat/>
    <w:rsid w:val="0086174D"/>
    <w:pPr>
      <w:keepNext/>
      <w:keepLines/>
      <w:numPr>
        <w:ilvl w:val="6"/>
        <w:numId w:val="19"/>
      </w:numPr>
      <w:spacing w:before="40" w:after="0"/>
      <w:outlineLvl w:val="6"/>
    </w:pPr>
    <w:rPr>
      <w:rFonts w:asciiTheme="majorHAnsi" w:eastAsiaTheme="majorEastAsia" w:hAnsiTheme="majorHAnsi" w:cstheme="majorBidi"/>
      <w:i/>
      <w:iCs/>
      <w:color w:val="0F4145" w:themeColor="accent1" w:themeShade="7F"/>
    </w:rPr>
  </w:style>
  <w:style w:type="paragraph" w:styleId="Heading8">
    <w:name w:val="heading 8"/>
    <w:basedOn w:val="Normal"/>
    <w:next w:val="Normal"/>
    <w:link w:val="Heading8Char"/>
    <w:uiPriority w:val="9"/>
    <w:unhideWhenUsed/>
    <w:qFormat/>
    <w:rsid w:val="0086174D"/>
    <w:pPr>
      <w:keepNext/>
      <w:keepLines/>
      <w:numPr>
        <w:ilvl w:val="7"/>
        <w:numId w:val="19"/>
      </w:numPr>
      <w:spacing w:before="40" w:after="0"/>
      <w:outlineLvl w:val="7"/>
    </w:pPr>
    <w:rPr>
      <w:rFonts w:asciiTheme="majorHAnsi" w:eastAsiaTheme="majorEastAsia" w:hAnsiTheme="majorHAnsi" w:cstheme="majorBidi"/>
      <w:color w:val="686868" w:themeColor="text1" w:themeTint="D8"/>
      <w:sz w:val="21"/>
      <w:szCs w:val="21"/>
    </w:rPr>
  </w:style>
  <w:style w:type="paragraph" w:styleId="Heading9">
    <w:name w:val="heading 9"/>
    <w:basedOn w:val="Normal"/>
    <w:next w:val="Normal"/>
    <w:link w:val="Heading9Char"/>
    <w:uiPriority w:val="9"/>
    <w:unhideWhenUsed/>
    <w:qFormat/>
    <w:rsid w:val="0086174D"/>
    <w:pPr>
      <w:keepNext/>
      <w:keepLines/>
      <w:numPr>
        <w:ilvl w:val="8"/>
        <w:numId w:val="19"/>
      </w:numPr>
      <w:spacing w:before="40" w:after="0"/>
      <w:outlineLvl w:val="8"/>
    </w:pPr>
    <w:rPr>
      <w:rFonts w:asciiTheme="majorHAnsi" w:eastAsiaTheme="majorEastAsia" w:hAnsiTheme="majorHAnsi" w:cstheme="majorBidi"/>
      <w:i/>
      <w:iCs/>
      <w:color w:val="686868"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6174D"/>
    <w:rPr>
      <w:rFonts w:ascii="Times New Roman" w:eastAsia="Times New Roman" w:hAnsi="Times New Roman" w:cs="Times New Roman"/>
      <w:b/>
      <w:smallCaps/>
      <w:sz w:val="24"/>
      <w:szCs w:val="20"/>
      <w:lang w:val="bg-BG" w:eastAsia="en-GB"/>
    </w:rPr>
  </w:style>
  <w:style w:type="character" w:customStyle="1" w:styleId="Heading2Char">
    <w:name w:val="Heading 2 Char"/>
    <w:basedOn w:val="DefaultParagraphFont"/>
    <w:link w:val="Heading2"/>
    <w:uiPriority w:val="1"/>
    <w:rsid w:val="00CF35C9"/>
    <w:rPr>
      <w:rFonts w:ascii="Times New Roman" w:eastAsia="Times New Roman" w:hAnsi="Times New Roman" w:cs="Times New Roman"/>
      <w:b/>
      <w:sz w:val="24"/>
      <w:szCs w:val="20"/>
      <w:lang w:val="bg-BG" w:eastAsia="en-GB"/>
    </w:rPr>
  </w:style>
  <w:style w:type="character" w:customStyle="1" w:styleId="Heading3Char">
    <w:name w:val="Heading 3 Char"/>
    <w:basedOn w:val="DefaultParagraphFont"/>
    <w:link w:val="Heading3"/>
    <w:uiPriority w:val="9"/>
    <w:rsid w:val="00CF35C9"/>
    <w:rPr>
      <w:rFonts w:ascii="Times New Roman" w:eastAsiaTheme="majorEastAsia" w:hAnsi="Times New Roman" w:cs="Times New Roman"/>
      <w:b/>
      <w:bCs/>
      <w:sz w:val="24"/>
      <w:szCs w:val="24"/>
      <w:lang w:val="bg-BG" w:eastAsia="en-GB"/>
    </w:rPr>
  </w:style>
  <w:style w:type="character" w:customStyle="1" w:styleId="Heading4Char">
    <w:name w:val="Heading 4 Char"/>
    <w:basedOn w:val="DefaultParagraphFont"/>
    <w:link w:val="Heading4"/>
    <w:uiPriority w:val="9"/>
    <w:rsid w:val="002E5A09"/>
    <w:rPr>
      <w:rFonts w:ascii="Arial" w:eastAsiaTheme="majorEastAsia" w:hAnsi="Arial" w:cstheme="majorBidi"/>
      <w:i/>
      <w:iCs/>
      <w:color w:val="034EA2" w:themeColor="text2"/>
    </w:rPr>
  </w:style>
  <w:style w:type="character" w:customStyle="1" w:styleId="Heading5Char">
    <w:name w:val="Heading 5 Char"/>
    <w:basedOn w:val="DefaultParagraphFont"/>
    <w:link w:val="Heading5"/>
    <w:uiPriority w:val="9"/>
    <w:rsid w:val="0086174D"/>
    <w:rPr>
      <w:rFonts w:asciiTheme="majorHAnsi" w:eastAsiaTheme="majorEastAsia" w:hAnsiTheme="majorHAnsi" w:cstheme="majorBidi"/>
      <w:color w:val="166367" w:themeColor="accent1" w:themeShade="BF"/>
    </w:rPr>
  </w:style>
  <w:style w:type="character" w:customStyle="1" w:styleId="Heading6Char">
    <w:name w:val="Heading 6 Char"/>
    <w:basedOn w:val="DefaultParagraphFont"/>
    <w:link w:val="Heading6"/>
    <w:uiPriority w:val="9"/>
    <w:rsid w:val="0086174D"/>
    <w:rPr>
      <w:rFonts w:asciiTheme="majorHAnsi" w:eastAsiaTheme="majorEastAsia" w:hAnsiTheme="majorHAnsi" w:cstheme="majorBidi"/>
      <w:color w:val="0F4145" w:themeColor="accent1" w:themeShade="7F"/>
    </w:rPr>
  </w:style>
  <w:style w:type="character" w:customStyle="1" w:styleId="Heading7Char">
    <w:name w:val="Heading 7 Char"/>
    <w:basedOn w:val="DefaultParagraphFont"/>
    <w:link w:val="Heading7"/>
    <w:uiPriority w:val="9"/>
    <w:rsid w:val="0086174D"/>
    <w:rPr>
      <w:rFonts w:asciiTheme="majorHAnsi" w:eastAsiaTheme="majorEastAsia" w:hAnsiTheme="majorHAnsi" w:cstheme="majorBidi"/>
      <w:i/>
      <w:iCs/>
      <w:color w:val="0F4145" w:themeColor="accent1" w:themeShade="7F"/>
    </w:rPr>
  </w:style>
  <w:style w:type="character" w:customStyle="1" w:styleId="Heading8Char">
    <w:name w:val="Heading 8 Char"/>
    <w:basedOn w:val="DefaultParagraphFont"/>
    <w:link w:val="Heading8"/>
    <w:uiPriority w:val="9"/>
    <w:rsid w:val="0086174D"/>
    <w:rPr>
      <w:rFonts w:asciiTheme="majorHAnsi" w:eastAsiaTheme="majorEastAsia" w:hAnsiTheme="majorHAnsi" w:cstheme="majorBidi"/>
      <w:color w:val="686868" w:themeColor="text1" w:themeTint="D8"/>
      <w:sz w:val="21"/>
      <w:szCs w:val="21"/>
    </w:rPr>
  </w:style>
  <w:style w:type="character" w:customStyle="1" w:styleId="Heading9Char">
    <w:name w:val="Heading 9 Char"/>
    <w:basedOn w:val="DefaultParagraphFont"/>
    <w:link w:val="Heading9"/>
    <w:uiPriority w:val="9"/>
    <w:rsid w:val="0086174D"/>
    <w:rPr>
      <w:rFonts w:asciiTheme="majorHAnsi" w:eastAsiaTheme="majorEastAsia" w:hAnsiTheme="majorHAnsi" w:cstheme="majorBidi"/>
      <w:i/>
      <w:iCs/>
      <w:color w:val="686868" w:themeColor="text1" w:themeTint="D8"/>
      <w:sz w:val="21"/>
      <w:szCs w:val="21"/>
    </w:rPr>
  </w:style>
  <w:style w:type="paragraph" w:styleId="Header">
    <w:name w:val="header"/>
    <w:basedOn w:val="Normal"/>
    <w:link w:val="HeaderChar"/>
    <w:uiPriority w:val="99"/>
    <w:qFormat/>
    <w:rsid w:val="009A14AC"/>
    <w:pPr>
      <w:pBdr>
        <w:bottom w:val="single" w:sz="12" w:space="1" w:color="034EA2" w:themeColor="text2"/>
      </w:pBdr>
      <w:tabs>
        <w:tab w:val="center" w:pos="4153"/>
        <w:tab w:val="right" w:pos="8306"/>
      </w:tabs>
      <w:spacing w:before="0" w:after="0" w:line="240" w:lineRule="auto"/>
      <w:jc w:val="both"/>
    </w:pPr>
    <w:rPr>
      <w:rFonts w:eastAsia="Times New Roman" w:cs="Times New Roman"/>
      <w:color w:val="034EA2" w:themeColor="text2"/>
      <w:sz w:val="20"/>
      <w:szCs w:val="20"/>
    </w:rPr>
  </w:style>
  <w:style w:type="character" w:customStyle="1" w:styleId="HeaderChar">
    <w:name w:val="Header Char"/>
    <w:link w:val="Header"/>
    <w:uiPriority w:val="99"/>
    <w:rsid w:val="009A14AC"/>
    <w:rPr>
      <w:rFonts w:ascii="Arial" w:eastAsia="Times New Roman" w:hAnsi="Arial" w:cs="Times New Roman"/>
      <w:color w:val="034EA2" w:themeColor="text2"/>
      <w:sz w:val="20"/>
      <w:szCs w:val="20"/>
    </w:rPr>
  </w:style>
  <w:style w:type="paragraph" w:styleId="Footer">
    <w:name w:val="footer"/>
    <w:basedOn w:val="Header"/>
    <w:link w:val="FooterChar"/>
    <w:uiPriority w:val="99"/>
    <w:unhideWhenUsed/>
    <w:qFormat/>
    <w:rsid w:val="009A14AC"/>
    <w:pPr>
      <w:pBdr>
        <w:top w:val="single" w:sz="12" w:space="1" w:color="034EA2" w:themeColor="text2"/>
        <w:bottom w:val="none" w:sz="0" w:space="0" w:color="auto"/>
      </w:pBdr>
      <w:tabs>
        <w:tab w:val="clear" w:pos="8306"/>
        <w:tab w:val="right" w:pos="10773"/>
      </w:tabs>
    </w:pPr>
  </w:style>
  <w:style w:type="character" w:customStyle="1" w:styleId="FooterChar">
    <w:name w:val="Footer Char"/>
    <w:basedOn w:val="DefaultParagraphFont"/>
    <w:link w:val="Footer"/>
    <w:uiPriority w:val="99"/>
    <w:rsid w:val="009A14AC"/>
    <w:rPr>
      <w:rFonts w:ascii="Arial" w:eastAsia="Times New Roman" w:hAnsi="Arial" w:cs="Times New Roman"/>
      <w:color w:val="034EA2" w:themeColor="text2"/>
      <w:sz w:val="20"/>
      <w:szCs w:val="20"/>
    </w:rPr>
  </w:style>
  <w:style w:type="paragraph" w:styleId="Title">
    <w:name w:val="Title"/>
    <w:basedOn w:val="Normal"/>
    <w:next w:val="Normal"/>
    <w:link w:val="TitleChar"/>
    <w:uiPriority w:val="10"/>
    <w:qFormat/>
    <w:rsid w:val="002E5A09"/>
    <w:pPr>
      <w:pBdr>
        <w:bottom w:val="single" w:sz="12" w:space="1" w:color="034EA2" w:themeColor="text2"/>
      </w:pBdr>
    </w:pPr>
    <w:rPr>
      <w:rFonts w:eastAsiaTheme="majorEastAsia" w:cstheme="majorBidi"/>
      <w:color w:val="034EA2" w:themeColor="text2"/>
      <w:spacing w:val="-10"/>
      <w:kern w:val="28"/>
      <w:sz w:val="40"/>
      <w:szCs w:val="44"/>
    </w:rPr>
  </w:style>
  <w:style w:type="character" w:customStyle="1" w:styleId="TitleChar">
    <w:name w:val="Title Char"/>
    <w:basedOn w:val="DefaultParagraphFont"/>
    <w:link w:val="Title"/>
    <w:uiPriority w:val="10"/>
    <w:rsid w:val="002E5A09"/>
    <w:rPr>
      <w:rFonts w:ascii="Arial" w:eastAsiaTheme="majorEastAsia" w:hAnsi="Arial" w:cstheme="majorBidi"/>
      <w:color w:val="034EA2" w:themeColor="text2"/>
      <w:spacing w:val="-10"/>
      <w:kern w:val="28"/>
      <w:sz w:val="40"/>
      <w:szCs w:val="44"/>
    </w:rPr>
  </w:style>
  <w:style w:type="character" w:styleId="IntenseEmphasis">
    <w:name w:val="Intense Emphasis"/>
    <w:basedOn w:val="DefaultParagraphFont"/>
    <w:uiPriority w:val="21"/>
    <w:qFormat/>
    <w:rsid w:val="0086174D"/>
    <w:rPr>
      <w:i/>
      <w:iCs/>
      <w:color w:val="034EA2" w:themeColor="text2"/>
    </w:rPr>
  </w:style>
  <w:style w:type="table" w:styleId="TableGrid">
    <w:name w:val="Table Grid"/>
    <w:aliases w:val="Products"/>
    <w:basedOn w:val="TableNormal"/>
    <w:uiPriority w:val="39"/>
    <w:rsid w:val="001F7FD9"/>
    <w:pPr>
      <w:spacing w:after="0" w:line="240" w:lineRule="auto"/>
      <w:jc w:val="center"/>
    </w:pPr>
    <w:rPr>
      <w:rFonts w:ascii="Arial" w:hAnsi="Arial"/>
      <w:color w:val="034EA2" w:themeColor="text2"/>
      <w:sz w:val="18"/>
    </w:rPr>
    <w:tblPr>
      <w:tblStyleRowBandSize w:val="1"/>
    </w:tblPr>
    <w:tblStylePr w:type="firstRow">
      <w:rPr>
        <w:color w:val="FFFFFF" w:themeColor="background1"/>
      </w:rPr>
    </w:tblStylePr>
    <w:tblStylePr w:type="firstCol">
      <w:pPr>
        <w:jc w:val="left"/>
      </w:pPr>
    </w:tblStylePr>
    <w:tblStylePr w:type="band1Horz">
      <w:rPr>
        <w:color w:val="262626" w:themeColor="text1" w:themeShade="80"/>
      </w:rPr>
    </w:tblStylePr>
    <w:tblStylePr w:type="band2Horz">
      <w:rPr>
        <w:color w:val="262626" w:themeColor="text1" w:themeShade="80"/>
      </w:rPr>
    </w:tblStylePr>
    <w:tblStylePr w:type="nwCell">
      <w:rPr>
        <w:rFonts w:ascii="Arial" w:hAnsi="Arial"/>
        <w:b/>
        <w:color w:val="4D4D4D" w:themeColor="text1"/>
        <w:sz w:val="18"/>
      </w:rPr>
    </w:tblStylePr>
  </w:style>
  <w:style w:type="paragraph" w:customStyle="1" w:styleId="Tablelist">
    <w:name w:val="Table list"/>
    <w:basedOn w:val="Normal"/>
    <w:link w:val="TablelistChar"/>
    <w:qFormat/>
    <w:rsid w:val="00AC15D3"/>
    <w:pPr>
      <w:spacing w:before="40" w:after="40" w:line="240" w:lineRule="auto"/>
    </w:pPr>
    <w:rPr>
      <w:sz w:val="18"/>
    </w:rPr>
  </w:style>
  <w:style w:type="character" w:customStyle="1" w:styleId="TablelistChar">
    <w:name w:val="Table list Char"/>
    <w:basedOn w:val="DefaultParagraphFont"/>
    <w:link w:val="Tablelist"/>
    <w:rsid w:val="00AC15D3"/>
    <w:rPr>
      <w:rFonts w:ascii="Arial" w:hAnsi="Arial"/>
      <w:sz w:val="18"/>
    </w:rPr>
  </w:style>
  <w:style w:type="paragraph" w:styleId="FootnoteText">
    <w:name w:val="footnote text"/>
    <w:aliases w:val="Char,Fußnote,Carattere,fn,Footnotes,Footnote ak,Footnote Text Char Char,fn Char Char,footnote text Char Char,Footnotes Char Char,Footnote ak Char Char,fn Char1,footnote text Char1,Footnotes Char1,ft,Footnote Text_EP-LC,Footnote Text Char1"/>
    <w:basedOn w:val="Normal"/>
    <w:link w:val="FootnoteTextChar"/>
    <w:unhideWhenUsed/>
    <w:qFormat/>
    <w:rsid w:val="0086174D"/>
    <w:pPr>
      <w:spacing w:before="0" w:after="0" w:line="240" w:lineRule="auto"/>
    </w:pPr>
    <w:rPr>
      <w:sz w:val="20"/>
      <w:szCs w:val="20"/>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
    <w:basedOn w:val="DefaultParagraphFont"/>
    <w:link w:val="FootnoteText"/>
    <w:uiPriority w:val="99"/>
    <w:qFormat/>
    <w:rsid w:val="0086174D"/>
    <w:rPr>
      <w:rFonts w:ascii="Arial" w:hAnsi="Arial"/>
      <w:sz w:val="20"/>
      <w:szCs w:val="20"/>
    </w:rPr>
  </w:style>
  <w:style w:type="character" w:styleId="FootnoteReference">
    <w:name w:val="footnote reference"/>
    <w:aliases w:val="SUPERS,Footnote symbol,Times 10 Point,Exposant 3 Point,Footnote,BVI fnr, Exposant 3 Point, BVI fnr,Footnote Reference Superscript,-E Fußnotenzeichen,number,stylish,Source Reference,Footnote reference number,note TESI,Ref,de nota al pi"/>
    <w:basedOn w:val="DefaultParagraphFont"/>
    <w:link w:val="SUPERSCharCharCharCharCharCharCharChar"/>
    <w:uiPriority w:val="99"/>
    <w:unhideWhenUsed/>
    <w:qFormat/>
    <w:rsid w:val="0086174D"/>
    <w:rPr>
      <w:vertAlign w:val="superscript"/>
    </w:rPr>
  </w:style>
  <w:style w:type="character" w:styleId="Hyperlink">
    <w:name w:val="Hyperlink"/>
    <w:basedOn w:val="DefaultParagraphFont"/>
    <w:uiPriority w:val="99"/>
    <w:unhideWhenUsed/>
    <w:rsid w:val="007F291D"/>
    <w:rPr>
      <w:color w:val="0563C1" w:themeColor="hyperlink"/>
      <w:u w:val="single"/>
    </w:rPr>
  </w:style>
  <w:style w:type="paragraph" w:styleId="Subtitle">
    <w:name w:val="Subtitle"/>
    <w:basedOn w:val="Normal"/>
    <w:next w:val="Normal"/>
    <w:link w:val="SubtitleChar"/>
    <w:uiPriority w:val="11"/>
    <w:qFormat/>
    <w:rsid w:val="00822926"/>
    <w:pPr>
      <w:numPr>
        <w:ilvl w:val="1"/>
      </w:numPr>
      <w:spacing w:after="160"/>
    </w:pPr>
    <w:rPr>
      <w:rFonts w:asciiTheme="minorHAnsi" w:eastAsiaTheme="minorEastAsia" w:hAnsiTheme="minorHAnsi"/>
      <w:color w:val="8B8B8B" w:themeColor="text1" w:themeTint="A5"/>
      <w:spacing w:val="15"/>
    </w:rPr>
  </w:style>
  <w:style w:type="character" w:customStyle="1" w:styleId="SubtitleChar">
    <w:name w:val="Subtitle Char"/>
    <w:basedOn w:val="DefaultParagraphFont"/>
    <w:link w:val="Subtitle"/>
    <w:uiPriority w:val="11"/>
    <w:rsid w:val="00822926"/>
    <w:rPr>
      <w:rFonts w:eastAsiaTheme="minorEastAsia"/>
      <w:color w:val="8B8B8B" w:themeColor="text1" w:themeTint="A5"/>
      <w:spacing w:val="15"/>
    </w:rPr>
  </w:style>
  <w:style w:type="paragraph" w:styleId="ListParagraph">
    <w:name w:val="List Paragraph"/>
    <w:basedOn w:val="Normal"/>
    <w:uiPriority w:val="34"/>
    <w:qFormat/>
    <w:rsid w:val="00E41FC2"/>
    <w:pPr>
      <w:ind w:left="720"/>
      <w:contextualSpacing/>
    </w:pPr>
  </w:style>
  <w:style w:type="paragraph" w:styleId="Caption">
    <w:name w:val="caption"/>
    <w:basedOn w:val="Normal"/>
    <w:next w:val="Normal"/>
    <w:uiPriority w:val="35"/>
    <w:unhideWhenUsed/>
    <w:qFormat/>
    <w:rsid w:val="0089137F"/>
    <w:pPr>
      <w:spacing w:before="0" w:after="200" w:line="240" w:lineRule="auto"/>
    </w:pPr>
    <w:rPr>
      <w:i/>
      <w:iCs/>
      <w:color w:val="034EA2" w:themeColor="text2"/>
      <w:sz w:val="18"/>
      <w:szCs w:val="18"/>
    </w:rPr>
  </w:style>
  <w:style w:type="paragraph" w:styleId="Revision">
    <w:name w:val="Revision"/>
    <w:hidden/>
    <w:uiPriority w:val="99"/>
    <w:semiHidden/>
    <w:rsid w:val="003F7B13"/>
    <w:pPr>
      <w:spacing w:after="0" w:line="240" w:lineRule="auto"/>
    </w:pPr>
    <w:rPr>
      <w:rFonts w:ascii="Arial" w:hAnsi="Arial"/>
    </w:rPr>
  </w:style>
  <w:style w:type="character" w:styleId="CommentReference">
    <w:name w:val="annotation reference"/>
    <w:basedOn w:val="DefaultParagraphFont"/>
    <w:uiPriority w:val="99"/>
    <w:unhideWhenUsed/>
    <w:rsid w:val="00B013AB"/>
    <w:rPr>
      <w:sz w:val="16"/>
      <w:szCs w:val="16"/>
    </w:rPr>
  </w:style>
  <w:style w:type="paragraph" w:styleId="CommentText">
    <w:name w:val="annotation text"/>
    <w:basedOn w:val="Normal"/>
    <w:link w:val="CommentTextChar"/>
    <w:uiPriority w:val="99"/>
    <w:unhideWhenUsed/>
    <w:rsid w:val="00B013AB"/>
    <w:pPr>
      <w:spacing w:line="240" w:lineRule="auto"/>
    </w:pPr>
    <w:rPr>
      <w:sz w:val="20"/>
      <w:szCs w:val="20"/>
    </w:rPr>
  </w:style>
  <w:style w:type="character" w:customStyle="1" w:styleId="CommentTextChar">
    <w:name w:val="Comment Text Char"/>
    <w:basedOn w:val="DefaultParagraphFont"/>
    <w:link w:val="CommentText"/>
    <w:uiPriority w:val="99"/>
    <w:rsid w:val="00B013AB"/>
    <w:rPr>
      <w:rFonts w:ascii="Arial" w:hAnsi="Arial"/>
      <w:sz w:val="20"/>
      <w:szCs w:val="20"/>
    </w:rPr>
  </w:style>
  <w:style w:type="paragraph" w:styleId="CommentSubject">
    <w:name w:val="annotation subject"/>
    <w:basedOn w:val="CommentText"/>
    <w:next w:val="CommentText"/>
    <w:link w:val="CommentSubjectChar"/>
    <w:uiPriority w:val="99"/>
    <w:unhideWhenUsed/>
    <w:rsid w:val="00B013AB"/>
    <w:rPr>
      <w:b/>
      <w:bCs/>
    </w:rPr>
  </w:style>
  <w:style w:type="character" w:customStyle="1" w:styleId="CommentSubjectChar">
    <w:name w:val="Comment Subject Char"/>
    <w:basedOn w:val="CommentTextChar"/>
    <w:link w:val="CommentSubject"/>
    <w:uiPriority w:val="99"/>
    <w:rsid w:val="00B013AB"/>
    <w:rPr>
      <w:rFonts w:ascii="Arial" w:hAnsi="Arial"/>
      <w:b/>
      <w:bCs/>
      <w:sz w:val="20"/>
      <w:szCs w:val="20"/>
    </w:rPr>
  </w:style>
  <w:style w:type="paragraph" w:styleId="BodyText">
    <w:name w:val="Body Text"/>
    <w:basedOn w:val="Normal"/>
    <w:link w:val="BodyTextChar"/>
    <w:uiPriority w:val="75"/>
    <w:rsid w:val="00215A83"/>
    <w:pPr>
      <w:spacing w:before="120" w:after="120" w:line="210" w:lineRule="atLeast"/>
      <w:jc w:val="both"/>
    </w:pPr>
    <w:rPr>
      <w:rFonts w:ascii="Cambria" w:eastAsia="MS Mincho" w:hAnsi="Cambria" w:cs="Cambria"/>
      <w:szCs w:val="20"/>
      <w:lang w:eastAsia="fr-FR"/>
    </w:rPr>
  </w:style>
  <w:style w:type="character" w:customStyle="1" w:styleId="BodyTextChar">
    <w:name w:val="Body Text Char"/>
    <w:basedOn w:val="DefaultParagraphFont"/>
    <w:link w:val="BodyText"/>
    <w:uiPriority w:val="75"/>
    <w:rsid w:val="00215A83"/>
    <w:rPr>
      <w:rFonts w:ascii="Cambria" w:eastAsia="MS Mincho" w:hAnsi="Cambria" w:cs="Cambria"/>
      <w:szCs w:val="20"/>
      <w:lang w:val="bg-BG" w:eastAsia="fr-FR"/>
    </w:rPr>
  </w:style>
  <w:style w:type="table" w:styleId="TableGridLight">
    <w:name w:val="Grid Table Light"/>
    <w:basedOn w:val="TableNormal"/>
    <w:uiPriority w:val="40"/>
    <w:rsid w:val="009541DB"/>
    <w:pPr>
      <w:spacing w:after="0" w:line="240" w:lineRule="auto"/>
    </w:pPr>
    <w:tblPr/>
  </w:style>
  <w:style w:type="character" w:styleId="FollowedHyperlink">
    <w:name w:val="FollowedHyperlink"/>
    <w:basedOn w:val="DefaultParagraphFont"/>
    <w:uiPriority w:val="99"/>
    <w:unhideWhenUsed/>
    <w:rsid w:val="008C23F9"/>
    <w:rPr>
      <w:color w:val="954F72"/>
      <w:u w:val="single"/>
    </w:rPr>
  </w:style>
  <w:style w:type="paragraph" w:customStyle="1" w:styleId="msonormal0">
    <w:name w:val="msonormal"/>
    <w:basedOn w:val="Normal"/>
    <w:rsid w:val="008C23F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63">
    <w:name w:val="xl63"/>
    <w:basedOn w:val="Normal"/>
    <w:rsid w:val="008C23F9"/>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64">
    <w:name w:val="xl64"/>
    <w:basedOn w:val="Normal"/>
    <w:rsid w:val="008C23F9"/>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65">
    <w:name w:val="xl65"/>
    <w:basedOn w:val="Normal"/>
    <w:rsid w:val="008C23F9"/>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66">
    <w:name w:val="xl66"/>
    <w:basedOn w:val="Normal"/>
    <w:rsid w:val="008C23F9"/>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67">
    <w:name w:val="xl67"/>
    <w:basedOn w:val="Normal"/>
    <w:rsid w:val="008C23F9"/>
    <w:pPr>
      <w:pBdr>
        <w:top w:val="single" w:sz="4" w:space="0" w:color="D0CECE"/>
        <w:bottom w:val="single" w:sz="4" w:space="0" w:color="D0CECE"/>
        <w:right w:val="single" w:sz="4" w:space="0" w:color="D0CECE"/>
      </w:pBdr>
      <w:shd w:val="clear" w:color="000000" w:fill="E7E6E6"/>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68">
    <w:name w:val="xl68"/>
    <w:basedOn w:val="Normal"/>
    <w:rsid w:val="008C23F9"/>
    <w:pPr>
      <w:pBdr>
        <w:top w:val="single" w:sz="4" w:space="0" w:color="D0CECE"/>
        <w:bottom w:val="single" w:sz="4" w:space="0" w:color="D0CECE"/>
        <w:right w:val="single" w:sz="4" w:space="0" w:color="D0CECE"/>
      </w:pBdr>
      <w:shd w:val="clear" w:color="000000" w:fill="E7E6E6"/>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69">
    <w:name w:val="xl69"/>
    <w:basedOn w:val="Normal"/>
    <w:rsid w:val="008C23F9"/>
    <w:pPr>
      <w:pBdr>
        <w:top w:val="single" w:sz="4" w:space="0" w:color="D0CECE"/>
        <w:left w:val="single" w:sz="4" w:space="0" w:color="D0CECE"/>
        <w:right w:val="single" w:sz="4" w:space="0" w:color="D0CECE"/>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0">
    <w:name w:val="xl70"/>
    <w:basedOn w:val="Normal"/>
    <w:rsid w:val="008C23F9"/>
    <w:pPr>
      <w:pBdr>
        <w:left w:val="single" w:sz="4" w:space="0" w:color="D0CECE"/>
        <w:bottom w:val="single" w:sz="4" w:space="0" w:color="D0CECE"/>
        <w:right w:val="single" w:sz="4" w:space="0" w:color="D0CECE"/>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1">
    <w:name w:val="xl71"/>
    <w:basedOn w:val="Normal"/>
    <w:rsid w:val="008C23F9"/>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2">
    <w:name w:val="xl72"/>
    <w:basedOn w:val="Normal"/>
    <w:rsid w:val="008C23F9"/>
    <w:pPr>
      <w:pBdr>
        <w:left w:val="single" w:sz="4" w:space="0" w:color="D0CECE"/>
        <w:right w:val="single" w:sz="4" w:space="0" w:color="D0CECE"/>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3">
    <w:name w:val="xl73"/>
    <w:basedOn w:val="Normal"/>
    <w:rsid w:val="008C23F9"/>
    <w:pPr>
      <w:pBdr>
        <w:top w:val="single" w:sz="4" w:space="0" w:color="D0CECE"/>
        <w:left w:val="single" w:sz="4" w:space="0" w:color="D0CECE"/>
        <w:right w:val="single" w:sz="4" w:space="0" w:color="D0CECE"/>
      </w:pBdr>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74">
    <w:name w:val="xl74"/>
    <w:basedOn w:val="Normal"/>
    <w:rsid w:val="008C23F9"/>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75">
    <w:name w:val="xl75"/>
    <w:basedOn w:val="Normal"/>
    <w:rsid w:val="008C23F9"/>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76">
    <w:name w:val="xl76"/>
    <w:basedOn w:val="Normal"/>
    <w:rsid w:val="008C23F9"/>
    <w:pPr>
      <w:pBdr>
        <w:left w:val="single" w:sz="4" w:space="0" w:color="D0CECE"/>
        <w:bottom w:val="single" w:sz="4" w:space="0" w:color="D0CECE"/>
        <w:right w:val="single" w:sz="4" w:space="0" w:color="D0CECE"/>
      </w:pBdr>
      <w:shd w:val="clear" w:color="000000" w:fill="E7E6E6"/>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7">
    <w:name w:val="xl77"/>
    <w:basedOn w:val="Normal"/>
    <w:rsid w:val="008C23F9"/>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78">
    <w:name w:val="xl78"/>
    <w:basedOn w:val="Normal"/>
    <w:rsid w:val="008C23F9"/>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79">
    <w:name w:val="xl79"/>
    <w:basedOn w:val="Normal"/>
    <w:rsid w:val="008C23F9"/>
    <w:pPr>
      <w:pBdr>
        <w:top w:val="single" w:sz="4" w:space="0" w:color="D0CECE"/>
        <w:left w:val="single" w:sz="4" w:space="0" w:color="D0CECE"/>
        <w:right w:val="single" w:sz="4" w:space="0" w:color="D0CECE"/>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80">
    <w:name w:val="xl80"/>
    <w:basedOn w:val="Normal"/>
    <w:rsid w:val="008C23F9"/>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81">
    <w:name w:val="xl81"/>
    <w:basedOn w:val="Normal"/>
    <w:rsid w:val="008C23F9"/>
    <w:pPr>
      <w:pBdr>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82">
    <w:name w:val="xl82"/>
    <w:basedOn w:val="Normal"/>
    <w:rsid w:val="008C23F9"/>
    <w:pPr>
      <w:pBdr>
        <w:left w:val="single" w:sz="4" w:space="0" w:color="D0CECE"/>
        <w:bottom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83">
    <w:name w:val="xl83"/>
    <w:basedOn w:val="Normal"/>
    <w:rsid w:val="008C23F9"/>
    <w:pPr>
      <w:pBdr>
        <w:top w:val="single" w:sz="4" w:space="0" w:color="D0CECE"/>
        <w:bottom w:val="single" w:sz="4" w:space="0" w:color="D0CECE"/>
        <w:right w:val="single" w:sz="4" w:space="0" w:color="D0CECE"/>
      </w:pBdr>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unhideWhenUsed/>
    <w:rsid w:val="008C23F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C23F9"/>
    <w:rPr>
      <w:rFonts w:ascii="Segoe UI" w:hAnsi="Segoe UI" w:cs="Segoe UI"/>
      <w:sz w:val="18"/>
      <w:szCs w:val="18"/>
    </w:rPr>
  </w:style>
  <w:style w:type="character" w:styleId="PlaceholderText">
    <w:name w:val="Placeholder Text"/>
    <w:basedOn w:val="DefaultParagraphFont"/>
    <w:uiPriority w:val="99"/>
    <w:rsid w:val="008C23F9"/>
    <w:rPr>
      <w:color w:val="808080"/>
    </w:rPr>
  </w:style>
  <w:style w:type="character" w:customStyle="1" w:styleId="UnresolvedMention">
    <w:name w:val="Unresolved Mention"/>
    <w:basedOn w:val="DefaultParagraphFont"/>
    <w:uiPriority w:val="99"/>
    <w:unhideWhenUsed/>
    <w:rsid w:val="008C23F9"/>
    <w:rPr>
      <w:color w:val="605E5C"/>
      <w:shd w:val="clear" w:color="auto" w:fill="E1DFDD"/>
    </w:rPr>
  </w:style>
  <w:style w:type="paragraph" w:styleId="NoSpacing">
    <w:name w:val="No Spacing"/>
    <w:uiPriority w:val="1"/>
    <w:qFormat/>
    <w:rsid w:val="008C23F9"/>
    <w:pPr>
      <w:spacing w:after="0" w:line="240" w:lineRule="auto"/>
    </w:pPr>
    <w:rPr>
      <w:rFonts w:ascii="Arial" w:hAnsi="Arial"/>
    </w:rPr>
  </w:style>
  <w:style w:type="table" w:customStyle="1" w:styleId="Standards">
    <w:name w:val="Standards"/>
    <w:basedOn w:val="TableNormal"/>
    <w:uiPriority w:val="99"/>
    <w:rsid w:val="008C23F9"/>
    <w:pPr>
      <w:spacing w:after="0" w:line="276" w:lineRule="auto"/>
    </w:pPr>
    <w:rPr>
      <w:rFonts w:ascii="Times New Roman" w:hAnsi="Times New Roman"/>
      <w:sz w:val="18"/>
      <w:szCs w:val="20"/>
      <w:lang w:eastAsia="en-IE"/>
    </w:rPr>
    <w:tblPr>
      <w:tblStyleColBandSize w:val="1"/>
    </w:tblPr>
    <w:tcPr>
      <w:tcBorders>
        <w:top w:val="nil"/>
        <w:left w:val="nil"/>
        <w:bottom w:val="single" w:sz="6" w:space="0" w:color="000000"/>
        <w:right w:val="nil"/>
      </w:tcBorders>
      <w:shd w:val="pct25" w:color="808000" w:fill="FFFFFF"/>
    </w:tcPr>
    <w:tblStylePr w:type="firstRow">
      <w:rPr>
        <w:rFonts w:ascii="Times New Roman" w:hAnsi="Times New Roman"/>
        <w:b/>
        <w:i w:val="0"/>
        <w:caps w:val="0"/>
        <w:smallCaps w:val="0"/>
        <w:strike w:val="0"/>
        <w:dstrike w:val="0"/>
        <w:vanish w:val="0"/>
        <w:sz w:val="18"/>
        <w:vertAlign w:val="baseline"/>
      </w:rPr>
    </w:tblStylePr>
    <w:tblStylePr w:type="lastRow">
      <w:rPr>
        <w:rFonts w:ascii="Times New Roman" w:hAnsi="Times New Roman"/>
      </w:rPr>
    </w:tblStylePr>
    <w:tblStylePr w:type="firstCol">
      <w:rPr>
        <w:rFonts w:ascii="Times New Roman" w:hAnsi="Times New Roman"/>
      </w:rPr>
    </w:tblStylePr>
    <w:tblStylePr w:type="lastCol">
      <w:rPr>
        <w:rFonts w:ascii="Times New Roman" w:hAnsi="Times New Roman"/>
      </w:rPr>
    </w:tblStylePr>
    <w:tblStylePr w:type="band1Vert">
      <w:pPr>
        <w:jc w:val="left"/>
      </w:pPr>
      <w:rPr>
        <w:rFonts w:ascii="Times New Roman" w:hAnsi="Times New Roman"/>
      </w:rPr>
    </w:tblStylePr>
    <w:tblStylePr w:type="band2Vert">
      <w:rPr>
        <w:rFonts w:ascii="Times New Roman" w:hAnsi="Times New Roman"/>
        <w:sz w:val="18"/>
      </w:rPr>
    </w:tblStylePr>
    <w:tblStylePr w:type="band1Horz">
      <w:rPr>
        <w:rFonts w:ascii="Times New Roman" w:hAnsi="Times New Roman"/>
      </w:rPr>
    </w:tblStylePr>
    <w:tblStylePr w:type="band2Horz">
      <w:rPr>
        <w:rFonts w:ascii="Times New Roman" w:hAnsi="Times New Roman"/>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OCHeading">
    <w:name w:val="TOC Heading"/>
    <w:basedOn w:val="Normal"/>
    <w:next w:val="Normal"/>
    <w:uiPriority w:val="39"/>
    <w:qFormat/>
    <w:rsid w:val="008C23F9"/>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rsid w:val="00114FE0"/>
    <w:pPr>
      <w:tabs>
        <w:tab w:val="right" w:leader="underscore" w:pos="11340"/>
      </w:tabs>
      <w:spacing w:line="240" w:lineRule="auto"/>
      <w:ind w:left="851" w:hanging="851"/>
    </w:pPr>
    <w:rPr>
      <w:rFonts w:cs="Times New Roman"/>
      <w:color w:val="034EA2" w:themeColor="text2"/>
    </w:rPr>
  </w:style>
  <w:style w:type="paragraph" w:styleId="TOC2">
    <w:name w:val="toc 2"/>
    <w:basedOn w:val="Normal"/>
    <w:next w:val="Normal"/>
    <w:uiPriority w:val="39"/>
    <w:rsid w:val="00114FE0"/>
    <w:pPr>
      <w:tabs>
        <w:tab w:val="right" w:leader="underscore" w:pos="11340"/>
      </w:tabs>
      <w:spacing w:line="240" w:lineRule="auto"/>
      <w:ind w:left="851" w:hanging="567"/>
      <w:contextualSpacing/>
    </w:pPr>
    <w:rPr>
      <w:rFonts w:cs="Times New Roman"/>
    </w:rPr>
  </w:style>
  <w:style w:type="paragraph" w:styleId="TOC3">
    <w:name w:val="toc 3"/>
    <w:basedOn w:val="Normal"/>
    <w:next w:val="Normal"/>
    <w:uiPriority w:val="39"/>
    <w:rsid w:val="008C23F9"/>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rsid w:val="008C23F9"/>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rsid w:val="008C23F9"/>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rsid w:val="008C23F9"/>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rsid w:val="008C23F9"/>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rsid w:val="008C23F9"/>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rsid w:val="008C23F9"/>
    <w:pPr>
      <w:tabs>
        <w:tab w:val="right" w:leader="dot" w:pos="9071"/>
      </w:tabs>
      <w:spacing w:before="120" w:after="120" w:line="240" w:lineRule="auto"/>
      <w:ind w:left="1417" w:hanging="1417"/>
    </w:pPr>
    <w:rPr>
      <w:rFonts w:ascii="Times New Roman" w:hAnsi="Times New Roman" w:cs="Times New Roman"/>
      <w:sz w:val="24"/>
    </w:rPr>
  </w:style>
  <w:style w:type="paragraph" w:customStyle="1" w:styleId="HeaderLandscape">
    <w:name w:val="HeaderLandscape"/>
    <w:basedOn w:val="Normal"/>
    <w:rsid w:val="008C23F9"/>
    <w:pPr>
      <w:tabs>
        <w:tab w:val="center" w:pos="7285"/>
        <w:tab w:val="right" w:pos="14003"/>
      </w:tabs>
      <w:spacing w:before="0" w:after="120" w:line="240" w:lineRule="auto"/>
      <w:jc w:val="both"/>
    </w:pPr>
    <w:rPr>
      <w:rFonts w:ascii="Times New Roman" w:hAnsi="Times New Roman" w:cs="Times New Roman"/>
      <w:sz w:val="24"/>
    </w:rPr>
  </w:style>
  <w:style w:type="paragraph" w:customStyle="1" w:styleId="FooterLandscape">
    <w:name w:val="FooterLandscape"/>
    <w:basedOn w:val="Normal"/>
    <w:rsid w:val="008C23F9"/>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HeaderSensitivity">
    <w:name w:val="Header Sensitivity"/>
    <w:basedOn w:val="Normal"/>
    <w:rsid w:val="008C23F9"/>
    <w:pPr>
      <w:pBdr>
        <w:top w:val="single" w:sz="4" w:space="1" w:color="auto"/>
        <w:left w:val="single" w:sz="4" w:space="4" w:color="auto"/>
        <w:bottom w:val="single" w:sz="4" w:space="1" w:color="auto"/>
        <w:right w:val="single" w:sz="4" w:space="4" w:color="auto"/>
      </w:pBdr>
      <w:spacing w:before="0" w:after="120" w:line="240" w:lineRule="auto"/>
      <w:ind w:left="113" w:right="113"/>
      <w:jc w:val="center"/>
    </w:pPr>
    <w:rPr>
      <w:rFonts w:ascii="Times New Roman" w:hAnsi="Times New Roman" w:cs="Times New Roman"/>
      <w:b/>
      <w:sz w:val="32"/>
    </w:rPr>
  </w:style>
  <w:style w:type="paragraph" w:customStyle="1" w:styleId="FooterSensitivity">
    <w:name w:val="Footer Sensitivity"/>
    <w:basedOn w:val="Normal"/>
    <w:rsid w:val="008C23F9"/>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paragraph" w:customStyle="1" w:styleId="Text1">
    <w:name w:val="Text 1"/>
    <w:basedOn w:val="Normal"/>
    <w:qFormat/>
    <w:rsid w:val="008C23F9"/>
    <w:pPr>
      <w:spacing w:before="120" w:after="120" w:line="240" w:lineRule="auto"/>
      <w:ind w:left="850"/>
      <w:jc w:val="both"/>
    </w:pPr>
    <w:rPr>
      <w:rFonts w:ascii="Times New Roman" w:hAnsi="Times New Roman" w:cs="Times New Roman"/>
      <w:sz w:val="24"/>
    </w:rPr>
  </w:style>
  <w:style w:type="paragraph" w:customStyle="1" w:styleId="Text2">
    <w:name w:val="Text 2"/>
    <w:basedOn w:val="Normal"/>
    <w:rsid w:val="008C23F9"/>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8C23F9"/>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8C23F9"/>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8C23F9"/>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8C23F9"/>
    <w:pPr>
      <w:spacing w:before="120" w:after="120" w:line="240" w:lineRule="auto"/>
    </w:pPr>
    <w:rPr>
      <w:rFonts w:ascii="Times New Roman" w:hAnsi="Times New Roman" w:cs="Times New Roman"/>
      <w:sz w:val="24"/>
    </w:rPr>
  </w:style>
  <w:style w:type="paragraph" w:customStyle="1" w:styleId="NormalRight">
    <w:name w:val="Normal Right"/>
    <w:basedOn w:val="Normal"/>
    <w:rsid w:val="008C23F9"/>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8C23F9"/>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8C23F9"/>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8C23F9"/>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8C23F9"/>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8C23F9"/>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8C23F9"/>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8C23F9"/>
    <w:pPr>
      <w:numPr>
        <w:numId w:val="1"/>
      </w:numPr>
    </w:pPr>
  </w:style>
  <w:style w:type="paragraph" w:customStyle="1" w:styleId="Tiret1">
    <w:name w:val="Tiret 1"/>
    <w:basedOn w:val="Point1"/>
    <w:rsid w:val="008C23F9"/>
    <w:pPr>
      <w:numPr>
        <w:numId w:val="2"/>
      </w:numPr>
    </w:pPr>
  </w:style>
  <w:style w:type="paragraph" w:customStyle="1" w:styleId="Tiret2">
    <w:name w:val="Tiret 2"/>
    <w:basedOn w:val="Point2"/>
    <w:rsid w:val="008C23F9"/>
    <w:pPr>
      <w:numPr>
        <w:numId w:val="3"/>
      </w:numPr>
    </w:pPr>
  </w:style>
  <w:style w:type="paragraph" w:customStyle="1" w:styleId="Tiret3">
    <w:name w:val="Tiret 3"/>
    <w:basedOn w:val="Point3"/>
    <w:rsid w:val="008C23F9"/>
    <w:pPr>
      <w:numPr>
        <w:numId w:val="4"/>
      </w:numPr>
    </w:pPr>
  </w:style>
  <w:style w:type="paragraph" w:customStyle="1" w:styleId="Tiret4">
    <w:name w:val="Tiret 4"/>
    <w:basedOn w:val="Point4"/>
    <w:rsid w:val="008C23F9"/>
    <w:pPr>
      <w:numPr>
        <w:numId w:val="5"/>
      </w:numPr>
    </w:pPr>
  </w:style>
  <w:style w:type="paragraph" w:customStyle="1" w:styleId="PointDouble0">
    <w:name w:val="PointDouble 0"/>
    <w:basedOn w:val="Normal"/>
    <w:rsid w:val="008C23F9"/>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8C23F9"/>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8C23F9"/>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8C23F9"/>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8C23F9"/>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8C23F9"/>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8C23F9"/>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8C23F9"/>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8C23F9"/>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8C23F9"/>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8C23F9"/>
    <w:pPr>
      <w:numPr>
        <w:numId w:val="18"/>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8C23F9"/>
    <w:pPr>
      <w:numPr>
        <w:ilvl w:val="1"/>
        <w:numId w:val="18"/>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8C23F9"/>
    <w:pPr>
      <w:numPr>
        <w:ilvl w:val="2"/>
        <w:numId w:val="18"/>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8C23F9"/>
    <w:pPr>
      <w:numPr>
        <w:ilvl w:val="3"/>
        <w:numId w:val="18"/>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8C23F9"/>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8C23F9"/>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8C23F9"/>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8C23F9"/>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8C23F9"/>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8C23F9"/>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8C23F9"/>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8C23F9"/>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8C23F9"/>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8C23F9"/>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8C23F9"/>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8C23F9"/>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8C23F9"/>
    <w:pPr>
      <w:spacing w:before="120" w:after="120" w:line="240" w:lineRule="auto"/>
      <w:jc w:val="center"/>
    </w:pPr>
    <w:rPr>
      <w:rFonts w:ascii="Times New Roman" w:hAnsi="Times New Roman" w:cs="Times New Roman"/>
      <w:b/>
      <w:sz w:val="24"/>
    </w:rPr>
  </w:style>
  <w:style w:type="character" w:customStyle="1" w:styleId="Marker">
    <w:name w:val="Marker"/>
    <w:basedOn w:val="DefaultParagraphFont"/>
    <w:rsid w:val="008C23F9"/>
    <w:rPr>
      <w:color w:val="0000FF"/>
      <w:shd w:val="clear" w:color="auto" w:fill="auto"/>
    </w:rPr>
  </w:style>
  <w:style w:type="character" w:customStyle="1" w:styleId="Marker1">
    <w:name w:val="Marker1"/>
    <w:basedOn w:val="DefaultParagraphFont"/>
    <w:rsid w:val="008C23F9"/>
    <w:rPr>
      <w:color w:val="008000"/>
      <w:shd w:val="clear" w:color="auto" w:fill="auto"/>
    </w:rPr>
  </w:style>
  <w:style w:type="character" w:customStyle="1" w:styleId="Marker2">
    <w:name w:val="Marker2"/>
    <w:basedOn w:val="DefaultParagraphFont"/>
    <w:rsid w:val="008C23F9"/>
    <w:rPr>
      <w:color w:val="FF0000"/>
      <w:shd w:val="clear" w:color="auto" w:fill="auto"/>
    </w:rPr>
  </w:style>
  <w:style w:type="paragraph" w:customStyle="1" w:styleId="Point0number">
    <w:name w:val="Point 0 (number)"/>
    <w:basedOn w:val="Normal"/>
    <w:rsid w:val="008C23F9"/>
    <w:pPr>
      <w:tabs>
        <w:tab w:val="num" w:pos="850"/>
      </w:tabs>
      <w:spacing w:before="120" w:after="120" w:line="240" w:lineRule="auto"/>
      <w:ind w:left="850" w:hanging="850"/>
      <w:jc w:val="both"/>
    </w:pPr>
    <w:rPr>
      <w:rFonts w:ascii="Times New Roman" w:hAnsi="Times New Roman" w:cs="Times New Roman"/>
      <w:sz w:val="24"/>
    </w:rPr>
  </w:style>
  <w:style w:type="paragraph" w:customStyle="1" w:styleId="Point1number">
    <w:name w:val="Point 1 (number)"/>
    <w:basedOn w:val="Normal"/>
    <w:rsid w:val="008C23F9"/>
    <w:pPr>
      <w:tabs>
        <w:tab w:val="num" w:pos="1417"/>
      </w:tabs>
      <w:spacing w:before="120" w:after="120" w:line="240" w:lineRule="auto"/>
      <w:ind w:left="1417" w:hanging="567"/>
      <w:jc w:val="both"/>
    </w:pPr>
    <w:rPr>
      <w:rFonts w:ascii="Times New Roman" w:hAnsi="Times New Roman" w:cs="Times New Roman"/>
      <w:sz w:val="24"/>
    </w:rPr>
  </w:style>
  <w:style w:type="paragraph" w:customStyle="1" w:styleId="Point2number">
    <w:name w:val="Point 2 (number)"/>
    <w:basedOn w:val="Normal"/>
    <w:rsid w:val="008C23F9"/>
    <w:pPr>
      <w:tabs>
        <w:tab w:val="num" w:pos="1984"/>
      </w:tabs>
      <w:spacing w:before="120" w:after="120" w:line="240" w:lineRule="auto"/>
      <w:ind w:left="1984" w:hanging="567"/>
      <w:jc w:val="both"/>
    </w:pPr>
    <w:rPr>
      <w:rFonts w:ascii="Times New Roman" w:hAnsi="Times New Roman" w:cs="Times New Roman"/>
      <w:sz w:val="24"/>
    </w:rPr>
  </w:style>
  <w:style w:type="paragraph" w:customStyle="1" w:styleId="Point3number">
    <w:name w:val="Point 3 (number)"/>
    <w:basedOn w:val="Normal"/>
    <w:rsid w:val="008C23F9"/>
    <w:pPr>
      <w:numPr>
        <w:ilvl w:val="6"/>
        <w:numId w:val="6"/>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8C23F9"/>
    <w:pPr>
      <w:numPr>
        <w:ilvl w:val="1"/>
        <w:numId w:val="6"/>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8C23F9"/>
    <w:pPr>
      <w:numPr>
        <w:ilvl w:val="3"/>
        <w:numId w:val="6"/>
      </w:num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8C23F9"/>
    <w:pPr>
      <w:numPr>
        <w:ilvl w:val="5"/>
        <w:numId w:val="6"/>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8C23F9"/>
    <w:pPr>
      <w:numPr>
        <w:ilvl w:val="7"/>
        <w:numId w:val="6"/>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8C23F9"/>
    <w:pPr>
      <w:numPr>
        <w:ilvl w:val="8"/>
        <w:numId w:val="6"/>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8C23F9"/>
    <w:pPr>
      <w:numPr>
        <w:numId w:val="7"/>
      </w:numPr>
      <w:spacing w:before="120" w:after="120" w:line="240" w:lineRule="auto"/>
      <w:jc w:val="both"/>
    </w:pPr>
    <w:rPr>
      <w:rFonts w:ascii="Times New Roman" w:hAnsi="Times New Roman" w:cs="Times New Roman"/>
      <w:sz w:val="24"/>
    </w:rPr>
  </w:style>
  <w:style w:type="paragraph" w:customStyle="1" w:styleId="Bullet1">
    <w:name w:val="Bullet 1"/>
    <w:basedOn w:val="Normal"/>
    <w:rsid w:val="008C23F9"/>
    <w:pPr>
      <w:numPr>
        <w:numId w:val="8"/>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8C23F9"/>
    <w:pPr>
      <w:numPr>
        <w:numId w:val="9"/>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8C23F9"/>
    <w:pPr>
      <w:numPr>
        <w:numId w:val="10"/>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8C23F9"/>
    <w:pPr>
      <w:numPr>
        <w:numId w:val="11"/>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8C23F9"/>
    <w:pPr>
      <w:framePr w:wrap="around" w:vAnchor="page" w:hAnchor="text" w:xAlign="center" w:y="14741"/>
      <w:spacing w:before="0"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8C23F9"/>
    <w:pPr>
      <w:spacing w:before="0" w:after="0" w:line="240" w:lineRule="auto"/>
    </w:pPr>
    <w:rPr>
      <w:rFonts w:cs="Arial"/>
      <w:sz w:val="24"/>
    </w:rPr>
  </w:style>
  <w:style w:type="paragraph" w:customStyle="1" w:styleId="Emission">
    <w:name w:val="Emission"/>
    <w:basedOn w:val="Normal"/>
    <w:next w:val="Rfrenceinstitutionnelle"/>
    <w:rsid w:val="008C23F9"/>
    <w:pPr>
      <w:spacing w:before="0"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8C23F9"/>
    <w:pPr>
      <w:spacing w:before="0" w:after="240" w:line="240" w:lineRule="auto"/>
      <w:ind w:left="5103"/>
    </w:pPr>
    <w:rPr>
      <w:rFonts w:ascii="Times New Roman" w:hAnsi="Times New Roman" w:cs="Times New Roman"/>
      <w:sz w:val="24"/>
    </w:rPr>
  </w:style>
  <w:style w:type="paragraph" w:customStyle="1" w:styleId="Pagedecouverture">
    <w:name w:val="Page de couverture"/>
    <w:basedOn w:val="Normal"/>
    <w:next w:val="Normal"/>
    <w:link w:val="PagedecouvertureChar"/>
    <w:rsid w:val="008C23F9"/>
    <w:pPr>
      <w:spacing w:before="0" w:after="0" w:line="240" w:lineRule="auto"/>
      <w:jc w:val="both"/>
    </w:pPr>
    <w:rPr>
      <w:rFonts w:ascii="Times New Roman" w:hAnsi="Times New Roman" w:cs="Times New Roman"/>
      <w:sz w:val="24"/>
    </w:rPr>
  </w:style>
  <w:style w:type="paragraph" w:customStyle="1" w:styleId="Declassification">
    <w:name w:val="Declassification"/>
    <w:basedOn w:val="Normal"/>
    <w:next w:val="Normal"/>
    <w:rsid w:val="008C23F9"/>
    <w:pPr>
      <w:spacing w:before="0" w:after="0" w:line="240" w:lineRule="auto"/>
      <w:jc w:val="both"/>
    </w:pPr>
    <w:rPr>
      <w:rFonts w:ascii="Times New Roman" w:hAnsi="Times New Roman" w:cs="Times New Roman"/>
      <w:sz w:val="24"/>
    </w:rPr>
  </w:style>
  <w:style w:type="paragraph" w:customStyle="1" w:styleId="Disclaimer">
    <w:name w:val="Disclaimer"/>
    <w:basedOn w:val="Normal"/>
    <w:rsid w:val="008C23F9"/>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Annexetitreexpos">
    <w:name w:val="Annexe titre (exposé)"/>
    <w:basedOn w:val="Normal"/>
    <w:next w:val="Normal"/>
    <w:rsid w:val="008C23F9"/>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8C23F9"/>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8C23F9"/>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8C23F9"/>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8C23F9"/>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8C23F9"/>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8C23F9"/>
    <w:pPr>
      <w:spacing w:before="240" w:after="240" w:line="240" w:lineRule="auto"/>
      <w:ind w:left="5103"/>
    </w:pPr>
    <w:rPr>
      <w:rFonts w:ascii="Times New Roman" w:hAnsi="Times New Roman" w:cs="Times New Roman"/>
      <w:i/>
      <w:sz w:val="32"/>
    </w:rPr>
  </w:style>
  <w:style w:type="paragraph" w:customStyle="1" w:styleId="Considrant">
    <w:name w:val="Considérant"/>
    <w:basedOn w:val="Normal"/>
    <w:rsid w:val="008C23F9"/>
    <w:pPr>
      <w:numPr>
        <w:numId w:val="12"/>
      </w:numPr>
      <w:spacing w:before="120" w:after="120" w:line="240" w:lineRule="auto"/>
      <w:jc w:val="both"/>
    </w:pPr>
    <w:rPr>
      <w:rFonts w:ascii="Times New Roman" w:hAnsi="Times New Roman" w:cs="Times New Roman"/>
      <w:sz w:val="24"/>
    </w:rPr>
  </w:style>
  <w:style w:type="paragraph" w:customStyle="1" w:styleId="Corrigendum">
    <w:name w:val="Corrigendum"/>
    <w:basedOn w:val="Normal"/>
    <w:next w:val="Normal"/>
    <w:rsid w:val="008C23F9"/>
    <w:pPr>
      <w:spacing w:before="0" w:after="240" w:line="240" w:lineRule="auto"/>
    </w:pPr>
    <w:rPr>
      <w:rFonts w:ascii="Times New Roman" w:hAnsi="Times New Roman" w:cs="Times New Roman"/>
      <w:sz w:val="24"/>
    </w:rPr>
  </w:style>
  <w:style w:type="paragraph" w:customStyle="1" w:styleId="Datedadoption">
    <w:name w:val="Date d'adoption"/>
    <w:basedOn w:val="Normal"/>
    <w:next w:val="IntrtEEE"/>
    <w:rsid w:val="008C23F9"/>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8C23F9"/>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8C23F9"/>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8C23F9"/>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8C23F9"/>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8C23F9"/>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8C23F9"/>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8C23F9"/>
    <w:pPr>
      <w:tabs>
        <w:tab w:val="left" w:pos="4252"/>
      </w:tabs>
      <w:spacing w:before="0"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8C23F9"/>
    <w:pPr>
      <w:spacing w:before="0"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8C23F9"/>
    <w:pPr>
      <w:spacing w:before="0" w:after="0" w:line="240" w:lineRule="auto"/>
      <w:ind w:left="5103"/>
    </w:pPr>
    <w:rPr>
      <w:rFonts w:ascii="Times New Roman" w:hAnsi="Times New Roman" w:cs="Times New Roman"/>
      <w:sz w:val="24"/>
    </w:rPr>
  </w:style>
  <w:style w:type="paragraph" w:customStyle="1" w:styleId="Statut">
    <w:name w:val="Statut"/>
    <w:basedOn w:val="Normal"/>
    <w:next w:val="Typedudocument"/>
    <w:rsid w:val="008C23F9"/>
    <w:pPr>
      <w:spacing w:before="0"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8C23F9"/>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8C23F9"/>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8C23F9"/>
    <w:rPr>
      <w:b/>
      <w:u w:val="single"/>
      <w:shd w:val="clear" w:color="auto" w:fill="auto"/>
    </w:rPr>
  </w:style>
  <w:style w:type="character" w:customStyle="1" w:styleId="Deleted">
    <w:name w:val="Deleted"/>
    <w:basedOn w:val="DefaultParagraphFont"/>
    <w:rsid w:val="008C23F9"/>
    <w:rPr>
      <w:strike/>
      <w:dstrike w:val="0"/>
      <w:shd w:val="clear" w:color="auto" w:fill="auto"/>
    </w:rPr>
  </w:style>
  <w:style w:type="paragraph" w:customStyle="1" w:styleId="Address">
    <w:name w:val="Address"/>
    <w:basedOn w:val="Normal"/>
    <w:next w:val="Normal"/>
    <w:rsid w:val="008C23F9"/>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8C23F9"/>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8C23F9"/>
    <w:pPr>
      <w:spacing w:before="0"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867F15"/>
    <w:pPr>
      <w:spacing w:before="360" w:after="240" w:line="240" w:lineRule="auto"/>
      <w:jc w:val="center"/>
    </w:pPr>
    <w:rPr>
      <w:rFonts w:ascii="Times New Roman" w:hAnsi="Times New Roman" w:cs="Times New Roman"/>
      <w:sz w:val="24"/>
    </w:rPr>
  </w:style>
  <w:style w:type="paragraph" w:customStyle="1" w:styleId="Rfrencecroise">
    <w:name w:val="Référence croisée"/>
    <w:basedOn w:val="Normal"/>
    <w:rsid w:val="008C23F9"/>
    <w:pPr>
      <w:spacing w:before="0"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8C23F9"/>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8C23F9"/>
  </w:style>
  <w:style w:type="paragraph" w:customStyle="1" w:styleId="RfrenceinterinstitutionnellePagedecouverture">
    <w:name w:val="Référence interinstitutionnelle (Page de couverture)"/>
    <w:basedOn w:val="Rfrenceinterinstitutionnelle"/>
    <w:next w:val="Confidentialit"/>
    <w:rsid w:val="008C23F9"/>
  </w:style>
  <w:style w:type="paragraph" w:customStyle="1" w:styleId="StatutPagedecouverture">
    <w:name w:val="Statut (Page de couverture)"/>
    <w:basedOn w:val="Statut"/>
    <w:next w:val="TypedudocumentPagedecouverture"/>
    <w:rsid w:val="008C23F9"/>
  </w:style>
  <w:style w:type="paragraph" w:customStyle="1" w:styleId="TypedudocumentPagedecouverture">
    <w:name w:val="Type du document (Page de couverture)"/>
    <w:basedOn w:val="Typedudocument"/>
    <w:next w:val="AccompagnantPagedecouverture"/>
    <w:rsid w:val="008C23F9"/>
  </w:style>
  <w:style w:type="paragraph" w:customStyle="1" w:styleId="Volume">
    <w:name w:val="Volume"/>
    <w:basedOn w:val="Normal"/>
    <w:next w:val="Confidentialit"/>
    <w:rsid w:val="008C23F9"/>
    <w:pPr>
      <w:spacing w:before="0"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867F15"/>
    <w:pPr>
      <w:spacing w:after="0"/>
    </w:pPr>
  </w:style>
  <w:style w:type="paragraph" w:customStyle="1" w:styleId="Accompagnant">
    <w:name w:val="Accompagnant"/>
    <w:basedOn w:val="Normal"/>
    <w:next w:val="Typeacteprincipal"/>
    <w:rsid w:val="008C23F9"/>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8C23F9"/>
    <w:pPr>
      <w:spacing w:before="0"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8C23F9"/>
    <w:pPr>
      <w:spacing w:before="0"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Normal"/>
    <w:rsid w:val="00867F15"/>
  </w:style>
  <w:style w:type="paragraph" w:customStyle="1" w:styleId="AccompagnantPagedecouverture">
    <w:name w:val="Accompagnant (Page de couverture)"/>
    <w:basedOn w:val="Accompagnant"/>
    <w:next w:val="TypeacteprincipalPagedecouverture"/>
    <w:rsid w:val="008C23F9"/>
  </w:style>
  <w:style w:type="paragraph" w:customStyle="1" w:styleId="TypeacteprincipalPagedecouverture">
    <w:name w:val="Type acte principal (Page de couverture)"/>
    <w:basedOn w:val="Typeacteprincipal"/>
    <w:next w:val="ObjetacteprincipalPagedecouverture"/>
    <w:rsid w:val="008C23F9"/>
  </w:style>
  <w:style w:type="paragraph" w:customStyle="1" w:styleId="ObjetacteprincipalPagedecouverture">
    <w:name w:val="Objet acte principal (Page de couverture)"/>
    <w:basedOn w:val="Objetacteprincipal"/>
    <w:next w:val="Rfrencecroise"/>
    <w:rsid w:val="008C23F9"/>
  </w:style>
  <w:style w:type="paragraph" w:customStyle="1" w:styleId="LanguesfaisantfoiPagedecouverture">
    <w:name w:val="Langues faisant foi (Page de couverture)"/>
    <w:basedOn w:val="Normal"/>
    <w:next w:val="Rfrencecroise"/>
    <w:rsid w:val="00867F15"/>
    <w:pPr>
      <w:spacing w:before="360" w:after="240" w:line="240" w:lineRule="auto"/>
      <w:jc w:val="center"/>
    </w:pPr>
    <w:rPr>
      <w:rFonts w:ascii="Times New Roman" w:hAnsi="Times New Roman" w:cs="Times New Roman"/>
      <w:sz w:val="24"/>
    </w:rPr>
  </w:style>
  <w:style w:type="paragraph" w:styleId="ListBullet">
    <w:name w:val="List Bullet"/>
    <w:basedOn w:val="Normal"/>
    <w:uiPriority w:val="99"/>
    <w:rsid w:val="008C23F9"/>
    <w:pPr>
      <w:numPr>
        <w:numId w:val="13"/>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rsid w:val="008C23F9"/>
    <w:pPr>
      <w:numPr>
        <w:numId w:val="14"/>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rsid w:val="008C23F9"/>
    <w:pPr>
      <w:numPr>
        <w:numId w:val="15"/>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rsid w:val="008C23F9"/>
    <w:pPr>
      <w:numPr>
        <w:numId w:val="16"/>
      </w:numPr>
      <w:spacing w:before="120" w:after="120" w:line="240" w:lineRule="auto"/>
      <w:contextualSpacing/>
      <w:jc w:val="both"/>
    </w:pPr>
    <w:rPr>
      <w:rFonts w:ascii="Times New Roman" w:hAnsi="Times New Roman" w:cs="Times New Roman"/>
      <w:sz w:val="24"/>
    </w:rPr>
  </w:style>
  <w:style w:type="paragraph" w:customStyle="1" w:styleId="SecurityMarking">
    <w:name w:val="SecurityMarking"/>
    <w:basedOn w:val="Normal"/>
    <w:rsid w:val="008C23F9"/>
    <w:pPr>
      <w:spacing w:before="0" w:after="0" w:line="276" w:lineRule="auto"/>
      <w:ind w:left="5103"/>
    </w:pPr>
    <w:rPr>
      <w:rFonts w:ascii="Times New Roman" w:hAnsi="Times New Roman" w:cs="Times New Roman"/>
      <w:sz w:val="28"/>
    </w:rPr>
  </w:style>
  <w:style w:type="paragraph" w:customStyle="1" w:styleId="DateMarking">
    <w:name w:val="DateMarking"/>
    <w:basedOn w:val="Normal"/>
    <w:rsid w:val="008C23F9"/>
    <w:pPr>
      <w:spacing w:before="0" w:after="0" w:line="276" w:lineRule="auto"/>
      <w:ind w:left="5103"/>
    </w:pPr>
    <w:rPr>
      <w:rFonts w:ascii="Times New Roman" w:hAnsi="Times New Roman" w:cs="Times New Roman"/>
      <w:i/>
      <w:sz w:val="28"/>
    </w:rPr>
  </w:style>
  <w:style w:type="paragraph" w:customStyle="1" w:styleId="ReleasableTo">
    <w:name w:val="ReleasableTo"/>
    <w:basedOn w:val="Normal"/>
    <w:rsid w:val="008C23F9"/>
    <w:pPr>
      <w:spacing w:before="0" w:after="0" w:line="276" w:lineRule="auto"/>
      <w:ind w:left="5103"/>
    </w:pPr>
    <w:rPr>
      <w:rFonts w:ascii="Times New Roman" w:hAnsi="Times New Roman" w:cs="Times New Roman"/>
      <w:i/>
      <w:sz w:val="28"/>
    </w:rPr>
  </w:style>
  <w:style w:type="paragraph" w:customStyle="1" w:styleId="HeaderSensitivityRight">
    <w:name w:val="Header Sensitivity Right"/>
    <w:basedOn w:val="Normal"/>
    <w:rsid w:val="008C23F9"/>
    <w:pPr>
      <w:spacing w:before="0" w:after="120" w:line="240" w:lineRule="auto"/>
      <w:jc w:val="right"/>
    </w:pPr>
    <w:rPr>
      <w:rFonts w:ascii="Times New Roman" w:hAnsi="Times New Roman" w:cs="Times New Roman"/>
      <w:sz w:val="28"/>
    </w:rPr>
  </w:style>
  <w:style w:type="paragraph" w:customStyle="1" w:styleId="ManualHeading5">
    <w:name w:val="Manual Heading 5"/>
    <w:basedOn w:val="Normal"/>
    <w:next w:val="Text2"/>
    <w:rsid w:val="008C23F9"/>
    <w:pPr>
      <w:keepNext/>
      <w:tabs>
        <w:tab w:val="left" w:pos="1417"/>
      </w:tabs>
      <w:spacing w:before="120" w:after="120" w:line="240" w:lineRule="auto"/>
      <w:ind w:left="1417" w:hanging="1417"/>
      <w:jc w:val="both"/>
      <w:outlineLvl w:val="4"/>
    </w:pPr>
    <w:rPr>
      <w:rFonts w:ascii="Times New Roman" w:hAnsi="Times New Roman" w:cs="Times New Roman"/>
      <w:sz w:val="24"/>
    </w:rPr>
  </w:style>
  <w:style w:type="paragraph" w:customStyle="1" w:styleId="ManualHeading6">
    <w:name w:val="Manual Heading 6"/>
    <w:basedOn w:val="Normal"/>
    <w:next w:val="Text2"/>
    <w:rsid w:val="008C23F9"/>
    <w:pPr>
      <w:keepNext/>
      <w:tabs>
        <w:tab w:val="left" w:pos="1417"/>
      </w:tabs>
      <w:spacing w:before="120" w:after="120" w:line="240" w:lineRule="auto"/>
      <w:ind w:left="1417" w:hanging="1417"/>
      <w:jc w:val="both"/>
      <w:outlineLvl w:val="5"/>
    </w:pPr>
    <w:rPr>
      <w:rFonts w:ascii="Times New Roman" w:hAnsi="Times New Roman" w:cs="Times New Roman"/>
      <w:sz w:val="24"/>
    </w:rPr>
  </w:style>
  <w:style w:type="paragraph" w:customStyle="1" w:styleId="ManualHeading7">
    <w:name w:val="Manual Heading 7"/>
    <w:basedOn w:val="Normal"/>
    <w:next w:val="Text2"/>
    <w:rsid w:val="008C23F9"/>
    <w:pPr>
      <w:keepNext/>
      <w:tabs>
        <w:tab w:val="left" w:pos="1417"/>
      </w:tabs>
      <w:spacing w:before="120" w:after="120" w:line="240" w:lineRule="auto"/>
      <w:ind w:left="1417" w:hanging="1417"/>
      <w:jc w:val="both"/>
      <w:outlineLvl w:val="6"/>
    </w:pPr>
    <w:rPr>
      <w:rFonts w:ascii="Times New Roman" w:hAnsi="Times New Roman" w:cs="Times New Roman"/>
      <w:sz w:val="24"/>
    </w:rPr>
  </w:style>
  <w:style w:type="paragraph" w:customStyle="1" w:styleId="Text5">
    <w:name w:val="Text 5"/>
    <w:basedOn w:val="Normal"/>
    <w:rsid w:val="008C23F9"/>
    <w:pPr>
      <w:spacing w:before="120" w:after="120" w:line="240" w:lineRule="auto"/>
      <w:ind w:left="3118"/>
      <w:jc w:val="both"/>
    </w:pPr>
    <w:rPr>
      <w:rFonts w:ascii="Times New Roman" w:hAnsi="Times New Roman" w:cs="Times New Roman"/>
      <w:sz w:val="24"/>
    </w:rPr>
  </w:style>
  <w:style w:type="paragraph" w:customStyle="1" w:styleId="Text6">
    <w:name w:val="Text 6"/>
    <w:basedOn w:val="Normal"/>
    <w:rsid w:val="008C23F9"/>
    <w:pPr>
      <w:spacing w:before="120" w:after="120" w:line="240" w:lineRule="auto"/>
      <w:ind w:left="3685"/>
      <w:jc w:val="both"/>
    </w:pPr>
    <w:rPr>
      <w:rFonts w:ascii="Times New Roman" w:hAnsi="Times New Roman" w:cs="Times New Roman"/>
      <w:sz w:val="24"/>
    </w:rPr>
  </w:style>
  <w:style w:type="paragraph" w:customStyle="1" w:styleId="Point5">
    <w:name w:val="Point 5"/>
    <w:basedOn w:val="Normal"/>
    <w:rsid w:val="008C23F9"/>
    <w:pPr>
      <w:spacing w:before="120" w:after="120" w:line="240" w:lineRule="auto"/>
      <w:ind w:left="3685" w:hanging="567"/>
      <w:jc w:val="both"/>
    </w:pPr>
    <w:rPr>
      <w:rFonts w:ascii="Times New Roman" w:hAnsi="Times New Roman" w:cs="Times New Roman"/>
      <w:sz w:val="24"/>
    </w:rPr>
  </w:style>
  <w:style w:type="paragraph" w:customStyle="1" w:styleId="Tiret5">
    <w:name w:val="Tiret 5"/>
    <w:basedOn w:val="Point5"/>
    <w:rsid w:val="008C23F9"/>
    <w:pPr>
      <w:numPr>
        <w:numId w:val="17"/>
      </w:numPr>
    </w:pPr>
  </w:style>
  <w:style w:type="paragraph" w:customStyle="1" w:styleId="NumPar5">
    <w:name w:val="NumPar 5"/>
    <w:basedOn w:val="Normal"/>
    <w:next w:val="Text2"/>
    <w:rsid w:val="008C23F9"/>
    <w:pPr>
      <w:tabs>
        <w:tab w:val="num" w:pos="1417"/>
      </w:tabs>
      <w:spacing w:before="120" w:after="120" w:line="240" w:lineRule="auto"/>
      <w:ind w:left="1417" w:hanging="1417"/>
      <w:jc w:val="both"/>
    </w:pPr>
    <w:rPr>
      <w:rFonts w:ascii="Times New Roman" w:hAnsi="Times New Roman" w:cs="Times New Roman"/>
      <w:sz w:val="24"/>
    </w:rPr>
  </w:style>
  <w:style w:type="paragraph" w:customStyle="1" w:styleId="NumPar6">
    <w:name w:val="NumPar 6"/>
    <w:basedOn w:val="Normal"/>
    <w:next w:val="Text2"/>
    <w:rsid w:val="008C23F9"/>
    <w:pPr>
      <w:numPr>
        <w:ilvl w:val="5"/>
        <w:numId w:val="18"/>
      </w:numPr>
      <w:spacing w:before="120" w:after="120" w:line="240" w:lineRule="auto"/>
      <w:jc w:val="both"/>
    </w:pPr>
    <w:rPr>
      <w:rFonts w:ascii="Times New Roman" w:hAnsi="Times New Roman" w:cs="Times New Roman"/>
      <w:sz w:val="24"/>
    </w:rPr>
  </w:style>
  <w:style w:type="paragraph" w:customStyle="1" w:styleId="NumPar7">
    <w:name w:val="NumPar 7"/>
    <w:basedOn w:val="Normal"/>
    <w:next w:val="Text2"/>
    <w:rsid w:val="008C23F9"/>
    <w:pPr>
      <w:numPr>
        <w:ilvl w:val="6"/>
        <w:numId w:val="18"/>
      </w:numPr>
      <w:spacing w:before="120" w:after="120" w:line="240" w:lineRule="auto"/>
      <w:jc w:val="both"/>
    </w:pPr>
    <w:rPr>
      <w:rFonts w:ascii="Times New Roman" w:hAnsi="Times New Roman" w:cs="Times New Roman"/>
      <w:sz w:val="24"/>
    </w:rPr>
  </w:style>
  <w:style w:type="paragraph" w:customStyle="1" w:styleId="ManualNumPar5">
    <w:name w:val="Manual NumPar 5"/>
    <w:basedOn w:val="Normal"/>
    <w:next w:val="Text2"/>
    <w:rsid w:val="008C23F9"/>
    <w:pPr>
      <w:spacing w:before="120" w:after="120" w:line="240" w:lineRule="auto"/>
      <w:ind w:left="1417" w:hanging="1417"/>
      <w:jc w:val="both"/>
    </w:pPr>
    <w:rPr>
      <w:rFonts w:ascii="Times New Roman" w:hAnsi="Times New Roman" w:cs="Times New Roman"/>
      <w:sz w:val="24"/>
    </w:rPr>
  </w:style>
  <w:style w:type="paragraph" w:customStyle="1" w:styleId="ManualNumPar6">
    <w:name w:val="Manual NumPar 6"/>
    <w:basedOn w:val="Normal"/>
    <w:next w:val="Text2"/>
    <w:rsid w:val="008C23F9"/>
    <w:pPr>
      <w:spacing w:before="120" w:after="120" w:line="240" w:lineRule="auto"/>
      <w:ind w:left="1417" w:hanging="1417"/>
      <w:jc w:val="both"/>
    </w:pPr>
    <w:rPr>
      <w:rFonts w:ascii="Times New Roman" w:hAnsi="Times New Roman" w:cs="Times New Roman"/>
      <w:sz w:val="24"/>
    </w:rPr>
  </w:style>
  <w:style w:type="paragraph" w:customStyle="1" w:styleId="ManualNumPar7">
    <w:name w:val="Manual NumPar 7"/>
    <w:basedOn w:val="Normal"/>
    <w:next w:val="Text2"/>
    <w:rsid w:val="008C23F9"/>
    <w:pPr>
      <w:spacing w:before="120" w:after="120" w:line="240" w:lineRule="auto"/>
      <w:ind w:left="1417" w:hanging="1417"/>
      <w:jc w:val="both"/>
    </w:pPr>
    <w:rPr>
      <w:rFonts w:ascii="Times New Roman" w:hAnsi="Times New Roman" w:cs="Times New Roman"/>
      <w:sz w:val="24"/>
    </w:rPr>
  </w:style>
  <w:style w:type="table" w:styleId="GridTable1Light">
    <w:name w:val="Grid Table 1 Light"/>
    <w:basedOn w:val="TableNormal"/>
    <w:uiPriority w:val="46"/>
    <w:rsid w:val="008C23F9"/>
    <w:pPr>
      <w:spacing w:after="0" w:line="240" w:lineRule="auto"/>
    </w:pPr>
    <w:rPr>
      <w:rFonts w:ascii="Times New Roman" w:hAnsi="Times New Roman"/>
      <w:sz w:val="18"/>
    </w:rPr>
    <w:tblPr>
      <w:tblStyleRowBandSize w:val="1"/>
      <w:tblStyleColBandSize w:val="1"/>
    </w:tblPr>
    <w:tblStylePr w:type="firstRow">
      <w:rPr>
        <w:b/>
        <w:bCs/>
      </w:rPr>
      <w:tblPr/>
      <w:tcPr>
        <w:tcBorders>
          <w:bottom w:val="single" w:sz="12" w:space="0" w:color="949494" w:themeColor="text1" w:themeTint="99"/>
        </w:tcBorders>
      </w:tcPr>
    </w:tblStylePr>
    <w:tblStylePr w:type="lastRow">
      <w:rPr>
        <w:b/>
        <w:bCs/>
      </w:rPr>
      <w:tblPr/>
      <w:tcPr>
        <w:tcBorders>
          <w:top w:val="double" w:sz="2" w:space="0" w:color="949494" w:themeColor="text1" w:themeTint="99"/>
        </w:tcBorders>
      </w:tcPr>
    </w:tblStylePr>
    <w:tblStylePr w:type="firstCol">
      <w:rPr>
        <w:b/>
        <w:bCs/>
      </w:rPr>
    </w:tblStylePr>
    <w:tblStylePr w:type="lastCol">
      <w:rPr>
        <w:b/>
        <w:bCs/>
      </w:rPr>
    </w:tblStylePr>
  </w:style>
  <w:style w:type="table" w:styleId="TableSimple1">
    <w:name w:val="Table Simple 1"/>
    <w:basedOn w:val="TableNormal"/>
    <w:uiPriority w:val="99"/>
    <w:semiHidden/>
    <w:unhideWhenUsed/>
    <w:rsid w:val="008C23F9"/>
    <w:pPr>
      <w:spacing w:before="120" w:after="120" w:line="240" w:lineRule="auto"/>
      <w:jc w:val="both"/>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ubtle1">
    <w:name w:val="Table Subtle 1"/>
    <w:basedOn w:val="TableNormal"/>
    <w:uiPriority w:val="99"/>
    <w:rsid w:val="008C23F9"/>
    <w:pPr>
      <w:spacing w:before="120" w:after="12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1">
    <w:name w:val="Style1"/>
    <w:basedOn w:val="Normal"/>
    <w:qFormat/>
    <w:rsid w:val="008C23F9"/>
    <w:pPr>
      <w:spacing w:before="120" w:after="120" w:line="240" w:lineRule="auto"/>
      <w:jc w:val="both"/>
    </w:pPr>
    <w:rPr>
      <w:rFonts w:ascii="Times New Roman" w:hAnsi="Times New Roman" w:cs="Times New Roman"/>
      <w:b/>
      <w:color w:val="4D4D4D" w:themeColor="text1"/>
      <w:sz w:val="18"/>
      <w:szCs w:val="18"/>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next w:val="Normal"/>
    <w:link w:val="FootnoteReference"/>
    <w:uiPriority w:val="99"/>
    <w:rsid w:val="00D76193"/>
    <w:pPr>
      <w:spacing w:before="120" w:after="160" w:line="240" w:lineRule="exact"/>
      <w:jc w:val="both"/>
    </w:pPr>
    <w:rPr>
      <w:rFonts w:asciiTheme="minorHAnsi" w:hAnsiTheme="minorHAnsi"/>
      <w:vertAlign w:val="superscript"/>
    </w:rPr>
  </w:style>
  <w:style w:type="character" w:customStyle="1" w:styleId="Mention">
    <w:name w:val="Mention"/>
    <w:basedOn w:val="DefaultParagraphFont"/>
    <w:uiPriority w:val="99"/>
    <w:unhideWhenUsed/>
    <w:rsid w:val="00B718A7"/>
    <w:rPr>
      <w:color w:val="2B579A"/>
      <w:shd w:val="clear" w:color="auto" w:fill="E1DFDD"/>
    </w:rPr>
  </w:style>
  <w:style w:type="paragraph" w:customStyle="1" w:styleId="FooterCoverPage">
    <w:name w:val="Footer Cover Page"/>
    <w:basedOn w:val="Normal"/>
    <w:link w:val="FooterCoverPageChar"/>
    <w:rsid w:val="007E2797"/>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PagedecouvertureChar">
    <w:name w:val="Page de couverture Char"/>
    <w:basedOn w:val="DefaultParagraphFont"/>
    <w:link w:val="Pagedecouverture"/>
    <w:rsid w:val="007E2797"/>
    <w:rPr>
      <w:rFonts w:ascii="Times New Roman" w:hAnsi="Times New Roman" w:cs="Times New Roman"/>
      <w:sz w:val="24"/>
      <w:lang w:val="bg-BG"/>
    </w:rPr>
  </w:style>
  <w:style w:type="character" w:customStyle="1" w:styleId="FooterCoverPageChar">
    <w:name w:val="Footer Cover Page Char"/>
    <w:basedOn w:val="PagedecouvertureChar"/>
    <w:link w:val="FooterCoverPage"/>
    <w:rsid w:val="007E2797"/>
    <w:rPr>
      <w:rFonts w:ascii="Times New Roman" w:hAnsi="Times New Roman" w:cs="Times New Roman"/>
      <w:sz w:val="24"/>
      <w:lang w:val="bg-BG"/>
    </w:rPr>
  </w:style>
  <w:style w:type="paragraph" w:customStyle="1" w:styleId="HeaderCoverPage">
    <w:name w:val="Header Cover Page"/>
    <w:basedOn w:val="Normal"/>
    <w:link w:val="HeaderCoverPageChar"/>
    <w:rsid w:val="007E2797"/>
    <w:pPr>
      <w:tabs>
        <w:tab w:val="center" w:pos="4535"/>
        <w:tab w:val="right" w:pos="9071"/>
      </w:tabs>
      <w:spacing w:before="0" w:after="120" w:line="240" w:lineRule="auto"/>
      <w:jc w:val="both"/>
    </w:pPr>
    <w:rPr>
      <w:rFonts w:ascii="Times New Roman" w:hAnsi="Times New Roman" w:cs="Times New Roman"/>
      <w:sz w:val="24"/>
    </w:rPr>
  </w:style>
  <w:style w:type="character" w:customStyle="1" w:styleId="HeaderCoverPageChar">
    <w:name w:val="Header Cover Page Char"/>
    <w:basedOn w:val="PagedecouvertureChar"/>
    <w:link w:val="HeaderCoverPage"/>
    <w:rsid w:val="007E2797"/>
    <w:rPr>
      <w:rFonts w:ascii="Times New Roman" w:hAnsi="Times New Roman" w:cs="Times New Roman"/>
      <w:sz w:val="24"/>
      <w:lang w:val="bg-BG"/>
    </w:rPr>
  </w:style>
  <w:style w:type="paragraph" w:customStyle="1" w:styleId="Titreobjet">
    <w:name w:val="Titre objet"/>
    <w:basedOn w:val="Normal"/>
    <w:next w:val="IntrtEEE"/>
    <w:rsid w:val="00C91C8E"/>
    <w:pPr>
      <w:spacing w:before="360" w:after="360" w:line="240" w:lineRule="auto"/>
      <w:jc w:val="center"/>
    </w:pPr>
    <w:rPr>
      <w:rFonts w:ascii="Times New Roman"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085787">
      <w:bodyDiv w:val="1"/>
      <w:marLeft w:val="0"/>
      <w:marRight w:val="0"/>
      <w:marTop w:val="0"/>
      <w:marBottom w:val="0"/>
      <w:divBdr>
        <w:top w:val="none" w:sz="0" w:space="0" w:color="auto"/>
        <w:left w:val="none" w:sz="0" w:space="0" w:color="auto"/>
        <w:bottom w:val="none" w:sz="0" w:space="0" w:color="auto"/>
        <w:right w:val="none" w:sz="0" w:space="0" w:color="auto"/>
      </w:divBdr>
      <w:divsChild>
        <w:div w:id="272904262">
          <w:marLeft w:val="0"/>
          <w:marRight w:val="0"/>
          <w:marTop w:val="0"/>
          <w:marBottom w:val="0"/>
          <w:divBdr>
            <w:top w:val="none" w:sz="0" w:space="0" w:color="auto"/>
            <w:left w:val="none" w:sz="0" w:space="0" w:color="auto"/>
            <w:bottom w:val="none" w:sz="0" w:space="0" w:color="auto"/>
            <w:right w:val="none" w:sz="0" w:space="0" w:color="auto"/>
          </w:divBdr>
          <w:divsChild>
            <w:div w:id="117335584">
              <w:marLeft w:val="0"/>
              <w:marRight w:val="0"/>
              <w:marTop w:val="0"/>
              <w:marBottom w:val="0"/>
              <w:divBdr>
                <w:top w:val="none" w:sz="0" w:space="0" w:color="auto"/>
                <w:left w:val="none" w:sz="0" w:space="0" w:color="auto"/>
                <w:bottom w:val="none" w:sz="0" w:space="0" w:color="auto"/>
                <w:right w:val="none" w:sz="0" w:space="0" w:color="auto"/>
              </w:divBdr>
            </w:div>
            <w:div w:id="898132005">
              <w:marLeft w:val="0"/>
              <w:marRight w:val="0"/>
              <w:marTop w:val="0"/>
              <w:marBottom w:val="0"/>
              <w:divBdr>
                <w:top w:val="none" w:sz="0" w:space="0" w:color="auto"/>
                <w:left w:val="none" w:sz="0" w:space="0" w:color="auto"/>
                <w:bottom w:val="none" w:sz="0" w:space="0" w:color="auto"/>
                <w:right w:val="none" w:sz="0" w:space="0" w:color="auto"/>
              </w:divBdr>
            </w:div>
          </w:divsChild>
        </w:div>
        <w:div w:id="1921911472">
          <w:marLeft w:val="0"/>
          <w:marRight w:val="0"/>
          <w:marTop w:val="0"/>
          <w:marBottom w:val="0"/>
          <w:divBdr>
            <w:top w:val="none" w:sz="0" w:space="0" w:color="auto"/>
            <w:left w:val="none" w:sz="0" w:space="0" w:color="auto"/>
            <w:bottom w:val="none" w:sz="0" w:space="0" w:color="auto"/>
            <w:right w:val="none" w:sz="0" w:space="0" w:color="auto"/>
          </w:divBdr>
          <w:divsChild>
            <w:div w:id="13073758">
              <w:marLeft w:val="0"/>
              <w:marRight w:val="0"/>
              <w:marTop w:val="0"/>
              <w:marBottom w:val="0"/>
              <w:divBdr>
                <w:top w:val="none" w:sz="0" w:space="0" w:color="auto"/>
                <w:left w:val="none" w:sz="0" w:space="0" w:color="auto"/>
                <w:bottom w:val="none" w:sz="0" w:space="0" w:color="auto"/>
                <w:right w:val="none" w:sz="0" w:space="0" w:color="auto"/>
              </w:divBdr>
            </w:div>
            <w:div w:id="44527392">
              <w:marLeft w:val="0"/>
              <w:marRight w:val="0"/>
              <w:marTop w:val="0"/>
              <w:marBottom w:val="0"/>
              <w:divBdr>
                <w:top w:val="none" w:sz="0" w:space="0" w:color="auto"/>
                <w:left w:val="none" w:sz="0" w:space="0" w:color="auto"/>
                <w:bottom w:val="none" w:sz="0" w:space="0" w:color="auto"/>
                <w:right w:val="none" w:sz="0" w:space="0" w:color="auto"/>
              </w:divBdr>
            </w:div>
            <w:div w:id="89401898">
              <w:marLeft w:val="0"/>
              <w:marRight w:val="0"/>
              <w:marTop w:val="0"/>
              <w:marBottom w:val="0"/>
              <w:divBdr>
                <w:top w:val="none" w:sz="0" w:space="0" w:color="auto"/>
                <w:left w:val="none" w:sz="0" w:space="0" w:color="auto"/>
                <w:bottom w:val="none" w:sz="0" w:space="0" w:color="auto"/>
                <w:right w:val="none" w:sz="0" w:space="0" w:color="auto"/>
              </w:divBdr>
            </w:div>
            <w:div w:id="156657510">
              <w:marLeft w:val="0"/>
              <w:marRight w:val="0"/>
              <w:marTop w:val="0"/>
              <w:marBottom w:val="0"/>
              <w:divBdr>
                <w:top w:val="none" w:sz="0" w:space="0" w:color="auto"/>
                <w:left w:val="none" w:sz="0" w:space="0" w:color="auto"/>
                <w:bottom w:val="none" w:sz="0" w:space="0" w:color="auto"/>
                <w:right w:val="none" w:sz="0" w:space="0" w:color="auto"/>
              </w:divBdr>
            </w:div>
            <w:div w:id="367799631">
              <w:marLeft w:val="0"/>
              <w:marRight w:val="0"/>
              <w:marTop w:val="0"/>
              <w:marBottom w:val="0"/>
              <w:divBdr>
                <w:top w:val="none" w:sz="0" w:space="0" w:color="auto"/>
                <w:left w:val="none" w:sz="0" w:space="0" w:color="auto"/>
                <w:bottom w:val="none" w:sz="0" w:space="0" w:color="auto"/>
                <w:right w:val="none" w:sz="0" w:space="0" w:color="auto"/>
              </w:divBdr>
            </w:div>
            <w:div w:id="530218037">
              <w:marLeft w:val="0"/>
              <w:marRight w:val="0"/>
              <w:marTop w:val="0"/>
              <w:marBottom w:val="0"/>
              <w:divBdr>
                <w:top w:val="none" w:sz="0" w:space="0" w:color="auto"/>
                <w:left w:val="none" w:sz="0" w:space="0" w:color="auto"/>
                <w:bottom w:val="none" w:sz="0" w:space="0" w:color="auto"/>
                <w:right w:val="none" w:sz="0" w:space="0" w:color="auto"/>
              </w:divBdr>
            </w:div>
            <w:div w:id="738749264">
              <w:marLeft w:val="0"/>
              <w:marRight w:val="0"/>
              <w:marTop w:val="0"/>
              <w:marBottom w:val="0"/>
              <w:divBdr>
                <w:top w:val="none" w:sz="0" w:space="0" w:color="auto"/>
                <w:left w:val="none" w:sz="0" w:space="0" w:color="auto"/>
                <w:bottom w:val="none" w:sz="0" w:space="0" w:color="auto"/>
                <w:right w:val="none" w:sz="0" w:space="0" w:color="auto"/>
              </w:divBdr>
            </w:div>
            <w:div w:id="824198745">
              <w:marLeft w:val="0"/>
              <w:marRight w:val="0"/>
              <w:marTop w:val="0"/>
              <w:marBottom w:val="0"/>
              <w:divBdr>
                <w:top w:val="none" w:sz="0" w:space="0" w:color="auto"/>
                <w:left w:val="none" w:sz="0" w:space="0" w:color="auto"/>
                <w:bottom w:val="none" w:sz="0" w:space="0" w:color="auto"/>
                <w:right w:val="none" w:sz="0" w:space="0" w:color="auto"/>
              </w:divBdr>
            </w:div>
            <w:div w:id="837618778">
              <w:marLeft w:val="0"/>
              <w:marRight w:val="0"/>
              <w:marTop w:val="0"/>
              <w:marBottom w:val="0"/>
              <w:divBdr>
                <w:top w:val="none" w:sz="0" w:space="0" w:color="auto"/>
                <w:left w:val="none" w:sz="0" w:space="0" w:color="auto"/>
                <w:bottom w:val="none" w:sz="0" w:space="0" w:color="auto"/>
                <w:right w:val="none" w:sz="0" w:space="0" w:color="auto"/>
              </w:divBdr>
            </w:div>
            <w:div w:id="838429385">
              <w:marLeft w:val="0"/>
              <w:marRight w:val="0"/>
              <w:marTop w:val="0"/>
              <w:marBottom w:val="0"/>
              <w:divBdr>
                <w:top w:val="none" w:sz="0" w:space="0" w:color="auto"/>
                <w:left w:val="none" w:sz="0" w:space="0" w:color="auto"/>
                <w:bottom w:val="none" w:sz="0" w:space="0" w:color="auto"/>
                <w:right w:val="none" w:sz="0" w:space="0" w:color="auto"/>
              </w:divBdr>
            </w:div>
            <w:div w:id="839075746">
              <w:marLeft w:val="0"/>
              <w:marRight w:val="0"/>
              <w:marTop w:val="0"/>
              <w:marBottom w:val="0"/>
              <w:divBdr>
                <w:top w:val="none" w:sz="0" w:space="0" w:color="auto"/>
                <w:left w:val="none" w:sz="0" w:space="0" w:color="auto"/>
                <w:bottom w:val="none" w:sz="0" w:space="0" w:color="auto"/>
                <w:right w:val="none" w:sz="0" w:space="0" w:color="auto"/>
              </w:divBdr>
            </w:div>
            <w:div w:id="1186793001">
              <w:marLeft w:val="0"/>
              <w:marRight w:val="0"/>
              <w:marTop w:val="0"/>
              <w:marBottom w:val="0"/>
              <w:divBdr>
                <w:top w:val="none" w:sz="0" w:space="0" w:color="auto"/>
                <w:left w:val="none" w:sz="0" w:space="0" w:color="auto"/>
                <w:bottom w:val="none" w:sz="0" w:space="0" w:color="auto"/>
                <w:right w:val="none" w:sz="0" w:space="0" w:color="auto"/>
              </w:divBdr>
            </w:div>
            <w:div w:id="1217356070">
              <w:marLeft w:val="0"/>
              <w:marRight w:val="0"/>
              <w:marTop w:val="0"/>
              <w:marBottom w:val="0"/>
              <w:divBdr>
                <w:top w:val="none" w:sz="0" w:space="0" w:color="auto"/>
                <w:left w:val="none" w:sz="0" w:space="0" w:color="auto"/>
                <w:bottom w:val="none" w:sz="0" w:space="0" w:color="auto"/>
                <w:right w:val="none" w:sz="0" w:space="0" w:color="auto"/>
              </w:divBdr>
            </w:div>
            <w:div w:id="1305768544">
              <w:marLeft w:val="0"/>
              <w:marRight w:val="0"/>
              <w:marTop w:val="0"/>
              <w:marBottom w:val="0"/>
              <w:divBdr>
                <w:top w:val="none" w:sz="0" w:space="0" w:color="auto"/>
                <w:left w:val="none" w:sz="0" w:space="0" w:color="auto"/>
                <w:bottom w:val="none" w:sz="0" w:space="0" w:color="auto"/>
                <w:right w:val="none" w:sz="0" w:space="0" w:color="auto"/>
              </w:divBdr>
            </w:div>
            <w:div w:id="1417633513">
              <w:marLeft w:val="0"/>
              <w:marRight w:val="0"/>
              <w:marTop w:val="0"/>
              <w:marBottom w:val="0"/>
              <w:divBdr>
                <w:top w:val="none" w:sz="0" w:space="0" w:color="auto"/>
                <w:left w:val="none" w:sz="0" w:space="0" w:color="auto"/>
                <w:bottom w:val="none" w:sz="0" w:space="0" w:color="auto"/>
                <w:right w:val="none" w:sz="0" w:space="0" w:color="auto"/>
              </w:divBdr>
            </w:div>
            <w:div w:id="1525750925">
              <w:marLeft w:val="0"/>
              <w:marRight w:val="0"/>
              <w:marTop w:val="0"/>
              <w:marBottom w:val="0"/>
              <w:divBdr>
                <w:top w:val="none" w:sz="0" w:space="0" w:color="auto"/>
                <w:left w:val="none" w:sz="0" w:space="0" w:color="auto"/>
                <w:bottom w:val="none" w:sz="0" w:space="0" w:color="auto"/>
                <w:right w:val="none" w:sz="0" w:space="0" w:color="auto"/>
              </w:divBdr>
            </w:div>
            <w:div w:id="1593322067">
              <w:marLeft w:val="0"/>
              <w:marRight w:val="0"/>
              <w:marTop w:val="0"/>
              <w:marBottom w:val="0"/>
              <w:divBdr>
                <w:top w:val="none" w:sz="0" w:space="0" w:color="auto"/>
                <w:left w:val="none" w:sz="0" w:space="0" w:color="auto"/>
                <w:bottom w:val="none" w:sz="0" w:space="0" w:color="auto"/>
                <w:right w:val="none" w:sz="0" w:space="0" w:color="auto"/>
              </w:divBdr>
            </w:div>
            <w:div w:id="1789547615">
              <w:marLeft w:val="0"/>
              <w:marRight w:val="0"/>
              <w:marTop w:val="0"/>
              <w:marBottom w:val="0"/>
              <w:divBdr>
                <w:top w:val="none" w:sz="0" w:space="0" w:color="auto"/>
                <w:left w:val="none" w:sz="0" w:space="0" w:color="auto"/>
                <w:bottom w:val="none" w:sz="0" w:space="0" w:color="auto"/>
                <w:right w:val="none" w:sz="0" w:space="0" w:color="auto"/>
              </w:divBdr>
            </w:div>
            <w:div w:id="20725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118037">
      <w:bodyDiv w:val="1"/>
      <w:marLeft w:val="0"/>
      <w:marRight w:val="0"/>
      <w:marTop w:val="0"/>
      <w:marBottom w:val="0"/>
      <w:divBdr>
        <w:top w:val="none" w:sz="0" w:space="0" w:color="auto"/>
        <w:left w:val="none" w:sz="0" w:space="0" w:color="auto"/>
        <w:bottom w:val="none" w:sz="0" w:space="0" w:color="auto"/>
        <w:right w:val="none" w:sz="0" w:space="0" w:color="auto"/>
      </w:divBdr>
    </w:div>
    <w:div w:id="595864344">
      <w:bodyDiv w:val="1"/>
      <w:marLeft w:val="0"/>
      <w:marRight w:val="0"/>
      <w:marTop w:val="0"/>
      <w:marBottom w:val="0"/>
      <w:divBdr>
        <w:top w:val="none" w:sz="0" w:space="0" w:color="auto"/>
        <w:left w:val="none" w:sz="0" w:space="0" w:color="auto"/>
        <w:bottom w:val="none" w:sz="0" w:space="0" w:color="auto"/>
        <w:right w:val="none" w:sz="0" w:space="0" w:color="auto"/>
      </w:divBdr>
      <w:divsChild>
        <w:div w:id="47267003">
          <w:marLeft w:val="0"/>
          <w:marRight w:val="0"/>
          <w:marTop w:val="0"/>
          <w:marBottom w:val="0"/>
          <w:divBdr>
            <w:top w:val="none" w:sz="0" w:space="0" w:color="auto"/>
            <w:left w:val="none" w:sz="0" w:space="0" w:color="auto"/>
            <w:bottom w:val="none" w:sz="0" w:space="0" w:color="auto"/>
            <w:right w:val="none" w:sz="0" w:space="0" w:color="auto"/>
          </w:divBdr>
          <w:divsChild>
            <w:div w:id="133106295">
              <w:marLeft w:val="0"/>
              <w:marRight w:val="0"/>
              <w:marTop w:val="0"/>
              <w:marBottom w:val="0"/>
              <w:divBdr>
                <w:top w:val="none" w:sz="0" w:space="0" w:color="auto"/>
                <w:left w:val="none" w:sz="0" w:space="0" w:color="auto"/>
                <w:bottom w:val="none" w:sz="0" w:space="0" w:color="auto"/>
                <w:right w:val="none" w:sz="0" w:space="0" w:color="auto"/>
              </w:divBdr>
            </w:div>
            <w:div w:id="229003523">
              <w:marLeft w:val="0"/>
              <w:marRight w:val="0"/>
              <w:marTop w:val="0"/>
              <w:marBottom w:val="0"/>
              <w:divBdr>
                <w:top w:val="none" w:sz="0" w:space="0" w:color="auto"/>
                <w:left w:val="none" w:sz="0" w:space="0" w:color="auto"/>
                <w:bottom w:val="none" w:sz="0" w:space="0" w:color="auto"/>
                <w:right w:val="none" w:sz="0" w:space="0" w:color="auto"/>
              </w:divBdr>
            </w:div>
          </w:divsChild>
        </w:div>
        <w:div w:id="878082287">
          <w:marLeft w:val="0"/>
          <w:marRight w:val="0"/>
          <w:marTop w:val="0"/>
          <w:marBottom w:val="0"/>
          <w:divBdr>
            <w:top w:val="none" w:sz="0" w:space="0" w:color="auto"/>
            <w:left w:val="none" w:sz="0" w:space="0" w:color="auto"/>
            <w:bottom w:val="none" w:sz="0" w:space="0" w:color="auto"/>
            <w:right w:val="none" w:sz="0" w:space="0" w:color="auto"/>
          </w:divBdr>
          <w:divsChild>
            <w:div w:id="186255983">
              <w:marLeft w:val="0"/>
              <w:marRight w:val="0"/>
              <w:marTop w:val="0"/>
              <w:marBottom w:val="0"/>
              <w:divBdr>
                <w:top w:val="none" w:sz="0" w:space="0" w:color="auto"/>
                <w:left w:val="none" w:sz="0" w:space="0" w:color="auto"/>
                <w:bottom w:val="none" w:sz="0" w:space="0" w:color="auto"/>
                <w:right w:val="none" w:sz="0" w:space="0" w:color="auto"/>
              </w:divBdr>
            </w:div>
            <w:div w:id="249462300">
              <w:marLeft w:val="0"/>
              <w:marRight w:val="0"/>
              <w:marTop w:val="0"/>
              <w:marBottom w:val="0"/>
              <w:divBdr>
                <w:top w:val="none" w:sz="0" w:space="0" w:color="auto"/>
                <w:left w:val="none" w:sz="0" w:space="0" w:color="auto"/>
                <w:bottom w:val="none" w:sz="0" w:space="0" w:color="auto"/>
                <w:right w:val="none" w:sz="0" w:space="0" w:color="auto"/>
              </w:divBdr>
            </w:div>
            <w:div w:id="465437674">
              <w:marLeft w:val="0"/>
              <w:marRight w:val="0"/>
              <w:marTop w:val="0"/>
              <w:marBottom w:val="0"/>
              <w:divBdr>
                <w:top w:val="none" w:sz="0" w:space="0" w:color="auto"/>
                <w:left w:val="none" w:sz="0" w:space="0" w:color="auto"/>
                <w:bottom w:val="none" w:sz="0" w:space="0" w:color="auto"/>
                <w:right w:val="none" w:sz="0" w:space="0" w:color="auto"/>
              </w:divBdr>
            </w:div>
            <w:div w:id="482043077">
              <w:marLeft w:val="0"/>
              <w:marRight w:val="0"/>
              <w:marTop w:val="0"/>
              <w:marBottom w:val="0"/>
              <w:divBdr>
                <w:top w:val="none" w:sz="0" w:space="0" w:color="auto"/>
                <w:left w:val="none" w:sz="0" w:space="0" w:color="auto"/>
                <w:bottom w:val="none" w:sz="0" w:space="0" w:color="auto"/>
                <w:right w:val="none" w:sz="0" w:space="0" w:color="auto"/>
              </w:divBdr>
            </w:div>
            <w:div w:id="696273272">
              <w:marLeft w:val="0"/>
              <w:marRight w:val="0"/>
              <w:marTop w:val="0"/>
              <w:marBottom w:val="0"/>
              <w:divBdr>
                <w:top w:val="none" w:sz="0" w:space="0" w:color="auto"/>
                <w:left w:val="none" w:sz="0" w:space="0" w:color="auto"/>
                <w:bottom w:val="none" w:sz="0" w:space="0" w:color="auto"/>
                <w:right w:val="none" w:sz="0" w:space="0" w:color="auto"/>
              </w:divBdr>
            </w:div>
            <w:div w:id="738284611">
              <w:marLeft w:val="0"/>
              <w:marRight w:val="0"/>
              <w:marTop w:val="0"/>
              <w:marBottom w:val="0"/>
              <w:divBdr>
                <w:top w:val="none" w:sz="0" w:space="0" w:color="auto"/>
                <w:left w:val="none" w:sz="0" w:space="0" w:color="auto"/>
                <w:bottom w:val="none" w:sz="0" w:space="0" w:color="auto"/>
                <w:right w:val="none" w:sz="0" w:space="0" w:color="auto"/>
              </w:divBdr>
            </w:div>
            <w:div w:id="1069772472">
              <w:marLeft w:val="0"/>
              <w:marRight w:val="0"/>
              <w:marTop w:val="0"/>
              <w:marBottom w:val="0"/>
              <w:divBdr>
                <w:top w:val="none" w:sz="0" w:space="0" w:color="auto"/>
                <w:left w:val="none" w:sz="0" w:space="0" w:color="auto"/>
                <w:bottom w:val="none" w:sz="0" w:space="0" w:color="auto"/>
                <w:right w:val="none" w:sz="0" w:space="0" w:color="auto"/>
              </w:divBdr>
            </w:div>
            <w:div w:id="1077290765">
              <w:marLeft w:val="0"/>
              <w:marRight w:val="0"/>
              <w:marTop w:val="0"/>
              <w:marBottom w:val="0"/>
              <w:divBdr>
                <w:top w:val="none" w:sz="0" w:space="0" w:color="auto"/>
                <w:left w:val="none" w:sz="0" w:space="0" w:color="auto"/>
                <w:bottom w:val="none" w:sz="0" w:space="0" w:color="auto"/>
                <w:right w:val="none" w:sz="0" w:space="0" w:color="auto"/>
              </w:divBdr>
            </w:div>
            <w:div w:id="1286082376">
              <w:marLeft w:val="0"/>
              <w:marRight w:val="0"/>
              <w:marTop w:val="0"/>
              <w:marBottom w:val="0"/>
              <w:divBdr>
                <w:top w:val="none" w:sz="0" w:space="0" w:color="auto"/>
                <w:left w:val="none" w:sz="0" w:space="0" w:color="auto"/>
                <w:bottom w:val="none" w:sz="0" w:space="0" w:color="auto"/>
                <w:right w:val="none" w:sz="0" w:space="0" w:color="auto"/>
              </w:divBdr>
            </w:div>
            <w:div w:id="1345934561">
              <w:marLeft w:val="0"/>
              <w:marRight w:val="0"/>
              <w:marTop w:val="0"/>
              <w:marBottom w:val="0"/>
              <w:divBdr>
                <w:top w:val="none" w:sz="0" w:space="0" w:color="auto"/>
                <w:left w:val="none" w:sz="0" w:space="0" w:color="auto"/>
                <w:bottom w:val="none" w:sz="0" w:space="0" w:color="auto"/>
                <w:right w:val="none" w:sz="0" w:space="0" w:color="auto"/>
              </w:divBdr>
            </w:div>
            <w:div w:id="1377579682">
              <w:marLeft w:val="0"/>
              <w:marRight w:val="0"/>
              <w:marTop w:val="0"/>
              <w:marBottom w:val="0"/>
              <w:divBdr>
                <w:top w:val="none" w:sz="0" w:space="0" w:color="auto"/>
                <w:left w:val="none" w:sz="0" w:space="0" w:color="auto"/>
                <w:bottom w:val="none" w:sz="0" w:space="0" w:color="auto"/>
                <w:right w:val="none" w:sz="0" w:space="0" w:color="auto"/>
              </w:divBdr>
            </w:div>
            <w:div w:id="1423913306">
              <w:marLeft w:val="0"/>
              <w:marRight w:val="0"/>
              <w:marTop w:val="0"/>
              <w:marBottom w:val="0"/>
              <w:divBdr>
                <w:top w:val="none" w:sz="0" w:space="0" w:color="auto"/>
                <w:left w:val="none" w:sz="0" w:space="0" w:color="auto"/>
                <w:bottom w:val="none" w:sz="0" w:space="0" w:color="auto"/>
                <w:right w:val="none" w:sz="0" w:space="0" w:color="auto"/>
              </w:divBdr>
            </w:div>
            <w:div w:id="1535771792">
              <w:marLeft w:val="0"/>
              <w:marRight w:val="0"/>
              <w:marTop w:val="0"/>
              <w:marBottom w:val="0"/>
              <w:divBdr>
                <w:top w:val="none" w:sz="0" w:space="0" w:color="auto"/>
                <w:left w:val="none" w:sz="0" w:space="0" w:color="auto"/>
                <w:bottom w:val="none" w:sz="0" w:space="0" w:color="auto"/>
                <w:right w:val="none" w:sz="0" w:space="0" w:color="auto"/>
              </w:divBdr>
            </w:div>
            <w:div w:id="1719434962">
              <w:marLeft w:val="0"/>
              <w:marRight w:val="0"/>
              <w:marTop w:val="0"/>
              <w:marBottom w:val="0"/>
              <w:divBdr>
                <w:top w:val="none" w:sz="0" w:space="0" w:color="auto"/>
                <w:left w:val="none" w:sz="0" w:space="0" w:color="auto"/>
                <w:bottom w:val="none" w:sz="0" w:space="0" w:color="auto"/>
                <w:right w:val="none" w:sz="0" w:space="0" w:color="auto"/>
              </w:divBdr>
            </w:div>
            <w:div w:id="1728068415">
              <w:marLeft w:val="0"/>
              <w:marRight w:val="0"/>
              <w:marTop w:val="0"/>
              <w:marBottom w:val="0"/>
              <w:divBdr>
                <w:top w:val="none" w:sz="0" w:space="0" w:color="auto"/>
                <w:left w:val="none" w:sz="0" w:space="0" w:color="auto"/>
                <w:bottom w:val="none" w:sz="0" w:space="0" w:color="auto"/>
                <w:right w:val="none" w:sz="0" w:space="0" w:color="auto"/>
              </w:divBdr>
            </w:div>
            <w:div w:id="1735009424">
              <w:marLeft w:val="0"/>
              <w:marRight w:val="0"/>
              <w:marTop w:val="0"/>
              <w:marBottom w:val="0"/>
              <w:divBdr>
                <w:top w:val="none" w:sz="0" w:space="0" w:color="auto"/>
                <w:left w:val="none" w:sz="0" w:space="0" w:color="auto"/>
                <w:bottom w:val="none" w:sz="0" w:space="0" w:color="auto"/>
                <w:right w:val="none" w:sz="0" w:space="0" w:color="auto"/>
              </w:divBdr>
            </w:div>
            <w:div w:id="1771662988">
              <w:marLeft w:val="0"/>
              <w:marRight w:val="0"/>
              <w:marTop w:val="0"/>
              <w:marBottom w:val="0"/>
              <w:divBdr>
                <w:top w:val="none" w:sz="0" w:space="0" w:color="auto"/>
                <w:left w:val="none" w:sz="0" w:space="0" w:color="auto"/>
                <w:bottom w:val="none" w:sz="0" w:space="0" w:color="auto"/>
                <w:right w:val="none" w:sz="0" w:space="0" w:color="auto"/>
              </w:divBdr>
            </w:div>
            <w:div w:id="1856773218">
              <w:marLeft w:val="0"/>
              <w:marRight w:val="0"/>
              <w:marTop w:val="0"/>
              <w:marBottom w:val="0"/>
              <w:divBdr>
                <w:top w:val="none" w:sz="0" w:space="0" w:color="auto"/>
                <w:left w:val="none" w:sz="0" w:space="0" w:color="auto"/>
                <w:bottom w:val="none" w:sz="0" w:space="0" w:color="auto"/>
                <w:right w:val="none" w:sz="0" w:space="0" w:color="auto"/>
              </w:divBdr>
            </w:div>
            <w:div w:id="188232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34277">
      <w:bodyDiv w:val="1"/>
      <w:marLeft w:val="0"/>
      <w:marRight w:val="0"/>
      <w:marTop w:val="0"/>
      <w:marBottom w:val="0"/>
      <w:divBdr>
        <w:top w:val="none" w:sz="0" w:space="0" w:color="auto"/>
        <w:left w:val="none" w:sz="0" w:space="0" w:color="auto"/>
        <w:bottom w:val="none" w:sz="0" w:space="0" w:color="auto"/>
        <w:right w:val="none" w:sz="0" w:space="0" w:color="auto"/>
      </w:divBdr>
    </w:div>
    <w:div w:id="998921018">
      <w:bodyDiv w:val="1"/>
      <w:marLeft w:val="0"/>
      <w:marRight w:val="0"/>
      <w:marTop w:val="0"/>
      <w:marBottom w:val="0"/>
      <w:divBdr>
        <w:top w:val="none" w:sz="0" w:space="0" w:color="auto"/>
        <w:left w:val="none" w:sz="0" w:space="0" w:color="auto"/>
        <w:bottom w:val="none" w:sz="0" w:space="0" w:color="auto"/>
        <w:right w:val="none" w:sz="0" w:space="0" w:color="auto"/>
      </w:divBdr>
    </w:div>
    <w:div w:id="1454716937">
      <w:bodyDiv w:val="1"/>
      <w:marLeft w:val="0"/>
      <w:marRight w:val="0"/>
      <w:marTop w:val="0"/>
      <w:marBottom w:val="0"/>
      <w:divBdr>
        <w:top w:val="none" w:sz="0" w:space="0" w:color="auto"/>
        <w:left w:val="none" w:sz="0" w:space="0" w:color="auto"/>
        <w:bottom w:val="none" w:sz="0" w:space="0" w:color="auto"/>
        <w:right w:val="none" w:sz="0" w:space="0" w:color="auto"/>
      </w:divBdr>
    </w:div>
    <w:div w:id="1469595103">
      <w:bodyDiv w:val="1"/>
      <w:marLeft w:val="0"/>
      <w:marRight w:val="0"/>
      <w:marTop w:val="0"/>
      <w:marBottom w:val="0"/>
      <w:divBdr>
        <w:top w:val="none" w:sz="0" w:space="0" w:color="auto"/>
        <w:left w:val="none" w:sz="0" w:space="0" w:color="auto"/>
        <w:bottom w:val="none" w:sz="0" w:space="0" w:color="auto"/>
        <w:right w:val="none" w:sz="0" w:space="0" w:color="auto"/>
      </w:divBdr>
    </w:div>
    <w:div w:id="1472013698">
      <w:bodyDiv w:val="1"/>
      <w:marLeft w:val="0"/>
      <w:marRight w:val="0"/>
      <w:marTop w:val="0"/>
      <w:marBottom w:val="0"/>
      <w:divBdr>
        <w:top w:val="none" w:sz="0" w:space="0" w:color="auto"/>
        <w:left w:val="none" w:sz="0" w:space="0" w:color="auto"/>
        <w:bottom w:val="none" w:sz="0" w:space="0" w:color="auto"/>
        <w:right w:val="none" w:sz="0" w:space="0" w:color="auto"/>
      </w:divBdr>
    </w:div>
    <w:div w:id="1639803146">
      <w:bodyDiv w:val="1"/>
      <w:marLeft w:val="0"/>
      <w:marRight w:val="0"/>
      <w:marTop w:val="0"/>
      <w:marBottom w:val="0"/>
      <w:divBdr>
        <w:top w:val="none" w:sz="0" w:space="0" w:color="auto"/>
        <w:left w:val="none" w:sz="0" w:space="0" w:color="auto"/>
        <w:bottom w:val="none" w:sz="0" w:space="0" w:color="auto"/>
        <w:right w:val="none" w:sz="0" w:space="0" w:color="auto"/>
      </w:divBdr>
    </w:div>
    <w:div w:id="1716005460">
      <w:bodyDiv w:val="1"/>
      <w:marLeft w:val="0"/>
      <w:marRight w:val="0"/>
      <w:marTop w:val="0"/>
      <w:marBottom w:val="0"/>
      <w:divBdr>
        <w:top w:val="none" w:sz="0" w:space="0" w:color="auto"/>
        <w:left w:val="none" w:sz="0" w:space="0" w:color="auto"/>
        <w:bottom w:val="none" w:sz="0" w:space="0" w:color="auto"/>
        <w:right w:val="none" w:sz="0" w:space="0" w:color="auto"/>
      </w:divBdr>
    </w:div>
    <w:div w:id="1751930680">
      <w:bodyDiv w:val="1"/>
      <w:marLeft w:val="0"/>
      <w:marRight w:val="0"/>
      <w:marTop w:val="0"/>
      <w:marBottom w:val="0"/>
      <w:divBdr>
        <w:top w:val="none" w:sz="0" w:space="0" w:color="auto"/>
        <w:left w:val="none" w:sz="0" w:space="0" w:color="auto"/>
        <w:bottom w:val="none" w:sz="0" w:space="0" w:color="auto"/>
        <w:right w:val="none" w:sz="0" w:space="0" w:color="auto"/>
      </w:divBdr>
    </w:div>
    <w:div w:id="1941641143">
      <w:bodyDiv w:val="1"/>
      <w:marLeft w:val="0"/>
      <w:marRight w:val="0"/>
      <w:marTop w:val="0"/>
      <w:marBottom w:val="0"/>
      <w:divBdr>
        <w:top w:val="none" w:sz="0" w:space="0" w:color="auto"/>
        <w:left w:val="none" w:sz="0" w:space="0" w:color="auto"/>
        <w:bottom w:val="none" w:sz="0" w:space="0" w:color="auto"/>
        <w:right w:val="none" w:sz="0" w:space="0" w:color="auto"/>
      </w:divBdr>
    </w:div>
    <w:div w:id="207253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oter" Target="footer7.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law/better-regulation/have-your-say/initiatives/14555-Towards-a-circular-regenerative-and-competitive-bioeconomy_bg" TargetMode="External"/><Relationship Id="rId13" Type="http://schemas.openxmlformats.org/officeDocument/2006/relationships/hyperlink" Target="https://boss.cen.eu/maintenance/reven/pages/" TargetMode="External"/><Relationship Id="rId18" Type="http://schemas.openxmlformats.org/officeDocument/2006/relationships/hyperlink" Target="https://ec.europa.eu/growth/tools-databases/enorm/mandate/615_en" TargetMode="External"/><Relationship Id="rId26" Type="http://schemas.openxmlformats.org/officeDocument/2006/relationships/hyperlink" Target="http://data.europa.eu/eli/dir/2024/1275/oj" TargetMode="External"/><Relationship Id="rId3" Type="http://schemas.openxmlformats.org/officeDocument/2006/relationships/hyperlink" Target="https://ec.europa.eu/transparency/expert-groups-register/screen/expert-groups/consult?lang=en&amp;groupID=3776" TargetMode="External"/><Relationship Id="rId21" Type="http://schemas.openxmlformats.org/officeDocument/2006/relationships/hyperlink" Target="https://single-market-economy.ec.europa.eu/sectors/construction/construction-products-regulation-cpr/acquis_en" TargetMode="External"/><Relationship Id="rId7" Type="http://schemas.openxmlformats.org/officeDocument/2006/relationships/hyperlink" Target="https://eur-lex.europa.eu/legal-content/BG/TXT/?uri=CELEX:52025DC0125" TargetMode="External"/><Relationship Id="rId12" Type="http://schemas.openxmlformats.org/officeDocument/2006/relationships/hyperlink" Target="https://ec.europa.eu/transparency/expert-groups-register/screen/calls-application?lang=bg" TargetMode="External"/><Relationship Id="rId17" Type="http://schemas.openxmlformats.org/officeDocument/2006/relationships/hyperlink" Target="https://ec.europa.eu/growth/tools-databases/enorm/mandate/616_en" TargetMode="External"/><Relationship Id="rId25" Type="http://schemas.openxmlformats.org/officeDocument/2006/relationships/hyperlink" Target="https://eismea.ec.europa.eu/funding-opportunities/calls-proposals/support-standardisation-activities-performed-cen-cenelec-and-etsi-3_en" TargetMode="External"/><Relationship Id="rId2" Type="http://schemas.openxmlformats.org/officeDocument/2006/relationships/hyperlink" Target="https://ec.europa.eu/transparency/expert-groups-register/screen/expert-groups/consult?lang=en&amp;groupID=3776" TargetMode="External"/><Relationship Id="rId16" Type="http://schemas.openxmlformats.org/officeDocument/2006/relationships/hyperlink" Target="https://ec.europa.eu/growth/tools-databases/enorm/mandate/609_en" TargetMode="External"/><Relationship Id="rId20" Type="http://schemas.openxmlformats.org/officeDocument/2006/relationships/hyperlink" Target="http://data.europa.eu/eli/reg/2024/1781/oj" TargetMode="External"/><Relationship Id="rId29" Type="http://schemas.openxmlformats.org/officeDocument/2006/relationships/hyperlink" Target="https://eismea.ec.europa.eu/funding-opportunities/calls-proposals/support-standardisation-activities-performed-cen-cenelec-and-etsi-2_en" TargetMode="External"/><Relationship Id="rId1" Type="http://schemas.openxmlformats.org/officeDocument/2006/relationships/hyperlink" Target="http://data.europa.eu/eli/reg/2024/3110/oj" TargetMode="External"/><Relationship Id="rId6" Type="http://schemas.openxmlformats.org/officeDocument/2006/relationships/hyperlink" Target="https://eur-lex.europa.eu/legal-content/BG/TXT/?uri=CELEX:52025DC0085" TargetMode="External"/><Relationship Id="rId11" Type="http://schemas.openxmlformats.org/officeDocument/2006/relationships/hyperlink" Target="http://data.europa.eu/eli/reg/2011/305/oj" TargetMode="External"/><Relationship Id="rId24" Type="http://schemas.openxmlformats.org/officeDocument/2006/relationships/hyperlink" Target="https://ec.europa.eu/transparency/expert-groups-register/screen/meetings/consult?lang=bg&amp;meetingId=61821&amp;fromExpertGroups=3776" TargetMode="External"/><Relationship Id="rId5" Type="http://schemas.openxmlformats.org/officeDocument/2006/relationships/hyperlink" Target="https://eur-lex.europa.eu/legal-content/BG/TXT/?uri=CELEX:52025DC0085" TargetMode="External"/><Relationship Id="rId15" Type="http://schemas.openxmlformats.org/officeDocument/2006/relationships/hyperlink" Target="http://data.europa.eu/eli/reg/2012/1025/oj" TargetMode="External"/><Relationship Id="rId23" Type="http://schemas.openxmlformats.org/officeDocument/2006/relationships/hyperlink" Target="https://ec.europa.eu/docsroom/documents/42129/attachments/1/translations/en/renditions/native" TargetMode="External"/><Relationship Id="rId28" Type="http://schemas.openxmlformats.org/officeDocument/2006/relationships/hyperlink" Target="https://eismea.ec.europa.eu/funding-opportunities/calls-proposals/support-standardisation-activities-performed-cen-cenelec-and-etsi-2_en" TargetMode="External"/><Relationship Id="rId10" Type="http://schemas.openxmlformats.org/officeDocument/2006/relationships/hyperlink" Target="https://ec.europa.eu/info/law/better-regulation/have-your-say/initiatives/14762-European-strategy-for-housing-construction_bg" TargetMode="External"/><Relationship Id="rId19" Type="http://schemas.openxmlformats.org/officeDocument/2006/relationships/hyperlink" Target="https://environment.ec.europa.eu/document/5f7ff5e2-ebe9-4bd4-a139-db881bd6398f_en" TargetMode="External"/><Relationship Id="rId4" Type="http://schemas.openxmlformats.org/officeDocument/2006/relationships/hyperlink" Target="https://eur-lex.europa.eu/legal-content/BG/TXT/?uri=celex:52025DC0030" TargetMode="External"/><Relationship Id="rId9" Type="http://schemas.openxmlformats.org/officeDocument/2006/relationships/hyperlink" Target="https://ec.europa.eu/info/law/better-regulation/have-your-say/initiatives/14505-Industrial-Decarbonisation-Accelerator-Act-speeding-up-decarbonisation_bg" TargetMode="External"/><Relationship Id="rId14" Type="http://schemas.openxmlformats.org/officeDocument/2006/relationships/hyperlink" Target="http://data.europa.eu/eli/reg/2012/1025/oj" TargetMode="External"/><Relationship Id="rId22" Type="http://schemas.openxmlformats.org/officeDocument/2006/relationships/hyperlink" Target="https://ec.europa.eu/docsroom/documents/42128/attachments/1/translations/en/renditions/native" TargetMode="External"/><Relationship Id="rId27" Type="http://schemas.openxmlformats.org/officeDocument/2006/relationships/hyperlink" Target="https://eur-lex.europa.eu/legal-content/BG/TXT/?uri=CELEX:52025DC0085" TargetMode="External"/></Relationships>
</file>

<file path=word/theme/theme1.xml><?xml version="1.0" encoding="utf-8"?>
<a:theme xmlns:a="http://schemas.openxmlformats.org/drawingml/2006/main" name="Office Theme">
  <a:themeElements>
    <a:clrScheme name="European Commission">
      <a:dk1>
        <a:srgbClr val="4D4D4D"/>
      </a:dk1>
      <a:lt1>
        <a:srgbClr val="FFFFFF"/>
      </a:lt1>
      <a:dk2>
        <a:srgbClr val="034EA2"/>
      </a:dk2>
      <a:lt2>
        <a:srgbClr val="D3E8F9"/>
      </a:lt2>
      <a:accent1>
        <a:srgbClr val="1E858B"/>
      </a:accent1>
      <a:accent2>
        <a:srgbClr val="4BC5DE"/>
      </a:accent2>
      <a:accent3>
        <a:srgbClr val="1EC08A"/>
      </a:accent3>
      <a:accent4>
        <a:srgbClr val="ED8D2F"/>
      </a:accent4>
      <a:accent5>
        <a:srgbClr val="FFC000"/>
      </a:accent5>
      <a:accent6>
        <a:srgbClr val="E76C53"/>
      </a:accent6>
      <a:hlink>
        <a:srgbClr val="0563C1"/>
      </a:hlink>
      <a:folHlink>
        <a:srgbClr val="24337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1B87D5ABF651429579392F313233BD" ma:contentTypeVersion="12" ma:contentTypeDescription="Create a new document." ma:contentTypeScope="" ma:versionID="f184afa3d4ab4f5a312ab5a6a3d1833f">
  <xsd:schema xmlns:xsd="http://www.w3.org/2001/XMLSchema" xmlns:xs="http://www.w3.org/2001/XMLSchema" xmlns:p="http://schemas.microsoft.com/office/2006/metadata/properties" xmlns:ns2="b2332242-72eb-4c56-ab66-572cc47fcb14" xmlns:ns3="97c12176-f42e-47a4-9c39-4993e896fb64" targetNamespace="http://schemas.microsoft.com/office/2006/metadata/properties" ma:root="true" ma:fieldsID="752c67c28112a2a733bc6fb7e298d9ef" ns2:_="" ns3:_="">
    <xsd:import namespace="b2332242-72eb-4c56-ab66-572cc47fcb14"/>
    <xsd:import namespace="97c12176-f42e-47a4-9c39-4993e896fb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32242-72eb-4c56-ab66-572cc47fc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c12176-f42e-47a4-9c39-4993e896fb6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90997-8F21-4E25-AFF9-F7DCFF625520}">
  <ds:schemaRefs>
    <ds:schemaRef ds:uri="http://schemas.microsoft.com/sharepoint/v3/contenttype/forms"/>
  </ds:schemaRefs>
</ds:datastoreItem>
</file>

<file path=customXml/itemProps2.xml><?xml version="1.0" encoding="utf-8"?>
<ds:datastoreItem xmlns:ds="http://schemas.openxmlformats.org/officeDocument/2006/customXml" ds:itemID="{E1D61840-F920-44C0-B352-B141BC8FB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32242-72eb-4c56-ab66-572cc47fcb14"/>
    <ds:schemaRef ds:uri="97c12176-f42e-47a4-9c39-4993e896f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54F061-004B-4241-BC74-2792EDF09F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ABA4C6-8DA8-47C5-B695-9705B3630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6575</Words>
  <Characters>37484</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43972</CharactersWithSpaces>
  <SharedDoc>false</SharedDoc>
  <HLinks>
    <vt:vector size="150" baseType="variant">
      <vt:variant>
        <vt:i4>6815821</vt:i4>
      </vt:variant>
      <vt:variant>
        <vt:i4>72</vt:i4>
      </vt:variant>
      <vt:variant>
        <vt:i4>0</vt:i4>
      </vt:variant>
      <vt:variant>
        <vt:i4>5</vt:i4>
      </vt:variant>
      <vt:variant>
        <vt:lpwstr>https://eismea.ec.europa.eu/funding-opportunities/calls-proposals/support-standardisation-activities-performed-cen-cenelec-and-etsi-2_en</vt:lpwstr>
      </vt:variant>
      <vt:variant>
        <vt:lpwstr/>
      </vt:variant>
      <vt:variant>
        <vt:i4>6815821</vt:i4>
      </vt:variant>
      <vt:variant>
        <vt:i4>69</vt:i4>
      </vt:variant>
      <vt:variant>
        <vt:i4>0</vt:i4>
      </vt:variant>
      <vt:variant>
        <vt:i4>5</vt:i4>
      </vt:variant>
      <vt:variant>
        <vt:lpwstr>https://eismea.ec.europa.eu/funding-opportunities/calls-proposals/support-standardisation-activities-performed-cen-cenelec-and-etsi-2_en</vt:lpwstr>
      </vt:variant>
      <vt:variant>
        <vt:lpwstr/>
      </vt:variant>
      <vt:variant>
        <vt:i4>524305</vt:i4>
      </vt:variant>
      <vt:variant>
        <vt:i4>66</vt:i4>
      </vt:variant>
      <vt:variant>
        <vt:i4>0</vt:i4>
      </vt:variant>
      <vt:variant>
        <vt:i4>5</vt:i4>
      </vt:variant>
      <vt:variant>
        <vt:lpwstr>https://eur-lex.europa.eu/legal-content/EN/TXT/?uri=CELEX:52025DC0085</vt:lpwstr>
      </vt:variant>
      <vt:variant>
        <vt:lpwstr/>
      </vt:variant>
      <vt:variant>
        <vt:i4>6684776</vt:i4>
      </vt:variant>
      <vt:variant>
        <vt:i4>63</vt:i4>
      </vt:variant>
      <vt:variant>
        <vt:i4>0</vt:i4>
      </vt:variant>
      <vt:variant>
        <vt:i4>5</vt:i4>
      </vt:variant>
      <vt:variant>
        <vt:lpwstr>http://data.europa.eu/eli/dir/2024/1275/oj</vt:lpwstr>
      </vt:variant>
      <vt:variant>
        <vt:lpwstr/>
      </vt:variant>
      <vt:variant>
        <vt:i4>6815820</vt:i4>
      </vt:variant>
      <vt:variant>
        <vt:i4>60</vt:i4>
      </vt:variant>
      <vt:variant>
        <vt:i4>0</vt:i4>
      </vt:variant>
      <vt:variant>
        <vt:i4>5</vt:i4>
      </vt:variant>
      <vt:variant>
        <vt:lpwstr>https://eismea.ec.europa.eu/funding-opportunities/calls-proposals/support-standardisation-activities-performed-cen-cenelec-and-etsi-3_en</vt:lpwstr>
      </vt:variant>
      <vt:variant>
        <vt:lpwstr/>
      </vt:variant>
      <vt:variant>
        <vt:i4>3866722</vt:i4>
      </vt:variant>
      <vt:variant>
        <vt:i4>57</vt:i4>
      </vt:variant>
      <vt:variant>
        <vt:i4>0</vt:i4>
      </vt:variant>
      <vt:variant>
        <vt:i4>5</vt:i4>
      </vt:variant>
      <vt:variant>
        <vt:lpwstr>https://ec.europa.eu/transparency/expert-groups-register/screen/meetings/consult?lang=en&amp;meetingId=61821&amp;fromExpertGroups=3776</vt:lpwstr>
      </vt:variant>
      <vt:variant>
        <vt:lpwstr/>
      </vt:variant>
      <vt:variant>
        <vt:i4>4915276</vt:i4>
      </vt:variant>
      <vt:variant>
        <vt:i4>54</vt:i4>
      </vt:variant>
      <vt:variant>
        <vt:i4>0</vt:i4>
      </vt:variant>
      <vt:variant>
        <vt:i4>5</vt:i4>
      </vt:variant>
      <vt:variant>
        <vt:lpwstr>https://ec.europa.eu/docsroom/documents/42129/attachments/1/translations/en/renditions/native</vt:lpwstr>
      </vt:variant>
      <vt:variant>
        <vt:lpwstr/>
      </vt:variant>
      <vt:variant>
        <vt:i4>4915277</vt:i4>
      </vt:variant>
      <vt:variant>
        <vt:i4>51</vt:i4>
      </vt:variant>
      <vt:variant>
        <vt:i4>0</vt:i4>
      </vt:variant>
      <vt:variant>
        <vt:i4>5</vt:i4>
      </vt:variant>
      <vt:variant>
        <vt:lpwstr>https://ec.europa.eu/docsroom/documents/42128/attachments/1/translations/en/renditions/native</vt:lpwstr>
      </vt:variant>
      <vt:variant>
        <vt:lpwstr/>
      </vt:variant>
      <vt:variant>
        <vt:i4>1966190</vt:i4>
      </vt:variant>
      <vt:variant>
        <vt:i4>48</vt:i4>
      </vt:variant>
      <vt:variant>
        <vt:i4>0</vt:i4>
      </vt:variant>
      <vt:variant>
        <vt:i4>5</vt:i4>
      </vt:variant>
      <vt:variant>
        <vt:lpwstr>https://single-market-economy.ec.europa.eu/sectors/construction/construction-products-regulation-cpr/acquis_en</vt:lpwstr>
      </vt:variant>
      <vt:variant>
        <vt:lpwstr/>
      </vt:variant>
      <vt:variant>
        <vt:i4>6619242</vt:i4>
      </vt:variant>
      <vt:variant>
        <vt:i4>45</vt:i4>
      </vt:variant>
      <vt:variant>
        <vt:i4>0</vt:i4>
      </vt:variant>
      <vt:variant>
        <vt:i4>5</vt:i4>
      </vt:variant>
      <vt:variant>
        <vt:lpwstr>http://data.europa.eu/eli/reg/2024/1781/oj</vt:lpwstr>
      </vt:variant>
      <vt:variant>
        <vt:lpwstr/>
      </vt:variant>
      <vt:variant>
        <vt:i4>1507440</vt:i4>
      </vt:variant>
      <vt:variant>
        <vt:i4>42</vt:i4>
      </vt:variant>
      <vt:variant>
        <vt:i4>0</vt:i4>
      </vt:variant>
      <vt:variant>
        <vt:i4>5</vt:i4>
      </vt:variant>
      <vt:variant>
        <vt:lpwstr>https://environment.ec.europa.eu/document/5f7ff5e2-ebe9-4bd4-a139-db881bd6398f_en</vt:lpwstr>
      </vt:variant>
      <vt:variant>
        <vt:lpwstr/>
      </vt:variant>
      <vt:variant>
        <vt:i4>7667787</vt:i4>
      </vt:variant>
      <vt:variant>
        <vt:i4>39</vt:i4>
      </vt:variant>
      <vt:variant>
        <vt:i4>0</vt:i4>
      </vt:variant>
      <vt:variant>
        <vt:i4>5</vt:i4>
      </vt:variant>
      <vt:variant>
        <vt:lpwstr>https://ec.europa.eu/growth/tools-databases/enorm/mandate/615_en</vt:lpwstr>
      </vt:variant>
      <vt:variant>
        <vt:lpwstr/>
      </vt:variant>
      <vt:variant>
        <vt:i4>7602247</vt:i4>
      </vt:variant>
      <vt:variant>
        <vt:i4>36</vt:i4>
      </vt:variant>
      <vt:variant>
        <vt:i4>0</vt:i4>
      </vt:variant>
      <vt:variant>
        <vt:i4>5</vt:i4>
      </vt:variant>
      <vt:variant>
        <vt:lpwstr>https://ec.europa.eu/growth/tools-databases/enorm/mandate/609_en</vt:lpwstr>
      </vt:variant>
      <vt:variant>
        <vt:lpwstr/>
      </vt:variant>
      <vt:variant>
        <vt:i4>6881386</vt:i4>
      </vt:variant>
      <vt:variant>
        <vt:i4>33</vt:i4>
      </vt:variant>
      <vt:variant>
        <vt:i4>0</vt:i4>
      </vt:variant>
      <vt:variant>
        <vt:i4>5</vt:i4>
      </vt:variant>
      <vt:variant>
        <vt:lpwstr>http://data.europa.eu/eli/reg/2012/1025/oj</vt:lpwstr>
      </vt:variant>
      <vt:variant>
        <vt:lpwstr/>
      </vt:variant>
      <vt:variant>
        <vt:i4>6881386</vt:i4>
      </vt:variant>
      <vt:variant>
        <vt:i4>30</vt:i4>
      </vt:variant>
      <vt:variant>
        <vt:i4>0</vt:i4>
      </vt:variant>
      <vt:variant>
        <vt:i4>5</vt:i4>
      </vt:variant>
      <vt:variant>
        <vt:lpwstr>http://data.europa.eu/eli/reg/2012/1025/oj</vt:lpwstr>
      </vt:variant>
      <vt:variant>
        <vt:lpwstr/>
      </vt:variant>
      <vt:variant>
        <vt:i4>589914</vt:i4>
      </vt:variant>
      <vt:variant>
        <vt:i4>27</vt:i4>
      </vt:variant>
      <vt:variant>
        <vt:i4>0</vt:i4>
      </vt:variant>
      <vt:variant>
        <vt:i4>5</vt:i4>
      </vt:variant>
      <vt:variant>
        <vt:lpwstr>https://boss.cen.eu/maintenance/reven/pages/</vt:lpwstr>
      </vt:variant>
      <vt:variant>
        <vt:lpwstr/>
      </vt:variant>
      <vt:variant>
        <vt:i4>327700</vt:i4>
      </vt:variant>
      <vt:variant>
        <vt:i4>24</vt:i4>
      </vt:variant>
      <vt:variant>
        <vt:i4>0</vt:i4>
      </vt:variant>
      <vt:variant>
        <vt:i4>5</vt:i4>
      </vt:variant>
      <vt:variant>
        <vt:lpwstr>https://ec.europa.eu/transparency/expert-groups-register/screen/calls-application?lang=en</vt:lpwstr>
      </vt:variant>
      <vt:variant>
        <vt:lpwstr/>
      </vt:variant>
      <vt:variant>
        <vt:i4>4522015</vt:i4>
      </vt:variant>
      <vt:variant>
        <vt:i4>21</vt:i4>
      </vt:variant>
      <vt:variant>
        <vt:i4>0</vt:i4>
      </vt:variant>
      <vt:variant>
        <vt:i4>5</vt:i4>
      </vt:variant>
      <vt:variant>
        <vt:lpwstr>http://data.europa.eu/eli/reg/2011/305/oj</vt:lpwstr>
      </vt:variant>
      <vt:variant>
        <vt:lpwstr/>
      </vt:variant>
      <vt:variant>
        <vt:i4>5111917</vt:i4>
      </vt:variant>
      <vt:variant>
        <vt:i4>18</vt:i4>
      </vt:variant>
      <vt:variant>
        <vt:i4>0</vt:i4>
      </vt:variant>
      <vt:variant>
        <vt:i4>5</vt:i4>
      </vt:variant>
      <vt:variant>
        <vt:lpwstr>https://ec.europa.eu/info/law/better-regulation/have-your-say/initiatives/14762-European-strategy-for-housing-construction_en</vt:lpwstr>
      </vt:variant>
      <vt:variant>
        <vt:lpwstr/>
      </vt:variant>
      <vt:variant>
        <vt:i4>131088</vt:i4>
      </vt:variant>
      <vt:variant>
        <vt:i4>15</vt:i4>
      </vt:variant>
      <vt:variant>
        <vt:i4>0</vt:i4>
      </vt:variant>
      <vt:variant>
        <vt:i4>5</vt:i4>
      </vt:variant>
      <vt:variant>
        <vt:lpwstr>https://eur-lex.europa.eu/legal-content/EN/TXT/?uri=CELEX:52025DC0125</vt:lpwstr>
      </vt:variant>
      <vt:variant>
        <vt:lpwstr/>
      </vt:variant>
      <vt:variant>
        <vt:i4>524305</vt:i4>
      </vt:variant>
      <vt:variant>
        <vt:i4>12</vt:i4>
      </vt:variant>
      <vt:variant>
        <vt:i4>0</vt:i4>
      </vt:variant>
      <vt:variant>
        <vt:i4>5</vt:i4>
      </vt:variant>
      <vt:variant>
        <vt:lpwstr>https://eur-lex.europa.eu/legal-content/EN/TXT/?uri=CELEX:52025DC0085</vt:lpwstr>
      </vt:variant>
      <vt:variant>
        <vt:lpwstr/>
      </vt:variant>
      <vt:variant>
        <vt:i4>196625</vt:i4>
      </vt:variant>
      <vt:variant>
        <vt:i4>9</vt:i4>
      </vt:variant>
      <vt:variant>
        <vt:i4>0</vt:i4>
      </vt:variant>
      <vt:variant>
        <vt:i4>5</vt:i4>
      </vt:variant>
      <vt:variant>
        <vt:lpwstr>https://eur-lex.europa.eu/legal-content/EN/TXT/?uri=celex:52025DC0030</vt:lpwstr>
      </vt:variant>
      <vt:variant>
        <vt:lpwstr/>
      </vt:variant>
      <vt:variant>
        <vt:i4>8060978</vt:i4>
      </vt:variant>
      <vt:variant>
        <vt:i4>6</vt:i4>
      </vt:variant>
      <vt:variant>
        <vt:i4>0</vt:i4>
      </vt:variant>
      <vt:variant>
        <vt:i4>5</vt:i4>
      </vt:variant>
      <vt:variant>
        <vt:lpwstr>https://ec.europa.eu/transparency/expert-groups-register/screen/expert-groups/consult?lang=en&amp;groupID=3776</vt:lpwstr>
      </vt:variant>
      <vt:variant>
        <vt:lpwstr/>
      </vt:variant>
      <vt:variant>
        <vt:i4>8060978</vt:i4>
      </vt:variant>
      <vt:variant>
        <vt:i4>3</vt:i4>
      </vt:variant>
      <vt:variant>
        <vt:i4>0</vt:i4>
      </vt:variant>
      <vt:variant>
        <vt:i4>5</vt:i4>
      </vt:variant>
      <vt:variant>
        <vt:lpwstr>https://ec.europa.eu/transparency/expert-groups-register/screen/expert-groups/consult?lang=en&amp;groupID=3776</vt:lpwstr>
      </vt:variant>
      <vt:variant>
        <vt:lpwstr/>
      </vt:variant>
      <vt:variant>
        <vt:i4>7209069</vt:i4>
      </vt:variant>
      <vt:variant>
        <vt:i4>0</vt:i4>
      </vt:variant>
      <vt:variant>
        <vt:i4>0</vt:i4>
      </vt:variant>
      <vt:variant>
        <vt:i4>5</vt:i4>
      </vt:variant>
      <vt:variant>
        <vt:lpwstr>http://data.europa.eu/eli/reg/2024/3110/oj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2025-12-10T13:37:00Z</dcterms:created>
  <dcterms:modified xsi:type="dcterms:W3CDTF">2025-12-12T15:07:00Z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9.2, Build 20250828</vt:lpwstr>
  </property>
  <property fmtid="{D5CDD505-2E9C-101B-9397-08002B2CF9AE}" pid="3" name="MSIP_Label_6bd9ddd1-4d20-43f6-abfa-fc3c07406f94_Enabled">
    <vt:lpwstr>true</vt:lpwstr>
  </property>
  <property fmtid="{D5CDD505-2E9C-101B-9397-08002B2CF9AE}" pid="4" name="MSIP_Label_6bd9ddd1-4d20-43f6-abfa-fc3c07406f94_SetDate">
    <vt:lpwstr>2025-11-04T15:56:19Z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0771de64-76ce-4bdd-bab2-844b84244fec</vt:lpwstr>
  </property>
  <property fmtid="{D5CDD505-2E9C-101B-9397-08002B2CF9AE}" pid="9" name="MSIP_Label_6bd9ddd1-4d20-43f6-abfa-fc3c07406f94_ContentBits">
    <vt:lpwstr>0</vt:lpwstr>
  </property>
  <property fmtid="{D5CDD505-2E9C-101B-9397-08002B2CF9AE}" pid="10" name="MSIP_Label_6bd9ddd1-4d20-43f6-abfa-fc3c07406f94_Tag">
    <vt:lpwstr>10, 3, 0, 1</vt:lpwstr>
  </property>
  <property fmtid="{D5CDD505-2E9C-101B-9397-08002B2CF9AE}" pid="11" name="Part">
    <vt:lpwstr>1</vt:lpwstr>
  </property>
  <property fmtid="{D5CDD505-2E9C-101B-9397-08002B2CF9AE}" pid="12" name="MediaServiceImageTags">
    <vt:lpwstr/>
  </property>
  <property fmtid="{D5CDD505-2E9C-101B-9397-08002B2CF9AE}" pid="13" name="ContentTypeId">
    <vt:lpwstr>0x010100FF1B87D5ABF651429579392F313233BD</vt:lpwstr>
  </property>
  <property fmtid="{D5CDD505-2E9C-101B-9397-08002B2CF9AE}" pid="14" name="Created using">
    <vt:lpwstr>LW 9.1, Build 20240808</vt:lpwstr>
  </property>
  <property fmtid="{D5CDD505-2E9C-101B-9397-08002B2CF9AE}" pid="15" name="Total parts">
    <vt:lpwstr>1</vt:lpwstr>
  </property>
  <property fmtid="{D5CDD505-2E9C-101B-9397-08002B2CF9AE}" pid="16" name="Level of sensitivity">
    <vt:lpwstr>Standard treatment</vt:lpwstr>
  </property>
  <property fmtid="{D5CDD505-2E9C-101B-9397-08002B2CF9AE}" pid="17" name="CPTemplateID">
    <vt:lpwstr>CP-009</vt:lpwstr>
  </property>
  <property fmtid="{D5CDD505-2E9C-101B-9397-08002B2CF9AE}" pid="18" name="DocStatus">
    <vt:lpwstr>Green</vt:lpwstr>
  </property>
</Properties>
</file>